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9DB1B" w14:textId="6A00FB24" w:rsidR="00C20459" w:rsidRPr="006207BC" w:rsidRDefault="005F094A">
      <w:pPr>
        <w:spacing w:before="120" w:after="120" w:line="360" w:lineRule="auto"/>
        <w:jc w:val="center"/>
        <w:rPr>
          <w:rFonts w:ascii="Times New Roman" w:hAnsi="Times New Roman" w:cs="Times New Roman"/>
          <w:b/>
          <w:sz w:val="32"/>
          <w:szCs w:val="32"/>
        </w:rPr>
      </w:pPr>
      <w:r w:rsidRPr="006207BC">
        <w:rPr>
          <w:rFonts w:ascii="Times New Roman" w:hAnsi="Times New Roman" w:cs="Times New Roman"/>
          <w:b/>
          <w:sz w:val="32"/>
          <w:szCs w:val="32"/>
        </w:rPr>
        <w:t>The e</w:t>
      </w:r>
      <w:r w:rsidR="00A61DC5" w:rsidRPr="006207BC">
        <w:rPr>
          <w:rFonts w:ascii="Times New Roman" w:hAnsi="Times New Roman" w:cs="Times New Roman"/>
          <w:b/>
          <w:sz w:val="32"/>
          <w:szCs w:val="32"/>
        </w:rPr>
        <w:t xml:space="preserve">ffect of risk </w:t>
      </w:r>
      <w:r w:rsidRPr="006207BC">
        <w:rPr>
          <w:rFonts w:ascii="Times New Roman" w:hAnsi="Times New Roman" w:cs="Times New Roman"/>
          <w:b/>
          <w:sz w:val="32"/>
          <w:szCs w:val="32"/>
        </w:rPr>
        <w:t xml:space="preserve">disclosure on analyst </w:t>
      </w:r>
      <w:proofErr w:type="gramStart"/>
      <w:r w:rsidRPr="006207BC">
        <w:rPr>
          <w:rFonts w:ascii="Times New Roman" w:hAnsi="Times New Roman" w:cs="Times New Roman"/>
          <w:b/>
          <w:sz w:val="32"/>
          <w:szCs w:val="32"/>
        </w:rPr>
        <w:t>following</w:t>
      </w:r>
      <w:proofErr w:type="gramEnd"/>
    </w:p>
    <w:p w14:paraId="14D76511" w14:textId="0C6C2E49" w:rsidR="00C20459" w:rsidRPr="006207BC" w:rsidRDefault="00C20459">
      <w:pPr>
        <w:spacing w:before="120" w:after="120" w:line="360" w:lineRule="auto"/>
        <w:jc w:val="center"/>
        <w:rPr>
          <w:rFonts w:ascii="Times New Roman" w:hAnsi="Times New Roman" w:cs="Times New Roman"/>
          <w:b/>
          <w:sz w:val="28"/>
          <w:szCs w:val="28"/>
        </w:rPr>
      </w:pPr>
    </w:p>
    <w:p w14:paraId="788E939A" w14:textId="77777777" w:rsidR="00020265" w:rsidRPr="00C75A17" w:rsidRDefault="00020265" w:rsidP="00020265">
      <w:pPr>
        <w:spacing w:before="120" w:after="120" w:line="240" w:lineRule="auto"/>
        <w:jc w:val="center"/>
        <w:rPr>
          <w:rFonts w:ascii="Times New Roman" w:hAnsi="Times New Roman" w:cs="Times New Roman"/>
          <w:b/>
          <w:sz w:val="24"/>
          <w:szCs w:val="24"/>
          <w:lang w:val="fr-LU"/>
        </w:rPr>
      </w:pPr>
      <w:r w:rsidRPr="00C75A17">
        <w:rPr>
          <w:rFonts w:ascii="Times New Roman" w:hAnsi="Times New Roman" w:cs="Times New Roman"/>
          <w:b/>
          <w:sz w:val="24"/>
          <w:szCs w:val="24"/>
          <w:lang w:val="fr-LU"/>
        </w:rPr>
        <w:t>Imen Derouiche</w:t>
      </w:r>
      <w:r>
        <w:rPr>
          <w:rStyle w:val="Appelnotedebasdep"/>
          <w:rFonts w:ascii="Times New Roman" w:hAnsi="Times New Roman"/>
          <w:sz w:val="24"/>
          <w:szCs w:val="24"/>
        </w:rPr>
        <w:footnoteReference w:customMarkFollows="1" w:id="1"/>
        <w:sym w:font="Symbol" w:char="F0A7"/>
      </w:r>
    </w:p>
    <w:p w14:paraId="10C17349" w14:textId="77777777" w:rsidR="00020265" w:rsidRPr="00C75A17" w:rsidRDefault="00020265" w:rsidP="00020265">
      <w:pPr>
        <w:spacing w:before="120" w:after="120" w:line="240" w:lineRule="auto"/>
        <w:jc w:val="center"/>
        <w:rPr>
          <w:rFonts w:ascii="Times New Roman" w:hAnsi="Times New Roman" w:cs="Times New Roman"/>
          <w:sz w:val="24"/>
          <w:szCs w:val="24"/>
          <w:lang w:val="fr-LU"/>
        </w:rPr>
      </w:pPr>
      <w:r w:rsidRPr="00C75A17">
        <w:rPr>
          <w:rFonts w:ascii="Times New Roman" w:hAnsi="Times New Roman" w:cs="Times New Roman"/>
          <w:sz w:val="24"/>
          <w:szCs w:val="24"/>
          <w:lang w:val="fr-LU"/>
        </w:rPr>
        <w:t>Unité de recherche CREA, University of Luxembourg, Luxembourg</w:t>
      </w:r>
    </w:p>
    <w:p w14:paraId="68706034" w14:textId="77777777" w:rsidR="00020265" w:rsidRPr="00C75A17" w:rsidRDefault="00020265" w:rsidP="00020265">
      <w:pPr>
        <w:spacing w:before="120" w:after="120" w:line="240" w:lineRule="auto"/>
        <w:jc w:val="center"/>
        <w:rPr>
          <w:rFonts w:ascii="Times New Roman" w:hAnsi="Times New Roman" w:cs="Times New Roman"/>
          <w:b/>
          <w:sz w:val="24"/>
          <w:szCs w:val="24"/>
          <w:lang w:val="fr-LU"/>
        </w:rPr>
      </w:pPr>
      <w:r w:rsidRPr="00C75A17">
        <w:rPr>
          <w:rFonts w:ascii="Times New Roman" w:hAnsi="Times New Roman" w:cs="Times New Roman"/>
          <w:b/>
          <w:sz w:val="24"/>
          <w:szCs w:val="24"/>
          <w:lang w:val="fr-LU"/>
        </w:rPr>
        <w:t>Anke Muessig</w:t>
      </w:r>
    </w:p>
    <w:p w14:paraId="3A279CEF" w14:textId="77777777" w:rsidR="00020265" w:rsidRPr="00C75A17" w:rsidRDefault="00020265" w:rsidP="00020265">
      <w:pPr>
        <w:spacing w:before="120" w:after="120" w:line="240" w:lineRule="auto"/>
        <w:jc w:val="center"/>
        <w:rPr>
          <w:rFonts w:ascii="Times New Roman" w:hAnsi="Times New Roman" w:cs="Times New Roman"/>
          <w:sz w:val="24"/>
          <w:szCs w:val="24"/>
          <w:lang w:val="fr-LU"/>
        </w:rPr>
      </w:pPr>
      <w:r w:rsidRPr="00C75A17">
        <w:rPr>
          <w:rFonts w:ascii="Times New Roman" w:hAnsi="Times New Roman" w:cs="Times New Roman"/>
          <w:sz w:val="24"/>
          <w:szCs w:val="24"/>
          <w:lang w:val="fr-LU"/>
        </w:rPr>
        <w:t>Unité de recherche CREA, University of Luxembourg, Luxembourg</w:t>
      </w:r>
    </w:p>
    <w:p w14:paraId="400BD560" w14:textId="77777777" w:rsidR="00020265" w:rsidRDefault="00020265" w:rsidP="00020265">
      <w:pPr>
        <w:spacing w:before="120" w:after="120" w:line="240" w:lineRule="auto"/>
        <w:jc w:val="center"/>
        <w:rPr>
          <w:rFonts w:ascii="Times New Roman" w:hAnsi="Times New Roman" w:cs="Times New Roman"/>
          <w:b/>
          <w:sz w:val="24"/>
          <w:szCs w:val="24"/>
          <w:lang w:val="fr-LU"/>
        </w:rPr>
      </w:pPr>
      <w:r w:rsidRPr="00C75A17">
        <w:rPr>
          <w:rFonts w:ascii="Times New Roman" w:hAnsi="Times New Roman" w:cs="Times New Roman"/>
          <w:b/>
          <w:sz w:val="24"/>
          <w:szCs w:val="24"/>
          <w:lang w:val="fr-LU"/>
        </w:rPr>
        <w:t>Véronique Weber</w:t>
      </w:r>
    </w:p>
    <w:p w14:paraId="1E70524A" w14:textId="43521C13" w:rsidR="00020265" w:rsidRPr="00020265" w:rsidRDefault="00020265" w:rsidP="00020265">
      <w:pPr>
        <w:spacing w:before="120" w:after="120" w:line="240" w:lineRule="auto"/>
        <w:jc w:val="center"/>
        <w:rPr>
          <w:rFonts w:ascii="Times New Roman" w:hAnsi="Times New Roman" w:cs="Times New Roman"/>
          <w:b/>
          <w:sz w:val="24"/>
          <w:szCs w:val="24"/>
          <w:lang w:val="fr-LU"/>
        </w:rPr>
      </w:pPr>
      <w:r w:rsidRPr="00020265">
        <w:rPr>
          <w:rFonts w:ascii="Times New Roman" w:hAnsi="Times New Roman" w:cs="Times New Roman"/>
          <w:sz w:val="24"/>
          <w:szCs w:val="24"/>
          <w:lang w:val="fr-LU"/>
        </w:rPr>
        <w:t>Unité de recherche CREA, University of Luxembourg, Luxembourg</w:t>
      </w:r>
    </w:p>
    <w:p w14:paraId="09E720BD" w14:textId="6F2FF8FF" w:rsidR="00C20459" w:rsidRPr="00D561EA" w:rsidRDefault="00A61DC5" w:rsidP="00020265">
      <w:pPr>
        <w:pStyle w:val="Titre1"/>
        <w:rPr>
          <w:rFonts w:ascii="Times New Roman" w:hAnsi="Times New Roman" w:cs="Times New Roman"/>
          <w:b/>
          <w:color w:val="auto"/>
          <w:sz w:val="24"/>
          <w:szCs w:val="24"/>
        </w:rPr>
      </w:pPr>
      <w:r w:rsidRPr="00D561EA">
        <w:rPr>
          <w:rFonts w:ascii="Times New Roman" w:hAnsi="Times New Roman" w:cs="Times New Roman"/>
          <w:b/>
          <w:color w:val="auto"/>
          <w:sz w:val="24"/>
          <w:szCs w:val="24"/>
        </w:rPr>
        <w:t>Abstract</w:t>
      </w:r>
    </w:p>
    <w:p w14:paraId="5B0366B8" w14:textId="6ABE03BD" w:rsidR="00C20459" w:rsidRPr="006207BC" w:rsidRDefault="00A61DC5">
      <w:pPr>
        <w:spacing w:before="120" w:after="120" w:line="36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Prior research shows that financial analysts play an important information intermediary role in France. This study extends earlier research to examine the effect of risk disclosure on the number of analysts following listed firms. Using a unique dataset of French firms on the 120 SBF index over 2007−2015, </w:t>
      </w:r>
      <w:r w:rsidR="008A1A82" w:rsidRPr="006207BC">
        <w:rPr>
          <w:rFonts w:ascii="Times New Roman" w:hAnsi="Times New Roman" w:cs="Times New Roman"/>
          <w:sz w:val="24"/>
          <w:szCs w:val="24"/>
        </w:rPr>
        <w:t xml:space="preserve">the results show </w:t>
      </w:r>
      <w:r w:rsidRPr="006207BC">
        <w:rPr>
          <w:rFonts w:ascii="Times New Roman" w:hAnsi="Times New Roman" w:cs="Times New Roman"/>
          <w:sz w:val="24"/>
          <w:szCs w:val="24"/>
        </w:rPr>
        <w:t xml:space="preserve">a positive and significant relation between risk disclosure and analyst following, suggesting that firms </w:t>
      </w:r>
      <w:r w:rsidR="00794D67" w:rsidRPr="006207BC">
        <w:rPr>
          <w:rFonts w:ascii="Times New Roman" w:hAnsi="Times New Roman" w:cs="Times New Roman"/>
          <w:sz w:val="24"/>
          <w:szCs w:val="24"/>
        </w:rPr>
        <w:t>having</w:t>
      </w:r>
      <w:r w:rsidRPr="006207BC">
        <w:rPr>
          <w:rFonts w:ascii="Times New Roman" w:hAnsi="Times New Roman" w:cs="Times New Roman"/>
          <w:sz w:val="24"/>
          <w:szCs w:val="24"/>
        </w:rPr>
        <w:t xml:space="preserve"> greater risk disclosure attract more financial analysts. These findings provide empirical support to the argument that analysts incur lower costs of information gathering in firms with greater risk disclosure. The d</w:t>
      </w:r>
      <w:r w:rsidRPr="006207BC">
        <w:rPr>
          <w:rFonts w:ascii="Times New Roman" w:eastAsia="Times New Roman" w:hAnsi="Times New Roman" w:cs="Times New Roman"/>
          <w:sz w:val="24"/>
          <w:szCs w:val="24"/>
        </w:rPr>
        <w:t xml:space="preserve">emand for analyst services is also more valuable in these firms, given their potentially high exposure to risks, implying greater analyst following. </w:t>
      </w:r>
      <w:r w:rsidRPr="006207BC">
        <w:rPr>
          <w:rFonts w:ascii="Times New Roman" w:hAnsi="Times New Roman" w:cs="Times New Roman"/>
          <w:sz w:val="24"/>
          <w:szCs w:val="24"/>
        </w:rPr>
        <w:t>Overall, our results are in line with prior literature highlighting that analysts’ activities complement annual report disclosures and, generally, corporate disclosures.</w:t>
      </w:r>
    </w:p>
    <w:p w14:paraId="16A2678B" w14:textId="77777777" w:rsidR="004B1B26" w:rsidRPr="006207BC" w:rsidRDefault="004B1B26">
      <w:pPr>
        <w:spacing w:before="120" w:after="120" w:line="360" w:lineRule="auto"/>
        <w:jc w:val="both"/>
        <w:rPr>
          <w:rFonts w:ascii="Times New Roman" w:hAnsi="Times New Roman" w:cs="Times New Roman"/>
          <w:sz w:val="24"/>
          <w:szCs w:val="24"/>
        </w:rPr>
      </w:pPr>
    </w:p>
    <w:p w14:paraId="2C888759" w14:textId="77777777" w:rsidR="00C20459" w:rsidRPr="006207BC" w:rsidRDefault="00A61DC5">
      <w:pPr>
        <w:spacing w:before="120" w:after="120" w:line="360" w:lineRule="auto"/>
        <w:rPr>
          <w:rFonts w:ascii="Times New Roman" w:hAnsi="Times New Roman" w:cs="Times New Roman"/>
          <w:sz w:val="23"/>
          <w:szCs w:val="23"/>
        </w:rPr>
      </w:pPr>
      <w:r w:rsidRPr="006207BC">
        <w:rPr>
          <w:rFonts w:ascii="Times New Roman" w:hAnsi="Times New Roman" w:cs="Times New Roman"/>
          <w:i/>
          <w:iCs/>
          <w:sz w:val="23"/>
          <w:szCs w:val="23"/>
        </w:rPr>
        <w:t>JEL classification</w:t>
      </w:r>
      <w:r w:rsidRPr="006207BC">
        <w:rPr>
          <w:rFonts w:ascii="Times New Roman" w:hAnsi="Times New Roman" w:cs="Times New Roman"/>
          <w:sz w:val="23"/>
          <w:szCs w:val="23"/>
        </w:rPr>
        <w:t>: G32; G34; M41</w:t>
      </w:r>
    </w:p>
    <w:p w14:paraId="0CBD3E65" w14:textId="05D5CD75" w:rsidR="00FC6D8E" w:rsidRPr="006207BC" w:rsidRDefault="00A61DC5">
      <w:pPr>
        <w:rPr>
          <w:rFonts w:ascii="Times New Roman" w:eastAsia="AdvEPSTIM" w:hAnsi="Times New Roman" w:cs="Times New Roman"/>
          <w:sz w:val="23"/>
          <w:szCs w:val="23"/>
        </w:rPr>
      </w:pPr>
      <w:r w:rsidRPr="006207BC">
        <w:rPr>
          <w:rFonts w:ascii="Times New Roman" w:hAnsi="Times New Roman" w:cs="Times New Roman"/>
          <w:i/>
          <w:iCs/>
          <w:sz w:val="23"/>
          <w:szCs w:val="23"/>
        </w:rPr>
        <w:t>Keywords</w:t>
      </w:r>
      <w:r w:rsidRPr="006207BC">
        <w:rPr>
          <w:rFonts w:ascii="Times New Roman" w:hAnsi="Times New Roman" w:cs="Times New Roman"/>
          <w:sz w:val="23"/>
          <w:szCs w:val="23"/>
        </w:rPr>
        <w:t>: Risk disclosure</w:t>
      </w:r>
      <w:r w:rsidRPr="006207BC">
        <w:rPr>
          <w:rFonts w:ascii="Times New Roman" w:eastAsia="AdvEPSTIM" w:hAnsi="Times New Roman" w:cs="Times New Roman"/>
          <w:sz w:val="23"/>
          <w:szCs w:val="23"/>
        </w:rPr>
        <w:t>; Analyst following; Information asymmetry.</w:t>
      </w:r>
    </w:p>
    <w:p w14:paraId="7637B9D9" w14:textId="77777777" w:rsidR="00FC6D8E" w:rsidRPr="006207BC" w:rsidRDefault="00FC6D8E">
      <w:pPr>
        <w:rPr>
          <w:rFonts w:ascii="Times New Roman" w:eastAsia="AdvEPSTIM" w:hAnsi="Times New Roman" w:cs="Times New Roman"/>
          <w:sz w:val="23"/>
          <w:szCs w:val="23"/>
        </w:rPr>
      </w:pPr>
      <w:r w:rsidRPr="006207BC">
        <w:rPr>
          <w:rFonts w:ascii="Times New Roman" w:eastAsia="AdvEPSTIM" w:hAnsi="Times New Roman" w:cs="Times New Roman"/>
          <w:sz w:val="23"/>
          <w:szCs w:val="23"/>
        </w:rPr>
        <w:br w:type="page"/>
      </w:r>
    </w:p>
    <w:p w14:paraId="12BF47B9" w14:textId="77777777" w:rsidR="00C20459" w:rsidRPr="006207BC" w:rsidRDefault="00A61DC5">
      <w:pPr>
        <w:pStyle w:val="Titre1"/>
        <w:spacing w:after="240" w:line="360" w:lineRule="auto"/>
        <w:rPr>
          <w:rFonts w:ascii="Times New Roman" w:hAnsi="Times New Roman" w:cs="Times New Roman"/>
          <w:color w:val="auto"/>
          <w:sz w:val="24"/>
          <w:szCs w:val="24"/>
          <w:lang w:val="en-GB"/>
        </w:rPr>
      </w:pPr>
      <w:r w:rsidRPr="006207BC">
        <w:rPr>
          <w:rFonts w:ascii="Times New Roman" w:hAnsi="Times New Roman" w:cs="Times New Roman"/>
          <w:b/>
          <w:color w:val="auto"/>
          <w:sz w:val="24"/>
          <w:szCs w:val="24"/>
          <w:lang w:val="en-GB"/>
        </w:rPr>
        <w:lastRenderedPageBreak/>
        <w:t xml:space="preserve"> 1. Introduction</w:t>
      </w:r>
    </w:p>
    <w:p w14:paraId="4F2F3C2E" w14:textId="66A440ED"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Financial analysts rely on different sorts of information communicated by the firm, notably the annual report, to make their </w:t>
      </w:r>
      <w:r w:rsidRPr="006207BC">
        <w:rPr>
          <w:rFonts w:ascii="Times New Roman" w:hAnsi="Times New Roman" w:cs="Times New Roman"/>
          <w:bCs/>
          <w:iCs/>
          <w:sz w:val="24"/>
          <w:szCs w:val="24"/>
        </w:rPr>
        <w:t xml:space="preserve">earnings forecasts and recommendations regarding the firms they follow </w:t>
      </w:r>
      <w:r w:rsidRPr="006207BC">
        <w:rPr>
          <w:rFonts w:ascii="Times New Roman" w:hAnsi="Times New Roman" w:cs="Times New Roman"/>
          <w:sz w:val="24"/>
          <w:szCs w:val="24"/>
        </w:rPr>
        <w:t>(Hope, 2003a).</w:t>
      </w:r>
      <w:r w:rsidRPr="006207BC">
        <w:rPr>
          <w:rStyle w:val="Appelnotedebasdep"/>
          <w:rFonts w:ascii="Times New Roman" w:hAnsi="Times New Roman" w:cs="Times New Roman"/>
          <w:sz w:val="24"/>
          <w:szCs w:val="24"/>
        </w:rPr>
        <w:footnoteReference w:id="2"/>
      </w:r>
      <w:r w:rsidRPr="006207BC">
        <w:rPr>
          <w:rFonts w:ascii="Times New Roman" w:hAnsi="Times New Roman" w:cs="Times New Roman"/>
          <w:sz w:val="24"/>
          <w:szCs w:val="24"/>
        </w:rPr>
        <w:t xml:space="preserve"> There is a vast literature showing that the corporate information environment and</w:t>
      </w:r>
      <w:proofErr w:type="gramStart"/>
      <w:r w:rsidRPr="006207BC">
        <w:rPr>
          <w:rFonts w:ascii="Times New Roman" w:hAnsi="Times New Roman" w:cs="Times New Roman"/>
          <w:sz w:val="24"/>
          <w:szCs w:val="24"/>
        </w:rPr>
        <w:t>, in particular, corporate</w:t>
      </w:r>
      <w:proofErr w:type="gramEnd"/>
      <w:r w:rsidRPr="006207BC">
        <w:rPr>
          <w:rFonts w:ascii="Times New Roman" w:hAnsi="Times New Roman" w:cs="Times New Roman"/>
          <w:sz w:val="24"/>
          <w:szCs w:val="24"/>
        </w:rPr>
        <w:t xml:space="preserve"> disclosure have an impact on analyst following. Lehavy </w:t>
      </w:r>
      <w:r w:rsidRPr="006207BC">
        <w:rPr>
          <w:rFonts w:ascii="Times New Roman" w:hAnsi="Times New Roman" w:cs="Times New Roman"/>
          <w:i/>
          <w:sz w:val="24"/>
          <w:szCs w:val="24"/>
        </w:rPr>
        <w:t xml:space="preserve">et al. </w:t>
      </w:r>
      <w:r w:rsidRPr="006207BC">
        <w:rPr>
          <w:rFonts w:ascii="Times New Roman" w:hAnsi="Times New Roman" w:cs="Times New Roman"/>
          <w:sz w:val="24"/>
          <w:szCs w:val="24"/>
        </w:rPr>
        <w:t>(2011) and Sundgren</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(2018) show that greater numbers of analysts follow firms with high-quality disclosures. Dhaliwal </w:t>
      </w:r>
      <w:r w:rsidRPr="006207BC">
        <w:rPr>
          <w:rFonts w:ascii="Times New Roman" w:hAnsi="Times New Roman" w:cs="Times New Roman"/>
          <w:i/>
          <w:sz w:val="24"/>
          <w:szCs w:val="24"/>
        </w:rPr>
        <w:t>et al.</w:t>
      </w:r>
      <w:r w:rsidR="00E261E2" w:rsidRPr="006207BC">
        <w:rPr>
          <w:rFonts w:ascii="Times New Roman" w:hAnsi="Times New Roman" w:cs="Times New Roman"/>
          <w:sz w:val="24"/>
          <w:szCs w:val="24"/>
        </w:rPr>
        <w:t xml:space="preserve"> (2012</w:t>
      </w:r>
      <w:r w:rsidRPr="006207BC">
        <w:rPr>
          <w:rFonts w:ascii="Times New Roman" w:hAnsi="Times New Roman" w:cs="Times New Roman"/>
          <w:sz w:val="24"/>
          <w:szCs w:val="24"/>
        </w:rPr>
        <w:t>) and Gao</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(2016) document increased analyst </w:t>
      </w:r>
      <w:proofErr w:type="gramStart"/>
      <w:r w:rsidRPr="006207BC">
        <w:rPr>
          <w:rFonts w:ascii="Times New Roman" w:hAnsi="Times New Roman" w:cs="Times New Roman"/>
          <w:sz w:val="24"/>
          <w:szCs w:val="24"/>
        </w:rPr>
        <w:t>following after</w:t>
      </w:r>
      <w:proofErr w:type="gramEnd"/>
      <w:r w:rsidRPr="006207BC">
        <w:rPr>
          <w:rFonts w:ascii="Times New Roman" w:hAnsi="Times New Roman" w:cs="Times New Roman"/>
          <w:sz w:val="24"/>
          <w:szCs w:val="24"/>
        </w:rPr>
        <w:t xml:space="preserve"> the initiation of corporate social responsibility reporting. Other studies provide evidence that the number of analysts following a firm is positively associated with overall voluntary disclosure (Hamrouni</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2017), corporate governance disclosure (Yu, 2010), and voluntary political spending disclosure (Goh </w:t>
      </w:r>
      <w:r w:rsidRPr="006207BC">
        <w:rPr>
          <w:rFonts w:ascii="Times New Roman" w:hAnsi="Times New Roman" w:cs="Times New Roman"/>
          <w:i/>
          <w:sz w:val="24"/>
          <w:szCs w:val="24"/>
        </w:rPr>
        <w:t>et al.</w:t>
      </w:r>
      <w:r w:rsidRPr="006207BC">
        <w:rPr>
          <w:rFonts w:ascii="Times New Roman" w:hAnsi="Times New Roman" w:cs="Times New Roman"/>
          <w:sz w:val="24"/>
          <w:szCs w:val="24"/>
        </w:rPr>
        <w:t>, 2018)</w:t>
      </w:r>
      <w:r w:rsidR="00F40247" w:rsidRPr="006207BC">
        <w:rPr>
          <w:rFonts w:ascii="Times New Roman" w:hAnsi="Times New Roman" w:cs="Times New Roman"/>
          <w:sz w:val="24"/>
          <w:szCs w:val="24"/>
        </w:rPr>
        <w:t>, and the extent of note disclosure (Hope, 2003c)</w:t>
      </w:r>
      <w:r w:rsidRPr="006207BC">
        <w:rPr>
          <w:rFonts w:ascii="Times New Roman" w:hAnsi="Times New Roman" w:cs="Times New Roman"/>
          <w:sz w:val="24"/>
          <w:szCs w:val="24"/>
        </w:rPr>
        <w:t>.</w:t>
      </w:r>
      <w:r w:rsidRPr="006207BC">
        <w:rPr>
          <w:rStyle w:val="Appelnotedebasdep"/>
          <w:rFonts w:ascii="Times New Roman" w:hAnsi="Times New Roman" w:cs="Times New Roman"/>
          <w:sz w:val="24"/>
          <w:szCs w:val="24"/>
        </w:rPr>
        <w:footnoteReference w:id="3"/>
      </w:r>
    </w:p>
    <w:p w14:paraId="62247E7C" w14:textId="21E6E6BF"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Although </w:t>
      </w:r>
      <w:proofErr w:type="gramStart"/>
      <w:r w:rsidRPr="006207BC">
        <w:rPr>
          <w:rFonts w:ascii="Times New Roman" w:hAnsi="Times New Roman" w:cs="Times New Roman"/>
          <w:sz w:val="24"/>
          <w:szCs w:val="24"/>
        </w:rPr>
        <w:t>the vast majority of</w:t>
      </w:r>
      <w:proofErr w:type="gramEnd"/>
      <w:r w:rsidRPr="006207BC">
        <w:rPr>
          <w:rFonts w:ascii="Times New Roman" w:hAnsi="Times New Roman" w:cs="Times New Roman"/>
          <w:sz w:val="24"/>
          <w:szCs w:val="24"/>
        </w:rPr>
        <w:t xml:space="preserve"> these studies establish that financial analysts typically prefer more transparent firms, it is unclear whether they do so with respect to risk disclosure that is generally associated with negative information. To fill this gap, the present study examines the effect of risk disclosure on the number of analysts following a firm. We focus on sell-side analysts, that is, those who are employed by brokerage houses, research institutes, or investment banking firms and issue research reports including earnings forecasts and buy, hold, or sell stock recommendations.</w:t>
      </w:r>
    </w:p>
    <w:p w14:paraId="2D1549B8" w14:textId="4FA5CDA0"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Our focus on risk disclosure is of particular interest because the incentives for managers to voluntarily report about negative events/operations remain subject to many debates and research. Moreover, most risk information, such as the identification of firm-specific risks or on risk assessment, is difficult to obtain from sources other than the firm’s annual report. In a survey </w:t>
      </w:r>
      <w:r w:rsidRPr="006207BC">
        <w:rPr>
          <w:rFonts w:ascii="Times New Roman" w:hAnsi="Times New Roman" w:cs="Times New Roman"/>
          <w:sz w:val="24"/>
          <w:szCs w:val="24"/>
        </w:rPr>
        <w:lastRenderedPageBreak/>
        <w:t xml:space="preserve">exploring the views of users and preparers of risk information, Abraham </w:t>
      </w:r>
      <w:r w:rsidRPr="006207BC">
        <w:rPr>
          <w:rFonts w:ascii="Times New Roman" w:hAnsi="Times New Roman" w:cs="Times New Roman"/>
          <w:i/>
          <w:sz w:val="24"/>
          <w:szCs w:val="24"/>
        </w:rPr>
        <w:t xml:space="preserve">et al. </w:t>
      </w:r>
      <w:r w:rsidRPr="006207BC">
        <w:rPr>
          <w:rFonts w:ascii="Times New Roman" w:hAnsi="Times New Roman" w:cs="Times New Roman"/>
          <w:sz w:val="24"/>
          <w:szCs w:val="24"/>
        </w:rPr>
        <w:t>(2012) document that risk disclosure provided by corporate managers is the most important source of information for analysts. In direct interviews with analysts, two-thirds of the interviewees answering whether risk factor statements are useful or not responded that they find the information on risk factors provided by firms to be useful and revealing new information.</w:t>
      </w:r>
    </w:p>
    <w:p w14:paraId="24B9D630" w14:textId="79A79B74"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In the present research, we argue that firms with greater risk disclosure attract more analysts because the supply and demand for analyst services increases with the level of such disclosure. Based on arguments derived from institutional theory, firms might want to build reputation notably by disclosing negative information likely to be more credible and trustworthy than other types of information. Signalling theory holds that expanded corporate voluntary disclosure, such as risk disclosure, can serve as a signal of reduced</w:t>
      </w:r>
      <w:r w:rsidRPr="006207BC">
        <w:rPr>
          <w:rFonts w:ascii="Times New Roman" w:eastAsia="Times New Roman" w:hAnsi="Times New Roman" w:cs="Times New Roman"/>
          <w:sz w:val="24"/>
          <w:szCs w:val="24"/>
        </w:rPr>
        <w:t xml:space="preserve"> information asymmetry between managers and market participants. The likely implication of this is that analysts would incur lower costs of </w:t>
      </w:r>
      <w:r w:rsidRPr="006207BC">
        <w:rPr>
          <w:rFonts w:ascii="Times New Roman" w:hAnsi="Times New Roman" w:cs="Times New Roman"/>
          <w:sz w:val="24"/>
          <w:szCs w:val="24"/>
        </w:rPr>
        <w:t>information gathering with high-risk disclosure firms, implying greater analyst following.</w:t>
      </w:r>
    </w:p>
    <w:p w14:paraId="085AA7B6" w14:textId="1EA5E119" w:rsidR="00C20459" w:rsidRPr="006207BC" w:rsidRDefault="00A61DC5" w:rsidP="007A17D0">
      <w:pPr>
        <w:spacing w:before="240" w:after="240" w:line="360" w:lineRule="auto"/>
        <w:ind w:firstLine="360"/>
        <w:jc w:val="both"/>
        <w:rPr>
          <w:rFonts w:ascii="Times New Roman" w:hAnsi="Times New Roman" w:cs="Times New Roman"/>
          <w:sz w:val="24"/>
          <w:szCs w:val="24"/>
        </w:rPr>
      </w:pPr>
      <w:r w:rsidRPr="006207BC">
        <w:rPr>
          <w:rFonts w:ascii="Times New Roman" w:eastAsia="Times New Roman" w:hAnsi="Times New Roman" w:cs="Times New Roman"/>
          <w:sz w:val="24"/>
          <w:szCs w:val="24"/>
        </w:rPr>
        <w:t xml:space="preserve">Additionally, demand for analyst services is expected to be more important </w:t>
      </w:r>
      <w:r w:rsidRPr="006207BC">
        <w:rPr>
          <w:rFonts w:ascii="Times New Roman" w:hAnsi="Times New Roman" w:cs="Times New Roman"/>
          <w:sz w:val="24"/>
          <w:szCs w:val="24"/>
        </w:rPr>
        <w:t>for high-risk disclosure firms. Indeed, a firm’s potentially high exposure to risks would increase investors’ concern about the firm’s capacity to generate sufficient future cash flows</w:t>
      </w:r>
      <w:r w:rsidRPr="006207BC">
        <w:rPr>
          <w:rFonts w:ascii="Times New Roman" w:hAnsi="Times New Roman" w:cs="Times New Roman"/>
        </w:rPr>
        <w:t xml:space="preserve"> </w:t>
      </w:r>
      <w:r w:rsidRPr="006207BC">
        <w:rPr>
          <w:rFonts w:ascii="Times New Roman" w:hAnsi="Times New Roman" w:cs="Times New Roman"/>
          <w:sz w:val="24"/>
          <w:szCs w:val="24"/>
        </w:rPr>
        <w:t>(Kravet and Muslu, 2</w:t>
      </w:r>
      <w:r w:rsidR="008C7FE8" w:rsidRPr="006207BC">
        <w:rPr>
          <w:rFonts w:ascii="Times New Roman" w:hAnsi="Times New Roman" w:cs="Times New Roman"/>
          <w:sz w:val="24"/>
          <w:szCs w:val="24"/>
        </w:rPr>
        <w:t>013</w:t>
      </w:r>
      <w:r w:rsidRPr="006207BC">
        <w:rPr>
          <w:rFonts w:ascii="Times New Roman" w:eastAsia="Times New Roman" w:hAnsi="Times New Roman" w:cs="Times New Roman"/>
          <w:sz w:val="24"/>
          <w:szCs w:val="24"/>
        </w:rPr>
        <w:t>)</w:t>
      </w:r>
      <w:r w:rsidRPr="006207BC">
        <w:rPr>
          <w:rFonts w:ascii="Times New Roman" w:hAnsi="Times New Roman" w:cs="Times New Roman"/>
          <w:sz w:val="24"/>
          <w:szCs w:val="24"/>
        </w:rPr>
        <w:t xml:space="preserve">, particularly since risky and uncertain environments are typically associated with increased agency problems between insiders and </w:t>
      </w:r>
      <w:r w:rsidRPr="006207BC">
        <w:rPr>
          <w:rFonts w:ascii="Times New Roman" w:eastAsia="Times New Roman" w:hAnsi="Times New Roman" w:cs="Times New Roman"/>
          <w:sz w:val="24"/>
          <w:szCs w:val="24"/>
        </w:rPr>
        <w:t>outsiders (</w:t>
      </w:r>
      <w:r w:rsidR="0051095B" w:rsidRPr="006207BC">
        <w:rPr>
          <w:rFonts w:ascii="Times New Roman" w:eastAsia="Times New Roman" w:hAnsi="Times New Roman" w:cs="Times New Roman"/>
          <w:sz w:val="24"/>
          <w:szCs w:val="24"/>
        </w:rPr>
        <w:t>Bhushan</w:t>
      </w:r>
      <w:r w:rsidRPr="006207BC">
        <w:rPr>
          <w:rFonts w:ascii="Times New Roman" w:eastAsia="Times New Roman" w:hAnsi="Times New Roman" w:cs="Times New Roman"/>
          <w:sz w:val="24"/>
          <w:szCs w:val="24"/>
        </w:rPr>
        <w:t xml:space="preserve"> and Cho, 1996). </w:t>
      </w:r>
      <w:r w:rsidRPr="006207BC">
        <w:rPr>
          <w:rFonts w:ascii="Times New Roman" w:hAnsi="Times New Roman" w:cs="Times New Roman"/>
          <w:sz w:val="24"/>
          <w:szCs w:val="24"/>
        </w:rPr>
        <w:t>Analysts’ activities would thus be more valuable when risk disclosure is greater, resulting in a larger analyst following.</w:t>
      </w:r>
    </w:p>
    <w:p w14:paraId="29E5DDEA" w14:textId="77777777" w:rsidR="006C2A2F" w:rsidRDefault="00A61DC5" w:rsidP="007A17D0">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The measurement of risk disclosure is based on a content analysis approach. Following several studies, including </w:t>
      </w:r>
      <w:r w:rsidR="00945B0D" w:rsidRPr="006207BC">
        <w:rPr>
          <w:rStyle w:val="personname"/>
          <w:rFonts w:ascii="Times New Roman" w:hAnsi="Times New Roman" w:cs="Times New Roman"/>
          <w:sz w:val="24"/>
          <w:szCs w:val="24"/>
        </w:rPr>
        <w:t xml:space="preserve">Abraham and </w:t>
      </w:r>
      <w:hyperlink r:id="rId8" w:history="1">
        <w:r w:rsidR="00945B0D" w:rsidRPr="006207BC">
          <w:rPr>
            <w:rStyle w:val="personname"/>
            <w:rFonts w:ascii="Times New Roman" w:hAnsi="Times New Roman" w:cs="Times New Roman"/>
            <w:sz w:val="24"/>
            <w:szCs w:val="24"/>
          </w:rPr>
          <w:t>Shrives</w:t>
        </w:r>
      </w:hyperlink>
      <w:r w:rsidR="00945B0D" w:rsidRPr="006207BC">
        <w:rPr>
          <w:rStyle w:val="personname"/>
          <w:rFonts w:ascii="Times New Roman" w:hAnsi="Times New Roman" w:cs="Times New Roman"/>
          <w:sz w:val="24"/>
          <w:szCs w:val="24"/>
        </w:rPr>
        <w:t xml:space="preserve"> (2014), </w:t>
      </w:r>
      <w:r w:rsidRPr="006207BC">
        <w:rPr>
          <w:rFonts w:ascii="Times New Roman" w:hAnsi="Times New Roman" w:cs="Times New Roman"/>
          <w:sz w:val="24"/>
          <w:szCs w:val="24"/>
        </w:rPr>
        <w:t>Campbell</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(2014)</w:t>
      </w:r>
      <w:r w:rsidR="00945B0D" w:rsidRPr="006207BC">
        <w:rPr>
          <w:rStyle w:val="personname"/>
          <w:rFonts w:ascii="Times New Roman" w:hAnsi="Times New Roman" w:cs="Times New Roman"/>
          <w:sz w:val="24"/>
          <w:szCs w:val="24"/>
        </w:rPr>
        <w:t>, Dobler</w:t>
      </w:r>
      <w:r w:rsidR="00945B0D" w:rsidRPr="006207BC">
        <w:rPr>
          <w:rFonts w:ascii="Times New Roman" w:hAnsi="Times New Roman" w:cs="Times New Roman"/>
          <w:i/>
          <w:sz w:val="24"/>
          <w:szCs w:val="24"/>
        </w:rPr>
        <w:t xml:space="preserve"> et al.</w:t>
      </w:r>
      <w:r w:rsidR="00945B0D" w:rsidRPr="006207BC">
        <w:rPr>
          <w:rStyle w:val="personname"/>
          <w:rFonts w:ascii="Times New Roman" w:hAnsi="Times New Roman" w:cs="Times New Roman"/>
          <w:sz w:val="24"/>
          <w:szCs w:val="24"/>
        </w:rPr>
        <w:t xml:space="preserve">, (2011) and Neri </w:t>
      </w:r>
      <w:r w:rsidR="00945B0D" w:rsidRPr="006207BC">
        <w:rPr>
          <w:rStyle w:val="personname"/>
          <w:rFonts w:ascii="Times New Roman" w:hAnsi="Times New Roman" w:cs="Times New Roman"/>
          <w:i/>
          <w:sz w:val="24"/>
          <w:szCs w:val="24"/>
        </w:rPr>
        <w:t>et al.</w:t>
      </w:r>
      <w:r w:rsidR="00945B0D" w:rsidRPr="006207BC">
        <w:rPr>
          <w:rStyle w:val="personname"/>
          <w:rFonts w:ascii="Times New Roman" w:hAnsi="Times New Roman" w:cs="Times New Roman"/>
          <w:sz w:val="24"/>
          <w:szCs w:val="24"/>
        </w:rPr>
        <w:t>, (2018)</w:t>
      </w:r>
      <w:r w:rsidRPr="006207BC">
        <w:rPr>
          <w:rFonts w:ascii="Times New Roman" w:hAnsi="Times New Roman" w:cs="Times New Roman"/>
          <w:sz w:val="24"/>
          <w:szCs w:val="24"/>
        </w:rPr>
        <w:t xml:space="preserve">, we focus on the risk factor section of the annual report and analyse the effect of negative and uncertain connotations of risk disclosure, that is, indicating uncertain or negative future outcomes for the firm. Unlike the 10-K filings of U.S. firms, which are highly structured, French annual reports are unstructured, which requires the manual extraction of risk factor sections, leading to the uniqueness of our dataset. We use different proxies for risk disclosure, namely, the number of risk words appearing from Kravet and Muslu’s (2013) keyword list, the number of sentences containing at least one risk word, the number of risk factors, and the number of total sentences in the risk factor section. These measures of risk disclosure quantity capture the </w:t>
      </w:r>
      <w:r w:rsidRPr="006207BC">
        <w:rPr>
          <w:rFonts w:ascii="Times New Roman" w:hAnsi="Times New Roman" w:cs="Times New Roman"/>
          <w:sz w:val="24"/>
          <w:szCs w:val="24"/>
        </w:rPr>
        <w:lastRenderedPageBreak/>
        <w:t>effort that firms employ in identifying and describing the risks they are exposed to and can be valid proxies for the informativeness of such disclosures (Beretta and Bozzolan, 2004;</w:t>
      </w:r>
      <w:r w:rsidRPr="006207BC">
        <w:t xml:space="preserve"> </w:t>
      </w:r>
      <w:r w:rsidRPr="006207BC">
        <w:rPr>
          <w:rFonts w:ascii="Times New Roman" w:hAnsi="Times New Roman" w:cs="Times New Roman"/>
          <w:color w:val="222222"/>
          <w:sz w:val="24"/>
          <w:szCs w:val="24"/>
          <w:shd w:val="clear" w:color="auto" w:fill="FFFFFF"/>
        </w:rPr>
        <w:t>Campbell</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2014).</w:t>
      </w:r>
    </w:p>
    <w:p w14:paraId="192E5104" w14:textId="186D451F" w:rsidR="00B824BF" w:rsidRPr="006207BC" w:rsidRDefault="00B824BF" w:rsidP="007A17D0">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In France, listed firms are required to report their significant risks in their annual</w:t>
      </w:r>
      <w:r w:rsidR="00827F69" w:rsidRPr="006207BC">
        <w:rPr>
          <w:rFonts w:ascii="Times New Roman" w:hAnsi="Times New Roman" w:cs="Times New Roman"/>
          <w:sz w:val="24"/>
          <w:szCs w:val="24"/>
        </w:rPr>
        <w:t xml:space="preserve"> </w:t>
      </w:r>
      <w:r w:rsidR="008B1E5F">
        <w:rPr>
          <w:rFonts w:ascii="Times New Roman" w:hAnsi="Times New Roman" w:cs="Times New Roman"/>
          <w:sz w:val="24"/>
          <w:szCs w:val="24"/>
        </w:rPr>
        <w:t xml:space="preserve">report in accordance with </w:t>
      </w:r>
      <w:r w:rsidR="008B1E5F" w:rsidRPr="008B1E5F">
        <w:rPr>
          <w:rFonts w:ascii="Times New Roman" w:hAnsi="Times New Roman" w:cs="Times New Roman"/>
          <w:sz w:val="24"/>
          <w:szCs w:val="24"/>
        </w:rPr>
        <w:t>International Financial Reporting Standards (IFRS</w:t>
      </w:r>
      <w:r w:rsidR="008B1E5F">
        <w:rPr>
          <w:rFonts w:ascii="Times New Roman" w:hAnsi="Times New Roman" w:cs="Times New Roman"/>
          <w:sz w:val="24"/>
          <w:szCs w:val="24"/>
        </w:rPr>
        <w:t>)</w:t>
      </w:r>
      <w:r w:rsidR="00827F69" w:rsidRPr="006207BC">
        <w:rPr>
          <w:rFonts w:ascii="Times New Roman" w:hAnsi="Times New Roman" w:cs="Times New Roman"/>
          <w:sz w:val="24"/>
          <w:szCs w:val="24"/>
        </w:rPr>
        <w:t>.</w:t>
      </w:r>
      <w:r w:rsidRPr="006207BC">
        <w:rPr>
          <w:rFonts w:ascii="Times New Roman" w:hAnsi="Times New Roman" w:cs="Times New Roman"/>
          <w:sz w:val="24"/>
          <w:szCs w:val="24"/>
        </w:rPr>
        <w:t xml:space="preserve"> Contrary to the U.S. risk reporting environment, where firms must file their annual report to the U.S. Securities and Exchange Commission (SEC) in a standardized (10-K) form</w:t>
      </w:r>
      <w:r w:rsidRPr="006207BC">
        <w:rPr>
          <w:rStyle w:val="Marquedecommentaire"/>
          <w:rFonts w:ascii="Times New Roman" w:hAnsi="Times New Roman" w:cs="Times New Roman"/>
          <w:sz w:val="24"/>
          <w:szCs w:val="24"/>
        </w:rPr>
        <w:t>, in</w:t>
      </w:r>
      <w:r w:rsidRPr="006207BC">
        <w:rPr>
          <w:rFonts w:ascii="Times New Roman" w:hAnsi="Times New Roman" w:cs="Times New Roman"/>
          <w:sz w:val="24"/>
          <w:szCs w:val="24"/>
        </w:rPr>
        <w:t xml:space="preserve">cluding a description of their risk factors (Item 1A), risk information provided by firms reporting under IFRS is not provided in a standardized form. </w:t>
      </w:r>
      <w:r w:rsidR="008B1E5F">
        <w:rPr>
          <w:rFonts w:ascii="Times New Roman" w:hAnsi="Times New Roman" w:cs="Times New Roman"/>
          <w:sz w:val="24"/>
          <w:szCs w:val="24"/>
        </w:rPr>
        <w:t xml:space="preserve">According to the </w:t>
      </w:r>
      <w:r w:rsidR="008B1E5F" w:rsidRPr="006207BC">
        <w:rPr>
          <w:rFonts w:ascii="Times New Roman" w:hAnsi="Times New Roman" w:cs="Times New Roman"/>
          <w:sz w:val="24"/>
          <w:szCs w:val="24"/>
        </w:rPr>
        <w:t>International Accounting Standards Board</w:t>
      </w:r>
      <w:r w:rsidR="008B1E5F">
        <w:rPr>
          <w:rFonts w:ascii="Times New Roman" w:hAnsi="Times New Roman" w:cs="Times New Roman"/>
          <w:sz w:val="24"/>
          <w:szCs w:val="24"/>
        </w:rPr>
        <w:t xml:space="preserve"> (IASB), </w:t>
      </w:r>
      <w:r w:rsidRPr="006207BC">
        <w:rPr>
          <w:rFonts w:ascii="Times New Roman" w:hAnsi="Times New Roman" w:cs="Times New Roman"/>
          <w:sz w:val="24"/>
          <w:szCs w:val="24"/>
        </w:rPr>
        <w:t>a firm is required</w:t>
      </w:r>
      <w:r w:rsidR="008B1E5F">
        <w:rPr>
          <w:rFonts w:ascii="Times New Roman" w:hAnsi="Times New Roman" w:cs="Times New Roman"/>
          <w:sz w:val="24"/>
          <w:szCs w:val="24"/>
        </w:rPr>
        <w:t>, under IFRS,</w:t>
      </w:r>
      <w:r w:rsidRPr="006207BC">
        <w:rPr>
          <w:rFonts w:ascii="Times New Roman" w:hAnsi="Times New Roman" w:cs="Times New Roman"/>
          <w:sz w:val="24"/>
          <w:szCs w:val="24"/>
        </w:rPr>
        <w:t xml:space="preserve"> to disclose its ‘principal risk exposures and changes in those risks, together with its plans and strategies for bearing or mitigating those risks, as well as disclosure of the effectiveness of its risk management strategies’ (</w:t>
      </w:r>
      <w:r w:rsidR="00C221D6" w:rsidRPr="006207BC">
        <w:rPr>
          <w:rFonts w:ascii="Times New Roman" w:hAnsi="Times New Roman" w:cs="Times New Roman"/>
          <w:sz w:val="24"/>
          <w:szCs w:val="24"/>
        </w:rPr>
        <w:t>IASB, 2010, p. 13). The IASB</w:t>
      </w:r>
      <w:r w:rsidRPr="006207BC">
        <w:rPr>
          <w:rFonts w:ascii="Times New Roman" w:hAnsi="Times New Roman" w:cs="Times New Roman"/>
          <w:sz w:val="24"/>
          <w:szCs w:val="24"/>
        </w:rPr>
        <w:t xml:space="preserve"> puts special emphasis on requiring firms to report their principal risks rather than listing all</w:t>
      </w:r>
      <w:r w:rsidRPr="006207BC">
        <w:rPr>
          <w:rStyle w:val="Marquedecommentaire"/>
          <w:rFonts w:ascii="Times New Roman" w:hAnsi="Times New Roman" w:cs="Times New Roman"/>
          <w:sz w:val="24"/>
          <w:szCs w:val="24"/>
        </w:rPr>
        <w:t xml:space="preserve"> the p</w:t>
      </w:r>
      <w:r w:rsidRPr="006207BC">
        <w:rPr>
          <w:rFonts w:ascii="Times New Roman" w:hAnsi="Times New Roman" w:cs="Times New Roman"/>
          <w:sz w:val="24"/>
          <w:szCs w:val="24"/>
        </w:rPr>
        <w:t>ossible ri</w:t>
      </w:r>
      <w:r w:rsidR="00C221D6" w:rsidRPr="006207BC">
        <w:rPr>
          <w:rFonts w:ascii="Times New Roman" w:hAnsi="Times New Roman" w:cs="Times New Roman"/>
          <w:sz w:val="24"/>
          <w:szCs w:val="24"/>
        </w:rPr>
        <w:t>sks they could face</w:t>
      </w:r>
      <w:r w:rsidRPr="006207BC">
        <w:rPr>
          <w:rFonts w:ascii="Times New Roman" w:hAnsi="Times New Roman" w:cs="Times New Roman"/>
          <w:sz w:val="24"/>
          <w:szCs w:val="24"/>
        </w:rPr>
        <w:t>. Contrary to the SEC, the IASB does not provide a template for the risk factor section or for the annual report. In addition, it does not require firms to report their annual report in a specific format. In France, and in accordance with IFRS as well as with</w:t>
      </w:r>
      <w:r w:rsidRPr="006207BC">
        <w:rPr>
          <w:rStyle w:val="Marquedecommentaire"/>
          <w:rFonts w:ascii="Times New Roman" w:hAnsi="Times New Roman" w:cs="Times New Roman"/>
          <w:sz w:val="24"/>
          <w:szCs w:val="24"/>
        </w:rPr>
        <w:t xml:space="preserve"> Fr</w:t>
      </w:r>
      <w:r w:rsidRPr="006207BC">
        <w:rPr>
          <w:rFonts w:ascii="Times New Roman" w:hAnsi="Times New Roman" w:cs="Times New Roman"/>
          <w:sz w:val="24"/>
          <w:szCs w:val="24"/>
        </w:rPr>
        <w:t>ench Commercial Law, the board of directors is required to include in the management report a description of significant risks and uncertainties that the firm faces, as well as objectives and policies regarding risk management.</w:t>
      </w:r>
      <w:r w:rsidRPr="006207BC">
        <w:rPr>
          <w:rStyle w:val="Appelnotedebasdep"/>
          <w:rFonts w:ascii="Times New Roman" w:hAnsi="Times New Roman"/>
          <w:sz w:val="24"/>
          <w:szCs w:val="24"/>
        </w:rPr>
        <w:footnoteReference w:id="4"/>
      </w:r>
      <w:r w:rsidRPr="006207BC">
        <w:rPr>
          <w:rFonts w:ascii="Times New Roman" w:hAnsi="Times New Roman" w:cs="Times New Roman"/>
          <w:sz w:val="24"/>
          <w:szCs w:val="24"/>
        </w:rPr>
        <w:t xml:space="preserve"> It is also required that this management report be accompanied by the chairperson’s report on internal control and risk management procedures.</w:t>
      </w:r>
      <w:r w:rsidRPr="006207BC">
        <w:rPr>
          <w:rStyle w:val="Appelnotedebasdep"/>
          <w:rFonts w:ascii="Times New Roman" w:hAnsi="Times New Roman"/>
          <w:sz w:val="24"/>
          <w:szCs w:val="24"/>
        </w:rPr>
        <w:footnoteReference w:id="5"/>
      </w:r>
    </w:p>
    <w:p w14:paraId="5FAB1122" w14:textId="4730B2F3" w:rsidR="006C2A2F" w:rsidRDefault="00B824BF" w:rsidP="00F0350A">
      <w:pPr>
        <w:spacing w:before="240" w:after="240" w:line="360" w:lineRule="auto"/>
        <w:ind w:firstLine="360"/>
        <w:jc w:val="both"/>
        <w:rPr>
          <w:rFonts w:ascii="Times New Roman" w:hAnsi="Times New Roman" w:cs="Times New Roman"/>
          <w:i/>
          <w:sz w:val="24"/>
          <w:szCs w:val="24"/>
        </w:rPr>
      </w:pPr>
      <w:r w:rsidRPr="006207BC">
        <w:rPr>
          <w:rFonts w:ascii="Times New Roman" w:hAnsi="Times New Roman" w:cs="Times New Roman"/>
          <w:sz w:val="24"/>
          <w:szCs w:val="24"/>
        </w:rPr>
        <w:t>Although no specific format for risk reporting is regulatorily defined, most firms provide in practice a specific section in their annual report devoted to the main risks and uncertainties they are facing, following the release by the Autorités des Marchés Financiers (AMF) —the regulator of France’s financial markets—of the Recommendation of 29 October 2009 on risk factors that provides details on the minimum information to be reported in the ‘Risk Factors’ section of the annual report.</w:t>
      </w:r>
      <w:r w:rsidRPr="006207BC">
        <w:rPr>
          <w:rStyle w:val="Appelnotedebasdep"/>
          <w:rFonts w:ascii="Times New Roman" w:hAnsi="Times New Roman"/>
          <w:sz w:val="24"/>
          <w:szCs w:val="24"/>
        </w:rPr>
        <w:t xml:space="preserve"> </w:t>
      </w:r>
      <w:r w:rsidRPr="006207BC">
        <w:rPr>
          <w:rStyle w:val="Appelnotedebasdep"/>
          <w:rFonts w:ascii="Times New Roman" w:hAnsi="Times New Roman"/>
          <w:sz w:val="24"/>
          <w:szCs w:val="24"/>
        </w:rPr>
        <w:footnoteReference w:id="6"/>
      </w:r>
      <w:r w:rsidRPr="006207BC">
        <w:rPr>
          <w:rFonts w:ascii="Times New Roman" w:hAnsi="Times New Roman" w:cs="Times New Roman"/>
          <w:sz w:val="24"/>
          <w:szCs w:val="24"/>
        </w:rPr>
        <w:t xml:space="preserve"> This section is intended to identify events and operations </w:t>
      </w:r>
      <w:r w:rsidRPr="006207BC">
        <w:rPr>
          <w:rFonts w:ascii="Times New Roman" w:eastAsia="Times New Roman" w:hAnsi="Times New Roman" w:cs="Times New Roman"/>
          <w:sz w:val="24"/>
          <w:szCs w:val="24"/>
        </w:rPr>
        <w:t xml:space="preserve">that could significantly </w:t>
      </w:r>
      <w:r w:rsidRPr="006207BC">
        <w:rPr>
          <w:rFonts w:ascii="Times New Roman" w:eastAsia="Times New Roman" w:hAnsi="Times New Roman" w:cs="Times New Roman"/>
          <w:sz w:val="24"/>
          <w:szCs w:val="24"/>
        </w:rPr>
        <w:lastRenderedPageBreak/>
        <w:t xml:space="preserve">affect the accounts of the firm </w:t>
      </w:r>
      <w:r w:rsidRPr="006207BC">
        <w:rPr>
          <w:rFonts w:ascii="Times New Roman" w:hAnsi="Times New Roman" w:cs="Times New Roman"/>
          <w:sz w:val="24"/>
          <w:szCs w:val="24"/>
        </w:rPr>
        <w:t xml:space="preserve">in the </w:t>
      </w:r>
      <w:r w:rsidR="00E612CD">
        <w:rPr>
          <w:rFonts w:ascii="Times New Roman" w:hAnsi="Times New Roman" w:cs="Times New Roman"/>
          <w:sz w:val="24"/>
          <w:szCs w:val="24"/>
        </w:rPr>
        <w:t>short</w:t>
      </w:r>
      <w:r w:rsidRPr="006207BC">
        <w:rPr>
          <w:rFonts w:ascii="Times New Roman" w:hAnsi="Times New Roman" w:cs="Times New Roman"/>
          <w:sz w:val="24"/>
          <w:szCs w:val="24"/>
        </w:rPr>
        <w:t xml:space="preserve"> to medium term</w:t>
      </w:r>
      <w:r w:rsidRPr="006207BC">
        <w:rPr>
          <w:rFonts w:ascii="Times New Roman" w:eastAsia="Times New Roman" w:hAnsi="Times New Roman" w:cs="Times New Roman"/>
          <w:sz w:val="24"/>
          <w:szCs w:val="24"/>
        </w:rPr>
        <w:t xml:space="preserve"> and that largely depend on the nature of the entity’s businesses.</w:t>
      </w:r>
      <w:r w:rsidRPr="006207BC">
        <w:rPr>
          <w:rFonts w:ascii="Times New Roman" w:hAnsi="Times New Roman" w:cs="Times New Roman"/>
          <w:sz w:val="24"/>
          <w:szCs w:val="24"/>
        </w:rPr>
        <w:t xml:space="preserve"> In a nutshell, although French firms are required by law and regulation to report their significant risk factors, the absence of a standard legal and regulatory specific framework puts the content and the extent of risk reporting almost solely </w:t>
      </w:r>
      <w:r w:rsidRPr="006207BC">
        <w:rPr>
          <w:rFonts w:ascii="Times New Roman" w:hAnsi="Times New Roman" w:cs="Times New Roman"/>
          <w:bCs/>
          <w:sz w:val="24"/>
          <w:szCs w:val="24"/>
        </w:rPr>
        <w:t>at</w:t>
      </w:r>
      <w:r w:rsidRPr="006207BC">
        <w:rPr>
          <w:rFonts w:ascii="Times New Roman" w:hAnsi="Times New Roman" w:cs="Times New Roman"/>
          <w:sz w:val="24"/>
          <w:szCs w:val="24"/>
        </w:rPr>
        <w:t xml:space="preserve"> </w:t>
      </w:r>
      <w:r w:rsidRPr="006207BC">
        <w:rPr>
          <w:rFonts w:ascii="Times New Roman" w:hAnsi="Times New Roman" w:cs="Times New Roman"/>
          <w:bCs/>
          <w:sz w:val="24"/>
          <w:szCs w:val="24"/>
        </w:rPr>
        <w:t>management’s</w:t>
      </w:r>
      <w:r w:rsidRPr="006207BC">
        <w:rPr>
          <w:rFonts w:ascii="Times New Roman" w:hAnsi="Times New Roman" w:cs="Times New Roman"/>
          <w:sz w:val="24"/>
          <w:szCs w:val="24"/>
        </w:rPr>
        <w:t xml:space="preserve"> </w:t>
      </w:r>
      <w:r w:rsidRPr="006207BC">
        <w:rPr>
          <w:rFonts w:ascii="Times New Roman" w:hAnsi="Times New Roman" w:cs="Times New Roman"/>
          <w:bCs/>
          <w:sz w:val="24"/>
          <w:szCs w:val="24"/>
        </w:rPr>
        <w:t>disc</w:t>
      </w:r>
      <w:r w:rsidRPr="006207BC">
        <w:rPr>
          <w:rFonts w:ascii="Times New Roman" w:hAnsi="Times New Roman" w:cs="Times New Roman"/>
          <w:sz w:val="24"/>
          <w:szCs w:val="24"/>
        </w:rPr>
        <w:t>retion, thus turning it into a (quasi-) voluntary disclosure</w:t>
      </w:r>
      <w:r w:rsidRPr="006207BC">
        <w:rPr>
          <w:rFonts w:ascii="Times New Roman" w:hAnsi="Times New Roman" w:cs="Times New Roman"/>
          <w:i/>
          <w:sz w:val="24"/>
          <w:szCs w:val="24"/>
        </w:rPr>
        <w:t>.</w:t>
      </w:r>
    </w:p>
    <w:p w14:paraId="2E5628D2" w14:textId="62177CEF" w:rsidR="007A17D0" w:rsidRPr="006207BC" w:rsidRDefault="007A17D0" w:rsidP="00F0350A">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This paper uses detailed risk disclosure and analyst following data from France. The sample covers </w:t>
      </w:r>
      <w:r w:rsidR="00F6672B" w:rsidRPr="006207BC">
        <w:rPr>
          <w:rFonts w:ascii="Times New Roman" w:hAnsi="Times New Roman" w:cs="Times New Roman"/>
          <w:sz w:val="24"/>
          <w:szCs w:val="24"/>
        </w:rPr>
        <w:t>113</w:t>
      </w:r>
      <w:r w:rsidRPr="006207BC">
        <w:rPr>
          <w:rFonts w:ascii="Times New Roman" w:hAnsi="Times New Roman" w:cs="Times New Roman"/>
          <w:sz w:val="24"/>
          <w:szCs w:val="24"/>
        </w:rPr>
        <w:t xml:space="preserve"> non-financial and non-utility listed firms on the SBF 120 index over the period 2007–2015. France provides an interesting laboratory for several reasons. First, the study of the</w:t>
      </w:r>
      <w:r w:rsidRPr="006207BC">
        <w:rPr>
          <w:rStyle w:val="Marquedecommentaire"/>
          <w:rFonts w:ascii="Times New Roman" w:hAnsi="Times New Roman" w:cs="Times New Roman"/>
          <w:sz w:val="24"/>
          <w:szCs w:val="24"/>
        </w:rPr>
        <w:t xml:space="preserve"> </w:t>
      </w:r>
      <w:r w:rsidRPr="006207BC">
        <w:rPr>
          <w:rFonts w:ascii="Times New Roman" w:hAnsi="Times New Roman" w:cs="Times New Roman"/>
          <w:sz w:val="24"/>
          <w:szCs w:val="24"/>
        </w:rPr>
        <w:t>French setting allows conclusion to be drawn on the determinants of analyst coverage in the cradle of the</w:t>
      </w:r>
      <w:r w:rsidRPr="006207BC">
        <w:rPr>
          <w:rStyle w:val="Marquedecommentaire"/>
          <w:rFonts w:ascii="Times New Roman" w:hAnsi="Times New Roman" w:cs="Times New Roman"/>
          <w:sz w:val="24"/>
          <w:szCs w:val="24"/>
        </w:rPr>
        <w:t xml:space="preserve"> </w:t>
      </w:r>
      <w:r w:rsidRPr="006207BC">
        <w:rPr>
          <w:rFonts w:ascii="Times New Roman" w:hAnsi="Times New Roman" w:cs="Times New Roman"/>
          <w:sz w:val="24"/>
          <w:szCs w:val="24"/>
        </w:rPr>
        <w:t>French civil law system. Prior evidence</w:t>
      </w:r>
      <w:r w:rsidRPr="006207BC">
        <w:rPr>
          <w:rStyle w:val="Marquedecommentaire"/>
          <w:rFonts w:ascii="Times New Roman" w:hAnsi="Times New Roman" w:cs="Times New Roman"/>
          <w:sz w:val="24"/>
          <w:szCs w:val="24"/>
        </w:rPr>
        <w:t xml:space="preserve">, </w:t>
      </w:r>
      <w:r w:rsidRPr="006207BC">
        <w:rPr>
          <w:rFonts w:ascii="Times New Roman" w:hAnsi="Times New Roman" w:cs="Times New Roman"/>
          <w:sz w:val="24"/>
          <w:szCs w:val="24"/>
        </w:rPr>
        <w:t xml:space="preserve">such as Chang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(2001), shows that, compared to common law countries, analyst coverage is lower in civil law countries</w:t>
      </w:r>
      <w:r w:rsidRPr="006207BC">
        <w:rPr>
          <w:rStyle w:val="Marquedecommentaire"/>
          <w:rFonts w:ascii="Times New Roman" w:hAnsi="Times New Roman" w:cs="Times New Roman"/>
          <w:sz w:val="24"/>
          <w:szCs w:val="24"/>
        </w:rPr>
        <w:t xml:space="preserve">, </w:t>
      </w:r>
      <w:r w:rsidRPr="006207BC">
        <w:rPr>
          <w:rFonts w:ascii="Times New Roman" w:hAnsi="Times New Roman" w:cs="Times New Roman"/>
          <w:sz w:val="24"/>
          <w:szCs w:val="24"/>
        </w:rPr>
        <w:t xml:space="preserve">in which corporate financial reporting is likely to be less transparent (Ball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2000). Second, as most of European countries, France is a bank-oriented economy which, contrary to market-oriented economies, provides little protection to minority investors and poor law enforcement (La Porta </w:t>
      </w:r>
      <w:r w:rsidRPr="006207BC">
        <w:rPr>
          <w:rFonts w:ascii="Times New Roman" w:hAnsi="Times New Roman" w:cs="Times New Roman"/>
          <w:i/>
          <w:sz w:val="24"/>
          <w:szCs w:val="24"/>
        </w:rPr>
        <w:t>et al.</w:t>
      </w:r>
      <w:r w:rsidRPr="006207BC">
        <w:rPr>
          <w:rFonts w:ascii="Times New Roman" w:hAnsi="Times New Roman" w:cs="Times New Roman"/>
          <w:sz w:val="24"/>
          <w:szCs w:val="24"/>
        </w:rPr>
        <w:t>, 1997). However, strong investor protection is one of the key goals of the SEC</w:t>
      </w:r>
      <w:r w:rsidRPr="006207BC">
        <w:rPr>
          <w:rStyle w:val="Marquedecommentaire"/>
          <w:rFonts w:ascii="Times New Roman" w:hAnsi="Times New Roman" w:cs="Times New Roman"/>
          <w:sz w:val="24"/>
          <w:szCs w:val="24"/>
        </w:rPr>
        <w:t>, ex</w:t>
      </w:r>
      <w:r w:rsidRPr="006207BC">
        <w:rPr>
          <w:rFonts w:ascii="Times New Roman" w:hAnsi="Times New Roman" w:cs="Times New Roman"/>
          <w:sz w:val="24"/>
          <w:szCs w:val="24"/>
        </w:rPr>
        <w:t>plaining the strict regulations on risk reporting in the U.S</w:t>
      </w:r>
      <w:r w:rsidR="00747C47">
        <w:rPr>
          <w:rFonts w:ascii="Times New Roman" w:hAnsi="Times New Roman" w:cs="Times New Roman"/>
          <w:sz w:val="24"/>
          <w:szCs w:val="24"/>
        </w:rPr>
        <w:t>.</w:t>
      </w:r>
      <w:r w:rsidRPr="006207BC">
        <w:rPr>
          <w:rFonts w:ascii="Times New Roman" w:hAnsi="Times New Roman" w:cs="Times New Roman"/>
          <w:sz w:val="24"/>
          <w:szCs w:val="24"/>
        </w:rPr>
        <w:t xml:space="preserve"> (Sarbanes-Oxley Act, 2002) compared to weakly regulated risk reporting of France. Third, French listed firms are characterized by a highly concentrated ownership structure and are often controlled by families (Boubaker and Labégorre, 2008). These specificities may lead to increased investors’ demand for analyst services. All these characteristics make France an interesting setting to investigate how risk disclosure shapes the </w:t>
      </w:r>
      <w:r w:rsidR="00651824" w:rsidRPr="006207BC">
        <w:rPr>
          <w:rFonts w:ascii="Times New Roman" w:hAnsi="Times New Roman" w:cs="Times New Roman"/>
          <w:sz w:val="24"/>
          <w:szCs w:val="24"/>
        </w:rPr>
        <w:t>behaviour</w:t>
      </w:r>
      <w:r w:rsidRPr="006207BC">
        <w:rPr>
          <w:rFonts w:ascii="Times New Roman" w:hAnsi="Times New Roman" w:cs="Times New Roman"/>
          <w:sz w:val="24"/>
          <w:szCs w:val="24"/>
        </w:rPr>
        <w:t xml:space="preserve"> of analysts and allow for conclusions beyond the U.S. and other European settings.</w:t>
      </w:r>
    </w:p>
    <w:p w14:paraId="612B4725" w14:textId="5F83B0F9"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 Consistent with the prediction of an increased analyst following for firms with greater risk disclosure, we document a significant positive association between the four measurements of risk disclosure and the number of analysts who cover the firm, after controlling for other determinants of analyst following. We interpret this result as being consistent with the view that analysts are attracted by firms for which the costs of information gathering are low and the demand for analyst services is high, such as high-risk disclosure firms. Overall, our results are in line with prior literature highlighting that analysts’ activities complement annual reports disclosures and, generally, corporate disclosure.</w:t>
      </w:r>
    </w:p>
    <w:p w14:paraId="54554D5A" w14:textId="3E886B54" w:rsidR="00C20459" w:rsidRPr="006207BC" w:rsidRDefault="00A61DC5">
      <w:pPr>
        <w:spacing w:before="240" w:after="240" w:line="360" w:lineRule="auto"/>
        <w:ind w:firstLine="360"/>
        <w:jc w:val="both"/>
        <w:rPr>
          <w:rStyle w:val="personname"/>
          <w:rFonts w:ascii="Times New Roman" w:hAnsi="Times New Roman" w:cs="Times New Roman"/>
          <w:sz w:val="24"/>
          <w:szCs w:val="24"/>
        </w:rPr>
      </w:pPr>
      <w:r w:rsidRPr="006207BC">
        <w:rPr>
          <w:rFonts w:ascii="Times New Roman" w:eastAsia="Times New Roman" w:hAnsi="Times New Roman" w:cs="Times New Roman"/>
          <w:sz w:val="24"/>
          <w:szCs w:val="24"/>
        </w:rPr>
        <w:lastRenderedPageBreak/>
        <w:t xml:space="preserve">The present study contributes to both the risk disclosure and analyst literatures. First, prior risk disclosure literature has primarily been from a shareholder perspective, focusing on the association between risk disclosure and investor behaviour </w:t>
      </w:r>
      <w:r w:rsidRPr="006207BC">
        <w:rPr>
          <w:rStyle w:val="personname"/>
          <w:rFonts w:ascii="Times New Roman" w:hAnsi="Times New Roman" w:cs="Times New Roman"/>
          <w:sz w:val="24"/>
          <w:szCs w:val="24"/>
        </w:rPr>
        <w:t xml:space="preserve">as reflected in stock returns (Kravet and Muslu, 2013), stock informativeness (Tan </w:t>
      </w:r>
      <w:r w:rsidRPr="006207BC">
        <w:rPr>
          <w:rStyle w:val="personname"/>
          <w:rFonts w:ascii="Times New Roman" w:hAnsi="Times New Roman" w:cs="Times New Roman"/>
          <w:i/>
          <w:sz w:val="24"/>
          <w:szCs w:val="24"/>
        </w:rPr>
        <w:t>et al.</w:t>
      </w:r>
      <w:r w:rsidRPr="006207BC">
        <w:rPr>
          <w:rStyle w:val="personname"/>
          <w:rFonts w:ascii="Times New Roman" w:hAnsi="Times New Roman" w:cs="Times New Roman"/>
          <w:sz w:val="24"/>
          <w:szCs w:val="24"/>
        </w:rPr>
        <w:t xml:space="preserve">, 2017), stock liquidity (Neri </w:t>
      </w:r>
      <w:r w:rsidRPr="006207BC">
        <w:rPr>
          <w:rStyle w:val="personname"/>
          <w:rFonts w:ascii="Times New Roman" w:hAnsi="Times New Roman" w:cs="Times New Roman"/>
          <w:i/>
          <w:sz w:val="24"/>
          <w:szCs w:val="24"/>
        </w:rPr>
        <w:t>et al.</w:t>
      </w:r>
      <w:r w:rsidRPr="006207BC">
        <w:rPr>
          <w:rStyle w:val="personname"/>
          <w:rFonts w:ascii="Times New Roman" w:hAnsi="Times New Roman" w:cs="Times New Roman"/>
          <w:sz w:val="24"/>
          <w:szCs w:val="24"/>
        </w:rPr>
        <w:t xml:space="preserve">, 2018), and initial returns of initial public offerings (Wasiuzzaman </w:t>
      </w:r>
      <w:r w:rsidRPr="006207BC">
        <w:rPr>
          <w:rStyle w:val="personname"/>
          <w:rFonts w:ascii="Times New Roman" w:hAnsi="Times New Roman" w:cs="Times New Roman"/>
          <w:i/>
          <w:sz w:val="24"/>
          <w:szCs w:val="24"/>
        </w:rPr>
        <w:t>et al.</w:t>
      </w:r>
      <w:r w:rsidRPr="006207BC">
        <w:rPr>
          <w:rStyle w:val="personname"/>
          <w:rFonts w:ascii="Times New Roman" w:hAnsi="Times New Roman" w:cs="Times New Roman"/>
          <w:sz w:val="24"/>
          <w:szCs w:val="24"/>
        </w:rPr>
        <w:t>, 2018). V</w:t>
      </w:r>
      <w:r w:rsidRPr="006207BC">
        <w:rPr>
          <w:rFonts w:ascii="Times New Roman" w:hAnsi="Times New Roman" w:cs="Times New Roman"/>
          <w:sz w:val="24"/>
          <w:szCs w:val="24"/>
        </w:rPr>
        <w:t>ery few papers have adopted a d</w:t>
      </w:r>
      <w:r w:rsidRPr="006207BC">
        <w:rPr>
          <w:rStyle w:val="personname"/>
          <w:rFonts w:ascii="Times New Roman" w:hAnsi="Times New Roman" w:cs="Times New Roman"/>
          <w:sz w:val="24"/>
          <w:szCs w:val="24"/>
        </w:rPr>
        <w:t>ifferent view, such as examining the effect of risk disclosure on audit fees (</w:t>
      </w:r>
      <w:r w:rsidRPr="006207BC">
        <w:rPr>
          <w:rFonts w:ascii="Times New Roman" w:hAnsi="Times New Roman" w:cs="Times New Roman"/>
          <w:color w:val="222222"/>
          <w:sz w:val="24"/>
          <w:szCs w:val="24"/>
          <w:shd w:val="clear" w:color="auto" w:fill="FFFFFF"/>
        </w:rPr>
        <w:t xml:space="preserve">Yang </w:t>
      </w:r>
      <w:r w:rsidRPr="006207BC">
        <w:rPr>
          <w:rFonts w:ascii="Times New Roman" w:hAnsi="Times New Roman" w:cs="Times New Roman"/>
          <w:i/>
          <w:color w:val="222222"/>
          <w:sz w:val="24"/>
          <w:szCs w:val="24"/>
          <w:shd w:val="clear" w:color="auto" w:fill="FFFFFF"/>
        </w:rPr>
        <w:t>et al.</w:t>
      </w:r>
      <w:r w:rsidRPr="006207BC">
        <w:rPr>
          <w:rFonts w:ascii="Times New Roman" w:hAnsi="Times New Roman" w:cs="Times New Roman"/>
          <w:color w:val="222222"/>
          <w:sz w:val="24"/>
          <w:szCs w:val="24"/>
          <w:shd w:val="clear" w:color="auto" w:fill="FFFFFF"/>
        </w:rPr>
        <w:t xml:space="preserve">, 2018) or the impact of </w:t>
      </w:r>
      <w:r w:rsidRPr="006207BC">
        <w:rPr>
          <w:rStyle w:val="personname"/>
          <w:rFonts w:ascii="Times New Roman" w:hAnsi="Times New Roman" w:cs="Times New Roman"/>
          <w:sz w:val="24"/>
          <w:szCs w:val="24"/>
        </w:rPr>
        <w:t>c</w:t>
      </w:r>
      <w:r w:rsidRPr="006207BC">
        <w:rPr>
          <w:rFonts w:ascii="Times New Roman" w:hAnsi="Times New Roman" w:cs="Times New Roman"/>
          <w:sz w:val="24"/>
          <w:szCs w:val="24"/>
        </w:rPr>
        <w:t>ustomers’ risk disclosure on suppliers’ investment efficiency (</w:t>
      </w:r>
      <w:r w:rsidRPr="006207BC">
        <w:rPr>
          <w:rFonts w:ascii="Times New Roman" w:hAnsi="Times New Roman" w:cs="Times New Roman"/>
          <w:color w:val="222222"/>
          <w:sz w:val="24"/>
          <w:szCs w:val="24"/>
          <w:shd w:val="clear" w:color="auto" w:fill="FFFFFF"/>
        </w:rPr>
        <w:t>Chiu</w:t>
      </w:r>
      <w:r w:rsidRPr="006207BC">
        <w:rPr>
          <w:rFonts w:ascii="Times New Roman" w:hAnsi="Times New Roman" w:cs="Times New Roman"/>
          <w:i/>
          <w:sz w:val="24"/>
          <w:szCs w:val="24"/>
        </w:rPr>
        <w:t xml:space="preserve"> et al.</w:t>
      </w:r>
      <w:r w:rsidRPr="006207BC">
        <w:rPr>
          <w:rFonts w:ascii="Times New Roman" w:hAnsi="Times New Roman" w:cs="Times New Roman"/>
          <w:color w:val="222222"/>
          <w:sz w:val="24"/>
          <w:szCs w:val="24"/>
          <w:shd w:val="clear" w:color="auto" w:fill="FFFFFF"/>
        </w:rPr>
        <w:t>, 2018).</w:t>
      </w:r>
      <w:r w:rsidRPr="006207BC">
        <w:rPr>
          <w:rStyle w:val="personname"/>
          <w:rFonts w:ascii="Times New Roman" w:hAnsi="Times New Roman" w:cs="Times New Roman"/>
          <w:sz w:val="24"/>
          <w:szCs w:val="24"/>
        </w:rPr>
        <w:t xml:space="preserve"> We complement this strand of literature by investigating for the first time</w:t>
      </w:r>
      <w:r w:rsidRPr="006207BC">
        <w:rPr>
          <w:rFonts w:ascii="Times New Roman" w:hAnsi="Times New Roman" w:cs="Times New Roman"/>
          <w:sz w:val="24"/>
          <w:szCs w:val="24"/>
        </w:rPr>
        <w:t xml:space="preserve"> </w:t>
      </w:r>
      <w:r w:rsidRPr="006207BC">
        <w:rPr>
          <w:rStyle w:val="personname"/>
          <w:rFonts w:ascii="Times New Roman" w:hAnsi="Times New Roman" w:cs="Times New Roman"/>
          <w:sz w:val="24"/>
          <w:szCs w:val="24"/>
        </w:rPr>
        <w:t>how risk disclosure affects the decision of analysts to follow a firm. Thus, we are among the first to explore the behaviour of annual report users other than investors, namely, analysts.</w:t>
      </w:r>
    </w:p>
    <w:p w14:paraId="678559A6" w14:textId="50BA5E45" w:rsidR="00C20459" w:rsidRPr="006207BC" w:rsidRDefault="00A61DC5">
      <w:pPr>
        <w:spacing w:before="240" w:after="240" w:line="360" w:lineRule="auto"/>
        <w:ind w:firstLine="360"/>
        <w:jc w:val="both"/>
        <w:rPr>
          <w:rStyle w:val="personname"/>
          <w:rFonts w:ascii="Times New Roman" w:hAnsi="Times New Roman" w:cs="Times New Roman"/>
          <w:sz w:val="24"/>
          <w:szCs w:val="24"/>
        </w:rPr>
      </w:pPr>
      <w:r w:rsidRPr="006207BC">
        <w:rPr>
          <w:rStyle w:val="personname"/>
          <w:rFonts w:ascii="Times New Roman" w:hAnsi="Times New Roman" w:cs="Times New Roman"/>
          <w:sz w:val="24"/>
          <w:szCs w:val="24"/>
        </w:rPr>
        <w:t xml:space="preserve">Second, few prior studies have conducted a content analysis of the risk factors section outside the U.S. setting, that is, in environments in which the annual report is not structured and thus difficult to explore, such as in </w:t>
      </w:r>
      <w:r w:rsidR="004B05DB" w:rsidRPr="006207BC">
        <w:rPr>
          <w:rStyle w:val="personname"/>
          <w:rFonts w:ascii="Times New Roman" w:hAnsi="Times New Roman" w:cs="Times New Roman"/>
          <w:sz w:val="24"/>
          <w:szCs w:val="24"/>
        </w:rPr>
        <w:t>the U.K.</w:t>
      </w:r>
      <w:r w:rsidRPr="006207BC">
        <w:rPr>
          <w:rStyle w:val="personname"/>
          <w:rFonts w:ascii="Times New Roman" w:hAnsi="Times New Roman" w:cs="Times New Roman"/>
          <w:sz w:val="24"/>
          <w:szCs w:val="24"/>
        </w:rPr>
        <w:t xml:space="preserve"> (Abraham and </w:t>
      </w:r>
      <w:hyperlink r:id="rId9" w:history="1">
        <w:r w:rsidRPr="006207BC">
          <w:rPr>
            <w:rStyle w:val="personname"/>
            <w:rFonts w:ascii="Times New Roman" w:hAnsi="Times New Roman" w:cs="Times New Roman"/>
            <w:sz w:val="24"/>
            <w:szCs w:val="24"/>
          </w:rPr>
          <w:t>Shrives</w:t>
        </w:r>
      </w:hyperlink>
      <w:r w:rsidRPr="006207BC">
        <w:rPr>
          <w:rStyle w:val="personname"/>
          <w:rFonts w:ascii="Times New Roman" w:hAnsi="Times New Roman" w:cs="Times New Roman"/>
          <w:sz w:val="24"/>
          <w:szCs w:val="24"/>
        </w:rPr>
        <w:t>, 2014; Linsley and Shrives, 2006), Canada (Dobler</w:t>
      </w:r>
      <w:r w:rsidRPr="006207BC">
        <w:rPr>
          <w:rFonts w:ascii="Times New Roman" w:hAnsi="Times New Roman" w:cs="Times New Roman"/>
          <w:i/>
          <w:sz w:val="24"/>
          <w:szCs w:val="24"/>
        </w:rPr>
        <w:t xml:space="preserve"> et al.</w:t>
      </w:r>
      <w:r w:rsidRPr="006207BC">
        <w:rPr>
          <w:rStyle w:val="personname"/>
          <w:rFonts w:ascii="Times New Roman" w:hAnsi="Times New Roman" w:cs="Times New Roman"/>
          <w:sz w:val="24"/>
          <w:szCs w:val="24"/>
        </w:rPr>
        <w:t>, 2011), Germany (Elshandidy</w:t>
      </w:r>
      <w:r w:rsidRPr="006207BC">
        <w:rPr>
          <w:rFonts w:ascii="Times New Roman" w:hAnsi="Times New Roman" w:cs="Times New Roman"/>
          <w:i/>
          <w:sz w:val="24"/>
          <w:szCs w:val="24"/>
        </w:rPr>
        <w:t xml:space="preserve"> et al.</w:t>
      </w:r>
      <w:r w:rsidRPr="006207BC">
        <w:rPr>
          <w:rStyle w:val="personname"/>
          <w:rFonts w:ascii="Times New Roman" w:hAnsi="Times New Roman" w:cs="Times New Roman"/>
          <w:sz w:val="24"/>
          <w:szCs w:val="24"/>
        </w:rPr>
        <w:t>, 2015), Italy (Beretta and Bozzolan, 2004; Elshandidy and Neri, 2015)</w:t>
      </w:r>
      <w:r w:rsidR="00F64528" w:rsidRPr="006207BC">
        <w:rPr>
          <w:rStyle w:val="personname"/>
          <w:rFonts w:ascii="Times New Roman" w:hAnsi="Times New Roman" w:cs="Times New Roman"/>
          <w:sz w:val="24"/>
          <w:szCs w:val="24"/>
        </w:rPr>
        <w:t>, Finland (Miihkinen, 2012</w:t>
      </w:r>
      <w:r w:rsidRPr="006207BC">
        <w:rPr>
          <w:rStyle w:val="personname"/>
          <w:rFonts w:ascii="Times New Roman" w:hAnsi="Times New Roman" w:cs="Times New Roman"/>
          <w:sz w:val="24"/>
          <w:szCs w:val="24"/>
        </w:rPr>
        <w:t xml:space="preserve">), and China (Neri </w:t>
      </w:r>
      <w:r w:rsidRPr="006207BC">
        <w:rPr>
          <w:rStyle w:val="personname"/>
          <w:rFonts w:ascii="Times New Roman" w:hAnsi="Times New Roman" w:cs="Times New Roman"/>
          <w:i/>
          <w:sz w:val="24"/>
          <w:szCs w:val="24"/>
        </w:rPr>
        <w:t>et al.</w:t>
      </w:r>
      <w:r w:rsidRPr="006207BC">
        <w:rPr>
          <w:rStyle w:val="personname"/>
          <w:rFonts w:ascii="Times New Roman" w:hAnsi="Times New Roman" w:cs="Times New Roman"/>
          <w:sz w:val="24"/>
          <w:szCs w:val="24"/>
        </w:rPr>
        <w:t xml:space="preserve">, 2018). By manually extracting the risk factor sections of the annual reports of French firms, we complement these prior studies with an approach combining manual and computer-aided content analysis in a European setting, that is, France. We obtain a unique </w:t>
      </w:r>
      <w:proofErr w:type="gramStart"/>
      <w:r w:rsidRPr="006207BC">
        <w:rPr>
          <w:rStyle w:val="personname"/>
          <w:rFonts w:ascii="Times New Roman" w:hAnsi="Times New Roman" w:cs="Times New Roman"/>
          <w:sz w:val="24"/>
          <w:szCs w:val="24"/>
        </w:rPr>
        <w:t>dataset</w:t>
      </w:r>
      <w:proofErr w:type="gramEnd"/>
      <w:r w:rsidRPr="006207BC">
        <w:rPr>
          <w:rStyle w:val="personname"/>
          <w:rFonts w:ascii="Times New Roman" w:hAnsi="Times New Roman" w:cs="Times New Roman"/>
          <w:sz w:val="24"/>
          <w:szCs w:val="24"/>
        </w:rPr>
        <w:t xml:space="preserve"> and, to the best of our knowledge, we are the first to systematically explore the risk factor section in French annual reports.</w:t>
      </w:r>
    </w:p>
    <w:p w14:paraId="01CD1AFD" w14:textId="7D4EB366"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Third, we add to the literature on analysts as users of annual reports. Prior empirical work documents that specific components of the annual report are particularly useful for analysts, such as a</w:t>
      </w:r>
      <w:r w:rsidRPr="006207BC">
        <w:rPr>
          <w:rFonts w:ascii="Times New Roman" w:hAnsi="Times New Roman" w:cs="Times New Roman"/>
          <w:color w:val="222222"/>
          <w:sz w:val="24"/>
          <w:szCs w:val="24"/>
          <w:shd w:val="clear" w:color="auto" w:fill="FFFFFF"/>
        </w:rPr>
        <w:t>ccounting policy disclosures (Hope, 2003b), c</w:t>
      </w:r>
      <w:r w:rsidRPr="006207BC">
        <w:rPr>
          <w:rFonts w:ascii="Times New Roman" w:hAnsi="Times New Roman" w:cs="Times New Roman"/>
          <w:sz w:val="24"/>
          <w:szCs w:val="24"/>
        </w:rPr>
        <w:t>orporate social responsibility reporting</w:t>
      </w:r>
      <w:r w:rsidRPr="006207BC">
        <w:rPr>
          <w:rFonts w:ascii="Times New Roman" w:hAnsi="Times New Roman" w:cs="Times New Roman"/>
          <w:color w:val="222222"/>
          <w:sz w:val="24"/>
          <w:szCs w:val="24"/>
          <w:shd w:val="clear" w:color="auto" w:fill="FFFFFF"/>
        </w:rPr>
        <w:t xml:space="preserve"> (</w:t>
      </w:r>
      <w:r w:rsidRPr="006207BC">
        <w:rPr>
          <w:rFonts w:ascii="Times New Roman" w:hAnsi="Times New Roman" w:cs="Times New Roman"/>
          <w:sz w:val="24"/>
          <w:szCs w:val="24"/>
        </w:rPr>
        <w:t xml:space="preserve">Dhaliwal </w:t>
      </w:r>
      <w:r w:rsidRPr="006207BC">
        <w:rPr>
          <w:rFonts w:ascii="Times New Roman" w:hAnsi="Times New Roman" w:cs="Times New Roman"/>
          <w:i/>
          <w:sz w:val="24"/>
          <w:szCs w:val="24"/>
        </w:rPr>
        <w:t>et al.</w:t>
      </w:r>
      <w:r w:rsidR="00E261E2" w:rsidRPr="006207BC">
        <w:rPr>
          <w:rFonts w:ascii="Times New Roman" w:hAnsi="Times New Roman" w:cs="Times New Roman"/>
          <w:sz w:val="24"/>
          <w:szCs w:val="24"/>
        </w:rPr>
        <w:t>, 2012</w:t>
      </w:r>
      <w:r w:rsidRPr="006207BC">
        <w:rPr>
          <w:rFonts w:ascii="Times New Roman" w:hAnsi="Times New Roman" w:cs="Times New Roman"/>
          <w:sz w:val="24"/>
          <w:szCs w:val="24"/>
        </w:rPr>
        <w:t>; Gao</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2016), components of voluntary disclosure that do not cover risk disclosure (Hamrouni </w:t>
      </w:r>
      <w:r w:rsidRPr="006207BC">
        <w:rPr>
          <w:rFonts w:ascii="Times New Roman" w:hAnsi="Times New Roman" w:cs="Times New Roman"/>
          <w:i/>
          <w:sz w:val="24"/>
          <w:szCs w:val="24"/>
        </w:rPr>
        <w:t>et al.</w:t>
      </w:r>
      <w:r w:rsidRPr="006207BC">
        <w:rPr>
          <w:rFonts w:ascii="Times New Roman" w:hAnsi="Times New Roman" w:cs="Times New Roman"/>
          <w:sz w:val="24"/>
          <w:szCs w:val="24"/>
        </w:rPr>
        <w:t>, 2017), voluntary political spending disclosures (Goh</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2018)</w:t>
      </w:r>
      <w:r w:rsidR="00AC26DA" w:rsidRPr="006207BC">
        <w:rPr>
          <w:rFonts w:ascii="Times New Roman" w:hAnsi="Times New Roman" w:cs="Times New Roman"/>
          <w:sz w:val="24"/>
          <w:szCs w:val="24"/>
        </w:rPr>
        <w:t xml:space="preserve">, and </w:t>
      </w:r>
      <w:r w:rsidR="007B25EA" w:rsidRPr="006207BC">
        <w:rPr>
          <w:rFonts w:ascii="Times New Roman" w:hAnsi="Times New Roman" w:cs="Times New Roman"/>
          <w:sz w:val="24"/>
          <w:szCs w:val="24"/>
        </w:rPr>
        <w:t xml:space="preserve">note </w:t>
      </w:r>
      <w:r w:rsidR="00AC26DA" w:rsidRPr="006207BC">
        <w:rPr>
          <w:rFonts w:ascii="Times New Roman" w:hAnsi="Times New Roman" w:cs="Times New Roman"/>
          <w:sz w:val="24"/>
          <w:szCs w:val="24"/>
        </w:rPr>
        <w:t>disclosure (Hope, 2003c)</w:t>
      </w:r>
      <w:r w:rsidRPr="006207BC">
        <w:rPr>
          <w:rFonts w:ascii="Times New Roman" w:hAnsi="Times New Roman" w:cs="Times New Roman"/>
          <w:sz w:val="24"/>
          <w:szCs w:val="24"/>
        </w:rPr>
        <w:t>. Unlike these studies, we focus on risk disclosure information regarding its effect on analyst following, which, as far as we know, has not yet been explored.</w:t>
      </w:r>
      <w:r w:rsidR="00867962" w:rsidRPr="006207BC">
        <w:rPr>
          <w:rStyle w:val="Appelnotedebasdep"/>
          <w:rFonts w:ascii="Times New Roman" w:hAnsi="Times New Roman" w:cs="Times New Roman"/>
          <w:sz w:val="24"/>
          <w:szCs w:val="24"/>
        </w:rPr>
        <w:footnoteReference w:id="7"/>
      </w:r>
      <w:r w:rsidR="00867962" w:rsidRPr="006207BC">
        <w:rPr>
          <w:rFonts w:ascii="Times New Roman" w:hAnsi="Times New Roman" w:cs="Times New Roman"/>
          <w:sz w:val="24"/>
          <w:szCs w:val="24"/>
          <w:shd w:val="clear" w:color="auto" w:fill="FFFFFF"/>
        </w:rPr>
        <w:t xml:space="preserve"> </w:t>
      </w:r>
    </w:p>
    <w:p w14:paraId="3490FBAE" w14:textId="4FC191DE" w:rsidR="00C20459" w:rsidRPr="006207BC" w:rsidRDefault="00A61DC5" w:rsidP="001D2B9A">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lastRenderedPageBreak/>
        <w:t>The remainder of the paper is organized as follows. Section 2 presents the theoretical background and develops the research hypothesis. Section 3 descri</w:t>
      </w:r>
      <w:r w:rsidR="00602FB9" w:rsidRPr="006207BC">
        <w:rPr>
          <w:rFonts w:ascii="Times New Roman" w:hAnsi="Times New Roman" w:cs="Times New Roman"/>
          <w:sz w:val="24"/>
          <w:szCs w:val="24"/>
        </w:rPr>
        <w:t>bes the data and variables.</w:t>
      </w:r>
      <w:r w:rsidRPr="006207BC">
        <w:rPr>
          <w:rFonts w:ascii="Times New Roman" w:hAnsi="Times New Roman" w:cs="Times New Roman"/>
          <w:sz w:val="24"/>
          <w:szCs w:val="24"/>
        </w:rPr>
        <w:t xml:space="preserve"> Section 4 reports the results of the main multivariate analysis as well as robustness checks. Section 5 addresses endogeneity issues. Section 6 concludes the paper.</w:t>
      </w:r>
    </w:p>
    <w:p w14:paraId="39141CA7" w14:textId="77777777" w:rsidR="00C20459" w:rsidRPr="006207BC" w:rsidRDefault="00C20459" w:rsidP="001D2B9A">
      <w:pPr>
        <w:spacing w:before="240" w:after="240" w:line="360" w:lineRule="auto"/>
        <w:ind w:firstLine="360"/>
        <w:jc w:val="both"/>
        <w:rPr>
          <w:rFonts w:ascii="Times New Roman" w:hAnsi="Times New Roman" w:cs="Times New Roman"/>
          <w:sz w:val="24"/>
          <w:szCs w:val="24"/>
        </w:rPr>
      </w:pPr>
    </w:p>
    <w:p w14:paraId="539C065D" w14:textId="2C44DFCE" w:rsidR="00C20459" w:rsidRPr="006207BC" w:rsidRDefault="00A61DC5" w:rsidP="001D2B9A">
      <w:pPr>
        <w:pStyle w:val="Paragraphedeliste"/>
        <w:keepNext/>
        <w:numPr>
          <w:ilvl w:val="0"/>
          <w:numId w:val="2"/>
        </w:numPr>
        <w:spacing w:before="240" w:after="240" w:line="360" w:lineRule="auto"/>
        <w:jc w:val="both"/>
        <w:outlineLvl w:val="0"/>
        <w:rPr>
          <w:rFonts w:ascii="Times New Roman" w:hAnsi="Times New Roman" w:cs="Times New Roman"/>
          <w:b/>
          <w:sz w:val="24"/>
          <w:szCs w:val="24"/>
        </w:rPr>
      </w:pPr>
      <w:r w:rsidRPr="006207BC">
        <w:rPr>
          <w:rFonts w:ascii="Times New Roman" w:hAnsi="Times New Roman" w:cs="Times New Roman"/>
          <w:b/>
          <w:sz w:val="24"/>
          <w:szCs w:val="24"/>
        </w:rPr>
        <w:t>Theoretical background and hypothesis development</w:t>
      </w:r>
    </w:p>
    <w:p w14:paraId="23ACF381" w14:textId="25AEB905" w:rsidR="00C20459" w:rsidRPr="006207BC" w:rsidRDefault="00A61DC5" w:rsidP="001D2B9A">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This section presents the theoretical background of the present study (Section 2.1) and develops the research hypothesis (Section 2.2).</w:t>
      </w:r>
    </w:p>
    <w:p w14:paraId="3D066DE9" w14:textId="77777777" w:rsidR="00C20459" w:rsidRPr="006207BC" w:rsidRDefault="00A61DC5" w:rsidP="001D2B9A">
      <w:pPr>
        <w:pStyle w:val="Paragraphedeliste"/>
        <w:keepNext/>
        <w:numPr>
          <w:ilvl w:val="1"/>
          <w:numId w:val="2"/>
        </w:numPr>
        <w:spacing w:before="240" w:after="240" w:line="360" w:lineRule="auto"/>
        <w:contextualSpacing w:val="0"/>
        <w:jc w:val="both"/>
        <w:outlineLvl w:val="1"/>
        <w:rPr>
          <w:rFonts w:ascii="Times New Roman" w:hAnsi="Times New Roman" w:cs="Times New Roman"/>
          <w:b/>
          <w:i/>
          <w:sz w:val="24"/>
          <w:szCs w:val="24"/>
        </w:rPr>
      </w:pPr>
      <w:r w:rsidRPr="006207BC">
        <w:rPr>
          <w:rFonts w:ascii="Times New Roman" w:hAnsi="Times New Roman" w:cs="Times New Roman"/>
          <w:b/>
          <w:i/>
          <w:sz w:val="24"/>
          <w:szCs w:val="24"/>
        </w:rPr>
        <w:t xml:space="preserve"> Theoretical background of risk disclosure</w:t>
      </w:r>
    </w:p>
    <w:p w14:paraId="3AB35983" w14:textId="57892C3B" w:rsidR="00C20459" w:rsidRPr="006207BC" w:rsidRDefault="00A61DC5" w:rsidP="001D2B9A">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Although </w:t>
      </w:r>
      <w:proofErr w:type="gramStart"/>
      <w:r w:rsidRPr="006207BC">
        <w:rPr>
          <w:rFonts w:ascii="Times New Roman" w:hAnsi="Times New Roman" w:cs="Times New Roman"/>
          <w:sz w:val="24"/>
          <w:szCs w:val="24"/>
        </w:rPr>
        <w:t>a number of</w:t>
      </w:r>
      <w:proofErr w:type="gramEnd"/>
      <w:r w:rsidRPr="006207BC">
        <w:rPr>
          <w:rFonts w:ascii="Times New Roman" w:hAnsi="Times New Roman" w:cs="Times New Roman"/>
          <w:sz w:val="24"/>
          <w:szCs w:val="24"/>
        </w:rPr>
        <w:t> theories have been proposed for the analysis of risk disclosure (Elshandidy</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2018), two could be particularly relevant in explaining the extent to which risk disclosure is useful for analysts, namely, institutional theory and signalling theory. </w:t>
      </w:r>
    </w:p>
    <w:p w14:paraId="0D7DD694" w14:textId="1D8BEED0"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Institutional theory suggests that </w:t>
      </w:r>
      <w:r w:rsidR="00F22058" w:rsidRPr="006207BC">
        <w:rPr>
          <w:rFonts w:ascii="Times New Roman" w:hAnsi="Times New Roman" w:cs="Times New Roman"/>
          <w:sz w:val="24"/>
          <w:szCs w:val="24"/>
        </w:rPr>
        <w:t>firms</w:t>
      </w:r>
      <w:r w:rsidRPr="006207BC">
        <w:rPr>
          <w:rFonts w:ascii="Times New Roman" w:hAnsi="Times New Roman" w:cs="Times New Roman"/>
          <w:sz w:val="24"/>
          <w:szCs w:val="24"/>
        </w:rPr>
        <w:t xml:space="preserve"> apply rules and incorporate norms to gain social acceptance (Oliver, 1991). Through extensive risk disclosure, firms are more inclined to comply with the value of the environment in which they evolve by providing it with a wide range of information on the uncertainties and risks to which they are exposed. Such uncertainty and risk disclosure information would be particularly useful for different stakeholders, including analysts, especially since this sort of negative information is difficult to obtain from sources other than annual reports. Institutional theory drives three </w:t>
      </w:r>
      <w:r w:rsidR="00DF50BA" w:rsidRPr="006207BC">
        <w:rPr>
          <w:rFonts w:ascii="Times New Roman" w:hAnsi="Times New Roman" w:cs="Times New Roman"/>
          <w:sz w:val="24"/>
          <w:szCs w:val="24"/>
        </w:rPr>
        <w:t>f</w:t>
      </w:r>
      <w:r w:rsidRPr="006207BC">
        <w:rPr>
          <w:rFonts w:ascii="Times New Roman" w:hAnsi="Times New Roman" w:cs="Times New Roman"/>
          <w:sz w:val="24"/>
          <w:szCs w:val="24"/>
        </w:rPr>
        <w:t>orces that are likely to affect risk disclosure as a form of voluntary disclosure: regulative, mimetic, and normative pressure (Scott, 1995</w:t>
      </w:r>
      <w:r w:rsidR="00E80AF1" w:rsidRPr="006207BC">
        <w:rPr>
          <w:rFonts w:ascii="Times New Roman" w:hAnsi="Times New Roman" w:cs="Times New Roman"/>
          <w:sz w:val="24"/>
          <w:szCs w:val="24"/>
        </w:rPr>
        <w:t>; Elshandidy</w:t>
      </w:r>
      <w:r w:rsidR="00E80AF1" w:rsidRPr="006207BC">
        <w:rPr>
          <w:rFonts w:ascii="Times New Roman" w:hAnsi="Times New Roman" w:cs="Times New Roman"/>
          <w:i/>
          <w:sz w:val="24"/>
          <w:szCs w:val="24"/>
        </w:rPr>
        <w:t xml:space="preserve"> et al., </w:t>
      </w:r>
      <w:r w:rsidR="00E80AF1" w:rsidRPr="006207BC">
        <w:rPr>
          <w:rFonts w:ascii="Times New Roman" w:hAnsi="Times New Roman" w:cs="Times New Roman"/>
          <w:sz w:val="24"/>
          <w:szCs w:val="24"/>
        </w:rPr>
        <w:t>2015</w:t>
      </w:r>
      <w:r w:rsidRPr="006207BC">
        <w:rPr>
          <w:rFonts w:ascii="Times New Roman" w:hAnsi="Times New Roman" w:cs="Times New Roman"/>
          <w:sz w:val="24"/>
          <w:szCs w:val="24"/>
        </w:rPr>
        <w:t xml:space="preserve">). Regulative pressure is inherent in the requirements, even when they comprise generic and vague terms, of the laws and regulations to report significant risk factors in annual reports. </w:t>
      </w:r>
      <w:r w:rsidR="00F22058" w:rsidRPr="006207BC">
        <w:rPr>
          <w:rFonts w:ascii="Times New Roman" w:hAnsi="Times New Roman" w:cs="Times New Roman"/>
          <w:sz w:val="24"/>
          <w:szCs w:val="24"/>
        </w:rPr>
        <w:t>Firms</w:t>
      </w:r>
      <w:r w:rsidRPr="006207BC">
        <w:rPr>
          <w:rFonts w:ascii="Times New Roman" w:hAnsi="Times New Roman" w:cs="Times New Roman"/>
          <w:sz w:val="24"/>
          <w:szCs w:val="24"/>
        </w:rPr>
        <w:t xml:space="preserve"> can also mimic the risk disclosure behaviour of their peers to signal their alignment with industry standards (Abraham and Shrives, 2014). Normative pressure can also </w:t>
      </w:r>
      <w:r w:rsidRPr="006207BC">
        <w:rPr>
          <w:rFonts w:ascii="Times New Roman" w:hAnsi="Times New Roman" w:cs="Times New Roman"/>
          <w:sz w:val="24"/>
          <w:szCs w:val="24"/>
        </w:rPr>
        <w:lastRenderedPageBreak/>
        <w:t xml:space="preserve">induce managers to reveal risk information voluntarily in response to the recommendations of different local and international regulatory bodies (Elshandidy </w:t>
      </w:r>
      <w:r w:rsidRPr="006207BC">
        <w:rPr>
          <w:rFonts w:ascii="Times New Roman" w:hAnsi="Times New Roman" w:cs="Times New Roman"/>
          <w:i/>
          <w:sz w:val="24"/>
          <w:szCs w:val="24"/>
        </w:rPr>
        <w:t>et al.</w:t>
      </w:r>
      <w:r w:rsidRPr="006207BC">
        <w:rPr>
          <w:rFonts w:ascii="Times New Roman" w:hAnsi="Times New Roman" w:cs="Times New Roman"/>
          <w:sz w:val="24"/>
          <w:szCs w:val="24"/>
        </w:rPr>
        <w:t>, 2015).</w:t>
      </w:r>
    </w:p>
    <w:p w14:paraId="2F9D9308" w14:textId="27DF6FE6"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Signalling theory, as suggested by Spence (1973), holds that a voluntary disclosure environment sends a positive signal of reduced information asymmetry between a firm and market participants (</w:t>
      </w:r>
      <w:proofErr w:type="gramStart"/>
      <w:r w:rsidRPr="006207BC">
        <w:rPr>
          <w:rFonts w:ascii="Times New Roman" w:hAnsi="Times New Roman" w:cs="Times New Roman"/>
          <w:sz w:val="24"/>
          <w:szCs w:val="24"/>
        </w:rPr>
        <w:t>e.g.</w:t>
      </w:r>
      <w:proofErr w:type="gramEnd"/>
      <w:r w:rsidRPr="006207BC">
        <w:rPr>
          <w:rFonts w:ascii="Times New Roman" w:hAnsi="Times New Roman" w:cs="Times New Roman"/>
          <w:sz w:val="24"/>
          <w:szCs w:val="24"/>
        </w:rPr>
        <w:t xml:space="preserve"> Diamond and Verrecchia,</w:t>
      </w:r>
      <w:r w:rsidR="002340A9" w:rsidRPr="006207BC">
        <w:rPr>
          <w:rFonts w:ascii="Times New Roman" w:hAnsi="Times New Roman" w:cs="Times New Roman"/>
          <w:sz w:val="24"/>
          <w:szCs w:val="24"/>
        </w:rPr>
        <w:t xml:space="preserve"> 1991; </w:t>
      </w:r>
      <w:r w:rsidRPr="006207BC">
        <w:rPr>
          <w:rFonts w:ascii="Times New Roman" w:hAnsi="Times New Roman" w:cs="Times New Roman"/>
          <w:sz w:val="24"/>
          <w:szCs w:val="24"/>
        </w:rPr>
        <w:t xml:space="preserve">Healy and Palepu, 2001). </w:t>
      </w:r>
      <w:proofErr w:type="gramStart"/>
      <w:r w:rsidRPr="006207BC">
        <w:rPr>
          <w:rFonts w:ascii="Times New Roman" w:hAnsi="Times New Roman" w:cs="Times New Roman"/>
          <w:sz w:val="24"/>
          <w:szCs w:val="24"/>
        </w:rPr>
        <w:t>In particular, high-risk</w:t>
      </w:r>
      <w:proofErr w:type="gramEnd"/>
      <w:r w:rsidRPr="006207BC">
        <w:rPr>
          <w:rFonts w:ascii="Times New Roman" w:hAnsi="Times New Roman" w:cs="Times New Roman"/>
          <w:sz w:val="24"/>
          <w:szCs w:val="24"/>
        </w:rPr>
        <w:t xml:space="preserve"> disclosure can signal managers’ unobservable efforts to identify and manage most of the risks faced by the firm via the observable amount of r</w:t>
      </w:r>
      <w:r w:rsidR="008C7FE8" w:rsidRPr="006207BC">
        <w:rPr>
          <w:rFonts w:ascii="Times New Roman" w:hAnsi="Times New Roman" w:cs="Times New Roman"/>
          <w:sz w:val="24"/>
          <w:szCs w:val="24"/>
        </w:rPr>
        <w:t>isk reporting in annual reports</w:t>
      </w:r>
      <w:r w:rsidRPr="006207BC">
        <w:rPr>
          <w:rFonts w:ascii="Times New Roman" w:hAnsi="Times New Roman" w:cs="Times New Roman"/>
          <w:sz w:val="24"/>
          <w:szCs w:val="24"/>
        </w:rPr>
        <w:t>. Empirical work highlights the roles of mandatory ris</w:t>
      </w:r>
      <w:r w:rsidR="00F64528" w:rsidRPr="006207BC">
        <w:rPr>
          <w:rFonts w:ascii="Times New Roman" w:hAnsi="Times New Roman" w:cs="Times New Roman"/>
          <w:sz w:val="24"/>
          <w:szCs w:val="24"/>
        </w:rPr>
        <w:t>k disclosure (Miihkinen, 2012</w:t>
      </w:r>
      <w:r w:rsidRPr="006207BC">
        <w:rPr>
          <w:rFonts w:ascii="Times New Roman" w:hAnsi="Times New Roman" w:cs="Times New Roman"/>
          <w:sz w:val="24"/>
          <w:szCs w:val="24"/>
        </w:rPr>
        <w:t xml:space="preserve">; Elshandidy and Neri, 2015) and of risk factor disclosure (Campbell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2014) in reducing information asymmetry. The signalling environment could, however, be affected by the way signals are interpreted by those who use them (Rynes </w:t>
      </w:r>
      <w:r w:rsidRPr="006207BC">
        <w:rPr>
          <w:rFonts w:ascii="Times New Roman" w:hAnsi="Times New Roman" w:cs="Times New Roman"/>
          <w:i/>
          <w:sz w:val="24"/>
          <w:szCs w:val="24"/>
        </w:rPr>
        <w:t>et al.</w:t>
      </w:r>
      <w:r w:rsidR="009322BD" w:rsidRPr="006207BC">
        <w:rPr>
          <w:rFonts w:ascii="Times New Roman" w:hAnsi="Times New Roman" w:cs="Times New Roman"/>
          <w:sz w:val="24"/>
          <w:szCs w:val="24"/>
        </w:rPr>
        <w:t>, 1991</w:t>
      </w:r>
      <w:r w:rsidRPr="006207BC">
        <w:rPr>
          <w:rFonts w:ascii="Times New Roman" w:hAnsi="Times New Roman" w:cs="Times New Roman"/>
          <w:sz w:val="24"/>
          <w:szCs w:val="24"/>
        </w:rPr>
        <w:t>). Thus, expanded risk disclosure can be viewed either positively, as an indicator of less information asymmetry and a firm’s higher awareness and ability to manage the risks it is exposed to, or negatively, as a signal of higher exposure to risks and thus greater uncertainty in its future cash flows.</w:t>
      </w:r>
    </w:p>
    <w:p w14:paraId="4B1E5446" w14:textId="77777777" w:rsidR="00C20459" w:rsidRPr="006207BC" w:rsidRDefault="00A61DC5" w:rsidP="00DF50BA">
      <w:pPr>
        <w:pStyle w:val="Paragraphedeliste"/>
        <w:keepNext/>
        <w:numPr>
          <w:ilvl w:val="1"/>
          <w:numId w:val="2"/>
        </w:numPr>
        <w:spacing w:before="240" w:after="240" w:line="360" w:lineRule="auto"/>
        <w:jc w:val="both"/>
        <w:outlineLvl w:val="1"/>
        <w:rPr>
          <w:rFonts w:ascii="Times New Roman" w:hAnsi="Times New Roman" w:cs="Times New Roman"/>
          <w:b/>
          <w:i/>
          <w:sz w:val="24"/>
          <w:szCs w:val="24"/>
        </w:rPr>
      </w:pPr>
      <w:r w:rsidRPr="006207BC">
        <w:rPr>
          <w:rFonts w:ascii="Times New Roman" w:hAnsi="Times New Roman" w:cs="Times New Roman"/>
          <w:b/>
          <w:i/>
          <w:sz w:val="24"/>
          <w:szCs w:val="24"/>
        </w:rPr>
        <w:t xml:space="preserve"> Hypothesis development</w:t>
      </w:r>
    </w:p>
    <w:p w14:paraId="6593EE60" w14:textId="2355C002"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Analysts are considered among the major users of information provided in annual reports (S</w:t>
      </w:r>
      <w:r w:rsidR="0051095B" w:rsidRPr="006207BC">
        <w:rPr>
          <w:rFonts w:ascii="Times New Roman" w:hAnsi="Times New Roman" w:cs="Times New Roman"/>
          <w:sz w:val="24"/>
          <w:szCs w:val="24"/>
        </w:rPr>
        <w:t>c</w:t>
      </w:r>
      <w:r w:rsidRPr="006207BC">
        <w:rPr>
          <w:rFonts w:ascii="Times New Roman" w:hAnsi="Times New Roman" w:cs="Times New Roman"/>
          <w:sz w:val="24"/>
          <w:szCs w:val="24"/>
        </w:rPr>
        <w:t>hipper, 1991). The quantity of annual report disclosures is, for example, shown by Hope (2003a) to significantly affect the accuracy of analysts’ earnings forecasts. Indeed, as financial professionals, analysts play an important intermediary role, given their ability to analyse and interpret corporate disclosure when forecasting earnings (</w:t>
      </w:r>
      <w:r w:rsidR="00247317" w:rsidRPr="006207BC">
        <w:rPr>
          <w:rFonts w:ascii="Times New Roman" w:hAnsi="Times New Roman" w:cs="Times New Roman"/>
          <w:sz w:val="24"/>
          <w:szCs w:val="24"/>
        </w:rPr>
        <w:t>Boissin and Sentis, 2014;</w:t>
      </w:r>
      <w:r w:rsidR="00247317" w:rsidRPr="006207BC">
        <w:rPr>
          <w:rFonts w:ascii="Arial" w:hAnsi="Arial" w:cs="Arial"/>
          <w:color w:val="222222"/>
          <w:sz w:val="20"/>
          <w:szCs w:val="20"/>
          <w:shd w:val="clear" w:color="auto" w:fill="FFFFFF"/>
        </w:rPr>
        <w:t xml:space="preserve"> </w:t>
      </w:r>
      <w:r w:rsidRPr="006207BC">
        <w:rPr>
          <w:rFonts w:ascii="Times New Roman" w:hAnsi="Times New Roman" w:cs="Times New Roman"/>
          <w:sz w:val="24"/>
          <w:szCs w:val="24"/>
        </w:rPr>
        <w:t xml:space="preserve">Sundgren </w:t>
      </w:r>
      <w:r w:rsidRPr="006207BC">
        <w:rPr>
          <w:rFonts w:ascii="Times New Roman" w:hAnsi="Times New Roman" w:cs="Times New Roman"/>
          <w:i/>
          <w:sz w:val="24"/>
          <w:szCs w:val="24"/>
        </w:rPr>
        <w:t>et al.</w:t>
      </w:r>
      <w:r w:rsidRPr="006207BC">
        <w:rPr>
          <w:rFonts w:ascii="Times New Roman" w:hAnsi="Times New Roman" w:cs="Times New Roman"/>
          <w:sz w:val="24"/>
          <w:szCs w:val="24"/>
        </w:rPr>
        <w:t>, 2018).</w:t>
      </w:r>
    </w:p>
    <w:p w14:paraId="772CB6C2" w14:textId="049C9F6B"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An analyst’s decision to follow a firm is based on the costs and benefits of doing so. The lower the costs of following a firm, the more attractive the firm to the analyst. These costs are essentially associated with the acquisition of information about new firms (Bae</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2008). There is sound evidence that a firm providing more extensive risk disclosures suggests lower costs for analysts, giving them incentives to follow the firms. First, based on the above developments in the institutional theory framework, firms could acquire a good reputation by reporting their risks. Since reputation is </w:t>
      </w:r>
      <w:proofErr w:type="gramStart"/>
      <w:r w:rsidRPr="006207BC">
        <w:rPr>
          <w:rFonts w:ascii="Times New Roman" w:hAnsi="Times New Roman" w:cs="Times New Roman"/>
          <w:sz w:val="24"/>
          <w:szCs w:val="24"/>
        </w:rPr>
        <w:t>valued in its own right, analysts</w:t>
      </w:r>
      <w:proofErr w:type="gramEnd"/>
      <w:r w:rsidRPr="006207BC">
        <w:rPr>
          <w:rFonts w:ascii="Times New Roman" w:hAnsi="Times New Roman" w:cs="Times New Roman"/>
          <w:sz w:val="24"/>
          <w:szCs w:val="24"/>
        </w:rPr>
        <w:t xml:space="preserve"> could value the risk disclosure information of highly reputed firms.</w:t>
      </w:r>
    </w:p>
    <w:p w14:paraId="096C212C" w14:textId="52FB425B"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lastRenderedPageBreak/>
        <w:t xml:space="preserve">Second, from the perspective of signalling theory, expanded risk disclosure </w:t>
      </w:r>
      <w:r w:rsidR="00DF50BA" w:rsidRPr="006207BC">
        <w:rPr>
          <w:rFonts w:ascii="Times New Roman" w:hAnsi="Times New Roman" w:cs="Times New Roman"/>
          <w:sz w:val="24"/>
          <w:szCs w:val="24"/>
        </w:rPr>
        <w:t xml:space="preserve">can </w:t>
      </w:r>
      <w:r w:rsidRPr="006207BC">
        <w:rPr>
          <w:rFonts w:ascii="Times New Roman" w:hAnsi="Times New Roman" w:cs="Times New Roman"/>
          <w:sz w:val="24"/>
          <w:szCs w:val="24"/>
        </w:rPr>
        <w:t xml:space="preserve">signal managers’ willingness to mitigate information asymmetry with market participants by providing them with both qualitative and quantitative risk information (Hope 2003a; Sundgren </w:t>
      </w:r>
      <w:r w:rsidRPr="006207BC">
        <w:rPr>
          <w:rFonts w:ascii="Times New Roman" w:hAnsi="Times New Roman" w:cs="Times New Roman"/>
          <w:i/>
          <w:sz w:val="24"/>
          <w:szCs w:val="24"/>
        </w:rPr>
        <w:t>et al.</w:t>
      </w:r>
      <w:r w:rsidRPr="006207BC">
        <w:rPr>
          <w:rFonts w:ascii="Times New Roman" w:hAnsi="Times New Roman" w:cs="Times New Roman"/>
          <w:sz w:val="24"/>
          <w:szCs w:val="24"/>
        </w:rPr>
        <w:t>, 2018). As users of corporate disclosure, analysts can benefit from reduced information asymmetry by incurring lower costs of information gathering while making more accurate forecasts. In this regard, Lang</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(2004) find that analysts are more reticent to follow firms that have incentives to withhold information. Bushman</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(2005) show a lower analyst following in environments of high information asymmetry driven by weak insider trading laws.</w:t>
      </w:r>
    </w:p>
    <w:p w14:paraId="14414FA8" w14:textId="7EAAD95B"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Third, the risk reporting in annual reports is carried out by management </w:t>
      </w:r>
      <w:proofErr w:type="gramStart"/>
      <w:r w:rsidRPr="006207BC">
        <w:rPr>
          <w:rFonts w:ascii="Times New Roman" w:hAnsi="Times New Roman" w:cs="Times New Roman"/>
          <w:sz w:val="24"/>
          <w:szCs w:val="24"/>
        </w:rPr>
        <w:t>on the basis of</w:t>
      </w:r>
      <w:proofErr w:type="gramEnd"/>
      <w:r w:rsidRPr="006207BC">
        <w:rPr>
          <w:rFonts w:ascii="Times New Roman" w:hAnsi="Times New Roman" w:cs="Times New Roman"/>
          <w:sz w:val="24"/>
          <w:szCs w:val="24"/>
        </w:rPr>
        <w:t xml:space="preserve">, essentially, inside information and a multifaceted analysis of the </w:t>
      </w:r>
      <w:r w:rsidR="00F22058" w:rsidRPr="006207BC">
        <w:rPr>
          <w:rFonts w:ascii="Times New Roman" w:hAnsi="Times New Roman" w:cs="Times New Roman"/>
          <w:sz w:val="24"/>
          <w:szCs w:val="24"/>
        </w:rPr>
        <w:t>firm</w:t>
      </w:r>
      <w:r w:rsidRPr="006207BC">
        <w:rPr>
          <w:rFonts w:ascii="Times New Roman" w:hAnsi="Times New Roman" w:cs="Times New Roman"/>
          <w:sz w:val="24"/>
          <w:szCs w:val="24"/>
        </w:rPr>
        <w:t xml:space="preserve"> environment as conducted by specialized corporate committees such as audit, risk, risk management, and corporate governance committees. This means that most of the risk disclosure information in annual reports has already been compiled and processed, which would translate into less time and effort put forth by analysts to engage in further information acquisition and processing procedures.</w:t>
      </w:r>
    </w:p>
    <w:p w14:paraId="2C4FA0F0" w14:textId="77777777" w:rsidR="00BF225F" w:rsidRDefault="00A61DC5" w:rsidP="00BF225F">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Fourth, analysts are perceived to play a monitoring role by regularly following the firm’s accounts and providing research reports to investors (</w:t>
      </w:r>
      <w:r w:rsidR="00E80AF1" w:rsidRPr="006207BC">
        <w:rPr>
          <w:rFonts w:ascii="Times New Roman" w:hAnsi="Times New Roman" w:cs="Times New Roman"/>
          <w:sz w:val="24"/>
          <w:szCs w:val="24"/>
        </w:rPr>
        <w:t xml:space="preserve">Jensen and Meckling, 1976; </w:t>
      </w:r>
      <w:r w:rsidRPr="006207BC">
        <w:rPr>
          <w:rFonts w:ascii="Times New Roman" w:hAnsi="Times New Roman" w:cs="Times New Roman"/>
          <w:sz w:val="24"/>
          <w:szCs w:val="24"/>
        </w:rPr>
        <w:t xml:space="preserve">Chen </w:t>
      </w:r>
      <w:r w:rsidRPr="006207BC">
        <w:rPr>
          <w:rFonts w:ascii="Times New Roman" w:hAnsi="Times New Roman" w:cs="Times New Roman"/>
          <w:i/>
          <w:sz w:val="24"/>
          <w:szCs w:val="24"/>
        </w:rPr>
        <w:t>et al.</w:t>
      </w:r>
      <w:r w:rsidRPr="006207BC">
        <w:rPr>
          <w:rFonts w:ascii="Times New Roman" w:hAnsi="Times New Roman" w:cs="Times New Roman"/>
          <w:sz w:val="24"/>
          <w:szCs w:val="24"/>
        </w:rPr>
        <w:t>, 2015;</w:t>
      </w:r>
      <w:r w:rsidR="008014EC" w:rsidRPr="006207BC">
        <w:rPr>
          <w:rFonts w:ascii="Times New Roman" w:hAnsi="Times New Roman" w:cs="Times New Roman"/>
          <w:sz w:val="24"/>
          <w:szCs w:val="24"/>
        </w:rPr>
        <w:t xml:space="preserve"> </w:t>
      </w:r>
      <w:r w:rsidRPr="006207BC">
        <w:rPr>
          <w:rFonts w:ascii="Times New Roman" w:hAnsi="Times New Roman" w:cs="Times New Roman"/>
          <w:sz w:val="24"/>
          <w:szCs w:val="24"/>
        </w:rPr>
        <w:t>Zhang, 2018). As a form of voluntary disclosure, risk disclosure can increase the observability of managerial actions, thus allowing for closer monitoring of managerial actions by shareholders and other stakeholders</w:t>
      </w:r>
      <w:r w:rsidR="00CB7417" w:rsidRPr="006207BC">
        <w:rPr>
          <w:rFonts w:ascii="Times New Roman" w:hAnsi="Times New Roman" w:cs="Times New Roman"/>
          <w:sz w:val="24"/>
          <w:szCs w:val="24"/>
        </w:rPr>
        <w:t xml:space="preserve">. For example, Farag </w:t>
      </w:r>
      <w:r w:rsidR="00CB7417" w:rsidRPr="006207BC">
        <w:rPr>
          <w:rFonts w:ascii="Times New Roman" w:hAnsi="Times New Roman" w:cs="Times New Roman"/>
          <w:i/>
          <w:sz w:val="24"/>
          <w:szCs w:val="24"/>
        </w:rPr>
        <w:t>et al.</w:t>
      </w:r>
      <w:r w:rsidR="00CB7417" w:rsidRPr="006207BC">
        <w:rPr>
          <w:rFonts w:ascii="Times New Roman" w:hAnsi="Times New Roman" w:cs="Times New Roman"/>
          <w:sz w:val="24"/>
          <w:szCs w:val="24"/>
        </w:rPr>
        <w:t xml:space="preserve">, (2014) show that firms with greater number of risk factors </w:t>
      </w:r>
      <w:r w:rsidR="00692F99" w:rsidRPr="006207BC">
        <w:rPr>
          <w:rFonts w:ascii="Times New Roman" w:hAnsi="Times New Roman" w:cs="Times New Roman"/>
          <w:sz w:val="24"/>
          <w:szCs w:val="24"/>
        </w:rPr>
        <w:t>have better governance</w:t>
      </w:r>
      <w:r w:rsidR="00CB7417" w:rsidRPr="006207BC">
        <w:rPr>
          <w:rFonts w:ascii="Times New Roman" w:hAnsi="Times New Roman" w:cs="Times New Roman"/>
          <w:sz w:val="24"/>
          <w:szCs w:val="24"/>
        </w:rPr>
        <w:t xml:space="preserve">. </w:t>
      </w:r>
      <w:r w:rsidRPr="006207BC">
        <w:rPr>
          <w:rFonts w:ascii="Times New Roman" w:hAnsi="Times New Roman" w:cs="Times New Roman"/>
          <w:sz w:val="24"/>
          <w:szCs w:val="24"/>
        </w:rPr>
        <w:t xml:space="preserve">This implies lower monitoring costs for analysts </w:t>
      </w:r>
      <w:r w:rsidRPr="006207BC">
        <w:rPr>
          <w:rFonts w:ascii="Times New Roman" w:eastAsia="Times New Roman" w:hAnsi="Times New Roman" w:cs="Times New Roman"/>
          <w:sz w:val="24"/>
          <w:szCs w:val="24"/>
        </w:rPr>
        <w:t xml:space="preserve">in firms that already give different market participants the opportunity to monitor management through expanded voluntary disclosure. </w:t>
      </w:r>
      <w:r w:rsidRPr="006207BC">
        <w:rPr>
          <w:rFonts w:ascii="Times New Roman" w:hAnsi="Times New Roman" w:cs="Times New Roman"/>
          <w:sz w:val="24"/>
          <w:szCs w:val="24"/>
        </w:rPr>
        <w:t xml:space="preserve">This is even more relevant when considering risk disclosure, given that bad news conveyed by such disclosure is inherently more credible and trustworthy than other types of information, thus contributing further to the reduction of agency </w:t>
      </w:r>
      <w:r w:rsidR="00CE280B" w:rsidRPr="006207BC">
        <w:rPr>
          <w:rFonts w:ascii="Times New Roman" w:hAnsi="Times New Roman" w:cs="Times New Roman"/>
          <w:sz w:val="24"/>
          <w:szCs w:val="24"/>
        </w:rPr>
        <w:t>costs (</w:t>
      </w:r>
      <w:r w:rsidRPr="006207BC">
        <w:rPr>
          <w:rFonts w:ascii="Times New Roman" w:hAnsi="Times New Roman" w:cs="Times New Roman"/>
          <w:color w:val="222222"/>
          <w:sz w:val="24"/>
          <w:szCs w:val="24"/>
        </w:rPr>
        <w:t>Linsley</w:t>
      </w:r>
      <w:r w:rsidRPr="006207BC">
        <w:rPr>
          <w:rFonts w:ascii="Times New Roman" w:hAnsi="Times New Roman" w:cs="Times New Roman"/>
          <w:color w:val="222222"/>
          <w:sz w:val="24"/>
          <w:szCs w:val="24"/>
          <w:shd w:val="clear" w:color="auto" w:fill="FFFFFF"/>
        </w:rPr>
        <w:t xml:space="preserve"> and Shrives, 2006; </w:t>
      </w:r>
      <w:r w:rsidRPr="006207BC">
        <w:rPr>
          <w:rFonts w:ascii="Times New Roman" w:hAnsi="Times New Roman" w:cs="Times New Roman"/>
          <w:sz w:val="24"/>
          <w:szCs w:val="24"/>
        </w:rPr>
        <w:t>Miihkinen, 2012).</w:t>
      </w:r>
    </w:p>
    <w:p w14:paraId="75C8241C" w14:textId="77777777" w:rsidR="00BF225F" w:rsidRDefault="00A61DC5" w:rsidP="00BF225F">
      <w:pPr>
        <w:spacing w:before="240" w:after="240" w:line="360" w:lineRule="auto"/>
        <w:ind w:firstLine="360"/>
        <w:jc w:val="both"/>
        <w:rPr>
          <w:rFonts w:ascii="Times New Roman" w:hAnsi="Times New Roman" w:cs="Times New Roman"/>
          <w:sz w:val="24"/>
          <w:szCs w:val="24"/>
        </w:rPr>
      </w:pPr>
      <w:r w:rsidRPr="006207BC">
        <w:rPr>
          <w:rFonts w:ascii="Times New Roman" w:eastAsia="Times New Roman" w:hAnsi="Times New Roman" w:cs="Times New Roman"/>
          <w:sz w:val="24"/>
          <w:szCs w:val="24"/>
        </w:rPr>
        <w:t xml:space="preserve">From another angle, </w:t>
      </w:r>
      <w:r w:rsidRPr="006207BC">
        <w:rPr>
          <w:rFonts w:ascii="Times New Roman" w:hAnsi="Times New Roman" w:cs="Times New Roman"/>
          <w:sz w:val="24"/>
          <w:szCs w:val="24"/>
        </w:rPr>
        <w:t>risk disclosure typically reflects a firm’s exposure to risk and increases investors’ risk perception, suggesting that unknown contingencies and risks are communicated to the investors (Kravet and Muslu, 2013</w:t>
      </w:r>
      <w:r w:rsidR="000546AE" w:rsidRPr="006207BC">
        <w:rPr>
          <w:rFonts w:ascii="Times New Roman" w:hAnsi="Times New Roman" w:cs="Times New Roman"/>
          <w:sz w:val="24"/>
          <w:szCs w:val="24"/>
        </w:rPr>
        <w:t xml:space="preserve">; </w:t>
      </w:r>
      <w:r w:rsidR="000546AE" w:rsidRPr="006207BC">
        <w:rPr>
          <w:rFonts w:ascii="Times New Roman" w:hAnsi="Times New Roman" w:cs="Times New Roman"/>
          <w:color w:val="222222"/>
          <w:sz w:val="24"/>
          <w:szCs w:val="24"/>
          <w:shd w:val="clear" w:color="auto" w:fill="FFFFFF"/>
        </w:rPr>
        <w:t xml:space="preserve">Linciano </w:t>
      </w:r>
      <w:r w:rsidR="000546AE" w:rsidRPr="006207BC">
        <w:rPr>
          <w:rFonts w:ascii="Times New Roman" w:hAnsi="Times New Roman" w:cs="Times New Roman"/>
          <w:i/>
          <w:color w:val="222222"/>
          <w:sz w:val="24"/>
          <w:szCs w:val="24"/>
          <w:shd w:val="clear" w:color="auto" w:fill="FFFFFF"/>
        </w:rPr>
        <w:t>et al</w:t>
      </w:r>
      <w:r w:rsidR="000546AE" w:rsidRPr="006207BC">
        <w:rPr>
          <w:rFonts w:ascii="Times New Roman" w:hAnsi="Times New Roman" w:cs="Times New Roman"/>
          <w:color w:val="222222"/>
          <w:sz w:val="24"/>
          <w:szCs w:val="24"/>
          <w:shd w:val="clear" w:color="auto" w:fill="FFFFFF"/>
        </w:rPr>
        <w:t xml:space="preserve">., 2018; Bohnert </w:t>
      </w:r>
      <w:r w:rsidR="000546AE" w:rsidRPr="006207BC">
        <w:rPr>
          <w:rFonts w:ascii="Times New Roman" w:hAnsi="Times New Roman" w:cs="Times New Roman"/>
          <w:i/>
          <w:color w:val="222222"/>
          <w:sz w:val="24"/>
          <w:szCs w:val="24"/>
          <w:shd w:val="clear" w:color="auto" w:fill="FFFFFF"/>
        </w:rPr>
        <w:t>et al</w:t>
      </w:r>
      <w:r w:rsidR="000546AE" w:rsidRPr="006207BC">
        <w:rPr>
          <w:rFonts w:ascii="Times New Roman" w:hAnsi="Times New Roman" w:cs="Times New Roman"/>
          <w:color w:val="222222"/>
          <w:sz w:val="24"/>
          <w:szCs w:val="24"/>
          <w:shd w:val="clear" w:color="auto" w:fill="FFFFFF"/>
        </w:rPr>
        <w:t>., 2019</w:t>
      </w:r>
      <w:r w:rsidRPr="006207BC">
        <w:rPr>
          <w:rFonts w:ascii="Times New Roman" w:hAnsi="Times New Roman" w:cs="Times New Roman"/>
          <w:sz w:val="24"/>
          <w:szCs w:val="24"/>
        </w:rPr>
        <w:t xml:space="preserve">). This would raise investors’ concerns about the firm’s capacity to generate sufficient future cash flows and thus </w:t>
      </w:r>
      <w:r w:rsidRPr="006207BC">
        <w:rPr>
          <w:rFonts w:ascii="Times New Roman" w:hAnsi="Times New Roman" w:cs="Times New Roman"/>
          <w:sz w:val="24"/>
          <w:szCs w:val="24"/>
        </w:rPr>
        <w:lastRenderedPageBreak/>
        <w:t>ensure long-term sustainability (</w:t>
      </w:r>
      <w:r w:rsidRPr="006207BC">
        <w:rPr>
          <w:rFonts w:ascii="Times New Roman" w:hAnsi="Times New Roman" w:cs="Times New Roman"/>
          <w:color w:val="222222"/>
          <w:sz w:val="24"/>
          <w:szCs w:val="24"/>
          <w:shd w:val="clear" w:color="auto" w:fill="FFFFFF"/>
        </w:rPr>
        <w:t>Abraham and</w:t>
      </w:r>
      <w:r w:rsidR="00CE280B" w:rsidRPr="006207BC">
        <w:rPr>
          <w:rFonts w:ascii="Times New Roman" w:hAnsi="Times New Roman" w:cs="Times New Roman"/>
          <w:color w:val="222222"/>
          <w:sz w:val="24"/>
          <w:szCs w:val="24"/>
          <w:shd w:val="clear" w:color="auto" w:fill="FFFFFF"/>
        </w:rPr>
        <w:t xml:space="preserve"> Shrives, 2014</w:t>
      </w:r>
      <w:r w:rsidRPr="006207BC">
        <w:rPr>
          <w:rFonts w:ascii="Times New Roman" w:hAnsi="Times New Roman" w:cs="Times New Roman"/>
          <w:sz w:val="24"/>
          <w:szCs w:val="24"/>
        </w:rPr>
        <w:t xml:space="preserve">). In this respect, </w:t>
      </w:r>
      <w:r w:rsidR="008C7FE8" w:rsidRPr="006207BC">
        <w:rPr>
          <w:rStyle w:val="personname"/>
          <w:rFonts w:ascii="Times New Roman" w:hAnsi="Times New Roman" w:cs="Times New Roman"/>
          <w:sz w:val="24"/>
          <w:szCs w:val="24"/>
        </w:rPr>
        <w:t xml:space="preserve">Neri </w:t>
      </w:r>
      <w:r w:rsidR="008C7FE8" w:rsidRPr="006207BC">
        <w:rPr>
          <w:rStyle w:val="personname"/>
          <w:rFonts w:ascii="Times New Roman" w:hAnsi="Times New Roman" w:cs="Times New Roman"/>
          <w:i/>
          <w:sz w:val="24"/>
          <w:szCs w:val="24"/>
        </w:rPr>
        <w:t>et al.</w:t>
      </w:r>
      <w:r w:rsidR="008C7FE8" w:rsidRPr="006207BC">
        <w:rPr>
          <w:rStyle w:val="personname"/>
          <w:rFonts w:ascii="Times New Roman" w:hAnsi="Times New Roman" w:cs="Times New Roman"/>
          <w:sz w:val="24"/>
          <w:szCs w:val="24"/>
        </w:rPr>
        <w:t xml:space="preserve">, (2018) </w:t>
      </w:r>
      <w:r w:rsidRPr="006207BC">
        <w:rPr>
          <w:rFonts w:ascii="Times New Roman" w:hAnsi="Times New Roman" w:cs="Times New Roman"/>
          <w:sz w:val="24"/>
          <w:szCs w:val="24"/>
        </w:rPr>
        <w:t xml:space="preserve">find that bad news is priced negatively by the market and, therefore, investors’ risk perception is </w:t>
      </w:r>
      <w:proofErr w:type="gramStart"/>
      <w:r w:rsidRPr="006207BC">
        <w:rPr>
          <w:rFonts w:ascii="Times New Roman" w:hAnsi="Times New Roman" w:cs="Times New Roman"/>
          <w:sz w:val="24"/>
          <w:szCs w:val="24"/>
        </w:rPr>
        <w:t>increased</w:t>
      </w:r>
      <w:proofErr w:type="gramEnd"/>
      <w:r w:rsidRPr="006207BC">
        <w:rPr>
          <w:rFonts w:ascii="Times New Roman" w:hAnsi="Times New Roman" w:cs="Times New Roman"/>
          <w:sz w:val="24"/>
          <w:szCs w:val="24"/>
        </w:rPr>
        <w:t xml:space="preserve"> and market liquidity is worsened by creating information asymmetry. </w:t>
      </w:r>
      <w:r w:rsidRPr="006207BC">
        <w:rPr>
          <w:rFonts w:ascii="Times New Roman" w:eastAsia="Times New Roman" w:hAnsi="Times New Roman" w:cs="Times New Roman"/>
          <w:sz w:val="24"/>
          <w:szCs w:val="24"/>
        </w:rPr>
        <w:t xml:space="preserve">Since analysts are perceived as a sort of seal of approval in risky and uncertain environments, the demand for analyst services is expected to be higher for firms with greater risk disclosure. </w:t>
      </w:r>
      <w:r w:rsidRPr="006207BC">
        <w:rPr>
          <w:rFonts w:ascii="Times New Roman" w:hAnsi="Times New Roman" w:cs="Times New Roman"/>
          <w:sz w:val="24"/>
          <w:szCs w:val="24"/>
        </w:rPr>
        <w:t xml:space="preserve">For example, Barth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(2001) show that the number of analysts following a firm is higher if the firm has more intangible assets, because such assets are usually associated with inherent uncertainty, making analyst services more valuable.</w:t>
      </w:r>
    </w:p>
    <w:p w14:paraId="7E281403" w14:textId="77777777" w:rsidR="00BF225F" w:rsidRDefault="00A61DC5" w:rsidP="00BF225F">
      <w:pPr>
        <w:spacing w:before="240" w:after="240" w:line="360" w:lineRule="auto"/>
        <w:ind w:firstLine="360"/>
        <w:jc w:val="both"/>
        <w:rPr>
          <w:rFonts w:ascii="Times New Roman" w:hAnsi="Times New Roman" w:cs="Times New Roman"/>
          <w:sz w:val="24"/>
          <w:szCs w:val="24"/>
        </w:rPr>
      </w:pPr>
      <w:r w:rsidRPr="006207BC">
        <w:rPr>
          <w:rFonts w:ascii="Times New Roman" w:eastAsia="Times New Roman" w:hAnsi="Times New Roman" w:cs="Times New Roman"/>
          <w:sz w:val="24"/>
          <w:szCs w:val="24"/>
        </w:rPr>
        <w:t xml:space="preserve">Moreover, firms that are subject to numerous risks can involve greater agency problems with investors, requiring more analyst scrutiny to resolve these problems (Moyer </w:t>
      </w:r>
      <w:r w:rsidRPr="006207BC">
        <w:rPr>
          <w:rFonts w:ascii="Times New Roman" w:eastAsia="Times New Roman" w:hAnsi="Times New Roman" w:cs="Times New Roman"/>
          <w:i/>
          <w:sz w:val="24"/>
          <w:szCs w:val="24"/>
        </w:rPr>
        <w:t>et al.</w:t>
      </w:r>
      <w:r w:rsidRPr="006207BC">
        <w:rPr>
          <w:rFonts w:ascii="Times New Roman" w:eastAsia="Times New Roman" w:hAnsi="Times New Roman" w:cs="Times New Roman"/>
          <w:sz w:val="24"/>
          <w:szCs w:val="24"/>
        </w:rPr>
        <w:t xml:space="preserve">, 1989; </w:t>
      </w:r>
      <w:r w:rsidR="0051095B" w:rsidRPr="006207BC">
        <w:rPr>
          <w:rFonts w:ascii="Times New Roman" w:eastAsia="Times New Roman" w:hAnsi="Times New Roman" w:cs="Times New Roman"/>
          <w:sz w:val="24"/>
          <w:szCs w:val="24"/>
        </w:rPr>
        <w:t>Bhushan</w:t>
      </w:r>
      <w:r w:rsidRPr="006207BC">
        <w:rPr>
          <w:rFonts w:ascii="Times New Roman" w:eastAsia="Times New Roman" w:hAnsi="Times New Roman" w:cs="Times New Roman"/>
          <w:sz w:val="24"/>
          <w:szCs w:val="24"/>
        </w:rPr>
        <w:t xml:space="preserve"> and Cho, 1996). </w:t>
      </w:r>
      <w:r w:rsidRPr="006207BC">
        <w:rPr>
          <w:rFonts w:ascii="Times New Roman" w:hAnsi="Times New Roman" w:cs="Times New Roman"/>
          <w:sz w:val="24"/>
          <w:szCs w:val="24"/>
        </w:rPr>
        <w:t>Further, bad news that is voluntarily disclosed in annual reports, such as that contained in risk reporting, usually conveys vague and less formal information (Skinner, 1994). Indeed, managers are more reticent, intentionally or unintentionally, to provide precise and detailed information about highly risky projects because of the uncertainties of future cash flows inherent in these sorts of projects, as well as the risk that these managers would be penalized for not achieving their targeted results.</w:t>
      </w:r>
      <w:r w:rsidRPr="006207BC">
        <w:rPr>
          <w:rStyle w:val="Appelnotedebasdep"/>
          <w:rFonts w:ascii="Times New Roman" w:hAnsi="Times New Roman" w:cs="Times New Roman"/>
          <w:sz w:val="24"/>
          <w:szCs w:val="24"/>
        </w:rPr>
        <w:footnoteReference w:id="8"/>
      </w:r>
      <w:r w:rsidRPr="006207BC">
        <w:rPr>
          <w:rFonts w:ascii="Times New Roman" w:hAnsi="Times New Roman" w:cs="Times New Roman"/>
          <w:sz w:val="24"/>
          <w:szCs w:val="24"/>
        </w:rPr>
        <w:t xml:space="preserve"> In such an environment, analysts are expected to add more value in intermediating risk disclosure information to investors, using their expertise and professional experience, arguably increasing the demand for analyst services and, thereby, the analyst following (Bhushan, 1989; Zhang, 2018).</w:t>
      </w:r>
      <w:r w:rsidR="00BF225F">
        <w:rPr>
          <w:rFonts w:ascii="Times New Roman" w:hAnsi="Times New Roman" w:cs="Times New Roman"/>
          <w:sz w:val="24"/>
          <w:szCs w:val="24"/>
        </w:rPr>
        <w:t xml:space="preserve"> </w:t>
      </w:r>
    </w:p>
    <w:p w14:paraId="43D8B475" w14:textId="0BDED1EC" w:rsidR="00C20459" w:rsidRPr="006207BC" w:rsidRDefault="00A61DC5" w:rsidP="00BF225F">
      <w:pPr>
        <w:spacing w:before="240" w:after="240" w:line="360" w:lineRule="auto"/>
        <w:ind w:firstLine="360"/>
        <w:jc w:val="both"/>
        <w:rPr>
          <w:rFonts w:ascii="Times New Roman" w:hAnsi="Times New Roman" w:cs="Times New Roman"/>
          <w:sz w:val="24"/>
          <w:szCs w:val="24"/>
        </w:rPr>
      </w:pPr>
      <w:r w:rsidRPr="006207BC">
        <w:rPr>
          <w:rFonts w:ascii="Times New Roman" w:eastAsia="Times New Roman" w:hAnsi="Times New Roman" w:cs="Times New Roman"/>
          <w:sz w:val="24"/>
          <w:szCs w:val="24"/>
        </w:rPr>
        <w:t>Based on all these arguments, we hypothesize that firms with greater risk disclosure are followed by greater numbers of analysts.</w:t>
      </w:r>
    </w:p>
    <w:p w14:paraId="6B8FC943" w14:textId="77777777" w:rsidR="00C20459" w:rsidRPr="006207BC" w:rsidRDefault="00C20459">
      <w:pPr>
        <w:spacing w:before="240" w:after="240" w:line="360" w:lineRule="auto"/>
        <w:ind w:firstLine="720"/>
        <w:jc w:val="both"/>
        <w:rPr>
          <w:rFonts w:ascii="Times New Roman" w:eastAsia="Times New Roman" w:hAnsi="Times New Roman" w:cs="Times New Roman"/>
          <w:sz w:val="24"/>
          <w:szCs w:val="24"/>
        </w:rPr>
      </w:pPr>
    </w:p>
    <w:p w14:paraId="06290A9A" w14:textId="77777777" w:rsidR="00C20459" w:rsidRPr="006207BC" w:rsidRDefault="00A61DC5" w:rsidP="00DF50BA">
      <w:pPr>
        <w:pStyle w:val="Paragraphedeliste"/>
        <w:keepNext/>
        <w:numPr>
          <w:ilvl w:val="0"/>
          <w:numId w:val="2"/>
        </w:numPr>
        <w:spacing w:before="240" w:after="240" w:line="360" w:lineRule="auto"/>
        <w:contextualSpacing w:val="0"/>
        <w:jc w:val="both"/>
        <w:outlineLvl w:val="0"/>
        <w:rPr>
          <w:rFonts w:ascii="Times New Roman" w:hAnsi="Times New Roman" w:cs="Times New Roman"/>
          <w:b/>
          <w:sz w:val="24"/>
          <w:szCs w:val="24"/>
        </w:rPr>
      </w:pPr>
      <w:r w:rsidRPr="006207BC">
        <w:rPr>
          <w:rFonts w:ascii="Times New Roman" w:hAnsi="Times New Roman" w:cs="Times New Roman"/>
          <w:b/>
          <w:sz w:val="24"/>
          <w:szCs w:val="24"/>
        </w:rPr>
        <w:t>Data and variables</w:t>
      </w:r>
    </w:p>
    <w:p w14:paraId="6F8861C7" w14:textId="7B78B088"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This section presents the sample selection procedure (Section 3.1), describes the variables</w:t>
      </w:r>
      <w:r w:rsidR="00DF50BA" w:rsidRPr="006207BC">
        <w:rPr>
          <w:rFonts w:ascii="Times New Roman" w:hAnsi="Times New Roman" w:cs="Times New Roman"/>
          <w:sz w:val="24"/>
          <w:szCs w:val="24"/>
        </w:rPr>
        <w:t xml:space="preserve"> (</w:t>
      </w:r>
      <w:r w:rsidRPr="006207BC">
        <w:rPr>
          <w:rFonts w:ascii="Times New Roman" w:hAnsi="Times New Roman" w:cs="Times New Roman"/>
          <w:sz w:val="24"/>
          <w:szCs w:val="24"/>
        </w:rPr>
        <w:t>Section 3.2), and reports descriptive statistics and correlation analysis (Section 3.3).</w:t>
      </w:r>
    </w:p>
    <w:p w14:paraId="5E1BF319" w14:textId="77777777" w:rsidR="00C20459" w:rsidRPr="006207BC" w:rsidRDefault="00A61DC5" w:rsidP="00DE7487">
      <w:pPr>
        <w:pStyle w:val="Paragraphedeliste"/>
        <w:keepNext/>
        <w:numPr>
          <w:ilvl w:val="1"/>
          <w:numId w:val="2"/>
        </w:numPr>
        <w:spacing w:before="240" w:after="240" w:line="360" w:lineRule="auto"/>
        <w:jc w:val="both"/>
        <w:outlineLvl w:val="1"/>
        <w:rPr>
          <w:rFonts w:ascii="Times New Roman" w:hAnsi="Times New Roman" w:cs="Times New Roman"/>
          <w:b/>
          <w:i/>
          <w:sz w:val="24"/>
          <w:szCs w:val="24"/>
        </w:rPr>
      </w:pPr>
      <w:r w:rsidRPr="006207BC">
        <w:rPr>
          <w:rFonts w:ascii="Times New Roman" w:hAnsi="Times New Roman" w:cs="Times New Roman"/>
          <w:b/>
          <w:i/>
          <w:sz w:val="24"/>
          <w:szCs w:val="24"/>
        </w:rPr>
        <w:lastRenderedPageBreak/>
        <w:t xml:space="preserve"> Sample and data sources</w:t>
      </w:r>
    </w:p>
    <w:p w14:paraId="7149DDD2" w14:textId="79E856CB"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Our sample consists of French firms on the SBF 120 index over the period 2007−2015. Following prior studies, we exclude financial firms and utilities firms because of their specific regulations. We also discard observations that are missing data. We are left with a sample of 857 observations of 113 firms.</w:t>
      </w:r>
    </w:p>
    <w:p w14:paraId="39CFB607" w14:textId="69427C6B"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The number of analysts following a firm is obtained from the historical Institutional Broker Estimation System (I/B/E/S) international database. The risk factor sections are extracted manually from the firms’ annual reports, which are downloaded from the firms’ respective websites. The numbers of risk words, risk-related sentences, and total sentences are obtained by computer-aided content analysis and the numbers of risk factors are computed manually. All control variables are obtained from Thomson Reuters Datastream.</w:t>
      </w:r>
    </w:p>
    <w:p w14:paraId="70870461" w14:textId="77777777" w:rsidR="00C20459" w:rsidRPr="006207BC" w:rsidRDefault="00A61DC5" w:rsidP="00DE7487">
      <w:pPr>
        <w:pStyle w:val="Paragraphedeliste"/>
        <w:keepNext/>
        <w:numPr>
          <w:ilvl w:val="1"/>
          <w:numId w:val="2"/>
        </w:numPr>
        <w:spacing w:before="240" w:after="240" w:line="360" w:lineRule="auto"/>
        <w:jc w:val="both"/>
        <w:outlineLvl w:val="1"/>
        <w:rPr>
          <w:rFonts w:ascii="Times New Roman" w:hAnsi="Times New Roman" w:cs="Times New Roman"/>
          <w:b/>
          <w:i/>
          <w:sz w:val="24"/>
          <w:szCs w:val="24"/>
        </w:rPr>
      </w:pPr>
      <w:r w:rsidRPr="006207BC">
        <w:rPr>
          <w:rFonts w:ascii="Times New Roman" w:hAnsi="Times New Roman" w:cs="Times New Roman"/>
          <w:b/>
          <w:i/>
          <w:sz w:val="24"/>
          <w:szCs w:val="24"/>
        </w:rPr>
        <w:t xml:space="preserve"> Regression variables</w:t>
      </w:r>
    </w:p>
    <w:p w14:paraId="06BFF547" w14:textId="126CE03B"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In this section, we provide details on the measurement of the variables used in the main analysis. The Appendix presents the definitions and data sources for all the variables used for the empirical tests.</w:t>
      </w:r>
    </w:p>
    <w:p w14:paraId="0D3157F9" w14:textId="77777777" w:rsidR="00C20459" w:rsidRPr="006207BC" w:rsidRDefault="00A61DC5" w:rsidP="00DE7487">
      <w:pPr>
        <w:pStyle w:val="Paragraphedeliste"/>
        <w:keepNext/>
        <w:numPr>
          <w:ilvl w:val="2"/>
          <w:numId w:val="2"/>
        </w:numPr>
        <w:spacing w:before="240" w:after="240" w:line="360" w:lineRule="auto"/>
        <w:jc w:val="both"/>
        <w:outlineLvl w:val="2"/>
        <w:rPr>
          <w:rFonts w:ascii="Times New Roman" w:hAnsi="Times New Roman" w:cs="Times New Roman"/>
          <w:i/>
          <w:sz w:val="24"/>
          <w:szCs w:val="24"/>
        </w:rPr>
      </w:pPr>
      <w:r w:rsidRPr="006207BC">
        <w:rPr>
          <w:rFonts w:ascii="Times New Roman" w:hAnsi="Times New Roman" w:cs="Times New Roman"/>
          <w:i/>
          <w:sz w:val="24"/>
          <w:szCs w:val="24"/>
        </w:rPr>
        <w:t>Analyst following</w:t>
      </w:r>
    </w:p>
    <w:p w14:paraId="3908A142" w14:textId="2FEB898D" w:rsidR="00C20459" w:rsidRPr="006207BC" w:rsidRDefault="00A61DC5" w:rsidP="00BF225F">
      <w:pPr>
        <w:spacing w:before="240" w:after="240" w:line="360" w:lineRule="auto"/>
        <w:ind w:firstLine="450"/>
        <w:jc w:val="both"/>
        <w:rPr>
          <w:rFonts w:ascii="Times New Roman" w:hAnsi="Times New Roman" w:cs="Times New Roman"/>
          <w:sz w:val="24"/>
          <w:szCs w:val="24"/>
        </w:rPr>
      </w:pPr>
      <w:r w:rsidRPr="006207BC">
        <w:rPr>
          <w:rFonts w:ascii="Times New Roman" w:hAnsi="Times New Roman" w:cs="Times New Roman"/>
          <w:sz w:val="24"/>
          <w:szCs w:val="24"/>
        </w:rPr>
        <w:t xml:space="preserve">Our dependent variable, </w:t>
      </w:r>
      <w:r w:rsidRPr="006207BC">
        <w:rPr>
          <w:rFonts w:ascii="Times New Roman" w:hAnsi="Times New Roman" w:cs="Times New Roman"/>
          <w:i/>
          <w:sz w:val="24"/>
          <w:szCs w:val="24"/>
        </w:rPr>
        <w:t>Analyst</w:t>
      </w:r>
      <w:r w:rsidRPr="006207BC">
        <w:rPr>
          <w:rFonts w:ascii="Times New Roman" w:hAnsi="Times New Roman" w:cs="Times New Roman"/>
          <w:sz w:val="24"/>
          <w:szCs w:val="24"/>
        </w:rPr>
        <w:t>, is the number of analysts following a firm. It is measured as the number of earnings per share estimates issued by analysts per year for a particular firm.</w:t>
      </w:r>
    </w:p>
    <w:p w14:paraId="1B1F247D" w14:textId="77777777" w:rsidR="00C20459" w:rsidRPr="006207BC" w:rsidRDefault="00A61DC5" w:rsidP="00DE7487">
      <w:pPr>
        <w:pStyle w:val="Paragraphedeliste"/>
        <w:keepNext/>
        <w:numPr>
          <w:ilvl w:val="2"/>
          <w:numId w:val="2"/>
        </w:numPr>
        <w:spacing w:before="240" w:after="240" w:line="360" w:lineRule="auto"/>
        <w:jc w:val="both"/>
        <w:outlineLvl w:val="2"/>
        <w:rPr>
          <w:rFonts w:ascii="Times New Roman" w:hAnsi="Times New Roman" w:cs="Times New Roman"/>
          <w:i/>
          <w:sz w:val="24"/>
          <w:szCs w:val="24"/>
        </w:rPr>
      </w:pPr>
      <w:r w:rsidRPr="006207BC">
        <w:rPr>
          <w:rFonts w:ascii="Times New Roman" w:hAnsi="Times New Roman" w:cs="Times New Roman"/>
          <w:i/>
          <w:sz w:val="24"/>
          <w:szCs w:val="24"/>
        </w:rPr>
        <w:t>Risk disclosure</w:t>
      </w:r>
    </w:p>
    <w:p w14:paraId="14C79C24" w14:textId="7D52F868"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Following the relevant risk disclosure literature, our risk disclosure measures are based on a textual analysis of the risk factor section</w:t>
      </w:r>
      <w:r w:rsidR="00E80AF1" w:rsidRPr="006207BC">
        <w:rPr>
          <w:rFonts w:ascii="Times New Roman" w:hAnsi="Times New Roman" w:cs="Times New Roman"/>
          <w:sz w:val="24"/>
          <w:szCs w:val="24"/>
        </w:rPr>
        <w:t xml:space="preserve"> of firms’ annual reports (e.g., </w:t>
      </w:r>
      <w:r w:rsidR="00945B0D" w:rsidRPr="006207BC">
        <w:rPr>
          <w:rStyle w:val="personname"/>
          <w:rFonts w:ascii="Times New Roman" w:hAnsi="Times New Roman" w:cs="Times New Roman"/>
          <w:sz w:val="24"/>
          <w:szCs w:val="24"/>
        </w:rPr>
        <w:t>Linsley and Shrives, 2006</w:t>
      </w:r>
      <w:r w:rsidR="00E80AF1" w:rsidRPr="006207BC">
        <w:rPr>
          <w:rStyle w:val="personname"/>
          <w:rFonts w:ascii="Times New Roman" w:hAnsi="Times New Roman" w:cs="Times New Roman"/>
          <w:sz w:val="24"/>
          <w:szCs w:val="24"/>
        </w:rPr>
        <w:t>;</w:t>
      </w:r>
      <w:r w:rsidR="00E80AF1" w:rsidRPr="006207BC">
        <w:rPr>
          <w:rFonts w:ascii="Times New Roman" w:hAnsi="Times New Roman" w:cs="Times New Roman"/>
          <w:sz w:val="24"/>
          <w:szCs w:val="24"/>
        </w:rPr>
        <w:t xml:space="preserve"> </w:t>
      </w:r>
      <w:r w:rsidR="00E80AF1" w:rsidRPr="006207BC">
        <w:rPr>
          <w:rStyle w:val="personname"/>
          <w:rFonts w:ascii="Times New Roman" w:hAnsi="Times New Roman" w:cs="Times New Roman"/>
          <w:sz w:val="24"/>
          <w:szCs w:val="24"/>
        </w:rPr>
        <w:t>Dobler</w:t>
      </w:r>
      <w:r w:rsidR="00E80AF1" w:rsidRPr="006207BC">
        <w:rPr>
          <w:rFonts w:ascii="Times New Roman" w:hAnsi="Times New Roman" w:cs="Times New Roman"/>
          <w:i/>
          <w:sz w:val="24"/>
          <w:szCs w:val="24"/>
        </w:rPr>
        <w:t xml:space="preserve"> et al.</w:t>
      </w:r>
      <w:r w:rsidR="00E80AF1" w:rsidRPr="006207BC">
        <w:rPr>
          <w:rStyle w:val="personname"/>
          <w:rFonts w:ascii="Times New Roman" w:hAnsi="Times New Roman" w:cs="Times New Roman"/>
          <w:sz w:val="24"/>
          <w:szCs w:val="24"/>
        </w:rPr>
        <w:t xml:space="preserve">, 2011; </w:t>
      </w:r>
      <w:r w:rsidR="00E80AF1" w:rsidRPr="006207BC">
        <w:rPr>
          <w:rFonts w:ascii="Times New Roman" w:hAnsi="Times New Roman" w:cs="Times New Roman"/>
          <w:sz w:val="24"/>
          <w:szCs w:val="24"/>
        </w:rPr>
        <w:t xml:space="preserve">Campbell </w:t>
      </w:r>
      <w:r w:rsidR="00E80AF1" w:rsidRPr="006207BC">
        <w:rPr>
          <w:rFonts w:ascii="Times New Roman" w:hAnsi="Times New Roman" w:cs="Times New Roman"/>
          <w:i/>
          <w:sz w:val="24"/>
          <w:szCs w:val="24"/>
        </w:rPr>
        <w:t>et al.</w:t>
      </w:r>
      <w:r w:rsidR="00E80AF1" w:rsidRPr="006207BC">
        <w:rPr>
          <w:rFonts w:ascii="Times New Roman" w:hAnsi="Times New Roman" w:cs="Times New Roman"/>
          <w:sz w:val="24"/>
          <w:szCs w:val="24"/>
        </w:rPr>
        <w:t>, 2014</w:t>
      </w:r>
      <w:r w:rsidRPr="006207BC">
        <w:rPr>
          <w:rFonts w:ascii="Times New Roman" w:hAnsi="Times New Roman" w:cs="Times New Roman"/>
          <w:sz w:val="24"/>
          <w:szCs w:val="24"/>
        </w:rPr>
        <w:t xml:space="preserve">). In this analysis, we do not consider any risk management policy description or any risk coverage/insurance coverage sections. The goal is to include only the pure description of the risks, since we are interested in the potential impact of information on events/operations with uncertain or negative future outcomes for the firm, consistent with previous studies (e.g. Linsley and </w:t>
      </w:r>
      <w:hyperlink r:id="rId10" w:history="1">
        <w:r w:rsidRPr="006207BC">
          <w:rPr>
            <w:rFonts w:ascii="Times New Roman" w:hAnsi="Times New Roman" w:cs="Times New Roman"/>
            <w:sz w:val="24"/>
            <w:szCs w:val="24"/>
          </w:rPr>
          <w:t>Shrives</w:t>
        </w:r>
      </w:hyperlink>
      <w:r w:rsidRPr="006207BC">
        <w:rPr>
          <w:rFonts w:ascii="Times New Roman" w:hAnsi="Times New Roman" w:cs="Times New Roman"/>
          <w:sz w:val="24"/>
          <w:szCs w:val="24"/>
        </w:rPr>
        <w:t>, 2006).</w:t>
      </w:r>
    </w:p>
    <w:p w14:paraId="73109D59" w14:textId="5C7CC772" w:rsidR="00E6679A" w:rsidRPr="006207BC" w:rsidRDefault="00E6679A">
      <w:pPr>
        <w:spacing w:before="240" w:after="240" w:line="360" w:lineRule="auto"/>
        <w:ind w:firstLine="360"/>
        <w:jc w:val="both"/>
        <w:rPr>
          <w:rFonts w:ascii="Times New Roman" w:hAnsi="Times New Roman" w:cs="Times New Roman"/>
          <w:sz w:val="24"/>
          <w:szCs w:val="24"/>
        </w:rPr>
      </w:pPr>
      <w:r w:rsidRPr="006207BC">
        <w:rPr>
          <w:rFonts w:ascii="Times New Roman" w:eastAsia="Times New Roman" w:hAnsi="Times New Roman" w:cs="Times New Roman"/>
          <w:sz w:val="24"/>
          <w:szCs w:val="24"/>
        </w:rPr>
        <w:lastRenderedPageBreak/>
        <w:t xml:space="preserve">It is worth noting that our sample consists of the largest French listed firms in which it is common </w:t>
      </w:r>
      <w:r w:rsidRPr="006207BC">
        <w:rPr>
          <w:rFonts w:ascii="Times New Roman" w:hAnsi="Times New Roman" w:cs="Times New Roman"/>
          <w:sz w:val="24"/>
          <w:szCs w:val="24"/>
        </w:rPr>
        <w:t>to communicate and to report both in French and in English</w:t>
      </w:r>
      <w:r w:rsidRPr="006207BC">
        <w:rPr>
          <w:rStyle w:val="Marquedecommentaire"/>
          <w:rFonts w:ascii="Times New Roman" w:hAnsi="Times New Roman" w:cs="Times New Roman"/>
          <w:sz w:val="24"/>
          <w:szCs w:val="24"/>
        </w:rPr>
        <w:t>, g</w:t>
      </w:r>
      <w:r w:rsidRPr="006207BC">
        <w:rPr>
          <w:rFonts w:ascii="Times New Roman" w:eastAsia="Times New Roman" w:hAnsi="Times New Roman" w:cs="Times New Roman"/>
          <w:sz w:val="24"/>
          <w:szCs w:val="24"/>
        </w:rPr>
        <w:t xml:space="preserve">iven that their target audience is public and international and they usually </w:t>
      </w:r>
      <w:r w:rsidRPr="006207BC">
        <w:rPr>
          <w:rFonts w:ascii="Times New Roman" w:hAnsi="Times New Roman" w:cs="Times New Roman"/>
          <w:sz w:val="24"/>
          <w:szCs w:val="24"/>
        </w:rPr>
        <w:t>cross-list in the U.S. or/and in other international markets</w:t>
      </w:r>
      <w:r w:rsidRPr="006207BC">
        <w:rPr>
          <w:rFonts w:ascii="Times New Roman" w:eastAsia="Times New Roman" w:hAnsi="Times New Roman" w:cs="Times New Roman"/>
          <w:sz w:val="24"/>
          <w:szCs w:val="24"/>
        </w:rPr>
        <w:t xml:space="preserve">. </w:t>
      </w:r>
      <w:r w:rsidRPr="006207BC">
        <w:rPr>
          <w:rFonts w:ascii="Times New Roman" w:hAnsi="Times New Roman" w:cs="Times New Roman"/>
          <w:sz w:val="24"/>
          <w:szCs w:val="24"/>
        </w:rPr>
        <w:t>Zreik and Louhichi (2017) highlight a high level of congruence between the French and the English versions of</w:t>
      </w:r>
      <w:r w:rsidRPr="006207BC">
        <w:rPr>
          <w:rStyle w:val="Marquedecommentaire"/>
          <w:rFonts w:ascii="Times New Roman" w:hAnsi="Times New Roman" w:cs="Times New Roman"/>
          <w:sz w:val="24"/>
          <w:szCs w:val="24"/>
        </w:rPr>
        <w:t xml:space="preserve"> the </w:t>
      </w:r>
      <w:r w:rsidRPr="006207BC">
        <w:rPr>
          <w:rFonts w:ascii="Times New Roman" w:hAnsi="Times New Roman" w:cs="Times New Roman"/>
          <w:sz w:val="24"/>
          <w:szCs w:val="24"/>
        </w:rPr>
        <w:t xml:space="preserve">annual reports of </w:t>
      </w:r>
      <w:r w:rsidRPr="006207BC">
        <w:rPr>
          <w:rFonts w:ascii="Times New Roman" w:hAnsi="Times New Roman" w:cs="Times New Roman"/>
          <w:sz w:val="24"/>
          <w:szCs w:val="24"/>
          <w:shd w:val="clear" w:color="auto" w:fill="FFFFFF"/>
        </w:rPr>
        <w:t>French listed firms belonging to the SBF 120 index</w:t>
      </w:r>
      <w:r w:rsidRPr="006207BC">
        <w:rPr>
          <w:rFonts w:ascii="Times New Roman" w:hAnsi="Times New Roman" w:cs="Times New Roman"/>
          <w:sz w:val="24"/>
          <w:szCs w:val="24"/>
        </w:rPr>
        <w:t>. Thus, we validate the use of the English version of annual reports for this study, and we are ensured that this will not lead to potential bias in our conclusions.</w:t>
      </w:r>
    </w:p>
    <w:p w14:paraId="48BDC48E" w14:textId="203AD544"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The first step of our analysis consists in downloading annuals reports from the </w:t>
      </w:r>
      <w:r w:rsidR="00F22058" w:rsidRPr="006207BC">
        <w:rPr>
          <w:rFonts w:ascii="Times New Roman" w:hAnsi="Times New Roman" w:cs="Times New Roman"/>
          <w:sz w:val="24"/>
          <w:szCs w:val="24"/>
        </w:rPr>
        <w:t>firm</w:t>
      </w:r>
      <w:r w:rsidRPr="006207BC">
        <w:rPr>
          <w:rFonts w:ascii="Times New Roman" w:hAnsi="Times New Roman" w:cs="Times New Roman"/>
          <w:sz w:val="24"/>
          <w:szCs w:val="24"/>
        </w:rPr>
        <w:t xml:space="preserve">s’ websites. Next, we manually extract textual risk disclosures that generally appear to be a risk factor section </w:t>
      </w:r>
      <w:r w:rsidR="00553DCC" w:rsidRPr="006207BC">
        <w:rPr>
          <w:rFonts w:ascii="Times New Roman" w:hAnsi="Times New Roman" w:cs="Times New Roman"/>
          <w:sz w:val="24"/>
          <w:szCs w:val="24"/>
        </w:rPr>
        <w:t>of</w:t>
      </w:r>
      <w:r w:rsidRPr="006207BC">
        <w:rPr>
          <w:rFonts w:ascii="Times New Roman" w:hAnsi="Times New Roman" w:cs="Times New Roman"/>
          <w:sz w:val="24"/>
          <w:szCs w:val="24"/>
        </w:rPr>
        <w:t xml:space="preserve"> the annual report.</w:t>
      </w:r>
      <w:r w:rsidRPr="006207BC">
        <w:rPr>
          <w:rFonts w:ascii="Times New Roman" w:hAnsi="Times New Roman" w:cs="Times New Roman"/>
        </w:rPr>
        <w:t xml:space="preserve"> </w:t>
      </w:r>
      <w:r w:rsidRPr="006207BC">
        <w:rPr>
          <w:rFonts w:ascii="Times New Roman" w:hAnsi="Times New Roman" w:cs="Times New Roman"/>
          <w:sz w:val="24"/>
          <w:szCs w:val="24"/>
        </w:rPr>
        <w:t xml:space="preserve">Lastly, we analyse, both manually and </w:t>
      </w:r>
      <w:r w:rsidR="00654D1F" w:rsidRPr="006207BC">
        <w:rPr>
          <w:rFonts w:ascii="Times New Roman" w:hAnsi="Times New Roman" w:cs="Times New Roman"/>
          <w:sz w:val="24"/>
          <w:szCs w:val="24"/>
        </w:rPr>
        <w:t>with computer assistance,</w:t>
      </w:r>
      <w:r w:rsidRPr="006207BC">
        <w:rPr>
          <w:rFonts w:ascii="Times New Roman" w:hAnsi="Times New Roman" w:cs="Times New Roman"/>
          <w:sz w:val="24"/>
          <w:szCs w:val="24"/>
        </w:rPr>
        <w:t xml:space="preserve"> the files obtained and construct four variables for risk disclosure. Higher values of these variables are associated with greater firm transparency and more informative risk disclosure.</w:t>
      </w:r>
    </w:p>
    <w:p w14:paraId="332A4D42" w14:textId="1102E275"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First, the variable </w:t>
      </w:r>
      <w:r w:rsidRPr="006207BC">
        <w:rPr>
          <w:rFonts w:ascii="Times New Roman" w:hAnsi="Times New Roman" w:cs="Times New Roman"/>
          <w:i/>
          <w:sz w:val="24"/>
          <w:szCs w:val="24"/>
        </w:rPr>
        <w:t>Risk_words</w:t>
      </w:r>
      <w:r w:rsidRPr="006207BC">
        <w:rPr>
          <w:rFonts w:ascii="Times New Roman" w:hAnsi="Times New Roman" w:cs="Times New Roman"/>
          <w:sz w:val="24"/>
          <w:szCs w:val="24"/>
        </w:rPr>
        <w:t xml:space="preserve"> is the number of risk words, measured as the natural logarithm of the number of risk words in the risk factor section. Consistent with our focus on risk disclosures with negative or uncertain connotations, we opt for the following risk word list, provided by Kravet and Muslu (2013): </w:t>
      </w:r>
      <w:r w:rsidRPr="006207BC">
        <w:rPr>
          <w:rFonts w:ascii="Times New Roman" w:hAnsi="Times New Roman" w:cs="Times New Roman"/>
          <w:i/>
          <w:sz w:val="24"/>
          <w:szCs w:val="24"/>
        </w:rPr>
        <w:t xml:space="preserve">can/cannot, could, may, might, risk*, uncertain*, likely to, subject to, potential*, vary*/varies, depend*, expos*, fluctuat*, possibl*, susceptible, affect, influenc*, </w:t>
      </w:r>
      <w:r w:rsidRPr="006207BC">
        <w:rPr>
          <w:rFonts w:ascii="Times New Roman" w:hAnsi="Times New Roman" w:cs="Times New Roman"/>
          <w:sz w:val="24"/>
          <w:szCs w:val="24"/>
        </w:rPr>
        <w:t>and</w:t>
      </w:r>
      <w:r w:rsidRPr="006207BC">
        <w:rPr>
          <w:rFonts w:ascii="Times New Roman" w:hAnsi="Times New Roman" w:cs="Times New Roman"/>
          <w:i/>
          <w:sz w:val="24"/>
          <w:szCs w:val="24"/>
        </w:rPr>
        <w:t xml:space="preserve"> hedg</w:t>
      </w:r>
      <w:r w:rsidRPr="006207BC">
        <w:rPr>
          <w:rFonts w:ascii="Times New Roman" w:hAnsi="Times New Roman" w:cs="Times New Roman"/>
          <w:sz w:val="24"/>
          <w:szCs w:val="24"/>
        </w:rPr>
        <w:t>*. The asterisk implies that suffixes are allowed. This choice is, in addition, consistent with our reading of 20 randomly selected risk factor sections extracted from the annual reports of the sampled firms.</w:t>
      </w:r>
      <w:r w:rsidRPr="006207BC">
        <w:rPr>
          <w:rStyle w:val="Appelnotedebasdep"/>
          <w:rFonts w:ascii="Times New Roman" w:hAnsi="Times New Roman" w:cs="Times New Roman"/>
          <w:sz w:val="24"/>
          <w:szCs w:val="24"/>
        </w:rPr>
        <w:footnoteReference w:id="9"/>
      </w:r>
    </w:p>
    <w:p w14:paraId="78E2B65D" w14:textId="75CD1962"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Second, the variable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w:t>
      </w:r>
      <w:proofErr w:type="gramStart"/>
      <w:r w:rsidRPr="006207BC">
        <w:rPr>
          <w:rFonts w:ascii="Times New Roman" w:hAnsi="Times New Roman" w:cs="Times New Roman"/>
          <w:sz w:val="24"/>
          <w:szCs w:val="24"/>
        </w:rPr>
        <w:t>is</w:t>
      </w:r>
      <w:proofErr w:type="gramEnd"/>
      <w:r w:rsidRPr="006207BC">
        <w:rPr>
          <w:rFonts w:ascii="Times New Roman" w:hAnsi="Times New Roman" w:cs="Times New Roman"/>
          <w:sz w:val="24"/>
          <w:szCs w:val="24"/>
        </w:rPr>
        <w:t xml:space="preserve"> the number of sentences containing at least one risk word from the above-mentioned list, measured as the natural logarithm of the number of risk-related sentences in the risk factor section. A certain consensus in the risk disclosure literature has emerged regarding the advantages of using sentences as coding units instead of words (Linsley and Shrives, 2006; Abraham and Cox, 2007; Dobler</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xml:space="preserve">, 2011; Kravet and Muslu, 2013; Abraham and Shrives, 2014). Indeed, in a text, one sentence is generally intended to convey one </w:t>
      </w:r>
      <w:r w:rsidRPr="006207BC">
        <w:rPr>
          <w:rFonts w:ascii="Times New Roman" w:hAnsi="Times New Roman" w:cs="Times New Roman"/>
          <w:sz w:val="24"/>
          <w:szCs w:val="24"/>
        </w:rPr>
        <w:lastRenderedPageBreak/>
        <w:t>idea, which can avoid counting an item of risk information more than once if a sentence contains numerous risk words (Kravet and Muslu, 2013). In our counting process, a table or headline is treated as one sentence.</w:t>
      </w:r>
    </w:p>
    <w:p w14:paraId="2C7B0260" w14:textId="529358FD"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Third, the variable </w:t>
      </w:r>
      <w:r w:rsidRPr="006207BC">
        <w:rPr>
          <w:rFonts w:ascii="Times New Roman" w:hAnsi="Times New Roman" w:cs="Times New Roman"/>
          <w:i/>
          <w:sz w:val="24"/>
          <w:szCs w:val="24"/>
        </w:rPr>
        <w:t>Risk_factors</w:t>
      </w:r>
      <w:r w:rsidRPr="006207BC">
        <w:rPr>
          <w:rFonts w:ascii="Times New Roman" w:hAnsi="Times New Roman" w:cs="Times New Roman"/>
          <w:sz w:val="24"/>
          <w:szCs w:val="24"/>
        </w:rPr>
        <w:t xml:space="preserve"> </w:t>
      </w:r>
      <w:proofErr w:type="gramStart"/>
      <w:r w:rsidRPr="006207BC">
        <w:rPr>
          <w:rFonts w:ascii="Times New Roman" w:hAnsi="Times New Roman" w:cs="Times New Roman"/>
          <w:sz w:val="24"/>
          <w:szCs w:val="24"/>
        </w:rPr>
        <w:t>is</w:t>
      </w:r>
      <w:proofErr w:type="gramEnd"/>
      <w:r w:rsidRPr="006207BC">
        <w:rPr>
          <w:rFonts w:ascii="Times New Roman" w:hAnsi="Times New Roman" w:cs="Times New Roman"/>
          <w:sz w:val="24"/>
          <w:szCs w:val="24"/>
        </w:rPr>
        <w:t xml:space="preserve"> the number of risk factors, measured as the natural logarithm of the number of risk factors in the risk description section. Risk factors provided by managers in the annual report are shown to meaningfully convey to investors a firm’s exposure to risks (Beretta and Bozzolan, 2004;</w:t>
      </w:r>
      <w:r w:rsidRPr="006207BC">
        <w:t xml:space="preserve"> </w:t>
      </w:r>
      <w:r w:rsidRPr="006207BC">
        <w:rPr>
          <w:rFonts w:ascii="Times New Roman" w:hAnsi="Times New Roman" w:cs="Times New Roman"/>
          <w:sz w:val="24"/>
          <w:szCs w:val="24"/>
        </w:rPr>
        <w:t xml:space="preserve">Abraham and Shrives, 2014; Campbell </w:t>
      </w:r>
      <w:r w:rsidRPr="006207BC">
        <w:rPr>
          <w:rFonts w:ascii="Times New Roman" w:hAnsi="Times New Roman" w:cs="Times New Roman"/>
          <w:i/>
          <w:sz w:val="24"/>
          <w:szCs w:val="24"/>
        </w:rPr>
        <w:t>et al.</w:t>
      </w:r>
      <w:r w:rsidRPr="006207BC">
        <w:rPr>
          <w:rFonts w:ascii="Times New Roman" w:hAnsi="Times New Roman" w:cs="Times New Roman"/>
          <w:sz w:val="24"/>
          <w:szCs w:val="24"/>
        </w:rPr>
        <w:t>, 2014)</w:t>
      </w:r>
      <w:r w:rsidRPr="006207BC">
        <w:rPr>
          <w:rFonts w:ascii="AdvGulliv-R" w:hAnsi="AdvGulliv-R" w:cs="AdvGulliv-R"/>
          <w:color w:val="0080AE"/>
          <w:sz w:val="16"/>
          <w:szCs w:val="16"/>
        </w:rPr>
        <w:t xml:space="preserve">. </w:t>
      </w:r>
      <w:r w:rsidRPr="006207BC">
        <w:rPr>
          <w:rFonts w:ascii="Times New Roman" w:hAnsi="Times New Roman" w:cs="Times New Roman"/>
          <w:sz w:val="24"/>
          <w:szCs w:val="24"/>
        </w:rPr>
        <w:t xml:space="preserve">We consider all types of risk factors, including those specific to the </w:t>
      </w:r>
      <w:r w:rsidR="00F22058" w:rsidRPr="006207BC">
        <w:rPr>
          <w:rFonts w:ascii="Times New Roman" w:hAnsi="Times New Roman" w:cs="Times New Roman"/>
          <w:sz w:val="24"/>
          <w:szCs w:val="24"/>
        </w:rPr>
        <w:t>firm</w:t>
      </w:r>
      <w:r w:rsidRPr="006207BC">
        <w:rPr>
          <w:rFonts w:ascii="Times New Roman" w:hAnsi="Times New Roman" w:cs="Times New Roman"/>
          <w:sz w:val="24"/>
          <w:szCs w:val="24"/>
        </w:rPr>
        <w:t xml:space="preserve"> or to the industry in which the </w:t>
      </w:r>
      <w:r w:rsidR="00F22058" w:rsidRPr="006207BC">
        <w:rPr>
          <w:rFonts w:ascii="Times New Roman" w:hAnsi="Times New Roman" w:cs="Times New Roman"/>
          <w:sz w:val="24"/>
          <w:szCs w:val="24"/>
        </w:rPr>
        <w:t>firm</w:t>
      </w:r>
      <w:r w:rsidRPr="006207BC">
        <w:rPr>
          <w:rFonts w:ascii="Times New Roman" w:hAnsi="Times New Roman" w:cs="Times New Roman"/>
          <w:sz w:val="24"/>
          <w:szCs w:val="24"/>
        </w:rPr>
        <w:t xml:space="preserve"> operates, as well as financial and general non-financial risk factors. Our analysis of risk factors is not limited to simply counting risk factors as highlighted in the headlines of the risk factor section; we examine each subsection in depth to identify all the risks that are reported by the firm.</w:t>
      </w:r>
    </w:p>
    <w:p w14:paraId="0616E8A2" w14:textId="450E06DC"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Fourth, the variable </w:t>
      </w:r>
      <w:r w:rsidRPr="006207BC">
        <w:rPr>
          <w:rFonts w:ascii="Times New Roman" w:hAnsi="Times New Roman" w:cs="Times New Roman"/>
          <w:i/>
          <w:sz w:val="24"/>
          <w:szCs w:val="24"/>
        </w:rPr>
        <w:t>Total_sentences</w:t>
      </w:r>
      <w:r w:rsidRPr="006207BC">
        <w:rPr>
          <w:rFonts w:ascii="Times New Roman" w:hAnsi="Times New Roman" w:cs="Times New Roman"/>
          <w:sz w:val="24"/>
          <w:szCs w:val="24"/>
        </w:rPr>
        <w:t xml:space="preserve"> </w:t>
      </w:r>
      <w:proofErr w:type="gramStart"/>
      <w:r w:rsidRPr="006207BC">
        <w:rPr>
          <w:rFonts w:ascii="Times New Roman" w:hAnsi="Times New Roman" w:cs="Times New Roman"/>
          <w:sz w:val="24"/>
          <w:szCs w:val="24"/>
        </w:rPr>
        <w:t>is</w:t>
      </w:r>
      <w:proofErr w:type="gramEnd"/>
      <w:r w:rsidRPr="006207BC">
        <w:rPr>
          <w:rFonts w:ascii="Times New Roman" w:hAnsi="Times New Roman" w:cs="Times New Roman"/>
          <w:sz w:val="24"/>
          <w:szCs w:val="24"/>
        </w:rPr>
        <w:t xml:space="preserve"> the number of total sentences, measured as the natural logarithm of the number of total sentences in the risk factor section. This variable is the most direct measure of the length of risk disclosure could also gauge the quality of such disclosure. Indeed, the mainstream literature on voluntary disclosure suggests that the quantity of the information can be used as a sound proxy for its quality (Beretta and Bozzolan, 2004;</w:t>
      </w:r>
      <w:r w:rsidRPr="006207BC">
        <w:t xml:space="preserve"> </w:t>
      </w:r>
      <w:r w:rsidRPr="006207BC">
        <w:rPr>
          <w:rFonts w:ascii="Times New Roman" w:hAnsi="Times New Roman" w:cs="Times New Roman"/>
          <w:color w:val="222222"/>
          <w:sz w:val="24"/>
          <w:szCs w:val="24"/>
          <w:shd w:val="clear" w:color="auto" w:fill="FFFFFF"/>
        </w:rPr>
        <w:t>Campbell</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et al.</w:t>
      </w:r>
      <w:r w:rsidRPr="006207BC">
        <w:rPr>
          <w:rFonts w:ascii="Times New Roman" w:hAnsi="Times New Roman" w:cs="Times New Roman"/>
          <w:sz w:val="24"/>
          <w:szCs w:val="24"/>
        </w:rPr>
        <w:t>, 2014).</w:t>
      </w:r>
    </w:p>
    <w:p w14:paraId="37E73477" w14:textId="77777777" w:rsidR="00C20459" w:rsidRPr="006207BC" w:rsidRDefault="00A61DC5" w:rsidP="00DE7487">
      <w:pPr>
        <w:pStyle w:val="Paragraphedeliste"/>
        <w:keepNext/>
        <w:numPr>
          <w:ilvl w:val="2"/>
          <w:numId w:val="2"/>
        </w:numPr>
        <w:spacing w:before="240" w:after="240" w:line="360" w:lineRule="auto"/>
        <w:jc w:val="both"/>
        <w:rPr>
          <w:rFonts w:ascii="Times New Roman" w:hAnsi="Times New Roman" w:cs="Times New Roman"/>
          <w:i/>
          <w:sz w:val="24"/>
          <w:szCs w:val="24"/>
        </w:rPr>
      </w:pPr>
      <w:r w:rsidRPr="006207BC">
        <w:rPr>
          <w:rFonts w:ascii="Times New Roman" w:hAnsi="Times New Roman" w:cs="Times New Roman"/>
          <w:i/>
          <w:sz w:val="24"/>
          <w:szCs w:val="24"/>
        </w:rPr>
        <w:t>Control variables</w:t>
      </w:r>
    </w:p>
    <w:p w14:paraId="3BD49A1D" w14:textId="42AFDA94" w:rsidR="00C20459" w:rsidRPr="006207BC" w:rsidRDefault="00A61DC5" w:rsidP="001614E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In our main analysis, we control for a set of variables that are shown in the literature to influence analyst following. The variable </w:t>
      </w:r>
      <w:r w:rsidR="00B025A1" w:rsidRPr="006207BC">
        <w:rPr>
          <w:rFonts w:ascii="Times New Roman" w:hAnsi="Times New Roman" w:cs="Times New Roman"/>
          <w:i/>
          <w:sz w:val="24"/>
          <w:szCs w:val="24"/>
        </w:rPr>
        <w:t>Ownership</w:t>
      </w:r>
      <w:r w:rsidRPr="006207BC">
        <w:rPr>
          <w:rFonts w:ascii="Times New Roman" w:hAnsi="Times New Roman" w:cs="Times New Roman"/>
          <w:sz w:val="24"/>
          <w:szCs w:val="24"/>
        </w:rPr>
        <w:t xml:space="preserve">, measured as the voting rights of the largest shareholders, is introduced to control for the possibility that a firm’s analyst following is influenced by the power of dominant shareholders, following </w:t>
      </w:r>
      <w:r w:rsidR="00F40247" w:rsidRPr="006207BC">
        <w:rPr>
          <w:rFonts w:ascii="Times New Roman" w:hAnsi="Times New Roman" w:cs="Times New Roman"/>
          <w:sz w:val="24"/>
          <w:szCs w:val="24"/>
          <w:lang w:val="en-US"/>
        </w:rPr>
        <w:t xml:space="preserve">Hope (2003c), </w:t>
      </w:r>
      <w:r w:rsidRPr="006207BC">
        <w:rPr>
          <w:rFonts w:ascii="Times New Roman" w:hAnsi="Times New Roman" w:cs="Times New Roman"/>
          <w:sz w:val="24"/>
          <w:szCs w:val="24"/>
        </w:rPr>
        <w:t xml:space="preserve">Lang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(2004) and Boubaker and Labégorre (2008). Consistent with these studies, greater control by dominant shareholders is expected to be negatively associated with the analyst following. Firm size (</w:t>
      </w:r>
      <w:r w:rsidRPr="006207BC">
        <w:rPr>
          <w:rFonts w:ascii="Times New Roman" w:hAnsi="Times New Roman" w:cs="Times New Roman"/>
          <w:i/>
          <w:sz w:val="24"/>
          <w:szCs w:val="24"/>
        </w:rPr>
        <w:t>Size</w:t>
      </w:r>
      <w:r w:rsidRPr="006207BC">
        <w:rPr>
          <w:rFonts w:ascii="Times New Roman" w:hAnsi="Times New Roman" w:cs="Times New Roman"/>
          <w:sz w:val="24"/>
          <w:szCs w:val="24"/>
        </w:rPr>
        <w:t>), measured as the natural logarithm of total sales, is used as a control because analysts are more willing to follow larger firms (</w:t>
      </w:r>
      <w:proofErr w:type="gramStart"/>
      <w:r w:rsidRPr="006207BC">
        <w:rPr>
          <w:rFonts w:ascii="Times New Roman" w:hAnsi="Times New Roman" w:cs="Times New Roman"/>
          <w:sz w:val="24"/>
          <w:szCs w:val="24"/>
        </w:rPr>
        <w:t>e.g.</w:t>
      </w:r>
      <w:proofErr w:type="gramEnd"/>
      <w:r w:rsidRPr="006207BC">
        <w:rPr>
          <w:rFonts w:ascii="Times New Roman" w:hAnsi="Times New Roman" w:cs="Times New Roman"/>
          <w:sz w:val="24"/>
          <w:szCs w:val="24"/>
        </w:rPr>
        <w:t xml:space="preserve"> Bhushan, 1989; O’Brien and Bh</w:t>
      </w:r>
      <w:r w:rsidR="00BF225F">
        <w:rPr>
          <w:rFonts w:ascii="Times New Roman" w:hAnsi="Times New Roman" w:cs="Times New Roman"/>
          <w:sz w:val="24"/>
          <w:szCs w:val="24"/>
        </w:rPr>
        <w:t xml:space="preserve">ushan, 1990; Lang and Lundholm, </w:t>
      </w:r>
      <w:r w:rsidRPr="006207BC">
        <w:rPr>
          <w:rFonts w:ascii="Times New Roman" w:hAnsi="Times New Roman" w:cs="Times New Roman"/>
          <w:sz w:val="24"/>
          <w:szCs w:val="24"/>
        </w:rPr>
        <w:t>1996).</w:t>
      </w:r>
      <w:r w:rsidR="00BF225F">
        <w:rPr>
          <w:rFonts w:ascii="Times New Roman" w:hAnsi="Times New Roman" w:cs="Times New Roman"/>
          <w:sz w:val="24"/>
          <w:szCs w:val="24"/>
        </w:rPr>
        <w:t xml:space="preserve"> </w:t>
      </w:r>
      <w:r w:rsidRPr="006207BC">
        <w:rPr>
          <w:rFonts w:ascii="Times New Roman" w:hAnsi="Times New Roman" w:cs="Times New Roman"/>
          <w:sz w:val="24"/>
          <w:szCs w:val="24"/>
        </w:rPr>
        <w:t xml:space="preserve">The variable </w:t>
      </w:r>
      <w:r w:rsidRPr="006207BC">
        <w:rPr>
          <w:rFonts w:ascii="Times New Roman" w:hAnsi="Times New Roman" w:cs="Times New Roman"/>
          <w:i/>
          <w:sz w:val="24"/>
          <w:szCs w:val="24"/>
        </w:rPr>
        <w:t>Beta</w:t>
      </w:r>
      <w:r w:rsidRPr="006207BC">
        <w:rPr>
          <w:rFonts w:ascii="Times New Roman" w:hAnsi="Times New Roman" w:cs="Times New Roman"/>
          <w:sz w:val="24"/>
          <w:szCs w:val="24"/>
        </w:rPr>
        <w:t xml:space="preserve"> is included to control for</w:t>
      </w:r>
      <w:r w:rsidR="00E80AF1" w:rsidRPr="006207BC">
        <w:rPr>
          <w:rFonts w:ascii="Times New Roman" w:hAnsi="Times New Roman" w:cs="Times New Roman"/>
          <w:sz w:val="24"/>
          <w:szCs w:val="24"/>
        </w:rPr>
        <w:t xml:space="preserve"> the</w:t>
      </w:r>
      <w:r w:rsidR="001614E5">
        <w:rPr>
          <w:rFonts w:ascii="Times New Roman" w:hAnsi="Times New Roman" w:cs="Times New Roman"/>
          <w:sz w:val="24"/>
          <w:szCs w:val="24"/>
        </w:rPr>
        <w:t xml:space="preserve"> systematic risk of a firm’s stock returns. </w:t>
      </w:r>
      <w:r w:rsidRPr="006207BC">
        <w:rPr>
          <w:rFonts w:ascii="Times New Roman" w:hAnsi="Times New Roman" w:cs="Times New Roman"/>
          <w:sz w:val="24"/>
          <w:szCs w:val="24"/>
        </w:rPr>
        <w:t xml:space="preserve">It is measured by regressing the daily returns of the respective firm on daily market returns, based on the SBF 120 index, over the previous year. We also control for the variable </w:t>
      </w:r>
      <w:r w:rsidRPr="006207BC">
        <w:rPr>
          <w:rFonts w:ascii="Times New Roman" w:hAnsi="Times New Roman" w:cs="Times New Roman"/>
          <w:i/>
          <w:sz w:val="24"/>
          <w:szCs w:val="24"/>
        </w:rPr>
        <w:t>Earnings surprise,</w:t>
      </w:r>
      <w:r w:rsidRPr="006207BC">
        <w:rPr>
          <w:rFonts w:ascii="Times New Roman" w:hAnsi="Times New Roman" w:cs="Times New Roman"/>
          <w:sz w:val="24"/>
          <w:szCs w:val="24"/>
        </w:rPr>
        <w:t xml:space="preserve"> since prior literature shows a significant influence of earnings quality on analysts’ </w:t>
      </w:r>
      <w:r w:rsidRPr="006207BC">
        <w:rPr>
          <w:rFonts w:ascii="Times New Roman" w:hAnsi="Times New Roman" w:cs="Times New Roman"/>
          <w:sz w:val="24"/>
          <w:szCs w:val="24"/>
        </w:rPr>
        <w:lastRenderedPageBreak/>
        <w:t xml:space="preserve">decision to follow a firm (Lang and Lundholm, 1996). It is measured as the absolute value of the difference between current and </w:t>
      </w:r>
      <w:r w:rsidR="00ED767C" w:rsidRPr="006207BC">
        <w:rPr>
          <w:rFonts w:ascii="Times New Roman" w:hAnsi="Times New Roman" w:cs="Times New Roman"/>
          <w:sz w:val="24"/>
          <w:szCs w:val="24"/>
        </w:rPr>
        <w:t xml:space="preserve">one-year </w:t>
      </w:r>
      <w:r w:rsidRPr="006207BC">
        <w:rPr>
          <w:rFonts w:ascii="Times New Roman" w:hAnsi="Times New Roman" w:cs="Times New Roman"/>
          <w:sz w:val="24"/>
          <w:szCs w:val="24"/>
        </w:rPr>
        <w:t xml:space="preserve">lagged earnings per share, scaled by the stock price at the beginning of the fiscal year. We include the variable </w:t>
      </w:r>
      <w:r w:rsidRPr="006207BC">
        <w:rPr>
          <w:rFonts w:ascii="Times New Roman" w:hAnsi="Times New Roman" w:cs="Times New Roman"/>
          <w:i/>
          <w:sz w:val="24"/>
          <w:szCs w:val="24"/>
        </w:rPr>
        <w:t>Return STD</w:t>
      </w:r>
      <w:r w:rsidRPr="006207BC">
        <w:rPr>
          <w:rFonts w:ascii="Times New Roman" w:hAnsi="Times New Roman" w:cs="Times New Roman"/>
          <w:sz w:val="24"/>
          <w:szCs w:val="24"/>
        </w:rPr>
        <w:t>, measured as the annualized volatility of daily stock returns over the last three years, to account for the volatility of a firm’s stock price. Indeed, the high costs inherent in the greater uncertainty of firms with higher stock return volatility can deter analysts from following them (Lehavy</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2011), whereas issuing recommendations about those firms would be more valuable to investors, thus attracting more analysts (Bhushan, 1989</w:t>
      </w:r>
      <w:r w:rsidR="00B76731" w:rsidRPr="006207BC">
        <w:rPr>
          <w:rFonts w:ascii="Times New Roman" w:hAnsi="Times New Roman" w:cs="Times New Roman"/>
          <w:sz w:val="24"/>
          <w:szCs w:val="24"/>
        </w:rPr>
        <w:t>; Jiang and Kim, 2016</w:t>
      </w:r>
      <w:r w:rsidRPr="006207BC">
        <w:rPr>
          <w:rFonts w:ascii="Times New Roman" w:hAnsi="Times New Roman" w:cs="Times New Roman"/>
          <w:sz w:val="24"/>
          <w:szCs w:val="24"/>
        </w:rPr>
        <w:t xml:space="preserve">). The variable </w:t>
      </w:r>
      <w:r w:rsidRPr="006207BC">
        <w:rPr>
          <w:rFonts w:ascii="Times New Roman" w:hAnsi="Times New Roman" w:cs="Times New Roman"/>
          <w:i/>
          <w:sz w:val="24"/>
          <w:szCs w:val="24"/>
        </w:rPr>
        <w:t>Profitability</w:t>
      </w:r>
      <w:r w:rsidRPr="006207BC">
        <w:rPr>
          <w:rFonts w:ascii="Times New Roman" w:hAnsi="Times New Roman" w:cs="Times New Roman"/>
          <w:sz w:val="24"/>
          <w:szCs w:val="24"/>
        </w:rPr>
        <w:t>, measured as the return on invested capital, is introduced in the model because analysts shy away from unprofitable fir</w:t>
      </w:r>
      <w:r w:rsidR="00F64528" w:rsidRPr="006207BC">
        <w:rPr>
          <w:rFonts w:ascii="Times New Roman" w:hAnsi="Times New Roman" w:cs="Times New Roman"/>
          <w:sz w:val="24"/>
          <w:szCs w:val="24"/>
        </w:rPr>
        <w:t>ms</w:t>
      </w:r>
      <w:r w:rsidRPr="006207BC">
        <w:rPr>
          <w:rFonts w:ascii="Times New Roman" w:hAnsi="Times New Roman" w:cs="Times New Roman"/>
          <w:sz w:val="24"/>
          <w:szCs w:val="24"/>
        </w:rPr>
        <w:t xml:space="preserve">. We include the market-to-book ratio, </w:t>
      </w:r>
      <w:r w:rsidRPr="006207BC">
        <w:rPr>
          <w:rFonts w:ascii="Times New Roman" w:hAnsi="Times New Roman" w:cs="Times New Roman"/>
          <w:i/>
          <w:sz w:val="24"/>
          <w:szCs w:val="24"/>
        </w:rPr>
        <w:t>Market-to-Book</w:t>
      </w:r>
      <w:r w:rsidRPr="006207BC">
        <w:rPr>
          <w:rFonts w:ascii="Times New Roman" w:hAnsi="Times New Roman" w:cs="Times New Roman"/>
          <w:sz w:val="24"/>
          <w:szCs w:val="24"/>
        </w:rPr>
        <w:t xml:space="preserve">, to control for analysts’ potentially greater interest in high-growth firms (Barth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2001; Lehavy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2011). A dummy variable, </w:t>
      </w:r>
      <w:r w:rsidRPr="006207BC">
        <w:rPr>
          <w:rFonts w:ascii="Times New Roman" w:hAnsi="Times New Roman" w:cs="Times New Roman"/>
          <w:i/>
          <w:sz w:val="24"/>
          <w:szCs w:val="24"/>
        </w:rPr>
        <w:t>XLIST,</w:t>
      </w:r>
      <w:r w:rsidRPr="006207BC">
        <w:rPr>
          <w:rFonts w:ascii="Times New Roman" w:hAnsi="Times New Roman" w:cs="Times New Roman"/>
          <w:sz w:val="24"/>
          <w:szCs w:val="24"/>
        </w:rPr>
        <w:t xml:space="preserve"> is included </w:t>
      </w:r>
      <w:r w:rsidR="00EF3405" w:rsidRPr="006207BC">
        <w:rPr>
          <w:rFonts w:ascii="Times New Roman" w:hAnsi="Times New Roman" w:cs="Times New Roman"/>
          <w:sz w:val="24"/>
          <w:szCs w:val="24"/>
        </w:rPr>
        <w:t>when the firm</w:t>
      </w:r>
      <w:r w:rsidRPr="006207BC">
        <w:rPr>
          <w:rFonts w:ascii="Times New Roman" w:hAnsi="Times New Roman" w:cs="Times New Roman"/>
          <w:sz w:val="24"/>
          <w:szCs w:val="24"/>
        </w:rPr>
        <w:t xml:space="preserve"> </w:t>
      </w:r>
      <w:r w:rsidR="00EF3405" w:rsidRPr="006207BC">
        <w:rPr>
          <w:rFonts w:ascii="Times New Roman" w:hAnsi="Times New Roman" w:cs="Times New Roman"/>
          <w:sz w:val="24"/>
          <w:szCs w:val="24"/>
        </w:rPr>
        <w:t>cross</w:t>
      </w:r>
      <w:r w:rsidR="00EF5529" w:rsidRPr="006207BC">
        <w:rPr>
          <w:rFonts w:ascii="Times New Roman" w:hAnsi="Times New Roman" w:cs="Times New Roman"/>
          <w:sz w:val="24"/>
          <w:szCs w:val="24"/>
        </w:rPr>
        <w:t>-</w:t>
      </w:r>
      <w:r w:rsidR="00EF3405" w:rsidRPr="006207BC">
        <w:rPr>
          <w:rFonts w:ascii="Times New Roman" w:hAnsi="Times New Roman" w:cs="Times New Roman"/>
          <w:sz w:val="24"/>
          <w:szCs w:val="24"/>
        </w:rPr>
        <w:t>list</w:t>
      </w:r>
      <w:r w:rsidR="00EF5529" w:rsidRPr="006207BC">
        <w:rPr>
          <w:rFonts w:ascii="Times New Roman" w:hAnsi="Times New Roman" w:cs="Times New Roman"/>
          <w:sz w:val="24"/>
          <w:szCs w:val="24"/>
        </w:rPr>
        <w:t xml:space="preserve">s in the United States </w:t>
      </w:r>
      <w:r w:rsidRPr="006207BC">
        <w:rPr>
          <w:rFonts w:ascii="Times New Roman" w:hAnsi="Times New Roman" w:cs="Times New Roman"/>
          <w:sz w:val="24"/>
          <w:szCs w:val="24"/>
        </w:rPr>
        <w:t>(Boubaker and Labégorre</w:t>
      </w:r>
      <w:r w:rsidR="001D2B9A" w:rsidRPr="006207BC">
        <w:rPr>
          <w:rFonts w:ascii="Times New Roman" w:hAnsi="Times New Roman" w:cs="Times New Roman"/>
          <w:sz w:val="24"/>
          <w:szCs w:val="24"/>
        </w:rPr>
        <w:t>,</w:t>
      </w:r>
      <w:r w:rsidRPr="006207BC">
        <w:rPr>
          <w:rFonts w:ascii="Times New Roman" w:hAnsi="Times New Roman" w:cs="Times New Roman"/>
          <w:sz w:val="24"/>
          <w:szCs w:val="24"/>
        </w:rPr>
        <w:t xml:space="preserve"> 2008). We also include the dummy variable </w:t>
      </w:r>
      <w:r w:rsidRPr="006207BC">
        <w:rPr>
          <w:rFonts w:ascii="Times New Roman" w:hAnsi="Times New Roman" w:cs="Times New Roman"/>
          <w:i/>
          <w:sz w:val="24"/>
          <w:szCs w:val="24"/>
        </w:rPr>
        <w:t>Issuance</w:t>
      </w:r>
      <w:r w:rsidRPr="006207BC">
        <w:rPr>
          <w:rFonts w:ascii="Times New Roman" w:hAnsi="Times New Roman" w:cs="Times New Roman"/>
          <w:sz w:val="24"/>
          <w:szCs w:val="24"/>
        </w:rPr>
        <w:t xml:space="preserve"> to indicate if a firm issued capital during the financial year, since such a firm is expected to be followed by more analysts. We further introduce the control variable </w:t>
      </w:r>
      <w:r w:rsidRPr="006207BC">
        <w:rPr>
          <w:rFonts w:ascii="Times New Roman" w:hAnsi="Times New Roman" w:cs="Times New Roman"/>
          <w:i/>
          <w:sz w:val="24"/>
          <w:szCs w:val="24"/>
        </w:rPr>
        <w:t xml:space="preserve">Intangible, </w:t>
      </w:r>
      <w:r w:rsidRPr="006207BC">
        <w:rPr>
          <w:rFonts w:ascii="Times New Roman" w:hAnsi="Times New Roman" w:cs="Times New Roman"/>
          <w:sz w:val="24"/>
          <w:szCs w:val="24"/>
        </w:rPr>
        <w:t xml:space="preserve">measured as the percentage of intangible assets to total assets, because intangible assets are typically associated with high uncertainty, making analyst services more valuable to investors (Barth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2001; Lehavy </w:t>
      </w:r>
      <w:r w:rsidRPr="006207BC">
        <w:rPr>
          <w:rFonts w:ascii="Times New Roman" w:hAnsi="Times New Roman" w:cs="Times New Roman"/>
          <w:i/>
          <w:sz w:val="24"/>
          <w:szCs w:val="24"/>
        </w:rPr>
        <w:t>et al.</w:t>
      </w:r>
      <w:r w:rsidRPr="006207BC">
        <w:rPr>
          <w:rFonts w:ascii="Times New Roman" w:hAnsi="Times New Roman" w:cs="Times New Roman"/>
          <w:sz w:val="24"/>
          <w:szCs w:val="24"/>
        </w:rPr>
        <w:t>, 2011).</w:t>
      </w:r>
    </w:p>
    <w:p w14:paraId="66291F0D" w14:textId="77777777" w:rsidR="00C20459" w:rsidRPr="006207BC" w:rsidRDefault="00A61DC5" w:rsidP="00DE7487">
      <w:pPr>
        <w:pStyle w:val="Paragraphedeliste"/>
        <w:keepNext/>
        <w:numPr>
          <w:ilvl w:val="2"/>
          <w:numId w:val="2"/>
        </w:numPr>
        <w:spacing w:before="240" w:after="240" w:line="360" w:lineRule="auto"/>
        <w:jc w:val="both"/>
        <w:outlineLvl w:val="2"/>
        <w:rPr>
          <w:rFonts w:ascii="Times New Roman" w:hAnsi="Times New Roman" w:cs="Times New Roman"/>
          <w:i/>
          <w:sz w:val="24"/>
          <w:szCs w:val="24"/>
        </w:rPr>
      </w:pPr>
      <w:r w:rsidRPr="006207BC">
        <w:rPr>
          <w:rFonts w:ascii="Times New Roman" w:hAnsi="Times New Roman" w:cs="Times New Roman"/>
          <w:i/>
          <w:sz w:val="24"/>
          <w:szCs w:val="24"/>
        </w:rPr>
        <w:t>Descriptive statistics and correlation</w:t>
      </w:r>
    </w:p>
    <w:p w14:paraId="60B4D4BF" w14:textId="77777777" w:rsidR="00D429F5" w:rsidRDefault="00A61DC5" w:rsidP="00D429F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Table 1 reports summary statistics for the dependent variable, the four risk disclosure measures, and all the control variables employed in the main regression analysis. The dependent variable has a mean of 16.31 and a median of 16; on average, </w:t>
      </w:r>
      <w:r w:rsidR="00F22058" w:rsidRPr="006207BC">
        <w:rPr>
          <w:rFonts w:ascii="Times New Roman" w:hAnsi="Times New Roman" w:cs="Times New Roman"/>
          <w:sz w:val="24"/>
          <w:szCs w:val="24"/>
        </w:rPr>
        <w:t>firms</w:t>
      </w:r>
      <w:r w:rsidRPr="006207BC">
        <w:rPr>
          <w:rFonts w:ascii="Times New Roman" w:hAnsi="Times New Roman" w:cs="Times New Roman"/>
          <w:sz w:val="24"/>
          <w:szCs w:val="24"/>
        </w:rPr>
        <w:t xml:space="preserve"> are followed by 16 analysts. The table shows the raw text variables used to compute the risk disclosure measures. On average, the extracted texts and, thus, the description of the firm’s exposure to risks and uncertainties cover 252.34 sentences. In these extracted portions of the annual report, firms employ, on average, 145.57 risk keywords. We find, on average, 136.53 sentences that contain at least one risk keyword, which means that around 54% of all sentences are related to risk. What is striking is that there seem to be large differences between </w:t>
      </w:r>
      <w:r w:rsidR="00F22058" w:rsidRPr="006207BC">
        <w:rPr>
          <w:rFonts w:ascii="Times New Roman" w:hAnsi="Times New Roman" w:cs="Times New Roman"/>
          <w:sz w:val="24"/>
          <w:szCs w:val="24"/>
        </w:rPr>
        <w:t>firms</w:t>
      </w:r>
      <w:r w:rsidRPr="006207BC">
        <w:rPr>
          <w:rFonts w:ascii="Times New Roman" w:hAnsi="Times New Roman" w:cs="Times New Roman"/>
          <w:sz w:val="24"/>
          <w:szCs w:val="24"/>
        </w:rPr>
        <w:t xml:space="preserve"> and across years. The minimum number of sentences of the extracted texts is 17 and the maximum is 878. Similar large ranges can be observed for the number of risk words and the number of risk-related sentences.</w:t>
      </w:r>
    </w:p>
    <w:p w14:paraId="5A159E03" w14:textId="6F3F0BCE" w:rsidR="00C20459" w:rsidRPr="006207BC" w:rsidRDefault="00A61DC5" w:rsidP="00D429F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lastRenderedPageBreak/>
        <w:t xml:space="preserve">The size of the </w:t>
      </w:r>
      <w:r w:rsidR="00635A8F" w:rsidRPr="006207BC">
        <w:rPr>
          <w:rFonts w:ascii="Times New Roman" w:hAnsi="Times New Roman" w:cs="Times New Roman"/>
          <w:sz w:val="24"/>
          <w:szCs w:val="24"/>
        </w:rPr>
        <w:t xml:space="preserve">sample </w:t>
      </w:r>
      <w:r w:rsidRPr="006207BC">
        <w:rPr>
          <w:rFonts w:ascii="Times New Roman" w:hAnsi="Times New Roman" w:cs="Times New Roman"/>
          <w:sz w:val="24"/>
          <w:szCs w:val="24"/>
        </w:rPr>
        <w:t>firms</w:t>
      </w:r>
      <w:r w:rsidR="00635A8F" w:rsidRPr="006207BC">
        <w:rPr>
          <w:rFonts w:ascii="Times New Roman" w:hAnsi="Times New Roman" w:cs="Times New Roman"/>
          <w:sz w:val="24"/>
          <w:szCs w:val="24"/>
        </w:rPr>
        <w:t xml:space="preserve"> is </w:t>
      </w:r>
      <w:r w:rsidRPr="006207BC">
        <w:rPr>
          <w:rFonts w:ascii="Times New Roman" w:hAnsi="Times New Roman" w:cs="Times New Roman"/>
          <w:sz w:val="24"/>
          <w:szCs w:val="24"/>
        </w:rPr>
        <w:t>var</w:t>
      </w:r>
      <w:r w:rsidR="00635A8F" w:rsidRPr="006207BC">
        <w:rPr>
          <w:rFonts w:ascii="Times New Roman" w:hAnsi="Times New Roman" w:cs="Times New Roman"/>
          <w:sz w:val="24"/>
          <w:szCs w:val="24"/>
        </w:rPr>
        <w:t xml:space="preserve">ying </w:t>
      </w:r>
      <w:r w:rsidRPr="006207BC">
        <w:rPr>
          <w:rFonts w:ascii="Times New Roman" w:hAnsi="Times New Roman" w:cs="Times New Roman"/>
          <w:sz w:val="24"/>
          <w:szCs w:val="24"/>
        </w:rPr>
        <w:t>between 0.0612 million</w:t>
      </w:r>
      <w:r w:rsidR="00B71B41" w:rsidRPr="006207BC">
        <w:rPr>
          <w:rFonts w:ascii="Times New Roman" w:hAnsi="Times New Roman" w:cs="Times New Roman"/>
          <w:sz w:val="24"/>
          <w:szCs w:val="24"/>
        </w:rPr>
        <w:t xml:space="preserve"> euros</w:t>
      </w:r>
      <w:r w:rsidRPr="006207BC">
        <w:rPr>
          <w:rFonts w:ascii="Times New Roman" w:hAnsi="Times New Roman" w:cs="Times New Roman"/>
          <w:sz w:val="24"/>
          <w:szCs w:val="24"/>
        </w:rPr>
        <w:t xml:space="preserve"> </w:t>
      </w:r>
      <w:r w:rsidR="00635A8F" w:rsidRPr="006207BC">
        <w:rPr>
          <w:rFonts w:ascii="Times New Roman" w:hAnsi="Times New Roman" w:cs="Times New Roman"/>
          <w:sz w:val="24"/>
          <w:szCs w:val="24"/>
        </w:rPr>
        <w:t xml:space="preserve">(first percentile) </w:t>
      </w:r>
      <w:r w:rsidRPr="006207BC">
        <w:rPr>
          <w:rFonts w:ascii="Times New Roman" w:hAnsi="Times New Roman" w:cs="Times New Roman"/>
          <w:sz w:val="24"/>
          <w:szCs w:val="24"/>
        </w:rPr>
        <w:t>and 90.440 million</w:t>
      </w:r>
      <w:r w:rsidR="00B71B41" w:rsidRPr="006207BC">
        <w:rPr>
          <w:rFonts w:ascii="Times New Roman" w:hAnsi="Times New Roman" w:cs="Times New Roman"/>
          <w:sz w:val="24"/>
          <w:szCs w:val="24"/>
        </w:rPr>
        <w:t xml:space="preserve"> euros</w:t>
      </w:r>
      <w:r w:rsidR="00635A8F" w:rsidRPr="006207BC">
        <w:rPr>
          <w:rFonts w:ascii="Times New Roman" w:hAnsi="Times New Roman" w:cs="Times New Roman"/>
          <w:sz w:val="24"/>
          <w:szCs w:val="24"/>
        </w:rPr>
        <w:t xml:space="preserve"> (99th percentile) with </w:t>
      </w:r>
      <w:r w:rsidR="006D1469" w:rsidRPr="006207BC">
        <w:rPr>
          <w:rFonts w:ascii="Times New Roman" w:hAnsi="Times New Roman" w:cs="Times New Roman"/>
          <w:sz w:val="24"/>
          <w:szCs w:val="24"/>
        </w:rPr>
        <w:t>a relatively high</w:t>
      </w:r>
      <w:r w:rsidR="00635A8F" w:rsidRPr="006207BC">
        <w:rPr>
          <w:rFonts w:ascii="Times New Roman" w:hAnsi="Times New Roman" w:cs="Times New Roman"/>
          <w:sz w:val="24"/>
          <w:szCs w:val="24"/>
        </w:rPr>
        <w:t xml:space="preserve"> average of 12.2608, which is consistent with t</w:t>
      </w:r>
      <w:r w:rsidRPr="006207BC">
        <w:rPr>
          <w:rFonts w:ascii="Times New Roman" w:hAnsi="Times New Roman" w:cs="Times New Roman"/>
          <w:sz w:val="24"/>
          <w:szCs w:val="24"/>
        </w:rPr>
        <w:t>he nature of our sample (</w:t>
      </w:r>
      <w:proofErr w:type="gramStart"/>
      <w:r w:rsidRPr="006207BC">
        <w:rPr>
          <w:rFonts w:ascii="Times New Roman" w:hAnsi="Times New Roman" w:cs="Times New Roman"/>
          <w:sz w:val="24"/>
          <w:szCs w:val="24"/>
        </w:rPr>
        <w:t>i.e.</w:t>
      </w:r>
      <w:proofErr w:type="gramEnd"/>
      <w:r w:rsidRPr="006207BC">
        <w:rPr>
          <w:rFonts w:ascii="Times New Roman" w:hAnsi="Times New Roman" w:cs="Times New Roman"/>
          <w:sz w:val="24"/>
          <w:szCs w:val="24"/>
        </w:rPr>
        <w:t xml:space="preserve"> firms in the SBF120 index). The mean beta, a proxy for systematic risk, is 0.82 in our sample. The average percentage of voting rights of the largest shareholder is 34%. The mean earnings surprise is 0.0030, indicating that the average firm does not exhibit high earnings volatility. The average annualized standard deviation of daily stock returns over three years ranges from 0.1770 to 0.7090, suggesting a certain degree of heterogeneity in the volatility of stocks across firms and time. During the sample period, the mean value of returns on invested capital, a proxy for firm profitability, is 0.078, which means that, on average, the firms in our sample are profitable. The book value exceeds the market value of the average firm in our sample; the mean market-to-book value is 0.8520. More than half of the firms in our sample are </w:t>
      </w:r>
      <w:proofErr w:type="gramStart"/>
      <w:r w:rsidRPr="006207BC">
        <w:rPr>
          <w:rFonts w:ascii="Times New Roman" w:hAnsi="Times New Roman" w:cs="Times New Roman"/>
          <w:sz w:val="24"/>
          <w:szCs w:val="24"/>
        </w:rPr>
        <w:t>cross-listed</w:t>
      </w:r>
      <w:proofErr w:type="gramEnd"/>
      <w:r w:rsidRPr="006207BC">
        <w:rPr>
          <w:rFonts w:ascii="Times New Roman" w:hAnsi="Times New Roman" w:cs="Times New Roman"/>
          <w:sz w:val="24"/>
          <w:szCs w:val="24"/>
        </w:rPr>
        <w:t xml:space="preserve"> in the United States and more than 75% issued capital over the sample period. The percentage of intangible assets to total assets ranges from 0.36% to 63.75%, with an average of 28.4%.</w:t>
      </w:r>
    </w:p>
    <w:p w14:paraId="0A5BB315" w14:textId="77777777" w:rsidR="00C20459" w:rsidRPr="006207BC" w:rsidRDefault="00A61DC5">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[Please insert Table 1 about here]</w:t>
      </w:r>
    </w:p>
    <w:p w14:paraId="7AF1E5DF" w14:textId="71E68C26" w:rsidR="00C20459" w:rsidRPr="006207BC" w:rsidRDefault="00A61DC5" w:rsidP="00D429F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Table 2 describes mean risk disclosure by industry and by year. Panel A describes risk disclosure across industries. The results show that, for the four risk disclosure variables, firms from the textile and trade industries as well as the leisure industry have the lowest values. In the transportation and utilities industries, firms seem to report more extensively about their risk exposure. Firms in the petroleum industry exhibit the highest average number of risk factors. </w:t>
      </w:r>
      <w:r w:rsidR="00A964FE" w:rsidRPr="006207BC">
        <w:rPr>
          <w:rFonts w:ascii="Times New Roman" w:hAnsi="Times New Roman" w:cs="Times New Roman"/>
          <w:sz w:val="24"/>
          <w:szCs w:val="24"/>
        </w:rPr>
        <w:t xml:space="preserve">This is consistent with the notion that firms from industries with severe environmental impacts have more pressure to engage in extensive voluntary disclosure (Mallin and Ow-Yong, 2012), including </w:t>
      </w:r>
      <w:r w:rsidR="002D5801" w:rsidRPr="006207BC">
        <w:rPr>
          <w:rFonts w:ascii="Times New Roman" w:hAnsi="Times New Roman" w:cs="Times New Roman"/>
          <w:sz w:val="24"/>
          <w:szCs w:val="24"/>
        </w:rPr>
        <w:t>that of risks</w:t>
      </w:r>
      <w:r w:rsidR="00A964FE" w:rsidRPr="006207BC">
        <w:rPr>
          <w:rFonts w:ascii="Times New Roman" w:hAnsi="Times New Roman" w:cs="Times New Roman"/>
          <w:sz w:val="24"/>
          <w:szCs w:val="24"/>
        </w:rPr>
        <w:t xml:space="preserve">. </w:t>
      </w:r>
      <w:r w:rsidRPr="006207BC">
        <w:rPr>
          <w:rFonts w:ascii="Times New Roman" w:hAnsi="Times New Roman" w:cs="Times New Roman"/>
          <w:sz w:val="24"/>
          <w:szCs w:val="24"/>
        </w:rPr>
        <w:t>Panel B presents the average level of risk disclosure over the sample</w:t>
      </w:r>
      <w:r w:rsidR="00A625B7" w:rsidRPr="006207BC">
        <w:rPr>
          <w:rFonts w:ascii="Times New Roman" w:hAnsi="Times New Roman" w:cs="Times New Roman"/>
          <w:sz w:val="24"/>
          <w:szCs w:val="24"/>
        </w:rPr>
        <w:t xml:space="preserve">. The results show </w:t>
      </w:r>
      <w:r w:rsidR="006D1469" w:rsidRPr="006207BC">
        <w:rPr>
          <w:rFonts w:ascii="Times New Roman" w:hAnsi="Times New Roman" w:cs="Times New Roman"/>
          <w:sz w:val="24"/>
          <w:szCs w:val="24"/>
        </w:rPr>
        <w:t>a</w:t>
      </w:r>
      <w:r w:rsidR="00E261E2" w:rsidRPr="006207BC">
        <w:rPr>
          <w:rFonts w:ascii="Times New Roman" w:hAnsi="Times New Roman" w:cs="Times New Roman"/>
          <w:sz w:val="24"/>
          <w:szCs w:val="24"/>
        </w:rPr>
        <w:t xml:space="preserve">n increase in </w:t>
      </w:r>
      <w:r w:rsidR="006D1469" w:rsidRPr="006207BC">
        <w:rPr>
          <w:rFonts w:ascii="Times New Roman" w:hAnsi="Times New Roman" w:cs="Times New Roman"/>
          <w:sz w:val="24"/>
          <w:szCs w:val="24"/>
        </w:rPr>
        <w:t xml:space="preserve">the amount of risk information </w:t>
      </w:r>
      <w:r w:rsidR="00A625B7" w:rsidRPr="006207BC">
        <w:rPr>
          <w:rFonts w:ascii="Times New Roman" w:hAnsi="Times New Roman" w:cs="Times New Roman"/>
          <w:sz w:val="24"/>
          <w:szCs w:val="24"/>
        </w:rPr>
        <w:t xml:space="preserve">disclosed </w:t>
      </w:r>
      <w:r w:rsidR="006D1469" w:rsidRPr="006207BC">
        <w:rPr>
          <w:rFonts w:ascii="Times New Roman" w:hAnsi="Times New Roman" w:cs="Times New Roman"/>
          <w:sz w:val="24"/>
          <w:szCs w:val="24"/>
        </w:rPr>
        <w:t xml:space="preserve">in </w:t>
      </w:r>
      <w:r w:rsidR="00A625B7" w:rsidRPr="006207BC">
        <w:rPr>
          <w:rFonts w:ascii="Times New Roman" w:hAnsi="Times New Roman" w:cs="Times New Roman"/>
          <w:sz w:val="24"/>
          <w:szCs w:val="24"/>
        </w:rPr>
        <w:t xml:space="preserve">the French </w:t>
      </w:r>
      <w:r w:rsidR="006D1469" w:rsidRPr="006207BC">
        <w:rPr>
          <w:rFonts w:ascii="Times New Roman" w:hAnsi="Times New Roman" w:cs="Times New Roman"/>
          <w:sz w:val="24"/>
          <w:szCs w:val="24"/>
        </w:rPr>
        <w:t>annual reports</w:t>
      </w:r>
      <w:r w:rsidR="00E261E2" w:rsidRPr="006207BC">
        <w:rPr>
          <w:rFonts w:ascii="Times New Roman" w:hAnsi="Times New Roman" w:cs="Times New Roman"/>
          <w:sz w:val="24"/>
          <w:szCs w:val="24"/>
        </w:rPr>
        <w:t xml:space="preserve">, which is consistent with </w:t>
      </w:r>
      <w:r w:rsidRPr="006207BC">
        <w:rPr>
          <w:rFonts w:ascii="Times New Roman" w:hAnsi="Times New Roman" w:cs="Times New Roman"/>
          <w:sz w:val="24"/>
          <w:szCs w:val="24"/>
        </w:rPr>
        <w:t xml:space="preserve">the upward trend in risk disclosure </w:t>
      </w:r>
      <w:r w:rsidR="00627F8F" w:rsidRPr="006207BC">
        <w:rPr>
          <w:rFonts w:ascii="Times New Roman" w:hAnsi="Times New Roman" w:cs="Times New Roman"/>
          <w:sz w:val="24"/>
          <w:szCs w:val="24"/>
        </w:rPr>
        <w:t xml:space="preserve">worldwide </w:t>
      </w:r>
      <w:r w:rsidRPr="006207BC">
        <w:rPr>
          <w:rFonts w:ascii="Times New Roman" w:hAnsi="Times New Roman" w:cs="Times New Roman"/>
          <w:sz w:val="24"/>
          <w:szCs w:val="24"/>
        </w:rPr>
        <w:t>(Campbell and Slack, 2008).</w:t>
      </w:r>
    </w:p>
    <w:p w14:paraId="2D0C9386" w14:textId="0A99DB8D" w:rsidR="00C20459" w:rsidRPr="006207BC" w:rsidRDefault="00A964FE">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 xml:space="preserve"> </w:t>
      </w:r>
      <w:r w:rsidR="00A61DC5" w:rsidRPr="006207BC">
        <w:rPr>
          <w:rFonts w:ascii="Times New Roman" w:hAnsi="Times New Roman" w:cs="Times New Roman"/>
          <w:i/>
          <w:sz w:val="24"/>
          <w:szCs w:val="24"/>
        </w:rPr>
        <w:t>[Please insert Table 2 about here]</w:t>
      </w:r>
    </w:p>
    <w:p w14:paraId="56844ABA" w14:textId="3B15D3D8" w:rsidR="00C20459" w:rsidRPr="006207BC" w:rsidRDefault="00A61DC5" w:rsidP="00D429F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Table 3 reports the Pearson correlations. The four proxies for risk disclosure are positively and significantly correlated with the number of analysts following firms. This is a first indicator that </w:t>
      </w:r>
      <w:r w:rsidRPr="006207BC">
        <w:rPr>
          <w:rFonts w:ascii="Times New Roman" w:hAnsi="Times New Roman" w:cs="Times New Roman"/>
          <w:sz w:val="24"/>
          <w:szCs w:val="24"/>
        </w:rPr>
        <w:lastRenderedPageBreak/>
        <w:t>risk disclosure is an important factor in analysts’ decision to follow a firm. In addition, the analyst following is significantly correlated with most of our control variables.</w:t>
      </w:r>
    </w:p>
    <w:p w14:paraId="2C33B39D" w14:textId="77777777" w:rsidR="00C20459" w:rsidRPr="006207BC" w:rsidRDefault="00A61DC5">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[Please insert Table 3 about here]</w:t>
      </w:r>
    </w:p>
    <w:p w14:paraId="4744B200" w14:textId="77777777" w:rsidR="00C20459" w:rsidRPr="006207BC" w:rsidRDefault="00A61DC5" w:rsidP="00DE7487">
      <w:pPr>
        <w:pStyle w:val="Paragraphedeliste"/>
        <w:keepNext/>
        <w:numPr>
          <w:ilvl w:val="0"/>
          <w:numId w:val="2"/>
        </w:numPr>
        <w:spacing w:before="240" w:after="240" w:line="360" w:lineRule="auto"/>
        <w:contextualSpacing w:val="0"/>
        <w:jc w:val="both"/>
        <w:outlineLvl w:val="0"/>
        <w:rPr>
          <w:rFonts w:ascii="Times New Roman" w:hAnsi="Times New Roman" w:cs="Times New Roman"/>
          <w:b/>
          <w:sz w:val="24"/>
          <w:szCs w:val="24"/>
        </w:rPr>
      </w:pPr>
      <w:r w:rsidRPr="006207BC">
        <w:rPr>
          <w:rFonts w:ascii="Times New Roman" w:hAnsi="Times New Roman" w:cs="Times New Roman"/>
          <w:b/>
          <w:sz w:val="24"/>
          <w:szCs w:val="24"/>
        </w:rPr>
        <w:t>Empirical evidence</w:t>
      </w:r>
    </w:p>
    <w:p w14:paraId="316D7E25" w14:textId="6D1EEAD1"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This section presents the results of regressions of the effect of risk disclosure on analyst following (Section 4.1)</w:t>
      </w:r>
      <w:r w:rsidR="00C2385D" w:rsidRPr="006207BC">
        <w:rPr>
          <w:rFonts w:ascii="Times New Roman" w:hAnsi="Times New Roman" w:cs="Times New Roman"/>
          <w:sz w:val="24"/>
          <w:szCs w:val="24"/>
        </w:rPr>
        <w:t xml:space="preserve"> and of the role of corporate opacity in such effect (Section 4.2) as well as </w:t>
      </w:r>
      <w:r w:rsidRPr="006207BC">
        <w:rPr>
          <w:rFonts w:ascii="Times New Roman" w:hAnsi="Times New Roman" w:cs="Times New Roman"/>
          <w:sz w:val="24"/>
          <w:szCs w:val="24"/>
        </w:rPr>
        <w:t>the results of robustness checks (Section 4.</w:t>
      </w:r>
      <w:r w:rsidR="00C2385D" w:rsidRPr="006207BC">
        <w:rPr>
          <w:rFonts w:ascii="Times New Roman" w:hAnsi="Times New Roman" w:cs="Times New Roman"/>
          <w:sz w:val="24"/>
          <w:szCs w:val="24"/>
        </w:rPr>
        <w:t>3</w:t>
      </w:r>
      <w:r w:rsidRPr="006207BC">
        <w:rPr>
          <w:rFonts w:ascii="Times New Roman" w:hAnsi="Times New Roman" w:cs="Times New Roman"/>
          <w:sz w:val="24"/>
          <w:szCs w:val="24"/>
        </w:rPr>
        <w:t>).</w:t>
      </w:r>
    </w:p>
    <w:p w14:paraId="508D2A9B" w14:textId="77777777" w:rsidR="00C20459" w:rsidRPr="006207BC" w:rsidRDefault="00A61DC5" w:rsidP="00DE7487">
      <w:pPr>
        <w:pStyle w:val="Paragraphedeliste"/>
        <w:keepNext/>
        <w:numPr>
          <w:ilvl w:val="1"/>
          <w:numId w:val="2"/>
        </w:numPr>
        <w:spacing w:before="240" w:after="240" w:line="360" w:lineRule="auto"/>
        <w:jc w:val="both"/>
        <w:outlineLvl w:val="1"/>
        <w:rPr>
          <w:rFonts w:ascii="Times New Roman" w:hAnsi="Times New Roman" w:cs="Times New Roman"/>
          <w:b/>
          <w:i/>
          <w:sz w:val="24"/>
          <w:szCs w:val="24"/>
        </w:rPr>
      </w:pPr>
      <w:r w:rsidRPr="006207BC">
        <w:rPr>
          <w:rFonts w:ascii="Times New Roman" w:hAnsi="Times New Roman" w:cs="Times New Roman"/>
          <w:b/>
          <w:i/>
          <w:sz w:val="24"/>
          <w:szCs w:val="24"/>
        </w:rPr>
        <w:t xml:space="preserve"> Main evidence: Effect of risk disclosure on analyst </w:t>
      </w:r>
      <w:proofErr w:type="gramStart"/>
      <w:r w:rsidRPr="006207BC">
        <w:rPr>
          <w:rFonts w:ascii="Times New Roman" w:hAnsi="Times New Roman" w:cs="Times New Roman"/>
          <w:b/>
          <w:i/>
          <w:sz w:val="24"/>
          <w:szCs w:val="24"/>
        </w:rPr>
        <w:t>following</w:t>
      </w:r>
      <w:proofErr w:type="gramEnd"/>
    </w:p>
    <w:p w14:paraId="52A85BFE" w14:textId="77777777" w:rsidR="00C20459" w:rsidRPr="006207BC" w:rsidRDefault="00A61DC5">
      <w:pPr>
        <w:spacing w:before="240" w:after="240" w:line="360" w:lineRule="auto"/>
        <w:ind w:firstLine="480"/>
        <w:jc w:val="both"/>
        <w:rPr>
          <w:rFonts w:ascii="Times New Roman" w:hAnsi="Times New Roman" w:cs="Times New Roman"/>
          <w:sz w:val="24"/>
          <w:szCs w:val="24"/>
        </w:rPr>
      </w:pPr>
      <w:r w:rsidRPr="006207BC">
        <w:rPr>
          <w:rFonts w:ascii="Times New Roman" w:hAnsi="Times New Roman" w:cs="Times New Roman"/>
          <w:sz w:val="24"/>
          <w:szCs w:val="24"/>
        </w:rPr>
        <w:t>To test the effect of risk disclosure on the number of analysts following a firm, we estimate the following model specification:</w:t>
      </w:r>
    </w:p>
    <w:p w14:paraId="1FDDF764" w14:textId="12021C96" w:rsidR="00C20459" w:rsidRPr="006207BC" w:rsidRDefault="00A61DC5">
      <w:pPr>
        <w:spacing w:before="240" w:after="240" w:line="360" w:lineRule="auto"/>
        <w:jc w:val="both"/>
        <w:rPr>
          <w:rFonts w:ascii="Times New Roman" w:hAnsi="Times New Roman" w:cs="Times New Roman"/>
          <w:sz w:val="24"/>
          <w:szCs w:val="24"/>
        </w:rPr>
      </w:pPr>
      <w:proofErr w:type="gramStart"/>
      <w:r w:rsidRPr="006207BC">
        <w:rPr>
          <w:rFonts w:ascii="Times New Roman" w:hAnsi="Times New Roman" w:cs="Times New Roman"/>
          <w:i/>
          <w:sz w:val="24"/>
          <w:szCs w:val="24"/>
        </w:rPr>
        <w:t>Analyst</w:t>
      </w:r>
      <w:r w:rsidRPr="006207BC">
        <w:rPr>
          <w:rFonts w:ascii="Times New Roman" w:hAnsi="Times New Roman" w:cs="Times New Roman"/>
          <w:i/>
          <w:sz w:val="24"/>
          <w:szCs w:val="24"/>
          <w:vertAlign w:val="subscript"/>
        </w:rPr>
        <w:t>i,t</w:t>
      </w:r>
      <w:proofErr w:type="gramEnd"/>
      <w:r w:rsidRPr="006207BC">
        <w:rPr>
          <w:rFonts w:ascii="Times New Roman" w:hAnsi="Times New Roman" w:cs="Times New Roman"/>
          <w:i/>
          <w:sz w:val="24"/>
          <w:szCs w:val="24"/>
          <w:vertAlign w:val="subscript"/>
        </w:rPr>
        <w:t xml:space="preserve">+1 </w:t>
      </w:r>
      <w:r w:rsidRPr="006207BC">
        <w:rPr>
          <w:rFonts w:ascii="Times New Roman" w:hAnsi="Times New Roman" w:cs="Times New Roman"/>
          <w:i/>
          <w:sz w:val="24"/>
          <w:szCs w:val="24"/>
        </w:rPr>
        <w:t>= β</w:t>
      </w:r>
      <w:r w:rsidRPr="006207BC">
        <w:rPr>
          <w:rFonts w:ascii="Times New Roman" w:hAnsi="Times New Roman" w:cs="Times New Roman"/>
          <w:i/>
          <w:sz w:val="24"/>
          <w:szCs w:val="24"/>
          <w:vertAlign w:val="subscript"/>
        </w:rPr>
        <w:t>0</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1 </w:t>
      </w:r>
      <w:r w:rsidRPr="006207BC">
        <w:rPr>
          <w:rFonts w:ascii="Times New Roman" w:hAnsi="Times New Roman" w:cs="Times New Roman"/>
          <w:i/>
          <w:sz w:val="24"/>
          <w:szCs w:val="24"/>
        </w:rPr>
        <w:t>RiskDisclosure measure</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2 </w:t>
      </w:r>
      <w:r w:rsidR="00B025A1" w:rsidRPr="006207BC">
        <w:rPr>
          <w:rFonts w:ascii="Times New Roman" w:hAnsi="Times New Roman" w:cs="Times New Roman"/>
          <w:i/>
          <w:sz w:val="24"/>
          <w:szCs w:val="24"/>
        </w:rPr>
        <w:t>Ownership</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3 </w:t>
      </w:r>
      <w:r w:rsidRPr="006207BC">
        <w:rPr>
          <w:rFonts w:ascii="Times New Roman" w:hAnsi="Times New Roman" w:cs="Times New Roman"/>
          <w:i/>
          <w:sz w:val="24"/>
          <w:szCs w:val="24"/>
        </w:rPr>
        <w:t>Size</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4 </w:t>
      </w:r>
      <w:r w:rsidRPr="006207BC">
        <w:rPr>
          <w:rFonts w:ascii="Times New Roman" w:hAnsi="Times New Roman" w:cs="Times New Roman"/>
          <w:i/>
          <w:sz w:val="24"/>
          <w:szCs w:val="24"/>
        </w:rPr>
        <w:t>Beta</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5 </w:t>
      </w:r>
      <w:r w:rsidRPr="006207BC">
        <w:rPr>
          <w:rFonts w:ascii="Times New Roman" w:hAnsi="Times New Roman" w:cs="Times New Roman"/>
          <w:i/>
          <w:sz w:val="24"/>
          <w:szCs w:val="24"/>
        </w:rPr>
        <w:t>Earnings surprise</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6 </w:t>
      </w:r>
      <w:r w:rsidRPr="006207BC">
        <w:rPr>
          <w:rFonts w:ascii="Times New Roman" w:hAnsi="Times New Roman" w:cs="Times New Roman"/>
          <w:i/>
        </w:rPr>
        <w:t>Return STD</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7 </w:t>
      </w:r>
      <w:r w:rsidRPr="006207BC">
        <w:rPr>
          <w:rFonts w:ascii="Times New Roman" w:hAnsi="Times New Roman" w:cs="Times New Roman"/>
          <w:i/>
          <w:sz w:val="24"/>
          <w:szCs w:val="24"/>
        </w:rPr>
        <w:t>Profitability</w:t>
      </w:r>
      <w:r w:rsidRPr="006207BC">
        <w:rPr>
          <w:rFonts w:ascii="Times New Roman" w:hAnsi="Times New Roman" w:cs="Times New Roman"/>
          <w:i/>
          <w:sz w:val="24"/>
          <w:szCs w:val="24"/>
          <w:vertAlign w:val="subscript"/>
        </w:rPr>
        <w:t xml:space="preserve">i,t </w:t>
      </w:r>
      <w:r w:rsidRPr="006207BC">
        <w:rPr>
          <w:rFonts w:ascii="Times New Roman" w:hAnsi="Times New Roman" w:cs="Times New Roman"/>
          <w:i/>
          <w:sz w:val="24"/>
          <w:szCs w:val="24"/>
        </w:rPr>
        <w:t>+ β</w:t>
      </w:r>
      <w:r w:rsidRPr="006207BC">
        <w:rPr>
          <w:rFonts w:ascii="Times New Roman" w:hAnsi="Times New Roman" w:cs="Times New Roman"/>
          <w:i/>
          <w:sz w:val="24"/>
          <w:szCs w:val="24"/>
          <w:vertAlign w:val="subscript"/>
        </w:rPr>
        <w:t xml:space="preserve">8 </w:t>
      </w:r>
      <w:r w:rsidRPr="006207BC">
        <w:rPr>
          <w:rFonts w:ascii="Times New Roman" w:hAnsi="Times New Roman" w:cs="Times New Roman"/>
          <w:i/>
          <w:sz w:val="24"/>
          <w:szCs w:val="24"/>
        </w:rPr>
        <w:t>Market-to-Book</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9</w:t>
      </w:r>
      <w:r w:rsidRPr="006207BC">
        <w:rPr>
          <w:rFonts w:ascii="Times New Roman" w:hAnsi="Times New Roman" w:cs="Times New Roman"/>
          <w:i/>
        </w:rPr>
        <w:t xml:space="preserve"> XLIST</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10 </w:t>
      </w:r>
      <w:r w:rsidRPr="006207BC">
        <w:rPr>
          <w:rFonts w:ascii="Times New Roman" w:hAnsi="Times New Roman" w:cs="Times New Roman"/>
          <w:i/>
          <w:sz w:val="24"/>
          <w:szCs w:val="24"/>
        </w:rPr>
        <w:t>Issuance</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11 </w:t>
      </w:r>
      <w:r w:rsidRPr="006207BC">
        <w:rPr>
          <w:rFonts w:ascii="Times New Roman" w:hAnsi="Times New Roman" w:cs="Times New Roman"/>
          <w:i/>
          <w:sz w:val="24"/>
          <w:szCs w:val="24"/>
        </w:rPr>
        <w:t>Intangible</w:t>
      </w:r>
      <w:r w:rsidRPr="006207BC">
        <w:rPr>
          <w:rFonts w:ascii="Times New Roman" w:hAnsi="Times New Roman" w:cs="Times New Roman"/>
          <w:i/>
          <w:sz w:val="24"/>
          <w:szCs w:val="24"/>
          <w:vertAlign w:val="subscript"/>
        </w:rPr>
        <w:t>i,t</w:t>
      </w:r>
      <w:r w:rsidRPr="006207BC">
        <w:rPr>
          <w:rFonts w:ascii="Times New Roman" w:hAnsi="Times New Roman" w:cs="Times New Roman"/>
          <w:i/>
          <w:sz w:val="24"/>
          <w:szCs w:val="24"/>
        </w:rPr>
        <w:t xml:space="preserve"> + β</w:t>
      </w:r>
      <w:r w:rsidRPr="006207BC">
        <w:rPr>
          <w:rFonts w:ascii="Times New Roman" w:hAnsi="Times New Roman" w:cs="Times New Roman"/>
          <w:i/>
          <w:sz w:val="24"/>
          <w:szCs w:val="24"/>
          <w:vertAlign w:val="subscript"/>
        </w:rPr>
        <w:t xml:space="preserve">12 </w:t>
      </w:r>
      <w:r w:rsidRPr="006207BC">
        <w:rPr>
          <w:rFonts w:ascii="Times New Roman" w:hAnsi="Times New Roman" w:cs="Times New Roman"/>
          <w:i/>
          <w:sz w:val="24"/>
          <w:szCs w:val="24"/>
        </w:rPr>
        <w:t>Year Dummies + β</w:t>
      </w:r>
      <w:r w:rsidRPr="006207BC">
        <w:rPr>
          <w:rFonts w:ascii="Times New Roman" w:hAnsi="Times New Roman" w:cs="Times New Roman"/>
          <w:i/>
          <w:sz w:val="24"/>
          <w:szCs w:val="24"/>
          <w:vertAlign w:val="subscript"/>
        </w:rPr>
        <w:t xml:space="preserve">13 </w:t>
      </w:r>
      <w:r w:rsidRPr="006207BC">
        <w:rPr>
          <w:rFonts w:ascii="Times New Roman" w:hAnsi="Times New Roman" w:cs="Times New Roman"/>
          <w:i/>
          <w:sz w:val="24"/>
          <w:szCs w:val="24"/>
        </w:rPr>
        <w:t>Industry Dummies + ε</w:t>
      </w:r>
      <w:r w:rsidRPr="006207BC">
        <w:rPr>
          <w:rFonts w:ascii="Times New Roman" w:hAnsi="Times New Roman" w:cs="Times New Roman"/>
          <w:i/>
          <w:sz w:val="24"/>
          <w:szCs w:val="24"/>
          <w:vertAlign w:val="subscript"/>
        </w:rPr>
        <w:t>i,t</w:t>
      </w:r>
      <w:r w:rsidRPr="006207BC">
        <w:rPr>
          <w:rFonts w:ascii="Times New Roman" w:hAnsi="Times New Roman" w:cs="Times New Roman"/>
          <w:sz w:val="24"/>
          <w:szCs w:val="24"/>
        </w:rPr>
        <w:t xml:space="preserve">      </w:t>
      </w:r>
      <w:r w:rsidRPr="006207BC">
        <w:rPr>
          <w:rFonts w:ascii="Times New Roman" w:hAnsi="Times New Roman" w:cs="Times New Roman"/>
          <w:sz w:val="24"/>
          <w:szCs w:val="24"/>
        </w:rPr>
        <w:tab/>
        <w:t>(1)</w:t>
      </w:r>
    </w:p>
    <w:p w14:paraId="2168822F" w14:textId="1F9827E7" w:rsidR="00C20459" w:rsidRPr="006207BC" w:rsidRDefault="00A61DC5" w:rsidP="00DE7487">
      <w:pPr>
        <w:spacing w:before="240" w:after="240" w:line="360" w:lineRule="auto"/>
        <w:jc w:val="both"/>
        <w:rPr>
          <w:rFonts w:ascii="Times New Roman" w:hAnsi="Times New Roman" w:cs="Times New Roman"/>
          <w:sz w:val="24"/>
          <w:szCs w:val="24"/>
        </w:rPr>
      </w:pPr>
      <w:r w:rsidRPr="006207BC">
        <w:rPr>
          <w:rFonts w:ascii="Times New Roman" w:hAnsi="Times New Roman" w:cs="Times New Roman"/>
          <w:sz w:val="24"/>
          <w:szCs w:val="24"/>
        </w:rPr>
        <w:t>where all the variables are described in the Appendix. All the control variables are lagged by one period and winsorized at the 1% level in both tails. The model includes industry and year fixed effects to control for inter-industry and time variations in analyst following. We employ an ordinary least squares (OLS) regression with standard errors that are Huber–White heteroskedastic robust and clustered by firm.</w:t>
      </w:r>
    </w:p>
    <w:p w14:paraId="41570A29" w14:textId="3AA661F4" w:rsidR="00C20459" w:rsidRPr="006207BC" w:rsidRDefault="00A61DC5" w:rsidP="009900A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Table 4 reports the results of the effects of different proxies for risk disclosure on analyst following. </w:t>
      </w:r>
      <w:r w:rsidRPr="006207BC">
        <w:rPr>
          <w:rFonts w:ascii="XthhnbAdvPTimes" w:hAnsi="XthhnbAdvPTimes" w:cs="XthhnbAdvPTimes"/>
          <w:color w:val="000000"/>
          <w:sz w:val="24"/>
          <w:szCs w:val="24"/>
        </w:rPr>
        <w:t xml:space="preserve">In specification (1) in Table 4, we note that risk disclosure as proxied by the variable </w:t>
      </w:r>
      <w:r w:rsidRPr="006207BC">
        <w:rPr>
          <w:rFonts w:ascii="XthhnbAdvPTimes" w:hAnsi="XthhnbAdvPTimes" w:cs="XthhnbAdvPTimes"/>
          <w:i/>
          <w:color w:val="000000"/>
          <w:sz w:val="24"/>
          <w:szCs w:val="24"/>
        </w:rPr>
        <w:t>Risk-sentences</w:t>
      </w:r>
      <w:r w:rsidRPr="006207BC">
        <w:rPr>
          <w:rFonts w:ascii="XthhnbAdvPTimes" w:hAnsi="XthhnbAdvPTimes" w:cs="XthhnbAdvPTimes"/>
          <w:color w:val="000000"/>
          <w:sz w:val="24"/>
          <w:szCs w:val="24"/>
        </w:rPr>
        <w:t xml:space="preserve"> is positively associated with the number of analysts that follow the firm the subsequent year. This association is also highly statistically significant at the 1% confidence level and </w:t>
      </w:r>
      <w:r w:rsidRPr="006207BC">
        <w:rPr>
          <w:rFonts w:ascii="Times New Roman" w:hAnsi="Times New Roman" w:cs="Times New Roman"/>
          <w:sz w:val="24"/>
          <w:szCs w:val="24"/>
        </w:rPr>
        <w:t xml:space="preserve">suggests that firms with higher levels of risk disclosure are more likely to be followed by a greater number of analysts. </w:t>
      </w:r>
      <w:r w:rsidRPr="006207BC">
        <w:rPr>
          <w:rFonts w:ascii="XthhnbAdvPTimes" w:hAnsi="XthhnbAdvPTimes" w:cs="XthhnbAdvPTimes"/>
          <w:color w:val="000000"/>
          <w:sz w:val="24"/>
          <w:szCs w:val="24"/>
        </w:rPr>
        <w:t xml:space="preserve">In specification (2), we use the variable </w:t>
      </w:r>
      <w:r w:rsidRPr="006207BC">
        <w:rPr>
          <w:rFonts w:ascii="XthhnbAdvPTimes" w:hAnsi="XthhnbAdvPTimes" w:cs="XthhnbAdvPTimes"/>
          <w:i/>
          <w:color w:val="000000"/>
          <w:sz w:val="24"/>
          <w:szCs w:val="24"/>
        </w:rPr>
        <w:t>Risk_words</w:t>
      </w:r>
      <w:r w:rsidRPr="006207BC">
        <w:rPr>
          <w:rFonts w:ascii="XthhnbAdvPTimes" w:hAnsi="XthhnbAdvPTimes" w:cs="XthhnbAdvPTimes"/>
          <w:color w:val="000000"/>
          <w:sz w:val="24"/>
          <w:szCs w:val="24"/>
        </w:rPr>
        <w:t xml:space="preserve"> as the measurement of firm risk disclosure and find that the results are </w:t>
      </w:r>
      <w:proofErr w:type="gramStart"/>
      <w:r w:rsidRPr="006207BC">
        <w:rPr>
          <w:rFonts w:ascii="XthhnbAdvPTimes" w:hAnsi="XthhnbAdvPTimes" w:cs="XthhnbAdvPTimes"/>
          <w:color w:val="000000"/>
          <w:sz w:val="24"/>
          <w:szCs w:val="24"/>
        </w:rPr>
        <w:t>similar to</w:t>
      </w:r>
      <w:proofErr w:type="gramEnd"/>
      <w:r w:rsidRPr="006207BC">
        <w:rPr>
          <w:rFonts w:ascii="XthhnbAdvPTimes" w:hAnsi="XthhnbAdvPTimes" w:cs="XthhnbAdvPTimes"/>
          <w:color w:val="000000"/>
          <w:sz w:val="24"/>
          <w:szCs w:val="24"/>
        </w:rPr>
        <w:t xml:space="preserve"> those for specification (1). Specifications (3) and (4)</w:t>
      </w:r>
      <w:r w:rsidRPr="006207BC">
        <w:rPr>
          <w:rFonts w:ascii="Times New Roman" w:hAnsi="Times New Roman" w:cs="Times New Roman"/>
          <w:sz w:val="24"/>
          <w:szCs w:val="24"/>
        </w:rPr>
        <w:t xml:space="preserve"> reveal the same picture, showing that the coefficient </w:t>
      </w:r>
      <w:r w:rsidRPr="006207BC">
        <w:rPr>
          <w:rFonts w:ascii="Times New Roman" w:hAnsi="Times New Roman" w:cs="Times New Roman"/>
          <w:sz w:val="24"/>
          <w:szCs w:val="24"/>
        </w:rPr>
        <w:lastRenderedPageBreak/>
        <w:t xml:space="preserve">on </w:t>
      </w:r>
      <w:r w:rsidRPr="006207BC">
        <w:rPr>
          <w:rFonts w:ascii="Times New Roman" w:hAnsi="Times New Roman" w:cs="Times New Roman"/>
          <w:i/>
          <w:sz w:val="24"/>
          <w:szCs w:val="24"/>
        </w:rPr>
        <w:t>Total_sentences</w:t>
      </w:r>
      <w:r w:rsidRPr="006207BC">
        <w:rPr>
          <w:rFonts w:ascii="Times New Roman" w:hAnsi="Times New Roman" w:cs="Times New Roman"/>
          <w:sz w:val="24"/>
          <w:szCs w:val="24"/>
        </w:rPr>
        <w:t xml:space="preserve"> and </w:t>
      </w:r>
      <w:r w:rsidRPr="006207BC">
        <w:rPr>
          <w:rFonts w:ascii="Times New Roman" w:hAnsi="Times New Roman" w:cs="Times New Roman"/>
          <w:i/>
          <w:sz w:val="24"/>
          <w:szCs w:val="24"/>
        </w:rPr>
        <w:t>Risk_factors</w:t>
      </w:r>
      <w:r w:rsidRPr="006207BC">
        <w:rPr>
          <w:rFonts w:ascii="Times New Roman" w:hAnsi="Times New Roman" w:cs="Times New Roman"/>
          <w:sz w:val="24"/>
          <w:szCs w:val="24"/>
        </w:rPr>
        <w:t xml:space="preserve"> </w:t>
      </w:r>
      <w:proofErr w:type="gramStart"/>
      <w:r w:rsidRPr="006207BC">
        <w:rPr>
          <w:rFonts w:ascii="Times New Roman" w:hAnsi="Times New Roman" w:cs="Times New Roman"/>
          <w:sz w:val="24"/>
          <w:szCs w:val="24"/>
        </w:rPr>
        <w:t>loads</w:t>
      </w:r>
      <w:proofErr w:type="gramEnd"/>
      <w:r w:rsidRPr="006207BC">
        <w:rPr>
          <w:rFonts w:ascii="Times New Roman" w:hAnsi="Times New Roman" w:cs="Times New Roman"/>
          <w:sz w:val="24"/>
          <w:szCs w:val="24"/>
        </w:rPr>
        <w:t xml:space="preserve"> positively and statistically significantly at the 1% confidence level.</w:t>
      </w:r>
      <w:r w:rsidR="003A395B" w:rsidRPr="006207BC">
        <w:rPr>
          <w:rStyle w:val="Appelnotedebasdep"/>
          <w:rFonts w:ascii="Times New Roman" w:hAnsi="Times New Roman" w:cs="Times New Roman"/>
          <w:sz w:val="24"/>
          <w:szCs w:val="24"/>
        </w:rPr>
        <w:footnoteReference w:id="10"/>
      </w:r>
    </w:p>
    <w:p w14:paraId="432D8C81" w14:textId="6FBBA3B0" w:rsidR="00C20459" w:rsidRPr="006207BC" w:rsidRDefault="00A61DC5" w:rsidP="009900A5">
      <w:pPr>
        <w:spacing w:before="240" w:after="240" w:line="360" w:lineRule="auto"/>
        <w:ind w:firstLine="360"/>
        <w:jc w:val="both"/>
        <w:rPr>
          <w:rFonts w:ascii="Times New Roman" w:eastAsiaTheme="minorEastAsia" w:hAnsi="Times New Roman" w:cs="Times New Roman"/>
          <w:sz w:val="24"/>
          <w:szCs w:val="24"/>
        </w:rPr>
      </w:pPr>
      <w:r w:rsidRPr="006207BC">
        <w:rPr>
          <w:rFonts w:ascii="Times New Roman" w:hAnsi="Times New Roman" w:cs="Times New Roman"/>
          <w:sz w:val="24"/>
          <w:szCs w:val="24"/>
        </w:rPr>
        <w:t xml:space="preserve">To assess the economic significance of our results, we examine the impact of a change in each of the four proxies of risk disclosure on firms’ analyst following the subsequent year while holding other </w:t>
      </w:r>
      <w:r w:rsidRPr="006207BC">
        <w:rPr>
          <w:rFonts w:ascii="Times New Roman" w:eastAsiaTheme="minorEastAsia" w:hAnsi="Times New Roman" w:cs="Times New Roman"/>
          <w:sz w:val="24"/>
          <w:szCs w:val="24"/>
        </w:rPr>
        <w:t xml:space="preserve">variables constant. A one standard deviation </w:t>
      </w:r>
      <w:proofErr w:type="gramStart"/>
      <w:r w:rsidRPr="006207BC">
        <w:rPr>
          <w:rFonts w:ascii="Times New Roman" w:eastAsiaTheme="minorEastAsia" w:hAnsi="Times New Roman" w:cs="Times New Roman"/>
          <w:sz w:val="24"/>
          <w:szCs w:val="24"/>
        </w:rPr>
        <w:t>increase</w:t>
      </w:r>
      <w:proofErr w:type="gramEnd"/>
      <w:r w:rsidRPr="006207BC">
        <w:rPr>
          <w:rFonts w:ascii="Times New Roman" w:eastAsiaTheme="minorEastAsia" w:hAnsi="Times New Roman" w:cs="Times New Roman"/>
          <w:sz w:val="24"/>
          <w:szCs w:val="24"/>
        </w:rPr>
        <w:t xml:space="preserve"> in </w:t>
      </w:r>
      <w:r w:rsidRPr="006207BC">
        <w:rPr>
          <w:rFonts w:ascii="Times New Roman" w:eastAsiaTheme="minorEastAsia" w:hAnsi="Times New Roman" w:cs="Times New Roman"/>
          <w:i/>
          <w:sz w:val="24"/>
          <w:szCs w:val="24"/>
        </w:rPr>
        <w:t xml:space="preserve">Risk_sentences </w:t>
      </w:r>
      <w:r w:rsidRPr="006207BC">
        <w:rPr>
          <w:rFonts w:ascii="Times New Roman" w:eastAsiaTheme="minorEastAsia" w:hAnsi="Times New Roman" w:cs="Times New Roman"/>
          <w:sz w:val="24"/>
          <w:szCs w:val="24"/>
        </w:rPr>
        <w:t xml:space="preserve">implies an increase of 1.6 in the number of analysts following the firm. </w:t>
      </w:r>
      <w:r w:rsidRPr="006207BC">
        <w:rPr>
          <w:rFonts w:ascii="Times New Roman" w:hAnsi="Times New Roman" w:cs="Times New Roman"/>
          <w:sz w:val="24"/>
          <w:szCs w:val="24"/>
        </w:rPr>
        <w:t>This value translates into a relative increase of 9.81% over the average analyst following</w:t>
      </w:r>
      <w:r w:rsidRPr="006207BC">
        <w:rPr>
          <w:rFonts w:ascii="Times New Roman" w:eastAsiaTheme="minorEastAsia" w:hAnsi="Times New Roman" w:cs="Times New Roman"/>
          <w:sz w:val="24"/>
          <w:szCs w:val="24"/>
        </w:rPr>
        <w:t xml:space="preserve"> (considering the mean value of </w:t>
      </w:r>
      <w:r w:rsidRPr="006207BC">
        <w:rPr>
          <w:rFonts w:ascii="Times New Roman" w:eastAsiaTheme="minorEastAsia" w:hAnsi="Times New Roman" w:cs="Times New Roman"/>
          <w:i/>
          <w:sz w:val="24"/>
          <w:szCs w:val="24"/>
        </w:rPr>
        <w:t>Analyst</w:t>
      </w:r>
      <w:r w:rsidRPr="006207BC">
        <w:rPr>
          <w:rFonts w:ascii="Times New Roman" w:eastAsiaTheme="minorEastAsia" w:hAnsi="Times New Roman" w:cs="Times New Roman"/>
          <w:sz w:val="24"/>
          <w:szCs w:val="24"/>
        </w:rPr>
        <w:t xml:space="preserve"> of 16.3; see Table 1).</w:t>
      </w:r>
      <w:r w:rsidRPr="006207BC">
        <w:rPr>
          <w:rStyle w:val="Appelnotedebasdep"/>
          <w:rFonts w:ascii="Times New Roman" w:eastAsiaTheme="minorEastAsia" w:hAnsi="Times New Roman" w:cs="Times New Roman"/>
          <w:sz w:val="24"/>
          <w:szCs w:val="24"/>
        </w:rPr>
        <w:footnoteReference w:id="11"/>
      </w:r>
      <w:r w:rsidRPr="006207BC">
        <w:rPr>
          <w:rFonts w:ascii="Times New Roman" w:eastAsiaTheme="minorEastAsia" w:hAnsi="Times New Roman" w:cs="Times New Roman"/>
          <w:sz w:val="24"/>
          <w:szCs w:val="24"/>
        </w:rPr>
        <w:t xml:space="preserve"> Similarly, a one standard deviation </w:t>
      </w:r>
      <w:proofErr w:type="gramStart"/>
      <w:r w:rsidRPr="006207BC">
        <w:rPr>
          <w:rFonts w:ascii="Times New Roman" w:eastAsiaTheme="minorEastAsia" w:hAnsi="Times New Roman" w:cs="Times New Roman"/>
          <w:sz w:val="24"/>
          <w:szCs w:val="24"/>
        </w:rPr>
        <w:t>increase</w:t>
      </w:r>
      <w:proofErr w:type="gramEnd"/>
      <w:r w:rsidRPr="006207BC">
        <w:rPr>
          <w:rFonts w:ascii="Times New Roman" w:eastAsiaTheme="minorEastAsia" w:hAnsi="Times New Roman" w:cs="Times New Roman"/>
          <w:sz w:val="24"/>
          <w:szCs w:val="24"/>
        </w:rPr>
        <w:t xml:space="preserve"> in </w:t>
      </w:r>
      <w:r w:rsidRPr="006207BC">
        <w:rPr>
          <w:rFonts w:ascii="Times New Roman" w:eastAsiaTheme="minorEastAsia" w:hAnsi="Times New Roman" w:cs="Times New Roman"/>
          <w:i/>
          <w:sz w:val="24"/>
          <w:szCs w:val="24"/>
        </w:rPr>
        <w:t>Risk_words</w:t>
      </w:r>
      <w:r w:rsidRPr="006207BC">
        <w:rPr>
          <w:rFonts w:ascii="Times New Roman" w:eastAsiaTheme="minorEastAsia" w:hAnsi="Times New Roman" w:cs="Times New Roman"/>
          <w:sz w:val="24"/>
          <w:szCs w:val="24"/>
        </w:rPr>
        <w:t xml:space="preserve">, </w:t>
      </w:r>
      <w:r w:rsidRPr="006207BC">
        <w:rPr>
          <w:rFonts w:ascii="Times New Roman" w:eastAsiaTheme="minorEastAsia" w:hAnsi="Times New Roman" w:cs="Times New Roman"/>
          <w:i/>
          <w:sz w:val="24"/>
          <w:szCs w:val="24"/>
        </w:rPr>
        <w:t>Total_sentences</w:t>
      </w:r>
      <w:r w:rsidRPr="006207BC">
        <w:rPr>
          <w:rFonts w:ascii="Times New Roman" w:eastAsiaTheme="minorEastAsia" w:hAnsi="Times New Roman" w:cs="Times New Roman"/>
          <w:sz w:val="24"/>
          <w:szCs w:val="24"/>
        </w:rPr>
        <w:t xml:space="preserve">, and </w:t>
      </w:r>
      <w:r w:rsidRPr="006207BC">
        <w:rPr>
          <w:rFonts w:ascii="Times New Roman" w:eastAsiaTheme="minorEastAsia" w:hAnsi="Times New Roman" w:cs="Times New Roman"/>
          <w:i/>
          <w:sz w:val="24"/>
          <w:szCs w:val="24"/>
        </w:rPr>
        <w:t>Risk_factors</w:t>
      </w:r>
      <w:r w:rsidRPr="006207BC">
        <w:rPr>
          <w:rFonts w:ascii="Times New Roman" w:eastAsiaTheme="minorEastAsia" w:hAnsi="Times New Roman" w:cs="Times New Roman"/>
          <w:sz w:val="24"/>
          <w:szCs w:val="24"/>
        </w:rPr>
        <w:t xml:space="preserve"> implies an increase of, respectively, 9.22%, 9.72%, and 8.65% in the average analyst following.</w:t>
      </w:r>
    </w:p>
    <w:p w14:paraId="457400E3" w14:textId="67A96339" w:rsidR="00C20459" w:rsidRPr="006207BC" w:rsidRDefault="00A61DC5" w:rsidP="009900A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Our findings support our hypothesis predicting a positive association between risk disclosure and the number of analysts following the firm, which means that firms with greater risk disclosure attract more analysts. This result can be attributed to lower costs of information gathering for analysts covering firms that already report extensively on their risks in their annual reports, especially since this type of information is difficult to obtain from other sources. Our findings are also consistent with greater investor d</w:t>
      </w:r>
      <w:r w:rsidRPr="006207BC">
        <w:rPr>
          <w:rFonts w:ascii="Times New Roman" w:eastAsia="Times New Roman" w:hAnsi="Times New Roman" w:cs="Times New Roman"/>
          <w:sz w:val="24"/>
          <w:szCs w:val="24"/>
        </w:rPr>
        <w:t xml:space="preserve">emand for analyst services in those firms </w:t>
      </w:r>
      <w:r w:rsidRPr="006207BC">
        <w:rPr>
          <w:rFonts w:ascii="Times New Roman" w:hAnsi="Times New Roman" w:cs="Times New Roman"/>
          <w:sz w:val="24"/>
          <w:szCs w:val="24"/>
        </w:rPr>
        <w:t xml:space="preserve">subject to greater uncertainties because of their exposure to multiple risks. We thus find support for the evidence of </w:t>
      </w:r>
      <w:r w:rsidR="0051095B" w:rsidRPr="006207BC">
        <w:rPr>
          <w:rFonts w:ascii="Times New Roman" w:hAnsi="Times New Roman" w:cs="Times New Roman"/>
          <w:sz w:val="24"/>
          <w:szCs w:val="24"/>
        </w:rPr>
        <w:t xml:space="preserve">prior studies (e.g., </w:t>
      </w:r>
      <w:r w:rsidR="00E80AF1" w:rsidRPr="006207BC">
        <w:rPr>
          <w:rFonts w:ascii="Times New Roman" w:hAnsi="Times New Roman" w:cs="Times New Roman"/>
          <w:sz w:val="24"/>
          <w:szCs w:val="24"/>
        </w:rPr>
        <w:t xml:space="preserve">Lang and Lundholm, 1996; Hope, 2003a; Lehavy </w:t>
      </w:r>
      <w:r w:rsidR="00E80AF1" w:rsidRPr="006207BC">
        <w:rPr>
          <w:rFonts w:ascii="Times New Roman" w:hAnsi="Times New Roman" w:cs="Times New Roman"/>
          <w:i/>
          <w:sz w:val="24"/>
          <w:szCs w:val="24"/>
        </w:rPr>
        <w:t>et al.</w:t>
      </w:r>
      <w:r w:rsidR="00E80AF1" w:rsidRPr="006207BC">
        <w:rPr>
          <w:rFonts w:ascii="Times New Roman" w:hAnsi="Times New Roman" w:cs="Times New Roman"/>
          <w:sz w:val="24"/>
          <w:szCs w:val="24"/>
        </w:rPr>
        <w:t xml:space="preserve">, 2011; </w:t>
      </w:r>
      <w:r w:rsidR="0051095B" w:rsidRPr="006207BC">
        <w:rPr>
          <w:rFonts w:ascii="Times New Roman" w:hAnsi="Times New Roman" w:cs="Times New Roman"/>
          <w:sz w:val="24"/>
          <w:szCs w:val="24"/>
        </w:rPr>
        <w:t xml:space="preserve">Dhaliwal </w:t>
      </w:r>
      <w:r w:rsidR="0051095B" w:rsidRPr="006207BC">
        <w:rPr>
          <w:rFonts w:ascii="Times New Roman" w:hAnsi="Times New Roman" w:cs="Times New Roman"/>
          <w:i/>
          <w:sz w:val="24"/>
          <w:szCs w:val="24"/>
        </w:rPr>
        <w:t>et al.</w:t>
      </w:r>
      <w:r w:rsidR="0051095B" w:rsidRPr="006207BC">
        <w:rPr>
          <w:rFonts w:ascii="Times New Roman" w:eastAsia="Times New Roman" w:hAnsi="Times New Roman" w:cs="Times New Roman"/>
          <w:sz w:val="24"/>
          <w:szCs w:val="24"/>
        </w:rPr>
        <w:t>, 2012</w:t>
      </w:r>
      <w:r w:rsidR="0051095B" w:rsidRPr="006207BC">
        <w:rPr>
          <w:rFonts w:ascii="Times New Roman" w:hAnsi="Times New Roman" w:cs="Times New Roman"/>
          <w:sz w:val="24"/>
          <w:szCs w:val="24"/>
        </w:rPr>
        <w:t>)</w:t>
      </w:r>
      <w:r w:rsidRPr="006207BC">
        <w:rPr>
          <w:rFonts w:ascii="Times New Roman" w:hAnsi="Times New Roman" w:cs="Times New Roman"/>
          <w:sz w:val="24"/>
          <w:szCs w:val="24"/>
        </w:rPr>
        <w:t xml:space="preserve"> suggesting that analysts are among the most important users of annual reports</w:t>
      </w:r>
      <w:proofErr w:type="gramStart"/>
      <w:r w:rsidRPr="006207BC">
        <w:rPr>
          <w:rFonts w:ascii="Times New Roman" w:hAnsi="Times New Roman" w:cs="Times New Roman"/>
          <w:sz w:val="24"/>
          <w:szCs w:val="24"/>
        </w:rPr>
        <w:t>,</w:t>
      </w:r>
      <w:r w:rsidR="00260075" w:rsidRPr="006207BC">
        <w:rPr>
          <w:rFonts w:ascii="Times New Roman" w:hAnsi="Times New Roman" w:cs="Times New Roman"/>
          <w:sz w:val="24"/>
          <w:szCs w:val="24"/>
        </w:rPr>
        <w:t xml:space="preserve"> in particular, risk</w:t>
      </w:r>
      <w:proofErr w:type="gramEnd"/>
      <w:r w:rsidR="00260075" w:rsidRPr="006207BC">
        <w:rPr>
          <w:rFonts w:ascii="Times New Roman" w:hAnsi="Times New Roman" w:cs="Times New Roman"/>
          <w:sz w:val="24"/>
          <w:szCs w:val="24"/>
        </w:rPr>
        <w:t xml:space="preserve"> disclosure</w:t>
      </w:r>
      <w:r w:rsidRPr="006207BC">
        <w:rPr>
          <w:rFonts w:ascii="Times New Roman" w:hAnsi="Times New Roman" w:cs="Times New Roman"/>
          <w:sz w:val="24"/>
          <w:szCs w:val="24"/>
        </w:rPr>
        <w:t xml:space="preserve"> which is very difficult information to obtain from other sources.</w:t>
      </w:r>
    </w:p>
    <w:p w14:paraId="50442F0D" w14:textId="77777777" w:rsidR="00D429F5" w:rsidRDefault="009900A5" w:rsidP="00D429F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From an institutional perspective, </w:t>
      </w:r>
      <w:proofErr w:type="gramStart"/>
      <w:r w:rsidRPr="006207BC">
        <w:rPr>
          <w:rFonts w:ascii="Times New Roman" w:hAnsi="Times New Roman" w:cs="Times New Roman"/>
          <w:sz w:val="24"/>
          <w:szCs w:val="24"/>
        </w:rPr>
        <w:t>a number of</w:t>
      </w:r>
      <w:proofErr w:type="gramEnd"/>
      <w:r w:rsidRPr="006207BC">
        <w:rPr>
          <w:rFonts w:ascii="Times New Roman" w:hAnsi="Times New Roman" w:cs="Times New Roman"/>
          <w:sz w:val="24"/>
          <w:szCs w:val="24"/>
        </w:rPr>
        <w:t xml:space="preserve"> arguments supporting the positive effect of risk disclosure on analyst following particularly hold for French firms. Interestingly, given that legal and regulatory risk disclosure requirements in France are low, firms could differentiate themselves and gain in reputation by providing higher risk disclosure, which typically attracts more analysts. Moreover, in civil law countries and bank-oriented economies, such as in France, investors face greater challenges inherent in high corporate opacity and low levels of investor protection (La Porta </w:t>
      </w:r>
      <w:r w:rsidRPr="006207BC">
        <w:rPr>
          <w:rFonts w:ascii="Times New Roman" w:hAnsi="Times New Roman" w:cs="Times New Roman"/>
          <w:i/>
          <w:sz w:val="24"/>
          <w:szCs w:val="24"/>
        </w:rPr>
        <w:t>et al.</w:t>
      </w:r>
      <w:r w:rsidRPr="006207BC">
        <w:rPr>
          <w:rFonts w:ascii="Times New Roman" w:hAnsi="Times New Roman" w:cs="Times New Roman"/>
          <w:sz w:val="24"/>
          <w:szCs w:val="24"/>
        </w:rPr>
        <w:t xml:space="preserve">, 1997), which renders analyst services more valuable, particularly in firms exposed to </w:t>
      </w:r>
      <w:r w:rsidRPr="006207BC">
        <w:rPr>
          <w:rFonts w:ascii="Times New Roman" w:hAnsi="Times New Roman" w:cs="Times New Roman"/>
          <w:sz w:val="24"/>
          <w:szCs w:val="24"/>
        </w:rPr>
        <w:lastRenderedPageBreak/>
        <w:t xml:space="preserve">higher risks. Hence, </w:t>
      </w:r>
      <w:r w:rsidRPr="006207BC">
        <w:rPr>
          <w:rFonts w:ascii="Times New Roman" w:hAnsi="Times New Roman" w:cs="Times New Roman"/>
          <w:sz w:val="24"/>
          <w:szCs w:val="24"/>
          <w:shd w:val="clear" w:color="auto" w:fill="FFFFFF"/>
        </w:rPr>
        <w:t>analysts would benefit more from following these firms, which would explain why the increased risk disclosure of French firms results in higher analyst following. In relation to t</w:t>
      </w:r>
      <w:r w:rsidRPr="006207BC">
        <w:rPr>
          <w:rFonts w:ascii="Times New Roman" w:hAnsi="Times New Roman" w:cs="Times New Roman"/>
          <w:sz w:val="24"/>
          <w:szCs w:val="24"/>
        </w:rPr>
        <w:t xml:space="preserve">his view, the monitoring role of analysts seems to be particularly valuable to minority investors in the French legal environment, which is characterized by a highly concentrated corporate ownership and the dominance of controlling shareholders having substantial control over the firm </w:t>
      </w:r>
      <w:r w:rsidR="00D429F5">
        <w:rPr>
          <w:rFonts w:ascii="Times New Roman" w:hAnsi="Times New Roman" w:cs="Times New Roman"/>
          <w:sz w:val="24"/>
          <w:szCs w:val="24"/>
        </w:rPr>
        <w:t>(Boubaker and Labégorre, 2008).</w:t>
      </w:r>
    </w:p>
    <w:p w14:paraId="0E52DE02" w14:textId="1E94DF38" w:rsidR="00C20459" w:rsidRPr="006207BC" w:rsidRDefault="00A61DC5" w:rsidP="00D429F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The coefficients of the control variables are, overall, consistent with the literature. As expected, we find that analysts prefer covering large firms because of the potentially greater transparency of larger groups. Analysts are also found to be attracted to firms showing higher risk and to those with a greater proportion of intangibles, since investor demand for analyst services is expectedly higher for riskier firms. </w:t>
      </w:r>
      <w:proofErr w:type="gramStart"/>
      <w:r w:rsidRPr="006207BC">
        <w:rPr>
          <w:rFonts w:ascii="Times New Roman" w:hAnsi="Times New Roman" w:cs="Times New Roman"/>
          <w:sz w:val="24"/>
          <w:szCs w:val="24"/>
        </w:rPr>
        <w:t>Analyst</w:t>
      </w:r>
      <w:proofErr w:type="gramEnd"/>
      <w:r w:rsidRPr="006207BC">
        <w:rPr>
          <w:rFonts w:ascii="Times New Roman" w:hAnsi="Times New Roman" w:cs="Times New Roman"/>
          <w:sz w:val="24"/>
          <w:szCs w:val="24"/>
        </w:rPr>
        <w:t xml:space="preserve"> are, however, more reticent to follow firms with high return volatility and those whose shareholders wield substantial control power, since higher costs would be incurred in doing so. The results also document greater analyst preferences for healthier firms, </w:t>
      </w:r>
      <w:r w:rsidRPr="006207BC">
        <w:rPr>
          <w:rStyle w:val="personname"/>
          <w:rFonts w:ascii="Times New Roman" w:hAnsi="Times New Roman" w:cs="Times New Roman"/>
          <w:sz w:val="24"/>
          <w:szCs w:val="24"/>
        </w:rPr>
        <w:t>that is</w:t>
      </w:r>
      <w:r w:rsidRPr="006207BC">
        <w:rPr>
          <w:rFonts w:ascii="Times New Roman" w:hAnsi="Times New Roman" w:cs="Times New Roman"/>
          <w:sz w:val="24"/>
          <w:szCs w:val="24"/>
        </w:rPr>
        <w:t>, more profitable firms and firms with more growth opportunities.</w:t>
      </w:r>
      <w:r w:rsidRPr="006207BC">
        <w:rPr>
          <w:rFonts w:ascii="Arial" w:hAnsi="Arial" w:cs="Arial"/>
          <w:color w:val="222222"/>
          <w:sz w:val="20"/>
          <w:szCs w:val="20"/>
          <w:shd w:val="clear" w:color="auto" w:fill="FFFFFF"/>
        </w:rPr>
        <w:t xml:space="preserve"> </w:t>
      </w:r>
      <w:r w:rsidRPr="006207BC">
        <w:rPr>
          <w:rFonts w:ascii="Times New Roman" w:hAnsi="Times New Roman" w:cs="Times New Roman"/>
          <w:sz w:val="24"/>
          <w:szCs w:val="24"/>
        </w:rPr>
        <w:t>Further, analysts tend to be more interested in firms that cross-list their shares in the United States compared to those that do not. We find, however, that analyst following is not significantly affected by earnings forecast error or by whether a firm issued capital during the financial year.</w:t>
      </w:r>
    </w:p>
    <w:p w14:paraId="6AB6D160" w14:textId="77777777" w:rsidR="005710B9" w:rsidRPr="006207BC" w:rsidRDefault="00A61DC5" w:rsidP="005710B9">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[Please insert Table 4 about here]</w:t>
      </w:r>
    </w:p>
    <w:p w14:paraId="0AFF00DD" w14:textId="1AEDF19C" w:rsidR="005710B9" w:rsidRPr="006207BC" w:rsidRDefault="005710B9" w:rsidP="005710B9">
      <w:pPr>
        <w:pStyle w:val="Paragraphedeliste"/>
        <w:keepNext/>
        <w:numPr>
          <w:ilvl w:val="1"/>
          <w:numId w:val="2"/>
        </w:numPr>
        <w:spacing w:before="240" w:after="240" w:line="360" w:lineRule="auto"/>
        <w:jc w:val="both"/>
        <w:outlineLvl w:val="1"/>
        <w:rPr>
          <w:rFonts w:ascii="Times New Roman" w:hAnsi="Times New Roman" w:cs="Times New Roman"/>
          <w:b/>
          <w:i/>
          <w:sz w:val="24"/>
          <w:szCs w:val="24"/>
        </w:rPr>
      </w:pPr>
      <w:r w:rsidRPr="006207BC">
        <w:rPr>
          <w:rFonts w:ascii="Times New Roman" w:hAnsi="Times New Roman" w:cs="Times New Roman"/>
          <w:b/>
          <w:sz w:val="24"/>
          <w:szCs w:val="24"/>
        </w:rPr>
        <w:t xml:space="preserve"> </w:t>
      </w:r>
      <w:r w:rsidRPr="006207BC">
        <w:rPr>
          <w:rFonts w:ascii="Times New Roman" w:hAnsi="Times New Roman" w:cs="Times New Roman"/>
          <w:b/>
          <w:i/>
          <w:sz w:val="24"/>
          <w:szCs w:val="24"/>
        </w:rPr>
        <w:t>Additional analysis</w:t>
      </w:r>
      <w:r w:rsidR="00362544" w:rsidRPr="006207BC">
        <w:rPr>
          <w:rFonts w:ascii="Times New Roman" w:hAnsi="Times New Roman" w:cs="Times New Roman"/>
          <w:b/>
          <w:i/>
          <w:sz w:val="24"/>
          <w:szCs w:val="24"/>
        </w:rPr>
        <w:t>: E</w:t>
      </w:r>
      <w:r w:rsidR="00B01188" w:rsidRPr="006207BC">
        <w:rPr>
          <w:rFonts w:ascii="Times New Roman" w:hAnsi="Times New Roman" w:cs="Times New Roman"/>
          <w:b/>
          <w:i/>
          <w:sz w:val="24"/>
          <w:szCs w:val="24"/>
        </w:rPr>
        <w:t>ffect of corporate opacity</w:t>
      </w:r>
    </w:p>
    <w:p w14:paraId="77119010" w14:textId="23EF89B1" w:rsidR="005710B9" w:rsidRPr="006207BC" w:rsidRDefault="005710B9" w:rsidP="005710B9">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In our main analysis, analyst following is shown to be higher in firms with greater risk disclosure</w:t>
      </w:r>
      <w:r w:rsidRPr="006207BC">
        <w:rPr>
          <w:rStyle w:val="Marquedecommentaire"/>
          <w:rFonts w:ascii="Times New Roman" w:hAnsi="Times New Roman" w:cs="Times New Roman"/>
          <w:sz w:val="24"/>
          <w:szCs w:val="24"/>
        </w:rPr>
        <w:t xml:space="preserve">, </w:t>
      </w:r>
      <w:r w:rsidRPr="006207BC">
        <w:rPr>
          <w:rFonts w:ascii="Times New Roman" w:hAnsi="Times New Roman" w:cs="Times New Roman"/>
          <w:sz w:val="24"/>
          <w:szCs w:val="24"/>
        </w:rPr>
        <w:t xml:space="preserve">probably because of lower costs of information gathering in these firms. To reinforce this view, we conduct additional analysis examining whether the positive effect of risk disclosure on analyst following is more pronounced for more opaque firms. Indeed, the value of analyst services typically increases in firms where investors face greater challenges inherent in increased uncertainty and information asymmetry. Consequently, analyst output is expected to be more valuable for more opaque firms (Loh and Stulz, 2018). Thus, analysts can add more value to investors of these firms while profiting from a competitive advantage of covering them (Boubaker and Labégorre, 2008). Accordingly, the complementary information role of analysts is expected to be more relevant for more opaque firms, implying a greater effect of risk disclosure on analyst </w:t>
      </w:r>
      <w:r w:rsidRPr="006207BC">
        <w:rPr>
          <w:rFonts w:ascii="Times New Roman" w:hAnsi="Times New Roman" w:cs="Times New Roman"/>
          <w:sz w:val="24"/>
          <w:szCs w:val="24"/>
        </w:rPr>
        <w:lastRenderedPageBreak/>
        <w:t>coverage in these firms. To test this conjecture, we split our sample into Low opacity or High opacity groups</w:t>
      </w:r>
      <w:r w:rsidRPr="006207BC">
        <w:rPr>
          <w:rStyle w:val="Marquedecommentaire"/>
          <w:rFonts w:ascii="Times New Roman" w:hAnsi="Times New Roman" w:cs="Times New Roman"/>
          <w:sz w:val="24"/>
          <w:szCs w:val="24"/>
        </w:rPr>
        <w:t>,</w:t>
      </w:r>
      <w:r w:rsidRPr="006207BC">
        <w:rPr>
          <w:rFonts w:ascii="Times New Roman" w:hAnsi="Times New Roman" w:cs="Times New Roman"/>
          <w:sz w:val="24"/>
          <w:szCs w:val="24"/>
        </w:rPr>
        <w:t xml:space="preserve"> depending on whether the bid–ask </w:t>
      </w:r>
      <w:proofErr w:type="gramStart"/>
      <w:r w:rsidRPr="006207BC">
        <w:rPr>
          <w:rFonts w:ascii="Times New Roman" w:hAnsi="Times New Roman" w:cs="Times New Roman"/>
          <w:sz w:val="24"/>
          <w:szCs w:val="24"/>
        </w:rPr>
        <w:t>spread</w:t>
      </w:r>
      <w:proofErr w:type="gramEnd"/>
      <w:r w:rsidRPr="006207BC">
        <w:rPr>
          <w:rFonts w:ascii="Times New Roman" w:hAnsi="Times New Roman" w:cs="Times New Roman"/>
          <w:sz w:val="24"/>
          <w:szCs w:val="24"/>
        </w:rPr>
        <w:t xml:space="preserve"> at the end of the fiscal year is below or above the median value of distribution. Indeed, a high (low) bid–ask spread results from low (high) liquidity, which translates into high (low) information asymmetry and thus into high (low) corporate opacity. The results of estimating our baseline model across the two groups of firms are reported in Table 5. They show that the coefficient of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is higher in the High opacity group compared to that in the Low opacity group. This implies that the positive association between risk disclosure and analyst following is more pronounced in more opaque firms, indicating that corporate opacity increases analysts’ likelihood to follow firms with higher risk disclosure. This result suggests that analysts benefit more from collecting information among these firms, which provides additional evidence that analysts are more attracted by high-risk disclosure firms in which they will </w:t>
      </w:r>
      <w:r w:rsidRPr="006207BC">
        <w:rPr>
          <w:rFonts w:ascii="Times New Roman" w:eastAsia="Times New Roman" w:hAnsi="Times New Roman" w:cs="Times New Roman"/>
          <w:sz w:val="24"/>
          <w:szCs w:val="24"/>
        </w:rPr>
        <w:t xml:space="preserve">incur lower costs of </w:t>
      </w:r>
      <w:r w:rsidRPr="006207BC">
        <w:rPr>
          <w:rFonts w:ascii="Times New Roman" w:hAnsi="Times New Roman" w:cs="Times New Roman"/>
          <w:sz w:val="24"/>
          <w:szCs w:val="24"/>
        </w:rPr>
        <w:t>information gathering.</w:t>
      </w:r>
    </w:p>
    <w:p w14:paraId="5ACD35E9" w14:textId="6303C531" w:rsidR="00796302" w:rsidRPr="006207BC" w:rsidRDefault="00796302" w:rsidP="00796302">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[Please insert Table 5 about here]</w:t>
      </w:r>
    </w:p>
    <w:p w14:paraId="30914250" w14:textId="77777777" w:rsidR="00C20459" w:rsidRPr="006207BC" w:rsidRDefault="00A61DC5" w:rsidP="00F3678B">
      <w:pPr>
        <w:pStyle w:val="Paragraphedeliste"/>
        <w:keepNext/>
        <w:numPr>
          <w:ilvl w:val="1"/>
          <w:numId w:val="2"/>
        </w:numPr>
        <w:spacing w:before="240" w:after="240" w:line="360" w:lineRule="auto"/>
        <w:jc w:val="both"/>
        <w:outlineLvl w:val="1"/>
        <w:rPr>
          <w:rFonts w:ascii="Times New Roman" w:hAnsi="Times New Roman" w:cs="Times New Roman"/>
          <w:b/>
          <w:i/>
          <w:sz w:val="24"/>
          <w:szCs w:val="24"/>
        </w:rPr>
      </w:pPr>
      <w:r w:rsidRPr="006207BC">
        <w:rPr>
          <w:rFonts w:ascii="Times New Roman" w:hAnsi="Times New Roman" w:cs="Times New Roman"/>
          <w:b/>
          <w:i/>
          <w:sz w:val="24"/>
          <w:szCs w:val="24"/>
        </w:rPr>
        <w:t>Robustness checks</w:t>
      </w:r>
    </w:p>
    <w:p w14:paraId="4FA9D0E7" w14:textId="77777777"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In this section, we conduct robustness checks using alternative measures for risk disclosure (Section 4.3.1) and alternative statistical techniques (Section 4.3.2).</w:t>
      </w:r>
    </w:p>
    <w:p w14:paraId="40BFFF97" w14:textId="77777777" w:rsidR="00C20459" w:rsidRPr="006207BC" w:rsidRDefault="00A61DC5" w:rsidP="00F3678B">
      <w:pPr>
        <w:pStyle w:val="Paragraphedeliste"/>
        <w:keepNext/>
        <w:numPr>
          <w:ilvl w:val="2"/>
          <w:numId w:val="2"/>
        </w:numPr>
        <w:spacing w:before="240" w:after="240" w:line="360" w:lineRule="auto"/>
        <w:jc w:val="both"/>
        <w:outlineLvl w:val="2"/>
        <w:rPr>
          <w:rFonts w:ascii="Times New Roman" w:hAnsi="Times New Roman" w:cs="Times New Roman"/>
          <w:i/>
          <w:sz w:val="24"/>
          <w:szCs w:val="24"/>
        </w:rPr>
      </w:pPr>
      <w:r w:rsidRPr="006207BC">
        <w:rPr>
          <w:rFonts w:ascii="Times New Roman" w:hAnsi="Times New Roman" w:cs="Times New Roman"/>
          <w:i/>
          <w:sz w:val="24"/>
          <w:szCs w:val="24"/>
        </w:rPr>
        <w:t>Alternative risk disclosure variables</w:t>
      </w:r>
    </w:p>
    <w:p w14:paraId="7A99411E" w14:textId="77777777" w:rsidR="006C2A2F"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Table </w:t>
      </w:r>
      <w:r w:rsidR="005B7FDD" w:rsidRPr="006207BC">
        <w:rPr>
          <w:rFonts w:ascii="Times New Roman" w:hAnsi="Times New Roman" w:cs="Times New Roman"/>
          <w:sz w:val="24"/>
          <w:szCs w:val="24"/>
        </w:rPr>
        <w:t xml:space="preserve">6 </w:t>
      </w:r>
      <w:r w:rsidRPr="006207BC">
        <w:rPr>
          <w:rFonts w:ascii="Times New Roman" w:hAnsi="Times New Roman" w:cs="Times New Roman"/>
          <w:sz w:val="24"/>
          <w:szCs w:val="24"/>
        </w:rPr>
        <w:t xml:space="preserve">reports the results of robustness tests using aggregate and refined measures of risk disclosure. First, we compute a risk disclosure index from the four variables used in our main analysis – </w:t>
      </w:r>
      <w:r w:rsidRPr="006207BC">
        <w:rPr>
          <w:rStyle w:val="personname"/>
          <w:rFonts w:ascii="Times New Roman" w:hAnsi="Times New Roman" w:cs="Times New Roman"/>
          <w:sz w:val="24"/>
          <w:szCs w:val="24"/>
        </w:rPr>
        <w:t>that is</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Risk-words</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Total_sentences,</w:t>
      </w:r>
      <w:r w:rsidRPr="006207BC">
        <w:rPr>
          <w:rFonts w:ascii="Times New Roman" w:hAnsi="Times New Roman" w:cs="Times New Roman"/>
          <w:sz w:val="24"/>
          <w:szCs w:val="24"/>
        </w:rPr>
        <w:t xml:space="preserve"> and </w:t>
      </w:r>
      <w:r w:rsidRPr="006207BC">
        <w:rPr>
          <w:rFonts w:ascii="Times New Roman" w:hAnsi="Times New Roman" w:cs="Times New Roman"/>
          <w:i/>
          <w:sz w:val="24"/>
          <w:szCs w:val="24"/>
        </w:rPr>
        <w:t>Risk factors</w:t>
      </w:r>
      <w:r w:rsidRPr="006207BC">
        <w:rPr>
          <w:rFonts w:ascii="Times New Roman" w:hAnsi="Times New Roman" w:cs="Times New Roman"/>
          <w:sz w:val="24"/>
          <w:szCs w:val="24"/>
        </w:rPr>
        <w:t xml:space="preserve"> – using principal component factor analysis.</w:t>
      </w:r>
      <w:r w:rsidRPr="006207BC">
        <w:rPr>
          <w:rStyle w:val="Appelnotedebasdep"/>
          <w:rFonts w:ascii="Times New Roman" w:hAnsi="Times New Roman" w:cs="Times New Roman"/>
          <w:sz w:val="24"/>
          <w:szCs w:val="24"/>
        </w:rPr>
        <w:footnoteReference w:id="12"/>
      </w:r>
      <w:r w:rsidRPr="006207BC">
        <w:rPr>
          <w:rFonts w:ascii="Times New Roman" w:hAnsi="Times New Roman" w:cs="Times New Roman"/>
          <w:sz w:val="24"/>
          <w:szCs w:val="24"/>
        </w:rPr>
        <w:t xml:space="preserve"> This analysis generates one common significant factor with an eigenvalue of 3.267</w:t>
      </w:r>
      <w:r w:rsidR="009462E6" w:rsidRPr="006207BC">
        <w:rPr>
          <w:rFonts w:ascii="Times New Roman" w:hAnsi="Times New Roman" w:cs="Times New Roman"/>
          <w:sz w:val="24"/>
          <w:szCs w:val="24"/>
        </w:rPr>
        <w:t xml:space="preserve"> (i.e., greater than one),</w:t>
      </w:r>
      <w:r w:rsidR="00774D79" w:rsidRPr="006207BC">
        <w:rPr>
          <w:rFonts w:ascii="Times New Roman" w:hAnsi="Times New Roman" w:cs="Times New Roman"/>
          <w:sz w:val="24"/>
          <w:szCs w:val="24"/>
        </w:rPr>
        <w:t xml:space="preserve"> </w:t>
      </w:r>
      <w:r w:rsidRPr="006207BC">
        <w:rPr>
          <w:rFonts w:ascii="Times New Roman" w:hAnsi="Times New Roman" w:cs="Times New Roman"/>
          <w:sz w:val="24"/>
          <w:szCs w:val="24"/>
        </w:rPr>
        <w:t xml:space="preserve">that explains 81.69% of the total variance. We include this new measure of risk disclosure, </w:t>
      </w:r>
      <w:r w:rsidRPr="006207BC">
        <w:rPr>
          <w:rFonts w:ascii="Times New Roman" w:hAnsi="Times New Roman" w:cs="Times New Roman"/>
          <w:i/>
          <w:sz w:val="24"/>
          <w:szCs w:val="24"/>
        </w:rPr>
        <w:t>Risk_index</w:t>
      </w:r>
      <w:r w:rsidRPr="006207BC">
        <w:rPr>
          <w:rFonts w:ascii="Times New Roman" w:hAnsi="Times New Roman" w:cs="Times New Roman"/>
          <w:sz w:val="24"/>
          <w:szCs w:val="24"/>
        </w:rPr>
        <w:t xml:space="preserve">, </w:t>
      </w:r>
      <w:r w:rsidR="00774D79" w:rsidRPr="006207BC">
        <w:rPr>
          <w:rFonts w:ascii="Times New Roman" w:hAnsi="Times New Roman" w:cs="Times New Roman"/>
          <w:sz w:val="24"/>
          <w:szCs w:val="24"/>
        </w:rPr>
        <w:t xml:space="preserve">in specification (1) </w:t>
      </w:r>
      <w:r w:rsidRPr="006207BC">
        <w:rPr>
          <w:rFonts w:ascii="Times New Roman" w:hAnsi="Times New Roman" w:cs="Times New Roman"/>
          <w:sz w:val="24"/>
          <w:szCs w:val="24"/>
        </w:rPr>
        <w:t xml:space="preserve">and find </w:t>
      </w:r>
      <w:r w:rsidR="00F178B3" w:rsidRPr="006207BC">
        <w:rPr>
          <w:rFonts w:ascii="Times New Roman" w:hAnsi="Times New Roman" w:cs="Times New Roman"/>
          <w:sz w:val="24"/>
          <w:szCs w:val="24"/>
        </w:rPr>
        <w:t xml:space="preserve">again </w:t>
      </w:r>
      <w:r w:rsidRPr="006207BC">
        <w:rPr>
          <w:rFonts w:ascii="Times New Roman" w:hAnsi="Times New Roman" w:cs="Times New Roman"/>
          <w:sz w:val="24"/>
          <w:szCs w:val="24"/>
        </w:rPr>
        <w:t>that the corresponding coefficient is positive and statistically significant at the 1% confidence level. This supports our main finding that firms with greater risk disclosure attract more analysts.</w:t>
      </w:r>
    </w:p>
    <w:p w14:paraId="1217C81D" w14:textId="2E07C18E" w:rsidR="00C20459" w:rsidRPr="006207BC" w:rsidRDefault="00A61DC5">
      <w:pPr>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lastRenderedPageBreak/>
        <w:t xml:space="preserve">Second, we construct four refinements of </w:t>
      </w:r>
      <w:r w:rsidR="006742FA" w:rsidRPr="006207BC">
        <w:rPr>
          <w:rFonts w:ascii="Times New Roman" w:hAnsi="Times New Roman" w:cs="Times New Roman"/>
          <w:i/>
          <w:sz w:val="24"/>
          <w:szCs w:val="24"/>
        </w:rPr>
        <w:t>Risk_</w:t>
      </w:r>
      <w:r w:rsidRPr="006207BC">
        <w:rPr>
          <w:rFonts w:ascii="Times New Roman" w:hAnsi="Times New Roman" w:cs="Times New Roman"/>
          <w:i/>
          <w:sz w:val="24"/>
          <w:szCs w:val="24"/>
        </w:rPr>
        <w:t>factors</w:t>
      </w:r>
      <w:r w:rsidRPr="006207BC">
        <w:rPr>
          <w:rFonts w:ascii="Times New Roman" w:hAnsi="Times New Roman" w:cs="Times New Roman"/>
          <w:sz w:val="24"/>
          <w:szCs w:val="24"/>
        </w:rPr>
        <w:t xml:space="preserve"> </w:t>
      </w:r>
      <w:r w:rsidR="006742FA" w:rsidRPr="006207BC">
        <w:rPr>
          <w:rFonts w:ascii="Times New Roman" w:hAnsi="Times New Roman" w:cs="Times New Roman"/>
          <w:sz w:val="24"/>
          <w:szCs w:val="24"/>
        </w:rPr>
        <w:t xml:space="preserve">variable </w:t>
      </w:r>
      <w:r w:rsidRPr="006207BC">
        <w:rPr>
          <w:rFonts w:ascii="Times New Roman" w:hAnsi="Times New Roman" w:cs="Times New Roman"/>
          <w:sz w:val="24"/>
          <w:szCs w:val="24"/>
        </w:rPr>
        <w:t>by creating four categories of risk factors identified in the risk factor section, namely, general risks (specification (2)</w:t>
      </w:r>
      <w:r w:rsidR="00774D79" w:rsidRPr="006207BC">
        <w:rPr>
          <w:rFonts w:ascii="Times New Roman" w:hAnsi="Times New Roman" w:cs="Times New Roman"/>
          <w:sz w:val="24"/>
          <w:szCs w:val="24"/>
        </w:rPr>
        <w:t>)</w:t>
      </w:r>
      <w:r w:rsidR="00774D79" w:rsidRPr="006207BC">
        <w:rPr>
          <w:rStyle w:val="Marquedecommentaire"/>
        </w:rPr>
        <w:t>,</w:t>
      </w:r>
      <w:r w:rsidRPr="006207BC">
        <w:rPr>
          <w:rFonts w:ascii="Times New Roman" w:hAnsi="Times New Roman" w:cs="Times New Roman"/>
          <w:sz w:val="24"/>
          <w:szCs w:val="24"/>
        </w:rPr>
        <w:t xml:space="preserve"> firm-specific risks (specification (3)), industry-specific risks (specification (4)), and financial risks (specification (5)). </w:t>
      </w:r>
      <w:r w:rsidR="004408A1" w:rsidRPr="006207BC">
        <w:rPr>
          <w:rFonts w:ascii="Times New Roman" w:hAnsi="Times New Roman" w:cs="Times New Roman"/>
          <w:sz w:val="24"/>
          <w:szCs w:val="24"/>
        </w:rPr>
        <w:t>Firm-specific risks are risk factors that are specific to the firm operations and processes, such as reliance on one client or supplier, risk related to the obsolescence of machines and equipment, or liability risk. However, industry-specific risks are risk factors to which all/ the majority of companies belonging to a same industry are exposed, such as those related to the economic or geopolitical environment.</w:t>
      </w:r>
      <w:r w:rsidR="004408A1" w:rsidRPr="006207BC">
        <w:rPr>
          <w:rStyle w:val="Appelnotedebasdep"/>
          <w:rFonts w:ascii="Times New Roman" w:hAnsi="Times New Roman" w:cs="Times New Roman"/>
          <w:sz w:val="24"/>
          <w:szCs w:val="24"/>
        </w:rPr>
        <w:footnoteReference w:id="13"/>
      </w:r>
      <w:r w:rsidR="004408A1" w:rsidRPr="006207BC">
        <w:rPr>
          <w:rFonts w:ascii="Times New Roman" w:hAnsi="Times New Roman" w:cs="Times New Roman"/>
          <w:sz w:val="24"/>
          <w:szCs w:val="24"/>
        </w:rPr>
        <w:t xml:space="preserve"> </w:t>
      </w:r>
      <w:r w:rsidRPr="006207BC">
        <w:rPr>
          <w:rFonts w:ascii="Times New Roman" w:hAnsi="Times New Roman" w:cs="Times New Roman"/>
          <w:sz w:val="24"/>
          <w:szCs w:val="24"/>
        </w:rPr>
        <w:t>Financial risks are risks related to the firm’s exposure to financial and capital markets (e.g.</w:t>
      </w:r>
      <w:r w:rsidR="00774D79" w:rsidRPr="006207BC">
        <w:rPr>
          <w:rFonts w:ascii="Times New Roman" w:hAnsi="Times New Roman" w:cs="Times New Roman"/>
          <w:sz w:val="24"/>
          <w:szCs w:val="24"/>
        </w:rPr>
        <w:t>,</w:t>
      </w:r>
      <w:r w:rsidRPr="006207BC">
        <w:rPr>
          <w:rFonts w:ascii="Times New Roman" w:hAnsi="Times New Roman" w:cs="Times New Roman"/>
          <w:sz w:val="24"/>
          <w:szCs w:val="24"/>
        </w:rPr>
        <w:t xml:space="preserve"> credit risk, currency risk</w:t>
      </w:r>
      <w:r w:rsidR="00774D79" w:rsidRPr="006207BC">
        <w:rPr>
          <w:rFonts w:ascii="Times New Roman" w:hAnsi="Times New Roman" w:cs="Times New Roman"/>
          <w:sz w:val="24"/>
          <w:szCs w:val="24"/>
        </w:rPr>
        <w:t>, liquidity risk</w:t>
      </w:r>
      <w:r w:rsidRPr="006207BC">
        <w:rPr>
          <w:rFonts w:ascii="Times New Roman" w:hAnsi="Times New Roman" w:cs="Times New Roman"/>
          <w:sz w:val="24"/>
          <w:szCs w:val="24"/>
        </w:rPr>
        <w:t>). General risks are all risk factors that cannot be classified in the previous three categories. The results from specifications (2) to (5) show a positive and highly statistically significant coefficient for the risk disclosure variable</w:t>
      </w:r>
      <w:r w:rsidR="00774D79" w:rsidRPr="006207BC">
        <w:rPr>
          <w:rFonts w:ascii="Times New Roman" w:hAnsi="Times New Roman" w:cs="Times New Roman"/>
          <w:sz w:val="24"/>
          <w:szCs w:val="24"/>
        </w:rPr>
        <w:t>s</w:t>
      </w:r>
      <w:r w:rsidRPr="006207BC">
        <w:rPr>
          <w:rFonts w:ascii="Times New Roman" w:hAnsi="Times New Roman" w:cs="Times New Roman"/>
          <w:sz w:val="24"/>
          <w:szCs w:val="24"/>
        </w:rPr>
        <w:t>, indicating that analysts are attracted by the different types of risks that the firm faces, particularly when it comes to financial risks, as shown by the largest magnitude for the coefficient of financial risks.</w:t>
      </w:r>
    </w:p>
    <w:p w14:paraId="3564CC4A" w14:textId="6F233D96" w:rsidR="00C20459" w:rsidRPr="006207BC" w:rsidRDefault="00A61DC5" w:rsidP="00D429F5">
      <w:pPr>
        <w:spacing w:before="120" w:after="12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Third, we construct the variable </w:t>
      </w:r>
      <w:r w:rsidRPr="006207BC">
        <w:rPr>
          <w:rFonts w:ascii="Times New Roman" w:hAnsi="Times New Roman" w:cs="Times New Roman"/>
          <w:i/>
          <w:sz w:val="24"/>
          <w:szCs w:val="24"/>
        </w:rPr>
        <w:t>Risk_factor coverage</w:t>
      </w:r>
      <w:r w:rsidRPr="006207BC">
        <w:rPr>
          <w:rFonts w:ascii="Times New Roman" w:hAnsi="Times New Roman" w:cs="Times New Roman"/>
          <w:sz w:val="24"/>
          <w:szCs w:val="24"/>
        </w:rPr>
        <w:t xml:space="preserve">, considering the four risk factor categories above and using the Herfindahl index to </w:t>
      </w:r>
      <w:proofErr w:type="gramStart"/>
      <w:r w:rsidRPr="006207BC">
        <w:rPr>
          <w:rFonts w:ascii="Times New Roman" w:hAnsi="Times New Roman" w:cs="Times New Roman"/>
          <w:sz w:val="24"/>
          <w:szCs w:val="24"/>
        </w:rPr>
        <w:t>take into account</w:t>
      </w:r>
      <w:proofErr w:type="gramEnd"/>
      <w:r w:rsidRPr="006207BC">
        <w:rPr>
          <w:rFonts w:ascii="Times New Roman" w:hAnsi="Times New Roman" w:cs="Times New Roman"/>
          <w:sz w:val="24"/>
          <w:szCs w:val="24"/>
        </w:rPr>
        <w:t xml:space="preserve"> the weight of each risk factor category (specification (6)</w:t>
      </w:r>
      <w:r w:rsidR="00774D79" w:rsidRPr="006207BC">
        <w:rPr>
          <w:rFonts w:ascii="Times New Roman" w:hAnsi="Times New Roman" w:cs="Times New Roman"/>
          <w:sz w:val="24"/>
          <w:szCs w:val="24"/>
        </w:rPr>
        <w:t>).</w:t>
      </w:r>
      <w:r w:rsidRPr="006207BC">
        <w:rPr>
          <w:rFonts w:ascii="Times New Roman" w:hAnsi="Times New Roman" w:cs="Times New Roman"/>
          <w:sz w:val="24"/>
          <w:szCs w:val="24"/>
        </w:rPr>
        <w:t xml:space="preserve"> The measure of this variable is as follows:</w:t>
      </w:r>
    </w:p>
    <w:p w14:paraId="5E2DAAE0" w14:textId="77777777" w:rsidR="00D429F5" w:rsidRDefault="00A61DC5" w:rsidP="00D429F5">
      <w:pPr>
        <w:spacing w:before="120" w:after="12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Risk_factor coverage = [(1/H)/4</w:t>
      </w:r>
      <w:proofErr w:type="gramStart"/>
      <w:r w:rsidRPr="006207BC">
        <w:rPr>
          <w:rFonts w:ascii="Times New Roman" w:hAnsi="Times New Roman" w:cs="Times New Roman"/>
          <w:i/>
          <w:sz w:val="24"/>
          <w:szCs w:val="24"/>
        </w:rPr>
        <w:t>]</w:t>
      </w:r>
      <w:r w:rsidRPr="006207BC">
        <w:rPr>
          <w:rFonts w:ascii="Times New Roman" w:hAnsi="Times New Roman" w:cs="Times New Roman"/>
          <w:sz w:val="24"/>
          <w:szCs w:val="24"/>
        </w:rPr>
        <w:t xml:space="preserve">  </w:t>
      </w:r>
      <w:r w:rsidRPr="006207BC">
        <w:rPr>
          <w:rFonts w:ascii="Times New Roman" w:hAnsi="Times New Roman" w:cs="Times New Roman"/>
          <w:sz w:val="24"/>
          <w:szCs w:val="24"/>
        </w:rPr>
        <w:tab/>
      </w:r>
      <w:proofErr w:type="gramEnd"/>
      <w:r w:rsidRPr="006207BC">
        <w:rPr>
          <w:rFonts w:ascii="Times New Roman" w:hAnsi="Times New Roman" w:cs="Times New Roman"/>
          <w:sz w:val="24"/>
          <w:szCs w:val="24"/>
        </w:rPr>
        <w:tab/>
      </w:r>
      <w:r w:rsidRPr="006207BC">
        <w:rPr>
          <w:rFonts w:ascii="Times New Roman" w:hAnsi="Times New Roman" w:cs="Times New Roman"/>
          <w:sz w:val="24"/>
          <w:szCs w:val="24"/>
        </w:rPr>
        <w:tab/>
      </w:r>
      <w:r w:rsidRPr="006207BC">
        <w:rPr>
          <w:rFonts w:ascii="Times New Roman" w:hAnsi="Times New Roman" w:cs="Times New Roman"/>
          <w:sz w:val="24"/>
          <w:szCs w:val="24"/>
        </w:rPr>
        <w:tab/>
      </w:r>
      <w:r w:rsidRPr="006207BC">
        <w:rPr>
          <w:rFonts w:ascii="Times New Roman" w:hAnsi="Times New Roman" w:cs="Times New Roman"/>
          <w:sz w:val="24"/>
          <w:szCs w:val="24"/>
        </w:rPr>
        <w:tab/>
      </w:r>
      <w:r w:rsidRPr="006207BC">
        <w:rPr>
          <w:rFonts w:ascii="Times New Roman" w:hAnsi="Times New Roman" w:cs="Times New Roman"/>
          <w:sz w:val="24"/>
          <w:szCs w:val="24"/>
        </w:rPr>
        <w:tab/>
        <w:t>(2)</w:t>
      </w:r>
    </w:p>
    <w:p w14:paraId="4F6CD55E" w14:textId="77777777" w:rsidR="00D429F5" w:rsidRDefault="00A61DC5" w:rsidP="00D429F5">
      <w:pPr>
        <w:spacing w:before="120" w:after="120" w:line="360" w:lineRule="auto"/>
        <w:jc w:val="both"/>
        <w:rPr>
          <w:rFonts w:ascii="Times New Roman" w:hAnsi="Times New Roman" w:cs="Times New Roman"/>
          <w:sz w:val="24"/>
          <w:szCs w:val="24"/>
        </w:rPr>
      </w:pPr>
      <w:r w:rsidRPr="00D429F5">
        <w:rPr>
          <w:rFonts w:ascii="Times New Roman" w:hAnsi="Times New Roman" w:cs="Times New Roman"/>
          <w:sz w:val="24"/>
          <w:szCs w:val="24"/>
        </w:rPr>
        <w:t xml:space="preserve">where </w:t>
      </w:r>
      <w:r w:rsidRPr="00D429F5">
        <w:rPr>
          <w:rFonts w:ascii="Times New Roman" w:hAnsi="Times New Roman" w:cs="Times New Roman"/>
          <w:i/>
          <w:sz w:val="24"/>
          <w:szCs w:val="24"/>
        </w:rPr>
        <w:t>H</w:t>
      </w:r>
      <w:r w:rsidRPr="00D429F5">
        <w:rPr>
          <w:rFonts w:ascii="Times New Roman" w:hAnsi="Times New Roman" w:cs="Times New Roman"/>
          <w:sz w:val="24"/>
          <w:szCs w:val="24"/>
        </w:rPr>
        <w:t xml:space="preserve"> is the Herfindahl index of concentration across risk factor categories, calculated as</w:t>
      </w:r>
      <w:r w:rsidR="00D429F5">
        <w:rPr>
          <w:rFonts w:ascii="Times New Roman" w:hAnsi="Times New Roman" w:cs="Times New Roman"/>
          <w:sz w:val="24"/>
          <w:szCs w:val="24"/>
        </w:rPr>
        <w:t xml:space="preserve">       </w:t>
      </w:r>
      <w:r w:rsidRPr="00D429F5">
        <w:rPr>
          <w:rFonts w:ascii="Times New Roman" w:hAnsi="Times New Roman" w:cs="Times New Roman"/>
          <w:sz w:val="24"/>
          <w:szCs w:val="24"/>
        </w:rPr>
        <w:t xml:space="preserve"> </w:t>
      </w:r>
      <m:oMath>
        <m:r>
          <w:rPr>
            <w:rFonts w:ascii="Cambria Math" w:hAnsi="Cambria Math" w:cs="Times New Roman"/>
            <w:sz w:val="24"/>
            <w:szCs w:val="24"/>
          </w:rPr>
          <m:t>H=</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w:rPr>
                    <w:rFonts w:ascii="Cambria Math" w:hAnsi="Cambria Math" w:cs="Times New Roman"/>
                    <w:sz w:val="24"/>
                    <w:szCs w:val="24"/>
                  </w:rPr>
                  <m:t>2</m:t>
                </m:r>
              </m:sup>
            </m:sSubSup>
          </m:e>
        </m:nary>
      </m:oMath>
      <w:r w:rsidRPr="00D429F5">
        <w:rPr>
          <w:rFonts w:ascii="Times New Roman" w:eastAsiaTheme="minorEastAsia" w:hAnsi="Times New Roman" w:cs="Times New Roman"/>
          <w:sz w:val="24"/>
          <w:szCs w:val="24"/>
        </w:rPr>
        <w:t xml:space="preserve">, and </w:t>
      </w:r>
      <w:r w:rsidRPr="00D429F5">
        <w:rPr>
          <w:rFonts w:ascii="Times New Roman" w:eastAsiaTheme="minorEastAsia" w:hAnsi="Times New Roman" w:cs="Times New Roman"/>
          <w:i/>
          <w:sz w:val="24"/>
          <w:szCs w:val="24"/>
        </w:rPr>
        <w:t>P</w:t>
      </w:r>
      <w:r w:rsidRPr="00D429F5">
        <w:rPr>
          <w:rFonts w:ascii="Times New Roman" w:eastAsiaTheme="minorEastAsia" w:hAnsi="Times New Roman" w:cs="Times New Roman"/>
          <w:sz w:val="24"/>
          <w:szCs w:val="24"/>
        </w:rPr>
        <w:t xml:space="preserve"> is </w:t>
      </w:r>
      <w:r w:rsidRPr="00D429F5">
        <w:rPr>
          <w:rFonts w:ascii="Times New Roman" w:hAnsi="Times New Roman" w:cs="Times New Roman"/>
          <w:sz w:val="24"/>
          <w:szCs w:val="24"/>
        </w:rPr>
        <w:t>the number of risk factors by category divided by the total number of risk factors.</w:t>
      </w:r>
      <w:r w:rsidR="00235AF9" w:rsidRPr="00D429F5">
        <w:rPr>
          <w:rFonts w:ascii="Times New Roman" w:hAnsi="Times New Roman" w:cs="Times New Roman"/>
          <w:sz w:val="24"/>
          <w:szCs w:val="24"/>
        </w:rPr>
        <w:t xml:space="preserve"> </w:t>
      </w:r>
      <w:r w:rsidR="00F3678B" w:rsidRPr="00D429F5">
        <w:rPr>
          <w:rFonts w:ascii="Times New Roman" w:hAnsi="Times New Roman" w:cs="Times New Roman"/>
          <w:sz w:val="24"/>
          <w:szCs w:val="24"/>
        </w:rPr>
        <w:t>The</w:t>
      </w:r>
      <w:r w:rsidRPr="00D429F5">
        <w:rPr>
          <w:rFonts w:ascii="Times New Roman" w:hAnsi="Times New Roman" w:cs="Times New Roman"/>
          <w:sz w:val="24"/>
          <w:szCs w:val="24"/>
        </w:rPr>
        <w:t xml:space="preserve"> </w:t>
      </w:r>
      <w:r w:rsidR="00F178B3" w:rsidRPr="00D429F5">
        <w:rPr>
          <w:rFonts w:ascii="Times New Roman" w:hAnsi="Times New Roman" w:cs="Times New Roman"/>
          <w:sz w:val="24"/>
          <w:szCs w:val="24"/>
        </w:rPr>
        <w:t xml:space="preserve">main </w:t>
      </w:r>
      <w:r w:rsidRPr="00D429F5">
        <w:rPr>
          <w:rFonts w:ascii="Times New Roman" w:hAnsi="Times New Roman" w:cs="Times New Roman"/>
          <w:sz w:val="24"/>
          <w:szCs w:val="24"/>
        </w:rPr>
        <w:t xml:space="preserve">results remain materially unchanged. </w:t>
      </w:r>
    </w:p>
    <w:p w14:paraId="6F9079D0" w14:textId="4474C9C1" w:rsidR="00235AF9" w:rsidRPr="00D429F5" w:rsidRDefault="00235AF9" w:rsidP="00D429F5">
      <w:pPr>
        <w:spacing w:before="120" w:after="120" w:line="360" w:lineRule="auto"/>
        <w:ind w:firstLine="360"/>
        <w:jc w:val="both"/>
        <w:rPr>
          <w:rFonts w:ascii="Times New Roman" w:hAnsi="Times New Roman" w:cs="Times New Roman"/>
          <w:sz w:val="24"/>
          <w:szCs w:val="24"/>
        </w:rPr>
      </w:pPr>
      <w:r w:rsidRPr="00D429F5">
        <w:rPr>
          <w:rFonts w:ascii="Times New Roman" w:hAnsi="Times New Roman" w:cs="Times New Roman"/>
          <w:sz w:val="24"/>
          <w:szCs w:val="24"/>
        </w:rPr>
        <w:t xml:space="preserve">Fourth, we </w:t>
      </w:r>
      <w:r w:rsidR="00180376" w:rsidRPr="00D429F5">
        <w:rPr>
          <w:rFonts w:ascii="Times New Roman" w:hAnsi="Times New Roman" w:cs="Times New Roman"/>
          <w:sz w:val="24"/>
          <w:szCs w:val="24"/>
        </w:rPr>
        <w:t>measure risk disclosure using the ratio of the number of risk-related sentences in the risk factor section to the number of total sentences in the risk factor section</w:t>
      </w:r>
      <w:r w:rsidR="00F178B3" w:rsidRPr="00D429F5">
        <w:rPr>
          <w:rFonts w:ascii="Times New Roman" w:hAnsi="Times New Roman" w:cs="Times New Roman"/>
          <w:sz w:val="24"/>
          <w:szCs w:val="24"/>
        </w:rPr>
        <w:t xml:space="preserve"> (specification (7)). We find that our </w:t>
      </w:r>
      <w:r w:rsidR="00E15712" w:rsidRPr="00D429F5">
        <w:rPr>
          <w:rFonts w:ascii="Times New Roman" w:hAnsi="Times New Roman" w:cs="Times New Roman"/>
          <w:sz w:val="24"/>
          <w:szCs w:val="24"/>
        </w:rPr>
        <w:t>conclusions</w:t>
      </w:r>
      <w:r w:rsidR="00F178B3" w:rsidRPr="00D429F5">
        <w:rPr>
          <w:rFonts w:ascii="Times New Roman" w:hAnsi="Times New Roman" w:cs="Times New Roman"/>
          <w:sz w:val="24"/>
          <w:szCs w:val="24"/>
        </w:rPr>
        <w:t xml:space="preserve"> are not affected by </w:t>
      </w:r>
      <w:r w:rsidR="00E15712" w:rsidRPr="00D429F5">
        <w:rPr>
          <w:rFonts w:ascii="Times New Roman" w:hAnsi="Times New Roman" w:cs="Times New Roman"/>
          <w:sz w:val="24"/>
          <w:szCs w:val="24"/>
        </w:rPr>
        <w:t>this alternative analysis</w:t>
      </w:r>
      <w:r w:rsidR="00F178B3" w:rsidRPr="00D429F5">
        <w:rPr>
          <w:rFonts w:ascii="Times New Roman" w:hAnsi="Times New Roman" w:cs="Times New Roman"/>
          <w:sz w:val="24"/>
          <w:szCs w:val="24"/>
        </w:rPr>
        <w:t>.</w:t>
      </w:r>
    </w:p>
    <w:p w14:paraId="696BED92" w14:textId="333D4D19" w:rsidR="00C20459" w:rsidRPr="006207BC" w:rsidRDefault="00A61DC5">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lastRenderedPageBreak/>
        <w:t xml:space="preserve"> [Please insert Table </w:t>
      </w:r>
      <w:r w:rsidR="005B7FDD" w:rsidRPr="006207BC">
        <w:rPr>
          <w:rFonts w:ascii="Times New Roman" w:hAnsi="Times New Roman" w:cs="Times New Roman"/>
          <w:i/>
          <w:sz w:val="24"/>
          <w:szCs w:val="24"/>
        </w:rPr>
        <w:t xml:space="preserve">6 </w:t>
      </w:r>
      <w:r w:rsidRPr="006207BC">
        <w:rPr>
          <w:rFonts w:ascii="Times New Roman" w:hAnsi="Times New Roman" w:cs="Times New Roman"/>
          <w:i/>
          <w:sz w:val="24"/>
          <w:szCs w:val="24"/>
        </w:rPr>
        <w:t>about here]</w:t>
      </w:r>
    </w:p>
    <w:p w14:paraId="6C85E75B" w14:textId="77777777" w:rsidR="00C20459" w:rsidRPr="006207BC" w:rsidRDefault="00C20459">
      <w:pPr>
        <w:pStyle w:val="Paragraphedeliste"/>
        <w:spacing w:before="240" w:after="240" w:line="360" w:lineRule="auto"/>
        <w:ind w:left="360"/>
        <w:jc w:val="both"/>
        <w:rPr>
          <w:rFonts w:ascii="Times New Roman" w:hAnsi="Times New Roman" w:cs="Times New Roman"/>
          <w:sz w:val="24"/>
          <w:szCs w:val="24"/>
        </w:rPr>
      </w:pPr>
    </w:p>
    <w:p w14:paraId="68098EC9" w14:textId="77777777" w:rsidR="00C20459" w:rsidRPr="006207BC" w:rsidRDefault="00A61DC5" w:rsidP="00F3678B">
      <w:pPr>
        <w:pStyle w:val="Paragraphedeliste"/>
        <w:keepNext/>
        <w:numPr>
          <w:ilvl w:val="2"/>
          <w:numId w:val="2"/>
        </w:numPr>
        <w:spacing w:before="240" w:after="240" w:line="360" w:lineRule="auto"/>
        <w:jc w:val="both"/>
        <w:outlineLvl w:val="2"/>
        <w:rPr>
          <w:rFonts w:ascii="Times New Roman" w:hAnsi="Times New Roman" w:cs="Times New Roman"/>
          <w:i/>
          <w:sz w:val="24"/>
          <w:szCs w:val="24"/>
        </w:rPr>
      </w:pPr>
      <w:r w:rsidRPr="006207BC">
        <w:rPr>
          <w:rFonts w:ascii="Times New Roman" w:hAnsi="Times New Roman" w:cs="Times New Roman"/>
          <w:i/>
          <w:sz w:val="24"/>
          <w:szCs w:val="24"/>
        </w:rPr>
        <w:t>Alternative statistical techniques</w:t>
      </w:r>
    </w:p>
    <w:p w14:paraId="35B6C0D3" w14:textId="0B852F0B" w:rsidR="00C20459" w:rsidRPr="006207BC" w:rsidRDefault="00A61DC5" w:rsidP="00A23C68">
      <w:pPr>
        <w:autoSpaceDE w:val="0"/>
        <w:autoSpaceDN w:val="0"/>
        <w:adjustRightInd w:val="0"/>
        <w:spacing w:before="240" w:after="240" w:line="360" w:lineRule="auto"/>
        <w:ind w:firstLine="360"/>
        <w:jc w:val="both"/>
        <w:rPr>
          <w:rFonts w:ascii="Times New Roman" w:hAnsi="Times New Roman" w:cs="Times New Roman"/>
          <w:sz w:val="24"/>
          <w:szCs w:val="24"/>
          <w:lang w:eastAsia="fr-FR"/>
        </w:rPr>
      </w:pPr>
      <w:r w:rsidRPr="006207BC">
        <w:rPr>
          <w:rFonts w:ascii="Times New Roman" w:hAnsi="Times New Roman" w:cs="Times New Roman"/>
          <w:sz w:val="24"/>
          <w:szCs w:val="24"/>
          <w:lang w:eastAsia="fr-FR"/>
        </w:rPr>
        <w:t xml:space="preserve">Table </w:t>
      </w:r>
      <w:r w:rsidR="005B7FDD" w:rsidRPr="006207BC">
        <w:rPr>
          <w:rFonts w:ascii="Times New Roman" w:hAnsi="Times New Roman" w:cs="Times New Roman"/>
          <w:sz w:val="24"/>
          <w:szCs w:val="24"/>
          <w:lang w:eastAsia="fr-FR"/>
        </w:rPr>
        <w:t xml:space="preserve">7 </w:t>
      </w:r>
      <w:r w:rsidRPr="006207BC">
        <w:rPr>
          <w:rFonts w:ascii="Times New Roman" w:hAnsi="Times New Roman" w:cs="Times New Roman"/>
          <w:sz w:val="24"/>
          <w:szCs w:val="24"/>
          <w:lang w:eastAsia="fr-FR"/>
        </w:rPr>
        <w:t>presents the results of robustness checks to alt</w:t>
      </w:r>
      <w:r w:rsidR="00ED767C" w:rsidRPr="006207BC">
        <w:rPr>
          <w:rFonts w:ascii="Times New Roman" w:hAnsi="Times New Roman" w:cs="Times New Roman"/>
          <w:sz w:val="24"/>
          <w:szCs w:val="24"/>
          <w:lang w:eastAsia="fr-FR"/>
        </w:rPr>
        <w:t xml:space="preserve">ernative statistical approaches. </w:t>
      </w:r>
      <w:r w:rsidRPr="006207BC">
        <w:rPr>
          <w:rFonts w:ascii="Times New Roman" w:hAnsi="Times New Roman" w:cs="Times New Roman"/>
          <w:sz w:val="24"/>
          <w:szCs w:val="24"/>
          <w:lang w:eastAsia="fr-FR"/>
        </w:rPr>
        <w:t>First, we perform a dynamic generalized method of moments (GMM) estimation that contains one</w:t>
      </w:r>
      <w:r w:rsidR="00ED767C" w:rsidRPr="006207BC">
        <w:rPr>
          <w:rFonts w:ascii="Times New Roman" w:hAnsi="Times New Roman" w:cs="Times New Roman"/>
          <w:sz w:val="24"/>
          <w:szCs w:val="24"/>
          <w:lang w:eastAsia="fr-FR"/>
        </w:rPr>
        <w:t>-year</w:t>
      </w:r>
      <w:r w:rsidRPr="006207BC">
        <w:rPr>
          <w:rFonts w:ascii="Times New Roman" w:hAnsi="Times New Roman" w:cs="Times New Roman"/>
          <w:sz w:val="24"/>
          <w:szCs w:val="24"/>
          <w:lang w:eastAsia="fr-FR"/>
        </w:rPr>
        <w:t xml:space="preserve"> lagged dependent variable and a set of lagged endogenous variables as instruments (specification (1)</w:t>
      </w:r>
      <w:r w:rsidR="00ED767C" w:rsidRPr="006207BC">
        <w:rPr>
          <w:rFonts w:ascii="Times New Roman" w:hAnsi="Times New Roman" w:cs="Times New Roman"/>
          <w:sz w:val="24"/>
          <w:szCs w:val="24"/>
          <w:lang w:eastAsia="fr-FR"/>
        </w:rPr>
        <w:t>)</w:t>
      </w:r>
      <w:r w:rsidRPr="006207BC">
        <w:rPr>
          <w:rFonts w:ascii="Times New Roman" w:hAnsi="Times New Roman" w:cs="Times New Roman"/>
          <w:sz w:val="24"/>
          <w:szCs w:val="24"/>
          <w:lang w:eastAsia="fr-FR"/>
        </w:rPr>
        <w:t xml:space="preserve">. The results show that the risk disclosure effect on analyst following is strongly positive at the 1% statistical level, thus reinforcing the prediction of the research hypothesis. Our GMM model is well specified and uses valid instruments, as shown by the </w:t>
      </w:r>
      <w:r w:rsidRPr="006207BC">
        <w:rPr>
          <w:rFonts w:ascii="Times New Roman" w:hAnsi="Times New Roman" w:cs="Times New Roman"/>
          <w:i/>
          <w:sz w:val="24"/>
          <w:szCs w:val="24"/>
          <w:lang w:eastAsia="fr-FR"/>
        </w:rPr>
        <w:t>p</w:t>
      </w:r>
      <w:r w:rsidRPr="006207BC">
        <w:rPr>
          <w:rFonts w:ascii="Times New Roman" w:hAnsi="Times New Roman" w:cs="Times New Roman"/>
          <w:sz w:val="24"/>
          <w:szCs w:val="24"/>
          <w:lang w:eastAsia="fr-FR"/>
        </w:rPr>
        <w:t>-values of the second-order serial correlation and of the Hansen test of overidentification, 0.841 and 0.644, respectively.</w:t>
      </w:r>
      <w:r w:rsidR="00A23C68" w:rsidRPr="006207BC">
        <w:rPr>
          <w:rFonts w:ascii="Times New Roman" w:hAnsi="Times New Roman" w:cs="Times New Roman"/>
          <w:sz w:val="24"/>
          <w:szCs w:val="24"/>
          <w:lang w:eastAsia="fr-FR"/>
        </w:rPr>
        <w:t xml:space="preserve"> </w:t>
      </w:r>
      <w:r w:rsidRPr="006207BC">
        <w:rPr>
          <w:rFonts w:ascii="Times New Roman" w:hAnsi="Times New Roman" w:cs="Times New Roman"/>
          <w:sz w:val="24"/>
          <w:szCs w:val="24"/>
          <w:lang w:eastAsia="fr-FR"/>
        </w:rPr>
        <w:t>Second, we estimate our model using the Fama–MacBeth procedure that estimates yearly cross-sectiona</w:t>
      </w:r>
      <w:r w:rsidR="00ED767C" w:rsidRPr="006207BC">
        <w:rPr>
          <w:rFonts w:ascii="Times New Roman" w:hAnsi="Times New Roman" w:cs="Times New Roman"/>
          <w:sz w:val="24"/>
          <w:szCs w:val="24"/>
          <w:lang w:eastAsia="fr-FR"/>
        </w:rPr>
        <w:t>l regressions (specification (2)).</w:t>
      </w:r>
      <w:r w:rsidRPr="006207BC">
        <w:rPr>
          <w:rFonts w:ascii="Times New Roman" w:hAnsi="Times New Roman" w:cs="Times New Roman"/>
          <w:sz w:val="24"/>
          <w:szCs w:val="24"/>
          <w:lang w:eastAsia="fr-FR"/>
        </w:rPr>
        <w:t xml:space="preserve"> The coefficient of </w:t>
      </w:r>
      <w:r w:rsidRPr="006207BC">
        <w:rPr>
          <w:rFonts w:ascii="Times New Roman" w:hAnsi="Times New Roman" w:cs="Times New Roman"/>
          <w:i/>
          <w:sz w:val="24"/>
          <w:szCs w:val="24"/>
          <w:lang w:eastAsia="fr-FR"/>
        </w:rPr>
        <w:t>Risk_</w:t>
      </w:r>
      <w:r w:rsidR="00F3678B" w:rsidRPr="006207BC">
        <w:rPr>
          <w:rFonts w:ascii="Times New Roman" w:hAnsi="Times New Roman" w:cs="Times New Roman"/>
          <w:i/>
          <w:sz w:val="24"/>
          <w:szCs w:val="24"/>
          <w:lang w:eastAsia="fr-FR"/>
        </w:rPr>
        <w:t>sentences</w:t>
      </w:r>
      <w:r w:rsidRPr="006207BC">
        <w:rPr>
          <w:rFonts w:ascii="Times New Roman" w:hAnsi="Times New Roman" w:cs="Times New Roman"/>
          <w:sz w:val="24"/>
          <w:szCs w:val="24"/>
          <w:lang w:eastAsia="fr-FR"/>
        </w:rPr>
        <w:t xml:space="preserve"> </w:t>
      </w:r>
      <w:proofErr w:type="gramStart"/>
      <w:r w:rsidRPr="006207BC">
        <w:rPr>
          <w:rFonts w:ascii="Times New Roman" w:hAnsi="Times New Roman" w:cs="Times New Roman"/>
          <w:sz w:val="24"/>
          <w:szCs w:val="24"/>
          <w:lang w:eastAsia="fr-FR"/>
        </w:rPr>
        <w:t>continues</w:t>
      </w:r>
      <w:proofErr w:type="gramEnd"/>
      <w:r w:rsidRPr="006207BC">
        <w:rPr>
          <w:rFonts w:ascii="Times New Roman" w:hAnsi="Times New Roman" w:cs="Times New Roman"/>
          <w:sz w:val="24"/>
          <w:szCs w:val="24"/>
          <w:lang w:eastAsia="fr-FR"/>
        </w:rPr>
        <w:t xml:space="preserve"> to be positive and highly statistically significant. Third, </w:t>
      </w:r>
      <w:r w:rsidRPr="006207BC">
        <w:rPr>
          <w:rFonts w:ascii="Times New Roman" w:hAnsi="Times New Roman" w:cs="Times New Roman"/>
          <w:sz w:val="24"/>
          <w:szCs w:val="24"/>
        </w:rPr>
        <w:t xml:space="preserve">we perform a weighted least </w:t>
      </w:r>
      <w:r w:rsidRPr="006207BC">
        <w:rPr>
          <w:rFonts w:ascii="Times New Roman" w:hAnsi="Times New Roman" w:cs="Times New Roman"/>
          <w:sz w:val="24"/>
          <w:szCs w:val="24"/>
          <w:lang w:eastAsia="fr-FR"/>
        </w:rPr>
        <w:t>squares (WLS) regression to account for the unequal distribution of sample firms across industries (specification (3)</w:t>
      </w:r>
      <w:r w:rsidRPr="006207BC">
        <w:rPr>
          <w:rFonts w:ascii="Times New Roman" w:hAnsi="Times New Roman" w:cs="Times New Roman"/>
          <w:color w:val="000000"/>
          <w:sz w:val="24"/>
          <w:szCs w:val="24"/>
          <w:lang w:eastAsia="fr-FR"/>
        </w:rPr>
        <w:t>)</w:t>
      </w:r>
      <w:r w:rsidRPr="006207BC">
        <w:rPr>
          <w:rFonts w:ascii="Times New Roman" w:hAnsi="Times New Roman" w:cs="Times New Roman"/>
          <w:sz w:val="24"/>
          <w:szCs w:val="24"/>
        </w:rPr>
        <w:t xml:space="preserve">. We obtain materially similar </w:t>
      </w:r>
      <w:r w:rsidRPr="006207BC">
        <w:rPr>
          <w:rFonts w:ascii="Times New Roman" w:hAnsi="Times New Roman" w:cs="Times New Roman"/>
          <w:sz w:val="24"/>
          <w:szCs w:val="24"/>
          <w:lang w:eastAsia="fr-FR"/>
        </w:rPr>
        <w:t>results to those previously reported. Fourth, we use a random</w:t>
      </w:r>
      <w:r w:rsidRPr="006207BC">
        <w:rPr>
          <w:rFonts w:ascii="Cambria Math" w:hAnsi="Cambria Math" w:cs="Cambria Math"/>
          <w:sz w:val="24"/>
          <w:szCs w:val="24"/>
          <w:lang w:eastAsia="fr-FR"/>
        </w:rPr>
        <w:t xml:space="preserve"> </w:t>
      </w:r>
      <w:r w:rsidRPr="006207BC">
        <w:rPr>
          <w:rFonts w:ascii="Times New Roman" w:hAnsi="Times New Roman" w:cs="Times New Roman"/>
          <w:sz w:val="24"/>
          <w:szCs w:val="24"/>
          <w:lang w:eastAsia="fr-FR"/>
        </w:rPr>
        <w:t xml:space="preserve">effects model that allows for between-firm variability and accounts for heterogeneity across studies and find qualitatively similar results (specification (4)). Fifth, </w:t>
      </w:r>
      <w:r w:rsidRPr="006207BC">
        <w:rPr>
          <w:rFonts w:ascii="Times New Roman" w:hAnsi="Times New Roman" w:cs="Times New Roman"/>
          <w:sz w:val="24"/>
          <w:szCs w:val="24"/>
        </w:rPr>
        <w:t xml:space="preserve">given that our dependent variable, </w:t>
      </w:r>
      <w:r w:rsidRPr="006207BC">
        <w:rPr>
          <w:rFonts w:ascii="Times New Roman" w:hAnsi="Times New Roman" w:cs="Times New Roman"/>
          <w:i/>
          <w:sz w:val="24"/>
          <w:szCs w:val="24"/>
        </w:rPr>
        <w:t>Analyst</w:t>
      </w:r>
      <w:r w:rsidRPr="006207BC">
        <w:rPr>
          <w:rFonts w:ascii="Times New Roman" w:hAnsi="Times New Roman" w:cs="Times New Roman"/>
          <w:sz w:val="24"/>
          <w:szCs w:val="24"/>
        </w:rPr>
        <w:t xml:space="preserve">, </w:t>
      </w:r>
      <w:r w:rsidR="00ED767C" w:rsidRPr="006207BC">
        <w:rPr>
          <w:rFonts w:ascii="Times New Roman" w:hAnsi="Times New Roman" w:cs="Times New Roman"/>
          <w:sz w:val="24"/>
          <w:szCs w:val="24"/>
        </w:rPr>
        <w:t>is a</w:t>
      </w:r>
      <w:r w:rsidRPr="006207BC">
        <w:rPr>
          <w:rFonts w:ascii="Times New Roman" w:hAnsi="Times New Roman" w:cs="Times New Roman"/>
          <w:sz w:val="24"/>
          <w:szCs w:val="24"/>
        </w:rPr>
        <w:t xml:space="preserve"> nonnegative integer, we use count data regressions instead of linear regressions. </w:t>
      </w:r>
      <w:proofErr w:type="gramStart"/>
      <w:r w:rsidRPr="006207BC">
        <w:rPr>
          <w:rFonts w:ascii="Times New Roman" w:hAnsi="Times New Roman" w:cs="Times New Roman"/>
          <w:sz w:val="24"/>
          <w:szCs w:val="24"/>
        </w:rPr>
        <w:t>In particular, we</w:t>
      </w:r>
      <w:proofErr w:type="gramEnd"/>
      <w:r w:rsidRPr="006207BC">
        <w:rPr>
          <w:rFonts w:ascii="Times New Roman" w:hAnsi="Times New Roman" w:cs="Times New Roman"/>
          <w:sz w:val="24"/>
          <w:szCs w:val="24"/>
        </w:rPr>
        <w:t xml:space="preserve"> employ a negative binomial model</w:t>
      </w:r>
      <w:r w:rsidRPr="006207BC">
        <w:rPr>
          <w:rFonts w:ascii="Times New Roman" w:hAnsi="Times New Roman" w:cs="Times New Roman"/>
          <w:sz w:val="24"/>
          <w:szCs w:val="24"/>
          <w:lang w:eastAsia="fr-FR"/>
        </w:rPr>
        <w:t xml:space="preserve"> (specification (5)) and a Poisson model (specification (6)). The results from both models are consistent with those of the main analysis. Sixth, we construct a dummy variable for analyst following that equals one </w:t>
      </w:r>
      <w:r w:rsidRPr="006207BC">
        <w:rPr>
          <w:rFonts w:ascii="Times New Roman" w:hAnsi="Times New Roman" w:cs="Times New Roman"/>
          <w:sz w:val="24"/>
          <w:szCs w:val="24"/>
        </w:rPr>
        <w:t xml:space="preserve">if the variable </w:t>
      </w:r>
      <w:r w:rsidRPr="006207BC">
        <w:rPr>
          <w:rFonts w:ascii="Times New Roman" w:hAnsi="Times New Roman" w:cs="Times New Roman"/>
          <w:i/>
          <w:sz w:val="24"/>
          <w:szCs w:val="24"/>
        </w:rPr>
        <w:t>Analyst</w:t>
      </w:r>
      <w:r w:rsidRPr="006207BC">
        <w:rPr>
          <w:rFonts w:ascii="Times New Roman" w:hAnsi="Times New Roman" w:cs="Times New Roman"/>
          <w:sz w:val="24"/>
          <w:szCs w:val="24"/>
        </w:rPr>
        <w:t xml:space="preserve"> is above the median and zero otherwise and conduct a logit regression (</w:t>
      </w:r>
      <w:r w:rsidRPr="006207BC">
        <w:rPr>
          <w:rFonts w:ascii="Times New Roman" w:hAnsi="Times New Roman" w:cs="Times New Roman"/>
          <w:sz w:val="24"/>
          <w:szCs w:val="24"/>
          <w:lang w:eastAsia="fr-FR"/>
        </w:rPr>
        <w:t>specification</w:t>
      </w:r>
      <w:r w:rsidRPr="006207BC">
        <w:rPr>
          <w:rFonts w:ascii="Times New Roman" w:hAnsi="Times New Roman" w:cs="Times New Roman"/>
          <w:color w:val="000000"/>
          <w:sz w:val="24"/>
          <w:szCs w:val="24"/>
          <w:lang w:eastAsia="fr-FR"/>
        </w:rPr>
        <w:t xml:space="preserve"> (7))</w:t>
      </w:r>
      <w:r w:rsidRPr="006207BC">
        <w:rPr>
          <w:rFonts w:ascii="Times New Roman" w:hAnsi="Times New Roman" w:cs="Times New Roman"/>
          <w:sz w:val="24"/>
          <w:szCs w:val="24"/>
        </w:rPr>
        <w:t xml:space="preserve">. </w:t>
      </w:r>
      <w:r w:rsidRPr="006207BC">
        <w:rPr>
          <w:rFonts w:ascii="Times New Roman" w:hAnsi="Times New Roman" w:cs="Times New Roman"/>
          <w:sz w:val="24"/>
          <w:szCs w:val="24"/>
          <w:lang w:eastAsia="fr-FR"/>
        </w:rPr>
        <w:t xml:space="preserve">The resulting coefficient on </w:t>
      </w:r>
      <w:r w:rsidRPr="006207BC">
        <w:rPr>
          <w:rFonts w:ascii="Times New Roman" w:hAnsi="Times New Roman" w:cs="Times New Roman"/>
          <w:i/>
          <w:sz w:val="24"/>
          <w:szCs w:val="24"/>
          <w:lang w:eastAsia="fr-FR"/>
        </w:rPr>
        <w:t>R</w:t>
      </w:r>
      <w:r w:rsidR="00F3678B" w:rsidRPr="006207BC">
        <w:rPr>
          <w:rFonts w:ascii="Times New Roman" w:hAnsi="Times New Roman" w:cs="Times New Roman"/>
          <w:i/>
          <w:sz w:val="24"/>
          <w:szCs w:val="24"/>
          <w:lang w:eastAsia="fr-FR"/>
        </w:rPr>
        <w:t>isk-sentences</w:t>
      </w:r>
      <w:r w:rsidRPr="006207BC">
        <w:rPr>
          <w:rFonts w:ascii="Times New Roman" w:hAnsi="Times New Roman" w:cs="Times New Roman"/>
          <w:i/>
          <w:sz w:val="24"/>
          <w:szCs w:val="24"/>
          <w:lang w:eastAsia="fr-FR"/>
        </w:rPr>
        <w:t xml:space="preserve"> </w:t>
      </w:r>
      <w:r w:rsidRPr="006207BC">
        <w:rPr>
          <w:rFonts w:ascii="Times New Roman" w:hAnsi="Times New Roman" w:cs="Times New Roman"/>
          <w:sz w:val="24"/>
          <w:szCs w:val="24"/>
          <w:lang w:eastAsia="fr-FR"/>
        </w:rPr>
        <w:t>is again positive and highly significant at the 1% level, consistent with our main finding that more analysts follow a firm with greater risk disclosure.</w:t>
      </w:r>
      <w:r w:rsidR="002E5B40" w:rsidRPr="006207BC">
        <w:rPr>
          <w:rStyle w:val="Appelnotedebasdep"/>
          <w:rFonts w:ascii="Times New Roman" w:hAnsi="Times New Roman" w:cs="Times New Roman"/>
          <w:sz w:val="24"/>
          <w:szCs w:val="24"/>
          <w:lang w:eastAsia="fr-FR"/>
        </w:rPr>
        <w:footnoteReference w:id="14"/>
      </w:r>
    </w:p>
    <w:p w14:paraId="3F1026BC" w14:textId="6D6D3B9E" w:rsidR="00C20459" w:rsidRPr="006207BC" w:rsidRDefault="00A61DC5">
      <w:pPr>
        <w:spacing w:before="240" w:after="240" w:line="360" w:lineRule="auto"/>
        <w:jc w:val="center"/>
        <w:rPr>
          <w:rFonts w:ascii="Times New Roman" w:hAnsi="Times New Roman" w:cs="Times New Roman"/>
          <w:sz w:val="24"/>
          <w:szCs w:val="24"/>
        </w:rPr>
      </w:pPr>
      <w:r w:rsidRPr="006207BC">
        <w:rPr>
          <w:rFonts w:ascii="Times New Roman" w:hAnsi="Times New Roman" w:cs="Times New Roman"/>
          <w:i/>
          <w:sz w:val="24"/>
          <w:szCs w:val="24"/>
        </w:rPr>
        <w:t xml:space="preserve">[Please insert Table </w:t>
      </w:r>
      <w:r w:rsidR="005B7FDD" w:rsidRPr="006207BC">
        <w:rPr>
          <w:rFonts w:ascii="Times New Roman" w:hAnsi="Times New Roman" w:cs="Times New Roman"/>
          <w:i/>
          <w:sz w:val="24"/>
          <w:szCs w:val="24"/>
        </w:rPr>
        <w:t xml:space="preserve">7 </w:t>
      </w:r>
      <w:r w:rsidRPr="006207BC">
        <w:rPr>
          <w:rFonts w:ascii="Times New Roman" w:hAnsi="Times New Roman" w:cs="Times New Roman"/>
          <w:i/>
          <w:sz w:val="24"/>
          <w:szCs w:val="24"/>
        </w:rPr>
        <w:t>about here]</w:t>
      </w:r>
    </w:p>
    <w:p w14:paraId="69AACA18" w14:textId="77777777" w:rsidR="00C20459" w:rsidRPr="006207BC" w:rsidRDefault="00A61DC5" w:rsidP="00F3678B">
      <w:pPr>
        <w:pStyle w:val="Paragraphedeliste"/>
        <w:keepNext/>
        <w:numPr>
          <w:ilvl w:val="0"/>
          <w:numId w:val="2"/>
        </w:numPr>
        <w:autoSpaceDE w:val="0"/>
        <w:autoSpaceDN w:val="0"/>
        <w:adjustRightInd w:val="0"/>
        <w:spacing w:before="240" w:after="240" w:line="360" w:lineRule="auto"/>
        <w:jc w:val="both"/>
        <w:outlineLvl w:val="0"/>
        <w:rPr>
          <w:rFonts w:ascii="Times New Roman" w:hAnsi="Times New Roman" w:cs="Times New Roman"/>
          <w:b/>
          <w:sz w:val="24"/>
          <w:szCs w:val="24"/>
          <w:lang w:eastAsia="fr-FR"/>
        </w:rPr>
      </w:pPr>
      <w:r w:rsidRPr="006207BC">
        <w:rPr>
          <w:rFonts w:ascii="Times New Roman" w:hAnsi="Times New Roman" w:cs="Times New Roman"/>
          <w:b/>
          <w:sz w:val="24"/>
          <w:szCs w:val="24"/>
          <w:lang w:eastAsia="fr-FR"/>
        </w:rPr>
        <w:lastRenderedPageBreak/>
        <w:t>Endogeneity</w:t>
      </w:r>
    </w:p>
    <w:p w14:paraId="5817E5B7" w14:textId="69B56E7F" w:rsidR="00C20459" w:rsidRPr="006207BC" w:rsidRDefault="00A61DC5">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In this section, we address the endogeneity issue to take into consideration the potential reverse causality problem, </w:t>
      </w:r>
      <w:r w:rsidRPr="006207BC">
        <w:rPr>
          <w:rStyle w:val="personname"/>
          <w:rFonts w:ascii="Times New Roman" w:hAnsi="Times New Roman" w:cs="Times New Roman"/>
          <w:sz w:val="24"/>
          <w:szCs w:val="24"/>
        </w:rPr>
        <w:t>that is</w:t>
      </w:r>
      <w:r w:rsidRPr="006207BC">
        <w:rPr>
          <w:rFonts w:ascii="Times New Roman" w:hAnsi="Times New Roman" w:cs="Times New Roman"/>
          <w:sz w:val="24"/>
          <w:szCs w:val="24"/>
        </w:rPr>
        <w:t>, that high analyst following could, on average, lead to</w:t>
      </w:r>
      <w:r w:rsidRPr="006207BC">
        <w:rPr>
          <w:rFonts w:ascii="Times New Roman" w:hAnsi="Times New Roman" w:cs="Times New Roman"/>
          <w:sz w:val="24"/>
          <w:szCs w:val="24"/>
        </w:rPr>
        <w:br/>
        <w:t>greater risk disclosure. Indeed, the scrutiny of greater numbers of analysts would put more pressure on managers to increase corporate disclosure, including risk disclosure. Moreover, the potential presence of omitted variables that is likely to affect both risk disclosure and analyst following could bias our results. We deal with these issues us</w:t>
      </w:r>
      <w:r w:rsidR="009828AF" w:rsidRPr="006207BC">
        <w:rPr>
          <w:rFonts w:ascii="Times New Roman" w:hAnsi="Times New Roman" w:cs="Times New Roman"/>
          <w:sz w:val="24"/>
          <w:szCs w:val="24"/>
        </w:rPr>
        <w:t xml:space="preserve">ing </w:t>
      </w:r>
      <w:r w:rsidR="00651FD9" w:rsidRPr="006207BC">
        <w:rPr>
          <w:rFonts w:ascii="Times New Roman" w:hAnsi="Times New Roman" w:cs="Times New Roman"/>
          <w:sz w:val="24"/>
          <w:szCs w:val="24"/>
        </w:rPr>
        <w:t xml:space="preserve">propensity score marching </w:t>
      </w:r>
      <w:r w:rsidRPr="006207BC">
        <w:rPr>
          <w:rFonts w:ascii="Times New Roman" w:hAnsi="Times New Roman" w:cs="Times New Roman"/>
          <w:sz w:val="24"/>
          <w:szCs w:val="24"/>
        </w:rPr>
        <w:t xml:space="preserve">technique </w:t>
      </w:r>
      <w:r w:rsidR="009828AF" w:rsidRPr="006207BC">
        <w:rPr>
          <w:rFonts w:ascii="Times New Roman" w:hAnsi="Times New Roman" w:cs="Times New Roman"/>
          <w:sz w:val="24"/>
          <w:szCs w:val="24"/>
        </w:rPr>
        <w:t>(Section 5.1)</w:t>
      </w:r>
      <w:r w:rsidR="005B7FDD" w:rsidRPr="006207BC">
        <w:rPr>
          <w:rFonts w:ascii="Times New Roman" w:hAnsi="Times New Roman" w:cs="Times New Roman"/>
          <w:sz w:val="24"/>
          <w:szCs w:val="24"/>
        </w:rPr>
        <w:t xml:space="preserve">, </w:t>
      </w:r>
      <w:r w:rsidRPr="006207BC">
        <w:rPr>
          <w:rFonts w:ascii="Times New Roman" w:hAnsi="Times New Roman" w:cs="Times New Roman"/>
          <w:sz w:val="24"/>
          <w:szCs w:val="24"/>
        </w:rPr>
        <w:t>instrumental variable approach (Section 5.2)</w:t>
      </w:r>
      <w:r w:rsidR="005B7FDD" w:rsidRPr="006207BC">
        <w:rPr>
          <w:rFonts w:ascii="Times New Roman" w:hAnsi="Times New Roman" w:cs="Times New Roman"/>
          <w:sz w:val="24"/>
          <w:szCs w:val="24"/>
        </w:rPr>
        <w:t>, and a quasi-natural experiment (Section 5.3)</w:t>
      </w:r>
      <w:r w:rsidRPr="006207BC">
        <w:rPr>
          <w:rFonts w:ascii="Times New Roman" w:hAnsi="Times New Roman" w:cs="Times New Roman"/>
          <w:sz w:val="24"/>
          <w:szCs w:val="24"/>
        </w:rPr>
        <w:t>.</w:t>
      </w:r>
    </w:p>
    <w:p w14:paraId="27D48602" w14:textId="77777777" w:rsidR="00C20459" w:rsidRPr="006207BC" w:rsidRDefault="00A61DC5" w:rsidP="00F3678B">
      <w:pPr>
        <w:pStyle w:val="Paragraphedeliste"/>
        <w:keepNext/>
        <w:numPr>
          <w:ilvl w:val="1"/>
          <w:numId w:val="2"/>
        </w:numPr>
        <w:autoSpaceDE w:val="0"/>
        <w:autoSpaceDN w:val="0"/>
        <w:adjustRightInd w:val="0"/>
        <w:spacing w:before="240" w:after="240" w:line="360" w:lineRule="auto"/>
        <w:jc w:val="both"/>
        <w:outlineLvl w:val="1"/>
        <w:rPr>
          <w:rFonts w:ascii="Times New Roman" w:hAnsi="Times New Roman" w:cs="Times New Roman"/>
          <w:b/>
          <w:i/>
          <w:sz w:val="24"/>
          <w:szCs w:val="24"/>
          <w:lang w:eastAsia="fr-FR"/>
        </w:rPr>
      </w:pPr>
      <w:r w:rsidRPr="006207BC">
        <w:rPr>
          <w:rFonts w:ascii="Times New Roman" w:hAnsi="Times New Roman" w:cs="Times New Roman"/>
          <w:b/>
          <w:i/>
          <w:sz w:val="24"/>
          <w:szCs w:val="24"/>
          <w:lang w:eastAsia="fr-FR"/>
        </w:rPr>
        <w:t xml:space="preserve"> Propensity score matching</w:t>
      </w:r>
    </w:p>
    <w:p w14:paraId="0D754A15" w14:textId="77777777" w:rsidR="00205C2F" w:rsidRDefault="00240235" w:rsidP="00205C2F">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Panel A of Table </w:t>
      </w:r>
      <w:r w:rsidR="001B3394" w:rsidRPr="006207BC">
        <w:rPr>
          <w:rFonts w:ascii="Times New Roman" w:hAnsi="Times New Roman" w:cs="Times New Roman"/>
          <w:sz w:val="24"/>
          <w:szCs w:val="24"/>
        </w:rPr>
        <w:t xml:space="preserve">8 </w:t>
      </w:r>
      <w:r w:rsidRPr="006207BC">
        <w:rPr>
          <w:rFonts w:ascii="Times New Roman" w:hAnsi="Times New Roman" w:cs="Times New Roman"/>
          <w:sz w:val="24"/>
          <w:szCs w:val="24"/>
        </w:rPr>
        <w:t>presents the results of propensity score mat</w:t>
      </w:r>
      <w:r w:rsidR="00651FD9" w:rsidRPr="006207BC">
        <w:rPr>
          <w:rFonts w:ascii="Times New Roman" w:hAnsi="Times New Roman" w:cs="Times New Roman"/>
          <w:sz w:val="24"/>
          <w:szCs w:val="24"/>
        </w:rPr>
        <w:t>ching</w:t>
      </w:r>
      <w:r w:rsidR="00F64528" w:rsidRPr="006207BC">
        <w:rPr>
          <w:rFonts w:ascii="Times New Roman" w:hAnsi="Times New Roman" w:cs="Times New Roman"/>
          <w:sz w:val="24"/>
          <w:szCs w:val="24"/>
        </w:rPr>
        <w:t xml:space="preserve">. As suggested by </w:t>
      </w:r>
      <w:r w:rsidR="00A61DC5" w:rsidRPr="006207BC">
        <w:rPr>
          <w:rFonts w:ascii="Times New Roman" w:hAnsi="Times New Roman" w:cs="Times New Roman"/>
          <w:sz w:val="24"/>
          <w:szCs w:val="24"/>
        </w:rPr>
        <w:t>Dehejia and Wahba (</w:t>
      </w:r>
      <w:hyperlink r:id="rId11" w:anchor="fima12148-bib-0026" w:history="1">
        <w:r w:rsidR="00A61DC5" w:rsidRPr="006207BC">
          <w:rPr>
            <w:rFonts w:ascii="Times New Roman" w:hAnsi="Times New Roman" w:cs="Times New Roman"/>
            <w:sz w:val="24"/>
            <w:szCs w:val="24"/>
          </w:rPr>
          <w:t>2002</w:t>
        </w:r>
      </w:hyperlink>
      <w:r w:rsidR="00A61DC5" w:rsidRPr="006207BC">
        <w:rPr>
          <w:rFonts w:ascii="Times New Roman" w:hAnsi="Times New Roman" w:cs="Times New Roman"/>
          <w:sz w:val="24"/>
          <w:szCs w:val="24"/>
        </w:rPr>
        <w:t xml:space="preserve">), this technique allows for the identification of a control sample of firms with low risk disclosure (below the median value) but similar characteristics as firms with high risk disclosure (above the median value). For each firm with </w:t>
      </w:r>
      <w:proofErr w:type="gramStart"/>
      <w:r w:rsidR="00A61DC5" w:rsidRPr="006207BC">
        <w:rPr>
          <w:rFonts w:ascii="Times New Roman" w:hAnsi="Times New Roman" w:cs="Times New Roman"/>
          <w:sz w:val="24"/>
          <w:szCs w:val="24"/>
        </w:rPr>
        <w:t>high risk</w:t>
      </w:r>
      <w:proofErr w:type="gramEnd"/>
      <w:r w:rsidR="00A61DC5" w:rsidRPr="006207BC">
        <w:rPr>
          <w:rFonts w:ascii="Times New Roman" w:hAnsi="Times New Roman" w:cs="Times New Roman"/>
          <w:sz w:val="24"/>
          <w:szCs w:val="24"/>
        </w:rPr>
        <w:t xml:space="preserve"> disclosure, we select the closest firm with low risk disclosure in terms of its probability of high risk disclosure, that is, its propensity score. We match on industry and year because firm characteristics are likely a function of industry and time. Such an approach allows one to control for observable differences in characteristics between the groups with low and </w:t>
      </w:r>
      <w:proofErr w:type="gramStart"/>
      <w:r w:rsidR="00A61DC5" w:rsidRPr="006207BC">
        <w:rPr>
          <w:rFonts w:ascii="Times New Roman" w:hAnsi="Times New Roman" w:cs="Times New Roman"/>
          <w:sz w:val="24"/>
          <w:szCs w:val="24"/>
        </w:rPr>
        <w:t>high risk</w:t>
      </w:r>
      <w:proofErr w:type="gramEnd"/>
      <w:r w:rsidR="00A61DC5" w:rsidRPr="006207BC">
        <w:rPr>
          <w:rFonts w:ascii="Times New Roman" w:hAnsi="Times New Roman" w:cs="Times New Roman"/>
          <w:sz w:val="24"/>
          <w:szCs w:val="24"/>
        </w:rPr>
        <w:t xml:space="preserve"> disclosure.</w:t>
      </w:r>
      <w:r w:rsidR="001D2B9A" w:rsidRPr="006207BC">
        <w:rPr>
          <w:rStyle w:val="Appelnotedebasdep"/>
          <w:rFonts w:ascii="Times New Roman" w:hAnsi="Times New Roman" w:cs="Times New Roman"/>
          <w:sz w:val="24"/>
          <w:szCs w:val="24"/>
        </w:rPr>
        <w:footnoteReference w:id="15"/>
      </w:r>
      <w:r w:rsidR="00A61DC5" w:rsidRPr="006207BC">
        <w:rPr>
          <w:rFonts w:ascii="Times New Roman" w:hAnsi="Times New Roman" w:cs="Times New Roman"/>
          <w:sz w:val="24"/>
          <w:szCs w:val="24"/>
        </w:rPr>
        <w:t xml:space="preserve"> </w:t>
      </w:r>
    </w:p>
    <w:p w14:paraId="51A3371B" w14:textId="77777777" w:rsidR="00205C2F" w:rsidRDefault="00A61DC5" w:rsidP="00205C2F">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In a first step, a probit model is used to calculate the propensity scores of the treated and matched groups of firms. In this model, the dependent variable is a dummy measure of risk disclosure that takes the value of </w:t>
      </w:r>
      <w:r w:rsidRPr="006207BC">
        <w:rPr>
          <w:rFonts w:ascii="Times New Roman" w:hAnsi="Times New Roman" w:cs="Times New Roman"/>
          <w:sz w:val="24"/>
          <w:szCs w:val="24"/>
          <w:lang w:eastAsia="fr-FR"/>
        </w:rPr>
        <w:t xml:space="preserve">one </w:t>
      </w:r>
      <w:r w:rsidRPr="006207BC">
        <w:rPr>
          <w:rFonts w:ascii="Times New Roman" w:hAnsi="Times New Roman" w:cs="Times New Roman"/>
          <w:sz w:val="24"/>
          <w:szCs w:val="24"/>
        </w:rPr>
        <w:t xml:space="preserve">if the variable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is above the median and zero otherwise;</w:t>
      </w:r>
      <w:r w:rsidRPr="006207BC">
        <w:rPr>
          <w:rFonts w:ascii="Times New Roman" w:hAnsi="Times New Roman" w:cs="Times New Roman"/>
          <w:i/>
          <w:sz w:val="24"/>
          <w:szCs w:val="24"/>
        </w:rPr>
        <w:t xml:space="preserve"> </w:t>
      </w:r>
      <w:r w:rsidRPr="006207BC">
        <w:rPr>
          <w:rFonts w:ascii="Times New Roman" w:hAnsi="Times New Roman" w:cs="Times New Roman"/>
          <w:sz w:val="24"/>
          <w:szCs w:val="24"/>
        </w:rPr>
        <w:t xml:space="preserve">the independent variables are </w:t>
      </w:r>
      <w:r w:rsidRPr="006207BC">
        <w:rPr>
          <w:rFonts w:ascii="Times New Roman" w:hAnsi="Times New Roman" w:cs="Times New Roman"/>
          <w:i/>
          <w:sz w:val="24"/>
          <w:szCs w:val="24"/>
        </w:rPr>
        <w:t>Leverage</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Size</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Beta</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Return STD</w:t>
      </w:r>
      <w:r w:rsidRPr="006207BC">
        <w:rPr>
          <w:rFonts w:ascii="Times New Roman" w:hAnsi="Times New Roman" w:cs="Times New Roman"/>
          <w:sz w:val="24"/>
          <w:szCs w:val="24"/>
        </w:rPr>
        <w:t xml:space="preserve">, and </w:t>
      </w:r>
      <w:r w:rsidRPr="006207BC">
        <w:rPr>
          <w:rFonts w:ascii="Times New Roman" w:hAnsi="Times New Roman" w:cs="Times New Roman"/>
          <w:i/>
          <w:sz w:val="24"/>
          <w:szCs w:val="24"/>
        </w:rPr>
        <w:t>Market-to-book</w:t>
      </w:r>
      <w:r w:rsidRPr="006207BC">
        <w:rPr>
          <w:rFonts w:ascii="Times New Roman" w:hAnsi="Times New Roman" w:cs="Times New Roman"/>
          <w:sz w:val="24"/>
          <w:szCs w:val="24"/>
        </w:rPr>
        <w:t>, as well as industry and year dummy variables (specification (1)</w:t>
      </w:r>
      <w:r w:rsidR="00240235" w:rsidRPr="006207BC">
        <w:rPr>
          <w:rFonts w:ascii="Times New Roman" w:hAnsi="Times New Roman" w:cs="Times New Roman"/>
          <w:sz w:val="24"/>
          <w:szCs w:val="24"/>
        </w:rPr>
        <w:t>)</w:t>
      </w:r>
      <w:r w:rsidRPr="006207BC">
        <w:rPr>
          <w:rFonts w:ascii="Times New Roman" w:hAnsi="Times New Roman" w:cs="Times New Roman"/>
          <w:sz w:val="24"/>
          <w:szCs w:val="24"/>
        </w:rPr>
        <w:t xml:space="preserve">. These independent variables are selected based on previous studies on the determinants of risk disclosure. The </w:t>
      </w:r>
      <w:r w:rsidR="00240235" w:rsidRPr="006207BC">
        <w:rPr>
          <w:rFonts w:ascii="Times New Roman" w:hAnsi="Times New Roman" w:cs="Times New Roman"/>
          <w:sz w:val="24"/>
          <w:szCs w:val="24"/>
        </w:rPr>
        <w:t xml:space="preserve">propensity </w:t>
      </w:r>
      <w:proofErr w:type="gramStart"/>
      <w:r w:rsidR="00240235" w:rsidRPr="006207BC">
        <w:rPr>
          <w:rFonts w:ascii="Times New Roman" w:hAnsi="Times New Roman" w:cs="Times New Roman"/>
          <w:sz w:val="24"/>
          <w:szCs w:val="24"/>
        </w:rPr>
        <w:t>score</w:t>
      </w:r>
      <w:proofErr w:type="gramEnd"/>
      <w:r w:rsidR="00240235" w:rsidRPr="006207BC">
        <w:rPr>
          <w:rFonts w:ascii="Times New Roman" w:hAnsi="Times New Roman" w:cs="Times New Roman"/>
          <w:sz w:val="24"/>
          <w:szCs w:val="24"/>
        </w:rPr>
        <w:t xml:space="preserve"> matching</w:t>
      </w:r>
      <w:r w:rsidRPr="006207BC">
        <w:rPr>
          <w:rFonts w:ascii="Times New Roman" w:hAnsi="Times New Roman" w:cs="Times New Roman"/>
          <w:sz w:val="24"/>
          <w:szCs w:val="24"/>
        </w:rPr>
        <w:t xml:space="preserve"> procedure results in a treatment sample of 428 firm–years equally distributed between the groups of firms with low and high risk disclosure. The probit regression results yield a positive and statistically significant coefficient for </w:t>
      </w:r>
      <w:r w:rsidRPr="006207BC">
        <w:rPr>
          <w:rFonts w:ascii="Times New Roman" w:hAnsi="Times New Roman" w:cs="Times New Roman"/>
          <w:i/>
          <w:sz w:val="24"/>
          <w:szCs w:val="24"/>
        </w:rPr>
        <w:t>Leverage</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Size,</w:t>
      </w:r>
      <w:r w:rsidRPr="006207BC">
        <w:rPr>
          <w:rFonts w:ascii="Times New Roman" w:hAnsi="Times New Roman" w:cs="Times New Roman"/>
          <w:sz w:val="24"/>
          <w:szCs w:val="24"/>
        </w:rPr>
        <w:t xml:space="preserve"> and </w:t>
      </w:r>
      <w:r w:rsidRPr="006207BC">
        <w:rPr>
          <w:rFonts w:ascii="Times New Roman" w:hAnsi="Times New Roman" w:cs="Times New Roman"/>
          <w:i/>
          <w:sz w:val="24"/>
          <w:szCs w:val="24"/>
        </w:rPr>
        <w:t>Beta</w:t>
      </w:r>
      <w:r w:rsidRPr="006207BC">
        <w:rPr>
          <w:rFonts w:ascii="Times New Roman" w:hAnsi="Times New Roman" w:cs="Times New Roman"/>
          <w:sz w:val="24"/>
          <w:szCs w:val="24"/>
        </w:rPr>
        <w:t xml:space="preserve">, indicating that firms can </w:t>
      </w:r>
      <w:r w:rsidRPr="006207BC">
        <w:rPr>
          <w:rFonts w:ascii="Times New Roman" w:hAnsi="Times New Roman" w:cs="Times New Roman"/>
          <w:sz w:val="24"/>
          <w:szCs w:val="24"/>
        </w:rPr>
        <w:lastRenderedPageBreak/>
        <w:t>disclose more about their risks when they are more leveraged, larger, and riskier. These results are consistent with the view that firms that are exposed to higher litigation and political costs tend to be more transparent.</w:t>
      </w:r>
    </w:p>
    <w:p w14:paraId="518F07F1" w14:textId="1F31B96C" w:rsidR="00C20459" w:rsidRPr="006207BC" w:rsidRDefault="00A61DC5" w:rsidP="00205C2F">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 xml:space="preserve">In a second step, we estimate our baseline model over the treatment sample and find that the results are </w:t>
      </w:r>
      <w:proofErr w:type="gramStart"/>
      <w:r w:rsidRPr="006207BC">
        <w:rPr>
          <w:rFonts w:ascii="Times New Roman" w:hAnsi="Times New Roman" w:cs="Times New Roman"/>
          <w:sz w:val="24"/>
          <w:szCs w:val="24"/>
        </w:rPr>
        <w:t>similar to</w:t>
      </w:r>
      <w:proofErr w:type="gramEnd"/>
      <w:r w:rsidRPr="006207BC">
        <w:rPr>
          <w:rFonts w:ascii="Times New Roman" w:hAnsi="Times New Roman" w:cs="Times New Roman"/>
          <w:sz w:val="24"/>
          <w:szCs w:val="24"/>
        </w:rPr>
        <w:t xml:space="preserve"> our ear</w:t>
      </w:r>
      <w:r w:rsidR="002732C0" w:rsidRPr="006207BC">
        <w:rPr>
          <w:rFonts w:ascii="Times New Roman" w:hAnsi="Times New Roman" w:cs="Times New Roman"/>
          <w:sz w:val="24"/>
          <w:szCs w:val="24"/>
        </w:rPr>
        <w:t>lier findings (specification (2)).</w:t>
      </w:r>
      <w:r w:rsidRPr="006207BC">
        <w:rPr>
          <w:rFonts w:ascii="Times New Roman" w:hAnsi="Times New Roman" w:cs="Times New Roman"/>
          <w:sz w:val="24"/>
          <w:szCs w:val="24"/>
        </w:rPr>
        <w:t xml:space="preserve"> Notably, the coefficient of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w:t>
      </w:r>
      <w:proofErr w:type="gramStart"/>
      <w:r w:rsidRPr="006207BC">
        <w:rPr>
          <w:rFonts w:ascii="Times New Roman" w:hAnsi="Times New Roman" w:cs="Times New Roman"/>
          <w:sz w:val="24"/>
          <w:szCs w:val="24"/>
        </w:rPr>
        <w:t>loads</w:t>
      </w:r>
      <w:proofErr w:type="gramEnd"/>
      <w:r w:rsidRPr="006207BC">
        <w:rPr>
          <w:rFonts w:ascii="Times New Roman" w:hAnsi="Times New Roman" w:cs="Times New Roman"/>
          <w:sz w:val="24"/>
          <w:szCs w:val="24"/>
        </w:rPr>
        <w:t xml:space="preserve"> positively and statistically significantly at the 1</w:t>
      </w:r>
      <w:r w:rsidR="000B78D2" w:rsidRPr="006207BC">
        <w:rPr>
          <w:rFonts w:ascii="Times New Roman" w:hAnsi="Times New Roman" w:cs="Times New Roman"/>
          <w:sz w:val="24"/>
          <w:szCs w:val="24"/>
        </w:rPr>
        <w:t>0</w:t>
      </w:r>
      <w:r w:rsidRPr="006207BC">
        <w:rPr>
          <w:rFonts w:ascii="Times New Roman" w:hAnsi="Times New Roman" w:cs="Times New Roman"/>
          <w:sz w:val="24"/>
          <w:szCs w:val="24"/>
        </w:rPr>
        <w:t>% confidence level, which is consistent with the view that greater risk disclosure is associated with a larger analyst following. Moreover, the estimated coefficients of the control variables exhibit similar signs and statistical significance as in the main analysis.</w:t>
      </w:r>
    </w:p>
    <w:p w14:paraId="59E8105C" w14:textId="77777777" w:rsidR="00450E3D" w:rsidRPr="006207BC" w:rsidRDefault="00A61DC5" w:rsidP="00450E3D">
      <w:pPr>
        <w:pStyle w:val="Paragraphedeliste"/>
        <w:keepNext/>
        <w:numPr>
          <w:ilvl w:val="1"/>
          <w:numId w:val="2"/>
        </w:numPr>
        <w:autoSpaceDE w:val="0"/>
        <w:autoSpaceDN w:val="0"/>
        <w:adjustRightInd w:val="0"/>
        <w:spacing w:before="240" w:after="240" w:line="360" w:lineRule="auto"/>
        <w:jc w:val="both"/>
        <w:outlineLvl w:val="1"/>
        <w:rPr>
          <w:rFonts w:ascii="Times New Roman" w:hAnsi="Times New Roman" w:cs="Times New Roman"/>
          <w:b/>
          <w:i/>
          <w:sz w:val="24"/>
          <w:szCs w:val="24"/>
          <w:lang w:eastAsia="fr-FR"/>
        </w:rPr>
      </w:pPr>
      <w:r w:rsidRPr="006207BC">
        <w:rPr>
          <w:rFonts w:ascii="Times New Roman" w:hAnsi="Times New Roman" w:cs="Times New Roman"/>
          <w:b/>
          <w:i/>
          <w:sz w:val="24"/>
          <w:szCs w:val="24"/>
          <w:lang w:eastAsia="fr-FR"/>
        </w:rPr>
        <w:t xml:space="preserve"> Instrumental variable approach</w:t>
      </w:r>
    </w:p>
    <w:p w14:paraId="7F35DFFB" w14:textId="046FF054" w:rsidR="00CB1392" w:rsidRPr="006207BC" w:rsidRDefault="0003529E" w:rsidP="00CB1392">
      <w:pPr>
        <w:keepNext/>
        <w:autoSpaceDE w:val="0"/>
        <w:autoSpaceDN w:val="0"/>
        <w:adjustRightInd w:val="0"/>
        <w:spacing w:before="240" w:after="240" w:line="360" w:lineRule="auto"/>
        <w:ind w:firstLine="360"/>
        <w:jc w:val="both"/>
        <w:outlineLvl w:val="1"/>
        <w:rPr>
          <w:rFonts w:ascii="Times New Roman" w:hAnsi="Times New Roman" w:cs="Times New Roman"/>
          <w:sz w:val="24"/>
          <w:szCs w:val="24"/>
        </w:rPr>
      </w:pPr>
      <w:r w:rsidRPr="006207BC">
        <w:rPr>
          <w:rFonts w:ascii="Times New Roman" w:hAnsi="Times New Roman" w:cs="Times New Roman"/>
          <w:sz w:val="24"/>
          <w:szCs w:val="24"/>
        </w:rPr>
        <w:t xml:space="preserve">Panel B of Table </w:t>
      </w:r>
      <w:r w:rsidR="001B3394" w:rsidRPr="006207BC">
        <w:rPr>
          <w:rFonts w:ascii="Times New Roman" w:hAnsi="Times New Roman" w:cs="Times New Roman"/>
          <w:sz w:val="24"/>
          <w:szCs w:val="24"/>
        </w:rPr>
        <w:t xml:space="preserve">8 </w:t>
      </w:r>
      <w:r w:rsidRPr="006207BC">
        <w:rPr>
          <w:rFonts w:ascii="Times New Roman" w:hAnsi="Times New Roman" w:cs="Times New Roman"/>
          <w:sz w:val="24"/>
          <w:szCs w:val="24"/>
        </w:rPr>
        <w:t>presents the results of</w:t>
      </w:r>
      <w:r w:rsidR="00450E3D" w:rsidRPr="006207BC">
        <w:rPr>
          <w:rFonts w:ascii="Times New Roman" w:hAnsi="Times New Roman" w:cs="Times New Roman"/>
          <w:sz w:val="24"/>
          <w:szCs w:val="24"/>
        </w:rPr>
        <w:t xml:space="preserve"> two-stage instrumental variable estimation. </w:t>
      </w:r>
      <w:r w:rsidR="00450E3D" w:rsidRPr="006207BC">
        <w:rPr>
          <w:rFonts w:ascii="Times New Roman" w:hAnsi="Times New Roman" w:cs="Times New Roman"/>
          <w:sz w:val="24"/>
          <w:szCs w:val="24"/>
          <w:lang w:val="en-US"/>
        </w:rPr>
        <w:t xml:space="preserve">In </w:t>
      </w:r>
      <w:r w:rsidR="009F6DC0" w:rsidRPr="006207BC">
        <w:rPr>
          <w:rFonts w:ascii="Times New Roman" w:hAnsi="Times New Roman" w:cs="Times New Roman"/>
          <w:sz w:val="24"/>
          <w:szCs w:val="24"/>
          <w:lang w:val="en-US"/>
        </w:rPr>
        <w:t>specification (1</w:t>
      </w:r>
      <w:r w:rsidR="00450E3D" w:rsidRPr="006207BC">
        <w:rPr>
          <w:rFonts w:ascii="Times New Roman" w:hAnsi="Times New Roman" w:cs="Times New Roman"/>
          <w:sz w:val="24"/>
          <w:szCs w:val="24"/>
          <w:lang w:val="en-US"/>
        </w:rPr>
        <w:t xml:space="preserve">), we estimate the </w:t>
      </w:r>
      <w:proofErr w:type="gramStart"/>
      <w:r w:rsidR="00450E3D" w:rsidRPr="006207BC">
        <w:rPr>
          <w:rFonts w:ascii="Times New Roman" w:hAnsi="Times New Roman" w:cs="Times New Roman"/>
          <w:sz w:val="24"/>
          <w:szCs w:val="24"/>
          <w:lang w:val="en-US"/>
        </w:rPr>
        <w:t>first-stage</w:t>
      </w:r>
      <w:proofErr w:type="gramEnd"/>
      <w:r w:rsidR="00450E3D" w:rsidRPr="006207BC">
        <w:rPr>
          <w:rFonts w:ascii="Times New Roman" w:hAnsi="Times New Roman" w:cs="Times New Roman"/>
          <w:sz w:val="24"/>
          <w:szCs w:val="24"/>
          <w:lang w:val="en-US"/>
        </w:rPr>
        <w:t xml:space="preserve"> </w:t>
      </w:r>
      <w:r w:rsidR="00450E3D" w:rsidRPr="006207BC">
        <w:rPr>
          <w:rFonts w:ascii="Times New Roman" w:hAnsi="Times New Roman" w:cs="Times New Roman"/>
          <w:sz w:val="24"/>
          <w:szCs w:val="24"/>
        </w:rPr>
        <w:t>of the instrumental variable model</w:t>
      </w:r>
      <w:r w:rsidR="00450E3D" w:rsidRPr="006207BC">
        <w:rPr>
          <w:rFonts w:ascii="Times New Roman" w:hAnsi="Times New Roman" w:cs="Times New Roman"/>
          <w:i/>
          <w:sz w:val="24"/>
          <w:szCs w:val="24"/>
        </w:rPr>
        <w:t xml:space="preserve">. </w:t>
      </w:r>
      <w:r w:rsidR="00450E3D" w:rsidRPr="006207BC">
        <w:rPr>
          <w:rFonts w:ascii="Times New Roman" w:hAnsi="Times New Roman" w:cs="Times New Roman"/>
          <w:sz w:val="24"/>
          <w:szCs w:val="24"/>
        </w:rPr>
        <w:t xml:space="preserve">For a given firm, the instrument for </w:t>
      </w:r>
      <w:r w:rsidR="00450E3D" w:rsidRPr="006207BC">
        <w:rPr>
          <w:rFonts w:ascii="Times New Roman" w:hAnsi="Times New Roman" w:cs="Times New Roman"/>
          <w:i/>
          <w:sz w:val="24"/>
          <w:szCs w:val="24"/>
        </w:rPr>
        <w:t>Risk_sentences</w:t>
      </w:r>
      <w:r w:rsidR="00450E3D" w:rsidRPr="006207BC">
        <w:rPr>
          <w:rFonts w:ascii="Times New Roman" w:hAnsi="Times New Roman" w:cs="Times New Roman"/>
          <w:sz w:val="24"/>
          <w:szCs w:val="24"/>
        </w:rPr>
        <w:t xml:space="preserve"> </w:t>
      </w:r>
      <w:proofErr w:type="gramStart"/>
      <w:r w:rsidR="00450E3D" w:rsidRPr="006207BC">
        <w:rPr>
          <w:rFonts w:ascii="Times New Roman" w:hAnsi="Times New Roman" w:cs="Times New Roman"/>
          <w:sz w:val="24"/>
          <w:szCs w:val="24"/>
        </w:rPr>
        <w:t>is</w:t>
      </w:r>
      <w:proofErr w:type="gramEnd"/>
      <w:r w:rsidR="00450E3D" w:rsidRPr="006207BC">
        <w:rPr>
          <w:rFonts w:ascii="Times New Roman" w:hAnsi="Times New Roman" w:cs="Times New Roman"/>
          <w:sz w:val="24"/>
          <w:szCs w:val="24"/>
        </w:rPr>
        <w:t xml:space="preserve"> measured as the average value of this variable in the sample of all other studied firms in the same industry group. This instrument captures the fact that firms with similar activities are more inclined to adopt a similar risk disclosure policy.</w:t>
      </w:r>
      <w:r w:rsidR="00450E3D" w:rsidRPr="006207BC">
        <w:rPr>
          <w:rFonts w:ascii="Times New Roman" w:hAnsi="Times New Roman" w:cs="Times New Roman"/>
          <w:sz w:val="24"/>
          <w:szCs w:val="24"/>
          <w:lang w:val="en-US"/>
        </w:rPr>
        <w:t xml:space="preserve"> W</w:t>
      </w:r>
      <w:r w:rsidR="00450E3D" w:rsidRPr="006207BC">
        <w:rPr>
          <w:rFonts w:ascii="Times New Roman" w:hAnsi="Times New Roman" w:cs="Times New Roman"/>
          <w:sz w:val="24"/>
          <w:szCs w:val="24"/>
        </w:rPr>
        <w:t xml:space="preserve">e use the instrument along with the same exogenous variables as those used in the </w:t>
      </w:r>
      <w:proofErr w:type="gramStart"/>
      <w:r w:rsidR="00450E3D" w:rsidRPr="006207BC">
        <w:rPr>
          <w:rFonts w:ascii="Times New Roman" w:hAnsi="Times New Roman" w:cs="Times New Roman"/>
          <w:sz w:val="24"/>
          <w:szCs w:val="24"/>
        </w:rPr>
        <w:t>just-above</w:t>
      </w:r>
      <w:proofErr w:type="gramEnd"/>
      <w:r w:rsidR="00450E3D" w:rsidRPr="006207BC">
        <w:rPr>
          <w:rFonts w:ascii="Times New Roman" w:hAnsi="Times New Roman" w:cs="Times New Roman"/>
          <w:sz w:val="24"/>
          <w:szCs w:val="24"/>
        </w:rPr>
        <w:t xml:space="preserve"> probit model to explain risk disclosure. We find that the instrument enters with a positive coefficient which is statistically significant at the 1% statistical level. Moreover, all explanatory variables, except for </w:t>
      </w:r>
      <w:r w:rsidR="00450E3D" w:rsidRPr="006207BC">
        <w:rPr>
          <w:rFonts w:ascii="Times New Roman" w:hAnsi="Times New Roman" w:cs="Times New Roman"/>
          <w:i/>
          <w:sz w:val="24"/>
          <w:szCs w:val="24"/>
        </w:rPr>
        <w:t>market-to-book</w:t>
      </w:r>
      <w:r w:rsidR="00450E3D" w:rsidRPr="006207BC">
        <w:rPr>
          <w:rFonts w:ascii="Times New Roman" w:hAnsi="Times New Roman" w:cs="Times New Roman"/>
          <w:sz w:val="24"/>
          <w:szCs w:val="24"/>
        </w:rPr>
        <w:t xml:space="preserve">, exhibit statistically significant coefficients, </w:t>
      </w:r>
      <w:r w:rsidR="00627A37" w:rsidRPr="006207BC">
        <w:rPr>
          <w:rFonts w:ascii="Times New Roman" w:hAnsi="Times New Roman" w:cs="Times New Roman"/>
          <w:sz w:val="24"/>
          <w:szCs w:val="24"/>
        </w:rPr>
        <w:t>suggesting t</w:t>
      </w:r>
      <w:r w:rsidR="00450E3D" w:rsidRPr="006207BC">
        <w:rPr>
          <w:rFonts w:ascii="Times New Roman" w:hAnsi="Times New Roman" w:cs="Times New Roman"/>
          <w:sz w:val="24"/>
          <w:szCs w:val="24"/>
        </w:rPr>
        <w:t xml:space="preserve">heir relevance </w:t>
      </w:r>
      <w:r w:rsidR="00627A37" w:rsidRPr="006207BC">
        <w:rPr>
          <w:rFonts w:ascii="Times New Roman" w:hAnsi="Times New Roman" w:cs="Times New Roman"/>
          <w:sz w:val="24"/>
          <w:szCs w:val="24"/>
        </w:rPr>
        <w:t>to</w:t>
      </w:r>
      <w:r w:rsidR="00450E3D" w:rsidRPr="006207BC">
        <w:rPr>
          <w:rFonts w:ascii="Times New Roman" w:hAnsi="Times New Roman" w:cs="Times New Roman"/>
          <w:sz w:val="24"/>
          <w:szCs w:val="24"/>
        </w:rPr>
        <w:t xml:space="preserve"> risk disclosure policy. </w:t>
      </w:r>
      <w:r w:rsidR="00450E3D" w:rsidRPr="006207BC">
        <w:rPr>
          <w:rFonts w:ascii="Times New Roman" w:hAnsi="Times New Roman" w:cs="Times New Roman"/>
          <w:sz w:val="24"/>
          <w:szCs w:val="24"/>
          <w:lang w:val="en-US"/>
        </w:rPr>
        <w:t xml:space="preserve">We also report a partial </w:t>
      </w:r>
      <w:r w:rsidR="00450E3D" w:rsidRPr="006207BC">
        <w:rPr>
          <w:rFonts w:ascii="Times New Roman" w:hAnsi="Times New Roman" w:cs="Times New Roman"/>
          <w:i/>
          <w:sz w:val="24"/>
          <w:szCs w:val="24"/>
          <w:lang w:val="en-US"/>
        </w:rPr>
        <w:t>F</w:t>
      </w:r>
      <w:r w:rsidR="00450E3D" w:rsidRPr="006207BC">
        <w:rPr>
          <w:rFonts w:ascii="Times New Roman" w:hAnsi="Times New Roman" w:cs="Times New Roman"/>
          <w:sz w:val="24"/>
          <w:szCs w:val="24"/>
          <w:lang w:val="en-US"/>
        </w:rPr>
        <w:t xml:space="preserve">-statistic and </w:t>
      </w:r>
      <w:r w:rsidR="00450E3D" w:rsidRPr="006207BC">
        <w:rPr>
          <w:rFonts w:ascii="Times New Roman" w:hAnsi="Times New Roman" w:cs="Times New Roman"/>
          <w:i/>
          <w:sz w:val="24"/>
          <w:szCs w:val="24"/>
        </w:rPr>
        <w:t>R</w:t>
      </w:r>
      <w:r w:rsidR="00450E3D" w:rsidRPr="006207BC">
        <w:rPr>
          <w:rFonts w:ascii="Times New Roman" w:hAnsi="Times New Roman" w:cs="Times New Roman"/>
          <w:sz w:val="24"/>
          <w:szCs w:val="24"/>
        </w:rPr>
        <w:t>-squared of excluded instruments</w:t>
      </w:r>
      <w:r w:rsidR="00450E3D" w:rsidRPr="006207BC">
        <w:rPr>
          <w:rFonts w:ascii="Times New Roman" w:hAnsi="Times New Roman" w:cs="Times New Roman"/>
          <w:sz w:val="24"/>
          <w:szCs w:val="24"/>
          <w:lang w:val="en-US"/>
        </w:rPr>
        <w:t xml:space="preserve"> of, respectively, </w:t>
      </w:r>
      <w:r w:rsidR="00450E3D" w:rsidRPr="006207BC">
        <w:rPr>
          <w:rFonts w:ascii="Times New Roman" w:hAnsi="Times New Roman" w:cs="Times New Roman"/>
          <w:sz w:val="24"/>
          <w:szCs w:val="24"/>
        </w:rPr>
        <w:t xml:space="preserve">53.5267 and 11.36%, meaning that </w:t>
      </w:r>
      <w:r w:rsidR="00450E3D" w:rsidRPr="006207BC">
        <w:rPr>
          <w:rFonts w:ascii="Times New Roman" w:hAnsi="Times New Roman" w:cs="Times New Roman"/>
          <w:sz w:val="24"/>
          <w:szCs w:val="24"/>
          <w:lang w:val="en-US"/>
        </w:rPr>
        <w:t xml:space="preserve">we do not have a weak-instrument problem (Stock </w:t>
      </w:r>
      <w:r w:rsidR="002C0CCB" w:rsidRPr="006207BC">
        <w:rPr>
          <w:rFonts w:ascii="Times New Roman" w:hAnsi="Times New Roman" w:cs="Times New Roman"/>
          <w:sz w:val="24"/>
          <w:szCs w:val="24"/>
          <w:lang w:val="en-US"/>
        </w:rPr>
        <w:t>and</w:t>
      </w:r>
      <w:r w:rsidR="00450E3D" w:rsidRPr="006207BC">
        <w:rPr>
          <w:rFonts w:ascii="Times New Roman" w:hAnsi="Times New Roman" w:cs="Times New Roman"/>
          <w:sz w:val="24"/>
          <w:szCs w:val="24"/>
          <w:lang w:val="en-US"/>
        </w:rPr>
        <w:t xml:space="preserve"> Yogo, 2005).</w:t>
      </w:r>
      <w:r w:rsidR="00450E3D" w:rsidRPr="006207BC">
        <w:rPr>
          <w:rFonts w:ascii="Times New Roman" w:hAnsi="Times New Roman" w:cs="Times New Roman"/>
          <w:sz w:val="24"/>
          <w:szCs w:val="24"/>
        </w:rPr>
        <w:t xml:space="preserve"> In</w:t>
      </w:r>
      <w:r w:rsidR="009F6DC0" w:rsidRPr="006207BC">
        <w:rPr>
          <w:rFonts w:ascii="Times New Roman" w:hAnsi="Times New Roman" w:cs="Times New Roman"/>
          <w:sz w:val="24"/>
          <w:szCs w:val="24"/>
        </w:rPr>
        <w:t xml:space="preserve"> specification (2</w:t>
      </w:r>
      <w:r w:rsidR="00450E3D" w:rsidRPr="006207BC">
        <w:rPr>
          <w:rFonts w:ascii="Times New Roman" w:hAnsi="Times New Roman" w:cs="Times New Roman"/>
          <w:sz w:val="24"/>
          <w:szCs w:val="24"/>
        </w:rPr>
        <w:t xml:space="preserve">), the second-stage estimation uses the fitted value of </w:t>
      </w:r>
      <w:r w:rsidR="00BA634C" w:rsidRPr="006207BC">
        <w:rPr>
          <w:rFonts w:ascii="Times New Roman" w:hAnsi="Times New Roman" w:cs="Times New Roman"/>
          <w:i/>
          <w:sz w:val="24"/>
          <w:szCs w:val="24"/>
        </w:rPr>
        <w:t>Risk_sentences</w:t>
      </w:r>
      <w:r w:rsidR="00450E3D" w:rsidRPr="006207BC">
        <w:rPr>
          <w:rFonts w:ascii="Times New Roman" w:hAnsi="Times New Roman" w:cs="Times New Roman"/>
          <w:sz w:val="24"/>
          <w:szCs w:val="24"/>
        </w:rPr>
        <w:t xml:space="preserve"> from the first-stage regression as variable of interest. </w:t>
      </w:r>
      <w:r w:rsidR="00CB1392" w:rsidRPr="006207BC">
        <w:rPr>
          <w:rFonts w:ascii="Times New Roman" w:hAnsi="Times New Roman" w:cs="Times New Roman"/>
          <w:sz w:val="24"/>
          <w:szCs w:val="24"/>
        </w:rPr>
        <w:t xml:space="preserve">The coefficient on this fitted value is found to be </w:t>
      </w:r>
      <w:r w:rsidR="00450E3D" w:rsidRPr="006207BC">
        <w:rPr>
          <w:rFonts w:ascii="Times New Roman" w:hAnsi="Times New Roman" w:cs="Times New Roman"/>
          <w:sz w:val="24"/>
          <w:szCs w:val="24"/>
        </w:rPr>
        <w:t>positive and statistically significant at the 1% level</w:t>
      </w:r>
      <w:r w:rsidR="00CB1392" w:rsidRPr="006207BC">
        <w:rPr>
          <w:rFonts w:ascii="Times New Roman" w:hAnsi="Times New Roman" w:cs="Times New Roman"/>
          <w:sz w:val="24"/>
          <w:szCs w:val="24"/>
        </w:rPr>
        <w:t>,</w:t>
      </w:r>
      <w:r w:rsidR="00450E3D" w:rsidRPr="006207BC">
        <w:rPr>
          <w:rFonts w:ascii="Times New Roman" w:hAnsi="Times New Roman" w:cs="Times New Roman"/>
          <w:sz w:val="24"/>
          <w:szCs w:val="24"/>
        </w:rPr>
        <w:t xml:space="preserve"> </w:t>
      </w:r>
      <w:r w:rsidR="00450E3D" w:rsidRPr="006207BC">
        <w:rPr>
          <w:rFonts w:ascii="Times New Roman" w:hAnsi="Times New Roman" w:cs="Times New Roman"/>
          <w:sz w:val="24"/>
          <w:szCs w:val="24"/>
        </w:rPr>
        <w:lastRenderedPageBreak/>
        <w:t xml:space="preserve">reinforcing our main finding that increased risk disclosure is associated with greater analyst following. </w:t>
      </w:r>
    </w:p>
    <w:p w14:paraId="05310B77" w14:textId="77777777" w:rsidR="00EA5984" w:rsidRPr="006207BC" w:rsidRDefault="00EA5984" w:rsidP="00EA5984">
      <w:pPr>
        <w:pStyle w:val="Paragraphedeliste"/>
        <w:keepNext/>
        <w:numPr>
          <w:ilvl w:val="1"/>
          <w:numId w:val="2"/>
        </w:numPr>
        <w:autoSpaceDE w:val="0"/>
        <w:autoSpaceDN w:val="0"/>
        <w:adjustRightInd w:val="0"/>
        <w:spacing w:before="240" w:after="240" w:line="360" w:lineRule="auto"/>
        <w:jc w:val="both"/>
        <w:outlineLvl w:val="1"/>
        <w:rPr>
          <w:rFonts w:ascii="Times New Roman" w:hAnsi="Times New Roman" w:cs="Times New Roman"/>
          <w:b/>
          <w:i/>
          <w:sz w:val="24"/>
          <w:szCs w:val="24"/>
          <w:lang w:eastAsia="fr-FR"/>
        </w:rPr>
      </w:pPr>
      <w:r w:rsidRPr="006207BC">
        <w:rPr>
          <w:rFonts w:ascii="Times New Roman" w:hAnsi="Times New Roman" w:cs="Times New Roman"/>
          <w:b/>
          <w:i/>
          <w:sz w:val="24"/>
          <w:szCs w:val="24"/>
          <w:lang w:eastAsia="fr-FR"/>
        </w:rPr>
        <w:t xml:space="preserve"> </w:t>
      </w:r>
      <w:r w:rsidR="00F0350A" w:rsidRPr="006207BC">
        <w:rPr>
          <w:rFonts w:ascii="Times New Roman" w:hAnsi="Times New Roman" w:cs="Times New Roman"/>
          <w:b/>
          <w:i/>
          <w:sz w:val="24"/>
          <w:szCs w:val="24"/>
          <w:lang w:eastAsia="fr-FR"/>
        </w:rPr>
        <w:t>Quasi-natural experiment</w:t>
      </w:r>
    </w:p>
    <w:p w14:paraId="7F6886B0" w14:textId="72347D02" w:rsidR="00270495" w:rsidRPr="006207BC" w:rsidRDefault="00270495" w:rsidP="00270495">
      <w:pPr>
        <w:keepNext/>
        <w:autoSpaceDE w:val="0"/>
        <w:autoSpaceDN w:val="0"/>
        <w:adjustRightInd w:val="0"/>
        <w:spacing w:before="240" w:after="240" w:line="360" w:lineRule="auto"/>
        <w:ind w:firstLine="360"/>
        <w:jc w:val="both"/>
        <w:outlineLvl w:val="1"/>
        <w:rPr>
          <w:rFonts w:ascii="Times New Roman" w:hAnsi="Times New Roman" w:cs="Times New Roman"/>
          <w:b/>
          <w:sz w:val="24"/>
          <w:szCs w:val="24"/>
          <w:lang w:eastAsia="fr-FR"/>
        </w:rPr>
      </w:pPr>
      <w:r w:rsidRPr="006207BC">
        <w:rPr>
          <w:rFonts w:ascii="Times New Roman" w:hAnsi="Times New Roman" w:cs="Times New Roman"/>
          <w:sz w:val="24"/>
          <w:szCs w:val="24"/>
          <w:shd w:val="clear" w:color="auto" w:fill="FFFFFF"/>
        </w:rPr>
        <w:t>To further alleviate potential endogeneity concerns, we examine a quasi-natural experiment, that is</w:t>
      </w:r>
      <w:r w:rsidRPr="006207BC">
        <w:rPr>
          <w:rStyle w:val="Marquedecommentaire"/>
          <w:rFonts w:ascii="Times New Roman" w:hAnsi="Times New Roman" w:cs="Times New Roman"/>
          <w:sz w:val="24"/>
          <w:szCs w:val="24"/>
        </w:rPr>
        <w:t xml:space="preserve">, </w:t>
      </w:r>
      <w:r w:rsidRPr="006207BC">
        <w:rPr>
          <w:rFonts w:ascii="Times New Roman" w:hAnsi="Times New Roman" w:cs="Times New Roman"/>
          <w:sz w:val="24"/>
          <w:szCs w:val="24"/>
          <w:shd w:val="clear" w:color="auto" w:fill="FFFFFF"/>
        </w:rPr>
        <w:t xml:space="preserve">an event that affected the extent of risk disclosure but not analyst coverage. Specifically, we examine the reaction of analyst coverage to the exogenous event of releasing </w:t>
      </w:r>
      <w:r w:rsidRPr="006207BC">
        <w:rPr>
          <w:rFonts w:ascii="Times New Roman" w:hAnsi="Times New Roman" w:cs="Times New Roman"/>
          <w:sz w:val="24"/>
          <w:szCs w:val="24"/>
        </w:rPr>
        <w:t>the AMF Recommendation of 29 October 2009 on risk factors. Despite the absence of empirical evidence on the positive effect of such</w:t>
      </w:r>
      <w:r w:rsidRPr="006207BC">
        <w:rPr>
          <w:rStyle w:val="Marquedecommentaire"/>
          <w:rFonts w:ascii="Times New Roman" w:hAnsi="Times New Roman" w:cs="Times New Roman"/>
          <w:sz w:val="24"/>
          <w:szCs w:val="24"/>
        </w:rPr>
        <w:t xml:space="preserve"> a r</w:t>
      </w:r>
      <w:r w:rsidRPr="006207BC">
        <w:rPr>
          <w:rFonts w:ascii="Times New Roman" w:hAnsi="Times New Roman" w:cs="Times New Roman"/>
          <w:sz w:val="24"/>
          <w:szCs w:val="24"/>
        </w:rPr>
        <w:t>ecommendation on risk reporting, on</w:t>
      </w:r>
      <w:r w:rsidRPr="006207BC">
        <w:rPr>
          <w:rFonts w:ascii="Times New Roman" w:hAnsi="Times New Roman" w:cs="Times New Roman"/>
          <w:sz w:val="24"/>
          <w:szCs w:val="24"/>
          <w:shd w:val="clear" w:color="auto" w:fill="FFFFFF"/>
        </w:rPr>
        <w:t>e should expect that listed firms in France, in particular the largest ones, comply with the recommendations of the regulatory bodies</w:t>
      </w:r>
      <w:r w:rsidRPr="006207BC">
        <w:rPr>
          <w:rStyle w:val="Marquedecommentaire"/>
          <w:rFonts w:ascii="Times New Roman" w:hAnsi="Times New Roman" w:cs="Times New Roman"/>
          <w:sz w:val="24"/>
          <w:szCs w:val="24"/>
        </w:rPr>
        <w:t>, n</w:t>
      </w:r>
      <w:r w:rsidRPr="006207BC">
        <w:rPr>
          <w:rFonts w:ascii="Times New Roman" w:hAnsi="Times New Roman" w:cs="Times New Roman"/>
          <w:sz w:val="24"/>
          <w:szCs w:val="24"/>
          <w:shd w:val="clear" w:color="auto" w:fill="FFFFFF"/>
        </w:rPr>
        <w:t>otably by increasing their risk disclosure. Therefore, the release of such a recommendation by the AMF would offer an interesting setting for capturing major changes in corporate risk disclosure practices and may represent real</w:t>
      </w:r>
      <w:r w:rsidRPr="006207BC">
        <w:rPr>
          <w:rFonts w:ascii="Cambria Math" w:hAnsi="Cambria Math" w:cs="Cambria Math"/>
          <w:sz w:val="24"/>
          <w:szCs w:val="24"/>
          <w:shd w:val="clear" w:color="auto" w:fill="FFFFFF"/>
        </w:rPr>
        <w:t>‐</w:t>
      </w:r>
      <w:r w:rsidRPr="006207BC">
        <w:rPr>
          <w:rFonts w:ascii="Times New Roman" w:hAnsi="Times New Roman" w:cs="Times New Roman"/>
          <w:sz w:val="24"/>
          <w:szCs w:val="24"/>
          <w:shd w:val="clear" w:color="auto" w:fill="FFFFFF"/>
        </w:rPr>
        <w:t>side shocks that exogenously shift the scope of risk reporting. We evaluate how analyst coverage reacts to the event of releasing the regulatory recommendation on</w:t>
      </w:r>
      <w:r w:rsidRPr="006207BC">
        <w:rPr>
          <w:rStyle w:val="Marquedecommentaire"/>
          <w:rFonts w:ascii="Times New Roman" w:hAnsi="Times New Roman" w:cs="Times New Roman"/>
          <w:sz w:val="24"/>
          <w:szCs w:val="24"/>
        </w:rPr>
        <w:t xml:space="preserve"> the ri</w:t>
      </w:r>
      <w:r w:rsidRPr="006207BC">
        <w:rPr>
          <w:rFonts w:ascii="Times New Roman" w:hAnsi="Times New Roman" w:cs="Times New Roman"/>
          <w:sz w:val="24"/>
          <w:szCs w:val="24"/>
          <w:shd w:val="clear" w:color="auto" w:fill="FFFFFF"/>
        </w:rPr>
        <w:t xml:space="preserve">sk factor section of the annual report in 2009 using a difference-in-difference approach. </w:t>
      </w:r>
      <w:proofErr w:type="gramStart"/>
      <w:r w:rsidRPr="006207BC">
        <w:rPr>
          <w:rFonts w:ascii="Times New Roman" w:hAnsi="Times New Roman" w:cs="Times New Roman"/>
          <w:sz w:val="24"/>
          <w:szCs w:val="24"/>
          <w:shd w:val="clear" w:color="auto" w:fill="FFFFFF"/>
        </w:rPr>
        <w:t>In particular, we</w:t>
      </w:r>
      <w:proofErr w:type="gramEnd"/>
      <w:r w:rsidRPr="006207BC">
        <w:rPr>
          <w:rFonts w:ascii="Times New Roman" w:hAnsi="Times New Roman" w:cs="Times New Roman"/>
          <w:sz w:val="24"/>
          <w:szCs w:val="24"/>
          <w:shd w:val="clear" w:color="auto" w:fill="FFFFFF"/>
        </w:rPr>
        <w:t xml:space="preserve"> replicate our baseline regressions using a dummy variable that takes the value one for the period after 2009, that is</w:t>
      </w:r>
      <w:r w:rsidRPr="006207BC">
        <w:rPr>
          <w:rStyle w:val="Marquedecommentaire"/>
          <w:rFonts w:ascii="Times New Roman" w:hAnsi="Times New Roman" w:cs="Times New Roman"/>
          <w:sz w:val="24"/>
          <w:szCs w:val="24"/>
        </w:rPr>
        <w:t>, f</w:t>
      </w:r>
      <w:r w:rsidRPr="006207BC">
        <w:rPr>
          <w:rFonts w:ascii="Times New Roman" w:hAnsi="Times New Roman" w:cs="Times New Roman"/>
          <w:sz w:val="24"/>
          <w:szCs w:val="24"/>
          <w:shd w:val="clear" w:color="auto" w:fill="FFFFFF"/>
        </w:rPr>
        <w:t>rom 2010 to 2015 period, and zero otherwise. This method allows us to compare the responses of a treatment group (i.e., observations over the period 2010</w:t>
      </w:r>
      <w:r w:rsidR="00EA1099" w:rsidRPr="006207BC">
        <w:rPr>
          <w:rFonts w:ascii="Times New Roman" w:hAnsi="Times New Roman" w:cs="Times New Roman"/>
          <w:bCs/>
          <w:sz w:val="24"/>
          <w:szCs w:val="24"/>
        </w:rPr>
        <w:t>–</w:t>
      </w:r>
      <w:r w:rsidRPr="006207BC">
        <w:rPr>
          <w:rFonts w:ascii="Times New Roman" w:hAnsi="Times New Roman" w:cs="Times New Roman"/>
          <w:sz w:val="24"/>
          <w:szCs w:val="24"/>
          <w:shd w:val="clear" w:color="auto" w:fill="FFFFFF"/>
        </w:rPr>
        <w:t>2015, that is, firms having a good risk disclosure policy) to those of a control group (i.e., observations over the period 2007</w:t>
      </w:r>
      <w:r w:rsidR="00EA1099" w:rsidRPr="006207BC">
        <w:rPr>
          <w:rFonts w:ascii="Times New Roman" w:hAnsi="Times New Roman" w:cs="Times New Roman"/>
          <w:bCs/>
          <w:sz w:val="24"/>
          <w:szCs w:val="24"/>
        </w:rPr>
        <w:t>–</w:t>
      </w:r>
      <w:r w:rsidRPr="006207BC">
        <w:rPr>
          <w:rFonts w:ascii="Times New Roman" w:hAnsi="Times New Roman" w:cs="Times New Roman"/>
          <w:sz w:val="24"/>
          <w:szCs w:val="24"/>
          <w:shd w:val="clear" w:color="auto" w:fill="FFFFFF"/>
        </w:rPr>
        <w:t xml:space="preserve">2009, that is, firms having a poor risk disclosure policy). The results of the difference-in-difference analysis examining the impact of AMF’s recommendation release shock on analyst following are reported in </w:t>
      </w:r>
      <w:r w:rsidR="001B3394" w:rsidRPr="006207BC">
        <w:rPr>
          <w:rFonts w:ascii="Times New Roman" w:hAnsi="Times New Roman" w:cs="Times New Roman"/>
          <w:sz w:val="24"/>
          <w:szCs w:val="24"/>
          <w:shd w:val="clear" w:color="auto" w:fill="FFFFFF"/>
        </w:rPr>
        <w:t>Panel C of Table 8</w:t>
      </w:r>
      <w:r w:rsidRPr="006207BC">
        <w:rPr>
          <w:rFonts w:ascii="Times New Roman" w:hAnsi="Times New Roman" w:cs="Times New Roman"/>
          <w:sz w:val="24"/>
          <w:szCs w:val="24"/>
          <w:shd w:val="clear" w:color="auto" w:fill="FFFFFF"/>
        </w:rPr>
        <w:t>. They show that firms are followed by more analysts after the release of AMF’s recommendation on</w:t>
      </w:r>
      <w:r w:rsidRPr="006207BC">
        <w:rPr>
          <w:rStyle w:val="Marquedecommentaire"/>
          <w:rFonts w:ascii="Times New Roman" w:hAnsi="Times New Roman" w:cs="Times New Roman"/>
          <w:sz w:val="24"/>
          <w:szCs w:val="24"/>
        </w:rPr>
        <w:t xml:space="preserve"> the ri</w:t>
      </w:r>
      <w:r w:rsidRPr="006207BC">
        <w:rPr>
          <w:rFonts w:ascii="Times New Roman" w:hAnsi="Times New Roman" w:cs="Times New Roman"/>
          <w:sz w:val="24"/>
          <w:szCs w:val="24"/>
          <w:shd w:val="clear" w:color="auto" w:fill="FFFFFF"/>
        </w:rPr>
        <w:t>sk factor section of the annual report</w:t>
      </w:r>
      <w:r w:rsidRPr="006207BC">
        <w:rPr>
          <w:rStyle w:val="Marquedecommentaire"/>
          <w:rFonts w:ascii="Times New Roman" w:hAnsi="Times New Roman" w:cs="Times New Roman"/>
          <w:sz w:val="24"/>
          <w:szCs w:val="24"/>
        </w:rPr>
        <w:t>, c</w:t>
      </w:r>
      <w:r w:rsidRPr="006207BC">
        <w:rPr>
          <w:rFonts w:ascii="Times New Roman" w:hAnsi="Times New Roman" w:cs="Times New Roman"/>
          <w:sz w:val="24"/>
          <w:szCs w:val="24"/>
          <w:shd w:val="clear" w:color="auto" w:fill="FFFFFF"/>
        </w:rPr>
        <w:t>ompared to the period before the release. This effect is economically significant</w:t>
      </w:r>
      <w:r w:rsidRPr="006207BC">
        <w:rPr>
          <w:rStyle w:val="Marquedecommentaire"/>
          <w:rFonts w:ascii="Times New Roman" w:hAnsi="Times New Roman" w:cs="Times New Roman"/>
          <w:sz w:val="24"/>
          <w:szCs w:val="24"/>
        </w:rPr>
        <w:t>, g</w:t>
      </w:r>
      <w:r w:rsidRPr="006207BC">
        <w:rPr>
          <w:rFonts w:ascii="Times New Roman" w:hAnsi="Times New Roman" w:cs="Times New Roman"/>
          <w:sz w:val="24"/>
          <w:szCs w:val="24"/>
          <w:shd w:val="clear" w:color="auto" w:fill="FFFFFF"/>
        </w:rPr>
        <w:t xml:space="preserve">iven that the number of analysts following a firm after AMF’s recommendation increases by more than four. Overall, this finding is consistent with </w:t>
      </w:r>
      <w:r w:rsidRPr="006207BC">
        <w:rPr>
          <w:rFonts w:ascii="Times New Roman" w:hAnsi="Times New Roman" w:cs="Times New Roman"/>
          <w:sz w:val="24"/>
          <w:szCs w:val="24"/>
          <w:shd w:val="clear" w:color="auto" w:fill="FFFFFF"/>
        </w:rPr>
        <w:lastRenderedPageBreak/>
        <w:t>our main hypothesis predicting that more risk disclosure gives an incentive to a greater number of analysts to follow the firm.</w:t>
      </w:r>
    </w:p>
    <w:p w14:paraId="42026DAD" w14:textId="0DD91AF8" w:rsidR="00C20459" w:rsidRPr="006207BC" w:rsidRDefault="00270495" w:rsidP="00CB1392">
      <w:pPr>
        <w:keepNext/>
        <w:autoSpaceDE w:val="0"/>
        <w:autoSpaceDN w:val="0"/>
        <w:adjustRightInd w:val="0"/>
        <w:spacing w:before="240" w:after="240" w:line="360" w:lineRule="auto"/>
        <w:ind w:firstLine="360"/>
        <w:jc w:val="center"/>
        <w:outlineLvl w:val="1"/>
        <w:rPr>
          <w:rFonts w:ascii="Times New Roman" w:hAnsi="Times New Roman" w:cs="Times New Roman"/>
          <w:sz w:val="24"/>
          <w:szCs w:val="24"/>
        </w:rPr>
      </w:pPr>
      <w:r w:rsidRPr="006207BC">
        <w:rPr>
          <w:rFonts w:ascii="Times New Roman" w:hAnsi="Times New Roman" w:cs="Times New Roman"/>
          <w:i/>
          <w:sz w:val="24"/>
          <w:szCs w:val="24"/>
        </w:rPr>
        <w:t xml:space="preserve"> </w:t>
      </w:r>
      <w:r w:rsidR="00A61DC5" w:rsidRPr="006207BC">
        <w:rPr>
          <w:rFonts w:ascii="Times New Roman" w:hAnsi="Times New Roman" w:cs="Times New Roman"/>
          <w:i/>
          <w:sz w:val="24"/>
          <w:szCs w:val="24"/>
        </w:rPr>
        <w:t xml:space="preserve">[Please insert Table </w:t>
      </w:r>
      <w:r w:rsidR="001B3394" w:rsidRPr="006207BC">
        <w:rPr>
          <w:rFonts w:ascii="Times New Roman" w:hAnsi="Times New Roman" w:cs="Times New Roman"/>
          <w:i/>
          <w:sz w:val="24"/>
          <w:szCs w:val="24"/>
        </w:rPr>
        <w:t xml:space="preserve">8 </w:t>
      </w:r>
      <w:r w:rsidR="00A61DC5" w:rsidRPr="006207BC">
        <w:rPr>
          <w:rFonts w:ascii="Times New Roman" w:hAnsi="Times New Roman" w:cs="Times New Roman"/>
          <w:i/>
          <w:sz w:val="24"/>
          <w:szCs w:val="24"/>
        </w:rPr>
        <w:t>about here]</w:t>
      </w:r>
    </w:p>
    <w:p w14:paraId="723669CD" w14:textId="77777777" w:rsidR="00C20459" w:rsidRPr="006207BC" w:rsidRDefault="00A61DC5" w:rsidP="00F65E89">
      <w:pPr>
        <w:pStyle w:val="Paragraphedeliste"/>
        <w:keepNext/>
        <w:numPr>
          <w:ilvl w:val="0"/>
          <w:numId w:val="2"/>
        </w:numPr>
        <w:autoSpaceDE w:val="0"/>
        <w:autoSpaceDN w:val="0"/>
        <w:adjustRightInd w:val="0"/>
        <w:spacing w:before="240" w:after="240" w:line="360" w:lineRule="auto"/>
        <w:jc w:val="both"/>
        <w:outlineLvl w:val="0"/>
        <w:rPr>
          <w:rFonts w:ascii="Times New Roman" w:hAnsi="Times New Roman" w:cs="Times New Roman"/>
          <w:b/>
          <w:sz w:val="24"/>
          <w:szCs w:val="24"/>
        </w:rPr>
      </w:pPr>
      <w:r w:rsidRPr="006207BC">
        <w:rPr>
          <w:rFonts w:ascii="Times New Roman" w:hAnsi="Times New Roman" w:cs="Times New Roman"/>
          <w:b/>
          <w:sz w:val="24"/>
          <w:szCs w:val="24"/>
        </w:rPr>
        <w:t>Conclusion</w:t>
      </w:r>
    </w:p>
    <w:p w14:paraId="2C85C327" w14:textId="7177745F" w:rsidR="00C20459" w:rsidRPr="006207BC" w:rsidRDefault="00A61DC5">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Research provides evidence of a correlation between corporate disclosure and analyst following (</w:t>
      </w:r>
      <w:proofErr w:type="gramStart"/>
      <w:r w:rsidRPr="006207BC">
        <w:rPr>
          <w:rFonts w:ascii="Times New Roman" w:hAnsi="Times New Roman" w:cs="Times New Roman"/>
          <w:sz w:val="24"/>
          <w:szCs w:val="24"/>
        </w:rPr>
        <w:t>e.g.</w:t>
      </w:r>
      <w:proofErr w:type="gramEnd"/>
      <w:r w:rsidRPr="006207BC">
        <w:rPr>
          <w:rFonts w:ascii="Times New Roman" w:hAnsi="Times New Roman" w:cs="Times New Roman"/>
          <w:sz w:val="24"/>
          <w:szCs w:val="24"/>
        </w:rPr>
        <w:t xml:space="preserve"> Lang and Lundholm, 1996; Hope, 2003a; Lehavy</w:t>
      </w:r>
      <w:r w:rsidRPr="006207BC">
        <w:rPr>
          <w:rFonts w:ascii="Times New Roman" w:hAnsi="Times New Roman" w:cs="Times New Roman"/>
          <w:i/>
          <w:sz w:val="24"/>
          <w:szCs w:val="24"/>
        </w:rPr>
        <w:t xml:space="preserve"> et al.</w:t>
      </w:r>
      <w:r w:rsidRPr="006207BC">
        <w:rPr>
          <w:rFonts w:ascii="Times New Roman" w:hAnsi="Times New Roman" w:cs="Times New Roman"/>
          <w:sz w:val="24"/>
          <w:szCs w:val="24"/>
        </w:rPr>
        <w:t>, 2011). Using a sample of non-financial and non-utilities firms on the 120 SBF index over the period 2007−2015, this study extends this line of research to shed light on the effect of risk disclosure in the firm annual report on the number of analysts following the firm. We focus on the risk factor section of the annual report because of our interest in uncertain and negative connotation disclosures. Unlike the 10-K filings of U.S. firms, which are highly structured, French annual reports are unstructured, which requires manual extraction of the risk factor sections, leading to the uniqueness of our dataset.</w:t>
      </w:r>
    </w:p>
    <w:p w14:paraId="229C7561" w14:textId="3E37A97F" w:rsidR="00C20459" w:rsidRPr="006207BC" w:rsidRDefault="00A61DC5">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This study documents several interesting findings. The results from our main analysis show a positive and significant association between risk disclosure and analyst following, suggesting that firms providing greater risk disclosure attract more analysts. These findings are consistent with the notion that analysts can incur lower costs of information gathering in firms with greater risk disclosure, which gives them sufficient incentive to follow these firms. Moreover, investor d</w:t>
      </w:r>
      <w:r w:rsidRPr="006207BC">
        <w:rPr>
          <w:rFonts w:ascii="Times New Roman" w:eastAsia="Times New Roman" w:hAnsi="Times New Roman" w:cs="Times New Roman"/>
          <w:sz w:val="24"/>
          <w:szCs w:val="24"/>
        </w:rPr>
        <w:t xml:space="preserve">emand for analyst services </w:t>
      </w:r>
      <w:r w:rsidR="00C86ADB" w:rsidRPr="006207BC">
        <w:rPr>
          <w:rFonts w:ascii="Times New Roman" w:eastAsia="Times New Roman" w:hAnsi="Times New Roman" w:cs="Times New Roman"/>
          <w:sz w:val="24"/>
          <w:szCs w:val="24"/>
        </w:rPr>
        <w:t xml:space="preserve">presumably increases with risk disclosure as a remedy for </w:t>
      </w:r>
      <w:r w:rsidR="007A6DBD" w:rsidRPr="006207BC">
        <w:rPr>
          <w:rFonts w:ascii="Times New Roman" w:eastAsia="Times New Roman" w:hAnsi="Times New Roman" w:cs="Times New Roman"/>
          <w:sz w:val="24"/>
          <w:szCs w:val="24"/>
        </w:rPr>
        <w:t xml:space="preserve">a </w:t>
      </w:r>
      <w:r w:rsidR="00C86ADB" w:rsidRPr="006207BC">
        <w:rPr>
          <w:rFonts w:ascii="Times New Roman" w:eastAsia="Times New Roman" w:hAnsi="Times New Roman" w:cs="Times New Roman"/>
          <w:sz w:val="24"/>
          <w:szCs w:val="24"/>
        </w:rPr>
        <w:t>firm</w:t>
      </w:r>
      <w:r w:rsidR="007A6DBD" w:rsidRPr="006207BC">
        <w:rPr>
          <w:rFonts w:ascii="Times New Roman" w:eastAsia="Times New Roman" w:hAnsi="Times New Roman" w:cs="Times New Roman"/>
          <w:sz w:val="24"/>
          <w:szCs w:val="24"/>
        </w:rPr>
        <w:t>’s</w:t>
      </w:r>
      <w:r w:rsidR="00C86ADB" w:rsidRPr="006207BC">
        <w:rPr>
          <w:rFonts w:ascii="Times New Roman" w:eastAsia="Times New Roman" w:hAnsi="Times New Roman" w:cs="Times New Roman"/>
          <w:sz w:val="24"/>
          <w:szCs w:val="24"/>
        </w:rPr>
        <w:t xml:space="preserve"> </w:t>
      </w:r>
      <w:r w:rsidRPr="006207BC">
        <w:rPr>
          <w:rFonts w:ascii="Times New Roman" w:hAnsi="Times New Roman" w:cs="Times New Roman"/>
          <w:sz w:val="24"/>
          <w:szCs w:val="24"/>
        </w:rPr>
        <w:t>exposure to multiple risks, leading to greater analyst following.</w:t>
      </w:r>
      <w:r w:rsidR="00F9119E" w:rsidRPr="006207BC">
        <w:rPr>
          <w:rFonts w:ascii="Times New Roman" w:eastAsia="Times New Roman" w:hAnsi="Times New Roman" w:cs="Times New Roman"/>
          <w:sz w:val="24"/>
          <w:szCs w:val="24"/>
        </w:rPr>
        <w:t xml:space="preserve"> </w:t>
      </w:r>
    </w:p>
    <w:p w14:paraId="674FC548" w14:textId="5FB3CAAB" w:rsidR="00C20459" w:rsidRPr="006207BC" w:rsidRDefault="00A61DC5">
      <w:pPr>
        <w:autoSpaceDE w:val="0"/>
        <w:autoSpaceDN w:val="0"/>
        <w:adjustRightInd w:val="0"/>
        <w:spacing w:before="240" w:after="240" w:line="360" w:lineRule="auto"/>
        <w:ind w:firstLine="360"/>
        <w:jc w:val="both"/>
        <w:rPr>
          <w:rFonts w:ascii="Times New Roman" w:hAnsi="Times New Roman" w:cs="Times New Roman"/>
          <w:sz w:val="24"/>
          <w:szCs w:val="24"/>
        </w:rPr>
      </w:pPr>
      <w:r w:rsidRPr="006207BC">
        <w:rPr>
          <w:rFonts w:ascii="Times New Roman" w:hAnsi="Times New Roman" w:cs="Times New Roman"/>
          <w:sz w:val="24"/>
          <w:szCs w:val="24"/>
        </w:rPr>
        <w:t>The evidence presented in this research expands our understanding of the role of analysts as major users of annual reports and pins down the importance of analysts’ activities in complementing information conveyed in firm annual reports and, generally, in corporate disclosures. This makes our findings interesting to researchers, analysts, managers, and regulators. A natural extension of this research that we propose for future study is an exploration of the extent to which risk disclosure affects the accuracy of analysts’ forecasts.</w:t>
      </w:r>
    </w:p>
    <w:p w14:paraId="5F8486AB" w14:textId="77777777" w:rsidR="006118DA" w:rsidRPr="006207BC" w:rsidRDefault="006118DA" w:rsidP="006118DA">
      <w:pPr>
        <w:spacing w:before="60" w:after="60" w:line="276" w:lineRule="auto"/>
        <w:jc w:val="both"/>
        <w:rPr>
          <w:rFonts w:ascii="Times New Roman" w:hAnsi="Times New Roman" w:cs="Times New Roman"/>
          <w:sz w:val="24"/>
          <w:szCs w:val="24"/>
        </w:rPr>
      </w:pPr>
    </w:p>
    <w:p w14:paraId="5D41DF75" w14:textId="77777777" w:rsidR="006118DA" w:rsidRPr="006207BC" w:rsidRDefault="006118DA" w:rsidP="006118DA">
      <w:pPr>
        <w:spacing w:before="60" w:after="60" w:line="276" w:lineRule="auto"/>
        <w:jc w:val="both"/>
        <w:rPr>
          <w:rFonts w:ascii="Times New Roman" w:hAnsi="Times New Roman" w:cs="Times New Roman"/>
          <w:sz w:val="24"/>
          <w:szCs w:val="24"/>
        </w:rPr>
      </w:pPr>
    </w:p>
    <w:p w14:paraId="213A3EC0" w14:textId="77777777" w:rsidR="006118DA" w:rsidRPr="006207BC" w:rsidRDefault="006118DA" w:rsidP="006118DA">
      <w:pPr>
        <w:spacing w:before="60" w:after="60" w:line="276" w:lineRule="auto"/>
        <w:jc w:val="both"/>
        <w:rPr>
          <w:rFonts w:ascii="Times New Roman" w:hAnsi="Times New Roman" w:cs="Times New Roman"/>
          <w:sz w:val="24"/>
          <w:szCs w:val="24"/>
        </w:rPr>
      </w:pPr>
    </w:p>
    <w:p w14:paraId="1D86574A" w14:textId="515E1436" w:rsidR="006118DA" w:rsidRPr="006207BC" w:rsidRDefault="006118DA" w:rsidP="006118DA">
      <w:pPr>
        <w:spacing w:before="60" w:after="60" w:line="276" w:lineRule="auto"/>
        <w:jc w:val="both"/>
        <w:rPr>
          <w:rFonts w:ascii="Times New Roman" w:hAnsi="Times New Roman" w:cs="Times New Roman"/>
          <w:b/>
          <w:sz w:val="24"/>
          <w:szCs w:val="24"/>
          <w:lang w:val="en-US"/>
        </w:rPr>
      </w:pPr>
      <w:r w:rsidRPr="006207BC">
        <w:rPr>
          <w:rFonts w:ascii="Times New Roman" w:hAnsi="Times New Roman" w:cs="Times New Roman"/>
          <w:b/>
          <w:sz w:val="24"/>
          <w:szCs w:val="24"/>
          <w:lang w:val="en-US"/>
        </w:rPr>
        <w:lastRenderedPageBreak/>
        <w:t>References</w:t>
      </w:r>
    </w:p>
    <w:p w14:paraId="45CF71F3"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Abraham, S., &amp; Cox, P. (2007). Analysing the determinants of narrative risk information in UK FTSE 100 annual reports. </w:t>
      </w:r>
      <w:r w:rsidRPr="006207BC">
        <w:rPr>
          <w:rFonts w:ascii="Times New Roman" w:hAnsi="Times New Roman" w:cs="Times New Roman"/>
          <w:i/>
          <w:iCs/>
          <w:sz w:val="24"/>
          <w:szCs w:val="24"/>
          <w:shd w:val="clear" w:color="auto" w:fill="FFFFFF"/>
        </w:rPr>
        <w:t>The British Accounting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39</w:t>
      </w:r>
      <w:r w:rsidRPr="006207BC">
        <w:rPr>
          <w:rFonts w:ascii="Times New Roman" w:hAnsi="Times New Roman" w:cs="Times New Roman"/>
          <w:sz w:val="24"/>
          <w:szCs w:val="24"/>
          <w:shd w:val="clear" w:color="auto" w:fill="FFFFFF"/>
        </w:rPr>
        <w:t>(3), 227-248.</w:t>
      </w:r>
    </w:p>
    <w:p w14:paraId="42534D5F"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shd w:val="clear" w:color="auto" w:fill="FFFFFF"/>
          <w:lang w:val="en-US"/>
        </w:rPr>
        <w:t xml:space="preserve">Abraham, S., Marston, C., &amp; Darby, P. (2012). </w:t>
      </w:r>
      <w:r w:rsidRPr="006207BC">
        <w:rPr>
          <w:rFonts w:ascii="Times New Roman" w:hAnsi="Times New Roman" w:cs="Times New Roman"/>
          <w:i/>
          <w:sz w:val="24"/>
          <w:szCs w:val="24"/>
          <w:shd w:val="clear" w:color="auto" w:fill="FFFFFF"/>
        </w:rPr>
        <w:t xml:space="preserve">Risk reporting: Clarity, </w:t>
      </w:r>
      <w:proofErr w:type="gramStart"/>
      <w:r w:rsidRPr="006207BC">
        <w:rPr>
          <w:rFonts w:ascii="Times New Roman" w:hAnsi="Times New Roman" w:cs="Times New Roman"/>
          <w:i/>
          <w:sz w:val="24"/>
          <w:szCs w:val="24"/>
          <w:shd w:val="clear" w:color="auto" w:fill="FFFFFF"/>
        </w:rPr>
        <w:t>relevance</w:t>
      </w:r>
      <w:proofErr w:type="gramEnd"/>
      <w:r w:rsidRPr="006207BC">
        <w:rPr>
          <w:rFonts w:ascii="Times New Roman" w:hAnsi="Times New Roman" w:cs="Times New Roman"/>
          <w:i/>
          <w:sz w:val="24"/>
          <w:szCs w:val="24"/>
          <w:shd w:val="clear" w:color="auto" w:fill="FFFFFF"/>
        </w:rPr>
        <w:t xml:space="preserve"> and location</w:t>
      </w:r>
      <w:r w:rsidRPr="006207BC">
        <w:rPr>
          <w:rFonts w:ascii="Times New Roman" w:hAnsi="Times New Roman" w:cs="Times New Roman"/>
          <w:sz w:val="24"/>
          <w:szCs w:val="24"/>
          <w:shd w:val="clear" w:color="auto" w:fill="FFFFFF"/>
        </w:rPr>
        <w:t>. Institute of Chartered Accountants of Scotland.</w:t>
      </w:r>
      <w:r w:rsidRPr="006207BC">
        <w:rPr>
          <w:rFonts w:ascii="Times New Roman" w:hAnsi="Times New Roman" w:cs="Times New Roman"/>
          <w:sz w:val="24"/>
          <w:szCs w:val="24"/>
        </w:rPr>
        <w:t xml:space="preserve"> Edinburgh.</w:t>
      </w:r>
    </w:p>
    <w:p w14:paraId="10CC040A"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Abraham, S., &amp; Shrives, P. J. (2014). Improving the relevance of risk factor disclosure in corporate annual reports. </w:t>
      </w:r>
      <w:r w:rsidRPr="006207BC">
        <w:rPr>
          <w:rFonts w:ascii="Times New Roman" w:hAnsi="Times New Roman" w:cs="Times New Roman"/>
          <w:i/>
          <w:sz w:val="24"/>
          <w:szCs w:val="24"/>
        </w:rPr>
        <w:t>The British accounting review, 46(1)</w:t>
      </w:r>
      <w:r w:rsidRPr="006207BC">
        <w:rPr>
          <w:rFonts w:ascii="Times New Roman" w:hAnsi="Times New Roman" w:cs="Times New Roman"/>
          <w:sz w:val="24"/>
          <w:szCs w:val="24"/>
        </w:rPr>
        <w:t>, 91-107.</w:t>
      </w:r>
    </w:p>
    <w:p w14:paraId="7DC3B4E4"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Bae, K. H., Stulz, R. M., &amp; Tan, H. (2008). Do local analysts know more? A cross-country study of the performance of local analysts and foreign analysts. </w:t>
      </w:r>
      <w:r w:rsidRPr="006207BC">
        <w:rPr>
          <w:rFonts w:ascii="Times New Roman" w:hAnsi="Times New Roman" w:cs="Times New Roman"/>
          <w:i/>
          <w:iCs/>
          <w:sz w:val="24"/>
          <w:szCs w:val="24"/>
          <w:shd w:val="clear" w:color="auto" w:fill="FFFFFF"/>
        </w:rPr>
        <w:t>Journal of Financial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88</w:t>
      </w:r>
      <w:r w:rsidRPr="006207BC">
        <w:rPr>
          <w:rFonts w:ascii="Times New Roman" w:hAnsi="Times New Roman" w:cs="Times New Roman"/>
          <w:sz w:val="24"/>
          <w:szCs w:val="24"/>
          <w:shd w:val="clear" w:color="auto" w:fill="FFFFFF"/>
        </w:rPr>
        <w:t>(3), 581-606.</w:t>
      </w:r>
    </w:p>
    <w:p w14:paraId="4C26F5EF" w14:textId="77777777" w:rsidR="007D51A0" w:rsidRPr="006207BC" w:rsidRDefault="007D51A0"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shd w:val="clear" w:color="auto" w:fill="FFFFFF"/>
        </w:rPr>
        <w:t xml:space="preserve">Ball, R., Kothari, S. P., &amp; Robin, A. (2000). The effect of international institutional factors on properties of accounting earnings. </w:t>
      </w:r>
      <w:r w:rsidRPr="006207BC">
        <w:rPr>
          <w:rFonts w:ascii="Times New Roman" w:hAnsi="Times New Roman" w:cs="Times New Roman"/>
          <w:i/>
          <w:iCs/>
          <w:sz w:val="24"/>
          <w:szCs w:val="24"/>
          <w:shd w:val="clear" w:color="auto" w:fill="FFFFFF"/>
        </w:rPr>
        <w:t>Journal of Accounting and Economics</w:t>
      </w:r>
      <w:r w:rsidRPr="006207BC">
        <w:rPr>
          <w:rFonts w:ascii="Times New Roman" w:hAnsi="Times New Roman" w:cs="Times New Roman"/>
          <w:sz w:val="24"/>
          <w:szCs w:val="24"/>
          <w:shd w:val="clear" w:color="auto" w:fill="FFFFFF"/>
        </w:rPr>
        <w:t xml:space="preserve">, </w:t>
      </w:r>
      <w:r w:rsidRPr="006207BC">
        <w:rPr>
          <w:rFonts w:ascii="Times New Roman" w:hAnsi="Times New Roman" w:cs="Times New Roman"/>
          <w:i/>
          <w:iCs/>
          <w:sz w:val="24"/>
          <w:szCs w:val="24"/>
          <w:shd w:val="clear" w:color="auto" w:fill="FFFFFF"/>
        </w:rPr>
        <w:t>29</w:t>
      </w:r>
      <w:r w:rsidRPr="006207BC">
        <w:rPr>
          <w:rFonts w:ascii="Times New Roman" w:hAnsi="Times New Roman" w:cs="Times New Roman"/>
          <w:sz w:val="24"/>
          <w:szCs w:val="24"/>
          <w:shd w:val="clear" w:color="auto" w:fill="FFFFFF"/>
        </w:rPr>
        <w:t>(1), 1-51.</w:t>
      </w:r>
    </w:p>
    <w:p w14:paraId="57FF970C"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Barth, M. E., Kasznik, R., &amp; McNichols, M. F. (2001). Analyst coverage and intangible assets. </w:t>
      </w:r>
      <w:r w:rsidRPr="006207BC">
        <w:rPr>
          <w:rFonts w:ascii="Times New Roman" w:hAnsi="Times New Roman" w:cs="Times New Roman"/>
          <w:i/>
          <w:iCs/>
          <w:sz w:val="24"/>
          <w:szCs w:val="24"/>
          <w:shd w:val="clear" w:color="auto" w:fill="FFFFFF"/>
        </w:rPr>
        <w:t>Journal of accounting research</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39</w:t>
      </w:r>
      <w:r w:rsidRPr="006207BC">
        <w:rPr>
          <w:rFonts w:ascii="Times New Roman" w:hAnsi="Times New Roman" w:cs="Times New Roman"/>
          <w:sz w:val="24"/>
          <w:szCs w:val="24"/>
          <w:shd w:val="clear" w:color="auto" w:fill="FFFFFF"/>
        </w:rPr>
        <w:t>(1), 1-34.</w:t>
      </w:r>
    </w:p>
    <w:p w14:paraId="035289E5"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Beretta, S., &amp; Bozzolan, S. (2004). A framework for the analysis of firm risk communication. </w:t>
      </w:r>
      <w:r w:rsidRPr="006207BC">
        <w:rPr>
          <w:rFonts w:ascii="Times New Roman" w:hAnsi="Times New Roman" w:cs="Times New Roman"/>
          <w:i/>
          <w:sz w:val="24"/>
          <w:szCs w:val="24"/>
        </w:rPr>
        <w:t>The International Journal of Accounting, 39(3)</w:t>
      </w:r>
      <w:r w:rsidRPr="006207BC">
        <w:rPr>
          <w:rFonts w:ascii="Times New Roman" w:hAnsi="Times New Roman" w:cs="Times New Roman"/>
          <w:sz w:val="24"/>
          <w:szCs w:val="24"/>
        </w:rPr>
        <w:t>, 265-288.</w:t>
      </w:r>
    </w:p>
    <w:p w14:paraId="36F3A03D"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Bohnert, A., Gatzert, N., Hoyt, R. E., &amp; Lechner, P. (2019). The drivers and value of enterprise risk management: evidence from ERM ratings. </w:t>
      </w:r>
      <w:r w:rsidRPr="006207BC">
        <w:rPr>
          <w:rFonts w:ascii="Times New Roman" w:hAnsi="Times New Roman" w:cs="Times New Roman"/>
          <w:i/>
          <w:iCs/>
          <w:sz w:val="24"/>
          <w:szCs w:val="24"/>
          <w:shd w:val="clear" w:color="auto" w:fill="FFFFFF"/>
        </w:rPr>
        <w:t>The European Journal of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25</w:t>
      </w:r>
      <w:r w:rsidRPr="006207BC">
        <w:rPr>
          <w:rFonts w:ascii="Times New Roman" w:hAnsi="Times New Roman" w:cs="Times New Roman"/>
          <w:sz w:val="24"/>
          <w:szCs w:val="24"/>
          <w:shd w:val="clear" w:color="auto" w:fill="FFFFFF"/>
        </w:rPr>
        <w:t xml:space="preserve">(3), 234-255. </w:t>
      </w:r>
    </w:p>
    <w:p w14:paraId="3B57081F"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Boissin, R., &amp; Sentis, P. (2014). Long-run performance of IPOs and the role of financial analysts: some French evidence. </w:t>
      </w:r>
      <w:r w:rsidRPr="006207BC">
        <w:rPr>
          <w:rFonts w:ascii="Times New Roman" w:hAnsi="Times New Roman" w:cs="Times New Roman"/>
          <w:i/>
          <w:iCs/>
          <w:sz w:val="24"/>
          <w:szCs w:val="24"/>
          <w:shd w:val="clear" w:color="auto" w:fill="FFFFFF"/>
        </w:rPr>
        <w:t>The European Journal of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20</w:t>
      </w:r>
      <w:r w:rsidRPr="006207BC">
        <w:rPr>
          <w:rFonts w:ascii="Times New Roman" w:hAnsi="Times New Roman" w:cs="Times New Roman"/>
          <w:sz w:val="24"/>
          <w:szCs w:val="24"/>
          <w:shd w:val="clear" w:color="auto" w:fill="FFFFFF"/>
        </w:rPr>
        <w:t xml:space="preserve">(2), 125-149. </w:t>
      </w:r>
    </w:p>
    <w:p w14:paraId="14DF5D70"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Boubaker, S., &amp; Labégorre, F. (2008). Ownership structure, corporate governance and analyst following: A study of French listed firms. </w:t>
      </w:r>
      <w:r w:rsidRPr="006207BC">
        <w:rPr>
          <w:rFonts w:ascii="Times New Roman" w:hAnsi="Times New Roman" w:cs="Times New Roman"/>
          <w:i/>
          <w:iCs/>
          <w:sz w:val="24"/>
          <w:szCs w:val="24"/>
          <w:shd w:val="clear" w:color="auto" w:fill="FFFFFF"/>
        </w:rPr>
        <w:t>Journal of Banking &amp;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32</w:t>
      </w:r>
      <w:r w:rsidRPr="006207BC">
        <w:rPr>
          <w:rFonts w:ascii="Times New Roman" w:hAnsi="Times New Roman" w:cs="Times New Roman"/>
          <w:sz w:val="24"/>
          <w:szCs w:val="24"/>
          <w:shd w:val="clear" w:color="auto" w:fill="FFFFFF"/>
        </w:rPr>
        <w:t>(6), 961-976.</w:t>
      </w:r>
    </w:p>
    <w:p w14:paraId="581052CD"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Bhushan, R. (1989). Firm characteristics and analyst following. </w:t>
      </w:r>
      <w:r w:rsidRPr="006207BC">
        <w:rPr>
          <w:rFonts w:ascii="Times New Roman" w:hAnsi="Times New Roman" w:cs="Times New Roman"/>
          <w:i/>
          <w:iCs/>
          <w:sz w:val="24"/>
          <w:szCs w:val="24"/>
          <w:shd w:val="clear" w:color="auto" w:fill="FFFFFF"/>
        </w:rPr>
        <w:t>Journal of Accounting and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11</w:t>
      </w:r>
      <w:r w:rsidRPr="006207BC">
        <w:rPr>
          <w:rFonts w:ascii="Times New Roman" w:hAnsi="Times New Roman" w:cs="Times New Roman"/>
          <w:sz w:val="24"/>
          <w:szCs w:val="24"/>
          <w:shd w:val="clear" w:color="auto" w:fill="FFFFFF"/>
        </w:rPr>
        <w:t>(2), 255-274.</w:t>
      </w:r>
    </w:p>
    <w:p w14:paraId="05455665"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Bhushan, R., &amp; Cho, J. Y. (1996). Acquisitions and the information environment of firms. </w:t>
      </w:r>
      <w:r w:rsidRPr="006207BC">
        <w:rPr>
          <w:rFonts w:ascii="Times New Roman" w:hAnsi="Times New Roman" w:cs="Times New Roman"/>
          <w:i/>
          <w:iCs/>
          <w:sz w:val="24"/>
          <w:szCs w:val="24"/>
          <w:shd w:val="clear" w:color="auto" w:fill="FFFFFF"/>
        </w:rPr>
        <w:t>Financial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31</w:t>
      </w:r>
      <w:r w:rsidRPr="006207BC">
        <w:rPr>
          <w:rFonts w:ascii="Times New Roman" w:hAnsi="Times New Roman" w:cs="Times New Roman"/>
          <w:sz w:val="24"/>
          <w:szCs w:val="24"/>
          <w:shd w:val="clear" w:color="auto" w:fill="FFFFFF"/>
        </w:rPr>
        <w:t>(1), 105-125.</w:t>
      </w:r>
    </w:p>
    <w:p w14:paraId="501024F3"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Bushman, R. M., Piotroski, J. D., &amp; Smith, A. J. (2005). Insider trading restrictions and analysts' incentives to follow firms. </w:t>
      </w:r>
      <w:r w:rsidRPr="006207BC">
        <w:rPr>
          <w:rFonts w:ascii="Times New Roman" w:hAnsi="Times New Roman" w:cs="Times New Roman"/>
          <w:i/>
          <w:iCs/>
          <w:sz w:val="24"/>
          <w:szCs w:val="24"/>
          <w:shd w:val="clear" w:color="auto" w:fill="FFFFFF"/>
        </w:rPr>
        <w:t>The Journal of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60</w:t>
      </w:r>
      <w:r w:rsidRPr="006207BC">
        <w:rPr>
          <w:rFonts w:ascii="Times New Roman" w:hAnsi="Times New Roman" w:cs="Times New Roman"/>
          <w:sz w:val="24"/>
          <w:szCs w:val="24"/>
          <w:shd w:val="clear" w:color="auto" w:fill="FFFFFF"/>
        </w:rPr>
        <w:t>(1), 35-66.</w:t>
      </w:r>
    </w:p>
    <w:p w14:paraId="16666A54"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Campbell, J. Y. (1996). Understanding risk and return. </w:t>
      </w:r>
      <w:r w:rsidRPr="006207BC">
        <w:rPr>
          <w:rFonts w:ascii="Times New Roman" w:hAnsi="Times New Roman" w:cs="Times New Roman"/>
          <w:i/>
          <w:iCs/>
          <w:sz w:val="24"/>
          <w:szCs w:val="24"/>
          <w:shd w:val="clear" w:color="auto" w:fill="FFFFFF"/>
        </w:rPr>
        <w:t>Journal of Political economy</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104</w:t>
      </w:r>
      <w:r w:rsidRPr="006207BC">
        <w:rPr>
          <w:rFonts w:ascii="Times New Roman" w:hAnsi="Times New Roman" w:cs="Times New Roman"/>
          <w:sz w:val="24"/>
          <w:szCs w:val="24"/>
          <w:shd w:val="clear" w:color="auto" w:fill="FFFFFF"/>
        </w:rPr>
        <w:t>(2), 298-345.</w:t>
      </w:r>
    </w:p>
    <w:p w14:paraId="7209C924"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Campbell, J. L., Chen, H., Dhaliwal, D. S., Lu, H. M., &amp; Steele, L. B. (2014). The information content of mandatory risk factor disclosures in corporate filings. </w:t>
      </w:r>
      <w:r w:rsidRPr="006207BC">
        <w:rPr>
          <w:rFonts w:ascii="Times New Roman" w:hAnsi="Times New Roman" w:cs="Times New Roman"/>
          <w:i/>
          <w:iCs/>
          <w:sz w:val="24"/>
          <w:szCs w:val="24"/>
          <w:shd w:val="clear" w:color="auto" w:fill="FFFFFF"/>
        </w:rPr>
        <w:t>Review of Accounting Studies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19</w:t>
      </w:r>
      <w:r w:rsidRPr="006207BC">
        <w:rPr>
          <w:rFonts w:ascii="Times New Roman" w:hAnsi="Times New Roman" w:cs="Times New Roman"/>
          <w:sz w:val="24"/>
          <w:szCs w:val="24"/>
          <w:shd w:val="clear" w:color="auto" w:fill="FFFFFF"/>
        </w:rPr>
        <w:t>(1), 396-455.</w:t>
      </w:r>
    </w:p>
    <w:p w14:paraId="7C7665DB"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Campbell, D., &amp; Slack, R. (2008). Corporate “philanthropy strategy” and “strategic philanthropy” some insights from voluntary disclosures in annual reports. </w:t>
      </w:r>
      <w:r w:rsidRPr="006207BC">
        <w:rPr>
          <w:rFonts w:ascii="Times New Roman" w:hAnsi="Times New Roman" w:cs="Times New Roman"/>
          <w:i/>
          <w:iCs/>
          <w:sz w:val="24"/>
          <w:szCs w:val="24"/>
          <w:shd w:val="clear" w:color="auto" w:fill="FFFFFF"/>
        </w:rPr>
        <w:t>Business &amp; Society</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47</w:t>
      </w:r>
      <w:r w:rsidRPr="006207BC">
        <w:rPr>
          <w:rFonts w:ascii="Times New Roman" w:hAnsi="Times New Roman" w:cs="Times New Roman"/>
          <w:sz w:val="24"/>
          <w:szCs w:val="24"/>
          <w:shd w:val="clear" w:color="auto" w:fill="FFFFFF"/>
        </w:rPr>
        <w:t>(2), 187-212.</w:t>
      </w:r>
    </w:p>
    <w:p w14:paraId="5F4D41DF" w14:textId="77777777" w:rsidR="007D51A0" w:rsidRPr="006207BC" w:rsidRDefault="007D51A0" w:rsidP="007D51A0">
      <w:pPr>
        <w:autoSpaceDE w:val="0"/>
        <w:autoSpaceDN w:val="0"/>
        <w:adjustRightInd w:val="0"/>
        <w:spacing w:before="60" w:after="60" w:line="240" w:lineRule="auto"/>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Chang, J. J., Khanna, T., &amp; Palepu, K. (2001). Analyst activity around the world. Harvard Business School working paper series no. 01-061.</w:t>
      </w:r>
    </w:p>
    <w:p w14:paraId="652E8575"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Chen, T., Harford, J., &amp; Lin, C. (2015). Do analysts matter for governance? Evidence from natural experiments. </w:t>
      </w:r>
      <w:r w:rsidRPr="006207BC">
        <w:rPr>
          <w:rFonts w:ascii="Times New Roman" w:hAnsi="Times New Roman" w:cs="Times New Roman"/>
          <w:i/>
          <w:iCs/>
          <w:sz w:val="24"/>
          <w:szCs w:val="24"/>
          <w:shd w:val="clear" w:color="auto" w:fill="FFFFFF"/>
        </w:rPr>
        <w:t>Journal of Financial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115</w:t>
      </w:r>
      <w:r w:rsidRPr="006207BC">
        <w:rPr>
          <w:rFonts w:ascii="Times New Roman" w:hAnsi="Times New Roman" w:cs="Times New Roman"/>
          <w:sz w:val="24"/>
          <w:szCs w:val="24"/>
          <w:shd w:val="clear" w:color="auto" w:fill="FFFFFF"/>
        </w:rPr>
        <w:t>(2), 383-410.</w:t>
      </w:r>
    </w:p>
    <w:p w14:paraId="44C2BFEE"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Chiu, T. T., Kim, J. B., &amp; Wang, Z. (2018). Customers’ risk factor disclosures and suppliers’ investment efficiency. </w:t>
      </w:r>
      <w:r w:rsidRPr="006207BC">
        <w:rPr>
          <w:rFonts w:ascii="Times New Roman" w:hAnsi="Times New Roman" w:cs="Times New Roman"/>
          <w:i/>
          <w:iCs/>
          <w:sz w:val="24"/>
          <w:szCs w:val="24"/>
          <w:shd w:val="clear" w:color="auto" w:fill="FFFFFF"/>
        </w:rPr>
        <w:t>Contemporary Accounting Research</w:t>
      </w:r>
      <w:r w:rsidRPr="006207BC">
        <w:rPr>
          <w:rFonts w:ascii="Times New Roman" w:hAnsi="Times New Roman" w:cs="Times New Roman"/>
          <w:sz w:val="24"/>
          <w:szCs w:val="24"/>
          <w:shd w:val="clear" w:color="auto" w:fill="FFFFFF"/>
        </w:rPr>
        <w:t>.</w:t>
      </w:r>
    </w:p>
    <w:p w14:paraId="7E49F2E9"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lastRenderedPageBreak/>
        <w:t>Dehejia, R. H., &amp; Wahba, S. (2002). Propensity score-matching methods for nonexperimental causal studies. </w:t>
      </w:r>
      <w:r w:rsidRPr="006207BC">
        <w:rPr>
          <w:rFonts w:ascii="Times New Roman" w:hAnsi="Times New Roman" w:cs="Times New Roman"/>
          <w:i/>
          <w:iCs/>
          <w:sz w:val="24"/>
          <w:szCs w:val="24"/>
          <w:shd w:val="clear" w:color="auto" w:fill="FFFFFF"/>
        </w:rPr>
        <w:t>Review of Economics and statistics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84</w:t>
      </w:r>
      <w:r w:rsidRPr="006207BC">
        <w:rPr>
          <w:rFonts w:ascii="Times New Roman" w:hAnsi="Times New Roman" w:cs="Times New Roman"/>
          <w:sz w:val="24"/>
          <w:szCs w:val="24"/>
          <w:shd w:val="clear" w:color="auto" w:fill="FFFFFF"/>
        </w:rPr>
        <w:t>(1), 151-161.</w:t>
      </w:r>
    </w:p>
    <w:p w14:paraId="75F8D299"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Dhaliwal, D. S., Radhakrishnan, S., Tsang, A., &amp; Yang, Y. G. (2012). Nonfinancial disclosure and analyst forecast accuracy: International evidence on corporate social responsibility disclosure. </w:t>
      </w:r>
      <w:r w:rsidRPr="006207BC">
        <w:rPr>
          <w:rFonts w:ascii="Times New Roman" w:hAnsi="Times New Roman" w:cs="Times New Roman"/>
          <w:i/>
          <w:iCs/>
          <w:sz w:val="24"/>
          <w:szCs w:val="24"/>
          <w:shd w:val="clear" w:color="auto" w:fill="FFFFFF"/>
        </w:rPr>
        <w:t>The Accounting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87</w:t>
      </w:r>
      <w:r w:rsidRPr="006207BC">
        <w:rPr>
          <w:rFonts w:ascii="Times New Roman" w:hAnsi="Times New Roman" w:cs="Times New Roman"/>
          <w:sz w:val="24"/>
          <w:szCs w:val="24"/>
          <w:shd w:val="clear" w:color="auto" w:fill="FFFFFF"/>
        </w:rPr>
        <w:t>(3), 723-759.</w:t>
      </w:r>
    </w:p>
    <w:p w14:paraId="65B41E75"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Diamond, D. W., &amp; Verrecchia, R. E. (1991). Disclosure, liquidity, and the cost of capital. </w:t>
      </w:r>
      <w:r w:rsidRPr="006207BC">
        <w:rPr>
          <w:rFonts w:ascii="Times New Roman" w:hAnsi="Times New Roman" w:cs="Times New Roman"/>
          <w:i/>
          <w:iCs/>
          <w:sz w:val="24"/>
          <w:szCs w:val="24"/>
          <w:shd w:val="clear" w:color="auto" w:fill="FFFFFF"/>
        </w:rPr>
        <w:t>The journal of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46</w:t>
      </w:r>
      <w:r w:rsidRPr="006207BC">
        <w:rPr>
          <w:rFonts w:ascii="Times New Roman" w:hAnsi="Times New Roman" w:cs="Times New Roman"/>
          <w:sz w:val="24"/>
          <w:szCs w:val="24"/>
          <w:shd w:val="clear" w:color="auto" w:fill="FFFFFF"/>
        </w:rPr>
        <w:t>(4), 1325-1359.</w:t>
      </w:r>
    </w:p>
    <w:p w14:paraId="4A01577A"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Dobler, M., Lajili, K., &amp; Zéghal, D. (2011). Attributes of corporate risk disclosure: an international investigation in the manufacturing sector. </w:t>
      </w:r>
      <w:r w:rsidRPr="006207BC">
        <w:rPr>
          <w:rFonts w:ascii="Times New Roman" w:hAnsi="Times New Roman" w:cs="Times New Roman"/>
          <w:i/>
          <w:sz w:val="24"/>
          <w:szCs w:val="24"/>
        </w:rPr>
        <w:t>Journal of International Accounting Research, 10(2)</w:t>
      </w:r>
      <w:r w:rsidRPr="006207BC">
        <w:rPr>
          <w:rFonts w:ascii="Times New Roman" w:hAnsi="Times New Roman" w:cs="Times New Roman"/>
          <w:sz w:val="24"/>
          <w:szCs w:val="24"/>
        </w:rPr>
        <w:t>, 1-22.</w:t>
      </w:r>
    </w:p>
    <w:p w14:paraId="3085CF85"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 xml:space="preserve">Elshandidy, T., Fraser, I., &amp; Hussainey, K. (2015). What drives mandatory and voluntary risk reporting variations across Germany, UK and </w:t>
      </w:r>
      <w:proofErr w:type="gramStart"/>
      <w:r w:rsidRPr="006207BC">
        <w:rPr>
          <w:rFonts w:ascii="Times New Roman" w:hAnsi="Times New Roman" w:cs="Times New Roman"/>
          <w:sz w:val="24"/>
          <w:szCs w:val="24"/>
          <w:shd w:val="clear" w:color="auto" w:fill="FFFFFF"/>
        </w:rPr>
        <w:t>US?.</w:t>
      </w:r>
      <w:proofErr w:type="gramEnd"/>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The British Accounting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47</w:t>
      </w:r>
      <w:r w:rsidRPr="006207BC">
        <w:rPr>
          <w:rFonts w:ascii="Times New Roman" w:hAnsi="Times New Roman" w:cs="Times New Roman"/>
          <w:sz w:val="24"/>
          <w:szCs w:val="24"/>
          <w:shd w:val="clear" w:color="auto" w:fill="FFFFFF"/>
        </w:rPr>
        <w:t>(4), 376-394.</w:t>
      </w:r>
    </w:p>
    <w:p w14:paraId="1876DFE2"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Elshandidy, T., &amp; Neri, L. (2015). Corporate governance, risk disclosure practices, and market liquidity: comparative evidence from the UK and Italy. </w:t>
      </w:r>
      <w:r w:rsidRPr="006207BC">
        <w:rPr>
          <w:rFonts w:ascii="Times New Roman" w:hAnsi="Times New Roman" w:cs="Times New Roman"/>
          <w:i/>
          <w:sz w:val="24"/>
          <w:szCs w:val="24"/>
        </w:rPr>
        <w:t>Corporate Governance: An International Review, 23(4),</w:t>
      </w:r>
      <w:r w:rsidRPr="006207BC">
        <w:rPr>
          <w:rFonts w:ascii="Times New Roman" w:hAnsi="Times New Roman" w:cs="Times New Roman"/>
          <w:sz w:val="24"/>
          <w:szCs w:val="24"/>
        </w:rPr>
        <w:t xml:space="preserve"> 331-356.</w:t>
      </w:r>
    </w:p>
    <w:p w14:paraId="2377AE48"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shd w:val="clear" w:color="auto" w:fill="FFFFFF"/>
        </w:rPr>
        <w:t>Elshandidy, T., Shrives, P. J., Bamber, M., &amp; Abraham, S. (2018). Risk reporting: A review of the literature and implications for future research. </w:t>
      </w:r>
      <w:r w:rsidRPr="006207BC">
        <w:rPr>
          <w:rFonts w:ascii="Times New Roman" w:hAnsi="Times New Roman" w:cs="Times New Roman"/>
          <w:i/>
          <w:iCs/>
          <w:sz w:val="24"/>
          <w:szCs w:val="24"/>
          <w:shd w:val="clear" w:color="auto" w:fill="FFFFFF"/>
        </w:rPr>
        <w:t>Journal of Accounting Literature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40</w:t>
      </w:r>
      <w:r w:rsidRPr="006207BC">
        <w:rPr>
          <w:rFonts w:ascii="Times New Roman" w:hAnsi="Times New Roman" w:cs="Times New Roman"/>
          <w:sz w:val="24"/>
          <w:szCs w:val="24"/>
          <w:shd w:val="clear" w:color="auto" w:fill="FFFFFF"/>
        </w:rPr>
        <w:t>, 54-82.</w:t>
      </w:r>
    </w:p>
    <w:p w14:paraId="4165B714"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lang w:val="en-US"/>
        </w:rPr>
      </w:pPr>
      <w:r w:rsidRPr="006207BC">
        <w:rPr>
          <w:rFonts w:ascii="Times New Roman" w:hAnsi="Times New Roman" w:cs="Times New Roman"/>
          <w:sz w:val="24"/>
          <w:szCs w:val="24"/>
          <w:shd w:val="clear" w:color="auto" w:fill="FFFFFF"/>
        </w:rPr>
        <w:t>Farag, H., Mallin, C., &amp; Ow</w:t>
      </w:r>
      <w:r w:rsidRPr="006207BC">
        <w:rPr>
          <w:rFonts w:ascii="Cambria Math" w:hAnsi="Cambria Math" w:cs="Cambria Math"/>
          <w:sz w:val="24"/>
          <w:szCs w:val="24"/>
          <w:shd w:val="clear" w:color="auto" w:fill="FFFFFF"/>
        </w:rPr>
        <w:t>‐</w:t>
      </w:r>
      <w:r w:rsidRPr="006207BC">
        <w:rPr>
          <w:rFonts w:ascii="Times New Roman" w:hAnsi="Times New Roman" w:cs="Times New Roman"/>
          <w:sz w:val="24"/>
          <w:szCs w:val="24"/>
          <w:shd w:val="clear" w:color="auto" w:fill="FFFFFF"/>
        </w:rPr>
        <w:t>Yong, K. (2014). Governance, ownership structure, and performance of entrepreneurial IPOs in AIM companies. </w:t>
      </w:r>
      <w:r w:rsidRPr="006207BC">
        <w:rPr>
          <w:rFonts w:ascii="Times New Roman" w:hAnsi="Times New Roman" w:cs="Times New Roman"/>
          <w:i/>
          <w:iCs/>
          <w:sz w:val="24"/>
          <w:szCs w:val="24"/>
          <w:shd w:val="clear" w:color="auto" w:fill="FFFFFF"/>
        </w:rPr>
        <w:t>Corporate Governance: An International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22</w:t>
      </w:r>
      <w:r w:rsidRPr="006207BC">
        <w:rPr>
          <w:rFonts w:ascii="Times New Roman" w:hAnsi="Times New Roman" w:cs="Times New Roman"/>
          <w:sz w:val="24"/>
          <w:szCs w:val="24"/>
          <w:shd w:val="clear" w:color="auto" w:fill="FFFFFF"/>
        </w:rPr>
        <w:t>(2), 100-115.</w:t>
      </w:r>
    </w:p>
    <w:p w14:paraId="762D5992"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C7653D">
        <w:rPr>
          <w:rFonts w:ascii="Times New Roman" w:hAnsi="Times New Roman" w:cs="Times New Roman"/>
          <w:sz w:val="24"/>
          <w:szCs w:val="24"/>
          <w:shd w:val="clear" w:color="auto" w:fill="FFFFFF"/>
          <w:lang w:val="en-US"/>
        </w:rPr>
        <w:t xml:space="preserve">Gao, F., Dong, Y., Ni, C., &amp; Fu, R. (2016). </w:t>
      </w:r>
      <w:r w:rsidRPr="006207BC">
        <w:rPr>
          <w:rFonts w:ascii="Times New Roman" w:hAnsi="Times New Roman" w:cs="Times New Roman"/>
          <w:sz w:val="24"/>
          <w:szCs w:val="24"/>
          <w:shd w:val="clear" w:color="auto" w:fill="FFFFFF"/>
        </w:rPr>
        <w:t>Determinants and economic consequences of non-financial disclosure quality. </w:t>
      </w:r>
      <w:r w:rsidRPr="006207BC">
        <w:rPr>
          <w:rFonts w:ascii="Times New Roman" w:hAnsi="Times New Roman" w:cs="Times New Roman"/>
          <w:i/>
          <w:iCs/>
          <w:sz w:val="24"/>
          <w:szCs w:val="24"/>
          <w:shd w:val="clear" w:color="auto" w:fill="FFFFFF"/>
        </w:rPr>
        <w:t>European Accounting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25</w:t>
      </w:r>
      <w:r w:rsidRPr="006207BC">
        <w:rPr>
          <w:rFonts w:ascii="Times New Roman" w:hAnsi="Times New Roman" w:cs="Times New Roman"/>
          <w:sz w:val="24"/>
          <w:szCs w:val="24"/>
          <w:shd w:val="clear" w:color="auto" w:fill="FFFFFF"/>
        </w:rPr>
        <w:t>(2), 287-317.</w:t>
      </w:r>
    </w:p>
    <w:p w14:paraId="44D2380A" w14:textId="77777777" w:rsidR="006118DA" w:rsidRPr="006207BC" w:rsidRDefault="006118DA" w:rsidP="007D51A0">
      <w:pPr>
        <w:spacing w:before="60" w:after="60" w:line="240" w:lineRule="auto"/>
        <w:jc w:val="both"/>
        <w:rPr>
          <w:rFonts w:ascii="Times New Roman" w:hAnsi="Times New Roman" w:cs="Times New Roman"/>
          <w:sz w:val="24"/>
          <w:szCs w:val="24"/>
          <w:lang w:val="en-US"/>
        </w:rPr>
      </w:pPr>
      <w:r w:rsidRPr="006207BC">
        <w:rPr>
          <w:rFonts w:ascii="Times New Roman" w:hAnsi="Times New Roman" w:cs="Times New Roman"/>
          <w:sz w:val="24"/>
          <w:szCs w:val="24"/>
          <w:shd w:val="clear" w:color="auto" w:fill="FFFFFF"/>
        </w:rPr>
        <w:t>Goh, L., Liu, X., &amp; Tsang, A. (2018). Voluntary disclosure of corporate political spending. </w:t>
      </w:r>
      <w:r w:rsidRPr="006207BC">
        <w:rPr>
          <w:rFonts w:ascii="Times New Roman" w:hAnsi="Times New Roman" w:cs="Times New Roman"/>
          <w:i/>
          <w:iCs/>
          <w:sz w:val="24"/>
          <w:szCs w:val="24"/>
          <w:shd w:val="clear" w:color="auto" w:fill="FFFFFF"/>
        </w:rPr>
        <w:t>Journal of Corporate Finance</w:t>
      </w:r>
      <w:r w:rsidRPr="006207BC">
        <w:rPr>
          <w:rFonts w:ascii="Times New Roman" w:hAnsi="Times New Roman" w:cs="Times New Roman"/>
          <w:sz w:val="24"/>
          <w:szCs w:val="24"/>
          <w:shd w:val="clear" w:color="auto" w:fill="FFFFFF"/>
        </w:rPr>
        <w:t>.</w:t>
      </w:r>
    </w:p>
    <w:p w14:paraId="4FBCB72A"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Hamrouni, A., Benkraiem, R., &amp; Karmani, M. (2017). Voluntary information disclosure and sell-side analyst coverage intensity. </w:t>
      </w:r>
      <w:r w:rsidRPr="006207BC">
        <w:rPr>
          <w:rFonts w:ascii="Times New Roman" w:hAnsi="Times New Roman" w:cs="Times New Roman"/>
          <w:i/>
          <w:iCs/>
          <w:sz w:val="24"/>
          <w:szCs w:val="24"/>
          <w:shd w:val="clear" w:color="auto" w:fill="FFFFFF"/>
        </w:rPr>
        <w:t>Review of Accounting and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16</w:t>
      </w:r>
      <w:r w:rsidRPr="006207BC">
        <w:rPr>
          <w:rFonts w:ascii="Times New Roman" w:hAnsi="Times New Roman" w:cs="Times New Roman"/>
          <w:sz w:val="24"/>
          <w:szCs w:val="24"/>
          <w:shd w:val="clear" w:color="auto" w:fill="FFFFFF"/>
        </w:rPr>
        <w:t>(2), 260-280.</w:t>
      </w:r>
    </w:p>
    <w:p w14:paraId="15CBB6CE"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Healy, P. M., &amp; Palepu, K. G. (2001). Information asymmetry, corporate disclosure, and the capital markets: A review of the empirical disclosure literature. </w:t>
      </w:r>
      <w:r w:rsidRPr="006207BC">
        <w:rPr>
          <w:rFonts w:ascii="Times New Roman" w:hAnsi="Times New Roman" w:cs="Times New Roman"/>
          <w:i/>
          <w:iCs/>
          <w:sz w:val="24"/>
          <w:szCs w:val="24"/>
          <w:shd w:val="clear" w:color="auto" w:fill="FFFFFF"/>
        </w:rPr>
        <w:t>Journal of accounting and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31</w:t>
      </w:r>
      <w:r w:rsidRPr="006207BC">
        <w:rPr>
          <w:rFonts w:ascii="Times New Roman" w:hAnsi="Times New Roman" w:cs="Times New Roman"/>
          <w:sz w:val="24"/>
          <w:szCs w:val="24"/>
          <w:shd w:val="clear" w:color="auto" w:fill="FFFFFF"/>
        </w:rPr>
        <w:t>(1), 405-440.</w:t>
      </w:r>
    </w:p>
    <w:p w14:paraId="4330A991"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rPr>
        <w:t>Hope, O. K. (</w:t>
      </w:r>
      <w:proofErr w:type="gramStart"/>
      <w:r w:rsidRPr="006207BC">
        <w:rPr>
          <w:rFonts w:ascii="Times New Roman" w:hAnsi="Times New Roman" w:cs="Times New Roman"/>
          <w:sz w:val="24"/>
          <w:szCs w:val="24"/>
        </w:rPr>
        <w:t>2003)a.</w:t>
      </w:r>
      <w:proofErr w:type="gramEnd"/>
      <w:r w:rsidRPr="006207BC">
        <w:rPr>
          <w:rFonts w:ascii="Times New Roman" w:hAnsi="Times New Roman" w:cs="Times New Roman"/>
          <w:sz w:val="24"/>
          <w:szCs w:val="24"/>
        </w:rPr>
        <w:t xml:space="preserve"> Disclosure practices, enforcement of accounting standards, and analysts' forecast accuracy: An international study. </w:t>
      </w:r>
      <w:r w:rsidRPr="006207BC">
        <w:rPr>
          <w:rFonts w:ascii="Times New Roman" w:hAnsi="Times New Roman" w:cs="Times New Roman"/>
          <w:i/>
          <w:sz w:val="24"/>
          <w:szCs w:val="24"/>
        </w:rPr>
        <w:t>Journal of accounting research, 41(2),</w:t>
      </w:r>
      <w:r w:rsidRPr="006207BC">
        <w:rPr>
          <w:rFonts w:ascii="Times New Roman" w:hAnsi="Times New Roman" w:cs="Times New Roman"/>
          <w:sz w:val="24"/>
          <w:szCs w:val="24"/>
        </w:rPr>
        <w:t xml:space="preserve"> 235-272.</w:t>
      </w:r>
    </w:p>
    <w:p w14:paraId="3CE60A60"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Hope, O. K. (</w:t>
      </w:r>
      <w:proofErr w:type="gramStart"/>
      <w:r w:rsidRPr="006207BC">
        <w:rPr>
          <w:rFonts w:ascii="Times New Roman" w:hAnsi="Times New Roman" w:cs="Times New Roman"/>
          <w:sz w:val="24"/>
          <w:szCs w:val="24"/>
          <w:shd w:val="clear" w:color="auto" w:fill="FFFFFF"/>
        </w:rPr>
        <w:t>2003)b.</w:t>
      </w:r>
      <w:proofErr w:type="gramEnd"/>
      <w:r w:rsidRPr="006207BC">
        <w:rPr>
          <w:rFonts w:ascii="Times New Roman" w:hAnsi="Times New Roman" w:cs="Times New Roman"/>
          <w:sz w:val="24"/>
          <w:szCs w:val="24"/>
          <w:shd w:val="clear" w:color="auto" w:fill="FFFFFF"/>
        </w:rPr>
        <w:t xml:space="preserve"> Accounting policy disclosures and analysts' forecasts. </w:t>
      </w:r>
      <w:r w:rsidRPr="006207BC">
        <w:rPr>
          <w:rFonts w:ascii="Times New Roman" w:hAnsi="Times New Roman" w:cs="Times New Roman"/>
          <w:i/>
          <w:iCs/>
          <w:sz w:val="24"/>
          <w:szCs w:val="24"/>
          <w:shd w:val="clear" w:color="auto" w:fill="FFFFFF"/>
        </w:rPr>
        <w:t>Contemporary Accounting Research</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20</w:t>
      </w:r>
      <w:r w:rsidRPr="006207BC">
        <w:rPr>
          <w:rFonts w:ascii="Times New Roman" w:hAnsi="Times New Roman" w:cs="Times New Roman"/>
          <w:sz w:val="24"/>
          <w:szCs w:val="24"/>
          <w:shd w:val="clear" w:color="auto" w:fill="FFFFFF"/>
        </w:rPr>
        <w:t>(2), 295-321.</w:t>
      </w:r>
    </w:p>
    <w:p w14:paraId="6028D186"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Hope, O. K. (</w:t>
      </w:r>
      <w:proofErr w:type="gramStart"/>
      <w:r w:rsidRPr="006207BC">
        <w:rPr>
          <w:rFonts w:ascii="Times New Roman" w:hAnsi="Times New Roman" w:cs="Times New Roman"/>
          <w:sz w:val="24"/>
          <w:szCs w:val="24"/>
          <w:shd w:val="clear" w:color="auto" w:fill="FFFFFF"/>
        </w:rPr>
        <w:t>2003)c.</w:t>
      </w:r>
      <w:proofErr w:type="gramEnd"/>
      <w:r w:rsidRPr="006207BC">
        <w:rPr>
          <w:rFonts w:ascii="Times New Roman" w:hAnsi="Times New Roman" w:cs="Times New Roman"/>
          <w:sz w:val="24"/>
          <w:szCs w:val="24"/>
          <w:shd w:val="clear" w:color="auto" w:fill="FFFFFF"/>
        </w:rPr>
        <w:t xml:space="preserve"> Analyst following and the influence of disclosure components, IPOs and ownership concentration. </w:t>
      </w:r>
      <w:r w:rsidRPr="006207BC">
        <w:rPr>
          <w:rFonts w:ascii="Times New Roman" w:hAnsi="Times New Roman" w:cs="Times New Roman"/>
          <w:i/>
          <w:iCs/>
          <w:sz w:val="24"/>
          <w:szCs w:val="24"/>
          <w:shd w:val="clear" w:color="auto" w:fill="FFFFFF"/>
        </w:rPr>
        <w:t>Asia-Pacific Journal of Accounting &amp;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10</w:t>
      </w:r>
      <w:r w:rsidRPr="006207BC">
        <w:rPr>
          <w:rFonts w:ascii="Times New Roman" w:hAnsi="Times New Roman" w:cs="Times New Roman"/>
          <w:sz w:val="24"/>
          <w:szCs w:val="24"/>
          <w:shd w:val="clear" w:color="auto" w:fill="FFFFFF"/>
        </w:rPr>
        <w:t>(2), 117-141.</w:t>
      </w:r>
    </w:p>
    <w:p w14:paraId="18FAFAEB"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IASB. (2010). Management Commentary, Practice Statement. London: International Accounting Standards Board. </w:t>
      </w:r>
    </w:p>
    <w:p w14:paraId="6F78B8CC"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C7653D">
        <w:rPr>
          <w:rFonts w:ascii="Times New Roman" w:hAnsi="Times New Roman" w:cs="Times New Roman"/>
          <w:sz w:val="24"/>
          <w:szCs w:val="24"/>
          <w:shd w:val="clear" w:color="auto" w:fill="FFFFFF"/>
          <w:lang w:val="de-LU"/>
        </w:rPr>
        <w:t xml:space="preserve">Jensen, M. C., &amp; Meckling, W. H. (1976). </w:t>
      </w:r>
      <w:r w:rsidRPr="006207BC">
        <w:rPr>
          <w:rFonts w:ascii="Times New Roman" w:hAnsi="Times New Roman" w:cs="Times New Roman"/>
          <w:sz w:val="24"/>
          <w:szCs w:val="24"/>
          <w:shd w:val="clear" w:color="auto" w:fill="FFFFFF"/>
        </w:rPr>
        <w:t>Theory of the firm: Managerial behavior, agency costs and ownership structure. </w:t>
      </w:r>
      <w:r w:rsidRPr="006207BC">
        <w:rPr>
          <w:rFonts w:ascii="Times New Roman" w:hAnsi="Times New Roman" w:cs="Times New Roman"/>
          <w:i/>
          <w:iCs/>
          <w:sz w:val="24"/>
          <w:szCs w:val="24"/>
          <w:shd w:val="clear" w:color="auto" w:fill="FFFFFF"/>
        </w:rPr>
        <w:t>Journal of financial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w:t>
      </w:r>
      <w:r w:rsidRPr="006207BC">
        <w:rPr>
          <w:rFonts w:ascii="Times New Roman" w:hAnsi="Times New Roman" w:cs="Times New Roman"/>
          <w:sz w:val="24"/>
          <w:szCs w:val="24"/>
          <w:shd w:val="clear" w:color="auto" w:fill="FFFFFF"/>
        </w:rPr>
        <w:t>(4), 305-360.</w:t>
      </w:r>
    </w:p>
    <w:p w14:paraId="0556697E"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Jiang, G. J., &amp; Kim, W. (2016). Evaluating analysts' value: evidence from recommendation revisions around stock price jumps. </w:t>
      </w:r>
      <w:r w:rsidRPr="006207BC">
        <w:rPr>
          <w:rFonts w:ascii="Times New Roman" w:hAnsi="Times New Roman" w:cs="Times New Roman"/>
          <w:i/>
          <w:sz w:val="24"/>
          <w:szCs w:val="24"/>
          <w:shd w:val="clear" w:color="auto" w:fill="FFFFFF"/>
        </w:rPr>
        <w:t>The European Journal of Finance</w:t>
      </w:r>
      <w:r w:rsidRPr="006207BC">
        <w:rPr>
          <w:rFonts w:ascii="Times New Roman" w:hAnsi="Times New Roman" w:cs="Times New Roman"/>
          <w:sz w:val="24"/>
          <w:szCs w:val="24"/>
          <w:shd w:val="clear" w:color="auto" w:fill="FFFFFF"/>
        </w:rPr>
        <w:t>, 22(3), 167-194.</w:t>
      </w:r>
    </w:p>
    <w:p w14:paraId="5F19B228"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lastRenderedPageBreak/>
        <w:t xml:space="preserve">Kravet, T., &amp; Muslu, V. (2013). Textual risk disclosures and investors’ risk perceptions. </w:t>
      </w:r>
      <w:r w:rsidRPr="006207BC">
        <w:rPr>
          <w:rFonts w:ascii="Times New Roman" w:hAnsi="Times New Roman" w:cs="Times New Roman"/>
          <w:i/>
          <w:sz w:val="24"/>
          <w:szCs w:val="24"/>
        </w:rPr>
        <w:t>Review of Accounting Studies, 18(4)</w:t>
      </w:r>
      <w:r w:rsidRPr="006207BC">
        <w:rPr>
          <w:rFonts w:ascii="Times New Roman" w:hAnsi="Times New Roman" w:cs="Times New Roman"/>
          <w:sz w:val="24"/>
          <w:szCs w:val="24"/>
        </w:rPr>
        <w:t>, 1088-1122.</w:t>
      </w:r>
    </w:p>
    <w:p w14:paraId="77D488E3"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lang w:val="en-US"/>
        </w:rPr>
        <w:t xml:space="preserve">Lang, M. H., &amp; Lundholm, R. J. (1996). </w:t>
      </w:r>
      <w:r w:rsidRPr="006207BC">
        <w:rPr>
          <w:rFonts w:ascii="Times New Roman" w:hAnsi="Times New Roman" w:cs="Times New Roman"/>
          <w:sz w:val="24"/>
          <w:szCs w:val="24"/>
          <w:shd w:val="clear" w:color="auto" w:fill="FFFFFF"/>
        </w:rPr>
        <w:t>Corporate disclosure policy and analyst behavior. </w:t>
      </w:r>
      <w:r w:rsidRPr="006207BC">
        <w:rPr>
          <w:rFonts w:ascii="Times New Roman" w:hAnsi="Times New Roman" w:cs="Times New Roman"/>
          <w:i/>
          <w:iCs/>
          <w:sz w:val="24"/>
          <w:szCs w:val="24"/>
          <w:shd w:val="clear" w:color="auto" w:fill="FFFFFF"/>
        </w:rPr>
        <w:t>Accounting review</w:t>
      </w:r>
      <w:r w:rsidRPr="006207BC">
        <w:rPr>
          <w:rFonts w:ascii="Times New Roman" w:hAnsi="Times New Roman" w:cs="Times New Roman"/>
          <w:sz w:val="24"/>
          <w:szCs w:val="24"/>
          <w:shd w:val="clear" w:color="auto" w:fill="FFFFFF"/>
        </w:rPr>
        <w:t>, 467-492.</w:t>
      </w:r>
    </w:p>
    <w:p w14:paraId="2F945CEF"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 xml:space="preserve">Lang, M. H., Lins, K. V. and Miller, D. P. (2004), Concentrated Control, Analyst Following, and Valuation: Do Analysts Matter Most When Investors Are Protected </w:t>
      </w:r>
      <w:proofErr w:type="gramStart"/>
      <w:r w:rsidRPr="006207BC">
        <w:rPr>
          <w:rFonts w:ascii="Times New Roman" w:hAnsi="Times New Roman" w:cs="Times New Roman"/>
          <w:sz w:val="24"/>
          <w:szCs w:val="24"/>
          <w:shd w:val="clear" w:color="auto" w:fill="FFFFFF"/>
        </w:rPr>
        <w:t>Least?.</w:t>
      </w:r>
      <w:proofErr w:type="gramEnd"/>
      <w:r w:rsidRPr="006207BC">
        <w:rPr>
          <w:rFonts w:ascii="Times New Roman" w:hAnsi="Times New Roman" w:cs="Times New Roman"/>
          <w:sz w:val="24"/>
          <w:szCs w:val="24"/>
          <w:shd w:val="clear" w:color="auto" w:fill="FFFFFF"/>
        </w:rPr>
        <w:t xml:space="preserve"> Journal of Accounting Research, 42: 589-623. </w:t>
      </w:r>
    </w:p>
    <w:p w14:paraId="34CE8324" w14:textId="77777777" w:rsidR="007D51A0" w:rsidRPr="006207BC" w:rsidRDefault="007D51A0" w:rsidP="007D51A0">
      <w:pPr>
        <w:spacing w:before="60" w:after="60" w:line="240" w:lineRule="auto"/>
        <w:jc w:val="both"/>
        <w:rPr>
          <w:rFonts w:ascii="Times New Roman" w:hAnsi="Times New Roman" w:cs="Times New Roman"/>
          <w:sz w:val="24"/>
          <w:szCs w:val="24"/>
        </w:rPr>
      </w:pPr>
      <w:r w:rsidRPr="006C2A2F">
        <w:rPr>
          <w:rFonts w:ascii="Times New Roman" w:hAnsi="Times New Roman" w:cs="Times New Roman"/>
          <w:sz w:val="24"/>
          <w:szCs w:val="24"/>
          <w:shd w:val="clear" w:color="auto" w:fill="FFFFFF"/>
          <w:lang w:val="en-US"/>
        </w:rPr>
        <w:t>La Porta, R., Lopez</w:t>
      </w:r>
      <w:r w:rsidRPr="006C2A2F">
        <w:rPr>
          <w:rFonts w:ascii="Cambria Math" w:hAnsi="Cambria Math" w:cs="Cambria Math"/>
          <w:sz w:val="24"/>
          <w:szCs w:val="24"/>
          <w:shd w:val="clear" w:color="auto" w:fill="FFFFFF"/>
          <w:lang w:val="en-US"/>
        </w:rPr>
        <w:t>‐</w:t>
      </w:r>
      <w:r w:rsidRPr="006C2A2F">
        <w:rPr>
          <w:rFonts w:ascii="Times New Roman" w:hAnsi="Times New Roman" w:cs="Times New Roman"/>
          <w:sz w:val="24"/>
          <w:szCs w:val="24"/>
          <w:shd w:val="clear" w:color="auto" w:fill="FFFFFF"/>
          <w:lang w:val="en-US"/>
        </w:rPr>
        <w:t>de</w:t>
      </w:r>
      <w:r w:rsidRPr="006C2A2F">
        <w:rPr>
          <w:rFonts w:ascii="Cambria Math" w:hAnsi="Cambria Math" w:cs="Cambria Math"/>
          <w:sz w:val="24"/>
          <w:szCs w:val="24"/>
          <w:shd w:val="clear" w:color="auto" w:fill="FFFFFF"/>
          <w:lang w:val="en-US"/>
        </w:rPr>
        <w:t>‐</w:t>
      </w:r>
      <w:r w:rsidRPr="006C2A2F">
        <w:rPr>
          <w:rFonts w:ascii="Times New Roman" w:hAnsi="Times New Roman" w:cs="Times New Roman"/>
          <w:sz w:val="24"/>
          <w:szCs w:val="24"/>
          <w:shd w:val="clear" w:color="auto" w:fill="FFFFFF"/>
          <w:lang w:val="en-US"/>
        </w:rPr>
        <w:t xml:space="preserve">Silanes, F., Shleifer, A., &amp; Vishny, R. W. (1997). </w:t>
      </w:r>
      <w:r w:rsidRPr="006207BC">
        <w:rPr>
          <w:rFonts w:ascii="Times New Roman" w:hAnsi="Times New Roman" w:cs="Times New Roman"/>
          <w:sz w:val="24"/>
          <w:szCs w:val="24"/>
          <w:shd w:val="clear" w:color="auto" w:fill="FFFFFF"/>
        </w:rPr>
        <w:t xml:space="preserve">Legal determinants of external finance. </w:t>
      </w:r>
      <w:r w:rsidRPr="006207BC">
        <w:rPr>
          <w:rFonts w:ascii="Times New Roman" w:hAnsi="Times New Roman" w:cs="Times New Roman"/>
          <w:i/>
          <w:iCs/>
          <w:sz w:val="24"/>
          <w:szCs w:val="24"/>
          <w:shd w:val="clear" w:color="auto" w:fill="FFFFFF"/>
        </w:rPr>
        <w:t>The Journal of Finance</w:t>
      </w:r>
      <w:r w:rsidRPr="006207BC">
        <w:rPr>
          <w:rFonts w:ascii="Times New Roman" w:hAnsi="Times New Roman" w:cs="Times New Roman"/>
          <w:sz w:val="24"/>
          <w:szCs w:val="24"/>
          <w:shd w:val="clear" w:color="auto" w:fill="FFFFFF"/>
        </w:rPr>
        <w:t xml:space="preserve">, </w:t>
      </w:r>
      <w:r w:rsidRPr="006207BC">
        <w:rPr>
          <w:rFonts w:ascii="Times New Roman" w:hAnsi="Times New Roman" w:cs="Times New Roman"/>
          <w:i/>
          <w:iCs/>
          <w:sz w:val="24"/>
          <w:szCs w:val="24"/>
          <w:shd w:val="clear" w:color="auto" w:fill="FFFFFF"/>
        </w:rPr>
        <w:t>52</w:t>
      </w:r>
      <w:r w:rsidRPr="006207BC">
        <w:rPr>
          <w:rFonts w:ascii="Times New Roman" w:hAnsi="Times New Roman" w:cs="Times New Roman"/>
          <w:sz w:val="24"/>
          <w:szCs w:val="24"/>
          <w:shd w:val="clear" w:color="auto" w:fill="FFFFFF"/>
        </w:rPr>
        <w:t>(3), 1131-1150.</w:t>
      </w:r>
    </w:p>
    <w:p w14:paraId="69BE0906"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Lehavy, R., Li, F., &amp; Merkley, K. (2011). The effect of annual report readability on analyst following and the properties of their earnings forecasts. </w:t>
      </w:r>
      <w:r w:rsidRPr="006207BC">
        <w:rPr>
          <w:rFonts w:ascii="Times New Roman" w:hAnsi="Times New Roman" w:cs="Times New Roman"/>
          <w:i/>
          <w:iCs/>
          <w:sz w:val="24"/>
          <w:szCs w:val="24"/>
          <w:shd w:val="clear" w:color="auto" w:fill="FFFFFF"/>
        </w:rPr>
        <w:t>The Accounting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86</w:t>
      </w:r>
      <w:r w:rsidRPr="006207BC">
        <w:rPr>
          <w:rFonts w:ascii="Times New Roman" w:hAnsi="Times New Roman" w:cs="Times New Roman"/>
          <w:sz w:val="24"/>
          <w:szCs w:val="24"/>
          <w:shd w:val="clear" w:color="auto" w:fill="FFFFFF"/>
        </w:rPr>
        <w:t>(3), 1087-1115.</w:t>
      </w:r>
    </w:p>
    <w:p w14:paraId="3A6D20F8"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Linciano, N., Lucarelli, C., Gentile, M., &amp; Soccorso, P. (2018). How financial information disclosure affects risk perception. Evidence from Italian investors’ behaviour. </w:t>
      </w:r>
      <w:r w:rsidRPr="006207BC">
        <w:rPr>
          <w:rFonts w:ascii="Times New Roman" w:hAnsi="Times New Roman" w:cs="Times New Roman"/>
          <w:i/>
          <w:iCs/>
          <w:sz w:val="24"/>
          <w:szCs w:val="24"/>
          <w:shd w:val="clear" w:color="auto" w:fill="FFFFFF"/>
        </w:rPr>
        <w:t>The European Journal of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24</w:t>
      </w:r>
      <w:r w:rsidRPr="006207BC">
        <w:rPr>
          <w:rFonts w:ascii="Times New Roman" w:hAnsi="Times New Roman" w:cs="Times New Roman"/>
          <w:sz w:val="24"/>
          <w:szCs w:val="24"/>
          <w:shd w:val="clear" w:color="auto" w:fill="FFFFFF"/>
        </w:rPr>
        <w:t>(15), 1311-1332.</w:t>
      </w:r>
    </w:p>
    <w:p w14:paraId="07969241"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Linsley, P. M., &amp; Shrives, P. J. (2006). Risk reporting: A study of risk disclosures in the annual reports of UK companies. </w:t>
      </w:r>
      <w:r w:rsidRPr="006207BC">
        <w:rPr>
          <w:rFonts w:ascii="Times New Roman" w:hAnsi="Times New Roman" w:cs="Times New Roman"/>
          <w:i/>
          <w:sz w:val="24"/>
          <w:szCs w:val="24"/>
        </w:rPr>
        <w:t>The British Accounting Review, 38(4),</w:t>
      </w:r>
      <w:r w:rsidRPr="006207BC">
        <w:rPr>
          <w:rFonts w:ascii="Times New Roman" w:hAnsi="Times New Roman" w:cs="Times New Roman"/>
          <w:sz w:val="24"/>
          <w:szCs w:val="24"/>
        </w:rPr>
        <w:t xml:space="preserve"> 387-404.</w:t>
      </w:r>
    </w:p>
    <w:p w14:paraId="36757805"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 xml:space="preserve">Li, F. (2006). Do stock market investors understand the risk sentiment of corporate annual reports? Working Paper, </w:t>
      </w:r>
      <w:r w:rsidRPr="006207BC">
        <w:rPr>
          <w:rFonts w:ascii="Times New Roman" w:hAnsi="Times New Roman" w:cs="Times New Roman"/>
          <w:i/>
          <w:sz w:val="24"/>
          <w:szCs w:val="24"/>
          <w:shd w:val="clear" w:color="auto" w:fill="FFFFFF"/>
        </w:rPr>
        <w:t>University of Michigan</w:t>
      </w:r>
      <w:r w:rsidRPr="006207BC">
        <w:rPr>
          <w:rFonts w:ascii="Times New Roman" w:hAnsi="Times New Roman" w:cs="Times New Roman"/>
          <w:sz w:val="24"/>
          <w:szCs w:val="24"/>
          <w:shd w:val="clear" w:color="auto" w:fill="FFFFFF"/>
        </w:rPr>
        <w:t>.</w:t>
      </w:r>
    </w:p>
    <w:p w14:paraId="7E1995B6" w14:textId="77777777" w:rsidR="007D51A0" w:rsidRPr="006207BC" w:rsidRDefault="007D51A0"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Loh, R. K., &amp; Stulz, R. M. (2018). Is sell</w:t>
      </w:r>
      <w:r w:rsidRPr="006207BC">
        <w:rPr>
          <w:rFonts w:ascii="Cambria Math" w:hAnsi="Cambria Math" w:cs="Cambria Math"/>
          <w:sz w:val="24"/>
          <w:szCs w:val="24"/>
          <w:shd w:val="clear" w:color="auto" w:fill="FFFFFF"/>
        </w:rPr>
        <w:t>‐</w:t>
      </w:r>
      <w:r w:rsidRPr="006207BC">
        <w:rPr>
          <w:rFonts w:ascii="Times New Roman" w:hAnsi="Times New Roman" w:cs="Times New Roman"/>
          <w:sz w:val="24"/>
          <w:szCs w:val="24"/>
          <w:shd w:val="clear" w:color="auto" w:fill="FFFFFF"/>
        </w:rPr>
        <w:t xml:space="preserve">side research more valuable in bad times? </w:t>
      </w:r>
      <w:r w:rsidRPr="006207BC">
        <w:rPr>
          <w:rFonts w:ascii="Times New Roman" w:hAnsi="Times New Roman" w:cs="Times New Roman"/>
          <w:i/>
          <w:iCs/>
          <w:sz w:val="24"/>
          <w:szCs w:val="24"/>
          <w:shd w:val="clear" w:color="auto" w:fill="FFFFFF"/>
        </w:rPr>
        <w:t>The Journal of Finance</w:t>
      </w:r>
      <w:r w:rsidRPr="006207BC">
        <w:rPr>
          <w:rFonts w:ascii="Times New Roman" w:hAnsi="Times New Roman" w:cs="Times New Roman"/>
          <w:sz w:val="24"/>
          <w:szCs w:val="24"/>
          <w:shd w:val="clear" w:color="auto" w:fill="FFFFFF"/>
        </w:rPr>
        <w:t xml:space="preserve">, </w:t>
      </w:r>
      <w:r w:rsidRPr="006207BC">
        <w:rPr>
          <w:rFonts w:ascii="Times New Roman" w:hAnsi="Times New Roman" w:cs="Times New Roman"/>
          <w:i/>
          <w:iCs/>
          <w:sz w:val="24"/>
          <w:szCs w:val="24"/>
          <w:shd w:val="clear" w:color="auto" w:fill="FFFFFF"/>
        </w:rPr>
        <w:t>73</w:t>
      </w:r>
      <w:r w:rsidRPr="006207BC">
        <w:rPr>
          <w:rFonts w:ascii="Times New Roman" w:hAnsi="Times New Roman" w:cs="Times New Roman"/>
          <w:sz w:val="24"/>
          <w:szCs w:val="24"/>
          <w:shd w:val="clear" w:color="auto" w:fill="FFFFFF"/>
        </w:rPr>
        <w:t>(3), 959-1013.</w:t>
      </w:r>
    </w:p>
    <w:p w14:paraId="538A1854"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Loughran, T., &amp; McDonald, B. (2011). When is a liability not a liability? Textual analysis, dictionaries, and 10</w:t>
      </w:r>
      <w:r w:rsidRPr="006207BC">
        <w:rPr>
          <w:rFonts w:ascii="Cambria Math" w:hAnsi="Cambria Math" w:cs="Cambria Math"/>
          <w:sz w:val="24"/>
          <w:szCs w:val="24"/>
          <w:shd w:val="clear" w:color="auto" w:fill="FFFFFF"/>
        </w:rPr>
        <w:t>‐</w:t>
      </w:r>
      <w:r w:rsidRPr="006207BC">
        <w:rPr>
          <w:rFonts w:ascii="Times New Roman" w:hAnsi="Times New Roman" w:cs="Times New Roman"/>
          <w:sz w:val="24"/>
          <w:szCs w:val="24"/>
          <w:shd w:val="clear" w:color="auto" w:fill="FFFFFF"/>
        </w:rPr>
        <w:t>Ks. </w:t>
      </w:r>
      <w:r w:rsidRPr="006207BC">
        <w:rPr>
          <w:rFonts w:ascii="Times New Roman" w:hAnsi="Times New Roman" w:cs="Times New Roman"/>
          <w:i/>
          <w:iCs/>
          <w:sz w:val="24"/>
          <w:szCs w:val="24"/>
          <w:shd w:val="clear" w:color="auto" w:fill="FFFFFF"/>
        </w:rPr>
        <w:t>The Journal of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66</w:t>
      </w:r>
      <w:r w:rsidRPr="006207BC">
        <w:rPr>
          <w:rFonts w:ascii="Times New Roman" w:hAnsi="Times New Roman" w:cs="Times New Roman"/>
          <w:sz w:val="24"/>
          <w:szCs w:val="24"/>
          <w:shd w:val="clear" w:color="auto" w:fill="FFFFFF"/>
        </w:rPr>
        <w:t>(1), 35-65.</w:t>
      </w:r>
    </w:p>
    <w:p w14:paraId="73D4376A"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Mallin, C., &amp; Ow-Yong, K. (2012). Factors influencing corporate governance disclosures: Evidence from Alternative Investment Market (AIM) companies in the UK. </w:t>
      </w:r>
      <w:r w:rsidRPr="006207BC">
        <w:rPr>
          <w:rFonts w:ascii="Times New Roman" w:hAnsi="Times New Roman" w:cs="Times New Roman"/>
          <w:i/>
          <w:sz w:val="24"/>
          <w:szCs w:val="24"/>
          <w:shd w:val="clear" w:color="auto" w:fill="FFFFFF"/>
        </w:rPr>
        <w:t>The European Journal of Finance</w:t>
      </w:r>
      <w:r w:rsidRPr="006207BC">
        <w:rPr>
          <w:rFonts w:ascii="Times New Roman" w:hAnsi="Times New Roman" w:cs="Times New Roman"/>
          <w:sz w:val="24"/>
          <w:szCs w:val="24"/>
          <w:shd w:val="clear" w:color="auto" w:fill="FFFFFF"/>
        </w:rPr>
        <w:t>, 18(6), 515-533</w:t>
      </w:r>
    </w:p>
    <w:p w14:paraId="2F5EC2BD"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rPr>
        <w:t xml:space="preserve">Miihkinen, A. (2012). What drives quality of firm risk </w:t>
      </w:r>
      <w:proofErr w:type="gramStart"/>
      <w:r w:rsidRPr="006207BC">
        <w:rPr>
          <w:rFonts w:ascii="Times New Roman" w:hAnsi="Times New Roman" w:cs="Times New Roman"/>
          <w:sz w:val="24"/>
          <w:szCs w:val="24"/>
        </w:rPr>
        <w:t>disclosure?:</w:t>
      </w:r>
      <w:proofErr w:type="gramEnd"/>
      <w:r w:rsidRPr="006207BC">
        <w:rPr>
          <w:rFonts w:ascii="Times New Roman" w:hAnsi="Times New Roman" w:cs="Times New Roman"/>
          <w:sz w:val="24"/>
          <w:szCs w:val="24"/>
        </w:rPr>
        <w:t xml:space="preserve"> the impact of a national disclosure standard and reporting incentives under IFRS. </w:t>
      </w:r>
      <w:r w:rsidRPr="006207BC">
        <w:rPr>
          <w:rFonts w:ascii="Times New Roman" w:hAnsi="Times New Roman" w:cs="Times New Roman"/>
          <w:i/>
          <w:sz w:val="24"/>
          <w:szCs w:val="24"/>
        </w:rPr>
        <w:t>The International Journal of Accounting, 47(4)</w:t>
      </w:r>
      <w:r w:rsidRPr="006207BC">
        <w:rPr>
          <w:rFonts w:ascii="Times New Roman" w:hAnsi="Times New Roman" w:cs="Times New Roman"/>
          <w:sz w:val="24"/>
          <w:szCs w:val="24"/>
        </w:rPr>
        <w:t>, 437-468.</w:t>
      </w:r>
    </w:p>
    <w:p w14:paraId="61618F6B" w14:textId="77777777" w:rsidR="006118DA" w:rsidRPr="006207BC" w:rsidRDefault="006118DA" w:rsidP="007D51A0">
      <w:pPr>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shd w:val="clear" w:color="auto" w:fill="FFFFFF"/>
        </w:rPr>
        <w:t>Morgan, S. L., &amp; Harding, D. J. (2006). Matching estimators of causal effects: Prospects and pitfalls in theory and practice. </w:t>
      </w:r>
      <w:r w:rsidRPr="006207BC">
        <w:rPr>
          <w:rFonts w:ascii="Times New Roman" w:hAnsi="Times New Roman" w:cs="Times New Roman"/>
          <w:i/>
          <w:iCs/>
          <w:sz w:val="24"/>
          <w:szCs w:val="24"/>
          <w:shd w:val="clear" w:color="auto" w:fill="FFFFFF"/>
        </w:rPr>
        <w:t>Sociological methods &amp; research</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35</w:t>
      </w:r>
      <w:r w:rsidRPr="006207BC">
        <w:rPr>
          <w:rFonts w:ascii="Times New Roman" w:hAnsi="Times New Roman" w:cs="Times New Roman"/>
          <w:sz w:val="24"/>
          <w:szCs w:val="24"/>
          <w:shd w:val="clear" w:color="auto" w:fill="FFFFFF"/>
        </w:rPr>
        <w:t>(1), 3-60.</w:t>
      </w:r>
    </w:p>
    <w:p w14:paraId="76C7F600"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Moyer, R. C., Chatfield, R. E., &amp; Sisneros, P. M. (1989). Security analyst monitoring activity: Agency costs and information demands. </w:t>
      </w:r>
      <w:r w:rsidRPr="006207BC">
        <w:rPr>
          <w:rFonts w:ascii="Times New Roman" w:hAnsi="Times New Roman" w:cs="Times New Roman"/>
          <w:i/>
          <w:iCs/>
          <w:sz w:val="24"/>
          <w:szCs w:val="24"/>
          <w:shd w:val="clear" w:color="auto" w:fill="FFFFFF"/>
        </w:rPr>
        <w:t>Journal of Financial and Quantitative Analysis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24</w:t>
      </w:r>
      <w:r w:rsidRPr="006207BC">
        <w:rPr>
          <w:rFonts w:ascii="Times New Roman" w:hAnsi="Times New Roman" w:cs="Times New Roman"/>
          <w:sz w:val="24"/>
          <w:szCs w:val="24"/>
          <w:shd w:val="clear" w:color="auto" w:fill="FFFFFF"/>
        </w:rPr>
        <w:t>(4), 503-512.</w:t>
      </w:r>
    </w:p>
    <w:p w14:paraId="7035610C"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Neri, L., Elshandidy, T., &amp; Guo, Y. (2018). Determinants and impacts of risk disclosure quality: evidence from China. </w:t>
      </w:r>
      <w:r w:rsidRPr="006207BC">
        <w:rPr>
          <w:rFonts w:ascii="Times New Roman" w:hAnsi="Times New Roman" w:cs="Times New Roman"/>
          <w:i/>
          <w:iCs/>
          <w:sz w:val="24"/>
          <w:szCs w:val="24"/>
          <w:shd w:val="clear" w:color="auto" w:fill="FFFFFF"/>
        </w:rPr>
        <w:t>Journal of Applied Accounting Research</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19</w:t>
      </w:r>
      <w:r w:rsidRPr="006207BC">
        <w:rPr>
          <w:rFonts w:ascii="Times New Roman" w:hAnsi="Times New Roman" w:cs="Times New Roman"/>
          <w:sz w:val="24"/>
          <w:szCs w:val="24"/>
          <w:shd w:val="clear" w:color="auto" w:fill="FFFFFF"/>
        </w:rPr>
        <w:t>(4), 518-536.</w:t>
      </w:r>
    </w:p>
    <w:p w14:paraId="4AD8FDB9"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O'Brien, P. C., &amp; Bhushan, R. (1990). Analyst following and institutional ownership. </w:t>
      </w:r>
      <w:r w:rsidRPr="006207BC">
        <w:rPr>
          <w:rFonts w:ascii="Times New Roman" w:hAnsi="Times New Roman" w:cs="Times New Roman"/>
          <w:i/>
          <w:iCs/>
          <w:sz w:val="24"/>
          <w:szCs w:val="24"/>
          <w:shd w:val="clear" w:color="auto" w:fill="FFFFFF"/>
        </w:rPr>
        <w:t>Journal of Accounting Research</w:t>
      </w:r>
      <w:r w:rsidRPr="006207BC">
        <w:rPr>
          <w:rFonts w:ascii="Times New Roman" w:hAnsi="Times New Roman" w:cs="Times New Roman"/>
          <w:sz w:val="24"/>
          <w:szCs w:val="24"/>
          <w:shd w:val="clear" w:color="auto" w:fill="FFFFFF"/>
        </w:rPr>
        <w:t>, 55-76.</w:t>
      </w:r>
    </w:p>
    <w:p w14:paraId="018A7F7F"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Oliver, C. (1991). Strategic responses to institutional processes. </w:t>
      </w:r>
      <w:r w:rsidRPr="006207BC">
        <w:rPr>
          <w:rFonts w:ascii="Times New Roman" w:hAnsi="Times New Roman" w:cs="Times New Roman"/>
          <w:i/>
          <w:iCs/>
          <w:sz w:val="24"/>
          <w:szCs w:val="24"/>
          <w:shd w:val="clear" w:color="auto" w:fill="FFFFFF"/>
        </w:rPr>
        <w:t>Academy of management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16</w:t>
      </w:r>
      <w:r w:rsidRPr="006207BC">
        <w:rPr>
          <w:rFonts w:ascii="Times New Roman" w:hAnsi="Times New Roman" w:cs="Times New Roman"/>
          <w:sz w:val="24"/>
          <w:szCs w:val="24"/>
          <w:shd w:val="clear" w:color="auto" w:fill="FFFFFF"/>
        </w:rPr>
        <w:t>(1), 145-179.</w:t>
      </w:r>
    </w:p>
    <w:p w14:paraId="3949E415"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Rynes, S. L., Bretz Jr, R. D., &amp; Gerhart, B. (1991). The importance of recruitment in job choice: A different way of looking. </w:t>
      </w:r>
      <w:r w:rsidRPr="006207BC">
        <w:rPr>
          <w:rFonts w:ascii="Times New Roman" w:hAnsi="Times New Roman" w:cs="Times New Roman"/>
          <w:i/>
          <w:iCs/>
          <w:sz w:val="24"/>
          <w:szCs w:val="24"/>
          <w:shd w:val="clear" w:color="auto" w:fill="FFFFFF"/>
        </w:rPr>
        <w:t>Personnel psychology</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44</w:t>
      </w:r>
      <w:r w:rsidRPr="006207BC">
        <w:rPr>
          <w:rFonts w:ascii="Times New Roman" w:hAnsi="Times New Roman" w:cs="Times New Roman"/>
          <w:sz w:val="24"/>
          <w:szCs w:val="24"/>
          <w:shd w:val="clear" w:color="auto" w:fill="FFFFFF"/>
        </w:rPr>
        <w:t>(3), 487-521.</w:t>
      </w:r>
    </w:p>
    <w:p w14:paraId="3D6046D7" w14:textId="77777777" w:rsidR="007D51A0" w:rsidRPr="006207BC" w:rsidRDefault="007D51A0"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lastRenderedPageBreak/>
        <w:t xml:space="preserve">Sarbanes-Oxley Act of 2002 (2002). The Public Company Accounting Reform and Investor Protection Act, Pub. L. no. 107-204. Online at </w:t>
      </w:r>
      <w:proofErr w:type="gramStart"/>
      <w:r w:rsidRPr="006207BC">
        <w:rPr>
          <w:rFonts w:ascii="Times New Roman" w:hAnsi="Times New Roman" w:cs="Times New Roman"/>
          <w:sz w:val="24"/>
          <w:szCs w:val="24"/>
          <w:shd w:val="clear" w:color="auto" w:fill="FFFFFF"/>
        </w:rPr>
        <w:t>http:www.whitehouse.govinfocus</w:t>
      </w:r>
      <w:proofErr w:type="gramEnd"/>
      <w:r w:rsidRPr="006207BC">
        <w:rPr>
          <w:rFonts w:ascii="Times New Roman" w:hAnsi="Times New Roman" w:cs="Times New Roman"/>
          <w:sz w:val="24"/>
          <w:szCs w:val="24"/>
          <w:shd w:val="clear" w:color="auto" w:fill="FFFFFF"/>
        </w:rPr>
        <w:t xml:space="preserve"> corporateresponsibility</w:t>
      </w:r>
    </w:p>
    <w:p w14:paraId="62BFD544"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Schipper, K. (1991). Analysts' forecasts. </w:t>
      </w:r>
      <w:r w:rsidRPr="006207BC">
        <w:rPr>
          <w:rFonts w:ascii="Times New Roman" w:hAnsi="Times New Roman" w:cs="Times New Roman"/>
          <w:i/>
          <w:iCs/>
          <w:sz w:val="24"/>
          <w:szCs w:val="24"/>
          <w:shd w:val="clear" w:color="auto" w:fill="FFFFFF"/>
        </w:rPr>
        <w:t>Accounting horizons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5</w:t>
      </w:r>
      <w:r w:rsidRPr="006207BC">
        <w:rPr>
          <w:rFonts w:ascii="Times New Roman" w:hAnsi="Times New Roman" w:cs="Times New Roman"/>
          <w:sz w:val="24"/>
          <w:szCs w:val="24"/>
          <w:shd w:val="clear" w:color="auto" w:fill="FFFFFF"/>
        </w:rPr>
        <w:t>(4), 105.</w:t>
      </w:r>
    </w:p>
    <w:p w14:paraId="74657C9F"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Scott, W. R. (1995). Institutions and organizations. Foundations for organizational science. </w:t>
      </w:r>
      <w:r w:rsidRPr="006207BC">
        <w:rPr>
          <w:rFonts w:ascii="Times New Roman" w:hAnsi="Times New Roman" w:cs="Times New Roman"/>
          <w:i/>
          <w:iCs/>
          <w:sz w:val="24"/>
          <w:szCs w:val="24"/>
          <w:shd w:val="clear" w:color="auto" w:fill="FFFFFF"/>
        </w:rPr>
        <w:t>London: A Sage Publication Series</w:t>
      </w:r>
      <w:r w:rsidRPr="006207BC">
        <w:rPr>
          <w:rFonts w:ascii="Times New Roman" w:hAnsi="Times New Roman" w:cs="Times New Roman"/>
          <w:sz w:val="24"/>
          <w:szCs w:val="24"/>
          <w:shd w:val="clear" w:color="auto" w:fill="FFFFFF"/>
        </w:rPr>
        <w:t>.</w:t>
      </w:r>
    </w:p>
    <w:p w14:paraId="746AE7AE"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Skinner, D. J. (1994). Why firms voluntarily disclose bad news. </w:t>
      </w:r>
      <w:r w:rsidRPr="006207BC">
        <w:rPr>
          <w:rFonts w:ascii="Times New Roman" w:hAnsi="Times New Roman" w:cs="Times New Roman"/>
          <w:i/>
          <w:iCs/>
          <w:sz w:val="24"/>
          <w:szCs w:val="24"/>
          <w:shd w:val="clear" w:color="auto" w:fill="FFFFFF"/>
        </w:rPr>
        <w:t>Journal of accounting research</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32</w:t>
      </w:r>
      <w:r w:rsidRPr="006207BC">
        <w:rPr>
          <w:rFonts w:ascii="Times New Roman" w:hAnsi="Times New Roman" w:cs="Times New Roman"/>
          <w:sz w:val="24"/>
          <w:szCs w:val="24"/>
          <w:shd w:val="clear" w:color="auto" w:fill="FFFFFF"/>
        </w:rPr>
        <w:t>(1), 38-60.</w:t>
      </w:r>
    </w:p>
    <w:p w14:paraId="4446EB3B"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Spence, M. (1973). Job Market Signaling. </w:t>
      </w:r>
      <w:r w:rsidRPr="006207BC">
        <w:rPr>
          <w:rFonts w:ascii="Times New Roman" w:hAnsi="Times New Roman" w:cs="Times New Roman"/>
          <w:i/>
          <w:iCs/>
          <w:sz w:val="24"/>
          <w:szCs w:val="24"/>
          <w:shd w:val="clear" w:color="auto" w:fill="FFFFFF"/>
        </w:rPr>
        <w:t>The Quarterly Journal of Economics</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87</w:t>
      </w:r>
      <w:r w:rsidRPr="006207BC">
        <w:rPr>
          <w:rFonts w:ascii="Times New Roman" w:hAnsi="Times New Roman" w:cs="Times New Roman"/>
          <w:sz w:val="24"/>
          <w:szCs w:val="24"/>
          <w:shd w:val="clear" w:color="auto" w:fill="FFFFFF"/>
        </w:rPr>
        <w:t>(3), 355-374.</w:t>
      </w:r>
    </w:p>
    <w:p w14:paraId="6DA739CD" w14:textId="45C4C7F5" w:rsidR="006118DA" w:rsidRPr="006207BC" w:rsidRDefault="006118DA" w:rsidP="00142E24">
      <w:pPr>
        <w:autoSpaceDE w:val="0"/>
        <w:autoSpaceDN w:val="0"/>
        <w:adjustRightInd w:val="0"/>
        <w:spacing w:before="60" w:after="60" w:line="240" w:lineRule="auto"/>
        <w:jc w:val="both"/>
        <w:rPr>
          <w:rFonts w:ascii="Times New Roman" w:hAnsi="Times New Roman" w:cs="Times New Roman"/>
          <w:sz w:val="24"/>
          <w:szCs w:val="24"/>
        </w:rPr>
      </w:pPr>
      <w:r w:rsidRPr="006207BC">
        <w:rPr>
          <w:rFonts w:ascii="Times New Roman" w:hAnsi="Times New Roman" w:cs="Times New Roman"/>
          <w:sz w:val="24"/>
          <w:szCs w:val="24"/>
          <w:lang w:val="en-US"/>
        </w:rPr>
        <w:t>Stock, J. H., &amp; Yogo, M. (2005). Testing for weak instruments i</w:t>
      </w:r>
      <w:r w:rsidR="007D51A0" w:rsidRPr="006207BC">
        <w:rPr>
          <w:rFonts w:ascii="Times New Roman" w:hAnsi="Times New Roman" w:cs="Times New Roman"/>
          <w:sz w:val="24"/>
          <w:szCs w:val="24"/>
          <w:lang w:val="en-US"/>
        </w:rPr>
        <w:t xml:space="preserve">n linear IV regression. Chapter </w:t>
      </w:r>
      <w:r w:rsidRPr="006207BC">
        <w:rPr>
          <w:rFonts w:ascii="Times New Roman" w:hAnsi="Times New Roman" w:cs="Times New Roman"/>
          <w:sz w:val="24"/>
          <w:szCs w:val="24"/>
          <w:lang w:val="en-US"/>
        </w:rPr>
        <w:t xml:space="preserve">5 in Identification and Inference in Econometric Models: Essays in Honor of Thomas </w:t>
      </w:r>
      <w:proofErr w:type="gramStart"/>
      <w:r w:rsidRPr="006207BC">
        <w:rPr>
          <w:rFonts w:ascii="Times New Roman" w:hAnsi="Times New Roman" w:cs="Times New Roman"/>
          <w:sz w:val="24"/>
          <w:szCs w:val="24"/>
          <w:lang w:val="en-US"/>
        </w:rPr>
        <w:t>J.Rothenberg</w:t>
      </w:r>
      <w:proofErr w:type="gramEnd"/>
      <w:r w:rsidRPr="006207BC">
        <w:rPr>
          <w:rFonts w:ascii="Times New Roman" w:hAnsi="Times New Roman" w:cs="Times New Roman"/>
          <w:sz w:val="24"/>
          <w:szCs w:val="24"/>
          <w:lang w:val="en-US"/>
        </w:rPr>
        <w:t>, edited by DWK Andrews and JH Stock.</w:t>
      </w:r>
    </w:p>
    <w:p w14:paraId="43615ACB"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C7653D">
        <w:rPr>
          <w:rFonts w:ascii="Times New Roman" w:hAnsi="Times New Roman" w:cs="Times New Roman"/>
          <w:sz w:val="24"/>
          <w:szCs w:val="24"/>
          <w:shd w:val="clear" w:color="auto" w:fill="FFFFFF"/>
          <w:lang w:val="de-LU"/>
        </w:rPr>
        <w:t xml:space="preserve">Sundgren, S., Mäki, J., &amp; Somoza-López, A. (2018). </w:t>
      </w:r>
      <w:r w:rsidRPr="006207BC">
        <w:rPr>
          <w:rFonts w:ascii="Times New Roman" w:hAnsi="Times New Roman" w:cs="Times New Roman"/>
          <w:sz w:val="24"/>
          <w:szCs w:val="24"/>
          <w:shd w:val="clear" w:color="auto" w:fill="FFFFFF"/>
        </w:rPr>
        <w:t>Analyst coverage, market liquidity and disclosure quality: a study of fair-value disclosures by European real estate companies under IAS 40 and IFRS 13. </w:t>
      </w:r>
      <w:r w:rsidRPr="006207BC">
        <w:rPr>
          <w:rFonts w:ascii="Times New Roman" w:hAnsi="Times New Roman" w:cs="Times New Roman"/>
          <w:i/>
          <w:iCs/>
          <w:sz w:val="24"/>
          <w:szCs w:val="24"/>
          <w:shd w:val="clear" w:color="auto" w:fill="FFFFFF"/>
        </w:rPr>
        <w:t>The International Journal of Accounting</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53</w:t>
      </w:r>
      <w:r w:rsidRPr="006207BC">
        <w:rPr>
          <w:rFonts w:ascii="Times New Roman" w:hAnsi="Times New Roman" w:cs="Times New Roman"/>
          <w:sz w:val="24"/>
          <w:szCs w:val="24"/>
          <w:shd w:val="clear" w:color="auto" w:fill="FFFFFF"/>
        </w:rPr>
        <w:t>(1), 54-75.</w:t>
      </w:r>
    </w:p>
    <w:p w14:paraId="08E4F830" w14:textId="77777777" w:rsidR="006118DA" w:rsidRPr="006207BC" w:rsidRDefault="006118DA" w:rsidP="007D51A0">
      <w:pPr>
        <w:spacing w:before="60" w:after="60" w:line="240" w:lineRule="auto"/>
        <w:jc w:val="both"/>
        <w:rPr>
          <w:rFonts w:ascii="Times New Roman" w:hAnsi="Times New Roman" w:cs="Times New Roman"/>
          <w:i/>
          <w:sz w:val="24"/>
          <w:szCs w:val="24"/>
          <w:shd w:val="clear" w:color="auto" w:fill="FFFFFF"/>
        </w:rPr>
      </w:pPr>
      <w:r w:rsidRPr="00C7653D">
        <w:rPr>
          <w:rFonts w:ascii="Times New Roman" w:hAnsi="Times New Roman" w:cs="Times New Roman"/>
          <w:sz w:val="24"/>
          <w:szCs w:val="24"/>
          <w:shd w:val="clear" w:color="auto" w:fill="FFFFFF"/>
          <w:lang w:val="de-LU"/>
        </w:rPr>
        <w:t xml:space="preserve">Tan, H., Wang, S. &amp; Wwelker, M. (2011). </w:t>
      </w:r>
      <w:r w:rsidRPr="006207BC">
        <w:rPr>
          <w:rFonts w:ascii="Times New Roman" w:hAnsi="Times New Roman" w:cs="Times New Roman"/>
          <w:sz w:val="24"/>
          <w:szCs w:val="24"/>
          <w:shd w:val="clear" w:color="auto" w:fill="FFFFFF"/>
        </w:rPr>
        <w:t xml:space="preserve">Analyst Following and Forecast Accuracy After Mandated IFRS Adoptions. </w:t>
      </w:r>
      <w:r w:rsidRPr="006207BC">
        <w:rPr>
          <w:rFonts w:ascii="Times New Roman" w:hAnsi="Times New Roman" w:cs="Times New Roman"/>
          <w:i/>
          <w:sz w:val="24"/>
          <w:szCs w:val="24"/>
          <w:shd w:val="clear" w:color="auto" w:fill="FFFFFF"/>
        </w:rPr>
        <w:t>Journal of Accounting Research, 49(5) ,1307-1357.</w:t>
      </w:r>
    </w:p>
    <w:p w14:paraId="53120621" w14:textId="77777777" w:rsidR="006118DA" w:rsidRPr="006207BC" w:rsidRDefault="006118DA" w:rsidP="007D51A0">
      <w:pPr>
        <w:spacing w:before="60" w:after="60" w:line="240" w:lineRule="auto"/>
        <w:jc w:val="both"/>
        <w:rPr>
          <w:rFonts w:ascii="Times New Roman" w:hAnsi="Times New Roman" w:cs="Times New Roman"/>
          <w:i/>
          <w:sz w:val="24"/>
          <w:szCs w:val="24"/>
        </w:rPr>
      </w:pPr>
      <w:r w:rsidRPr="006207BC">
        <w:rPr>
          <w:rFonts w:ascii="Times New Roman" w:hAnsi="Times New Roman" w:cs="Times New Roman"/>
          <w:sz w:val="24"/>
          <w:szCs w:val="24"/>
        </w:rPr>
        <w:t xml:space="preserve">Tan, Y., Zeng, C.C., Elshandidy, T. (2017). Risk disclosures, international orientation, and share price informativeness: Evidence from China. </w:t>
      </w:r>
      <w:r w:rsidRPr="006207BC">
        <w:rPr>
          <w:rFonts w:ascii="Times New Roman" w:hAnsi="Times New Roman" w:cs="Times New Roman"/>
          <w:i/>
          <w:sz w:val="24"/>
          <w:szCs w:val="24"/>
        </w:rPr>
        <w:t>Journal of International Accounting, Auditing and Taxation, 29(1), 81-102.</w:t>
      </w:r>
    </w:p>
    <w:p w14:paraId="7581FEC5" w14:textId="77777777" w:rsidR="006118DA" w:rsidRPr="006207BC" w:rsidRDefault="006118DA" w:rsidP="007D51A0">
      <w:pPr>
        <w:spacing w:before="60" w:after="60" w:line="240" w:lineRule="auto"/>
        <w:jc w:val="both"/>
        <w:rPr>
          <w:rFonts w:ascii="Times New Roman" w:hAnsi="Times New Roman" w:cs="Times New Roman"/>
          <w:sz w:val="24"/>
          <w:szCs w:val="24"/>
          <w:lang w:val="en-US"/>
        </w:rPr>
      </w:pPr>
      <w:r w:rsidRPr="006207BC">
        <w:rPr>
          <w:rFonts w:ascii="Times New Roman" w:hAnsi="Times New Roman" w:cs="Times New Roman"/>
          <w:sz w:val="24"/>
          <w:szCs w:val="24"/>
          <w:shd w:val="clear" w:color="auto" w:fill="FFFFFF"/>
        </w:rPr>
        <w:t>Tsai, F. T., Lu, H. M., &amp; Hung, M. W. (2016). The impact of news articles and corporate disclosure on credit risk valuation. </w:t>
      </w:r>
      <w:r w:rsidRPr="006207BC">
        <w:rPr>
          <w:rFonts w:ascii="Times New Roman" w:hAnsi="Times New Roman" w:cs="Times New Roman"/>
          <w:i/>
          <w:iCs/>
          <w:sz w:val="24"/>
          <w:szCs w:val="24"/>
          <w:shd w:val="clear" w:color="auto" w:fill="FFFFFF"/>
        </w:rPr>
        <w:t>Journal of Banking &amp; Finance</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68</w:t>
      </w:r>
      <w:r w:rsidRPr="006207BC">
        <w:rPr>
          <w:rFonts w:ascii="Times New Roman" w:hAnsi="Times New Roman" w:cs="Times New Roman"/>
          <w:sz w:val="24"/>
          <w:szCs w:val="24"/>
          <w:shd w:val="clear" w:color="auto" w:fill="FFFFFF"/>
        </w:rPr>
        <w:t>, 100-116.</w:t>
      </w:r>
    </w:p>
    <w:p w14:paraId="1717C328"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lang w:val="en-US"/>
        </w:rPr>
        <w:t xml:space="preserve">Yang, R., Yu, Y., Liu, M., &amp; Wu, K. (2018). </w:t>
      </w:r>
      <w:r w:rsidRPr="006207BC">
        <w:rPr>
          <w:rFonts w:ascii="Times New Roman" w:hAnsi="Times New Roman" w:cs="Times New Roman"/>
          <w:sz w:val="24"/>
          <w:szCs w:val="24"/>
          <w:shd w:val="clear" w:color="auto" w:fill="FFFFFF"/>
        </w:rPr>
        <w:t>Corporate Risk Disclosure and Audit Fee: A Text Mining Approach. </w:t>
      </w:r>
      <w:r w:rsidRPr="006207BC">
        <w:rPr>
          <w:rFonts w:ascii="Times New Roman" w:hAnsi="Times New Roman" w:cs="Times New Roman"/>
          <w:i/>
          <w:iCs/>
          <w:sz w:val="24"/>
          <w:szCs w:val="24"/>
          <w:shd w:val="clear" w:color="auto" w:fill="FFFFFF"/>
        </w:rPr>
        <w:t>European Accounting Review</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27</w:t>
      </w:r>
      <w:r w:rsidRPr="006207BC">
        <w:rPr>
          <w:rFonts w:ascii="Times New Roman" w:hAnsi="Times New Roman" w:cs="Times New Roman"/>
          <w:sz w:val="24"/>
          <w:szCs w:val="24"/>
          <w:shd w:val="clear" w:color="auto" w:fill="FFFFFF"/>
        </w:rPr>
        <w:t>(3), 583-594.</w:t>
      </w:r>
    </w:p>
    <w:p w14:paraId="05A6851D"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Yu, M. (2010). Analyst forecast properties, analyst following and governance disclosures: A global perspective. </w:t>
      </w:r>
      <w:r w:rsidRPr="006207BC">
        <w:rPr>
          <w:rFonts w:ascii="Times New Roman" w:hAnsi="Times New Roman" w:cs="Times New Roman"/>
          <w:i/>
          <w:iCs/>
          <w:sz w:val="24"/>
          <w:szCs w:val="24"/>
          <w:shd w:val="clear" w:color="auto" w:fill="FFFFFF"/>
        </w:rPr>
        <w:t>Journal of International Accounting, Auditing and Taxation</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19</w:t>
      </w:r>
      <w:r w:rsidRPr="006207BC">
        <w:rPr>
          <w:rFonts w:ascii="Times New Roman" w:hAnsi="Times New Roman" w:cs="Times New Roman"/>
          <w:sz w:val="24"/>
          <w:szCs w:val="24"/>
          <w:shd w:val="clear" w:color="auto" w:fill="FFFFFF"/>
        </w:rPr>
        <w:t>(1), 1-15.</w:t>
      </w:r>
    </w:p>
    <w:p w14:paraId="604D6A1F" w14:textId="77777777" w:rsidR="006118D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Wasiuzzaman, S., Yong, F. L. K., Sundarasen, S. D. D., &amp; Othman, N. S. (2018). Impact of disclosure of risk factors on the initial returns of initial public offerings (IPOs). </w:t>
      </w:r>
      <w:r w:rsidRPr="006207BC">
        <w:rPr>
          <w:rFonts w:ascii="Times New Roman" w:hAnsi="Times New Roman" w:cs="Times New Roman"/>
          <w:i/>
          <w:iCs/>
          <w:sz w:val="24"/>
          <w:szCs w:val="24"/>
          <w:shd w:val="clear" w:color="auto" w:fill="FFFFFF"/>
        </w:rPr>
        <w:t>Accounting Research Journal</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31</w:t>
      </w:r>
      <w:r w:rsidRPr="006207BC">
        <w:rPr>
          <w:rFonts w:ascii="Times New Roman" w:hAnsi="Times New Roman" w:cs="Times New Roman"/>
          <w:sz w:val="24"/>
          <w:szCs w:val="24"/>
          <w:shd w:val="clear" w:color="auto" w:fill="FFFFFF"/>
        </w:rPr>
        <w:t>(1), 46-62.</w:t>
      </w:r>
    </w:p>
    <w:p w14:paraId="3838BDDD" w14:textId="703DCE90" w:rsidR="001D2B9A" w:rsidRPr="006207BC" w:rsidRDefault="006118DA"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Zhang, R. (2018). Product market competition, competitive strategy, and analyst coverage. </w:t>
      </w:r>
      <w:r w:rsidRPr="006207BC">
        <w:rPr>
          <w:rFonts w:ascii="Times New Roman" w:hAnsi="Times New Roman" w:cs="Times New Roman"/>
          <w:i/>
          <w:iCs/>
          <w:sz w:val="24"/>
          <w:szCs w:val="24"/>
          <w:shd w:val="clear" w:color="auto" w:fill="FFFFFF"/>
        </w:rPr>
        <w:t>Review of Quantitative Finance and Accounting</w:t>
      </w:r>
      <w:r w:rsidRPr="006207BC">
        <w:rPr>
          <w:rFonts w:ascii="Times New Roman" w:hAnsi="Times New Roman" w:cs="Times New Roman"/>
          <w:sz w:val="24"/>
          <w:szCs w:val="24"/>
          <w:shd w:val="clear" w:color="auto" w:fill="FFFFFF"/>
        </w:rPr>
        <w:t>, </w:t>
      </w:r>
      <w:r w:rsidRPr="006207BC">
        <w:rPr>
          <w:rFonts w:ascii="Times New Roman" w:hAnsi="Times New Roman" w:cs="Times New Roman"/>
          <w:i/>
          <w:iCs/>
          <w:sz w:val="24"/>
          <w:szCs w:val="24"/>
          <w:shd w:val="clear" w:color="auto" w:fill="FFFFFF"/>
        </w:rPr>
        <w:t>50</w:t>
      </w:r>
      <w:r w:rsidRPr="006207BC">
        <w:rPr>
          <w:rFonts w:ascii="Times New Roman" w:hAnsi="Times New Roman" w:cs="Times New Roman"/>
          <w:sz w:val="24"/>
          <w:szCs w:val="24"/>
          <w:shd w:val="clear" w:color="auto" w:fill="FFFFFF"/>
        </w:rPr>
        <w:t>(1), 239-260.</w:t>
      </w:r>
    </w:p>
    <w:p w14:paraId="2856F500" w14:textId="77777777" w:rsidR="007D51A0" w:rsidRPr="006207BC" w:rsidRDefault="007D51A0" w:rsidP="007D51A0">
      <w:pPr>
        <w:spacing w:before="60" w:after="60" w:line="240" w:lineRule="auto"/>
        <w:jc w:val="both"/>
        <w:rPr>
          <w:rFonts w:ascii="Times New Roman" w:hAnsi="Times New Roman" w:cs="Times New Roman"/>
          <w:sz w:val="24"/>
          <w:szCs w:val="24"/>
          <w:shd w:val="clear" w:color="auto" w:fill="FFFFFF"/>
        </w:rPr>
      </w:pPr>
      <w:r w:rsidRPr="006207BC">
        <w:rPr>
          <w:rFonts w:ascii="Times New Roman" w:hAnsi="Times New Roman" w:cs="Times New Roman"/>
          <w:sz w:val="24"/>
          <w:szCs w:val="24"/>
          <w:shd w:val="clear" w:color="auto" w:fill="FFFFFF"/>
        </w:rPr>
        <w:t xml:space="preserve">Zreik, O., &amp; Louhichi, W. (2017). Risk sentiment and firms’ liquidity in the French market. </w:t>
      </w:r>
      <w:r w:rsidRPr="006207BC">
        <w:rPr>
          <w:rFonts w:ascii="Times New Roman" w:hAnsi="Times New Roman" w:cs="Times New Roman"/>
          <w:i/>
          <w:iCs/>
          <w:sz w:val="24"/>
          <w:szCs w:val="24"/>
          <w:shd w:val="clear" w:color="auto" w:fill="FFFFFF"/>
        </w:rPr>
        <w:t>Research in International Business and Finance</w:t>
      </w:r>
      <w:r w:rsidRPr="006207BC">
        <w:rPr>
          <w:rFonts w:ascii="Times New Roman" w:hAnsi="Times New Roman" w:cs="Times New Roman"/>
          <w:sz w:val="24"/>
          <w:szCs w:val="24"/>
          <w:shd w:val="clear" w:color="auto" w:fill="FFFFFF"/>
        </w:rPr>
        <w:t xml:space="preserve">, </w:t>
      </w:r>
      <w:r w:rsidRPr="006207BC">
        <w:rPr>
          <w:rFonts w:ascii="Times New Roman" w:hAnsi="Times New Roman" w:cs="Times New Roman"/>
          <w:i/>
          <w:iCs/>
          <w:sz w:val="24"/>
          <w:szCs w:val="24"/>
          <w:shd w:val="clear" w:color="auto" w:fill="FFFFFF"/>
        </w:rPr>
        <w:t>39</w:t>
      </w:r>
      <w:r w:rsidRPr="006207BC">
        <w:rPr>
          <w:rFonts w:ascii="Times New Roman" w:hAnsi="Times New Roman" w:cs="Times New Roman"/>
          <w:iCs/>
          <w:sz w:val="24"/>
          <w:szCs w:val="24"/>
          <w:shd w:val="clear" w:color="auto" w:fill="FFFFFF"/>
        </w:rPr>
        <w:t>(1)</w:t>
      </w:r>
      <w:r w:rsidRPr="006207BC">
        <w:rPr>
          <w:rFonts w:ascii="Times New Roman" w:hAnsi="Times New Roman" w:cs="Times New Roman"/>
          <w:sz w:val="24"/>
          <w:szCs w:val="24"/>
          <w:shd w:val="clear" w:color="auto" w:fill="FFFFFF"/>
        </w:rPr>
        <w:t>, 809-823.</w:t>
      </w:r>
    </w:p>
    <w:p w14:paraId="0E2A6BDE" w14:textId="77777777" w:rsidR="007D51A0" w:rsidRPr="006207BC" w:rsidRDefault="007D51A0" w:rsidP="006118DA">
      <w:pPr>
        <w:spacing w:before="60" w:after="60" w:line="276" w:lineRule="auto"/>
        <w:jc w:val="both"/>
        <w:rPr>
          <w:rFonts w:ascii="Times New Roman" w:hAnsi="Times New Roman" w:cs="Times New Roman"/>
          <w:sz w:val="24"/>
          <w:szCs w:val="24"/>
        </w:rPr>
      </w:pPr>
    </w:p>
    <w:p w14:paraId="7A503A16" w14:textId="77777777" w:rsidR="00C20459" w:rsidRPr="006207BC" w:rsidRDefault="00A61DC5">
      <w:pPr>
        <w:rPr>
          <w:rFonts w:ascii="Times New Roman" w:hAnsi="Times New Roman" w:cs="Times New Roman"/>
          <w:sz w:val="24"/>
          <w:szCs w:val="24"/>
        </w:rPr>
      </w:pPr>
      <w:r w:rsidRPr="006207BC">
        <w:rPr>
          <w:rFonts w:ascii="Times New Roman" w:hAnsi="Times New Roman" w:cs="Times New Roman"/>
          <w:b/>
          <w:sz w:val="24"/>
          <w:szCs w:val="24"/>
        </w:rPr>
        <w:br w:type="page"/>
      </w:r>
    </w:p>
    <w:p w14:paraId="72D16383" w14:textId="77777777" w:rsidR="00C20459" w:rsidRPr="006207BC" w:rsidRDefault="00A61DC5">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lastRenderedPageBreak/>
        <w:t>Appendix. Variable definitions and data sources</w:t>
      </w:r>
    </w:p>
    <w:tbl>
      <w:tblPr>
        <w:tblW w:w="5000" w:type="pct"/>
        <w:tblLook w:val="04A0" w:firstRow="1" w:lastRow="0" w:firstColumn="1" w:lastColumn="0" w:noHBand="0" w:noVBand="1"/>
      </w:tblPr>
      <w:tblGrid>
        <w:gridCol w:w="2163"/>
        <w:gridCol w:w="5508"/>
        <w:gridCol w:w="1689"/>
      </w:tblGrid>
      <w:tr w:rsidR="00C20459" w:rsidRPr="006207BC" w14:paraId="74E31903" w14:textId="77777777" w:rsidTr="008E3090">
        <w:tc>
          <w:tcPr>
            <w:tcW w:w="1155" w:type="pct"/>
            <w:tcBorders>
              <w:top w:val="single" w:sz="4" w:space="0" w:color="auto"/>
              <w:bottom w:val="single" w:sz="4" w:space="0" w:color="auto"/>
            </w:tcBorders>
            <w:hideMark/>
          </w:tcPr>
          <w:p w14:paraId="65E38CCD" w14:textId="77777777"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Variable</w:t>
            </w:r>
          </w:p>
        </w:tc>
        <w:tc>
          <w:tcPr>
            <w:tcW w:w="2942" w:type="pct"/>
            <w:tcBorders>
              <w:top w:val="single" w:sz="4" w:space="0" w:color="auto"/>
              <w:bottom w:val="single" w:sz="4" w:space="0" w:color="auto"/>
            </w:tcBorders>
            <w:hideMark/>
          </w:tcPr>
          <w:p w14:paraId="659D8A2F" w14:textId="77777777"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Definition</w:t>
            </w:r>
          </w:p>
        </w:tc>
        <w:tc>
          <w:tcPr>
            <w:tcW w:w="902" w:type="pct"/>
            <w:tcBorders>
              <w:top w:val="single" w:sz="4" w:space="0" w:color="auto"/>
              <w:bottom w:val="single" w:sz="4" w:space="0" w:color="auto"/>
            </w:tcBorders>
          </w:tcPr>
          <w:p w14:paraId="67CB149F" w14:textId="77777777"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Data sources</w:t>
            </w:r>
          </w:p>
        </w:tc>
      </w:tr>
      <w:tr w:rsidR="00C20459" w:rsidRPr="006207BC" w14:paraId="0C170E44" w14:textId="77777777" w:rsidTr="008E3090">
        <w:tc>
          <w:tcPr>
            <w:tcW w:w="4098" w:type="pct"/>
            <w:gridSpan w:val="2"/>
            <w:tcBorders>
              <w:top w:val="single" w:sz="4" w:space="0" w:color="auto"/>
            </w:tcBorders>
          </w:tcPr>
          <w:p w14:paraId="47436E97" w14:textId="77777777"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Dependent variable</w:t>
            </w:r>
          </w:p>
        </w:tc>
        <w:tc>
          <w:tcPr>
            <w:tcW w:w="902" w:type="pct"/>
            <w:tcBorders>
              <w:top w:val="single" w:sz="4" w:space="0" w:color="auto"/>
            </w:tcBorders>
          </w:tcPr>
          <w:p w14:paraId="00F68348" w14:textId="77777777" w:rsidR="00C20459" w:rsidRPr="006207BC" w:rsidRDefault="00C20459" w:rsidP="00AB7C4E">
            <w:pPr>
              <w:spacing w:after="0" w:line="240" w:lineRule="auto"/>
              <w:rPr>
                <w:rFonts w:ascii="Times New Roman" w:hAnsi="Times New Roman" w:cs="Times New Roman"/>
                <w:sz w:val="24"/>
                <w:szCs w:val="24"/>
              </w:rPr>
            </w:pPr>
          </w:p>
        </w:tc>
      </w:tr>
      <w:tr w:rsidR="00C20459" w:rsidRPr="006207BC" w14:paraId="498BC0BE" w14:textId="77777777" w:rsidTr="008E3090">
        <w:tc>
          <w:tcPr>
            <w:tcW w:w="1155" w:type="pct"/>
          </w:tcPr>
          <w:p w14:paraId="6B8B0784"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Analyst</w:t>
            </w:r>
          </w:p>
        </w:tc>
        <w:tc>
          <w:tcPr>
            <w:tcW w:w="2942" w:type="pct"/>
          </w:tcPr>
          <w:p w14:paraId="4FAC3CDD"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number of analysts following the firm, based on the number of earnings per share estimates issued by analysts per year.</w:t>
            </w:r>
          </w:p>
        </w:tc>
        <w:tc>
          <w:tcPr>
            <w:tcW w:w="902" w:type="pct"/>
          </w:tcPr>
          <w:p w14:paraId="1DA7CDB8" w14:textId="09C8DC42"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I/B/E/S</w:t>
            </w:r>
          </w:p>
        </w:tc>
      </w:tr>
      <w:tr w:rsidR="00C20459" w:rsidRPr="006207BC" w14:paraId="48352A2E" w14:textId="77777777" w:rsidTr="008E3090">
        <w:trPr>
          <w:trHeight w:val="154"/>
        </w:trPr>
        <w:tc>
          <w:tcPr>
            <w:tcW w:w="5000" w:type="pct"/>
            <w:gridSpan w:val="3"/>
          </w:tcPr>
          <w:p w14:paraId="116E1C02"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Risk disclosure variables</w:t>
            </w:r>
          </w:p>
        </w:tc>
      </w:tr>
      <w:tr w:rsidR="00C20459" w:rsidRPr="006207BC" w14:paraId="460F9A30" w14:textId="77777777" w:rsidTr="008E3090">
        <w:trPr>
          <w:trHeight w:val="334"/>
        </w:trPr>
        <w:tc>
          <w:tcPr>
            <w:tcW w:w="1155" w:type="pct"/>
          </w:tcPr>
          <w:p w14:paraId="3A9FFC0E"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Risk_words</w:t>
            </w:r>
          </w:p>
        </w:tc>
        <w:tc>
          <w:tcPr>
            <w:tcW w:w="2942" w:type="pct"/>
          </w:tcPr>
          <w:p w14:paraId="26957AA8" w14:textId="43D20680"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043CB2" w:rsidRPr="006207BC">
              <w:rPr>
                <w:rFonts w:ascii="Times New Roman" w:hAnsi="Times New Roman" w:cs="Times New Roman"/>
                <w:sz w:val="24"/>
                <w:szCs w:val="24"/>
              </w:rPr>
              <w:t xml:space="preserve">natural logarithm of the </w:t>
            </w:r>
            <w:r w:rsidRPr="006207BC">
              <w:rPr>
                <w:rFonts w:ascii="Times New Roman" w:hAnsi="Times New Roman" w:cs="Times New Roman"/>
                <w:sz w:val="24"/>
                <w:szCs w:val="24"/>
              </w:rPr>
              <w:t xml:space="preserve">number of risk words in the risk factor section of the annual report. The risk words are from Kravet and Muslu’s (2013) risk word list: </w:t>
            </w:r>
            <w:r w:rsidRPr="006207BC">
              <w:rPr>
                <w:rFonts w:ascii="Times New Roman" w:hAnsi="Times New Roman" w:cs="Times New Roman"/>
                <w:i/>
                <w:sz w:val="24"/>
                <w:szCs w:val="24"/>
              </w:rPr>
              <w:t xml:space="preserve">can/cannot, could, may, might, risk*, uncertain*, likely to, subject to, potential*, vary*/varies, depend*, expos*, fluctuat*, possibl*, susceptible, affect, influenc*, </w:t>
            </w:r>
            <w:r w:rsidRPr="006207BC">
              <w:rPr>
                <w:rFonts w:ascii="Times New Roman" w:hAnsi="Times New Roman" w:cs="Times New Roman"/>
                <w:sz w:val="24"/>
                <w:szCs w:val="24"/>
              </w:rPr>
              <w:t>and</w:t>
            </w:r>
            <w:r w:rsidRPr="006207BC">
              <w:rPr>
                <w:rFonts w:ascii="Times New Roman" w:hAnsi="Times New Roman" w:cs="Times New Roman"/>
                <w:i/>
                <w:sz w:val="24"/>
                <w:szCs w:val="24"/>
              </w:rPr>
              <w:t xml:space="preserve"> hedg</w:t>
            </w:r>
            <w:r w:rsidRPr="006207BC">
              <w:rPr>
                <w:rFonts w:ascii="Times New Roman" w:hAnsi="Times New Roman" w:cs="Times New Roman"/>
                <w:sz w:val="24"/>
                <w:szCs w:val="24"/>
              </w:rPr>
              <w:t>*. The asterisk implies that suffixes are allowed.</w:t>
            </w:r>
          </w:p>
        </w:tc>
        <w:tc>
          <w:tcPr>
            <w:tcW w:w="902" w:type="pct"/>
          </w:tcPr>
          <w:p w14:paraId="4F8F4324"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Computer-aided content analysis based on annual reports</w:t>
            </w:r>
          </w:p>
        </w:tc>
      </w:tr>
      <w:tr w:rsidR="00C20459" w:rsidRPr="006207BC" w14:paraId="4D0F3496" w14:textId="77777777" w:rsidTr="008E3090">
        <w:trPr>
          <w:trHeight w:val="334"/>
        </w:trPr>
        <w:tc>
          <w:tcPr>
            <w:tcW w:w="1155" w:type="pct"/>
            <w:hideMark/>
          </w:tcPr>
          <w:p w14:paraId="5F9B02AB"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Risk_sentences</w:t>
            </w:r>
          </w:p>
        </w:tc>
        <w:tc>
          <w:tcPr>
            <w:tcW w:w="2942" w:type="pct"/>
            <w:hideMark/>
          </w:tcPr>
          <w:p w14:paraId="58C25527" w14:textId="590A37F6"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553DCC" w:rsidRPr="006207BC">
              <w:rPr>
                <w:rFonts w:ascii="Times New Roman" w:hAnsi="Times New Roman" w:cs="Times New Roman"/>
                <w:sz w:val="24"/>
                <w:szCs w:val="24"/>
              </w:rPr>
              <w:t xml:space="preserve">natural logarithm of the </w:t>
            </w:r>
            <w:r w:rsidRPr="006207BC">
              <w:rPr>
                <w:rFonts w:ascii="Times New Roman" w:hAnsi="Times New Roman" w:cs="Times New Roman"/>
                <w:sz w:val="24"/>
                <w:szCs w:val="24"/>
              </w:rPr>
              <w:t xml:space="preserve">number of sentences in the risk factor section of the annual report containing at least one risk word appearing in Kravet and Muslu’s (2013) risk word list. </w:t>
            </w:r>
          </w:p>
        </w:tc>
        <w:tc>
          <w:tcPr>
            <w:tcW w:w="902" w:type="pct"/>
          </w:tcPr>
          <w:p w14:paraId="32499CC0"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24B87FB2" w14:textId="77777777" w:rsidTr="008E3090">
        <w:trPr>
          <w:trHeight w:val="334"/>
        </w:trPr>
        <w:tc>
          <w:tcPr>
            <w:tcW w:w="1155" w:type="pct"/>
          </w:tcPr>
          <w:p w14:paraId="5B61393B"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Total_sentences</w:t>
            </w:r>
          </w:p>
        </w:tc>
        <w:tc>
          <w:tcPr>
            <w:tcW w:w="2942" w:type="pct"/>
          </w:tcPr>
          <w:p w14:paraId="3BDD6500" w14:textId="2B983C87"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553DCC" w:rsidRPr="006207BC">
              <w:rPr>
                <w:rFonts w:ascii="Times New Roman" w:hAnsi="Times New Roman" w:cs="Times New Roman"/>
                <w:sz w:val="24"/>
                <w:szCs w:val="24"/>
              </w:rPr>
              <w:t xml:space="preserve">natural logarithm of the number </w:t>
            </w:r>
            <w:r w:rsidRPr="006207BC">
              <w:rPr>
                <w:rFonts w:ascii="Times New Roman" w:hAnsi="Times New Roman" w:cs="Times New Roman"/>
                <w:sz w:val="24"/>
                <w:szCs w:val="24"/>
              </w:rPr>
              <w:t>of total sentenc</w:t>
            </w:r>
            <w:r w:rsidR="00553DCC" w:rsidRPr="006207BC">
              <w:rPr>
                <w:rFonts w:ascii="Times New Roman" w:hAnsi="Times New Roman" w:cs="Times New Roman"/>
                <w:sz w:val="24"/>
                <w:szCs w:val="24"/>
              </w:rPr>
              <w:t>es in the risk factor section of</w:t>
            </w:r>
            <w:r w:rsidRPr="006207BC">
              <w:rPr>
                <w:rFonts w:ascii="Times New Roman" w:hAnsi="Times New Roman" w:cs="Times New Roman"/>
                <w:sz w:val="24"/>
                <w:szCs w:val="24"/>
              </w:rPr>
              <w:t xml:space="preserve"> the annual report.</w:t>
            </w:r>
          </w:p>
        </w:tc>
        <w:tc>
          <w:tcPr>
            <w:tcW w:w="902" w:type="pct"/>
          </w:tcPr>
          <w:p w14:paraId="37787F4D"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475047" w:rsidRPr="006207BC" w14:paraId="1671BCB1" w14:textId="77777777" w:rsidTr="008E3090">
        <w:trPr>
          <w:trHeight w:val="334"/>
        </w:trPr>
        <w:tc>
          <w:tcPr>
            <w:tcW w:w="1155" w:type="pct"/>
          </w:tcPr>
          <w:p w14:paraId="0C2F0518" w14:textId="45693768" w:rsidR="00475047" w:rsidRPr="006207BC" w:rsidRDefault="002D265D"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Ind_ average_risk</w:t>
            </w:r>
          </w:p>
        </w:tc>
        <w:tc>
          <w:tcPr>
            <w:tcW w:w="2942" w:type="pct"/>
          </w:tcPr>
          <w:p w14:paraId="02E32B36" w14:textId="0600038C" w:rsidR="00475047" w:rsidRPr="006207BC" w:rsidRDefault="00475047"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average of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for </w:t>
            </w:r>
            <w:proofErr w:type="gramStart"/>
            <w:r w:rsidRPr="006207BC">
              <w:rPr>
                <w:rFonts w:ascii="Times New Roman" w:hAnsi="Times New Roman" w:cs="Times New Roman"/>
                <w:sz w:val="24"/>
                <w:szCs w:val="24"/>
              </w:rPr>
              <w:t>the all</w:t>
            </w:r>
            <w:proofErr w:type="gramEnd"/>
            <w:r w:rsidRPr="006207BC">
              <w:rPr>
                <w:rFonts w:ascii="Times New Roman" w:hAnsi="Times New Roman" w:cs="Times New Roman"/>
                <w:sz w:val="24"/>
                <w:szCs w:val="24"/>
              </w:rPr>
              <w:t xml:space="preserve"> other firms in the same industry group.</w:t>
            </w:r>
          </w:p>
        </w:tc>
        <w:tc>
          <w:tcPr>
            <w:tcW w:w="902" w:type="pct"/>
          </w:tcPr>
          <w:p w14:paraId="5FFD60A6" w14:textId="77777777" w:rsidR="00475047" w:rsidRPr="006207BC" w:rsidRDefault="00475047" w:rsidP="00AB7C4E">
            <w:pPr>
              <w:autoSpaceDE w:val="0"/>
              <w:autoSpaceDN w:val="0"/>
              <w:adjustRightInd w:val="0"/>
              <w:spacing w:after="0" w:line="240" w:lineRule="auto"/>
              <w:rPr>
                <w:rFonts w:ascii="Times New Roman" w:hAnsi="Times New Roman" w:cs="Times New Roman"/>
                <w:sz w:val="24"/>
                <w:szCs w:val="24"/>
              </w:rPr>
            </w:pPr>
          </w:p>
        </w:tc>
      </w:tr>
      <w:tr w:rsidR="00C20459" w:rsidRPr="006207BC" w14:paraId="25882275" w14:textId="77777777" w:rsidTr="008E3090">
        <w:trPr>
          <w:trHeight w:val="372"/>
        </w:trPr>
        <w:tc>
          <w:tcPr>
            <w:tcW w:w="1155" w:type="pct"/>
          </w:tcPr>
          <w:p w14:paraId="55079785"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Risk_factors</w:t>
            </w:r>
          </w:p>
        </w:tc>
        <w:tc>
          <w:tcPr>
            <w:tcW w:w="2942" w:type="pct"/>
          </w:tcPr>
          <w:p w14:paraId="1F4CAA93" w14:textId="29A168B1"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7C48F3" w:rsidRPr="006207BC">
              <w:rPr>
                <w:rFonts w:ascii="Times New Roman" w:hAnsi="Times New Roman" w:cs="Times New Roman"/>
                <w:sz w:val="24"/>
                <w:szCs w:val="24"/>
              </w:rPr>
              <w:t xml:space="preserve">natural logarithm of the number </w:t>
            </w:r>
            <w:r w:rsidRPr="006207BC">
              <w:rPr>
                <w:rFonts w:ascii="Times New Roman" w:hAnsi="Times New Roman" w:cs="Times New Roman"/>
                <w:sz w:val="24"/>
                <w:szCs w:val="24"/>
              </w:rPr>
              <w:t>of risk factors report</w:t>
            </w:r>
            <w:r w:rsidR="00553DCC" w:rsidRPr="006207BC">
              <w:rPr>
                <w:rFonts w:ascii="Times New Roman" w:hAnsi="Times New Roman" w:cs="Times New Roman"/>
                <w:sz w:val="24"/>
                <w:szCs w:val="24"/>
              </w:rPr>
              <w:t>ed in the risk factor section of</w:t>
            </w:r>
            <w:r w:rsidRPr="006207BC">
              <w:rPr>
                <w:rFonts w:ascii="Times New Roman" w:hAnsi="Times New Roman" w:cs="Times New Roman"/>
                <w:sz w:val="24"/>
                <w:szCs w:val="24"/>
              </w:rPr>
              <w:t xml:space="preserve"> the annual report.</w:t>
            </w:r>
          </w:p>
        </w:tc>
        <w:tc>
          <w:tcPr>
            <w:tcW w:w="902" w:type="pct"/>
          </w:tcPr>
          <w:p w14:paraId="5B389A66"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Manual content analysis based on annual reports</w:t>
            </w:r>
          </w:p>
        </w:tc>
      </w:tr>
      <w:tr w:rsidR="00C20459" w:rsidRPr="006207BC" w14:paraId="3BB3862F" w14:textId="77777777" w:rsidTr="008E3090">
        <w:trPr>
          <w:trHeight w:val="241"/>
        </w:trPr>
        <w:tc>
          <w:tcPr>
            <w:tcW w:w="1155" w:type="pct"/>
          </w:tcPr>
          <w:p w14:paraId="729EAF74"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General risks</w:t>
            </w:r>
          </w:p>
        </w:tc>
        <w:tc>
          <w:tcPr>
            <w:tcW w:w="2942" w:type="pct"/>
            <w:shd w:val="clear" w:color="auto" w:fill="auto"/>
          </w:tcPr>
          <w:p w14:paraId="4CBDE3E2" w14:textId="104E4BCD"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7C48F3" w:rsidRPr="006207BC">
              <w:rPr>
                <w:rFonts w:ascii="Times New Roman" w:hAnsi="Times New Roman" w:cs="Times New Roman"/>
                <w:sz w:val="24"/>
                <w:szCs w:val="24"/>
              </w:rPr>
              <w:t>natural logarithm of the number</w:t>
            </w:r>
            <w:r w:rsidRPr="006207BC">
              <w:rPr>
                <w:rFonts w:ascii="Times New Roman" w:hAnsi="Times New Roman" w:cs="Times New Roman"/>
                <w:sz w:val="24"/>
                <w:szCs w:val="24"/>
              </w:rPr>
              <w:t xml:space="preserve"> of risk factors that are non-financial and not specific to the firm or the industry to which it belongs.</w:t>
            </w:r>
          </w:p>
        </w:tc>
        <w:tc>
          <w:tcPr>
            <w:tcW w:w="902" w:type="pct"/>
          </w:tcPr>
          <w:p w14:paraId="2BDC40ED"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2D2092DA" w14:textId="77777777" w:rsidTr="008E3090">
        <w:trPr>
          <w:trHeight w:val="241"/>
        </w:trPr>
        <w:tc>
          <w:tcPr>
            <w:tcW w:w="1155" w:type="pct"/>
            <w:hideMark/>
          </w:tcPr>
          <w:p w14:paraId="712F9ADA"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Firm specific risks</w:t>
            </w:r>
          </w:p>
        </w:tc>
        <w:tc>
          <w:tcPr>
            <w:tcW w:w="2942" w:type="pct"/>
            <w:shd w:val="clear" w:color="auto" w:fill="auto"/>
            <w:hideMark/>
          </w:tcPr>
          <w:p w14:paraId="4A549EF9" w14:textId="55F60450"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7C48F3" w:rsidRPr="006207BC">
              <w:rPr>
                <w:rFonts w:ascii="Times New Roman" w:hAnsi="Times New Roman" w:cs="Times New Roman"/>
                <w:sz w:val="24"/>
                <w:szCs w:val="24"/>
              </w:rPr>
              <w:t>natural logarithm of the number</w:t>
            </w:r>
            <w:r w:rsidRPr="006207BC">
              <w:rPr>
                <w:rFonts w:ascii="Times New Roman" w:hAnsi="Times New Roman" w:cs="Times New Roman"/>
                <w:sz w:val="24"/>
                <w:szCs w:val="24"/>
              </w:rPr>
              <w:t xml:space="preserve"> of risk factors </w:t>
            </w:r>
            <w:r w:rsidR="007C48F3" w:rsidRPr="006207BC">
              <w:rPr>
                <w:rFonts w:ascii="Times New Roman" w:hAnsi="Times New Roman" w:cs="Times New Roman"/>
                <w:sz w:val="24"/>
                <w:szCs w:val="24"/>
              </w:rPr>
              <w:t>that are specific to firm operations and processes</w:t>
            </w:r>
            <w:r w:rsidRPr="006207BC">
              <w:rPr>
                <w:rFonts w:ascii="Times New Roman" w:hAnsi="Times New Roman" w:cs="Times New Roman"/>
                <w:sz w:val="24"/>
                <w:szCs w:val="24"/>
              </w:rPr>
              <w:t>.</w:t>
            </w:r>
          </w:p>
        </w:tc>
        <w:tc>
          <w:tcPr>
            <w:tcW w:w="902" w:type="pct"/>
          </w:tcPr>
          <w:p w14:paraId="2B638103" w14:textId="77777777" w:rsidR="00C20459" w:rsidRPr="006207BC" w:rsidRDefault="00A61DC5" w:rsidP="00AB7C4E">
            <w:pPr>
              <w:tabs>
                <w:tab w:val="left" w:pos="1477"/>
              </w:tabs>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p w14:paraId="23591FAA" w14:textId="77777777" w:rsidR="00C20459" w:rsidRPr="006207BC" w:rsidRDefault="00C20459" w:rsidP="00AB7C4E">
            <w:pPr>
              <w:tabs>
                <w:tab w:val="left" w:pos="1477"/>
              </w:tabs>
              <w:autoSpaceDE w:val="0"/>
              <w:autoSpaceDN w:val="0"/>
              <w:adjustRightInd w:val="0"/>
              <w:spacing w:after="0" w:line="240" w:lineRule="auto"/>
              <w:rPr>
                <w:rFonts w:ascii="Times New Roman" w:hAnsi="Times New Roman" w:cs="Times New Roman"/>
                <w:sz w:val="24"/>
                <w:szCs w:val="24"/>
              </w:rPr>
            </w:pPr>
          </w:p>
        </w:tc>
      </w:tr>
      <w:tr w:rsidR="00C20459" w:rsidRPr="006207BC" w14:paraId="2424AB54" w14:textId="77777777" w:rsidTr="008E3090">
        <w:trPr>
          <w:trHeight w:val="241"/>
        </w:trPr>
        <w:tc>
          <w:tcPr>
            <w:tcW w:w="1155" w:type="pct"/>
          </w:tcPr>
          <w:p w14:paraId="55AE83B8"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Industry specific risks</w:t>
            </w:r>
          </w:p>
        </w:tc>
        <w:tc>
          <w:tcPr>
            <w:tcW w:w="2942" w:type="pct"/>
            <w:shd w:val="clear" w:color="auto" w:fill="auto"/>
          </w:tcPr>
          <w:p w14:paraId="23001179" w14:textId="688FBA38"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7C48F3" w:rsidRPr="006207BC">
              <w:rPr>
                <w:rFonts w:ascii="Times New Roman" w:hAnsi="Times New Roman" w:cs="Times New Roman"/>
                <w:sz w:val="24"/>
                <w:szCs w:val="24"/>
              </w:rPr>
              <w:t>natural logarithm of the number</w:t>
            </w:r>
            <w:r w:rsidRPr="006207BC">
              <w:rPr>
                <w:rFonts w:ascii="Times New Roman" w:hAnsi="Times New Roman" w:cs="Times New Roman"/>
                <w:sz w:val="24"/>
                <w:szCs w:val="24"/>
              </w:rPr>
              <w:t xml:space="preserve"> of risk factors </w:t>
            </w:r>
            <w:r w:rsidR="007C48F3" w:rsidRPr="006207BC">
              <w:rPr>
                <w:rFonts w:ascii="Times New Roman" w:hAnsi="Times New Roman" w:cs="Times New Roman"/>
                <w:sz w:val="24"/>
                <w:szCs w:val="24"/>
              </w:rPr>
              <w:t xml:space="preserve">to which all or </w:t>
            </w:r>
            <w:proofErr w:type="gramStart"/>
            <w:r w:rsidR="007C48F3" w:rsidRPr="006207BC">
              <w:rPr>
                <w:rFonts w:ascii="Times New Roman" w:hAnsi="Times New Roman" w:cs="Times New Roman"/>
                <w:sz w:val="24"/>
                <w:szCs w:val="24"/>
              </w:rPr>
              <w:t>the majority of</w:t>
            </w:r>
            <w:proofErr w:type="gramEnd"/>
            <w:r w:rsidR="007C48F3" w:rsidRPr="006207BC">
              <w:rPr>
                <w:rFonts w:ascii="Times New Roman" w:hAnsi="Times New Roman" w:cs="Times New Roman"/>
                <w:sz w:val="24"/>
                <w:szCs w:val="24"/>
              </w:rPr>
              <w:t xml:space="preserve"> companies belonging to a same industry are exposed</w:t>
            </w:r>
            <w:r w:rsidRPr="006207BC">
              <w:rPr>
                <w:rFonts w:ascii="Times New Roman" w:hAnsi="Times New Roman" w:cs="Times New Roman"/>
                <w:sz w:val="24"/>
                <w:szCs w:val="24"/>
              </w:rPr>
              <w:t>.</w:t>
            </w:r>
          </w:p>
        </w:tc>
        <w:tc>
          <w:tcPr>
            <w:tcW w:w="902" w:type="pct"/>
          </w:tcPr>
          <w:p w14:paraId="54AB0A73" w14:textId="77777777" w:rsidR="00C20459" w:rsidRPr="006207BC" w:rsidRDefault="00A61DC5" w:rsidP="00AB7C4E">
            <w:pPr>
              <w:tabs>
                <w:tab w:val="left" w:pos="1477"/>
              </w:tabs>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p w14:paraId="40BCC029" w14:textId="77777777" w:rsidR="00C20459" w:rsidRPr="006207BC" w:rsidRDefault="00C20459" w:rsidP="00AB7C4E">
            <w:pPr>
              <w:tabs>
                <w:tab w:val="left" w:pos="1477"/>
              </w:tabs>
              <w:autoSpaceDE w:val="0"/>
              <w:autoSpaceDN w:val="0"/>
              <w:adjustRightInd w:val="0"/>
              <w:spacing w:after="0" w:line="240" w:lineRule="auto"/>
              <w:rPr>
                <w:rFonts w:ascii="Times New Roman" w:hAnsi="Times New Roman" w:cs="Times New Roman"/>
                <w:sz w:val="24"/>
                <w:szCs w:val="24"/>
              </w:rPr>
            </w:pPr>
          </w:p>
        </w:tc>
      </w:tr>
      <w:tr w:rsidR="00C20459" w:rsidRPr="006207BC" w14:paraId="6FC4E848" w14:textId="77777777" w:rsidTr="008E3090">
        <w:trPr>
          <w:trHeight w:val="241"/>
        </w:trPr>
        <w:tc>
          <w:tcPr>
            <w:tcW w:w="1155" w:type="pct"/>
          </w:tcPr>
          <w:p w14:paraId="2DCD8577"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Financial risks</w:t>
            </w:r>
          </w:p>
        </w:tc>
        <w:tc>
          <w:tcPr>
            <w:tcW w:w="2942" w:type="pct"/>
            <w:shd w:val="clear" w:color="auto" w:fill="auto"/>
          </w:tcPr>
          <w:p w14:paraId="4085F8CD" w14:textId="62EFFCBD"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w:t>
            </w:r>
            <w:r w:rsidR="007C48F3" w:rsidRPr="006207BC">
              <w:rPr>
                <w:rFonts w:ascii="Times New Roman" w:hAnsi="Times New Roman" w:cs="Times New Roman"/>
                <w:sz w:val="24"/>
                <w:szCs w:val="24"/>
              </w:rPr>
              <w:t>natural logarithm of the number</w:t>
            </w:r>
            <w:r w:rsidRPr="006207BC">
              <w:rPr>
                <w:rFonts w:ascii="Times New Roman" w:hAnsi="Times New Roman" w:cs="Times New Roman"/>
                <w:sz w:val="24"/>
                <w:szCs w:val="24"/>
              </w:rPr>
              <w:t xml:space="preserve"> of risk factors resulting from exposure to financial and capital markets.</w:t>
            </w:r>
          </w:p>
        </w:tc>
        <w:tc>
          <w:tcPr>
            <w:tcW w:w="902" w:type="pct"/>
          </w:tcPr>
          <w:p w14:paraId="6EA6B0C1" w14:textId="77777777" w:rsidR="00C20459" w:rsidRPr="006207BC" w:rsidRDefault="00A61DC5" w:rsidP="00AB7C4E">
            <w:pPr>
              <w:tabs>
                <w:tab w:val="left" w:pos="1477"/>
              </w:tabs>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p w14:paraId="0BD7C59E" w14:textId="77777777" w:rsidR="00C20459" w:rsidRPr="006207BC" w:rsidRDefault="00C20459" w:rsidP="00AB7C4E">
            <w:pPr>
              <w:tabs>
                <w:tab w:val="left" w:pos="1477"/>
              </w:tabs>
              <w:autoSpaceDE w:val="0"/>
              <w:autoSpaceDN w:val="0"/>
              <w:adjustRightInd w:val="0"/>
              <w:spacing w:after="0" w:line="240" w:lineRule="auto"/>
              <w:rPr>
                <w:rFonts w:ascii="Times New Roman" w:hAnsi="Times New Roman" w:cs="Times New Roman"/>
                <w:sz w:val="24"/>
                <w:szCs w:val="24"/>
              </w:rPr>
            </w:pPr>
          </w:p>
        </w:tc>
      </w:tr>
      <w:tr w:rsidR="00C20459" w:rsidRPr="006207BC" w14:paraId="5592EAFE" w14:textId="77777777" w:rsidTr="008E3090">
        <w:trPr>
          <w:trHeight w:val="241"/>
        </w:trPr>
        <w:tc>
          <w:tcPr>
            <w:tcW w:w="1155" w:type="pct"/>
          </w:tcPr>
          <w:p w14:paraId="70100099"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 disclosure index</w:t>
            </w:r>
          </w:p>
        </w:tc>
        <w:tc>
          <w:tcPr>
            <w:tcW w:w="2942" w:type="pct"/>
          </w:tcPr>
          <w:p w14:paraId="30F3E3E5" w14:textId="003FCBB8"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common factor extracted from the main risk disclosure variables (</w:t>
            </w:r>
            <w:proofErr w:type="gramStart"/>
            <w:r w:rsidRPr="006207BC">
              <w:rPr>
                <w:rFonts w:ascii="Times New Roman" w:hAnsi="Times New Roman" w:cs="Times New Roman"/>
                <w:sz w:val="24"/>
                <w:szCs w:val="24"/>
              </w:rPr>
              <w:t>i.e.</w:t>
            </w:r>
            <w:proofErr w:type="gramEnd"/>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Risk_sentences</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Risk_words</w:t>
            </w:r>
            <w:r w:rsidRPr="006207BC">
              <w:rPr>
                <w:rFonts w:ascii="Times New Roman" w:hAnsi="Times New Roman" w:cs="Times New Roman"/>
                <w:sz w:val="24"/>
                <w:szCs w:val="24"/>
              </w:rPr>
              <w:t xml:space="preserve">, </w:t>
            </w:r>
            <w:r w:rsidRPr="006207BC">
              <w:rPr>
                <w:rFonts w:ascii="Times New Roman" w:hAnsi="Times New Roman" w:cs="Times New Roman"/>
                <w:i/>
                <w:sz w:val="24"/>
                <w:szCs w:val="24"/>
              </w:rPr>
              <w:t>Total_sentences</w:t>
            </w:r>
            <w:r w:rsidRPr="006207BC">
              <w:rPr>
                <w:rFonts w:ascii="Times New Roman" w:hAnsi="Times New Roman" w:cs="Times New Roman"/>
                <w:sz w:val="24"/>
                <w:szCs w:val="24"/>
              </w:rPr>
              <w:t xml:space="preserve">, and </w:t>
            </w:r>
            <w:r w:rsidRPr="006207BC">
              <w:rPr>
                <w:rFonts w:ascii="Times New Roman" w:hAnsi="Times New Roman" w:cs="Times New Roman"/>
                <w:i/>
                <w:sz w:val="24"/>
                <w:szCs w:val="24"/>
              </w:rPr>
              <w:t>Risk_factors</w:t>
            </w:r>
            <w:r w:rsidRPr="006207BC">
              <w:rPr>
                <w:rFonts w:ascii="Times New Roman" w:hAnsi="Times New Roman" w:cs="Times New Roman"/>
                <w:sz w:val="24"/>
                <w:szCs w:val="24"/>
              </w:rPr>
              <w:t>) using principal component analysis.</w:t>
            </w:r>
          </w:p>
        </w:tc>
        <w:tc>
          <w:tcPr>
            <w:tcW w:w="902" w:type="pct"/>
          </w:tcPr>
          <w:p w14:paraId="177A9AD7"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Authors’ calculation</w:t>
            </w:r>
          </w:p>
        </w:tc>
      </w:tr>
      <w:tr w:rsidR="00C20459" w:rsidRPr="006207BC" w14:paraId="79EE8273" w14:textId="77777777" w:rsidTr="008E3090">
        <w:trPr>
          <w:trHeight w:val="241"/>
        </w:trPr>
        <w:tc>
          <w:tcPr>
            <w:tcW w:w="1155" w:type="pct"/>
            <w:hideMark/>
          </w:tcPr>
          <w:p w14:paraId="004DF7A8"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Risk_factor coverage</w:t>
            </w:r>
          </w:p>
        </w:tc>
        <w:tc>
          <w:tcPr>
            <w:tcW w:w="2942" w:type="pct"/>
            <w:hideMark/>
          </w:tcPr>
          <w:p w14:paraId="4A22924A" w14:textId="447E29B9"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Risk factor coverage considering the four risk factor categories identified above and using the Herfindahl </w:t>
            </w:r>
            <w:proofErr w:type="gramStart"/>
            <w:r w:rsidRPr="006207BC">
              <w:rPr>
                <w:rFonts w:ascii="Times New Roman" w:hAnsi="Times New Roman" w:cs="Times New Roman"/>
                <w:sz w:val="24"/>
                <w:szCs w:val="24"/>
              </w:rPr>
              <w:t>index</w:t>
            </w:r>
            <w:proofErr w:type="gramEnd"/>
            <w:r w:rsidRPr="006207BC">
              <w:rPr>
                <w:rFonts w:ascii="Times New Roman" w:hAnsi="Times New Roman" w:cs="Times New Roman"/>
                <w:sz w:val="24"/>
                <w:szCs w:val="24"/>
              </w:rPr>
              <w:t xml:space="preserve"> </w:t>
            </w:r>
          </w:p>
          <w:p w14:paraId="2BF8CDC8" w14:textId="2FF05CAB"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i/>
                <w:sz w:val="24"/>
                <w:szCs w:val="24"/>
              </w:rPr>
              <w:lastRenderedPageBreak/>
              <w:t xml:space="preserve">Risk_factor coverage = [(1/H)/4], </w:t>
            </w:r>
            <w:r w:rsidRPr="006207BC">
              <w:rPr>
                <w:rFonts w:ascii="Times New Roman" w:hAnsi="Times New Roman" w:cs="Times New Roman"/>
                <w:sz w:val="24"/>
                <w:szCs w:val="24"/>
              </w:rPr>
              <w:t xml:space="preserve">where </w:t>
            </w:r>
            <w:r w:rsidRPr="006207BC">
              <w:rPr>
                <w:rFonts w:ascii="Times New Roman" w:hAnsi="Times New Roman" w:cs="Times New Roman"/>
                <w:i/>
                <w:sz w:val="24"/>
                <w:szCs w:val="24"/>
              </w:rPr>
              <w:t>H</w:t>
            </w:r>
            <w:r w:rsidRPr="006207BC">
              <w:rPr>
                <w:rFonts w:ascii="Times New Roman" w:hAnsi="Times New Roman" w:cs="Times New Roman"/>
                <w:sz w:val="24"/>
                <w:szCs w:val="24"/>
              </w:rPr>
              <w:t xml:space="preserve"> is the Herfindahl index of concentration across risk factor categories, calculated </w:t>
            </w:r>
            <m:oMath>
              <m:r>
                <w:rPr>
                  <w:rFonts w:ascii="Cambria Math" w:hAnsi="Cambria Math" w:cs="Times New Roman"/>
                  <w:sz w:val="24"/>
                  <w:szCs w:val="24"/>
                </w:rPr>
                <m:t>H=</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w:rPr>
                          <w:rFonts w:ascii="Cambria Math" w:hAnsi="Cambria Math" w:cs="Times New Roman"/>
                          <w:sz w:val="24"/>
                          <w:szCs w:val="24"/>
                        </w:rPr>
                        <m:t>2</m:t>
                      </m:r>
                    </m:sup>
                  </m:sSubSup>
                </m:e>
              </m:nary>
            </m:oMath>
            <w:r w:rsidRPr="006207BC">
              <w:rPr>
                <w:rFonts w:ascii="Times New Roman" w:eastAsiaTheme="minorEastAsia" w:hAnsi="Times New Roman" w:cs="Times New Roman"/>
                <w:sz w:val="24"/>
                <w:szCs w:val="24"/>
              </w:rPr>
              <w:t xml:space="preserve">, and </w:t>
            </w:r>
            <w:r w:rsidRPr="006207BC">
              <w:rPr>
                <w:rFonts w:ascii="Times New Roman" w:eastAsiaTheme="minorEastAsia" w:hAnsi="Times New Roman" w:cs="Times New Roman"/>
                <w:i/>
                <w:sz w:val="24"/>
                <w:szCs w:val="24"/>
              </w:rPr>
              <w:t>P</w:t>
            </w:r>
            <w:r w:rsidRPr="006207BC">
              <w:rPr>
                <w:rFonts w:ascii="Times New Roman" w:eastAsiaTheme="minorEastAsia" w:hAnsi="Times New Roman" w:cs="Times New Roman"/>
                <w:sz w:val="24"/>
                <w:szCs w:val="24"/>
              </w:rPr>
              <w:t xml:space="preserve"> is </w:t>
            </w:r>
            <w:r w:rsidRPr="006207BC">
              <w:rPr>
                <w:rFonts w:ascii="Times New Roman" w:hAnsi="Times New Roman" w:cs="Times New Roman"/>
                <w:sz w:val="24"/>
                <w:szCs w:val="24"/>
              </w:rPr>
              <w:t>the number of risk factors by category divided by the total number of risk factors.</w:t>
            </w:r>
          </w:p>
        </w:tc>
        <w:tc>
          <w:tcPr>
            <w:tcW w:w="902" w:type="pct"/>
          </w:tcPr>
          <w:p w14:paraId="02FB335F"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lastRenderedPageBreak/>
              <w:t>As above</w:t>
            </w:r>
          </w:p>
        </w:tc>
      </w:tr>
      <w:tr w:rsidR="00180376" w:rsidRPr="006207BC" w14:paraId="44EE9301" w14:textId="77777777" w:rsidTr="008E3090">
        <w:trPr>
          <w:trHeight w:val="241"/>
        </w:trPr>
        <w:tc>
          <w:tcPr>
            <w:tcW w:w="1155" w:type="pct"/>
          </w:tcPr>
          <w:p w14:paraId="2C7C38FB" w14:textId="09BF6039" w:rsidR="00180376" w:rsidRPr="006207BC" w:rsidRDefault="007C48F3"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Risk_sentence_ratio</w:t>
            </w:r>
          </w:p>
        </w:tc>
        <w:tc>
          <w:tcPr>
            <w:tcW w:w="2942" w:type="pct"/>
          </w:tcPr>
          <w:p w14:paraId="34A2CB6E" w14:textId="129DA7E6" w:rsidR="00180376" w:rsidRPr="006207BC" w:rsidRDefault="00AB7C4E"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shd w:val="clear" w:color="auto" w:fill="FFFFFF"/>
              </w:rPr>
              <w:t xml:space="preserve">The ratio of the number of risk-related sentences </w:t>
            </w:r>
            <w:r w:rsidRPr="006207BC">
              <w:rPr>
                <w:rFonts w:ascii="Times New Roman" w:hAnsi="Times New Roman" w:cs="Times New Roman"/>
                <w:sz w:val="24"/>
                <w:szCs w:val="24"/>
              </w:rPr>
              <w:t>in the risk factor section</w:t>
            </w:r>
            <w:r w:rsidRPr="006207BC">
              <w:rPr>
                <w:rFonts w:ascii="Times New Roman" w:hAnsi="Times New Roman" w:cs="Times New Roman"/>
                <w:sz w:val="24"/>
                <w:szCs w:val="24"/>
                <w:shd w:val="clear" w:color="auto" w:fill="FFFFFF"/>
              </w:rPr>
              <w:t xml:space="preserve"> to the </w:t>
            </w:r>
            <w:r w:rsidRPr="006207BC">
              <w:rPr>
                <w:rFonts w:ascii="Times New Roman" w:hAnsi="Times New Roman" w:cs="Times New Roman"/>
                <w:sz w:val="24"/>
                <w:szCs w:val="24"/>
              </w:rPr>
              <w:t>number of total sentences in the risk factor section.</w:t>
            </w:r>
          </w:p>
        </w:tc>
        <w:tc>
          <w:tcPr>
            <w:tcW w:w="902" w:type="pct"/>
          </w:tcPr>
          <w:p w14:paraId="6462FF72" w14:textId="5F0B67F6" w:rsidR="00180376" w:rsidRPr="006207BC" w:rsidRDefault="002A75F1"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3FC122CB" w14:textId="77777777" w:rsidTr="008E3090">
        <w:trPr>
          <w:trHeight w:val="241"/>
        </w:trPr>
        <w:tc>
          <w:tcPr>
            <w:tcW w:w="5000" w:type="pct"/>
            <w:gridSpan w:val="3"/>
          </w:tcPr>
          <w:p w14:paraId="4E0F65CC"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Control variables</w:t>
            </w:r>
          </w:p>
        </w:tc>
      </w:tr>
      <w:tr w:rsidR="00C20459" w:rsidRPr="006207BC" w14:paraId="448734BD" w14:textId="77777777" w:rsidTr="008E3090">
        <w:trPr>
          <w:trHeight w:val="491"/>
        </w:trPr>
        <w:tc>
          <w:tcPr>
            <w:tcW w:w="1155" w:type="pct"/>
          </w:tcPr>
          <w:p w14:paraId="6F609DDC" w14:textId="63FB0BD9" w:rsidR="00C20459" w:rsidRPr="006207BC" w:rsidRDefault="00B025A1"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Ownership</w:t>
            </w:r>
            <w:r w:rsidR="00A61DC5" w:rsidRPr="006207BC">
              <w:rPr>
                <w:rFonts w:ascii="Times New Roman" w:hAnsi="Times New Roman" w:cs="Times New Roman"/>
                <w:i/>
                <w:sz w:val="24"/>
                <w:szCs w:val="24"/>
              </w:rPr>
              <w:t xml:space="preserve"> </w:t>
            </w:r>
          </w:p>
        </w:tc>
        <w:tc>
          <w:tcPr>
            <w:tcW w:w="2942" w:type="pct"/>
          </w:tcPr>
          <w:p w14:paraId="6894F223"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Voting rights of the largest shareholder.</w:t>
            </w:r>
          </w:p>
        </w:tc>
        <w:tc>
          <w:tcPr>
            <w:tcW w:w="902" w:type="pct"/>
          </w:tcPr>
          <w:p w14:paraId="351A143D"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Datastream data</w:t>
            </w:r>
          </w:p>
        </w:tc>
      </w:tr>
      <w:tr w:rsidR="00C20459" w:rsidRPr="006207BC" w14:paraId="291A4876" w14:textId="77777777" w:rsidTr="008E3090">
        <w:trPr>
          <w:trHeight w:val="491"/>
        </w:trPr>
        <w:tc>
          <w:tcPr>
            <w:tcW w:w="1155" w:type="pct"/>
          </w:tcPr>
          <w:p w14:paraId="11FF0291"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Size</w:t>
            </w:r>
          </w:p>
        </w:tc>
        <w:tc>
          <w:tcPr>
            <w:tcW w:w="2942" w:type="pct"/>
          </w:tcPr>
          <w:p w14:paraId="7F122839" w14:textId="54D5E6EF"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Firm size, measured as the natural logarithm of total sales.</w:t>
            </w:r>
          </w:p>
        </w:tc>
        <w:tc>
          <w:tcPr>
            <w:tcW w:w="902" w:type="pct"/>
          </w:tcPr>
          <w:p w14:paraId="769E11B5"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Authors’ calculations based on Datastream data</w:t>
            </w:r>
          </w:p>
        </w:tc>
      </w:tr>
      <w:tr w:rsidR="00C20459" w:rsidRPr="006207BC" w14:paraId="4A834B85" w14:textId="77777777" w:rsidTr="008E3090">
        <w:trPr>
          <w:trHeight w:val="293"/>
        </w:trPr>
        <w:tc>
          <w:tcPr>
            <w:tcW w:w="1155" w:type="pct"/>
            <w:hideMark/>
          </w:tcPr>
          <w:p w14:paraId="705AAC82"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Beta</w:t>
            </w:r>
          </w:p>
        </w:tc>
        <w:tc>
          <w:tcPr>
            <w:tcW w:w="2942" w:type="pct"/>
            <w:hideMark/>
          </w:tcPr>
          <w:p w14:paraId="6198E8AB" w14:textId="42141DD6"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firm systematic beta, measured as daily returns of the respective firm on daily market returns, based on the SBF 120 index, over the previous year.</w:t>
            </w:r>
          </w:p>
        </w:tc>
        <w:tc>
          <w:tcPr>
            <w:tcW w:w="902" w:type="pct"/>
          </w:tcPr>
          <w:p w14:paraId="4222C243"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0AC73960" w14:textId="77777777" w:rsidTr="008E3090">
        <w:trPr>
          <w:trHeight w:val="707"/>
        </w:trPr>
        <w:tc>
          <w:tcPr>
            <w:tcW w:w="1155" w:type="pct"/>
            <w:hideMark/>
          </w:tcPr>
          <w:p w14:paraId="29F51C96"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Earnings surprise</w:t>
            </w:r>
          </w:p>
        </w:tc>
        <w:tc>
          <w:tcPr>
            <w:tcW w:w="2942" w:type="pct"/>
            <w:hideMark/>
          </w:tcPr>
          <w:p w14:paraId="3B567637" w14:textId="76B93AA4"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The absolute value of the difference between current and </w:t>
            </w:r>
            <w:r w:rsidR="00ED767C" w:rsidRPr="006207BC">
              <w:rPr>
                <w:rFonts w:ascii="Times New Roman" w:hAnsi="Times New Roman" w:cs="Times New Roman"/>
                <w:sz w:val="24"/>
                <w:szCs w:val="24"/>
              </w:rPr>
              <w:t xml:space="preserve">one-year </w:t>
            </w:r>
            <w:r w:rsidRPr="006207BC">
              <w:rPr>
                <w:rFonts w:ascii="Times New Roman" w:hAnsi="Times New Roman" w:cs="Times New Roman"/>
                <w:sz w:val="24"/>
                <w:szCs w:val="24"/>
              </w:rPr>
              <w:t>lagged earnings per share, scaled by the stock price at the beginning of the fiscal year.</w:t>
            </w:r>
          </w:p>
        </w:tc>
        <w:tc>
          <w:tcPr>
            <w:tcW w:w="902" w:type="pct"/>
          </w:tcPr>
          <w:p w14:paraId="7F020002"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465AEC1A" w14:textId="77777777" w:rsidTr="008E3090">
        <w:trPr>
          <w:trHeight w:val="281"/>
        </w:trPr>
        <w:tc>
          <w:tcPr>
            <w:tcW w:w="1155" w:type="pct"/>
            <w:hideMark/>
          </w:tcPr>
          <w:p w14:paraId="17F0DA0A" w14:textId="77777777" w:rsidR="00C20459" w:rsidRPr="006207BC" w:rsidRDefault="00A61DC5" w:rsidP="00AB7C4E">
            <w:pPr>
              <w:tabs>
                <w:tab w:val="left" w:pos="740"/>
              </w:tabs>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Return STD</w:t>
            </w:r>
            <w:r w:rsidRPr="006207BC">
              <w:rPr>
                <w:rFonts w:ascii="Times New Roman" w:hAnsi="Times New Roman" w:cs="Times New Roman"/>
                <w:i/>
                <w:sz w:val="24"/>
                <w:szCs w:val="24"/>
              </w:rPr>
              <w:tab/>
            </w:r>
          </w:p>
        </w:tc>
        <w:tc>
          <w:tcPr>
            <w:tcW w:w="2942" w:type="pct"/>
            <w:hideMark/>
          </w:tcPr>
          <w:p w14:paraId="0DE97406" w14:textId="37AFFDC6"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volatility of returns, measured as the annualized volatility of daily stock returns over the last three years, to account for the volatility of a firm’s stock price.</w:t>
            </w:r>
          </w:p>
        </w:tc>
        <w:tc>
          <w:tcPr>
            <w:tcW w:w="902" w:type="pct"/>
          </w:tcPr>
          <w:p w14:paraId="5014BB1B"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2E7206B8" w14:textId="77777777" w:rsidTr="008E3090">
        <w:trPr>
          <w:trHeight w:val="281"/>
        </w:trPr>
        <w:tc>
          <w:tcPr>
            <w:tcW w:w="1155" w:type="pct"/>
            <w:hideMark/>
          </w:tcPr>
          <w:p w14:paraId="29206D80"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Profitability</w:t>
            </w:r>
          </w:p>
        </w:tc>
        <w:tc>
          <w:tcPr>
            <w:tcW w:w="2942" w:type="pct"/>
            <w:hideMark/>
          </w:tcPr>
          <w:p w14:paraId="5C1588FC"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firm’s profitability, measured as the return on invested capital.</w:t>
            </w:r>
          </w:p>
        </w:tc>
        <w:tc>
          <w:tcPr>
            <w:tcW w:w="902" w:type="pct"/>
          </w:tcPr>
          <w:p w14:paraId="4135224F"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21E1878C" w14:textId="77777777" w:rsidTr="008E3090">
        <w:trPr>
          <w:trHeight w:val="555"/>
        </w:trPr>
        <w:tc>
          <w:tcPr>
            <w:tcW w:w="1155" w:type="pct"/>
            <w:hideMark/>
          </w:tcPr>
          <w:p w14:paraId="67788866"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Market-to-Book</w:t>
            </w:r>
          </w:p>
        </w:tc>
        <w:tc>
          <w:tcPr>
            <w:tcW w:w="2942" w:type="pct"/>
            <w:hideMark/>
          </w:tcPr>
          <w:p w14:paraId="16159CCE" w14:textId="77777777" w:rsidR="00C20459" w:rsidRPr="006207BC" w:rsidRDefault="00A61DC5" w:rsidP="00AB7C4E">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firm’s growth opportunities, measured as the market-to-book ratio.</w:t>
            </w:r>
          </w:p>
        </w:tc>
        <w:tc>
          <w:tcPr>
            <w:tcW w:w="902" w:type="pct"/>
          </w:tcPr>
          <w:p w14:paraId="562D45F4"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62200D86" w14:textId="77777777" w:rsidTr="008E3090">
        <w:trPr>
          <w:trHeight w:val="267"/>
        </w:trPr>
        <w:tc>
          <w:tcPr>
            <w:tcW w:w="1155" w:type="pct"/>
            <w:hideMark/>
          </w:tcPr>
          <w:p w14:paraId="6419BA88"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XLIST</w:t>
            </w:r>
          </w:p>
        </w:tc>
        <w:tc>
          <w:tcPr>
            <w:tcW w:w="2942" w:type="pct"/>
            <w:hideMark/>
          </w:tcPr>
          <w:p w14:paraId="4A15E7D8" w14:textId="78B0E239" w:rsidR="00C20459" w:rsidRPr="006207BC" w:rsidRDefault="009F6DC0" w:rsidP="00AB7C4E">
            <w:pPr>
              <w:spacing w:after="0" w:line="240" w:lineRule="auto"/>
              <w:rPr>
                <w:rFonts w:ascii="Times New Roman" w:hAnsi="Times New Roman" w:cs="Times New Roman"/>
                <w:sz w:val="24"/>
                <w:szCs w:val="24"/>
                <w:lang w:eastAsia="fr-FR"/>
              </w:rPr>
            </w:pPr>
            <w:r w:rsidRPr="006207BC">
              <w:rPr>
                <w:rFonts w:ascii="Times New Roman" w:hAnsi="Times New Roman" w:cs="Times New Roman"/>
                <w:sz w:val="24"/>
                <w:szCs w:val="24"/>
              </w:rPr>
              <w:t xml:space="preserve">A dummy variable that equals one </w:t>
            </w:r>
            <w:r w:rsidR="00EF5529" w:rsidRPr="006207BC">
              <w:rPr>
                <w:rFonts w:ascii="Times New Roman" w:hAnsi="Times New Roman" w:cs="Times New Roman"/>
                <w:sz w:val="24"/>
                <w:szCs w:val="24"/>
              </w:rPr>
              <w:t>when the firm cross-lists in the United States, using the American </w:t>
            </w:r>
            <w:r w:rsidR="00EF5529" w:rsidRPr="006207BC">
              <w:rPr>
                <w:rFonts w:ascii="Times New Roman" w:hAnsi="Times New Roman" w:cs="Times New Roman"/>
                <w:sz w:val="24"/>
                <w:szCs w:val="24"/>
              </w:rPr>
              <w:br/>
              <w:t>Depositary Receipt (ADR) program,</w:t>
            </w:r>
            <w:r w:rsidRPr="006207BC">
              <w:rPr>
                <w:rFonts w:ascii="Times New Roman" w:hAnsi="Times New Roman" w:cs="Times New Roman"/>
                <w:sz w:val="24"/>
                <w:szCs w:val="24"/>
              </w:rPr>
              <w:t xml:space="preserve"> and zero</w:t>
            </w:r>
            <w:r w:rsidR="00A61DC5" w:rsidRPr="006207BC">
              <w:rPr>
                <w:rFonts w:ascii="Times New Roman" w:hAnsi="Times New Roman" w:cs="Times New Roman"/>
                <w:sz w:val="24"/>
                <w:szCs w:val="24"/>
              </w:rPr>
              <w:t xml:space="preserve"> otherwise.</w:t>
            </w:r>
          </w:p>
        </w:tc>
        <w:tc>
          <w:tcPr>
            <w:tcW w:w="902" w:type="pct"/>
          </w:tcPr>
          <w:p w14:paraId="456C2DA6"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lang w:eastAsia="fr-FR"/>
              </w:rPr>
            </w:pPr>
            <w:r w:rsidRPr="006207BC">
              <w:rPr>
                <w:rFonts w:ascii="Times New Roman" w:hAnsi="Times New Roman" w:cs="Times New Roman"/>
                <w:sz w:val="24"/>
                <w:szCs w:val="24"/>
              </w:rPr>
              <w:t>As above</w:t>
            </w:r>
          </w:p>
        </w:tc>
      </w:tr>
      <w:tr w:rsidR="00C20459" w:rsidRPr="006207BC" w14:paraId="2238D13C" w14:textId="77777777" w:rsidTr="008E3090">
        <w:trPr>
          <w:trHeight w:val="326"/>
        </w:trPr>
        <w:tc>
          <w:tcPr>
            <w:tcW w:w="1155" w:type="pct"/>
            <w:hideMark/>
          </w:tcPr>
          <w:p w14:paraId="02B3ADD1"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Issuance</w:t>
            </w:r>
          </w:p>
        </w:tc>
        <w:tc>
          <w:tcPr>
            <w:tcW w:w="2942" w:type="pct"/>
            <w:hideMark/>
          </w:tcPr>
          <w:p w14:paraId="421FE020" w14:textId="235F58F7" w:rsidR="00C20459" w:rsidRPr="006207BC" w:rsidRDefault="009F6DC0"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 dummy variable that equals one</w:t>
            </w:r>
            <w:r w:rsidR="00A61DC5" w:rsidRPr="006207BC">
              <w:rPr>
                <w:rFonts w:ascii="Times New Roman" w:hAnsi="Times New Roman" w:cs="Times New Roman"/>
                <w:sz w:val="24"/>
                <w:szCs w:val="24"/>
              </w:rPr>
              <w:t xml:space="preserve"> if a firm issued capital</w:t>
            </w:r>
            <w:r w:rsidRPr="006207BC">
              <w:rPr>
                <w:rFonts w:ascii="Times New Roman" w:hAnsi="Times New Roman" w:cs="Times New Roman"/>
                <w:sz w:val="24"/>
                <w:szCs w:val="24"/>
              </w:rPr>
              <w:t xml:space="preserve"> during the financial year and zero</w:t>
            </w:r>
            <w:r w:rsidR="00A61DC5" w:rsidRPr="006207BC">
              <w:rPr>
                <w:rFonts w:ascii="Times New Roman" w:hAnsi="Times New Roman" w:cs="Times New Roman"/>
                <w:sz w:val="24"/>
                <w:szCs w:val="24"/>
              </w:rPr>
              <w:t xml:space="preserve"> otherwise.  </w:t>
            </w:r>
          </w:p>
        </w:tc>
        <w:tc>
          <w:tcPr>
            <w:tcW w:w="902" w:type="pct"/>
          </w:tcPr>
          <w:p w14:paraId="5BE6041E"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lang w:eastAsia="fr-FR"/>
              </w:rPr>
            </w:pPr>
            <w:r w:rsidRPr="006207BC">
              <w:rPr>
                <w:rFonts w:ascii="Times New Roman" w:hAnsi="Times New Roman" w:cs="Times New Roman"/>
                <w:sz w:val="24"/>
                <w:szCs w:val="24"/>
              </w:rPr>
              <w:t>As above</w:t>
            </w:r>
          </w:p>
        </w:tc>
      </w:tr>
      <w:tr w:rsidR="00C20459" w:rsidRPr="006207BC" w14:paraId="26E8DA16" w14:textId="77777777" w:rsidTr="008E3090">
        <w:trPr>
          <w:trHeight w:val="326"/>
        </w:trPr>
        <w:tc>
          <w:tcPr>
            <w:tcW w:w="1155" w:type="pct"/>
            <w:hideMark/>
          </w:tcPr>
          <w:p w14:paraId="78BFB892"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Intangible</w:t>
            </w:r>
          </w:p>
        </w:tc>
        <w:tc>
          <w:tcPr>
            <w:tcW w:w="2942" w:type="pct"/>
            <w:hideMark/>
          </w:tcPr>
          <w:p w14:paraId="6E18A7B5" w14:textId="3BC20B68"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Intangible assets, measured as the percentage of intangible assets to total assets.</w:t>
            </w:r>
          </w:p>
        </w:tc>
        <w:tc>
          <w:tcPr>
            <w:tcW w:w="902" w:type="pct"/>
          </w:tcPr>
          <w:p w14:paraId="42E6AF88"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r w:rsidR="00C20459" w:rsidRPr="006207BC" w14:paraId="7604F594" w14:textId="77777777" w:rsidTr="008E3090">
        <w:trPr>
          <w:trHeight w:val="326"/>
        </w:trPr>
        <w:tc>
          <w:tcPr>
            <w:tcW w:w="1155" w:type="pct"/>
            <w:tcBorders>
              <w:bottom w:val="single" w:sz="4" w:space="0" w:color="auto"/>
            </w:tcBorders>
          </w:tcPr>
          <w:p w14:paraId="4E034420" w14:textId="77777777" w:rsidR="00C20459" w:rsidRPr="006207BC" w:rsidRDefault="00A61DC5" w:rsidP="00AB7C4E">
            <w:pPr>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Leverage</w:t>
            </w:r>
          </w:p>
        </w:tc>
        <w:tc>
          <w:tcPr>
            <w:tcW w:w="2942" w:type="pct"/>
            <w:tcBorders>
              <w:bottom w:val="single" w:sz="4" w:space="0" w:color="auto"/>
            </w:tcBorders>
          </w:tcPr>
          <w:p w14:paraId="6E595A10"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The ratio of total debt to total assets.</w:t>
            </w:r>
          </w:p>
        </w:tc>
        <w:tc>
          <w:tcPr>
            <w:tcW w:w="902" w:type="pct"/>
            <w:tcBorders>
              <w:bottom w:val="single" w:sz="4" w:space="0" w:color="auto"/>
            </w:tcBorders>
          </w:tcPr>
          <w:p w14:paraId="74E0FADD" w14:textId="77777777" w:rsidR="00C20459" w:rsidRPr="006207BC" w:rsidRDefault="00A61DC5" w:rsidP="00AB7C4E">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As above</w:t>
            </w:r>
          </w:p>
        </w:tc>
      </w:tr>
    </w:tbl>
    <w:p w14:paraId="374E345D" w14:textId="77777777" w:rsidR="00C20459" w:rsidRPr="006207BC" w:rsidRDefault="00C20459">
      <w:pPr>
        <w:spacing w:after="0" w:line="240" w:lineRule="auto"/>
        <w:rPr>
          <w:rFonts w:ascii="Times New Roman" w:hAnsi="Times New Roman" w:cs="Times New Roman"/>
        </w:rPr>
      </w:pPr>
    </w:p>
    <w:p w14:paraId="4E3BA887" w14:textId="77777777" w:rsidR="00C20459" w:rsidRPr="006207BC" w:rsidRDefault="00A61DC5">
      <w:pPr>
        <w:rPr>
          <w:rFonts w:ascii="Times New Roman" w:hAnsi="Times New Roman" w:cs="Times New Roman"/>
        </w:rPr>
      </w:pPr>
      <w:r w:rsidRPr="006207BC">
        <w:rPr>
          <w:rFonts w:ascii="Times New Roman" w:hAnsi="Times New Roman" w:cs="Times New Roman"/>
        </w:rPr>
        <w:br w:type="page"/>
      </w:r>
    </w:p>
    <w:p w14:paraId="61BD2D97"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lastRenderedPageBreak/>
        <w:t>Table 1. Descriptive statistics</w:t>
      </w:r>
    </w:p>
    <w:p w14:paraId="318ADEEF" w14:textId="77777777" w:rsidR="00C20459" w:rsidRPr="006207BC" w:rsidRDefault="00C20459">
      <w:pPr>
        <w:spacing w:after="0" w:line="240" w:lineRule="auto"/>
        <w:rPr>
          <w:rFonts w:ascii="Times New Roman" w:hAnsi="Times New Roman" w:cs="Times New Roman"/>
          <w:sz w:val="20"/>
          <w:szCs w:val="20"/>
        </w:rPr>
      </w:pPr>
    </w:p>
    <w:tbl>
      <w:tblPr>
        <w:tblW w:w="10080" w:type="dxa"/>
        <w:tblLayout w:type="fixed"/>
        <w:tblLook w:val="04A0" w:firstRow="1" w:lastRow="0" w:firstColumn="1" w:lastColumn="0" w:noHBand="0" w:noVBand="1"/>
      </w:tblPr>
      <w:tblGrid>
        <w:gridCol w:w="1800"/>
        <w:gridCol w:w="1152"/>
        <w:gridCol w:w="1152"/>
        <w:gridCol w:w="1152"/>
        <w:gridCol w:w="1152"/>
        <w:gridCol w:w="1152"/>
        <w:gridCol w:w="1152"/>
        <w:gridCol w:w="1152"/>
        <w:gridCol w:w="216"/>
      </w:tblGrid>
      <w:tr w:rsidR="00C20459" w:rsidRPr="006207BC" w14:paraId="4F8931E7" w14:textId="77777777">
        <w:trPr>
          <w:gridAfter w:val="1"/>
          <w:wAfter w:w="216" w:type="dxa"/>
        </w:trPr>
        <w:tc>
          <w:tcPr>
            <w:tcW w:w="1800" w:type="dxa"/>
            <w:tcBorders>
              <w:top w:val="single" w:sz="4" w:space="0" w:color="auto"/>
              <w:bottom w:val="single" w:sz="4" w:space="0" w:color="auto"/>
            </w:tcBorders>
          </w:tcPr>
          <w:p w14:paraId="379751F0" w14:textId="77777777" w:rsidR="00C20459" w:rsidRPr="006207BC" w:rsidRDefault="00A61DC5">
            <w:pPr>
              <w:spacing w:after="0" w:line="240" w:lineRule="auto"/>
              <w:ind w:left="-19"/>
              <w:rPr>
                <w:rFonts w:ascii="Times New Roman" w:hAnsi="Times New Roman" w:cs="Times New Roman"/>
                <w:sz w:val="20"/>
                <w:szCs w:val="20"/>
              </w:rPr>
            </w:pPr>
            <w:r w:rsidRPr="006207BC">
              <w:rPr>
                <w:rFonts w:ascii="Times New Roman" w:hAnsi="Times New Roman" w:cs="Times New Roman"/>
                <w:sz w:val="20"/>
                <w:szCs w:val="20"/>
              </w:rPr>
              <w:t>Variable</w:t>
            </w:r>
          </w:p>
        </w:tc>
        <w:tc>
          <w:tcPr>
            <w:tcW w:w="1152" w:type="dxa"/>
            <w:tcBorders>
              <w:top w:val="single" w:sz="4" w:space="0" w:color="auto"/>
              <w:bottom w:val="single" w:sz="4" w:space="0" w:color="auto"/>
            </w:tcBorders>
          </w:tcPr>
          <w:p w14:paraId="432F393B"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Mean</w:t>
            </w:r>
          </w:p>
        </w:tc>
        <w:tc>
          <w:tcPr>
            <w:tcW w:w="1152" w:type="dxa"/>
            <w:tcBorders>
              <w:top w:val="single" w:sz="4" w:space="0" w:color="auto"/>
              <w:bottom w:val="single" w:sz="4" w:space="0" w:color="auto"/>
            </w:tcBorders>
          </w:tcPr>
          <w:p w14:paraId="05B36C7F"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STD</w:t>
            </w:r>
          </w:p>
        </w:tc>
        <w:tc>
          <w:tcPr>
            <w:tcW w:w="1152" w:type="dxa"/>
            <w:tcBorders>
              <w:top w:val="single" w:sz="4" w:space="0" w:color="auto"/>
              <w:bottom w:val="single" w:sz="4" w:space="0" w:color="auto"/>
            </w:tcBorders>
          </w:tcPr>
          <w:p w14:paraId="4F55F25E"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1st percentile</w:t>
            </w:r>
          </w:p>
        </w:tc>
        <w:tc>
          <w:tcPr>
            <w:tcW w:w="1152" w:type="dxa"/>
            <w:tcBorders>
              <w:top w:val="single" w:sz="4" w:space="0" w:color="auto"/>
              <w:bottom w:val="single" w:sz="4" w:space="0" w:color="auto"/>
            </w:tcBorders>
          </w:tcPr>
          <w:p w14:paraId="2F3FDCC3"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lang w:eastAsia="fr-FR"/>
              </w:rPr>
              <w:t>25th percentile</w:t>
            </w:r>
          </w:p>
        </w:tc>
        <w:tc>
          <w:tcPr>
            <w:tcW w:w="1152" w:type="dxa"/>
            <w:tcBorders>
              <w:top w:val="single" w:sz="4" w:space="0" w:color="auto"/>
              <w:bottom w:val="single" w:sz="4" w:space="0" w:color="auto"/>
            </w:tcBorders>
          </w:tcPr>
          <w:p w14:paraId="4004EBCC"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Median</w:t>
            </w:r>
          </w:p>
        </w:tc>
        <w:tc>
          <w:tcPr>
            <w:tcW w:w="1152" w:type="dxa"/>
            <w:tcBorders>
              <w:top w:val="single" w:sz="4" w:space="0" w:color="auto"/>
              <w:bottom w:val="single" w:sz="4" w:space="0" w:color="auto"/>
            </w:tcBorders>
          </w:tcPr>
          <w:p w14:paraId="17D6CB7A"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lang w:eastAsia="fr-FR"/>
              </w:rPr>
              <w:t>75th percentile</w:t>
            </w:r>
          </w:p>
        </w:tc>
        <w:tc>
          <w:tcPr>
            <w:tcW w:w="1152" w:type="dxa"/>
            <w:tcBorders>
              <w:top w:val="single" w:sz="4" w:space="0" w:color="auto"/>
              <w:bottom w:val="single" w:sz="4" w:space="0" w:color="auto"/>
            </w:tcBorders>
          </w:tcPr>
          <w:p w14:paraId="2648BD0C"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99th percentile</w:t>
            </w:r>
          </w:p>
        </w:tc>
      </w:tr>
      <w:tr w:rsidR="00C20459" w:rsidRPr="006207BC" w14:paraId="72384AE5" w14:textId="77777777">
        <w:trPr>
          <w:gridAfter w:val="1"/>
          <w:wAfter w:w="216" w:type="dxa"/>
        </w:trPr>
        <w:tc>
          <w:tcPr>
            <w:tcW w:w="1800" w:type="dxa"/>
            <w:tcBorders>
              <w:top w:val="single" w:sz="4" w:space="0" w:color="auto"/>
            </w:tcBorders>
          </w:tcPr>
          <w:p w14:paraId="5D4C3BC4" w14:textId="59F34276"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Analyst</w:t>
            </w:r>
            <w:r w:rsidR="001C1A0F" w:rsidRPr="006207BC">
              <w:rPr>
                <w:rFonts w:ascii="Times New Roman" w:hAnsi="Times New Roman" w:cs="Times New Roman"/>
                <w:i/>
                <w:sz w:val="20"/>
                <w:szCs w:val="20"/>
              </w:rPr>
              <w:t xml:space="preserve">  </w:t>
            </w:r>
          </w:p>
        </w:tc>
        <w:tc>
          <w:tcPr>
            <w:tcW w:w="1152" w:type="dxa"/>
            <w:tcBorders>
              <w:top w:val="single" w:sz="4" w:space="0" w:color="auto"/>
            </w:tcBorders>
            <w:vAlign w:val="bottom"/>
          </w:tcPr>
          <w:p w14:paraId="509DA7AB" w14:textId="3800A4A5"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16.3090</w:t>
            </w:r>
          </w:p>
        </w:tc>
        <w:tc>
          <w:tcPr>
            <w:tcW w:w="1152" w:type="dxa"/>
            <w:tcBorders>
              <w:top w:val="single" w:sz="4" w:space="0" w:color="auto"/>
            </w:tcBorders>
            <w:vAlign w:val="bottom"/>
          </w:tcPr>
          <w:p w14:paraId="4B362050" w14:textId="07D527E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7.8080</w:t>
            </w:r>
          </w:p>
        </w:tc>
        <w:tc>
          <w:tcPr>
            <w:tcW w:w="1152" w:type="dxa"/>
            <w:tcBorders>
              <w:top w:val="single" w:sz="4" w:space="0" w:color="auto"/>
            </w:tcBorders>
            <w:vAlign w:val="bottom"/>
          </w:tcPr>
          <w:p w14:paraId="76828B0E" w14:textId="47B528A4"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c>
          <w:tcPr>
            <w:tcW w:w="1152" w:type="dxa"/>
            <w:tcBorders>
              <w:top w:val="single" w:sz="4" w:space="0" w:color="auto"/>
            </w:tcBorders>
            <w:vAlign w:val="bottom"/>
          </w:tcPr>
          <w:p w14:paraId="091D8ACE" w14:textId="603A6D5B"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10.0000</w:t>
            </w:r>
          </w:p>
        </w:tc>
        <w:tc>
          <w:tcPr>
            <w:tcW w:w="1152" w:type="dxa"/>
            <w:tcBorders>
              <w:top w:val="single" w:sz="4" w:space="0" w:color="auto"/>
            </w:tcBorders>
            <w:vAlign w:val="bottom"/>
          </w:tcPr>
          <w:p w14:paraId="4D62B7E8" w14:textId="1CC16495"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16.0000</w:t>
            </w:r>
          </w:p>
        </w:tc>
        <w:tc>
          <w:tcPr>
            <w:tcW w:w="1152" w:type="dxa"/>
            <w:tcBorders>
              <w:top w:val="single" w:sz="4" w:space="0" w:color="auto"/>
            </w:tcBorders>
            <w:vAlign w:val="bottom"/>
          </w:tcPr>
          <w:p w14:paraId="5F362C86" w14:textId="3D773B76"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21.0000</w:t>
            </w:r>
          </w:p>
        </w:tc>
        <w:tc>
          <w:tcPr>
            <w:tcW w:w="1152" w:type="dxa"/>
            <w:tcBorders>
              <w:top w:val="single" w:sz="4" w:space="0" w:color="auto"/>
            </w:tcBorders>
            <w:vAlign w:val="bottom"/>
          </w:tcPr>
          <w:p w14:paraId="3C570A70" w14:textId="0AF3CB3F"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37.0000</w:t>
            </w:r>
          </w:p>
        </w:tc>
      </w:tr>
      <w:tr w:rsidR="00C20459" w:rsidRPr="006207BC" w14:paraId="3F7B5E5B" w14:textId="77777777">
        <w:trPr>
          <w:gridAfter w:val="1"/>
          <w:wAfter w:w="216" w:type="dxa"/>
        </w:trPr>
        <w:tc>
          <w:tcPr>
            <w:tcW w:w="1800" w:type="dxa"/>
          </w:tcPr>
          <w:p w14:paraId="749E15B8"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Risk_sentences</w:t>
            </w:r>
          </w:p>
        </w:tc>
        <w:tc>
          <w:tcPr>
            <w:tcW w:w="1152" w:type="dxa"/>
            <w:vAlign w:val="bottom"/>
          </w:tcPr>
          <w:p w14:paraId="6FB42EA6"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136.526</w:t>
            </w:r>
          </w:p>
        </w:tc>
        <w:tc>
          <w:tcPr>
            <w:tcW w:w="1152" w:type="dxa"/>
            <w:vAlign w:val="bottom"/>
          </w:tcPr>
          <w:p w14:paraId="6E6E8B6A" w14:textId="268BC13A"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77.479</w:t>
            </w:r>
          </w:p>
        </w:tc>
        <w:tc>
          <w:tcPr>
            <w:tcW w:w="1152" w:type="dxa"/>
            <w:vAlign w:val="bottom"/>
          </w:tcPr>
          <w:p w14:paraId="21E75E1E"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10.000</w:t>
            </w:r>
          </w:p>
        </w:tc>
        <w:tc>
          <w:tcPr>
            <w:tcW w:w="1152" w:type="dxa"/>
            <w:vAlign w:val="bottom"/>
          </w:tcPr>
          <w:p w14:paraId="44125B12" w14:textId="52833FF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80.000</w:t>
            </w:r>
          </w:p>
        </w:tc>
        <w:tc>
          <w:tcPr>
            <w:tcW w:w="1152" w:type="dxa"/>
            <w:vAlign w:val="bottom"/>
          </w:tcPr>
          <w:p w14:paraId="0F3CA7E5"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123.000</w:t>
            </w:r>
          </w:p>
        </w:tc>
        <w:tc>
          <w:tcPr>
            <w:tcW w:w="1152" w:type="dxa"/>
            <w:vAlign w:val="bottom"/>
          </w:tcPr>
          <w:p w14:paraId="2501B451"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174.000</w:t>
            </w:r>
          </w:p>
        </w:tc>
        <w:tc>
          <w:tcPr>
            <w:tcW w:w="1152" w:type="dxa"/>
            <w:vAlign w:val="bottom"/>
          </w:tcPr>
          <w:p w14:paraId="4D6F3CC6"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441.000</w:t>
            </w:r>
          </w:p>
        </w:tc>
      </w:tr>
      <w:tr w:rsidR="00C20459" w:rsidRPr="006207BC" w14:paraId="65D26CCC" w14:textId="77777777">
        <w:trPr>
          <w:gridAfter w:val="1"/>
          <w:wAfter w:w="216" w:type="dxa"/>
        </w:trPr>
        <w:tc>
          <w:tcPr>
            <w:tcW w:w="1800" w:type="dxa"/>
          </w:tcPr>
          <w:p w14:paraId="7ADFAE82"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Risk_words</w:t>
            </w:r>
          </w:p>
        </w:tc>
        <w:tc>
          <w:tcPr>
            <w:tcW w:w="1152" w:type="dxa"/>
            <w:vAlign w:val="bottom"/>
          </w:tcPr>
          <w:p w14:paraId="7236AF2E"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145.565</w:t>
            </w:r>
          </w:p>
        </w:tc>
        <w:tc>
          <w:tcPr>
            <w:tcW w:w="1152" w:type="dxa"/>
            <w:vAlign w:val="bottom"/>
          </w:tcPr>
          <w:p w14:paraId="36EB5E97" w14:textId="5143ECE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80.054</w:t>
            </w:r>
          </w:p>
        </w:tc>
        <w:tc>
          <w:tcPr>
            <w:tcW w:w="1152" w:type="dxa"/>
            <w:vAlign w:val="bottom"/>
          </w:tcPr>
          <w:p w14:paraId="7E988977" w14:textId="6993B615"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9.000</w:t>
            </w:r>
          </w:p>
        </w:tc>
        <w:tc>
          <w:tcPr>
            <w:tcW w:w="1152" w:type="dxa"/>
            <w:vAlign w:val="bottom"/>
          </w:tcPr>
          <w:p w14:paraId="3CDE866D" w14:textId="6FD1CB6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89.000</w:t>
            </w:r>
          </w:p>
        </w:tc>
        <w:tc>
          <w:tcPr>
            <w:tcW w:w="1152" w:type="dxa"/>
            <w:vAlign w:val="bottom"/>
          </w:tcPr>
          <w:p w14:paraId="3FD7E887"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132.000</w:t>
            </w:r>
          </w:p>
        </w:tc>
        <w:tc>
          <w:tcPr>
            <w:tcW w:w="1152" w:type="dxa"/>
            <w:vAlign w:val="bottom"/>
          </w:tcPr>
          <w:p w14:paraId="59005038"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180.000</w:t>
            </w:r>
          </w:p>
        </w:tc>
        <w:tc>
          <w:tcPr>
            <w:tcW w:w="1152" w:type="dxa"/>
            <w:vAlign w:val="bottom"/>
          </w:tcPr>
          <w:p w14:paraId="7C1251A0"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473.000</w:t>
            </w:r>
          </w:p>
        </w:tc>
      </w:tr>
      <w:tr w:rsidR="00C20459" w:rsidRPr="006207BC" w14:paraId="307DF766" w14:textId="77777777">
        <w:trPr>
          <w:gridAfter w:val="1"/>
          <w:wAfter w:w="216" w:type="dxa"/>
        </w:trPr>
        <w:tc>
          <w:tcPr>
            <w:tcW w:w="1800" w:type="dxa"/>
          </w:tcPr>
          <w:p w14:paraId="54A4A9BF"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Risk_factors</w:t>
            </w:r>
          </w:p>
        </w:tc>
        <w:tc>
          <w:tcPr>
            <w:tcW w:w="1152" w:type="dxa"/>
            <w:vAlign w:val="bottom"/>
          </w:tcPr>
          <w:p w14:paraId="4C10E3D8" w14:textId="5A51023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34.317</w:t>
            </w:r>
          </w:p>
        </w:tc>
        <w:tc>
          <w:tcPr>
            <w:tcW w:w="1152" w:type="dxa"/>
            <w:vAlign w:val="bottom"/>
          </w:tcPr>
          <w:p w14:paraId="3F01BF0B" w14:textId="7A8F8E4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22.556</w:t>
            </w:r>
          </w:p>
        </w:tc>
        <w:tc>
          <w:tcPr>
            <w:tcW w:w="1152" w:type="dxa"/>
            <w:vAlign w:val="bottom"/>
          </w:tcPr>
          <w:p w14:paraId="410AE036" w14:textId="6F6C7359"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0.000</w:t>
            </w:r>
          </w:p>
        </w:tc>
        <w:tc>
          <w:tcPr>
            <w:tcW w:w="1152" w:type="dxa"/>
            <w:vAlign w:val="bottom"/>
          </w:tcPr>
          <w:p w14:paraId="594861F0" w14:textId="78BB8AE8"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17.000</w:t>
            </w:r>
          </w:p>
        </w:tc>
        <w:tc>
          <w:tcPr>
            <w:tcW w:w="1152" w:type="dxa"/>
            <w:vAlign w:val="bottom"/>
          </w:tcPr>
          <w:p w14:paraId="48E22AB9" w14:textId="5613D734"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31.000</w:t>
            </w:r>
          </w:p>
        </w:tc>
        <w:tc>
          <w:tcPr>
            <w:tcW w:w="1152" w:type="dxa"/>
            <w:vAlign w:val="bottom"/>
          </w:tcPr>
          <w:p w14:paraId="278DE2AF" w14:textId="6963AE9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45.000</w:t>
            </w:r>
          </w:p>
        </w:tc>
        <w:tc>
          <w:tcPr>
            <w:tcW w:w="1152" w:type="dxa"/>
            <w:vAlign w:val="bottom"/>
          </w:tcPr>
          <w:p w14:paraId="093E277F"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110.000</w:t>
            </w:r>
          </w:p>
        </w:tc>
      </w:tr>
      <w:tr w:rsidR="00C20459" w:rsidRPr="006207BC" w14:paraId="1A72EC43" w14:textId="77777777">
        <w:trPr>
          <w:gridAfter w:val="1"/>
          <w:wAfter w:w="216" w:type="dxa"/>
        </w:trPr>
        <w:tc>
          <w:tcPr>
            <w:tcW w:w="1800" w:type="dxa"/>
          </w:tcPr>
          <w:p w14:paraId="6B88C9BC"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Total_sentences</w:t>
            </w:r>
          </w:p>
        </w:tc>
        <w:tc>
          <w:tcPr>
            <w:tcW w:w="1152" w:type="dxa"/>
            <w:vAlign w:val="bottom"/>
          </w:tcPr>
          <w:p w14:paraId="79B02EA6"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252.337</w:t>
            </w:r>
          </w:p>
        </w:tc>
        <w:tc>
          <w:tcPr>
            <w:tcW w:w="1152" w:type="dxa"/>
            <w:vAlign w:val="bottom"/>
          </w:tcPr>
          <w:p w14:paraId="76FA9228"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142.761</w:t>
            </w:r>
          </w:p>
        </w:tc>
        <w:tc>
          <w:tcPr>
            <w:tcW w:w="1152" w:type="dxa"/>
            <w:vAlign w:val="bottom"/>
          </w:tcPr>
          <w:p w14:paraId="05C6127A"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17.000</w:t>
            </w:r>
          </w:p>
        </w:tc>
        <w:tc>
          <w:tcPr>
            <w:tcW w:w="1152" w:type="dxa"/>
            <w:vAlign w:val="bottom"/>
          </w:tcPr>
          <w:p w14:paraId="1ABF953C"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157.000</w:t>
            </w:r>
          </w:p>
        </w:tc>
        <w:tc>
          <w:tcPr>
            <w:tcW w:w="1152" w:type="dxa"/>
            <w:vAlign w:val="bottom"/>
          </w:tcPr>
          <w:p w14:paraId="42CCDA24"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227.000</w:t>
            </w:r>
          </w:p>
        </w:tc>
        <w:tc>
          <w:tcPr>
            <w:tcW w:w="1152" w:type="dxa"/>
            <w:vAlign w:val="bottom"/>
          </w:tcPr>
          <w:p w14:paraId="47D96B86"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315.000</w:t>
            </w:r>
          </w:p>
        </w:tc>
        <w:tc>
          <w:tcPr>
            <w:tcW w:w="1152" w:type="dxa"/>
            <w:vAlign w:val="bottom"/>
          </w:tcPr>
          <w:p w14:paraId="7AFEC25A"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878.000</w:t>
            </w:r>
          </w:p>
        </w:tc>
      </w:tr>
      <w:tr w:rsidR="00C20459" w:rsidRPr="006207BC" w14:paraId="39016DB6" w14:textId="77777777">
        <w:trPr>
          <w:gridAfter w:val="1"/>
          <w:wAfter w:w="216" w:type="dxa"/>
        </w:trPr>
        <w:tc>
          <w:tcPr>
            <w:tcW w:w="1800" w:type="dxa"/>
          </w:tcPr>
          <w:p w14:paraId="45DE79AA" w14:textId="6B15482E" w:rsidR="00C20459" w:rsidRPr="006207BC" w:rsidRDefault="00B025A1">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Ownership</w:t>
            </w:r>
          </w:p>
        </w:tc>
        <w:tc>
          <w:tcPr>
            <w:tcW w:w="1152" w:type="dxa"/>
            <w:vAlign w:val="bottom"/>
          </w:tcPr>
          <w:p w14:paraId="02EE58DC" w14:textId="1883F7F2"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0.3434</w:t>
            </w:r>
          </w:p>
        </w:tc>
        <w:tc>
          <w:tcPr>
            <w:tcW w:w="1152" w:type="dxa"/>
            <w:vAlign w:val="bottom"/>
          </w:tcPr>
          <w:p w14:paraId="0CD3AB32" w14:textId="1DAC340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0.2478</w:t>
            </w:r>
          </w:p>
        </w:tc>
        <w:tc>
          <w:tcPr>
            <w:tcW w:w="1152" w:type="dxa"/>
            <w:vAlign w:val="bottom"/>
          </w:tcPr>
          <w:p w14:paraId="2F5B4448" w14:textId="3ACD976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0.0000</w:t>
            </w:r>
          </w:p>
        </w:tc>
        <w:tc>
          <w:tcPr>
            <w:tcW w:w="1152" w:type="dxa"/>
            <w:vAlign w:val="bottom"/>
          </w:tcPr>
          <w:p w14:paraId="5B574195" w14:textId="7AB2ACF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0.1158</w:t>
            </w:r>
          </w:p>
        </w:tc>
        <w:tc>
          <w:tcPr>
            <w:tcW w:w="1152" w:type="dxa"/>
            <w:vAlign w:val="bottom"/>
          </w:tcPr>
          <w:p w14:paraId="3D7BCE01" w14:textId="36229A9D"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0.2995</w:t>
            </w:r>
          </w:p>
        </w:tc>
        <w:tc>
          <w:tcPr>
            <w:tcW w:w="1152" w:type="dxa"/>
            <w:vAlign w:val="bottom"/>
          </w:tcPr>
          <w:p w14:paraId="519AC87D" w14:textId="48C42265"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0.5446</w:t>
            </w:r>
          </w:p>
        </w:tc>
        <w:tc>
          <w:tcPr>
            <w:tcW w:w="1152" w:type="dxa"/>
            <w:vAlign w:val="bottom"/>
          </w:tcPr>
          <w:p w14:paraId="3A0A523B" w14:textId="73AFEE0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0.9587</w:t>
            </w:r>
          </w:p>
        </w:tc>
      </w:tr>
      <w:tr w:rsidR="00C20459" w:rsidRPr="006207BC" w14:paraId="612383CE" w14:textId="77777777">
        <w:trPr>
          <w:gridAfter w:val="1"/>
          <w:wAfter w:w="216" w:type="dxa"/>
        </w:trPr>
        <w:tc>
          <w:tcPr>
            <w:tcW w:w="1800" w:type="dxa"/>
          </w:tcPr>
          <w:p w14:paraId="06DAB583" w14:textId="4166E2A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Size (millions of euros)</w:t>
            </w:r>
          </w:p>
        </w:tc>
        <w:tc>
          <w:tcPr>
            <w:tcW w:w="1152" w:type="dxa"/>
            <w:vAlign w:val="bottom"/>
          </w:tcPr>
          <w:p w14:paraId="0F7226A1" w14:textId="2D008CB6"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12.2608</w:t>
            </w:r>
          </w:p>
        </w:tc>
        <w:tc>
          <w:tcPr>
            <w:tcW w:w="1152" w:type="dxa"/>
            <w:vAlign w:val="bottom"/>
          </w:tcPr>
          <w:p w14:paraId="29409F45" w14:textId="3C0E6341"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20.4711</w:t>
            </w:r>
          </w:p>
        </w:tc>
        <w:tc>
          <w:tcPr>
            <w:tcW w:w="1152" w:type="dxa"/>
            <w:vAlign w:val="bottom"/>
          </w:tcPr>
          <w:p w14:paraId="2F2AD70F" w14:textId="4F49B6F8"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0.06120</w:t>
            </w:r>
          </w:p>
        </w:tc>
        <w:tc>
          <w:tcPr>
            <w:tcW w:w="1152" w:type="dxa"/>
            <w:vAlign w:val="bottom"/>
          </w:tcPr>
          <w:p w14:paraId="19892EBF" w14:textId="46E1151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1.4000</w:t>
            </w:r>
          </w:p>
        </w:tc>
        <w:tc>
          <w:tcPr>
            <w:tcW w:w="1152" w:type="dxa"/>
            <w:vAlign w:val="bottom"/>
          </w:tcPr>
          <w:p w14:paraId="3ED31620" w14:textId="2288AB4C"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3.9000</w:t>
            </w:r>
          </w:p>
        </w:tc>
        <w:tc>
          <w:tcPr>
            <w:tcW w:w="1152" w:type="dxa"/>
            <w:vAlign w:val="bottom"/>
          </w:tcPr>
          <w:p w14:paraId="4304A111" w14:textId="475BBF9A"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14.0000</w:t>
            </w:r>
          </w:p>
        </w:tc>
        <w:tc>
          <w:tcPr>
            <w:tcW w:w="1152" w:type="dxa"/>
            <w:vAlign w:val="bottom"/>
          </w:tcPr>
          <w:p w14:paraId="23A3E20B" w14:textId="5F2295FA"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90.440</w:t>
            </w:r>
          </w:p>
        </w:tc>
      </w:tr>
      <w:tr w:rsidR="00C20459" w:rsidRPr="006207BC" w14:paraId="341CAE66" w14:textId="77777777">
        <w:trPr>
          <w:gridAfter w:val="1"/>
          <w:wAfter w:w="216" w:type="dxa"/>
        </w:trPr>
        <w:tc>
          <w:tcPr>
            <w:tcW w:w="1800" w:type="dxa"/>
          </w:tcPr>
          <w:p w14:paraId="2A845E70"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Beta</w:t>
            </w:r>
          </w:p>
        </w:tc>
        <w:tc>
          <w:tcPr>
            <w:tcW w:w="1152" w:type="dxa"/>
            <w:vAlign w:val="bottom"/>
          </w:tcPr>
          <w:p w14:paraId="3327B80B" w14:textId="31235D0D"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0.8200</w:t>
            </w:r>
          </w:p>
        </w:tc>
        <w:tc>
          <w:tcPr>
            <w:tcW w:w="1152" w:type="dxa"/>
            <w:vAlign w:val="bottom"/>
          </w:tcPr>
          <w:p w14:paraId="15CC512B" w14:textId="3CECA8D4"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0.3280</w:t>
            </w:r>
          </w:p>
        </w:tc>
        <w:tc>
          <w:tcPr>
            <w:tcW w:w="1152" w:type="dxa"/>
            <w:vAlign w:val="bottom"/>
          </w:tcPr>
          <w:p w14:paraId="5A52A9EC" w14:textId="1E5985BE"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0.0880</w:t>
            </w:r>
          </w:p>
        </w:tc>
        <w:tc>
          <w:tcPr>
            <w:tcW w:w="1152" w:type="dxa"/>
            <w:vAlign w:val="bottom"/>
          </w:tcPr>
          <w:p w14:paraId="304DB1A1" w14:textId="5390477E"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0.5770</w:t>
            </w:r>
          </w:p>
        </w:tc>
        <w:tc>
          <w:tcPr>
            <w:tcW w:w="1152" w:type="dxa"/>
            <w:vAlign w:val="bottom"/>
          </w:tcPr>
          <w:p w14:paraId="2FA440BC" w14:textId="670F7E39"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0.8174</w:t>
            </w:r>
          </w:p>
        </w:tc>
        <w:tc>
          <w:tcPr>
            <w:tcW w:w="1152" w:type="dxa"/>
            <w:vAlign w:val="bottom"/>
          </w:tcPr>
          <w:p w14:paraId="4B543E91" w14:textId="2B5A226E" w:rsidR="00C20459" w:rsidRPr="006207BC" w:rsidRDefault="001C1A0F" w:rsidP="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1.0470</w:t>
            </w:r>
          </w:p>
        </w:tc>
        <w:tc>
          <w:tcPr>
            <w:tcW w:w="1152" w:type="dxa"/>
            <w:vAlign w:val="bottom"/>
          </w:tcPr>
          <w:p w14:paraId="79F12B72" w14:textId="018073DF"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1.5800</w:t>
            </w:r>
          </w:p>
        </w:tc>
      </w:tr>
      <w:tr w:rsidR="00C20459" w:rsidRPr="006207BC" w14:paraId="7269EA3C" w14:textId="77777777">
        <w:trPr>
          <w:gridAfter w:val="1"/>
          <w:wAfter w:w="216" w:type="dxa"/>
        </w:trPr>
        <w:tc>
          <w:tcPr>
            <w:tcW w:w="1800" w:type="dxa"/>
          </w:tcPr>
          <w:p w14:paraId="4B5B4DCE"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Earnings surprise</w:t>
            </w:r>
          </w:p>
        </w:tc>
        <w:tc>
          <w:tcPr>
            <w:tcW w:w="1152" w:type="dxa"/>
            <w:vAlign w:val="bottom"/>
          </w:tcPr>
          <w:p w14:paraId="08C4AE02" w14:textId="20B3EC58"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0.0030</w:t>
            </w:r>
          </w:p>
        </w:tc>
        <w:tc>
          <w:tcPr>
            <w:tcW w:w="1152" w:type="dxa"/>
            <w:vAlign w:val="bottom"/>
          </w:tcPr>
          <w:p w14:paraId="7C5431DA" w14:textId="243CEC4F"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0.1370</w:t>
            </w:r>
          </w:p>
        </w:tc>
        <w:tc>
          <w:tcPr>
            <w:tcW w:w="1152" w:type="dxa"/>
            <w:vAlign w:val="bottom"/>
          </w:tcPr>
          <w:p w14:paraId="45098210" w14:textId="6F74FF91"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-0.6100</w:t>
            </w:r>
          </w:p>
        </w:tc>
        <w:tc>
          <w:tcPr>
            <w:tcW w:w="1152" w:type="dxa"/>
            <w:vAlign w:val="bottom"/>
          </w:tcPr>
          <w:p w14:paraId="18CF820C" w14:textId="4D5521C2"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-0.0160</w:t>
            </w:r>
          </w:p>
        </w:tc>
        <w:tc>
          <w:tcPr>
            <w:tcW w:w="1152" w:type="dxa"/>
            <w:vAlign w:val="bottom"/>
          </w:tcPr>
          <w:p w14:paraId="6BBCBEDA" w14:textId="4D00C26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0.0023</w:t>
            </w:r>
          </w:p>
        </w:tc>
        <w:tc>
          <w:tcPr>
            <w:tcW w:w="1152" w:type="dxa"/>
            <w:vAlign w:val="bottom"/>
          </w:tcPr>
          <w:p w14:paraId="42F2AFC0" w14:textId="4BE77321"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0.0150</w:t>
            </w:r>
          </w:p>
        </w:tc>
        <w:tc>
          <w:tcPr>
            <w:tcW w:w="1152" w:type="dxa"/>
            <w:vAlign w:val="bottom"/>
          </w:tcPr>
          <w:p w14:paraId="734D2AA5" w14:textId="6E2DD8E9"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0.7460</w:t>
            </w:r>
          </w:p>
        </w:tc>
      </w:tr>
      <w:tr w:rsidR="00C20459" w:rsidRPr="006207BC" w14:paraId="78C7320A" w14:textId="77777777">
        <w:trPr>
          <w:gridAfter w:val="1"/>
          <w:wAfter w:w="216" w:type="dxa"/>
        </w:trPr>
        <w:tc>
          <w:tcPr>
            <w:tcW w:w="1800" w:type="dxa"/>
          </w:tcPr>
          <w:p w14:paraId="644BE805"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Return STD</w:t>
            </w:r>
          </w:p>
        </w:tc>
        <w:tc>
          <w:tcPr>
            <w:tcW w:w="1152" w:type="dxa"/>
            <w:vAlign w:val="bottom"/>
          </w:tcPr>
          <w:p w14:paraId="4F10FB21" w14:textId="39E12421"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0.3310</w:t>
            </w:r>
          </w:p>
        </w:tc>
        <w:tc>
          <w:tcPr>
            <w:tcW w:w="1152" w:type="dxa"/>
            <w:vAlign w:val="bottom"/>
          </w:tcPr>
          <w:p w14:paraId="597F0FBB" w14:textId="7887F0DD"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0.1040</w:t>
            </w:r>
          </w:p>
        </w:tc>
        <w:tc>
          <w:tcPr>
            <w:tcW w:w="1152" w:type="dxa"/>
            <w:vAlign w:val="bottom"/>
          </w:tcPr>
          <w:p w14:paraId="7A8B649A" w14:textId="3064ABA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0.1770</w:t>
            </w:r>
          </w:p>
        </w:tc>
        <w:tc>
          <w:tcPr>
            <w:tcW w:w="1152" w:type="dxa"/>
            <w:vAlign w:val="bottom"/>
          </w:tcPr>
          <w:p w14:paraId="509F68D2" w14:textId="78BBA8BA"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0.2490</w:t>
            </w:r>
          </w:p>
        </w:tc>
        <w:tc>
          <w:tcPr>
            <w:tcW w:w="1152" w:type="dxa"/>
            <w:vAlign w:val="bottom"/>
          </w:tcPr>
          <w:p w14:paraId="0E852A51" w14:textId="2658C2D5"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0.3113</w:t>
            </w:r>
          </w:p>
        </w:tc>
        <w:tc>
          <w:tcPr>
            <w:tcW w:w="1152" w:type="dxa"/>
            <w:vAlign w:val="bottom"/>
          </w:tcPr>
          <w:p w14:paraId="25B519BA" w14:textId="7990EC2E"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0.3950</w:t>
            </w:r>
          </w:p>
        </w:tc>
        <w:tc>
          <w:tcPr>
            <w:tcW w:w="1152" w:type="dxa"/>
            <w:vAlign w:val="bottom"/>
          </w:tcPr>
          <w:p w14:paraId="2FA8C62B" w14:textId="78D21352"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0.7090</w:t>
            </w:r>
          </w:p>
        </w:tc>
      </w:tr>
      <w:tr w:rsidR="00C20459" w:rsidRPr="006207BC" w14:paraId="3BC5E485" w14:textId="77777777">
        <w:trPr>
          <w:gridAfter w:val="1"/>
          <w:wAfter w:w="216" w:type="dxa"/>
        </w:trPr>
        <w:tc>
          <w:tcPr>
            <w:tcW w:w="1800" w:type="dxa"/>
          </w:tcPr>
          <w:p w14:paraId="0CD7A259"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Profitability</w:t>
            </w:r>
          </w:p>
        </w:tc>
        <w:tc>
          <w:tcPr>
            <w:tcW w:w="1152" w:type="dxa"/>
            <w:vAlign w:val="bottom"/>
          </w:tcPr>
          <w:p w14:paraId="477BD56C" w14:textId="698BFA9C"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0.0780</w:t>
            </w:r>
          </w:p>
        </w:tc>
        <w:tc>
          <w:tcPr>
            <w:tcW w:w="1152" w:type="dxa"/>
            <w:vAlign w:val="bottom"/>
          </w:tcPr>
          <w:p w14:paraId="74B766B3" w14:textId="7455A13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0.0900</w:t>
            </w:r>
          </w:p>
        </w:tc>
        <w:tc>
          <w:tcPr>
            <w:tcW w:w="1152" w:type="dxa"/>
            <w:vAlign w:val="bottom"/>
          </w:tcPr>
          <w:p w14:paraId="3AEBD265" w14:textId="5B09949C"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-0.3140</w:t>
            </w:r>
          </w:p>
        </w:tc>
        <w:tc>
          <w:tcPr>
            <w:tcW w:w="1152" w:type="dxa"/>
            <w:vAlign w:val="bottom"/>
          </w:tcPr>
          <w:p w14:paraId="03F33FCA" w14:textId="40629AA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0.0420</w:t>
            </w:r>
          </w:p>
        </w:tc>
        <w:tc>
          <w:tcPr>
            <w:tcW w:w="1152" w:type="dxa"/>
            <w:vAlign w:val="bottom"/>
          </w:tcPr>
          <w:p w14:paraId="25E2ECB8" w14:textId="2D90768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0.0726</w:t>
            </w:r>
          </w:p>
        </w:tc>
        <w:tc>
          <w:tcPr>
            <w:tcW w:w="1152" w:type="dxa"/>
            <w:vAlign w:val="bottom"/>
          </w:tcPr>
          <w:p w14:paraId="0DA01B80" w14:textId="4D507A5B"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0.1120</w:t>
            </w:r>
          </w:p>
        </w:tc>
        <w:tc>
          <w:tcPr>
            <w:tcW w:w="1152" w:type="dxa"/>
            <w:vAlign w:val="bottom"/>
          </w:tcPr>
          <w:p w14:paraId="524BAA02" w14:textId="74229CAB"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0.4970</w:t>
            </w:r>
          </w:p>
        </w:tc>
      </w:tr>
      <w:tr w:rsidR="00C20459" w:rsidRPr="006207BC" w14:paraId="14415F9F" w14:textId="77777777">
        <w:trPr>
          <w:gridAfter w:val="1"/>
          <w:wAfter w:w="216" w:type="dxa"/>
        </w:trPr>
        <w:tc>
          <w:tcPr>
            <w:tcW w:w="1800" w:type="dxa"/>
          </w:tcPr>
          <w:p w14:paraId="31DC9B55"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Market-to-book</w:t>
            </w:r>
          </w:p>
        </w:tc>
        <w:tc>
          <w:tcPr>
            <w:tcW w:w="1152" w:type="dxa"/>
            <w:vAlign w:val="bottom"/>
          </w:tcPr>
          <w:p w14:paraId="773FDD9F" w14:textId="51F4EB4A"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0.8520</w:t>
            </w:r>
          </w:p>
        </w:tc>
        <w:tc>
          <w:tcPr>
            <w:tcW w:w="1152" w:type="dxa"/>
            <w:vAlign w:val="bottom"/>
          </w:tcPr>
          <w:p w14:paraId="6826237B" w14:textId="040A586F"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0.8840</w:t>
            </w:r>
          </w:p>
        </w:tc>
        <w:tc>
          <w:tcPr>
            <w:tcW w:w="1152" w:type="dxa"/>
            <w:vAlign w:val="bottom"/>
          </w:tcPr>
          <w:p w14:paraId="1A2C164E" w14:textId="3B71D3C4"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0.0690</w:t>
            </w:r>
          </w:p>
        </w:tc>
        <w:tc>
          <w:tcPr>
            <w:tcW w:w="1152" w:type="dxa"/>
            <w:vAlign w:val="bottom"/>
          </w:tcPr>
          <w:p w14:paraId="2860620A" w14:textId="76F900A2"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0.3440</w:t>
            </w:r>
          </w:p>
        </w:tc>
        <w:tc>
          <w:tcPr>
            <w:tcW w:w="1152" w:type="dxa"/>
            <w:vAlign w:val="bottom"/>
          </w:tcPr>
          <w:p w14:paraId="149DD9D9" w14:textId="66B48284"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0.6108</w:t>
            </w:r>
          </w:p>
        </w:tc>
        <w:tc>
          <w:tcPr>
            <w:tcW w:w="1152" w:type="dxa"/>
            <w:vAlign w:val="bottom"/>
          </w:tcPr>
          <w:p w14:paraId="06BB26DD" w14:textId="52ED604B"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1.0260</w:t>
            </w:r>
          </w:p>
        </w:tc>
        <w:tc>
          <w:tcPr>
            <w:tcW w:w="1152" w:type="dxa"/>
            <w:vAlign w:val="bottom"/>
          </w:tcPr>
          <w:p w14:paraId="54CE9545" w14:textId="4712366A"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6.2730</w:t>
            </w:r>
          </w:p>
        </w:tc>
      </w:tr>
      <w:tr w:rsidR="00C20459" w:rsidRPr="006207BC" w14:paraId="3FCE36D3" w14:textId="77777777">
        <w:trPr>
          <w:gridAfter w:val="1"/>
          <w:wAfter w:w="216" w:type="dxa"/>
        </w:trPr>
        <w:tc>
          <w:tcPr>
            <w:tcW w:w="1800" w:type="dxa"/>
          </w:tcPr>
          <w:p w14:paraId="2AFE0B4A"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XLIST</w:t>
            </w:r>
          </w:p>
        </w:tc>
        <w:tc>
          <w:tcPr>
            <w:tcW w:w="1152" w:type="dxa"/>
            <w:vAlign w:val="bottom"/>
          </w:tcPr>
          <w:p w14:paraId="6F03D605" w14:textId="1A257AD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0.5250</w:t>
            </w:r>
          </w:p>
        </w:tc>
        <w:tc>
          <w:tcPr>
            <w:tcW w:w="1152" w:type="dxa"/>
            <w:vAlign w:val="bottom"/>
          </w:tcPr>
          <w:p w14:paraId="01366A3E" w14:textId="2054E62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0.5000</w:t>
            </w:r>
          </w:p>
        </w:tc>
        <w:tc>
          <w:tcPr>
            <w:tcW w:w="1152" w:type="dxa"/>
            <w:vAlign w:val="bottom"/>
          </w:tcPr>
          <w:p w14:paraId="1F9679B5" w14:textId="6C6E6E9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0.0000</w:t>
            </w:r>
          </w:p>
        </w:tc>
        <w:tc>
          <w:tcPr>
            <w:tcW w:w="1152" w:type="dxa"/>
            <w:vAlign w:val="bottom"/>
          </w:tcPr>
          <w:p w14:paraId="6AC7DC89" w14:textId="74ADFD35"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0.0000</w:t>
            </w:r>
          </w:p>
        </w:tc>
        <w:tc>
          <w:tcPr>
            <w:tcW w:w="1152" w:type="dxa"/>
            <w:vAlign w:val="bottom"/>
          </w:tcPr>
          <w:p w14:paraId="10645990" w14:textId="392E12F2"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c>
          <w:tcPr>
            <w:tcW w:w="1152" w:type="dxa"/>
            <w:vAlign w:val="bottom"/>
          </w:tcPr>
          <w:p w14:paraId="74CCA6D3" w14:textId="00BC686E"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c>
          <w:tcPr>
            <w:tcW w:w="1152" w:type="dxa"/>
            <w:vAlign w:val="bottom"/>
          </w:tcPr>
          <w:p w14:paraId="6A28F1B9" w14:textId="7106E102"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r>
      <w:tr w:rsidR="00C20459" w:rsidRPr="006207BC" w14:paraId="57D6194F" w14:textId="77777777">
        <w:trPr>
          <w:gridAfter w:val="1"/>
          <w:wAfter w:w="216" w:type="dxa"/>
        </w:trPr>
        <w:tc>
          <w:tcPr>
            <w:tcW w:w="1800" w:type="dxa"/>
          </w:tcPr>
          <w:p w14:paraId="651A16B7"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Issuance</w:t>
            </w:r>
          </w:p>
        </w:tc>
        <w:tc>
          <w:tcPr>
            <w:tcW w:w="1152" w:type="dxa"/>
            <w:vAlign w:val="bottom"/>
          </w:tcPr>
          <w:p w14:paraId="34E6510F" w14:textId="174372E9"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0.8670</w:t>
            </w:r>
          </w:p>
        </w:tc>
        <w:tc>
          <w:tcPr>
            <w:tcW w:w="1152" w:type="dxa"/>
            <w:vAlign w:val="bottom"/>
          </w:tcPr>
          <w:p w14:paraId="02C0797B" w14:textId="0383476F"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0.3400</w:t>
            </w:r>
          </w:p>
        </w:tc>
        <w:tc>
          <w:tcPr>
            <w:tcW w:w="1152" w:type="dxa"/>
            <w:vAlign w:val="bottom"/>
          </w:tcPr>
          <w:p w14:paraId="2D010CAC" w14:textId="7915C88D"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0.0000</w:t>
            </w:r>
          </w:p>
        </w:tc>
        <w:tc>
          <w:tcPr>
            <w:tcW w:w="1152" w:type="dxa"/>
            <w:vAlign w:val="bottom"/>
          </w:tcPr>
          <w:p w14:paraId="1C4FE3AD" w14:textId="207D6FF8"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c>
          <w:tcPr>
            <w:tcW w:w="1152" w:type="dxa"/>
            <w:vAlign w:val="bottom"/>
          </w:tcPr>
          <w:p w14:paraId="3FDE2F60" w14:textId="5DBF8E7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c>
          <w:tcPr>
            <w:tcW w:w="1152" w:type="dxa"/>
            <w:vAlign w:val="bottom"/>
          </w:tcPr>
          <w:p w14:paraId="49CC534F" w14:textId="0E60D8ED"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c>
          <w:tcPr>
            <w:tcW w:w="1152" w:type="dxa"/>
            <w:vAlign w:val="bottom"/>
          </w:tcPr>
          <w:p w14:paraId="3EA4EAF2" w14:textId="21E10067"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1.0000</w:t>
            </w:r>
          </w:p>
        </w:tc>
      </w:tr>
      <w:tr w:rsidR="00C20459" w:rsidRPr="006207BC" w14:paraId="565B9466" w14:textId="77777777">
        <w:trPr>
          <w:gridAfter w:val="1"/>
          <w:wAfter w:w="216" w:type="dxa"/>
        </w:trPr>
        <w:tc>
          <w:tcPr>
            <w:tcW w:w="1800" w:type="dxa"/>
          </w:tcPr>
          <w:p w14:paraId="4B95CBE8"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Intangible</w:t>
            </w:r>
          </w:p>
        </w:tc>
        <w:tc>
          <w:tcPr>
            <w:tcW w:w="1152" w:type="dxa"/>
            <w:vAlign w:val="bottom"/>
          </w:tcPr>
          <w:p w14:paraId="4CBC65D0" w14:textId="002E066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0.2840</w:t>
            </w:r>
          </w:p>
        </w:tc>
        <w:tc>
          <w:tcPr>
            <w:tcW w:w="1152" w:type="dxa"/>
            <w:vAlign w:val="bottom"/>
          </w:tcPr>
          <w:p w14:paraId="729AB0EE" w14:textId="54897703"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0.1660</w:t>
            </w:r>
          </w:p>
        </w:tc>
        <w:tc>
          <w:tcPr>
            <w:tcW w:w="1152" w:type="dxa"/>
            <w:vAlign w:val="bottom"/>
          </w:tcPr>
          <w:p w14:paraId="33828888" w14:textId="115A196C"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0.0036</w:t>
            </w:r>
          </w:p>
        </w:tc>
        <w:tc>
          <w:tcPr>
            <w:tcW w:w="1152" w:type="dxa"/>
            <w:vAlign w:val="bottom"/>
          </w:tcPr>
          <w:p w14:paraId="31BC9CCD" w14:textId="1417FA1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0.1620</w:t>
            </w:r>
          </w:p>
        </w:tc>
        <w:tc>
          <w:tcPr>
            <w:tcW w:w="1152" w:type="dxa"/>
            <w:vAlign w:val="bottom"/>
          </w:tcPr>
          <w:p w14:paraId="2BD844AF" w14:textId="77A499E0"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0.2765</w:t>
            </w:r>
          </w:p>
        </w:tc>
        <w:tc>
          <w:tcPr>
            <w:tcW w:w="1152" w:type="dxa"/>
            <w:vAlign w:val="bottom"/>
          </w:tcPr>
          <w:p w14:paraId="22CFA9BE" w14:textId="3C6A5AF9"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0.3980</w:t>
            </w:r>
          </w:p>
        </w:tc>
        <w:tc>
          <w:tcPr>
            <w:tcW w:w="1152" w:type="dxa"/>
            <w:vAlign w:val="bottom"/>
          </w:tcPr>
          <w:p w14:paraId="13AFB265" w14:textId="6711277F" w:rsidR="00C20459" w:rsidRPr="006207BC" w:rsidRDefault="001C1A0F">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w:t>
            </w:r>
            <w:r w:rsidR="00A61DC5" w:rsidRPr="006207BC">
              <w:rPr>
                <w:rFonts w:ascii="Times New Roman" w:hAnsi="Times New Roman" w:cs="Times New Roman"/>
                <w:sz w:val="20"/>
                <w:szCs w:val="20"/>
              </w:rPr>
              <w:t>0.6375</w:t>
            </w:r>
          </w:p>
        </w:tc>
      </w:tr>
      <w:tr w:rsidR="00C20459" w:rsidRPr="006207BC" w14:paraId="76A49C1D" w14:textId="77777777">
        <w:tc>
          <w:tcPr>
            <w:tcW w:w="10080" w:type="dxa"/>
            <w:gridSpan w:val="9"/>
            <w:tcBorders>
              <w:bottom w:val="single" w:sz="4" w:space="0" w:color="auto"/>
            </w:tcBorders>
          </w:tcPr>
          <w:p w14:paraId="1258E061" w14:textId="77777777" w:rsidR="00C20459" w:rsidRPr="006207BC" w:rsidRDefault="00C20459">
            <w:pPr>
              <w:spacing w:after="0" w:line="240" w:lineRule="auto"/>
              <w:rPr>
                <w:rFonts w:ascii="Times New Roman" w:hAnsi="Times New Roman" w:cs="Times New Roman"/>
                <w:sz w:val="20"/>
                <w:szCs w:val="20"/>
              </w:rPr>
            </w:pPr>
          </w:p>
        </w:tc>
      </w:tr>
      <w:tr w:rsidR="00C20459" w:rsidRPr="006207BC" w14:paraId="121C6496" w14:textId="77777777">
        <w:trPr>
          <w:trHeight w:val="845"/>
        </w:trPr>
        <w:tc>
          <w:tcPr>
            <w:tcW w:w="10080" w:type="dxa"/>
            <w:gridSpan w:val="9"/>
            <w:tcBorders>
              <w:top w:val="single" w:sz="4" w:space="0" w:color="auto"/>
            </w:tcBorders>
          </w:tcPr>
          <w:p w14:paraId="2405EB30" w14:textId="14673BA8" w:rsidR="00C20459" w:rsidRPr="006207BC" w:rsidRDefault="00A61DC5">
            <w:pPr>
              <w:spacing w:after="0" w:line="240" w:lineRule="auto"/>
              <w:jc w:val="both"/>
              <w:rPr>
                <w:rFonts w:ascii="Times New Roman" w:hAnsi="Times New Roman" w:cs="Times New Roman"/>
                <w:sz w:val="20"/>
                <w:szCs w:val="20"/>
              </w:rPr>
            </w:pPr>
            <w:r w:rsidRPr="006207BC">
              <w:rPr>
                <w:rFonts w:ascii="Times New Roman" w:hAnsi="Times New Roman" w:cs="Times New Roman"/>
                <w:sz w:val="20"/>
                <w:szCs w:val="20"/>
              </w:rPr>
              <w:t>This table reports summary statistics of the variables used in the main analysis. S</w:t>
            </w:r>
            <w:r w:rsidRPr="006207BC">
              <w:rPr>
                <w:rFonts w:ascii="Times New Roman" w:hAnsi="Times New Roman" w:cs="Times New Roman"/>
                <w:color w:val="231F20"/>
                <w:sz w:val="20"/>
                <w:szCs w:val="20"/>
              </w:rPr>
              <w:t xml:space="preserve">ee the Appendix for the variable definitions. Raw values are given for the risk disclosure variables. The total sample consists of 857 firm–year observations of </w:t>
            </w:r>
            <w:r w:rsidRPr="006207BC">
              <w:rPr>
                <w:rFonts w:ascii="Times New Roman" w:hAnsi="Times New Roman" w:cs="Times New Roman"/>
                <w:bCs/>
                <w:color w:val="000000"/>
                <w:sz w:val="20"/>
                <w:szCs w:val="20"/>
                <w:shd w:val="clear" w:color="auto" w:fill="FFFFFF"/>
              </w:rPr>
              <w:t>non</w:t>
            </w:r>
            <w:r w:rsidRPr="006207BC">
              <w:rPr>
                <w:rFonts w:ascii="Times New Roman" w:hAnsi="Times New Roman" w:cs="Times New Roman"/>
                <w:color w:val="222222"/>
                <w:sz w:val="20"/>
                <w:szCs w:val="20"/>
                <w:shd w:val="clear" w:color="auto" w:fill="FFFFFF"/>
              </w:rPr>
              <w:t>-</w:t>
            </w:r>
            <w:r w:rsidRPr="006207BC">
              <w:rPr>
                <w:rFonts w:ascii="Times New Roman" w:hAnsi="Times New Roman" w:cs="Times New Roman"/>
                <w:bCs/>
                <w:color w:val="000000"/>
                <w:sz w:val="20"/>
                <w:szCs w:val="20"/>
                <w:shd w:val="clear" w:color="auto" w:fill="FFFFFF"/>
              </w:rPr>
              <w:t>financial</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and</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non</w:t>
            </w:r>
            <w:r w:rsidRPr="006207BC">
              <w:rPr>
                <w:rFonts w:ascii="Times New Roman" w:hAnsi="Times New Roman" w:cs="Times New Roman"/>
                <w:color w:val="222222"/>
                <w:sz w:val="20"/>
                <w:szCs w:val="20"/>
                <w:shd w:val="clear" w:color="auto" w:fill="FFFFFF"/>
              </w:rPr>
              <w:t>-</w:t>
            </w:r>
            <w:r w:rsidRPr="006207BC">
              <w:rPr>
                <w:rFonts w:ascii="Times New Roman" w:hAnsi="Times New Roman" w:cs="Times New Roman"/>
                <w:bCs/>
                <w:color w:val="000000"/>
                <w:sz w:val="20"/>
                <w:szCs w:val="20"/>
                <w:shd w:val="clear" w:color="auto" w:fill="FFFFFF"/>
              </w:rPr>
              <w:t>utility</w:t>
            </w:r>
            <w:r w:rsidRPr="006207BC">
              <w:rPr>
                <w:rFonts w:ascii="Times New Roman" w:hAnsi="Times New Roman" w:cs="Times New Roman"/>
                <w:color w:val="222222"/>
                <w:sz w:val="20"/>
                <w:szCs w:val="20"/>
                <w:shd w:val="clear" w:color="auto" w:fill="FFFFFF"/>
              </w:rPr>
              <w:t> French firms</w:t>
            </w:r>
            <w:r w:rsidRPr="006207BC">
              <w:rPr>
                <w:rFonts w:ascii="Times New Roman" w:hAnsi="Times New Roman" w:cs="Times New Roman"/>
                <w:color w:val="231F20"/>
                <w:sz w:val="20"/>
                <w:szCs w:val="20"/>
              </w:rPr>
              <w:t xml:space="preserve"> </w:t>
            </w:r>
            <w:r w:rsidRPr="006207BC">
              <w:rPr>
                <w:rFonts w:ascii="Times New Roman" w:hAnsi="Times New Roman" w:cs="Times New Roman"/>
                <w:color w:val="222222"/>
                <w:sz w:val="20"/>
                <w:szCs w:val="20"/>
                <w:shd w:val="clear" w:color="auto" w:fill="FFFFFF"/>
              </w:rPr>
              <w:t>on the </w:t>
            </w:r>
            <w:r w:rsidRPr="006207BC">
              <w:rPr>
                <w:rFonts w:ascii="Times New Roman" w:hAnsi="Times New Roman" w:cs="Times New Roman"/>
                <w:bCs/>
                <w:color w:val="000000"/>
                <w:sz w:val="20"/>
                <w:szCs w:val="20"/>
                <w:shd w:val="clear" w:color="auto" w:fill="FFFFFF"/>
              </w:rPr>
              <w:t>SBF</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120</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 xml:space="preserve">index </w:t>
            </w:r>
            <w:r w:rsidRPr="006207BC">
              <w:rPr>
                <w:rFonts w:ascii="Times New Roman" w:hAnsi="Times New Roman" w:cs="Times New Roman"/>
                <w:bCs/>
                <w:sz w:val="20"/>
                <w:szCs w:val="20"/>
              </w:rPr>
              <w:t>over the period 2007–2015.</w:t>
            </w:r>
          </w:p>
        </w:tc>
      </w:tr>
    </w:tbl>
    <w:p w14:paraId="664B814B" w14:textId="77777777" w:rsidR="00C20459" w:rsidRPr="006207BC" w:rsidRDefault="00C20459"/>
    <w:p w14:paraId="79ABF9ED" w14:textId="77777777" w:rsidR="00C20459" w:rsidRPr="006207BC" w:rsidRDefault="00A61DC5">
      <w:r w:rsidRPr="006207BC">
        <w:br w:type="page"/>
      </w:r>
    </w:p>
    <w:p w14:paraId="2C90C5A8" w14:textId="77777777" w:rsidR="00C20459" w:rsidRPr="006207BC" w:rsidRDefault="00A61DC5">
      <w:pPr>
        <w:rPr>
          <w:rFonts w:ascii="Times New Roman" w:hAnsi="Times New Roman" w:cs="Times New Roman"/>
        </w:rPr>
      </w:pPr>
      <w:r w:rsidRPr="006207BC">
        <w:rPr>
          <w:rFonts w:ascii="Times New Roman" w:hAnsi="Times New Roman" w:cs="Times New Roman"/>
        </w:rPr>
        <w:lastRenderedPageBreak/>
        <w:t>Table 2. Risk disclosure by industry and by year</w:t>
      </w:r>
    </w:p>
    <w:tbl>
      <w:tblPr>
        <w:tblW w:w="10152" w:type="dxa"/>
        <w:tblLayout w:type="fixed"/>
        <w:tblLook w:val="04A0" w:firstRow="1" w:lastRow="0" w:firstColumn="1" w:lastColumn="0" w:noHBand="0" w:noVBand="1"/>
      </w:tblPr>
      <w:tblGrid>
        <w:gridCol w:w="1350"/>
        <w:gridCol w:w="198"/>
        <w:gridCol w:w="1422"/>
        <w:gridCol w:w="846"/>
        <w:gridCol w:w="1584"/>
        <w:gridCol w:w="1584"/>
        <w:gridCol w:w="1584"/>
        <w:gridCol w:w="1584"/>
      </w:tblGrid>
      <w:tr w:rsidR="00C20459" w:rsidRPr="006207BC" w14:paraId="73E4BB60" w14:textId="77777777">
        <w:tc>
          <w:tcPr>
            <w:tcW w:w="10152" w:type="dxa"/>
            <w:gridSpan w:val="8"/>
            <w:tcBorders>
              <w:bottom w:val="single" w:sz="4" w:space="0" w:color="auto"/>
            </w:tcBorders>
            <w:vAlign w:val="center"/>
          </w:tcPr>
          <w:p w14:paraId="48FB8331" w14:textId="77777777" w:rsidR="00C20459" w:rsidRPr="006207BC" w:rsidRDefault="00C20459">
            <w:pPr>
              <w:spacing w:after="0" w:line="240" w:lineRule="auto"/>
              <w:rPr>
                <w:rFonts w:ascii="Times New Roman" w:hAnsi="Times New Roman" w:cs="Times New Roman"/>
                <w:sz w:val="20"/>
                <w:szCs w:val="20"/>
              </w:rPr>
            </w:pPr>
          </w:p>
        </w:tc>
      </w:tr>
      <w:tr w:rsidR="00C20459" w:rsidRPr="006207BC" w14:paraId="1A153182" w14:textId="77777777">
        <w:tc>
          <w:tcPr>
            <w:tcW w:w="1350" w:type="dxa"/>
            <w:tcBorders>
              <w:top w:val="single" w:sz="4" w:space="0" w:color="auto"/>
              <w:bottom w:val="single" w:sz="4" w:space="0" w:color="auto"/>
            </w:tcBorders>
            <w:vAlign w:val="center"/>
          </w:tcPr>
          <w:p w14:paraId="28F54424" w14:textId="77777777" w:rsidR="00C20459" w:rsidRPr="006207BC" w:rsidRDefault="00C20459">
            <w:pPr>
              <w:spacing w:after="0" w:line="240" w:lineRule="auto"/>
              <w:rPr>
                <w:rFonts w:ascii="Times New Roman" w:hAnsi="Times New Roman" w:cs="Times New Roman"/>
                <w:sz w:val="20"/>
                <w:szCs w:val="20"/>
              </w:rPr>
            </w:pPr>
          </w:p>
        </w:tc>
        <w:tc>
          <w:tcPr>
            <w:tcW w:w="1620" w:type="dxa"/>
            <w:gridSpan w:val="2"/>
            <w:tcBorders>
              <w:top w:val="single" w:sz="4" w:space="0" w:color="auto"/>
              <w:bottom w:val="single" w:sz="4" w:space="0" w:color="auto"/>
            </w:tcBorders>
            <w:vAlign w:val="center"/>
          </w:tcPr>
          <w:p w14:paraId="6443F311" w14:textId="77777777" w:rsidR="00C20459" w:rsidRPr="006207BC" w:rsidRDefault="00C20459">
            <w:pPr>
              <w:spacing w:after="0" w:line="240" w:lineRule="auto"/>
              <w:rPr>
                <w:rFonts w:ascii="Times New Roman" w:hAnsi="Times New Roman" w:cs="Times New Roman"/>
                <w:sz w:val="20"/>
                <w:szCs w:val="20"/>
              </w:rPr>
            </w:pPr>
          </w:p>
        </w:tc>
        <w:tc>
          <w:tcPr>
            <w:tcW w:w="846" w:type="dxa"/>
            <w:tcBorders>
              <w:top w:val="single" w:sz="4" w:space="0" w:color="auto"/>
              <w:bottom w:val="single" w:sz="4" w:space="0" w:color="auto"/>
            </w:tcBorders>
            <w:vAlign w:val="center"/>
          </w:tcPr>
          <w:p w14:paraId="1DD0B2C9" w14:textId="05DBFBB0"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N</w:t>
            </w:r>
            <w:r w:rsidR="00E741DE" w:rsidRPr="006207BC">
              <w:rPr>
                <w:rFonts w:ascii="Times New Roman" w:hAnsi="Times New Roman" w:cs="Times New Roman"/>
                <w:sz w:val="20"/>
                <w:szCs w:val="20"/>
              </w:rPr>
              <w:t xml:space="preserve"> </w:t>
            </w:r>
          </w:p>
        </w:tc>
        <w:tc>
          <w:tcPr>
            <w:tcW w:w="1584" w:type="dxa"/>
            <w:tcBorders>
              <w:top w:val="single" w:sz="4" w:space="0" w:color="auto"/>
              <w:bottom w:val="single" w:sz="4" w:space="0" w:color="auto"/>
            </w:tcBorders>
            <w:vAlign w:val="center"/>
          </w:tcPr>
          <w:p w14:paraId="6A679A2A"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Risk_sentences</w:t>
            </w:r>
          </w:p>
        </w:tc>
        <w:tc>
          <w:tcPr>
            <w:tcW w:w="1584" w:type="dxa"/>
            <w:tcBorders>
              <w:top w:val="single" w:sz="4" w:space="0" w:color="auto"/>
              <w:bottom w:val="single" w:sz="4" w:space="0" w:color="auto"/>
            </w:tcBorders>
            <w:vAlign w:val="center"/>
          </w:tcPr>
          <w:p w14:paraId="23923299"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Risk_words</w:t>
            </w:r>
          </w:p>
        </w:tc>
        <w:tc>
          <w:tcPr>
            <w:tcW w:w="1584" w:type="dxa"/>
            <w:tcBorders>
              <w:top w:val="single" w:sz="4" w:space="0" w:color="auto"/>
              <w:bottom w:val="single" w:sz="4" w:space="0" w:color="auto"/>
            </w:tcBorders>
            <w:vAlign w:val="center"/>
          </w:tcPr>
          <w:p w14:paraId="3AABDC4B"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Risk_factors</w:t>
            </w:r>
          </w:p>
        </w:tc>
        <w:tc>
          <w:tcPr>
            <w:tcW w:w="1584" w:type="dxa"/>
            <w:tcBorders>
              <w:top w:val="single" w:sz="4" w:space="0" w:color="auto"/>
              <w:bottom w:val="single" w:sz="4" w:space="0" w:color="auto"/>
            </w:tcBorders>
            <w:vAlign w:val="center"/>
          </w:tcPr>
          <w:p w14:paraId="6E2EF260" w14:textId="77777777" w:rsidR="00C20459" w:rsidRPr="006207BC" w:rsidRDefault="00A61DC5">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Total_sentences</w:t>
            </w:r>
          </w:p>
        </w:tc>
      </w:tr>
      <w:tr w:rsidR="00C20459" w:rsidRPr="006207BC" w14:paraId="6B2C7DAE" w14:textId="77777777">
        <w:tc>
          <w:tcPr>
            <w:tcW w:w="10152" w:type="dxa"/>
            <w:gridSpan w:val="8"/>
            <w:tcBorders>
              <w:top w:val="single" w:sz="4" w:space="0" w:color="auto"/>
              <w:bottom w:val="single" w:sz="4" w:space="0" w:color="auto"/>
            </w:tcBorders>
            <w:vAlign w:val="center"/>
          </w:tcPr>
          <w:p w14:paraId="3A18F99B" w14:textId="0EA58D11"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Panel A: Risk disclosure measures by industry</w:t>
            </w:r>
          </w:p>
        </w:tc>
      </w:tr>
      <w:tr w:rsidR="00C20459" w:rsidRPr="006207BC" w14:paraId="0820547F" w14:textId="77777777" w:rsidTr="00F65E89">
        <w:tc>
          <w:tcPr>
            <w:tcW w:w="1548" w:type="dxa"/>
            <w:gridSpan w:val="2"/>
            <w:tcBorders>
              <w:top w:val="single" w:sz="4" w:space="0" w:color="auto"/>
              <w:bottom w:val="single" w:sz="4" w:space="0" w:color="auto"/>
            </w:tcBorders>
            <w:vAlign w:val="center"/>
          </w:tcPr>
          <w:p w14:paraId="24DE7C44"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Industry</w:t>
            </w:r>
          </w:p>
        </w:tc>
        <w:tc>
          <w:tcPr>
            <w:tcW w:w="1422" w:type="dxa"/>
            <w:tcBorders>
              <w:top w:val="single" w:sz="4" w:space="0" w:color="auto"/>
              <w:bottom w:val="single" w:sz="4" w:space="0" w:color="auto"/>
            </w:tcBorders>
            <w:vAlign w:val="center"/>
          </w:tcPr>
          <w:p w14:paraId="06520084"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Two-digit</w:t>
            </w:r>
          </w:p>
          <w:p w14:paraId="12EA8A31"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SIC codes</w:t>
            </w:r>
          </w:p>
        </w:tc>
        <w:tc>
          <w:tcPr>
            <w:tcW w:w="846" w:type="dxa"/>
            <w:tcBorders>
              <w:top w:val="single" w:sz="4" w:space="0" w:color="auto"/>
              <w:bottom w:val="single" w:sz="4" w:space="0" w:color="auto"/>
            </w:tcBorders>
            <w:vAlign w:val="center"/>
          </w:tcPr>
          <w:p w14:paraId="4AC44328"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665128B3"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52934CB1"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77F21131"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1C8A7E69" w14:textId="77777777" w:rsidR="00C20459" w:rsidRPr="006207BC" w:rsidRDefault="00C20459">
            <w:pPr>
              <w:spacing w:after="0" w:line="240" w:lineRule="auto"/>
              <w:rPr>
                <w:rFonts w:ascii="Times New Roman" w:hAnsi="Times New Roman" w:cs="Times New Roman"/>
                <w:sz w:val="20"/>
                <w:szCs w:val="20"/>
              </w:rPr>
            </w:pPr>
          </w:p>
        </w:tc>
      </w:tr>
      <w:tr w:rsidR="00C20459" w:rsidRPr="006207BC" w14:paraId="52537A20" w14:textId="77777777" w:rsidTr="00F65E89">
        <w:trPr>
          <w:trHeight w:val="202"/>
        </w:trPr>
        <w:tc>
          <w:tcPr>
            <w:tcW w:w="1548" w:type="dxa"/>
            <w:gridSpan w:val="2"/>
            <w:tcBorders>
              <w:top w:val="single" w:sz="4" w:space="0" w:color="auto"/>
            </w:tcBorders>
            <w:vAlign w:val="center"/>
          </w:tcPr>
          <w:p w14:paraId="5B563126"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Petroleum</w:t>
            </w:r>
          </w:p>
        </w:tc>
        <w:tc>
          <w:tcPr>
            <w:tcW w:w="1422" w:type="dxa"/>
            <w:tcBorders>
              <w:top w:val="single" w:sz="4" w:space="0" w:color="auto"/>
            </w:tcBorders>
          </w:tcPr>
          <w:p w14:paraId="14A874AB"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13, 29</w:t>
            </w:r>
          </w:p>
        </w:tc>
        <w:tc>
          <w:tcPr>
            <w:tcW w:w="846" w:type="dxa"/>
            <w:tcBorders>
              <w:top w:val="single" w:sz="4" w:space="0" w:color="auto"/>
            </w:tcBorders>
            <w:vAlign w:val="bottom"/>
          </w:tcPr>
          <w:p w14:paraId="1D90933F"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32</w:t>
            </w:r>
          </w:p>
        </w:tc>
        <w:tc>
          <w:tcPr>
            <w:tcW w:w="1584" w:type="dxa"/>
            <w:tcBorders>
              <w:top w:val="single" w:sz="4" w:space="0" w:color="auto"/>
            </w:tcBorders>
            <w:vAlign w:val="bottom"/>
          </w:tcPr>
          <w:p w14:paraId="4E6DAA8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155.7500</w:t>
            </w:r>
          </w:p>
        </w:tc>
        <w:tc>
          <w:tcPr>
            <w:tcW w:w="1584" w:type="dxa"/>
            <w:tcBorders>
              <w:top w:val="single" w:sz="4" w:space="0" w:color="auto"/>
            </w:tcBorders>
            <w:vAlign w:val="bottom"/>
          </w:tcPr>
          <w:p w14:paraId="60340AA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170.8438</w:t>
            </w:r>
          </w:p>
        </w:tc>
        <w:tc>
          <w:tcPr>
            <w:tcW w:w="1584" w:type="dxa"/>
            <w:tcBorders>
              <w:top w:val="single" w:sz="4" w:space="0" w:color="auto"/>
            </w:tcBorders>
            <w:vAlign w:val="bottom"/>
          </w:tcPr>
          <w:p w14:paraId="4789B46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54.8438</w:t>
            </w:r>
          </w:p>
        </w:tc>
        <w:tc>
          <w:tcPr>
            <w:tcW w:w="1584" w:type="dxa"/>
            <w:tcBorders>
              <w:top w:val="single" w:sz="4" w:space="0" w:color="auto"/>
            </w:tcBorders>
            <w:vAlign w:val="bottom"/>
          </w:tcPr>
          <w:p w14:paraId="08DAF0C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332.4063</w:t>
            </w:r>
          </w:p>
        </w:tc>
      </w:tr>
      <w:tr w:rsidR="00C20459" w:rsidRPr="006207BC" w14:paraId="7E3DA590" w14:textId="77777777" w:rsidTr="00F65E89">
        <w:trPr>
          <w:trHeight w:val="202"/>
        </w:trPr>
        <w:tc>
          <w:tcPr>
            <w:tcW w:w="1548" w:type="dxa"/>
            <w:gridSpan w:val="2"/>
            <w:vAlign w:val="center"/>
          </w:tcPr>
          <w:p w14:paraId="6780FF2E"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Consumer durables</w:t>
            </w:r>
          </w:p>
        </w:tc>
        <w:tc>
          <w:tcPr>
            <w:tcW w:w="1422" w:type="dxa"/>
          </w:tcPr>
          <w:p w14:paraId="5ACA7495"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25, 30, 36, 37, 50, 55, 57</w:t>
            </w:r>
          </w:p>
        </w:tc>
        <w:tc>
          <w:tcPr>
            <w:tcW w:w="846" w:type="dxa"/>
            <w:vAlign w:val="bottom"/>
          </w:tcPr>
          <w:p w14:paraId="23E74F0C"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178</w:t>
            </w:r>
          </w:p>
        </w:tc>
        <w:tc>
          <w:tcPr>
            <w:tcW w:w="1584" w:type="dxa"/>
            <w:vAlign w:val="bottom"/>
          </w:tcPr>
          <w:p w14:paraId="7BD04DCE"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140.5899</w:t>
            </w:r>
          </w:p>
        </w:tc>
        <w:tc>
          <w:tcPr>
            <w:tcW w:w="1584" w:type="dxa"/>
            <w:vAlign w:val="bottom"/>
          </w:tcPr>
          <w:p w14:paraId="0145DEDC"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153.6517</w:t>
            </w:r>
          </w:p>
        </w:tc>
        <w:tc>
          <w:tcPr>
            <w:tcW w:w="1584" w:type="dxa"/>
            <w:vAlign w:val="bottom"/>
          </w:tcPr>
          <w:p w14:paraId="70835DA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35.0618</w:t>
            </w:r>
          </w:p>
        </w:tc>
        <w:tc>
          <w:tcPr>
            <w:tcW w:w="1584" w:type="dxa"/>
            <w:vAlign w:val="bottom"/>
          </w:tcPr>
          <w:p w14:paraId="7AADF28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248.0393</w:t>
            </w:r>
          </w:p>
        </w:tc>
      </w:tr>
      <w:tr w:rsidR="00C20459" w:rsidRPr="006207BC" w14:paraId="758B7ED3" w14:textId="77777777" w:rsidTr="00F65E89">
        <w:trPr>
          <w:trHeight w:val="202"/>
        </w:trPr>
        <w:tc>
          <w:tcPr>
            <w:tcW w:w="1548" w:type="dxa"/>
            <w:gridSpan w:val="2"/>
            <w:vAlign w:val="center"/>
          </w:tcPr>
          <w:p w14:paraId="1E059002"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Basic industry</w:t>
            </w:r>
          </w:p>
        </w:tc>
        <w:tc>
          <w:tcPr>
            <w:tcW w:w="1422" w:type="dxa"/>
          </w:tcPr>
          <w:p w14:paraId="56725898"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10, 12, 14, 24, 26, 28, 33</w:t>
            </w:r>
          </w:p>
        </w:tc>
        <w:tc>
          <w:tcPr>
            <w:tcW w:w="846" w:type="dxa"/>
            <w:vAlign w:val="bottom"/>
          </w:tcPr>
          <w:p w14:paraId="7BBD9E13"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72</w:t>
            </w:r>
          </w:p>
        </w:tc>
        <w:tc>
          <w:tcPr>
            <w:tcW w:w="1584" w:type="dxa"/>
            <w:vAlign w:val="bottom"/>
          </w:tcPr>
          <w:p w14:paraId="34663D7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163.9583</w:t>
            </w:r>
          </w:p>
        </w:tc>
        <w:tc>
          <w:tcPr>
            <w:tcW w:w="1584" w:type="dxa"/>
            <w:vAlign w:val="bottom"/>
          </w:tcPr>
          <w:p w14:paraId="51508366"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163.9444</w:t>
            </w:r>
          </w:p>
        </w:tc>
        <w:tc>
          <w:tcPr>
            <w:tcW w:w="1584" w:type="dxa"/>
            <w:vAlign w:val="bottom"/>
          </w:tcPr>
          <w:p w14:paraId="18CDCE5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45.7778</w:t>
            </w:r>
          </w:p>
        </w:tc>
        <w:tc>
          <w:tcPr>
            <w:tcW w:w="1584" w:type="dxa"/>
            <w:vAlign w:val="bottom"/>
          </w:tcPr>
          <w:p w14:paraId="2A72148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289.6667</w:t>
            </w:r>
          </w:p>
        </w:tc>
      </w:tr>
      <w:tr w:rsidR="00C20459" w:rsidRPr="006207BC" w14:paraId="08D46787" w14:textId="77777777" w:rsidTr="00F65E89">
        <w:trPr>
          <w:trHeight w:val="202"/>
        </w:trPr>
        <w:tc>
          <w:tcPr>
            <w:tcW w:w="1548" w:type="dxa"/>
            <w:gridSpan w:val="2"/>
            <w:vAlign w:val="center"/>
          </w:tcPr>
          <w:p w14:paraId="038D4C6F"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Food and tobacco</w:t>
            </w:r>
          </w:p>
        </w:tc>
        <w:tc>
          <w:tcPr>
            <w:tcW w:w="1422" w:type="dxa"/>
          </w:tcPr>
          <w:p w14:paraId="5EB9E177"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1, 2, 9, 20, 21, 54</w:t>
            </w:r>
          </w:p>
        </w:tc>
        <w:tc>
          <w:tcPr>
            <w:tcW w:w="846" w:type="dxa"/>
            <w:vAlign w:val="bottom"/>
          </w:tcPr>
          <w:p w14:paraId="1C0B7357"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48</w:t>
            </w:r>
          </w:p>
        </w:tc>
        <w:tc>
          <w:tcPr>
            <w:tcW w:w="1584" w:type="dxa"/>
            <w:vAlign w:val="bottom"/>
          </w:tcPr>
          <w:p w14:paraId="7E5493A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128.4792</w:t>
            </w:r>
          </w:p>
        </w:tc>
        <w:tc>
          <w:tcPr>
            <w:tcW w:w="1584" w:type="dxa"/>
            <w:vAlign w:val="bottom"/>
          </w:tcPr>
          <w:p w14:paraId="0DB1D06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141.5000</w:t>
            </w:r>
          </w:p>
        </w:tc>
        <w:tc>
          <w:tcPr>
            <w:tcW w:w="1584" w:type="dxa"/>
            <w:vAlign w:val="bottom"/>
          </w:tcPr>
          <w:p w14:paraId="7994CBC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34.7500</w:t>
            </w:r>
          </w:p>
        </w:tc>
        <w:tc>
          <w:tcPr>
            <w:tcW w:w="1584" w:type="dxa"/>
            <w:vAlign w:val="bottom"/>
          </w:tcPr>
          <w:p w14:paraId="5C5A21ED"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230.0208</w:t>
            </w:r>
          </w:p>
        </w:tc>
      </w:tr>
      <w:tr w:rsidR="00C20459" w:rsidRPr="006207BC" w14:paraId="2F46172E" w14:textId="77777777" w:rsidTr="00F65E89">
        <w:trPr>
          <w:trHeight w:val="202"/>
        </w:trPr>
        <w:tc>
          <w:tcPr>
            <w:tcW w:w="1548" w:type="dxa"/>
            <w:gridSpan w:val="2"/>
            <w:vAlign w:val="center"/>
          </w:tcPr>
          <w:p w14:paraId="57946522"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Construction</w:t>
            </w:r>
          </w:p>
        </w:tc>
        <w:tc>
          <w:tcPr>
            <w:tcW w:w="1422" w:type="dxa"/>
          </w:tcPr>
          <w:p w14:paraId="72F8A0F1"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15, 16, 17, 32, 52</w:t>
            </w:r>
          </w:p>
        </w:tc>
        <w:tc>
          <w:tcPr>
            <w:tcW w:w="846" w:type="dxa"/>
            <w:vAlign w:val="bottom"/>
          </w:tcPr>
          <w:p w14:paraId="4743245A"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44</w:t>
            </w:r>
          </w:p>
        </w:tc>
        <w:tc>
          <w:tcPr>
            <w:tcW w:w="1584" w:type="dxa"/>
            <w:vAlign w:val="bottom"/>
          </w:tcPr>
          <w:p w14:paraId="75D672A0"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152.2500</w:t>
            </w:r>
          </w:p>
        </w:tc>
        <w:tc>
          <w:tcPr>
            <w:tcW w:w="1584" w:type="dxa"/>
            <w:vAlign w:val="bottom"/>
          </w:tcPr>
          <w:p w14:paraId="3EF84D7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171.2955</w:t>
            </w:r>
          </w:p>
        </w:tc>
        <w:tc>
          <w:tcPr>
            <w:tcW w:w="1584" w:type="dxa"/>
            <w:vAlign w:val="bottom"/>
          </w:tcPr>
          <w:p w14:paraId="56C103C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33.9318</w:t>
            </w:r>
          </w:p>
        </w:tc>
        <w:tc>
          <w:tcPr>
            <w:tcW w:w="1584" w:type="dxa"/>
            <w:vAlign w:val="bottom"/>
          </w:tcPr>
          <w:p w14:paraId="45BAEDEB"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315.4091</w:t>
            </w:r>
          </w:p>
        </w:tc>
      </w:tr>
      <w:tr w:rsidR="00C20459" w:rsidRPr="006207BC" w14:paraId="6762DFBC" w14:textId="77777777" w:rsidTr="00F65E89">
        <w:trPr>
          <w:trHeight w:val="202"/>
        </w:trPr>
        <w:tc>
          <w:tcPr>
            <w:tcW w:w="1548" w:type="dxa"/>
            <w:gridSpan w:val="2"/>
            <w:vAlign w:val="center"/>
          </w:tcPr>
          <w:p w14:paraId="2EF40C24"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Capital goods</w:t>
            </w:r>
          </w:p>
        </w:tc>
        <w:tc>
          <w:tcPr>
            <w:tcW w:w="1422" w:type="dxa"/>
          </w:tcPr>
          <w:p w14:paraId="63827F0B"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34, 35, 38</w:t>
            </w:r>
          </w:p>
        </w:tc>
        <w:tc>
          <w:tcPr>
            <w:tcW w:w="846" w:type="dxa"/>
            <w:vAlign w:val="bottom"/>
          </w:tcPr>
          <w:p w14:paraId="2050AB28"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62</w:t>
            </w:r>
          </w:p>
        </w:tc>
        <w:tc>
          <w:tcPr>
            <w:tcW w:w="1584" w:type="dxa"/>
            <w:vAlign w:val="bottom"/>
          </w:tcPr>
          <w:p w14:paraId="51C2CF0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118.7258</w:t>
            </w:r>
          </w:p>
        </w:tc>
        <w:tc>
          <w:tcPr>
            <w:tcW w:w="1584" w:type="dxa"/>
            <w:vAlign w:val="bottom"/>
          </w:tcPr>
          <w:p w14:paraId="398E4EC3"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128.9677</w:t>
            </w:r>
          </w:p>
        </w:tc>
        <w:tc>
          <w:tcPr>
            <w:tcW w:w="1584" w:type="dxa"/>
            <w:vAlign w:val="bottom"/>
          </w:tcPr>
          <w:p w14:paraId="2370604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25.3387</w:t>
            </w:r>
          </w:p>
        </w:tc>
        <w:tc>
          <w:tcPr>
            <w:tcW w:w="1584" w:type="dxa"/>
            <w:vAlign w:val="bottom"/>
          </w:tcPr>
          <w:p w14:paraId="292ABB5E"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219.5000</w:t>
            </w:r>
          </w:p>
        </w:tc>
      </w:tr>
      <w:tr w:rsidR="00C20459" w:rsidRPr="006207BC" w14:paraId="7BF47383" w14:textId="77777777" w:rsidTr="00F65E89">
        <w:trPr>
          <w:trHeight w:val="202"/>
        </w:trPr>
        <w:tc>
          <w:tcPr>
            <w:tcW w:w="1548" w:type="dxa"/>
            <w:gridSpan w:val="2"/>
            <w:vAlign w:val="center"/>
          </w:tcPr>
          <w:p w14:paraId="572E204A"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Transportation</w:t>
            </w:r>
          </w:p>
        </w:tc>
        <w:tc>
          <w:tcPr>
            <w:tcW w:w="1422" w:type="dxa"/>
          </w:tcPr>
          <w:p w14:paraId="1F998D6D"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40, 41, 42, 44, 45, 47</w:t>
            </w:r>
          </w:p>
        </w:tc>
        <w:tc>
          <w:tcPr>
            <w:tcW w:w="846" w:type="dxa"/>
            <w:vAlign w:val="bottom"/>
          </w:tcPr>
          <w:p w14:paraId="60D36091"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36</w:t>
            </w:r>
          </w:p>
        </w:tc>
        <w:tc>
          <w:tcPr>
            <w:tcW w:w="1584" w:type="dxa"/>
            <w:vAlign w:val="bottom"/>
          </w:tcPr>
          <w:p w14:paraId="282C8FF1"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194.6389</w:t>
            </w:r>
          </w:p>
        </w:tc>
        <w:tc>
          <w:tcPr>
            <w:tcW w:w="1584" w:type="dxa"/>
            <w:vAlign w:val="bottom"/>
          </w:tcPr>
          <w:p w14:paraId="509ACE4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196.7500</w:t>
            </w:r>
          </w:p>
        </w:tc>
        <w:tc>
          <w:tcPr>
            <w:tcW w:w="1584" w:type="dxa"/>
            <w:vAlign w:val="bottom"/>
          </w:tcPr>
          <w:p w14:paraId="5DE8E07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32.4167</w:t>
            </w:r>
          </w:p>
        </w:tc>
        <w:tc>
          <w:tcPr>
            <w:tcW w:w="1584" w:type="dxa"/>
            <w:vAlign w:val="bottom"/>
          </w:tcPr>
          <w:p w14:paraId="49F94C6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336.7222</w:t>
            </w:r>
          </w:p>
        </w:tc>
      </w:tr>
      <w:tr w:rsidR="00C20459" w:rsidRPr="006207BC" w14:paraId="07FC44BD" w14:textId="77777777" w:rsidTr="00F65E89">
        <w:trPr>
          <w:trHeight w:val="202"/>
        </w:trPr>
        <w:tc>
          <w:tcPr>
            <w:tcW w:w="1548" w:type="dxa"/>
            <w:gridSpan w:val="2"/>
            <w:vAlign w:val="center"/>
          </w:tcPr>
          <w:p w14:paraId="6C006AF6"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Utilities</w:t>
            </w:r>
          </w:p>
        </w:tc>
        <w:tc>
          <w:tcPr>
            <w:tcW w:w="1422" w:type="dxa"/>
          </w:tcPr>
          <w:p w14:paraId="671461AA"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46, 48</w:t>
            </w:r>
          </w:p>
        </w:tc>
        <w:tc>
          <w:tcPr>
            <w:tcW w:w="846" w:type="dxa"/>
            <w:vAlign w:val="bottom"/>
          </w:tcPr>
          <w:p w14:paraId="13F3B22B"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100</w:t>
            </w:r>
          </w:p>
        </w:tc>
        <w:tc>
          <w:tcPr>
            <w:tcW w:w="1584" w:type="dxa"/>
            <w:vAlign w:val="bottom"/>
          </w:tcPr>
          <w:p w14:paraId="0706D552"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178.6400</w:t>
            </w:r>
          </w:p>
        </w:tc>
        <w:tc>
          <w:tcPr>
            <w:tcW w:w="1584" w:type="dxa"/>
            <w:vAlign w:val="bottom"/>
          </w:tcPr>
          <w:p w14:paraId="2C32590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181.6800</w:t>
            </w:r>
          </w:p>
        </w:tc>
        <w:tc>
          <w:tcPr>
            <w:tcW w:w="1584" w:type="dxa"/>
            <w:vAlign w:val="bottom"/>
          </w:tcPr>
          <w:p w14:paraId="228DF16E"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43.0500</w:t>
            </w:r>
          </w:p>
        </w:tc>
        <w:tc>
          <w:tcPr>
            <w:tcW w:w="1584" w:type="dxa"/>
            <w:vAlign w:val="bottom"/>
          </w:tcPr>
          <w:p w14:paraId="3A73CFEB"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334.4000</w:t>
            </w:r>
          </w:p>
        </w:tc>
      </w:tr>
      <w:tr w:rsidR="00C20459" w:rsidRPr="006207BC" w14:paraId="3F282360" w14:textId="77777777" w:rsidTr="00F65E89">
        <w:tc>
          <w:tcPr>
            <w:tcW w:w="1548" w:type="dxa"/>
            <w:gridSpan w:val="2"/>
            <w:vAlign w:val="center"/>
          </w:tcPr>
          <w:p w14:paraId="73E5BC62"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Textiles and trade</w:t>
            </w:r>
          </w:p>
        </w:tc>
        <w:tc>
          <w:tcPr>
            <w:tcW w:w="1422" w:type="dxa"/>
          </w:tcPr>
          <w:p w14:paraId="4F78DE82"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22, 23, 31, 51, 53, 56, 59</w:t>
            </w:r>
          </w:p>
        </w:tc>
        <w:tc>
          <w:tcPr>
            <w:tcW w:w="846" w:type="dxa"/>
            <w:vAlign w:val="bottom"/>
          </w:tcPr>
          <w:p w14:paraId="6AFCF212"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62</w:t>
            </w:r>
          </w:p>
        </w:tc>
        <w:tc>
          <w:tcPr>
            <w:tcW w:w="1584" w:type="dxa"/>
            <w:vAlign w:val="bottom"/>
          </w:tcPr>
          <w:p w14:paraId="04DF9C5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95.0484</w:t>
            </w:r>
          </w:p>
        </w:tc>
        <w:tc>
          <w:tcPr>
            <w:tcW w:w="1584" w:type="dxa"/>
            <w:vAlign w:val="bottom"/>
          </w:tcPr>
          <w:p w14:paraId="117E977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106.0645</w:t>
            </w:r>
          </w:p>
        </w:tc>
        <w:tc>
          <w:tcPr>
            <w:tcW w:w="1584" w:type="dxa"/>
            <w:vAlign w:val="bottom"/>
          </w:tcPr>
          <w:p w14:paraId="4086925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17.0806</w:t>
            </w:r>
          </w:p>
        </w:tc>
        <w:tc>
          <w:tcPr>
            <w:tcW w:w="1584" w:type="dxa"/>
            <w:vAlign w:val="bottom"/>
          </w:tcPr>
          <w:p w14:paraId="05A8FE1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179.7097</w:t>
            </w:r>
          </w:p>
        </w:tc>
      </w:tr>
      <w:tr w:rsidR="00C20459" w:rsidRPr="006207BC" w14:paraId="757C6D08" w14:textId="77777777" w:rsidTr="00F65E89">
        <w:tc>
          <w:tcPr>
            <w:tcW w:w="1548" w:type="dxa"/>
            <w:gridSpan w:val="2"/>
            <w:vAlign w:val="center"/>
          </w:tcPr>
          <w:p w14:paraId="01E1F91D"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Services</w:t>
            </w:r>
          </w:p>
        </w:tc>
        <w:tc>
          <w:tcPr>
            <w:tcW w:w="1422" w:type="dxa"/>
          </w:tcPr>
          <w:p w14:paraId="551E7BD7"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72, 73, 75, 76, 80, 82, 87, 89</w:t>
            </w:r>
          </w:p>
        </w:tc>
        <w:tc>
          <w:tcPr>
            <w:tcW w:w="846" w:type="dxa"/>
            <w:vAlign w:val="bottom"/>
          </w:tcPr>
          <w:p w14:paraId="0D81CAB1" w14:textId="77777777" w:rsidR="00C20459" w:rsidRPr="006207BC" w:rsidRDefault="00A61DC5">
            <w:pPr>
              <w:spacing w:after="0"/>
              <w:rPr>
                <w:rFonts w:ascii="Times New Roman" w:hAnsi="Times New Roman" w:cs="Times New Roman"/>
                <w:color w:val="000000"/>
                <w:sz w:val="20"/>
                <w:szCs w:val="20"/>
              </w:rPr>
            </w:pPr>
            <w:r w:rsidRPr="006207BC">
              <w:rPr>
                <w:rFonts w:ascii="Times New Roman" w:hAnsi="Times New Roman" w:cs="Times New Roman"/>
                <w:color w:val="000000"/>
                <w:sz w:val="20"/>
                <w:szCs w:val="20"/>
              </w:rPr>
              <w:t>178</w:t>
            </w:r>
          </w:p>
        </w:tc>
        <w:tc>
          <w:tcPr>
            <w:tcW w:w="1584" w:type="dxa"/>
            <w:vAlign w:val="bottom"/>
          </w:tcPr>
          <w:p w14:paraId="47499BC7"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109.2472</w:t>
            </w:r>
          </w:p>
        </w:tc>
        <w:tc>
          <w:tcPr>
            <w:tcW w:w="1584" w:type="dxa"/>
            <w:vAlign w:val="bottom"/>
          </w:tcPr>
          <w:p w14:paraId="6DE9F2F6"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117.6742</w:t>
            </w:r>
          </w:p>
        </w:tc>
        <w:tc>
          <w:tcPr>
            <w:tcW w:w="1584" w:type="dxa"/>
            <w:vAlign w:val="bottom"/>
          </w:tcPr>
          <w:p w14:paraId="431AC71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31.7697</w:t>
            </w:r>
          </w:p>
        </w:tc>
        <w:tc>
          <w:tcPr>
            <w:tcW w:w="1584" w:type="dxa"/>
            <w:vAlign w:val="bottom"/>
          </w:tcPr>
          <w:p w14:paraId="7555BE8F"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210.7697</w:t>
            </w:r>
          </w:p>
        </w:tc>
      </w:tr>
      <w:tr w:rsidR="00C20459" w:rsidRPr="006207BC" w14:paraId="6BBCE10C" w14:textId="77777777" w:rsidTr="00F65E89">
        <w:tc>
          <w:tcPr>
            <w:tcW w:w="1548" w:type="dxa"/>
            <w:gridSpan w:val="2"/>
            <w:tcBorders>
              <w:bottom w:val="single" w:sz="4" w:space="0" w:color="auto"/>
            </w:tcBorders>
            <w:vAlign w:val="center"/>
          </w:tcPr>
          <w:p w14:paraId="416FBA20"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Leisure</w:t>
            </w:r>
          </w:p>
        </w:tc>
        <w:tc>
          <w:tcPr>
            <w:tcW w:w="1422" w:type="dxa"/>
            <w:tcBorders>
              <w:bottom w:val="single" w:sz="4" w:space="0" w:color="auto"/>
            </w:tcBorders>
          </w:tcPr>
          <w:p w14:paraId="76443EF4"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27, 58, 70, 78, 79</w:t>
            </w:r>
          </w:p>
        </w:tc>
        <w:tc>
          <w:tcPr>
            <w:tcW w:w="846" w:type="dxa"/>
            <w:tcBorders>
              <w:bottom w:val="single" w:sz="4" w:space="0" w:color="auto"/>
            </w:tcBorders>
            <w:vAlign w:val="bottom"/>
          </w:tcPr>
          <w:p w14:paraId="333014F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45</w:t>
            </w:r>
          </w:p>
        </w:tc>
        <w:tc>
          <w:tcPr>
            <w:tcW w:w="1584" w:type="dxa"/>
            <w:tcBorders>
              <w:bottom w:val="single" w:sz="4" w:space="0" w:color="auto"/>
            </w:tcBorders>
            <w:vAlign w:val="bottom"/>
          </w:tcPr>
          <w:p w14:paraId="56A15186"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105.6000</w:t>
            </w:r>
          </w:p>
        </w:tc>
        <w:tc>
          <w:tcPr>
            <w:tcW w:w="1584" w:type="dxa"/>
            <w:tcBorders>
              <w:bottom w:val="single" w:sz="4" w:space="0" w:color="auto"/>
            </w:tcBorders>
            <w:vAlign w:val="bottom"/>
          </w:tcPr>
          <w:p w14:paraId="05C15CF2"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111.7778</w:t>
            </w:r>
          </w:p>
        </w:tc>
        <w:tc>
          <w:tcPr>
            <w:tcW w:w="1584" w:type="dxa"/>
            <w:tcBorders>
              <w:bottom w:val="single" w:sz="4" w:space="0" w:color="auto"/>
            </w:tcBorders>
            <w:vAlign w:val="bottom"/>
          </w:tcPr>
          <w:p w14:paraId="66176C87"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26.6667</w:t>
            </w:r>
          </w:p>
        </w:tc>
        <w:tc>
          <w:tcPr>
            <w:tcW w:w="1584" w:type="dxa"/>
            <w:tcBorders>
              <w:bottom w:val="single" w:sz="4" w:space="0" w:color="auto"/>
            </w:tcBorders>
            <w:vAlign w:val="bottom"/>
          </w:tcPr>
          <w:p w14:paraId="2BAB753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174.6667</w:t>
            </w:r>
          </w:p>
        </w:tc>
      </w:tr>
      <w:tr w:rsidR="00C20459" w:rsidRPr="006207BC" w14:paraId="09905282" w14:textId="77777777">
        <w:tc>
          <w:tcPr>
            <w:tcW w:w="10152" w:type="dxa"/>
            <w:gridSpan w:val="8"/>
            <w:tcBorders>
              <w:top w:val="single" w:sz="4" w:space="0" w:color="auto"/>
              <w:bottom w:val="single" w:sz="4" w:space="0" w:color="auto"/>
            </w:tcBorders>
            <w:vAlign w:val="center"/>
          </w:tcPr>
          <w:p w14:paraId="4812854A" w14:textId="531A5789"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Panel B: Risk disclosure measures by year</w:t>
            </w:r>
          </w:p>
        </w:tc>
      </w:tr>
      <w:tr w:rsidR="00C20459" w:rsidRPr="006207BC" w14:paraId="3AE02384" w14:textId="77777777">
        <w:tc>
          <w:tcPr>
            <w:tcW w:w="1350" w:type="dxa"/>
            <w:tcBorders>
              <w:top w:val="single" w:sz="4" w:space="0" w:color="auto"/>
              <w:bottom w:val="single" w:sz="4" w:space="0" w:color="auto"/>
            </w:tcBorders>
            <w:vAlign w:val="center"/>
          </w:tcPr>
          <w:p w14:paraId="00BA0AEA" w14:textId="77777777"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Year</w:t>
            </w:r>
          </w:p>
        </w:tc>
        <w:tc>
          <w:tcPr>
            <w:tcW w:w="1620" w:type="dxa"/>
            <w:gridSpan w:val="2"/>
            <w:tcBorders>
              <w:top w:val="single" w:sz="4" w:space="0" w:color="auto"/>
              <w:bottom w:val="single" w:sz="4" w:space="0" w:color="auto"/>
            </w:tcBorders>
            <w:vAlign w:val="center"/>
          </w:tcPr>
          <w:p w14:paraId="7C4163A2" w14:textId="77777777" w:rsidR="00C20459" w:rsidRPr="006207BC" w:rsidRDefault="00C20459">
            <w:pPr>
              <w:spacing w:after="0" w:line="240" w:lineRule="auto"/>
              <w:rPr>
                <w:rFonts w:ascii="Times New Roman" w:hAnsi="Times New Roman" w:cs="Times New Roman"/>
                <w:sz w:val="20"/>
                <w:szCs w:val="20"/>
              </w:rPr>
            </w:pPr>
          </w:p>
        </w:tc>
        <w:tc>
          <w:tcPr>
            <w:tcW w:w="846" w:type="dxa"/>
            <w:tcBorders>
              <w:top w:val="single" w:sz="4" w:space="0" w:color="auto"/>
              <w:bottom w:val="single" w:sz="4" w:space="0" w:color="auto"/>
            </w:tcBorders>
            <w:vAlign w:val="center"/>
          </w:tcPr>
          <w:p w14:paraId="739839A2"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31E7E3EE"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281FE07A"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69F378F1" w14:textId="77777777" w:rsidR="00C20459" w:rsidRPr="006207BC" w:rsidRDefault="00C20459">
            <w:pPr>
              <w:spacing w:after="0" w:line="240" w:lineRule="auto"/>
              <w:rPr>
                <w:rFonts w:ascii="Times New Roman" w:hAnsi="Times New Roman" w:cs="Times New Roman"/>
                <w:sz w:val="20"/>
                <w:szCs w:val="20"/>
              </w:rPr>
            </w:pPr>
          </w:p>
        </w:tc>
        <w:tc>
          <w:tcPr>
            <w:tcW w:w="1584" w:type="dxa"/>
            <w:tcBorders>
              <w:top w:val="single" w:sz="4" w:space="0" w:color="auto"/>
              <w:bottom w:val="single" w:sz="4" w:space="0" w:color="auto"/>
            </w:tcBorders>
            <w:vAlign w:val="center"/>
          </w:tcPr>
          <w:p w14:paraId="3C73A079" w14:textId="77777777" w:rsidR="00C20459" w:rsidRPr="006207BC" w:rsidRDefault="00C20459">
            <w:pPr>
              <w:spacing w:after="0" w:line="240" w:lineRule="auto"/>
              <w:rPr>
                <w:rFonts w:ascii="Times New Roman" w:hAnsi="Times New Roman" w:cs="Times New Roman"/>
                <w:sz w:val="20"/>
                <w:szCs w:val="20"/>
              </w:rPr>
            </w:pPr>
          </w:p>
        </w:tc>
      </w:tr>
      <w:tr w:rsidR="00C20459" w:rsidRPr="006207BC" w14:paraId="37BCD4E6" w14:textId="77777777">
        <w:tc>
          <w:tcPr>
            <w:tcW w:w="1350" w:type="dxa"/>
            <w:tcBorders>
              <w:top w:val="single" w:sz="4" w:space="0" w:color="auto"/>
            </w:tcBorders>
            <w:vAlign w:val="center"/>
          </w:tcPr>
          <w:p w14:paraId="43BF4576"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2007</w:t>
            </w:r>
          </w:p>
        </w:tc>
        <w:tc>
          <w:tcPr>
            <w:tcW w:w="1620" w:type="dxa"/>
            <w:gridSpan w:val="2"/>
            <w:tcBorders>
              <w:top w:val="single" w:sz="4" w:space="0" w:color="auto"/>
            </w:tcBorders>
          </w:tcPr>
          <w:p w14:paraId="1BD896C9" w14:textId="77777777" w:rsidR="00C20459" w:rsidRPr="006207BC" w:rsidRDefault="00C20459">
            <w:pPr>
              <w:spacing w:after="0" w:line="240" w:lineRule="auto"/>
              <w:rPr>
                <w:rFonts w:ascii="Times New Roman" w:hAnsi="Times New Roman" w:cs="Times New Roman"/>
                <w:sz w:val="20"/>
                <w:szCs w:val="20"/>
              </w:rPr>
            </w:pPr>
          </w:p>
        </w:tc>
        <w:tc>
          <w:tcPr>
            <w:tcW w:w="846" w:type="dxa"/>
            <w:tcBorders>
              <w:top w:val="single" w:sz="4" w:space="0" w:color="auto"/>
            </w:tcBorders>
            <w:vAlign w:val="bottom"/>
          </w:tcPr>
          <w:p w14:paraId="5F1D6B7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86</w:t>
            </w:r>
          </w:p>
        </w:tc>
        <w:tc>
          <w:tcPr>
            <w:tcW w:w="1584" w:type="dxa"/>
            <w:tcBorders>
              <w:top w:val="single" w:sz="4" w:space="0" w:color="auto"/>
            </w:tcBorders>
            <w:vAlign w:val="bottom"/>
          </w:tcPr>
          <w:p w14:paraId="06B0BB41"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94.942</w:t>
            </w:r>
          </w:p>
        </w:tc>
        <w:tc>
          <w:tcPr>
            <w:tcW w:w="1584" w:type="dxa"/>
            <w:tcBorders>
              <w:top w:val="single" w:sz="4" w:space="0" w:color="auto"/>
            </w:tcBorders>
            <w:vAlign w:val="bottom"/>
          </w:tcPr>
          <w:p w14:paraId="450C6C3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97.291</w:t>
            </w:r>
          </w:p>
        </w:tc>
        <w:tc>
          <w:tcPr>
            <w:tcW w:w="1584" w:type="dxa"/>
            <w:tcBorders>
              <w:top w:val="single" w:sz="4" w:space="0" w:color="auto"/>
            </w:tcBorders>
            <w:vAlign w:val="bottom"/>
          </w:tcPr>
          <w:p w14:paraId="08A0CF1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24.942</w:t>
            </w:r>
          </w:p>
        </w:tc>
        <w:tc>
          <w:tcPr>
            <w:tcW w:w="1584" w:type="dxa"/>
            <w:tcBorders>
              <w:top w:val="single" w:sz="4" w:space="0" w:color="auto"/>
            </w:tcBorders>
            <w:vAlign w:val="bottom"/>
          </w:tcPr>
          <w:p w14:paraId="1C34FC3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174.221</w:t>
            </w:r>
          </w:p>
        </w:tc>
      </w:tr>
      <w:tr w:rsidR="00C20459" w:rsidRPr="006207BC" w14:paraId="5D98F112" w14:textId="77777777">
        <w:tc>
          <w:tcPr>
            <w:tcW w:w="1350" w:type="dxa"/>
            <w:vAlign w:val="center"/>
          </w:tcPr>
          <w:p w14:paraId="62404C40"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2008</w:t>
            </w:r>
          </w:p>
        </w:tc>
        <w:tc>
          <w:tcPr>
            <w:tcW w:w="1620" w:type="dxa"/>
            <w:gridSpan w:val="2"/>
          </w:tcPr>
          <w:p w14:paraId="57BA2524"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1B2FB38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88</w:t>
            </w:r>
          </w:p>
        </w:tc>
        <w:tc>
          <w:tcPr>
            <w:tcW w:w="1584" w:type="dxa"/>
            <w:vAlign w:val="bottom"/>
          </w:tcPr>
          <w:p w14:paraId="100695D7"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107.398</w:t>
            </w:r>
          </w:p>
        </w:tc>
        <w:tc>
          <w:tcPr>
            <w:tcW w:w="1584" w:type="dxa"/>
            <w:vAlign w:val="bottom"/>
          </w:tcPr>
          <w:p w14:paraId="67AF0623"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113.034</w:t>
            </w:r>
          </w:p>
        </w:tc>
        <w:tc>
          <w:tcPr>
            <w:tcW w:w="1584" w:type="dxa"/>
            <w:vAlign w:val="bottom"/>
          </w:tcPr>
          <w:p w14:paraId="408B4CEC"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28.034</w:t>
            </w:r>
          </w:p>
        </w:tc>
        <w:tc>
          <w:tcPr>
            <w:tcW w:w="1584" w:type="dxa"/>
            <w:vAlign w:val="bottom"/>
          </w:tcPr>
          <w:p w14:paraId="3B12DC4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197.000</w:t>
            </w:r>
          </w:p>
        </w:tc>
      </w:tr>
      <w:tr w:rsidR="00C20459" w:rsidRPr="006207BC" w14:paraId="7E05BA2B" w14:textId="77777777">
        <w:tc>
          <w:tcPr>
            <w:tcW w:w="1350" w:type="dxa"/>
            <w:vAlign w:val="center"/>
          </w:tcPr>
          <w:p w14:paraId="4F652D9C"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2009</w:t>
            </w:r>
          </w:p>
        </w:tc>
        <w:tc>
          <w:tcPr>
            <w:tcW w:w="1620" w:type="dxa"/>
            <w:gridSpan w:val="2"/>
          </w:tcPr>
          <w:p w14:paraId="77938CFD"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7294C583"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90</w:t>
            </w:r>
          </w:p>
        </w:tc>
        <w:tc>
          <w:tcPr>
            <w:tcW w:w="1584" w:type="dxa"/>
            <w:vAlign w:val="bottom"/>
          </w:tcPr>
          <w:p w14:paraId="506A1951"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123.567</w:t>
            </w:r>
          </w:p>
        </w:tc>
        <w:tc>
          <w:tcPr>
            <w:tcW w:w="1584" w:type="dxa"/>
            <w:vAlign w:val="bottom"/>
          </w:tcPr>
          <w:p w14:paraId="115A137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130.411</w:t>
            </w:r>
          </w:p>
        </w:tc>
        <w:tc>
          <w:tcPr>
            <w:tcW w:w="1584" w:type="dxa"/>
            <w:vAlign w:val="bottom"/>
          </w:tcPr>
          <w:p w14:paraId="47A98A4E"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30.844</w:t>
            </w:r>
          </w:p>
        </w:tc>
        <w:tc>
          <w:tcPr>
            <w:tcW w:w="1584" w:type="dxa"/>
            <w:vAlign w:val="bottom"/>
          </w:tcPr>
          <w:p w14:paraId="4E2BB68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234.433</w:t>
            </w:r>
          </w:p>
        </w:tc>
      </w:tr>
      <w:tr w:rsidR="00C20459" w:rsidRPr="006207BC" w14:paraId="2738689D" w14:textId="77777777">
        <w:tc>
          <w:tcPr>
            <w:tcW w:w="1350" w:type="dxa"/>
            <w:vAlign w:val="center"/>
          </w:tcPr>
          <w:p w14:paraId="3CC40A1E"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2010</w:t>
            </w:r>
          </w:p>
        </w:tc>
        <w:tc>
          <w:tcPr>
            <w:tcW w:w="1620" w:type="dxa"/>
            <w:gridSpan w:val="2"/>
          </w:tcPr>
          <w:p w14:paraId="47C4FC89"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6B18F33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95</w:t>
            </w:r>
          </w:p>
        </w:tc>
        <w:tc>
          <w:tcPr>
            <w:tcW w:w="1584" w:type="dxa"/>
            <w:vAlign w:val="bottom"/>
          </w:tcPr>
          <w:p w14:paraId="3737E1A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128.832</w:t>
            </w:r>
          </w:p>
        </w:tc>
        <w:tc>
          <w:tcPr>
            <w:tcW w:w="1584" w:type="dxa"/>
            <w:vAlign w:val="bottom"/>
          </w:tcPr>
          <w:p w14:paraId="75D84E3B"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137.874</w:t>
            </w:r>
          </w:p>
        </w:tc>
        <w:tc>
          <w:tcPr>
            <w:tcW w:w="1584" w:type="dxa"/>
            <w:vAlign w:val="bottom"/>
          </w:tcPr>
          <w:p w14:paraId="063E1EBB"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32.747</w:t>
            </w:r>
          </w:p>
        </w:tc>
        <w:tc>
          <w:tcPr>
            <w:tcW w:w="1584" w:type="dxa"/>
            <w:vAlign w:val="bottom"/>
          </w:tcPr>
          <w:p w14:paraId="182D91A0"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245.516</w:t>
            </w:r>
          </w:p>
        </w:tc>
      </w:tr>
      <w:tr w:rsidR="00C20459" w:rsidRPr="006207BC" w14:paraId="1CEC2BF4" w14:textId="77777777">
        <w:tc>
          <w:tcPr>
            <w:tcW w:w="1350" w:type="dxa"/>
            <w:vAlign w:val="center"/>
          </w:tcPr>
          <w:p w14:paraId="3A121F6F"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2011</w:t>
            </w:r>
          </w:p>
        </w:tc>
        <w:tc>
          <w:tcPr>
            <w:tcW w:w="1620" w:type="dxa"/>
            <w:gridSpan w:val="2"/>
          </w:tcPr>
          <w:p w14:paraId="644CBB57"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6EBBE686"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92</w:t>
            </w:r>
          </w:p>
        </w:tc>
        <w:tc>
          <w:tcPr>
            <w:tcW w:w="1584" w:type="dxa"/>
            <w:vAlign w:val="bottom"/>
          </w:tcPr>
          <w:p w14:paraId="39878E6D"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137.065</w:t>
            </w:r>
          </w:p>
        </w:tc>
        <w:tc>
          <w:tcPr>
            <w:tcW w:w="1584" w:type="dxa"/>
            <w:vAlign w:val="bottom"/>
          </w:tcPr>
          <w:p w14:paraId="206FCD3B"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145.891</w:t>
            </w:r>
          </w:p>
        </w:tc>
        <w:tc>
          <w:tcPr>
            <w:tcW w:w="1584" w:type="dxa"/>
            <w:vAlign w:val="bottom"/>
          </w:tcPr>
          <w:p w14:paraId="7C211DE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34.359</w:t>
            </w:r>
          </w:p>
        </w:tc>
        <w:tc>
          <w:tcPr>
            <w:tcW w:w="1584" w:type="dxa"/>
            <w:vAlign w:val="bottom"/>
          </w:tcPr>
          <w:p w14:paraId="1D854671"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252.967</w:t>
            </w:r>
          </w:p>
        </w:tc>
      </w:tr>
      <w:tr w:rsidR="00C20459" w:rsidRPr="006207BC" w14:paraId="49C09A46" w14:textId="77777777">
        <w:tc>
          <w:tcPr>
            <w:tcW w:w="1350" w:type="dxa"/>
            <w:vAlign w:val="center"/>
          </w:tcPr>
          <w:p w14:paraId="2B5EED62"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2012</w:t>
            </w:r>
          </w:p>
        </w:tc>
        <w:tc>
          <w:tcPr>
            <w:tcW w:w="1620" w:type="dxa"/>
            <w:gridSpan w:val="2"/>
          </w:tcPr>
          <w:p w14:paraId="73C595DA"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7E12B072"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95</w:t>
            </w:r>
          </w:p>
        </w:tc>
        <w:tc>
          <w:tcPr>
            <w:tcW w:w="1584" w:type="dxa"/>
            <w:vAlign w:val="bottom"/>
          </w:tcPr>
          <w:p w14:paraId="2E08071E"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146.695</w:t>
            </w:r>
          </w:p>
        </w:tc>
        <w:tc>
          <w:tcPr>
            <w:tcW w:w="1584" w:type="dxa"/>
            <w:vAlign w:val="bottom"/>
          </w:tcPr>
          <w:p w14:paraId="0505CD90"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158.884</w:t>
            </w:r>
          </w:p>
        </w:tc>
        <w:tc>
          <w:tcPr>
            <w:tcW w:w="1584" w:type="dxa"/>
            <w:vAlign w:val="bottom"/>
          </w:tcPr>
          <w:p w14:paraId="4AABC19D"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36.389</w:t>
            </w:r>
          </w:p>
        </w:tc>
        <w:tc>
          <w:tcPr>
            <w:tcW w:w="1584" w:type="dxa"/>
            <w:vAlign w:val="bottom"/>
          </w:tcPr>
          <w:p w14:paraId="3A2F75A2"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273.842</w:t>
            </w:r>
          </w:p>
        </w:tc>
      </w:tr>
      <w:tr w:rsidR="00C20459" w:rsidRPr="006207BC" w14:paraId="114CDE76" w14:textId="77777777">
        <w:tc>
          <w:tcPr>
            <w:tcW w:w="1350" w:type="dxa"/>
            <w:vAlign w:val="center"/>
          </w:tcPr>
          <w:p w14:paraId="7CEB41C6"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2013</w:t>
            </w:r>
          </w:p>
        </w:tc>
        <w:tc>
          <w:tcPr>
            <w:tcW w:w="1620" w:type="dxa"/>
            <w:gridSpan w:val="2"/>
          </w:tcPr>
          <w:p w14:paraId="68473AAB"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0FA2A823"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103</w:t>
            </w:r>
          </w:p>
        </w:tc>
        <w:tc>
          <w:tcPr>
            <w:tcW w:w="1584" w:type="dxa"/>
            <w:vAlign w:val="bottom"/>
          </w:tcPr>
          <w:p w14:paraId="6E18FD6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154.573</w:t>
            </w:r>
          </w:p>
        </w:tc>
        <w:tc>
          <w:tcPr>
            <w:tcW w:w="1584" w:type="dxa"/>
            <w:vAlign w:val="bottom"/>
          </w:tcPr>
          <w:p w14:paraId="4FBE95E9"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165.175</w:t>
            </w:r>
          </w:p>
        </w:tc>
        <w:tc>
          <w:tcPr>
            <w:tcW w:w="1584" w:type="dxa"/>
            <w:vAlign w:val="bottom"/>
          </w:tcPr>
          <w:p w14:paraId="5D89F3B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38.350</w:t>
            </w:r>
          </w:p>
        </w:tc>
        <w:tc>
          <w:tcPr>
            <w:tcW w:w="1584" w:type="dxa"/>
            <w:vAlign w:val="bottom"/>
          </w:tcPr>
          <w:p w14:paraId="1057BF26"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285.922</w:t>
            </w:r>
          </w:p>
        </w:tc>
      </w:tr>
      <w:tr w:rsidR="00C20459" w:rsidRPr="006207BC" w14:paraId="200F7E25" w14:textId="77777777">
        <w:tc>
          <w:tcPr>
            <w:tcW w:w="1350" w:type="dxa"/>
            <w:vAlign w:val="center"/>
          </w:tcPr>
          <w:p w14:paraId="4CFF1D8C"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2014</w:t>
            </w:r>
          </w:p>
        </w:tc>
        <w:tc>
          <w:tcPr>
            <w:tcW w:w="1620" w:type="dxa"/>
            <w:gridSpan w:val="2"/>
          </w:tcPr>
          <w:p w14:paraId="721D650A" w14:textId="77777777" w:rsidR="00C20459" w:rsidRPr="006207BC" w:rsidRDefault="00C20459">
            <w:pPr>
              <w:spacing w:after="0" w:line="240" w:lineRule="auto"/>
              <w:rPr>
                <w:rFonts w:ascii="Times New Roman" w:hAnsi="Times New Roman" w:cs="Times New Roman"/>
                <w:sz w:val="20"/>
                <w:szCs w:val="20"/>
              </w:rPr>
            </w:pPr>
          </w:p>
        </w:tc>
        <w:tc>
          <w:tcPr>
            <w:tcW w:w="846" w:type="dxa"/>
            <w:vAlign w:val="bottom"/>
          </w:tcPr>
          <w:p w14:paraId="6CBA2106"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105</w:t>
            </w:r>
          </w:p>
        </w:tc>
        <w:tc>
          <w:tcPr>
            <w:tcW w:w="1584" w:type="dxa"/>
            <w:vAlign w:val="bottom"/>
          </w:tcPr>
          <w:p w14:paraId="3B91CEB4"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160.190</w:t>
            </w:r>
          </w:p>
        </w:tc>
        <w:tc>
          <w:tcPr>
            <w:tcW w:w="1584" w:type="dxa"/>
            <w:vAlign w:val="bottom"/>
          </w:tcPr>
          <w:p w14:paraId="63B39C0A"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170.762</w:t>
            </w:r>
          </w:p>
        </w:tc>
        <w:tc>
          <w:tcPr>
            <w:tcW w:w="1584" w:type="dxa"/>
            <w:vAlign w:val="bottom"/>
          </w:tcPr>
          <w:p w14:paraId="7C7624DD"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39.771</w:t>
            </w:r>
          </w:p>
        </w:tc>
        <w:tc>
          <w:tcPr>
            <w:tcW w:w="1584" w:type="dxa"/>
            <w:vAlign w:val="bottom"/>
          </w:tcPr>
          <w:p w14:paraId="5B712E71"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291.943</w:t>
            </w:r>
          </w:p>
        </w:tc>
      </w:tr>
      <w:tr w:rsidR="00C20459" w:rsidRPr="006207BC" w14:paraId="707CF7D6" w14:textId="77777777">
        <w:tc>
          <w:tcPr>
            <w:tcW w:w="1350" w:type="dxa"/>
            <w:tcBorders>
              <w:bottom w:val="single" w:sz="4" w:space="0" w:color="auto"/>
            </w:tcBorders>
            <w:vAlign w:val="center"/>
          </w:tcPr>
          <w:p w14:paraId="0D6703CC" w14:textId="77777777" w:rsidR="00C20459" w:rsidRPr="006207BC" w:rsidRDefault="00A61DC5">
            <w:pPr>
              <w:spacing w:after="0"/>
              <w:rPr>
                <w:rFonts w:ascii="Times New Roman" w:hAnsi="Times New Roman" w:cs="Times New Roman"/>
                <w:sz w:val="20"/>
                <w:szCs w:val="20"/>
              </w:rPr>
            </w:pPr>
            <w:r w:rsidRPr="006207BC">
              <w:rPr>
                <w:rFonts w:ascii="Times New Roman" w:hAnsi="Times New Roman" w:cs="Times New Roman"/>
                <w:sz w:val="20"/>
                <w:szCs w:val="20"/>
              </w:rPr>
              <w:t>2015</w:t>
            </w:r>
          </w:p>
        </w:tc>
        <w:tc>
          <w:tcPr>
            <w:tcW w:w="1620" w:type="dxa"/>
            <w:gridSpan w:val="2"/>
            <w:tcBorders>
              <w:bottom w:val="single" w:sz="4" w:space="0" w:color="auto"/>
            </w:tcBorders>
          </w:tcPr>
          <w:p w14:paraId="44095EFC" w14:textId="77777777" w:rsidR="00C20459" w:rsidRPr="006207BC" w:rsidRDefault="00C20459">
            <w:pPr>
              <w:spacing w:after="0" w:line="240" w:lineRule="auto"/>
              <w:rPr>
                <w:rFonts w:ascii="Times New Roman" w:hAnsi="Times New Roman" w:cs="Times New Roman"/>
                <w:sz w:val="20"/>
                <w:szCs w:val="20"/>
              </w:rPr>
            </w:pPr>
          </w:p>
        </w:tc>
        <w:tc>
          <w:tcPr>
            <w:tcW w:w="846" w:type="dxa"/>
            <w:tcBorders>
              <w:bottom w:val="single" w:sz="4" w:space="0" w:color="auto"/>
            </w:tcBorders>
            <w:vAlign w:val="bottom"/>
          </w:tcPr>
          <w:p w14:paraId="368DB407"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103</w:t>
            </w:r>
          </w:p>
        </w:tc>
        <w:tc>
          <w:tcPr>
            <w:tcW w:w="1584" w:type="dxa"/>
            <w:tcBorders>
              <w:bottom w:val="single" w:sz="4" w:space="0" w:color="auto"/>
            </w:tcBorders>
            <w:vAlign w:val="bottom"/>
          </w:tcPr>
          <w:p w14:paraId="7540392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162.524</w:t>
            </w:r>
          </w:p>
        </w:tc>
        <w:tc>
          <w:tcPr>
            <w:tcW w:w="1584" w:type="dxa"/>
            <w:tcBorders>
              <w:bottom w:val="single" w:sz="4" w:space="0" w:color="auto"/>
            </w:tcBorders>
            <w:vAlign w:val="bottom"/>
          </w:tcPr>
          <w:p w14:paraId="3BDD4105"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176.126</w:t>
            </w:r>
          </w:p>
        </w:tc>
        <w:tc>
          <w:tcPr>
            <w:tcW w:w="1584" w:type="dxa"/>
            <w:tcBorders>
              <w:bottom w:val="single" w:sz="4" w:space="0" w:color="auto"/>
            </w:tcBorders>
            <w:vAlign w:val="bottom"/>
          </w:tcPr>
          <w:p w14:paraId="32142AF8"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40.456</w:t>
            </w:r>
          </w:p>
        </w:tc>
        <w:tc>
          <w:tcPr>
            <w:tcW w:w="1584" w:type="dxa"/>
            <w:tcBorders>
              <w:bottom w:val="single" w:sz="4" w:space="0" w:color="auto"/>
            </w:tcBorders>
            <w:vAlign w:val="bottom"/>
          </w:tcPr>
          <w:p w14:paraId="4AC130E1" w14:textId="77777777" w:rsidR="00C20459" w:rsidRPr="006207BC" w:rsidRDefault="00A61DC5">
            <w:pPr>
              <w:spacing w:after="0"/>
              <w:rPr>
                <w:rFonts w:ascii="Times New Roman" w:hAnsi="Times New Roman" w:cs="Times New Roman"/>
                <w:bCs/>
                <w:color w:val="000000"/>
                <w:sz w:val="20"/>
                <w:szCs w:val="20"/>
              </w:rPr>
            </w:pPr>
            <w:r w:rsidRPr="006207BC">
              <w:rPr>
                <w:rFonts w:ascii="Times New Roman" w:hAnsi="Times New Roman" w:cs="Times New Roman"/>
                <w:bCs/>
                <w:color w:val="000000"/>
                <w:sz w:val="20"/>
                <w:szCs w:val="20"/>
              </w:rPr>
              <w:t>292.417</w:t>
            </w:r>
          </w:p>
        </w:tc>
      </w:tr>
      <w:tr w:rsidR="00C20459" w:rsidRPr="006207BC" w14:paraId="03CF484B" w14:textId="77777777">
        <w:tc>
          <w:tcPr>
            <w:tcW w:w="10152" w:type="dxa"/>
            <w:gridSpan w:val="8"/>
            <w:tcBorders>
              <w:top w:val="single" w:sz="4" w:space="0" w:color="auto"/>
            </w:tcBorders>
            <w:vAlign w:val="center"/>
          </w:tcPr>
          <w:p w14:paraId="053CAD41" w14:textId="5DD3865D" w:rsidR="00C20459" w:rsidRPr="006207BC" w:rsidRDefault="00A61DC5" w:rsidP="006742FA">
            <w:pPr>
              <w:jc w:val="both"/>
              <w:rPr>
                <w:rFonts w:ascii="Times New Roman" w:hAnsi="Times New Roman" w:cs="Times New Roman"/>
                <w:bCs/>
                <w:color w:val="000000"/>
                <w:sz w:val="20"/>
                <w:szCs w:val="20"/>
              </w:rPr>
            </w:pPr>
            <w:r w:rsidRPr="006207BC">
              <w:rPr>
                <w:rFonts w:ascii="Times New Roman" w:hAnsi="Times New Roman" w:cs="Times New Roman"/>
                <w:sz w:val="20"/>
                <w:szCs w:val="20"/>
              </w:rPr>
              <w:t>This table describes the mean risk disclosure by industry (Panel A) and by year (Panel B). S</w:t>
            </w:r>
            <w:r w:rsidRPr="006207BC">
              <w:rPr>
                <w:rFonts w:ascii="Times New Roman" w:hAnsi="Times New Roman" w:cs="Times New Roman"/>
                <w:color w:val="231F20"/>
                <w:sz w:val="20"/>
                <w:szCs w:val="20"/>
              </w:rPr>
              <w:t xml:space="preserve">ee the Appendix for the variable definitions. Raw values are given for the risk disclosure variables. </w:t>
            </w:r>
            <w:r w:rsidR="0034390F" w:rsidRPr="006207BC">
              <w:rPr>
                <w:rFonts w:ascii="Times New Roman" w:hAnsi="Times New Roman" w:cs="Times New Roman"/>
                <w:i/>
                <w:color w:val="231F20"/>
                <w:sz w:val="20"/>
                <w:szCs w:val="20"/>
              </w:rPr>
              <w:t>N</w:t>
            </w:r>
            <w:r w:rsidR="0034390F" w:rsidRPr="006207BC">
              <w:rPr>
                <w:rFonts w:ascii="Times New Roman" w:hAnsi="Times New Roman" w:cs="Times New Roman"/>
                <w:color w:val="231F20"/>
                <w:sz w:val="20"/>
                <w:szCs w:val="20"/>
              </w:rPr>
              <w:t xml:space="preserve"> is the number of observations. </w:t>
            </w:r>
            <w:r w:rsidRPr="006207BC">
              <w:rPr>
                <w:rFonts w:ascii="Times New Roman" w:hAnsi="Times New Roman" w:cs="Times New Roman"/>
                <w:color w:val="231F20"/>
                <w:sz w:val="20"/>
                <w:szCs w:val="20"/>
              </w:rPr>
              <w:t xml:space="preserve">The total sample consists of 857 firm–year observations of </w:t>
            </w:r>
            <w:r w:rsidRPr="006207BC">
              <w:rPr>
                <w:rFonts w:ascii="Times New Roman" w:hAnsi="Times New Roman" w:cs="Times New Roman"/>
                <w:bCs/>
                <w:color w:val="000000"/>
                <w:sz w:val="20"/>
                <w:szCs w:val="20"/>
                <w:shd w:val="clear" w:color="auto" w:fill="FFFFFF"/>
              </w:rPr>
              <w:t>non</w:t>
            </w:r>
            <w:r w:rsidRPr="006207BC">
              <w:rPr>
                <w:rFonts w:ascii="Times New Roman" w:hAnsi="Times New Roman" w:cs="Times New Roman"/>
                <w:color w:val="222222"/>
                <w:sz w:val="20"/>
                <w:szCs w:val="20"/>
                <w:shd w:val="clear" w:color="auto" w:fill="FFFFFF"/>
              </w:rPr>
              <w:t>-</w:t>
            </w:r>
            <w:r w:rsidRPr="006207BC">
              <w:rPr>
                <w:rFonts w:ascii="Times New Roman" w:hAnsi="Times New Roman" w:cs="Times New Roman"/>
                <w:bCs/>
                <w:color w:val="000000"/>
                <w:sz w:val="20"/>
                <w:szCs w:val="20"/>
                <w:shd w:val="clear" w:color="auto" w:fill="FFFFFF"/>
              </w:rPr>
              <w:t>financial</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and</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non</w:t>
            </w:r>
            <w:r w:rsidRPr="006207BC">
              <w:rPr>
                <w:rFonts w:ascii="Times New Roman" w:hAnsi="Times New Roman" w:cs="Times New Roman"/>
                <w:color w:val="222222"/>
                <w:sz w:val="20"/>
                <w:szCs w:val="20"/>
                <w:shd w:val="clear" w:color="auto" w:fill="FFFFFF"/>
              </w:rPr>
              <w:t>-</w:t>
            </w:r>
            <w:r w:rsidRPr="006207BC">
              <w:rPr>
                <w:rFonts w:ascii="Times New Roman" w:hAnsi="Times New Roman" w:cs="Times New Roman"/>
                <w:bCs/>
                <w:color w:val="000000"/>
                <w:sz w:val="20"/>
                <w:szCs w:val="20"/>
                <w:shd w:val="clear" w:color="auto" w:fill="FFFFFF"/>
              </w:rPr>
              <w:t>utility</w:t>
            </w:r>
            <w:r w:rsidRPr="006207BC">
              <w:rPr>
                <w:rFonts w:ascii="Times New Roman" w:hAnsi="Times New Roman" w:cs="Times New Roman"/>
                <w:color w:val="222222"/>
                <w:sz w:val="20"/>
                <w:szCs w:val="20"/>
                <w:shd w:val="clear" w:color="auto" w:fill="FFFFFF"/>
              </w:rPr>
              <w:t> French firms</w:t>
            </w:r>
            <w:r w:rsidRPr="006207BC">
              <w:rPr>
                <w:rFonts w:ascii="Times New Roman" w:hAnsi="Times New Roman" w:cs="Times New Roman"/>
                <w:color w:val="231F20"/>
                <w:sz w:val="20"/>
                <w:szCs w:val="20"/>
              </w:rPr>
              <w:t xml:space="preserve"> </w:t>
            </w:r>
            <w:r w:rsidRPr="006207BC">
              <w:rPr>
                <w:rFonts w:ascii="Times New Roman" w:hAnsi="Times New Roman" w:cs="Times New Roman"/>
                <w:color w:val="222222"/>
                <w:sz w:val="20"/>
                <w:szCs w:val="20"/>
                <w:shd w:val="clear" w:color="auto" w:fill="FFFFFF"/>
              </w:rPr>
              <w:t>on the </w:t>
            </w:r>
            <w:r w:rsidRPr="006207BC">
              <w:rPr>
                <w:rFonts w:ascii="Times New Roman" w:hAnsi="Times New Roman" w:cs="Times New Roman"/>
                <w:bCs/>
                <w:color w:val="000000"/>
                <w:sz w:val="20"/>
                <w:szCs w:val="20"/>
                <w:shd w:val="clear" w:color="auto" w:fill="FFFFFF"/>
              </w:rPr>
              <w:t>SBF</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120</w:t>
            </w:r>
            <w:r w:rsidRPr="006207BC">
              <w:rPr>
                <w:rFonts w:ascii="Times New Roman" w:hAnsi="Times New Roman" w:cs="Times New Roman"/>
                <w:color w:val="222222"/>
                <w:sz w:val="20"/>
                <w:szCs w:val="20"/>
                <w:shd w:val="clear" w:color="auto" w:fill="FFFFFF"/>
              </w:rPr>
              <w:t> </w:t>
            </w:r>
            <w:r w:rsidRPr="006207BC">
              <w:rPr>
                <w:rFonts w:ascii="Times New Roman" w:hAnsi="Times New Roman" w:cs="Times New Roman"/>
                <w:bCs/>
                <w:color w:val="000000"/>
                <w:sz w:val="20"/>
                <w:szCs w:val="20"/>
                <w:shd w:val="clear" w:color="auto" w:fill="FFFFFF"/>
              </w:rPr>
              <w:t xml:space="preserve">index </w:t>
            </w:r>
            <w:r w:rsidRPr="006207BC">
              <w:rPr>
                <w:rFonts w:ascii="Times New Roman" w:hAnsi="Times New Roman" w:cs="Times New Roman"/>
                <w:bCs/>
                <w:sz w:val="20"/>
                <w:szCs w:val="20"/>
              </w:rPr>
              <w:t xml:space="preserve">over the period 2007–2015. The term SIC stands for Standard Industrial Classification. </w:t>
            </w:r>
          </w:p>
        </w:tc>
      </w:tr>
    </w:tbl>
    <w:p w14:paraId="42152922" w14:textId="77777777" w:rsidR="00C20459" w:rsidRPr="006207BC" w:rsidRDefault="00C20459">
      <w:pPr>
        <w:spacing w:after="0" w:line="240" w:lineRule="auto"/>
        <w:rPr>
          <w:rFonts w:ascii="Times New Roman" w:hAnsi="Times New Roman" w:cs="Times New Roman"/>
        </w:rPr>
      </w:pPr>
    </w:p>
    <w:p w14:paraId="40D7C68F" w14:textId="77777777" w:rsidR="00C20459" w:rsidRPr="006207BC" w:rsidRDefault="00C20459">
      <w:pPr>
        <w:rPr>
          <w:rFonts w:ascii="Times New Roman" w:hAnsi="Times New Roman" w:cs="Times New Roman"/>
        </w:rPr>
        <w:sectPr w:rsidR="00C20459" w:rsidRPr="006207BC">
          <w:footerReference w:type="default" r:id="rId12"/>
          <w:pgSz w:w="12240" w:h="15840"/>
          <w:pgMar w:top="1440" w:right="1440" w:bottom="1440" w:left="1440" w:header="720" w:footer="720" w:gutter="0"/>
          <w:pgNumType w:start="0"/>
          <w:cols w:space="720"/>
          <w:docGrid w:linePitch="360"/>
        </w:sectPr>
      </w:pPr>
    </w:p>
    <w:p w14:paraId="30E9212F" w14:textId="77777777" w:rsidR="00C20459" w:rsidRPr="006207BC" w:rsidRDefault="00A61DC5">
      <w:pPr>
        <w:rPr>
          <w:rFonts w:ascii="Times New Roman" w:hAnsi="Times New Roman" w:cs="Times New Roman"/>
        </w:rPr>
      </w:pPr>
      <w:r w:rsidRPr="006207BC">
        <w:rPr>
          <w:rFonts w:ascii="Times New Roman" w:hAnsi="Times New Roman" w:cs="Times New Roman"/>
        </w:rPr>
        <w:lastRenderedPageBreak/>
        <w:t>Table 3. Correlations</w:t>
      </w:r>
    </w:p>
    <w:tbl>
      <w:tblPr>
        <w:tblW w:w="0" w:type="auto"/>
        <w:tblInd w:w="-900" w:type="dxa"/>
        <w:tblLook w:val="0000" w:firstRow="0" w:lastRow="0" w:firstColumn="0" w:lastColumn="0" w:noHBand="0" w:noVBand="0"/>
      </w:tblPr>
      <w:tblGrid>
        <w:gridCol w:w="1636"/>
        <w:gridCol w:w="840"/>
        <w:gridCol w:w="840"/>
        <w:gridCol w:w="858"/>
        <w:gridCol w:w="842"/>
        <w:gridCol w:w="830"/>
        <w:gridCol w:w="858"/>
        <w:gridCol w:w="842"/>
        <w:gridCol w:w="864"/>
        <w:gridCol w:w="842"/>
        <w:gridCol w:w="831"/>
        <w:gridCol w:w="864"/>
        <w:gridCol w:w="864"/>
        <w:gridCol w:w="752"/>
        <w:gridCol w:w="752"/>
        <w:gridCol w:w="545"/>
      </w:tblGrid>
      <w:tr w:rsidR="00C20459" w:rsidRPr="006207BC" w14:paraId="06D73AD9" w14:textId="77777777">
        <w:trPr>
          <w:trHeight w:val="278"/>
        </w:trPr>
        <w:tc>
          <w:tcPr>
            <w:tcW w:w="0" w:type="auto"/>
            <w:tcBorders>
              <w:top w:val="single" w:sz="4" w:space="0" w:color="auto"/>
              <w:left w:val="nil"/>
              <w:bottom w:val="nil"/>
              <w:right w:val="nil"/>
            </w:tcBorders>
          </w:tcPr>
          <w:p w14:paraId="07B82A8C" w14:textId="77777777" w:rsidR="00C20459" w:rsidRPr="006207BC" w:rsidRDefault="00C20459">
            <w:pPr>
              <w:autoSpaceDE w:val="0"/>
              <w:autoSpaceDN w:val="0"/>
              <w:adjustRightInd w:val="0"/>
              <w:spacing w:after="0" w:line="240" w:lineRule="auto"/>
              <w:rPr>
                <w:rFonts w:ascii="Times New Roman" w:hAnsi="Times New Roman" w:cs="Times New Roman"/>
                <w:sz w:val="16"/>
                <w:szCs w:val="16"/>
              </w:rPr>
            </w:pPr>
          </w:p>
        </w:tc>
        <w:tc>
          <w:tcPr>
            <w:tcW w:w="0" w:type="auto"/>
            <w:tcBorders>
              <w:top w:val="single" w:sz="4" w:space="0" w:color="auto"/>
              <w:left w:val="nil"/>
              <w:bottom w:val="nil"/>
              <w:right w:val="nil"/>
            </w:tcBorders>
          </w:tcPr>
          <w:p w14:paraId="3F44F0E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single" w:sz="4" w:space="0" w:color="auto"/>
              <w:left w:val="nil"/>
              <w:bottom w:val="nil"/>
              <w:right w:val="nil"/>
            </w:tcBorders>
          </w:tcPr>
          <w:p w14:paraId="52DBE3E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(2)</w:t>
            </w:r>
          </w:p>
        </w:tc>
        <w:tc>
          <w:tcPr>
            <w:tcW w:w="0" w:type="auto"/>
            <w:tcBorders>
              <w:top w:val="single" w:sz="4" w:space="0" w:color="auto"/>
              <w:left w:val="nil"/>
              <w:bottom w:val="nil"/>
              <w:right w:val="nil"/>
            </w:tcBorders>
          </w:tcPr>
          <w:p w14:paraId="58C20D85" w14:textId="77777777" w:rsidR="00C20459" w:rsidRPr="006207BC" w:rsidRDefault="00A61DC5">
            <w:r w:rsidRPr="006207BC">
              <w:rPr>
                <w:rFonts w:ascii="Times New Roman" w:hAnsi="Times New Roman" w:cs="Times New Roman"/>
                <w:sz w:val="16"/>
                <w:szCs w:val="16"/>
              </w:rPr>
              <w:t>(3)</w:t>
            </w:r>
          </w:p>
        </w:tc>
        <w:tc>
          <w:tcPr>
            <w:tcW w:w="0" w:type="auto"/>
            <w:tcBorders>
              <w:top w:val="single" w:sz="4" w:space="0" w:color="auto"/>
              <w:left w:val="nil"/>
              <w:bottom w:val="nil"/>
              <w:right w:val="nil"/>
            </w:tcBorders>
          </w:tcPr>
          <w:p w14:paraId="278D9EE7" w14:textId="77777777" w:rsidR="00C20459" w:rsidRPr="006207BC" w:rsidRDefault="00A61DC5">
            <w:r w:rsidRPr="006207BC">
              <w:rPr>
                <w:rFonts w:ascii="Times New Roman" w:hAnsi="Times New Roman" w:cs="Times New Roman"/>
                <w:sz w:val="16"/>
                <w:szCs w:val="16"/>
              </w:rPr>
              <w:t>(4)</w:t>
            </w:r>
          </w:p>
        </w:tc>
        <w:tc>
          <w:tcPr>
            <w:tcW w:w="0" w:type="auto"/>
            <w:tcBorders>
              <w:top w:val="single" w:sz="4" w:space="0" w:color="auto"/>
              <w:left w:val="nil"/>
              <w:bottom w:val="nil"/>
              <w:right w:val="nil"/>
            </w:tcBorders>
          </w:tcPr>
          <w:p w14:paraId="7F15D9DB" w14:textId="77777777" w:rsidR="00C20459" w:rsidRPr="006207BC" w:rsidRDefault="00A61DC5">
            <w:r w:rsidRPr="006207BC">
              <w:rPr>
                <w:rFonts w:ascii="Times New Roman" w:hAnsi="Times New Roman" w:cs="Times New Roman"/>
                <w:sz w:val="16"/>
                <w:szCs w:val="16"/>
              </w:rPr>
              <w:t>(5)</w:t>
            </w:r>
          </w:p>
        </w:tc>
        <w:tc>
          <w:tcPr>
            <w:tcW w:w="0" w:type="auto"/>
            <w:tcBorders>
              <w:top w:val="single" w:sz="4" w:space="0" w:color="auto"/>
              <w:left w:val="nil"/>
              <w:bottom w:val="nil"/>
              <w:right w:val="nil"/>
            </w:tcBorders>
          </w:tcPr>
          <w:p w14:paraId="0453B3E1" w14:textId="77777777" w:rsidR="00C20459" w:rsidRPr="006207BC" w:rsidRDefault="00A61DC5">
            <w:r w:rsidRPr="006207BC">
              <w:rPr>
                <w:rFonts w:ascii="Times New Roman" w:hAnsi="Times New Roman" w:cs="Times New Roman"/>
                <w:sz w:val="16"/>
                <w:szCs w:val="16"/>
              </w:rPr>
              <w:t>(6)</w:t>
            </w:r>
          </w:p>
        </w:tc>
        <w:tc>
          <w:tcPr>
            <w:tcW w:w="0" w:type="auto"/>
            <w:tcBorders>
              <w:top w:val="single" w:sz="4" w:space="0" w:color="auto"/>
              <w:left w:val="nil"/>
              <w:bottom w:val="nil"/>
              <w:right w:val="nil"/>
            </w:tcBorders>
          </w:tcPr>
          <w:p w14:paraId="1A286208" w14:textId="77777777" w:rsidR="00C20459" w:rsidRPr="006207BC" w:rsidRDefault="00A61DC5">
            <w:r w:rsidRPr="006207BC">
              <w:rPr>
                <w:rFonts w:ascii="Times New Roman" w:hAnsi="Times New Roman" w:cs="Times New Roman"/>
                <w:sz w:val="16"/>
                <w:szCs w:val="16"/>
              </w:rPr>
              <w:t>(7)</w:t>
            </w:r>
          </w:p>
        </w:tc>
        <w:tc>
          <w:tcPr>
            <w:tcW w:w="0" w:type="auto"/>
            <w:tcBorders>
              <w:top w:val="single" w:sz="4" w:space="0" w:color="auto"/>
              <w:left w:val="nil"/>
              <w:bottom w:val="nil"/>
              <w:right w:val="nil"/>
            </w:tcBorders>
          </w:tcPr>
          <w:p w14:paraId="1A459597" w14:textId="77777777" w:rsidR="00C20459" w:rsidRPr="006207BC" w:rsidRDefault="00A61DC5">
            <w:r w:rsidRPr="006207BC">
              <w:rPr>
                <w:rFonts w:ascii="Times New Roman" w:hAnsi="Times New Roman" w:cs="Times New Roman"/>
                <w:sz w:val="16"/>
                <w:szCs w:val="16"/>
              </w:rPr>
              <w:t>(8)</w:t>
            </w:r>
          </w:p>
        </w:tc>
        <w:tc>
          <w:tcPr>
            <w:tcW w:w="0" w:type="auto"/>
            <w:tcBorders>
              <w:top w:val="single" w:sz="4" w:space="0" w:color="auto"/>
              <w:left w:val="nil"/>
              <w:bottom w:val="nil"/>
              <w:right w:val="nil"/>
            </w:tcBorders>
          </w:tcPr>
          <w:p w14:paraId="7A887CAC" w14:textId="77777777" w:rsidR="00C20459" w:rsidRPr="006207BC" w:rsidRDefault="00A61DC5">
            <w:r w:rsidRPr="006207BC">
              <w:rPr>
                <w:rFonts w:ascii="Times New Roman" w:hAnsi="Times New Roman" w:cs="Times New Roman"/>
                <w:sz w:val="16"/>
                <w:szCs w:val="16"/>
              </w:rPr>
              <w:t>(9)</w:t>
            </w:r>
          </w:p>
        </w:tc>
        <w:tc>
          <w:tcPr>
            <w:tcW w:w="0" w:type="auto"/>
            <w:tcBorders>
              <w:top w:val="single" w:sz="4" w:space="0" w:color="auto"/>
              <w:left w:val="nil"/>
              <w:bottom w:val="nil"/>
              <w:right w:val="nil"/>
            </w:tcBorders>
          </w:tcPr>
          <w:p w14:paraId="6123C2E0" w14:textId="77777777" w:rsidR="00C20459" w:rsidRPr="006207BC" w:rsidRDefault="00A61DC5">
            <w:r w:rsidRPr="006207BC">
              <w:rPr>
                <w:rFonts w:ascii="Times New Roman" w:hAnsi="Times New Roman" w:cs="Times New Roman"/>
                <w:sz w:val="16"/>
                <w:szCs w:val="16"/>
              </w:rPr>
              <w:t>(10)</w:t>
            </w:r>
          </w:p>
        </w:tc>
        <w:tc>
          <w:tcPr>
            <w:tcW w:w="0" w:type="auto"/>
            <w:tcBorders>
              <w:top w:val="single" w:sz="4" w:space="0" w:color="auto"/>
              <w:left w:val="nil"/>
              <w:bottom w:val="nil"/>
              <w:right w:val="nil"/>
            </w:tcBorders>
          </w:tcPr>
          <w:p w14:paraId="33F7F6E6" w14:textId="77777777" w:rsidR="00C20459" w:rsidRPr="006207BC" w:rsidRDefault="00A61DC5">
            <w:r w:rsidRPr="006207BC">
              <w:rPr>
                <w:rFonts w:ascii="Times New Roman" w:hAnsi="Times New Roman" w:cs="Times New Roman"/>
                <w:sz w:val="16"/>
                <w:szCs w:val="16"/>
              </w:rPr>
              <w:t>(11)</w:t>
            </w:r>
          </w:p>
        </w:tc>
        <w:tc>
          <w:tcPr>
            <w:tcW w:w="0" w:type="auto"/>
            <w:tcBorders>
              <w:top w:val="single" w:sz="4" w:space="0" w:color="auto"/>
              <w:left w:val="nil"/>
              <w:bottom w:val="nil"/>
              <w:right w:val="nil"/>
            </w:tcBorders>
          </w:tcPr>
          <w:p w14:paraId="4AC7A222" w14:textId="77777777" w:rsidR="00C20459" w:rsidRPr="006207BC" w:rsidRDefault="00A61DC5">
            <w:r w:rsidRPr="006207BC">
              <w:rPr>
                <w:rFonts w:ascii="Times New Roman" w:hAnsi="Times New Roman" w:cs="Times New Roman"/>
                <w:sz w:val="16"/>
                <w:szCs w:val="16"/>
              </w:rPr>
              <w:t>(12)</w:t>
            </w:r>
          </w:p>
        </w:tc>
        <w:tc>
          <w:tcPr>
            <w:tcW w:w="0" w:type="auto"/>
            <w:tcBorders>
              <w:top w:val="single" w:sz="4" w:space="0" w:color="auto"/>
              <w:left w:val="nil"/>
              <w:bottom w:val="nil"/>
              <w:right w:val="nil"/>
            </w:tcBorders>
          </w:tcPr>
          <w:p w14:paraId="67A3BE40" w14:textId="77777777" w:rsidR="00C20459" w:rsidRPr="006207BC" w:rsidRDefault="00A61DC5">
            <w:r w:rsidRPr="006207BC">
              <w:rPr>
                <w:rFonts w:ascii="Times New Roman" w:hAnsi="Times New Roman" w:cs="Times New Roman"/>
                <w:sz w:val="16"/>
                <w:szCs w:val="16"/>
              </w:rPr>
              <w:t>(13)</w:t>
            </w:r>
          </w:p>
        </w:tc>
        <w:tc>
          <w:tcPr>
            <w:tcW w:w="0" w:type="auto"/>
            <w:tcBorders>
              <w:top w:val="single" w:sz="4" w:space="0" w:color="auto"/>
              <w:left w:val="nil"/>
              <w:bottom w:val="nil"/>
              <w:right w:val="nil"/>
            </w:tcBorders>
          </w:tcPr>
          <w:p w14:paraId="0FC69D88" w14:textId="77777777" w:rsidR="00C20459" w:rsidRPr="006207BC" w:rsidRDefault="00A61DC5">
            <w:r w:rsidRPr="006207BC">
              <w:rPr>
                <w:rFonts w:ascii="Times New Roman" w:hAnsi="Times New Roman" w:cs="Times New Roman"/>
                <w:sz w:val="16"/>
                <w:szCs w:val="16"/>
              </w:rPr>
              <w:t>(14)</w:t>
            </w:r>
          </w:p>
        </w:tc>
        <w:tc>
          <w:tcPr>
            <w:tcW w:w="0" w:type="auto"/>
            <w:tcBorders>
              <w:top w:val="single" w:sz="4" w:space="0" w:color="auto"/>
              <w:left w:val="nil"/>
              <w:bottom w:val="nil"/>
              <w:right w:val="nil"/>
            </w:tcBorders>
          </w:tcPr>
          <w:p w14:paraId="51961CAF" w14:textId="77777777" w:rsidR="00C20459" w:rsidRPr="006207BC" w:rsidRDefault="00A61DC5">
            <w:r w:rsidRPr="006207BC">
              <w:rPr>
                <w:rFonts w:ascii="Times New Roman" w:hAnsi="Times New Roman" w:cs="Times New Roman"/>
                <w:sz w:val="16"/>
                <w:szCs w:val="16"/>
              </w:rPr>
              <w:t>(15)</w:t>
            </w:r>
          </w:p>
        </w:tc>
      </w:tr>
      <w:tr w:rsidR="00C20459" w:rsidRPr="006207BC" w14:paraId="403BBB01" w14:textId="77777777">
        <w:tc>
          <w:tcPr>
            <w:tcW w:w="0" w:type="auto"/>
            <w:tcBorders>
              <w:top w:val="single" w:sz="4" w:space="0" w:color="auto"/>
              <w:left w:val="nil"/>
              <w:bottom w:val="nil"/>
              <w:right w:val="nil"/>
            </w:tcBorders>
          </w:tcPr>
          <w:p w14:paraId="09F93F12"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(1)</w:t>
            </w:r>
            <w:r w:rsidRPr="006207BC">
              <w:rPr>
                <w:rFonts w:ascii="Times New Roman" w:hAnsi="Times New Roman" w:cs="Times New Roman"/>
                <w:i/>
                <w:sz w:val="18"/>
                <w:szCs w:val="18"/>
              </w:rPr>
              <w:t xml:space="preserve"> Analyst</w:t>
            </w:r>
          </w:p>
        </w:tc>
        <w:tc>
          <w:tcPr>
            <w:tcW w:w="0" w:type="auto"/>
            <w:tcBorders>
              <w:top w:val="single" w:sz="4" w:space="0" w:color="auto"/>
              <w:left w:val="nil"/>
              <w:bottom w:val="nil"/>
              <w:right w:val="nil"/>
            </w:tcBorders>
          </w:tcPr>
          <w:p w14:paraId="39F55DC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single" w:sz="4" w:space="0" w:color="auto"/>
              <w:left w:val="nil"/>
              <w:bottom w:val="nil"/>
              <w:right w:val="nil"/>
            </w:tcBorders>
          </w:tcPr>
          <w:p w14:paraId="151B2C4E"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4E7F68B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08E190D9"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507E902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226DE2C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6CA2546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2A8D826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11D1B604"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35407B30"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05C2C21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1B9BFA04"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49D33E40"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4807EC1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single" w:sz="4" w:space="0" w:color="auto"/>
              <w:left w:val="nil"/>
              <w:bottom w:val="nil"/>
              <w:right w:val="nil"/>
            </w:tcBorders>
          </w:tcPr>
          <w:p w14:paraId="72F87209"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48FB2C8C" w14:textId="77777777">
        <w:tc>
          <w:tcPr>
            <w:tcW w:w="0" w:type="auto"/>
            <w:tcBorders>
              <w:top w:val="nil"/>
              <w:left w:val="nil"/>
              <w:bottom w:val="nil"/>
              <w:right w:val="nil"/>
            </w:tcBorders>
          </w:tcPr>
          <w:p w14:paraId="4E81F964"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(2)</w:t>
            </w:r>
            <w:r w:rsidRPr="006207BC">
              <w:rPr>
                <w:rFonts w:ascii="Times New Roman" w:hAnsi="Times New Roman" w:cs="Times New Roman"/>
                <w:i/>
                <w:sz w:val="18"/>
                <w:szCs w:val="18"/>
              </w:rPr>
              <w:t xml:space="preserve"> Risk_sentences</w:t>
            </w:r>
          </w:p>
        </w:tc>
        <w:tc>
          <w:tcPr>
            <w:tcW w:w="0" w:type="auto"/>
            <w:tcBorders>
              <w:top w:val="nil"/>
              <w:left w:val="nil"/>
              <w:bottom w:val="nil"/>
              <w:right w:val="nil"/>
            </w:tcBorders>
          </w:tcPr>
          <w:p w14:paraId="6B495DF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0.252</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78A701D4"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39FE234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659BCE4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5456D2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737A736C"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3BAADDC9"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50B430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3C186486"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ED54CD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7F2682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19920D3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1311AC2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8073934"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382A4739"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7E603882" w14:textId="77777777">
        <w:tc>
          <w:tcPr>
            <w:tcW w:w="0" w:type="auto"/>
            <w:tcBorders>
              <w:top w:val="nil"/>
              <w:left w:val="nil"/>
              <w:right w:val="nil"/>
            </w:tcBorders>
          </w:tcPr>
          <w:p w14:paraId="66E8E4B4"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(3)</w:t>
            </w:r>
            <w:r w:rsidRPr="006207BC">
              <w:rPr>
                <w:rFonts w:ascii="Times New Roman" w:hAnsi="Times New Roman" w:cs="Times New Roman"/>
                <w:i/>
                <w:sz w:val="18"/>
                <w:szCs w:val="18"/>
              </w:rPr>
              <w:t xml:space="preserve"> Risk_words</w:t>
            </w:r>
          </w:p>
        </w:tc>
        <w:tc>
          <w:tcPr>
            <w:tcW w:w="0" w:type="auto"/>
            <w:tcBorders>
              <w:top w:val="nil"/>
              <w:left w:val="nil"/>
              <w:right w:val="nil"/>
            </w:tcBorders>
          </w:tcPr>
          <w:p w14:paraId="0F9AB22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0.267</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3CB2013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0.986</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13E5CD3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right w:val="nil"/>
            </w:tcBorders>
          </w:tcPr>
          <w:p w14:paraId="71FF555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6B7A66B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51C4430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714CC380"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28F502C8"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5A78811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5BFDC97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3226C036"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13A8934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45263B4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66BD90CC"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1168D92C"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6A107479" w14:textId="77777777">
        <w:tc>
          <w:tcPr>
            <w:tcW w:w="0" w:type="auto"/>
            <w:tcBorders>
              <w:top w:val="nil"/>
              <w:left w:val="nil"/>
              <w:right w:val="nil"/>
            </w:tcBorders>
          </w:tcPr>
          <w:p w14:paraId="4C64D706"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(4)</w:t>
            </w:r>
            <w:r w:rsidRPr="006207BC">
              <w:rPr>
                <w:rFonts w:ascii="Times New Roman" w:hAnsi="Times New Roman" w:cs="Times New Roman"/>
                <w:i/>
                <w:sz w:val="18"/>
                <w:szCs w:val="18"/>
              </w:rPr>
              <w:t xml:space="preserve"> Risk factors</w:t>
            </w:r>
          </w:p>
        </w:tc>
        <w:tc>
          <w:tcPr>
            <w:tcW w:w="0" w:type="auto"/>
            <w:tcBorders>
              <w:top w:val="nil"/>
              <w:left w:val="nil"/>
              <w:right w:val="nil"/>
            </w:tcBorders>
          </w:tcPr>
          <w:p w14:paraId="5399EE8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0.214</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535F7ED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0.618</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1192C06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0.602</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45EADF6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right w:val="nil"/>
            </w:tcBorders>
          </w:tcPr>
          <w:p w14:paraId="5E89DCB8"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69E5584E"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1E79A3E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3B914FD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50B01E0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0F7BE9B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1FC2447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7ACA208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37501426"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1621B592"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263F6B9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2A199223" w14:textId="77777777">
        <w:tc>
          <w:tcPr>
            <w:tcW w:w="0" w:type="auto"/>
            <w:tcBorders>
              <w:top w:val="nil"/>
              <w:left w:val="nil"/>
              <w:right w:val="nil"/>
            </w:tcBorders>
          </w:tcPr>
          <w:p w14:paraId="14512B43"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(5)</w:t>
            </w:r>
            <w:r w:rsidRPr="006207BC">
              <w:rPr>
                <w:rFonts w:ascii="Times New Roman" w:hAnsi="Times New Roman" w:cs="Times New Roman"/>
                <w:i/>
                <w:sz w:val="18"/>
                <w:szCs w:val="18"/>
              </w:rPr>
              <w:t xml:space="preserve"> Total_sentences</w:t>
            </w:r>
          </w:p>
        </w:tc>
        <w:tc>
          <w:tcPr>
            <w:tcW w:w="0" w:type="auto"/>
            <w:tcBorders>
              <w:top w:val="nil"/>
              <w:left w:val="nil"/>
              <w:right w:val="nil"/>
            </w:tcBorders>
          </w:tcPr>
          <w:p w14:paraId="08F572F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0.220</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4B49695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0.963</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5A5A299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0.943</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4FFB0FB3"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0.611</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6D96318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right w:val="nil"/>
            </w:tcBorders>
          </w:tcPr>
          <w:p w14:paraId="35F7BAC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7BC61686"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795AFA8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324A03F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5C868BA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30A90BC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60354694"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76E1769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428EEB4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right w:val="nil"/>
            </w:tcBorders>
          </w:tcPr>
          <w:p w14:paraId="7FE5B339"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065016FB" w14:textId="77777777">
        <w:tc>
          <w:tcPr>
            <w:tcW w:w="0" w:type="auto"/>
            <w:tcBorders>
              <w:left w:val="nil"/>
              <w:bottom w:val="nil"/>
              <w:right w:val="nil"/>
            </w:tcBorders>
          </w:tcPr>
          <w:p w14:paraId="32080914" w14:textId="54186670"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(6)</w:t>
            </w:r>
            <w:r w:rsidRPr="006207BC">
              <w:rPr>
                <w:rFonts w:ascii="Times New Roman" w:hAnsi="Times New Roman" w:cs="Times New Roman"/>
                <w:i/>
                <w:sz w:val="18"/>
                <w:szCs w:val="18"/>
              </w:rPr>
              <w:t xml:space="preserve"> </w:t>
            </w:r>
            <w:r w:rsidR="00B025A1" w:rsidRPr="006207BC">
              <w:rPr>
                <w:rFonts w:ascii="Times New Roman" w:hAnsi="Times New Roman" w:cs="Times New Roman"/>
                <w:i/>
                <w:sz w:val="18"/>
                <w:szCs w:val="18"/>
              </w:rPr>
              <w:t>Ownership</w:t>
            </w:r>
          </w:p>
        </w:tc>
        <w:tc>
          <w:tcPr>
            <w:tcW w:w="0" w:type="auto"/>
            <w:tcBorders>
              <w:left w:val="nil"/>
              <w:bottom w:val="nil"/>
              <w:right w:val="nil"/>
            </w:tcBorders>
          </w:tcPr>
          <w:p w14:paraId="79511F3A"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-0.237</w:t>
            </w:r>
            <w:r w:rsidRPr="006207BC">
              <w:rPr>
                <w:rFonts w:ascii="Times New Roman" w:hAnsi="Times New Roman" w:cs="Times New Roman"/>
                <w:sz w:val="16"/>
                <w:szCs w:val="16"/>
                <w:vertAlign w:val="superscript"/>
              </w:rPr>
              <w:t>***</w:t>
            </w:r>
          </w:p>
        </w:tc>
        <w:tc>
          <w:tcPr>
            <w:tcW w:w="0" w:type="auto"/>
            <w:tcBorders>
              <w:left w:val="nil"/>
              <w:bottom w:val="nil"/>
              <w:right w:val="nil"/>
            </w:tcBorders>
          </w:tcPr>
          <w:p w14:paraId="3827E18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0.0258</w:t>
            </w:r>
          </w:p>
        </w:tc>
        <w:tc>
          <w:tcPr>
            <w:tcW w:w="0" w:type="auto"/>
            <w:tcBorders>
              <w:left w:val="nil"/>
              <w:bottom w:val="nil"/>
              <w:right w:val="nil"/>
            </w:tcBorders>
          </w:tcPr>
          <w:p w14:paraId="6D04538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0.00102</w:t>
            </w:r>
          </w:p>
        </w:tc>
        <w:tc>
          <w:tcPr>
            <w:tcW w:w="0" w:type="auto"/>
            <w:tcBorders>
              <w:left w:val="nil"/>
              <w:bottom w:val="nil"/>
              <w:right w:val="nil"/>
            </w:tcBorders>
          </w:tcPr>
          <w:p w14:paraId="5A047D0A"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0.0444</w:t>
            </w:r>
          </w:p>
        </w:tc>
        <w:tc>
          <w:tcPr>
            <w:tcW w:w="0" w:type="auto"/>
            <w:tcBorders>
              <w:left w:val="nil"/>
              <w:bottom w:val="nil"/>
              <w:right w:val="nil"/>
            </w:tcBorders>
          </w:tcPr>
          <w:p w14:paraId="793DC82A"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0.00706</w:t>
            </w:r>
          </w:p>
        </w:tc>
        <w:tc>
          <w:tcPr>
            <w:tcW w:w="0" w:type="auto"/>
            <w:tcBorders>
              <w:left w:val="nil"/>
              <w:bottom w:val="nil"/>
              <w:right w:val="nil"/>
            </w:tcBorders>
          </w:tcPr>
          <w:p w14:paraId="5234E3C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left w:val="nil"/>
              <w:bottom w:val="nil"/>
              <w:right w:val="nil"/>
            </w:tcBorders>
          </w:tcPr>
          <w:p w14:paraId="521402B8"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64B91F1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2CEB864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628C585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3D25108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51F8544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3EC6E37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6F112FBC"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left w:val="nil"/>
              <w:bottom w:val="nil"/>
              <w:right w:val="nil"/>
            </w:tcBorders>
          </w:tcPr>
          <w:p w14:paraId="01612188"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5F2C763C" w14:textId="77777777">
        <w:tc>
          <w:tcPr>
            <w:tcW w:w="0" w:type="auto"/>
            <w:tcBorders>
              <w:top w:val="nil"/>
              <w:left w:val="nil"/>
              <w:bottom w:val="nil"/>
              <w:right w:val="nil"/>
            </w:tcBorders>
          </w:tcPr>
          <w:p w14:paraId="498E53FB"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(7)</w:t>
            </w:r>
            <w:r w:rsidRPr="006207BC">
              <w:rPr>
                <w:rFonts w:ascii="Times New Roman" w:hAnsi="Times New Roman" w:cs="Times New Roman"/>
                <w:i/>
                <w:sz w:val="18"/>
                <w:szCs w:val="18"/>
              </w:rPr>
              <w:t xml:space="preserve"> Size</w:t>
            </w:r>
          </w:p>
        </w:tc>
        <w:tc>
          <w:tcPr>
            <w:tcW w:w="0" w:type="auto"/>
            <w:tcBorders>
              <w:top w:val="nil"/>
              <w:left w:val="nil"/>
              <w:bottom w:val="nil"/>
              <w:right w:val="nil"/>
            </w:tcBorders>
          </w:tcPr>
          <w:p w14:paraId="74389D6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0.662</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3AFA80F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0.0700</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3733090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0.105</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3BED53D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0.0470</w:t>
            </w:r>
          </w:p>
        </w:tc>
        <w:tc>
          <w:tcPr>
            <w:tcW w:w="0" w:type="auto"/>
            <w:tcBorders>
              <w:top w:val="nil"/>
              <w:left w:val="nil"/>
              <w:bottom w:val="nil"/>
              <w:right w:val="nil"/>
            </w:tcBorders>
          </w:tcPr>
          <w:p w14:paraId="1AB5345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0.0314</w:t>
            </w:r>
          </w:p>
        </w:tc>
        <w:tc>
          <w:tcPr>
            <w:tcW w:w="0" w:type="auto"/>
            <w:tcBorders>
              <w:top w:val="nil"/>
              <w:left w:val="nil"/>
              <w:bottom w:val="nil"/>
              <w:right w:val="nil"/>
            </w:tcBorders>
          </w:tcPr>
          <w:p w14:paraId="34A5EF6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-0.164</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5CDD4D2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30E5C71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7A142CE6"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730B687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17B29EAE"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3A7E34C8"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16BB9FA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36E83F4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6CF70F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25A4BDD2" w14:textId="77777777">
        <w:tc>
          <w:tcPr>
            <w:tcW w:w="0" w:type="auto"/>
            <w:tcBorders>
              <w:top w:val="nil"/>
              <w:left w:val="nil"/>
              <w:bottom w:val="nil"/>
              <w:right w:val="nil"/>
            </w:tcBorders>
          </w:tcPr>
          <w:p w14:paraId="47C0CDD6"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(8)</w:t>
            </w:r>
            <w:r w:rsidRPr="006207BC">
              <w:rPr>
                <w:rFonts w:ascii="Times New Roman" w:hAnsi="Times New Roman" w:cs="Times New Roman"/>
                <w:i/>
                <w:sz w:val="18"/>
                <w:szCs w:val="18"/>
              </w:rPr>
              <w:t xml:space="preserve"> Beta</w:t>
            </w:r>
          </w:p>
        </w:tc>
        <w:tc>
          <w:tcPr>
            <w:tcW w:w="0" w:type="auto"/>
            <w:tcBorders>
              <w:top w:val="nil"/>
              <w:left w:val="nil"/>
              <w:bottom w:val="nil"/>
              <w:right w:val="nil"/>
            </w:tcBorders>
          </w:tcPr>
          <w:p w14:paraId="4AA5761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0.297</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8B11B8A"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0.225</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D7A514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0.228</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688CE9F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0.264</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0F83BB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0.130</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E16A70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-0.289</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56138EF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0.367</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75F841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365B970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72BE19F2"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1F6456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5FD1A79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916E23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4DF01ADC"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F435872"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48FEC8B9" w14:textId="77777777">
        <w:tc>
          <w:tcPr>
            <w:tcW w:w="0" w:type="auto"/>
            <w:tcBorders>
              <w:top w:val="nil"/>
              <w:left w:val="nil"/>
              <w:bottom w:val="nil"/>
              <w:right w:val="nil"/>
            </w:tcBorders>
          </w:tcPr>
          <w:p w14:paraId="3C12E1CE"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(9)</w:t>
            </w:r>
            <w:r w:rsidRPr="006207BC">
              <w:rPr>
                <w:rFonts w:ascii="Times New Roman" w:hAnsi="Times New Roman" w:cs="Times New Roman"/>
                <w:i/>
                <w:sz w:val="18"/>
                <w:szCs w:val="18"/>
              </w:rPr>
              <w:t xml:space="preserve"> Earnings surprise</w:t>
            </w:r>
          </w:p>
        </w:tc>
        <w:tc>
          <w:tcPr>
            <w:tcW w:w="0" w:type="auto"/>
            <w:tcBorders>
              <w:top w:val="nil"/>
              <w:left w:val="nil"/>
              <w:bottom w:val="nil"/>
              <w:right w:val="nil"/>
            </w:tcBorders>
          </w:tcPr>
          <w:p w14:paraId="3B6D5E5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0.00477</w:t>
            </w:r>
          </w:p>
        </w:tc>
        <w:tc>
          <w:tcPr>
            <w:tcW w:w="0" w:type="auto"/>
            <w:tcBorders>
              <w:top w:val="nil"/>
              <w:left w:val="nil"/>
              <w:bottom w:val="nil"/>
              <w:right w:val="nil"/>
            </w:tcBorders>
          </w:tcPr>
          <w:p w14:paraId="6DCA47B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0.00496</w:t>
            </w:r>
          </w:p>
        </w:tc>
        <w:tc>
          <w:tcPr>
            <w:tcW w:w="0" w:type="auto"/>
            <w:tcBorders>
              <w:top w:val="nil"/>
              <w:left w:val="nil"/>
              <w:bottom w:val="nil"/>
              <w:right w:val="nil"/>
            </w:tcBorders>
          </w:tcPr>
          <w:p w14:paraId="042F06B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0.00956</w:t>
            </w:r>
          </w:p>
        </w:tc>
        <w:tc>
          <w:tcPr>
            <w:tcW w:w="0" w:type="auto"/>
            <w:tcBorders>
              <w:top w:val="nil"/>
              <w:left w:val="nil"/>
              <w:bottom w:val="nil"/>
              <w:right w:val="nil"/>
            </w:tcBorders>
          </w:tcPr>
          <w:p w14:paraId="1B21411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-0.00542</w:t>
            </w:r>
          </w:p>
        </w:tc>
        <w:tc>
          <w:tcPr>
            <w:tcW w:w="0" w:type="auto"/>
            <w:tcBorders>
              <w:top w:val="nil"/>
              <w:left w:val="nil"/>
              <w:bottom w:val="nil"/>
              <w:right w:val="nil"/>
            </w:tcBorders>
          </w:tcPr>
          <w:p w14:paraId="65CA17E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0.0230</w:t>
            </w:r>
          </w:p>
        </w:tc>
        <w:tc>
          <w:tcPr>
            <w:tcW w:w="0" w:type="auto"/>
            <w:tcBorders>
              <w:top w:val="nil"/>
              <w:left w:val="nil"/>
              <w:bottom w:val="nil"/>
              <w:right w:val="nil"/>
            </w:tcBorders>
          </w:tcPr>
          <w:p w14:paraId="15047E0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0.0209</w:t>
            </w:r>
          </w:p>
        </w:tc>
        <w:tc>
          <w:tcPr>
            <w:tcW w:w="0" w:type="auto"/>
            <w:tcBorders>
              <w:top w:val="nil"/>
              <w:left w:val="nil"/>
              <w:bottom w:val="nil"/>
              <w:right w:val="nil"/>
            </w:tcBorders>
          </w:tcPr>
          <w:p w14:paraId="6864468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-0.00686</w:t>
            </w:r>
          </w:p>
        </w:tc>
        <w:tc>
          <w:tcPr>
            <w:tcW w:w="0" w:type="auto"/>
            <w:tcBorders>
              <w:top w:val="nil"/>
              <w:left w:val="nil"/>
              <w:bottom w:val="nil"/>
              <w:right w:val="nil"/>
            </w:tcBorders>
          </w:tcPr>
          <w:p w14:paraId="69F1D33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0.00204</w:t>
            </w:r>
          </w:p>
        </w:tc>
        <w:tc>
          <w:tcPr>
            <w:tcW w:w="0" w:type="auto"/>
            <w:tcBorders>
              <w:top w:val="nil"/>
              <w:left w:val="nil"/>
              <w:bottom w:val="nil"/>
              <w:right w:val="nil"/>
            </w:tcBorders>
          </w:tcPr>
          <w:p w14:paraId="7D4218E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6BC29A9A"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3B1FEC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7E88FE39"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688DC54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1D6C05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469E7BC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76B49A51" w14:textId="77777777">
        <w:tc>
          <w:tcPr>
            <w:tcW w:w="0" w:type="auto"/>
            <w:tcBorders>
              <w:top w:val="nil"/>
              <w:left w:val="nil"/>
              <w:bottom w:val="nil"/>
              <w:right w:val="nil"/>
            </w:tcBorders>
          </w:tcPr>
          <w:p w14:paraId="716735B9"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(10)</w:t>
            </w:r>
            <w:r w:rsidRPr="006207BC">
              <w:rPr>
                <w:rFonts w:ascii="Times New Roman" w:hAnsi="Times New Roman" w:cs="Times New Roman"/>
                <w:i/>
                <w:sz w:val="18"/>
                <w:szCs w:val="18"/>
              </w:rPr>
              <w:t xml:space="preserve"> Return STD</w:t>
            </w:r>
          </w:p>
        </w:tc>
        <w:tc>
          <w:tcPr>
            <w:tcW w:w="0" w:type="auto"/>
            <w:tcBorders>
              <w:top w:val="nil"/>
              <w:left w:val="nil"/>
              <w:bottom w:val="nil"/>
              <w:right w:val="nil"/>
            </w:tcBorders>
          </w:tcPr>
          <w:p w14:paraId="1F84F63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-0.161</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AE6672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0.114</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40F645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0.0990</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5D88062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0.152</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66230F6"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0.0400</w:t>
            </w:r>
          </w:p>
        </w:tc>
        <w:tc>
          <w:tcPr>
            <w:tcW w:w="0" w:type="auto"/>
            <w:tcBorders>
              <w:top w:val="nil"/>
              <w:left w:val="nil"/>
              <w:bottom w:val="nil"/>
              <w:right w:val="nil"/>
            </w:tcBorders>
          </w:tcPr>
          <w:p w14:paraId="3FFD18D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-0.118</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6BAE06C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-0.112</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E460B7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0.477</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303340C8"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0.0252</w:t>
            </w:r>
          </w:p>
        </w:tc>
        <w:tc>
          <w:tcPr>
            <w:tcW w:w="0" w:type="auto"/>
            <w:tcBorders>
              <w:top w:val="nil"/>
              <w:left w:val="nil"/>
              <w:bottom w:val="nil"/>
              <w:right w:val="nil"/>
            </w:tcBorders>
          </w:tcPr>
          <w:p w14:paraId="3948FCFE"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401E68E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69AC1EF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B2CE5E4"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547C0E7B"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3644566E"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1EF97468" w14:textId="77777777">
        <w:tc>
          <w:tcPr>
            <w:tcW w:w="0" w:type="auto"/>
            <w:tcBorders>
              <w:top w:val="nil"/>
              <w:left w:val="nil"/>
              <w:bottom w:val="nil"/>
              <w:right w:val="nil"/>
            </w:tcBorders>
          </w:tcPr>
          <w:p w14:paraId="099105E6"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(11)</w:t>
            </w:r>
            <w:r w:rsidRPr="006207BC">
              <w:rPr>
                <w:rFonts w:ascii="Times New Roman" w:hAnsi="Times New Roman" w:cs="Times New Roman"/>
                <w:i/>
                <w:sz w:val="18"/>
                <w:szCs w:val="18"/>
              </w:rPr>
              <w:t xml:space="preserve"> Profitability</w:t>
            </w:r>
          </w:p>
        </w:tc>
        <w:tc>
          <w:tcPr>
            <w:tcW w:w="0" w:type="auto"/>
            <w:tcBorders>
              <w:top w:val="nil"/>
              <w:left w:val="nil"/>
              <w:bottom w:val="nil"/>
              <w:right w:val="nil"/>
            </w:tcBorders>
          </w:tcPr>
          <w:p w14:paraId="1B9BEE6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0.131</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815681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-0.131</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78480F0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-0.134</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7F7662D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-0.148</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7BBB2C38"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-0.0444</w:t>
            </w:r>
          </w:p>
        </w:tc>
        <w:tc>
          <w:tcPr>
            <w:tcW w:w="0" w:type="auto"/>
            <w:tcBorders>
              <w:top w:val="nil"/>
              <w:left w:val="nil"/>
              <w:bottom w:val="nil"/>
              <w:right w:val="nil"/>
            </w:tcBorders>
          </w:tcPr>
          <w:p w14:paraId="569C574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0.0107</w:t>
            </w:r>
          </w:p>
        </w:tc>
        <w:tc>
          <w:tcPr>
            <w:tcW w:w="0" w:type="auto"/>
            <w:tcBorders>
              <w:top w:val="nil"/>
              <w:left w:val="nil"/>
              <w:bottom w:val="nil"/>
              <w:right w:val="nil"/>
            </w:tcBorders>
          </w:tcPr>
          <w:p w14:paraId="46CC3CA4"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-0.0640</w:t>
            </w:r>
          </w:p>
        </w:tc>
        <w:tc>
          <w:tcPr>
            <w:tcW w:w="0" w:type="auto"/>
            <w:tcBorders>
              <w:top w:val="nil"/>
              <w:left w:val="nil"/>
              <w:bottom w:val="nil"/>
              <w:right w:val="nil"/>
            </w:tcBorders>
          </w:tcPr>
          <w:p w14:paraId="243F4C3A"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-0.169</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2B5C0F1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0.155</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5BB737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-0.236</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348959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129F65A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080C4A96"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5A96117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4A28EC2E"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73B2015F" w14:textId="77777777">
        <w:tc>
          <w:tcPr>
            <w:tcW w:w="0" w:type="auto"/>
            <w:tcBorders>
              <w:top w:val="nil"/>
              <w:left w:val="nil"/>
              <w:bottom w:val="nil"/>
              <w:right w:val="nil"/>
            </w:tcBorders>
          </w:tcPr>
          <w:p w14:paraId="62F38F7F"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(12)</w:t>
            </w:r>
            <w:r w:rsidRPr="006207BC">
              <w:rPr>
                <w:rFonts w:ascii="Times New Roman" w:hAnsi="Times New Roman" w:cs="Times New Roman"/>
                <w:i/>
                <w:sz w:val="18"/>
                <w:szCs w:val="18"/>
              </w:rPr>
              <w:t xml:space="preserve"> Market-to-book</w:t>
            </w:r>
          </w:p>
        </w:tc>
        <w:tc>
          <w:tcPr>
            <w:tcW w:w="0" w:type="auto"/>
            <w:tcBorders>
              <w:top w:val="nil"/>
              <w:left w:val="nil"/>
              <w:bottom w:val="nil"/>
              <w:right w:val="nil"/>
            </w:tcBorders>
          </w:tcPr>
          <w:p w14:paraId="34D4F38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0.0150</w:t>
            </w:r>
          </w:p>
        </w:tc>
        <w:tc>
          <w:tcPr>
            <w:tcW w:w="0" w:type="auto"/>
            <w:tcBorders>
              <w:top w:val="nil"/>
              <w:left w:val="nil"/>
              <w:bottom w:val="nil"/>
              <w:right w:val="nil"/>
            </w:tcBorders>
          </w:tcPr>
          <w:p w14:paraId="689017BA"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-0.121</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7AEB1A8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-0.121</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2866873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-0.142</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05E035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-0.0527</w:t>
            </w:r>
          </w:p>
        </w:tc>
        <w:tc>
          <w:tcPr>
            <w:tcW w:w="0" w:type="auto"/>
            <w:tcBorders>
              <w:top w:val="nil"/>
              <w:left w:val="nil"/>
              <w:bottom w:val="nil"/>
              <w:right w:val="nil"/>
            </w:tcBorders>
          </w:tcPr>
          <w:p w14:paraId="31B35A4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0.0955</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89B33AE"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-0.329</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51A72EE"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-0.255</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62B7CA5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0.00206</w:t>
            </w:r>
          </w:p>
        </w:tc>
        <w:tc>
          <w:tcPr>
            <w:tcW w:w="0" w:type="auto"/>
            <w:tcBorders>
              <w:top w:val="nil"/>
              <w:left w:val="nil"/>
              <w:bottom w:val="nil"/>
              <w:right w:val="nil"/>
            </w:tcBorders>
          </w:tcPr>
          <w:p w14:paraId="3FDA0FB9"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-0.185</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2B99F4D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0.358</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C51A9C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73EB0571"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1A3CAB33"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248093C7"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0A381561" w14:textId="77777777">
        <w:tc>
          <w:tcPr>
            <w:tcW w:w="0" w:type="auto"/>
            <w:tcBorders>
              <w:top w:val="nil"/>
              <w:left w:val="nil"/>
              <w:bottom w:val="nil"/>
              <w:right w:val="nil"/>
            </w:tcBorders>
          </w:tcPr>
          <w:p w14:paraId="0EEB8FAD"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(13)</w:t>
            </w:r>
            <w:r w:rsidRPr="006207BC">
              <w:rPr>
                <w:rFonts w:ascii="Times New Roman" w:hAnsi="Times New Roman" w:cs="Times New Roman"/>
                <w:i/>
                <w:sz w:val="18"/>
                <w:szCs w:val="18"/>
              </w:rPr>
              <w:t xml:space="preserve"> XLIST</w:t>
            </w:r>
          </w:p>
        </w:tc>
        <w:tc>
          <w:tcPr>
            <w:tcW w:w="0" w:type="auto"/>
            <w:tcBorders>
              <w:top w:val="nil"/>
              <w:left w:val="nil"/>
              <w:bottom w:val="nil"/>
              <w:right w:val="nil"/>
            </w:tcBorders>
          </w:tcPr>
          <w:p w14:paraId="7DF3A48E"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0.477</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06FCCB1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0.269</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2B07A2E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0.288</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5F0102D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0.253</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44D77954"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0.116</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19566954"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-0.250</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23137EE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0.488</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3DF73C8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0.251</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50D9E92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0.00310</w:t>
            </w:r>
          </w:p>
        </w:tc>
        <w:tc>
          <w:tcPr>
            <w:tcW w:w="0" w:type="auto"/>
            <w:tcBorders>
              <w:top w:val="nil"/>
              <w:left w:val="nil"/>
              <w:bottom w:val="nil"/>
              <w:right w:val="nil"/>
            </w:tcBorders>
          </w:tcPr>
          <w:p w14:paraId="52D1418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-0.0467</w:t>
            </w:r>
          </w:p>
        </w:tc>
        <w:tc>
          <w:tcPr>
            <w:tcW w:w="0" w:type="auto"/>
            <w:tcBorders>
              <w:top w:val="nil"/>
              <w:left w:val="nil"/>
              <w:bottom w:val="nil"/>
              <w:right w:val="nil"/>
            </w:tcBorders>
          </w:tcPr>
          <w:p w14:paraId="40CC784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-0.0939</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7F2FA65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-0.0913</w:t>
            </w:r>
            <w:r w:rsidRPr="006207BC">
              <w:rPr>
                <w:rFonts w:ascii="Times New Roman" w:hAnsi="Times New Roman" w:cs="Times New Roman"/>
                <w:sz w:val="16"/>
                <w:szCs w:val="16"/>
                <w:vertAlign w:val="superscript"/>
              </w:rPr>
              <w:t>**</w:t>
            </w:r>
          </w:p>
        </w:tc>
        <w:tc>
          <w:tcPr>
            <w:tcW w:w="0" w:type="auto"/>
            <w:tcBorders>
              <w:top w:val="nil"/>
              <w:left w:val="nil"/>
              <w:bottom w:val="nil"/>
              <w:right w:val="nil"/>
            </w:tcBorders>
          </w:tcPr>
          <w:p w14:paraId="620C5FCB"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bottom w:val="nil"/>
              <w:right w:val="nil"/>
            </w:tcBorders>
          </w:tcPr>
          <w:p w14:paraId="0FC3DE05"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c>
          <w:tcPr>
            <w:tcW w:w="0" w:type="auto"/>
            <w:tcBorders>
              <w:top w:val="nil"/>
              <w:left w:val="nil"/>
              <w:bottom w:val="nil"/>
              <w:right w:val="nil"/>
            </w:tcBorders>
          </w:tcPr>
          <w:p w14:paraId="68290F2D"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4EDC6A17" w14:textId="77777777" w:rsidTr="0034390F">
        <w:tc>
          <w:tcPr>
            <w:tcW w:w="0" w:type="auto"/>
            <w:tcBorders>
              <w:top w:val="nil"/>
              <w:left w:val="nil"/>
              <w:right w:val="nil"/>
            </w:tcBorders>
          </w:tcPr>
          <w:p w14:paraId="2498F086" w14:textId="77777777" w:rsidR="00C20459" w:rsidRPr="006207BC" w:rsidRDefault="00A61DC5">
            <w:pPr>
              <w:rPr>
                <w:rFonts w:ascii="Times New Roman" w:hAnsi="Times New Roman" w:cs="Times New Roman"/>
                <w:i/>
                <w:sz w:val="18"/>
                <w:szCs w:val="18"/>
              </w:rPr>
            </w:pPr>
            <w:r w:rsidRPr="006207BC">
              <w:rPr>
                <w:rFonts w:ascii="Times New Roman" w:hAnsi="Times New Roman" w:cs="Times New Roman"/>
                <w:sz w:val="18"/>
                <w:szCs w:val="18"/>
              </w:rPr>
              <w:t>(14)</w:t>
            </w:r>
            <w:r w:rsidRPr="006207BC">
              <w:rPr>
                <w:rFonts w:ascii="Times New Roman" w:hAnsi="Times New Roman" w:cs="Times New Roman"/>
                <w:i/>
                <w:sz w:val="18"/>
                <w:szCs w:val="18"/>
              </w:rPr>
              <w:t xml:space="preserve"> Issuance</w:t>
            </w:r>
          </w:p>
        </w:tc>
        <w:tc>
          <w:tcPr>
            <w:tcW w:w="0" w:type="auto"/>
            <w:tcBorders>
              <w:top w:val="nil"/>
              <w:left w:val="nil"/>
              <w:right w:val="nil"/>
            </w:tcBorders>
          </w:tcPr>
          <w:p w14:paraId="1A5006B2"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-0.0257</w:t>
            </w:r>
          </w:p>
        </w:tc>
        <w:tc>
          <w:tcPr>
            <w:tcW w:w="0" w:type="auto"/>
            <w:tcBorders>
              <w:top w:val="nil"/>
              <w:left w:val="nil"/>
              <w:right w:val="nil"/>
            </w:tcBorders>
          </w:tcPr>
          <w:p w14:paraId="0B1D8F1E"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0.00211</w:t>
            </w:r>
          </w:p>
        </w:tc>
        <w:tc>
          <w:tcPr>
            <w:tcW w:w="0" w:type="auto"/>
            <w:tcBorders>
              <w:top w:val="nil"/>
              <w:left w:val="nil"/>
              <w:right w:val="nil"/>
            </w:tcBorders>
          </w:tcPr>
          <w:p w14:paraId="08082B13"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0.00995</w:t>
            </w:r>
          </w:p>
        </w:tc>
        <w:tc>
          <w:tcPr>
            <w:tcW w:w="0" w:type="auto"/>
            <w:tcBorders>
              <w:top w:val="nil"/>
              <w:left w:val="nil"/>
              <w:right w:val="nil"/>
            </w:tcBorders>
          </w:tcPr>
          <w:p w14:paraId="3C691BB8"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-0.0448</w:t>
            </w:r>
          </w:p>
        </w:tc>
        <w:tc>
          <w:tcPr>
            <w:tcW w:w="0" w:type="auto"/>
            <w:tcBorders>
              <w:top w:val="nil"/>
              <w:left w:val="nil"/>
              <w:right w:val="nil"/>
            </w:tcBorders>
          </w:tcPr>
          <w:p w14:paraId="275934F1"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0.0732</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2450C5E3"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-0.120</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49C4621E"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0.0587</w:t>
            </w:r>
          </w:p>
        </w:tc>
        <w:tc>
          <w:tcPr>
            <w:tcW w:w="0" w:type="auto"/>
            <w:tcBorders>
              <w:top w:val="nil"/>
              <w:left w:val="nil"/>
              <w:right w:val="nil"/>
            </w:tcBorders>
          </w:tcPr>
          <w:p w14:paraId="0DF4EBC6"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0.0440</w:t>
            </w:r>
          </w:p>
        </w:tc>
        <w:tc>
          <w:tcPr>
            <w:tcW w:w="0" w:type="auto"/>
            <w:tcBorders>
              <w:top w:val="nil"/>
              <w:left w:val="nil"/>
              <w:right w:val="nil"/>
            </w:tcBorders>
          </w:tcPr>
          <w:p w14:paraId="0805BA5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-0.00428</w:t>
            </w:r>
          </w:p>
        </w:tc>
        <w:tc>
          <w:tcPr>
            <w:tcW w:w="0" w:type="auto"/>
            <w:tcBorders>
              <w:top w:val="nil"/>
              <w:left w:val="nil"/>
              <w:right w:val="nil"/>
            </w:tcBorders>
          </w:tcPr>
          <w:p w14:paraId="5ECB346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0.109</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34A77E6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-0.111</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18AA48AF"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-0.171</w:t>
            </w:r>
            <w:r w:rsidRPr="006207BC">
              <w:rPr>
                <w:rFonts w:ascii="Times New Roman" w:hAnsi="Times New Roman" w:cs="Times New Roman"/>
                <w:sz w:val="16"/>
                <w:szCs w:val="16"/>
                <w:vertAlign w:val="superscript"/>
              </w:rPr>
              <w:t>***</w:t>
            </w:r>
          </w:p>
        </w:tc>
        <w:tc>
          <w:tcPr>
            <w:tcW w:w="0" w:type="auto"/>
            <w:tcBorders>
              <w:top w:val="nil"/>
              <w:left w:val="nil"/>
              <w:right w:val="nil"/>
            </w:tcBorders>
          </w:tcPr>
          <w:p w14:paraId="57B32BAD"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0.0133</w:t>
            </w:r>
          </w:p>
        </w:tc>
        <w:tc>
          <w:tcPr>
            <w:tcW w:w="0" w:type="auto"/>
            <w:tcBorders>
              <w:top w:val="nil"/>
              <w:left w:val="nil"/>
              <w:right w:val="nil"/>
            </w:tcBorders>
          </w:tcPr>
          <w:p w14:paraId="0F9F7E5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c>
          <w:tcPr>
            <w:tcW w:w="0" w:type="auto"/>
            <w:tcBorders>
              <w:top w:val="nil"/>
              <w:left w:val="nil"/>
              <w:right w:val="nil"/>
            </w:tcBorders>
          </w:tcPr>
          <w:p w14:paraId="74BE980F" w14:textId="77777777" w:rsidR="00C20459" w:rsidRPr="006207BC" w:rsidRDefault="00C20459">
            <w:pPr>
              <w:autoSpaceDE w:val="0"/>
              <w:autoSpaceDN w:val="0"/>
              <w:adjustRightInd w:val="0"/>
              <w:spacing w:after="0" w:line="240" w:lineRule="auto"/>
              <w:jc w:val="center"/>
              <w:rPr>
                <w:rFonts w:ascii="Times New Roman" w:hAnsi="Times New Roman" w:cs="Times New Roman"/>
                <w:sz w:val="16"/>
                <w:szCs w:val="16"/>
              </w:rPr>
            </w:pPr>
          </w:p>
        </w:tc>
      </w:tr>
      <w:tr w:rsidR="00C20459" w:rsidRPr="006207BC" w14:paraId="691F9803" w14:textId="77777777" w:rsidTr="0034390F">
        <w:tc>
          <w:tcPr>
            <w:tcW w:w="0" w:type="auto"/>
            <w:tcBorders>
              <w:top w:val="nil"/>
              <w:left w:val="nil"/>
              <w:bottom w:val="single" w:sz="4" w:space="0" w:color="auto"/>
              <w:right w:val="nil"/>
            </w:tcBorders>
          </w:tcPr>
          <w:p w14:paraId="78DECAE5" w14:textId="77777777" w:rsidR="00C20459" w:rsidRPr="006207BC" w:rsidRDefault="00A61DC5">
            <w:pPr>
              <w:rPr>
                <w:rFonts w:ascii="Times New Roman" w:hAnsi="Times New Roman" w:cs="Times New Roman"/>
                <w:i/>
                <w:sz w:val="16"/>
                <w:szCs w:val="16"/>
              </w:rPr>
            </w:pPr>
            <w:r w:rsidRPr="006207BC">
              <w:rPr>
                <w:rFonts w:ascii="Times New Roman" w:hAnsi="Times New Roman" w:cs="Times New Roman"/>
                <w:sz w:val="16"/>
                <w:szCs w:val="16"/>
              </w:rPr>
              <w:t>(15)</w:t>
            </w:r>
            <w:r w:rsidRPr="006207BC">
              <w:rPr>
                <w:rFonts w:ascii="Times New Roman" w:hAnsi="Times New Roman" w:cs="Times New Roman"/>
                <w:i/>
                <w:sz w:val="16"/>
                <w:szCs w:val="16"/>
              </w:rPr>
              <w:t xml:space="preserve"> Intangible</w:t>
            </w:r>
          </w:p>
        </w:tc>
        <w:tc>
          <w:tcPr>
            <w:tcW w:w="0" w:type="auto"/>
            <w:tcBorders>
              <w:top w:val="nil"/>
              <w:left w:val="nil"/>
              <w:bottom w:val="single" w:sz="4" w:space="0" w:color="auto"/>
              <w:right w:val="nil"/>
            </w:tcBorders>
          </w:tcPr>
          <w:p w14:paraId="161AAB8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0.161</w:t>
            </w:r>
            <w:r w:rsidRPr="006207BC">
              <w:rPr>
                <w:rFonts w:ascii="Times New Roman" w:hAnsi="Times New Roman" w:cs="Times New Roman"/>
                <w:sz w:val="16"/>
                <w:szCs w:val="16"/>
                <w:vertAlign w:val="superscript"/>
              </w:rPr>
              <w:t>***</w:t>
            </w:r>
          </w:p>
        </w:tc>
        <w:tc>
          <w:tcPr>
            <w:tcW w:w="0" w:type="auto"/>
            <w:tcBorders>
              <w:top w:val="nil"/>
              <w:left w:val="nil"/>
              <w:bottom w:val="single" w:sz="4" w:space="0" w:color="auto"/>
              <w:right w:val="nil"/>
            </w:tcBorders>
          </w:tcPr>
          <w:p w14:paraId="18332918"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-0.0428</w:t>
            </w:r>
          </w:p>
        </w:tc>
        <w:tc>
          <w:tcPr>
            <w:tcW w:w="0" w:type="auto"/>
            <w:tcBorders>
              <w:top w:val="nil"/>
              <w:left w:val="nil"/>
              <w:bottom w:val="single" w:sz="4" w:space="0" w:color="auto"/>
              <w:right w:val="nil"/>
            </w:tcBorders>
          </w:tcPr>
          <w:p w14:paraId="7DBC496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-0.0435</w:t>
            </w:r>
          </w:p>
        </w:tc>
        <w:tc>
          <w:tcPr>
            <w:tcW w:w="0" w:type="auto"/>
            <w:tcBorders>
              <w:top w:val="nil"/>
              <w:left w:val="nil"/>
              <w:bottom w:val="single" w:sz="4" w:space="0" w:color="auto"/>
              <w:right w:val="nil"/>
            </w:tcBorders>
          </w:tcPr>
          <w:p w14:paraId="3B58931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-0.0846</w:t>
            </w:r>
            <w:r w:rsidRPr="006207BC">
              <w:rPr>
                <w:rFonts w:ascii="Times New Roman" w:hAnsi="Times New Roman" w:cs="Times New Roman"/>
                <w:sz w:val="16"/>
                <w:szCs w:val="16"/>
                <w:vertAlign w:val="superscript"/>
              </w:rPr>
              <w:t>*</w:t>
            </w:r>
          </w:p>
        </w:tc>
        <w:tc>
          <w:tcPr>
            <w:tcW w:w="0" w:type="auto"/>
            <w:tcBorders>
              <w:top w:val="nil"/>
              <w:left w:val="nil"/>
              <w:bottom w:val="single" w:sz="4" w:space="0" w:color="auto"/>
              <w:right w:val="nil"/>
            </w:tcBorders>
          </w:tcPr>
          <w:p w14:paraId="500EB1E4"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0.00773</w:t>
            </w:r>
          </w:p>
        </w:tc>
        <w:tc>
          <w:tcPr>
            <w:tcW w:w="0" w:type="auto"/>
            <w:tcBorders>
              <w:top w:val="nil"/>
              <w:left w:val="nil"/>
              <w:bottom w:val="single" w:sz="4" w:space="0" w:color="auto"/>
              <w:right w:val="nil"/>
            </w:tcBorders>
          </w:tcPr>
          <w:p w14:paraId="5ECB52F0"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-0.0542</w:t>
            </w:r>
          </w:p>
        </w:tc>
        <w:tc>
          <w:tcPr>
            <w:tcW w:w="0" w:type="auto"/>
            <w:tcBorders>
              <w:top w:val="nil"/>
              <w:left w:val="nil"/>
              <w:bottom w:val="single" w:sz="4" w:space="0" w:color="auto"/>
              <w:right w:val="nil"/>
            </w:tcBorders>
          </w:tcPr>
          <w:p w14:paraId="3939BC98"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0.0523</w:t>
            </w:r>
          </w:p>
        </w:tc>
        <w:tc>
          <w:tcPr>
            <w:tcW w:w="0" w:type="auto"/>
            <w:tcBorders>
              <w:top w:val="nil"/>
              <w:left w:val="nil"/>
              <w:bottom w:val="single" w:sz="4" w:space="0" w:color="auto"/>
              <w:right w:val="nil"/>
            </w:tcBorders>
          </w:tcPr>
          <w:p w14:paraId="7704F346"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-0.0919</w:t>
            </w:r>
            <w:r w:rsidRPr="006207BC">
              <w:rPr>
                <w:rFonts w:ascii="Times New Roman" w:hAnsi="Times New Roman" w:cs="Times New Roman"/>
                <w:sz w:val="16"/>
                <w:szCs w:val="16"/>
                <w:vertAlign w:val="superscript"/>
              </w:rPr>
              <w:t>**</w:t>
            </w:r>
          </w:p>
        </w:tc>
        <w:tc>
          <w:tcPr>
            <w:tcW w:w="0" w:type="auto"/>
            <w:tcBorders>
              <w:top w:val="nil"/>
              <w:left w:val="nil"/>
              <w:bottom w:val="single" w:sz="4" w:space="0" w:color="auto"/>
              <w:right w:val="nil"/>
            </w:tcBorders>
          </w:tcPr>
          <w:p w14:paraId="13F5BF64"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0.0235</w:t>
            </w:r>
          </w:p>
        </w:tc>
        <w:tc>
          <w:tcPr>
            <w:tcW w:w="0" w:type="auto"/>
            <w:tcBorders>
              <w:top w:val="nil"/>
              <w:left w:val="nil"/>
              <w:bottom w:val="single" w:sz="4" w:space="0" w:color="auto"/>
              <w:right w:val="nil"/>
            </w:tcBorders>
          </w:tcPr>
          <w:p w14:paraId="55BC15A6"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-0.203</w:t>
            </w:r>
            <w:r w:rsidRPr="006207BC">
              <w:rPr>
                <w:rFonts w:ascii="Times New Roman" w:hAnsi="Times New Roman" w:cs="Times New Roman"/>
                <w:sz w:val="16"/>
                <w:szCs w:val="16"/>
                <w:vertAlign w:val="superscript"/>
              </w:rPr>
              <w:t>***</w:t>
            </w:r>
          </w:p>
        </w:tc>
        <w:tc>
          <w:tcPr>
            <w:tcW w:w="0" w:type="auto"/>
            <w:tcBorders>
              <w:top w:val="nil"/>
              <w:left w:val="nil"/>
              <w:bottom w:val="single" w:sz="4" w:space="0" w:color="auto"/>
              <w:right w:val="nil"/>
            </w:tcBorders>
          </w:tcPr>
          <w:p w14:paraId="2B977598"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0.0308</w:t>
            </w:r>
          </w:p>
        </w:tc>
        <w:tc>
          <w:tcPr>
            <w:tcW w:w="0" w:type="auto"/>
            <w:tcBorders>
              <w:top w:val="nil"/>
              <w:left w:val="nil"/>
              <w:bottom w:val="single" w:sz="4" w:space="0" w:color="auto"/>
              <w:right w:val="nil"/>
            </w:tcBorders>
          </w:tcPr>
          <w:p w14:paraId="6C871E7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-0.0592</w:t>
            </w:r>
          </w:p>
        </w:tc>
        <w:tc>
          <w:tcPr>
            <w:tcW w:w="0" w:type="auto"/>
            <w:tcBorders>
              <w:top w:val="nil"/>
              <w:left w:val="nil"/>
              <w:bottom w:val="single" w:sz="4" w:space="0" w:color="auto"/>
              <w:right w:val="nil"/>
            </w:tcBorders>
          </w:tcPr>
          <w:p w14:paraId="16A87155"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-0.0189</w:t>
            </w:r>
          </w:p>
        </w:tc>
        <w:tc>
          <w:tcPr>
            <w:tcW w:w="0" w:type="auto"/>
            <w:tcBorders>
              <w:top w:val="nil"/>
              <w:left w:val="nil"/>
              <w:bottom w:val="single" w:sz="4" w:space="0" w:color="auto"/>
              <w:right w:val="nil"/>
            </w:tcBorders>
          </w:tcPr>
          <w:p w14:paraId="5710830C"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-0.0162</w:t>
            </w:r>
          </w:p>
        </w:tc>
        <w:tc>
          <w:tcPr>
            <w:tcW w:w="0" w:type="auto"/>
            <w:tcBorders>
              <w:top w:val="nil"/>
              <w:left w:val="nil"/>
              <w:bottom w:val="single" w:sz="4" w:space="0" w:color="auto"/>
              <w:right w:val="nil"/>
            </w:tcBorders>
          </w:tcPr>
          <w:p w14:paraId="2F8053E7" w14:textId="77777777" w:rsidR="00C20459" w:rsidRPr="006207BC" w:rsidRDefault="00A61DC5">
            <w:pPr>
              <w:autoSpaceDE w:val="0"/>
              <w:autoSpaceDN w:val="0"/>
              <w:adjustRightInd w:val="0"/>
              <w:spacing w:after="0" w:line="240" w:lineRule="auto"/>
              <w:jc w:val="center"/>
              <w:rPr>
                <w:rFonts w:ascii="Times New Roman" w:hAnsi="Times New Roman" w:cs="Times New Roman"/>
                <w:sz w:val="16"/>
                <w:szCs w:val="16"/>
              </w:rPr>
            </w:pPr>
            <w:r w:rsidRPr="006207BC">
              <w:rPr>
                <w:rFonts w:ascii="Times New Roman" w:hAnsi="Times New Roman" w:cs="Times New Roman"/>
                <w:sz w:val="16"/>
                <w:szCs w:val="16"/>
              </w:rPr>
              <w:t>1</w:t>
            </w:r>
          </w:p>
        </w:tc>
      </w:tr>
      <w:tr w:rsidR="00C20459" w:rsidRPr="006207BC" w14:paraId="2FDA3309" w14:textId="77777777" w:rsidTr="0034390F">
        <w:tc>
          <w:tcPr>
            <w:tcW w:w="0" w:type="auto"/>
            <w:gridSpan w:val="16"/>
            <w:tcBorders>
              <w:top w:val="single" w:sz="4" w:space="0" w:color="auto"/>
              <w:left w:val="nil"/>
            </w:tcBorders>
          </w:tcPr>
          <w:p w14:paraId="7C1795C9" w14:textId="43FF6627" w:rsidR="00C20459" w:rsidRPr="006207BC" w:rsidRDefault="00A61DC5">
            <w:pPr>
              <w:autoSpaceDE w:val="0"/>
              <w:autoSpaceDN w:val="0"/>
              <w:adjustRightInd w:val="0"/>
              <w:spacing w:after="0" w:line="240" w:lineRule="auto"/>
              <w:jc w:val="both"/>
              <w:rPr>
                <w:rFonts w:ascii="Times New Roman" w:hAnsi="Times New Roman" w:cs="Times New Roman"/>
                <w:sz w:val="20"/>
                <w:szCs w:val="16"/>
              </w:rPr>
            </w:pPr>
            <w:r w:rsidRPr="006207BC">
              <w:rPr>
                <w:rFonts w:ascii="Times New Roman" w:hAnsi="Times New Roman" w:cs="Times New Roman"/>
                <w:color w:val="231F20"/>
                <w:sz w:val="20"/>
                <w:szCs w:val="16"/>
              </w:rPr>
              <w:t xml:space="preserve">This table reports the Pearson correlation coefficients for all the variables in our main regressions. </w:t>
            </w:r>
            <w:r w:rsidRPr="006207BC">
              <w:rPr>
                <w:rFonts w:ascii="Times New Roman" w:hAnsi="Times New Roman" w:cs="Times New Roman"/>
                <w:sz w:val="20"/>
                <w:szCs w:val="16"/>
              </w:rPr>
              <w:t xml:space="preserve">All the variables, except for </w:t>
            </w:r>
            <w:r w:rsidRPr="006207BC">
              <w:rPr>
                <w:rFonts w:ascii="Times New Roman" w:hAnsi="Times New Roman" w:cs="Times New Roman"/>
                <w:i/>
                <w:sz w:val="20"/>
                <w:szCs w:val="16"/>
              </w:rPr>
              <w:t>Analyst</w:t>
            </w:r>
            <w:r w:rsidRPr="006207BC">
              <w:rPr>
                <w:rFonts w:ascii="Times New Roman" w:hAnsi="Times New Roman" w:cs="Times New Roman"/>
                <w:sz w:val="20"/>
                <w:szCs w:val="16"/>
              </w:rPr>
              <w:t>, are lagged by one year. S</w:t>
            </w:r>
            <w:r w:rsidRPr="006207BC">
              <w:rPr>
                <w:rFonts w:ascii="Times New Roman" w:hAnsi="Times New Roman" w:cs="Times New Roman"/>
                <w:color w:val="231F20"/>
                <w:sz w:val="20"/>
                <w:szCs w:val="16"/>
              </w:rPr>
              <w:t xml:space="preserve">ee the Appendix for variable definitions. The total sample consists of 857 firm–year observations of </w:t>
            </w:r>
            <w:r w:rsidRPr="006207BC">
              <w:rPr>
                <w:rFonts w:ascii="Times New Roman" w:hAnsi="Times New Roman" w:cs="Times New Roman"/>
                <w:bCs/>
                <w:color w:val="000000"/>
                <w:sz w:val="20"/>
                <w:szCs w:val="16"/>
                <w:shd w:val="clear" w:color="auto" w:fill="FFFFFF"/>
              </w:rPr>
              <w:t>non</w:t>
            </w:r>
            <w:r w:rsidRPr="006207BC">
              <w:rPr>
                <w:rFonts w:ascii="Times New Roman" w:hAnsi="Times New Roman" w:cs="Times New Roman"/>
                <w:color w:val="222222"/>
                <w:sz w:val="20"/>
                <w:szCs w:val="16"/>
                <w:shd w:val="clear" w:color="auto" w:fill="FFFFFF"/>
              </w:rPr>
              <w:t>-</w:t>
            </w:r>
            <w:r w:rsidRPr="006207BC">
              <w:rPr>
                <w:rFonts w:ascii="Times New Roman" w:hAnsi="Times New Roman" w:cs="Times New Roman"/>
                <w:bCs/>
                <w:color w:val="000000"/>
                <w:sz w:val="20"/>
                <w:szCs w:val="16"/>
                <w:shd w:val="clear" w:color="auto" w:fill="FFFFFF"/>
              </w:rPr>
              <w:t>financial</w:t>
            </w:r>
            <w:r w:rsidRPr="006207BC">
              <w:rPr>
                <w:rFonts w:ascii="Times New Roman" w:hAnsi="Times New Roman" w:cs="Times New Roman"/>
                <w:color w:val="222222"/>
                <w:sz w:val="20"/>
                <w:szCs w:val="16"/>
                <w:shd w:val="clear" w:color="auto" w:fill="FFFFFF"/>
              </w:rPr>
              <w:t> </w:t>
            </w:r>
            <w:r w:rsidRPr="006207BC">
              <w:rPr>
                <w:rFonts w:ascii="Times New Roman" w:hAnsi="Times New Roman" w:cs="Times New Roman"/>
                <w:bCs/>
                <w:color w:val="000000"/>
                <w:sz w:val="20"/>
                <w:szCs w:val="16"/>
                <w:shd w:val="clear" w:color="auto" w:fill="FFFFFF"/>
              </w:rPr>
              <w:t>and</w:t>
            </w:r>
            <w:r w:rsidRPr="006207BC">
              <w:rPr>
                <w:rFonts w:ascii="Times New Roman" w:hAnsi="Times New Roman" w:cs="Times New Roman"/>
                <w:color w:val="222222"/>
                <w:sz w:val="20"/>
                <w:szCs w:val="16"/>
                <w:shd w:val="clear" w:color="auto" w:fill="FFFFFF"/>
              </w:rPr>
              <w:t> </w:t>
            </w:r>
            <w:r w:rsidRPr="006207BC">
              <w:rPr>
                <w:rFonts w:ascii="Times New Roman" w:hAnsi="Times New Roman" w:cs="Times New Roman"/>
                <w:bCs/>
                <w:color w:val="000000"/>
                <w:sz w:val="20"/>
                <w:szCs w:val="16"/>
                <w:shd w:val="clear" w:color="auto" w:fill="FFFFFF"/>
              </w:rPr>
              <w:t>non</w:t>
            </w:r>
            <w:r w:rsidRPr="006207BC">
              <w:rPr>
                <w:rFonts w:ascii="Times New Roman" w:hAnsi="Times New Roman" w:cs="Times New Roman"/>
                <w:color w:val="222222"/>
                <w:sz w:val="20"/>
                <w:szCs w:val="16"/>
                <w:shd w:val="clear" w:color="auto" w:fill="FFFFFF"/>
              </w:rPr>
              <w:t>-</w:t>
            </w:r>
            <w:r w:rsidRPr="006207BC">
              <w:rPr>
                <w:rFonts w:ascii="Times New Roman" w:hAnsi="Times New Roman" w:cs="Times New Roman"/>
                <w:bCs/>
                <w:color w:val="000000"/>
                <w:sz w:val="20"/>
                <w:szCs w:val="16"/>
                <w:shd w:val="clear" w:color="auto" w:fill="FFFFFF"/>
              </w:rPr>
              <w:t>utility</w:t>
            </w:r>
            <w:r w:rsidRPr="006207BC">
              <w:rPr>
                <w:rFonts w:ascii="Times New Roman" w:hAnsi="Times New Roman" w:cs="Times New Roman"/>
                <w:color w:val="222222"/>
                <w:sz w:val="20"/>
                <w:szCs w:val="16"/>
                <w:shd w:val="clear" w:color="auto" w:fill="FFFFFF"/>
              </w:rPr>
              <w:t> French firms</w:t>
            </w:r>
            <w:r w:rsidRPr="006207BC">
              <w:rPr>
                <w:rFonts w:ascii="Times New Roman" w:hAnsi="Times New Roman" w:cs="Times New Roman"/>
                <w:color w:val="231F20"/>
                <w:sz w:val="20"/>
                <w:szCs w:val="16"/>
              </w:rPr>
              <w:t xml:space="preserve"> </w:t>
            </w:r>
            <w:r w:rsidRPr="006207BC">
              <w:rPr>
                <w:rFonts w:ascii="Times New Roman" w:hAnsi="Times New Roman" w:cs="Times New Roman"/>
                <w:color w:val="222222"/>
                <w:sz w:val="20"/>
                <w:szCs w:val="16"/>
                <w:shd w:val="clear" w:color="auto" w:fill="FFFFFF"/>
              </w:rPr>
              <w:t>on the </w:t>
            </w:r>
            <w:r w:rsidRPr="006207BC">
              <w:rPr>
                <w:rFonts w:ascii="Times New Roman" w:hAnsi="Times New Roman" w:cs="Times New Roman"/>
                <w:bCs/>
                <w:color w:val="000000"/>
                <w:sz w:val="20"/>
                <w:szCs w:val="16"/>
                <w:shd w:val="clear" w:color="auto" w:fill="FFFFFF"/>
              </w:rPr>
              <w:t>SBF</w:t>
            </w:r>
            <w:r w:rsidRPr="006207BC">
              <w:rPr>
                <w:rFonts w:ascii="Times New Roman" w:hAnsi="Times New Roman" w:cs="Times New Roman"/>
                <w:color w:val="222222"/>
                <w:sz w:val="20"/>
                <w:szCs w:val="16"/>
                <w:shd w:val="clear" w:color="auto" w:fill="FFFFFF"/>
              </w:rPr>
              <w:t> </w:t>
            </w:r>
            <w:r w:rsidRPr="006207BC">
              <w:rPr>
                <w:rFonts w:ascii="Times New Roman" w:hAnsi="Times New Roman" w:cs="Times New Roman"/>
                <w:bCs/>
                <w:color w:val="000000"/>
                <w:sz w:val="20"/>
                <w:szCs w:val="16"/>
                <w:shd w:val="clear" w:color="auto" w:fill="FFFFFF"/>
              </w:rPr>
              <w:t>120</w:t>
            </w:r>
            <w:r w:rsidRPr="006207BC">
              <w:rPr>
                <w:rFonts w:ascii="Times New Roman" w:hAnsi="Times New Roman" w:cs="Times New Roman"/>
                <w:color w:val="222222"/>
                <w:sz w:val="20"/>
                <w:szCs w:val="16"/>
                <w:shd w:val="clear" w:color="auto" w:fill="FFFFFF"/>
              </w:rPr>
              <w:t> </w:t>
            </w:r>
            <w:r w:rsidRPr="006207BC">
              <w:rPr>
                <w:rFonts w:ascii="Times New Roman" w:hAnsi="Times New Roman" w:cs="Times New Roman"/>
                <w:bCs/>
                <w:color w:val="000000"/>
                <w:sz w:val="20"/>
                <w:szCs w:val="16"/>
                <w:shd w:val="clear" w:color="auto" w:fill="FFFFFF"/>
              </w:rPr>
              <w:t xml:space="preserve">index </w:t>
            </w:r>
            <w:r w:rsidRPr="006207BC">
              <w:rPr>
                <w:rFonts w:ascii="Times New Roman" w:hAnsi="Times New Roman" w:cs="Times New Roman"/>
                <w:bCs/>
                <w:sz w:val="20"/>
                <w:szCs w:val="16"/>
              </w:rPr>
              <w:t>over the period 2007–2015</w:t>
            </w:r>
            <w:r w:rsidRPr="006207BC">
              <w:rPr>
                <w:rFonts w:ascii="Times New Roman" w:hAnsi="Times New Roman" w:cs="Times New Roman"/>
                <w:sz w:val="20"/>
                <w:szCs w:val="16"/>
              </w:rPr>
              <w:t>.</w:t>
            </w:r>
            <w:r w:rsidRPr="006207BC">
              <w:rPr>
                <w:rFonts w:ascii="Times New Roman" w:hAnsi="Times New Roman" w:cs="Times New Roman"/>
                <w:color w:val="231F20"/>
                <w:sz w:val="20"/>
                <w:szCs w:val="16"/>
              </w:rPr>
              <w:t xml:space="preserve"> *, **, and *** indicate significance at the 10%, 5%, and 1% levels, respectively</w:t>
            </w:r>
          </w:p>
        </w:tc>
      </w:tr>
    </w:tbl>
    <w:p w14:paraId="60E4B337" w14:textId="77777777" w:rsidR="00C20459" w:rsidRPr="006207BC" w:rsidRDefault="00C20459">
      <w:pPr>
        <w:rPr>
          <w:rFonts w:ascii="Times New Roman" w:hAnsi="Times New Roman" w:cs="Times New Roman"/>
        </w:rPr>
        <w:sectPr w:rsidR="00C20459" w:rsidRPr="006207BC">
          <w:pgSz w:w="15840" w:h="12240" w:orient="landscape"/>
          <w:pgMar w:top="1440" w:right="1440" w:bottom="1440" w:left="1440" w:header="720" w:footer="720" w:gutter="0"/>
          <w:cols w:space="720"/>
          <w:docGrid w:linePitch="360"/>
        </w:sectPr>
      </w:pPr>
    </w:p>
    <w:p w14:paraId="40BC21BE" w14:textId="7423ACBE" w:rsidR="00C20459" w:rsidRPr="006207BC" w:rsidRDefault="00A61DC5">
      <w:pPr>
        <w:rPr>
          <w:rFonts w:ascii="Times New Roman" w:hAnsi="Times New Roman" w:cs="Times New Roman"/>
        </w:rPr>
      </w:pPr>
      <w:r w:rsidRPr="006207BC">
        <w:rPr>
          <w:rFonts w:ascii="Times New Roman" w:hAnsi="Times New Roman" w:cs="Times New Roman"/>
        </w:rPr>
        <w:lastRenderedPageBreak/>
        <w:t xml:space="preserve">Table 4. </w:t>
      </w:r>
      <w:r w:rsidR="005B1018" w:rsidRPr="006207BC">
        <w:rPr>
          <w:rFonts w:ascii="Times New Roman" w:hAnsi="Times New Roman" w:cs="Times New Roman"/>
        </w:rPr>
        <w:t xml:space="preserve">Main analysis: </w:t>
      </w:r>
      <w:r w:rsidRPr="006207BC">
        <w:rPr>
          <w:rFonts w:ascii="Times New Roman" w:hAnsi="Times New Roman" w:cs="Times New Roman"/>
        </w:rPr>
        <w:t xml:space="preserve">Risk disclosure and analyst </w:t>
      </w:r>
      <w:proofErr w:type="gramStart"/>
      <w:r w:rsidRPr="006207BC">
        <w:rPr>
          <w:rFonts w:ascii="Times New Roman" w:hAnsi="Times New Roman" w:cs="Times New Roman"/>
        </w:rPr>
        <w:t>following</w:t>
      </w:r>
      <w:proofErr w:type="gramEnd"/>
    </w:p>
    <w:tbl>
      <w:tblPr>
        <w:tblW w:w="0" w:type="auto"/>
        <w:tblLook w:val="04A0" w:firstRow="1" w:lastRow="0" w:firstColumn="1" w:lastColumn="0" w:noHBand="0" w:noVBand="1"/>
      </w:tblPr>
      <w:tblGrid>
        <w:gridCol w:w="2188"/>
        <w:gridCol w:w="1793"/>
        <w:gridCol w:w="1793"/>
        <w:gridCol w:w="1793"/>
        <w:gridCol w:w="1793"/>
      </w:tblGrid>
      <w:tr w:rsidR="00C20459" w:rsidRPr="006207BC" w14:paraId="60C65AAB" w14:textId="77777777">
        <w:tc>
          <w:tcPr>
            <w:tcW w:w="0" w:type="auto"/>
            <w:tcBorders>
              <w:top w:val="single" w:sz="4" w:space="0" w:color="auto"/>
              <w:bottom w:val="single" w:sz="4" w:space="0" w:color="auto"/>
            </w:tcBorders>
          </w:tcPr>
          <w:p w14:paraId="0C674AEC"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Variable</w:t>
            </w:r>
          </w:p>
        </w:tc>
        <w:tc>
          <w:tcPr>
            <w:tcW w:w="0" w:type="auto"/>
            <w:tcBorders>
              <w:top w:val="single" w:sz="4" w:space="0" w:color="auto"/>
              <w:bottom w:val="single" w:sz="4" w:space="0" w:color="auto"/>
            </w:tcBorders>
          </w:tcPr>
          <w:p w14:paraId="71B1EB7D"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(1)</w:t>
            </w:r>
          </w:p>
        </w:tc>
        <w:tc>
          <w:tcPr>
            <w:tcW w:w="0" w:type="auto"/>
            <w:tcBorders>
              <w:top w:val="single" w:sz="4" w:space="0" w:color="auto"/>
              <w:bottom w:val="single" w:sz="4" w:space="0" w:color="auto"/>
            </w:tcBorders>
          </w:tcPr>
          <w:p w14:paraId="51A41D9C"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(2)</w:t>
            </w:r>
          </w:p>
        </w:tc>
        <w:tc>
          <w:tcPr>
            <w:tcW w:w="0" w:type="auto"/>
            <w:tcBorders>
              <w:top w:val="single" w:sz="4" w:space="0" w:color="auto"/>
              <w:bottom w:val="single" w:sz="4" w:space="0" w:color="auto"/>
            </w:tcBorders>
          </w:tcPr>
          <w:p w14:paraId="2010C59C"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(3)</w:t>
            </w:r>
          </w:p>
        </w:tc>
        <w:tc>
          <w:tcPr>
            <w:tcW w:w="0" w:type="auto"/>
            <w:tcBorders>
              <w:top w:val="single" w:sz="4" w:space="0" w:color="auto"/>
              <w:bottom w:val="single" w:sz="4" w:space="0" w:color="auto"/>
            </w:tcBorders>
          </w:tcPr>
          <w:p w14:paraId="3E79C6A4"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(4)</w:t>
            </w:r>
          </w:p>
        </w:tc>
      </w:tr>
      <w:tr w:rsidR="00C20459" w:rsidRPr="006207BC" w14:paraId="3D434405" w14:textId="77777777">
        <w:tc>
          <w:tcPr>
            <w:tcW w:w="0" w:type="auto"/>
            <w:tcBorders>
              <w:top w:val="single" w:sz="4" w:space="0" w:color="auto"/>
            </w:tcBorders>
          </w:tcPr>
          <w:p w14:paraId="34912AD6"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Risk_sentences</w:t>
            </w:r>
          </w:p>
        </w:tc>
        <w:tc>
          <w:tcPr>
            <w:tcW w:w="0" w:type="auto"/>
            <w:tcBorders>
              <w:top w:val="single" w:sz="4" w:space="0" w:color="auto"/>
            </w:tcBorders>
          </w:tcPr>
          <w:p w14:paraId="40252FF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2.5631***</w:t>
            </w:r>
          </w:p>
        </w:tc>
        <w:tc>
          <w:tcPr>
            <w:tcW w:w="0" w:type="auto"/>
            <w:tcBorders>
              <w:top w:val="single" w:sz="4" w:space="0" w:color="auto"/>
            </w:tcBorders>
          </w:tcPr>
          <w:p w14:paraId="6DAE7AA9" w14:textId="77777777" w:rsidR="00C20459" w:rsidRPr="006207BC" w:rsidRDefault="00C20459">
            <w:pPr>
              <w:spacing w:after="0" w:line="240" w:lineRule="auto"/>
              <w:rPr>
                <w:rFonts w:ascii="Times New Roman" w:hAnsi="Times New Roman" w:cs="Times New Roman"/>
              </w:rPr>
            </w:pPr>
          </w:p>
        </w:tc>
        <w:tc>
          <w:tcPr>
            <w:tcW w:w="0" w:type="auto"/>
            <w:tcBorders>
              <w:top w:val="single" w:sz="4" w:space="0" w:color="auto"/>
            </w:tcBorders>
          </w:tcPr>
          <w:p w14:paraId="59A4945D" w14:textId="77777777" w:rsidR="00C20459" w:rsidRPr="006207BC" w:rsidRDefault="00C20459">
            <w:pPr>
              <w:spacing w:after="0" w:line="240" w:lineRule="auto"/>
              <w:rPr>
                <w:rFonts w:ascii="Times New Roman" w:hAnsi="Times New Roman" w:cs="Times New Roman"/>
              </w:rPr>
            </w:pPr>
          </w:p>
        </w:tc>
        <w:tc>
          <w:tcPr>
            <w:tcW w:w="0" w:type="auto"/>
            <w:tcBorders>
              <w:top w:val="single" w:sz="4" w:space="0" w:color="auto"/>
            </w:tcBorders>
          </w:tcPr>
          <w:p w14:paraId="19DC8E14" w14:textId="77777777" w:rsidR="00C20459" w:rsidRPr="006207BC" w:rsidRDefault="00C20459">
            <w:pPr>
              <w:autoSpaceDE w:val="0"/>
              <w:autoSpaceDN w:val="0"/>
              <w:adjustRightInd w:val="0"/>
              <w:spacing w:after="0" w:line="240" w:lineRule="auto"/>
              <w:rPr>
                <w:rFonts w:ascii="Times New Roman" w:hAnsi="Times New Roman" w:cs="Times New Roman"/>
                <w:sz w:val="24"/>
                <w:szCs w:val="24"/>
              </w:rPr>
            </w:pPr>
          </w:p>
        </w:tc>
      </w:tr>
      <w:tr w:rsidR="00C20459" w:rsidRPr="006207BC" w14:paraId="2960A2F6" w14:textId="77777777">
        <w:tc>
          <w:tcPr>
            <w:tcW w:w="0" w:type="auto"/>
          </w:tcPr>
          <w:p w14:paraId="58955AD7" w14:textId="77777777" w:rsidR="00C20459" w:rsidRPr="006207BC" w:rsidRDefault="00C20459">
            <w:pPr>
              <w:spacing w:after="0" w:line="240" w:lineRule="auto"/>
              <w:rPr>
                <w:rFonts w:ascii="Times New Roman" w:hAnsi="Times New Roman" w:cs="Times New Roman"/>
                <w:i/>
              </w:rPr>
            </w:pPr>
          </w:p>
        </w:tc>
        <w:tc>
          <w:tcPr>
            <w:tcW w:w="0" w:type="auto"/>
          </w:tcPr>
          <w:p w14:paraId="74CAE0F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(0.5852)</w:t>
            </w:r>
          </w:p>
        </w:tc>
        <w:tc>
          <w:tcPr>
            <w:tcW w:w="0" w:type="auto"/>
          </w:tcPr>
          <w:p w14:paraId="26245A8A" w14:textId="77777777" w:rsidR="00C20459" w:rsidRPr="006207BC" w:rsidRDefault="00C20459">
            <w:pPr>
              <w:spacing w:after="0" w:line="240" w:lineRule="auto"/>
              <w:rPr>
                <w:rFonts w:ascii="Times New Roman" w:hAnsi="Times New Roman" w:cs="Times New Roman"/>
              </w:rPr>
            </w:pPr>
          </w:p>
        </w:tc>
        <w:tc>
          <w:tcPr>
            <w:tcW w:w="0" w:type="auto"/>
          </w:tcPr>
          <w:p w14:paraId="5BB223A4" w14:textId="77777777" w:rsidR="00C20459" w:rsidRPr="006207BC" w:rsidRDefault="00C20459">
            <w:pPr>
              <w:spacing w:after="0" w:line="240" w:lineRule="auto"/>
              <w:rPr>
                <w:rFonts w:ascii="Times New Roman" w:hAnsi="Times New Roman" w:cs="Times New Roman"/>
              </w:rPr>
            </w:pPr>
          </w:p>
        </w:tc>
        <w:tc>
          <w:tcPr>
            <w:tcW w:w="0" w:type="auto"/>
          </w:tcPr>
          <w:p w14:paraId="5C0E3DAB" w14:textId="77777777" w:rsidR="00C20459" w:rsidRPr="006207BC" w:rsidRDefault="00C20459">
            <w:pPr>
              <w:autoSpaceDE w:val="0"/>
              <w:autoSpaceDN w:val="0"/>
              <w:adjustRightInd w:val="0"/>
              <w:spacing w:after="0" w:line="240" w:lineRule="auto"/>
              <w:rPr>
                <w:rFonts w:ascii="Times New Roman" w:hAnsi="Times New Roman" w:cs="Times New Roman"/>
                <w:sz w:val="24"/>
                <w:szCs w:val="24"/>
              </w:rPr>
            </w:pPr>
          </w:p>
        </w:tc>
      </w:tr>
      <w:tr w:rsidR="00C20459" w:rsidRPr="006207BC" w14:paraId="6FC52278" w14:textId="77777777">
        <w:tc>
          <w:tcPr>
            <w:tcW w:w="0" w:type="auto"/>
          </w:tcPr>
          <w:p w14:paraId="7B588909"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Risk_words</w:t>
            </w:r>
          </w:p>
        </w:tc>
        <w:tc>
          <w:tcPr>
            <w:tcW w:w="0" w:type="auto"/>
          </w:tcPr>
          <w:p w14:paraId="0E8E1E07" w14:textId="77777777" w:rsidR="00C20459" w:rsidRPr="006207BC" w:rsidRDefault="00C20459">
            <w:pPr>
              <w:spacing w:after="0" w:line="240" w:lineRule="auto"/>
              <w:rPr>
                <w:rFonts w:ascii="Times New Roman" w:hAnsi="Times New Roman" w:cs="Times New Roman"/>
              </w:rPr>
            </w:pPr>
          </w:p>
        </w:tc>
        <w:tc>
          <w:tcPr>
            <w:tcW w:w="0" w:type="auto"/>
          </w:tcPr>
          <w:p w14:paraId="7D229A7A"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2.3594***</w:t>
            </w:r>
          </w:p>
        </w:tc>
        <w:tc>
          <w:tcPr>
            <w:tcW w:w="0" w:type="auto"/>
          </w:tcPr>
          <w:p w14:paraId="338D3368" w14:textId="77777777" w:rsidR="00C20459" w:rsidRPr="006207BC" w:rsidRDefault="00C20459">
            <w:pPr>
              <w:spacing w:after="0" w:line="240" w:lineRule="auto"/>
              <w:rPr>
                <w:rFonts w:ascii="Times New Roman" w:hAnsi="Times New Roman" w:cs="Times New Roman"/>
              </w:rPr>
            </w:pPr>
          </w:p>
        </w:tc>
        <w:tc>
          <w:tcPr>
            <w:tcW w:w="0" w:type="auto"/>
          </w:tcPr>
          <w:p w14:paraId="4AF9E4A3" w14:textId="77777777" w:rsidR="00C20459" w:rsidRPr="006207BC" w:rsidRDefault="00C20459">
            <w:pPr>
              <w:spacing w:after="0" w:line="240" w:lineRule="auto"/>
              <w:rPr>
                <w:rFonts w:ascii="Times New Roman" w:hAnsi="Times New Roman" w:cs="Times New Roman"/>
              </w:rPr>
            </w:pPr>
          </w:p>
        </w:tc>
      </w:tr>
      <w:tr w:rsidR="00C20459" w:rsidRPr="006207BC" w14:paraId="1547837B" w14:textId="77777777">
        <w:tc>
          <w:tcPr>
            <w:tcW w:w="0" w:type="auto"/>
          </w:tcPr>
          <w:p w14:paraId="78C84CF4" w14:textId="77777777" w:rsidR="00C20459" w:rsidRPr="006207BC" w:rsidRDefault="00C20459">
            <w:pPr>
              <w:spacing w:after="0" w:line="240" w:lineRule="auto"/>
              <w:rPr>
                <w:rFonts w:ascii="Times New Roman" w:hAnsi="Times New Roman" w:cs="Times New Roman"/>
                <w:i/>
              </w:rPr>
            </w:pPr>
          </w:p>
        </w:tc>
        <w:tc>
          <w:tcPr>
            <w:tcW w:w="0" w:type="auto"/>
          </w:tcPr>
          <w:p w14:paraId="373D141E" w14:textId="77777777" w:rsidR="00C20459" w:rsidRPr="006207BC" w:rsidRDefault="00C20459">
            <w:pPr>
              <w:spacing w:after="0" w:line="240" w:lineRule="auto"/>
              <w:rPr>
                <w:rFonts w:ascii="Times New Roman" w:hAnsi="Times New Roman" w:cs="Times New Roman"/>
              </w:rPr>
            </w:pPr>
          </w:p>
        </w:tc>
        <w:tc>
          <w:tcPr>
            <w:tcW w:w="0" w:type="auto"/>
          </w:tcPr>
          <w:p w14:paraId="3D3996E5"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(0.5804)</w:t>
            </w:r>
          </w:p>
        </w:tc>
        <w:tc>
          <w:tcPr>
            <w:tcW w:w="0" w:type="auto"/>
          </w:tcPr>
          <w:p w14:paraId="655E9A6B" w14:textId="77777777" w:rsidR="00C20459" w:rsidRPr="006207BC" w:rsidRDefault="00C20459">
            <w:pPr>
              <w:spacing w:after="0" w:line="240" w:lineRule="auto"/>
              <w:rPr>
                <w:rFonts w:ascii="Times New Roman" w:hAnsi="Times New Roman" w:cs="Times New Roman"/>
              </w:rPr>
            </w:pPr>
          </w:p>
        </w:tc>
        <w:tc>
          <w:tcPr>
            <w:tcW w:w="0" w:type="auto"/>
          </w:tcPr>
          <w:p w14:paraId="7956E2CB" w14:textId="77777777" w:rsidR="00C20459" w:rsidRPr="006207BC" w:rsidRDefault="00C20459">
            <w:pPr>
              <w:spacing w:after="0" w:line="240" w:lineRule="auto"/>
              <w:rPr>
                <w:rFonts w:ascii="Times New Roman" w:hAnsi="Times New Roman" w:cs="Times New Roman"/>
              </w:rPr>
            </w:pPr>
          </w:p>
        </w:tc>
      </w:tr>
      <w:tr w:rsidR="00C20459" w:rsidRPr="006207BC" w14:paraId="519BEE2C" w14:textId="77777777">
        <w:tc>
          <w:tcPr>
            <w:tcW w:w="0" w:type="auto"/>
          </w:tcPr>
          <w:p w14:paraId="738BB15D"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Risk_factors</w:t>
            </w:r>
          </w:p>
        </w:tc>
        <w:tc>
          <w:tcPr>
            <w:tcW w:w="0" w:type="auto"/>
          </w:tcPr>
          <w:p w14:paraId="51203904" w14:textId="77777777" w:rsidR="00C20459" w:rsidRPr="006207BC" w:rsidRDefault="00C20459">
            <w:pPr>
              <w:spacing w:after="0" w:line="240" w:lineRule="auto"/>
              <w:rPr>
                <w:rFonts w:ascii="Times New Roman" w:hAnsi="Times New Roman" w:cs="Times New Roman"/>
              </w:rPr>
            </w:pPr>
          </w:p>
        </w:tc>
        <w:tc>
          <w:tcPr>
            <w:tcW w:w="0" w:type="auto"/>
          </w:tcPr>
          <w:p w14:paraId="5C382E96" w14:textId="77777777" w:rsidR="00C20459" w:rsidRPr="006207BC" w:rsidRDefault="00C20459">
            <w:pPr>
              <w:spacing w:after="0" w:line="240" w:lineRule="auto"/>
              <w:rPr>
                <w:rFonts w:ascii="Times New Roman" w:hAnsi="Times New Roman" w:cs="Times New Roman"/>
              </w:rPr>
            </w:pPr>
          </w:p>
        </w:tc>
        <w:tc>
          <w:tcPr>
            <w:tcW w:w="0" w:type="auto"/>
          </w:tcPr>
          <w:p w14:paraId="72600C0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1.6402***</w:t>
            </w:r>
          </w:p>
        </w:tc>
        <w:tc>
          <w:tcPr>
            <w:tcW w:w="0" w:type="auto"/>
          </w:tcPr>
          <w:p w14:paraId="69BB4D93" w14:textId="77777777" w:rsidR="00C20459" w:rsidRPr="006207BC" w:rsidRDefault="00C20459">
            <w:pPr>
              <w:spacing w:after="0" w:line="240" w:lineRule="auto"/>
              <w:rPr>
                <w:rFonts w:ascii="Times New Roman" w:hAnsi="Times New Roman" w:cs="Times New Roman"/>
              </w:rPr>
            </w:pPr>
          </w:p>
        </w:tc>
      </w:tr>
      <w:tr w:rsidR="00C20459" w:rsidRPr="006207BC" w14:paraId="73236162" w14:textId="77777777">
        <w:tc>
          <w:tcPr>
            <w:tcW w:w="0" w:type="auto"/>
          </w:tcPr>
          <w:p w14:paraId="660CEBCB" w14:textId="77777777" w:rsidR="00C20459" w:rsidRPr="006207BC" w:rsidRDefault="00C20459">
            <w:pPr>
              <w:spacing w:after="0" w:line="240" w:lineRule="auto"/>
              <w:rPr>
                <w:rFonts w:ascii="Times New Roman" w:hAnsi="Times New Roman" w:cs="Times New Roman"/>
                <w:i/>
              </w:rPr>
            </w:pPr>
          </w:p>
        </w:tc>
        <w:tc>
          <w:tcPr>
            <w:tcW w:w="0" w:type="auto"/>
          </w:tcPr>
          <w:p w14:paraId="18BEB479" w14:textId="77777777" w:rsidR="00C20459" w:rsidRPr="006207BC" w:rsidRDefault="00C20459">
            <w:pPr>
              <w:spacing w:after="0" w:line="240" w:lineRule="auto"/>
              <w:rPr>
                <w:rFonts w:ascii="Times New Roman" w:hAnsi="Times New Roman" w:cs="Times New Roman"/>
              </w:rPr>
            </w:pPr>
          </w:p>
        </w:tc>
        <w:tc>
          <w:tcPr>
            <w:tcW w:w="0" w:type="auto"/>
          </w:tcPr>
          <w:p w14:paraId="671E44BF" w14:textId="77777777" w:rsidR="00C20459" w:rsidRPr="006207BC" w:rsidRDefault="00C20459">
            <w:pPr>
              <w:spacing w:after="0" w:line="240" w:lineRule="auto"/>
              <w:rPr>
                <w:rFonts w:ascii="Times New Roman" w:hAnsi="Times New Roman" w:cs="Times New Roman"/>
              </w:rPr>
            </w:pPr>
          </w:p>
        </w:tc>
        <w:tc>
          <w:tcPr>
            <w:tcW w:w="0" w:type="auto"/>
          </w:tcPr>
          <w:p w14:paraId="0F40357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(0.3979)</w:t>
            </w:r>
          </w:p>
        </w:tc>
        <w:tc>
          <w:tcPr>
            <w:tcW w:w="0" w:type="auto"/>
          </w:tcPr>
          <w:p w14:paraId="2D500D85" w14:textId="77777777" w:rsidR="00C20459" w:rsidRPr="006207BC" w:rsidRDefault="00C20459">
            <w:pPr>
              <w:spacing w:after="0" w:line="240" w:lineRule="auto"/>
              <w:rPr>
                <w:rFonts w:ascii="Times New Roman" w:hAnsi="Times New Roman" w:cs="Times New Roman"/>
              </w:rPr>
            </w:pPr>
          </w:p>
        </w:tc>
      </w:tr>
      <w:tr w:rsidR="00C20459" w:rsidRPr="006207BC" w14:paraId="4C73662E" w14:textId="77777777">
        <w:tc>
          <w:tcPr>
            <w:tcW w:w="0" w:type="auto"/>
          </w:tcPr>
          <w:p w14:paraId="2F5BE40A"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Total_sentences</w:t>
            </w:r>
          </w:p>
        </w:tc>
        <w:tc>
          <w:tcPr>
            <w:tcW w:w="0" w:type="auto"/>
          </w:tcPr>
          <w:p w14:paraId="73481BC9" w14:textId="77777777" w:rsidR="00C20459" w:rsidRPr="006207BC" w:rsidRDefault="00C20459">
            <w:pPr>
              <w:spacing w:after="0" w:line="240" w:lineRule="auto"/>
              <w:rPr>
                <w:rFonts w:ascii="Times New Roman" w:hAnsi="Times New Roman" w:cs="Times New Roman"/>
              </w:rPr>
            </w:pPr>
          </w:p>
        </w:tc>
        <w:tc>
          <w:tcPr>
            <w:tcW w:w="0" w:type="auto"/>
          </w:tcPr>
          <w:p w14:paraId="305EEB27" w14:textId="77777777" w:rsidR="00C20459" w:rsidRPr="006207BC" w:rsidRDefault="00C20459">
            <w:pPr>
              <w:spacing w:after="0" w:line="240" w:lineRule="auto"/>
              <w:rPr>
                <w:rFonts w:ascii="Times New Roman" w:hAnsi="Times New Roman" w:cs="Times New Roman"/>
              </w:rPr>
            </w:pPr>
          </w:p>
        </w:tc>
        <w:tc>
          <w:tcPr>
            <w:tcW w:w="0" w:type="auto"/>
          </w:tcPr>
          <w:p w14:paraId="446FF7D5" w14:textId="77777777" w:rsidR="00C20459" w:rsidRPr="006207BC" w:rsidRDefault="00C20459">
            <w:pPr>
              <w:autoSpaceDE w:val="0"/>
              <w:autoSpaceDN w:val="0"/>
              <w:adjustRightInd w:val="0"/>
              <w:spacing w:after="0" w:line="240" w:lineRule="auto"/>
              <w:rPr>
                <w:rFonts w:ascii="Times New Roman" w:hAnsi="Times New Roman" w:cs="Times New Roman"/>
                <w:sz w:val="24"/>
                <w:szCs w:val="24"/>
              </w:rPr>
            </w:pPr>
          </w:p>
        </w:tc>
        <w:tc>
          <w:tcPr>
            <w:tcW w:w="0" w:type="auto"/>
          </w:tcPr>
          <w:p w14:paraId="168376D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2.6161***</w:t>
            </w:r>
          </w:p>
        </w:tc>
      </w:tr>
      <w:tr w:rsidR="00C20459" w:rsidRPr="006207BC" w14:paraId="7314870B" w14:textId="77777777">
        <w:tc>
          <w:tcPr>
            <w:tcW w:w="0" w:type="auto"/>
          </w:tcPr>
          <w:p w14:paraId="0223DC84" w14:textId="77777777" w:rsidR="00C20459" w:rsidRPr="006207BC" w:rsidRDefault="00C20459">
            <w:pPr>
              <w:spacing w:after="0" w:line="240" w:lineRule="auto"/>
              <w:rPr>
                <w:rFonts w:ascii="Times New Roman" w:hAnsi="Times New Roman" w:cs="Times New Roman"/>
                <w:i/>
              </w:rPr>
            </w:pPr>
          </w:p>
        </w:tc>
        <w:tc>
          <w:tcPr>
            <w:tcW w:w="0" w:type="auto"/>
          </w:tcPr>
          <w:p w14:paraId="34CF5359" w14:textId="77777777" w:rsidR="00C20459" w:rsidRPr="006207BC" w:rsidRDefault="00C20459">
            <w:pPr>
              <w:spacing w:after="0" w:line="240" w:lineRule="auto"/>
              <w:rPr>
                <w:rFonts w:ascii="Times New Roman" w:hAnsi="Times New Roman" w:cs="Times New Roman"/>
              </w:rPr>
            </w:pPr>
          </w:p>
        </w:tc>
        <w:tc>
          <w:tcPr>
            <w:tcW w:w="0" w:type="auto"/>
          </w:tcPr>
          <w:p w14:paraId="10BD5B4C" w14:textId="77777777" w:rsidR="00C20459" w:rsidRPr="006207BC" w:rsidRDefault="00C20459">
            <w:pPr>
              <w:spacing w:after="0" w:line="240" w:lineRule="auto"/>
              <w:rPr>
                <w:rFonts w:ascii="Times New Roman" w:hAnsi="Times New Roman" w:cs="Times New Roman"/>
              </w:rPr>
            </w:pPr>
          </w:p>
        </w:tc>
        <w:tc>
          <w:tcPr>
            <w:tcW w:w="0" w:type="auto"/>
          </w:tcPr>
          <w:p w14:paraId="4B64348C" w14:textId="77777777" w:rsidR="00C20459" w:rsidRPr="006207BC" w:rsidRDefault="00C20459">
            <w:pPr>
              <w:autoSpaceDE w:val="0"/>
              <w:autoSpaceDN w:val="0"/>
              <w:adjustRightInd w:val="0"/>
              <w:spacing w:after="0" w:line="240" w:lineRule="auto"/>
              <w:rPr>
                <w:rFonts w:ascii="Times New Roman" w:hAnsi="Times New Roman" w:cs="Times New Roman"/>
                <w:sz w:val="24"/>
                <w:szCs w:val="24"/>
              </w:rPr>
            </w:pPr>
          </w:p>
        </w:tc>
        <w:tc>
          <w:tcPr>
            <w:tcW w:w="0" w:type="auto"/>
          </w:tcPr>
          <w:p w14:paraId="5E40B2B4"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(0.6501)</w:t>
            </w:r>
          </w:p>
        </w:tc>
      </w:tr>
      <w:tr w:rsidR="00C20459" w:rsidRPr="006207BC" w14:paraId="27C5AEE4" w14:textId="77777777">
        <w:trPr>
          <w:trHeight w:val="71"/>
        </w:trPr>
        <w:tc>
          <w:tcPr>
            <w:tcW w:w="0" w:type="auto"/>
          </w:tcPr>
          <w:p w14:paraId="758DA129" w14:textId="0FD5FEA9" w:rsidR="00C20459" w:rsidRPr="006207BC" w:rsidRDefault="00B025A1">
            <w:pPr>
              <w:spacing w:after="0" w:line="240" w:lineRule="auto"/>
              <w:rPr>
                <w:rFonts w:ascii="Times New Roman" w:hAnsi="Times New Roman" w:cs="Times New Roman"/>
                <w:i/>
              </w:rPr>
            </w:pPr>
            <w:r w:rsidRPr="006207BC">
              <w:rPr>
                <w:rFonts w:ascii="Times New Roman" w:hAnsi="Times New Roman" w:cs="Times New Roman"/>
                <w:i/>
              </w:rPr>
              <w:t>Ownership</w:t>
            </w:r>
          </w:p>
        </w:tc>
        <w:tc>
          <w:tcPr>
            <w:tcW w:w="0" w:type="auto"/>
          </w:tcPr>
          <w:p w14:paraId="556C9EF3"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-4.0620**</w:t>
            </w:r>
          </w:p>
        </w:tc>
        <w:tc>
          <w:tcPr>
            <w:tcW w:w="0" w:type="auto"/>
          </w:tcPr>
          <w:p w14:paraId="431AB043"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-3.7841**</w:t>
            </w:r>
          </w:p>
        </w:tc>
        <w:tc>
          <w:tcPr>
            <w:tcW w:w="0" w:type="auto"/>
          </w:tcPr>
          <w:p w14:paraId="71E8C7F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-4.1682***</w:t>
            </w:r>
          </w:p>
        </w:tc>
        <w:tc>
          <w:tcPr>
            <w:tcW w:w="0" w:type="auto"/>
          </w:tcPr>
          <w:p w14:paraId="0A4C2F77"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-3.7668**</w:t>
            </w:r>
          </w:p>
        </w:tc>
      </w:tr>
      <w:tr w:rsidR="00C20459" w:rsidRPr="006207BC" w14:paraId="526B7476" w14:textId="77777777">
        <w:tc>
          <w:tcPr>
            <w:tcW w:w="0" w:type="auto"/>
          </w:tcPr>
          <w:p w14:paraId="65D31F51" w14:textId="77777777" w:rsidR="00C20459" w:rsidRPr="006207BC" w:rsidRDefault="00C20459">
            <w:pPr>
              <w:spacing w:after="0" w:line="240" w:lineRule="auto"/>
              <w:rPr>
                <w:rFonts w:ascii="Times New Roman" w:hAnsi="Times New Roman" w:cs="Times New Roman"/>
                <w:i/>
              </w:rPr>
            </w:pPr>
          </w:p>
        </w:tc>
        <w:tc>
          <w:tcPr>
            <w:tcW w:w="0" w:type="auto"/>
          </w:tcPr>
          <w:p w14:paraId="6F6552F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(1.6005)</w:t>
            </w:r>
          </w:p>
        </w:tc>
        <w:tc>
          <w:tcPr>
            <w:tcW w:w="0" w:type="auto"/>
          </w:tcPr>
          <w:p w14:paraId="1D2DE20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(1.6282)</w:t>
            </w:r>
          </w:p>
        </w:tc>
        <w:tc>
          <w:tcPr>
            <w:tcW w:w="0" w:type="auto"/>
          </w:tcPr>
          <w:p w14:paraId="04459EE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(1.5708)</w:t>
            </w:r>
          </w:p>
        </w:tc>
        <w:tc>
          <w:tcPr>
            <w:tcW w:w="0" w:type="auto"/>
          </w:tcPr>
          <w:p w14:paraId="7DEEEF9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(1.5243)</w:t>
            </w:r>
          </w:p>
        </w:tc>
      </w:tr>
      <w:tr w:rsidR="00C20459" w:rsidRPr="006207BC" w14:paraId="7E1C20E8" w14:textId="77777777">
        <w:tc>
          <w:tcPr>
            <w:tcW w:w="0" w:type="auto"/>
          </w:tcPr>
          <w:p w14:paraId="7F5FBAA4"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Size</w:t>
            </w:r>
          </w:p>
        </w:tc>
        <w:tc>
          <w:tcPr>
            <w:tcW w:w="0" w:type="auto"/>
          </w:tcPr>
          <w:p w14:paraId="1688156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7.2667***</w:t>
            </w:r>
          </w:p>
        </w:tc>
        <w:tc>
          <w:tcPr>
            <w:tcW w:w="0" w:type="auto"/>
          </w:tcPr>
          <w:p w14:paraId="7DA8B7A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7.1656***</w:t>
            </w:r>
          </w:p>
        </w:tc>
        <w:tc>
          <w:tcPr>
            <w:tcW w:w="0" w:type="auto"/>
          </w:tcPr>
          <w:p w14:paraId="4C9A48D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7.3513***</w:t>
            </w:r>
          </w:p>
        </w:tc>
        <w:tc>
          <w:tcPr>
            <w:tcW w:w="0" w:type="auto"/>
          </w:tcPr>
          <w:p w14:paraId="55E99C4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6.9674***</w:t>
            </w:r>
          </w:p>
        </w:tc>
      </w:tr>
      <w:tr w:rsidR="00C20459" w:rsidRPr="006207BC" w14:paraId="50ED8EAF" w14:textId="77777777">
        <w:tc>
          <w:tcPr>
            <w:tcW w:w="0" w:type="auto"/>
          </w:tcPr>
          <w:p w14:paraId="1827666F" w14:textId="77777777" w:rsidR="00C20459" w:rsidRPr="006207BC" w:rsidRDefault="00C20459">
            <w:pPr>
              <w:spacing w:after="0" w:line="240" w:lineRule="auto"/>
              <w:rPr>
                <w:rFonts w:ascii="Times New Roman" w:hAnsi="Times New Roman" w:cs="Times New Roman"/>
                <w:i/>
              </w:rPr>
            </w:pPr>
          </w:p>
        </w:tc>
        <w:tc>
          <w:tcPr>
            <w:tcW w:w="0" w:type="auto"/>
          </w:tcPr>
          <w:p w14:paraId="3A91776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(0.8594)</w:t>
            </w:r>
          </w:p>
        </w:tc>
        <w:tc>
          <w:tcPr>
            <w:tcW w:w="0" w:type="auto"/>
          </w:tcPr>
          <w:p w14:paraId="799F9F42"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(0.8725)</w:t>
            </w:r>
          </w:p>
        </w:tc>
        <w:tc>
          <w:tcPr>
            <w:tcW w:w="0" w:type="auto"/>
          </w:tcPr>
          <w:p w14:paraId="7BADA12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(0.8597)</w:t>
            </w:r>
          </w:p>
        </w:tc>
        <w:tc>
          <w:tcPr>
            <w:tcW w:w="0" w:type="auto"/>
          </w:tcPr>
          <w:p w14:paraId="4F0D6BC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(0.9730)</w:t>
            </w:r>
          </w:p>
        </w:tc>
      </w:tr>
      <w:tr w:rsidR="00C20459" w:rsidRPr="006207BC" w14:paraId="156A559C" w14:textId="77777777">
        <w:tc>
          <w:tcPr>
            <w:tcW w:w="0" w:type="auto"/>
          </w:tcPr>
          <w:p w14:paraId="4487A90A"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Beta</w:t>
            </w:r>
          </w:p>
        </w:tc>
        <w:tc>
          <w:tcPr>
            <w:tcW w:w="0" w:type="auto"/>
          </w:tcPr>
          <w:p w14:paraId="236CB9D4"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4.4478***</w:t>
            </w:r>
          </w:p>
        </w:tc>
        <w:tc>
          <w:tcPr>
            <w:tcW w:w="0" w:type="auto"/>
          </w:tcPr>
          <w:p w14:paraId="1D21C1A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4.5742***</w:t>
            </w:r>
          </w:p>
        </w:tc>
        <w:tc>
          <w:tcPr>
            <w:tcW w:w="0" w:type="auto"/>
          </w:tcPr>
          <w:p w14:paraId="330EC9A8"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4.2139***</w:t>
            </w:r>
          </w:p>
        </w:tc>
        <w:tc>
          <w:tcPr>
            <w:tcW w:w="0" w:type="auto"/>
          </w:tcPr>
          <w:p w14:paraId="595B0F64"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4.9286***</w:t>
            </w:r>
          </w:p>
        </w:tc>
      </w:tr>
      <w:tr w:rsidR="00C20459" w:rsidRPr="006207BC" w14:paraId="3572B716" w14:textId="77777777">
        <w:tc>
          <w:tcPr>
            <w:tcW w:w="0" w:type="auto"/>
          </w:tcPr>
          <w:p w14:paraId="2B62F2D4" w14:textId="77777777" w:rsidR="00C20459" w:rsidRPr="006207BC" w:rsidRDefault="00C20459">
            <w:pPr>
              <w:spacing w:after="0" w:line="240" w:lineRule="auto"/>
              <w:rPr>
                <w:rFonts w:ascii="Times New Roman" w:hAnsi="Times New Roman" w:cs="Times New Roman"/>
                <w:i/>
              </w:rPr>
            </w:pPr>
          </w:p>
        </w:tc>
        <w:tc>
          <w:tcPr>
            <w:tcW w:w="0" w:type="auto"/>
          </w:tcPr>
          <w:p w14:paraId="0E0A687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(1.3302)</w:t>
            </w:r>
          </w:p>
        </w:tc>
        <w:tc>
          <w:tcPr>
            <w:tcW w:w="0" w:type="auto"/>
          </w:tcPr>
          <w:p w14:paraId="4057431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(1.3577)</w:t>
            </w:r>
          </w:p>
        </w:tc>
        <w:tc>
          <w:tcPr>
            <w:tcW w:w="0" w:type="auto"/>
          </w:tcPr>
          <w:p w14:paraId="6EB5FF0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(1.3409)</w:t>
            </w:r>
          </w:p>
        </w:tc>
        <w:tc>
          <w:tcPr>
            <w:tcW w:w="0" w:type="auto"/>
          </w:tcPr>
          <w:p w14:paraId="5706A848"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(1.6126)</w:t>
            </w:r>
          </w:p>
        </w:tc>
      </w:tr>
      <w:tr w:rsidR="00C20459" w:rsidRPr="006207BC" w14:paraId="473F1B02" w14:textId="77777777">
        <w:tc>
          <w:tcPr>
            <w:tcW w:w="0" w:type="auto"/>
          </w:tcPr>
          <w:p w14:paraId="0CE6942C"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Earnings surprise</w:t>
            </w:r>
          </w:p>
        </w:tc>
        <w:tc>
          <w:tcPr>
            <w:tcW w:w="0" w:type="auto"/>
          </w:tcPr>
          <w:p w14:paraId="04CF12E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0.0499</w:t>
            </w:r>
          </w:p>
        </w:tc>
        <w:tc>
          <w:tcPr>
            <w:tcW w:w="0" w:type="auto"/>
          </w:tcPr>
          <w:p w14:paraId="17152D98"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-0.0472</w:t>
            </w:r>
          </w:p>
        </w:tc>
        <w:tc>
          <w:tcPr>
            <w:tcW w:w="0" w:type="auto"/>
          </w:tcPr>
          <w:p w14:paraId="2282D57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0.1134</w:t>
            </w:r>
          </w:p>
        </w:tc>
        <w:tc>
          <w:tcPr>
            <w:tcW w:w="0" w:type="auto"/>
          </w:tcPr>
          <w:p w14:paraId="1045223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0.0065</w:t>
            </w:r>
          </w:p>
        </w:tc>
      </w:tr>
      <w:tr w:rsidR="00C20459" w:rsidRPr="006207BC" w14:paraId="7487A284" w14:textId="77777777">
        <w:tc>
          <w:tcPr>
            <w:tcW w:w="0" w:type="auto"/>
          </w:tcPr>
          <w:p w14:paraId="5AFBF2F1" w14:textId="77777777" w:rsidR="00C20459" w:rsidRPr="006207BC" w:rsidRDefault="00C20459">
            <w:pPr>
              <w:spacing w:after="0" w:line="240" w:lineRule="auto"/>
              <w:rPr>
                <w:rFonts w:ascii="Times New Roman" w:hAnsi="Times New Roman" w:cs="Times New Roman"/>
                <w:i/>
              </w:rPr>
            </w:pPr>
          </w:p>
        </w:tc>
        <w:tc>
          <w:tcPr>
            <w:tcW w:w="0" w:type="auto"/>
          </w:tcPr>
          <w:p w14:paraId="0EA3F1E1"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(0.9276)</w:t>
            </w:r>
          </w:p>
        </w:tc>
        <w:tc>
          <w:tcPr>
            <w:tcW w:w="0" w:type="auto"/>
          </w:tcPr>
          <w:p w14:paraId="4282EE8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(0.9165)</w:t>
            </w:r>
          </w:p>
        </w:tc>
        <w:tc>
          <w:tcPr>
            <w:tcW w:w="0" w:type="auto"/>
          </w:tcPr>
          <w:p w14:paraId="3406585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(0.9254)</w:t>
            </w:r>
          </w:p>
        </w:tc>
        <w:tc>
          <w:tcPr>
            <w:tcW w:w="0" w:type="auto"/>
          </w:tcPr>
          <w:p w14:paraId="7277AF2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(0.9045)</w:t>
            </w:r>
          </w:p>
        </w:tc>
      </w:tr>
      <w:tr w:rsidR="00C20459" w:rsidRPr="006207BC" w14:paraId="3B54407B" w14:textId="77777777">
        <w:tc>
          <w:tcPr>
            <w:tcW w:w="0" w:type="auto"/>
          </w:tcPr>
          <w:p w14:paraId="12728E14"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Return STD</w:t>
            </w:r>
          </w:p>
        </w:tc>
        <w:tc>
          <w:tcPr>
            <w:tcW w:w="0" w:type="auto"/>
          </w:tcPr>
          <w:p w14:paraId="4FC14CF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-14.3354***</w:t>
            </w:r>
          </w:p>
        </w:tc>
        <w:tc>
          <w:tcPr>
            <w:tcW w:w="0" w:type="auto"/>
          </w:tcPr>
          <w:p w14:paraId="45B16B74"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-14.1256***</w:t>
            </w:r>
          </w:p>
        </w:tc>
        <w:tc>
          <w:tcPr>
            <w:tcW w:w="0" w:type="auto"/>
          </w:tcPr>
          <w:p w14:paraId="427419E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-14.2730***</w:t>
            </w:r>
          </w:p>
        </w:tc>
        <w:tc>
          <w:tcPr>
            <w:tcW w:w="0" w:type="auto"/>
          </w:tcPr>
          <w:p w14:paraId="7B13A2AA"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-13.9226***</w:t>
            </w:r>
          </w:p>
        </w:tc>
      </w:tr>
      <w:tr w:rsidR="00C20459" w:rsidRPr="006207BC" w14:paraId="69683604" w14:textId="77777777">
        <w:tc>
          <w:tcPr>
            <w:tcW w:w="0" w:type="auto"/>
          </w:tcPr>
          <w:p w14:paraId="2A3A77BE" w14:textId="77777777" w:rsidR="00C20459" w:rsidRPr="006207BC" w:rsidRDefault="00C20459">
            <w:pPr>
              <w:spacing w:after="0" w:line="240" w:lineRule="auto"/>
              <w:rPr>
                <w:rFonts w:ascii="Times New Roman" w:hAnsi="Times New Roman" w:cs="Times New Roman"/>
                <w:i/>
              </w:rPr>
            </w:pPr>
          </w:p>
        </w:tc>
        <w:tc>
          <w:tcPr>
            <w:tcW w:w="0" w:type="auto"/>
          </w:tcPr>
          <w:p w14:paraId="20106B53"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(4.3357)</w:t>
            </w:r>
          </w:p>
        </w:tc>
        <w:tc>
          <w:tcPr>
            <w:tcW w:w="0" w:type="auto"/>
          </w:tcPr>
          <w:p w14:paraId="30F20494"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(4.3539)</w:t>
            </w:r>
          </w:p>
        </w:tc>
        <w:tc>
          <w:tcPr>
            <w:tcW w:w="0" w:type="auto"/>
          </w:tcPr>
          <w:p w14:paraId="4FA668C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(4.3240)</w:t>
            </w:r>
          </w:p>
        </w:tc>
        <w:tc>
          <w:tcPr>
            <w:tcW w:w="0" w:type="auto"/>
          </w:tcPr>
          <w:p w14:paraId="3E0F3B71"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(4.4599)</w:t>
            </w:r>
          </w:p>
        </w:tc>
      </w:tr>
      <w:tr w:rsidR="00C20459" w:rsidRPr="006207BC" w14:paraId="471D638A" w14:textId="77777777">
        <w:tc>
          <w:tcPr>
            <w:tcW w:w="0" w:type="auto"/>
          </w:tcPr>
          <w:p w14:paraId="5DED1ABB"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Profitability</w:t>
            </w:r>
          </w:p>
        </w:tc>
        <w:tc>
          <w:tcPr>
            <w:tcW w:w="0" w:type="auto"/>
          </w:tcPr>
          <w:p w14:paraId="6C276B9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8.6439**</w:t>
            </w:r>
          </w:p>
        </w:tc>
        <w:tc>
          <w:tcPr>
            <w:tcW w:w="0" w:type="auto"/>
          </w:tcPr>
          <w:p w14:paraId="3F589DF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8.8239**</w:t>
            </w:r>
          </w:p>
        </w:tc>
        <w:tc>
          <w:tcPr>
            <w:tcW w:w="0" w:type="auto"/>
          </w:tcPr>
          <w:p w14:paraId="45B1A3B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8.8821**</w:t>
            </w:r>
          </w:p>
        </w:tc>
        <w:tc>
          <w:tcPr>
            <w:tcW w:w="0" w:type="auto"/>
          </w:tcPr>
          <w:p w14:paraId="4AE17A4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8.4160**</w:t>
            </w:r>
          </w:p>
        </w:tc>
      </w:tr>
      <w:tr w:rsidR="00C20459" w:rsidRPr="006207BC" w14:paraId="0F829FF8" w14:textId="77777777">
        <w:tc>
          <w:tcPr>
            <w:tcW w:w="0" w:type="auto"/>
          </w:tcPr>
          <w:p w14:paraId="4D808C3C" w14:textId="77777777" w:rsidR="00C20459" w:rsidRPr="006207BC" w:rsidRDefault="00C20459">
            <w:pPr>
              <w:spacing w:after="0" w:line="240" w:lineRule="auto"/>
              <w:rPr>
                <w:rFonts w:ascii="Times New Roman" w:hAnsi="Times New Roman" w:cs="Times New Roman"/>
                <w:i/>
              </w:rPr>
            </w:pPr>
          </w:p>
        </w:tc>
        <w:tc>
          <w:tcPr>
            <w:tcW w:w="0" w:type="auto"/>
          </w:tcPr>
          <w:p w14:paraId="5790B13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(3.4511)</w:t>
            </w:r>
          </w:p>
        </w:tc>
        <w:tc>
          <w:tcPr>
            <w:tcW w:w="0" w:type="auto"/>
          </w:tcPr>
          <w:p w14:paraId="64EC4A0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(3.4969)</w:t>
            </w:r>
          </w:p>
        </w:tc>
        <w:tc>
          <w:tcPr>
            <w:tcW w:w="0" w:type="auto"/>
          </w:tcPr>
          <w:p w14:paraId="57E0B25A"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(3.4875)</w:t>
            </w:r>
          </w:p>
        </w:tc>
        <w:tc>
          <w:tcPr>
            <w:tcW w:w="0" w:type="auto"/>
          </w:tcPr>
          <w:p w14:paraId="62270F4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(3.3683)</w:t>
            </w:r>
          </w:p>
        </w:tc>
      </w:tr>
      <w:tr w:rsidR="00C20459" w:rsidRPr="006207BC" w14:paraId="68DD917E" w14:textId="77777777">
        <w:tc>
          <w:tcPr>
            <w:tcW w:w="0" w:type="auto"/>
          </w:tcPr>
          <w:p w14:paraId="213F99E7"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Market-to-book</w:t>
            </w:r>
          </w:p>
        </w:tc>
        <w:tc>
          <w:tcPr>
            <w:tcW w:w="0" w:type="auto"/>
          </w:tcPr>
          <w:p w14:paraId="1FFFFE3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2.3471***</w:t>
            </w:r>
          </w:p>
        </w:tc>
        <w:tc>
          <w:tcPr>
            <w:tcW w:w="0" w:type="auto"/>
          </w:tcPr>
          <w:p w14:paraId="3AC8993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2.3301***</w:t>
            </w:r>
          </w:p>
        </w:tc>
        <w:tc>
          <w:tcPr>
            <w:tcW w:w="0" w:type="auto"/>
          </w:tcPr>
          <w:p w14:paraId="3CAB8C68"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2.4144***</w:t>
            </w:r>
          </w:p>
        </w:tc>
        <w:tc>
          <w:tcPr>
            <w:tcW w:w="0" w:type="auto"/>
          </w:tcPr>
          <w:p w14:paraId="1C36440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2.2201***</w:t>
            </w:r>
          </w:p>
        </w:tc>
      </w:tr>
      <w:tr w:rsidR="00C20459" w:rsidRPr="006207BC" w14:paraId="150B3938" w14:textId="77777777">
        <w:tc>
          <w:tcPr>
            <w:tcW w:w="0" w:type="auto"/>
          </w:tcPr>
          <w:p w14:paraId="172388C2" w14:textId="77777777" w:rsidR="00C20459" w:rsidRPr="006207BC" w:rsidRDefault="00C20459">
            <w:pPr>
              <w:spacing w:after="0" w:line="240" w:lineRule="auto"/>
              <w:rPr>
                <w:rFonts w:ascii="Times New Roman" w:hAnsi="Times New Roman" w:cs="Times New Roman"/>
                <w:i/>
              </w:rPr>
            </w:pPr>
          </w:p>
        </w:tc>
        <w:tc>
          <w:tcPr>
            <w:tcW w:w="0" w:type="auto"/>
          </w:tcPr>
          <w:p w14:paraId="4942493A"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(0.4548)</w:t>
            </w:r>
          </w:p>
        </w:tc>
        <w:tc>
          <w:tcPr>
            <w:tcW w:w="0" w:type="auto"/>
          </w:tcPr>
          <w:p w14:paraId="0F000C3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(0.4511)</w:t>
            </w:r>
          </w:p>
        </w:tc>
        <w:tc>
          <w:tcPr>
            <w:tcW w:w="0" w:type="auto"/>
          </w:tcPr>
          <w:p w14:paraId="0FE255A8"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(0.4758)</w:t>
            </w:r>
          </w:p>
        </w:tc>
        <w:tc>
          <w:tcPr>
            <w:tcW w:w="0" w:type="auto"/>
          </w:tcPr>
          <w:p w14:paraId="78FCCB2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(0.4494)</w:t>
            </w:r>
          </w:p>
        </w:tc>
      </w:tr>
      <w:tr w:rsidR="00C20459" w:rsidRPr="006207BC" w14:paraId="74AF910E" w14:textId="77777777">
        <w:tc>
          <w:tcPr>
            <w:tcW w:w="0" w:type="auto"/>
          </w:tcPr>
          <w:p w14:paraId="6A9ED1EA"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XLIST</w:t>
            </w:r>
          </w:p>
        </w:tc>
        <w:tc>
          <w:tcPr>
            <w:tcW w:w="0" w:type="auto"/>
          </w:tcPr>
          <w:p w14:paraId="69E7DD2A"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1.6024**</w:t>
            </w:r>
          </w:p>
        </w:tc>
        <w:tc>
          <w:tcPr>
            <w:tcW w:w="0" w:type="auto"/>
          </w:tcPr>
          <w:p w14:paraId="7F1C8851"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1.6567**</w:t>
            </w:r>
          </w:p>
        </w:tc>
        <w:tc>
          <w:tcPr>
            <w:tcW w:w="0" w:type="auto"/>
          </w:tcPr>
          <w:p w14:paraId="04A6997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1.6100**</w:t>
            </w:r>
          </w:p>
        </w:tc>
        <w:tc>
          <w:tcPr>
            <w:tcW w:w="0" w:type="auto"/>
          </w:tcPr>
          <w:p w14:paraId="065B393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2.0499**</w:t>
            </w:r>
          </w:p>
        </w:tc>
      </w:tr>
      <w:tr w:rsidR="00C20459" w:rsidRPr="006207BC" w14:paraId="0C5454A6" w14:textId="77777777">
        <w:tc>
          <w:tcPr>
            <w:tcW w:w="0" w:type="auto"/>
          </w:tcPr>
          <w:p w14:paraId="0E5CB343" w14:textId="77777777" w:rsidR="00C20459" w:rsidRPr="006207BC" w:rsidRDefault="00C20459">
            <w:pPr>
              <w:spacing w:after="0" w:line="240" w:lineRule="auto"/>
              <w:rPr>
                <w:rFonts w:ascii="Times New Roman" w:hAnsi="Times New Roman" w:cs="Times New Roman"/>
                <w:i/>
              </w:rPr>
            </w:pPr>
          </w:p>
        </w:tc>
        <w:tc>
          <w:tcPr>
            <w:tcW w:w="0" w:type="auto"/>
          </w:tcPr>
          <w:p w14:paraId="1555B77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(0.7507)</w:t>
            </w:r>
          </w:p>
        </w:tc>
        <w:tc>
          <w:tcPr>
            <w:tcW w:w="0" w:type="auto"/>
          </w:tcPr>
          <w:p w14:paraId="146CAE9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(0.7610)</w:t>
            </w:r>
          </w:p>
        </w:tc>
        <w:tc>
          <w:tcPr>
            <w:tcW w:w="0" w:type="auto"/>
          </w:tcPr>
          <w:p w14:paraId="2873C16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(0.7624)</w:t>
            </w:r>
          </w:p>
        </w:tc>
        <w:tc>
          <w:tcPr>
            <w:tcW w:w="0" w:type="auto"/>
          </w:tcPr>
          <w:p w14:paraId="7BD0979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(0.8137)</w:t>
            </w:r>
          </w:p>
        </w:tc>
      </w:tr>
      <w:tr w:rsidR="00C20459" w:rsidRPr="006207BC" w14:paraId="506DC75F" w14:textId="77777777">
        <w:tc>
          <w:tcPr>
            <w:tcW w:w="0" w:type="auto"/>
          </w:tcPr>
          <w:p w14:paraId="1A402139"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Issuance</w:t>
            </w:r>
          </w:p>
        </w:tc>
        <w:tc>
          <w:tcPr>
            <w:tcW w:w="0" w:type="auto"/>
          </w:tcPr>
          <w:p w14:paraId="2947550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-0.0371</w:t>
            </w:r>
          </w:p>
        </w:tc>
        <w:tc>
          <w:tcPr>
            <w:tcW w:w="0" w:type="auto"/>
          </w:tcPr>
          <w:p w14:paraId="3095FF21"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-0.0751</w:t>
            </w:r>
          </w:p>
        </w:tc>
        <w:tc>
          <w:tcPr>
            <w:tcW w:w="0" w:type="auto"/>
          </w:tcPr>
          <w:p w14:paraId="05696C0F"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0.2075</w:t>
            </w:r>
          </w:p>
        </w:tc>
        <w:tc>
          <w:tcPr>
            <w:tcW w:w="0" w:type="auto"/>
          </w:tcPr>
          <w:p w14:paraId="3863317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-0.2843</w:t>
            </w:r>
          </w:p>
        </w:tc>
      </w:tr>
      <w:tr w:rsidR="00C20459" w:rsidRPr="006207BC" w14:paraId="7923213B" w14:textId="77777777">
        <w:tc>
          <w:tcPr>
            <w:tcW w:w="0" w:type="auto"/>
          </w:tcPr>
          <w:p w14:paraId="1E866E3E" w14:textId="77777777" w:rsidR="00C20459" w:rsidRPr="006207BC" w:rsidRDefault="00C20459">
            <w:pPr>
              <w:spacing w:after="0" w:line="240" w:lineRule="auto"/>
              <w:rPr>
                <w:rFonts w:ascii="Times New Roman" w:hAnsi="Times New Roman" w:cs="Times New Roman"/>
                <w:i/>
              </w:rPr>
            </w:pPr>
          </w:p>
        </w:tc>
        <w:tc>
          <w:tcPr>
            <w:tcW w:w="0" w:type="auto"/>
          </w:tcPr>
          <w:p w14:paraId="263FF52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(1.2462)</w:t>
            </w:r>
          </w:p>
        </w:tc>
        <w:tc>
          <w:tcPr>
            <w:tcW w:w="0" w:type="auto"/>
          </w:tcPr>
          <w:p w14:paraId="7EAB93BA"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(1.2404)</w:t>
            </w:r>
          </w:p>
        </w:tc>
        <w:tc>
          <w:tcPr>
            <w:tcW w:w="0" w:type="auto"/>
          </w:tcPr>
          <w:p w14:paraId="174F553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(1.2865)</w:t>
            </w:r>
          </w:p>
        </w:tc>
        <w:tc>
          <w:tcPr>
            <w:tcW w:w="0" w:type="auto"/>
          </w:tcPr>
          <w:p w14:paraId="5985B2A4"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(1.1752)</w:t>
            </w:r>
          </w:p>
        </w:tc>
      </w:tr>
      <w:tr w:rsidR="00C20459" w:rsidRPr="006207BC" w14:paraId="741D6D4B" w14:textId="77777777">
        <w:tc>
          <w:tcPr>
            <w:tcW w:w="0" w:type="auto"/>
          </w:tcPr>
          <w:p w14:paraId="53BEC49A"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Intangible</w:t>
            </w:r>
          </w:p>
        </w:tc>
        <w:tc>
          <w:tcPr>
            <w:tcW w:w="0" w:type="auto"/>
          </w:tcPr>
          <w:p w14:paraId="58891EA3"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7.1768***</w:t>
            </w:r>
          </w:p>
        </w:tc>
        <w:tc>
          <w:tcPr>
            <w:tcW w:w="0" w:type="auto"/>
          </w:tcPr>
          <w:p w14:paraId="1F693320"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7.2967***</w:t>
            </w:r>
          </w:p>
        </w:tc>
        <w:tc>
          <w:tcPr>
            <w:tcW w:w="0" w:type="auto"/>
          </w:tcPr>
          <w:p w14:paraId="21DB194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7.7405***</w:t>
            </w:r>
          </w:p>
        </w:tc>
        <w:tc>
          <w:tcPr>
            <w:tcW w:w="0" w:type="auto"/>
          </w:tcPr>
          <w:p w14:paraId="6D65C402"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7.7034***</w:t>
            </w:r>
          </w:p>
        </w:tc>
      </w:tr>
      <w:tr w:rsidR="00C20459" w:rsidRPr="006207BC" w14:paraId="76E6714B" w14:textId="77777777">
        <w:tc>
          <w:tcPr>
            <w:tcW w:w="0" w:type="auto"/>
          </w:tcPr>
          <w:p w14:paraId="27F6DE18" w14:textId="77777777" w:rsidR="00C20459" w:rsidRPr="006207BC" w:rsidRDefault="00C20459">
            <w:pPr>
              <w:spacing w:after="0" w:line="240" w:lineRule="auto"/>
              <w:rPr>
                <w:rFonts w:ascii="Times New Roman" w:hAnsi="Times New Roman" w:cs="Times New Roman"/>
              </w:rPr>
            </w:pPr>
          </w:p>
        </w:tc>
        <w:tc>
          <w:tcPr>
            <w:tcW w:w="0" w:type="auto"/>
          </w:tcPr>
          <w:p w14:paraId="44B2FE55"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(2.1310)</w:t>
            </w:r>
          </w:p>
        </w:tc>
        <w:tc>
          <w:tcPr>
            <w:tcW w:w="0" w:type="auto"/>
          </w:tcPr>
          <w:p w14:paraId="21D3E4E3"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(2.1936)</w:t>
            </w:r>
          </w:p>
        </w:tc>
        <w:tc>
          <w:tcPr>
            <w:tcW w:w="0" w:type="auto"/>
          </w:tcPr>
          <w:p w14:paraId="5900A26B"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(2.1329)</w:t>
            </w:r>
          </w:p>
        </w:tc>
        <w:tc>
          <w:tcPr>
            <w:tcW w:w="0" w:type="auto"/>
          </w:tcPr>
          <w:p w14:paraId="0863C76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(2.4903)</w:t>
            </w:r>
          </w:p>
        </w:tc>
      </w:tr>
      <w:tr w:rsidR="00C20459" w:rsidRPr="006207BC" w14:paraId="2831B39D" w14:textId="77777777">
        <w:tc>
          <w:tcPr>
            <w:tcW w:w="0" w:type="auto"/>
          </w:tcPr>
          <w:p w14:paraId="01953C24"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Intercept</w:t>
            </w:r>
          </w:p>
        </w:tc>
        <w:tc>
          <w:tcPr>
            <w:tcW w:w="0" w:type="auto"/>
          </w:tcPr>
          <w:p w14:paraId="5530E82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-0.3202</w:t>
            </w:r>
          </w:p>
        </w:tc>
        <w:tc>
          <w:tcPr>
            <w:tcW w:w="0" w:type="auto"/>
          </w:tcPr>
          <w:p w14:paraId="5046E70D"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-0.7047</w:t>
            </w:r>
          </w:p>
        </w:tc>
        <w:tc>
          <w:tcPr>
            <w:tcW w:w="0" w:type="auto"/>
          </w:tcPr>
          <w:p w14:paraId="4B1ABC95"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-2.7036</w:t>
            </w:r>
          </w:p>
        </w:tc>
        <w:tc>
          <w:tcPr>
            <w:tcW w:w="0" w:type="auto"/>
          </w:tcPr>
          <w:p w14:paraId="5BC17851"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5.1969*</w:t>
            </w:r>
          </w:p>
        </w:tc>
      </w:tr>
      <w:tr w:rsidR="00C20459" w:rsidRPr="006207BC" w14:paraId="5619DA71" w14:textId="77777777">
        <w:tc>
          <w:tcPr>
            <w:tcW w:w="0" w:type="auto"/>
          </w:tcPr>
          <w:p w14:paraId="15C44F00" w14:textId="77777777" w:rsidR="00C20459" w:rsidRPr="006207BC" w:rsidRDefault="00C20459">
            <w:pPr>
              <w:spacing w:after="0" w:line="240" w:lineRule="auto"/>
              <w:rPr>
                <w:rFonts w:ascii="Times New Roman" w:hAnsi="Times New Roman" w:cs="Times New Roman"/>
                <w:i/>
              </w:rPr>
            </w:pPr>
          </w:p>
        </w:tc>
        <w:tc>
          <w:tcPr>
            <w:tcW w:w="0" w:type="auto"/>
          </w:tcPr>
          <w:p w14:paraId="271778F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(3.6637)</w:t>
            </w:r>
          </w:p>
        </w:tc>
        <w:tc>
          <w:tcPr>
            <w:tcW w:w="0" w:type="auto"/>
          </w:tcPr>
          <w:p w14:paraId="4A89280C"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(3.8066)</w:t>
            </w:r>
          </w:p>
        </w:tc>
        <w:tc>
          <w:tcPr>
            <w:tcW w:w="0" w:type="auto"/>
          </w:tcPr>
          <w:p w14:paraId="0AD23FA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(4.2589)</w:t>
            </w:r>
          </w:p>
        </w:tc>
        <w:tc>
          <w:tcPr>
            <w:tcW w:w="0" w:type="auto"/>
          </w:tcPr>
          <w:p w14:paraId="3EE0EE11"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(2.8794)</w:t>
            </w:r>
          </w:p>
        </w:tc>
      </w:tr>
      <w:tr w:rsidR="00C20459" w:rsidRPr="006207BC" w14:paraId="7C82C121" w14:textId="77777777">
        <w:tc>
          <w:tcPr>
            <w:tcW w:w="0" w:type="auto"/>
          </w:tcPr>
          <w:p w14:paraId="38DDF9D7"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Year dummies</w:t>
            </w:r>
          </w:p>
        </w:tc>
        <w:tc>
          <w:tcPr>
            <w:tcW w:w="0" w:type="auto"/>
          </w:tcPr>
          <w:p w14:paraId="36C69050"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c>
          <w:tcPr>
            <w:tcW w:w="0" w:type="auto"/>
          </w:tcPr>
          <w:p w14:paraId="7A9B136B"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c>
          <w:tcPr>
            <w:tcW w:w="0" w:type="auto"/>
          </w:tcPr>
          <w:p w14:paraId="2A44DF37"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c>
          <w:tcPr>
            <w:tcW w:w="0" w:type="auto"/>
          </w:tcPr>
          <w:p w14:paraId="2F3417D3"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r>
      <w:tr w:rsidR="00C20459" w:rsidRPr="006207BC" w14:paraId="24AB013B" w14:textId="77777777">
        <w:tc>
          <w:tcPr>
            <w:tcW w:w="0" w:type="auto"/>
          </w:tcPr>
          <w:p w14:paraId="3F381A21" w14:textId="77777777" w:rsidR="00C20459" w:rsidRPr="006207BC" w:rsidRDefault="00A61DC5">
            <w:pPr>
              <w:spacing w:after="0" w:line="240" w:lineRule="auto"/>
              <w:rPr>
                <w:rFonts w:ascii="Times New Roman" w:hAnsi="Times New Roman" w:cs="Times New Roman"/>
                <w:i/>
              </w:rPr>
            </w:pPr>
            <w:r w:rsidRPr="006207BC">
              <w:rPr>
                <w:rFonts w:ascii="Times New Roman" w:hAnsi="Times New Roman" w:cs="Times New Roman"/>
                <w:i/>
              </w:rPr>
              <w:t>Industry dummies</w:t>
            </w:r>
          </w:p>
        </w:tc>
        <w:tc>
          <w:tcPr>
            <w:tcW w:w="0" w:type="auto"/>
          </w:tcPr>
          <w:p w14:paraId="664F49AA"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c>
          <w:tcPr>
            <w:tcW w:w="0" w:type="auto"/>
          </w:tcPr>
          <w:p w14:paraId="0AC9EB42"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c>
          <w:tcPr>
            <w:tcW w:w="0" w:type="auto"/>
          </w:tcPr>
          <w:p w14:paraId="7F52F70C"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c>
          <w:tcPr>
            <w:tcW w:w="0" w:type="auto"/>
          </w:tcPr>
          <w:p w14:paraId="2CDC90C8" w14:textId="77777777" w:rsidR="00C20459" w:rsidRPr="006207BC" w:rsidRDefault="00A61DC5">
            <w:pPr>
              <w:spacing w:after="0" w:line="240" w:lineRule="auto"/>
              <w:rPr>
                <w:rFonts w:ascii="Times New Roman" w:hAnsi="Times New Roman" w:cs="Times New Roman"/>
              </w:rPr>
            </w:pPr>
            <w:r w:rsidRPr="006207BC">
              <w:rPr>
                <w:rFonts w:ascii="Times New Roman" w:hAnsi="Times New Roman" w:cs="Times New Roman"/>
              </w:rPr>
              <w:t>Yes</w:t>
            </w:r>
          </w:p>
        </w:tc>
      </w:tr>
      <w:tr w:rsidR="00C20459" w:rsidRPr="006207BC" w14:paraId="49CF726E" w14:textId="77777777">
        <w:tc>
          <w:tcPr>
            <w:tcW w:w="0" w:type="auto"/>
          </w:tcPr>
          <w:p w14:paraId="0135B2DC" w14:textId="3921337B" w:rsidR="00C20459" w:rsidRPr="006207BC" w:rsidRDefault="0097757C">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Adjusted </w:t>
            </w:r>
            <w:r w:rsidRPr="006207BC">
              <w:rPr>
                <w:rFonts w:ascii="Times New Roman" w:hAnsi="Times New Roman" w:cs="Times New Roman"/>
                <w:i/>
                <w:sz w:val="24"/>
                <w:szCs w:val="24"/>
              </w:rPr>
              <w:t>R</w:t>
            </w:r>
            <w:r w:rsidRPr="006207BC">
              <w:rPr>
                <w:rFonts w:ascii="Times New Roman" w:hAnsi="Times New Roman" w:cs="Times New Roman"/>
                <w:sz w:val="24"/>
                <w:szCs w:val="24"/>
              </w:rPr>
              <w:t>²</w:t>
            </w:r>
          </w:p>
        </w:tc>
        <w:tc>
          <w:tcPr>
            <w:tcW w:w="0" w:type="auto"/>
          </w:tcPr>
          <w:p w14:paraId="041B6057"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0.681</w:t>
            </w:r>
          </w:p>
        </w:tc>
        <w:tc>
          <w:tcPr>
            <w:tcW w:w="0" w:type="auto"/>
          </w:tcPr>
          <w:p w14:paraId="294BA8D9"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0.677</w:t>
            </w:r>
          </w:p>
        </w:tc>
        <w:tc>
          <w:tcPr>
            <w:tcW w:w="0" w:type="auto"/>
          </w:tcPr>
          <w:p w14:paraId="5699577E"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0.679</w:t>
            </w:r>
          </w:p>
        </w:tc>
        <w:tc>
          <w:tcPr>
            <w:tcW w:w="0" w:type="auto"/>
          </w:tcPr>
          <w:p w14:paraId="53BE6256" w14:textId="77777777" w:rsidR="00C20459" w:rsidRPr="006207BC" w:rsidRDefault="00A61DC5">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0.676</w:t>
            </w:r>
          </w:p>
        </w:tc>
      </w:tr>
      <w:tr w:rsidR="00C20459" w:rsidRPr="006207BC" w14:paraId="78FA6773" w14:textId="77777777">
        <w:tc>
          <w:tcPr>
            <w:tcW w:w="0" w:type="auto"/>
            <w:gridSpan w:val="5"/>
            <w:tcBorders>
              <w:top w:val="single" w:sz="4" w:space="0" w:color="auto"/>
            </w:tcBorders>
          </w:tcPr>
          <w:p w14:paraId="3665C319" w14:textId="0F0AA8DC" w:rsidR="00C20459" w:rsidRPr="006207BC" w:rsidRDefault="00A61DC5">
            <w:pPr>
              <w:spacing w:after="0" w:line="240" w:lineRule="auto"/>
              <w:jc w:val="both"/>
              <w:rPr>
                <w:rFonts w:ascii="Times New Roman" w:hAnsi="Times New Roman" w:cs="Times New Roman"/>
              </w:rPr>
            </w:pPr>
            <w:r w:rsidRPr="006207BC">
              <w:rPr>
                <w:rFonts w:ascii="Times New Roman" w:hAnsi="Times New Roman" w:cs="Times New Roman"/>
                <w:color w:val="231F20"/>
                <w:sz w:val="24"/>
                <w:szCs w:val="24"/>
              </w:rPr>
              <w:t xml:space="preserve">This table reports the results from OLS regressions of risk disclosure on analyst following. The dependent variable, </w:t>
            </w:r>
            <w:r w:rsidRPr="006207BC">
              <w:rPr>
                <w:rFonts w:ascii="Times New Roman" w:hAnsi="Times New Roman" w:cs="Times New Roman"/>
                <w:bCs/>
                <w:i/>
                <w:color w:val="000000"/>
                <w:sz w:val="24"/>
                <w:szCs w:val="24"/>
                <w:shd w:val="clear" w:color="auto" w:fill="FFFFFF"/>
              </w:rPr>
              <w:t>Analyst</w:t>
            </w:r>
            <w:r w:rsidRPr="006207BC">
              <w:rPr>
                <w:rFonts w:ascii="Times New Roman" w:hAnsi="Times New Roman" w:cs="Times New Roman"/>
                <w:bCs/>
                <w:color w:val="000000"/>
                <w:sz w:val="24"/>
                <w:szCs w:val="24"/>
                <w:shd w:val="clear" w:color="auto" w:fill="FFFFFF"/>
              </w:rPr>
              <w:t>, is the number of analysts following the firm. All independent variables are lagged by one year. See</w:t>
            </w:r>
            <w:r w:rsidRPr="006207BC">
              <w:rPr>
                <w:rFonts w:ascii="Times New Roman" w:hAnsi="Times New Roman" w:cs="Times New Roman"/>
                <w:color w:val="231F20"/>
                <w:sz w:val="24"/>
                <w:szCs w:val="24"/>
              </w:rPr>
              <w:t xml:space="preserve"> the Appendix for variable definitions. The total sample consists of 857 firm–year observations of </w:t>
            </w:r>
            <w:r w:rsidRPr="006207BC">
              <w:rPr>
                <w:rFonts w:ascii="Times New Roman" w:hAnsi="Times New Roman" w:cs="Times New Roman"/>
                <w:bCs/>
                <w:color w:val="000000"/>
                <w:sz w:val="24"/>
                <w:szCs w:val="24"/>
                <w:shd w:val="clear" w:color="auto" w:fill="FFFFFF"/>
              </w:rPr>
              <w:t>non</w:t>
            </w:r>
            <w:r w:rsidRPr="006207BC">
              <w:rPr>
                <w:rFonts w:ascii="Times New Roman" w:hAnsi="Times New Roman" w:cs="Times New Roman"/>
                <w:color w:val="222222"/>
                <w:sz w:val="24"/>
                <w:szCs w:val="24"/>
                <w:shd w:val="clear" w:color="auto" w:fill="FFFFFF"/>
              </w:rPr>
              <w:t>-</w:t>
            </w:r>
            <w:r w:rsidRPr="006207BC">
              <w:rPr>
                <w:rFonts w:ascii="Times New Roman" w:hAnsi="Times New Roman" w:cs="Times New Roman"/>
                <w:bCs/>
                <w:color w:val="000000"/>
                <w:sz w:val="24"/>
                <w:szCs w:val="24"/>
                <w:shd w:val="clear" w:color="auto" w:fill="FFFFFF"/>
              </w:rPr>
              <w:t>financial</w:t>
            </w:r>
            <w:r w:rsidRPr="006207BC">
              <w:rPr>
                <w:rFonts w:ascii="Times New Roman" w:hAnsi="Times New Roman" w:cs="Times New Roman"/>
                <w:color w:val="222222"/>
                <w:sz w:val="24"/>
                <w:szCs w:val="24"/>
                <w:shd w:val="clear" w:color="auto" w:fill="FFFFFF"/>
              </w:rPr>
              <w:t> </w:t>
            </w:r>
            <w:r w:rsidRPr="006207BC">
              <w:rPr>
                <w:rFonts w:ascii="Times New Roman" w:hAnsi="Times New Roman" w:cs="Times New Roman"/>
                <w:bCs/>
                <w:color w:val="000000"/>
                <w:sz w:val="24"/>
                <w:szCs w:val="24"/>
                <w:shd w:val="clear" w:color="auto" w:fill="FFFFFF"/>
              </w:rPr>
              <w:t>and</w:t>
            </w:r>
            <w:r w:rsidRPr="006207BC">
              <w:rPr>
                <w:rFonts w:ascii="Times New Roman" w:hAnsi="Times New Roman" w:cs="Times New Roman"/>
                <w:color w:val="222222"/>
                <w:sz w:val="24"/>
                <w:szCs w:val="24"/>
                <w:shd w:val="clear" w:color="auto" w:fill="FFFFFF"/>
              </w:rPr>
              <w:t> </w:t>
            </w:r>
            <w:r w:rsidRPr="006207BC">
              <w:rPr>
                <w:rFonts w:ascii="Times New Roman" w:hAnsi="Times New Roman" w:cs="Times New Roman"/>
                <w:bCs/>
                <w:color w:val="000000"/>
                <w:sz w:val="24"/>
                <w:szCs w:val="24"/>
                <w:shd w:val="clear" w:color="auto" w:fill="FFFFFF"/>
              </w:rPr>
              <w:t>non</w:t>
            </w:r>
            <w:r w:rsidRPr="006207BC">
              <w:rPr>
                <w:rFonts w:ascii="Times New Roman" w:hAnsi="Times New Roman" w:cs="Times New Roman"/>
                <w:color w:val="222222"/>
                <w:sz w:val="24"/>
                <w:szCs w:val="24"/>
                <w:shd w:val="clear" w:color="auto" w:fill="FFFFFF"/>
              </w:rPr>
              <w:t>-</w:t>
            </w:r>
            <w:r w:rsidRPr="006207BC">
              <w:rPr>
                <w:rFonts w:ascii="Times New Roman" w:hAnsi="Times New Roman" w:cs="Times New Roman"/>
                <w:bCs/>
                <w:color w:val="000000"/>
                <w:sz w:val="24"/>
                <w:szCs w:val="24"/>
                <w:shd w:val="clear" w:color="auto" w:fill="FFFFFF"/>
              </w:rPr>
              <w:t>utility</w:t>
            </w:r>
            <w:r w:rsidRPr="006207BC">
              <w:rPr>
                <w:rFonts w:ascii="Times New Roman" w:hAnsi="Times New Roman" w:cs="Times New Roman"/>
                <w:color w:val="222222"/>
                <w:sz w:val="24"/>
                <w:szCs w:val="24"/>
                <w:shd w:val="clear" w:color="auto" w:fill="FFFFFF"/>
              </w:rPr>
              <w:t> French firms</w:t>
            </w:r>
            <w:r w:rsidRPr="006207BC">
              <w:rPr>
                <w:rFonts w:ascii="Times New Roman" w:hAnsi="Times New Roman" w:cs="Times New Roman"/>
                <w:color w:val="231F20"/>
                <w:sz w:val="24"/>
                <w:szCs w:val="24"/>
              </w:rPr>
              <w:t xml:space="preserve"> </w:t>
            </w:r>
            <w:r w:rsidRPr="006207BC">
              <w:rPr>
                <w:rFonts w:ascii="Times New Roman" w:hAnsi="Times New Roman" w:cs="Times New Roman"/>
                <w:color w:val="222222"/>
                <w:sz w:val="24"/>
                <w:szCs w:val="24"/>
                <w:shd w:val="clear" w:color="auto" w:fill="FFFFFF"/>
              </w:rPr>
              <w:t>on the </w:t>
            </w:r>
            <w:r w:rsidRPr="006207BC">
              <w:rPr>
                <w:rFonts w:ascii="Times New Roman" w:hAnsi="Times New Roman" w:cs="Times New Roman"/>
                <w:bCs/>
                <w:color w:val="000000"/>
                <w:sz w:val="24"/>
                <w:szCs w:val="24"/>
                <w:shd w:val="clear" w:color="auto" w:fill="FFFFFF"/>
              </w:rPr>
              <w:t>SBF</w:t>
            </w:r>
            <w:r w:rsidRPr="006207BC">
              <w:rPr>
                <w:rFonts w:ascii="Times New Roman" w:hAnsi="Times New Roman" w:cs="Times New Roman"/>
                <w:color w:val="222222"/>
                <w:sz w:val="24"/>
                <w:szCs w:val="24"/>
                <w:shd w:val="clear" w:color="auto" w:fill="FFFFFF"/>
              </w:rPr>
              <w:t> </w:t>
            </w:r>
            <w:r w:rsidRPr="006207BC">
              <w:rPr>
                <w:rFonts w:ascii="Times New Roman" w:hAnsi="Times New Roman" w:cs="Times New Roman"/>
                <w:bCs/>
                <w:color w:val="000000"/>
                <w:sz w:val="24"/>
                <w:szCs w:val="24"/>
                <w:shd w:val="clear" w:color="auto" w:fill="FFFFFF"/>
              </w:rPr>
              <w:t>120</w:t>
            </w:r>
            <w:r w:rsidRPr="006207BC">
              <w:rPr>
                <w:rFonts w:ascii="Times New Roman" w:hAnsi="Times New Roman" w:cs="Times New Roman"/>
                <w:color w:val="222222"/>
                <w:sz w:val="24"/>
                <w:szCs w:val="24"/>
                <w:shd w:val="clear" w:color="auto" w:fill="FFFFFF"/>
              </w:rPr>
              <w:t> </w:t>
            </w:r>
            <w:r w:rsidRPr="006207BC">
              <w:rPr>
                <w:rFonts w:ascii="Times New Roman" w:hAnsi="Times New Roman" w:cs="Times New Roman"/>
                <w:bCs/>
                <w:color w:val="000000"/>
                <w:sz w:val="24"/>
                <w:szCs w:val="24"/>
                <w:shd w:val="clear" w:color="auto" w:fill="FFFFFF"/>
              </w:rPr>
              <w:t xml:space="preserve">index </w:t>
            </w:r>
            <w:r w:rsidRPr="006207BC">
              <w:rPr>
                <w:rFonts w:ascii="Times New Roman" w:hAnsi="Times New Roman" w:cs="Times New Roman"/>
                <w:bCs/>
                <w:sz w:val="24"/>
                <w:szCs w:val="24"/>
              </w:rPr>
              <w:t xml:space="preserve">over the period 2007–2015. </w:t>
            </w:r>
            <w:r w:rsidRPr="006207BC">
              <w:rPr>
                <w:rFonts w:ascii="Times New Roman" w:hAnsi="Times New Roman" w:cs="Times New Roman"/>
                <w:sz w:val="24"/>
                <w:szCs w:val="24"/>
              </w:rPr>
              <w:t>Year and industry dummies following Campbell’s (1996) classification are included in all the regressions. The coefficient standard errors are in parentheses beneath coefficient estimates. Standard errors are Huber–White heteroskedastic robust and clustered by firm.</w:t>
            </w:r>
            <w:r w:rsidRPr="006207BC">
              <w:rPr>
                <w:rFonts w:ascii="Times New Roman" w:hAnsi="Times New Roman" w:cs="Times New Roman"/>
                <w:color w:val="231F20"/>
                <w:sz w:val="24"/>
                <w:szCs w:val="24"/>
              </w:rPr>
              <w:t xml:space="preserve"> *, **, and *** indicate significance at the 10%, 5%, and 1% levels, respectively. </w:t>
            </w:r>
            <w:r w:rsidRPr="006207BC">
              <w:rPr>
                <w:rFonts w:ascii="Times New Roman" w:hAnsi="Times New Roman" w:cs="Times New Roman"/>
                <w:sz w:val="24"/>
                <w:szCs w:val="24"/>
              </w:rPr>
              <w:t xml:space="preserve"> </w:t>
            </w:r>
          </w:p>
        </w:tc>
      </w:tr>
    </w:tbl>
    <w:p w14:paraId="3619DDE6" w14:textId="208174D9" w:rsidR="005710B9" w:rsidRPr="006207BC" w:rsidRDefault="00A61DC5" w:rsidP="005710B9">
      <w:pPr>
        <w:keepNext/>
        <w:rPr>
          <w:rFonts w:ascii="Times New Roman" w:hAnsi="Times New Roman" w:cs="Times New Roman"/>
          <w:sz w:val="24"/>
          <w:szCs w:val="24"/>
        </w:rPr>
      </w:pPr>
      <w:r w:rsidRPr="006207BC">
        <w:rPr>
          <w:rFonts w:ascii="Times New Roman" w:hAnsi="Times New Roman" w:cs="Times New Roman"/>
        </w:rPr>
        <w:br w:type="page"/>
      </w:r>
      <w:r w:rsidR="005710B9" w:rsidRPr="006207BC">
        <w:rPr>
          <w:rFonts w:ascii="Times New Roman" w:hAnsi="Times New Roman" w:cs="Times New Roman"/>
          <w:sz w:val="24"/>
          <w:szCs w:val="24"/>
        </w:rPr>
        <w:lastRenderedPageBreak/>
        <w:t>Table 5. Additional analysis: Effect of corporate opacity</w:t>
      </w:r>
    </w:p>
    <w:tbl>
      <w:tblPr>
        <w:tblW w:w="0" w:type="auto"/>
        <w:tblCellMar>
          <w:left w:w="75" w:type="dxa"/>
          <w:right w:w="75" w:type="dxa"/>
        </w:tblCellMar>
        <w:tblLook w:val="0000" w:firstRow="0" w:lastRow="0" w:firstColumn="0" w:lastColumn="0" w:noHBand="0" w:noVBand="0"/>
      </w:tblPr>
      <w:tblGrid>
        <w:gridCol w:w="3758"/>
        <w:gridCol w:w="2726"/>
        <w:gridCol w:w="2876"/>
      </w:tblGrid>
      <w:tr w:rsidR="005B1018" w:rsidRPr="006207BC" w14:paraId="3183BD6B" w14:textId="77777777" w:rsidTr="007D51A0">
        <w:tc>
          <w:tcPr>
            <w:tcW w:w="0" w:type="auto"/>
            <w:tcBorders>
              <w:top w:val="single" w:sz="6" w:space="0" w:color="auto"/>
              <w:left w:val="nil"/>
              <w:bottom w:val="nil"/>
              <w:right w:val="nil"/>
            </w:tcBorders>
          </w:tcPr>
          <w:p w14:paraId="196290BB"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p>
        </w:tc>
        <w:tc>
          <w:tcPr>
            <w:tcW w:w="0" w:type="auto"/>
            <w:tcBorders>
              <w:top w:val="single" w:sz="6" w:space="0" w:color="auto"/>
              <w:left w:val="nil"/>
              <w:bottom w:val="nil"/>
              <w:right w:val="nil"/>
            </w:tcBorders>
          </w:tcPr>
          <w:p w14:paraId="7557170B" w14:textId="40937A46"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Low opacity</w:t>
            </w:r>
          </w:p>
        </w:tc>
        <w:tc>
          <w:tcPr>
            <w:tcW w:w="0" w:type="auto"/>
            <w:tcBorders>
              <w:top w:val="single" w:sz="6" w:space="0" w:color="auto"/>
              <w:left w:val="nil"/>
              <w:bottom w:val="nil"/>
              <w:right w:val="nil"/>
            </w:tcBorders>
          </w:tcPr>
          <w:p w14:paraId="291BFB48" w14:textId="2AE4DFB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High opacity</w:t>
            </w:r>
          </w:p>
        </w:tc>
      </w:tr>
      <w:tr w:rsidR="005B1018" w:rsidRPr="006207BC" w14:paraId="6945DF9C" w14:textId="77777777" w:rsidTr="007D51A0">
        <w:tc>
          <w:tcPr>
            <w:tcW w:w="0" w:type="auto"/>
            <w:tcBorders>
              <w:top w:val="nil"/>
              <w:left w:val="nil"/>
              <w:bottom w:val="single" w:sz="6" w:space="0" w:color="auto"/>
              <w:right w:val="nil"/>
            </w:tcBorders>
          </w:tcPr>
          <w:p w14:paraId="2606778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Variable</w:t>
            </w:r>
          </w:p>
        </w:tc>
        <w:tc>
          <w:tcPr>
            <w:tcW w:w="0" w:type="auto"/>
            <w:tcBorders>
              <w:top w:val="nil"/>
              <w:left w:val="nil"/>
              <w:bottom w:val="single" w:sz="6" w:space="0" w:color="auto"/>
              <w:right w:val="nil"/>
            </w:tcBorders>
          </w:tcPr>
          <w:p w14:paraId="61255993"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w:t>
            </w:r>
          </w:p>
        </w:tc>
        <w:tc>
          <w:tcPr>
            <w:tcW w:w="0" w:type="auto"/>
            <w:tcBorders>
              <w:top w:val="nil"/>
              <w:left w:val="nil"/>
              <w:bottom w:val="single" w:sz="6" w:space="0" w:color="auto"/>
              <w:right w:val="nil"/>
            </w:tcBorders>
          </w:tcPr>
          <w:p w14:paraId="70EA582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w:t>
            </w:r>
          </w:p>
        </w:tc>
      </w:tr>
      <w:tr w:rsidR="005B1018" w:rsidRPr="006207BC" w14:paraId="7AC748E0" w14:textId="77777777" w:rsidTr="007D51A0">
        <w:tc>
          <w:tcPr>
            <w:tcW w:w="0" w:type="auto"/>
            <w:tcBorders>
              <w:top w:val="nil"/>
              <w:left w:val="nil"/>
              <w:bottom w:val="nil"/>
              <w:right w:val="nil"/>
            </w:tcBorders>
          </w:tcPr>
          <w:p w14:paraId="67567195"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Risk_sentences</w:t>
            </w:r>
          </w:p>
        </w:tc>
        <w:tc>
          <w:tcPr>
            <w:tcW w:w="0" w:type="auto"/>
            <w:tcBorders>
              <w:top w:val="nil"/>
              <w:left w:val="nil"/>
              <w:bottom w:val="nil"/>
              <w:right w:val="nil"/>
            </w:tcBorders>
          </w:tcPr>
          <w:p w14:paraId="7A504D52"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2.8594***</w:t>
            </w:r>
          </w:p>
        </w:tc>
        <w:tc>
          <w:tcPr>
            <w:tcW w:w="0" w:type="auto"/>
            <w:tcBorders>
              <w:top w:val="nil"/>
              <w:left w:val="nil"/>
              <w:bottom w:val="nil"/>
              <w:right w:val="nil"/>
            </w:tcBorders>
          </w:tcPr>
          <w:p w14:paraId="75B34E14"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4.6264***</w:t>
            </w:r>
          </w:p>
        </w:tc>
      </w:tr>
      <w:tr w:rsidR="005B1018" w:rsidRPr="006207BC" w14:paraId="5379C1C5" w14:textId="77777777" w:rsidTr="007D51A0">
        <w:tc>
          <w:tcPr>
            <w:tcW w:w="0" w:type="auto"/>
            <w:tcBorders>
              <w:top w:val="nil"/>
              <w:left w:val="nil"/>
              <w:bottom w:val="nil"/>
              <w:right w:val="nil"/>
            </w:tcBorders>
          </w:tcPr>
          <w:p w14:paraId="4A43C411"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24C5A269"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(0.5766)</w:t>
            </w:r>
          </w:p>
        </w:tc>
        <w:tc>
          <w:tcPr>
            <w:tcW w:w="0" w:type="auto"/>
            <w:tcBorders>
              <w:top w:val="nil"/>
              <w:left w:val="nil"/>
              <w:bottom w:val="nil"/>
              <w:right w:val="nil"/>
            </w:tcBorders>
          </w:tcPr>
          <w:p w14:paraId="4CF44EA4"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(0.9470)</w:t>
            </w:r>
          </w:p>
        </w:tc>
      </w:tr>
      <w:tr w:rsidR="005B1018" w:rsidRPr="006207BC" w14:paraId="5D6A6F6F" w14:textId="77777777" w:rsidTr="007D51A0">
        <w:tc>
          <w:tcPr>
            <w:tcW w:w="0" w:type="auto"/>
            <w:tcBorders>
              <w:top w:val="nil"/>
              <w:left w:val="nil"/>
              <w:bottom w:val="nil"/>
              <w:right w:val="nil"/>
            </w:tcBorders>
          </w:tcPr>
          <w:p w14:paraId="010B7464"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Ownership</w:t>
            </w:r>
          </w:p>
        </w:tc>
        <w:tc>
          <w:tcPr>
            <w:tcW w:w="0" w:type="auto"/>
            <w:tcBorders>
              <w:top w:val="nil"/>
              <w:left w:val="nil"/>
              <w:bottom w:val="nil"/>
              <w:right w:val="nil"/>
            </w:tcBorders>
          </w:tcPr>
          <w:p w14:paraId="2F7CE14B"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-0.9926</w:t>
            </w:r>
          </w:p>
        </w:tc>
        <w:tc>
          <w:tcPr>
            <w:tcW w:w="0" w:type="auto"/>
            <w:tcBorders>
              <w:top w:val="nil"/>
              <w:left w:val="nil"/>
              <w:bottom w:val="nil"/>
              <w:right w:val="nil"/>
            </w:tcBorders>
          </w:tcPr>
          <w:p w14:paraId="64DBC03A"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-7.6277***</w:t>
            </w:r>
          </w:p>
        </w:tc>
      </w:tr>
      <w:tr w:rsidR="005B1018" w:rsidRPr="006207BC" w14:paraId="32CF7E69" w14:textId="77777777" w:rsidTr="007D51A0">
        <w:tc>
          <w:tcPr>
            <w:tcW w:w="0" w:type="auto"/>
            <w:tcBorders>
              <w:top w:val="nil"/>
              <w:left w:val="nil"/>
              <w:bottom w:val="nil"/>
              <w:right w:val="nil"/>
            </w:tcBorders>
          </w:tcPr>
          <w:p w14:paraId="5741EF4E"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17867874"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(2.0033)</w:t>
            </w:r>
          </w:p>
        </w:tc>
        <w:tc>
          <w:tcPr>
            <w:tcW w:w="0" w:type="auto"/>
            <w:tcBorders>
              <w:top w:val="nil"/>
              <w:left w:val="nil"/>
              <w:bottom w:val="nil"/>
              <w:right w:val="nil"/>
            </w:tcBorders>
          </w:tcPr>
          <w:p w14:paraId="1CC7A9F3"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(2.3221)</w:t>
            </w:r>
          </w:p>
        </w:tc>
      </w:tr>
      <w:tr w:rsidR="005B1018" w:rsidRPr="006207BC" w14:paraId="6988E9DC" w14:textId="77777777" w:rsidTr="007D51A0">
        <w:tc>
          <w:tcPr>
            <w:tcW w:w="0" w:type="auto"/>
            <w:tcBorders>
              <w:top w:val="nil"/>
              <w:left w:val="nil"/>
              <w:bottom w:val="nil"/>
              <w:right w:val="nil"/>
            </w:tcBorders>
          </w:tcPr>
          <w:p w14:paraId="5D313F49"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Size</w:t>
            </w:r>
          </w:p>
        </w:tc>
        <w:tc>
          <w:tcPr>
            <w:tcW w:w="0" w:type="auto"/>
            <w:tcBorders>
              <w:top w:val="nil"/>
              <w:left w:val="nil"/>
              <w:bottom w:val="nil"/>
              <w:right w:val="nil"/>
            </w:tcBorders>
          </w:tcPr>
          <w:p w14:paraId="4555B5C0"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7.9388***</w:t>
            </w:r>
          </w:p>
        </w:tc>
        <w:tc>
          <w:tcPr>
            <w:tcW w:w="0" w:type="auto"/>
            <w:tcBorders>
              <w:top w:val="nil"/>
              <w:left w:val="nil"/>
              <w:bottom w:val="nil"/>
              <w:right w:val="nil"/>
            </w:tcBorders>
          </w:tcPr>
          <w:p w14:paraId="042A659D"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10.6120***</w:t>
            </w:r>
          </w:p>
        </w:tc>
      </w:tr>
      <w:tr w:rsidR="005B1018" w:rsidRPr="006207BC" w14:paraId="47EBC787" w14:textId="77777777" w:rsidTr="007D51A0">
        <w:tc>
          <w:tcPr>
            <w:tcW w:w="0" w:type="auto"/>
            <w:tcBorders>
              <w:top w:val="nil"/>
              <w:left w:val="nil"/>
              <w:bottom w:val="nil"/>
              <w:right w:val="nil"/>
            </w:tcBorders>
          </w:tcPr>
          <w:p w14:paraId="4480951B"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13E51423"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(1.0830)</w:t>
            </w:r>
          </w:p>
        </w:tc>
        <w:tc>
          <w:tcPr>
            <w:tcW w:w="0" w:type="auto"/>
            <w:tcBorders>
              <w:top w:val="nil"/>
              <w:left w:val="nil"/>
              <w:bottom w:val="nil"/>
              <w:right w:val="nil"/>
            </w:tcBorders>
          </w:tcPr>
          <w:p w14:paraId="564248B2"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(1.5530)</w:t>
            </w:r>
          </w:p>
        </w:tc>
      </w:tr>
      <w:tr w:rsidR="005B1018" w:rsidRPr="006207BC" w14:paraId="796CAA41" w14:textId="77777777" w:rsidTr="007D51A0">
        <w:tc>
          <w:tcPr>
            <w:tcW w:w="0" w:type="auto"/>
            <w:tcBorders>
              <w:top w:val="nil"/>
              <w:left w:val="nil"/>
              <w:bottom w:val="nil"/>
              <w:right w:val="nil"/>
            </w:tcBorders>
          </w:tcPr>
          <w:p w14:paraId="3B527157"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Beta</w:t>
            </w:r>
          </w:p>
        </w:tc>
        <w:tc>
          <w:tcPr>
            <w:tcW w:w="0" w:type="auto"/>
            <w:tcBorders>
              <w:top w:val="nil"/>
              <w:left w:val="nil"/>
              <w:bottom w:val="nil"/>
              <w:right w:val="nil"/>
            </w:tcBorders>
          </w:tcPr>
          <w:p w14:paraId="64D2F4A3"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3.1896*</w:t>
            </w:r>
          </w:p>
        </w:tc>
        <w:tc>
          <w:tcPr>
            <w:tcW w:w="0" w:type="auto"/>
            <w:tcBorders>
              <w:top w:val="nil"/>
              <w:left w:val="nil"/>
              <w:bottom w:val="nil"/>
              <w:right w:val="nil"/>
            </w:tcBorders>
          </w:tcPr>
          <w:p w14:paraId="0C000FD9"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3.5347**</w:t>
            </w:r>
          </w:p>
        </w:tc>
      </w:tr>
      <w:tr w:rsidR="005B1018" w:rsidRPr="006207BC" w14:paraId="178D2C08" w14:textId="77777777" w:rsidTr="007D51A0">
        <w:tc>
          <w:tcPr>
            <w:tcW w:w="0" w:type="auto"/>
            <w:tcBorders>
              <w:top w:val="nil"/>
              <w:left w:val="nil"/>
              <w:bottom w:val="nil"/>
              <w:right w:val="nil"/>
            </w:tcBorders>
          </w:tcPr>
          <w:p w14:paraId="58CC892E"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39B7966F"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(1.7246)</w:t>
            </w:r>
          </w:p>
        </w:tc>
        <w:tc>
          <w:tcPr>
            <w:tcW w:w="0" w:type="auto"/>
            <w:tcBorders>
              <w:top w:val="nil"/>
              <w:left w:val="nil"/>
              <w:bottom w:val="nil"/>
              <w:right w:val="nil"/>
            </w:tcBorders>
          </w:tcPr>
          <w:p w14:paraId="5312E94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(1.5897)</w:t>
            </w:r>
          </w:p>
        </w:tc>
      </w:tr>
      <w:tr w:rsidR="005B1018" w:rsidRPr="006207BC" w14:paraId="464F97F0" w14:textId="77777777" w:rsidTr="007D51A0">
        <w:tc>
          <w:tcPr>
            <w:tcW w:w="0" w:type="auto"/>
            <w:tcBorders>
              <w:top w:val="nil"/>
              <w:left w:val="nil"/>
              <w:bottom w:val="nil"/>
              <w:right w:val="nil"/>
            </w:tcBorders>
          </w:tcPr>
          <w:p w14:paraId="1DDEE874"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Earnings surprise</w:t>
            </w:r>
          </w:p>
        </w:tc>
        <w:tc>
          <w:tcPr>
            <w:tcW w:w="0" w:type="auto"/>
            <w:tcBorders>
              <w:top w:val="nil"/>
              <w:left w:val="nil"/>
              <w:bottom w:val="nil"/>
              <w:right w:val="nil"/>
            </w:tcBorders>
          </w:tcPr>
          <w:p w14:paraId="0B8870CD"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-1.8172</w:t>
            </w:r>
          </w:p>
        </w:tc>
        <w:tc>
          <w:tcPr>
            <w:tcW w:w="0" w:type="auto"/>
            <w:tcBorders>
              <w:top w:val="nil"/>
              <w:left w:val="nil"/>
              <w:bottom w:val="nil"/>
              <w:right w:val="nil"/>
            </w:tcBorders>
          </w:tcPr>
          <w:p w14:paraId="0C5C26F7"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1.4440</w:t>
            </w:r>
          </w:p>
        </w:tc>
      </w:tr>
      <w:tr w:rsidR="005B1018" w:rsidRPr="006207BC" w14:paraId="380D9416" w14:textId="77777777" w:rsidTr="007D51A0">
        <w:tc>
          <w:tcPr>
            <w:tcW w:w="0" w:type="auto"/>
            <w:tcBorders>
              <w:top w:val="nil"/>
              <w:left w:val="nil"/>
              <w:bottom w:val="nil"/>
              <w:right w:val="nil"/>
            </w:tcBorders>
          </w:tcPr>
          <w:p w14:paraId="7684B397"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5BEAAD27"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(1.6858)</w:t>
            </w:r>
          </w:p>
        </w:tc>
        <w:tc>
          <w:tcPr>
            <w:tcW w:w="0" w:type="auto"/>
            <w:tcBorders>
              <w:top w:val="nil"/>
              <w:left w:val="nil"/>
              <w:bottom w:val="nil"/>
              <w:right w:val="nil"/>
            </w:tcBorders>
          </w:tcPr>
          <w:p w14:paraId="55019067"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(0.9517)</w:t>
            </w:r>
          </w:p>
        </w:tc>
      </w:tr>
      <w:tr w:rsidR="005B1018" w:rsidRPr="006207BC" w14:paraId="0BFDEF20" w14:textId="77777777" w:rsidTr="007D51A0">
        <w:tc>
          <w:tcPr>
            <w:tcW w:w="0" w:type="auto"/>
            <w:tcBorders>
              <w:top w:val="nil"/>
              <w:left w:val="nil"/>
              <w:bottom w:val="nil"/>
              <w:right w:val="nil"/>
            </w:tcBorders>
          </w:tcPr>
          <w:p w14:paraId="7BF6F392"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Return STD</w:t>
            </w:r>
          </w:p>
        </w:tc>
        <w:tc>
          <w:tcPr>
            <w:tcW w:w="0" w:type="auto"/>
            <w:tcBorders>
              <w:top w:val="nil"/>
              <w:left w:val="nil"/>
              <w:bottom w:val="nil"/>
              <w:right w:val="nil"/>
            </w:tcBorders>
          </w:tcPr>
          <w:p w14:paraId="4BEB113D"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-12.0578**</w:t>
            </w:r>
          </w:p>
        </w:tc>
        <w:tc>
          <w:tcPr>
            <w:tcW w:w="0" w:type="auto"/>
            <w:tcBorders>
              <w:top w:val="nil"/>
              <w:left w:val="nil"/>
              <w:bottom w:val="nil"/>
              <w:right w:val="nil"/>
            </w:tcBorders>
          </w:tcPr>
          <w:p w14:paraId="14012BE7"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-8.0640</w:t>
            </w:r>
          </w:p>
        </w:tc>
      </w:tr>
      <w:tr w:rsidR="005B1018" w:rsidRPr="006207BC" w14:paraId="5CCFE6E1" w14:textId="77777777" w:rsidTr="007D51A0">
        <w:tc>
          <w:tcPr>
            <w:tcW w:w="0" w:type="auto"/>
            <w:tcBorders>
              <w:top w:val="nil"/>
              <w:left w:val="nil"/>
              <w:bottom w:val="nil"/>
              <w:right w:val="nil"/>
            </w:tcBorders>
          </w:tcPr>
          <w:p w14:paraId="27CB4690"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3C5ED509"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(5.0091)</w:t>
            </w:r>
          </w:p>
        </w:tc>
        <w:tc>
          <w:tcPr>
            <w:tcW w:w="0" w:type="auto"/>
            <w:tcBorders>
              <w:top w:val="nil"/>
              <w:left w:val="nil"/>
              <w:bottom w:val="nil"/>
              <w:right w:val="nil"/>
            </w:tcBorders>
          </w:tcPr>
          <w:p w14:paraId="1D1F8221"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(4.8315)</w:t>
            </w:r>
          </w:p>
        </w:tc>
      </w:tr>
      <w:tr w:rsidR="005B1018" w:rsidRPr="006207BC" w14:paraId="6B85E961" w14:textId="77777777" w:rsidTr="007D51A0">
        <w:tc>
          <w:tcPr>
            <w:tcW w:w="0" w:type="auto"/>
            <w:tcBorders>
              <w:top w:val="nil"/>
              <w:left w:val="nil"/>
              <w:bottom w:val="nil"/>
              <w:right w:val="nil"/>
            </w:tcBorders>
          </w:tcPr>
          <w:p w14:paraId="2ED93D1A"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Profitability</w:t>
            </w:r>
          </w:p>
        </w:tc>
        <w:tc>
          <w:tcPr>
            <w:tcW w:w="0" w:type="auto"/>
            <w:tcBorders>
              <w:top w:val="nil"/>
              <w:left w:val="nil"/>
              <w:bottom w:val="nil"/>
              <w:right w:val="nil"/>
            </w:tcBorders>
          </w:tcPr>
          <w:p w14:paraId="5F09CF7B"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4.7273</w:t>
            </w:r>
          </w:p>
        </w:tc>
        <w:tc>
          <w:tcPr>
            <w:tcW w:w="0" w:type="auto"/>
            <w:tcBorders>
              <w:top w:val="nil"/>
              <w:left w:val="nil"/>
              <w:bottom w:val="nil"/>
              <w:right w:val="nil"/>
            </w:tcBorders>
          </w:tcPr>
          <w:p w14:paraId="16699500"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5.0761</w:t>
            </w:r>
          </w:p>
        </w:tc>
      </w:tr>
      <w:tr w:rsidR="005B1018" w:rsidRPr="006207BC" w14:paraId="24E4FE24" w14:textId="77777777" w:rsidTr="007D51A0">
        <w:tc>
          <w:tcPr>
            <w:tcW w:w="0" w:type="auto"/>
            <w:tcBorders>
              <w:top w:val="nil"/>
              <w:left w:val="nil"/>
              <w:bottom w:val="nil"/>
              <w:right w:val="nil"/>
            </w:tcBorders>
          </w:tcPr>
          <w:p w14:paraId="0B5719EA"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2789DA3C"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(3.7413)</w:t>
            </w:r>
          </w:p>
        </w:tc>
        <w:tc>
          <w:tcPr>
            <w:tcW w:w="0" w:type="auto"/>
            <w:tcBorders>
              <w:top w:val="nil"/>
              <w:left w:val="nil"/>
              <w:bottom w:val="nil"/>
              <w:right w:val="nil"/>
            </w:tcBorders>
          </w:tcPr>
          <w:p w14:paraId="6E85FA6C"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(5.4790)</w:t>
            </w:r>
          </w:p>
        </w:tc>
      </w:tr>
      <w:tr w:rsidR="005B1018" w:rsidRPr="006207BC" w14:paraId="288B96D8" w14:textId="77777777" w:rsidTr="007D51A0">
        <w:tc>
          <w:tcPr>
            <w:tcW w:w="0" w:type="auto"/>
            <w:tcBorders>
              <w:top w:val="nil"/>
              <w:left w:val="nil"/>
              <w:bottom w:val="nil"/>
              <w:right w:val="nil"/>
            </w:tcBorders>
          </w:tcPr>
          <w:p w14:paraId="7FF67D1F"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Market-to-book</w:t>
            </w:r>
          </w:p>
        </w:tc>
        <w:tc>
          <w:tcPr>
            <w:tcW w:w="0" w:type="auto"/>
            <w:tcBorders>
              <w:top w:val="nil"/>
              <w:left w:val="nil"/>
              <w:bottom w:val="nil"/>
              <w:right w:val="nil"/>
            </w:tcBorders>
          </w:tcPr>
          <w:p w14:paraId="2E2B0A7F"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1.8036***</w:t>
            </w:r>
          </w:p>
        </w:tc>
        <w:tc>
          <w:tcPr>
            <w:tcW w:w="0" w:type="auto"/>
            <w:tcBorders>
              <w:top w:val="nil"/>
              <w:left w:val="nil"/>
              <w:bottom w:val="nil"/>
              <w:right w:val="nil"/>
            </w:tcBorders>
          </w:tcPr>
          <w:p w14:paraId="443E63E8"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6.2178***</w:t>
            </w:r>
          </w:p>
        </w:tc>
      </w:tr>
      <w:tr w:rsidR="005B1018" w:rsidRPr="006207BC" w14:paraId="171BDF92" w14:textId="77777777" w:rsidTr="007D51A0">
        <w:tc>
          <w:tcPr>
            <w:tcW w:w="0" w:type="auto"/>
            <w:tcBorders>
              <w:top w:val="nil"/>
              <w:left w:val="nil"/>
              <w:bottom w:val="nil"/>
              <w:right w:val="nil"/>
            </w:tcBorders>
          </w:tcPr>
          <w:p w14:paraId="0E26B4F6"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7DF908B2"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(0.3260)</w:t>
            </w:r>
          </w:p>
        </w:tc>
        <w:tc>
          <w:tcPr>
            <w:tcW w:w="0" w:type="auto"/>
            <w:tcBorders>
              <w:top w:val="nil"/>
              <w:left w:val="nil"/>
              <w:bottom w:val="nil"/>
              <w:right w:val="nil"/>
            </w:tcBorders>
          </w:tcPr>
          <w:p w14:paraId="55CF91D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(1.0876)</w:t>
            </w:r>
          </w:p>
        </w:tc>
      </w:tr>
      <w:tr w:rsidR="005B1018" w:rsidRPr="006207BC" w14:paraId="036631A5" w14:textId="77777777" w:rsidTr="007D51A0">
        <w:tc>
          <w:tcPr>
            <w:tcW w:w="0" w:type="auto"/>
            <w:tcBorders>
              <w:top w:val="nil"/>
              <w:left w:val="nil"/>
              <w:bottom w:val="nil"/>
              <w:right w:val="nil"/>
            </w:tcBorders>
          </w:tcPr>
          <w:p w14:paraId="235CA96D"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XLIST</w:t>
            </w:r>
          </w:p>
        </w:tc>
        <w:tc>
          <w:tcPr>
            <w:tcW w:w="0" w:type="auto"/>
            <w:tcBorders>
              <w:top w:val="nil"/>
              <w:left w:val="nil"/>
              <w:bottom w:val="nil"/>
              <w:right w:val="nil"/>
            </w:tcBorders>
          </w:tcPr>
          <w:p w14:paraId="34DC75B8"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1.4207</w:t>
            </w:r>
          </w:p>
        </w:tc>
        <w:tc>
          <w:tcPr>
            <w:tcW w:w="0" w:type="auto"/>
            <w:tcBorders>
              <w:top w:val="nil"/>
              <w:left w:val="nil"/>
              <w:bottom w:val="nil"/>
              <w:right w:val="nil"/>
            </w:tcBorders>
          </w:tcPr>
          <w:p w14:paraId="089CD363"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1.7911**</w:t>
            </w:r>
          </w:p>
        </w:tc>
      </w:tr>
      <w:tr w:rsidR="005B1018" w:rsidRPr="006207BC" w14:paraId="4CECDEDC" w14:textId="77777777" w:rsidTr="007D51A0">
        <w:tc>
          <w:tcPr>
            <w:tcW w:w="0" w:type="auto"/>
            <w:tcBorders>
              <w:top w:val="nil"/>
              <w:left w:val="nil"/>
              <w:bottom w:val="nil"/>
              <w:right w:val="nil"/>
            </w:tcBorders>
          </w:tcPr>
          <w:p w14:paraId="028B2EA8"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3089A0D9"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(0.9048)</w:t>
            </w:r>
          </w:p>
        </w:tc>
        <w:tc>
          <w:tcPr>
            <w:tcW w:w="0" w:type="auto"/>
            <w:tcBorders>
              <w:top w:val="nil"/>
              <w:left w:val="nil"/>
              <w:bottom w:val="nil"/>
              <w:right w:val="nil"/>
            </w:tcBorders>
          </w:tcPr>
          <w:p w14:paraId="2AEC790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(0.8217)</w:t>
            </w:r>
          </w:p>
        </w:tc>
      </w:tr>
      <w:tr w:rsidR="005B1018" w:rsidRPr="006207BC" w14:paraId="4928368A" w14:textId="77777777" w:rsidTr="007D51A0">
        <w:tc>
          <w:tcPr>
            <w:tcW w:w="0" w:type="auto"/>
            <w:tcBorders>
              <w:top w:val="nil"/>
              <w:left w:val="nil"/>
              <w:bottom w:val="nil"/>
              <w:right w:val="nil"/>
            </w:tcBorders>
          </w:tcPr>
          <w:p w14:paraId="362E706B"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Issuance</w:t>
            </w:r>
          </w:p>
        </w:tc>
        <w:tc>
          <w:tcPr>
            <w:tcW w:w="0" w:type="auto"/>
            <w:tcBorders>
              <w:top w:val="nil"/>
              <w:left w:val="nil"/>
              <w:bottom w:val="nil"/>
              <w:right w:val="nil"/>
            </w:tcBorders>
          </w:tcPr>
          <w:p w14:paraId="2E9B9230"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0.0526</w:t>
            </w:r>
          </w:p>
        </w:tc>
        <w:tc>
          <w:tcPr>
            <w:tcW w:w="0" w:type="auto"/>
            <w:tcBorders>
              <w:top w:val="nil"/>
              <w:left w:val="nil"/>
              <w:bottom w:val="nil"/>
              <w:right w:val="nil"/>
            </w:tcBorders>
          </w:tcPr>
          <w:p w14:paraId="214402B2"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0.9499</w:t>
            </w:r>
          </w:p>
        </w:tc>
      </w:tr>
      <w:tr w:rsidR="005B1018" w:rsidRPr="006207BC" w14:paraId="0334FAF1" w14:textId="77777777" w:rsidTr="007D51A0">
        <w:tc>
          <w:tcPr>
            <w:tcW w:w="0" w:type="auto"/>
            <w:tcBorders>
              <w:top w:val="nil"/>
              <w:left w:val="nil"/>
              <w:bottom w:val="nil"/>
              <w:right w:val="nil"/>
            </w:tcBorders>
          </w:tcPr>
          <w:p w14:paraId="26C117BD" w14:textId="77777777" w:rsidR="005710B9" w:rsidRPr="006207BC" w:rsidRDefault="005710B9" w:rsidP="007D51A0">
            <w:pPr>
              <w:keepNext/>
              <w:spacing w:after="0" w:line="240" w:lineRule="auto"/>
              <w:rPr>
                <w:rFonts w:ascii="Times New Roman" w:hAnsi="Times New Roman" w:cs="Times New Roman"/>
                <w:i/>
                <w:sz w:val="24"/>
                <w:szCs w:val="24"/>
              </w:rPr>
            </w:pPr>
          </w:p>
        </w:tc>
        <w:tc>
          <w:tcPr>
            <w:tcW w:w="0" w:type="auto"/>
            <w:tcBorders>
              <w:top w:val="nil"/>
              <w:left w:val="nil"/>
              <w:bottom w:val="nil"/>
              <w:right w:val="nil"/>
            </w:tcBorders>
          </w:tcPr>
          <w:p w14:paraId="58B86BB3"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(1.1269)</w:t>
            </w:r>
          </w:p>
        </w:tc>
        <w:tc>
          <w:tcPr>
            <w:tcW w:w="0" w:type="auto"/>
            <w:tcBorders>
              <w:top w:val="nil"/>
              <w:left w:val="nil"/>
              <w:bottom w:val="nil"/>
              <w:right w:val="nil"/>
            </w:tcBorders>
          </w:tcPr>
          <w:p w14:paraId="36089B27"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(1.1508)</w:t>
            </w:r>
          </w:p>
        </w:tc>
      </w:tr>
      <w:tr w:rsidR="005B1018" w:rsidRPr="006207BC" w14:paraId="4DD042BD" w14:textId="77777777" w:rsidTr="007D51A0">
        <w:tc>
          <w:tcPr>
            <w:tcW w:w="0" w:type="auto"/>
            <w:tcBorders>
              <w:top w:val="nil"/>
              <w:left w:val="nil"/>
              <w:bottom w:val="nil"/>
              <w:right w:val="nil"/>
            </w:tcBorders>
          </w:tcPr>
          <w:p w14:paraId="228BA5E0"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Intangible</w:t>
            </w:r>
          </w:p>
        </w:tc>
        <w:tc>
          <w:tcPr>
            <w:tcW w:w="0" w:type="auto"/>
            <w:tcBorders>
              <w:top w:val="nil"/>
              <w:left w:val="nil"/>
              <w:bottom w:val="nil"/>
              <w:right w:val="nil"/>
            </w:tcBorders>
          </w:tcPr>
          <w:p w14:paraId="6267504D"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3.3084</w:t>
            </w:r>
          </w:p>
        </w:tc>
        <w:tc>
          <w:tcPr>
            <w:tcW w:w="0" w:type="auto"/>
            <w:tcBorders>
              <w:top w:val="nil"/>
              <w:left w:val="nil"/>
              <w:bottom w:val="nil"/>
              <w:right w:val="nil"/>
            </w:tcBorders>
          </w:tcPr>
          <w:p w14:paraId="30808738"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4.1402</w:t>
            </w:r>
          </w:p>
        </w:tc>
      </w:tr>
      <w:tr w:rsidR="005B1018" w:rsidRPr="006207BC" w14:paraId="60299D55" w14:textId="77777777" w:rsidTr="007D51A0">
        <w:tc>
          <w:tcPr>
            <w:tcW w:w="0" w:type="auto"/>
            <w:tcBorders>
              <w:top w:val="nil"/>
              <w:left w:val="nil"/>
              <w:bottom w:val="nil"/>
              <w:right w:val="nil"/>
            </w:tcBorders>
          </w:tcPr>
          <w:p w14:paraId="499D2CDE" w14:textId="77777777" w:rsidR="005710B9" w:rsidRPr="006207BC" w:rsidRDefault="005710B9" w:rsidP="007D51A0">
            <w:pPr>
              <w:keepNext/>
              <w:spacing w:after="0" w:line="240" w:lineRule="auto"/>
              <w:rPr>
                <w:rFonts w:ascii="Times New Roman" w:hAnsi="Times New Roman" w:cs="Times New Roman"/>
                <w:sz w:val="24"/>
                <w:szCs w:val="24"/>
              </w:rPr>
            </w:pPr>
          </w:p>
        </w:tc>
        <w:tc>
          <w:tcPr>
            <w:tcW w:w="0" w:type="auto"/>
            <w:tcBorders>
              <w:top w:val="nil"/>
              <w:left w:val="nil"/>
              <w:bottom w:val="nil"/>
              <w:right w:val="nil"/>
            </w:tcBorders>
          </w:tcPr>
          <w:p w14:paraId="2DCF232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(3.1524)</w:t>
            </w:r>
          </w:p>
        </w:tc>
        <w:tc>
          <w:tcPr>
            <w:tcW w:w="0" w:type="auto"/>
            <w:tcBorders>
              <w:top w:val="nil"/>
              <w:left w:val="nil"/>
              <w:bottom w:val="nil"/>
              <w:right w:val="nil"/>
            </w:tcBorders>
          </w:tcPr>
          <w:p w14:paraId="7E857014"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(2.8563)</w:t>
            </w:r>
          </w:p>
        </w:tc>
      </w:tr>
      <w:tr w:rsidR="005B1018" w:rsidRPr="006207BC" w14:paraId="12369093" w14:textId="77777777" w:rsidTr="007D51A0">
        <w:tc>
          <w:tcPr>
            <w:tcW w:w="0" w:type="auto"/>
            <w:tcBorders>
              <w:top w:val="nil"/>
              <w:left w:val="nil"/>
              <w:bottom w:val="nil"/>
              <w:right w:val="nil"/>
            </w:tcBorders>
          </w:tcPr>
          <w:p w14:paraId="3785BFA3"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Intercept</w:t>
            </w:r>
          </w:p>
        </w:tc>
        <w:tc>
          <w:tcPr>
            <w:tcW w:w="0" w:type="auto"/>
            <w:tcBorders>
              <w:top w:val="nil"/>
              <w:left w:val="nil"/>
              <w:bottom w:val="nil"/>
              <w:right w:val="nil"/>
            </w:tcBorders>
          </w:tcPr>
          <w:p w14:paraId="2115B06D"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-1.3786</w:t>
            </w:r>
          </w:p>
        </w:tc>
        <w:tc>
          <w:tcPr>
            <w:tcW w:w="0" w:type="auto"/>
            <w:tcBorders>
              <w:top w:val="nil"/>
              <w:left w:val="nil"/>
              <w:bottom w:val="nil"/>
              <w:right w:val="nil"/>
            </w:tcBorders>
          </w:tcPr>
          <w:p w14:paraId="581E01C4"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-15.2725**</w:t>
            </w:r>
          </w:p>
        </w:tc>
      </w:tr>
      <w:tr w:rsidR="005B1018" w:rsidRPr="006207BC" w14:paraId="6045D0BD" w14:textId="77777777" w:rsidTr="007D51A0">
        <w:tc>
          <w:tcPr>
            <w:tcW w:w="0" w:type="auto"/>
            <w:tcBorders>
              <w:top w:val="nil"/>
              <w:left w:val="nil"/>
              <w:bottom w:val="nil"/>
              <w:right w:val="nil"/>
            </w:tcBorders>
          </w:tcPr>
          <w:p w14:paraId="52551F1C"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p>
        </w:tc>
        <w:tc>
          <w:tcPr>
            <w:tcW w:w="0" w:type="auto"/>
            <w:tcBorders>
              <w:top w:val="nil"/>
              <w:left w:val="nil"/>
              <w:bottom w:val="nil"/>
              <w:right w:val="nil"/>
            </w:tcBorders>
          </w:tcPr>
          <w:p w14:paraId="2697487E"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(3.9994)</w:t>
            </w:r>
          </w:p>
        </w:tc>
        <w:tc>
          <w:tcPr>
            <w:tcW w:w="0" w:type="auto"/>
            <w:tcBorders>
              <w:top w:val="nil"/>
              <w:left w:val="nil"/>
              <w:bottom w:val="nil"/>
              <w:right w:val="nil"/>
            </w:tcBorders>
          </w:tcPr>
          <w:p w14:paraId="14C4E304"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(5.8325)</w:t>
            </w:r>
          </w:p>
        </w:tc>
      </w:tr>
      <w:tr w:rsidR="005B1018" w:rsidRPr="006207BC" w14:paraId="7D4DE22C" w14:textId="77777777" w:rsidTr="007D51A0">
        <w:tc>
          <w:tcPr>
            <w:tcW w:w="0" w:type="auto"/>
            <w:tcBorders>
              <w:top w:val="nil"/>
              <w:left w:val="nil"/>
              <w:bottom w:val="nil"/>
              <w:right w:val="nil"/>
            </w:tcBorders>
          </w:tcPr>
          <w:p w14:paraId="7165DD04"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Year dummies</w:t>
            </w:r>
          </w:p>
        </w:tc>
        <w:tc>
          <w:tcPr>
            <w:tcW w:w="0" w:type="auto"/>
            <w:tcBorders>
              <w:top w:val="nil"/>
              <w:left w:val="nil"/>
              <w:bottom w:val="nil"/>
              <w:right w:val="nil"/>
            </w:tcBorders>
          </w:tcPr>
          <w:p w14:paraId="6BDCD40B"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Yes</w:t>
            </w:r>
          </w:p>
        </w:tc>
        <w:tc>
          <w:tcPr>
            <w:tcW w:w="0" w:type="auto"/>
            <w:tcBorders>
              <w:top w:val="nil"/>
              <w:left w:val="nil"/>
              <w:bottom w:val="nil"/>
              <w:right w:val="nil"/>
            </w:tcBorders>
          </w:tcPr>
          <w:p w14:paraId="11BF91ED"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Yes</w:t>
            </w:r>
          </w:p>
        </w:tc>
      </w:tr>
      <w:tr w:rsidR="005B1018" w:rsidRPr="006207BC" w14:paraId="7034F7AE" w14:textId="77777777" w:rsidTr="007D51A0">
        <w:tc>
          <w:tcPr>
            <w:tcW w:w="0" w:type="auto"/>
            <w:tcBorders>
              <w:top w:val="nil"/>
              <w:left w:val="nil"/>
              <w:bottom w:val="nil"/>
              <w:right w:val="nil"/>
            </w:tcBorders>
          </w:tcPr>
          <w:p w14:paraId="2FEAB137" w14:textId="77777777" w:rsidR="005710B9" w:rsidRPr="006207BC" w:rsidRDefault="005710B9" w:rsidP="007D51A0">
            <w:pPr>
              <w:keepNext/>
              <w:spacing w:after="0" w:line="240" w:lineRule="auto"/>
              <w:rPr>
                <w:rFonts w:ascii="Times New Roman" w:hAnsi="Times New Roman" w:cs="Times New Roman"/>
                <w:i/>
                <w:sz w:val="24"/>
                <w:szCs w:val="24"/>
              </w:rPr>
            </w:pPr>
            <w:r w:rsidRPr="006207BC">
              <w:rPr>
                <w:rFonts w:ascii="Times New Roman" w:hAnsi="Times New Roman" w:cs="Times New Roman"/>
                <w:i/>
                <w:sz w:val="24"/>
                <w:szCs w:val="24"/>
              </w:rPr>
              <w:t>Industry dummies</w:t>
            </w:r>
          </w:p>
        </w:tc>
        <w:tc>
          <w:tcPr>
            <w:tcW w:w="0" w:type="auto"/>
            <w:tcBorders>
              <w:top w:val="nil"/>
              <w:left w:val="nil"/>
              <w:bottom w:val="nil"/>
              <w:right w:val="nil"/>
            </w:tcBorders>
          </w:tcPr>
          <w:p w14:paraId="599D4EF0"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Yes</w:t>
            </w:r>
          </w:p>
        </w:tc>
        <w:tc>
          <w:tcPr>
            <w:tcW w:w="0" w:type="auto"/>
            <w:tcBorders>
              <w:top w:val="nil"/>
              <w:left w:val="nil"/>
              <w:bottom w:val="nil"/>
              <w:right w:val="nil"/>
            </w:tcBorders>
          </w:tcPr>
          <w:p w14:paraId="02EA43BA" w14:textId="77777777" w:rsidR="005710B9" w:rsidRPr="006207BC" w:rsidRDefault="005710B9"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Yes</w:t>
            </w:r>
          </w:p>
        </w:tc>
      </w:tr>
      <w:tr w:rsidR="005B1018" w:rsidRPr="006207BC" w14:paraId="35A019A8" w14:textId="77777777" w:rsidTr="007D51A0">
        <w:tc>
          <w:tcPr>
            <w:tcW w:w="0" w:type="auto"/>
            <w:tcBorders>
              <w:top w:val="nil"/>
              <w:left w:val="nil"/>
              <w:bottom w:val="nil"/>
              <w:right w:val="nil"/>
            </w:tcBorders>
          </w:tcPr>
          <w:p w14:paraId="2A845AF9" w14:textId="3D53D90D" w:rsidR="005B1018" w:rsidRPr="006207BC" w:rsidRDefault="005B1018" w:rsidP="007D51A0">
            <w:pPr>
              <w:keepNext/>
              <w:spacing w:after="0" w:line="240" w:lineRule="auto"/>
              <w:rPr>
                <w:rFonts w:ascii="Times New Roman" w:hAnsi="Times New Roman" w:cs="Times New Roman"/>
                <w:sz w:val="24"/>
                <w:szCs w:val="24"/>
              </w:rPr>
            </w:pPr>
            <w:r w:rsidRPr="006207BC">
              <w:rPr>
                <w:rFonts w:ascii="Times New Roman" w:hAnsi="Times New Roman" w:cs="Times New Roman"/>
                <w:sz w:val="24"/>
                <w:szCs w:val="24"/>
              </w:rPr>
              <w:t>Sample size</w:t>
            </w:r>
          </w:p>
        </w:tc>
        <w:tc>
          <w:tcPr>
            <w:tcW w:w="0" w:type="auto"/>
            <w:tcBorders>
              <w:top w:val="nil"/>
              <w:left w:val="nil"/>
              <w:bottom w:val="nil"/>
              <w:right w:val="nil"/>
            </w:tcBorders>
          </w:tcPr>
          <w:p w14:paraId="32A2C020" w14:textId="1C1925F0" w:rsidR="005B1018" w:rsidRPr="006207BC" w:rsidRDefault="005B1018"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431</w:t>
            </w:r>
          </w:p>
        </w:tc>
        <w:tc>
          <w:tcPr>
            <w:tcW w:w="0" w:type="auto"/>
            <w:tcBorders>
              <w:top w:val="nil"/>
              <w:left w:val="nil"/>
              <w:bottom w:val="nil"/>
              <w:right w:val="nil"/>
            </w:tcBorders>
          </w:tcPr>
          <w:p w14:paraId="28B151E9" w14:textId="07D02FD3" w:rsidR="005B1018" w:rsidRPr="006207BC" w:rsidRDefault="005B1018" w:rsidP="007D51A0">
            <w:pPr>
              <w:keepNext/>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425</w:t>
            </w:r>
          </w:p>
        </w:tc>
      </w:tr>
      <w:tr w:rsidR="005B1018" w:rsidRPr="006207BC" w14:paraId="5042B9FA" w14:textId="77777777" w:rsidTr="007D51A0">
        <w:tblPrEx>
          <w:tblBorders>
            <w:bottom w:val="single" w:sz="6" w:space="0" w:color="auto"/>
          </w:tblBorders>
        </w:tblPrEx>
        <w:tc>
          <w:tcPr>
            <w:tcW w:w="0" w:type="auto"/>
            <w:tcBorders>
              <w:top w:val="nil"/>
              <w:left w:val="nil"/>
              <w:bottom w:val="single" w:sz="4" w:space="0" w:color="auto"/>
              <w:right w:val="nil"/>
            </w:tcBorders>
          </w:tcPr>
          <w:p w14:paraId="3B0EC87F" w14:textId="77777777" w:rsidR="005710B9" w:rsidRPr="006207BC" w:rsidRDefault="005710B9" w:rsidP="007D51A0">
            <w:pPr>
              <w:spacing w:after="0" w:line="240" w:lineRule="auto"/>
              <w:rPr>
                <w:rFonts w:ascii="Times New Roman" w:hAnsi="Times New Roman" w:cs="Times New Roman"/>
                <w:sz w:val="24"/>
                <w:szCs w:val="24"/>
              </w:rPr>
            </w:pPr>
            <w:r w:rsidRPr="006207BC">
              <w:rPr>
                <w:rFonts w:ascii="Times New Roman" w:hAnsi="Times New Roman" w:cs="Times New Roman"/>
                <w:sz w:val="24"/>
                <w:szCs w:val="24"/>
              </w:rPr>
              <w:t xml:space="preserve">Adjusted </w:t>
            </w:r>
            <w:r w:rsidRPr="006207BC">
              <w:rPr>
                <w:rFonts w:ascii="Times New Roman" w:hAnsi="Times New Roman" w:cs="Times New Roman"/>
                <w:i/>
                <w:sz w:val="24"/>
                <w:szCs w:val="24"/>
              </w:rPr>
              <w:t>R</w:t>
            </w:r>
            <w:r w:rsidRPr="006207BC">
              <w:rPr>
                <w:rFonts w:ascii="Times New Roman" w:hAnsi="Times New Roman" w:cs="Times New Roman"/>
                <w:sz w:val="24"/>
                <w:szCs w:val="24"/>
              </w:rPr>
              <w:t>²</w:t>
            </w:r>
          </w:p>
        </w:tc>
        <w:tc>
          <w:tcPr>
            <w:tcW w:w="0" w:type="auto"/>
            <w:tcBorders>
              <w:top w:val="nil"/>
              <w:left w:val="nil"/>
              <w:bottom w:val="single" w:sz="4" w:space="0" w:color="auto"/>
              <w:right w:val="nil"/>
            </w:tcBorders>
          </w:tcPr>
          <w:p w14:paraId="412E8B79" w14:textId="77777777" w:rsidR="005710B9" w:rsidRPr="006207BC" w:rsidRDefault="005710B9" w:rsidP="007D51A0">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0.593</w:t>
            </w:r>
          </w:p>
        </w:tc>
        <w:tc>
          <w:tcPr>
            <w:tcW w:w="0" w:type="auto"/>
            <w:tcBorders>
              <w:top w:val="nil"/>
              <w:left w:val="nil"/>
              <w:bottom w:val="single" w:sz="4" w:space="0" w:color="auto"/>
              <w:right w:val="nil"/>
            </w:tcBorders>
          </w:tcPr>
          <w:p w14:paraId="31A98AE8" w14:textId="77777777" w:rsidR="005710B9" w:rsidRPr="006207BC" w:rsidRDefault="005710B9" w:rsidP="007D51A0">
            <w:pPr>
              <w:autoSpaceDE w:val="0"/>
              <w:autoSpaceDN w:val="0"/>
              <w:adjustRightInd w:val="0"/>
              <w:spacing w:after="0" w:line="240" w:lineRule="auto"/>
              <w:rPr>
                <w:rFonts w:ascii="Times New Roman" w:hAnsi="Times New Roman" w:cs="Times New Roman"/>
                <w:sz w:val="24"/>
                <w:szCs w:val="24"/>
              </w:rPr>
            </w:pPr>
            <w:r w:rsidRPr="006207BC">
              <w:rPr>
                <w:rFonts w:ascii="Times New Roman" w:hAnsi="Times New Roman" w:cs="Times New Roman"/>
                <w:sz w:val="24"/>
                <w:szCs w:val="24"/>
              </w:rPr>
              <w:t>0.660</w:t>
            </w:r>
          </w:p>
        </w:tc>
      </w:tr>
      <w:tr w:rsidR="005710B9" w:rsidRPr="006207BC" w14:paraId="41A75D2E" w14:textId="77777777" w:rsidTr="007D51A0">
        <w:tblPrEx>
          <w:tblBorders>
            <w:bottom w:val="single" w:sz="6" w:space="0" w:color="auto"/>
          </w:tblBorders>
        </w:tblPrEx>
        <w:tc>
          <w:tcPr>
            <w:tcW w:w="0" w:type="auto"/>
            <w:gridSpan w:val="3"/>
            <w:tcBorders>
              <w:top w:val="single" w:sz="4" w:space="0" w:color="auto"/>
              <w:left w:val="nil"/>
              <w:bottom w:val="nil"/>
              <w:right w:val="nil"/>
            </w:tcBorders>
          </w:tcPr>
          <w:p w14:paraId="2AE5818A" w14:textId="77777777" w:rsidR="005710B9" w:rsidRPr="006207BC" w:rsidRDefault="005710B9" w:rsidP="001B3394">
            <w:pPr>
              <w:autoSpaceDE w:val="0"/>
              <w:autoSpaceDN w:val="0"/>
              <w:adjustRightInd w:val="0"/>
              <w:spacing w:after="0" w:line="240" w:lineRule="auto"/>
              <w:jc w:val="both"/>
              <w:rPr>
                <w:rFonts w:ascii="Times New Roman" w:hAnsi="Times New Roman" w:cs="Times New Roman"/>
                <w:color w:val="231F20"/>
                <w:sz w:val="24"/>
                <w:szCs w:val="24"/>
              </w:rPr>
            </w:pPr>
            <w:r w:rsidRPr="006207BC">
              <w:rPr>
                <w:rFonts w:ascii="Times New Roman" w:hAnsi="Times New Roman" w:cs="Times New Roman"/>
                <w:color w:val="231F20"/>
                <w:sz w:val="24"/>
                <w:szCs w:val="24"/>
              </w:rPr>
              <w:t>This table reports</w:t>
            </w:r>
            <w:r w:rsidRPr="006207BC">
              <w:rPr>
                <w:rFonts w:ascii="Times New Roman" w:hAnsi="Times New Roman" w:cs="Times New Roman"/>
                <w:sz w:val="24"/>
                <w:szCs w:val="24"/>
              </w:rPr>
              <w:t xml:space="preserve"> the results from OLS regressions of risk disclosure on analyst following across Low opacity and High opacity groups. Low (High) opacity group consists of firms having the bid–ask </w:t>
            </w:r>
            <w:proofErr w:type="gramStart"/>
            <w:r w:rsidRPr="006207BC">
              <w:rPr>
                <w:rFonts w:ascii="Times New Roman" w:hAnsi="Times New Roman" w:cs="Times New Roman"/>
                <w:sz w:val="24"/>
                <w:szCs w:val="24"/>
              </w:rPr>
              <w:t>spread</w:t>
            </w:r>
            <w:proofErr w:type="gramEnd"/>
            <w:r w:rsidRPr="006207BC">
              <w:rPr>
                <w:rFonts w:ascii="Times New Roman" w:hAnsi="Times New Roman" w:cs="Times New Roman"/>
                <w:sz w:val="24"/>
                <w:szCs w:val="24"/>
              </w:rPr>
              <w:t xml:space="preserve"> at the end of the fiscal year below (above) the median value of distribution. The dependent variable, </w:t>
            </w:r>
            <w:r w:rsidRPr="006207BC">
              <w:rPr>
                <w:rFonts w:ascii="Times New Roman" w:hAnsi="Times New Roman" w:cs="Times New Roman"/>
                <w:i/>
                <w:sz w:val="24"/>
                <w:szCs w:val="24"/>
              </w:rPr>
              <w:t>Analyst</w:t>
            </w:r>
            <w:r w:rsidRPr="006207BC">
              <w:rPr>
                <w:rFonts w:ascii="Times New Roman" w:hAnsi="Times New Roman" w:cs="Times New Roman"/>
                <w:sz w:val="24"/>
                <w:szCs w:val="24"/>
              </w:rPr>
              <w:t>, is the number of analysts following the firm. All independent variables are lagged by one year. See the Appendix for variable definitions. The total sample consists of 857 firm–year observations of non-financial and non-utility French firms on the SBF 120 index over the period 2007–2015. Year and industry dummies following Campbell’s (1996) classification are included in all the regressions. The coefficient standard errors are in parentheses beneath coefficient estimates. Standard errors are Huber–White heteroskedastic robust and clustered by firm.</w:t>
            </w:r>
            <w:r w:rsidRPr="006207BC">
              <w:rPr>
                <w:rFonts w:ascii="Times New Roman" w:hAnsi="Times New Roman" w:cs="Times New Roman"/>
                <w:color w:val="231F20"/>
                <w:sz w:val="24"/>
                <w:szCs w:val="24"/>
              </w:rPr>
              <w:t xml:space="preserve"> *, **, and *** indicate significance at the 10%, 5%, and 1% levels, respectively</w:t>
            </w:r>
          </w:p>
        </w:tc>
      </w:tr>
    </w:tbl>
    <w:p w14:paraId="39D387E6" w14:textId="77777777" w:rsidR="00823B50" w:rsidRPr="006207BC" w:rsidRDefault="00823B50">
      <w:pPr>
        <w:rPr>
          <w:rFonts w:ascii="Times New Roman" w:hAnsi="Times New Roman" w:cs="Times New Roman"/>
        </w:rPr>
      </w:pPr>
      <w:r w:rsidRPr="006207BC">
        <w:rPr>
          <w:rFonts w:ascii="Times New Roman" w:hAnsi="Times New Roman" w:cs="Times New Roman"/>
        </w:rPr>
        <w:br w:type="page"/>
      </w:r>
    </w:p>
    <w:p w14:paraId="3559442B" w14:textId="017C33F1" w:rsidR="00C20459" w:rsidRPr="006207BC" w:rsidRDefault="00A61DC5">
      <w:pPr>
        <w:rPr>
          <w:rFonts w:ascii="Times New Roman" w:hAnsi="Times New Roman" w:cs="Times New Roman"/>
        </w:rPr>
      </w:pPr>
      <w:r w:rsidRPr="006207BC">
        <w:rPr>
          <w:rFonts w:ascii="Times New Roman" w:hAnsi="Times New Roman" w:cs="Times New Roman"/>
        </w:rPr>
        <w:lastRenderedPageBreak/>
        <w:t xml:space="preserve">Table </w:t>
      </w:r>
      <w:r w:rsidR="001B3394" w:rsidRPr="006207BC">
        <w:rPr>
          <w:rFonts w:ascii="Times New Roman" w:hAnsi="Times New Roman" w:cs="Times New Roman"/>
        </w:rPr>
        <w:t>6</w:t>
      </w:r>
      <w:r w:rsidRPr="006207BC">
        <w:rPr>
          <w:rFonts w:ascii="Times New Roman" w:hAnsi="Times New Roman" w:cs="Times New Roman"/>
        </w:rPr>
        <w:t>. Robustness checks: Alternative measures of risk disclosure</w:t>
      </w:r>
    </w:p>
    <w:tbl>
      <w:tblPr>
        <w:tblStyle w:val="Grilledutableau"/>
        <w:tblpPr w:leftFromText="180" w:rightFromText="180" w:vertAnchor="page" w:horzAnchor="margin" w:tblpXSpec="right" w:tblpY="2079"/>
        <w:tblW w:w="9586" w:type="dxa"/>
        <w:tblLook w:val="04A0" w:firstRow="1" w:lastRow="0" w:firstColumn="1" w:lastColumn="0" w:noHBand="0" w:noVBand="1"/>
      </w:tblPr>
      <w:tblGrid>
        <w:gridCol w:w="1194"/>
        <w:gridCol w:w="1166"/>
        <w:gridCol w:w="1166"/>
        <w:gridCol w:w="1166"/>
        <w:gridCol w:w="1166"/>
        <w:gridCol w:w="1166"/>
        <w:gridCol w:w="1166"/>
        <w:gridCol w:w="1396"/>
      </w:tblGrid>
      <w:tr w:rsidR="00BC3D9C" w:rsidRPr="006207BC" w14:paraId="5969D5F9" w14:textId="78F05F49" w:rsidTr="005F4D35">
        <w:tc>
          <w:tcPr>
            <w:tcW w:w="0" w:type="auto"/>
            <w:tcBorders>
              <w:top w:val="nil"/>
              <w:left w:val="nil"/>
              <w:bottom w:val="single" w:sz="4" w:space="0" w:color="auto"/>
              <w:right w:val="nil"/>
            </w:tcBorders>
          </w:tcPr>
          <w:p w14:paraId="3C98FB90" w14:textId="77777777" w:rsidR="00BC3D9C" w:rsidRPr="006207BC" w:rsidRDefault="00BC3D9C" w:rsidP="0034390F">
            <w:pPr>
              <w:rPr>
                <w:rFonts w:ascii="Times New Roman" w:hAnsi="Times New Roman" w:cs="Times New Roman"/>
                <w:sz w:val="20"/>
                <w:szCs w:val="20"/>
              </w:rPr>
            </w:pPr>
          </w:p>
        </w:tc>
        <w:tc>
          <w:tcPr>
            <w:tcW w:w="0" w:type="auto"/>
            <w:tcBorders>
              <w:top w:val="nil"/>
              <w:left w:val="nil"/>
              <w:bottom w:val="single" w:sz="4" w:space="0" w:color="auto"/>
              <w:right w:val="nil"/>
            </w:tcBorders>
          </w:tcPr>
          <w:p w14:paraId="2A86DF05" w14:textId="77777777" w:rsidR="00BC3D9C" w:rsidRPr="006207BC" w:rsidRDefault="00BC3D9C" w:rsidP="0034390F">
            <w:pPr>
              <w:rPr>
                <w:rFonts w:ascii="Times New Roman" w:hAnsi="Times New Roman" w:cs="Times New Roman"/>
                <w:i/>
                <w:sz w:val="20"/>
                <w:szCs w:val="20"/>
              </w:rPr>
            </w:pPr>
            <w:r w:rsidRPr="006207BC">
              <w:rPr>
                <w:rFonts w:ascii="Times New Roman" w:hAnsi="Times New Roman" w:cs="Times New Roman"/>
                <w:i/>
                <w:sz w:val="20"/>
                <w:szCs w:val="20"/>
              </w:rPr>
              <w:t>Risk_index</w:t>
            </w:r>
          </w:p>
          <w:p w14:paraId="53F7AA43" w14:textId="79CD81C4" w:rsidR="00BC3D9C" w:rsidRPr="006207BC" w:rsidRDefault="00BC3D9C" w:rsidP="0034390F">
            <w:pPr>
              <w:rPr>
                <w:rFonts w:ascii="Times New Roman" w:hAnsi="Times New Roman" w:cs="Times New Roman"/>
                <w:sz w:val="20"/>
                <w:szCs w:val="20"/>
              </w:rPr>
            </w:pPr>
            <w:r w:rsidRPr="006207BC">
              <w:rPr>
                <w:rFonts w:ascii="Times New Roman" w:hAnsi="Times New Roman" w:cs="Times New Roman"/>
                <w:sz w:val="20"/>
                <w:szCs w:val="20"/>
              </w:rPr>
              <w:t>(1)</w:t>
            </w:r>
          </w:p>
        </w:tc>
        <w:tc>
          <w:tcPr>
            <w:tcW w:w="0" w:type="auto"/>
            <w:tcBorders>
              <w:top w:val="nil"/>
              <w:left w:val="nil"/>
              <w:bottom w:val="single" w:sz="4" w:space="0" w:color="auto"/>
              <w:right w:val="nil"/>
            </w:tcBorders>
          </w:tcPr>
          <w:p w14:paraId="22593E4C" w14:textId="77777777" w:rsidR="00BC3D9C" w:rsidRPr="006207BC" w:rsidRDefault="00BC3D9C" w:rsidP="0034390F">
            <w:pPr>
              <w:rPr>
                <w:rFonts w:ascii="Times New Roman" w:hAnsi="Times New Roman" w:cs="Times New Roman"/>
                <w:i/>
                <w:sz w:val="20"/>
                <w:szCs w:val="20"/>
              </w:rPr>
            </w:pPr>
            <w:r w:rsidRPr="006207BC">
              <w:rPr>
                <w:rFonts w:ascii="Times New Roman" w:hAnsi="Times New Roman" w:cs="Times New Roman"/>
                <w:i/>
                <w:sz w:val="20"/>
                <w:szCs w:val="20"/>
              </w:rPr>
              <w:t>General risks</w:t>
            </w:r>
          </w:p>
          <w:p w14:paraId="5F4BBC35" w14:textId="3B264ECF" w:rsidR="00BC3D9C" w:rsidRPr="006207BC" w:rsidRDefault="00BC3D9C" w:rsidP="0034390F">
            <w:pPr>
              <w:rPr>
                <w:rFonts w:ascii="Times New Roman" w:hAnsi="Times New Roman" w:cs="Times New Roman"/>
                <w:sz w:val="20"/>
                <w:szCs w:val="20"/>
              </w:rPr>
            </w:pPr>
            <w:r w:rsidRPr="006207BC">
              <w:rPr>
                <w:rFonts w:ascii="Times New Roman" w:hAnsi="Times New Roman" w:cs="Times New Roman"/>
                <w:sz w:val="20"/>
                <w:szCs w:val="20"/>
              </w:rPr>
              <w:t>(2)</w:t>
            </w:r>
          </w:p>
        </w:tc>
        <w:tc>
          <w:tcPr>
            <w:tcW w:w="0" w:type="auto"/>
            <w:tcBorders>
              <w:top w:val="nil"/>
              <w:left w:val="nil"/>
              <w:bottom w:val="single" w:sz="4" w:space="0" w:color="auto"/>
              <w:right w:val="nil"/>
            </w:tcBorders>
          </w:tcPr>
          <w:p w14:paraId="5BA4B115" w14:textId="3E7F2B77" w:rsidR="00BC3D9C" w:rsidRPr="006207BC" w:rsidRDefault="00BC3D9C" w:rsidP="0034390F">
            <w:pPr>
              <w:rPr>
                <w:rFonts w:ascii="Times New Roman" w:hAnsi="Times New Roman" w:cs="Times New Roman"/>
                <w:i/>
                <w:sz w:val="20"/>
                <w:szCs w:val="20"/>
              </w:rPr>
            </w:pPr>
            <w:r w:rsidRPr="006207BC">
              <w:rPr>
                <w:rFonts w:ascii="Times New Roman" w:hAnsi="Times New Roman" w:cs="Times New Roman"/>
                <w:i/>
                <w:sz w:val="20"/>
                <w:szCs w:val="20"/>
              </w:rPr>
              <w:t xml:space="preserve">Firm-specific risks </w:t>
            </w:r>
          </w:p>
          <w:p w14:paraId="77801E5C" w14:textId="54F1CF25" w:rsidR="00BC3D9C" w:rsidRPr="006207BC" w:rsidRDefault="00BC3D9C" w:rsidP="0034390F">
            <w:pPr>
              <w:rPr>
                <w:rFonts w:ascii="Times New Roman" w:hAnsi="Times New Roman" w:cs="Times New Roman"/>
                <w:sz w:val="20"/>
                <w:szCs w:val="20"/>
              </w:rPr>
            </w:pPr>
            <w:r w:rsidRPr="006207BC">
              <w:rPr>
                <w:rFonts w:ascii="Times New Roman" w:hAnsi="Times New Roman" w:cs="Times New Roman"/>
                <w:sz w:val="20"/>
                <w:szCs w:val="20"/>
              </w:rPr>
              <w:t>(3)</w:t>
            </w:r>
          </w:p>
        </w:tc>
        <w:tc>
          <w:tcPr>
            <w:tcW w:w="0" w:type="auto"/>
            <w:tcBorders>
              <w:top w:val="nil"/>
              <w:left w:val="nil"/>
              <w:bottom w:val="single" w:sz="4" w:space="0" w:color="auto"/>
              <w:right w:val="nil"/>
            </w:tcBorders>
          </w:tcPr>
          <w:p w14:paraId="091998DA" w14:textId="22BDA5E1" w:rsidR="00BC3D9C" w:rsidRPr="006207BC" w:rsidRDefault="00BC3D9C" w:rsidP="0034390F">
            <w:pPr>
              <w:rPr>
                <w:rFonts w:ascii="Times New Roman" w:hAnsi="Times New Roman" w:cs="Times New Roman"/>
                <w:sz w:val="20"/>
                <w:szCs w:val="20"/>
              </w:rPr>
            </w:pPr>
            <w:r w:rsidRPr="006207BC">
              <w:rPr>
                <w:rFonts w:ascii="Times New Roman" w:hAnsi="Times New Roman" w:cs="Times New Roman"/>
                <w:i/>
                <w:sz w:val="20"/>
                <w:szCs w:val="20"/>
              </w:rPr>
              <w:t>Industry-specific risks</w:t>
            </w:r>
            <w:r w:rsidRPr="006207BC">
              <w:rPr>
                <w:rFonts w:ascii="Times New Roman" w:hAnsi="Times New Roman" w:cs="Times New Roman"/>
                <w:sz w:val="20"/>
                <w:szCs w:val="20"/>
              </w:rPr>
              <w:t xml:space="preserve"> (4)</w:t>
            </w:r>
          </w:p>
        </w:tc>
        <w:tc>
          <w:tcPr>
            <w:tcW w:w="0" w:type="auto"/>
            <w:tcBorders>
              <w:top w:val="nil"/>
              <w:left w:val="nil"/>
              <w:bottom w:val="single" w:sz="4" w:space="0" w:color="auto"/>
              <w:right w:val="nil"/>
            </w:tcBorders>
          </w:tcPr>
          <w:p w14:paraId="73BDE55B" w14:textId="77777777" w:rsidR="00BC3D9C" w:rsidRPr="006207BC" w:rsidRDefault="00BC3D9C" w:rsidP="0034390F">
            <w:pPr>
              <w:rPr>
                <w:rFonts w:ascii="Times New Roman" w:hAnsi="Times New Roman" w:cs="Times New Roman"/>
                <w:i/>
                <w:sz w:val="20"/>
                <w:szCs w:val="20"/>
              </w:rPr>
            </w:pPr>
            <w:r w:rsidRPr="006207BC">
              <w:rPr>
                <w:rFonts w:ascii="Times New Roman" w:hAnsi="Times New Roman" w:cs="Times New Roman"/>
                <w:i/>
                <w:sz w:val="20"/>
                <w:szCs w:val="20"/>
              </w:rPr>
              <w:t xml:space="preserve">Financial risks </w:t>
            </w:r>
          </w:p>
          <w:p w14:paraId="36098630" w14:textId="17A36DF4" w:rsidR="00BC3D9C" w:rsidRPr="006207BC" w:rsidRDefault="00BC3D9C" w:rsidP="0034390F">
            <w:pPr>
              <w:rPr>
                <w:rFonts w:ascii="Times New Roman" w:hAnsi="Times New Roman" w:cs="Times New Roman"/>
                <w:sz w:val="20"/>
                <w:szCs w:val="20"/>
              </w:rPr>
            </w:pPr>
            <w:r w:rsidRPr="006207BC">
              <w:rPr>
                <w:rFonts w:ascii="Times New Roman" w:hAnsi="Times New Roman" w:cs="Times New Roman"/>
                <w:sz w:val="20"/>
                <w:szCs w:val="20"/>
              </w:rPr>
              <w:t>(5)</w:t>
            </w:r>
          </w:p>
        </w:tc>
        <w:tc>
          <w:tcPr>
            <w:tcW w:w="0" w:type="auto"/>
            <w:tcBorders>
              <w:top w:val="nil"/>
              <w:left w:val="nil"/>
              <w:bottom w:val="single" w:sz="4" w:space="0" w:color="auto"/>
              <w:right w:val="nil"/>
            </w:tcBorders>
          </w:tcPr>
          <w:p w14:paraId="6A9A962F" w14:textId="22CD9F6A" w:rsidR="00BC3D9C" w:rsidRPr="006207BC" w:rsidRDefault="00BC3D9C" w:rsidP="0034390F">
            <w:pPr>
              <w:rPr>
                <w:rFonts w:ascii="Times New Roman" w:hAnsi="Times New Roman" w:cs="Times New Roman"/>
                <w:i/>
                <w:sz w:val="20"/>
                <w:szCs w:val="20"/>
              </w:rPr>
            </w:pPr>
            <w:r w:rsidRPr="006207BC">
              <w:rPr>
                <w:rFonts w:ascii="Times New Roman" w:hAnsi="Times New Roman" w:cs="Times New Roman"/>
                <w:i/>
                <w:sz w:val="20"/>
                <w:szCs w:val="20"/>
              </w:rPr>
              <w:t xml:space="preserve">Risk_factor coverage </w:t>
            </w:r>
          </w:p>
          <w:p w14:paraId="266DB29C" w14:textId="082ABCD3" w:rsidR="00BC3D9C" w:rsidRPr="006207BC" w:rsidRDefault="00BC3D9C" w:rsidP="0034390F">
            <w:pPr>
              <w:rPr>
                <w:rFonts w:ascii="Times New Roman" w:hAnsi="Times New Roman" w:cs="Times New Roman"/>
                <w:sz w:val="20"/>
                <w:szCs w:val="20"/>
              </w:rPr>
            </w:pPr>
            <w:r w:rsidRPr="006207BC">
              <w:rPr>
                <w:rFonts w:ascii="Times New Roman" w:hAnsi="Times New Roman" w:cs="Times New Roman"/>
                <w:sz w:val="20"/>
                <w:szCs w:val="20"/>
              </w:rPr>
              <w:t>(6)</w:t>
            </w:r>
          </w:p>
        </w:tc>
        <w:tc>
          <w:tcPr>
            <w:tcW w:w="1396" w:type="dxa"/>
            <w:tcBorders>
              <w:top w:val="nil"/>
              <w:left w:val="nil"/>
              <w:bottom w:val="single" w:sz="4" w:space="0" w:color="auto"/>
              <w:right w:val="nil"/>
            </w:tcBorders>
          </w:tcPr>
          <w:p w14:paraId="24781735" w14:textId="77777777" w:rsidR="00395BFE" w:rsidRPr="006207BC" w:rsidRDefault="00395BFE" w:rsidP="0034390F">
            <w:pPr>
              <w:rPr>
                <w:rFonts w:ascii="Times New Roman" w:hAnsi="Times New Roman" w:cs="Times New Roman"/>
                <w:i/>
                <w:sz w:val="18"/>
                <w:szCs w:val="18"/>
              </w:rPr>
            </w:pPr>
            <w:r w:rsidRPr="006207BC">
              <w:rPr>
                <w:rFonts w:ascii="Times New Roman" w:hAnsi="Times New Roman" w:cs="Times New Roman"/>
                <w:i/>
                <w:sz w:val="18"/>
                <w:szCs w:val="18"/>
              </w:rPr>
              <w:t>Risk_sentences_</w:t>
            </w:r>
          </w:p>
          <w:p w14:paraId="6D4CEDDD" w14:textId="4547C7D0" w:rsidR="00BC3D9C" w:rsidRPr="006207BC" w:rsidRDefault="00395BFE" w:rsidP="0034390F">
            <w:pPr>
              <w:rPr>
                <w:rFonts w:ascii="Times New Roman" w:hAnsi="Times New Roman" w:cs="Times New Roman"/>
                <w:i/>
                <w:sz w:val="18"/>
                <w:szCs w:val="18"/>
              </w:rPr>
            </w:pPr>
            <w:r w:rsidRPr="006207BC">
              <w:rPr>
                <w:rFonts w:ascii="Times New Roman" w:hAnsi="Times New Roman" w:cs="Times New Roman"/>
                <w:i/>
                <w:sz w:val="18"/>
                <w:szCs w:val="18"/>
              </w:rPr>
              <w:t>ratio</w:t>
            </w:r>
          </w:p>
          <w:p w14:paraId="38847239" w14:textId="7A177FD9" w:rsidR="00395BFE" w:rsidRPr="006207BC" w:rsidRDefault="00395BFE" w:rsidP="0034390F">
            <w:pPr>
              <w:rPr>
                <w:rFonts w:ascii="Times New Roman" w:hAnsi="Times New Roman" w:cs="Times New Roman"/>
                <w:i/>
                <w:sz w:val="18"/>
                <w:szCs w:val="18"/>
              </w:rPr>
            </w:pPr>
            <w:r w:rsidRPr="006207BC">
              <w:rPr>
                <w:rFonts w:ascii="Times New Roman" w:hAnsi="Times New Roman" w:cs="Times New Roman"/>
                <w:i/>
                <w:sz w:val="18"/>
                <w:szCs w:val="18"/>
              </w:rPr>
              <w:t>(7)</w:t>
            </w:r>
          </w:p>
        </w:tc>
      </w:tr>
      <w:tr w:rsidR="00395BFE" w:rsidRPr="006207BC" w14:paraId="5A96DE08" w14:textId="4C1ED48A" w:rsidTr="005F4D35">
        <w:tc>
          <w:tcPr>
            <w:tcW w:w="0" w:type="auto"/>
            <w:tcBorders>
              <w:top w:val="single" w:sz="4" w:space="0" w:color="auto"/>
              <w:left w:val="nil"/>
              <w:bottom w:val="nil"/>
              <w:right w:val="nil"/>
            </w:tcBorders>
          </w:tcPr>
          <w:p w14:paraId="4C42A05A" w14:textId="77777777" w:rsidR="00395BFE" w:rsidRPr="006207BC" w:rsidRDefault="00395BFE" w:rsidP="00395BFE">
            <w:pPr>
              <w:autoSpaceDE w:val="0"/>
              <w:autoSpaceDN w:val="0"/>
              <w:adjustRightInd w:val="0"/>
              <w:rPr>
                <w:rFonts w:ascii="Times New Roman" w:hAnsi="Times New Roman" w:cs="Times New Roman"/>
                <w:i/>
                <w:sz w:val="20"/>
                <w:szCs w:val="20"/>
              </w:rPr>
            </w:pPr>
            <w:r w:rsidRPr="006207BC">
              <w:rPr>
                <w:rFonts w:ascii="Times New Roman" w:hAnsi="Times New Roman" w:cs="Times New Roman"/>
                <w:i/>
                <w:sz w:val="20"/>
                <w:szCs w:val="20"/>
              </w:rPr>
              <w:t>Risk disclosure measure</w:t>
            </w:r>
          </w:p>
        </w:tc>
        <w:tc>
          <w:tcPr>
            <w:tcW w:w="0" w:type="auto"/>
            <w:tcBorders>
              <w:top w:val="single" w:sz="4" w:space="0" w:color="auto"/>
              <w:left w:val="nil"/>
              <w:bottom w:val="nil"/>
              <w:right w:val="nil"/>
            </w:tcBorders>
          </w:tcPr>
          <w:p w14:paraId="330E6FF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1.5014***</w:t>
            </w:r>
          </w:p>
        </w:tc>
        <w:tc>
          <w:tcPr>
            <w:tcW w:w="0" w:type="auto"/>
            <w:tcBorders>
              <w:top w:val="single" w:sz="4" w:space="0" w:color="auto"/>
              <w:left w:val="nil"/>
              <w:bottom w:val="nil"/>
              <w:right w:val="nil"/>
            </w:tcBorders>
          </w:tcPr>
          <w:p w14:paraId="4BE942D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1.1912***</w:t>
            </w:r>
          </w:p>
        </w:tc>
        <w:tc>
          <w:tcPr>
            <w:tcW w:w="0" w:type="auto"/>
            <w:tcBorders>
              <w:top w:val="single" w:sz="4" w:space="0" w:color="auto"/>
              <w:left w:val="nil"/>
              <w:bottom w:val="nil"/>
              <w:right w:val="nil"/>
            </w:tcBorders>
          </w:tcPr>
          <w:p w14:paraId="4EB55D1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0.9407***</w:t>
            </w:r>
          </w:p>
        </w:tc>
        <w:tc>
          <w:tcPr>
            <w:tcW w:w="0" w:type="auto"/>
            <w:tcBorders>
              <w:top w:val="single" w:sz="4" w:space="0" w:color="auto"/>
              <w:left w:val="nil"/>
              <w:bottom w:val="nil"/>
              <w:right w:val="nil"/>
            </w:tcBorders>
          </w:tcPr>
          <w:p w14:paraId="1EC0026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1.3145***</w:t>
            </w:r>
          </w:p>
        </w:tc>
        <w:tc>
          <w:tcPr>
            <w:tcW w:w="0" w:type="auto"/>
            <w:tcBorders>
              <w:top w:val="single" w:sz="4" w:space="0" w:color="auto"/>
              <w:left w:val="nil"/>
              <w:bottom w:val="nil"/>
              <w:right w:val="nil"/>
            </w:tcBorders>
          </w:tcPr>
          <w:p w14:paraId="472A2B1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2.2532***</w:t>
            </w:r>
          </w:p>
        </w:tc>
        <w:tc>
          <w:tcPr>
            <w:tcW w:w="0" w:type="auto"/>
            <w:tcBorders>
              <w:top w:val="single" w:sz="4" w:space="0" w:color="auto"/>
              <w:left w:val="nil"/>
              <w:bottom w:val="nil"/>
              <w:right w:val="nil"/>
            </w:tcBorders>
          </w:tcPr>
          <w:p w14:paraId="37C34E1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6.5054***</w:t>
            </w:r>
          </w:p>
        </w:tc>
        <w:tc>
          <w:tcPr>
            <w:tcW w:w="1396" w:type="dxa"/>
            <w:tcBorders>
              <w:top w:val="single" w:sz="4" w:space="0" w:color="auto"/>
              <w:left w:val="nil"/>
              <w:bottom w:val="nil"/>
              <w:right w:val="nil"/>
            </w:tcBorders>
          </w:tcPr>
          <w:p w14:paraId="55CC982F" w14:textId="7A068F16"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9.5697**</w:t>
            </w:r>
          </w:p>
        </w:tc>
      </w:tr>
      <w:tr w:rsidR="00395BFE" w:rsidRPr="006207BC" w14:paraId="239DEB28" w14:textId="24F72C0D" w:rsidTr="005F4D35">
        <w:tc>
          <w:tcPr>
            <w:tcW w:w="0" w:type="auto"/>
            <w:tcBorders>
              <w:top w:val="nil"/>
              <w:left w:val="nil"/>
              <w:bottom w:val="nil"/>
              <w:right w:val="nil"/>
            </w:tcBorders>
          </w:tcPr>
          <w:p w14:paraId="68D0BC69" w14:textId="77777777" w:rsidR="00395BFE" w:rsidRPr="006207BC" w:rsidRDefault="00395BFE" w:rsidP="00395BFE">
            <w:pPr>
              <w:autoSpaceDE w:val="0"/>
              <w:autoSpaceDN w:val="0"/>
              <w:adjustRightInd w:val="0"/>
              <w:rPr>
                <w:rFonts w:ascii="Times New Roman" w:hAnsi="Times New Roman" w:cs="Times New Roman"/>
                <w:i/>
                <w:sz w:val="20"/>
                <w:szCs w:val="20"/>
              </w:rPr>
            </w:pPr>
          </w:p>
        </w:tc>
        <w:tc>
          <w:tcPr>
            <w:tcW w:w="0" w:type="auto"/>
            <w:tcBorders>
              <w:top w:val="nil"/>
              <w:left w:val="nil"/>
              <w:bottom w:val="nil"/>
              <w:right w:val="nil"/>
            </w:tcBorders>
          </w:tcPr>
          <w:p w14:paraId="2AD8EA6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(0.3694)</w:t>
            </w:r>
          </w:p>
        </w:tc>
        <w:tc>
          <w:tcPr>
            <w:tcW w:w="0" w:type="auto"/>
            <w:tcBorders>
              <w:top w:val="nil"/>
              <w:left w:val="nil"/>
              <w:bottom w:val="nil"/>
              <w:right w:val="nil"/>
            </w:tcBorders>
          </w:tcPr>
          <w:p w14:paraId="5EA443B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(0.3882)</w:t>
            </w:r>
          </w:p>
        </w:tc>
        <w:tc>
          <w:tcPr>
            <w:tcW w:w="0" w:type="auto"/>
            <w:tcBorders>
              <w:top w:val="nil"/>
              <w:left w:val="nil"/>
              <w:bottom w:val="nil"/>
              <w:right w:val="nil"/>
            </w:tcBorders>
          </w:tcPr>
          <w:p w14:paraId="5EC75B7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(0.3218)</w:t>
            </w:r>
          </w:p>
        </w:tc>
        <w:tc>
          <w:tcPr>
            <w:tcW w:w="0" w:type="auto"/>
            <w:tcBorders>
              <w:top w:val="nil"/>
              <w:left w:val="nil"/>
              <w:bottom w:val="nil"/>
              <w:right w:val="nil"/>
            </w:tcBorders>
          </w:tcPr>
          <w:p w14:paraId="210D9C3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(0.2557)</w:t>
            </w:r>
          </w:p>
        </w:tc>
        <w:tc>
          <w:tcPr>
            <w:tcW w:w="0" w:type="auto"/>
            <w:tcBorders>
              <w:top w:val="nil"/>
              <w:left w:val="nil"/>
              <w:bottom w:val="nil"/>
              <w:right w:val="nil"/>
            </w:tcBorders>
          </w:tcPr>
          <w:p w14:paraId="222F6AC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(0.7270)</w:t>
            </w:r>
          </w:p>
        </w:tc>
        <w:tc>
          <w:tcPr>
            <w:tcW w:w="0" w:type="auto"/>
            <w:tcBorders>
              <w:top w:val="nil"/>
              <w:left w:val="nil"/>
              <w:bottom w:val="nil"/>
              <w:right w:val="nil"/>
            </w:tcBorders>
          </w:tcPr>
          <w:p w14:paraId="101F80D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(1.4398)</w:t>
            </w:r>
          </w:p>
        </w:tc>
        <w:tc>
          <w:tcPr>
            <w:tcW w:w="1396" w:type="dxa"/>
            <w:tcBorders>
              <w:top w:val="nil"/>
              <w:left w:val="nil"/>
              <w:bottom w:val="nil"/>
              <w:right w:val="nil"/>
            </w:tcBorders>
          </w:tcPr>
          <w:p w14:paraId="3961B48E" w14:textId="68AC39A6"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(4.3414)</w:t>
            </w:r>
          </w:p>
        </w:tc>
      </w:tr>
      <w:tr w:rsidR="00395BFE" w:rsidRPr="006207BC" w14:paraId="1BAAD6A3" w14:textId="74589083" w:rsidTr="005F4D35">
        <w:tc>
          <w:tcPr>
            <w:tcW w:w="0" w:type="auto"/>
            <w:tcBorders>
              <w:top w:val="nil"/>
              <w:left w:val="nil"/>
              <w:bottom w:val="nil"/>
              <w:right w:val="nil"/>
            </w:tcBorders>
          </w:tcPr>
          <w:p w14:paraId="7C532276" w14:textId="3D8BD1E9" w:rsidR="00395BFE" w:rsidRPr="006207BC" w:rsidRDefault="00395BFE" w:rsidP="00395BFE">
            <w:pPr>
              <w:autoSpaceDE w:val="0"/>
              <w:autoSpaceDN w:val="0"/>
              <w:adjustRightInd w:val="0"/>
              <w:rPr>
                <w:rFonts w:ascii="Times New Roman" w:hAnsi="Times New Roman" w:cs="Times New Roman"/>
                <w:i/>
                <w:sz w:val="20"/>
                <w:szCs w:val="20"/>
              </w:rPr>
            </w:pPr>
            <w:r w:rsidRPr="006207BC">
              <w:rPr>
                <w:rFonts w:ascii="Times New Roman" w:hAnsi="Times New Roman" w:cs="Times New Roman"/>
                <w:i/>
                <w:sz w:val="20"/>
                <w:szCs w:val="20"/>
              </w:rPr>
              <w:t>Ownership</w:t>
            </w:r>
          </w:p>
        </w:tc>
        <w:tc>
          <w:tcPr>
            <w:tcW w:w="0" w:type="auto"/>
            <w:tcBorders>
              <w:top w:val="nil"/>
              <w:left w:val="nil"/>
              <w:bottom w:val="nil"/>
              <w:right w:val="nil"/>
            </w:tcBorders>
          </w:tcPr>
          <w:p w14:paraId="1C5E0D4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-3.7841**</w:t>
            </w:r>
          </w:p>
        </w:tc>
        <w:tc>
          <w:tcPr>
            <w:tcW w:w="0" w:type="auto"/>
            <w:tcBorders>
              <w:top w:val="nil"/>
              <w:left w:val="nil"/>
              <w:bottom w:val="nil"/>
              <w:right w:val="nil"/>
            </w:tcBorders>
          </w:tcPr>
          <w:p w14:paraId="5F2FC20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-3.7999**</w:t>
            </w:r>
          </w:p>
        </w:tc>
        <w:tc>
          <w:tcPr>
            <w:tcW w:w="0" w:type="auto"/>
            <w:tcBorders>
              <w:top w:val="nil"/>
              <w:left w:val="nil"/>
              <w:bottom w:val="nil"/>
              <w:right w:val="nil"/>
            </w:tcBorders>
          </w:tcPr>
          <w:p w14:paraId="4633FFC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-3.3792**</w:t>
            </w:r>
          </w:p>
        </w:tc>
        <w:tc>
          <w:tcPr>
            <w:tcW w:w="0" w:type="auto"/>
            <w:tcBorders>
              <w:top w:val="nil"/>
              <w:left w:val="nil"/>
              <w:bottom w:val="nil"/>
              <w:right w:val="nil"/>
            </w:tcBorders>
          </w:tcPr>
          <w:p w14:paraId="53E76E3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-3.0519**</w:t>
            </w:r>
          </w:p>
        </w:tc>
        <w:tc>
          <w:tcPr>
            <w:tcW w:w="0" w:type="auto"/>
            <w:tcBorders>
              <w:top w:val="nil"/>
              <w:left w:val="nil"/>
              <w:bottom w:val="nil"/>
              <w:right w:val="nil"/>
            </w:tcBorders>
          </w:tcPr>
          <w:p w14:paraId="707B614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-3.0384*</w:t>
            </w:r>
          </w:p>
        </w:tc>
        <w:tc>
          <w:tcPr>
            <w:tcW w:w="0" w:type="auto"/>
            <w:tcBorders>
              <w:top w:val="nil"/>
              <w:left w:val="nil"/>
              <w:bottom w:val="nil"/>
              <w:right w:val="nil"/>
            </w:tcBorders>
          </w:tcPr>
          <w:p w14:paraId="484F0CC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-2.8150*</w:t>
            </w:r>
          </w:p>
        </w:tc>
        <w:tc>
          <w:tcPr>
            <w:tcW w:w="1396" w:type="dxa"/>
            <w:tcBorders>
              <w:top w:val="nil"/>
              <w:left w:val="nil"/>
              <w:bottom w:val="nil"/>
              <w:right w:val="nil"/>
            </w:tcBorders>
          </w:tcPr>
          <w:p w14:paraId="04ACE522" w14:textId="322C7C7B"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-4.0447**</w:t>
            </w:r>
          </w:p>
        </w:tc>
      </w:tr>
      <w:tr w:rsidR="00395BFE" w:rsidRPr="006207BC" w14:paraId="04C55C7F" w14:textId="77DF006C" w:rsidTr="005F4D35">
        <w:tc>
          <w:tcPr>
            <w:tcW w:w="0" w:type="auto"/>
            <w:tcBorders>
              <w:top w:val="nil"/>
              <w:left w:val="nil"/>
              <w:bottom w:val="nil"/>
              <w:right w:val="nil"/>
            </w:tcBorders>
          </w:tcPr>
          <w:p w14:paraId="03F8ED9B" w14:textId="77777777" w:rsidR="00395BFE" w:rsidRPr="006207BC" w:rsidRDefault="00395BFE" w:rsidP="00395BFE">
            <w:pPr>
              <w:autoSpaceDE w:val="0"/>
              <w:autoSpaceDN w:val="0"/>
              <w:adjustRightInd w:val="0"/>
              <w:rPr>
                <w:rFonts w:ascii="Times New Roman" w:hAnsi="Times New Roman" w:cs="Times New Roman"/>
                <w:i/>
                <w:sz w:val="20"/>
                <w:szCs w:val="20"/>
              </w:rPr>
            </w:pPr>
          </w:p>
        </w:tc>
        <w:tc>
          <w:tcPr>
            <w:tcW w:w="0" w:type="auto"/>
            <w:tcBorders>
              <w:top w:val="nil"/>
              <w:left w:val="nil"/>
              <w:bottom w:val="nil"/>
              <w:right w:val="nil"/>
            </w:tcBorders>
          </w:tcPr>
          <w:p w14:paraId="7FC0043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(1.6282)</w:t>
            </w:r>
          </w:p>
        </w:tc>
        <w:tc>
          <w:tcPr>
            <w:tcW w:w="0" w:type="auto"/>
            <w:tcBorders>
              <w:top w:val="nil"/>
              <w:left w:val="nil"/>
              <w:bottom w:val="nil"/>
              <w:right w:val="nil"/>
            </w:tcBorders>
          </w:tcPr>
          <w:p w14:paraId="046F631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(1.6556)</w:t>
            </w:r>
          </w:p>
        </w:tc>
        <w:tc>
          <w:tcPr>
            <w:tcW w:w="0" w:type="auto"/>
            <w:tcBorders>
              <w:top w:val="nil"/>
              <w:left w:val="nil"/>
              <w:bottom w:val="nil"/>
              <w:right w:val="nil"/>
            </w:tcBorders>
          </w:tcPr>
          <w:p w14:paraId="4039356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(1.4968)</w:t>
            </w:r>
          </w:p>
        </w:tc>
        <w:tc>
          <w:tcPr>
            <w:tcW w:w="0" w:type="auto"/>
            <w:tcBorders>
              <w:top w:val="nil"/>
              <w:left w:val="nil"/>
              <w:bottom w:val="nil"/>
              <w:right w:val="nil"/>
            </w:tcBorders>
          </w:tcPr>
          <w:p w14:paraId="6DC2BEA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(1.5019)</w:t>
            </w:r>
          </w:p>
        </w:tc>
        <w:tc>
          <w:tcPr>
            <w:tcW w:w="0" w:type="auto"/>
            <w:tcBorders>
              <w:top w:val="nil"/>
              <w:left w:val="nil"/>
              <w:bottom w:val="nil"/>
              <w:right w:val="nil"/>
            </w:tcBorders>
          </w:tcPr>
          <w:p w14:paraId="63181D3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(1.5849)</w:t>
            </w:r>
          </w:p>
        </w:tc>
        <w:tc>
          <w:tcPr>
            <w:tcW w:w="0" w:type="auto"/>
            <w:tcBorders>
              <w:top w:val="nil"/>
              <w:left w:val="nil"/>
              <w:bottom w:val="nil"/>
              <w:right w:val="nil"/>
            </w:tcBorders>
          </w:tcPr>
          <w:p w14:paraId="2F26F65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(1.4627)</w:t>
            </w:r>
          </w:p>
        </w:tc>
        <w:tc>
          <w:tcPr>
            <w:tcW w:w="1396" w:type="dxa"/>
            <w:tcBorders>
              <w:top w:val="nil"/>
              <w:left w:val="nil"/>
              <w:bottom w:val="nil"/>
              <w:right w:val="nil"/>
            </w:tcBorders>
          </w:tcPr>
          <w:p w14:paraId="41201C7B" w14:textId="6FB0591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(1.6663)</w:t>
            </w:r>
          </w:p>
        </w:tc>
      </w:tr>
      <w:tr w:rsidR="00395BFE" w:rsidRPr="006207BC" w14:paraId="46F32A23" w14:textId="07F16E3B" w:rsidTr="005F4D35">
        <w:tc>
          <w:tcPr>
            <w:tcW w:w="0" w:type="auto"/>
            <w:tcBorders>
              <w:top w:val="nil"/>
              <w:left w:val="nil"/>
              <w:bottom w:val="nil"/>
              <w:right w:val="nil"/>
            </w:tcBorders>
          </w:tcPr>
          <w:p w14:paraId="227A3567"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Size</w:t>
            </w:r>
          </w:p>
        </w:tc>
        <w:tc>
          <w:tcPr>
            <w:tcW w:w="0" w:type="auto"/>
            <w:tcBorders>
              <w:top w:val="nil"/>
              <w:left w:val="nil"/>
              <w:bottom w:val="nil"/>
              <w:right w:val="nil"/>
            </w:tcBorders>
          </w:tcPr>
          <w:p w14:paraId="455F6BE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7.1656***</w:t>
            </w:r>
          </w:p>
        </w:tc>
        <w:tc>
          <w:tcPr>
            <w:tcW w:w="0" w:type="auto"/>
            <w:tcBorders>
              <w:top w:val="nil"/>
              <w:left w:val="nil"/>
              <w:bottom w:val="nil"/>
              <w:right w:val="nil"/>
            </w:tcBorders>
          </w:tcPr>
          <w:p w14:paraId="78BBAC06"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6.9610***</w:t>
            </w:r>
          </w:p>
        </w:tc>
        <w:tc>
          <w:tcPr>
            <w:tcW w:w="0" w:type="auto"/>
            <w:tcBorders>
              <w:top w:val="nil"/>
              <w:left w:val="nil"/>
              <w:bottom w:val="nil"/>
              <w:right w:val="nil"/>
            </w:tcBorders>
          </w:tcPr>
          <w:p w14:paraId="52C34EF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7.0124***</w:t>
            </w:r>
          </w:p>
        </w:tc>
        <w:tc>
          <w:tcPr>
            <w:tcW w:w="0" w:type="auto"/>
            <w:tcBorders>
              <w:top w:val="nil"/>
              <w:left w:val="nil"/>
              <w:bottom w:val="nil"/>
              <w:right w:val="nil"/>
            </w:tcBorders>
          </w:tcPr>
          <w:p w14:paraId="29B99CC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6.9102***</w:t>
            </w:r>
          </w:p>
        </w:tc>
        <w:tc>
          <w:tcPr>
            <w:tcW w:w="0" w:type="auto"/>
            <w:tcBorders>
              <w:top w:val="nil"/>
              <w:left w:val="nil"/>
              <w:bottom w:val="nil"/>
              <w:right w:val="nil"/>
            </w:tcBorders>
          </w:tcPr>
          <w:p w14:paraId="50C0042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6.9476***</w:t>
            </w:r>
          </w:p>
        </w:tc>
        <w:tc>
          <w:tcPr>
            <w:tcW w:w="0" w:type="auto"/>
            <w:tcBorders>
              <w:top w:val="nil"/>
              <w:left w:val="nil"/>
              <w:bottom w:val="nil"/>
              <w:right w:val="nil"/>
            </w:tcBorders>
          </w:tcPr>
          <w:p w14:paraId="716B92F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6.6384***</w:t>
            </w:r>
          </w:p>
        </w:tc>
        <w:tc>
          <w:tcPr>
            <w:tcW w:w="1396" w:type="dxa"/>
            <w:tcBorders>
              <w:top w:val="nil"/>
              <w:left w:val="nil"/>
              <w:bottom w:val="nil"/>
              <w:right w:val="nil"/>
            </w:tcBorders>
          </w:tcPr>
          <w:p w14:paraId="541E9537" w14:textId="5B56C276"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6.3649***</w:t>
            </w:r>
          </w:p>
        </w:tc>
      </w:tr>
      <w:tr w:rsidR="00395BFE" w:rsidRPr="006207BC" w14:paraId="1A537CB6" w14:textId="344F3945" w:rsidTr="005F4D35">
        <w:tc>
          <w:tcPr>
            <w:tcW w:w="0" w:type="auto"/>
            <w:tcBorders>
              <w:top w:val="nil"/>
              <w:left w:val="nil"/>
              <w:bottom w:val="nil"/>
              <w:right w:val="nil"/>
            </w:tcBorders>
          </w:tcPr>
          <w:p w14:paraId="79A450F6"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2FC2DBD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(0.8725)</w:t>
            </w:r>
          </w:p>
        </w:tc>
        <w:tc>
          <w:tcPr>
            <w:tcW w:w="0" w:type="auto"/>
            <w:tcBorders>
              <w:top w:val="nil"/>
              <w:left w:val="nil"/>
              <w:bottom w:val="nil"/>
              <w:right w:val="nil"/>
            </w:tcBorders>
          </w:tcPr>
          <w:p w14:paraId="61778A8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(0.9582)</w:t>
            </w:r>
          </w:p>
        </w:tc>
        <w:tc>
          <w:tcPr>
            <w:tcW w:w="0" w:type="auto"/>
            <w:tcBorders>
              <w:top w:val="nil"/>
              <w:left w:val="nil"/>
              <w:bottom w:val="nil"/>
              <w:right w:val="nil"/>
            </w:tcBorders>
          </w:tcPr>
          <w:p w14:paraId="4209962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(0.9805)</w:t>
            </w:r>
          </w:p>
        </w:tc>
        <w:tc>
          <w:tcPr>
            <w:tcW w:w="0" w:type="auto"/>
            <w:tcBorders>
              <w:top w:val="nil"/>
              <w:left w:val="nil"/>
              <w:bottom w:val="nil"/>
              <w:right w:val="nil"/>
            </w:tcBorders>
          </w:tcPr>
          <w:p w14:paraId="04D2832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(0.9384)</w:t>
            </w:r>
          </w:p>
        </w:tc>
        <w:tc>
          <w:tcPr>
            <w:tcW w:w="0" w:type="auto"/>
            <w:tcBorders>
              <w:top w:val="nil"/>
              <w:left w:val="nil"/>
              <w:bottom w:val="nil"/>
              <w:right w:val="nil"/>
            </w:tcBorders>
          </w:tcPr>
          <w:p w14:paraId="1AFF3ED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(0.9082)</w:t>
            </w:r>
          </w:p>
        </w:tc>
        <w:tc>
          <w:tcPr>
            <w:tcW w:w="0" w:type="auto"/>
            <w:tcBorders>
              <w:top w:val="nil"/>
              <w:left w:val="nil"/>
              <w:bottom w:val="nil"/>
              <w:right w:val="nil"/>
            </w:tcBorders>
          </w:tcPr>
          <w:p w14:paraId="4D1ADB14"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(0.9054)</w:t>
            </w:r>
          </w:p>
        </w:tc>
        <w:tc>
          <w:tcPr>
            <w:tcW w:w="1396" w:type="dxa"/>
            <w:tcBorders>
              <w:top w:val="nil"/>
              <w:left w:val="nil"/>
              <w:bottom w:val="nil"/>
              <w:right w:val="nil"/>
            </w:tcBorders>
          </w:tcPr>
          <w:p w14:paraId="5E54E12F" w14:textId="2A6F137E"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(0.9177)</w:t>
            </w:r>
          </w:p>
        </w:tc>
      </w:tr>
      <w:tr w:rsidR="00395BFE" w:rsidRPr="006207BC" w14:paraId="7E83DFCE" w14:textId="794FAF19" w:rsidTr="005F4D35">
        <w:tc>
          <w:tcPr>
            <w:tcW w:w="0" w:type="auto"/>
            <w:tcBorders>
              <w:top w:val="nil"/>
              <w:left w:val="nil"/>
              <w:bottom w:val="nil"/>
              <w:right w:val="nil"/>
            </w:tcBorders>
          </w:tcPr>
          <w:p w14:paraId="0FE421EB"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Beta</w:t>
            </w:r>
          </w:p>
        </w:tc>
        <w:tc>
          <w:tcPr>
            <w:tcW w:w="0" w:type="auto"/>
            <w:tcBorders>
              <w:top w:val="nil"/>
              <w:left w:val="nil"/>
              <w:bottom w:val="nil"/>
              <w:right w:val="nil"/>
            </w:tcBorders>
          </w:tcPr>
          <w:p w14:paraId="3DF5F90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4.5742***</w:t>
            </w:r>
          </w:p>
        </w:tc>
        <w:tc>
          <w:tcPr>
            <w:tcW w:w="0" w:type="auto"/>
            <w:tcBorders>
              <w:top w:val="nil"/>
              <w:left w:val="nil"/>
              <w:bottom w:val="nil"/>
              <w:right w:val="nil"/>
            </w:tcBorders>
          </w:tcPr>
          <w:p w14:paraId="205E83E4"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5.2707***</w:t>
            </w:r>
          </w:p>
        </w:tc>
        <w:tc>
          <w:tcPr>
            <w:tcW w:w="0" w:type="auto"/>
            <w:tcBorders>
              <w:top w:val="nil"/>
              <w:left w:val="nil"/>
              <w:bottom w:val="nil"/>
              <w:right w:val="nil"/>
            </w:tcBorders>
          </w:tcPr>
          <w:p w14:paraId="64F68436"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5.0529***</w:t>
            </w:r>
          </w:p>
        </w:tc>
        <w:tc>
          <w:tcPr>
            <w:tcW w:w="0" w:type="auto"/>
            <w:tcBorders>
              <w:top w:val="nil"/>
              <w:left w:val="nil"/>
              <w:bottom w:val="nil"/>
              <w:right w:val="nil"/>
            </w:tcBorders>
          </w:tcPr>
          <w:p w14:paraId="603B094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5.2287***</w:t>
            </w:r>
          </w:p>
        </w:tc>
        <w:tc>
          <w:tcPr>
            <w:tcW w:w="0" w:type="auto"/>
            <w:tcBorders>
              <w:top w:val="nil"/>
              <w:left w:val="nil"/>
              <w:bottom w:val="nil"/>
              <w:right w:val="nil"/>
            </w:tcBorders>
          </w:tcPr>
          <w:p w14:paraId="53DF8D5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5.0142***</w:t>
            </w:r>
          </w:p>
        </w:tc>
        <w:tc>
          <w:tcPr>
            <w:tcW w:w="0" w:type="auto"/>
            <w:tcBorders>
              <w:top w:val="nil"/>
              <w:left w:val="nil"/>
              <w:bottom w:val="nil"/>
              <w:right w:val="nil"/>
            </w:tcBorders>
          </w:tcPr>
          <w:p w14:paraId="423ECE7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4.9426***</w:t>
            </w:r>
          </w:p>
        </w:tc>
        <w:tc>
          <w:tcPr>
            <w:tcW w:w="1396" w:type="dxa"/>
            <w:tcBorders>
              <w:top w:val="nil"/>
              <w:left w:val="nil"/>
              <w:bottom w:val="nil"/>
              <w:right w:val="nil"/>
            </w:tcBorders>
          </w:tcPr>
          <w:p w14:paraId="00FD48EC" w14:textId="024B8E76"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5.4568***</w:t>
            </w:r>
          </w:p>
        </w:tc>
      </w:tr>
      <w:tr w:rsidR="00395BFE" w:rsidRPr="006207BC" w14:paraId="7F5F45D9" w14:textId="0FE33C83" w:rsidTr="005F4D35">
        <w:tc>
          <w:tcPr>
            <w:tcW w:w="0" w:type="auto"/>
            <w:tcBorders>
              <w:top w:val="nil"/>
              <w:left w:val="nil"/>
              <w:bottom w:val="nil"/>
              <w:right w:val="nil"/>
            </w:tcBorders>
          </w:tcPr>
          <w:p w14:paraId="242DD899"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0DDB3BA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(1.3577)</w:t>
            </w:r>
          </w:p>
        </w:tc>
        <w:tc>
          <w:tcPr>
            <w:tcW w:w="0" w:type="auto"/>
            <w:tcBorders>
              <w:top w:val="nil"/>
              <w:left w:val="nil"/>
              <w:bottom w:val="nil"/>
              <w:right w:val="nil"/>
            </w:tcBorders>
          </w:tcPr>
          <w:p w14:paraId="2E8D2A6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(1.5969)</w:t>
            </w:r>
          </w:p>
        </w:tc>
        <w:tc>
          <w:tcPr>
            <w:tcW w:w="0" w:type="auto"/>
            <w:tcBorders>
              <w:top w:val="nil"/>
              <w:left w:val="nil"/>
              <w:bottom w:val="nil"/>
              <w:right w:val="nil"/>
            </w:tcBorders>
          </w:tcPr>
          <w:p w14:paraId="789F662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(1.5936)</w:t>
            </w:r>
          </w:p>
        </w:tc>
        <w:tc>
          <w:tcPr>
            <w:tcW w:w="0" w:type="auto"/>
            <w:tcBorders>
              <w:top w:val="nil"/>
              <w:left w:val="nil"/>
              <w:bottom w:val="nil"/>
              <w:right w:val="nil"/>
            </w:tcBorders>
          </w:tcPr>
          <w:p w14:paraId="161E2E9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(1.4517)</w:t>
            </w:r>
          </w:p>
        </w:tc>
        <w:tc>
          <w:tcPr>
            <w:tcW w:w="0" w:type="auto"/>
            <w:tcBorders>
              <w:top w:val="nil"/>
              <w:left w:val="nil"/>
              <w:bottom w:val="nil"/>
              <w:right w:val="nil"/>
            </w:tcBorders>
          </w:tcPr>
          <w:p w14:paraId="1EED799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(1.4271)</w:t>
            </w:r>
          </w:p>
        </w:tc>
        <w:tc>
          <w:tcPr>
            <w:tcW w:w="0" w:type="auto"/>
            <w:tcBorders>
              <w:top w:val="nil"/>
              <w:left w:val="nil"/>
              <w:bottom w:val="nil"/>
              <w:right w:val="nil"/>
            </w:tcBorders>
          </w:tcPr>
          <w:p w14:paraId="175DAA6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(1.3903)</w:t>
            </w:r>
          </w:p>
        </w:tc>
        <w:tc>
          <w:tcPr>
            <w:tcW w:w="1396" w:type="dxa"/>
            <w:tcBorders>
              <w:top w:val="nil"/>
              <w:left w:val="nil"/>
              <w:bottom w:val="nil"/>
              <w:right w:val="nil"/>
            </w:tcBorders>
          </w:tcPr>
          <w:p w14:paraId="1B95189A" w14:textId="27A4F57F"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(1.3942)</w:t>
            </w:r>
          </w:p>
        </w:tc>
      </w:tr>
      <w:tr w:rsidR="00395BFE" w:rsidRPr="006207BC" w14:paraId="0E087ED6" w14:textId="41DD94F7" w:rsidTr="005F4D35">
        <w:tc>
          <w:tcPr>
            <w:tcW w:w="0" w:type="auto"/>
            <w:tcBorders>
              <w:top w:val="nil"/>
              <w:left w:val="nil"/>
              <w:bottom w:val="nil"/>
              <w:right w:val="nil"/>
            </w:tcBorders>
          </w:tcPr>
          <w:p w14:paraId="05078F85"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Earnings surprise</w:t>
            </w:r>
          </w:p>
        </w:tc>
        <w:tc>
          <w:tcPr>
            <w:tcW w:w="0" w:type="auto"/>
            <w:tcBorders>
              <w:top w:val="nil"/>
              <w:left w:val="nil"/>
              <w:bottom w:val="nil"/>
              <w:right w:val="nil"/>
            </w:tcBorders>
          </w:tcPr>
          <w:p w14:paraId="0E19943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-0.0472</w:t>
            </w:r>
          </w:p>
        </w:tc>
        <w:tc>
          <w:tcPr>
            <w:tcW w:w="0" w:type="auto"/>
            <w:tcBorders>
              <w:top w:val="nil"/>
              <w:left w:val="nil"/>
              <w:bottom w:val="nil"/>
              <w:right w:val="nil"/>
            </w:tcBorders>
          </w:tcPr>
          <w:p w14:paraId="0657027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0.1286</w:t>
            </w:r>
          </w:p>
        </w:tc>
        <w:tc>
          <w:tcPr>
            <w:tcW w:w="0" w:type="auto"/>
            <w:tcBorders>
              <w:top w:val="nil"/>
              <w:left w:val="nil"/>
              <w:bottom w:val="nil"/>
              <w:right w:val="nil"/>
            </w:tcBorders>
          </w:tcPr>
          <w:p w14:paraId="5305F02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0.1267</w:t>
            </w:r>
          </w:p>
        </w:tc>
        <w:tc>
          <w:tcPr>
            <w:tcW w:w="0" w:type="auto"/>
            <w:tcBorders>
              <w:top w:val="nil"/>
              <w:left w:val="nil"/>
              <w:bottom w:val="nil"/>
              <w:right w:val="nil"/>
            </w:tcBorders>
          </w:tcPr>
          <w:p w14:paraId="25DA39F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0.1876</w:t>
            </w:r>
          </w:p>
        </w:tc>
        <w:tc>
          <w:tcPr>
            <w:tcW w:w="0" w:type="auto"/>
            <w:tcBorders>
              <w:top w:val="nil"/>
              <w:left w:val="nil"/>
              <w:bottom w:val="nil"/>
              <w:right w:val="nil"/>
            </w:tcBorders>
          </w:tcPr>
          <w:p w14:paraId="3FEDBA7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-0.0038</w:t>
            </w:r>
          </w:p>
        </w:tc>
        <w:tc>
          <w:tcPr>
            <w:tcW w:w="0" w:type="auto"/>
            <w:tcBorders>
              <w:top w:val="nil"/>
              <w:left w:val="nil"/>
              <w:bottom w:val="nil"/>
              <w:right w:val="nil"/>
            </w:tcBorders>
          </w:tcPr>
          <w:p w14:paraId="1E17B1B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0.0288</w:t>
            </w:r>
          </w:p>
        </w:tc>
        <w:tc>
          <w:tcPr>
            <w:tcW w:w="1396" w:type="dxa"/>
            <w:tcBorders>
              <w:top w:val="nil"/>
              <w:left w:val="nil"/>
              <w:bottom w:val="nil"/>
              <w:right w:val="nil"/>
            </w:tcBorders>
          </w:tcPr>
          <w:p w14:paraId="6CA88EB9" w14:textId="7E6ADE8E"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-0.2810</w:t>
            </w:r>
          </w:p>
        </w:tc>
      </w:tr>
      <w:tr w:rsidR="00395BFE" w:rsidRPr="006207BC" w14:paraId="1FDE6349" w14:textId="19784034" w:rsidTr="005F4D35">
        <w:tc>
          <w:tcPr>
            <w:tcW w:w="0" w:type="auto"/>
            <w:tcBorders>
              <w:top w:val="nil"/>
              <w:left w:val="nil"/>
              <w:bottom w:val="nil"/>
              <w:right w:val="nil"/>
            </w:tcBorders>
          </w:tcPr>
          <w:p w14:paraId="76F69FAC"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6E5871B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(0.9165)</w:t>
            </w:r>
          </w:p>
        </w:tc>
        <w:tc>
          <w:tcPr>
            <w:tcW w:w="0" w:type="auto"/>
            <w:tcBorders>
              <w:top w:val="nil"/>
              <w:left w:val="nil"/>
              <w:bottom w:val="nil"/>
              <w:right w:val="nil"/>
            </w:tcBorders>
          </w:tcPr>
          <w:p w14:paraId="520F201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(0.9247)</w:t>
            </w:r>
          </w:p>
        </w:tc>
        <w:tc>
          <w:tcPr>
            <w:tcW w:w="0" w:type="auto"/>
            <w:tcBorders>
              <w:top w:val="nil"/>
              <w:left w:val="nil"/>
              <w:bottom w:val="nil"/>
              <w:right w:val="nil"/>
            </w:tcBorders>
          </w:tcPr>
          <w:p w14:paraId="294E1AF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(0.9179)</w:t>
            </w:r>
          </w:p>
        </w:tc>
        <w:tc>
          <w:tcPr>
            <w:tcW w:w="0" w:type="auto"/>
            <w:tcBorders>
              <w:top w:val="nil"/>
              <w:left w:val="nil"/>
              <w:bottom w:val="nil"/>
              <w:right w:val="nil"/>
            </w:tcBorders>
          </w:tcPr>
          <w:p w14:paraId="346E74E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(0.8911)</w:t>
            </w:r>
          </w:p>
        </w:tc>
        <w:tc>
          <w:tcPr>
            <w:tcW w:w="0" w:type="auto"/>
            <w:tcBorders>
              <w:top w:val="nil"/>
              <w:left w:val="nil"/>
              <w:bottom w:val="nil"/>
              <w:right w:val="nil"/>
            </w:tcBorders>
          </w:tcPr>
          <w:p w14:paraId="0C880B67"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(0.9435)</w:t>
            </w:r>
          </w:p>
        </w:tc>
        <w:tc>
          <w:tcPr>
            <w:tcW w:w="0" w:type="auto"/>
            <w:tcBorders>
              <w:top w:val="nil"/>
              <w:left w:val="nil"/>
              <w:bottom w:val="nil"/>
              <w:right w:val="nil"/>
            </w:tcBorders>
          </w:tcPr>
          <w:p w14:paraId="5A2A3274"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(0.8848)</w:t>
            </w:r>
          </w:p>
        </w:tc>
        <w:tc>
          <w:tcPr>
            <w:tcW w:w="1396" w:type="dxa"/>
            <w:tcBorders>
              <w:top w:val="nil"/>
              <w:left w:val="nil"/>
              <w:bottom w:val="nil"/>
              <w:right w:val="nil"/>
            </w:tcBorders>
          </w:tcPr>
          <w:p w14:paraId="3543BB12" w14:textId="64E8E120"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(1.0118)</w:t>
            </w:r>
          </w:p>
        </w:tc>
      </w:tr>
      <w:tr w:rsidR="00395BFE" w:rsidRPr="006207BC" w14:paraId="67B43256" w14:textId="026C7384" w:rsidTr="005F4D35">
        <w:tc>
          <w:tcPr>
            <w:tcW w:w="0" w:type="auto"/>
            <w:tcBorders>
              <w:top w:val="nil"/>
              <w:left w:val="nil"/>
              <w:bottom w:val="nil"/>
              <w:right w:val="nil"/>
            </w:tcBorders>
          </w:tcPr>
          <w:p w14:paraId="3193A483"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Return STD</w:t>
            </w:r>
          </w:p>
        </w:tc>
        <w:tc>
          <w:tcPr>
            <w:tcW w:w="0" w:type="auto"/>
            <w:tcBorders>
              <w:top w:val="nil"/>
              <w:left w:val="nil"/>
              <w:bottom w:val="nil"/>
              <w:right w:val="nil"/>
            </w:tcBorders>
          </w:tcPr>
          <w:p w14:paraId="081B09E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-14.1256***</w:t>
            </w:r>
          </w:p>
        </w:tc>
        <w:tc>
          <w:tcPr>
            <w:tcW w:w="0" w:type="auto"/>
            <w:tcBorders>
              <w:top w:val="nil"/>
              <w:left w:val="nil"/>
              <w:bottom w:val="nil"/>
              <w:right w:val="nil"/>
            </w:tcBorders>
          </w:tcPr>
          <w:p w14:paraId="10570A3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-14.8963***</w:t>
            </w:r>
          </w:p>
        </w:tc>
        <w:tc>
          <w:tcPr>
            <w:tcW w:w="0" w:type="auto"/>
            <w:tcBorders>
              <w:top w:val="nil"/>
              <w:left w:val="nil"/>
              <w:bottom w:val="nil"/>
              <w:right w:val="nil"/>
            </w:tcBorders>
          </w:tcPr>
          <w:p w14:paraId="762F4454"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-13.5497***</w:t>
            </w:r>
          </w:p>
        </w:tc>
        <w:tc>
          <w:tcPr>
            <w:tcW w:w="0" w:type="auto"/>
            <w:tcBorders>
              <w:top w:val="nil"/>
              <w:left w:val="nil"/>
              <w:bottom w:val="nil"/>
              <w:right w:val="nil"/>
            </w:tcBorders>
          </w:tcPr>
          <w:p w14:paraId="0E5D49B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-13.4554***</w:t>
            </w:r>
          </w:p>
        </w:tc>
        <w:tc>
          <w:tcPr>
            <w:tcW w:w="0" w:type="auto"/>
            <w:tcBorders>
              <w:top w:val="nil"/>
              <w:left w:val="nil"/>
              <w:bottom w:val="nil"/>
              <w:right w:val="nil"/>
            </w:tcBorders>
          </w:tcPr>
          <w:p w14:paraId="2BE2E85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-13.4762***</w:t>
            </w:r>
          </w:p>
        </w:tc>
        <w:tc>
          <w:tcPr>
            <w:tcW w:w="0" w:type="auto"/>
            <w:tcBorders>
              <w:top w:val="nil"/>
              <w:left w:val="nil"/>
              <w:bottom w:val="nil"/>
              <w:right w:val="nil"/>
            </w:tcBorders>
          </w:tcPr>
          <w:p w14:paraId="3AF86E8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-13.6542***</w:t>
            </w:r>
          </w:p>
        </w:tc>
        <w:tc>
          <w:tcPr>
            <w:tcW w:w="1396" w:type="dxa"/>
            <w:tcBorders>
              <w:top w:val="nil"/>
              <w:left w:val="nil"/>
              <w:bottom w:val="nil"/>
              <w:right w:val="nil"/>
            </w:tcBorders>
          </w:tcPr>
          <w:p w14:paraId="1598377E" w14:textId="5511660F"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-11.1614**</w:t>
            </w:r>
          </w:p>
        </w:tc>
      </w:tr>
      <w:tr w:rsidR="00395BFE" w:rsidRPr="006207BC" w14:paraId="05ED18D6" w14:textId="0B959A85" w:rsidTr="005F4D35">
        <w:tc>
          <w:tcPr>
            <w:tcW w:w="0" w:type="auto"/>
            <w:tcBorders>
              <w:top w:val="nil"/>
              <w:left w:val="nil"/>
              <w:bottom w:val="nil"/>
              <w:right w:val="nil"/>
            </w:tcBorders>
          </w:tcPr>
          <w:p w14:paraId="06FC0787"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0DB98A4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(4.3539)</w:t>
            </w:r>
          </w:p>
        </w:tc>
        <w:tc>
          <w:tcPr>
            <w:tcW w:w="0" w:type="auto"/>
            <w:tcBorders>
              <w:top w:val="nil"/>
              <w:left w:val="nil"/>
              <w:bottom w:val="nil"/>
              <w:right w:val="nil"/>
            </w:tcBorders>
          </w:tcPr>
          <w:p w14:paraId="21FB980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(4.6608)</w:t>
            </w:r>
          </w:p>
        </w:tc>
        <w:tc>
          <w:tcPr>
            <w:tcW w:w="0" w:type="auto"/>
            <w:tcBorders>
              <w:top w:val="nil"/>
              <w:left w:val="nil"/>
              <w:bottom w:val="nil"/>
              <w:right w:val="nil"/>
            </w:tcBorders>
          </w:tcPr>
          <w:p w14:paraId="4C03CEC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(4.7335)</w:t>
            </w:r>
          </w:p>
        </w:tc>
        <w:tc>
          <w:tcPr>
            <w:tcW w:w="0" w:type="auto"/>
            <w:tcBorders>
              <w:top w:val="nil"/>
              <w:left w:val="nil"/>
              <w:bottom w:val="nil"/>
              <w:right w:val="nil"/>
            </w:tcBorders>
          </w:tcPr>
          <w:p w14:paraId="4921B09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(4.5199)</w:t>
            </w:r>
          </w:p>
        </w:tc>
        <w:tc>
          <w:tcPr>
            <w:tcW w:w="0" w:type="auto"/>
            <w:tcBorders>
              <w:top w:val="nil"/>
              <w:left w:val="nil"/>
              <w:bottom w:val="nil"/>
              <w:right w:val="nil"/>
            </w:tcBorders>
          </w:tcPr>
          <w:p w14:paraId="2C8179F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(4.7300)</w:t>
            </w:r>
          </w:p>
        </w:tc>
        <w:tc>
          <w:tcPr>
            <w:tcW w:w="0" w:type="auto"/>
            <w:tcBorders>
              <w:top w:val="nil"/>
              <w:left w:val="nil"/>
              <w:bottom w:val="nil"/>
              <w:right w:val="nil"/>
            </w:tcBorders>
          </w:tcPr>
          <w:p w14:paraId="7E2FAC2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(4.4382)</w:t>
            </w:r>
          </w:p>
        </w:tc>
        <w:tc>
          <w:tcPr>
            <w:tcW w:w="1396" w:type="dxa"/>
            <w:tcBorders>
              <w:top w:val="nil"/>
              <w:left w:val="nil"/>
              <w:bottom w:val="nil"/>
              <w:right w:val="nil"/>
            </w:tcBorders>
          </w:tcPr>
          <w:p w14:paraId="05559E36" w14:textId="17853AB3"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(5.0080)</w:t>
            </w:r>
          </w:p>
        </w:tc>
      </w:tr>
      <w:tr w:rsidR="00395BFE" w:rsidRPr="006207BC" w14:paraId="376C4B00" w14:textId="40A33271" w:rsidTr="005F4D35">
        <w:tc>
          <w:tcPr>
            <w:tcW w:w="0" w:type="auto"/>
            <w:tcBorders>
              <w:top w:val="nil"/>
              <w:left w:val="nil"/>
              <w:bottom w:val="nil"/>
              <w:right w:val="nil"/>
            </w:tcBorders>
          </w:tcPr>
          <w:p w14:paraId="73DE7F2A"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Profitability</w:t>
            </w:r>
          </w:p>
        </w:tc>
        <w:tc>
          <w:tcPr>
            <w:tcW w:w="0" w:type="auto"/>
            <w:tcBorders>
              <w:top w:val="nil"/>
              <w:left w:val="nil"/>
              <w:bottom w:val="nil"/>
              <w:right w:val="nil"/>
            </w:tcBorders>
          </w:tcPr>
          <w:p w14:paraId="39C15BA7"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8.8239**</w:t>
            </w:r>
          </w:p>
        </w:tc>
        <w:tc>
          <w:tcPr>
            <w:tcW w:w="0" w:type="auto"/>
            <w:tcBorders>
              <w:top w:val="nil"/>
              <w:left w:val="nil"/>
              <w:bottom w:val="nil"/>
              <w:right w:val="nil"/>
            </w:tcBorders>
          </w:tcPr>
          <w:p w14:paraId="49E5F70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7.6465**</w:t>
            </w:r>
          </w:p>
        </w:tc>
        <w:tc>
          <w:tcPr>
            <w:tcW w:w="0" w:type="auto"/>
            <w:tcBorders>
              <w:top w:val="nil"/>
              <w:left w:val="nil"/>
              <w:bottom w:val="nil"/>
              <w:right w:val="nil"/>
            </w:tcBorders>
          </w:tcPr>
          <w:p w14:paraId="164192F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8.7458**</w:t>
            </w:r>
          </w:p>
        </w:tc>
        <w:tc>
          <w:tcPr>
            <w:tcW w:w="0" w:type="auto"/>
            <w:tcBorders>
              <w:top w:val="nil"/>
              <w:left w:val="nil"/>
              <w:bottom w:val="nil"/>
              <w:right w:val="nil"/>
            </w:tcBorders>
          </w:tcPr>
          <w:p w14:paraId="6CAFF10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8.2132**</w:t>
            </w:r>
          </w:p>
        </w:tc>
        <w:tc>
          <w:tcPr>
            <w:tcW w:w="0" w:type="auto"/>
            <w:tcBorders>
              <w:top w:val="nil"/>
              <w:left w:val="nil"/>
              <w:bottom w:val="nil"/>
              <w:right w:val="nil"/>
            </w:tcBorders>
          </w:tcPr>
          <w:p w14:paraId="34BDCD6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8.7791**</w:t>
            </w:r>
          </w:p>
        </w:tc>
        <w:tc>
          <w:tcPr>
            <w:tcW w:w="0" w:type="auto"/>
            <w:tcBorders>
              <w:top w:val="nil"/>
              <w:left w:val="nil"/>
              <w:bottom w:val="nil"/>
              <w:right w:val="nil"/>
            </w:tcBorders>
          </w:tcPr>
          <w:p w14:paraId="707E46B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8.2838**</w:t>
            </w:r>
          </w:p>
        </w:tc>
        <w:tc>
          <w:tcPr>
            <w:tcW w:w="1396" w:type="dxa"/>
            <w:tcBorders>
              <w:top w:val="nil"/>
              <w:left w:val="nil"/>
              <w:bottom w:val="nil"/>
              <w:right w:val="nil"/>
            </w:tcBorders>
          </w:tcPr>
          <w:p w14:paraId="4FD2F510" w14:textId="6D29920F"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7.6917**</w:t>
            </w:r>
          </w:p>
        </w:tc>
      </w:tr>
      <w:tr w:rsidR="00395BFE" w:rsidRPr="006207BC" w14:paraId="3F54A104" w14:textId="6B1042BF" w:rsidTr="005F4D35">
        <w:tc>
          <w:tcPr>
            <w:tcW w:w="0" w:type="auto"/>
            <w:tcBorders>
              <w:top w:val="nil"/>
              <w:left w:val="nil"/>
              <w:bottom w:val="nil"/>
              <w:right w:val="nil"/>
            </w:tcBorders>
          </w:tcPr>
          <w:p w14:paraId="50861B89"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43DB3D1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(3.4969)</w:t>
            </w:r>
          </w:p>
        </w:tc>
        <w:tc>
          <w:tcPr>
            <w:tcW w:w="0" w:type="auto"/>
            <w:tcBorders>
              <w:top w:val="nil"/>
              <w:left w:val="nil"/>
              <w:bottom w:val="nil"/>
              <w:right w:val="nil"/>
            </w:tcBorders>
          </w:tcPr>
          <w:p w14:paraId="4CC4ACB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(3.5173)</w:t>
            </w:r>
          </w:p>
        </w:tc>
        <w:tc>
          <w:tcPr>
            <w:tcW w:w="0" w:type="auto"/>
            <w:tcBorders>
              <w:top w:val="nil"/>
              <w:left w:val="nil"/>
              <w:bottom w:val="nil"/>
              <w:right w:val="nil"/>
            </w:tcBorders>
          </w:tcPr>
          <w:p w14:paraId="3023F71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(3.5635)</w:t>
            </w:r>
          </w:p>
        </w:tc>
        <w:tc>
          <w:tcPr>
            <w:tcW w:w="0" w:type="auto"/>
            <w:tcBorders>
              <w:top w:val="nil"/>
              <w:left w:val="nil"/>
              <w:bottom w:val="nil"/>
              <w:right w:val="nil"/>
            </w:tcBorders>
          </w:tcPr>
          <w:p w14:paraId="6ECB608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(3.2090)</w:t>
            </w:r>
          </w:p>
        </w:tc>
        <w:tc>
          <w:tcPr>
            <w:tcW w:w="0" w:type="auto"/>
            <w:tcBorders>
              <w:top w:val="nil"/>
              <w:left w:val="nil"/>
              <w:bottom w:val="nil"/>
              <w:right w:val="nil"/>
            </w:tcBorders>
          </w:tcPr>
          <w:p w14:paraId="0B4240A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(3.4268)</w:t>
            </w:r>
          </w:p>
        </w:tc>
        <w:tc>
          <w:tcPr>
            <w:tcW w:w="0" w:type="auto"/>
            <w:tcBorders>
              <w:top w:val="nil"/>
              <w:left w:val="nil"/>
              <w:bottom w:val="nil"/>
              <w:right w:val="nil"/>
            </w:tcBorders>
          </w:tcPr>
          <w:p w14:paraId="07B82AF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(3.2026)</w:t>
            </w:r>
          </w:p>
        </w:tc>
        <w:tc>
          <w:tcPr>
            <w:tcW w:w="1396" w:type="dxa"/>
            <w:tcBorders>
              <w:top w:val="nil"/>
              <w:left w:val="nil"/>
              <w:bottom w:val="nil"/>
              <w:right w:val="nil"/>
            </w:tcBorders>
          </w:tcPr>
          <w:p w14:paraId="69DD94B7" w14:textId="6ED529A8"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(3.6737)</w:t>
            </w:r>
          </w:p>
        </w:tc>
      </w:tr>
      <w:tr w:rsidR="00395BFE" w:rsidRPr="006207BC" w14:paraId="0010AEB7" w14:textId="749F3015" w:rsidTr="005F4D35">
        <w:tc>
          <w:tcPr>
            <w:tcW w:w="0" w:type="auto"/>
            <w:tcBorders>
              <w:top w:val="nil"/>
              <w:left w:val="nil"/>
              <w:bottom w:val="nil"/>
              <w:right w:val="nil"/>
            </w:tcBorders>
          </w:tcPr>
          <w:p w14:paraId="2CB1F025"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Market-to-book</w:t>
            </w:r>
          </w:p>
        </w:tc>
        <w:tc>
          <w:tcPr>
            <w:tcW w:w="0" w:type="auto"/>
            <w:tcBorders>
              <w:top w:val="nil"/>
              <w:left w:val="nil"/>
              <w:bottom w:val="nil"/>
              <w:right w:val="nil"/>
            </w:tcBorders>
          </w:tcPr>
          <w:p w14:paraId="41567F2D"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2.3301***</w:t>
            </w:r>
          </w:p>
        </w:tc>
        <w:tc>
          <w:tcPr>
            <w:tcW w:w="0" w:type="auto"/>
            <w:tcBorders>
              <w:top w:val="nil"/>
              <w:left w:val="nil"/>
              <w:bottom w:val="nil"/>
              <w:right w:val="nil"/>
            </w:tcBorders>
          </w:tcPr>
          <w:p w14:paraId="2E59C2F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2.2291***</w:t>
            </w:r>
          </w:p>
        </w:tc>
        <w:tc>
          <w:tcPr>
            <w:tcW w:w="0" w:type="auto"/>
            <w:tcBorders>
              <w:top w:val="nil"/>
              <w:left w:val="nil"/>
              <w:bottom w:val="nil"/>
              <w:right w:val="nil"/>
            </w:tcBorders>
          </w:tcPr>
          <w:p w14:paraId="4499E4A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2.2386***</w:t>
            </w:r>
          </w:p>
        </w:tc>
        <w:tc>
          <w:tcPr>
            <w:tcW w:w="0" w:type="auto"/>
            <w:tcBorders>
              <w:top w:val="nil"/>
              <w:left w:val="nil"/>
              <w:bottom w:val="nil"/>
              <w:right w:val="nil"/>
            </w:tcBorders>
          </w:tcPr>
          <w:p w14:paraId="5EE5FA3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2.1980***</w:t>
            </w:r>
          </w:p>
        </w:tc>
        <w:tc>
          <w:tcPr>
            <w:tcW w:w="0" w:type="auto"/>
            <w:tcBorders>
              <w:top w:val="nil"/>
              <w:left w:val="nil"/>
              <w:bottom w:val="nil"/>
              <w:right w:val="nil"/>
            </w:tcBorders>
          </w:tcPr>
          <w:p w14:paraId="37BBF8A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2.2782***</w:t>
            </w:r>
          </w:p>
        </w:tc>
        <w:tc>
          <w:tcPr>
            <w:tcW w:w="0" w:type="auto"/>
            <w:tcBorders>
              <w:top w:val="nil"/>
              <w:left w:val="nil"/>
              <w:bottom w:val="nil"/>
              <w:right w:val="nil"/>
            </w:tcBorders>
          </w:tcPr>
          <w:p w14:paraId="413DEF4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2.0682***</w:t>
            </w:r>
          </w:p>
        </w:tc>
        <w:tc>
          <w:tcPr>
            <w:tcW w:w="1396" w:type="dxa"/>
            <w:tcBorders>
              <w:top w:val="nil"/>
              <w:left w:val="nil"/>
              <w:bottom w:val="nil"/>
              <w:right w:val="nil"/>
            </w:tcBorders>
          </w:tcPr>
          <w:p w14:paraId="1A047C49" w14:textId="02ABF491"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2.2281***</w:t>
            </w:r>
          </w:p>
        </w:tc>
      </w:tr>
      <w:tr w:rsidR="00395BFE" w:rsidRPr="006207BC" w14:paraId="0BCCEA2D" w14:textId="3920AA4D" w:rsidTr="005F4D35">
        <w:tc>
          <w:tcPr>
            <w:tcW w:w="0" w:type="auto"/>
            <w:tcBorders>
              <w:top w:val="nil"/>
              <w:left w:val="nil"/>
              <w:bottom w:val="nil"/>
              <w:right w:val="nil"/>
            </w:tcBorders>
          </w:tcPr>
          <w:p w14:paraId="1B0B6000"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1E6E985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(0.4511)</w:t>
            </w:r>
          </w:p>
        </w:tc>
        <w:tc>
          <w:tcPr>
            <w:tcW w:w="0" w:type="auto"/>
            <w:tcBorders>
              <w:top w:val="nil"/>
              <w:left w:val="nil"/>
              <w:bottom w:val="nil"/>
              <w:right w:val="nil"/>
            </w:tcBorders>
          </w:tcPr>
          <w:p w14:paraId="13D7663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(0.4402)</w:t>
            </w:r>
          </w:p>
        </w:tc>
        <w:tc>
          <w:tcPr>
            <w:tcW w:w="0" w:type="auto"/>
            <w:tcBorders>
              <w:top w:val="nil"/>
              <w:left w:val="nil"/>
              <w:bottom w:val="nil"/>
              <w:right w:val="nil"/>
            </w:tcBorders>
          </w:tcPr>
          <w:p w14:paraId="4979750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(0.4439)</w:t>
            </w:r>
          </w:p>
        </w:tc>
        <w:tc>
          <w:tcPr>
            <w:tcW w:w="0" w:type="auto"/>
            <w:tcBorders>
              <w:top w:val="nil"/>
              <w:left w:val="nil"/>
              <w:bottom w:val="nil"/>
              <w:right w:val="nil"/>
            </w:tcBorders>
          </w:tcPr>
          <w:p w14:paraId="538B124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(0.4352)</w:t>
            </w:r>
          </w:p>
        </w:tc>
        <w:tc>
          <w:tcPr>
            <w:tcW w:w="0" w:type="auto"/>
            <w:tcBorders>
              <w:top w:val="nil"/>
              <w:left w:val="nil"/>
              <w:bottom w:val="nil"/>
              <w:right w:val="nil"/>
            </w:tcBorders>
          </w:tcPr>
          <w:p w14:paraId="19487F3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(0.4556)</w:t>
            </w:r>
          </w:p>
        </w:tc>
        <w:tc>
          <w:tcPr>
            <w:tcW w:w="0" w:type="auto"/>
            <w:tcBorders>
              <w:top w:val="nil"/>
              <w:left w:val="nil"/>
              <w:bottom w:val="nil"/>
              <w:right w:val="nil"/>
            </w:tcBorders>
          </w:tcPr>
          <w:p w14:paraId="0D442F07"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(0.4799)</w:t>
            </w:r>
          </w:p>
        </w:tc>
        <w:tc>
          <w:tcPr>
            <w:tcW w:w="1396" w:type="dxa"/>
            <w:tcBorders>
              <w:top w:val="nil"/>
              <w:left w:val="nil"/>
              <w:bottom w:val="nil"/>
              <w:right w:val="nil"/>
            </w:tcBorders>
          </w:tcPr>
          <w:p w14:paraId="35322523" w14:textId="19D20CC2"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(0.4706)</w:t>
            </w:r>
          </w:p>
        </w:tc>
      </w:tr>
      <w:tr w:rsidR="00395BFE" w:rsidRPr="006207BC" w14:paraId="1266E978" w14:textId="5FC78F66" w:rsidTr="005F4D35">
        <w:tc>
          <w:tcPr>
            <w:tcW w:w="0" w:type="auto"/>
            <w:tcBorders>
              <w:top w:val="nil"/>
              <w:left w:val="nil"/>
              <w:bottom w:val="nil"/>
              <w:right w:val="nil"/>
            </w:tcBorders>
          </w:tcPr>
          <w:p w14:paraId="4F407087"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XLIST</w:t>
            </w:r>
          </w:p>
        </w:tc>
        <w:tc>
          <w:tcPr>
            <w:tcW w:w="0" w:type="auto"/>
            <w:tcBorders>
              <w:top w:val="nil"/>
              <w:left w:val="nil"/>
              <w:bottom w:val="nil"/>
              <w:right w:val="nil"/>
            </w:tcBorders>
          </w:tcPr>
          <w:p w14:paraId="7629BD0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1.6567**</w:t>
            </w:r>
          </w:p>
        </w:tc>
        <w:tc>
          <w:tcPr>
            <w:tcW w:w="0" w:type="auto"/>
            <w:tcBorders>
              <w:top w:val="nil"/>
              <w:left w:val="nil"/>
              <w:bottom w:val="nil"/>
              <w:right w:val="nil"/>
            </w:tcBorders>
          </w:tcPr>
          <w:p w14:paraId="3A45115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2.1737***</w:t>
            </w:r>
          </w:p>
        </w:tc>
        <w:tc>
          <w:tcPr>
            <w:tcW w:w="0" w:type="auto"/>
            <w:tcBorders>
              <w:top w:val="nil"/>
              <w:left w:val="nil"/>
              <w:bottom w:val="nil"/>
              <w:right w:val="nil"/>
            </w:tcBorders>
          </w:tcPr>
          <w:p w14:paraId="06B78DE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2.1743***</w:t>
            </w:r>
          </w:p>
        </w:tc>
        <w:tc>
          <w:tcPr>
            <w:tcW w:w="0" w:type="auto"/>
            <w:tcBorders>
              <w:top w:val="nil"/>
              <w:left w:val="nil"/>
              <w:bottom w:val="nil"/>
              <w:right w:val="nil"/>
            </w:tcBorders>
          </w:tcPr>
          <w:p w14:paraId="4ACA9E9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2.0186**</w:t>
            </w:r>
          </w:p>
        </w:tc>
        <w:tc>
          <w:tcPr>
            <w:tcW w:w="0" w:type="auto"/>
            <w:tcBorders>
              <w:top w:val="nil"/>
              <w:left w:val="nil"/>
              <w:bottom w:val="nil"/>
              <w:right w:val="nil"/>
            </w:tcBorders>
          </w:tcPr>
          <w:p w14:paraId="5A330D5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2.2390***</w:t>
            </w:r>
          </w:p>
        </w:tc>
        <w:tc>
          <w:tcPr>
            <w:tcW w:w="0" w:type="auto"/>
            <w:tcBorders>
              <w:top w:val="nil"/>
              <w:left w:val="nil"/>
              <w:bottom w:val="nil"/>
              <w:right w:val="nil"/>
            </w:tcBorders>
          </w:tcPr>
          <w:p w14:paraId="7394114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2.0690***</w:t>
            </w:r>
          </w:p>
        </w:tc>
        <w:tc>
          <w:tcPr>
            <w:tcW w:w="1396" w:type="dxa"/>
            <w:tcBorders>
              <w:top w:val="nil"/>
              <w:left w:val="nil"/>
              <w:bottom w:val="nil"/>
              <w:right w:val="nil"/>
            </w:tcBorders>
          </w:tcPr>
          <w:p w14:paraId="05D5142D" w14:textId="2A403D28"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2.4073***</w:t>
            </w:r>
          </w:p>
        </w:tc>
      </w:tr>
      <w:tr w:rsidR="00395BFE" w:rsidRPr="006207BC" w14:paraId="4B5BB851" w14:textId="5A73A6D6" w:rsidTr="005F4D35">
        <w:tc>
          <w:tcPr>
            <w:tcW w:w="0" w:type="auto"/>
            <w:tcBorders>
              <w:top w:val="nil"/>
              <w:left w:val="nil"/>
              <w:bottom w:val="nil"/>
              <w:right w:val="nil"/>
            </w:tcBorders>
          </w:tcPr>
          <w:p w14:paraId="11176801"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49FDA5CF"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(0.7610)</w:t>
            </w:r>
          </w:p>
        </w:tc>
        <w:tc>
          <w:tcPr>
            <w:tcW w:w="0" w:type="auto"/>
            <w:tcBorders>
              <w:top w:val="nil"/>
              <w:left w:val="nil"/>
              <w:bottom w:val="nil"/>
              <w:right w:val="nil"/>
            </w:tcBorders>
          </w:tcPr>
          <w:p w14:paraId="22CEDFED"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(0.8061)</w:t>
            </w:r>
          </w:p>
        </w:tc>
        <w:tc>
          <w:tcPr>
            <w:tcW w:w="0" w:type="auto"/>
            <w:tcBorders>
              <w:top w:val="nil"/>
              <w:left w:val="nil"/>
              <w:bottom w:val="nil"/>
              <w:right w:val="nil"/>
            </w:tcBorders>
          </w:tcPr>
          <w:p w14:paraId="757145E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(0.8245)</w:t>
            </w:r>
          </w:p>
        </w:tc>
        <w:tc>
          <w:tcPr>
            <w:tcW w:w="0" w:type="auto"/>
            <w:tcBorders>
              <w:top w:val="nil"/>
              <w:left w:val="nil"/>
              <w:bottom w:val="nil"/>
              <w:right w:val="nil"/>
            </w:tcBorders>
          </w:tcPr>
          <w:p w14:paraId="1592F78D"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(0.7711)</w:t>
            </w:r>
          </w:p>
        </w:tc>
        <w:tc>
          <w:tcPr>
            <w:tcW w:w="0" w:type="auto"/>
            <w:tcBorders>
              <w:top w:val="nil"/>
              <w:left w:val="nil"/>
              <w:bottom w:val="nil"/>
              <w:right w:val="nil"/>
            </w:tcBorders>
          </w:tcPr>
          <w:p w14:paraId="422F86D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(0.7975)</w:t>
            </w:r>
          </w:p>
        </w:tc>
        <w:tc>
          <w:tcPr>
            <w:tcW w:w="0" w:type="auto"/>
            <w:tcBorders>
              <w:top w:val="nil"/>
              <w:left w:val="nil"/>
              <w:bottom w:val="nil"/>
              <w:right w:val="nil"/>
            </w:tcBorders>
          </w:tcPr>
          <w:p w14:paraId="345566F6"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(0.7511)</w:t>
            </w:r>
          </w:p>
        </w:tc>
        <w:tc>
          <w:tcPr>
            <w:tcW w:w="1396" w:type="dxa"/>
            <w:tcBorders>
              <w:top w:val="nil"/>
              <w:left w:val="nil"/>
              <w:bottom w:val="nil"/>
              <w:right w:val="nil"/>
            </w:tcBorders>
          </w:tcPr>
          <w:p w14:paraId="21D44B31" w14:textId="7D76E75E"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(0.9037)</w:t>
            </w:r>
          </w:p>
        </w:tc>
      </w:tr>
      <w:tr w:rsidR="00395BFE" w:rsidRPr="006207BC" w14:paraId="5D291D87" w14:textId="68555C68" w:rsidTr="005F4D35">
        <w:tc>
          <w:tcPr>
            <w:tcW w:w="0" w:type="auto"/>
            <w:tcBorders>
              <w:top w:val="nil"/>
              <w:left w:val="nil"/>
              <w:bottom w:val="nil"/>
              <w:right w:val="nil"/>
            </w:tcBorders>
          </w:tcPr>
          <w:p w14:paraId="18BAEA2C"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Issuance</w:t>
            </w:r>
          </w:p>
        </w:tc>
        <w:tc>
          <w:tcPr>
            <w:tcW w:w="0" w:type="auto"/>
            <w:tcBorders>
              <w:top w:val="nil"/>
              <w:left w:val="nil"/>
              <w:bottom w:val="nil"/>
              <w:right w:val="nil"/>
            </w:tcBorders>
          </w:tcPr>
          <w:p w14:paraId="55B65F4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-0.0751</w:t>
            </w:r>
          </w:p>
        </w:tc>
        <w:tc>
          <w:tcPr>
            <w:tcW w:w="0" w:type="auto"/>
            <w:tcBorders>
              <w:top w:val="nil"/>
              <w:left w:val="nil"/>
              <w:bottom w:val="nil"/>
              <w:right w:val="nil"/>
            </w:tcBorders>
          </w:tcPr>
          <w:p w14:paraId="50729AC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-0.4824</w:t>
            </w:r>
          </w:p>
        </w:tc>
        <w:tc>
          <w:tcPr>
            <w:tcW w:w="0" w:type="auto"/>
            <w:tcBorders>
              <w:top w:val="nil"/>
              <w:left w:val="nil"/>
              <w:bottom w:val="nil"/>
              <w:right w:val="nil"/>
            </w:tcBorders>
          </w:tcPr>
          <w:p w14:paraId="57A7EE8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-0.1928</w:t>
            </w:r>
          </w:p>
        </w:tc>
        <w:tc>
          <w:tcPr>
            <w:tcW w:w="0" w:type="auto"/>
            <w:tcBorders>
              <w:top w:val="nil"/>
              <w:left w:val="nil"/>
              <w:bottom w:val="nil"/>
              <w:right w:val="nil"/>
            </w:tcBorders>
          </w:tcPr>
          <w:p w14:paraId="60757F2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-0.1864</w:t>
            </w:r>
          </w:p>
        </w:tc>
        <w:tc>
          <w:tcPr>
            <w:tcW w:w="0" w:type="auto"/>
            <w:tcBorders>
              <w:top w:val="nil"/>
              <w:left w:val="nil"/>
              <w:bottom w:val="nil"/>
              <w:right w:val="nil"/>
            </w:tcBorders>
          </w:tcPr>
          <w:p w14:paraId="169C3FD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-0.0651</w:t>
            </w:r>
          </w:p>
        </w:tc>
        <w:tc>
          <w:tcPr>
            <w:tcW w:w="0" w:type="auto"/>
            <w:tcBorders>
              <w:top w:val="nil"/>
              <w:left w:val="nil"/>
              <w:bottom w:val="nil"/>
              <w:right w:val="nil"/>
            </w:tcBorders>
          </w:tcPr>
          <w:p w14:paraId="034A86F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-0.4910</w:t>
            </w:r>
          </w:p>
        </w:tc>
        <w:tc>
          <w:tcPr>
            <w:tcW w:w="1396" w:type="dxa"/>
            <w:tcBorders>
              <w:top w:val="nil"/>
              <w:left w:val="nil"/>
              <w:bottom w:val="nil"/>
              <w:right w:val="nil"/>
            </w:tcBorders>
          </w:tcPr>
          <w:p w14:paraId="2DC6F82B" w14:textId="5596F80F"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-0.7274</w:t>
            </w:r>
          </w:p>
        </w:tc>
      </w:tr>
      <w:tr w:rsidR="00395BFE" w:rsidRPr="006207BC" w14:paraId="6AD6C8D5" w14:textId="452B6329" w:rsidTr="005F4D35">
        <w:tc>
          <w:tcPr>
            <w:tcW w:w="0" w:type="auto"/>
            <w:tcBorders>
              <w:top w:val="nil"/>
              <w:left w:val="nil"/>
              <w:bottom w:val="nil"/>
              <w:right w:val="nil"/>
            </w:tcBorders>
          </w:tcPr>
          <w:p w14:paraId="0D5EB5CA"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0570C686"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(1.2404)</w:t>
            </w:r>
          </w:p>
        </w:tc>
        <w:tc>
          <w:tcPr>
            <w:tcW w:w="0" w:type="auto"/>
            <w:tcBorders>
              <w:top w:val="nil"/>
              <w:left w:val="nil"/>
              <w:bottom w:val="nil"/>
              <w:right w:val="nil"/>
            </w:tcBorders>
          </w:tcPr>
          <w:p w14:paraId="527CC8BD"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(1.1468)</w:t>
            </w:r>
          </w:p>
        </w:tc>
        <w:tc>
          <w:tcPr>
            <w:tcW w:w="0" w:type="auto"/>
            <w:tcBorders>
              <w:top w:val="nil"/>
              <w:left w:val="nil"/>
              <w:bottom w:val="nil"/>
              <w:right w:val="nil"/>
            </w:tcBorders>
          </w:tcPr>
          <w:p w14:paraId="182DCE2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(1.2601)</w:t>
            </w:r>
          </w:p>
        </w:tc>
        <w:tc>
          <w:tcPr>
            <w:tcW w:w="0" w:type="auto"/>
            <w:tcBorders>
              <w:top w:val="nil"/>
              <w:left w:val="nil"/>
              <w:bottom w:val="nil"/>
              <w:right w:val="nil"/>
            </w:tcBorders>
          </w:tcPr>
          <w:p w14:paraId="3049AF2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(1.1738)</w:t>
            </w:r>
          </w:p>
        </w:tc>
        <w:tc>
          <w:tcPr>
            <w:tcW w:w="0" w:type="auto"/>
            <w:tcBorders>
              <w:top w:val="nil"/>
              <w:left w:val="nil"/>
              <w:bottom w:val="nil"/>
              <w:right w:val="nil"/>
            </w:tcBorders>
          </w:tcPr>
          <w:p w14:paraId="15D1BCA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(1.2353)</w:t>
            </w:r>
          </w:p>
        </w:tc>
        <w:tc>
          <w:tcPr>
            <w:tcW w:w="0" w:type="auto"/>
            <w:tcBorders>
              <w:top w:val="nil"/>
              <w:left w:val="nil"/>
              <w:bottom w:val="nil"/>
              <w:right w:val="nil"/>
            </w:tcBorders>
          </w:tcPr>
          <w:p w14:paraId="2A3FC0D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(1.1795)</w:t>
            </w:r>
          </w:p>
        </w:tc>
        <w:tc>
          <w:tcPr>
            <w:tcW w:w="1396" w:type="dxa"/>
            <w:tcBorders>
              <w:top w:val="nil"/>
              <w:left w:val="nil"/>
              <w:bottom w:val="nil"/>
              <w:right w:val="nil"/>
            </w:tcBorders>
          </w:tcPr>
          <w:p w14:paraId="2C87F80F" w14:textId="1BB73B7B"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(1.2069)</w:t>
            </w:r>
          </w:p>
        </w:tc>
      </w:tr>
      <w:tr w:rsidR="00395BFE" w:rsidRPr="006207BC" w14:paraId="61907D9E" w14:textId="77441AF5" w:rsidTr="005F4D35">
        <w:tc>
          <w:tcPr>
            <w:tcW w:w="0" w:type="auto"/>
            <w:tcBorders>
              <w:top w:val="nil"/>
              <w:left w:val="nil"/>
              <w:bottom w:val="nil"/>
              <w:right w:val="nil"/>
            </w:tcBorders>
          </w:tcPr>
          <w:p w14:paraId="4CE37875"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Intangible</w:t>
            </w:r>
          </w:p>
        </w:tc>
        <w:tc>
          <w:tcPr>
            <w:tcW w:w="0" w:type="auto"/>
            <w:tcBorders>
              <w:top w:val="nil"/>
              <w:left w:val="nil"/>
              <w:bottom w:val="nil"/>
              <w:right w:val="nil"/>
            </w:tcBorders>
          </w:tcPr>
          <w:p w14:paraId="4D90FBB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7.2967***</w:t>
            </w:r>
          </w:p>
        </w:tc>
        <w:tc>
          <w:tcPr>
            <w:tcW w:w="0" w:type="auto"/>
            <w:tcBorders>
              <w:top w:val="nil"/>
              <w:left w:val="nil"/>
              <w:bottom w:val="nil"/>
              <w:right w:val="nil"/>
            </w:tcBorders>
          </w:tcPr>
          <w:p w14:paraId="4E14915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7.8283***</w:t>
            </w:r>
          </w:p>
        </w:tc>
        <w:tc>
          <w:tcPr>
            <w:tcW w:w="0" w:type="auto"/>
            <w:tcBorders>
              <w:top w:val="nil"/>
              <w:left w:val="nil"/>
              <w:bottom w:val="nil"/>
              <w:right w:val="nil"/>
            </w:tcBorders>
          </w:tcPr>
          <w:p w14:paraId="0617860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7.9261***</w:t>
            </w:r>
          </w:p>
        </w:tc>
        <w:tc>
          <w:tcPr>
            <w:tcW w:w="0" w:type="auto"/>
            <w:tcBorders>
              <w:top w:val="nil"/>
              <w:left w:val="nil"/>
              <w:bottom w:val="nil"/>
              <w:right w:val="nil"/>
            </w:tcBorders>
          </w:tcPr>
          <w:p w14:paraId="4F7C82F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8.0178***</w:t>
            </w:r>
          </w:p>
        </w:tc>
        <w:tc>
          <w:tcPr>
            <w:tcW w:w="0" w:type="auto"/>
            <w:tcBorders>
              <w:top w:val="nil"/>
              <w:left w:val="nil"/>
              <w:bottom w:val="nil"/>
              <w:right w:val="nil"/>
            </w:tcBorders>
          </w:tcPr>
          <w:p w14:paraId="76B93D2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8.0967***</w:t>
            </w:r>
          </w:p>
        </w:tc>
        <w:tc>
          <w:tcPr>
            <w:tcW w:w="0" w:type="auto"/>
            <w:tcBorders>
              <w:top w:val="nil"/>
              <w:left w:val="nil"/>
              <w:bottom w:val="nil"/>
              <w:right w:val="nil"/>
            </w:tcBorders>
          </w:tcPr>
          <w:p w14:paraId="3B6D0CC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7.2833***</w:t>
            </w:r>
          </w:p>
        </w:tc>
        <w:tc>
          <w:tcPr>
            <w:tcW w:w="1396" w:type="dxa"/>
            <w:tcBorders>
              <w:top w:val="nil"/>
              <w:left w:val="nil"/>
              <w:bottom w:val="nil"/>
              <w:right w:val="nil"/>
            </w:tcBorders>
          </w:tcPr>
          <w:p w14:paraId="0ACB1C19" w14:textId="5F71A3F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7.0166***</w:t>
            </w:r>
          </w:p>
        </w:tc>
      </w:tr>
      <w:tr w:rsidR="00395BFE" w:rsidRPr="006207BC" w14:paraId="4A580EF3" w14:textId="2D019E8F" w:rsidTr="005F4D35">
        <w:tc>
          <w:tcPr>
            <w:tcW w:w="0" w:type="auto"/>
            <w:tcBorders>
              <w:top w:val="nil"/>
              <w:left w:val="nil"/>
              <w:bottom w:val="nil"/>
              <w:right w:val="nil"/>
            </w:tcBorders>
          </w:tcPr>
          <w:p w14:paraId="7F30073D"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70929E2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(2.1936)</w:t>
            </w:r>
          </w:p>
        </w:tc>
        <w:tc>
          <w:tcPr>
            <w:tcW w:w="0" w:type="auto"/>
            <w:tcBorders>
              <w:top w:val="nil"/>
              <w:left w:val="nil"/>
              <w:bottom w:val="nil"/>
              <w:right w:val="nil"/>
            </w:tcBorders>
          </w:tcPr>
          <w:p w14:paraId="43C93247"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(2.5474)</w:t>
            </w:r>
          </w:p>
        </w:tc>
        <w:tc>
          <w:tcPr>
            <w:tcW w:w="0" w:type="auto"/>
            <w:tcBorders>
              <w:top w:val="nil"/>
              <w:left w:val="nil"/>
              <w:bottom w:val="nil"/>
              <w:right w:val="nil"/>
            </w:tcBorders>
          </w:tcPr>
          <w:p w14:paraId="189AA2FD"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(2.5285)</w:t>
            </w:r>
          </w:p>
        </w:tc>
        <w:tc>
          <w:tcPr>
            <w:tcW w:w="0" w:type="auto"/>
            <w:tcBorders>
              <w:top w:val="nil"/>
              <w:left w:val="nil"/>
              <w:bottom w:val="nil"/>
              <w:right w:val="nil"/>
            </w:tcBorders>
          </w:tcPr>
          <w:p w14:paraId="7F6B8B8A"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(2.3762)</w:t>
            </w:r>
          </w:p>
        </w:tc>
        <w:tc>
          <w:tcPr>
            <w:tcW w:w="0" w:type="auto"/>
            <w:tcBorders>
              <w:top w:val="nil"/>
              <w:left w:val="nil"/>
              <w:bottom w:val="nil"/>
              <w:right w:val="nil"/>
            </w:tcBorders>
          </w:tcPr>
          <w:p w14:paraId="5BD51FD9"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(2.3469)</w:t>
            </w:r>
          </w:p>
        </w:tc>
        <w:tc>
          <w:tcPr>
            <w:tcW w:w="0" w:type="auto"/>
            <w:tcBorders>
              <w:top w:val="nil"/>
              <w:left w:val="nil"/>
              <w:bottom w:val="nil"/>
              <w:right w:val="nil"/>
            </w:tcBorders>
          </w:tcPr>
          <w:p w14:paraId="1A33A54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(2.4168)</w:t>
            </w:r>
          </w:p>
        </w:tc>
        <w:tc>
          <w:tcPr>
            <w:tcW w:w="1396" w:type="dxa"/>
            <w:tcBorders>
              <w:top w:val="nil"/>
              <w:left w:val="nil"/>
              <w:bottom w:val="nil"/>
              <w:right w:val="nil"/>
            </w:tcBorders>
          </w:tcPr>
          <w:p w14:paraId="322CA59F" w14:textId="25AC231C"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(2.4080)</w:t>
            </w:r>
          </w:p>
        </w:tc>
      </w:tr>
      <w:tr w:rsidR="00395BFE" w:rsidRPr="006207BC" w14:paraId="59ECBC7B" w14:textId="75DA9E26" w:rsidTr="005F4D35">
        <w:tc>
          <w:tcPr>
            <w:tcW w:w="0" w:type="auto"/>
            <w:tcBorders>
              <w:top w:val="nil"/>
              <w:left w:val="nil"/>
              <w:bottom w:val="nil"/>
              <w:right w:val="nil"/>
            </w:tcBorders>
          </w:tcPr>
          <w:p w14:paraId="2F4253AD"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Intercept</w:t>
            </w:r>
          </w:p>
        </w:tc>
        <w:tc>
          <w:tcPr>
            <w:tcW w:w="0" w:type="auto"/>
            <w:tcBorders>
              <w:top w:val="nil"/>
              <w:left w:val="nil"/>
              <w:bottom w:val="nil"/>
              <w:right w:val="nil"/>
            </w:tcBorders>
          </w:tcPr>
          <w:p w14:paraId="1E90CDB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11.5978***</w:t>
            </w:r>
          </w:p>
        </w:tc>
        <w:tc>
          <w:tcPr>
            <w:tcW w:w="0" w:type="auto"/>
            <w:tcBorders>
              <w:top w:val="nil"/>
              <w:left w:val="nil"/>
              <w:bottom w:val="nil"/>
              <w:right w:val="nil"/>
            </w:tcBorders>
          </w:tcPr>
          <w:p w14:paraId="342FE1D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9.1257***</w:t>
            </w:r>
          </w:p>
        </w:tc>
        <w:tc>
          <w:tcPr>
            <w:tcW w:w="0" w:type="auto"/>
            <w:tcBorders>
              <w:top w:val="nil"/>
              <w:left w:val="nil"/>
              <w:bottom w:val="nil"/>
              <w:right w:val="nil"/>
            </w:tcBorders>
          </w:tcPr>
          <w:p w14:paraId="2BF77CC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8.2132***</w:t>
            </w:r>
          </w:p>
        </w:tc>
        <w:tc>
          <w:tcPr>
            <w:tcW w:w="0" w:type="auto"/>
            <w:tcBorders>
              <w:top w:val="nil"/>
              <w:left w:val="nil"/>
              <w:bottom w:val="nil"/>
              <w:right w:val="nil"/>
            </w:tcBorders>
          </w:tcPr>
          <w:p w14:paraId="5079997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7.3128**</w:t>
            </w:r>
          </w:p>
        </w:tc>
        <w:tc>
          <w:tcPr>
            <w:tcW w:w="0" w:type="auto"/>
            <w:tcBorders>
              <w:top w:val="nil"/>
              <w:left w:val="nil"/>
              <w:bottom w:val="nil"/>
              <w:right w:val="nil"/>
            </w:tcBorders>
          </w:tcPr>
          <w:p w14:paraId="6400F0D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5.2711*</w:t>
            </w:r>
          </w:p>
        </w:tc>
        <w:tc>
          <w:tcPr>
            <w:tcW w:w="0" w:type="auto"/>
            <w:tcBorders>
              <w:top w:val="nil"/>
              <w:left w:val="nil"/>
              <w:bottom w:val="nil"/>
              <w:right w:val="nil"/>
            </w:tcBorders>
          </w:tcPr>
          <w:p w14:paraId="1323A7E5"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6.3008**</w:t>
            </w:r>
          </w:p>
        </w:tc>
        <w:tc>
          <w:tcPr>
            <w:tcW w:w="1396" w:type="dxa"/>
            <w:tcBorders>
              <w:top w:val="nil"/>
              <w:left w:val="nil"/>
              <w:bottom w:val="nil"/>
              <w:right w:val="nil"/>
            </w:tcBorders>
          </w:tcPr>
          <w:p w14:paraId="5EF20C64" w14:textId="708DD4E1"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5.7120</w:t>
            </w:r>
          </w:p>
        </w:tc>
      </w:tr>
      <w:tr w:rsidR="00395BFE" w:rsidRPr="006207BC" w14:paraId="6E469193" w14:textId="06D24A73" w:rsidTr="005F4D35">
        <w:tc>
          <w:tcPr>
            <w:tcW w:w="0" w:type="auto"/>
            <w:tcBorders>
              <w:top w:val="nil"/>
              <w:left w:val="nil"/>
              <w:bottom w:val="nil"/>
              <w:right w:val="nil"/>
            </w:tcBorders>
          </w:tcPr>
          <w:p w14:paraId="6A078EAD" w14:textId="77777777" w:rsidR="00395BFE" w:rsidRPr="006207BC" w:rsidRDefault="00395BFE" w:rsidP="00395BFE">
            <w:pPr>
              <w:rPr>
                <w:rFonts w:ascii="Times New Roman" w:hAnsi="Times New Roman" w:cs="Times New Roman"/>
                <w:i/>
                <w:sz w:val="20"/>
                <w:szCs w:val="20"/>
              </w:rPr>
            </w:pPr>
          </w:p>
        </w:tc>
        <w:tc>
          <w:tcPr>
            <w:tcW w:w="0" w:type="auto"/>
            <w:tcBorders>
              <w:top w:val="nil"/>
              <w:left w:val="nil"/>
              <w:bottom w:val="nil"/>
              <w:right w:val="nil"/>
            </w:tcBorders>
          </w:tcPr>
          <w:p w14:paraId="3EF97470"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(2.7028)</w:t>
            </w:r>
          </w:p>
        </w:tc>
        <w:tc>
          <w:tcPr>
            <w:tcW w:w="0" w:type="auto"/>
            <w:tcBorders>
              <w:top w:val="nil"/>
              <w:left w:val="nil"/>
              <w:bottom w:val="nil"/>
              <w:right w:val="nil"/>
            </w:tcBorders>
          </w:tcPr>
          <w:p w14:paraId="02F4D49E"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(2.9140)</w:t>
            </w:r>
          </w:p>
        </w:tc>
        <w:tc>
          <w:tcPr>
            <w:tcW w:w="0" w:type="auto"/>
            <w:tcBorders>
              <w:top w:val="nil"/>
              <w:left w:val="nil"/>
              <w:bottom w:val="nil"/>
              <w:right w:val="nil"/>
            </w:tcBorders>
          </w:tcPr>
          <w:p w14:paraId="058D6268"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(2.8140)</w:t>
            </w:r>
          </w:p>
        </w:tc>
        <w:tc>
          <w:tcPr>
            <w:tcW w:w="0" w:type="auto"/>
            <w:tcBorders>
              <w:top w:val="nil"/>
              <w:left w:val="nil"/>
              <w:bottom w:val="nil"/>
              <w:right w:val="nil"/>
            </w:tcBorders>
          </w:tcPr>
          <w:p w14:paraId="1C04DB52"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(2.8770)</w:t>
            </w:r>
          </w:p>
        </w:tc>
        <w:tc>
          <w:tcPr>
            <w:tcW w:w="0" w:type="auto"/>
            <w:tcBorders>
              <w:top w:val="nil"/>
              <w:left w:val="nil"/>
              <w:bottom w:val="nil"/>
              <w:right w:val="nil"/>
            </w:tcBorders>
          </w:tcPr>
          <w:p w14:paraId="015E915B"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(3.1514)</w:t>
            </w:r>
          </w:p>
        </w:tc>
        <w:tc>
          <w:tcPr>
            <w:tcW w:w="0" w:type="auto"/>
            <w:tcBorders>
              <w:top w:val="nil"/>
              <w:left w:val="nil"/>
              <w:bottom w:val="nil"/>
              <w:right w:val="nil"/>
            </w:tcBorders>
          </w:tcPr>
          <w:p w14:paraId="23FAF99C"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(3.1314)</w:t>
            </w:r>
          </w:p>
        </w:tc>
        <w:tc>
          <w:tcPr>
            <w:tcW w:w="1396" w:type="dxa"/>
            <w:tcBorders>
              <w:top w:val="nil"/>
              <w:left w:val="nil"/>
              <w:bottom w:val="nil"/>
              <w:right w:val="nil"/>
            </w:tcBorders>
          </w:tcPr>
          <w:p w14:paraId="4C7EC364" w14:textId="0C2CB3B4"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(3.5637)</w:t>
            </w:r>
          </w:p>
        </w:tc>
      </w:tr>
      <w:tr w:rsidR="00395BFE" w:rsidRPr="006207BC" w14:paraId="013AA175" w14:textId="361AB436" w:rsidTr="005F4D35">
        <w:tc>
          <w:tcPr>
            <w:tcW w:w="0" w:type="auto"/>
            <w:tcBorders>
              <w:top w:val="nil"/>
              <w:left w:val="nil"/>
              <w:bottom w:val="nil"/>
              <w:right w:val="nil"/>
            </w:tcBorders>
          </w:tcPr>
          <w:p w14:paraId="244BB56E"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Year dummies</w:t>
            </w:r>
          </w:p>
        </w:tc>
        <w:tc>
          <w:tcPr>
            <w:tcW w:w="0" w:type="auto"/>
            <w:tcBorders>
              <w:top w:val="nil"/>
              <w:left w:val="nil"/>
              <w:bottom w:val="nil"/>
              <w:right w:val="nil"/>
            </w:tcBorders>
          </w:tcPr>
          <w:p w14:paraId="077C0EB6"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3D4D161D"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515620A3"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702EFFB4"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56148B35"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6D2D62F7"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1396" w:type="dxa"/>
            <w:tcBorders>
              <w:top w:val="nil"/>
              <w:left w:val="nil"/>
              <w:bottom w:val="nil"/>
              <w:right w:val="nil"/>
            </w:tcBorders>
          </w:tcPr>
          <w:p w14:paraId="39805023" w14:textId="29F6AC86"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18"/>
                <w:szCs w:val="18"/>
              </w:rPr>
              <w:t>Yes</w:t>
            </w:r>
          </w:p>
        </w:tc>
      </w:tr>
      <w:tr w:rsidR="00395BFE" w:rsidRPr="006207BC" w14:paraId="59D896F7" w14:textId="0A8F245D" w:rsidTr="005F4D35">
        <w:tc>
          <w:tcPr>
            <w:tcW w:w="0" w:type="auto"/>
            <w:tcBorders>
              <w:top w:val="nil"/>
              <w:left w:val="nil"/>
              <w:bottom w:val="nil"/>
              <w:right w:val="nil"/>
            </w:tcBorders>
          </w:tcPr>
          <w:p w14:paraId="4150C591" w14:textId="77777777" w:rsidR="00395BFE" w:rsidRPr="006207BC" w:rsidRDefault="00395BFE" w:rsidP="00395BFE">
            <w:pPr>
              <w:rPr>
                <w:rFonts w:ascii="Times New Roman" w:hAnsi="Times New Roman" w:cs="Times New Roman"/>
                <w:i/>
                <w:sz w:val="20"/>
                <w:szCs w:val="20"/>
              </w:rPr>
            </w:pPr>
            <w:r w:rsidRPr="006207BC">
              <w:rPr>
                <w:rFonts w:ascii="Times New Roman" w:hAnsi="Times New Roman" w:cs="Times New Roman"/>
                <w:i/>
                <w:sz w:val="20"/>
                <w:szCs w:val="20"/>
              </w:rPr>
              <w:t>Industry dummies</w:t>
            </w:r>
          </w:p>
        </w:tc>
        <w:tc>
          <w:tcPr>
            <w:tcW w:w="0" w:type="auto"/>
            <w:tcBorders>
              <w:top w:val="nil"/>
              <w:left w:val="nil"/>
              <w:bottom w:val="nil"/>
              <w:right w:val="nil"/>
            </w:tcBorders>
          </w:tcPr>
          <w:p w14:paraId="52B83121"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7F41A20A"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13F25EC9"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542AEFF4"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0E44408E"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0" w:type="auto"/>
            <w:tcBorders>
              <w:top w:val="nil"/>
              <w:left w:val="nil"/>
              <w:bottom w:val="nil"/>
              <w:right w:val="nil"/>
            </w:tcBorders>
          </w:tcPr>
          <w:p w14:paraId="6B6D440D" w14:textId="77777777"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20"/>
                <w:szCs w:val="20"/>
              </w:rPr>
              <w:t>Yes</w:t>
            </w:r>
          </w:p>
        </w:tc>
        <w:tc>
          <w:tcPr>
            <w:tcW w:w="1396" w:type="dxa"/>
            <w:tcBorders>
              <w:top w:val="nil"/>
              <w:left w:val="nil"/>
              <w:bottom w:val="nil"/>
              <w:right w:val="nil"/>
            </w:tcBorders>
          </w:tcPr>
          <w:p w14:paraId="3072A880" w14:textId="774569FE" w:rsidR="00395BFE" w:rsidRPr="006207BC" w:rsidRDefault="00395BFE" w:rsidP="00395BFE">
            <w:pPr>
              <w:rPr>
                <w:rFonts w:ascii="Times New Roman" w:hAnsi="Times New Roman" w:cs="Times New Roman"/>
                <w:sz w:val="20"/>
                <w:szCs w:val="20"/>
              </w:rPr>
            </w:pPr>
            <w:r w:rsidRPr="006207BC">
              <w:rPr>
                <w:rFonts w:ascii="Times New Roman" w:hAnsi="Times New Roman" w:cs="Times New Roman"/>
                <w:sz w:val="18"/>
                <w:szCs w:val="18"/>
              </w:rPr>
              <w:t>Yes</w:t>
            </w:r>
          </w:p>
        </w:tc>
      </w:tr>
      <w:tr w:rsidR="00395BFE" w:rsidRPr="006207BC" w14:paraId="41DAF657" w14:textId="0E166FF8" w:rsidTr="005F4D35">
        <w:tc>
          <w:tcPr>
            <w:tcW w:w="0" w:type="auto"/>
            <w:tcBorders>
              <w:top w:val="nil"/>
              <w:left w:val="nil"/>
              <w:bottom w:val="single" w:sz="4" w:space="0" w:color="auto"/>
              <w:right w:val="nil"/>
            </w:tcBorders>
          </w:tcPr>
          <w:p w14:paraId="2DCC38BC" w14:textId="0A01A52B"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 xml:space="preserve">Adjusted </w:t>
            </w:r>
            <w:r w:rsidRPr="006207BC">
              <w:rPr>
                <w:rFonts w:ascii="Times New Roman" w:hAnsi="Times New Roman" w:cs="Times New Roman"/>
                <w:i/>
                <w:sz w:val="20"/>
                <w:szCs w:val="20"/>
              </w:rPr>
              <w:t>R</w:t>
            </w:r>
            <w:r w:rsidRPr="006207BC">
              <w:rPr>
                <w:rFonts w:ascii="Times New Roman" w:hAnsi="Times New Roman" w:cs="Times New Roman"/>
                <w:sz w:val="20"/>
                <w:szCs w:val="20"/>
              </w:rPr>
              <w:t>²</w:t>
            </w:r>
          </w:p>
        </w:tc>
        <w:tc>
          <w:tcPr>
            <w:tcW w:w="0" w:type="auto"/>
            <w:tcBorders>
              <w:top w:val="nil"/>
              <w:left w:val="nil"/>
              <w:bottom w:val="single" w:sz="4" w:space="0" w:color="auto"/>
              <w:right w:val="nil"/>
            </w:tcBorders>
          </w:tcPr>
          <w:p w14:paraId="0EA95AB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0.677</w:t>
            </w:r>
          </w:p>
        </w:tc>
        <w:tc>
          <w:tcPr>
            <w:tcW w:w="0" w:type="auto"/>
            <w:tcBorders>
              <w:top w:val="nil"/>
              <w:left w:val="nil"/>
              <w:bottom w:val="single" w:sz="4" w:space="0" w:color="auto"/>
              <w:right w:val="nil"/>
            </w:tcBorders>
          </w:tcPr>
          <w:p w14:paraId="1208FC57"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0.669</w:t>
            </w:r>
          </w:p>
        </w:tc>
        <w:tc>
          <w:tcPr>
            <w:tcW w:w="0" w:type="auto"/>
            <w:tcBorders>
              <w:top w:val="nil"/>
              <w:left w:val="nil"/>
              <w:bottom w:val="single" w:sz="4" w:space="0" w:color="auto"/>
              <w:right w:val="nil"/>
            </w:tcBorders>
          </w:tcPr>
          <w:p w14:paraId="7DC54661"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0.664</w:t>
            </w:r>
          </w:p>
        </w:tc>
        <w:tc>
          <w:tcPr>
            <w:tcW w:w="0" w:type="auto"/>
            <w:tcBorders>
              <w:top w:val="nil"/>
              <w:left w:val="nil"/>
              <w:bottom w:val="single" w:sz="4" w:space="0" w:color="auto"/>
              <w:right w:val="nil"/>
            </w:tcBorders>
          </w:tcPr>
          <w:p w14:paraId="142A00F6"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0.677</w:t>
            </w:r>
          </w:p>
        </w:tc>
        <w:tc>
          <w:tcPr>
            <w:tcW w:w="0" w:type="auto"/>
            <w:tcBorders>
              <w:top w:val="nil"/>
              <w:left w:val="nil"/>
              <w:bottom w:val="single" w:sz="4" w:space="0" w:color="auto"/>
              <w:right w:val="nil"/>
            </w:tcBorders>
          </w:tcPr>
          <w:p w14:paraId="2A738B73"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0.664</w:t>
            </w:r>
          </w:p>
        </w:tc>
        <w:tc>
          <w:tcPr>
            <w:tcW w:w="0" w:type="auto"/>
            <w:tcBorders>
              <w:top w:val="nil"/>
              <w:left w:val="nil"/>
              <w:bottom w:val="single" w:sz="4" w:space="0" w:color="auto"/>
              <w:right w:val="nil"/>
            </w:tcBorders>
          </w:tcPr>
          <w:p w14:paraId="2DB98974" w14:textId="77777777"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20"/>
                <w:szCs w:val="20"/>
              </w:rPr>
              <w:t>0.674</w:t>
            </w:r>
          </w:p>
        </w:tc>
        <w:tc>
          <w:tcPr>
            <w:tcW w:w="1396" w:type="dxa"/>
            <w:tcBorders>
              <w:top w:val="nil"/>
              <w:left w:val="nil"/>
              <w:bottom w:val="single" w:sz="4" w:space="0" w:color="auto"/>
              <w:right w:val="nil"/>
            </w:tcBorders>
          </w:tcPr>
          <w:p w14:paraId="0DD225B5" w14:textId="49477B24" w:rsidR="00395BFE" w:rsidRPr="006207BC" w:rsidRDefault="00395BFE" w:rsidP="00395BFE">
            <w:pPr>
              <w:autoSpaceDE w:val="0"/>
              <w:autoSpaceDN w:val="0"/>
              <w:adjustRightInd w:val="0"/>
              <w:rPr>
                <w:rFonts w:ascii="Times New Roman" w:hAnsi="Times New Roman" w:cs="Times New Roman"/>
                <w:sz w:val="20"/>
                <w:szCs w:val="20"/>
              </w:rPr>
            </w:pPr>
            <w:r w:rsidRPr="006207BC">
              <w:rPr>
                <w:rFonts w:ascii="Times New Roman" w:hAnsi="Times New Roman" w:cs="Times New Roman"/>
                <w:sz w:val="18"/>
                <w:szCs w:val="18"/>
              </w:rPr>
              <w:t>0.619</w:t>
            </w:r>
          </w:p>
        </w:tc>
      </w:tr>
      <w:tr w:rsidR="00395BFE" w:rsidRPr="006207BC" w14:paraId="0F9CAB7E" w14:textId="77777777" w:rsidTr="005F4D35">
        <w:tc>
          <w:tcPr>
            <w:tcW w:w="9586" w:type="dxa"/>
            <w:gridSpan w:val="8"/>
            <w:tcBorders>
              <w:top w:val="single" w:sz="4" w:space="0" w:color="auto"/>
              <w:left w:val="nil"/>
              <w:bottom w:val="nil"/>
              <w:right w:val="nil"/>
            </w:tcBorders>
          </w:tcPr>
          <w:p w14:paraId="2FC40FBE" w14:textId="7B89669D" w:rsidR="00395BFE" w:rsidRPr="006207BC" w:rsidRDefault="00395BFE" w:rsidP="00395BFE">
            <w:pPr>
              <w:pStyle w:val="Default"/>
              <w:jc w:val="both"/>
              <w:rPr>
                <w:sz w:val="20"/>
                <w:szCs w:val="20"/>
                <w:lang w:val="en-GB"/>
              </w:rPr>
            </w:pPr>
            <w:r w:rsidRPr="006207BC">
              <w:rPr>
                <w:sz w:val="20"/>
                <w:szCs w:val="20"/>
                <w:lang w:val="en-GB"/>
              </w:rPr>
              <w:t xml:space="preserve">This table reports the results of robustness checks of the effect of risk disclosure on analyst following using alternative measures for risk disclosure. The dependent variable, </w:t>
            </w:r>
            <w:r w:rsidRPr="006207BC">
              <w:rPr>
                <w:i/>
                <w:sz w:val="20"/>
                <w:szCs w:val="20"/>
                <w:lang w:val="en-GB"/>
              </w:rPr>
              <w:t>Analyst</w:t>
            </w:r>
            <w:r w:rsidRPr="006207BC">
              <w:rPr>
                <w:sz w:val="20"/>
                <w:szCs w:val="20"/>
                <w:lang w:val="en-GB"/>
              </w:rPr>
              <w:t>, is the number of analysts following the firm. All independent variables are lagged by one year. See the Appendix for variable definitions. The total sample consists of 857 firm–year observations of non-financial and non-utility French firms on the SBF 120 index over the period 2007–2015. Year and industry dummies following Campbell’s (1996) classification are included in all the regressions. Coefficient standard errors are in parentheses beneath coefficient estimates. Standard errors are Huber</w:t>
            </w:r>
            <w:r w:rsidR="00EA1099" w:rsidRPr="006207BC">
              <w:rPr>
                <w:sz w:val="20"/>
                <w:szCs w:val="20"/>
              </w:rPr>
              <w:t>–</w:t>
            </w:r>
            <w:r w:rsidRPr="006207BC">
              <w:rPr>
                <w:sz w:val="20"/>
                <w:szCs w:val="20"/>
                <w:lang w:val="en-GB"/>
              </w:rPr>
              <w:t>White heteroskedastic robust and clustered by firm. *, **, and *** indicate significance at the 10%, 5%, and 1% levels, respectively.</w:t>
            </w:r>
          </w:p>
        </w:tc>
      </w:tr>
    </w:tbl>
    <w:p w14:paraId="66B514BC" w14:textId="77777777" w:rsidR="00C20459" w:rsidRPr="006207BC" w:rsidRDefault="00A61DC5">
      <w:pPr>
        <w:rPr>
          <w:rFonts w:ascii="Times New Roman" w:hAnsi="Times New Roman" w:cs="Times New Roman"/>
        </w:rPr>
      </w:pPr>
      <w:r w:rsidRPr="006207BC">
        <w:rPr>
          <w:rFonts w:ascii="Times New Roman" w:hAnsi="Times New Roman" w:cs="Times New Roman"/>
        </w:rPr>
        <w:br w:type="page"/>
      </w:r>
    </w:p>
    <w:p w14:paraId="4BE95AC5" w14:textId="0E580D32" w:rsidR="00C20459" w:rsidRPr="006207BC" w:rsidRDefault="00A61DC5">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lastRenderedPageBreak/>
        <w:t xml:space="preserve">Table </w:t>
      </w:r>
      <w:r w:rsidR="001B3394" w:rsidRPr="006207BC">
        <w:rPr>
          <w:rFonts w:ascii="Times New Roman" w:hAnsi="Times New Roman" w:cs="Times New Roman"/>
          <w:sz w:val="20"/>
          <w:szCs w:val="20"/>
        </w:rPr>
        <w:t>7</w:t>
      </w:r>
      <w:r w:rsidRPr="006207BC">
        <w:rPr>
          <w:rFonts w:ascii="Times New Roman" w:hAnsi="Times New Roman" w:cs="Times New Roman"/>
          <w:sz w:val="20"/>
          <w:szCs w:val="20"/>
        </w:rPr>
        <w:t xml:space="preserve">. Robustness checks: Alternative statistical techniques       </w:t>
      </w:r>
    </w:p>
    <w:tbl>
      <w:tblPr>
        <w:tblW w:w="9900" w:type="dxa"/>
        <w:tblInd w:w="-360" w:type="dxa"/>
        <w:tblLayout w:type="fixed"/>
        <w:tblCellMar>
          <w:left w:w="75" w:type="dxa"/>
          <w:right w:w="75" w:type="dxa"/>
        </w:tblCellMar>
        <w:tblLook w:val="0000" w:firstRow="0" w:lastRow="0" w:firstColumn="0" w:lastColumn="0" w:noHBand="0" w:noVBand="0"/>
      </w:tblPr>
      <w:tblGrid>
        <w:gridCol w:w="1983"/>
        <w:gridCol w:w="1134"/>
        <w:gridCol w:w="1184"/>
        <w:gridCol w:w="1189"/>
        <w:gridCol w:w="1080"/>
        <w:gridCol w:w="1080"/>
        <w:gridCol w:w="1080"/>
        <w:gridCol w:w="1170"/>
      </w:tblGrid>
      <w:tr w:rsidR="00785FF2" w:rsidRPr="006207BC" w14:paraId="79011B8D" w14:textId="77777777" w:rsidTr="0097757C">
        <w:tc>
          <w:tcPr>
            <w:tcW w:w="1983" w:type="dxa"/>
          </w:tcPr>
          <w:p w14:paraId="524C15AD" w14:textId="77777777" w:rsidR="00785FF2" w:rsidRPr="006207BC" w:rsidRDefault="00785FF2" w:rsidP="0044608F">
            <w:pPr>
              <w:autoSpaceDE w:val="0"/>
              <w:autoSpaceDN w:val="0"/>
              <w:adjustRightInd w:val="0"/>
              <w:spacing w:after="0" w:line="240" w:lineRule="auto"/>
              <w:jc w:val="center"/>
              <w:rPr>
                <w:rFonts w:ascii="Times New Roman" w:hAnsi="Times New Roman" w:cs="Times New Roman"/>
                <w:sz w:val="20"/>
                <w:szCs w:val="20"/>
              </w:rPr>
            </w:pPr>
          </w:p>
        </w:tc>
        <w:tc>
          <w:tcPr>
            <w:tcW w:w="1134" w:type="dxa"/>
          </w:tcPr>
          <w:p w14:paraId="4BE86D1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GMM</w:t>
            </w:r>
          </w:p>
        </w:tc>
        <w:tc>
          <w:tcPr>
            <w:tcW w:w="1184" w:type="dxa"/>
          </w:tcPr>
          <w:p w14:paraId="2EAD934D" w14:textId="27F2B8D5"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Fama–Mac</w:t>
            </w:r>
            <w:r w:rsidR="00BC3D9C" w:rsidRPr="006207BC">
              <w:rPr>
                <w:rFonts w:ascii="Times New Roman" w:hAnsi="Times New Roman" w:cs="Times New Roman"/>
                <w:sz w:val="20"/>
                <w:szCs w:val="20"/>
              </w:rPr>
              <w:t>B</w:t>
            </w:r>
            <w:r w:rsidRPr="006207BC">
              <w:rPr>
                <w:rFonts w:ascii="Times New Roman" w:hAnsi="Times New Roman" w:cs="Times New Roman"/>
                <w:sz w:val="20"/>
                <w:szCs w:val="20"/>
              </w:rPr>
              <w:t>eth</w:t>
            </w:r>
          </w:p>
        </w:tc>
        <w:tc>
          <w:tcPr>
            <w:tcW w:w="1189" w:type="dxa"/>
          </w:tcPr>
          <w:p w14:paraId="53F8AE3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WLS</w:t>
            </w:r>
          </w:p>
        </w:tc>
        <w:tc>
          <w:tcPr>
            <w:tcW w:w="1080" w:type="dxa"/>
          </w:tcPr>
          <w:p w14:paraId="063F50A4" w14:textId="40570B2A"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Random effect</w:t>
            </w:r>
          </w:p>
        </w:tc>
        <w:tc>
          <w:tcPr>
            <w:tcW w:w="1080" w:type="dxa"/>
          </w:tcPr>
          <w:p w14:paraId="460557F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Negative binomial</w:t>
            </w:r>
          </w:p>
        </w:tc>
        <w:tc>
          <w:tcPr>
            <w:tcW w:w="1080" w:type="dxa"/>
          </w:tcPr>
          <w:p w14:paraId="560C043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Poisson</w:t>
            </w:r>
          </w:p>
        </w:tc>
        <w:tc>
          <w:tcPr>
            <w:tcW w:w="1170" w:type="dxa"/>
          </w:tcPr>
          <w:p w14:paraId="260A338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Logit</w:t>
            </w:r>
          </w:p>
        </w:tc>
      </w:tr>
      <w:tr w:rsidR="00785FF2" w:rsidRPr="006207BC" w14:paraId="5F9E3369" w14:textId="77777777" w:rsidTr="0097757C">
        <w:tc>
          <w:tcPr>
            <w:tcW w:w="1983" w:type="dxa"/>
            <w:tcBorders>
              <w:bottom w:val="single" w:sz="4" w:space="0" w:color="auto"/>
            </w:tcBorders>
          </w:tcPr>
          <w:p w14:paraId="3A8AF7EB" w14:textId="77777777" w:rsidR="00785FF2" w:rsidRPr="006207BC" w:rsidRDefault="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Variable</w:t>
            </w:r>
          </w:p>
        </w:tc>
        <w:tc>
          <w:tcPr>
            <w:tcW w:w="1134" w:type="dxa"/>
            <w:tcBorders>
              <w:bottom w:val="single" w:sz="4" w:space="0" w:color="auto"/>
            </w:tcBorders>
          </w:tcPr>
          <w:p w14:paraId="0055CA6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w:t>
            </w:r>
          </w:p>
        </w:tc>
        <w:tc>
          <w:tcPr>
            <w:tcW w:w="1184" w:type="dxa"/>
            <w:tcBorders>
              <w:bottom w:val="single" w:sz="4" w:space="0" w:color="auto"/>
            </w:tcBorders>
          </w:tcPr>
          <w:p w14:paraId="76430864"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(2)</w:t>
            </w:r>
          </w:p>
        </w:tc>
        <w:tc>
          <w:tcPr>
            <w:tcW w:w="1189" w:type="dxa"/>
            <w:tcBorders>
              <w:bottom w:val="single" w:sz="4" w:space="0" w:color="auto"/>
            </w:tcBorders>
          </w:tcPr>
          <w:p w14:paraId="04A5D3E7"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(3)</w:t>
            </w:r>
          </w:p>
        </w:tc>
        <w:tc>
          <w:tcPr>
            <w:tcW w:w="1080" w:type="dxa"/>
            <w:tcBorders>
              <w:bottom w:val="single" w:sz="4" w:space="0" w:color="auto"/>
            </w:tcBorders>
          </w:tcPr>
          <w:p w14:paraId="68BEF23F"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(4)</w:t>
            </w:r>
          </w:p>
        </w:tc>
        <w:tc>
          <w:tcPr>
            <w:tcW w:w="1080" w:type="dxa"/>
            <w:tcBorders>
              <w:bottom w:val="single" w:sz="4" w:space="0" w:color="auto"/>
            </w:tcBorders>
          </w:tcPr>
          <w:p w14:paraId="006056F9"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(5)</w:t>
            </w:r>
          </w:p>
        </w:tc>
        <w:tc>
          <w:tcPr>
            <w:tcW w:w="1080" w:type="dxa"/>
            <w:tcBorders>
              <w:bottom w:val="single" w:sz="4" w:space="0" w:color="auto"/>
            </w:tcBorders>
          </w:tcPr>
          <w:p w14:paraId="0AF53A25"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(6)</w:t>
            </w:r>
          </w:p>
        </w:tc>
        <w:tc>
          <w:tcPr>
            <w:tcW w:w="1170" w:type="dxa"/>
            <w:tcBorders>
              <w:bottom w:val="single" w:sz="4" w:space="0" w:color="auto"/>
            </w:tcBorders>
          </w:tcPr>
          <w:p w14:paraId="7CC44CF2"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(7)</w:t>
            </w:r>
          </w:p>
        </w:tc>
      </w:tr>
      <w:tr w:rsidR="00785FF2" w:rsidRPr="006207BC" w14:paraId="5873B192" w14:textId="77777777" w:rsidTr="0097757C">
        <w:trPr>
          <w:trHeight w:val="143"/>
        </w:trPr>
        <w:tc>
          <w:tcPr>
            <w:tcW w:w="1983" w:type="dxa"/>
            <w:tcBorders>
              <w:top w:val="single" w:sz="4" w:space="0" w:color="auto"/>
            </w:tcBorders>
          </w:tcPr>
          <w:p w14:paraId="53273722" w14:textId="77777777" w:rsidR="00785FF2" w:rsidRPr="006207BC" w:rsidRDefault="00785FF2">
            <w:pPr>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Risk_sentences</w:t>
            </w:r>
          </w:p>
        </w:tc>
        <w:tc>
          <w:tcPr>
            <w:tcW w:w="1134" w:type="dxa"/>
            <w:tcBorders>
              <w:top w:val="single" w:sz="4" w:space="0" w:color="auto"/>
            </w:tcBorders>
          </w:tcPr>
          <w:p w14:paraId="227AF41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1.5069***</w:t>
            </w:r>
          </w:p>
        </w:tc>
        <w:tc>
          <w:tcPr>
            <w:tcW w:w="1184" w:type="dxa"/>
            <w:tcBorders>
              <w:top w:val="single" w:sz="4" w:space="0" w:color="auto"/>
            </w:tcBorders>
          </w:tcPr>
          <w:p w14:paraId="61F2B69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3.0474***</w:t>
            </w:r>
          </w:p>
        </w:tc>
        <w:tc>
          <w:tcPr>
            <w:tcW w:w="1189" w:type="dxa"/>
            <w:tcBorders>
              <w:top w:val="single" w:sz="4" w:space="0" w:color="auto"/>
            </w:tcBorders>
          </w:tcPr>
          <w:p w14:paraId="3753034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4.0445***</w:t>
            </w:r>
          </w:p>
        </w:tc>
        <w:tc>
          <w:tcPr>
            <w:tcW w:w="1080" w:type="dxa"/>
            <w:tcBorders>
              <w:top w:val="single" w:sz="4" w:space="0" w:color="auto"/>
            </w:tcBorders>
          </w:tcPr>
          <w:p w14:paraId="06B1F83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2.2949***</w:t>
            </w:r>
          </w:p>
        </w:tc>
        <w:tc>
          <w:tcPr>
            <w:tcW w:w="1080" w:type="dxa"/>
            <w:tcBorders>
              <w:top w:val="single" w:sz="4" w:space="0" w:color="auto"/>
            </w:tcBorders>
          </w:tcPr>
          <w:p w14:paraId="748C10A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0.1882***</w:t>
            </w:r>
          </w:p>
        </w:tc>
        <w:tc>
          <w:tcPr>
            <w:tcW w:w="1080" w:type="dxa"/>
            <w:tcBorders>
              <w:top w:val="single" w:sz="4" w:space="0" w:color="auto"/>
            </w:tcBorders>
          </w:tcPr>
          <w:p w14:paraId="3C6792C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0.1714***</w:t>
            </w:r>
          </w:p>
        </w:tc>
        <w:tc>
          <w:tcPr>
            <w:tcW w:w="1170" w:type="dxa"/>
            <w:tcBorders>
              <w:top w:val="single" w:sz="4" w:space="0" w:color="auto"/>
            </w:tcBorders>
          </w:tcPr>
          <w:p w14:paraId="6C76106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1.3869***</w:t>
            </w:r>
          </w:p>
        </w:tc>
      </w:tr>
      <w:tr w:rsidR="00785FF2" w:rsidRPr="006207BC" w14:paraId="7EF127FF" w14:textId="77777777" w:rsidTr="0097757C">
        <w:tc>
          <w:tcPr>
            <w:tcW w:w="1983" w:type="dxa"/>
          </w:tcPr>
          <w:p w14:paraId="6970197C" w14:textId="77777777" w:rsidR="00785FF2" w:rsidRPr="006207BC" w:rsidRDefault="00785FF2">
            <w:pPr>
              <w:autoSpaceDE w:val="0"/>
              <w:autoSpaceDN w:val="0"/>
              <w:adjustRightInd w:val="0"/>
              <w:spacing w:after="0" w:line="240" w:lineRule="auto"/>
              <w:rPr>
                <w:rFonts w:ascii="Times New Roman" w:hAnsi="Times New Roman" w:cs="Times New Roman"/>
                <w:i/>
                <w:sz w:val="20"/>
                <w:szCs w:val="20"/>
              </w:rPr>
            </w:pPr>
          </w:p>
        </w:tc>
        <w:tc>
          <w:tcPr>
            <w:tcW w:w="1134" w:type="dxa"/>
          </w:tcPr>
          <w:p w14:paraId="0C8E960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(0.4296)</w:t>
            </w:r>
          </w:p>
        </w:tc>
        <w:tc>
          <w:tcPr>
            <w:tcW w:w="1184" w:type="dxa"/>
          </w:tcPr>
          <w:p w14:paraId="551E0DD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(0.2039)</w:t>
            </w:r>
          </w:p>
        </w:tc>
        <w:tc>
          <w:tcPr>
            <w:tcW w:w="1189" w:type="dxa"/>
          </w:tcPr>
          <w:p w14:paraId="7D05CAA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(0.2767)</w:t>
            </w:r>
          </w:p>
        </w:tc>
        <w:tc>
          <w:tcPr>
            <w:tcW w:w="1080" w:type="dxa"/>
          </w:tcPr>
          <w:p w14:paraId="623BF81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(0.3678)</w:t>
            </w:r>
          </w:p>
        </w:tc>
        <w:tc>
          <w:tcPr>
            <w:tcW w:w="1080" w:type="dxa"/>
          </w:tcPr>
          <w:p w14:paraId="31A9E77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(0.0196)</w:t>
            </w:r>
          </w:p>
        </w:tc>
        <w:tc>
          <w:tcPr>
            <w:tcW w:w="1080" w:type="dxa"/>
          </w:tcPr>
          <w:p w14:paraId="5E21C141"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(0.0191)</w:t>
            </w:r>
          </w:p>
        </w:tc>
        <w:tc>
          <w:tcPr>
            <w:tcW w:w="1170" w:type="dxa"/>
          </w:tcPr>
          <w:p w14:paraId="4FFFD29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(0.5002)</w:t>
            </w:r>
          </w:p>
        </w:tc>
      </w:tr>
      <w:tr w:rsidR="00785FF2" w:rsidRPr="006207BC" w14:paraId="7C91F992" w14:textId="77777777" w:rsidTr="0097757C">
        <w:tc>
          <w:tcPr>
            <w:tcW w:w="1983" w:type="dxa"/>
          </w:tcPr>
          <w:p w14:paraId="04985362" w14:textId="632F2B21" w:rsidR="00785FF2" w:rsidRPr="006207BC" w:rsidRDefault="00B025A1">
            <w:pPr>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Ownership</w:t>
            </w:r>
          </w:p>
        </w:tc>
        <w:tc>
          <w:tcPr>
            <w:tcW w:w="1134" w:type="dxa"/>
          </w:tcPr>
          <w:p w14:paraId="62C37FE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-4.3748**</w:t>
            </w:r>
          </w:p>
        </w:tc>
        <w:tc>
          <w:tcPr>
            <w:tcW w:w="1184" w:type="dxa"/>
          </w:tcPr>
          <w:p w14:paraId="010E048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-3.8931***</w:t>
            </w:r>
          </w:p>
        </w:tc>
        <w:tc>
          <w:tcPr>
            <w:tcW w:w="1189" w:type="dxa"/>
          </w:tcPr>
          <w:p w14:paraId="11D0797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-3.4583***</w:t>
            </w:r>
          </w:p>
        </w:tc>
        <w:tc>
          <w:tcPr>
            <w:tcW w:w="1080" w:type="dxa"/>
          </w:tcPr>
          <w:p w14:paraId="05CFF26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-3.4336***</w:t>
            </w:r>
          </w:p>
        </w:tc>
        <w:tc>
          <w:tcPr>
            <w:tcW w:w="1080" w:type="dxa"/>
          </w:tcPr>
          <w:p w14:paraId="1593B65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-0.2243***</w:t>
            </w:r>
          </w:p>
        </w:tc>
        <w:tc>
          <w:tcPr>
            <w:tcW w:w="1080" w:type="dxa"/>
          </w:tcPr>
          <w:p w14:paraId="5EC72A6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-0.1923***</w:t>
            </w:r>
          </w:p>
        </w:tc>
        <w:tc>
          <w:tcPr>
            <w:tcW w:w="1170" w:type="dxa"/>
          </w:tcPr>
          <w:p w14:paraId="19B22D6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-1.4039</w:t>
            </w:r>
          </w:p>
        </w:tc>
      </w:tr>
      <w:tr w:rsidR="00785FF2" w:rsidRPr="006207BC" w14:paraId="29AE1AE2" w14:textId="77777777" w:rsidTr="0097757C">
        <w:tc>
          <w:tcPr>
            <w:tcW w:w="1983" w:type="dxa"/>
          </w:tcPr>
          <w:p w14:paraId="072052E0" w14:textId="77777777" w:rsidR="00785FF2" w:rsidRPr="006207BC" w:rsidRDefault="00785FF2">
            <w:pPr>
              <w:autoSpaceDE w:val="0"/>
              <w:autoSpaceDN w:val="0"/>
              <w:adjustRightInd w:val="0"/>
              <w:spacing w:after="0" w:line="240" w:lineRule="auto"/>
              <w:rPr>
                <w:rFonts w:ascii="Times New Roman" w:hAnsi="Times New Roman" w:cs="Times New Roman"/>
                <w:i/>
                <w:sz w:val="20"/>
                <w:szCs w:val="20"/>
              </w:rPr>
            </w:pPr>
          </w:p>
        </w:tc>
        <w:tc>
          <w:tcPr>
            <w:tcW w:w="1134" w:type="dxa"/>
          </w:tcPr>
          <w:p w14:paraId="7E18002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(2.2300)</w:t>
            </w:r>
          </w:p>
        </w:tc>
        <w:tc>
          <w:tcPr>
            <w:tcW w:w="1184" w:type="dxa"/>
          </w:tcPr>
          <w:p w14:paraId="79CB2C3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(0.5282)</w:t>
            </w:r>
          </w:p>
        </w:tc>
        <w:tc>
          <w:tcPr>
            <w:tcW w:w="1189" w:type="dxa"/>
          </w:tcPr>
          <w:p w14:paraId="026C159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(0.6565)</w:t>
            </w:r>
          </w:p>
        </w:tc>
        <w:tc>
          <w:tcPr>
            <w:tcW w:w="1080" w:type="dxa"/>
          </w:tcPr>
          <w:p w14:paraId="07862DF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(1.2032)</w:t>
            </w:r>
          </w:p>
        </w:tc>
        <w:tc>
          <w:tcPr>
            <w:tcW w:w="1080" w:type="dxa"/>
          </w:tcPr>
          <w:p w14:paraId="419CF401"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(0.0479)</w:t>
            </w:r>
          </w:p>
        </w:tc>
        <w:tc>
          <w:tcPr>
            <w:tcW w:w="1080" w:type="dxa"/>
          </w:tcPr>
          <w:p w14:paraId="3D49B47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(0.0501)</w:t>
            </w:r>
          </w:p>
        </w:tc>
        <w:tc>
          <w:tcPr>
            <w:tcW w:w="1170" w:type="dxa"/>
          </w:tcPr>
          <w:p w14:paraId="4F9C987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(0.9967)</w:t>
            </w:r>
          </w:p>
        </w:tc>
      </w:tr>
      <w:tr w:rsidR="00785FF2" w:rsidRPr="006207BC" w14:paraId="798FAF5D" w14:textId="77777777" w:rsidTr="0097757C">
        <w:tc>
          <w:tcPr>
            <w:tcW w:w="1983" w:type="dxa"/>
          </w:tcPr>
          <w:p w14:paraId="174A1F3B"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Size</w:t>
            </w:r>
          </w:p>
        </w:tc>
        <w:tc>
          <w:tcPr>
            <w:tcW w:w="1134" w:type="dxa"/>
          </w:tcPr>
          <w:p w14:paraId="119CC6B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5.5759***</w:t>
            </w:r>
          </w:p>
        </w:tc>
        <w:tc>
          <w:tcPr>
            <w:tcW w:w="1184" w:type="dxa"/>
          </w:tcPr>
          <w:p w14:paraId="468041B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7.3312***</w:t>
            </w:r>
          </w:p>
        </w:tc>
        <w:tc>
          <w:tcPr>
            <w:tcW w:w="1189" w:type="dxa"/>
          </w:tcPr>
          <w:p w14:paraId="4166885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8.3636***</w:t>
            </w:r>
          </w:p>
        </w:tc>
        <w:tc>
          <w:tcPr>
            <w:tcW w:w="1080" w:type="dxa"/>
          </w:tcPr>
          <w:p w14:paraId="158835B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7.4824***</w:t>
            </w:r>
          </w:p>
        </w:tc>
        <w:tc>
          <w:tcPr>
            <w:tcW w:w="1080" w:type="dxa"/>
          </w:tcPr>
          <w:p w14:paraId="2580658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0.4712***</w:t>
            </w:r>
          </w:p>
        </w:tc>
        <w:tc>
          <w:tcPr>
            <w:tcW w:w="1080" w:type="dxa"/>
          </w:tcPr>
          <w:p w14:paraId="49C29AB1"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0.4616***</w:t>
            </w:r>
          </w:p>
        </w:tc>
        <w:tc>
          <w:tcPr>
            <w:tcW w:w="1170" w:type="dxa"/>
          </w:tcPr>
          <w:p w14:paraId="49B5652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3.2932***</w:t>
            </w:r>
          </w:p>
        </w:tc>
      </w:tr>
      <w:tr w:rsidR="00785FF2" w:rsidRPr="006207BC" w14:paraId="2249FD12" w14:textId="77777777" w:rsidTr="0097757C">
        <w:tc>
          <w:tcPr>
            <w:tcW w:w="1983" w:type="dxa"/>
          </w:tcPr>
          <w:p w14:paraId="184789CF"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0B7E89F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(0.7387)</w:t>
            </w:r>
          </w:p>
        </w:tc>
        <w:tc>
          <w:tcPr>
            <w:tcW w:w="1184" w:type="dxa"/>
          </w:tcPr>
          <w:p w14:paraId="107F925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(0.3629)</w:t>
            </w:r>
          </w:p>
        </w:tc>
        <w:tc>
          <w:tcPr>
            <w:tcW w:w="1189" w:type="dxa"/>
          </w:tcPr>
          <w:p w14:paraId="091CC8C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(0.2928)</w:t>
            </w:r>
          </w:p>
        </w:tc>
        <w:tc>
          <w:tcPr>
            <w:tcW w:w="1080" w:type="dxa"/>
          </w:tcPr>
          <w:p w14:paraId="304F393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(0.5938)</w:t>
            </w:r>
          </w:p>
        </w:tc>
        <w:tc>
          <w:tcPr>
            <w:tcW w:w="1080" w:type="dxa"/>
          </w:tcPr>
          <w:p w14:paraId="6A537C7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(0.0253)</w:t>
            </w:r>
          </w:p>
        </w:tc>
        <w:tc>
          <w:tcPr>
            <w:tcW w:w="1080" w:type="dxa"/>
          </w:tcPr>
          <w:p w14:paraId="1FDA36D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(0.0291)</w:t>
            </w:r>
          </w:p>
        </w:tc>
        <w:tc>
          <w:tcPr>
            <w:tcW w:w="1170" w:type="dxa"/>
          </w:tcPr>
          <w:p w14:paraId="1175F77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(0.6256)</w:t>
            </w:r>
          </w:p>
        </w:tc>
      </w:tr>
      <w:tr w:rsidR="00785FF2" w:rsidRPr="006207BC" w14:paraId="69D021D0" w14:textId="77777777" w:rsidTr="0097757C">
        <w:tc>
          <w:tcPr>
            <w:tcW w:w="1983" w:type="dxa"/>
          </w:tcPr>
          <w:p w14:paraId="0B7E6832"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Beta</w:t>
            </w:r>
          </w:p>
        </w:tc>
        <w:tc>
          <w:tcPr>
            <w:tcW w:w="1134" w:type="dxa"/>
          </w:tcPr>
          <w:p w14:paraId="0B6FF2A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0.5152</w:t>
            </w:r>
          </w:p>
        </w:tc>
        <w:tc>
          <w:tcPr>
            <w:tcW w:w="1184" w:type="dxa"/>
          </w:tcPr>
          <w:p w14:paraId="60BD864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4.6973***</w:t>
            </w:r>
          </w:p>
        </w:tc>
        <w:tc>
          <w:tcPr>
            <w:tcW w:w="1189" w:type="dxa"/>
          </w:tcPr>
          <w:p w14:paraId="61D52AC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5.4590***</w:t>
            </w:r>
          </w:p>
        </w:tc>
        <w:tc>
          <w:tcPr>
            <w:tcW w:w="1080" w:type="dxa"/>
          </w:tcPr>
          <w:p w14:paraId="49D818F2"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1.4134**</w:t>
            </w:r>
          </w:p>
        </w:tc>
        <w:tc>
          <w:tcPr>
            <w:tcW w:w="1080" w:type="dxa"/>
          </w:tcPr>
          <w:p w14:paraId="0241DC4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0.3810***</w:t>
            </w:r>
          </w:p>
        </w:tc>
        <w:tc>
          <w:tcPr>
            <w:tcW w:w="1080" w:type="dxa"/>
          </w:tcPr>
          <w:p w14:paraId="33AC338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0.3705***</w:t>
            </w:r>
          </w:p>
        </w:tc>
        <w:tc>
          <w:tcPr>
            <w:tcW w:w="1170" w:type="dxa"/>
          </w:tcPr>
          <w:p w14:paraId="7041DAE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2.6674***</w:t>
            </w:r>
          </w:p>
        </w:tc>
      </w:tr>
      <w:tr w:rsidR="00785FF2" w:rsidRPr="006207BC" w14:paraId="3B2B7290" w14:textId="77777777" w:rsidTr="0097757C">
        <w:tc>
          <w:tcPr>
            <w:tcW w:w="1983" w:type="dxa"/>
          </w:tcPr>
          <w:p w14:paraId="70AE0DB7"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6051078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(0.5671)</w:t>
            </w:r>
          </w:p>
        </w:tc>
        <w:tc>
          <w:tcPr>
            <w:tcW w:w="1184" w:type="dxa"/>
          </w:tcPr>
          <w:p w14:paraId="1F9BF05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(0.7843)</w:t>
            </w:r>
          </w:p>
        </w:tc>
        <w:tc>
          <w:tcPr>
            <w:tcW w:w="1189" w:type="dxa"/>
          </w:tcPr>
          <w:p w14:paraId="3C5EEE1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(0.5881)</w:t>
            </w:r>
          </w:p>
        </w:tc>
        <w:tc>
          <w:tcPr>
            <w:tcW w:w="1080" w:type="dxa"/>
          </w:tcPr>
          <w:p w14:paraId="20E1286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(0.5596)</w:t>
            </w:r>
          </w:p>
        </w:tc>
        <w:tc>
          <w:tcPr>
            <w:tcW w:w="1080" w:type="dxa"/>
          </w:tcPr>
          <w:p w14:paraId="78D7996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(0.0471)</w:t>
            </w:r>
          </w:p>
        </w:tc>
        <w:tc>
          <w:tcPr>
            <w:tcW w:w="1080" w:type="dxa"/>
          </w:tcPr>
          <w:p w14:paraId="0226230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(0.0585)</w:t>
            </w:r>
          </w:p>
        </w:tc>
        <w:tc>
          <w:tcPr>
            <w:tcW w:w="1170" w:type="dxa"/>
          </w:tcPr>
          <w:p w14:paraId="0C196B3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(0.5149)</w:t>
            </w:r>
          </w:p>
        </w:tc>
      </w:tr>
      <w:tr w:rsidR="00785FF2" w:rsidRPr="006207BC" w14:paraId="1F9EAE47" w14:textId="77777777" w:rsidTr="0097757C">
        <w:tc>
          <w:tcPr>
            <w:tcW w:w="1983" w:type="dxa"/>
          </w:tcPr>
          <w:p w14:paraId="0CD6DE4D"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Earnings surprise</w:t>
            </w:r>
          </w:p>
        </w:tc>
        <w:tc>
          <w:tcPr>
            <w:tcW w:w="1134" w:type="dxa"/>
          </w:tcPr>
          <w:p w14:paraId="2A1AD73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0.2940</w:t>
            </w:r>
          </w:p>
        </w:tc>
        <w:tc>
          <w:tcPr>
            <w:tcW w:w="1184" w:type="dxa"/>
          </w:tcPr>
          <w:p w14:paraId="62BFF98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-1.1103</w:t>
            </w:r>
          </w:p>
        </w:tc>
        <w:tc>
          <w:tcPr>
            <w:tcW w:w="1189" w:type="dxa"/>
          </w:tcPr>
          <w:p w14:paraId="79D49CF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0.5351</w:t>
            </w:r>
          </w:p>
        </w:tc>
        <w:tc>
          <w:tcPr>
            <w:tcW w:w="1080" w:type="dxa"/>
          </w:tcPr>
          <w:p w14:paraId="6C9773C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0.4223</w:t>
            </w:r>
          </w:p>
        </w:tc>
        <w:tc>
          <w:tcPr>
            <w:tcW w:w="1080" w:type="dxa"/>
          </w:tcPr>
          <w:p w14:paraId="0942238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-0.0010</w:t>
            </w:r>
          </w:p>
        </w:tc>
        <w:tc>
          <w:tcPr>
            <w:tcW w:w="1080" w:type="dxa"/>
          </w:tcPr>
          <w:p w14:paraId="495940A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-0.0059</w:t>
            </w:r>
          </w:p>
        </w:tc>
        <w:tc>
          <w:tcPr>
            <w:tcW w:w="1170" w:type="dxa"/>
          </w:tcPr>
          <w:p w14:paraId="00129F11"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-0.3963</w:t>
            </w:r>
          </w:p>
        </w:tc>
      </w:tr>
      <w:tr w:rsidR="00785FF2" w:rsidRPr="006207BC" w14:paraId="7B4B8CE2" w14:textId="77777777" w:rsidTr="0097757C">
        <w:tc>
          <w:tcPr>
            <w:tcW w:w="1983" w:type="dxa"/>
          </w:tcPr>
          <w:p w14:paraId="2590A240"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38AD3D8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(0.4745)</w:t>
            </w:r>
          </w:p>
        </w:tc>
        <w:tc>
          <w:tcPr>
            <w:tcW w:w="1184" w:type="dxa"/>
          </w:tcPr>
          <w:p w14:paraId="691E3A6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(1.7607)</w:t>
            </w:r>
          </w:p>
        </w:tc>
        <w:tc>
          <w:tcPr>
            <w:tcW w:w="1189" w:type="dxa"/>
          </w:tcPr>
          <w:p w14:paraId="47B49EB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(0.7744)</w:t>
            </w:r>
          </w:p>
        </w:tc>
        <w:tc>
          <w:tcPr>
            <w:tcW w:w="1080" w:type="dxa"/>
          </w:tcPr>
          <w:p w14:paraId="7739F65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(0.7409)</w:t>
            </w:r>
          </w:p>
        </w:tc>
        <w:tc>
          <w:tcPr>
            <w:tcW w:w="1080" w:type="dxa"/>
          </w:tcPr>
          <w:p w14:paraId="05AC97B1"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(0.0784)</w:t>
            </w:r>
          </w:p>
        </w:tc>
        <w:tc>
          <w:tcPr>
            <w:tcW w:w="1080" w:type="dxa"/>
          </w:tcPr>
          <w:p w14:paraId="49440F62"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(0.0868)</w:t>
            </w:r>
          </w:p>
        </w:tc>
        <w:tc>
          <w:tcPr>
            <w:tcW w:w="1170" w:type="dxa"/>
          </w:tcPr>
          <w:p w14:paraId="530EF14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(0.5028)</w:t>
            </w:r>
          </w:p>
        </w:tc>
      </w:tr>
      <w:tr w:rsidR="00785FF2" w:rsidRPr="006207BC" w14:paraId="418B76A7" w14:textId="77777777" w:rsidTr="0097757C">
        <w:tc>
          <w:tcPr>
            <w:tcW w:w="1983" w:type="dxa"/>
          </w:tcPr>
          <w:p w14:paraId="1C68C399"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Return STD</w:t>
            </w:r>
          </w:p>
        </w:tc>
        <w:tc>
          <w:tcPr>
            <w:tcW w:w="1134" w:type="dxa"/>
          </w:tcPr>
          <w:p w14:paraId="7A24840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-0.1374</w:t>
            </w:r>
          </w:p>
        </w:tc>
        <w:tc>
          <w:tcPr>
            <w:tcW w:w="1184" w:type="dxa"/>
          </w:tcPr>
          <w:p w14:paraId="65EA946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-16.6367**</w:t>
            </w:r>
          </w:p>
        </w:tc>
        <w:tc>
          <w:tcPr>
            <w:tcW w:w="1189" w:type="dxa"/>
          </w:tcPr>
          <w:p w14:paraId="734D124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-13.8044***</w:t>
            </w:r>
          </w:p>
        </w:tc>
        <w:tc>
          <w:tcPr>
            <w:tcW w:w="1080" w:type="dxa"/>
          </w:tcPr>
          <w:p w14:paraId="6EC42C1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-6.7982***</w:t>
            </w:r>
          </w:p>
        </w:tc>
        <w:tc>
          <w:tcPr>
            <w:tcW w:w="1080" w:type="dxa"/>
          </w:tcPr>
          <w:p w14:paraId="76DBCAE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-1.2345***</w:t>
            </w:r>
          </w:p>
        </w:tc>
        <w:tc>
          <w:tcPr>
            <w:tcW w:w="1080" w:type="dxa"/>
          </w:tcPr>
          <w:p w14:paraId="6904502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-1.0047***</w:t>
            </w:r>
          </w:p>
        </w:tc>
        <w:tc>
          <w:tcPr>
            <w:tcW w:w="1170" w:type="dxa"/>
          </w:tcPr>
          <w:p w14:paraId="65836CE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-7.9563***</w:t>
            </w:r>
          </w:p>
        </w:tc>
      </w:tr>
      <w:tr w:rsidR="00785FF2" w:rsidRPr="006207BC" w14:paraId="6DC6321E" w14:textId="77777777" w:rsidTr="0097757C">
        <w:tc>
          <w:tcPr>
            <w:tcW w:w="1983" w:type="dxa"/>
          </w:tcPr>
          <w:p w14:paraId="1E53AF60"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0B7BAD0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(2.2682)</w:t>
            </w:r>
          </w:p>
        </w:tc>
        <w:tc>
          <w:tcPr>
            <w:tcW w:w="1184" w:type="dxa"/>
          </w:tcPr>
          <w:p w14:paraId="22A98D0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(5.1667)</w:t>
            </w:r>
          </w:p>
        </w:tc>
        <w:tc>
          <w:tcPr>
            <w:tcW w:w="1189" w:type="dxa"/>
          </w:tcPr>
          <w:p w14:paraId="5D943B2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(2.1032)</w:t>
            </w:r>
          </w:p>
        </w:tc>
        <w:tc>
          <w:tcPr>
            <w:tcW w:w="1080" w:type="dxa"/>
          </w:tcPr>
          <w:p w14:paraId="1AAF344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(1.9812)</w:t>
            </w:r>
          </w:p>
        </w:tc>
        <w:tc>
          <w:tcPr>
            <w:tcW w:w="1080" w:type="dxa"/>
          </w:tcPr>
          <w:p w14:paraId="4E760041"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(0.1662)</w:t>
            </w:r>
          </w:p>
        </w:tc>
        <w:tc>
          <w:tcPr>
            <w:tcW w:w="1080" w:type="dxa"/>
          </w:tcPr>
          <w:p w14:paraId="1FF4A3B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(0.2163)</w:t>
            </w:r>
          </w:p>
        </w:tc>
        <w:tc>
          <w:tcPr>
            <w:tcW w:w="1170" w:type="dxa"/>
          </w:tcPr>
          <w:p w14:paraId="073A799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(1.7181)</w:t>
            </w:r>
          </w:p>
        </w:tc>
      </w:tr>
      <w:tr w:rsidR="00785FF2" w:rsidRPr="006207BC" w14:paraId="4214626D" w14:textId="77777777" w:rsidTr="0097757C">
        <w:tc>
          <w:tcPr>
            <w:tcW w:w="1983" w:type="dxa"/>
          </w:tcPr>
          <w:p w14:paraId="677D98EA"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Profitability</w:t>
            </w:r>
          </w:p>
        </w:tc>
        <w:tc>
          <w:tcPr>
            <w:tcW w:w="1134" w:type="dxa"/>
          </w:tcPr>
          <w:p w14:paraId="5860382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2.9658*</w:t>
            </w:r>
          </w:p>
        </w:tc>
        <w:tc>
          <w:tcPr>
            <w:tcW w:w="1184" w:type="dxa"/>
          </w:tcPr>
          <w:p w14:paraId="7E560BC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9.4488***</w:t>
            </w:r>
          </w:p>
        </w:tc>
        <w:tc>
          <w:tcPr>
            <w:tcW w:w="1189" w:type="dxa"/>
          </w:tcPr>
          <w:p w14:paraId="460E973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-3.5981**</w:t>
            </w:r>
          </w:p>
        </w:tc>
        <w:tc>
          <w:tcPr>
            <w:tcW w:w="1080" w:type="dxa"/>
          </w:tcPr>
          <w:p w14:paraId="38CB6B8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2.2309</w:t>
            </w:r>
          </w:p>
        </w:tc>
        <w:tc>
          <w:tcPr>
            <w:tcW w:w="1080" w:type="dxa"/>
          </w:tcPr>
          <w:p w14:paraId="6EE7DD8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0.7589***</w:t>
            </w:r>
          </w:p>
        </w:tc>
        <w:tc>
          <w:tcPr>
            <w:tcW w:w="1080" w:type="dxa"/>
          </w:tcPr>
          <w:p w14:paraId="502A373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0.8009***</w:t>
            </w:r>
          </w:p>
        </w:tc>
        <w:tc>
          <w:tcPr>
            <w:tcW w:w="1170" w:type="dxa"/>
          </w:tcPr>
          <w:p w14:paraId="7E953B9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5.0354***</w:t>
            </w:r>
          </w:p>
        </w:tc>
      </w:tr>
      <w:tr w:rsidR="00785FF2" w:rsidRPr="006207BC" w14:paraId="31BB9F0A" w14:textId="77777777" w:rsidTr="0097757C">
        <w:tc>
          <w:tcPr>
            <w:tcW w:w="1983" w:type="dxa"/>
          </w:tcPr>
          <w:p w14:paraId="2310D7C0"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5831A6A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(1.7562)</w:t>
            </w:r>
          </w:p>
        </w:tc>
        <w:tc>
          <w:tcPr>
            <w:tcW w:w="1184" w:type="dxa"/>
          </w:tcPr>
          <w:p w14:paraId="03D366E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(1.4327)</w:t>
            </w:r>
          </w:p>
        </w:tc>
        <w:tc>
          <w:tcPr>
            <w:tcW w:w="1189" w:type="dxa"/>
          </w:tcPr>
          <w:p w14:paraId="6020818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(1.6471)</w:t>
            </w:r>
          </w:p>
        </w:tc>
        <w:tc>
          <w:tcPr>
            <w:tcW w:w="1080" w:type="dxa"/>
          </w:tcPr>
          <w:p w14:paraId="5A15829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(1.7068)</w:t>
            </w:r>
          </w:p>
        </w:tc>
        <w:tc>
          <w:tcPr>
            <w:tcW w:w="1080" w:type="dxa"/>
          </w:tcPr>
          <w:p w14:paraId="06409CD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(0.1385)</w:t>
            </w:r>
          </w:p>
        </w:tc>
        <w:tc>
          <w:tcPr>
            <w:tcW w:w="1080" w:type="dxa"/>
          </w:tcPr>
          <w:p w14:paraId="77CD11A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(0.1568)</w:t>
            </w:r>
          </w:p>
        </w:tc>
        <w:tc>
          <w:tcPr>
            <w:tcW w:w="1170" w:type="dxa"/>
          </w:tcPr>
          <w:p w14:paraId="112C47E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(1.8598)</w:t>
            </w:r>
          </w:p>
        </w:tc>
      </w:tr>
      <w:tr w:rsidR="00785FF2" w:rsidRPr="006207BC" w14:paraId="68C8FBA5" w14:textId="77777777" w:rsidTr="0097757C">
        <w:tc>
          <w:tcPr>
            <w:tcW w:w="1983" w:type="dxa"/>
          </w:tcPr>
          <w:p w14:paraId="05D10BFE"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Market-to-book</w:t>
            </w:r>
          </w:p>
        </w:tc>
        <w:tc>
          <w:tcPr>
            <w:tcW w:w="1134" w:type="dxa"/>
          </w:tcPr>
          <w:p w14:paraId="3FC5BC1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1.8360***</w:t>
            </w:r>
          </w:p>
        </w:tc>
        <w:tc>
          <w:tcPr>
            <w:tcW w:w="1184" w:type="dxa"/>
          </w:tcPr>
          <w:p w14:paraId="1FCD3CE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2.2989***</w:t>
            </w:r>
          </w:p>
        </w:tc>
        <w:tc>
          <w:tcPr>
            <w:tcW w:w="1189" w:type="dxa"/>
          </w:tcPr>
          <w:p w14:paraId="1FA7655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5.0559***</w:t>
            </w:r>
          </w:p>
        </w:tc>
        <w:tc>
          <w:tcPr>
            <w:tcW w:w="1080" w:type="dxa"/>
          </w:tcPr>
          <w:p w14:paraId="73E8274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1.4459***</w:t>
            </w:r>
          </w:p>
        </w:tc>
        <w:tc>
          <w:tcPr>
            <w:tcW w:w="1080" w:type="dxa"/>
          </w:tcPr>
          <w:p w14:paraId="2C38AD9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0.1353***</w:t>
            </w:r>
          </w:p>
        </w:tc>
        <w:tc>
          <w:tcPr>
            <w:tcW w:w="1080" w:type="dxa"/>
          </w:tcPr>
          <w:p w14:paraId="1568FE3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0.1353***</w:t>
            </w:r>
          </w:p>
        </w:tc>
        <w:tc>
          <w:tcPr>
            <w:tcW w:w="1170" w:type="dxa"/>
          </w:tcPr>
          <w:p w14:paraId="77EDFEF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1.0263***</w:t>
            </w:r>
          </w:p>
        </w:tc>
      </w:tr>
      <w:tr w:rsidR="00785FF2" w:rsidRPr="006207BC" w14:paraId="06E344F2" w14:textId="77777777" w:rsidTr="0097757C">
        <w:tc>
          <w:tcPr>
            <w:tcW w:w="1983" w:type="dxa"/>
          </w:tcPr>
          <w:p w14:paraId="016AE4BB"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7CD5782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(0.2386)</w:t>
            </w:r>
          </w:p>
        </w:tc>
        <w:tc>
          <w:tcPr>
            <w:tcW w:w="1184" w:type="dxa"/>
          </w:tcPr>
          <w:p w14:paraId="246E6B8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(0.3068)</w:t>
            </w:r>
          </w:p>
        </w:tc>
        <w:tc>
          <w:tcPr>
            <w:tcW w:w="1189" w:type="dxa"/>
          </w:tcPr>
          <w:p w14:paraId="3B20ABE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(0.3742)</w:t>
            </w:r>
          </w:p>
        </w:tc>
        <w:tc>
          <w:tcPr>
            <w:tcW w:w="1080" w:type="dxa"/>
          </w:tcPr>
          <w:p w14:paraId="6F6FB92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(0.2648)</w:t>
            </w:r>
          </w:p>
        </w:tc>
        <w:tc>
          <w:tcPr>
            <w:tcW w:w="1080" w:type="dxa"/>
          </w:tcPr>
          <w:p w14:paraId="2C1EC6C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(0.0144)</w:t>
            </w:r>
          </w:p>
        </w:tc>
        <w:tc>
          <w:tcPr>
            <w:tcW w:w="1080" w:type="dxa"/>
          </w:tcPr>
          <w:p w14:paraId="33BD011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(0.0164)</w:t>
            </w:r>
          </w:p>
        </w:tc>
        <w:tc>
          <w:tcPr>
            <w:tcW w:w="1170" w:type="dxa"/>
          </w:tcPr>
          <w:p w14:paraId="74DF6A5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(0.3111)</w:t>
            </w:r>
          </w:p>
        </w:tc>
      </w:tr>
      <w:tr w:rsidR="00785FF2" w:rsidRPr="006207BC" w14:paraId="57BDCC1D" w14:textId="77777777" w:rsidTr="0097757C">
        <w:tc>
          <w:tcPr>
            <w:tcW w:w="1983" w:type="dxa"/>
          </w:tcPr>
          <w:p w14:paraId="57D89F53"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XLIST</w:t>
            </w:r>
          </w:p>
        </w:tc>
        <w:tc>
          <w:tcPr>
            <w:tcW w:w="1134" w:type="dxa"/>
          </w:tcPr>
          <w:p w14:paraId="2C6521D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-0.6268</w:t>
            </w:r>
          </w:p>
        </w:tc>
        <w:tc>
          <w:tcPr>
            <w:tcW w:w="1184" w:type="dxa"/>
          </w:tcPr>
          <w:p w14:paraId="3ECF59F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1.5637***</w:t>
            </w:r>
          </w:p>
        </w:tc>
        <w:tc>
          <w:tcPr>
            <w:tcW w:w="1189" w:type="dxa"/>
          </w:tcPr>
          <w:p w14:paraId="33BC43E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0.9853***</w:t>
            </w:r>
          </w:p>
        </w:tc>
        <w:tc>
          <w:tcPr>
            <w:tcW w:w="1080" w:type="dxa"/>
          </w:tcPr>
          <w:p w14:paraId="588604E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0.5550</w:t>
            </w:r>
          </w:p>
        </w:tc>
        <w:tc>
          <w:tcPr>
            <w:tcW w:w="1080" w:type="dxa"/>
          </w:tcPr>
          <w:p w14:paraId="2877FCA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0.0893***</w:t>
            </w:r>
          </w:p>
        </w:tc>
        <w:tc>
          <w:tcPr>
            <w:tcW w:w="1080" w:type="dxa"/>
          </w:tcPr>
          <w:p w14:paraId="1E242C2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0.1006***</w:t>
            </w:r>
          </w:p>
        </w:tc>
        <w:tc>
          <w:tcPr>
            <w:tcW w:w="1170" w:type="dxa"/>
          </w:tcPr>
          <w:p w14:paraId="6CBE57F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0.7803*</w:t>
            </w:r>
          </w:p>
        </w:tc>
      </w:tr>
      <w:tr w:rsidR="00785FF2" w:rsidRPr="006207BC" w14:paraId="69ED18F1" w14:textId="77777777" w:rsidTr="0097757C">
        <w:tc>
          <w:tcPr>
            <w:tcW w:w="1983" w:type="dxa"/>
          </w:tcPr>
          <w:p w14:paraId="274C489B"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348A3482"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(0.7723)</w:t>
            </w:r>
          </w:p>
        </w:tc>
        <w:tc>
          <w:tcPr>
            <w:tcW w:w="1184" w:type="dxa"/>
          </w:tcPr>
          <w:p w14:paraId="350D1CA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(0.3248)</w:t>
            </w:r>
          </w:p>
        </w:tc>
        <w:tc>
          <w:tcPr>
            <w:tcW w:w="1189" w:type="dxa"/>
          </w:tcPr>
          <w:p w14:paraId="5311A3D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(0.3536)</w:t>
            </w:r>
          </w:p>
        </w:tc>
        <w:tc>
          <w:tcPr>
            <w:tcW w:w="1080" w:type="dxa"/>
          </w:tcPr>
          <w:p w14:paraId="66C823A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(0.3941)</w:t>
            </w:r>
          </w:p>
        </w:tc>
        <w:tc>
          <w:tcPr>
            <w:tcW w:w="1080" w:type="dxa"/>
          </w:tcPr>
          <w:p w14:paraId="270CE41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(0.0265)</w:t>
            </w:r>
          </w:p>
        </w:tc>
        <w:tc>
          <w:tcPr>
            <w:tcW w:w="1080" w:type="dxa"/>
          </w:tcPr>
          <w:p w14:paraId="3496E3B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(0.0262)</w:t>
            </w:r>
          </w:p>
        </w:tc>
        <w:tc>
          <w:tcPr>
            <w:tcW w:w="1170" w:type="dxa"/>
          </w:tcPr>
          <w:p w14:paraId="1BAB383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(0.4294)</w:t>
            </w:r>
          </w:p>
        </w:tc>
      </w:tr>
      <w:tr w:rsidR="00785FF2" w:rsidRPr="006207BC" w14:paraId="5BEC324E" w14:textId="77777777" w:rsidTr="0097757C">
        <w:tc>
          <w:tcPr>
            <w:tcW w:w="1983" w:type="dxa"/>
          </w:tcPr>
          <w:p w14:paraId="47E2CABD"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Issuance</w:t>
            </w:r>
          </w:p>
        </w:tc>
        <w:tc>
          <w:tcPr>
            <w:tcW w:w="1134" w:type="dxa"/>
          </w:tcPr>
          <w:p w14:paraId="628891C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0.7654</w:t>
            </w:r>
          </w:p>
        </w:tc>
        <w:tc>
          <w:tcPr>
            <w:tcW w:w="1184" w:type="dxa"/>
          </w:tcPr>
          <w:p w14:paraId="2C4E107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-0.5961**</w:t>
            </w:r>
          </w:p>
        </w:tc>
        <w:tc>
          <w:tcPr>
            <w:tcW w:w="1189" w:type="dxa"/>
          </w:tcPr>
          <w:p w14:paraId="49DB229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3.0893***</w:t>
            </w:r>
          </w:p>
        </w:tc>
        <w:tc>
          <w:tcPr>
            <w:tcW w:w="1080" w:type="dxa"/>
          </w:tcPr>
          <w:p w14:paraId="76C9CD0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0.9298**</w:t>
            </w:r>
          </w:p>
        </w:tc>
        <w:tc>
          <w:tcPr>
            <w:tcW w:w="1080" w:type="dxa"/>
          </w:tcPr>
          <w:p w14:paraId="36CB296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0.1471***</w:t>
            </w:r>
          </w:p>
        </w:tc>
        <w:tc>
          <w:tcPr>
            <w:tcW w:w="1080" w:type="dxa"/>
          </w:tcPr>
          <w:p w14:paraId="2B01617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-0.0284</w:t>
            </w:r>
          </w:p>
        </w:tc>
        <w:tc>
          <w:tcPr>
            <w:tcW w:w="1170" w:type="dxa"/>
          </w:tcPr>
          <w:p w14:paraId="6F04D96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-0.0176</w:t>
            </w:r>
          </w:p>
        </w:tc>
      </w:tr>
      <w:tr w:rsidR="00785FF2" w:rsidRPr="006207BC" w14:paraId="32F44FB3" w14:textId="77777777" w:rsidTr="0097757C">
        <w:tc>
          <w:tcPr>
            <w:tcW w:w="1983" w:type="dxa"/>
          </w:tcPr>
          <w:p w14:paraId="0F52C556"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7569366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(1.1138)</w:t>
            </w:r>
          </w:p>
        </w:tc>
        <w:tc>
          <w:tcPr>
            <w:tcW w:w="1184" w:type="dxa"/>
          </w:tcPr>
          <w:p w14:paraId="6058F62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(0.1853)</w:t>
            </w:r>
          </w:p>
        </w:tc>
        <w:tc>
          <w:tcPr>
            <w:tcW w:w="1189" w:type="dxa"/>
          </w:tcPr>
          <w:p w14:paraId="4FE8A71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(0.5659)</w:t>
            </w:r>
          </w:p>
        </w:tc>
        <w:tc>
          <w:tcPr>
            <w:tcW w:w="1080" w:type="dxa"/>
          </w:tcPr>
          <w:p w14:paraId="2B5DE9A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(0.4649)</w:t>
            </w:r>
          </w:p>
        </w:tc>
        <w:tc>
          <w:tcPr>
            <w:tcW w:w="1080" w:type="dxa"/>
          </w:tcPr>
          <w:p w14:paraId="4CDA7C0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(0.0470)</w:t>
            </w:r>
          </w:p>
        </w:tc>
        <w:tc>
          <w:tcPr>
            <w:tcW w:w="1080" w:type="dxa"/>
          </w:tcPr>
          <w:p w14:paraId="74D4B46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(0.0322)</w:t>
            </w:r>
          </w:p>
        </w:tc>
        <w:tc>
          <w:tcPr>
            <w:tcW w:w="1170" w:type="dxa"/>
          </w:tcPr>
          <w:p w14:paraId="1F1A363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(0.6378)</w:t>
            </w:r>
          </w:p>
        </w:tc>
      </w:tr>
      <w:tr w:rsidR="00785FF2" w:rsidRPr="006207BC" w14:paraId="26CE841C" w14:textId="77777777" w:rsidTr="0097757C">
        <w:tc>
          <w:tcPr>
            <w:tcW w:w="1983" w:type="dxa"/>
          </w:tcPr>
          <w:p w14:paraId="61A24A6F" w14:textId="77777777" w:rsidR="00785FF2" w:rsidRPr="006207BC" w:rsidRDefault="00785FF2">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Intangible</w:t>
            </w:r>
          </w:p>
        </w:tc>
        <w:tc>
          <w:tcPr>
            <w:tcW w:w="1134" w:type="dxa"/>
          </w:tcPr>
          <w:p w14:paraId="2A0E7E4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14.2749***</w:t>
            </w:r>
          </w:p>
        </w:tc>
        <w:tc>
          <w:tcPr>
            <w:tcW w:w="1184" w:type="dxa"/>
          </w:tcPr>
          <w:p w14:paraId="09106B7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5.7068***</w:t>
            </w:r>
          </w:p>
        </w:tc>
        <w:tc>
          <w:tcPr>
            <w:tcW w:w="1189" w:type="dxa"/>
          </w:tcPr>
          <w:p w14:paraId="55F6F0F2"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1.9533***</w:t>
            </w:r>
          </w:p>
        </w:tc>
        <w:tc>
          <w:tcPr>
            <w:tcW w:w="1080" w:type="dxa"/>
          </w:tcPr>
          <w:p w14:paraId="7D86496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1.5016***</w:t>
            </w:r>
          </w:p>
        </w:tc>
        <w:tc>
          <w:tcPr>
            <w:tcW w:w="1080" w:type="dxa"/>
          </w:tcPr>
          <w:p w14:paraId="23BAFE4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0.2046***</w:t>
            </w:r>
          </w:p>
        </w:tc>
        <w:tc>
          <w:tcPr>
            <w:tcW w:w="1080" w:type="dxa"/>
          </w:tcPr>
          <w:p w14:paraId="57BA18C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0.4075***</w:t>
            </w:r>
          </w:p>
        </w:tc>
        <w:tc>
          <w:tcPr>
            <w:tcW w:w="1170" w:type="dxa"/>
          </w:tcPr>
          <w:p w14:paraId="19545C9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1.3513</w:t>
            </w:r>
          </w:p>
        </w:tc>
      </w:tr>
      <w:tr w:rsidR="00785FF2" w:rsidRPr="006207BC" w14:paraId="06E6F04F" w14:textId="77777777" w:rsidTr="0097757C">
        <w:trPr>
          <w:trHeight w:val="74"/>
        </w:trPr>
        <w:tc>
          <w:tcPr>
            <w:tcW w:w="1983" w:type="dxa"/>
          </w:tcPr>
          <w:p w14:paraId="5BAEE722" w14:textId="77777777" w:rsidR="00785FF2" w:rsidRPr="006207BC" w:rsidRDefault="00785FF2">
            <w:pPr>
              <w:spacing w:after="0" w:line="240" w:lineRule="auto"/>
              <w:rPr>
                <w:rFonts w:ascii="Times New Roman" w:hAnsi="Times New Roman" w:cs="Times New Roman"/>
                <w:i/>
                <w:sz w:val="20"/>
                <w:szCs w:val="20"/>
              </w:rPr>
            </w:pPr>
          </w:p>
        </w:tc>
        <w:tc>
          <w:tcPr>
            <w:tcW w:w="1134" w:type="dxa"/>
          </w:tcPr>
          <w:p w14:paraId="5FE5EFB2"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(3.6074)</w:t>
            </w:r>
          </w:p>
        </w:tc>
        <w:tc>
          <w:tcPr>
            <w:tcW w:w="1184" w:type="dxa"/>
          </w:tcPr>
          <w:p w14:paraId="1329728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(1.0646)</w:t>
            </w:r>
          </w:p>
        </w:tc>
        <w:tc>
          <w:tcPr>
            <w:tcW w:w="1189" w:type="dxa"/>
          </w:tcPr>
          <w:p w14:paraId="381B905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(0.6202)</w:t>
            </w:r>
          </w:p>
        </w:tc>
        <w:tc>
          <w:tcPr>
            <w:tcW w:w="1080" w:type="dxa"/>
          </w:tcPr>
          <w:p w14:paraId="147D37A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(0.5131)</w:t>
            </w:r>
          </w:p>
        </w:tc>
        <w:tc>
          <w:tcPr>
            <w:tcW w:w="1080" w:type="dxa"/>
          </w:tcPr>
          <w:p w14:paraId="22CC66D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(0.0501)</w:t>
            </w:r>
          </w:p>
        </w:tc>
        <w:tc>
          <w:tcPr>
            <w:tcW w:w="1080" w:type="dxa"/>
          </w:tcPr>
          <w:p w14:paraId="1692454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(0.0649)</w:t>
            </w:r>
          </w:p>
        </w:tc>
        <w:tc>
          <w:tcPr>
            <w:tcW w:w="1170" w:type="dxa"/>
          </w:tcPr>
          <w:p w14:paraId="0477D83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(1.1612)</w:t>
            </w:r>
          </w:p>
        </w:tc>
      </w:tr>
      <w:tr w:rsidR="00785FF2" w:rsidRPr="006207BC" w14:paraId="395F5863" w14:textId="77777777" w:rsidTr="0097757C">
        <w:tc>
          <w:tcPr>
            <w:tcW w:w="1983" w:type="dxa"/>
          </w:tcPr>
          <w:p w14:paraId="649DB707" w14:textId="4164BD13" w:rsidR="00785FF2" w:rsidRPr="006207BC" w:rsidRDefault="00785FF2">
            <w:pPr>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Lag_Analyst</w:t>
            </w:r>
          </w:p>
        </w:tc>
        <w:tc>
          <w:tcPr>
            <w:tcW w:w="1134" w:type="dxa"/>
          </w:tcPr>
          <w:p w14:paraId="1183677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0.3531***</w:t>
            </w:r>
          </w:p>
        </w:tc>
        <w:tc>
          <w:tcPr>
            <w:tcW w:w="1184" w:type="dxa"/>
          </w:tcPr>
          <w:p w14:paraId="792493C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189" w:type="dxa"/>
          </w:tcPr>
          <w:p w14:paraId="0B46DDF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080" w:type="dxa"/>
          </w:tcPr>
          <w:p w14:paraId="38BE131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080" w:type="dxa"/>
          </w:tcPr>
          <w:p w14:paraId="6EEF225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080" w:type="dxa"/>
          </w:tcPr>
          <w:p w14:paraId="670513E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170" w:type="dxa"/>
          </w:tcPr>
          <w:p w14:paraId="48DA97C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r>
      <w:tr w:rsidR="00785FF2" w:rsidRPr="006207BC" w14:paraId="779BFCD1" w14:textId="77777777" w:rsidTr="0097757C">
        <w:tc>
          <w:tcPr>
            <w:tcW w:w="1983" w:type="dxa"/>
          </w:tcPr>
          <w:p w14:paraId="19CE948D" w14:textId="77777777" w:rsidR="00785FF2" w:rsidRPr="006207BC" w:rsidRDefault="00785FF2">
            <w:pPr>
              <w:autoSpaceDE w:val="0"/>
              <w:autoSpaceDN w:val="0"/>
              <w:adjustRightInd w:val="0"/>
              <w:spacing w:after="0" w:line="240" w:lineRule="auto"/>
              <w:rPr>
                <w:rFonts w:ascii="Times New Roman" w:hAnsi="Times New Roman" w:cs="Times New Roman"/>
                <w:i/>
                <w:sz w:val="20"/>
                <w:szCs w:val="20"/>
              </w:rPr>
            </w:pPr>
          </w:p>
        </w:tc>
        <w:tc>
          <w:tcPr>
            <w:tcW w:w="1134" w:type="dxa"/>
          </w:tcPr>
          <w:p w14:paraId="25259CB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(0.0726)</w:t>
            </w:r>
          </w:p>
        </w:tc>
        <w:tc>
          <w:tcPr>
            <w:tcW w:w="1184" w:type="dxa"/>
          </w:tcPr>
          <w:p w14:paraId="2EFB15B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189" w:type="dxa"/>
          </w:tcPr>
          <w:p w14:paraId="717CEE8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080" w:type="dxa"/>
          </w:tcPr>
          <w:p w14:paraId="60D6FA0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080" w:type="dxa"/>
          </w:tcPr>
          <w:p w14:paraId="32436BE9"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080" w:type="dxa"/>
          </w:tcPr>
          <w:p w14:paraId="5F8FA36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c>
          <w:tcPr>
            <w:tcW w:w="1170" w:type="dxa"/>
          </w:tcPr>
          <w:p w14:paraId="247CBDDA"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p>
        </w:tc>
      </w:tr>
      <w:tr w:rsidR="00785FF2" w:rsidRPr="006207BC" w14:paraId="1D07FB67" w14:textId="77777777" w:rsidTr="0097757C">
        <w:tc>
          <w:tcPr>
            <w:tcW w:w="1983" w:type="dxa"/>
          </w:tcPr>
          <w:p w14:paraId="363ED390" w14:textId="77777777" w:rsidR="00785FF2" w:rsidRPr="006207BC" w:rsidRDefault="00785FF2">
            <w:pPr>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Constant</w:t>
            </w:r>
          </w:p>
        </w:tc>
        <w:tc>
          <w:tcPr>
            <w:tcW w:w="1134" w:type="dxa"/>
          </w:tcPr>
          <w:p w14:paraId="23471C0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-1.3633</w:t>
            </w:r>
          </w:p>
        </w:tc>
        <w:tc>
          <w:tcPr>
            <w:tcW w:w="1184" w:type="dxa"/>
          </w:tcPr>
          <w:p w14:paraId="7A0BBEF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0.3807</w:t>
            </w:r>
          </w:p>
        </w:tc>
        <w:tc>
          <w:tcPr>
            <w:tcW w:w="1189" w:type="dxa"/>
          </w:tcPr>
          <w:p w14:paraId="2FA9017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-8.6982***</w:t>
            </w:r>
          </w:p>
        </w:tc>
        <w:tc>
          <w:tcPr>
            <w:tcW w:w="1080" w:type="dxa"/>
          </w:tcPr>
          <w:p w14:paraId="01A8F01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4.0350</w:t>
            </w:r>
          </w:p>
        </w:tc>
        <w:tc>
          <w:tcPr>
            <w:tcW w:w="1080" w:type="dxa"/>
          </w:tcPr>
          <w:p w14:paraId="490F8A5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1.5150***</w:t>
            </w:r>
          </w:p>
        </w:tc>
        <w:tc>
          <w:tcPr>
            <w:tcW w:w="1080" w:type="dxa"/>
          </w:tcPr>
          <w:p w14:paraId="743BA364"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1.5267***</w:t>
            </w:r>
          </w:p>
        </w:tc>
        <w:tc>
          <w:tcPr>
            <w:tcW w:w="1170" w:type="dxa"/>
          </w:tcPr>
          <w:p w14:paraId="2EF832E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-8.4867***</w:t>
            </w:r>
          </w:p>
        </w:tc>
      </w:tr>
      <w:tr w:rsidR="00785FF2" w:rsidRPr="006207BC" w14:paraId="7E7264E3" w14:textId="77777777" w:rsidTr="0097757C">
        <w:tc>
          <w:tcPr>
            <w:tcW w:w="1983" w:type="dxa"/>
          </w:tcPr>
          <w:p w14:paraId="56446587" w14:textId="77777777" w:rsidR="00785FF2" w:rsidRPr="006207BC" w:rsidRDefault="00785FF2">
            <w:pPr>
              <w:autoSpaceDE w:val="0"/>
              <w:autoSpaceDN w:val="0"/>
              <w:adjustRightInd w:val="0"/>
              <w:spacing w:after="0" w:line="240" w:lineRule="auto"/>
              <w:rPr>
                <w:rFonts w:ascii="Times New Roman" w:hAnsi="Times New Roman" w:cs="Times New Roman"/>
                <w:i/>
                <w:sz w:val="20"/>
                <w:szCs w:val="20"/>
              </w:rPr>
            </w:pPr>
          </w:p>
        </w:tc>
        <w:tc>
          <w:tcPr>
            <w:tcW w:w="1134" w:type="dxa"/>
          </w:tcPr>
          <w:p w14:paraId="18F7C4F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(2.9794)</w:t>
            </w:r>
          </w:p>
        </w:tc>
        <w:tc>
          <w:tcPr>
            <w:tcW w:w="1184" w:type="dxa"/>
          </w:tcPr>
          <w:p w14:paraId="744CC253"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(1.3768)</w:t>
            </w:r>
          </w:p>
        </w:tc>
        <w:tc>
          <w:tcPr>
            <w:tcW w:w="1189" w:type="dxa"/>
          </w:tcPr>
          <w:p w14:paraId="3FC7CEA2"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(1.4351)</w:t>
            </w:r>
          </w:p>
        </w:tc>
        <w:tc>
          <w:tcPr>
            <w:tcW w:w="1080" w:type="dxa"/>
          </w:tcPr>
          <w:p w14:paraId="6F4EE6A7"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(2.7108)</w:t>
            </w:r>
          </w:p>
        </w:tc>
        <w:tc>
          <w:tcPr>
            <w:tcW w:w="1080" w:type="dxa"/>
          </w:tcPr>
          <w:p w14:paraId="40F391A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(0.1158)</w:t>
            </w:r>
          </w:p>
        </w:tc>
        <w:tc>
          <w:tcPr>
            <w:tcW w:w="1080" w:type="dxa"/>
          </w:tcPr>
          <w:p w14:paraId="5B27663E"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(0.1272)</w:t>
            </w:r>
          </w:p>
        </w:tc>
        <w:tc>
          <w:tcPr>
            <w:tcW w:w="1170" w:type="dxa"/>
          </w:tcPr>
          <w:p w14:paraId="118A49A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(2.6326)</w:t>
            </w:r>
          </w:p>
        </w:tc>
      </w:tr>
      <w:tr w:rsidR="00785FF2" w:rsidRPr="006207BC" w14:paraId="2AC3AA2E" w14:textId="77777777" w:rsidTr="0097757C">
        <w:tc>
          <w:tcPr>
            <w:tcW w:w="1983" w:type="dxa"/>
          </w:tcPr>
          <w:p w14:paraId="05954E7B" w14:textId="77777777" w:rsidR="00785FF2" w:rsidRPr="006207BC" w:rsidRDefault="00785FF2">
            <w:pPr>
              <w:rPr>
                <w:rFonts w:ascii="Times New Roman" w:hAnsi="Times New Roman" w:cs="Times New Roman"/>
                <w:i/>
                <w:sz w:val="20"/>
                <w:szCs w:val="20"/>
              </w:rPr>
            </w:pPr>
            <w:r w:rsidRPr="006207BC">
              <w:rPr>
                <w:rFonts w:ascii="Times New Roman" w:hAnsi="Times New Roman" w:cs="Times New Roman"/>
                <w:i/>
                <w:sz w:val="20"/>
                <w:szCs w:val="20"/>
              </w:rPr>
              <w:t>Year dummies</w:t>
            </w:r>
          </w:p>
        </w:tc>
        <w:tc>
          <w:tcPr>
            <w:tcW w:w="1134" w:type="dxa"/>
          </w:tcPr>
          <w:p w14:paraId="4BF086FF"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184" w:type="dxa"/>
          </w:tcPr>
          <w:p w14:paraId="6577B4F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No</w:t>
            </w:r>
          </w:p>
        </w:tc>
        <w:tc>
          <w:tcPr>
            <w:tcW w:w="1189" w:type="dxa"/>
          </w:tcPr>
          <w:p w14:paraId="3C66106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080" w:type="dxa"/>
          </w:tcPr>
          <w:p w14:paraId="3290A48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080" w:type="dxa"/>
          </w:tcPr>
          <w:p w14:paraId="72057A3B"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080" w:type="dxa"/>
          </w:tcPr>
          <w:p w14:paraId="572F0E70"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170" w:type="dxa"/>
          </w:tcPr>
          <w:p w14:paraId="4349B2D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r>
      <w:tr w:rsidR="00785FF2" w:rsidRPr="006207BC" w14:paraId="3D832EC5" w14:textId="77777777" w:rsidTr="0097757C">
        <w:tc>
          <w:tcPr>
            <w:tcW w:w="1983" w:type="dxa"/>
          </w:tcPr>
          <w:p w14:paraId="2F647EE7" w14:textId="77777777" w:rsidR="00785FF2" w:rsidRPr="006207BC" w:rsidRDefault="00785FF2">
            <w:pPr>
              <w:rPr>
                <w:rFonts w:ascii="Times New Roman" w:hAnsi="Times New Roman" w:cs="Times New Roman"/>
                <w:i/>
                <w:sz w:val="20"/>
                <w:szCs w:val="20"/>
              </w:rPr>
            </w:pPr>
            <w:r w:rsidRPr="006207BC">
              <w:rPr>
                <w:rFonts w:ascii="Times New Roman" w:hAnsi="Times New Roman" w:cs="Times New Roman"/>
                <w:i/>
                <w:sz w:val="20"/>
                <w:szCs w:val="20"/>
              </w:rPr>
              <w:t>Industry dummies</w:t>
            </w:r>
          </w:p>
        </w:tc>
        <w:tc>
          <w:tcPr>
            <w:tcW w:w="1134" w:type="dxa"/>
          </w:tcPr>
          <w:p w14:paraId="3D6535BD"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184" w:type="dxa"/>
          </w:tcPr>
          <w:p w14:paraId="6ECB7AFC"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189" w:type="dxa"/>
          </w:tcPr>
          <w:p w14:paraId="0F3A01E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080" w:type="dxa"/>
          </w:tcPr>
          <w:p w14:paraId="3F677AD8"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080" w:type="dxa"/>
          </w:tcPr>
          <w:p w14:paraId="7FE0835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080" w:type="dxa"/>
          </w:tcPr>
          <w:p w14:paraId="631B7666"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1170" w:type="dxa"/>
          </w:tcPr>
          <w:p w14:paraId="2F9A0025" w14:textId="77777777"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r>
      <w:tr w:rsidR="00785FF2" w:rsidRPr="006207BC" w14:paraId="793AAEFA" w14:textId="77777777" w:rsidTr="0097757C">
        <w:tc>
          <w:tcPr>
            <w:tcW w:w="1983" w:type="dxa"/>
            <w:tcBorders>
              <w:bottom w:val="single" w:sz="4" w:space="0" w:color="auto"/>
            </w:tcBorders>
          </w:tcPr>
          <w:p w14:paraId="55126A08" w14:textId="69EEB5FE" w:rsidR="00785FF2" w:rsidRPr="006207BC" w:rsidRDefault="00785FF2" w:rsidP="0097757C">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Adj</w:t>
            </w:r>
            <w:r w:rsidR="0097757C" w:rsidRPr="006207BC">
              <w:rPr>
                <w:rFonts w:ascii="Times New Roman" w:hAnsi="Times New Roman" w:cs="Times New Roman"/>
                <w:sz w:val="20"/>
                <w:szCs w:val="20"/>
              </w:rPr>
              <w:t xml:space="preserve">usted </w:t>
            </w:r>
            <w:r w:rsidRPr="006207BC">
              <w:rPr>
                <w:rFonts w:ascii="Times New Roman" w:hAnsi="Times New Roman" w:cs="Times New Roman"/>
                <w:i/>
                <w:sz w:val="20"/>
                <w:szCs w:val="20"/>
              </w:rPr>
              <w:t>R</w:t>
            </w:r>
            <w:r w:rsidR="0097757C" w:rsidRPr="006207BC">
              <w:rPr>
                <w:rFonts w:ascii="Times New Roman" w:hAnsi="Times New Roman" w:cs="Times New Roman"/>
                <w:sz w:val="20"/>
                <w:szCs w:val="20"/>
              </w:rPr>
              <w:t>²</w:t>
            </w:r>
            <w:r w:rsidRPr="006207BC">
              <w:rPr>
                <w:rFonts w:ascii="Times New Roman" w:hAnsi="Times New Roman" w:cs="Times New Roman"/>
                <w:sz w:val="20"/>
                <w:szCs w:val="20"/>
              </w:rPr>
              <w:t xml:space="preserve"> (pseudo </w:t>
            </w:r>
            <w:r w:rsidRPr="006207BC">
              <w:rPr>
                <w:rFonts w:ascii="Times New Roman" w:hAnsi="Times New Roman" w:cs="Times New Roman"/>
                <w:i/>
                <w:sz w:val="20"/>
                <w:szCs w:val="20"/>
              </w:rPr>
              <w:t>R</w:t>
            </w:r>
            <w:proofErr w:type="gramStart"/>
            <w:r w:rsidR="0097757C" w:rsidRPr="006207BC">
              <w:rPr>
                <w:rFonts w:ascii="Times New Roman" w:hAnsi="Times New Roman" w:cs="Times New Roman"/>
                <w:sz w:val="20"/>
                <w:szCs w:val="20"/>
              </w:rPr>
              <w:t>²</w:t>
            </w:r>
            <w:r w:rsidRPr="006207BC">
              <w:rPr>
                <w:rFonts w:ascii="Times New Roman" w:hAnsi="Times New Roman" w:cs="Times New Roman"/>
                <w:sz w:val="20"/>
                <w:szCs w:val="20"/>
              </w:rPr>
              <w:t xml:space="preserve"> )</w:t>
            </w:r>
            <w:proofErr w:type="gramEnd"/>
            <w:r w:rsidRPr="006207BC">
              <w:rPr>
                <w:rFonts w:ascii="Times New Roman" w:hAnsi="Times New Roman" w:cs="Times New Roman"/>
                <w:sz w:val="20"/>
                <w:szCs w:val="20"/>
              </w:rPr>
              <w:t xml:space="preserve"> {avg-</w:t>
            </w:r>
            <w:r w:rsidRPr="006207BC">
              <w:rPr>
                <w:rFonts w:ascii="Times New Roman" w:hAnsi="Times New Roman" w:cs="Times New Roman"/>
                <w:i/>
                <w:sz w:val="20"/>
                <w:szCs w:val="20"/>
              </w:rPr>
              <w:t>R</w:t>
            </w:r>
            <w:r w:rsidR="0097757C" w:rsidRPr="006207BC">
              <w:rPr>
                <w:rFonts w:ascii="Times New Roman" w:hAnsi="Times New Roman" w:cs="Times New Roman"/>
                <w:sz w:val="20"/>
                <w:szCs w:val="20"/>
              </w:rPr>
              <w:t>²</w:t>
            </w:r>
            <w:r w:rsidRPr="006207BC">
              <w:rPr>
                <w:rFonts w:ascii="Times New Roman" w:hAnsi="Times New Roman" w:cs="Times New Roman"/>
                <w:sz w:val="20"/>
                <w:szCs w:val="20"/>
              </w:rPr>
              <w:t xml:space="preserve">} [overall </w:t>
            </w:r>
            <w:r w:rsidRPr="006207BC">
              <w:rPr>
                <w:rFonts w:ascii="Times New Roman" w:hAnsi="Times New Roman" w:cs="Times New Roman"/>
                <w:i/>
                <w:sz w:val="20"/>
                <w:szCs w:val="20"/>
              </w:rPr>
              <w:t>R</w:t>
            </w:r>
            <w:r w:rsidR="0097757C" w:rsidRPr="006207BC">
              <w:rPr>
                <w:rFonts w:ascii="Times New Roman" w:hAnsi="Times New Roman" w:cs="Times New Roman"/>
                <w:sz w:val="20"/>
                <w:szCs w:val="20"/>
              </w:rPr>
              <w:t>²</w:t>
            </w:r>
            <w:r w:rsidRPr="006207BC">
              <w:rPr>
                <w:rFonts w:ascii="Times New Roman" w:hAnsi="Times New Roman" w:cs="Times New Roman"/>
                <w:sz w:val="20"/>
                <w:szCs w:val="20"/>
              </w:rPr>
              <w:t xml:space="preserve"> ]</w:t>
            </w:r>
          </w:p>
        </w:tc>
        <w:tc>
          <w:tcPr>
            <w:tcW w:w="1134" w:type="dxa"/>
            <w:tcBorders>
              <w:bottom w:val="single" w:sz="4" w:space="0" w:color="auto"/>
            </w:tcBorders>
          </w:tcPr>
          <w:p w14:paraId="3E7A91D1" w14:textId="77777777" w:rsidR="00785FF2" w:rsidRPr="006207BC" w:rsidRDefault="00785FF2" w:rsidP="00785FF2">
            <w:pPr>
              <w:spacing w:after="0" w:line="240" w:lineRule="auto"/>
              <w:rPr>
                <w:rFonts w:ascii="Times New Roman" w:hAnsi="Times New Roman" w:cs="Times New Roman"/>
                <w:sz w:val="20"/>
                <w:szCs w:val="20"/>
              </w:rPr>
            </w:pPr>
            <w:proofErr w:type="gramStart"/>
            <w:r w:rsidRPr="006207BC">
              <w:rPr>
                <w:rFonts w:ascii="Times New Roman" w:hAnsi="Times New Roman" w:cs="Times New Roman"/>
                <w:sz w:val="20"/>
                <w:szCs w:val="20"/>
              </w:rPr>
              <w:t>AR(</w:t>
            </w:r>
            <w:proofErr w:type="gramEnd"/>
            <w:r w:rsidRPr="006207BC">
              <w:rPr>
                <w:rFonts w:ascii="Times New Roman" w:hAnsi="Times New Roman" w:cs="Times New Roman"/>
                <w:sz w:val="20"/>
                <w:szCs w:val="20"/>
              </w:rPr>
              <w:t>1) = 0.000</w:t>
            </w:r>
          </w:p>
          <w:p w14:paraId="7F38E1C1" w14:textId="77777777" w:rsidR="00785FF2" w:rsidRPr="006207BC" w:rsidRDefault="00785FF2" w:rsidP="00785FF2">
            <w:pPr>
              <w:spacing w:after="0" w:line="240" w:lineRule="auto"/>
              <w:rPr>
                <w:rFonts w:ascii="Times New Roman" w:hAnsi="Times New Roman" w:cs="Times New Roman"/>
                <w:sz w:val="20"/>
                <w:szCs w:val="20"/>
              </w:rPr>
            </w:pPr>
            <w:proofErr w:type="gramStart"/>
            <w:r w:rsidRPr="006207BC">
              <w:rPr>
                <w:rFonts w:ascii="Times New Roman" w:hAnsi="Times New Roman" w:cs="Times New Roman"/>
                <w:sz w:val="20"/>
                <w:szCs w:val="20"/>
              </w:rPr>
              <w:t>AR(</w:t>
            </w:r>
            <w:proofErr w:type="gramEnd"/>
            <w:r w:rsidRPr="006207BC">
              <w:rPr>
                <w:rFonts w:ascii="Times New Roman" w:hAnsi="Times New Roman" w:cs="Times New Roman"/>
                <w:sz w:val="20"/>
                <w:szCs w:val="20"/>
              </w:rPr>
              <w:t>2) =  0.841</w:t>
            </w:r>
          </w:p>
          <w:p w14:paraId="4439995B"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Hansen = 0.644</w:t>
            </w:r>
          </w:p>
        </w:tc>
        <w:tc>
          <w:tcPr>
            <w:tcW w:w="1184" w:type="dxa"/>
            <w:tcBorders>
              <w:bottom w:val="single" w:sz="4" w:space="0" w:color="auto"/>
            </w:tcBorders>
          </w:tcPr>
          <w:p w14:paraId="70BD15CB" w14:textId="38807DBB"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{0.67}</w:t>
            </w:r>
          </w:p>
        </w:tc>
        <w:tc>
          <w:tcPr>
            <w:tcW w:w="1189" w:type="dxa"/>
            <w:tcBorders>
              <w:bottom w:val="single" w:sz="4" w:space="0" w:color="auto"/>
            </w:tcBorders>
          </w:tcPr>
          <w:p w14:paraId="20F9EF81" w14:textId="77777777"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0.8184</w:t>
            </w:r>
          </w:p>
        </w:tc>
        <w:tc>
          <w:tcPr>
            <w:tcW w:w="1080" w:type="dxa"/>
            <w:tcBorders>
              <w:bottom w:val="single" w:sz="4" w:space="0" w:color="auto"/>
            </w:tcBorders>
          </w:tcPr>
          <w:p w14:paraId="2F65EAED" w14:textId="367E368C" w:rsidR="00785FF2" w:rsidRPr="006207BC" w:rsidRDefault="00785FF2" w:rsidP="00785FF2">
            <w:pPr>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[0.6494]</w:t>
            </w:r>
          </w:p>
        </w:tc>
        <w:tc>
          <w:tcPr>
            <w:tcW w:w="1080" w:type="dxa"/>
            <w:tcBorders>
              <w:bottom w:val="single" w:sz="4" w:space="0" w:color="auto"/>
            </w:tcBorders>
          </w:tcPr>
          <w:p w14:paraId="73F24F60" w14:textId="3A9ED9CC"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(0.1513)</w:t>
            </w:r>
          </w:p>
        </w:tc>
        <w:tc>
          <w:tcPr>
            <w:tcW w:w="1080" w:type="dxa"/>
            <w:tcBorders>
              <w:bottom w:val="single" w:sz="4" w:space="0" w:color="auto"/>
            </w:tcBorders>
          </w:tcPr>
          <w:p w14:paraId="31DC0871" w14:textId="5B007C4D"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(0.3088)</w:t>
            </w:r>
          </w:p>
        </w:tc>
        <w:tc>
          <w:tcPr>
            <w:tcW w:w="1170" w:type="dxa"/>
            <w:tcBorders>
              <w:bottom w:val="single" w:sz="4" w:space="0" w:color="auto"/>
            </w:tcBorders>
          </w:tcPr>
          <w:p w14:paraId="613CA68C" w14:textId="152AF404" w:rsidR="00785FF2" w:rsidRPr="006207BC" w:rsidRDefault="00785FF2" w:rsidP="00785FF2">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(0.7124)</w:t>
            </w:r>
          </w:p>
        </w:tc>
      </w:tr>
      <w:tr w:rsidR="00785FF2" w:rsidRPr="006207BC" w14:paraId="5913CE8E" w14:textId="77777777" w:rsidTr="0097757C">
        <w:tc>
          <w:tcPr>
            <w:tcW w:w="9900" w:type="dxa"/>
            <w:gridSpan w:val="8"/>
            <w:tcBorders>
              <w:top w:val="single" w:sz="4" w:space="0" w:color="auto"/>
            </w:tcBorders>
          </w:tcPr>
          <w:p w14:paraId="7496D26E" w14:textId="47CF0A07" w:rsidR="00785FF2" w:rsidRPr="006207BC" w:rsidRDefault="00785FF2" w:rsidP="00785FF2">
            <w:pPr>
              <w:spacing w:after="0" w:line="240" w:lineRule="auto"/>
              <w:jc w:val="both"/>
              <w:rPr>
                <w:rFonts w:ascii="Times New Roman" w:hAnsi="Times New Roman" w:cs="Times New Roman"/>
                <w:sz w:val="20"/>
                <w:szCs w:val="20"/>
              </w:rPr>
            </w:pPr>
            <w:r w:rsidRPr="006207BC">
              <w:rPr>
                <w:rFonts w:ascii="Times New Roman" w:hAnsi="Times New Roman" w:cs="Times New Roman"/>
                <w:sz w:val="20"/>
                <w:szCs w:val="20"/>
              </w:rPr>
              <w:t xml:space="preserve">This table reports the results of robustness checks of the effect of risk disclosure on analyst following using alternative statistical approaches. In specifications (1) to (6), the dependent variable is </w:t>
            </w:r>
            <w:r w:rsidRPr="006207BC">
              <w:rPr>
                <w:rFonts w:ascii="Times New Roman" w:hAnsi="Times New Roman" w:cs="Times New Roman"/>
                <w:i/>
                <w:sz w:val="20"/>
                <w:szCs w:val="20"/>
              </w:rPr>
              <w:t>Analyst</w:t>
            </w:r>
            <w:r w:rsidRPr="006207BC">
              <w:rPr>
                <w:rFonts w:ascii="Times New Roman" w:hAnsi="Times New Roman" w:cs="Times New Roman"/>
                <w:sz w:val="20"/>
                <w:szCs w:val="20"/>
              </w:rPr>
              <w:t xml:space="preserve">, computed as the number of analysts following the firm. In specification (5), the dependent variable is </w:t>
            </w:r>
            <w:r w:rsidRPr="006207BC">
              <w:rPr>
                <w:rFonts w:ascii="Times New Roman" w:hAnsi="Times New Roman" w:cs="Times New Roman"/>
                <w:sz w:val="20"/>
                <w:szCs w:val="20"/>
                <w:lang w:eastAsia="fr-FR"/>
              </w:rPr>
              <w:t>a</w:t>
            </w:r>
            <w:r w:rsidRPr="006207BC">
              <w:rPr>
                <w:rFonts w:ascii="Times New Roman" w:hAnsi="Times New Roman" w:cs="Times New Roman"/>
                <w:i/>
                <w:sz w:val="20"/>
                <w:szCs w:val="20"/>
              </w:rPr>
              <w:t xml:space="preserve"> dummy measure of analyst following that equals one if the variable Analyst is above the median and zero otherwise. Lag_Analyst </w:t>
            </w:r>
            <w:r w:rsidRPr="006207BC">
              <w:rPr>
                <w:rFonts w:ascii="Times New Roman" w:hAnsi="Times New Roman" w:cs="Times New Roman"/>
                <w:sz w:val="20"/>
                <w:szCs w:val="20"/>
              </w:rPr>
              <w:t>is one-year lagged value of</w:t>
            </w:r>
            <w:r w:rsidRPr="006207BC">
              <w:rPr>
                <w:rFonts w:ascii="Times New Roman" w:hAnsi="Times New Roman" w:cs="Times New Roman"/>
                <w:i/>
                <w:sz w:val="20"/>
                <w:szCs w:val="20"/>
              </w:rPr>
              <w:t xml:space="preserve"> Analyst. </w:t>
            </w:r>
            <w:r w:rsidRPr="006207BC">
              <w:rPr>
                <w:rFonts w:ascii="Times New Roman" w:hAnsi="Times New Roman" w:cs="Times New Roman"/>
                <w:sz w:val="20"/>
                <w:szCs w:val="20"/>
              </w:rPr>
              <w:t>All independent variables are lagged by one year. See the Appendix for variable definitions. The total sample consists of 857 firm–year observations of non-financial and non-utility French firms on the SBF 120 index over the period 2007–2015. Year and industry dummies following Campbell’s (1996) classification are included in all the regressions, except for specification (2), which does not include year dummies. Coefficient standard errors are in parentheses beneath coefficient estimates. *, **, and *** indicate significance at the 10%, 5%, and 1% levels, respectively.</w:t>
            </w:r>
          </w:p>
        </w:tc>
      </w:tr>
    </w:tbl>
    <w:p w14:paraId="7A9460C1" w14:textId="77777777" w:rsidR="00C20459" w:rsidRPr="006207BC" w:rsidRDefault="00C20459">
      <w:pPr>
        <w:pStyle w:val="Default"/>
        <w:jc w:val="both"/>
        <w:rPr>
          <w:sz w:val="20"/>
          <w:szCs w:val="20"/>
          <w:lang w:val="en-GB"/>
        </w:rPr>
      </w:pPr>
    </w:p>
    <w:p w14:paraId="2950B34B" w14:textId="77777777" w:rsidR="00C20459" w:rsidRPr="006207BC" w:rsidRDefault="00A61DC5">
      <w:pPr>
        <w:pStyle w:val="Default"/>
        <w:rPr>
          <w:sz w:val="22"/>
          <w:szCs w:val="22"/>
          <w:lang w:val="en-GB"/>
        </w:rPr>
      </w:pPr>
      <w:r w:rsidRPr="006207BC">
        <w:rPr>
          <w:lang w:val="en-GB"/>
        </w:rPr>
        <w:br w:type="page"/>
      </w:r>
    </w:p>
    <w:p w14:paraId="5464D4DA" w14:textId="77777777" w:rsidR="0023331F" w:rsidRPr="006207BC" w:rsidRDefault="0023331F" w:rsidP="005A6480">
      <w:pPr>
        <w:rPr>
          <w:rFonts w:ascii="Times New Roman" w:hAnsi="Times New Roman" w:cs="Times New Roman"/>
          <w:sz w:val="20"/>
          <w:szCs w:val="20"/>
        </w:rPr>
        <w:sectPr w:rsidR="0023331F" w:rsidRPr="006207BC">
          <w:pgSz w:w="12240" w:h="15840"/>
          <w:pgMar w:top="1440" w:right="1440" w:bottom="1440" w:left="1440" w:header="720" w:footer="720" w:gutter="0"/>
          <w:cols w:space="720"/>
          <w:docGrid w:linePitch="360"/>
        </w:sectPr>
      </w:pPr>
    </w:p>
    <w:p w14:paraId="53000837" w14:textId="502E7258" w:rsidR="005A6480" w:rsidRPr="006207BC" w:rsidRDefault="005A6480" w:rsidP="005A6480">
      <w:pPr>
        <w:rPr>
          <w:rFonts w:ascii="Times New Roman" w:hAnsi="Times New Roman" w:cs="Times New Roman"/>
          <w:sz w:val="20"/>
          <w:szCs w:val="20"/>
        </w:rPr>
      </w:pPr>
      <w:r w:rsidRPr="006207BC">
        <w:rPr>
          <w:rFonts w:ascii="Times New Roman" w:hAnsi="Times New Roman" w:cs="Times New Roman"/>
          <w:sz w:val="20"/>
          <w:szCs w:val="20"/>
        </w:rPr>
        <w:lastRenderedPageBreak/>
        <w:t xml:space="preserve">Table </w:t>
      </w:r>
      <w:r w:rsidR="001B3394" w:rsidRPr="006207BC">
        <w:rPr>
          <w:rFonts w:ascii="Times New Roman" w:hAnsi="Times New Roman" w:cs="Times New Roman"/>
          <w:sz w:val="20"/>
          <w:szCs w:val="20"/>
        </w:rPr>
        <w:t>8</w:t>
      </w:r>
      <w:r w:rsidRPr="006207BC">
        <w:rPr>
          <w:rFonts w:ascii="Times New Roman" w:hAnsi="Times New Roman" w:cs="Times New Roman"/>
          <w:sz w:val="20"/>
          <w:szCs w:val="20"/>
        </w:rPr>
        <w:t>. Endogeneity</w:t>
      </w:r>
    </w:p>
    <w:tbl>
      <w:tblPr>
        <w:tblW w:w="5208" w:type="pct"/>
        <w:tblInd w:w="-180" w:type="dxa"/>
        <w:tblLook w:val="04A0" w:firstRow="1" w:lastRow="0" w:firstColumn="1" w:lastColumn="0" w:noHBand="0" w:noVBand="1"/>
      </w:tblPr>
      <w:tblGrid>
        <w:gridCol w:w="1427"/>
        <w:gridCol w:w="1066"/>
        <w:gridCol w:w="1166"/>
        <w:gridCol w:w="1427"/>
        <w:gridCol w:w="1166"/>
        <w:gridCol w:w="1166"/>
        <w:gridCol w:w="1194"/>
        <w:gridCol w:w="1166"/>
      </w:tblGrid>
      <w:tr w:rsidR="000C532F" w:rsidRPr="006207BC" w14:paraId="700A49FE" w14:textId="79D5C4AC" w:rsidTr="00332519">
        <w:tc>
          <w:tcPr>
            <w:tcW w:w="1925" w:type="pct"/>
            <w:gridSpan w:val="3"/>
            <w:tcBorders>
              <w:bottom w:val="single" w:sz="4" w:space="0" w:color="auto"/>
            </w:tcBorders>
          </w:tcPr>
          <w:p w14:paraId="434809EF" w14:textId="16E97258"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Panel A: Propensity score matching estimation</w:t>
            </w:r>
          </w:p>
        </w:tc>
        <w:tc>
          <w:tcPr>
            <w:tcW w:w="1841" w:type="pct"/>
            <w:gridSpan w:val="3"/>
            <w:tcBorders>
              <w:bottom w:val="single" w:sz="4" w:space="0" w:color="auto"/>
            </w:tcBorders>
          </w:tcPr>
          <w:p w14:paraId="3DB1FB81" w14:textId="16667DEA"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Panel B: Instrumental variable estimation</w:t>
            </w:r>
          </w:p>
        </w:tc>
        <w:tc>
          <w:tcPr>
            <w:tcW w:w="1233" w:type="pct"/>
            <w:gridSpan w:val="2"/>
            <w:tcBorders>
              <w:bottom w:val="single" w:sz="4" w:space="0" w:color="auto"/>
            </w:tcBorders>
          </w:tcPr>
          <w:p w14:paraId="18E6EE54" w14:textId="77BCCFE0"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Panel C: The quasi-natural experiment</w:t>
            </w:r>
          </w:p>
        </w:tc>
      </w:tr>
      <w:tr w:rsidR="00780999" w:rsidRPr="006207BC" w14:paraId="60697C3A" w14:textId="6E51B918" w:rsidTr="00332519">
        <w:tc>
          <w:tcPr>
            <w:tcW w:w="818" w:type="pct"/>
            <w:tcBorders>
              <w:top w:val="single" w:sz="4" w:space="0" w:color="auto"/>
              <w:bottom w:val="single" w:sz="4" w:space="0" w:color="auto"/>
            </w:tcBorders>
          </w:tcPr>
          <w:p w14:paraId="55C59613" w14:textId="77777777" w:rsidR="000C532F" w:rsidRPr="006207BC" w:rsidRDefault="000C532F" w:rsidP="005A6480">
            <w:pPr>
              <w:spacing w:after="0" w:line="240" w:lineRule="auto"/>
              <w:rPr>
                <w:rFonts w:ascii="Times New Roman" w:hAnsi="Times New Roman" w:cs="Times New Roman"/>
                <w:sz w:val="20"/>
                <w:szCs w:val="20"/>
              </w:rPr>
            </w:pPr>
          </w:p>
          <w:p w14:paraId="181B3A09" w14:textId="77777777" w:rsidR="000C532F" w:rsidRPr="006207BC" w:rsidRDefault="000C532F" w:rsidP="005A6480">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Variable</w:t>
            </w:r>
          </w:p>
        </w:tc>
        <w:tc>
          <w:tcPr>
            <w:tcW w:w="433" w:type="pct"/>
            <w:tcBorders>
              <w:top w:val="single" w:sz="4" w:space="0" w:color="auto"/>
              <w:bottom w:val="single" w:sz="4" w:space="0" w:color="auto"/>
            </w:tcBorders>
          </w:tcPr>
          <w:p w14:paraId="678E2AA8" w14:textId="77777777"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Probit</w:t>
            </w:r>
          </w:p>
          <w:p w14:paraId="5407627F" w14:textId="77777777"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w:t>
            </w:r>
          </w:p>
        </w:tc>
        <w:tc>
          <w:tcPr>
            <w:tcW w:w="674" w:type="pct"/>
            <w:tcBorders>
              <w:top w:val="single" w:sz="4" w:space="0" w:color="auto"/>
              <w:bottom w:val="single" w:sz="4" w:space="0" w:color="auto"/>
            </w:tcBorders>
          </w:tcPr>
          <w:p w14:paraId="3BCBDD92" w14:textId="20926C2A" w:rsidR="000C532F" w:rsidRPr="006207BC" w:rsidRDefault="000C532F" w:rsidP="005B1018">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Propensity score matched sample</w:t>
            </w:r>
            <w:r w:rsidR="005B1018" w:rsidRPr="006207BC">
              <w:rPr>
                <w:rFonts w:ascii="Times New Roman" w:hAnsi="Times New Roman" w:cs="Times New Roman"/>
                <w:sz w:val="20"/>
                <w:szCs w:val="20"/>
              </w:rPr>
              <w:t xml:space="preserve"> (N</w:t>
            </w:r>
            <w:r w:rsidR="002A5046" w:rsidRPr="006207BC">
              <w:rPr>
                <w:rFonts w:ascii="Times New Roman" w:hAnsi="Times New Roman" w:cs="Times New Roman"/>
                <w:sz w:val="20"/>
                <w:szCs w:val="20"/>
              </w:rPr>
              <w:t>=428</w:t>
            </w:r>
            <w:proofErr w:type="gramStart"/>
            <w:r w:rsidR="005B1018" w:rsidRPr="006207BC">
              <w:rPr>
                <w:rFonts w:ascii="Times New Roman" w:hAnsi="Times New Roman" w:cs="Times New Roman"/>
                <w:sz w:val="20"/>
                <w:szCs w:val="20"/>
              </w:rPr>
              <w:t>)</w:t>
            </w:r>
            <w:r w:rsidRPr="006207BC">
              <w:rPr>
                <w:rFonts w:ascii="Times New Roman" w:hAnsi="Times New Roman" w:cs="Times New Roman"/>
                <w:sz w:val="20"/>
                <w:szCs w:val="20"/>
              </w:rPr>
              <w:t xml:space="preserve">  (</w:t>
            </w:r>
            <w:proofErr w:type="gramEnd"/>
            <w:r w:rsidRPr="006207BC">
              <w:rPr>
                <w:rFonts w:ascii="Times New Roman" w:hAnsi="Times New Roman" w:cs="Times New Roman"/>
                <w:sz w:val="20"/>
                <w:szCs w:val="20"/>
              </w:rPr>
              <w:t>2)</w:t>
            </w:r>
          </w:p>
        </w:tc>
        <w:tc>
          <w:tcPr>
            <w:tcW w:w="790" w:type="pct"/>
            <w:tcBorders>
              <w:top w:val="single" w:sz="4" w:space="0" w:color="auto"/>
              <w:bottom w:val="single" w:sz="4" w:space="0" w:color="auto"/>
            </w:tcBorders>
          </w:tcPr>
          <w:p w14:paraId="1700054E" w14:textId="77777777" w:rsidR="000C532F" w:rsidRPr="006207BC" w:rsidRDefault="000C532F" w:rsidP="005A6480">
            <w:pPr>
              <w:spacing w:after="0" w:line="240" w:lineRule="auto"/>
              <w:rPr>
                <w:rFonts w:ascii="Times New Roman" w:hAnsi="Times New Roman" w:cs="Times New Roman"/>
                <w:sz w:val="20"/>
                <w:szCs w:val="20"/>
              </w:rPr>
            </w:pPr>
          </w:p>
          <w:p w14:paraId="76D83DF3" w14:textId="77777777"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Variable</w:t>
            </w:r>
          </w:p>
        </w:tc>
        <w:tc>
          <w:tcPr>
            <w:tcW w:w="545" w:type="pct"/>
            <w:tcBorders>
              <w:bottom w:val="single" w:sz="4" w:space="0" w:color="auto"/>
            </w:tcBorders>
          </w:tcPr>
          <w:p w14:paraId="60CD9174" w14:textId="77777777"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First-stage regression</w:t>
            </w:r>
          </w:p>
          <w:p w14:paraId="49520AD9" w14:textId="7A0D4CE8"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w:t>
            </w:r>
          </w:p>
        </w:tc>
        <w:tc>
          <w:tcPr>
            <w:tcW w:w="506" w:type="pct"/>
            <w:tcBorders>
              <w:bottom w:val="single" w:sz="4" w:space="0" w:color="auto"/>
            </w:tcBorders>
          </w:tcPr>
          <w:p w14:paraId="6B76FC66" w14:textId="77777777"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Second-stage regression</w:t>
            </w:r>
          </w:p>
          <w:p w14:paraId="4EBDBF87" w14:textId="2AF2465A"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w:t>
            </w:r>
          </w:p>
        </w:tc>
        <w:tc>
          <w:tcPr>
            <w:tcW w:w="633" w:type="pct"/>
            <w:tcBorders>
              <w:bottom w:val="single" w:sz="4" w:space="0" w:color="auto"/>
            </w:tcBorders>
          </w:tcPr>
          <w:p w14:paraId="2C749A2A" w14:textId="77777777" w:rsidR="00780999" w:rsidRPr="006207BC" w:rsidRDefault="00780999" w:rsidP="005A6480">
            <w:pPr>
              <w:widowControl w:val="0"/>
              <w:autoSpaceDE w:val="0"/>
              <w:autoSpaceDN w:val="0"/>
              <w:adjustRightInd w:val="0"/>
              <w:spacing w:after="0" w:line="240" w:lineRule="auto"/>
              <w:rPr>
                <w:rFonts w:ascii="Times New Roman" w:hAnsi="Times New Roman" w:cs="Times New Roman"/>
                <w:sz w:val="20"/>
                <w:szCs w:val="20"/>
              </w:rPr>
            </w:pPr>
          </w:p>
          <w:p w14:paraId="2DB6A98A" w14:textId="06C0C5E5" w:rsidR="000C532F" w:rsidRPr="006207BC" w:rsidRDefault="000C532F"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Variable</w:t>
            </w:r>
          </w:p>
        </w:tc>
        <w:tc>
          <w:tcPr>
            <w:tcW w:w="600" w:type="pct"/>
            <w:tcBorders>
              <w:bottom w:val="single" w:sz="4" w:space="0" w:color="auto"/>
            </w:tcBorders>
          </w:tcPr>
          <w:p w14:paraId="5036D0D8" w14:textId="49115AAB" w:rsidR="000C532F" w:rsidRPr="006207BC" w:rsidRDefault="005F4D35" w:rsidP="005A6480">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Diff-in-diff estimation</w:t>
            </w:r>
          </w:p>
        </w:tc>
      </w:tr>
      <w:tr w:rsidR="00780999" w:rsidRPr="006207BC" w14:paraId="7322EE7B" w14:textId="61F6C383" w:rsidTr="00332519">
        <w:tc>
          <w:tcPr>
            <w:tcW w:w="818" w:type="pct"/>
            <w:tcBorders>
              <w:top w:val="single" w:sz="4" w:space="0" w:color="auto"/>
            </w:tcBorders>
          </w:tcPr>
          <w:p w14:paraId="49CFA346" w14:textId="77777777" w:rsidR="000C532F" w:rsidRPr="006207BC" w:rsidRDefault="000C532F" w:rsidP="000C532F">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Risk_sentences</w:t>
            </w:r>
          </w:p>
        </w:tc>
        <w:tc>
          <w:tcPr>
            <w:tcW w:w="433" w:type="pct"/>
            <w:tcBorders>
              <w:top w:val="single" w:sz="4" w:space="0" w:color="auto"/>
            </w:tcBorders>
          </w:tcPr>
          <w:p w14:paraId="3DB784FA"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74" w:type="pct"/>
            <w:tcBorders>
              <w:top w:val="single" w:sz="4" w:space="0" w:color="auto"/>
            </w:tcBorders>
          </w:tcPr>
          <w:p w14:paraId="44754EC6"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1.4375*</w:t>
            </w:r>
          </w:p>
        </w:tc>
        <w:tc>
          <w:tcPr>
            <w:tcW w:w="790" w:type="pct"/>
            <w:tcBorders>
              <w:top w:val="single" w:sz="4" w:space="0" w:color="auto"/>
            </w:tcBorders>
          </w:tcPr>
          <w:p w14:paraId="635BE79B"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Risk_sentences (fitted)</w:t>
            </w:r>
          </w:p>
        </w:tc>
        <w:tc>
          <w:tcPr>
            <w:tcW w:w="545" w:type="pct"/>
            <w:tcBorders>
              <w:top w:val="single" w:sz="4" w:space="0" w:color="auto"/>
            </w:tcBorders>
          </w:tcPr>
          <w:p w14:paraId="57D111CE"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506" w:type="pct"/>
            <w:tcBorders>
              <w:top w:val="single" w:sz="4" w:space="0" w:color="auto"/>
            </w:tcBorders>
          </w:tcPr>
          <w:p w14:paraId="0AA4E647"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5.8789***</w:t>
            </w:r>
          </w:p>
        </w:tc>
        <w:tc>
          <w:tcPr>
            <w:tcW w:w="633" w:type="pct"/>
            <w:tcBorders>
              <w:top w:val="single" w:sz="4" w:space="0" w:color="auto"/>
            </w:tcBorders>
          </w:tcPr>
          <w:p w14:paraId="4746565F" w14:textId="10B79E63"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Shock</w:t>
            </w:r>
          </w:p>
        </w:tc>
        <w:tc>
          <w:tcPr>
            <w:tcW w:w="600" w:type="pct"/>
            <w:tcBorders>
              <w:top w:val="single" w:sz="4" w:space="0" w:color="auto"/>
            </w:tcBorders>
          </w:tcPr>
          <w:p w14:paraId="52B758A6" w14:textId="6F43FA61"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4.5641***</w:t>
            </w:r>
          </w:p>
        </w:tc>
      </w:tr>
      <w:tr w:rsidR="00780999" w:rsidRPr="006207BC" w14:paraId="18FB9F84" w14:textId="5ED0ACE6" w:rsidTr="00332519">
        <w:tc>
          <w:tcPr>
            <w:tcW w:w="818" w:type="pct"/>
          </w:tcPr>
          <w:p w14:paraId="1E23E9D5" w14:textId="77777777" w:rsidR="000C532F" w:rsidRPr="006207BC" w:rsidRDefault="000C532F" w:rsidP="000C532F">
            <w:pPr>
              <w:spacing w:after="0" w:line="240" w:lineRule="auto"/>
              <w:rPr>
                <w:rFonts w:ascii="Times New Roman" w:hAnsi="Times New Roman" w:cs="Times New Roman"/>
                <w:i/>
                <w:sz w:val="20"/>
                <w:szCs w:val="20"/>
              </w:rPr>
            </w:pPr>
          </w:p>
        </w:tc>
        <w:tc>
          <w:tcPr>
            <w:tcW w:w="433" w:type="pct"/>
          </w:tcPr>
          <w:p w14:paraId="62CE61AD"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228606C3"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(0.7910)</w:t>
            </w:r>
          </w:p>
        </w:tc>
        <w:tc>
          <w:tcPr>
            <w:tcW w:w="790" w:type="pct"/>
          </w:tcPr>
          <w:p w14:paraId="0ABE2350"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3B5D5794"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06F5A65B"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(0.8993)</w:t>
            </w:r>
          </w:p>
        </w:tc>
        <w:tc>
          <w:tcPr>
            <w:tcW w:w="633" w:type="pct"/>
          </w:tcPr>
          <w:p w14:paraId="044C30A2"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0685D02B" w14:textId="1DE940D8"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(0.8252)</w:t>
            </w:r>
          </w:p>
        </w:tc>
      </w:tr>
      <w:tr w:rsidR="00780999" w:rsidRPr="006207BC" w14:paraId="1EC0B1F3" w14:textId="568FC894" w:rsidTr="00332519">
        <w:tc>
          <w:tcPr>
            <w:tcW w:w="818" w:type="pct"/>
          </w:tcPr>
          <w:p w14:paraId="0823561C" w14:textId="77777777" w:rsidR="000C532F" w:rsidRPr="006207BC" w:rsidRDefault="000C532F" w:rsidP="000C532F">
            <w:pPr>
              <w:spacing w:after="0" w:line="240" w:lineRule="auto"/>
              <w:rPr>
                <w:rFonts w:ascii="Times New Roman" w:hAnsi="Times New Roman" w:cs="Times New Roman"/>
                <w:i/>
                <w:sz w:val="20"/>
                <w:szCs w:val="20"/>
              </w:rPr>
            </w:pPr>
          </w:p>
        </w:tc>
        <w:tc>
          <w:tcPr>
            <w:tcW w:w="433" w:type="pct"/>
          </w:tcPr>
          <w:p w14:paraId="4EAB2AC4"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17947CB2"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790" w:type="pct"/>
          </w:tcPr>
          <w:p w14:paraId="368063D3" w14:textId="3DF102A7" w:rsidR="000C532F" w:rsidRPr="006207BC" w:rsidRDefault="000C532F" w:rsidP="000C532F">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Ind_ average_risk</w:t>
            </w:r>
          </w:p>
        </w:tc>
        <w:tc>
          <w:tcPr>
            <w:tcW w:w="545" w:type="pct"/>
          </w:tcPr>
          <w:p w14:paraId="7682611A"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1.0282***</w:t>
            </w:r>
          </w:p>
        </w:tc>
        <w:tc>
          <w:tcPr>
            <w:tcW w:w="506" w:type="pct"/>
          </w:tcPr>
          <w:p w14:paraId="02D41F48"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33" w:type="pct"/>
          </w:tcPr>
          <w:p w14:paraId="649DE1E9" w14:textId="322CD69D"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650EB021" w14:textId="08AEBA46"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r>
      <w:tr w:rsidR="00780999" w:rsidRPr="006207BC" w14:paraId="78D3D00A" w14:textId="7F87BE12" w:rsidTr="00332519">
        <w:tc>
          <w:tcPr>
            <w:tcW w:w="818" w:type="pct"/>
          </w:tcPr>
          <w:p w14:paraId="617771DF" w14:textId="77777777" w:rsidR="000C532F" w:rsidRPr="006207BC" w:rsidRDefault="000C532F" w:rsidP="000C532F">
            <w:pPr>
              <w:spacing w:after="0" w:line="240" w:lineRule="auto"/>
              <w:rPr>
                <w:rFonts w:ascii="Times New Roman" w:hAnsi="Times New Roman" w:cs="Times New Roman"/>
                <w:i/>
                <w:sz w:val="20"/>
                <w:szCs w:val="20"/>
              </w:rPr>
            </w:pPr>
          </w:p>
        </w:tc>
        <w:tc>
          <w:tcPr>
            <w:tcW w:w="433" w:type="pct"/>
          </w:tcPr>
          <w:p w14:paraId="3E586A81"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60FA9F51"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790" w:type="pct"/>
          </w:tcPr>
          <w:p w14:paraId="09BED912" w14:textId="77777777" w:rsidR="000C532F" w:rsidRPr="006207BC" w:rsidRDefault="000C532F" w:rsidP="000C532F">
            <w:pPr>
              <w:widowControl w:val="0"/>
              <w:autoSpaceDE w:val="0"/>
              <w:autoSpaceDN w:val="0"/>
              <w:adjustRightInd w:val="0"/>
              <w:spacing w:after="0" w:line="240" w:lineRule="auto"/>
              <w:jc w:val="center"/>
              <w:rPr>
                <w:rFonts w:ascii="Times New Roman" w:hAnsi="Times New Roman" w:cs="Times New Roman"/>
                <w:i/>
                <w:sz w:val="20"/>
                <w:szCs w:val="20"/>
              </w:rPr>
            </w:pPr>
          </w:p>
        </w:tc>
        <w:tc>
          <w:tcPr>
            <w:tcW w:w="545" w:type="pct"/>
          </w:tcPr>
          <w:p w14:paraId="799A3791"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 (0.1006)</w:t>
            </w:r>
          </w:p>
        </w:tc>
        <w:tc>
          <w:tcPr>
            <w:tcW w:w="506" w:type="pct"/>
          </w:tcPr>
          <w:p w14:paraId="2C52A013"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33" w:type="pct"/>
          </w:tcPr>
          <w:p w14:paraId="0150BBF7"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1593C1D0" w14:textId="7D320DF0"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r>
      <w:tr w:rsidR="00780999" w:rsidRPr="006207BC" w14:paraId="779504CF" w14:textId="607EF30C" w:rsidTr="00332519">
        <w:tc>
          <w:tcPr>
            <w:tcW w:w="818" w:type="pct"/>
          </w:tcPr>
          <w:p w14:paraId="70E11959" w14:textId="77777777" w:rsidR="000C532F" w:rsidRPr="006207BC" w:rsidRDefault="000C532F" w:rsidP="000C532F">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Leverage</w:t>
            </w:r>
          </w:p>
        </w:tc>
        <w:tc>
          <w:tcPr>
            <w:tcW w:w="433" w:type="pct"/>
          </w:tcPr>
          <w:p w14:paraId="06966625"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0.4356***   </w:t>
            </w:r>
          </w:p>
        </w:tc>
        <w:tc>
          <w:tcPr>
            <w:tcW w:w="674" w:type="pct"/>
          </w:tcPr>
          <w:p w14:paraId="52D941D4" w14:textId="55577AF4"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790" w:type="pct"/>
          </w:tcPr>
          <w:p w14:paraId="73BF382E"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Leverage</w:t>
            </w:r>
          </w:p>
        </w:tc>
        <w:tc>
          <w:tcPr>
            <w:tcW w:w="545" w:type="pct"/>
          </w:tcPr>
          <w:p w14:paraId="09DB3892"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0.1326***</w:t>
            </w:r>
          </w:p>
        </w:tc>
        <w:tc>
          <w:tcPr>
            <w:tcW w:w="506" w:type="pct"/>
          </w:tcPr>
          <w:p w14:paraId="3A15F642" w14:textId="0A1D4AEF"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33" w:type="pct"/>
          </w:tcPr>
          <w:p w14:paraId="021F6F31" w14:textId="31F0AF76"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013EECD4" w14:textId="044DA64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r>
      <w:tr w:rsidR="00780999" w:rsidRPr="006207BC" w14:paraId="412141F4" w14:textId="66102FD8" w:rsidTr="00332519">
        <w:tc>
          <w:tcPr>
            <w:tcW w:w="818" w:type="pct"/>
          </w:tcPr>
          <w:p w14:paraId="2AE67A4D" w14:textId="77777777" w:rsidR="000C532F" w:rsidRPr="006207BC" w:rsidRDefault="000C532F" w:rsidP="000C532F">
            <w:pPr>
              <w:spacing w:after="0" w:line="240" w:lineRule="auto"/>
              <w:rPr>
                <w:rFonts w:ascii="Times New Roman" w:hAnsi="Times New Roman" w:cs="Times New Roman"/>
                <w:i/>
                <w:sz w:val="20"/>
                <w:szCs w:val="20"/>
              </w:rPr>
            </w:pPr>
          </w:p>
        </w:tc>
        <w:tc>
          <w:tcPr>
            <w:tcW w:w="433" w:type="pct"/>
          </w:tcPr>
          <w:p w14:paraId="66EEB49C"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(0.1098)</w:t>
            </w:r>
          </w:p>
        </w:tc>
        <w:tc>
          <w:tcPr>
            <w:tcW w:w="674" w:type="pct"/>
          </w:tcPr>
          <w:p w14:paraId="6E93C04D" w14:textId="1814C65F"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790" w:type="pct"/>
          </w:tcPr>
          <w:p w14:paraId="35453EF0"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3C8C457E"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(0.0379)</w:t>
            </w:r>
          </w:p>
        </w:tc>
        <w:tc>
          <w:tcPr>
            <w:tcW w:w="506" w:type="pct"/>
          </w:tcPr>
          <w:p w14:paraId="6C52D77A" w14:textId="20D077E9"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33" w:type="pct"/>
          </w:tcPr>
          <w:p w14:paraId="1E13CF57" w14:textId="77777777"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16085F78" w14:textId="79880826" w:rsidR="000C532F" w:rsidRPr="006207BC" w:rsidRDefault="000C532F" w:rsidP="000C532F">
            <w:pPr>
              <w:widowControl w:val="0"/>
              <w:autoSpaceDE w:val="0"/>
              <w:autoSpaceDN w:val="0"/>
              <w:adjustRightInd w:val="0"/>
              <w:spacing w:after="0" w:line="240" w:lineRule="auto"/>
              <w:rPr>
                <w:rFonts w:ascii="Times New Roman" w:hAnsi="Times New Roman" w:cs="Times New Roman"/>
                <w:sz w:val="20"/>
                <w:szCs w:val="20"/>
              </w:rPr>
            </w:pPr>
          </w:p>
        </w:tc>
      </w:tr>
      <w:tr w:rsidR="008B5F19" w:rsidRPr="006207BC" w14:paraId="167AD070" w14:textId="5A43300C" w:rsidTr="00332519">
        <w:tc>
          <w:tcPr>
            <w:tcW w:w="818" w:type="pct"/>
          </w:tcPr>
          <w:p w14:paraId="33EC175E" w14:textId="5D8E7474"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Ownership</w:t>
            </w:r>
          </w:p>
        </w:tc>
        <w:tc>
          <w:tcPr>
            <w:tcW w:w="433" w:type="pct"/>
          </w:tcPr>
          <w:p w14:paraId="03492FF1"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0.3915*   </w:t>
            </w:r>
          </w:p>
        </w:tc>
        <w:tc>
          <w:tcPr>
            <w:tcW w:w="674" w:type="pct"/>
          </w:tcPr>
          <w:p w14:paraId="29C0EC45" w14:textId="35C4E39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-7.8018***</w:t>
            </w:r>
          </w:p>
        </w:tc>
        <w:tc>
          <w:tcPr>
            <w:tcW w:w="790" w:type="pct"/>
          </w:tcPr>
          <w:p w14:paraId="6934E3FD" w14:textId="2F300EA3"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Ownership</w:t>
            </w:r>
          </w:p>
        </w:tc>
        <w:tc>
          <w:tcPr>
            <w:tcW w:w="545" w:type="pct"/>
          </w:tcPr>
          <w:p w14:paraId="2D1B585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0.3298***</w:t>
            </w:r>
          </w:p>
        </w:tc>
        <w:tc>
          <w:tcPr>
            <w:tcW w:w="506" w:type="pct"/>
          </w:tcPr>
          <w:p w14:paraId="0D191657" w14:textId="41A80D1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-5.0378***</w:t>
            </w:r>
          </w:p>
        </w:tc>
        <w:tc>
          <w:tcPr>
            <w:tcW w:w="633" w:type="pct"/>
          </w:tcPr>
          <w:p w14:paraId="7800CB68" w14:textId="1C949F42"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Ownership</w:t>
            </w:r>
          </w:p>
        </w:tc>
        <w:tc>
          <w:tcPr>
            <w:tcW w:w="600" w:type="pct"/>
          </w:tcPr>
          <w:p w14:paraId="5E9711B3" w14:textId="0CAE6ADD"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-3.0801*</w:t>
            </w:r>
          </w:p>
        </w:tc>
      </w:tr>
      <w:tr w:rsidR="008B5F19" w:rsidRPr="006207BC" w14:paraId="05BEEB89" w14:textId="648EFBF5" w:rsidTr="00332519">
        <w:tc>
          <w:tcPr>
            <w:tcW w:w="818" w:type="pct"/>
          </w:tcPr>
          <w:p w14:paraId="009B2172"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5A5ED433"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(0.2312)     </w:t>
            </w:r>
          </w:p>
        </w:tc>
        <w:tc>
          <w:tcPr>
            <w:tcW w:w="674" w:type="pct"/>
          </w:tcPr>
          <w:p w14:paraId="02FF94CE" w14:textId="5D5C46F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(1.1455)</w:t>
            </w:r>
          </w:p>
        </w:tc>
        <w:tc>
          <w:tcPr>
            <w:tcW w:w="790" w:type="pct"/>
          </w:tcPr>
          <w:p w14:paraId="21FC4D7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6734DBFF"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(0.0783)</w:t>
            </w:r>
          </w:p>
        </w:tc>
        <w:tc>
          <w:tcPr>
            <w:tcW w:w="506" w:type="pct"/>
          </w:tcPr>
          <w:p w14:paraId="71E8A997" w14:textId="670B48ED"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(0.8080)</w:t>
            </w:r>
          </w:p>
        </w:tc>
        <w:tc>
          <w:tcPr>
            <w:tcW w:w="633" w:type="pct"/>
          </w:tcPr>
          <w:p w14:paraId="777E8A4A"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5C64D07A" w14:textId="1A46697E"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(1.6153)</w:t>
            </w:r>
          </w:p>
        </w:tc>
      </w:tr>
      <w:tr w:rsidR="008B5F19" w:rsidRPr="006207BC" w14:paraId="6361EF03" w14:textId="229EB66F" w:rsidTr="00332519">
        <w:tc>
          <w:tcPr>
            <w:tcW w:w="818" w:type="pct"/>
          </w:tcPr>
          <w:p w14:paraId="085EACFB"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Size</w:t>
            </w:r>
          </w:p>
        </w:tc>
        <w:tc>
          <w:tcPr>
            <w:tcW w:w="433" w:type="pct"/>
          </w:tcPr>
          <w:p w14:paraId="331ED43A"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-0.1365   </w:t>
            </w:r>
          </w:p>
        </w:tc>
        <w:tc>
          <w:tcPr>
            <w:tcW w:w="674" w:type="pct"/>
          </w:tcPr>
          <w:p w14:paraId="40C09401" w14:textId="381B382A"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7.7175***</w:t>
            </w:r>
          </w:p>
        </w:tc>
        <w:tc>
          <w:tcPr>
            <w:tcW w:w="790" w:type="pct"/>
          </w:tcPr>
          <w:p w14:paraId="36FAC98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Size</w:t>
            </w:r>
          </w:p>
        </w:tc>
        <w:tc>
          <w:tcPr>
            <w:tcW w:w="545" w:type="pct"/>
          </w:tcPr>
          <w:p w14:paraId="4E11E761"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-0.0843**</w:t>
            </w:r>
          </w:p>
        </w:tc>
        <w:tc>
          <w:tcPr>
            <w:tcW w:w="506" w:type="pct"/>
          </w:tcPr>
          <w:p w14:paraId="1FE65BF1" w14:textId="36F9ABED"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7.8362***</w:t>
            </w:r>
          </w:p>
        </w:tc>
        <w:tc>
          <w:tcPr>
            <w:tcW w:w="633" w:type="pct"/>
          </w:tcPr>
          <w:p w14:paraId="38CA8616" w14:textId="1A49CC0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Size</w:t>
            </w:r>
          </w:p>
        </w:tc>
        <w:tc>
          <w:tcPr>
            <w:tcW w:w="600" w:type="pct"/>
          </w:tcPr>
          <w:p w14:paraId="3DC97932" w14:textId="1C243C4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7.0291***</w:t>
            </w:r>
          </w:p>
        </w:tc>
      </w:tr>
      <w:tr w:rsidR="008B5F19" w:rsidRPr="006207BC" w14:paraId="7BDE8F57" w14:textId="753B47D5" w:rsidTr="00332519">
        <w:tc>
          <w:tcPr>
            <w:tcW w:w="818" w:type="pct"/>
          </w:tcPr>
          <w:p w14:paraId="3F1B245A"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0F4E5781"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(0.1148)    </w:t>
            </w:r>
          </w:p>
        </w:tc>
        <w:tc>
          <w:tcPr>
            <w:tcW w:w="674" w:type="pct"/>
          </w:tcPr>
          <w:p w14:paraId="4B7FBC4A" w14:textId="0746733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(0.5574)</w:t>
            </w:r>
          </w:p>
        </w:tc>
        <w:tc>
          <w:tcPr>
            <w:tcW w:w="790" w:type="pct"/>
          </w:tcPr>
          <w:p w14:paraId="7E674735"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5B23C4C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(0.0399)</w:t>
            </w:r>
          </w:p>
        </w:tc>
        <w:tc>
          <w:tcPr>
            <w:tcW w:w="506" w:type="pct"/>
          </w:tcPr>
          <w:p w14:paraId="0640B7F9" w14:textId="2345784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(0.3984)</w:t>
            </w:r>
          </w:p>
        </w:tc>
        <w:tc>
          <w:tcPr>
            <w:tcW w:w="633" w:type="pct"/>
          </w:tcPr>
          <w:p w14:paraId="67C7AE9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7E3F99F5" w14:textId="3529113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(0.9526)</w:t>
            </w:r>
          </w:p>
        </w:tc>
      </w:tr>
      <w:tr w:rsidR="008B5F19" w:rsidRPr="006207BC" w14:paraId="69AB8913" w14:textId="69023547" w:rsidTr="00332519">
        <w:tc>
          <w:tcPr>
            <w:tcW w:w="818" w:type="pct"/>
          </w:tcPr>
          <w:p w14:paraId="242DEC2D"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Beta</w:t>
            </w:r>
          </w:p>
        </w:tc>
        <w:tc>
          <w:tcPr>
            <w:tcW w:w="433" w:type="pct"/>
          </w:tcPr>
          <w:p w14:paraId="10CA3FA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0.6990***    </w:t>
            </w:r>
          </w:p>
        </w:tc>
        <w:tc>
          <w:tcPr>
            <w:tcW w:w="674" w:type="pct"/>
          </w:tcPr>
          <w:p w14:paraId="39F8EA8C" w14:textId="34BE8AD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0.3815</w:t>
            </w:r>
          </w:p>
        </w:tc>
        <w:tc>
          <w:tcPr>
            <w:tcW w:w="790" w:type="pct"/>
          </w:tcPr>
          <w:p w14:paraId="1D4AC08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Beta</w:t>
            </w:r>
          </w:p>
        </w:tc>
        <w:tc>
          <w:tcPr>
            <w:tcW w:w="545" w:type="pct"/>
          </w:tcPr>
          <w:p w14:paraId="57C888FA"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0.4353***</w:t>
            </w:r>
          </w:p>
        </w:tc>
        <w:tc>
          <w:tcPr>
            <w:tcW w:w="506" w:type="pct"/>
          </w:tcPr>
          <w:p w14:paraId="433BD6C8" w14:textId="3B249CE1"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2.3007***</w:t>
            </w:r>
          </w:p>
        </w:tc>
        <w:tc>
          <w:tcPr>
            <w:tcW w:w="633" w:type="pct"/>
          </w:tcPr>
          <w:p w14:paraId="01C9B40E" w14:textId="03861EE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Beta</w:t>
            </w:r>
          </w:p>
        </w:tc>
        <w:tc>
          <w:tcPr>
            <w:tcW w:w="600" w:type="pct"/>
          </w:tcPr>
          <w:p w14:paraId="14C2C694" w14:textId="4B5C7F6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5.4043***</w:t>
            </w:r>
          </w:p>
        </w:tc>
      </w:tr>
      <w:tr w:rsidR="008B5F19" w:rsidRPr="006207BC" w14:paraId="134C082E" w14:textId="0F48D0D1" w:rsidTr="00332519">
        <w:tc>
          <w:tcPr>
            <w:tcW w:w="818" w:type="pct"/>
          </w:tcPr>
          <w:p w14:paraId="74B6969C"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1BBCD06A"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(0.1736)     </w:t>
            </w:r>
          </w:p>
        </w:tc>
        <w:tc>
          <w:tcPr>
            <w:tcW w:w="674" w:type="pct"/>
          </w:tcPr>
          <w:p w14:paraId="35944228" w14:textId="0CE0A0F0"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(1.0233)</w:t>
            </w:r>
          </w:p>
        </w:tc>
        <w:tc>
          <w:tcPr>
            <w:tcW w:w="790" w:type="pct"/>
          </w:tcPr>
          <w:p w14:paraId="13BAD59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01A0F2A0"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(0.0630)</w:t>
            </w:r>
          </w:p>
        </w:tc>
        <w:tc>
          <w:tcPr>
            <w:tcW w:w="506" w:type="pct"/>
          </w:tcPr>
          <w:p w14:paraId="1688A5C4" w14:textId="06A33018"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(0.8016)</w:t>
            </w:r>
          </w:p>
        </w:tc>
        <w:tc>
          <w:tcPr>
            <w:tcW w:w="633" w:type="pct"/>
          </w:tcPr>
          <w:p w14:paraId="3E1B60DA"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777FAC7A" w14:textId="36905315"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(1.4813)</w:t>
            </w:r>
          </w:p>
        </w:tc>
      </w:tr>
      <w:tr w:rsidR="008B5F19" w:rsidRPr="006207BC" w14:paraId="013D5777" w14:textId="7808BA41" w:rsidTr="00332519">
        <w:tc>
          <w:tcPr>
            <w:tcW w:w="818" w:type="pct"/>
          </w:tcPr>
          <w:p w14:paraId="66E27F9F"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Earnings surprise</w:t>
            </w:r>
          </w:p>
        </w:tc>
        <w:tc>
          <w:tcPr>
            <w:tcW w:w="433" w:type="pct"/>
          </w:tcPr>
          <w:p w14:paraId="1A46F415"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2F0E886C" w14:textId="208ADA5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-0.2014</w:t>
            </w:r>
          </w:p>
        </w:tc>
        <w:tc>
          <w:tcPr>
            <w:tcW w:w="790" w:type="pct"/>
          </w:tcPr>
          <w:p w14:paraId="5B9452F3"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Earnings surprise</w:t>
            </w:r>
          </w:p>
        </w:tc>
        <w:tc>
          <w:tcPr>
            <w:tcW w:w="545" w:type="pct"/>
          </w:tcPr>
          <w:p w14:paraId="643F2B90"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667713BE" w14:textId="3D78BFB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-0.4191</w:t>
            </w:r>
          </w:p>
        </w:tc>
        <w:tc>
          <w:tcPr>
            <w:tcW w:w="633" w:type="pct"/>
          </w:tcPr>
          <w:p w14:paraId="5377D5AD" w14:textId="59D01D1A"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Earnings surprise</w:t>
            </w:r>
          </w:p>
        </w:tc>
        <w:tc>
          <w:tcPr>
            <w:tcW w:w="600" w:type="pct"/>
          </w:tcPr>
          <w:p w14:paraId="01DE4C39" w14:textId="1FF94B6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0.0906</w:t>
            </w:r>
          </w:p>
        </w:tc>
      </w:tr>
      <w:tr w:rsidR="008B5F19" w:rsidRPr="006207BC" w14:paraId="3FCEDE5B" w14:textId="481EDCE1" w:rsidTr="00332519">
        <w:tc>
          <w:tcPr>
            <w:tcW w:w="818" w:type="pct"/>
          </w:tcPr>
          <w:p w14:paraId="295111E0"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26278735"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557AD083" w14:textId="09E6726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(1.5303)</w:t>
            </w:r>
          </w:p>
        </w:tc>
        <w:tc>
          <w:tcPr>
            <w:tcW w:w="790" w:type="pct"/>
          </w:tcPr>
          <w:p w14:paraId="639E020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3FC08CD3"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58E76307" w14:textId="5C5FB5C2"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(1.2794)</w:t>
            </w:r>
          </w:p>
        </w:tc>
        <w:tc>
          <w:tcPr>
            <w:tcW w:w="633" w:type="pct"/>
          </w:tcPr>
          <w:p w14:paraId="2811E46D"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630C8A17" w14:textId="39CFA4C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(0.9217)</w:t>
            </w:r>
          </w:p>
        </w:tc>
      </w:tr>
      <w:tr w:rsidR="008B5F19" w:rsidRPr="006207BC" w14:paraId="08D3DEF8" w14:textId="731A89D7" w:rsidTr="00332519">
        <w:tc>
          <w:tcPr>
            <w:tcW w:w="818" w:type="pct"/>
          </w:tcPr>
          <w:p w14:paraId="7E352897"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Return STD</w:t>
            </w:r>
          </w:p>
        </w:tc>
        <w:tc>
          <w:tcPr>
            <w:tcW w:w="433" w:type="pct"/>
          </w:tcPr>
          <w:p w14:paraId="58631966" w14:textId="77777777" w:rsidR="008B5F19" w:rsidRPr="006207BC" w:rsidRDefault="008B5F19" w:rsidP="008B5F19">
            <w:pPr>
              <w:spacing w:after="0" w:line="240" w:lineRule="auto"/>
              <w:rPr>
                <w:rFonts w:ascii="Times New Roman" w:hAnsi="Times New Roman" w:cs="Times New Roman"/>
                <w:sz w:val="20"/>
                <w:szCs w:val="20"/>
              </w:rPr>
            </w:pPr>
          </w:p>
        </w:tc>
        <w:tc>
          <w:tcPr>
            <w:tcW w:w="674" w:type="pct"/>
          </w:tcPr>
          <w:p w14:paraId="6CD2314C" w14:textId="68BFA17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-12.9427***</w:t>
            </w:r>
          </w:p>
        </w:tc>
        <w:tc>
          <w:tcPr>
            <w:tcW w:w="790" w:type="pct"/>
          </w:tcPr>
          <w:p w14:paraId="56BA293E"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Return STD</w:t>
            </w:r>
          </w:p>
        </w:tc>
        <w:tc>
          <w:tcPr>
            <w:tcW w:w="545" w:type="pct"/>
          </w:tcPr>
          <w:p w14:paraId="3ECD1A72"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5D7C68F8" w14:textId="5ECCAAFE"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-16.1666***</w:t>
            </w:r>
          </w:p>
        </w:tc>
        <w:tc>
          <w:tcPr>
            <w:tcW w:w="633" w:type="pct"/>
          </w:tcPr>
          <w:p w14:paraId="107F17F5" w14:textId="6DF09298"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Return STD</w:t>
            </w:r>
          </w:p>
        </w:tc>
        <w:tc>
          <w:tcPr>
            <w:tcW w:w="600" w:type="pct"/>
          </w:tcPr>
          <w:p w14:paraId="5C26F61D" w14:textId="4134D58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-13.2689***</w:t>
            </w:r>
          </w:p>
        </w:tc>
      </w:tr>
      <w:tr w:rsidR="008B5F19" w:rsidRPr="006207BC" w14:paraId="274C3B7B" w14:textId="5DBC9DDC" w:rsidTr="00332519">
        <w:tc>
          <w:tcPr>
            <w:tcW w:w="818" w:type="pct"/>
          </w:tcPr>
          <w:p w14:paraId="431D80A6"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5DDD2EC1" w14:textId="77777777" w:rsidR="008B5F19" w:rsidRPr="006207BC" w:rsidRDefault="008B5F19" w:rsidP="008B5F19">
            <w:pPr>
              <w:spacing w:after="0" w:line="240" w:lineRule="auto"/>
              <w:rPr>
                <w:rFonts w:ascii="Times New Roman" w:hAnsi="Times New Roman" w:cs="Times New Roman"/>
                <w:sz w:val="20"/>
                <w:szCs w:val="20"/>
              </w:rPr>
            </w:pPr>
          </w:p>
        </w:tc>
        <w:tc>
          <w:tcPr>
            <w:tcW w:w="674" w:type="pct"/>
          </w:tcPr>
          <w:p w14:paraId="095782C6" w14:textId="1AA37B4D"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(2.9993)</w:t>
            </w:r>
          </w:p>
        </w:tc>
        <w:tc>
          <w:tcPr>
            <w:tcW w:w="790" w:type="pct"/>
          </w:tcPr>
          <w:p w14:paraId="7D40A58A"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341BA781"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23F5C9D2" w14:textId="6CC8B21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(2.5918)</w:t>
            </w:r>
          </w:p>
        </w:tc>
        <w:tc>
          <w:tcPr>
            <w:tcW w:w="633" w:type="pct"/>
          </w:tcPr>
          <w:p w14:paraId="4541D272"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2800ED45" w14:textId="22F106F2"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(4.8891)</w:t>
            </w:r>
          </w:p>
        </w:tc>
      </w:tr>
      <w:tr w:rsidR="008B5F19" w:rsidRPr="006207BC" w14:paraId="4A01215C" w14:textId="469B3C91" w:rsidTr="00332519">
        <w:tc>
          <w:tcPr>
            <w:tcW w:w="818" w:type="pct"/>
          </w:tcPr>
          <w:p w14:paraId="3292AE62"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Profitability</w:t>
            </w:r>
          </w:p>
        </w:tc>
        <w:tc>
          <w:tcPr>
            <w:tcW w:w="433" w:type="pct"/>
          </w:tcPr>
          <w:p w14:paraId="4038B121" w14:textId="77777777" w:rsidR="008B5F19" w:rsidRPr="006207BC" w:rsidRDefault="008B5F19" w:rsidP="008B5F19">
            <w:pPr>
              <w:spacing w:after="0" w:line="240" w:lineRule="auto"/>
              <w:rPr>
                <w:rFonts w:ascii="Times New Roman" w:hAnsi="Times New Roman" w:cs="Times New Roman"/>
                <w:sz w:val="20"/>
                <w:szCs w:val="20"/>
              </w:rPr>
            </w:pPr>
          </w:p>
        </w:tc>
        <w:tc>
          <w:tcPr>
            <w:tcW w:w="674" w:type="pct"/>
          </w:tcPr>
          <w:p w14:paraId="59F01C6C" w14:textId="0CBDFD9C"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7.6469***</w:t>
            </w:r>
          </w:p>
        </w:tc>
        <w:tc>
          <w:tcPr>
            <w:tcW w:w="790" w:type="pct"/>
          </w:tcPr>
          <w:p w14:paraId="6B7F487A"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Profitability</w:t>
            </w:r>
          </w:p>
        </w:tc>
        <w:tc>
          <w:tcPr>
            <w:tcW w:w="545" w:type="pct"/>
          </w:tcPr>
          <w:p w14:paraId="0D0C6A15"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304E618D" w14:textId="6A659BDC"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7.7946***</w:t>
            </w:r>
          </w:p>
        </w:tc>
        <w:tc>
          <w:tcPr>
            <w:tcW w:w="633" w:type="pct"/>
          </w:tcPr>
          <w:p w14:paraId="0EF9EF56" w14:textId="13A4366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Profitability</w:t>
            </w:r>
          </w:p>
        </w:tc>
        <w:tc>
          <w:tcPr>
            <w:tcW w:w="600" w:type="pct"/>
          </w:tcPr>
          <w:p w14:paraId="4C6F71F9" w14:textId="1DC7C1A5"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9.0428**</w:t>
            </w:r>
          </w:p>
        </w:tc>
      </w:tr>
      <w:tr w:rsidR="008B5F19" w:rsidRPr="006207BC" w14:paraId="10155B39" w14:textId="6A743B7D" w:rsidTr="00332519">
        <w:tc>
          <w:tcPr>
            <w:tcW w:w="818" w:type="pct"/>
          </w:tcPr>
          <w:p w14:paraId="286996AC"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75C60C90" w14:textId="77777777" w:rsidR="008B5F19" w:rsidRPr="006207BC" w:rsidRDefault="008B5F19" w:rsidP="008B5F19">
            <w:pPr>
              <w:spacing w:after="0" w:line="240" w:lineRule="auto"/>
              <w:rPr>
                <w:rFonts w:ascii="Times New Roman" w:hAnsi="Times New Roman" w:cs="Times New Roman"/>
                <w:sz w:val="20"/>
                <w:szCs w:val="20"/>
              </w:rPr>
            </w:pPr>
          </w:p>
        </w:tc>
        <w:tc>
          <w:tcPr>
            <w:tcW w:w="674" w:type="pct"/>
          </w:tcPr>
          <w:p w14:paraId="49DCE679" w14:textId="6FB70BD5"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(2.5160)</w:t>
            </w:r>
          </w:p>
        </w:tc>
        <w:tc>
          <w:tcPr>
            <w:tcW w:w="790" w:type="pct"/>
          </w:tcPr>
          <w:p w14:paraId="3A829B0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3F824B0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04857CE7" w14:textId="5719300C"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(2.1456)</w:t>
            </w:r>
          </w:p>
        </w:tc>
        <w:tc>
          <w:tcPr>
            <w:tcW w:w="633" w:type="pct"/>
          </w:tcPr>
          <w:p w14:paraId="5BC5E2B7"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081B290B" w14:textId="135CA19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(3.6345)</w:t>
            </w:r>
          </w:p>
        </w:tc>
      </w:tr>
      <w:tr w:rsidR="008B5F19" w:rsidRPr="006207BC" w14:paraId="223F4ACB" w14:textId="15023D6D" w:rsidTr="00332519">
        <w:tc>
          <w:tcPr>
            <w:tcW w:w="818" w:type="pct"/>
          </w:tcPr>
          <w:p w14:paraId="1E59611E"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Market-to-book</w:t>
            </w:r>
          </w:p>
        </w:tc>
        <w:tc>
          <w:tcPr>
            <w:tcW w:w="433" w:type="pct"/>
          </w:tcPr>
          <w:p w14:paraId="65EF735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0.07147   </w:t>
            </w:r>
          </w:p>
        </w:tc>
        <w:tc>
          <w:tcPr>
            <w:tcW w:w="674" w:type="pct"/>
          </w:tcPr>
          <w:p w14:paraId="2E28E0B2" w14:textId="5C4DD321"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2.5158***</w:t>
            </w:r>
          </w:p>
        </w:tc>
        <w:tc>
          <w:tcPr>
            <w:tcW w:w="790" w:type="pct"/>
          </w:tcPr>
          <w:p w14:paraId="7140CB74"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Market-to-book</w:t>
            </w:r>
          </w:p>
        </w:tc>
        <w:tc>
          <w:tcPr>
            <w:tcW w:w="545" w:type="pct"/>
          </w:tcPr>
          <w:p w14:paraId="5DCA033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-0.0214</w:t>
            </w:r>
          </w:p>
        </w:tc>
        <w:tc>
          <w:tcPr>
            <w:tcW w:w="506" w:type="pct"/>
          </w:tcPr>
          <w:p w14:paraId="29EA72B5" w14:textId="7C551020"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2.3762***</w:t>
            </w:r>
          </w:p>
        </w:tc>
        <w:tc>
          <w:tcPr>
            <w:tcW w:w="633" w:type="pct"/>
          </w:tcPr>
          <w:p w14:paraId="3BB80906" w14:textId="63AF3494"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Market-to-book</w:t>
            </w:r>
          </w:p>
        </w:tc>
        <w:tc>
          <w:tcPr>
            <w:tcW w:w="600" w:type="pct"/>
          </w:tcPr>
          <w:p w14:paraId="11FB3B71" w14:textId="53810A1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2.2513***</w:t>
            </w:r>
          </w:p>
        </w:tc>
      </w:tr>
      <w:tr w:rsidR="008B5F19" w:rsidRPr="006207BC" w14:paraId="39692DD9" w14:textId="6E242468" w:rsidTr="00332519">
        <w:tc>
          <w:tcPr>
            <w:tcW w:w="818" w:type="pct"/>
          </w:tcPr>
          <w:p w14:paraId="71251AB2"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377E0D6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(0.0632)     </w:t>
            </w:r>
          </w:p>
        </w:tc>
        <w:tc>
          <w:tcPr>
            <w:tcW w:w="674" w:type="pct"/>
          </w:tcPr>
          <w:p w14:paraId="79D53A9A" w14:textId="30A9706E"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(0.3334)</w:t>
            </w:r>
          </w:p>
        </w:tc>
        <w:tc>
          <w:tcPr>
            <w:tcW w:w="790" w:type="pct"/>
          </w:tcPr>
          <w:p w14:paraId="04360E6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28D31AA0"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(0.0231)</w:t>
            </w:r>
          </w:p>
        </w:tc>
        <w:tc>
          <w:tcPr>
            <w:tcW w:w="506" w:type="pct"/>
          </w:tcPr>
          <w:p w14:paraId="45B12F1C" w14:textId="66589EAC"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(0.2333)</w:t>
            </w:r>
          </w:p>
        </w:tc>
        <w:tc>
          <w:tcPr>
            <w:tcW w:w="633" w:type="pct"/>
          </w:tcPr>
          <w:p w14:paraId="733A5C47"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7B95991F" w14:textId="186D565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(0.4390)</w:t>
            </w:r>
          </w:p>
        </w:tc>
      </w:tr>
      <w:tr w:rsidR="008B5F19" w:rsidRPr="006207BC" w14:paraId="493260DC" w14:textId="35203778" w:rsidTr="00332519">
        <w:tc>
          <w:tcPr>
            <w:tcW w:w="818" w:type="pct"/>
          </w:tcPr>
          <w:p w14:paraId="1310AE29"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XLIST</w:t>
            </w:r>
          </w:p>
        </w:tc>
        <w:tc>
          <w:tcPr>
            <w:tcW w:w="433" w:type="pct"/>
          </w:tcPr>
          <w:p w14:paraId="01F6039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0.5917***   </w:t>
            </w:r>
          </w:p>
        </w:tc>
        <w:tc>
          <w:tcPr>
            <w:tcW w:w="674" w:type="pct"/>
          </w:tcPr>
          <w:p w14:paraId="55F436CE" w14:textId="6F4B04D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0.9488</w:t>
            </w:r>
          </w:p>
        </w:tc>
        <w:tc>
          <w:tcPr>
            <w:tcW w:w="790" w:type="pct"/>
          </w:tcPr>
          <w:p w14:paraId="14E76837"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XLIST</w:t>
            </w:r>
          </w:p>
        </w:tc>
        <w:tc>
          <w:tcPr>
            <w:tcW w:w="545" w:type="pct"/>
          </w:tcPr>
          <w:p w14:paraId="0C95B544"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0.2564***</w:t>
            </w:r>
          </w:p>
        </w:tc>
        <w:tc>
          <w:tcPr>
            <w:tcW w:w="506" w:type="pct"/>
          </w:tcPr>
          <w:p w14:paraId="6657966A" w14:textId="70CC20D8"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0.5900</w:t>
            </w:r>
          </w:p>
        </w:tc>
        <w:tc>
          <w:tcPr>
            <w:tcW w:w="633" w:type="pct"/>
          </w:tcPr>
          <w:p w14:paraId="26C24682" w14:textId="3596521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XLIST</w:t>
            </w:r>
          </w:p>
        </w:tc>
        <w:tc>
          <w:tcPr>
            <w:tcW w:w="600" w:type="pct"/>
          </w:tcPr>
          <w:p w14:paraId="2FFCBE27" w14:textId="62D7702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2.3713***</w:t>
            </w:r>
          </w:p>
        </w:tc>
      </w:tr>
      <w:tr w:rsidR="008B5F19" w:rsidRPr="006207BC" w14:paraId="7E09A02E" w14:textId="0E17A38E" w:rsidTr="00332519">
        <w:tc>
          <w:tcPr>
            <w:tcW w:w="818" w:type="pct"/>
          </w:tcPr>
          <w:p w14:paraId="2CBAB788"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121FAD8F"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(0.1270)     </w:t>
            </w:r>
          </w:p>
        </w:tc>
        <w:tc>
          <w:tcPr>
            <w:tcW w:w="674" w:type="pct"/>
          </w:tcPr>
          <w:p w14:paraId="6451EF8F" w14:textId="2C04FCD4"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(0.6010)</w:t>
            </w:r>
          </w:p>
        </w:tc>
        <w:tc>
          <w:tcPr>
            <w:tcW w:w="790" w:type="pct"/>
          </w:tcPr>
          <w:p w14:paraId="36602C0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2285AB50"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(0.0451)</w:t>
            </w:r>
          </w:p>
        </w:tc>
        <w:tc>
          <w:tcPr>
            <w:tcW w:w="506" w:type="pct"/>
          </w:tcPr>
          <w:p w14:paraId="7D09DA53" w14:textId="6215020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(0.5020)</w:t>
            </w:r>
          </w:p>
        </w:tc>
        <w:tc>
          <w:tcPr>
            <w:tcW w:w="633" w:type="pct"/>
          </w:tcPr>
          <w:p w14:paraId="553C3C0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3BEA39B4" w14:textId="7DF66C6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(0.8212)</w:t>
            </w:r>
          </w:p>
        </w:tc>
      </w:tr>
      <w:tr w:rsidR="008B5F19" w:rsidRPr="006207BC" w14:paraId="281DC065" w14:textId="23B4944C" w:rsidTr="00332519">
        <w:tc>
          <w:tcPr>
            <w:tcW w:w="818" w:type="pct"/>
          </w:tcPr>
          <w:p w14:paraId="5252F2A1"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Issuance</w:t>
            </w:r>
          </w:p>
        </w:tc>
        <w:tc>
          <w:tcPr>
            <w:tcW w:w="433" w:type="pct"/>
          </w:tcPr>
          <w:p w14:paraId="5332F64F"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65201D26" w14:textId="5664135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-1.7477***</w:t>
            </w:r>
          </w:p>
        </w:tc>
        <w:tc>
          <w:tcPr>
            <w:tcW w:w="790" w:type="pct"/>
          </w:tcPr>
          <w:p w14:paraId="1C0B1C97"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Issuance</w:t>
            </w:r>
          </w:p>
        </w:tc>
        <w:tc>
          <w:tcPr>
            <w:tcW w:w="545" w:type="pct"/>
          </w:tcPr>
          <w:p w14:paraId="715481E7"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52086BD6" w14:textId="5AFC385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-0.5714</w:t>
            </w:r>
          </w:p>
        </w:tc>
        <w:tc>
          <w:tcPr>
            <w:tcW w:w="633" w:type="pct"/>
          </w:tcPr>
          <w:p w14:paraId="30B9657F" w14:textId="71AA466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Issuance</w:t>
            </w:r>
          </w:p>
        </w:tc>
        <w:tc>
          <w:tcPr>
            <w:tcW w:w="600" w:type="pct"/>
          </w:tcPr>
          <w:p w14:paraId="61A9DC48" w14:textId="2C5C795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0.0200</w:t>
            </w:r>
          </w:p>
        </w:tc>
      </w:tr>
      <w:tr w:rsidR="008B5F19" w:rsidRPr="006207BC" w14:paraId="1D17A8E8" w14:textId="4C74AA98" w:rsidTr="00332519">
        <w:tc>
          <w:tcPr>
            <w:tcW w:w="818" w:type="pct"/>
          </w:tcPr>
          <w:p w14:paraId="186A9964"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4C8B5BBB"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194AFCF0" w14:textId="58464DD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(0.6734)</w:t>
            </w:r>
          </w:p>
        </w:tc>
        <w:tc>
          <w:tcPr>
            <w:tcW w:w="790" w:type="pct"/>
          </w:tcPr>
          <w:p w14:paraId="6CD63B2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71A861AB"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Pr>
          <w:p w14:paraId="63B7CBF0" w14:textId="190A1B01"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(0.5123)</w:t>
            </w:r>
          </w:p>
        </w:tc>
        <w:tc>
          <w:tcPr>
            <w:tcW w:w="633" w:type="pct"/>
          </w:tcPr>
          <w:p w14:paraId="2A20EE1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32C16D66" w14:textId="72A721C4"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(1.2904)</w:t>
            </w:r>
          </w:p>
        </w:tc>
      </w:tr>
      <w:tr w:rsidR="008B5F19" w:rsidRPr="006207BC" w14:paraId="7D256972" w14:textId="418EB646" w:rsidTr="00332519">
        <w:tc>
          <w:tcPr>
            <w:tcW w:w="818" w:type="pct"/>
          </w:tcPr>
          <w:p w14:paraId="2FB78348"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Intangible</w:t>
            </w:r>
          </w:p>
        </w:tc>
        <w:tc>
          <w:tcPr>
            <w:tcW w:w="433" w:type="pct"/>
          </w:tcPr>
          <w:p w14:paraId="2E342112"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1.6200***   </w:t>
            </w:r>
          </w:p>
        </w:tc>
        <w:tc>
          <w:tcPr>
            <w:tcW w:w="674" w:type="pct"/>
          </w:tcPr>
          <w:p w14:paraId="20E5870F" w14:textId="5283CA35"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4.2511***</w:t>
            </w:r>
          </w:p>
        </w:tc>
        <w:tc>
          <w:tcPr>
            <w:tcW w:w="790" w:type="pct"/>
          </w:tcPr>
          <w:p w14:paraId="207B03EC"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Intangible</w:t>
            </w:r>
          </w:p>
        </w:tc>
        <w:tc>
          <w:tcPr>
            <w:tcW w:w="545" w:type="pct"/>
          </w:tcPr>
          <w:p w14:paraId="2A52346D"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0.4330***</w:t>
            </w:r>
          </w:p>
        </w:tc>
        <w:tc>
          <w:tcPr>
            <w:tcW w:w="506" w:type="pct"/>
          </w:tcPr>
          <w:p w14:paraId="2EB1FC36" w14:textId="33BAAE1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5.6182***</w:t>
            </w:r>
          </w:p>
        </w:tc>
        <w:tc>
          <w:tcPr>
            <w:tcW w:w="633" w:type="pct"/>
          </w:tcPr>
          <w:p w14:paraId="5778BD88" w14:textId="10C75A63"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Intangible</w:t>
            </w:r>
          </w:p>
        </w:tc>
        <w:tc>
          <w:tcPr>
            <w:tcW w:w="600" w:type="pct"/>
          </w:tcPr>
          <w:p w14:paraId="1AF37B91" w14:textId="4AE336F2"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8.4095***</w:t>
            </w:r>
          </w:p>
        </w:tc>
      </w:tr>
      <w:tr w:rsidR="008B5F19" w:rsidRPr="006207BC" w14:paraId="26477B71" w14:textId="09D81EE1" w:rsidTr="00332519">
        <w:tc>
          <w:tcPr>
            <w:tcW w:w="818" w:type="pct"/>
          </w:tcPr>
          <w:p w14:paraId="1F4B45B5"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25BDFE02"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(0.3421)</w:t>
            </w:r>
          </w:p>
        </w:tc>
        <w:tc>
          <w:tcPr>
            <w:tcW w:w="674" w:type="pct"/>
          </w:tcPr>
          <w:p w14:paraId="04C6509F" w14:textId="55FC6521"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(1.6257)</w:t>
            </w:r>
          </w:p>
        </w:tc>
        <w:tc>
          <w:tcPr>
            <w:tcW w:w="790" w:type="pct"/>
          </w:tcPr>
          <w:p w14:paraId="470F989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3C5D8E81"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(0.0810)</w:t>
            </w:r>
          </w:p>
        </w:tc>
        <w:tc>
          <w:tcPr>
            <w:tcW w:w="506" w:type="pct"/>
          </w:tcPr>
          <w:p w14:paraId="6C30C6CC" w14:textId="1BB548BA"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(1.0557)</w:t>
            </w:r>
          </w:p>
        </w:tc>
        <w:tc>
          <w:tcPr>
            <w:tcW w:w="633" w:type="pct"/>
          </w:tcPr>
          <w:p w14:paraId="3CC0EE36" w14:textId="0D21A835"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43254FDE" w14:textId="09BFB77C"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(2.4316)</w:t>
            </w:r>
          </w:p>
        </w:tc>
      </w:tr>
      <w:tr w:rsidR="008B5F19" w:rsidRPr="006207BC" w14:paraId="5F27B65E" w14:textId="0975BEFC" w:rsidTr="00332519">
        <w:tc>
          <w:tcPr>
            <w:tcW w:w="818" w:type="pct"/>
          </w:tcPr>
          <w:p w14:paraId="1F57774B"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Intercept</w:t>
            </w:r>
          </w:p>
        </w:tc>
        <w:tc>
          <w:tcPr>
            <w:tcW w:w="433" w:type="pct"/>
          </w:tcPr>
          <w:p w14:paraId="79883888"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-1.8470***</w:t>
            </w:r>
          </w:p>
        </w:tc>
        <w:tc>
          <w:tcPr>
            <w:tcW w:w="674" w:type="pct"/>
          </w:tcPr>
          <w:p w14:paraId="79EDB3C3" w14:textId="50F00F7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11.8992***</w:t>
            </w:r>
          </w:p>
        </w:tc>
        <w:tc>
          <w:tcPr>
            <w:tcW w:w="790" w:type="pct"/>
          </w:tcPr>
          <w:p w14:paraId="2F163182"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Intercept</w:t>
            </w:r>
          </w:p>
        </w:tc>
        <w:tc>
          <w:tcPr>
            <w:tcW w:w="545" w:type="pct"/>
          </w:tcPr>
          <w:p w14:paraId="017610D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-1.2098**</w:t>
            </w:r>
          </w:p>
        </w:tc>
        <w:tc>
          <w:tcPr>
            <w:tcW w:w="506" w:type="pct"/>
          </w:tcPr>
          <w:p w14:paraId="29709598" w14:textId="50CD6DFE"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-10.9177***</w:t>
            </w:r>
          </w:p>
        </w:tc>
        <w:tc>
          <w:tcPr>
            <w:tcW w:w="633" w:type="pct"/>
          </w:tcPr>
          <w:p w14:paraId="3FA8A818" w14:textId="1AEED42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Intercept</w:t>
            </w:r>
          </w:p>
        </w:tc>
        <w:tc>
          <w:tcPr>
            <w:tcW w:w="600" w:type="pct"/>
          </w:tcPr>
          <w:p w14:paraId="052C7A08" w14:textId="574DE0A4"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9.6682***</w:t>
            </w:r>
          </w:p>
        </w:tc>
      </w:tr>
      <w:tr w:rsidR="008B5F19" w:rsidRPr="006207BC" w14:paraId="46C94FD5" w14:textId="16522607" w:rsidTr="00332519">
        <w:tc>
          <w:tcPr>
            <w:tcW w:w="818" w:type="pct"/>
          </w:tcPr>
          <w:p w14:paraId="118C2ACD" w14:textId="77777777" w:rsidR="008B5F19" w:rsidRPr="006207BC" w:rsidRDefault="008B5F19" w:rsidP="008B5F19">
            <w:pPr>
              <w:spacing w:after="0" w:line="240" w:lineRule="auto"/>
              <w:rPr>
                <w:rFonts w:ascii="Times New Roman" w:hAnsi="Times New Roman" w:cs="Times New Roman"/>
                <w:i/>
                <w:sz w:val="20"/>
                <w:szCs w:val="20"/>
              </w:rPr>
            </w:pPr>
          </w:p>
        </w:tc>
        <w:tc>
          <w:tcPr>
            <w:tcW w:w="433" w:type="pct"/>
          </w:tcPr>
          <w:p w14:paraId="4952B2D2"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(0.3524)</w:t>
            </w:r>
          </w:p>
        </w:tc>
        <w:tc>
          <w:tcPr>
            <w:tcW w:w="674" w:type="pct"/>
          </w:tcPr>
          <w:p w14:paraId="04A2EC8C" w14:textId="1696C8F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(4.5507)</w:t>
            </w:r>
          </w:p>
        </w:tc>
        <w:tc>
          <w:tcPr>
            <w:tcW w:w="790" w:type="pct"/>
          </w:tcPr>
          <w:p w14:paraId="79596A8F"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i/>
                <w:sz w:val="20"/>
                <w:szCs w:val="20"/>
              </w:rPr>
            </w:pPr>
          </w:p>
        </w:tc>
        <w:tc>
          <w:tcPr>
            <w:tcW w:w="545" w:type="pct"/>
          </w:tcPr>
          <w:p w14:paraId="7659D686"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(0.5033)</w:t>
            </w:r>
          </w:p>
        </w:tc>
        <w:tc>
          <w:tcPr>
            <w:tcW w:w="506" w:type="pct"/>
          </w:tcPr>
          <w:p w14:paraId="6F87C624" w14:textId="7A40737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(3.5630)</w:t>
            </w:r>
          </w:p>
        </w:tc>
        <w:tc>
          <w:tcPr>
            <w:tcW w:w="633" w:type="pct"/>
          </w:tcPr>
          <w:p w14:paraId="38701224" w14:textId="71CD05D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688998F5" w14:textId="61AFD2C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(2.9128)</w:t>
            </w:r>
          </w:p>
        </w:tc>
      </w:tr>
      <w:tr w:rsidR="008B5F19" w:rsidRPr="006207BC" w14:paraId="736AE800" w14:textId="01BDD49C" w:rsidTr="00332519">
        <w:tc>
          <w:tcPr>
            <w:tcW w:w="818" w:type="pct"/>
          </w:tcPr>
          <w:p w14:paraId="340888DA"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Year dummies</w:t>
            </w:r>
          </w:p>
        </w:tc>
        <w:tc>
          <w:tcPr>
            <w:tcW w:w="433" w:type="pct"/>
          </w:tcPr>
          <w:p w14:paraId="4676F14E"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674" w:type="pct"/>
          </w:tcPr>
          <w:p w14:paraId="5C141C92"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790" w:type="pct"/>
          </w:tcPr>
          <w:p w14:paraId="0A98E1B6"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Year dummies</w:t>
            </w:r>
          </w:p>
        </w:tc>
        <w:tc>
          <w:tcPr>
            <w:tcW w:w="545" w:type="pct"/>
          </w:tcPr>
          <w:p w14:paraId="2617C056"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506" w:type="pct"/>
          </w:tcPr>
          <w:p w14:paraId="783A6613"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633" w:type="pct"/>
          </w:tcPr>
          <w:p w14:paraId="1DF41796" w14:textId="31374A3C"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Year dummies</w:t>
            </w:r>
          </w:p>
        </w:tc>
        <w:tc>
          <w:tcPr>
            <w:tcW w:w="600" w:type="pct"/>
          </w:tcPr>
          <w:p w14:paraId="6A9223D6" w14:textId="31279D04"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r>
      <w:tr w:rsidR="008B5F19" w:rsidRPr="006207BC" w14:paraId="3C5FB2D0" w14:textId="0375A74F" w:rsidTr="00332519">
        <w:tc>
          <w:tcPr>
            <w:tcW w:w="818" w:type="pct"/>
          </w:tcPr>
          <w:p w14:paraId="67534700"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Industry dummies</w:t>
            </w:r>
          </w:p>
        </w:tc>
        <w:tc>
          <w:tcPr>
            <w:tcW w:w="433" w:type="pct"/>
          </w:tcPr>
          <w:p w14:paraId="00D7C6B6"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674" w:type="pct"/>
          </w:tcPr>
          <w:p w14:paraId="70EEE352"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c>
          <w:tcPr>
            <w:tcW w:w="790" w:type="pct"/>
          </w:tcPr>
          <w:p w14:paraId="1793AB44" w14:textId="77777777" w:rsidR="008B5F19" w:rsidRPr="006207BC" w:rsidRDefault="008B5F19" w:rsidP="008B5F19">
            <w:pPr>
              <w:spacing w:after="0" w:line="240" w:lineRule="auto"/>
              <w:rPr>
                <w:rFonts w:ascii="Times New Roman" w:hAnsi="Times New Roman" w:cs="Times New Roman"/>
                <w:i/>
                <w:sz w:val="20"/>
                <w:szCs w:val="20"/>
              </w:rPr>
            </w:pPr>
            <w:r w:rsidRPr="006207BC">
              <w:rPr>
                <w:rFonts w:ascii="Times New Roman" w:hAnsi="Times New Roman" w:cs="Times New Roman"/>
                <w:i/>
                <w:sz w:val="20"/>
                <w:szCs w:val="20"/>
              </w:rPr>
              <w:t>Industry dummies</w:t>
            </w:r>
          </w:p>
        </w:tc>
        <w:tc>
          <w:tcPr>
            <w:tcW w:w="545" w:type="pct"/>
          </w:tcPr>
          <w:p w14:paraId="171E1311"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No</w:t>
            </w:r>
          </w:p>
        </w:tc>
        <w:tc>
          <w:tcPr>
            <w:tcW w:w="506" w:type="pct"/>
          </w:tcPr>
          <w:p w14:paraId="77CE31F6" w14:textId="77777777"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No</w:t>
            </w:r>
          </w:p>
        </w:tc>
        <w:tc>
          <w:tcPr>
            <w:tcW w:w="633" w:type="pct"/>
          </w:tcPr>
          <w:p w14:paraId="124863C5" w14:textId="57BF654A"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Industry dummies</w:t>
            </w:r>
          </w:p>
        </w:tc>
        <w:tc>
          <w:tcPr>
            <w:tcW w:w="600" w:type="pct"/>
          </w:tcPr>
          <w:p w14:paraId="53A02EA8" w14:textId="649DA29E"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Yes</w:t>
            </w:r>
          </w:p>
        </w:tc>
      </w:tr>
      <w:tr w:rsidR="008B5F19" w:rsidRPr="006207BC" w14:paraId="2F84ED9F" w14:textId="73012BD6" w:rsidTr="00332519">
        <w:tc>
          <w:tcPr>
            <w:tcW w:w="818" w:type="pct"/>
          </w:tcPr>
          <w:p w14:paraId="5EEA13B2" w14:textId="000587B7" w:rsidR="008B5F19" w:rsidRPr="006207BC" w:rsidRDefault="008B5F19" w:rsidP="008B5F19">
            <w:pPr>
              <w:spacing w:after="0" w:line="240" w:lineRule="auto"/>
              <w:rPr>
                <w:rFonts w:ascii="Times New Roman" w:hAnsi="Times New Roman" w:cs="Times New Roman"/>
                <w:sz w:val="20"/>
                <w:szCs w:val="20"/>
              </w:rPr>
            </w:pPr>
          </w:p>
        </w:tc>
        <w:tc>
          <w:tcPr>
            <w:tcW w:w="433" w:type="pct"/>
          </w:tcPr>
          <w:p w14:paraId="550286FA" w14:textId="4B04538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74" w:type="pct"/>
          </w:tcPr>
          <w:p w14:paraId="5D011390"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790" w:type="pct"/>
          </w:tcPr>
          <w:p w14:paraId="0D5866FD" w14:textId="24C0C466"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i/>
                <w:sz w:val="20"/>
                <w:szCs w:val="20"/>
              </w:rPr>
              <w:t>F</w:t>
            </w:r>
            <w:r w:rsidRPr="006207BC">
              <w:rPr>
                <w:rFonts w:ascii="Times New Roman" w:hAnsi="Times New Roman" w:cs="Times New Roman"/>
                <w:sz w:val="20"/>
                <w:szCs w:val="20"/>
              </w:rPr>
              <w:t xml:space="preserve">-test (Partial </w:t>
            </w:r>
            <w:r w:rsidRPr="006207BC">
              <w:rPr>
                <w:rFonts w:ascii="Times New Roman" w:hAnsi="Times New Roman" w:cs="Times New Roman"/>
                <w:i/>
                <w:sz w:val="20"/>
                <w:szCs w:val="20"/>
              </w:rPr>
              <w:t>R</w:t>
            </w:r>
            <w:r w:rsidRPr="006207BC">
              <w:rPr>
                <w:rFonts w:ascii="Times New Roman" w:hAnsi="Times New Roman" w:cs="Times New Roman"/>
                <w:sz w:val="20"/>
                <w:szCs w:val="20"/>
              </w:rPr>
              <w:t>²) of excluded instruments</w:t>
            </w:r>
          </w:p>
        </w:tc>
        <w:tc>
          <w:tcPr>
            <w:tcW w:w="545" w:type="pct"/>
          </w:tcPr>
          <w:p w14:paraId="1373AC10" w14:textId="5408B55F"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53.5267*** (0.1136)</w:t>
            </w:r>
          </w:p>
        </w:tc>
        <w:tc>
          <w:tcPr>
            <w:tcW w:w="506" w:type="pct"/>
          </w:tcPr>
          <w:p w14:paraId="579CA579" w14:textId="77777777"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33" w:type="pct"/>
          </w:tcPr>
          <w:p w14:paraId="3BC5E299" w14:textId="21E9E18E"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600" w:type="pct"/>
          </w:tcPr>
          <w:p w14:paraId="0EFBA256" w14:textId="10628DCB"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r>
      <w:tr w:rsidR="008B5F19" w:rsidRPr="006207BC" w14:paraId="2C2EC9BA" w14:textId="668F7ECD" w:rsidTr="00332519">
        <w:tc>
          <w:tcPr>
            <w:tcW w:w="818" w:type="pct"/>
            <w:tcBorders>
              <w:bottom w:val="single" w:sz="4" w:space="0" w:color="auto"/>
            </w:tcBorders>
          </w:tcPr>
          <w:p w14:paraId="1D8013BA" w14:textId="2E87367A" w:rsidR="008B5F19" w:rsidRPr="006207BC" w:rsidRDefault="008B5F19" w:rsidP="008B5F19">
            <w:pPr>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Adjusted </w:t>
            </w:r>
            <w:r w:rsidRPr="006207BC">
              <w:rPr>
                <w:rFonts w:ascii="Times New Roman" w:hAnsi="Times New Roman" w:cs="Times New Roman"/>
                <w:i/>
                <w:sz w:val="20"/>
                <w:szCs w:val="20"/>
              </w:rPr>
              <w:t>R</w:t>
            </w:r>
            <w:r w:rsidRPr="006207BC">
              <w:rPr>
                <w:rFonts w:ascii="Times New Roman" w:hAnsi="Times New Roman" w:cs="Times New Roman"/>
                <w:sz w:val="20"/>
                <w:szCs w:val="20"/>
              </w:rPr>
              <w:t xml:space="preserve">² (pseudo </w:t>
            </w:r>
            <w:r w:rsidRPr="006207BC">
              <w:rPr>
                <w:rFonts w:ascii="Times New Roman" w:hAnsi="Times New Roman" w:cs="Times New Roman"/>
                <w:i/>
                <w:sz w:val="20"/>
                <w:szCs w:val="20"/>
              </w:rPr>
              <w:t>R</w:t>
            </w:r>
            <w:proofErr w:type="gramStart"/>
            <w:r w:rsidR="00AA4D17" w:rsidRPr="006207BC">
              <w:rPr>
                <w:rFonts w:ascii="Times New Roman" w:hAnsi="Times New Roman" w:cs="Times New Roman"/>
                <w:sz w:val="20"/>
                <w:szCs w:val="20"/>
              </w:rPr>
              <w:t>² )</w:t>
            </w:r>
            <w:proofErr w:type="gramEnd"/>
            <w:r w:rsidR="00AA4D17" w:rsidRPr="006207BC">
              <w:rPr>
                <w:rFonts w:ascii="Times New Roman" w:hAnsi="Times New Roman" w:cs="Times New Roman"/>
                <w:sz w:val="20"/>
                <w:szCs w:val="20"/>
              </w:rPr>
              <w:t xml:space="preserve"> </w:t>
            </w:r>
          </w:p>
        </w:tc>
        <w:tc>
          <w:tcPr>
            <w:tcW w:w="433" w:type="pct"/>
            <w:tcBorders>
              <w:bottom w:val="single" w:sz="4" w:space="0" w:color="auto"/>
            </w:tcBorders>
          </w:tcPr>
          <w:p w14:paraId="55819997" w14:textId="1DC8A651"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(0.2308)</w:t>
            </w:r>
          </w:p>
        </w:tc>
        <w:tc>
          <w:tcPr>
            <w:tcW w:w="674" w:type="pct"/>
            <w:tcBorders>
              <w:bottom w:val="single" w:sz="4" w:space="0" w:color="auto"/>
            </w:tcBorders>
          </w:tcPr>
          <w:p w14:paraId="67EE1995" w14:textId="35A14040"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0.6623</w:t>
            </w:r>
          </w:p>
        </w:tc>
        <w:tc>
          <w:tcPr>
            <w:tcW w:w="790" w:type="pct"/>
            <w:tcBorders>
              <w:bottom w:val="single" w:sz="4" w:space="0" w:color="auto"/>
            </w:tcBorders>
          </w:tcPr>
          <w:p w14:paraId="34586044" w14:textId="17F03374" w:rsidR="008B5F19" w:rsidRPr="006207BC" w:rsidRDefault="00AA4D17"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Adjusted </w:t>
            </w:r>
            <w:r w:rsidRPr="006207BC">
              <w:rPr>
                <w:rFonts w:ascii="Times New Roman" w:hAnsi="Times New Roman" w:cs="Times New Roman"/>
                <w:i/>
                <w:sz w:val="20"/>
                <w:szCs w:val="20"/>
              </w:rPr>
              <w:t>R</w:t>
            </w:r>
            <w:r w:rsidR="00332519" w:rsidRPr="006207BC">
              <w:rPr>
                <w:rFonts w:ascii="Times New Roman" w:hAnsi="Times New Roman" w:cs="Times New Roman"/>
                <w:sz w:val="20"/>
                <w:szCs w:val="20"/>
              </w:rPr>
              <w:t xml:space="preserve">² </w:t>
            </w:r>
          </w:p>
        </w:tc>
        <w:tc>
          <w:tcPr>
            <w:tcW w:w="545" w:type="pct"/>
            <w:tcBorders>
              <w:bottom w:val="single" w:sz="4" w:space="0" w:color="auto"/>
            </w:tcBorders>
          </w:tcPr>
          <w:p w14:paraId="3D71E333" w14:textId="390D9C79" w:rsidR="008B5F19" w:rsidRPr="006207BC" w:rsidRDefault="008B5F19" w:rsidP="008B5F19">
            <w:pPr>
              <w:widowControl w:val="0"/>
              <w:autoSpaceDE w:val="0"/>
              <w:autoSpaceDN w:val="0"/>
              <w:adjustRightInd w:val="0"/>
              <w:spacing w:after="0" w:line="240" w:lineRule="auto"/>
              <w:rPr>
                <w:rFonts w:ascii="Times New Roman" w:hAnsi="Times New Roman" w:cs="Times New Roman"/>
                <w:sz w:val="20"/>
                <w:szCs w:val="20"/>
              </w:rPr>
            </w:pPr>
          </w:p>
        </w:tc>
        <w:tc>
          <w:tcPr>
            <w:tcW w:w="506" w:type="pct"/>
            <w:tcBorders>
              <w:bottom w:val="single" w:sz="4" w:space="0" w:color="auto"/>
            </w:tcBorders>
          </w:tcPr>
          <w:p w14:paraId="5525F4D7" w14:textId="16816C49" w:rsidR="008B5F19" w:rsidRPr="006207BC" w:rsidRDefault="003325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0.6022</w:t>
            </w:r>
          </w:p>
        </w:tc>
        <w:tc>
          <w:tcPr>
            <w:tcW w:w="633" w:type="pct"/>
            <w:tcBorders>
              <w:bottom w:val="single" w:sz="4" w:space="0" w:color="auto"/>
            </w:tcBorders>
          </w:tcPr>
          <w:p w14:paraId="6BECF1BF" w14:textId="288BA252" w:rsidR="008B5F19" w:rsidRPr="006207BC" w:rsidRDefault="00332519"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 xml:space="preserve">Adjusted </w:t>
            </w:r>
            <w:r w:rsidRPr="006207BC">
              <w:rPr>
                <w:rFonts w:ascii="Times New Roman" w:hAnsi="Times New Roman" w:cs="Times New Roman"/>
                <w:i/>
                <w:sz w:val="20"/>
                <w:szCs w:val="20"/>
              </w:rPr>
              <w:t>R</w:t>
            </w:r>
            <w:r w:rsidRPr="006207BC">
              <w:rPr>
                <w:rFonts w:ascii="Times New Roman" w:hAnsi="Times New Roman" w:cs="Times New Roman"/>
                <w:sz w:val="20"/>
                <w:szCs w:val="20"/>
              </w:rPr>
              <w:t>²</w:t>
            </w:r>
          </w:p>
        </w:tc>
        <w:tc>
          <w:tcPr>
            <w:tcW w:w="600" w:type="pct"/>
            <w:tcBorders>
              <w:bottom w:val="single" w:sz="4" w:space="0" w:color="auto"/>
            </w:tcBorders>
          </w:tcPr>
          <w:p w14:paraId="2A007C34" w14:textId="1B5BD68C" w:rsidR="008B5F19" w:rsidRPr="006207BC" w:rsidRDefault="00AA4D17" w:rsidP="008B5F19">
            <w:pPr>
              <w:widowControl w:val="0"/>
              <w:autoSpaceDE w:val="0"/>
              <w:autoSpaceDN w:val="0"/>
              <w:adjustRightInd w:val="0"/>
              <w:spacing w:after="0" w:line="240" w:lineRule="auto"/>
              <w:rPr>
                <w:rFonts w:ascii="Times New Roman" w:hAnsi="Times New Roman" w:cs="Times New Roman"/>
                <w:sz w:val="20"/>
                <w:szCs w:val="20"/>
              </w:rPr>
            </w:pPr>
            <w:r w:rsidRPr="006207BC">
              <w:rPr>
                <w:rFonts w:ascii="Times New Roman" w:hAnsi="Times New Roman" w:cs="Times New Roman"/>
                <w:sz w:val="20"/>
                <w:szCs w:val="20"/>
              </w:rPr>
              <w:t>0.651</w:t>
            </w:r>
          </w:p>
        </w:tc>
      </w:tr>
      <w:tr w:rsidR="008B5F19" w:rsidRPr="000C532F" w14:paraId="2C5D1612" w14:textId="6FA9A8C9" w:rsidTr="00332519">
        <w:tc>
          <w:tcPr>
            <w:tcW w:w="5000" w:type="pct"/>
            <w:gridSpan w:val="8"/>
            <w:tcBorders>
              <w:top w:val="single" w:sz="4" w:space="0" w:color="auto"/>
            </w:tcBorders>
          </w:tcPr>
          <w:p w14:paraId="5ABD1550" w14:textId="6EADC529" w:rsidR="004F51E7" w:rsidRPr="000C532F" w:rsidRDefault="008B5F19" w:rsidP="008B5F19">
            <w:pPr>
              <w:widowControl w:val="0"/>
              <w:autoSpaceDE w:val="0"/>
              <w:autoSpaceDN w:val="0"/>
              <w:adjustRightInd w:val="0"/>
              <w:spacing w:after="0" w:line="240" w:lineRule="auto"/>
              <w:jc w:val="both"/>
              <w:rPr>
                <w:rFonts w:ascii="Times New Roman" w:hAnsi="Times New Roman" w:cs="Times New Roman"/>
                <w:sz w:val="20"/>
                <w:szCs w:val="20"/>
              </w:rPr>
            </w:pPr>
            <w:r w:rsidRPr="006207BC">
              <w:rPr>
                <w:rFonts w:ascii="Times New Roman" w:hAnsi="Times New Roman" w:cs="Times New Roman"/>
                <w:sz w:val="20"/>
                <w:szCs w:val="20"/>
              </w:rPr>
              <w:t xml:space="preserve">This table addresses endogeneity issues. Panel A presents the results of propensity score matching. Specification (1) presents the results of the probit regression used to calculate propensity scores, where the dependent variable is a dummy </w:t>
            </w:r>
            <w:r w:rsidRPr="006207BC">
              <w:rPr>
                <w:rFonts w:ascii="Times New Roman" w:hAnsi="Times New Roman" w:cs="Times New Roman"/>
                <w:sz w:val="20"/>
                <w:szCs w:val="20"/>
              </w:rPr>
              <w:lastRenderedPageBreak/>
              <w:t xml:space="preserve">that equals one if the variable </w:t>
            </w:r>
            <w:r w:rsidRPr="006207BC">
              <w:rPr>
                <w:rFonts w:ascii="Times New Roman" w:hAnsi="Times New Roman" w:cs="Times New Roman"/>
                <w:i/>
                <w:sz w:val="20"/>
                <w:szCs w:val="20"/>
              </w:rPr>
              <w:t>Risk_sentences</w:t>
            </w:r>
            <w:r w:rsidRPr="006207BC">
              <w:rPr>
                <w:rFonts w:ascii="Times New Roman" w:hAnsi="Times New Roman" w:cs="Times New Roman"/>
                <w:sz w:val="20"/>
                <w:szCs w:val="20"/>
              </w:rPr>
              <w:t xml:space="preserve"> is above the median and zero otherwise</w:t>
            </w:r>
            <w:r w:rsidRPr="006207BC">
              <w:rPr>
                <w:rFonts w:ascii="Times New Roman" w:hAnsi="Times New Roman" w:cs="Times New Roman"/>
                <w:i/>
                <w:sz w:val="20"/>
                <w:szCs w:val="20"/>
              </w:rPr>
              <w:t xml:space="preserve">. </w:t>
            </w:r>
            <w:r w:rsidRPr="006207BC">
              <w:rPr>
                <w:rFonts w:ascii="Times New Roman" w:hAnsi="Times New Roman" w:cs="Times New Roman"/>
                <w:sz w:val="20"/>
                <w:szCs w:val="20"/>
              </w:rPr>
              <w:t xml:space="preserve">Specification (2) presents the results of the OLS regressions using a propensity score matched sample, where the dependent variable is </w:t>
            </w:r>
            <w:r w:rsidRPr="006207BC">
              <w:rPr>
                <w:rFonts w:ascii="Times New Roman" w:hAnsi="Times New Roman" w:cs="Times New Roman"/>
                <w:i/>
                <w:sz w:val="20"/>
                <w:szCs w:val="20"/>
              </w:rPr>
              <w:t>Analyst</w:t>
            </w:r>
            <w:r w:rsidRPr="006207BC">
              <w:rPr>
                <w:rFonts w:ascii="Times New Roman" w:hAnsi="Times New Roman" w:cs="Times New Roman"/>
                <w:sz w:val="20"/>
                <w:szCs w:val="20"/>
              </w:rPr>
              <w:t xml:space="preserve">, measured as the number of analysts following the firm. Panel B provides the results of instrumental variable estimation. Specification (1) presents the results of the </w:t>
            </w:r>
            <w:proofErr w:type="gramStart"/>
            <w:r w:rsidRPr="006207BC">
              <w:rPr>
                <w:rFonts w:ascii="Times New Roman" w:hAnsi="Times New Roman" w:cs="Times New Roman"/>
                <w:sz w:val="20"/>
                <w:szCs w:val="20"/>
              </w:rPr>
              <w:t>first-stage</w:t>
            </w:r>
            <w:proofErr w:type="gramEnd"/>
            <w:r w:rsidRPr="006207BC">
              <w:rPr>
                <w:rFonts w:ascii="Times New Roman" w:hAnsi="Times New Roman" w:cs="Times New Roman"/>
                <w:sz w:val="20"/>
                <w:szCs w:val="20"/>
              </w:rPr>
              <w:t xml:space="preserve"> of the instrumental variable model (</w:t>
            </w:r>
            <w:r w:rsidRPr="006207BC">
              <w:rPr>
                <w:rFonts w:ascii="Times New Roman" w:hAnsi="Times New Roman" w:cs="Times New Roman"/>
                <w:i/>
                <w:sz w:val="20"/>
                <w:szCs w:val="20"/>
              </w:rPr>
              <w:t>Risk_sentences</w:t>
            </w:r>
            <w:r w:rsidRPr="006207BC">
              <w:rPr>
                <w:rFonts w:ascii="Times New Roman" w:hAnsi="Times New Roman" w:cs="Times New Roman"/>
                <w:sz w:val="20"/>
                <w:szCs w:val="20"/>
              </w:rPr>
              <w:t xml:space="preserve"> as dependent variable) with </w:t>
            </w:r>
            <w:r w:rsidRPr="006207BC">
              <w:rPr>
                <w:rFonts w:ascii="Times New Roman" w:hAnsi="Times New Roman" w:cs="Times New Roman"/>
                <w:i/>
                <w:sz w:val="20"/>
                <w:szCs w:val="20"/>
              </w:rPr>
              <w:t>Ind_ average_risk</w:t>
            </w:r>
            <w:r w:rsidRPr="006207BC">
              <w:rPr>
                <w:rFonts w:ascii="Times New Roman" w:hAnsi="Times New Roman" w:cs="Times New Roman"/>
                <w:sz w:val="20"/>
                <w:szCs w:val="20"/>
              </w:rPr>
              <w:t xml:space="preserve"> (measured as the average of </w:t>
            </w:r>
            <w:r w:rsidRPr="006207BC">
              <w:rPr>
                <w:rFonts w:ascii="Times New Roman" w:hAnsi="Times New Roman" w:cs="Times New Roman"/>
                <w:i/>
                <w:sz w:val="20"/>
                <w:szCs w:val="20"/>
              </w:rPr>
              <w:t>Risk_sentences</w:t>
            </w:r>
            <w:r w:rsidRPr="006207BC">
              <w:rPr>
                <w:rFonts w:ascii="Times New Roman" w:hAnsi="Times New Roman" w:cs="Times New Roman"/>
                <w:sz w:val="20"/>
                <w:szCs w:val="20"/>
              </w:rPr>
              <w:t xml:space="preserve"> for the all other firms in the same industry group) as the instrument for risk disclosure. Specification (2) presents the results of the second-stage regression. Panel C provides the results of the difference-in-difference analysis that tests the effect of the release of the AMF Recommendation of 29 October 2009 on risk factors on analyst following. </w:t>
            </w:r>
            <w:r w:rsidRPr="006207BC">
              <w:rPr>
                <w:rFonts w:ascii="Times New Roman" w:hAnsi="Times New Roman" w:cs="Times New Roman"/>
                <w:bCs/>
                <w:i/>
                <w:sz w:val="20"/>
                <w:szCs w:val="20"/>
                <w:shd w:val="clear" w:color="auto" w:fill="FFFFFF"/>
              </w:rPr>
              <w:t>Shock</w:t>
            </w:r>
            <w:r w:rsidRPr="006207BC">
              <w:rPr>
                <w:rFonts w:ascii="Times New Roman" w:hAnsi="Times New Roman" w:cs="Times New Roman"/>
                <w:bCs/>
                <w:sz w:val="20"/>
                <w:szCs w:val="20"/>
                <w:shd w:val="clear" w:color="auto" w:fill="FFFFFF"/>
              </w:rPr>
              <w:t xml:space="preserve"> is </w:t>
            </w:r>
            <w:r w:rsidRPr="006207BC">
              <w:rPr>
                <w:rFonts w:ascii="Times New Roman" w:hAnsi="Times New Roman" w:cs="Times New Roman"/>
                <w:sz w:val="20"/>
                <w:szCs w:val="20"/>
                <w:shd w:val="clear" w:color="auto" w:fill="FFFFFF"/>
              </w:rPr>
              <w:t>a dummy variable that takes the value one for the period 2010</w:t>
            </w:r>
            <w:r w:rsidRPr="006207BC">
              <w:rPr>
                <w:rFonts w:ascii="Times New Roman" w:hAnsi="Times New Roman" w:cs="Times New Roman"/>
                <w:bCs/>
                <w:sz w:val="20"/>
                <w:szCs w:val="20"/>
              </w:rPr>
              <w:t>–</w:t>
            </w:r>
            <w:r w:rsidRPr="006207BC">
              <w:rPr>
                <w:rFonts w:ascii="Times New Roman" w:hAnsi="Times New Roman" w:cs="Times New Roman"/>
                <w:sz w:val="20"/>
                <w:szCs w:val="20"/>
                <w:shd w:val="clear" w:color="auto" w:fill="FFFFFF"/>
              </w:rPr>
              <w:t xml:space="preserve">2015, and zero otherwise. </w:t>
            </w:r>
            <w:r w:rsidRPr="006207BC">
              <w:rPr>
                <w:rFonts w:ascii="Times New Roman" w:hAnsi="Times New Roman" w:cs="Times New Roman"/>
                <w:sz w:val="20"/>
                <w:szCs w:val="20"/>
              </w:rPr>
              <w:t xml:space="preserve">All independent variables are lagged by one year. See the Appendix for variable definitions. The total sample consists of 857 firm–year observations of non-financial and non-utility French firms on the SBF 120 index over the period 2007–2015. Year and industry dummies following Campbell’s (1996) classification are included in all the regressions, except for specifications in Panel B, which do not include industry dummies. Coefficient standard errors are in parentheses beneath coefficient estimates. *, **, and *** indicate significance at the 10%, </w:t>
            </w:r>
            <w:r w:rsidR="004F51E7">
              <w:rPr>
                <w:rFonts w:ascii="Times New Roman" w:hAnsi="Times New Roman" w:cs="Times New Roman"/>
                <w:sz w:val="20"/>
                <w:szCs w:val="20"/>
              </w:rPr>
              <w:t>5%, and 1% levels, respectively</w:t>
            </w:r>
          </w:p>
        </w:tc>
      </w:tr>
    </w:tbl>
    <w:p w14:paraId="517C458E" w14:textId="4B36C122" w:rsidR="00C20459" w:rsidRDefault="00C20459" w:rsidP="004F51E7"/>
    <w:sectPr w:rsidR="00C204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CABCA" w14:textId="77777777" w:rsidR="00C31F78" w:rsidRDefault="00C31F78">
      <w:pPr>
        <w:spacing w:after="0" w:line="240" w:lineRule="auto"/>
      </w:pPr>
      <w:r>
        <w:separator/>
      </w:r>
    </w:p>
  </w:endnote>
  <w:endnote w:type="continuationSeparator" w:id="0">
    <w:p w14:paraId="6E52AE97" w14:textId="77777777" w:rsidR="00C31F78" w:rsidRDefault="00C3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dvEPSTIM">
    <w:altName w:val="Yu Gothic UI"/>
    <w:panose1 w:val="00000000000000000000"/>
    <w:charset w:val="00"/>
    <w:family w:val="auto"/>
    <w:notTrueType/>
    <w:pitch w:val="default"/>
    <w:sig w:usb0="00000001"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dvGulliv-R">
    <w:altName w:val="Calibri"/>
    <w:panose1 w:val="00000000000000000000"/>
    <w:charset w:val="00"/>
    <w:family w:val="auto"/>
    <w:notTrueType/>
    <w:pitch w:val="default"/>
    <w:sig w:usb0="00000003" w:usb1="00000000" w:usb2="00000000" w:usb3="00000000" w:csb0="00000001" w:csb1="00000000"/>
  </w:font>
  <w:font w:name="XthhnbAdvPTimes">
    <w:altName w:val="Cambria"/>
    <w:panose1 w:val="00000000000000000000"/>
    <w:charset w:val="00"/>
    <w:family w:val="roman"/>
    <w:notTrueType/>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317942"/>
      <w:docPartObj>
        <w:docPartGallery w:val="Page Numbers (Bottom of Page)"/>
        <w:docPartUnique/>
      </w:docPartObj>
    </w:sdtPr>
    <w:sdtEndPr>
      <w:rPr>
        <w:noProof/>
      </w:rPr>
    </w:sdtEndPr>
    <w:sdtContent>
      <w:p w14:paraId="3114F0BC" w14:textId="03509999" w:rsidR="00BF225F" w:rsidRDefault="00BF225F">
        <w:pPr>
          <w:pStyle w:val="Pieddepage"/>
          <w:jc w:val="center"/>
        </w:pPr>
        <w:r>
          <w:rPr>
            <w:noProof/>
          </w:rPr>
          <w:fldChar w:fldCharType="begin"/>
        </w:r>
        <w:r>
          <w:rPr>
            <w:noProof/>
          </w:rPr>
          <w:instrText xml:space="preserve"> PAGE   \* MERGEFORMAT </w:instrText>
        </w:r>
        <w:r>
          <w:rPr>
            <w:noProof/>
          </w:rPr>
          <w:fldChar w:fldCharType="separate"/>
        </w:r>
        <w:r w:rsidR="00020265">
          <w:rPr>
            <w:noProof/>
          </w:rPr>
          <w:t>1</w:t>
        </w:r>
        <w:r>
          <w:rPr>
            <w:noProof/>
          </w:rPr>
          <w:fldChar w:fldCharType="end"/>
        </w:r>
      </w:p>
    </w:sdtContent>
  </w:sdt>
  <w:p w14:paraId="0B643158" w14:textId="77777777" w:rsidR="00BF225F" w:rsidRDefault="00BF22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E4900" w14:textId="77777777" w:rsidR="00C31F78" w:rsidRDefault="00C31F78">
      <w:pPr>
        <w:spacing w:after="0" w:line="240" w:lineRule="auto"/>
      </w:pPr>
      <w:r>
        <w:separator/>
      </w:r>
    </w:p>
  </w:footnote>
  <w:footnote w:type="continuationSeparator" w:id="0">
    <w:p w14:paraId="48A086DB" w14:textId="77777777" w:rsidR="00C31F78" w:rsidRDefault="00C31F78">
      <w:pPr>
        <w:spacing w:after="0" w:line="240" w:lineRule="auto"/>
      </w:pPr>
      <w:r>
        <w:continuationSeparator/>
      </w:r>
    </w:p>
  </w:footnote>
  <w:footnote w:id="1">
    <w:p w14:paraId="2C0F1CBF" w14:textId="77777777" w:rsidR="00020265" w:rsidRPr="00020265" w:rsidRDefault="00020265" w:rsidP="00020265">
      <w:pPr>
        <w:pStyle w:val="Notedebasdepage"/>
        <w:jc w:val="both"/>
        <w:rPr>
          <w:rFonts w:ascii="Times New Roman" w:hAnsi="Times New Roman" w:cs="Times New Roman"/>
          <w:sz w:val="21"/>
          <w:szCs w:val="21"/>
          <w:lang w:val="fr-LU"/>
        </w:rPr>
      </w:pPr>
      <w:r w:rsidRPr="00020265">
        <w:rPr>
          <w:rStyle w:val="Appelnotedebasdep"/>
          <w:rFonts w:ascii="Times New Roman" w:hAnsi="Times New Roman" w:cs="Times New Roman"/>
          <w:sz w:val="21"/>
          <w:szCs w:val="21"/>
        </w:rPr>
        <w:sym w:font="Symbol" w:char="F0A7"/>
      </w:r>
      <w:r w:rsidRPr="00020265">
        <w:rPr>
          <w:rFonts w:ascii="Times New Roman" w:hAnsi="Times New Roman" w:cs="Times New Roman"/>
          <w:sz w:val="21"/>
          <w:szCs w:val="21"/>
          <w:lang w:val="fr-LU"/>
        </w:rPr>
        <w:t xml:space="preserve"> Corresponding </w:t>
      </w:r>
      <w:proofErr w:type="gramStart"/>
      <w:r w:rsidRPr="00020265">
        <w:rPr>
          <w:rFonts w:ascii="Times New Roman" w:hAnsi="Times New Roman" w:cs="Times New Roman"/>
          <w:sz w:val="21"/>
          <w:szCs w:val="21"/>
          <w:lang w:val="fr-LU"/>
        </w:rPr>
        <w:t>author:</w:t>
      </w:r>
      <w:proofErr w:type="gramEnd"/>
      <w:r w:rsidRPr="00020265">
        <w:rPr>
          <w:rFonts w:ascii="Times New Roman" w:hAnsi="Times New Roman" w:cs="Times New Roman"/>
          <w:sz w:val="21"/>
          <w:szCs w:val="21"/>
          <w:lang w:val="fr-LU"/>
        </w:rPr>
        <w:t xml:space="preserve"> </w:t>
      </w:r>
      <w:r w:rsidRPr="00020265">
        <w:rPr>
          <w:rFonts w:ascii="Times New Roman" w:hAnsi="Times New Roman" w:cs="Times New Roman"/>
          <w:color w:val="000000"/>
          <w:sz w:val="21"/>
          <w:szCs w:val="21"/>
          <w:lang w:val="fr-LU"/>
        </w:rPr>
        <w:t xml:space="preserve">Unité de recherche CREA (FDEF), </w:t>
      </w:r>
      <w:r w:rsidRPr="00020265">
        <w:rPr>
          <w:rFonts w:ascii="Times New Roman" w:eastAsia="Book Antiqua" w:hAnsi="Times New Roman" w:cs="Times New Roman"/>
          <w:w w:val="105"/>
          <w:sz w:val="21"/>
          <w:szCs w:val="21"/>
          <w:lang w:val="de-LU"/>
        </w:rPr>
        <w:t xml:space="preserve">Université du Luxembourg, 6, rue Richard Coudenhove-Kalergi, </w:t>
      </w:r>
      <w:r w:rsidRPr="00020265">
        <w:rPr>
          <w:rFonts w:ascii="Times New Roman" w:eastAsia="Book Antiqua" w:hAnsi="Times New Roman" w:cs="Times New Roman"/>
          <w:w w:val="105"/>
          <w:sz w:val="21"/>
          <w:szCs w:val="21"/>
          <w:lang w:val="fr-LU"/>
        </w:rPr>
        <w:t>L-1359 Luxembourg</w:t>
      </w:r>
      <w:r w:rsidRPr="00020265">
        <w:rPr>
          <w:rFonts w:ascii="Times New Roman" w:hAnsi="Times New Roman" w:cs="Times New Roman"/>
          <w:color w:val="000000"/>
          <w:sz w:val="21"/>
          <w:szCs w:val="21"/>
          <w:lang w:val="fr-LU"/>
        </w:rPr>
        <w:t>; Email : </w:t>
      </w:r>
      <w:r w:rsidRPr="00020265">
        <w:rPr>
          <w:rStyle w:val="Lienhypertexte"/>
          <w:rFonts w:ascii="Times New Roman" w:hAnsi="Times New Roman" w:cs="Times New Roman"/>
          <w:sz w:val="21"/>
          <w:szCs w:val="21"/>
          <w:lang w:val="fr-LU"/>
        </w:rPr>
        <w:t>imen.derouiche@uni.lu</w:t>
      </w:r>
      <w:r w:rsidRPr="00020265">
        <w:rPr>
          <w:rFonts w:ascii="Times New Roman" w:hAnsi="Times New Roman" w:cs="Times New Roman"/>
          <w:color w:val="000000"/>
          <w:sz w:val="21"/>
          <w:szCs w:val="21"/>
          <w:lang w:val="fr-LU"/>
        </w:rPr>
        <w:t xml:space="preserve">; phone :  +352 46 66 44 6155. </w:t>
      </w:r>
    </w:p>
    <w:p w14:paraId="5ACEA4A0" w14:textId="77777777" w:rsidR="00020265" w:rsidRPr="00F3089C" w:rsidRDefault="00020265" w:rsidP="00020265">
      <w:pPr>
        <w:pStyle w:val="Notedebasdepage"/>
        <w:jc w:val="both"/>
        <w:rPr>
          <w:rFonts w:ascii="Times New Roman" w:hAnsi="Times New Roman" w:cs="Times New Roman"/>
          <w:lang w:val="fr-LU"/>
        </w:rPr>
      </w:pPr>
    </w:p>
  </w:footnote>
  <w:footnote w:id="2">
    <w:p w14:paraId="161D0D66" w14:textId="02E39DE7" w:rsidR="00BF225F" w:rsidRDefault="00BF225F" w:rsidP="00DE56FE">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In the present research, we adopt the dominant view in the accounting literature that analysts are information users rather than information providers (Dhaliwal </w:t>
      </w:r>
      <w:r w:rsidRPr="00F3089C">
        <w:rPr>
          <w:rFonts w:ascii="Times New Roman" w:hAnsi="Times New Roman" w:cs="Times New Roman"/>
          <w:i/>
        </w:rPr>
        <w:t>et al.</w:t>
      </w:r>
      <w:r>
        <w:rPr>
          <w:rFonts w:ascii="Times New Roman" w:eastAsia="Times New Roman" w:hAnsi="Times New Roman" w:cs="Times New Roman"/>
        </w:rPr>
        <w:t xml:space="preserve">, 2012; </w:t>
      </w:r>
      <w:r>
        <w:rPr>
          <w:rFonts w:ascii="Times New Roman" w:hAnsi="Times New Roman" w:cs="Times New Roman"/>
        </w:rPr>
        <w:t xml:space="preserve">Hope, 2003a; Lang and Lundholm, 1996; Lehavy </w:t>
      </w:r>
      <w:r>
        <w:rPr>
          <w:rFonts w:ascii="Times New Roman" w:hAnsi="Times New Roman" w:cs="Times New Roman"/>
          <w:i/>
        </w:rPr>
        <w:t>et al.</w:t>
      </w:r>
      <w:r>
        <w:rPr>
          <w:rFonts w:ascii="Times New Roman" w:hAnsi="Times New Roman" w:cs="Times New Roman"/>
        </w:rPr>
        <w:t xml:space="preserve">, 2011). This means that analysts’ activities complement corporate disclosure and do not replace it.  </w:t>
      </w:r>
    </w:p>
  </w:footnote>
  <w:footnote w:id="3">
    <w:p w14:paraId="7397B7C7" w14:textId="721CF52B" w:rsidR="00BF225F" w:rsidRDefault="00BF225F" w:rsidP="00DE56FE">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Many studies address alternative aspects of the corporate information environment. For example, </w:t>
      </w:r>
      <w:hyperlink r:id="rId1" w:anchor="b22 #b23" w:history="1">
        <w:r>
          <w:rPr>
            <w:rFonts w:ascii="Times New Roman" w:hAnsi="Times New Roman" w:cs="Times New Roman"/>
          </w:rPr>
          <w:t xml:space="preserve">Lang </w:t>
        </w:r>
        <w:r>
          <w:rPr>
            <w:rFonts w:ascii="Times New Roman" w:hAnsi="Times New Roman" w:cs="Times New Roman"/>
            <w:i/>
          </w:rPr>
          <w:t xml:space="preserve">et al. </w:t>
        </w:r>
        <w:r>
          <w:rPr>
            <w:rFonts w:ascii="Times New Roman" w:hAnsi="Times New Roman" w:cs="Times New Roman"/>
          </w:rPr>
          <w:t>(</w:t>
        </w:r>
      </w:hyperlink>
      <w:r>
        <w:rPr>
          <w:rFonts w:ascii="Times New Roman" w:hAnsi="Times New Roman" w:cs="Times New Roman"/>
        </w:rPr>
        <w:t xml:space="preserve">2004) and Boubaker and Labégore (2008) show that </w:t>
      </w:r>
      <w:r>
        <w:rPr>
          <w:rFonts w:ascii="Times New Roman" w:hAnsi="Times New Roman" w:cs="Times New Roman"/>
          <w:color w:val="1C1D1E"/>
          <w:shd w:val="clear" w:color="auto" w:fill="FFFFFF"/>
        </w:rPr>
        <w:t xml:space="preserve">analysts are less likely to follow firms with potential incentives to withhold or manipulate information, such as those with weak corporate governance and those dominated by controlling entities with substantial power and discretion. </w:t>
      </w:r>
      <w:hyperlink r:id="rId2" w:anchor="b4" w:history="1">
        <w:r>
          <w:rPr>
            <w:rFonts w:ascii="Times New Roman" w:hAnsi="Times New Roman" w:cs="Times New Roman"/>
          </w:rPr>
          <w:t xml:space="preserve">Bae </w:t>
        </w:r>
        <w:r>
          <w:rPr>
            <w:rFonts w:ascii="Times New Roman" w:hAnsi="Times New Roman" w:cs="Times New Roman"/>
            <w:i/>
          </w:rPr>
          <w:t xml:space="preserve">et al. </w:t>
        </w:r>
        <w:r>
          <w:rPr>
            <w:rFonts w:ascii="Times New Roman" w:hAnsi="Times New Roman" w:cs="Times New Roman"/>
          </w:rPr>
          <w:t>(2008)</w:t>
        </w:r>
      </w:hyperlink>
      <w:r>
        <w:rPr>
          <w:rFonts w:ascii="Times New Roman" w:hAnsi="Times New Roman" w:cs="Times New Roman"/>
        </w:rPr>
        <w:t xml:space="preserve"> and </w:t>
      </w:r>
      <w:r>
        <w:rPr>
          <w:rFonts w:ascii="Times New Roman" w:hAnsi="Times New Roman" w:cs="Times New Roman"/>
          <w:color w:val="1C1D1E"/>
          <w:shd w:val="clear" w:color="auto" w:fill="FFFFFF"/>
        </w:rPr>
        <w:t xml:space="preserve">Tan </w:t>
      </w:r>
      <w:r>
        <w:rPr>
          <w:rFonts w:ascii="Times New Roman" w:hAnsi="Times New Roman" w:cs="Times New Roman"/>
          <w:i/>
          <w:color w:val="1C1D1E"/>
          <w:shd w:val="clear" w:color="auto" w:fill="FFFFFF"/>
        </w:rPr>
        <w:t xml:space="preserve">et al. </w:t>
      </w:r>
      <w:r>
        <w:rPr>
          <w:rFonts w:ascii="Times New Roman" w:hAnsi="Times New Roman" w:cs="Times New Roman"/>
          <w:color w:val="1C1D1E"/>
          <w:shd w:val="clear" w:color="auto" w:fill="FFFFFF"/>
        </w:rPr>
        <w:t>(</w:t>
      </w:r>
      <w:hyperlink r:id="rId3" w:anchor="care12002-bib-0040" w:history="1">
        <w:r>
          <w:rPr>
            <w:rFonts w:ascii="Times New Roman" w:hAnsi="Times New Roman" w:cs="Times New Roman"/>
            <w:color w:val="1C1D1E"/>
            <w:shd w:val="clear" w:color="auto" w:fill="FFFFFF"/>
          </w:rPr>
          <w:t>2011</w:t>
        </w:r>
      </w:hyperlink>
      <w:r>
        <w:rPr>
          <w:rFonts w:ascii="Times New Roman" w:hAnsi="Times New Roman" w:cs="Times New Roman"/>
          <w:color w:val="1C1D1E"/>
          <w:shd w:val="clear" w:color="auto" w:fill="FFFFFF"/>
        </w:rPr>
        <w:t xml:space="preserve">) </w:t>
      </w:r>
      <w:r>
        <w:rPr>
          <w:rFonts w:ascii="Times New Roman" w:hAnsi="Times New Roman" w:cs="Times New Roman"/>
        </w:rPr>
        <w:t xml:space="preserve">report </w:t>
      </w:r>
      <w:r>
        <w:rPr>
          <w:rFonts w:ascii="Times New Roman" w:hAnsi="Times New Roman" w:cs="Times New Roman"/>
          <w:color w:val="1C1D1E"/>
          <w:shd w:val="clear" w:color="auto" w:fill="FFFFFF"/>
        </w:rPr>
        <w:t>that analyst coverage increases with the extent to which the adoption of International Financial Reporting Standards (IFRS) eliminates differences between the accounting standards used in the firm’s country and those used in the analyst’s country.</w:t>
      </w:r>
    </w:p>
  </w:footnote>
  <w:footnote w:id="4">
    <w:p w14:paraId="3E3F1D12" w14:textId="77777777" w:rsidR="00BF225F" w:rsidRPr="00684787" w:rsidRDefault="00BF225F" w:rsidP="00DE56FE">
      <w:pPr>
        <w:autoSpaceDE w:val="0"/>
        <w:autoSpaceDN w:val="0"/>
        <w:adjustRightInd w:val="0"/>
        <w:spacing w:after="0" w:line="240" w:lineRule="auto"/>
        <w:jc w:val="both"/>
        <w:rPr>
          <w:rFonts w:ascii="Times New Roman" w:hAnsi="Times New Roman" w:cs="Times New Roman"/>
          <w:sz w:val="20"/>
          <w:szCs w:val="20"/>
        </w:rPr>
      </w:pPr>
      <w:r w:rsidRPr="00684787">
        <w:rPr>
          <w:rStyle w:val="Appelnotedebasdep"/>
          <w:rFonts w:ascii="Times New Roman" w:hAnsi="Times New Roman"/>
          <w:sz w:val="20"/>
          <w:szCs w:val="20"/>
        </w:rPr>
        <w:footnoteRef/>
      </w:r>
      <w:r w:rsidRPr="00684787">
        <w:rPr>
          <w:rFonts w:ascii="Times New Roman" w:hAnsi="Times New Roman" w:cs="Times New Roman"/>
          <w:sz w:val="20"/>
          <w:szCs w:val="20"/>
        </w:rPr>
        <w:t xml:space="preserve"> See Articles L.225-100, L. 225-100-1, and paragraphs 2° and 4° of Article L. 225-100-2 of the French Commercial Code.</w:t>
      </w:r>
    </w:p>
  </w:footnote>
  <w:footnote w:id="5">
    <w:p w14:paraId="164B0EDD" w14:textId="77777777" w:rsidR="00BF225F" w:rsidRPr="00684787" w:rsidRDefault="00BF225F" w:rsidP="00DE56FE">
      <w:pPr>
        <w:spacing w:after="0" w:line="240" w:lineRule="auto"/>
        <w:jc w:val="both"/>
        <w:rPr>
          <w:rFonts w:ascii="Times New Roman" w:hAnsi="Times New Roman" w:cs="Times New Roman"/>
          <w:sz w:val="20"/>
          <w:szCs w:val="20"/>
        </w:rPr>
      </w:pPr>
      <w:r w:rsidRPr="00684787">
        <w:rPr>
          <w:rStyle w:val="Appelnotedebasdep"/>
          <w:rFonts w:ascii="Times New Roman" w:hAnsi="Times New Roman"/>
          <w:sz w:val="20"/>
          <w:szCs w:val="20"/>
        </w:rPr>
        <w:footnoteRef/>
      </w:r>
      <w:r w:rsidRPr="00684787">
        <w:rPr>
          <w:rFonts w:ascii="Times New Roman" w:hAnsi="Times New Roman" w:cs="Times New Roman"/>
          <w:sz w:val="20"/>
          <w:szCs w:val="20"/>
        </w:rPr>
        <w:t xml:space="preserve"> See Articles L225-37 and L225-68 of the French Commercial Code.</w:t>
      </w:r>
    </w:p>
  </w:footnote>
  <w:footnote w:id="6">
    <w:p w14:paraId="5885E729" w14:textId="12F3C7E4" w:rsidR="00BF225F" w:rsidRPr="00684787" w:rsidRDefault="00BF225F" w:rsidP="00DE56FE">
      <w:pPr>
        <w:pStyle w:val="Notedebasdepage"/>
        <w:jc w:val="both"/>
        <w:rPr>
          <w:rFonts w:ascii="Times New Roman" w:hAnsi="Times New Roman" w:cs="Times New Roman"/>
        </w:rPr>
      </w:pPr>
      <w:r w:rsidRPr="00684787">
        <w:rPr>
          <w:rStyle w:val="Appelnotedebasdep"/>
          <w:rFonts w:ascii="Times New Roman" w:hAnsi="Times New Roman"/>
        </w:rPr>
        <w:footnoteRef/>
      </w:r>
      <w:r>
        <w:rPr>
          <w:rFonts w:ascii="Times New Roman" w:hAnsi="Times New Roman" w:cs="Times New Roman"/>
        </w:rPr>
        <w:t xml:space="preserve"> This r</w:t>
      </w:r>
      <w:r w:rsidRPr="00684787">
        <w:rPr>
          <w:rFonts w:ascii="Times New Roman" w:hAnsi="Times New Roman" w:cs="Times New Roman"/>
        </w:rPr>
        <w:t>ecommendation is part of the Position-Recommendation Doc-2009-16 relative to the Guide to preparing registration documents of French listed firms.</w:t>
      </w:r>
    </w:p>
  </w:footnote>
  <w:footnote w:id="7">
    <w:p w14:paraId="4F45513B" w14:textId="3CCF2E60" w:rsidR="00BF225F" w:rsidRPr="00867962" w:rsidRDefault="00BF225F" w:rsidP="00DE56FE">
      <w:pPr>
        <w:pStyle w:val="Notedebasdepage"/>
        <w:jc w:val="both"/>
        <w:rPr>
          <w:rFonts w:ascii="Times New Roman" w:hAnsi="Times New Roman" w:cs="Times New Roman"/>
          <w:lang w:val="en-US"/>
        </w:rPr>
      </w:pPr>
      <w:r w:rsidRPr="00867962">
        <w:rPr>
          <w:rStyle w:val="Appelnotedebasdep"/>
          <w:rFonts w:ascii="Times New Roman" w:hAnsi="Times New Roman" w:cs="Times New Roman"/>
        </w:rPr>
        <w:footnoteRef/>
      </w:r>
      <w:r w:rsidRPr="00867962">
        <w:rPr>
          <w:rFonts w:ascii="Times New Roman" w:hAnsi="Times New Roman" w:cs="Times New Roman"/>
        </w:rPr>
        <w:t xml:space="preserve"> </w:t>
      </w:r>
      <w:r>
        <w:rPr>
          <w:rFonts w:ascii="Times New Roman" w:hAnsi="Times New Roman" w:cs="Times New Roman"/>
        </w:rPr>
        <w:t>It is worth noting that</w:t>
      </w:r>
      <w:proofErr w:type="gramStart"/>
      <w:r w:rsidRPr="00867962">
        <w:rPr>
          <w:rFonts w:ascii="Times New Roman" w:hAnsi="Times New Roman" w:cs="Times New Roman"/>
          <w:shd w:val="clear" w:color="auto" w:fill="FFFFFF"/>
        </w:rPr>
        <w:t>, in particular, and</w:t>
      </w:r>
      <w:proofErr w:type="gramEnd"/>
      <w:r w:rsidRPr="00867962">
        <w:rPr>
          <w:rFonts w:ascii="Times New Roman" w:hAnsi="Times New Roman" w:cs="Times New Roman"/>
          <w:shd w:val="clear" w:color="auto" w:fill="FFFFFF"/>
        </w:rPr>
        <w:t xml:space="preserve"> similar to the work of Lehavy </w:t>
      </w:r>
      <w:r w:rsidRPr="009900A5">
        <w:rPr>
          <w:rFonts w:ascii="Times New Roman" w:hAnsi="Times New Roman" w:cs="Times New Roman"/>
          <w:i/>
          <w:shd w:val="clear" w:color="auto" w:fill="FFFFFF"/>
        </w:rPr>
        <w:t>et al.</w:t>
      </w:r>
      <w:r w:rsidRPr="00867962">
        <w:rPr>
          <w:rFonts w:ascii="Times New Roman" w:hAnsi="Times New Roman" w:cs="Times New Roman"/>
          <w:shd w:val="clear" w:color="auto" w:fill="FFFFFF"/>
        </w:rPr>
        <w:t xml:space="preserve"> (2011), our study is related to the literature examining the role of annual report quality in the decision of analysts to follow the firm, but the two studies differ in significant aspects. Importantly, Lehavy </w:t>
      </w:r>
      <w:r w:rsidRPr="009900A5">
        <w:rPr>
          <w:rFonts w:ascii="Times New Roman" w:hAnsi="Times New Roman" w:cs="Times New Roman"/>
          <w:i/>
          <w:shd w:val="clear" w:color="auto" w:fill="FFFFFF"/>
        </w:rPr>
        <w:t>et al.</w:t>
      </w:r>
      <w:r w:rsidRPr="00867962">
        <w:rPr>
          <w:rFonts w:ascii="Times New Roman" w:hAnsi="Times New Roman" w:cs="Times New Roman"/>
          <w:shd w:val="clear" w:color="auto" w:fill="FFFFFF"/>
        </w:rPr>
        <w:t xml:space="preserve"> analy</w:t>
      </w:r>
      <w:r>
        <w:rPr>
          <w:rFonts w:ascii="Times New Roman" w:hAnsi="Times New Roman" w:cs="Times New Roman"/>
          <w:shd w:val="clear" w:color="auto" w:fill="FFFFFF"/>
        </w:rPr>
        <w:t>s</w:t>
      </w:r>
      <w:r w:rsidRPr="00867962">
        <w:rPr>
          <w:rFonts w:ascii="Times New Roman" w:hAnsi="Times New Roman" w:cs="Times New Roman"/>
          <w:shd w:val="clear" w:color="auto" w:fill="FFFFFF"/>
        </w:rPr>
        <w:t>e the complexity of</w:t>
      </w:r>
      <w:r w:rsidRPr="00867962">
        <w:rPr>
          <w:rFonts w:ascii="Times New Roman" w:hAnsi="Times New Roman" w:cs="Times New Roman"/>
        </w:rPr>
        <w:t xml:space="preserve"> the language employed in the entire annual report, namely, the report’s readability, whereas our study focuses on a specific part of this report, that is, the risk factor section, by examining the quantity of information related to risks. Thus, the two studies look at different dimensions of the information provided in the annual report, since we examine how much risk-related information is publicly reported by firms as part of voluntary disclosure, whereas Lehavy </w:t>
      </w:r>
      <w:r w:rsidRPr="009900A5">
        <w:rPr>
          <w:rFonts w:ascii="Times New Roman" w:hAnsi="Times New Roman" w:cs="Times New Roman"/>
          <w:i/>
        </w:rPr>
        <w:t>et al.</w:t>
      </w:r>
      <w:r w:rsidRPr="00867962">
        <w:rPr>
          <w:rFonts w:ascii="Times New Roman" w:hAnsi="Times New Roman" w:cs="Times New Roman"/>
        </w:rPr>
        <w:t xml:space="preserve"> study the extent to which annual reports are written in an accessible and readable style.</w:t>
      </w:r>
    </w:p>
  </w:footnote>
  <w:footnote w:id="8">
    <w:p w14:paraId="553BA708" w14:textId="1ED143B1" w:rsidR="00BF225F" w:rsidRDefault="00BF225F" w:rsidP="00DE56FE">
      <w:pPr>
        <w:autoSpaceDE w:val="0"/>
        <w:autoSpaceDN w:val="0"/>
        <w:adjustRightInd w:val="0"/>
        <w:spacing w:after="0" w:line="240" w:lineRule="auto"/>
        <w:jc w:val="both"/>
      </w:pPr>
      <w:r>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For example, Tsai </w:t>
      </w:r>
      <w:r>
        <w:rPr>
          <w:rFonts w:ascii="Times New Roman" w:hAnsi="Times New Roman" w:cs="Times New Roman"/>
          <w:i/>
          <w:sz w:val="20"/>
          <w:szCs w:val="20"/>
        </w:rPr>
        <w:t xml:space="preserve">et al. </w:t>
      </w:r>
      <w:r>
        <w:rPr>
          <w:rFonts w:ascii="Times New Roman" w:hAnsi="Times New Roman" w:cs="Times New Roman"/>
          <w:sz w:val="20"/>
          <w:szCs w:val="20"/>
        </w:rPr>
        <w:t>(2016) show that greater volumes of risk factor disclosure are associated with higher credit risk.</w:t>
      </w:r>
    </w:p>
  </w:footnote>
  <w:footnote w:id="9">
    <w:p w14:paraId="6C83B725" w14:textId="31D097D0" w:rsidR="00BF225F" w:rsidRDefault="00BF225F" w:rsidP="00DE56FE">
      <w:pPr>
        <w:spacing w:after="0" w:line="240" w:lineRule="auto"/>
        <w:jc w:val="both"/>
        <w:rPr>
          <w:rFonts w:ascii="Times New Roman" w:hAnsi="Times New Roman" w:cs="Times New Roman"/>
          <w:sz w:val="20"/>
          <w:szCs w:val="20"/>
        </w:rPr>
      </w:pPr>
      <w:r>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Other risk word lists are either i) very limited, such as that of Li (2006), who uses only the words </w:t>
      </w:r>
      <w:r w:rsidRPr="00F3089C">
        <w:rPr>
          <w:rFonts w:ascii="Times New Roman" w:hAnsi="Times New Roman" w:cs="Times New Roman"/>
          <w:i/>
          <w:sz w:val="20"/>
          <w:szCs w:val="20"/>
        </w:rPr>
        <w:t>risk</w:t>
      </w:r>
      <w:r>
        <w:rPr>
          <w:rFonts w:ascii="Times New Roman" w:hAnsi="Times New Roman" w:cs="Times New Roman"/>
          <w:sz w:val="20"/>
          <w:szCs w:val="20"/>
        </w:rPr>
        <w:t xml:space="preserve"> and </w:t>
      </w:r>
      <w:r w:rsidRPr="00F3089C">
        <w:rPr>
          <w:rFonts w:ascii="Times New Roman" w:hAnsi="Times New Roman" w:cs="Times New Roman"/>
          <w:i/>
          <w:sz w:val="20"/>
          <w:szCs w:val="20"/>
        </w:rPr>
        <w:t>uncertain</w:t>
      </w:r>
      <w:r>
        <w:rPr>
          <w:rFonts w:ascii="Times New Roman" w:hAnsi="Times New Roman" w:cs="Times New Roman"/>
          <w:sz w:val="20"/>
          <w:szCs w:val="20"/>
        </w:rPr>
        <w:t xml:space="preserve"> (and their derivatives); ii) very expanded, such as that of Loughran and McDonald (2011), who propose a comprehensive dictionary of negative, positive, uncertain, and litigious word categories, in addition to strong and weak modal words; or iii) a mix of positive words (i.e. related to opportunities and outlooks) and negative words, such as that of Elshandidy and Neri (2015).</w:t>
      </w:r>
    </w:p>
  </w:footnote>
  <w:footnote w:id="10">
    <w:p w14:paraId="1C08A622" w14:textId="2FE3B2F4" w:rsidR="00BF225F" w:rsidRPr="00E213AE" w:rsidRDefault="00BF225F" w:rsidP="00DE56FE">
      <w:pPr>
        <w:pStyle w:val="Notedebasdepage"/>
        <w:jc w:val="both"/>
        <w:rPr>
          <w:rFonts w:ascii="Times New Roman" w:hAnsi="Times New Roman" w:cs="Times New Roman"/>
        </w:rPr>
      </w:pPr>
      <w:r w:rsidRPr="003A395B">
        <w:rPr>
          <w:rStyle w:val="Appelnotedebasdep"/>
          <w:rFonts w:ascii="Times New Roman" w:hAnsi="Times New Roman" w:cs="Times New Roman"/>
        </w:rPr>
        <w:footnoteRef/>
      </w:r>
      <w:r w:rsidRPr="00E213AE">
        <w:rPr>
          <w:rFonts w:ascii="Times New Roman" w:hAnsi="Times New Roman" w:cs="Times New Roman"/>
        </w:rPr>
        <w:t xml:space="preserve"> The results are robust to the winsorization of risk disclosure variables at the first and 99th percentiles</w:t>
      </w:r>
      <w:r>
        <w:rPr>
          <w:rFonts w:ascii="Times New Roman" w:hAnsi="Times New Roman" w:cs="Times New Roman"/>
        </w:rPr>
        <w:t>.</w:t>
      </w:r>
    </w:p>
  </w:footnote>
  <w:footnote w:id="11">
    <w:p w14:paraId="1415ED19" w14:textId="1F575D9D" w:rsidR="00BF225F" w:rsidRDefault="00BF225F" w:rsidP="00DE56FE">
      <w:pPr>
        <w:spacing w:after="0" w:line="240" w:lineRule="auto"/>
        <w:jc w:val="both"/>
        <w:rPr>
          <w:rFonts w:ascii="Times New Roman" w:hAnsi="Times New Roman" w:cs="Times New Roman"/>
          <w:sz w:val="20"/>
          <w:szCs w:val="20"/>
        </w:rPr>
      </w:pPr>
      <w:r>
        <w:rPr>
          <w:rStyle w:val="Appelnotedebasdep"/>
          <w:rFonts w:ascii="Times New Roman" w:hAnsi="Times New Roman" w:cs="Times New Roman"/>
          <w:sz w:val="20"/>
          <w:szCs w:val="20"/>
        </w:rPr>
        <w:footnoteRef/>
      </w:r>
      <w:r>
        <w:rPr>
          <w:rFonts w:ascii="Times New Roman" w:hAnsi="Times New Roman" w:cs="Times New Roman"/>
          <w:sz w:val="20"/>
          <w:szCs w:val="20"/>
        </w:rPr>
        <w:t xml:space="preserve"> This value is calculated by considering a coefficient for </w:t>
      </w:r>
      <w:r>
        <w:rPr>
          <w:rFonts w:ascii="Times New Roman" w:hAnsi="Times New Roman" w:cs="Times New Roman"/>
          <w:i/>
          <w:sz w:val="20"/>
          <w:szCs w:val="20"/>
        </w:rPr>
        <w:t>Risk_sentences</w:t>
      </w:r>
      <w:r>
        <w:rPr>
          <w:rFonts w:ascii="Times New Roman" w:hAnsi="Times New Roman" w:cs="Times New Roman"/>
          <w:sz w:val="20"/>
          <w:szCs w:val="20"/>
        </w:rPr>
        <w:t xml:space="preserve"> of 2.5631 and a standard deviation of 0.624 for the natural logarithm of the number of risk-related sentences.</w:t>
      </w:r>
    </w:p>
  </w:footnote>
  <w:footnote w:id="12">
    <w:p w14:paraId="283585DD" w14:textId="267784CF" w:rsidR="00BF225F" w:rsidRDefault="00BF225F" w:rsidP="00DE56FE">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A similar methodology was used by Miihkinen (2012) and Yang </w:t>
      </w:r>
      <w:r>
        <w:rPr>
          <w:rFonts w:ascii="Times New Roman" w:hAnsi="Times New Roman" w:cs="Times New Roman"/>
          <w:i/>
        </w:rPr>
        <w:t xml:space="preserve">et al. </w:t>
      </w:r>
      <w:r>
        <w:rPr>
          <w:rFonts w:ascii="Times New Roman" w:hAnsi="Times New Roman" w:cs="Times New Roman"/>
        </w:rPr>
        <w:t>(2018).</w:t>
      </w:r>
    </w:p>
  </w:footnote>
  <w:footnote w:id="13">
    <w:p w14:paraId="6E894633" w14:textId="6EF6A054" w:rsidR="00BF225F" w:rsidRPr="004408A1" w:rsidRDefault="00BF225F" w:rsidP="00DE56FE">
      <w:pPr>
        <w:autoSpaceDE w:val="0"/>
        <w:autoSpaceDN w:val="0"/>
        <w:adjustRightInd w:val="0"/>
        <w:spacing w:after="0" w:line="240" w:lineRule="auto"/>
        <w:jc w:val="both"/>
        <w:rPr>
          <w:rFonts w:ascii="Times New Roman" w:hAnsi="Times New Roman" w:cs="Times New Roman"/>
          <w:sz w:val="20"/>
          <w:szCs w:val="20"/>
        </w:rPr>
      </w:pPr>
      <w:r w:rsidRPr="004408A1">
        <w:rPr>
          <w:rStyle w:val="Appelnotedebasdep"/>
          <w:rFonts w:ascii="Times New Roman" w:hAnsi="Times New Roman" w:cs="Times New Roman"/>
          <w:sz w:val="20"/>
          <w:szCs w:val="20"/>
        </w:rPr>
        <w:footnoteRef/>
      </w:r>
      <w:r w:rsidRPr="004408A1">
        <w:rPr>
          <w:rFonts w:ascii="Times New Roman" w:hAnsi="Times New Roman" w:cs="Times New Roman"/>
          <w:sz w:val="20"/>
          <w:szCs w:val="20"/>
        </w:rPr>
        <w:t xml:space="preserve"> An example of a </w:t>
      </w:r>
      <w:r>
        <w:rPr>
          <w:rFonts w:ascii="Times New Roman" w:hAnsi="Times New Roman" w:cs="Times New Roman"/>
          <w:sz w:val="20"/>
          <w:szCs w:val="20"/>
        </w:rPr>
        <w:t>firm-</w:t>
      </w:r>
      <w:r w:rsidRPr="004408A1">
        <w:rPr>
          <w:rFonts w:ascii="Times New Roman" w:hAnsi="Times New Roman" w:cs="Times New Roman"/>
          <w:sz w:val="20"/>
          <w:szCs w:val="20"/>
        </w:rPr>
        <w:t>specific</w:t>
      </w:r>
      <w:r>
        <w:rPr>
          <w:rFonts w:ascii="Times New Roman" w:hAnsi="Times New Roman" w:cs="Times New Roman"/>
          <w:sz w:val="20"/>
          <w:szCs w:val="20"/>
        </w:rPr>
        <w:t xml:space="preserve"> </w:t>
      </w:r>
      <w:r w:rsidRPr="004408A1">
        <w:rPr>
          <w:rFonts w:ascii="Times New Roman" w:hAnsi="Times New Roman" w:cs="Times New Roman"/>
          <w:sz w:val="20"/>
          <w:szCs w:val="20"/>
        </w:rPr>
        <w:t>risk factor in ACCOR</w:t>
      </w:r>
      <w:r>
        <w:rPr>
          <w:rFonts w:ascii="Times New Roman" w:hAnsi="Times New Roman" w:cs="Times New Roman"/>
          <w:sz w:val="20"/>
          <w:szCs w:val="20"/>
        </w:rPr>
        <w:t>’s 2015 annual report is as follows</w:t>
      </w:r>
      <w:r w:rsidRPr="004408A1">
        <w:rPr>
          <w:rFonts w:ascii="Times New Roman" w:hAnsi="Times New Roman" w:cs="Times New Roman"/>
          <w:sz w:val="20"/>
          <w:szCs w:val="20"/>
        </w:rPr>
        <w:t xml:space="preserve">: </w:t>
      </w:r>
    </w:p>
    <w:p w14:paraId="5A96AE5F" w14:textId="77777777" w:rsidR="00BF225F" w:rsidRPr="004408A1" w:rsidRDefault="00BF225F" w:rsidP="00DE56FE">
      <w:pPr>
        <w:autoSpaceDE w:val="0"/>
        <w:autoSpaceDN w:val="0"/>
        <w:adjustRightInd w:val="0"/>
        <w:spacing w:after="0" w:line="240" w:lineRule="auto"/>
        <w:ind w:left="720"/>
        <w:jc w:val="both"/>
        <w:rPr>
          <w:rFonts w:ascii="Times New Roman" w:hAnsi="Times New Roman" w:cs="Times New Roman"/>
          <w:sz w:val="20"/>
          <w:szCs w:val="20"/>
        </w:rPr>
      </w:pPr>
      <w:r w:rsidRPr="004408A1">
        <w:rPr>
          <w:rFonts w:ascii="Times New Roman" w:hAnsi="Times New Roman" w:cs="Times New Roman"/>
          <w:i/>
          <w:sz w:val="20"/>
          <w:szCs w:val="20"/>
        </w:rPr>
        <w:t xml:space="preserve">In general, the Group is exposed to the risk of liability in proceedings that may be brought against it before the courts or administrative authorities </w:t>
      </w:r>
      <w:r w:rsidRPr="004408A1">
        <w:rPr>
          <w:rFonts w:ascii="Times New Roman" w:hAnsi="Times New Roman" w:cs="Times New Roman"/>
          <w:sz w:val="20"/>
          <w:szCs w:val="20"/>
        </w:rPr>
        <w:t>(p.132).</w:t>
      </w:r>
    </w:p>
    <w:p w14:paraId="2C586F15" w14:textId="723AB772" w:rsidR="00BF225F" w:rsidRPr="004408A1" w:rsidRDefault="00BF225F" w:rsidP="00DE56F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A</w:t>
      </w:r>
      <w:r w:rsidRPr="004408A1">
        <w:rPr>
          <w:rFonts w:ascii="Times New Roman" w:hAnsi="Times New Roman" w:cs="Times New Roman"/>
          <w:sz w:val="20"/>
          <w:szCs w:val="20"/>
        </w:rPr>
        <w:t xml:space="preserve">n example of an industry-specific risk factor in ACCOR’s 2015 annual report is as follows: </w:t>
      </w:r>
    </w:p>
    <w:p w14:paraId="0E3D5024" w14:textId="38452424" w:rsidR="00BF225F" w:rsidRPr="004408A1" w:rsidRDefault="00BF225F" w:rsidP="00DE56FE">
      <w:pPr>
        <w:pStyle w:val="Notedebasdepage"/>
        <w:ind w:left="720"/>
        <w:jc w:val="both"/>
      </w:pPr>
      <w:r w:rsidRPr="004408A1">
        <w:rPr>
          <w:rFonts w:ascii="Times New Roman" w:hAnsi="Times New Roman" w:cs="Times New Roman"/>
          <w:i/>
        </w:rPr>
        <w:t xml:space="preserve">Like all hotel operators, AccorHotels is required to comply with the applicable disabled access regulations. This issue has long been addressed and most of the Group’s hotels already have wheelchair-friendly rooms, but further expenditure may be required in the coming years to further enhance hotel accessibility </w:t>
      </w:r>
      <w:r w:rsidRPr="004408A1">
        <w:rPr>
          <w:rFonts w:ascii="Times New Roman" w:hAnsi="Times New Roman" w:cs="Times New Roman"/>
        </w:rPr>
        <w:t>(p.132).</w:t>
      </w:r>
    </w:p>
  </w:footnote>
  <w:footnote w:id="14">
    <w:p w14:paraId="0E441AF3" w14:textId="41791440" w:rsidR="00BF225F" w:rsidRPr="00A23C68" w:rsidRDefault="00BF225F" w:rsidP="00DE56FE">
      <w:pPr>
        <w:pStyle w:val="Notedebasdepage"/>
        <w:jc w:val="both"/>
        <w:rPr>
          <w:rFonts w:ascii="Times New Roman" w:hAnsi="Times New Roman" w:cs="Times New Roman"/>
        </w:rPr>
      </w:pPr>
      <w:r w:rsidRPr="00A23C68">
        <w:rPr>
          <w:rStyle w:val="Appelnotedebasdep"/>
          <w:rFonts w:ascii="Times New Roman" w:hAnsi="Times New Roman" w:cs="Times New Roman"/>
        </w:rPr>
        <w:footnoteRef/>
      </w:r>
      <w:r w:rsidRPr="00A23C68">
        <w:rPr>
          <w:rFonts w:ascii="Times New Roman" w:hAnsi="Times New Roman" w:cs="Times New Roman"/>
        </w:rPr>
        <w:t xml:space="preserve"> </w:t>
      </w:r>
      <w:r>
        <w:rPr>
          <w:rFonts w:ascii="Times New Roman" w:hAnsi="Times New Roman" w:cs="Times New Roman"/>
        </w:rPr>
        <w:t xml:space="preserve">These results are </w:t>
      </w:r>
      <w:r w:rsidRPr="00A23C68">
        <w:rPr>
          <w:rFonts w:ascii="Times New Roman" w:hAnsi="Times New Roman" w:cs="Times New Roman"/>
        </w:rPr>
        <w:t xml:space="preserve">robust </w:t>
      </w:r>
      <w:r>
        <w:rPr>
          <w:rFonts w:ascii="Times New Roman" w:hAnsi="Times New Roman" w:cs="Times New Roman"/>
        </w:rPr>
        <w:t>to using the variable</w:t>
      </w:r>
      <w:r w:rsidRPr="00A23C68">
        <w:rPr>
          <w:rFonts w:ascii="Times New Roman" w:hAnsi="Times New Roman" w:cs="Times New Roman"/>
        </w:rPr>
        <w:t xml:space="preserve"> </w:t>
      </w:r>
      <w:r w:rsidRPr="00A23C68">
        <w:rPr>
          <w:rFonts w:ascii="Times New Roman" w:hAnsi="Times New Roman" w:cs="Times New Roman"/>
          <w:i/>
        </w:rPr>
        <w:t>Risk_sentences_ratio</w:t>
      </w:r>
      <w:r>
        <w:rPr>
          <w:rFonts w:ascii="Times New Roman" w:hAnsi="Times New Roman" w:cs="Times New Roman"/>
        </w:rPr>
        <w:t xml:space="preserve">. </w:t>
      </w:r>
    </w:p>
  </w:footnote>
  <w:footnote w:id="15">
    <w:p w14:paraId="18385B56" w14:textId="543AAD68" w:rsidR="00BF225F" w:rsidRPr="00E261E2" w:rsidRDefault="00BF225F" w:rsidP="00DE56FE">
      <w:pPr>
        <w:pStyle w:val="Notedebasdepage"/>
        <w:jc w:val="both"/>
        <w:rPr>
          <w:lang w:val="en-US"/>
        </w:rPr>
      </w:pPr>
      <w:r w:rsidRPr="00E261E2">
        <w:rPr>
          <w:rStyle w:val="Appelnotedebasdep"/>
        </w:rPr>
        <w:footnoteRef/>
      </w:r>
      <w:r w:rsidRPr="00E261E2">
        <w:t xml:space="preserve"> </w:t>
      </w:r>
      <w:r w:rsidRPr="00E261E2">
        <w:rPr>
          <w:rFonts w:ascii="Times New Roman" w:hAnsi="Times New Roman" w:cs="Times New Roman"/>
        </w:rPr>
        <w:t>We conduct propensity score marching estimation within a maximum distance of 1% and with replacement, consistent with prior work, such as that of Morgan and Harding (</w:t>
      </w:r>
      <w:hyperlink r:id="rId4" w:anchor="fima12148-bib-0062" w:history="1">
        <w:r w:rsidRPr="00E261E2">
          <w:rPr>
            <w:rFonts w:ascii="Times New Roman" w:hAnsi="Times New Roman" w:cs="Times New Roman"/>
          </w:rPr>
          <w:t>2006</w:t>
        </w:r>
      </w:hyperlink>
      <w:r>
        <w:rPr>
          <w:rFonts w:ascii="Times New Roman" w:hAnsi="Times New Roman" w:cs="Times New Roman"/>
        </w:rPr>
        <w:t>)</w:t>
      </w:r>
      <w:r w:rsidRPr="00E261E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6EE8"/>
    <w:multiLevelType w:val="multilevel"/>
    <w:tmpl w:val="24BCCB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328EB"/>
    <w:multiLevelType w:val="multilevel"/>
    <w:tmpl w:val="58B696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A26DD"/>
    <w:multiLevelType w:val="multilevel"/>
    <w:tmpl w:val="5888ABDC"/>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F3B67"/>
    <w:multiLevelType w:val="multilevel"/>
    <w:tmpl w:val="3AA6534E"/>
    <w:lvl w:ilvl="0">
      <w:start w:val="1"/>
      <w:numFmt w:val="decimal"/>
      <w:lvlText w:val="%1."/>
      <w:lvlJc w:val="left"/>
      <w:pPr>
        <w:ind w:left="720" w:hanging="360"/>
      </w:pPr>
      <w:rPr>
        <w:rFonts w:ascii="Times New Roman" w:hAnsi="Times New Roman" w:cs="Times New Roman"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042AF"/>
    <w:multiLevelType w:val="multilevel"/>
    <w:tmpl w:val="4F8E7AFA"/>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440" w:hanging="144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7524E30"/>
    <w:multiLevelType w:val="multilevel"/>
    <w:tmpl w:val="3AA6534E"/>
    <w:lvl w:ilvl="0">
      <w:start w:val="1"/>
      <w:numFmt w:val="decimal"/>
      <w:lvlText w:val="%1."/>
      <w:lvlJc w:val="left"/>
      <w:pPr>
        <w:ind w:left="720" w:hanging="360"/>
      </w:pPr>
      <w:rPr>
        <w:rFonts w:ascii="Times New Roman" w:hAnsi="Times New Roman" w:cs="Times New Roman"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692"/>
    <w:multiLevelType w:val="hybridMultilevel"/>
    <w:tmpl w:val="2E0E582E"/>
    <w:lvl w:ilvl="0" w:tplc="88A258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71ECF"/>
    <w:multiLevelType w:val="hybridMultilevel"/>
    <w:tmpl w:val="9364CF16"/>
    <w:lvl w:ilvl="0" w:tplc="869A5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8660A"/>
    <w:multiLevelType w:val="multilevel"/>
    <w:tmpl w:val="3AA6534E"/>
    <w:lvl w:ilvl="0">
      <w:start w:val="1"/>
      <w:numFmt w:val="decimal"/>
      <w:lvlText w:val="%1."/>
      <w:lvlJc w:val="left"/>
      <w:pPr>
        <w:ind w:left="720" w:hanging="360"/>
      </w:pPr>
      <w:rPr>
        <w:rFonts w:ascii="Times New Roman" w:hAnsi="Times New Roman" w:cs="Times New Roman"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C2DAB"/>
    <w:multiLevelType w:val="multilevel"/>
    <w:tmpl w:val="3AA6534E"/>
    <w:lvl w:ilvl="0">
      <w:start w:val="1"/>
      <w:numFmt w:val="decimal"/>
      <w:lvlText w:val="%1."/>
      <w:lvlJc w:val="left"/>
      <w:pPr>
        <w:ind w:left="720" w:hanging="360"/>
      </w:pPr>
      <w:rPr>
        <w:rFonts w:ascii="Times New Roman" w:hAnsi="Times New Roman" w:cs="Times New Roman"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3F034A"/>
    <w:multiLevelType w:val="hybridMultilevel"/>
    <w:tmpl w:val="253A8E04"/>
    <w:lvl w:ilvl="0" w:tplc="C532B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E3586"/>
    <w:multiLevelType w:val="multilevel"/>
    <w:tmpl w:val="1BF864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511CDF"/>
    <w:multiLevelType w:val="multilevel"/>
    <w:tmpl w:val="3AA6534E"/>
    <w:lvl w:ilvl="0">
      <w:start w:val="1"/>
      <w:numFmt w:val="decimal"/>
      <w:lvlText w:val="%1."/>
      <w:lvlJc w:val="left"/>
      <w:pPr>
        <w:ind w:left="720" w:hanging="360"/>
      </w:pPr>
      <w:rPr>
        <w:rFonts w:ascii="Times New Roman" w:hAnsi="Times New Roman" w:cs="Times New Roman"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042AE7"/>
    <w:multiLevelType w:val="multilevel"/>
    <w:tmpl w:val="3AA6534E"/>
    <w:lvl w:ilvl="0">
      <w:start w:val="1"/>
      <w:numFmt w:val="decimal"/>
      <w:lvlText w:val="%1."/>
      <w:lvlJc w:val="left"/>
      <w:pPr>
        <w:ind w:left="720" w:hanging="360"/>
      </w:pPr>
      <w:rPr>
        <w:rFonts w:ascii="Times New Roman" w:hAnsi="Times New Roman" w:cs="Times New Roman" w:hint="default"/>
        <w:b/>
        <w:sz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DE439F"/>
    <w:multiLevelType w:val="multilevel"/>
    <w:tmpl w:val="42B6D66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
  </w:num>
  <w:num w:numId="3">
    <w:abstractNumId w:val="4"/>
  </w:num>
  <w:num w:numId="4">
    <w:abstractNumId w:val="3"/>
  </w:num>
  <w:num w:numId="5">
    <w:abstractNumId w:val="7"/>
  </w:num>
  <w:num w:numId="6">
    <w:abstractNumId w:val="9"/>
  </w:num>
  <w:num w:numId="7">
    <w:abstractNumId w:val="5"/>
  </w:num>
  <w:num w:numId="8">
    <w:abstractNumId w:val="12"/>
  </w:num>
  <w:num w:numId="9">
    <w:abstractNumId w:val="8"/>
  </w:num>
  <w:num w:numId="10">
    <w:abstractNumId w:val="13"/>
  </w:num>
  <w:num w:numId="11">
    <w:abstractNumId w:val="6"/>
  </w:num>
  <w:num w:numId="12">
    <w:abstractNumId w:val="11"/>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ordCount" w:val="9836"/>
  </w:docVars>
  <w:rsids>
    <w:rsidRoot w:val="00C20459"/>
    <w:rsid w:val="00012ADD"/>
    <w:rsid w:val="00012BDC"/>
    <w:rsid w:val="00020265"/>
    <w:rsid w:val="0003529E"/>
    <w:rsid w:val="00035B4D"/>
    <w:rsid w:val="00043CB2"/>
    <w:rsid w:val="000546AE"/>
    <w:rsid w:val="00083A3A"/>
    <w:rsid w:val="000A3693"/>
    <w:rsid w:val="000B78D2"/>
    <w:rsid w:val="000B7978"/>
    <w:rsid w:val="000C532F"/>
    <w:rsid w:val="00110304"/>
    <w:rsid w:val="00142E24"/>
    <w:rsid w:val="001464B3"/>
    <w:rsid w:val="001614E5"/>
    <w:rsid w:val="00162179"/>
    <w:rsid w:val="00180376"/>
    <w:rsid w:val="001B3394"/>
    <w:rsid w:val="001C1A0F"/>
    <w:rsid w:val="001D2B9A"/>
    <w:rsid w:val="001D5E7D"/>
    <w:rsid w:val="00205C2F"/>
    <w:rsid w:val="0023331F"/>
    <w:rsid w:val="002340A9"/>
    <w:rsid w:val="00235AF9"/>
    <w:rsid w:val="00240235"/>
    <w:rsid w:val="00247317"/>
    <w:rsid w:val="00260075"/>
    <w:rsid w:val="00270495"/>
    <w:rsid w:val="002732C0"/>
    <w:rsid w:val="002A5046"/>
    <w:rsid w:val="002A75F1"/>
    <w:rsid w:val="002C0CCB"/>
    <w:rsid w:val="002D265D"/>
    <w:rsid w:val="002D5801"/>
    <w:rsid w:val="002E5B40"/>
    <w:rsid w:val="0030628A"/>
    <w:rsid w:val="00307519"/>
    <w:rsid w:val="00332519"/>
    <w:rsid w:val="0034390F"/>
    <w:rsid w:val="00354D87"/>
    <w:rsid w:val="00357611"/>
    <w:rsid w:val="00362544"/>
    <w:rsid w:val="00395BFE"/>
    <w:rsid w:val="003A395B"/>
    <w:rsid w:val="003A793A"/>
    <w:rsid w:val="004230A3"/>
    <w:rsid w:val="004408A1"/>
    <w:rsid w:val="004436DC"/>
    <w:rsid w:val="0044608F"/>
    <w:rsid w:val="00450E3D"/>
    <w:rsid w:val="00475047"/>
    <w:rsid w:val="00490C01"/>
    <w:rsid w:val="004B05DB"/>
    <w:rsid w:val="004B1B26"/>
    <w:rsid w:val="004D790B"/>
    <w:rsid w:val="004E0075"/>
    <w:rsid w:val="004E09EC"/>
    <w:rsid w:val="004F51E7"/>
    <w:rsid w:val="0051095B"/>
    <w:rsid w:val="00535B67"/>
    <w:rsid w:val="00553DCC"/>
    <w:rsid w:val="005710B9"/>
    <w:rsid w:val="005A6480"/>
    <w:rsid w:val="005B1018"/>
    <w:rsid w:val="005B7FDD"/>
    <w:rsid w:val="005C607E"/>
    <w:rsid w:val="005D5DD2"/>
    <w:rsid w:val="005F032E"/>
    <w:rsid w:val="005F094A"/>
    <w:rsid w:val="005F4D35"/>
    <w:rsid w:val="00602FB9"/>
    <w:rsid w:val="006118DA"/>
    <w:rsid w:val="006207BC"/>
    <w:rsid w:val="00627A37"/>
    <w:rsid w:val="00627F8F"/>
    <w:rsid w:val="00635A8F"/>
    <w:rsid w:val="00651824"/>
    <w:rsid w:val="00651FD9"/>
    <w:rsid w:val="00654D1F"/>
    <w:rsid w:val="00666856"/>
    <w:rsid w:val="006742FA"/>
    <w:rsid w:val="00680FE4"/>
    <w:rsid w:val="00692F99"/>
    <w:rsid w:val="006946B4"/>
    <w:rsid w:val="006B08CD"/>
    <w:rsid w:val="006B3A90"/>
    <w:rsid w:val="006C2A2F"/>
    <w:rsid w:val="006D1469"/>
    <w:rsid w:val="006E3016"/>
    <w:rsid w:val="006F3168"/>
    <w:rsid w:val="00721256"/>
    <w:rsid w:val="0072747B"/>
    <w:rsid w:val="00737287"/>
    <w:rsid w:val="00747C47"/>
    <w:rsid w:val="007559CC"/>
    <w:rsid w:val="00774D79"/>
    <w:rsid w:val="007807BD"/>
    <w:rsid w:val="00780999"/>
    <w:rsid w:val="00785FF2"/>
    <w:rsid w:val="00787AD8"/>
    <w:rsid w:val="00794D67"/>
    <w:rsid w:val="00796302"/>
    <w:rsid w:val="007A10A3"/>
    <w:rsid w:val="007A17D0"/>
    <w:rsid w:val="007A6DBD"/>
    <w:rsid w:val="007B25EA"/>
    <w:rsid w:val="007B2CCB"/>
    <w:rsid w:val="007C48F3"/>
    <w:rsid w:val="007D3CC7"/>
    <w:rsid w:val="007D51A0"/>
    <w:rsid w:val="007F1BEF"/>
    <w:rsid w:val="008014EC"/>
    <w:rsid w:val="00823B50"/>
    <w:rsid w:val="00827F69"/>
    <w:rsid w:val="00867962"/>
    <w:rsid w:val="008A1A82"/>
    <w:rsid w:val="008B1E5F"/>
    <w:rsid w:val="008B5F19"/>
    <w:rsid w:val="008C03E6"/>
    <w:rsid w:val="008C7FE8"/>
    <w:rsid w:val="008D578B"/>
    <w:rsid w:val="008E3090"/>
    <w:rsid w:val="008E6A3E"/>
    <w:rsid w:val="008F0D2C"/>
    <w:rsid w:val="008F19CF"/>
    <w:rsid w:val="008F2C47"/>
    <w:rsid w:val="00913480"/>
    <w:rsid w:val="009234C7"/>
    <w:rsid w:val="009322BD"/>
    <w:rsid w:val="00945B0D"/>
    <w:rsid w:val="009462E6"/>
    <w:rsid w:val="009533A9"/>
    <w:rsid w:val="0096199D"/>
    <w:rsid w:val="00973DCB"/>
    <w:rsid w:val="0097757C"/>
    <w:rsid w:val="009828AF"/>
    <w:rsid w:val="009900A5"/>
    <w:rsid w:val="009B6826"/>
    <w:rsid w:val="009F5B50"/>
    <w:rsid w:val="009F6DC0"/>
    <w:rsid w:val="00A23C68"/>
    <w:rsid w:val="00A36928"/>
    <w:rsid w:val="00A61DC5"/>
    <w:rsid w:val="00A625B7"/>
    <w:rsid w:val="00A86AE4"/>
    <w:rsid w:val="00A91E82"/>
    <w:rsid w:val="00A964FE"/>
    <w:rsid w:val="00AA4D17"/>
    <w:rsid w:val="00AB7C4E"/>
    <w:rsid w:val="00AC195A"/>
    <w:rsid w:val="00AC26DA"/>
    <w:rsid w:val="00AE526F"/>
    <w:rsid w:val="00B01188"/>
    <w:rsid w:val="00B025A1"/>
    <w:rsid w:val="00B71B41"/>
    <w:rsid w:val="00B76731"/>
    <w:rsid w:val="00B824BF"/>
    <w:rsid w:val="00BA634C"/>
    <w:rsid w:val="00BC3D9C"/>
    <w:rsid w:val="00BD45F3"/>
    <w:rsid w:val="00BF225F"/>
    <w:rsid w:val="00C122B4"/>
    <w:rsid w:val="00C20459"/>
    <w:rsid w:val="00C206C9"/>
    <w:rsid w:val="00C221D6"/>
    <w:rsid w:val="00C2385D"/>
    <w:rsid w:val="00C31F78"/>
    <w:rsid w:val="00C50396"/>
    <w:rsid w:val="00C67EF0"/>
    <w:rsid w:val="00C75A17"/>
    <w:rsid w:val="00C7653D"/>
    <w:rsid w:val="00C86ADB"/>
    <w:rsid w:val="00C965DB"/>
    <w:rsid w:val="00CA0084"/>
    <w:rsid w:val="00CB09C4"/>
    <w:rsid w:val="00CB1392"/>
    <w:rsid w:val="00CB7417"/>
    <w:rsid w:val="00CC24D8"/>
    <w:rsid w:val="00CE280B"/>
    <w:rsid w:val="00D111C0"/>
    <w:rsid w:val="00D35C5D"/>
    <w:rsid w:val="00D429F5"/>
    <w:rsid w:val="00D561EA"/>
    <w:rsid w:val="00D67A9D"/>
    <w:rsid w:val="00DC1AD2"/>
    <w:rsid w:val="00DC3903"/>
    <w:rsid w:val="00DD0D95"/>
    <w:rsid w:val="00DE56FE"/>
    <w:rsid w:val="00DE7487"/>
    <w:rsid w:val="00DF50BA"/>
    <w:rsid w:val="00E15712"/>
    <w:rsid w:val="00E16E79"/>
    <w:rsid w:val="00E213AE"/>
    <w:rsid w:val="00E261E2"/>
    <w:rsid w:val="00E43D44"/>
    <w:rsid w:val="00E612CD"/>
    <w:rsid w:val="00E6679A"/>
    <w:rsid w:val="00E674EE"/>
    <w:rsid w:val="00E741DE"/>
    <w:rsid w:val="00E75E9C"/>
    <w:rsid w:val="00E80AF1"/>
    <w:rsid w:val="00E95CD8"/>
    <w:rsid w:val="00EA1099"/>
    <w:rsid w:val="00EA5984"/>
    <w:rsid w:val="00EC4DCE"/>
    <w:rsid w:val="00ED767C"/>
    <w:rsid w:val="00EF3405"/>
    <w:rsid w:val="00EF5529"/>
    <w:rsid w:val="00F0350A"/>
    <w:rsid w:val="00F178B3"/>
    <w:rsid w:val="00F22058"/>
    <w:rsid w:val="00F3089C"/>
    <w:rsid w:val="00F3678B"/>
    <w:rsid w:val="00F40247"/>
    <w:rsid w:val="00F449EC"/>
    <w:rsid w:val="00F57C3A"/>
    <w:rsid w:val="00F64528"/>
    <w:rsid w:val="00F65E89"/>
    <w:rsid w:val="00F6672B"/>
    <w:rsid w:val="00F9119E"/>
    <w:rsid w:val="00FC6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5DDFC"/>
  <w15:docId w15:val="{43204CE3-8717-41C3-B875-05F246BF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Titre6">
    <w:name w:val="heading 6"/>
    <w:basedOn w:val="Normal"/>
    <w:next w:val="Normal"/>
    <w:link w:val="Titre6Car"/>
    <w:uiPriority w:val="9"/>
    <w:unhideWhenUsed/>
    <w:qFormat/>
    <w:pPr>
      <w:spacing w:before="240" w:after="60" w:line="276" w:lineRule="auto"/>
      <w:outlineLvl w:val="5"/>
    </w:pPr>
    <w:rPr>
      <w:rFonts w:ascii="Calibri" w:eastAsia="Times New Roman" w:hAnsi="Calibri"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lang w:val="en-GB"/>
    </w:rPr>
  </w:style>
  <w:style w:type="character" w:styleId="Appelnotedebasdep">
    <w:name w:val="footnote reference"/>
    <w:basedOn w:val="Policepardfaut"/>
    <w:uiPriority w:val="99"/>
    <w:unhideWhenUsed/>
    <w:rPr>
      <w:vertAlign w:val="superscript"/>
    </w:rPr>
  </w:style>
  <w:style w:type="paragraph" w:styleId="Paragraphedeliste">
    <w:name w:val="List Paragraph"/>
    <w:basedOn w:val="Normal"/>
    <w:uiPriority w:val="34"/>
    <w:qFormat/>
    <w:pPr>
      <w:ind w:left="720"/>
      <w:contextualSpacing/>
    </w:pPr>
  </w:style>
  <w:style w:type="character" w:styleId="Lienhypertexte">
    <w:name w:val="Hyperlink"/>
    <w:unhideWhenUsed/>
    <w:rPr>
      <w:color w:val="0000FF"/>
      <w:u w:val="single"/>
    </w:r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customStyle="1" w:styleId="Titre6Car">
    <w:name w:val="Titre 6 Car"/>
    <w:basedOn w:val="Policepardfaut"/>
    <w:link w:val="Titre6"/>
    <w:uiPriority w:val="9"/>
    <w:rPr>
      <w:rFonts w:ascii="Calibri" w:eastAsia="Times New Roman" w:hAnsi="Calibri" w:cs="Times New Roman"/>
      <w:b/>
      <w:bCs/>
    </w:r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rPr>
      <w:lang w:val="en-GB"/>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rPr>
      <w:lang w:val="en-GB"/>
    </w:rPr>
  </w:style>
  <w:style w:type="character" w:customStyle="1" w:styleId="personname">
    <w:name w:val="person_name"/>
    <w:basedOn w:val="Policepardfaut"/>
  </w:style>
  <w:style w:type="character" w:styleId="Accentuation">
    <w:name w:val="Emphasis"/>
    <w:basedOn w:val="Policepardfaut"/>
    <w:uiPriority w:val="20"/>
    <w:qFormat/>
    <w:rPr>
      <w:i/>
      <w:iCs/>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
    <w:name w:val="citation"/>
    <w:basedOn w:val="Policepardfau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GB"/>
    </w:rPr>
  </w:style>
  <w:style w:type="character" w:customStyle="1" w:styleId="current-selection">
    <w:name w:val="current-selection"/>
    <w:basedOn w:val="Policepardfaut"/>
  </w:style>
  <w:style w:type="character" w:customStyle="1" w:styleId="a">
    <w:name w:val="_"/>
    <w:basedOn w:val="Policepardfaut"/>
  </w:style>
  <w:style w:type="character" w:customStyle="1" w:styleId="citationref">
    <w:name w:val="citationref"/>
    <w:basedOn w:val="Policepardfaut"/>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val="en-GB"/>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115483">
      <w:bodyDiv w:val="1"/>
      <w:marLeft w:val="0"/>
      <w:marRight w:val="0"/>
      <w:marTop w:val="0"/>
      <w:marBottom w:val="0"/>
      <w:divBdr>
        <w:top w:val="none" w:sz="0" w:space="0" w:color="auto"/>
        <w:left w:val="none" w:sz="0" w:space="0" w:color="auto"/>
        <w:bottom w:val="none" w:sz="0" w:space="0" w:color="auto"/>
        <w:right w:val="none" w:sz="0" w:space="0" w:color="auto"/>
      </w:divBdr>
    </w:div>
    <w:div w:id="416632928">
      <w:bodyDiv w:val="1"/>
      <w:marLeft w:val="0"/>
      <w:marRight w:val="0"/>
      <w:marTop w:val="0"/>
      <w:marBottom w:val="0"/>
      <w:divBdr>
        <w:top w:val="none" w:sz="0" w:space="0" w:color="auto"/>
        <w:left w:val="none" w:sz="0" w:space="0" w:color="auto"/>
        <w:bottom w:val="none" w:sz="0" w:space="0" w:color="auto"/>
        <w:right w:val="none" w:sz="0" w:space="0" w:color="auto"/>
      </w:divBdr>
      <w:divsChild>
        <w:div w:id="1867408688">
          <w:marLeft w:val="0"/>
          <w:marRight w:val="0"/>
          <w:marTop w:val="0"/>
          <w:marBottom w:val="0"/>
          <w:divBdr>
            <w:top w:val="none" w:sz="0" w:space="0" w:color="auto"/>
            <w:left w:val="none" w:sz="0" w:space="0" w:color="auto"/>
            <w:bottom w:val="none" w:sz="0" w:space="0" w:color="auto"/>
            <w:right w:val="none" w:sz="0" w:space="0" w:color="auto"/>
          </w:divBdr>
          <w:divsChild>
            <w:div w:id="1608582397">
              <w:marLeft w:val="0"/>
              <w:marRight w:val="0"/>
              <w:marTop w:val="0"/>
              <w:marBottom w:val="0"/>
              <w:divBdr>
                <w:top w:val="none" w:sz="0" w:space="0" w:color="auto"/>
                <w:left w:val="none" w:sz="0" w:space="0" w:color="auto"/>
                <w:bottom w:val="none" w:sz="0" w:space="0" w:color="auto"/>
                <w:right w:val="none" w:sz="0" w:space="0" w:color="auto"/>
              </w:divBdr>
              <w:divsChild>
                <w:div w:id="934240816">
                  <w:marLeft w:val="0"/>
                  <w:marRight w:val="0"/>
                  <w:marTop w:val="0"/>
                  <w:marBottom w:val="0"/>
                  <w:divBdr>
                    <w:top w:val="none" w:sz="0" w:space="0" w:color="auto"/>
                    <w:left w:val="none" w:sz="0" w:space="0" w:color="auto"/>
                    <w:bottom w:val="none" w:sz="0" w:space="0" w:color="auto"/>
                    <w:right w:val="none" w:sz="0" w:space="0" w:color="auto"/>
                  </w:divBdr>
                  <w:divsChild>
                    <w:div w:id="49158227">
                      <w:marLeft w:val="0"/>
                      <w:marRight w:val="0"/>
                      <w:marTop w:val="0"/>
                      <w:marBottom w:val="0"/>
                      <w:divBdr>
                        <w:top w:val="single" w:sz="48" w:space="0" w:color="auto"/>
                        <w:left w:val="single" w:sz="48" w:space="0" w:color="auto"/>
                        <w:bottom w:val="single" w:sz="48" w:space="0" w:color="auto"/>
                        <w:right w:val="single" w:sz="48" w:space="0" w:color="auto"/>
                      </w:divBdr>
                      <w:divsChild>
                        <w:div w:id="1110201363">
                          <w:marLeft w:val="0"/>
                          <w:marRight w:val="0"/>
                          <w:marTop w:val="0"/>
                          <w:marBottom w:val="0"/>
                          <w:divBdr>
                            <w:top w:val="none" w:sz="0" w:space="0" w:color="auto"/>
                            <w:left w:val="none" w:sz="0" w:space="0" w:color="auto"/>
                            <w:bottom w:val="none" w:sz="0" w:space="0" w:color="auto"/>
                            <w:right w:val="none" w:sz="0" w:space="0" w:color="auto"/>
                          </w:divBdr>
                          <w:divsChild>
                            <w:div w:id="345787121">
                              <w:marLeft w:val="0"/>
                              <w:marRight w:val="0"/>
                              <w:marTop w:val="0"/>
                              <w:marBottom w:val="0"/>
                              <w:divBdr>
                                <w:top w:val="none" w:sz="0" w:space="0" w:color="auto"/>
                                <w:left w:val="none" w:sz="0" w:space="0" w:color="auto"/>
                                <w:bottom w:val="none" w:sz="0" w:space="0" w:color="auto"/>
                                <w:right w:val="none" w:sz="0" w:space="0" w:color="auto"/>
                              </w:divBdr>
                            </w:div>
                            <w:div w:id="236867883">
                              <w:marLeft w:val="0"/>
                              <w:marRight w:val="0"/>
                              <w:marTop w:val="0"/>
                              <w:marBottom w:val="0"/>
                              <w:divBdr>
                                <w:top w:val="none" w:sz="0" w:space="0" w:color="auto"/>
                                <w:left w:val="none" w:sz="0" w:space="0" w:color="auto"/>
                                <w:bottom w:val="none" w:sz="0" w:space="0" w:color="auto"/>
                                <w:right w:val="none" w:sz="0" w:space="0" w:color="auto"/>
                              </w:divBdr>
                            </w:div>
                            <w:div w:id="1896045051">
                              <w:marLeft w:val="0"/>
                              <w:marRight w:val="0"/>
                              <w:marTop w:val="0"/>
                              <w:marBottom w:val="0"/>
                              <w:divBdr>
                                <w:top w:val="none" w:sz="0" w:space="0" w:color="auto"/>
                                <w:left w:val="none" w:sz="0" w:space="0" w:color="auto"/>
                                <w:bottom w:val="none" w:sz="0" w:space="0" w:color="auto"/>
                                <w:right w:val="none" w:sz="0" w:space="0" w:color="auto"/>
                              </w:divBdr>
                            </w:div>
                            <w:div w:id="5066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682228">
      <w:bodyDiv w:val="1"/>
      <w:marLeft w:val="0"/>
      <w:marRight w:val="0"/>
      <w:marTop w:val="0"/>
      <w:marBottom w:val="0"/>
      <w:divBdr>
        <w:top w:val="none" w:sz="0" w:space="0" w:color="auto"/>
        <w:left w:val="none" w:sz="0" w:space="0" w:color="auto"/>
        <w:bottom w:val="none" w:sz="0" w:space="0" w:color="auto"/>
        <w:right w:val="none" w:sz="0" w:space="0" w:color="auto"/>
      </w:divBdr>
      <w:divsChild>
        <w:div w:id="105927563">
          <w:marLeft w:val="0"/>
          <w:marRight w:val="0"/>
          <w:marTop w:val="0"/>
          <w:marBottom w:val="0"/>
          <w:divBdr>
            <w:top w:val="none" w:sz="0" w:space="0" w:color="auto"/>
            <w:left w:val="none" w:sz="0" w:space="0" w:color="auto"/>
            <w:bottom w:val="none" w:sz="0" w:space="0" w:color="auto"/>
            <w:right w:val="none" w:sz="0" w:space="0" w:color="auto"/>
          </w:divBdr>
          <w:divsChild>
            <w:div w:id="741490449">
              <w:marLeft w:val="0"/>
              <w:marRight w:val="0"/>
              <w:marTop w:val="0"/>
              <w:marBottom w:val="0"/>
              <w:divBdr>
                <w:top w:val="none" w:sz="0" w:space="0" w:color="auto"/>
                <w:left w:val="none" w:sz="0" w:space="0" w:color="auto"/>
                <w:bottom w:val="none" w:sz="0" w:space="0" w:color="auto"/>
                <w:right w:val="none" w:sz="0" w:space="0" w:color="auto"/>
              </w:divBdr>
              <w:divsChild>
                <w:div w:id="987170030">
                  <w:marLeft w:val="0"/>
                  <w:marRight w:val="0"/>
                  <w:marTop w:val="0"/>
                  <w:marBottom w:val="0"/>
                  <w:divBdr>
                    <w:top w:val="none" w:sz="0" w:space="0" w:color="auto"/>
                    <w:left w:val="none" w:sz="0" w:space="0" w:color="auto"/>
                    <w:bottom w:val="none" w:sz="0" w:space="0" w:color="auto"/>
                    <w:right w:val="none" w:sz="0" w:space="0" w:color="auto"/>
                  </w:divBdr>
                  <w:divsChild>
                    <w:div w:id="2070109779">
                      <w:marLeft w:val="0"/>
                      <w:marRight w:val="0"/>
                      <w:marTop w:val="0"/>
                      <w:marBottom w:val="0"/>
                      <w:divBdr>
                        <w:top w:val="single" w:sz="48" w:space="0" w:color="auto"/>
                        <w:left w:val="single" w:sz="48" w:space="0" w:color="auto"/>
                        <w:bottom w:val="single" w:sz="48" w:space="0" w:color="auto"/>
                        <w:right w:val="single" w:sz="48" w:space="0" w:color="auto"/>
                      </w:divBdr>
                      <w:divsChild>
                        <w:div w:id="1358969880">
                          <w:marLeft w:val="0"/>
                          <w:marRight w:val="0"/>
                          <w:marTop w:val="0"/>
                          <w:marBottom w:val="0"/>
                          <w:divBdr>
                            <w:top w:val="none" w:sz="0" w:space="0" w:color="auto"/>
                            <w:left w:val="none" w:sz="0" w:space="0" w:color="auto"/>
                            <w:bottom w:val="none" w:sz="0" w:space="0" w:color="auto"/>
                            <w:right w:val="none" w:sz="0" w:space="0" w:color="auto"/>
                          </w:divBdr>
                          <w:divsChild>
                            <w:div w:id="502933923">
                              <w:marLeft w:val="0"/>
                              <w:marRight w:val="0"/>
                              <w:marTop w:val="0"/>
                              <w:marBottom w:val="0"/>
                              <w:divBdr>
                                <w:top w:val="none" w:sz="0" w:space="0" w:color="auto"/>
                                <w:left w:val="none" w:sz="0" w:space="0" w:color="auto"/>
                                <w:bottom w:val="none" w:sz="0" w:space="0" w:color="auto"/>
                                <w:right w:val="none" w:sz="0" w:space="0" w:color="auto"/>
                              </w:divBdr>
                            </w:div>
                            <w:div w:id="16340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300344">
      <w:bodyDiv w:val="1"/>
      <w:marLeft w:val="0"/>
      <w:marRight w:val="0"/>
      <w:marTop w:val="0"/>
      <w:marBottom w:val="0"/>
      <w:divBdr>
        <w:top w:val="none" w:sz="0" w:space="0" w:color="auto"/>
        <w:left w:val="none" w:sz="0" w:space="0" w:color="auto"/>
        <w:bottom w:val="none" w:sz="0" w:space="0" w:color="auto"/>
        <w:right w:val="none" w:sz="0" w:space="0" w:color="auto"/>
      </w:divBdr>
    </w:div>
    <w:div w:id="1408843121">
      <w:bodyDiv w:val="1"/>
      <w:marLeft w:val="0"/>
      <w:marRight w:val="0"/>
      <w:marTop w:val="0"/>
      <w:marBottom w:val="0"/>
      <w:divBdr>
        <w:top w:val="none" w:sz="0" w:space="0" w:color="auto"/>
        <w:left w:val="none" w:sz="0" w:space="0" w:color="auto"/>
        <w:bottom w:val="none" w:sz="0" w:space="0" w:color="auto"/>
        <w:right w:val="none" w:sz="0" w:space="0" w:color="auto"/>
      </w:divBdr>
    </w:div>
    <w:div w:id="1735544169">
      <w:bodyDiv w:val="1"/>
      <w:marLeft w:val="0"/>
      <w:marRight w:val="0"/>
      <w:marTop w:val="0"/>
      <w:marBottom w:val="0"/>
      <w:divBdr>
        <w:top w:val="none" w:sz="0" w:space="0" w:color="auto"/>
        <w:left w:val="none" w:sz="0" w:space="0" w:color="auto"/>
        <w:bottom w:val="none" w:sz="0" w:space="0" w:color="auto"/>
        <w:right w:val="none" w:sz="0" w:space="0" w:color="auto"/>
      </w:divBdr>
    </w:div>
    <w:div w:id="1898127441">
      <w:bodyDiv w:val="1"/>
      <w:marLeft w:val="0"/>
      <w:marRight w:val="0"/>
      <w:marTop w:val="0"/>
      <w:marBottom w:val="0"/>
      <w:divBdr>
        <w:top w:val="none" w:sz="0" w:space="0" w:color="auto"/>
        <w:left w:val="none" w:sz="0" w:space="0" w:color="auto"/>
        <w:bottom w:val="none" w:sz="0" w:space="0" w:color="auto"/>
        <w:right w:val="none" w:sz="0" w:space="0" w:color="auto"/>
      </w:divBdr>
      <w:divsChild>
        <w:div w:id="630206650">
          <w:marLeft w:val="0"/>
          <w:marRight w:val="0"/>
          <w:marTop w:val="0"/>
          <w:marBottom w:val="0"/>
          <w:divBdr>
            <w:top w:val="none" w:sz="0" w:space="0" w:color="auto"/>
            <w:left w:val="none" w:sz="0" w:space="0" w:color="auto"/>
            <w:bottom w:val="none" w:sz="0" w:space="0" w:color="auto"/>
            <w:right w:val="none" w:sz="0" w:space="0" w:color="auto"/>
          </w:divBdr>
          <w:divsChild>
            <w:div w:id="23750107">
              <w:marLeft w:val="0"/>
              <w:marRight w:val="0"/>
              <w:marTop w:val="0"/>
              <w:marBottom w:val="0"/>
              <w:divBdr>
                <w:top w:val="none" w:sz="0" w:space="0" w:color="auto"/>
                <w:left w:val="none" w:sz="0" w:space="0" w:color="auto"/>
                <w:bottom w:val="none" w:sz="0" w:space="0" w:color="auto"/>
                <w:right w:val="none" w:sz="0" w:space="0" w:color="auto"/>
              </w:divBdr>
              <w:divsChild>
                <w:div w:id="1549565917">
                  <w:marLeft w:val="0"/>
                  <w:marRight w:val="0"/>
                  <w:marTop w:val="0"/>
                  <w:marBottom w:val="0"/>
                  <w:divBdr>
                    <w:top w:val="none" w:sz="0" w:space="0" w:color="auto"/>
                    <w:left w:val="none" w:sz="0" w:space="0" w:color="auto"/>
                    <w:bottom w:val="none" w:sz="0" w:space="0" w:color="auto"/>
                    <w:right w:val="none" w:sz="0" w:space="0" w:color="auto"/>
                  </w:divBdr>
                  <w:divsChild>
                    <w:div w:id="997197179">
                      <w:marLeft w:val="0"/>
                      <w:marRight w:val="0"/>
                      <w:marTop w:val="0"/>
                      <w:marBottom w:val="0"/>
                      <w:divBdr>
                        <w:top w:val="single" w:sz="48" w:space="0" w:color="auto"/>
                        <w:left w:val="single" w:sz="48" w:space="0" w:color="auto"/>
                        <w:bottom w:val="single" w:sz="48" w:space="0" w:color="auto"/>
                        <w:right w:val="single" w:sz="48" w:space="0" w:color="auto"/>
                      </w:divBdr>
                      <w:divsChild>
                        <w:div w:id="600794711">
                          <w:marLeft w:val="0"/>
                          <w:marRight w:val="0"/>
                          <w:marTop w:val="0"/>
                          <w:marBottom w:val="0"/>
                          <w:divBdr>
                            <w:top w:val="none" w:sz="0" w:space="0" w:color="auto"/>
                            <w:left w:val="none" w:sz="0" w:space="0" w:color="auto"/>
                            <w:bottom w:val="none" w:sz="0" w:space="0" w:color="auto"/>
                            <w:right w:val="none" w:sz="0" w:space="0" w:color="auto"/>
                          </w:divBdr>
                          <w:divsChild>
                            <w:div w:id="368727114">
                              <w:marLeft w:val="0"/>
                              <w:marRight w:val="0"/>
                              <w:marTop w:val="0"/>
                              <w:marBottom w:val="0"/>
                              <w:divBdr>
                                <w:top w:val="none" w:sz="0" w:space="0" w:color="auto"/>
                                <w:left w:val="none" w:sz="0" w:space="0" w:color="auto"/>
                                <w:bottom w:val="none" w:sz="0" w:space="0" w:color="auto"/>
                                <w:right w:val="none" w:sz="0" w:space="0" w:color="auto"/>
                              </w:divBdr>
                            </w:div>
                            <w:div w:id="709065342">
                              <w:marLeft w:val="0"/>
                              <w:marRight w:val="0"/>
                              <w:marTop w:val="0"/>
                              <w:marBottom w:val="0"/>
                              <w:divBdr>
                                <w:top w:val="none" w:sz="0" w:space="0" w:color="auto"/>
                                <w:left w:val="none" w:sz="0" w:space="0" w:color="auto"/>
                                <w:bottom w:val="none" w:sz="0" w:space="0" w:color="auto"/>
                                <w:right w:val="none" w:sz="0" w:space="0" w:color="auto"/>
                              </w:divBdr>
                            </w:div>
                            <w:div w:id="1903170749">
                              <w:marLeft w:val="0"/>
                              <w:marRight w:val="0"/>
                              <w:marTop w:val="0"/>
                              <w:marBottom w:val="0"/>
                              <w:divBdr>
                                <w:top w:val="none" w:sz="0" w:space="0" w:color="auto"/>
                                <w:left w:val="none" w:sz="0" w:space="0" w:color="auto"/>
                                <w:bottom w:val="none" w:sz="0" w:space="0" w:color="auto"/>
                                <w:right w:val="none" w:sz="0" w:space="0" w:color="auto"/>
                              </w:divBdr>
                            </w:div>
                            <w:div w:id="560024199">
                              <w:marLeft w:val="0"/>
                              <w:marRight w:val="0"/>
                              <w:marTop w:val="0"/>
                              <w:marBottom w:val="0"/>
                              <w:divBdr>
                                <w:top w:val="none" w:sz="0" w:space="0" w:color="auto"/>
                                <w:left w:val="none" w:sz="0" w:space="0" w:color="auto"/>
                                <w:bottom w:val="none" w:sz="0" w:space="0" w:color="auto"/>
                                <w:right w:val="none" w:sz="0" w:space="0" w:color="auto"/>
                              </w:divBdr>
                            </w:div>
                            <w:div w:id="1033725001">
                              <w:marLeft w:val="0"/>
                              <w:marRight w:val="0"/>
                              <w:marTop w:val="0"/>
                              <w:marBottom w:val="0"/>
                              <w:divBdr>
                                <w:top w:val="none" w:sz="0" w:space="0" w:color="auto"/>
                                <w:left w:val="none" w:sz="0" w:space="0" w:color="auto"/>
                                <w:bottom w:val="none" w:sz="0" w:space="0" w:color="auto"/>
                                <w:right w:val="none" w:sz="0" w:space="0" w:color="auto"/>
                              </w:divBdr>
                            </w:div>
                            <w:div w:id="1859342962">
                              <w:marLeft w:val="0"/>
                              <w:marRight w:val="0"/>
                              <w:marTop w:val="0"/>
                              <w:marBottom w:val="0"/>
                              <w:divBdr>
                                <w:top w:val="none" w:sz="0" w:space="0" w:color="auto"/>
                                <w:left w:val="none" w:sz="0" w:space="0" w:color="auto"/>
                                <w:bottom w:val="none" w:sz="0" w:space="0" w:color="auto"/>
                                <w:right w:val="none" w:sz="0" w:space="0" w:color="auto"/>
                              </w:divBdr>
                            </w:div>
                            <w:div w:id="253366906">
                              <w:marLeft w:val="0"/>
                              <w:marRight w:val="0"/>
                              <w:marTop w:val="0"/>
                              <w:marBottom w:val="0"/>
                              <w:divBdr>
                                <w:top w:val="none" w:sz="0" w:space="0" w:color="auto"/>
                                <w:left w:val="none" w:sz="0" w:space="0" w:color="auto"/>
                                <w:bottom w:val="none" w:sz="0" w:space="0" w:color="auto"/>
                                <w:right w:val="none" w:sz="0" w:space="0" w:color="auto"/>
                              </w:divBdr>
                            </w:div>
                            <w:div w:id="1697005711">
                              <w:marLeft w:val="0"/>
                              <w:marRight w:val="0"/>
                              <w:marTop w:val="0"/>
                              <w:marBottom w:val="0"/>
                              <w:divBdr>
                                <w:top w:val="none" w:sz="0" w:space="0" w:color="auto"/>
                                <w:left w:val="none" w:sz="0" w:space="0" w:color="auto"/>
                                <w:bottom w:val="none" w:sz="0" w:space="0" w:color="auto"/>
                                <w:right w:val="none" w:sz="0" w:space="0" w:color="auto"/>
                              </w:divBdr>
                            </w:div>
                            <w:div w:id="955715151">
                              <w:marLeft w:val="0"/>
                              <w:marRight w:val="0"/>
                              <w:marTop w:val="0"/>
                              <w:marBottom w:val="0"/>
                              <w:divBdr>
                                <w:top w:val="none" w:sz="0" w:space="0" w:color="auto"/>
                                <w:left w:val="none" w:sz="0" w:space="0" w:color="auto"/>
                                <w:bottom w:val="none" w:sz="0" w:space="0" w:color="auto"/>
                                <w:right w:val="none" w:sz="0" w:space="0" w:color="auto"/>
                              </w:divBdr>
                            </w:div>
                            <w:div w:id="1804540739">
                              <w:marLeft w:val="0"/>
                              <w:marRight w:val="0"/>
                              <w:marTop w:val="0"/>
                              <w:marBottom w:val="0"/>
                              <w:divBdr>
                                <w:top w:val="none" w:sz="0" w:space="0" w:color="auto"/>
                                <w:left w:val="none" w:sz="0" w:space="0" w:color="auto"/>
                                <w:bottom w:val="none" w:sz="0" w:space="0" w:color="auto"/>
                                <w:right w:val="none" w:sz="0" w:space="0" w:color="auto"/>
                              </w:divBdr>
                            </w:div>
                            <w:div w:id="1994330056">
                              <w:marLeft w:val="0"/>
                              <w:marRight w:val="0"/>
                              <w:marTop w:val="0"/>
                              <w:marBottom w:val="0"/>
                              <w:divBdr>
                                <w:top w:val="none" w:sz="0" w:space="0" w:color="auto"/>
                                <w:left w:val="none" w:sz="0" w:space="0" w:color="auto"/>
                                <w:bottom w:val="none" w:sz="0" w:space="0" w:color="auto"/>
                                <w:right w:val="none" w:sz="0" w:space="0" w:color="auto"/>
                              </w:divBdr>
                            </w:div>
                            <w:div w:id="2027559075">
                              <w:marLeft w:val="0"/>
                              <w:marRight w:val="0"/>
                              <w:marTop w:val="0"/>
                              <w:marBottom w:val="0"/>
                              <w:divBdr>
                                <w:top w:val="none" w:sz="0" w:space="0" w:color="auto"/>
                                <w:left w:val="none" w:sz="0" w:space="0" w:color="auto"/>
                                <w:bottom w:val="none" w:sz="0" w:space="0" w:color="auto"/>
                                <w:right w:val="none" w:sz="0" w:space="0" w:color="auto"/>
                              </w:divBdr>
                            </w:div>
                            <w:div w:id="815075263">
                              <w:marLeft w:val="0"/>
                              <w:marRight w:val="0"/>
                              <w:marTop w:val="0"/>
                              <w:marBottom w:val="0"/>
                              <w:divBdr>
                                <w:top w:val="none" w:sz="0" w:space="0" w:color="auto"/>
                                <w:left w:val="none" w:sz="0" w:space="0" w:color="auto"/>
                                <w:bottom w:val="none" w:sz="0" w:space="0" w:color="auto"/>
                                <w:right w:val="none" w:sz="0" w:space="0" w:color="auto"/>
                              </w:divBdr>
                            </w:div>
                            <w:div w:id="311249905">
                              <w:marLeft w:val="0"/>
                              <w:marRight w:val="0"/>
                              <w:marTop w:val="0"/>
                              <w:marBottom w:val="0"/>
                              <w:divBdr>
                                <w:top w:val="none" w:sz="0" w:space="0" w:color="auto"/>
                                <w:left w:val="none" w:sz="0" w:space="0" w:color="auto"/>
                                <w:bottom w:val="none" w:sz="0" w:space="0" w:color="auto"/>
                                <w:right w:val="none" w:sz="0" w:space="0" w:color="auto"/>
                              </w:divBdr>
                            </w:div>
                            <w:div w:id="20925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637474">
      <w:bodyDiv w:val="1"/>
      <w:marLeft w:val="0"/>
      <w:marRight w:val="0"/>
      <w:marTop w:val="0"/>
      <w:marBottom w:val="0"/>
      <w:divBdr>
        <w:top w:val="none" w:sz="0" w:space="0" w:color="auto"/>
        <w:left w:val="none" w:sz="0" w:space="0" w:color="auto"/>
        <w:bottom w:val="none" w:sz="0" w:space="0" w:color="auto"/>
        <w:right w:val="none" w:sz="0" w:space="0" w:color="auto"/>
      </w:divBdr>
    </w:div>
    <w:div w:id="2093164546">
      <w:bodyDiv w:val="1"/>
      <w:marLeft w:val="0"/>
      <w:marRight w:val="0"/>
      <w:marTop w:val="0"/>
      <w:marBottom w:val="0"/>
      <w:divBdr>
        <w:top w:val="none" w:sz="0" w:space="0" w:color="auto"/>
        <w:left w:val="none" w:sz="0" w:space="0" w:color="auto"/>
        <w:bottom w:val="none" w:sz="0" w:space="0" w:color="auto"/>
        <w:right w:val="none" w:sz="0" w:space="0" w:color="auto"/>
      </w:divBdr>
      <w:divsChild>
        <w:div w:id="536352596">
          <w:marLeft w:val="0"/>
          <w:marRight w:val="0"/>
          <w:marTop w:val="0"/>
          <w:marBottom w:val="0"/>
          <w:divBdr>
            <w:top w:val="none" w:sz="0" w:space="0" w:color="auto"/>
            <w:left w:val="none" w:sz="0" w:space="0" w:color="auto"/>
            <w:bottom w:val="none" w:sz="0" w:space="0" w:color="auto"/>
            <w:right w:val="none" w:sz="0" w:space="0" w:color="auto"/>
          </w:divBdr>
          <w:divsChild>
            <w:div w:id="1636793297">
              <w:marLeft w:val="0"/>
              <w:marRight w:val="0"/>
              <w:marTop w:val="0"/>
              <w:marBottom w:val="0"/>
              <w:divBdr>
                <w:top w:val="none" w:sz="0" w:space="0" w:color="auto"/>
                <w:left w:val="none" w:sz="0" w:space="0" w:color="auto"/>
                <w:bottom w:val="none" w:sz="0" w:space="0" w:color="auto"/>
                <w:right w:val="none" w:sz="0" w:space="0" w:color="auto"/>
              </w:divBdr>
              <w:divsChild>
                <w:div w:id="1554385963">
                  <w:marLeft w:val="0"/>
                  <w:marRight w:val="0"/>
                  <w:marTop w:val="0"/>
                  <w:marBottom w:val="0"/>
                  <w:divBdr>
                    <w:top w:val="none" w:sz="0" w:space="0" w:color="auto"/>
                    <w:left w:val="none" w:sz="0" w:space="0" w:color="auto"/>
                    <w:bottom w:val="none" w:sz="0" w:space="0" w:color="auto"/>
                    <w:right w:val="none" w:sz="0" w:space="0" w:color="auto"/>
                  </w:divBdr>
                  <w:divsChild>
                    <w:div w:id="725647098">
                      <w:marLeft w:val="0"/>
                      <w:marRight w:val="0"/>
                      <w:marTop w:val="0"/>
                      <w:marBottom w:val="0"/>
                      <w:divBdr>
                        <w:top w:val="single" w:sz="48" w:space="0" w:color="auto"/>
                        <w:left w:val="single" w:sz="48" w:space="0" w:color="auto"/>
                        <w:bottom w:val="single" w:sz="48" w:space="0" w:color="auto"/>
                        <w:right w:val="single" w:sz="48" w:space="0" w:color="auto"/>
                      </w:divBdr>
                      <w:divsChild>
                        <w:div w:id="1315642354">
                          <w:marLeft w:val="0"/>
                          <w:marRight w:val="0"/>
                          <w:marTop w:val="0"/>
                          <w:marBottom w:val="0"/>
                          <w:divBdr>
                            <w:top w:val="none" w:sz="0" w:space="0" w:color="auto"/>
                            <w:left w:val="none" w:sz="0" w:space="0" w:color="auto"/>
                            <w:bottom w:val="none" w:sz="0" w:space="0" w:color="auto"/>
                            <w:right w:val="none" w:sz="0" w:space="0" w:color="auto"/>
                          </w:divBdr>
                          <w:divsChild>
                            <w:div w:id="351106038">
                              <w:marLeft w:val="0"/>
                              <w:marRight w:val="0"/>
                              <w:marTop w:val="0"/>
                              <w:marBottom w:val="0"/>
                              <w:divBdr>
                                <w:top w:val="none" w:sz="0" w:space="0" w:color="auto"/>
                                <w:left w:val="none" w:sz="0" w:space="0" w:color="auto"/>
                                <w:bottom w:val="none" w:sz="0" w:space="0" w:color="auto"/>
                                <w:right w:val="none" w:sz="0" w:space="0" w:color="auto"/>
                              </w:divBdr>
                            </w:div>
                            <w:div w:id="1016614192">
                              <w:marLeft w:val="0"/>
                              <w:marRight w:val="0"/>
                              <w:marTop w:val="0"/>
                              <w:marBottom w:val="0"/>
                              <w:divBdr>
                                <w:top w:val="none" w:sz="0" w:space="0" w:color="auto"/>
                                <w:left w:val="none" w:sz="0" w:space="0" w:color="auto"/>
                                <w:bottom w:val="none" w:sz="0" w:space="0" w:color="auto"/>
                                <w:right w:val="none" w:sz="0" w:space="0" w:color="auto"/>
                              </w:divBdr>
                            </w:div>
                            <w:div w:id="1482038556">
                              <w:marLeft w:val="0"/>
                              <w:marRight w:val="0"/>
                              <w:marTop w:val="0"/>
                              <w:marBottom w:val="0"/>
                              <w:divBdr>
                                <w:top w:val="none" w:sz="0" w:space="0" w:color="auto"/>
                                <w:left w:val="none" w:sz="0" w:space="0" w:color="auto"/>
                                <w:bottom w:val="none" w:sz="0" w:space="0" w:color="auto"/>
                                <w:right w:val="none" w:sz="0" w:space="0" w:color="auto"/>
                              </w:divBdr>
                            </w:div>
                            <w:div w:id="1487747803">
                              <w:marLeft w:val="0"/>
                              <w:marRight w:val="0"/>
                              <w:marTop w:val="0"/>
                              <w:marBottom w:val="0"/>
                              <w:divBdr>
                                <w:top w:val="none" w:sz="0" w:space="0" w:color="auto"/>
                                <w:left w:val="none" w:sz="0" w:space="0" w:color="auto"/>
                                <w:bottom w:val="none" w:sz="0" w:space="0" w:color="auto"/>
                                <w:right w:val="none" w:sz="0" w:space="0" w:color="auto"/>
                              </w:divBdr>
                            </w:div>
                            <w:div w:id="20663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fr/citations?user=i1iN_L0AAAAJ&amp;hl=fr&amp;oi=s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proxy.bnl.lu/doi/full/10.1111/fima.12148" TargetMode="External"/><Relationship Id="rId5" Type="http://schemas.openxmlformats.org/officeDocument/2006/relationships/webSettings" Target="webSettings.xml"/><Relationship Id="rId10" Type="http://schemas.openxmlformats.org/officeDocument/2006/relationships/hyperlink" Target="https://scholar.google.fr/citations?user=i1iN_L0AAAAJ&amp;hl=fr&amp;oi=sra" TargetMode="External"/><Relationship Id="rId4" Type="http://schemas.openxmlformats.org/officeDocument/2006/relationships/settings" Target="settings.xml"/><Relationship Id="rId9" Type="http://schemas.openxmlformats.org/officeDocument/2006/relationships/hyperlink" Target="https://scholar.google.fr/citations?user=i1iN_L0AAAAJ&amp;hl=fr&amp;oi=sr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nlinelibrary.wiley.com/doi/full/10.1111/1911-3846.12002" TargetMode="External"/><Relationship Id="rId2" Type="http://schemas.openxmlformats.org/officeDocument/2006/relationships/hyperlink" Target="https://onlinelibrary-wiley-com.proxy.bnl.lu/doi/full/10.1111/j.1475-679X.2011.00422.x" TargetMode="External"/><Relationship Id="rId1" Type="http://schemas.openxmlformats.org/officeDocument/2006/relationships/hyperlink" Target="https://onlinelibrary-wiley-com.proxy.bnl.lu/doi/full/10.1111/j.1475-679X.2011.00422.x" TargetMode="External"/><Relationship Id="rId4" Type="http://schemas.openxmlformats.org/officeDocument/2006/relationships/hyperlink" Target="https://onlinelibrary-wiley-com.proxy.bnl.lu/doi/full/10.1111/fima.12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D9F3-95F8-4102-96E5-778B6667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13885</Words>
  <Characters>79150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92850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WEBER</dc:creator>
  <cp:lastModifiedBy>Imen DEROUICHE</cp:lastModifiedBy>
  <cp:revision>2</cp:revision>
  <cp:lastPrinted>2019-02-19T16:40:00Z</cp:lastPrinted>
  <dcterms:created xsi:type="dcterms:W3CDTF">2021-01-28T10:19:00Z</dcterms:created>
  <dcterms:modified xsi:type="dcterms:W3CDTF">2021-01-28T10:19:00Z</dcterms:modified>
</cp:coreProperties>
</file>