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B5A7C" w14:textId="02FE15E9" w:rsidR="00A00D12" w:rsidRDefault="00DC37C3">
      <w:r>
        <w:rPr>
          <w:rFonts w:ascii="Verdana" w:hAnsi="Verdana" w:cs="Arial"/>
          <w:color w:val="2E2E2E"/>
          <w:lang w:val="en"/>
        </w:rPr>
        <w:fldChar w:fldCharType="begin"/>
      </w:r>
      <w:r>
        <w:rPr>
          <w:rFonts w:ascii="Verdana" w:hAnsi="Verdana" w:cs="Arial"/>
          <w:color w:val="2E2E2E"/>
          <w:lang w:val="en"/>
        </w:rPr>
        <w:instrText xml:space="preserve"> HYPERLINK "https://www.zew.de/en/team/khu/?cHash=35f90bb5272190e2159fa5e7c26ab874" \o "show detail view for Katrin Hussinger" </w:instrText>
      </w:r>
      <w:r>
        <w:rPr>
          <w:rFonts w:ascii="Verdana" w:hAnsi="Verdana" w:cs="Arial"/>
          <w:color w:val="2E2E2E"/>
          <w:lang w:val="en"/>
        </w:rPr>
        <w:fldChar w:fldCharType="separate"/>
      </w:r>
      <w:proofErr w:type="spellStart"/>
      <w:r>
        <w:rPr>
          <w:rStyle w:val="Hyperlink"/>
          <w:rFonts w:ascii="Verdana" w:hAnsi="Verdana" w:cs="Arial"/>
          <w:lang w:val="en"/>
        </w:rPr>
        <w:t>Hussinger</w:t>
      </w:r>
      <w:proofErr w:type="spellEnd"/>
      <w:r>
        <w:rPr>
          <w:rStyle w:val="Hyperlink"/>
          <w:rFonts w:ascii="Verdana" w:hAnsi="Verdana" w:cs="Arial"/>
          <w:lang w:val="en"/>
        </w:rPr>
        <w:t xml:space="preserve">, Katrin </w:t>
      </w:r>
      <w:r>
        <w:rPr>
          <w:rFonts w:ascii="Verdana" w:hAnsi="Verdana" w:cs="Arial"/>
          <w:color w:val="2E2E2E"/>
          <w:lang w:val="en"/>
        </w:rPr>
        <w:fldChar w:fldCharType="end"/>
      </w:r>
      <w:r>
        <w:rPr>
          <w:rFonts w:ascii="Verdana" w:hAnsi="Verdana" w:cs="Arial"/>
          <w:color w:val="2E2E2E"/>
          <w:lang w:val="en"/>
        </w:rPr>
        <w:t xml:space="preserve">and Abdul-Basit </w:t>
      </w:r>
      <w:proofErr w:type="spellStart"/>
      <w:r>
        <w:rPr>
          <w:rFonts w:ascii="Verdana" w:hAnsi="Verdana" w:cs="Arial"/>
          <w:color w:val="2E2E2E"/>
          <w:lang w:val="en"/>
        </w:rPr>
        <w:t>Issah</w:t>
      </w:r>
      <w:proofErr w:type="spellEnd"/>
      <w:r>
        <w:rPr>
          <w:rFonts w:ascii="Verdana" w:hAnsi="Verdana" w:cs="Arial"/>
          <w:color w:val="2E2E2E"/>
          <w:lang w:val="en"/>
        </w:rPr>
        <w:t xml:space="preserve"> (2019), </w:t>
      </w:r>
      <w:hyperlink r:id="rId4" w:history="1">
        <w:r>
          <w:rPr>
            <w:rStyle w:val="Hyperlink"/>
            <w:rFonts w:ascii="Verdana" w:hAnsi="Verdana" w:cs="Arial"/>
            <w:lang w:val="en"/>
          </w:rPr>
          <w:t>Firm Acquisitions by Family Firms: A Mixed Gamble Approach</w:t>
        </w:r>
      </w:hyperlink>
      <w:r>
        <w:rPr>
          <w:rFonts w:ascii="Verdana" w:hAnsi="Verdana" w:cs="Arial"/>
          <w:color w:val="2E2E2E"/>
          <w:lang w:val="en"/>
        </w:rPr>
        <w:t xml:space="preserve">, </w:t>
      </w:r>
      <w:r>
        <w:rPr>
          <w:rFonts w:ascii="Verdana" w:hAnsi="Verdana" w:cs="Arial"/>
          <w:i/>
          <w:iCs/>
          <w:color w:val="2E2E2E"/>
          <w:lang w:val="en"/>
        </w:rPr>
        <w:t>Family Business Review 32 (4)</w:t>
      </w:r>
      <w:r>
        <w:rPr>
          <w:rFonts w:ascii="Verdana" w:hAnsi="Verdana" w:cs="Arial"/>
          <w:color w:val="2E2E2E"/>
          <w:lang w:val="en"/>
        </w:rPr>
        <w:t>, 354-377</w:t>
      </w:r>
      <w:bookmarkStart w:id="0" w:name="_GoBack"/>
      <w:bookmarkEnd w:id="0"/>
    </w:p>
    <w:sectPr w:rsidR="00A0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C3"/>
    <w:rsid w:val="00174DA5"/>
    <w:rsid w:val="00405773"/>
    <w:rsid w:val="00C70C28"/>
    <w:rsid w:val="00D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FEFC"/>
  <w15:chartTrackingRefBased/>
  <w15:docId w15:val="{90A6B488-69E2-423A-9BF1-D1BCF4B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7C3"/>
    <w:rPr>
      <w:strike w:val="0"/>
      <w:dstrike w:val="0"/>
      <w:color w:val="0069B4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ew.de/en/publikationen/firm-acquisitions-by-family-firms-a-mixed-gamble-approach/?cHash=6919a9c96e93841ec11f948ab20978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2020-01-27T14:05:00Z</dcterms:created>
  <dcterms:modified xsi:type="dcterms:W3CDTF">2020-01-27T14:06:00Z</dcterms:modified>
</cp:coreProperties>
</file>