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1A3" w:rsidRPr="00F11A0B" w:rsidRDefault="007251A3" w:rsidP="007251A3">
      <w:pPr>
        <w:pStyle w:val="Titre1avecsous-titre"/>
        <w:rPr>
          <w:color w:val="auto"/>
        </w:rPr>
      </w:pPr>
      <w:r w:rsidRPr="00F11A0B">
        <w:rPr>
          <w:color w:val="auto"/>
        </w:rPr>
        <w:t xml:space="preserve">  Nathalie ROELENS &amp; Christabel MARRAMA</w:t>
      </w:r>
    </w:p>
    <w:p w:rsidR="007251A3" w:rsidRPr="00F11A0B" w:rsidRDefault="007251A3" w:rsidP="007251A3">
      <w:pPr>
        <w:pStyle w:val="Titre1avecsous-titre"/>
        <w:rPr>
          <w:color w:val="auto"/>
        </w:rPr>
      </w:pPr>
      <w:r w:rsidRPr="00F11A0B">
        <w:rPr>
          <w:color w:val="auto"/>
        </w:rPr>
        <w:t>Le sens de la lecture</w:t>
      </w:r>
    </w:p>
    <w:p w:rsidR="007251A3" w:rsidRPr="00F11A0B" w:rsidRDefault="007251A3" w:rsidP="007251A3">
      <w:pPr>
        <w:spacing w:line="360" w:lineRule="auto"/>
        <w:rPr>
          <w:szCs w:val="21"/>
          <w:lang w:val="fr-BE"/>
        </w:rPr>
      </w:pPr>
    </w:p>
    <w:p w:rsidR="007251A3" w:rsidRPr="00F11A0B" w:rsidRDefault="007251A3" w:rsidP="007251A3">
      <w:pPr>
        <w:spacing w:line="360" w:lineRule="auto"/>
        <w:rPr>
          <w:szCs w:val="21"/>
          <w:lang w:val="fr-BE"/>
        </w:rPr>
      </w:pPr>
    </w:p>
    <w:p w:rsidR="007251A3" w:rsidRPr="00F11A0B" w:rsidRDefault="007251A3" w:rsidP="007251A3">
      <w:pPr>
        <w:rPr>
          <w:lang w:val="fr-BE"/>
        </w:rPr>
      </w:pPr>
      <w:r w:rsidRPr="00F11A0B">
        <w:rPr>
          <w:lang w:val="fr-BE"/>
        </w:rPr>
        <w:t>Dans les pages qui suivent nous voulons jauger l’hypothèse selon laquelle la lecture erratique</w:t>
      </w:r>
      <w:r>
        <w:rPr>
          <w:lang w:val="fr-BE"/>
        </w:rPr>
        <w:t>,</w:t>
      </w:r>
      <w:r w:rsidRPr="00F11A0B">
        <w:rPr>
          <w:lang w:val="fr-BE"/>
        </w:rPr>
        <w:t xml:space="preserve"> voire psychotique, n’est pas une déviance lectorale mais la norme de toute lecture. Le « sens » de la lecture, dans sa </w:t>
      </w:r>
      <w:r>
        <w:rPr>
          <w:lang w:val="fr-BE"/>
        </w:rPr>
        <w:t xml:space="preserve">triple acception d’orientation, </w:t>
      </w:r>
      <w:r w:rsidRPr="00F11A0B">
        <w:rPr>
          <w:lang w:val="fr-BE"/>
        </w:rPr>
        <w:t>de système de signification</w:t>
      </w:r>
      <w:r>
        <w:rPr>
          <w:lang w:val="fr-BE"/>
        </w:rPr>
        <w:t xml:space="preserve"> et de sensorialité</w:t>
      </w:r>
      <w:r w:rsidRPr="00F11A0B">
        <w:rPr>
          <w:lang w:val="fr-BE"/>
        </w:rPr>
        <w:t>, s’avère tributaire d’une praxis idiolectale proche de l’hallucination, de l’extase, o</w:t>
      </w:r>
      <w:r w:rsidR="002F4229">
        <w:rPr>
          <w:lang w:val="fr-BE"/>
        </w:rPr>
        <w:t xml:space="preserve">u encore de la tricherie ludique, ce qui nous amènera à </w:t>
      </w:r>
      <w:r w:rsidRPr="00F11A0B">
        <w:rPr>
          <w:lang w:val="fr-BE"/>
        </w:rPr>
        <w:t>proposer une nouvelle posture par rapport aux in</w:t>
      </w:r>
      <w:r>
        <w:rPr>
          <w:lang w:val="fr-BE"/>
        </w:rPr>
        <w:t xml:space="preserve">stances lectrices de </w:t>
      </w:r>
      <w:r w:rsidR="00DC1493">
        <w:rPr>
          <w:lang w:val="fr-BE"/>
        </w:rPr>
        <w:t xml:space="preserve">Michel </w:t>
      </w:r>
      <w:r>
        <w:rPr>
          <w:lang w:val="fr-BE"/>
        </w:rPr>
        <w:t>Picard</w:t>
      </w:r>
      <w:r w:rsidRPr="00F11A0B">
        <w:rPr>
          <w:lang w:val="fr-BE"/>
        </w:rPr>
        <w:t xml:space="preserve">, à savoir le </w:t>
      </w:r>
      <w:proofErr w:type="spellStart"/>
      <w:r w:rsidRPr="00F11A0B">
        <w:rPr>
          <w:i/>
          <w:lang w:val="fr-BE"/>
        </w:rPr>
        <w:t>dé-lectant</w:t>
      </w:r>
      <w:proofErr w:type="spellEnd"/>
      <w:r w:rsidRPr="00F11A0B">
        <w:rPr>
          <w:lang w:val="fr-BE"/>
        </w:rPr>
        <w:t xml:space="preserve">, qui pourrait servir de modèle dans un monde où la désaffection de la lecture guette. Ce n’est qu’en réinstaurant, non pas le sens, mais les </w:t>
      </w:r>
      <w:r w:rsidRPr="00F11A0B">
        <w:rPr>
          <w:i/>
          <w:lang w:val="fr-BE"/>
        </w:rPr>
        <w:t>sens</w:t>
      </w:r>
      <w:r>
        <w:rPr>
          <w:lang w:val="fr-BE"/>
        </w:rPr>
        <w:t xml:space="preserve"> </w:t>
      </w:r>
      <w:r w:rsidRPr="00F11A0B">
        <w:rPr>
          <w:lang w:val="fr-BE"/>
        </w:rPr>
        <w:t xml:space="preserve">dans la pratique lectorale que le corps à corps avec l’illisible redevient un réel plaisir, une </w:t>
      </w:r>
      <w:r w:rsidRPr="00F11A0B">
        <w:rPr>
          <w:i/>
          <w:lang w:val="fr-BE"/>
        </w:rPr>
        <w:t>délectation</w:t>
      </w:r>
      <w:r w:rsidRPr="00F11A0B">
        <w:rPr>
          <w:lang w:val="fr-BE"/>
        </w:rPr>
        <w:t>. Celle-ci n’est pas pour auta</w:t>
      </w:r>
      <w:r>
        <w:rPr>
          <w:lang w:val="fr-BE"/>
        </w:rPr>
        <w:t>nt un blanc-seing à l’empire de l’émoi et du subjectif.</w:t>
      </w:r>
    </w:p>
    <w:p w:rsidR="007251A3" w:rsidRPr="00F11A0B" w:rsidRDefault="007251A3" w:rsidP="007251A3">
      <w:pPr>
        <w:spacing w:line="360" w:lineRule="auto"/>
        <w:rPr>
          <w:rFonts w:ascii="Arial" w:hAnsi="Arial" w:cs="Arial"/>
          <w:b/>
          <w:szCs w:val="21"/>
          <w:lang w:val="fr-BE"/>
        </w:rPr>
      </w:pPr>
    </w:p>
    <w:p w:rsidR="007251A3" w:rsidRPr="00F11A0B" w:rsidRDefault="007251A3" w:rsidP="007251A3">
      <w:pPr>
        <w:pStyle w:val="Heading1"/>
        <w:rPr>
          <w:lang w:val="fr-BE"/>
        </w:rPr>
      </w:pPr>
      <w:r w:rsidRPr="00F11A0B">
        <w:rPr>
          <w:lang w:val="fr-BE"/>
        </w:rPr>
        <w:t>Le postulat de l’illisible</w:t>
      </w:r>
    </w:p>
    <w:p w:rsidR="007251A3" w:rsidRPr="00F11A0B" w:rsidRDefault="007251A3" w:rsidP="007251A3">
      <w:pPr>
        <w:spacing w:line="360" w:lineRule="auto"/>
        <w:rPr>
          <w:b/>
          <w:bCs/>
          <w:szCs w:val="21"/>
          <w:lang w:val="fr-BE"/>
        </w:rPr>
      </w:pPr>
    </w:p>
    <w:p w:rsidR="007251A3" w:rsidRPr="00F11A0B" w:rsidRDefault="007251A3" w:rsidP="007251A3">
      <w:r w:rsidRPr="00F11A0B">
        <w:rPr>
          <w:lang w:val="fr-BE"/>
        </w:rPr>
        <w:t xml:space="preserve">Que l’illisible soit inhérent au lisible, nul ne nous contredira. Il faut toutefois distinguer entre un illisible-Babel comme écueil au déchiffrement dû à un certain </w:t>
      </w:r>
      <w:r>
        <w:rPr>
          <w:lang w:val="fr-BE"/>
        </w:rPr>
        <w:t xml:space="preserve">hermétisme langagier </w:t>
      </w:r>
      <w:r w:rsidRPr="00F11A0B">
        <w:rPr>
          <w:lang w:val="fr-BE"/>
        </w:rPr>
        <w:t xml:space="preserve">et un illisible-Paraclet qui ne nécessite guère de lecture comme dans </w:t>
      </w:r>
      <w:r w:rsidRPr="00F11A0B">
        <w:t>le miracle des glossolalies à la Pentecôte.</w:t>
      </w:r>
    </w:p>
    <w:p w:rsidR="00CA3A24" w:rsidRDefault="007251A3" w:rsidP="007251A3">
      <w:pPr>
        <w:rPr>
          <w:bCs/>
          <w:lang w:val="fr-BE"/>
        </w:rPr>
      </w:pPr>
      <w:proofErr w:type="spellStart"/>
      <w:r w:rsidRPr="00F11A0B">
        <w:rPr>
          <w:lang w:val="en-US"/>
        </w:rPr>
        <w:t>L’incipit</w:t>
      </w:r>
      <w:proofErr w:type="spellEnd"/>
      <w:r w:rsidRPr="00F11A0B">
        <w:rPr>
          <w:lang w:val="en-US"/>
        </w:rPr>
        <w:t xml:space="preserve"> </w:t>
      </w:r>
      <w:proofErr w:type="spellStart"/>
      <w:r w:rsidRPr="00F11A0B">
        <w:rPr>
          <w:lang w:val="en-US"/>
        </w:rPr>
        <w:t>babélien</w:t>
      </w:r>
      <w:proofErr w:type="spellEnd"/>
      <w:r w:rsidRPr="00F11A0B">
        <w:rPr>
          <w:lang w:val="en-US"/>
        </w:rPr>
        <w:t xml:space="preserve"> du </w:t>
      </w:r>
      <w:proofErr w:type="spellStart"/>
      <w:r w:rsidRPr="00F11A0B">
        <w:rPr>
          <w:lang w:val="en-US"/>
        </w:rPr>
        <w:t>chapitre</w:t>
      </w:r>
      <w:proofErr w:type="spellEnd"/>
      <w:r w:rsidRPr="00F11A0B">
        <w:rPr>
          <w:lang w:val="en-US"/>
        </w:rPr>
        <w:t xml:space="preserve"> I.5 du </w:t>
      </w:r>
      <w:proofErr w:type="spellStart"/>
      <w:r w:rsidRPr="00F11A0B">
        <w:rPr>
          <w:iCs/>
          <w:lang w:val="en-US"/>
        </w:rPr>
        <w:t>Finnegans</w:t>
      </w:r>
      <w:proofErr w:type="spellEnd"/>
      <w:r w:rsidRPr="00F11A0B">
        <w:rPr>
          <w:iCs/>
          <w:lang w:val="en-US"/>
        </w:rPr>
        <w:t xml:space="preserve"> Wake </w:t>
      </w:r>
      <w:r w:rsidRPr="00F11A0B">
        <w:rPr>
          <w:lang w:val="en-US"/>
        </w:rPr>
        <w:t xml:space="preserve">de James Joyce (1939), </w:t>
      </w:r>
      <w:r w:rsidRPr="0035285D">
        <w:rPr>
          <w:lang w:val="en-US"/>
        </w:rPr>
        <w:t xml:space="preserve">« In the name of </w:t>
      </w:r>
      <w:proofErr w:type="spellStart"/>
      <w:r w:rsidRPr="0035285D">
        <w:rPr>
          <w:lang w:val="en-US"/>
        </w:rPr>
        <w:t>Annah</w:t>
      </w:r>
      <w:proofErr w:type="spellEnd"/>
      <w:r w:rsidRPr="0035285D">
        <w:rPr>
          <w:lang w:val="en-US"/>
        </w:rPr>
        <w:t xml:space="preserve"> the </w:t>
      </w:r>
      <w:proofErr w:type="spellStart"/>
      <w:r w:rsidRPr="0035285D">
        <w:rPr>
          <w:lang w:val="en-US"/>
        </w:rPr>
        <w:t>Allmaziful</w:t>
      </w:r>
      <w:proofErr w:type="spellEnd"/>
      <w:r w:rsidRPr="0035285D">
        <w:rPr>
          <w:lang w:val="en-US"/>
        </w:rPr>
        <w:t xml:space="preserve">, the </w:t>
      </w:r>
      <w:proofErr w:type="spellStart"/>
      <w:r w:rsidRPr="0035285D">
        <w:rPr>
          <w:lang w:val="en-US"/>
        </w:rPr>
        <w:t>Everliving</w:t>
      </w:r>
      <w:proofErr w:type="spellEnd"/>
      <w:r w:rsidRPr="0035285D">
        <w:rPr>
          <w:lang w:val="en-US"/>
        </w:rPr>
        <w:t xml:space="preserve">, the Bringer of </w:t>
      </w:r>
      <w:proofErr w:type="spellStart"/>
      <w:r w:rsidRPr="0035285D">
        <w:rPr>
          <w:lang w:val="en-US"/>
        </w:rPr>
        <w:t>Plurabilities</w:t>
      </w:r>
      <w:proofErr w:type="spellEnd"/>
      <w:r w:rsidRPr="0035285D">
        <w:rPr>
          <w:lang w:val="en-US"/>
        </w:rPr>
        <w:t xml:space="preserve">, haloed be her eve, her </w:t>
      </w:r>
      <w:proofErr w:type="spellStart"/>
      <w:r w:rsidRPr="0035285D">
        <w:rPr>
          <w:lang w:val="en-US"/>
        </w:rPr>
        <w:t>singtime</w:t>
      </w:r>
      <w:proofErr w:type="spellEnd"/>
      <w:r w:rsidRPr="0035285D">
        <w:rPr>
          <w:lang w:val="en-US"/>
        </w:rPr>
        <w:t xml:space="preserve"> sung, her rill be run, unhemmed as it is uneven! »</w:t>
      </w:r>
      <w:r w:rsidRPr="0035285D">
        <w:rPr>
          <w:rStyle w:val="FootnoteReference"/>
          <w:szCs w:val="21"/>
          <w:lang w:val="en-US"/>
        </w:rPr>
        <w:footnoteReference w:id="1"/>
      </w:r>
      <w:r w:rsidRPr="0035285D">
        <w:rPr>
          <w:lang w:val="en-US"/>
        </w:rPr>
        <w:t xml:space="preserve">, </w:t>
      </w:r>
      <w:proofErr w:type="spellStart"/>
      <w:r w:rsidRPr="0035285D">
        <w:rPr>
          <w:lang w:val="en-US"/>
        </w:rPr>
        <w:t>suscite</w:t>
      </w:r>
      <w:proofErr w:type="spellEnd"/>
      <w:r w:rsidRPr="0035285D">
        <w:rPr>
          <w:lang w:val="en-US"/>
        </w:rPr>
        <w:t xml:space="preserve"> certes </w:t>
      </w:r>
      <w:proofErr w:type="spellStart"/>
      <w:r w:rsidRPr="0035285D">
        <w:rPr>
          <w:lang w:val="en-US"/>
        </w:rPr>
        <w:t>notre</w:t>
      </w:r>
      <w:proofErr w:type="spellEnd"/>
      <w:r w:rsidRPr="0035285D">
        <w:rPr>
          <w:lang w:val="en-US"/>
        </w:rPr>
        <w:t xml:space="preserve"> </w:t>
      </w:r>
      <w:proofErr w:type="spellStart"/>
      <w:r w:rsidRPr="0035285D">
        <w:rPr>
          <w:lang w:val="en-US"/>
        </w:rPr>
        <w:t>désir</w:t>
      </w:r>
      <w:proofErr w:type="spellEnd"/>
      <w:r w:rsidRPr="0035285D">
        <w:rPr>
          <w:lang w:val="en-US"/>
        </w:rPr>
        <w:t xml:space="preserve"> de </w:t>
      </w:r>
      <w:proofErr w:type="spellStart"/>
      <w:r w:rsidRPr="0035285D">
        <w:rPr>
          <w:lang w:val="en-US"/>
        </w:rPr>
        <w:t>décryptage</w:t>
      </w:r>
      <w:proofErr w:type="spellEnd"/>
      <w:r w:rsidRPr="0035285D">
        <w:rPr>
          <w:lang w:val="en-US"/>
        </w:rPr>
        <w:t xml:space="preserve"> et nous </w:t>
      </w:r>
      <w:proofErr w:type="spellStart"/>
      <w:r w:rsidRPr="0035285D">
        <w:rPr>
          <w:lang w:val="en-US"/>
        </w:rPr>
        <w:t>exultons</w:t>
      </w:r>
      <w:proofErr w:type="spellEnd"/>
      <w:r w:rsidRPr="0035285D">
        <w:rPr>
          <w:lang w:val="en-US"/>
        </w:rPr>
        <w:t xml:space="preserve"> à </w:t>
      </w:r>
      <w:proofErr w:type="spellStart"/>
      <w:r w:rsidRPr="0035285D">
        <w:rPr>
          <w:lang w:val="en-US"/>
        </w:rPr>
        <w:t>déceler</w:t>
      </w:r>
      <w:proofErr w:type="spellEnd"/>
      <w:r w:rsidRPr="0035285D">
        <w:rPr>
          <w:lang w:val="en-US"/>
        </w:rPr>
        <w:t xml:space="preserve"> le nom d’un des </w:t>
      </w:r>
      <w:proofErr w:type="spellStart"/>
      <w:r w:rsidRPr="0035285D">
        <w:rPr>
          <w:lang w:val="en-US"/>
        </w:rPr>
        <w:t>personnages</w:t>
      </w:r>
      <w:proofErr w:type="spellEnd"/>
      <w:r w:rsidRPr="0035285D">
        <w:rPr>
          <w:lang w:val="en-US"/>
        </w:rPr>
        <w:t> </w:t>
      </w:r>
      <w:proofErr w:type="spellStart"/>
      <w:r w:rsidRPr="0035285D">
        <w:rPr>
          <w:lang w:val="en-US"/>
        </w:rPr>
        <w:t>disséminé</w:t>
      </w:r>
      <w:proofErr w:type="spellEnd"/>
      <w:r w:rsidRPr="0035285D">
        <w:rPr>
          <w:lang w:val="en-US"/>
        </w:rPr>
        <w:t xml:space="preserve"> </w:t>
      </w:r>
      <w:proofErr w:type="spellStart"/>
      <w:r w:rsidRPr="0035285D">
        <w:rPr>
          <w:lang w:val="en-US"/>
        </w:rPr>
        <w:t>dans</w:t>
      </w:r>
      <w:proofErr w:type="spellEnd"/>
      <w:r w:rsidRPr="0035285D">
        <w:rPr>
          <w:lang w:val="en-US"/>
        </w:rPr>
        <w:t xml:space="preserve"> la phrase, à savoir </w:t>
      </w:r>
      <w:r w:rsidRPr="0035285D">
        <w:rPr>
          <w:bCs/>
          <w:lang w:val="en-US"/>
        </w:rPr>
        <w:t xml:space="preserve">Anna Livia </w:t>
      </w:r>
      <w:proofErr w:type="spellStart"/>
      <w:r w:rsidRPr="0035285D">
        <w:rPr>
          <w:bCs/>
          <w:lang w:val="en-US"/>
        </w:rPr>
        <w:t>Plurabelle</w:t>
      </w:r>
      <w:proofErr w:type="spellEnd"/>
      <w:r w:rsidRPr="0035285D">
        <w:rPr>
          <w:lang w:val="en-US"/>
        </w:rPr>
        <w:t xml:space="preserve">, </w:t>
      </w:r>
      <w:proofErr w:type="spellStart"/>
      <w:r w:rsidRPr="0035285D">
        <w:rPr>
          <w:lang w:val="en-US"/>
        </w:rPr>
        <w:t>ou</w:t>
      </w:r>
      <w:proofErr w:type="spellEnd"/>
      <w:r w:rsidRPr="0035285D">
        <w:rPr>
          <w:lang w:val="en-US"/>
        </w:rPr>
        <w:t xml:space="preserve"> encore, un </w:t>
      </w:r>
      <w:proofErr w:type="spellStart"/>
      <w:r w:rsidRPr="0035285D">
        <w:rPr>
          <w:lang w:val="en-US"/>
        </w:rPr>
        <w:t>écho</w:t>
      </w:r>
      <w:proofErr w:type="spellEnd"/>
      <w:r w:rsidRPr="0035285D">
        <w:rPr>
          <w:lang w:val="en-US"/>
        </w:rPr>
        <w:t xml:space="preserve"> du </w:t>
      </w:r>
      <w:r w:rsidRPr="0035285D">
        <w:rPr>
          <w:bCs/>
          <w:lang w:val="en-US"/>
        </w:rPr>
        <w:t xml:space="preserve">Notre </w:t>
      </w:r>
      <w:proofErr w:type="spellStart"/>
      <w:r w:rsidRPr="0035285D">
        <w:rPr>
          <w:bCs/>
          <w:lang w:val="en-US"/>
        </w:rPr>
        <w:t>père</w:t>
      </w:r>
      <w:proofErr w:type="spellEnd"/>
      <w:r w:rsidRPr="0035285D">
        <w:rPr>
          <w:bCs/>
          <w:lang w:val="en-US"/>
        </w:rPr>
        <w:t> (</w:t>
      </w:r>
      <w:r w:rsidRPr="0035285D">
        <w:rPr>
          <w:lang w:val="en-US"/>
        </w:rPr>
        <w:t xml:space="preserve">« </w:t>
      </w:r>
      <w:r w:rsidRPr="0035285D">
        <w:rPr>
          <w:bCs/>
          <w:lang w:val="en-US"/>
        </w:rPr>
        <w:t xml:space="preserve">Our Father, who art in heaven,/ hallowed be thy Name,/ thy kingdom come,/ thy will be done,/ on earth as it is in heaven </w:t>
      </w:r>
      <w:r w:rsidRPr="0035285D">
        <w:rPr>
          <w:lang w:val="en-US"/>
        </w:rPr>
        <w:t>»</w:t>
      </w:r>
      <w:r w:rsidRPr="0035285D">
        <w:rPr>
          <w:bCs/>
          <w:lang w:val="en-US"/>
        </w:rPr>
        <w:t xml:space="preserve">). </w:t>
      </w:r>
      <w:r w:rsidRPr="0035285D">
        <w:rPr>
          <w:bCs/>
        </w:rPr>
        <w:t>Or nous d</w:t>
      </w:r>
      <w:r w:rsidRPr="00F11A0B">
        <w:rPr>
          <w:bCs/>
        </w:rPr>
        <w:t>evons bien vite déchanter. Le texte résiste et laisse en effet</w:t>
      </w:r>
      <w:r w:rsidR="00CA3A24">
        <w:rPr>
          <w:bCs/>
        </w:rPr>
        <w:t>,</w:t>
      </w:r>
      <w:r w:rsidRPr="00F11A0B">
        <w:rPr>
          <w:bCs/>
          <w:lang w:val="fr-BE"/>
        </w:rPr>
        <w:t xml:space="preserve"> </w:t>
      </w:r>
      <w:r w:rsidR="00CA3A24" w:rsidRPr="00F11A0B">
        <w:t xml:space="preserve">à en croire </w:t>
      </w:r>
      <w:r w:rsidR="00CA3A24" w:rsidRPr="00F11A0B">
        <w:rPr>
          <w:bCs/>
          <w:lang w:val="fr-BE"/>
        </w:rPr>
        <w:t xml:space="preserve">Jacques Derrida dans </w:t>
      </w:r>
      <w:r w:rsidR="00CA3A24" w:rsidRPr="00CA3A24">
        <w:rPr>
          <w:bCs/>
          <w:i/>
          <w:lang w:val="fr-BE"/>
        </w:rPr>
        <w:t xml:space="preserve">Ulysse </w:t>
      </w:r>
      <w:proofErr w:type="spellStart"/>
      <w:r w:rsidR="00CA3A24" w:rsidRPr="00CA3A24">
        <w:rPr>
          <w:bCs/>
          <w:i/>
          <w:lang w:val="fr-BE"/>
        </w:rPr>
        <w:t>grammophone</w:t>
      </w:r>
      <w:proofErr w:type="spellEnd"/>
      <w:r w:rsidR="00CA3A24" w:rsidRPr="00CA3A24">
        <w:rPr>
          <w:bCs/>
          <w:lang w:val="fr-BE"/>
        </w:rPr>
        <w:t>,</w:t>
      </w:r>
      <w:r w:rsidR="00CA3A24" w:rsidRPr="00F11A0B">
        <w:rPr>
          <w:bCs/>
          <w:lang w:val="fr-BE"/>
        </w:rPr>
        <w:t xml:space="preserve"> </w:t>
      </w:r>
      <w:r w:rsidRPr="00F11A0B">
        <w:rPr>
          <w:bCs/>
          <w:lang w:val="fr-BE"/>
        </w:rPr>
        <w:t>le lecteur « </w:t>
      </w:r>
      <w:r w:rsidRPr="00F11A0B">
        <w:t>marqué, endetté, d</w:t>
      </w:r>
      <w:r>
        <w:t>ébordé, et aussi transformé, qu’</w:t>
      </w:r>
      <w:r w:rsidRPr="00F11A0B">
        <w:t>il réussisse ou non à lire »</w:t>
      </w:r>
      <w:r w:rsidRPr="00F11A0B">
        <w:rPr>
          <w:rStyle w:val="FootnoteReference"/>
          <w:bCs/>
          <w:szCs w:val="21"/>
          <w:lang w:val="fr-BE"/>
        </w:rPr>
        <w:footnoteReference w:id="2"/>
      </w:r>
      <w:r w:rsidRPr="00F11A0B">
        <w:rPr>
          <w:bCs/>
          <w:lang w:val="fr-BE"/>
        </w:rPr>
        <w:t xml:space="preserve">. </w:t>
      </w:r>
    </w:p>
    <w:p w:rsidR="007251A3" w:rsidRPr="00F11A0B" w:rsidRDefault="007251A3" w:rsidP="007251A3">
      <w:r w:rsidRPr="00F11A0B">
        <w:t>Le deuxième r</w:t>
      </w:r>
      <w:r w:rsidR="00652146">
        <w:t xml:space="preserve">égime d’illisibilité </w:t>
      </w:r>
      <w:r w:rsidRPr="00F11A0B">
        <w:t>concerne des écritures qui n’ont pas vocation à être lues dès lors que l’adhésion à la parole écrite est déjà acquise</w:t>
      </w:r>
      <w:r w:rsidR="00652146">
        <w:t>, à l’instar du Paraclet</w:t>
      </w:r>
      <w:r w:rsidRPr="00F11A0B">
        <w:t xml:space="preserve">. C’est le cas des </w:t>
      </w:r>
      <w:r w:rsidRPr="00F11A0B">
        <w:rPr>
          <w:shd w:val="clear" w:color="auto" w:fill="FFFFFF"/>
        </w:rPr>
        <w:t>phylactères de l’</w:t>
      </w:r>
      <w:hyperlink r:id="rId8" w:tooltip="Art chrétien" w:history="1">
        <w:r w:rsidRPr="00ED5030">
          <w:rPr>
            <w:rStyle w:val="Hyperlink"/>
            <w:rFonts w:eastAsiaTheme="majorEastAsia"/>
            <w:color w:val="auto"/>
            <w:szCs w:val="21"/>
            <w:u w:val="none"/>
            <w:shd w:val="clear" w:color="auto" w:fill="FFFFFF"/>
          </w:rPr>
          <w:t>art chrétien</w:t>
        </w:r>
      </w:hyperlink>
      <w:r w:rsidRPr="00ED5030">
        <w:rPr>
          <w:shd w:val="clear" w:color="auto" w:fill="FFFFFF"/>
        </w:rPr>
        <w:t> </w:t>
      </w:r>
      <w:r w:rsidRPr="00F11A0B">
        <w:rPr>
          <w:shd w:val="clear" w:color="auto" w:fill="FFFFFF"/>
        </w:rPr>
        <w:t xml:space="preserve">à partir de l’époque </w:t>
      </w:r>
      <w:hyperlink r:id="rId9" w:tooltip="Moyen Âge" w:history="1">
        <w:r w:rsidRPr="00ED5030">
          <w:rPr>
            <w:rStyle w:val="Hyperlink"/>
            <w:rFonts w:eastAsiaTheme="majorEastAsia"/>
            <w:color w:val="auto"/>
            <w:szCs w:val="21"/>
            <w:u w:val="none"/>
            <w:shd w:val="clear" w:color="auto" w:fill="FFFFFF"/>
          </w:rPr>
          <w:t>médiéval</w:t>
        </w:r>
      </w:hyperlink>
      <w:r w:rsidRPr="00ED5030">
        <w:rPr>
          <w:rStyle w:val="Hyperlink"/>
          <w:rFonts w:eastAsiaTheme="majorEastAsia"/>
          <w:color w:val="auto"/>
          <w:szCs w:val="21"/>
          <w:u w:val="none"/>
          <w:shd w:val="clear" w:color="auto" w:fill="FFFFFF"/>
        </w:rPr>
        <w:t>e</w:t>
      </w:r>
      <w:r w:rsidRPr="00ED5030">
        <w:rPr>
          <w:shd w:val="clear" w:color="auto" w:fill="FFFFFF"/>
        </w:rPr>
        <w:t>,</w:t>
      </w:r>
      <w:r w:rsidRPr="00F11A0B">
        <w:rPr>
          <w:shd w:val="clear" w:color="auto" w:fill="FFFFFF"/>
        </w:rPr>
        <w:t xml:space="preserve"> petites banderoles </w:t>
      </w:r>
      <w:r w:rsidR="00652146">
        <w:rPr>
          <w:shd w:val="clear" w:color="auto" w:fill="FFFFFF"/>
        </w:rPr>
        <w:t xml:space="preserve">sur lesquelles se déploient des mots </w:t>
      </w:r>
      <w:r w:rsidRPr="00F11A0B">
        <w:rPr>
          <w:shd w:val="clear" w:color="auto" w:fill="FFFFFF"/>
        </w:rPr>
        <w:t>faisant partie d’un répertoire commun partagé qui s’adresse à des fidèles</w:t>
      </w:r>
      <w:r w:rsidRPr="00F11A0B">
        <w:t xml:space="preserve"> la plupart du temps analphabètes. Il arrive même que la banderole fasse des contorsions pour bien mettre en évidence des bribes de lisibilité</w:t>
      </w:r>
      <w:r w:rsidR="00652146">
        <w:t>, ou que les</w:t>
      </w:r>
      <w:r w:rsidRPr="00F11A0B">
        <w:t xml:space="preserve"> paroles </w:t>
      </w:r>
      <w:r w:rsidR="00652146">
        <w:t>saintes soient occultées, voire</w:t>
      </w:r>
      <w:r w:rsidRPr="00F11A0B">
        <w:t xml:space="preserve"> résorbées</w:t>
      </w:r>
      <w:r w:rsidR="00652146">
        <w:t>,</w:t>
      </w:r>
      <w:r w:rsidRPr="00F11A0B">
        <w:t xml:space="preserve"> dans la colonne blanche, symbole du Christ</w:t>
      </w:r>
      <w:r>
        <w:t xml:space="preserve">, </w:t>
      </w:r>
      <w:r w:rsidRPr="00F11A0B">
        <w:t xml:space="preserve">comme pour fondre le lisible dans l’emblématique. </w:t>
      </w:r>
    </w:p>
    <w:p w:rsidR="007251A3" w:rsidRDefault="007251A3" w:rsidP="007251A3">
      <w:r w:rsidRPr="00F11A0B">
        <w:t xml:space="preserve">Un troisième régime d’illisibilité s’impose à une époque plus sécularisée, où l’écrit en peinture se laïcise. Des livres à l’écriture visible mais illisible ou blanche se présentent comme un pied de nez à la lecture et mettent le doigt sur ce qu’Alain Trouvé appelle </w:t>
      </w:r>
      <w:r>
        <w:t>l’</w:t>
      </w:r>
      <w:r w:rsidRPr="00F11A0B">
        <w:t>« effondrement sémantique »</w:t>
      </w:r>
      <w:r w:rsidRPr="00F11A0B">
        <w:rPr>
          <w:rStyle w:val="FootnoteReference"/>
          <w:szCs w:val="21"/>
        </w:rPr>
        <w:footnoteReference w:id="3"/>
      </w:r>
      <w:r w:rsidRPr="00F11A0B">
        <w:t xml:space="preserve"> des images, soupçonnant la convertibilité de l’image en mots d’un Michel Butor qui considérait les </w:t>
      </w:r>
      <w:r w:rsidRPr="0035285D">
        <w:rPr>
          <w:i/>
        </w:rPr>
        <w:t>mots dans la peinture</w:t>
      </w:r>
      <w:r w:rsidRPr="00F11A0B">
        <w:t xml:space="preserve"> comme un supplément d’intelligibilité. Ceux-ci ne sont plus des « légendes » au sens latin du terme </w:t>
      </w:r>
      <w:proofErr w:type="spellStart"/>
      <w:r w:rsidRPr="00F11A0B">
        <w:rPr>
          <w:i/>
        </w:rPr>
        <w:t>legendum</w:t>
      </w:r>
      <w:proofErr w:type="spellEnd"/>
      <w:r w:rsidRPr="00F11A0B">
        <w:t xml:space="preserve"> « qui doit être lu », mais de simples objets plastiques. Trouvé insiste sur les simulacres d’écritures inventées par Kandinsky ou Michaux, destinées à être contemplées plus que lues. Ce qu’il y a toutefois de nouveau dans la modernité c’est l’insistance sur le fait qu’une écriture avant d’être destinée à la lecture est avant tout un </w:t>
      </w:r>
      <w:r w:rsidRPr="00F11A0B">
        <w:lastRenderedPageBreak/>
        <w:t>cheminement, un tracé sur un support.  Jean Portante, dans une ekphrasis poétique d’un tableau de Brueg</w:t>
      </w:r>
      <w:r>
        <w:t>h</w:t>
      </w:r>
      <w:r w:rsidRPr="00F11A0B">
        <w:t>el, nous en livre une petite allégorie :</w:t>
      </w:r>
    </w:p>
    <w:p w:rsidR="002F4229" w:rsidRPr="00F11A0B" w:rsidRDefault="002F4229" w:rsidP="007251A3"/>
    <w:p w:rsidR="002F4229" w:rsidRDefault="002F4229" w:rsidP="002F4229">
      <w:pPr>
        <w:pStyle w:val="Quote"/>
        <w:spacing w:before="0" w:after="0" w:line="240" w:lineRule="auto"/>
        <w:rPr>
          <w:lang w:val="fr-BE"/>
        </w:rPr>
      </w:pPr>
      <w:r>
        <w:rPr>
          <w:lang w:val="fr-BE"/>
        </w:rPr>
        <w:t xml:space="preserve"> </w:t>
      </w:r>
      <w:proofErr w:type="gramStart"/>
      <w:r w:rsidR="007251A3" w:rsidRPr="00F11A0B">
        <w:rPr>
          <w:lang w:val="fr-BE"/>
        </w:rPr>
        <w:t>les</w:t>
      </w:r>
      <w:proofErr w:type="gramEnd"/>
      <w:r w:rsidR="007251A3" w:rsidRPr="00F11A0B">
        <w:rPr>
          <w:lang w:val="fr-BE"/>
        </w:rPr>
        <w:t xml:space="preserve"> patineurs </w:t>
      </w:r>
    </w:p>
    <w:p w:rsidR="007251A3" w:rsidRPr="00F11A0B" w:rsidRDefault="002F4229" w:rsidP="002F4229">
      <w:pPr>
        <w:pStyle w:val="Quote"/>
        <w:spacing w:before="0" w:after="0" w:line="240" w:lineRule="auto"/>
        <w:rPr>
          <w:szCs w:val="20"/>
          <w:lang w:val="fr-BE"/>
        </w:rPr>
      </w:pPr>
      <w:r>
        <w:rPr>
          <w:szCs w:val="20"/>
          <w:lang w:val="fr-BE"/>
        </w:rPr>
        <w:t xml:space="preserve"> </w:t>
      </w:r>
      <w:proofErr w:type="gramStart"/>
      <w:r w:rsidR="007251A3" w:rsidRPr="00F11A0B">
        <w:rPr>
          <w:szCs w:val="20"/>
          <w:lang w:val="fr-BE"/>
        </w:rPr>
        <w:t>comme</w:t>
      </w:r>
      <w:proofErr w:type="gramEnd"/>
      <w:r w:rsidR="007251A3" w:rsidRPr="00F11A0B">
        <w:rPr>
          <w:szCs w:val="20"/>
          <w:lang w:val="fr-BE"/>
        </w:rPr>
        <w:t xml:space="preserve"> si leur heure</w:t>
      </w:r>
    </w:p>
    <w:p w:rsidR="007251A3" w:rsidRPr="00F11A0B" w:rsidRDefault="007251A3" w:rsidP="002F4229">
      <w:pPr>
        <w:ind w:left="360"/>
        <w:rPr>
          <w:rFonts w:ascii="Goudy Old Style" w:hAnsi="Goudy Old Style"/>
          <w:sz w:val="20"/>
          <w:szCs w:val="20"/>
          <w:lang w:val="fr-BE"/>
        </w:rPr>
      </w:pPr>
      <w:proofErr w:type="gramStart"/>
      <w:r w:rsidRPr="00F11A0B">
        <w:rPr>
          <w:rFonts w:ascii="Goudy Old Style" w:hAnsi="Goudy Old Style"/>
          <w:sz w:val="20"/>
          <w:szCs w:val="20"/>
          <w:lang w:val="fr-BE"/>
        </w:rPr>
        <w:t>n’était</w:t>
      </w:r>
      <w:proofErr w:type="gramEnd"/>
      <w:r w:rsidRPr="00F11A0B">
        <w:rPr>
          <w:rFonts w:ascii="Goudy Old Style" w:hAnsi="Goudy Old Style"/>
          <w:sz w:val="20"/>
          <w:szCs w:val="20"/>
          <w:lang w:val="fr-BE"/>
        </w:rPr>
        <w:t xml:space="preserve"> pas encore venue</w:t>
      </w:r>
    </w:p>
    <w:p w:rsidR="007251A3" w:rsidRPr="00F11A0B" w:rsidRDefault="007251A3" w:rsidP="002F4229">
      <w:pPr>
        <w:ind w:left="360"/>
        <w:rPr>
          <w:rFonts w:ascii="Goudy Old Style" w:hAnsi="Goudy Old Style"/>
          <w:sz w:val="20"/>
          <w:szCs w:val="20"/>
          <w:lang w:val="fr-BE"/>
        </w:rPr>
      </w:pPr>
      <w:proofErr w:type="gramStart"/>
      <w:r w:rsidRPr="00F11A0B">
        <w:rPr>
          <w:rFonts w:ascii="Goudy Old Style" w:hAnsi="Goudy Old Style"/>
          <w:sz w:val="20"/>
          <w:szCs w:val="20"/>
          <w:lang w:val="fr-BE"/>
        </w:rPr>
        <w:t>appuient</w:t>
      </w:r>
      <w:proofErr w:type="gramEnd"/>
      <w:r w:rsidRPr="00F11A0B">
        <w:rPr>
          <w:rFonts w:ascii="Goudy Old Style" w:hAnsi="Goudy Old Style"/>
          <w:sz w:val="20"/>
          <w:szCs w:val="20"/>
          <w:lang w:val="fr-BE"/>
        </w:rPr>
        <w:t xml:space="preserve"> sur leurs lames</w:t>
      </w:r>
    </w:p>
    <w:p w:rsidR="007251A3" w:rsidRPr="00F11A0B" w:rsidRDefault="007251A3" w:rsidP="002F4229">
      <w:pPr>
        <w:ind w:left="360"/>
        <w:rPr>
          <w:rFonts w:ascii="Goudy Old Style" w:hAnsi="Goudy Old Style"/>
          <w:sz w:val="20"/>
          <w:szCs w:val="20"/>
          <w:lang w:val="fr-BE"/>
        </w:rPr>
      </w:pPr>
      <w:proofErr w:type="gramStart"/>
      <w:r w:rsidRPr="00F11A0B">
        <w:rPr>
          <w:rFonts w:ascii="Goudy Old Style" w:hAnsi="Goudy Old Style"/>
          <w:sz w:val="20"/>
          <w:szCs w:val="20"/>
          <w:lang w:val="fr-BE"/>
        </w:rPr>
        <w:t>et</w:t>
      </w:r>
      <w:proofErr w:type="gramEnd"/>
      <w:r w:rsidRPr="00F11A0B">
        <w:rPr>
          <w:rFonts w:ascii="Goudy Old Style" w:hAnsi="Goudy Old Style"/>
          <w:sz w:val="20"/>
          <w:szCs w:val="20"/>
          <w:lang w:val="fr-BE"/>
        </w:rPr>
        <w:t xml:space="preserve"> gravent des lettres périssables </w:t>
      </w:r>
    </w:p>
    <w:p w:rsidR="007251A3" w:rsidRPr="00F11A0B" w:rsidRDefault="007251A3" w:rsidP="002F4229">
      <w:pPr>
        <w:ind w:left="360"/>
        <w:rPr>
          <w:rFonts w:ascii="Goudy Old Style" w:hAnsi="Goudy Old Style"/>
          <w:sz w:val="20"/>
          <w:szCs w:val="20"/>
          <w:lang w:val="fr-BE"/>
        </w:rPr>
      </w:pPr>
      <w:proofErr w:type="gramStart"/>
      <w:r w:rsidRPr="00F11A0B">
        <w:rPr>
          <w:rFonts w:ascii="Goudy Old Style" w:hAnsi="Goudy Old Style"/>
          <w:sz w:val="20"/>
          <w:szCs w:val="20"/>
          <w:lang w:val="fr-BE"/>
        </w:rPr>
        <w:t>dans</w:t>
      </w:r>
      <w:proofErr w:type="gramEnd"/>
      <w:r w:rsidRPr="00F11A0B">
        <w:rPr>
          <w:rFonts w:ascii="Goudy Old Style" w:hAnsi="Goudy Old Style"/>
          <w:sz w:val="20"/>
          <w:szCs w:val="20"/>
          <w:lang w:val="fr-BE"/>
        </w:rPr>
        <w:t xml:space="preserve"> le marbre de la rivière</w:t>
      </w:r>
    </w:p>
    <w:p w:rsidR="007251A3" w:rsidRPr="00F11A0B" w:rsidRDefault="007251A3" w:rsidP="007251A3">
      <w:pPr>
        <w:ind w:left="360"/>
        <w:rPr>
          <w:rFonts w:ascii="Goudy Old Style" w:hAnsi="Goudy Old Style"/>
          <w:sz w:val="20"/>
          <w:szCs w:val="20"/>
          <w:lang w:val="fr-BE"/>
        </w:rPr>
      </w:pPr>
      <w:r w:rsidRPr="00F11A0B">
        <w:rPr>
          <w:rFonts w:ascii="Goudy Old Style" w:hAnsi="Goudy Old Style"/>
          <w:sz w:val="20"/>
          <w:szCs w:val="20"/>
          <w:lang w:val="fr-BE"/>
        </w:rPr>
        <w:t>que ne lira pas l’oiseau noir</w:t>
      </w:r>
    </w:p>
    <w:p w:rsidR="007251A3" w:rsidRPr="00F11A0B" w:rsidRDefault="007251A3" w:rsidP="007251A3">
      <w:pPr>
        <w:ind w:left="360"/>
        <w:rPr>
          <w:rFonts w:ascii="Goudy Old Style" w:hAnsi="Goudy Old Style"/>
          <w:sz w:val="20"/>
          <w:szCs w:val="20"/>
          <w:lang w:val="fr-BE"/>
        </w:rPr>
      </w:pPr>
      <w:r w:rsidRPr="00F11A0B">
        <w:rPr>
          <w:rFonts w:ascii="Goudy Old Style" w:hAnsi="Goudy Old Style"/>
          <w:sz w:val="20"/>
          <w:szCs w:val="20"/>
          <w:lang w:val="fr-BE"/>
        </w:rPr>
        <w:t>là-haut sur la dernière branche</w:t>
      </w:r>
      <w:r w:rsidRPr="00F11A0B">
        <w:rPr>
          <w:rStyle w:val="FootnoteReference"/>
          <w:rFonts w:ascii="Goudy Old Style" w:hAnsi="Goudy Old Style"/>
          <w:sz w:val="20"/>
          <w:szCs w:val="20"/>
          <w:lang w:val="fr-BE"/>
        </w:rPr>
        <w:footnoteReference w:id="4"/>
      </w:r>
      <w:r w:rsidRPr="00F11A0B">
        <w:rPr>
          <w:rFonts w:ascii="Goudy Old Style" w:hAnsi="Goudy Old Style"/>
          <w:sz w:val="20"/>
          <w:szCs w:val="20"/>
          <w:lang w:val="fr-BE"/>
        </w:rPr>
        <w:t>.</w:t>
      </w:r>
    </w:p>
    <w:p w:rsidR="007251A3" w:rsidRPr="00F11A0B" w:rsidRDefault="007251A3" w:rsidP="007251A3">
      <w:pPr>
        <w:spacing w:line="360" w:lineRule="auto"/>
        <w:ind w:left="360"/>
        <w:rPr>
          <w:szCs w:val="21"/>
          <w:lang w:val="fr-BE"/>
        </w:rPr>
      </w:pPr>
      <w:r w:rsidRPr="00F11A0B">
        <w:rPr>
          <w:szCs w:val="21"/>
          <w:lang w:val="fr-BE"/>
        </w:rPr>
        <w:t xml:space="preserve"> </w:t>
      </w:r>
    </w:p>
    <w:p w:rsidR="007251A3" w:rsidRPr="00F11A0B" w:rsidRDefault="007251A3" w:rsidP="007251A3">
      <w:pPr>
        <w:pStyle w:val="Heading1"/>
        <w:rPr>
          <w:lang w:val="fr-BE"/>
        </w:rPr>
      </w:pPr>
      <w:r w:rsidRPr="00F11A0B">
        <w:rPr>
          <w:lang w:val="fr-BE"/>
        </w:rPr>
        <w:t>Le sens de la lecture</w:t>
      </w:r>
    </w:p>
    <w:p w:rsidR="007251A3" w:rsidRPr="00F11A0B" w:rsidRDefault="007251A3" w:rsidP="007251A3">
      <w:pPr>
        <w:pStyle w:val="Heading2"/>
        <w:rPr>
          <w:lang w:val="fr-BE"/>
        </w:rPr>
      </w:pPr>
      <w:r w:rsidRPr="00F11A0B">
        <w:rPr>
          <w:lang w:val="fr-BE"/>
        </w:rPr>
        <w:t xml:space="preserve"> Le sens (direction) </w:t>
      </w:r>
    </w:p>
    <w:p w:rsidR="007251A3" w:rsidRPr="00F11A0B" w:rsidRDefault="007251A3" w:rsidP="007251A3">
      <w:pPr>
        <w:spacing w:line="360" w:lineRule="auto"/>
        <w:ind w:left="360"/>
        <w:rPr>
          <w:rFonts w:ascii="Arial" w:hAnsi="Arial" w:cs="Arial"/>
          <w:b/>
          <w:szCs w:val="21"/>
          <w:lang w:val="fr-BE"/>
        </w:rPr>
      </w:pPr>
    </w:p>
    <w:p w:rsidR="007251A3" w:rsidRPr="00F11A0B" w:rsidRDefault="007251A3" w:rsidP="007251A3">
      <w:pPr>
        <w:rPr>
          <w:lang w:val="fr-BE"/>
        </w:rPr>
      </w:pPr>
      <w:r w:rsidRPr="00F11A0B">
        <w:rPr>
          <w:lang w:val="fr-BE"/>
        </w:rPr>
        <w:t xml:space="preserve">Arrivons-en au cœur de notre problématique, à savoir le sens de la lecture que nous doterons de trois acceptions : direction/signification/sensorialité. L’orientation de l’écriture s’avère en effet codée, culturelle : tantôt dextrogyre, tantôt </w:t>
      </w:r>
      <w:proofErr w:type="spellStart"/>
      <w:r w:rsidRPr="00F11A0B">
        <w:rPr>
          <w:lang w:val="fr-BE"/>
        </w:rPr>
        <w:t>senestrogyre</w:t>
      </w:r>
      <w:proofErr w:type="spellEnd"/>
      <w:r w:rsidRPr="00F11A0B">
        <w:rPr>
          <w:lang w:val="fr-BE"/>
        </w:rPr>
        <w:t xml:space="preserve">, voire anagyre, </w:t>
      </w:r>
      <w:proofErr w:type="spellStart"/>
      <w:r w:rsidRPr="00F11A0B">
        <w:rPr>
          <w:lang w:val="fr-BE"/>
        </w:rPr>
        <w:t>catagyre</w:t>
      </w:r>
      <w:proofErr w:type="spellEnd"/>
      <w:r w:rsidRPr="00F11A0B">
        <w:rPr>
          <w:lang w:val="fr-BE"/>
        </w:rPr>
        <w:t xml:space="preserve">, etc. Rappelons que l’écriture primitive suivait tout simplement le geste de préhension inscrit dans notre squelette et dans </w:t>
      </w:r>
      <w:r w:rsidR="00652146">
        <w:rPr>
          <w:lang w:val="fr-BE"/>
        </w:rPr>
        <w:t>nos muscles, de droite à gauche.</w:t>
      </w:r>
      <w:r w:rsidRPr="00F11A0B">
        <w:rPr>
          <w:lang w:val="fr-BE"/>
        </w:rPr>
        <w:t xml:space="preserve"> </w:t>
      </w:r>
      <w:r w:rsidRPr="00F11A0B">
        <w:rPr>
          <w:i/>
          <w:lang w:val="fr-BE"/>
        </w:rPr>
        <w:t>Les Analectes</w:t>
      </w:r>
      <w:r w:rsidRPr="00F11A0B">
        <w:rPr>
          <w:lang w:val="fr-BE"/>
        </w:rPr>
        <w:t xml:space="preserve"> de Confucius</w:t>
      </w:r>
      <w:r>
        <w:rPr>
          <w:lang w:val="fr-BE"/>
        </w:rPr>
        <w:t xml:space="preserve"> s’écrivent de haut en bas </w:t>
      </w:r>
      <w:r w:rsidRPr="00F11A0B">
        <w:rPr>
          <w:lang w:val="fr-BE"/>
        </w:rPr>
        <w:t xml:space="preserve">et de droite à gauche, </w:t>
      </w:r>
      <w:r w:rsidRPr="00F11A0B">
        <w:rPr>
          <w:i/>
          <w:lang w:val="fr-BE"/>
        </w:rPr>
        <w:t>La Torah</w:t>
      </w:r>
      <w:r w:rsidRPr="00F11A0B">
        <w:rPr>
          <w:lang w:val="fr-BE"/>
        </w:rPr>
        <w:t xml:space="preserve">, de droite à gauche, </w:t>
      </w:r>
      <w:r w:rsidRPr="00F11A0B">
        <w:rPr>
          <w:i/>
          <w:lang w:val="fr-BE"/>
        </w:rPr>
        <w:t>Le Coran</w:t>
      </w:r>
      <w:r w:rsidRPr="00F11A0B">
        <w:rPr>
          <w:lang w:val="fr-BE"/>
        </w:rPr>
        <w:t xml:space="preserve"> également. Même au sein d’une culture apparemment linéaire, on trouve des acrostiches, palindromes ou boustrophédons, et l’écrit d’écran actuel redevient </w:t>
      </w:r>
      <w:proofErr w:type="spellStart"/>
      <w:r w:rsidRPr="00F11A0B">
        <w:rPr>
          <w:lang w:val="fr-BE"/>
        </w:rPr>
        <w:t>diagrammatique</w:t>
      </w:r>
      <w:proofErr w:type="spellEnd"/>
      <w:r w:rsidRPr="00F11A0B">
        <w:rPr>
          <w:lang w:val="fr-BE"/>
        </w:rPr>
        <w:t>, tabulaire.</w:t>
      </w:r>
    </w:p>
    <w:p w:rsidR="007251A3" w:rsidRPr="00F11A0B" w:rsidRDefault="007251A3" w:rsidP="007251A3">
      <w:pPr>
        <w:pStyle w:val="Heading2"/>
        <w:rPr>
          <w:lang w:val="fr-BE"/>
        </w:rPr>
      </w:pPr>
      <w:r w:rsidRPr="00F11A0B">
        <w:rPr>
          <w:lang w:val="fr-BE"/>
        </w:rPr>
        <w:t xml:space="preserve">Le sens (signification) </w:t>
      </w:r>
    </w:p>
    <w:p w:rsidR="002F4229" w:rsidRDefault="002F4229" w:rsidP="007251A3">
      <w:pPr>
        <w:rPr>
          <w:lang w:val="fr-BE"/>
        </w:rPr>
      </w:pPr>
    </w:p>
    <w:p w:rsidR="007251A3" w:rsidRDefault="007251A3" w:rsidP="007251A3">
      <w:pPr>
        <w:rPr>
          <w:lang w:val="fr-BE"/>
        </w:rPr>
      </w:pPr>
      <w:r w:rsidRPr="00F11A0B">
        <w:rPr>
          <w:lang w:val="fr-BE"/>
        </w:rPr>
        <w:t xml:space="preserve">Notre deuxième acception du mot « sens » n’est pas sans rapport, nous semble-t-il, avec le balayage oculaire dont nous venons de parler. Des recherches neurologiques, entre autres les expériences du « scanning » d’un texte par un œil lisant, relatées par le psycho-physiologiste russe Alfred </w:t>
      </w:r>
      <w:proofErr w:type="spellStart"/>
      <w:r w:rsidRPr="00F11A0B">
        <w:rPr>
          <w:lang w:val="fr-BE"/>
        </w:rPr>
        <w:t>Yarbus</w:t>
      </w:r>
      <w:proofErr w:type="spellEnd"/>
      <w:r w:rsidRPr="00F11A0B">
        <w:rPr>
          <w:lang w:val="fr-BE"/>
        </w:rPr>
        <w:t xml:space="preserve"> dans </w:t>
      </w:r>
      <w:r w:rsidRPr="00F11A0B">
        <w:rPr>
          <w:i/>
          <w:iCs/>
        </w:rPr>
        <w:t xml:space="preserve">Eye </w:t>
      </w:r>
      <w:proofErr w:type="spellStart"/>
      <w:r w:rsidRPr="00F11A0B">
        <w:rPr>
          <w:i/>
          <w:iCs/>
        </w:rPr>
        <w:t>Movements</w:t>
      </w:r>
      <w:proofErr w:type="spellEnd"/>
      <w:r w:rsidRPr="00F11A0B">
        <w:rPr>
          <w:i/>
          <w:iCs/>
        </w:rPr>
        <w:t xml:space="preserve"> and Vision </w:t>
      </w:r>
      <w:r w:rsidRPr="00F11A0B">
        <w:t>(1967)</w:t>
      </w:r>
      <w:r w:rsidRPr="00F11A0B">
        <w:rPr>
          <w:lang w:val="fr-BE"/>
        </w:rPr>
        <w:t xml:space="preserve"> et relayées par Claude </w:t>
      </w:r>
      <w:proofErr w:type="spellStart"/>
      <w:r w:rsidRPr="00F11A0B">
        <w:rPr>
          <w:lang w:val="fr-BE"/>
        </w:rPr>
        <w:t>Gandelman</w:t>
      </w:r>
      <w:proofErr w:type="spellEnd"/>
      <w:r w:rsidRPr="00F11A0B">
        <w:rPr>
          <w:lang w:val="fr-BE"/>
        </w:rPr>
        <w:t xml:space="preserve"> dans son ouvrage </w:t>
      </w:r>
      <w:r w:rsidRPr="00F11A0B">
        <w:rPr>
          <w:i/>
          <w:lang w:val="fr-BE"/>
        </w:rPr>
        <w:t>Le regard dans le texte</w:t>
      </w:r>
      <w:r w:rsidRPr="00F11A0B">
        <w:rPr>
          <w:lang w:val="fr-BE"/>
        </w:rPr>
        <w:t>, ont montré que la lecture d’une œuvre classique adopte un mouvement oculaire linéaire, optique ; celle d’une œuvre expérimentale, un mouvement plus maculaire, haptique</w:t>
      </w:r>
      <w:r w:rsidR="00D17299">
        <w:rPr>
          <w:lang w:val="fr-BE"/>
        </w:rPr>
        <w:t>.</w:t>
      </w:r>
      <w:r w:rsidRPr="00F11A0B">
        <w:rPr>
          <w:lang w:val="fr-BE"/>
        </w:rPr>
        <w:t xml:space="preserve"> Selon </w:t>
      </w:r>
      <w:proofErr w:type="spellStart"/>
      <w:r w:rsidRPr="00F11A0B">
        <w:rPr>
          <w:lang w:val="fr-BE"/>
        </w:rPr>
        <w:t>Gandelman</w:t>
      </w:r>
      <w:proofErr w:type="spellEnd"/>
      <w:r w:rsidRPr="00F11A0B">
        <w:rPr>
          <w:lang w:val="fr-BE"/>
        </w:rPr>
        <w:t xml:space="preserve">, le regard optique procéderait par </w:t>
      </w:r>
      <w:proofErr w:type="spellStart"/>
      <w:r w:rsidRPr="00F11A0B">
        <w:rPr>
          <w:lang w:val="fr-BE"/>
        </w:rPr>
        <w:t>méta-phore</w:t>
      </w:r>
      <w:proofErr w:type="spellEnd"/>
      <w:r w:rsidRPr="00F11A0B">
        <w:rPr>
          <w:lang w:val="fr-BE"/>
        </w:rPr>
        <w:t xml:space="preserve"> entre deux disparates sémantiques tandis que le regard haptique procéderait par métonymie « </w:t>
      </w:r>
      <w:proofErr w:type="spellStart"/>
      <w:r w:rsidRPr="00F11A0B">
        <w:rPr>
          <w:lang w:val="fr-BE"/>
        </w:rPr>
        <w:t>asémantiquement</w:t>
      </w:r>
      <w:proofErr w:type="spellEnd"/>
      <w:r w:rsidRPr="00F11A0B">
        <w:rPr>
          <w:lang w:val="fr-BE"/>
        </w:rPr>
        <w:t xml:space="preserve"> » : </w:t>
      </w:r>
      <w:r>
        <w:rPr>
          <w:lang w:val="fr-BE"/>
        </w:rPr>
        <w:t>« l</w:t>
      </w:r>
      <w:r w:rsidRPr="00F11A0B">
        <w:rPr>
          <w:lang w:val="fr-BE"/>
        </w:rPr>
        <w:t>’œil se vautre dans la profondeur de la surface »</w:t>
      </w:r>
      <w:r w:rsidR="00D17299" w:rsidRPr="00F11A0B">
        <w:rPr>
          <w:rStyle w:val="FootnoteReference"/>
          <w:szCs w:val="21"/>
          <w:lang w:val="fr-BE"/>
        </w:rPr>
        <w:footnoteReference w:id="5"/>
      </w:r>
      <w:r w:rsidR="00D17299">
        <w:rPr>
          <w:lang w:val="fr-BE"/>
        </w:rPr>
        <w:t xml:space="preserve">. </w:t>
      </w:r>
      <w:r w:rsidRPr="00F11A0B">
        <w:rPr>
          <w:lang w:val="fr-BE"/>
        </w:rPr>
        <w:t>Toutefois, si un sonnet de Shakespeare balayé du regard par un lecteur russe « moyen » donne un diagramme « linéaire »</w:t>
      </w:r>
      <w:r>
        <w:rPr>
          <w:lang w:val="fr-BE"/>
        </w:rPr>
        <w:t>,</w:t>
      </w:r>
      <w:r w:rsidRPr="00F11A0B">
        <w:rPr>
          <w:lang w:val="fr-BE"/>
        </w:rPr>
        <w:t xml:space="preserve"> pour un autre lecteur, le même sonnet serait susceptible d’une lecture-« engluement » qui « fait tache » « avec retours en arrière, sauts en avant, claudicante »</w:t>
      </w:r>
      <w:r w:rsidRPr="00F11A0B">
        <w:rPr>
          <w:rStyle w:val="FootnoteReference"/>
          <w:szCs w:val="21"/>
          <w:lang w:val="fr-BE"/>
        </w:rPr>
        <w:footnoteReference w:id="6"/>
      </w:r>
      <w:r w:rsidRPr="00F11A0B">
        <w:rPr>
          <w:lang w:val="fr-BE"/>
        </w:rPr>
        <w:t xml:space="preserve">. </w:t>
      </w:r>
    </w:p>
    <w:p w:rsidR="007251A3" w:rsidRPr="00F11A0B" w:rsidRDefault="007251A3" w:rsidP="007251A3">
      <w:pPr>
        <w:rPr>
          <w:lang w:val="fr-BE"/>
        </w:rPr>
      </w:pPr>
      <w:r w:rsidRPr="00F11A0B">
        <w:rPr>
          <w:lang w:val="fr-BE"/>
        </w:rPr>
        <w:t>C’est cette lecture-engluement qui nous intéresse et qui nous semble la seule lecture possible. Elle produit ce que Deleuze appelle des « cartes d’intensité, de densité »</w:t>
      </w:r>
      <w:r w:rsidRPr="00F11A0B">
        <w:rPr>
          <w:rStyle w:val="FootnoteReference"/>
          <w:szCs w:val="21"/>
          <w:lang w:val="fr-BE"/>
        </w:rPr>
        <w:footnoteReference w:id="7"/>
      </w:r>
      <w:r w:rsidRPr="00F11A0B">
        <w:rPr>
          <w:lang w:val="fr-BE"/>
        </w:rPr>
        <w:t xml:space="preserve">, notion qu’il emprunte aux </w:t>
      </w:r>
      <w:r w:rsidRPr="00F11A0B">
        <w:rPr>
          <w:i/>
          <w:lang w:val="fr-BE"/>
        </w:rPr>
        <w:t>Cartographies schizo-analytiques</w:t>
      </w:r>
      <w:r w:rsidRPr="00F11A0B">
        <w:rPr>
          <w:lang w:val="fr-BE"/>
        </w:rPr>
        <w:t xml:space="preserve"> de Félix Guattari</w:t>
      </w:r>
      <w:r w:rsidRPr="00F11A0B">
        <w:rPr>
          <w:rStyle w:val="FootnoteReference"/>
          <w:szCs w:val="21"/>
          <w:lang w:val="fr-BE"/>
        </w:rPr>
        <w:footnoteReference w:id="8"/>
      </w:r>
      <w:r w:rsidRPr="00F11A0B">
        <w:rPr>
          <w:lang w:val="fr-BE"/>
        </w:rPr>
        <w:t>. Guattari appréhende les lapsus, actes manquées ou symptômes non pas selon le « modèle égyptien » archéologique – « La tombe du pharaon, avec sa chambre centrale inerte au plus bas de la pyramide » –, mais selon le « modèle indien » plus dynamique, qui crée des « chemins sans mémoire », une vérita</w:t>
      </w:r>
      <w:r w:rsidR="00D17299">
        <w:rPr>
          <w:lang w:val="fr-BE"/>
        </w:rPr>
        <w:t>ble « constellation affective »</w:t>
      </w:r>
      <w:r w:rsidR="00D17299" w:rsidRPr="00F11A0B">
        <w:rPr>
          <w:rStyle w:val="FootnoteReference"/>
          <w:szCs w:val="21"/>
          <w:lang w:val="fr-BE"/>
        </w:rPr>
        <w:footnoteReference w:id="9"/>
      </w:r>
      <w:r w:rsidR="00D17299">
        <w:rPr>
          <w:lang w:val="fr-BE"/>
        </w:rPr>
        <w:t>, telle celle que le « petit Hans » déploie à l’occasion de sa phobie des chevaux</w:t>
      </w:r>
      <w:r w:rsidRPr="00F11A0B">
        <w:rPr>
          <w:lang w:val="fr-BE"/>
        </w:rPr>
        <w:t>. Ne confondons toutefois pas ces « cartes d’intensité, de densité »</w:t>
      </w:r>
      <w:r w:rsidRPr="00F11A0B">
        <w:rPr>
          <w:rStyle w:val="FootnoteReference"/>
          <w:szCs w:val="21"/>
          <w:lang w:val="fr-BE"/>
        </w:rPr>
        <w:t xml:space="preserve"> </w:t>
      </w:r>
      <w:r w:rsidRPr="00F11A0B">
        <w:rPr>
          <w:lang w:val="fr-BE"/>
        </w:rPr>
        <w:t>avec ce que l’on appelle de nos jours une</w:t>
      </w:r>
      <w:r>
        <w:rPr>
          <w:lang w:val="fr-BE"/>
        </w:rPr>
        <w:t xml:space="preserve"> </w:t>
      </w:r>
      <w:proofErr w:type="spellStart"/>
      <w:r>
        <w:rPr>
          <w:i/>
          <w:lang w:val="fr-BE"/>
        </w:rPr>
        <w:t>mind</w:t>
      </w:r>
      <w:proofErr w:type="spellEnd"/>
      <w:r>
        <w:rPr>
          <w:i/>
          <w:lang w:val="fr-BE"/>
        </w:rPr>
        <w:t xml:space="preserve"> </w:t>
      </w:r>
      <w:proofErr w:type="spellStart"/>
      <w:r>
        <w:rPr>
          <w:i/>
          <w:lang w:val="fr-BE"/>
        </w:rPr>
        <w:t>map</w:t>
      </w:r>
      <w:proofErr w:type="spellEnd"/>
      <w:r w:rsidRPr="00F11A0B">
        <w:rPr>
          <w:lang w:val="fr-BE"/>
        </w:rPr>
        <w:t xml:space="preserve"> ou </w:t>
      </w:r>
      <w:proofErr w:type="spellStart"/>
      <w:r w:rsidRPr="00F11A0B">
        <w:rPr>
          <w:lang w:val="fr-BE"/>
        </w:rPr>
        <w:t>topogramme</w:t>
      </w:r>
      <w:proofErr w:type="spellEnd"/>
      <w:r w:rsidRPr="00F11A0B">
        <w:rPr>
          <w:lang w:val="fr-BE"/>
        </w:rPr>
        <w:t xml:space="preserve">, dont l’arborescence est pré-formatée en carte mentale sémantique et qui sous-tend l’architecture de maints sites web. Ceux-ci, faisant miroiter une navigation </w:t>
      </w:r>
      <w:r w:rsidRPr="00F11A0B">
        <w:rPr>
          <w:lang w:val="fr-BE"/>
        </w:rPr>
        <w:lastRenderedPageBreak/>
        <w:t>aléatoire, spontanée, orientent pourtant la réception et vont jusqu’à modéliser la « pratique pro-distractive »</w:t>
      </w:r>
      <w:r w:rsidRPr="00F11A0B">
        <w:rPr>
          <w:rStyle w:val="FootnoteReference"/>
          <w:szCs w:val="21"/>
          <w:lang w:val="fr-BE"/>
        </w:rPr>
        <w:footnoteReference w:id="10"/>
      </w:r>
      <w:r w:rsidRPr="00F11A0B">
        <w:rPr>
          <w:lang w:val="fr-BE"/>
        </w:rPr>
        <w:t xml:space="preserve"> apparemment souveraine de l’usager</w:t>
      </w:r>
      <w:r>
        <w:rPr>
          <w:lang w:val="fr-BE"/>
        </w:rPr>
        <w:t>.</w:t>
      </w:r>
    </w:p>
    <w:p w:rsidR="007251A3" w:rsidRPr="005C3196" w:rsidRDefault="007251A3" w:rsidP="007251A3">
      <w:r w:rsidRPr="00F11A0B">
        <w:rPr>
          <w:lang w:val="fr-BE"/>
        </w:rPr>
        <w:t xml:space="preserve">Afin d’éviter les simulacres de lecture et l’usurpation de notre image mentale par la prédation marchande, il nous faut restituer à la lecture toute sa puissance </w:t>
      </w:r>
      <w:r w:rsidRPr="00F11A0B">
        <w:rPr>
          <w:i/>
          <w:lang w:val="fr-BE"/>
        </w:rPr>
        <w:t>délirante</w:t>
      </w:r>
      <w:r>
        <w:rPr>
          <w:lang w:val="fr-BE"/>
        </w:rPr>
        <w:t>,</w:t>
      </w:r>
      <w:r w:rsidRPr="00F11A0B">
        <w:rPr>
          <w:lang w:val="fr-BE"/>
        </w:rPr>
        <w:t xml:space="preserve"> pour paraphraser Deleuze qui nous a insufflé l’homonymie entre le nom </w:t>
      </w:r>
      <w:r w:rsidRPr="002041B0">
        <w:rPr>
          <w:i/>
          <w:lang w:val="fr-BE"/>
        </w:rPr>
        <w:t>délire</w:t>
      </w:r>
      <w:r w:rsidRPr="00F11A0B">
        <w:rPr>
          <w:lang w:val="fr-BE"/>
        </w:rPr>
        <w:t xml:space="preserve"> et le verbe </w:t>
      </w:r>
      <w:proofErr w:type="spellStart"/>
      <w:r w:rsidRPr="00F11A0B">
        <w:rPr>
          <w:i/>
          <w:lang w:val="fr-BE"/>
        </w:rPr>
        <w:t>dé-lire</w:t>
      </w:r>
      <w:proofErr w:type="spellEnd"/>
      <w:r w:rsidRPr="00F11A0B">
        <w:rPr>
          <w:lang w:val="fr-BE"/>
        </w:rPr>
        <w:t xml:space="preserve"> en mettant en exergue à son volume </w:t>
      </w:r>
      <w:r w:rsidRPr="00F11A0B">
        <w:rPr>
          <w:i/>
          <w:lang w:val="fr-BE"/>
        </w:rPr>
        <w:t>Critique et clinique</w:t>
      </w:r>
      <w:r w:rsidRPr="00F11A0B">
        <w:rPr>
          <w:lang w:val="fr-BE"/>
        </w:rPr>
        <w:t xml:space="preserve"> (1993) la phrase de Proust : « L’écrivain entraîne la langue hors de ses sillons coutumiers, il la fait </w:t>
      </w:r>
      <w:r w:rsidRPr="00F11A0B">
        <w:rPr>
          <w:i/>
          <w:lang w:val="fr-BE"/>
        </w:rPr>
        <w:t>délirer</w:t>
      </w:r>
      <w:r w:rsidRPr="00F11A0B">
        <w:rPr>
          <w:lang w:val="fr-BE"/>
        </w:rPr>
        <w:t> »</w:t>
      </w:r>
      <w:r w:rsidRPr="00F11A0B">
        <w:rPr>
          <w:rStyle w:val="FootnoteReference"/>
          <w:szCs w:val="21"/>
          <w:lang w:val="fr-BE"/>
        </w:rPr>
        <w:footnoteReference w:id="11"/>
      </w:r>
      <w:r w:rsidRPr="00F11A0B">
        <w:rPr>
          <w:lang w:val="fr-BE"/>
        </w:rPr>
        <w:t xml:space="preserve">. Alain Trouvé avance pour sa part que </w:t>
      </w:r>
      <w:r w:rsidRPr="00F11A0B">
        <w:t>« le plaisir littéraire serait lié à un relâchement de la censure qui nous empêche de communiquer ordinairement nos fantasmes »</w:t>
      </w:r>
      <w:r w:rsidRPr="00F11A0B">
        <w:rPr>
          <w:rStyle w:val="FootnoteReference"/>
          <w:szCs w:val="21"/>
        </w:rPr>
        <w:footnoteReference w:id="12"/>
      </w:r>
      <w:r w:rsidRPr="00F11A0B">
        <w:t xml:space="preserve"> et Vincent Jouve de noter que la lecture est « à la fois une ‘expérience de libération’ (on se ‘désengage de la réalité’) et de comblement (on suscite imaginairement à partir des signes du texte un univers marqué par ses propres fantasmes) »</w:t>
      </w:r>
      <w:r w:rsidRPr="00F11A0B">
        <w:rPr>
          <w:rStyle w:val="FootnoteReference"/>
          <w:szCs w:val="21"/>
        </w:rPr>
        <w:footnoteReference w:id="13"/>
      </w:r>
      <w:r>
        <w:t xml:space="preserve">. </w:t>
      </w:r>
      <w:r w:rsidRPr="00F11A0B">
        <w:t>Or c’est surtout Richard Saint-Gelais qu’il nous faut convoquer ici car il rejoint par un autre biais ce que Deleuze appelle « cartes d’intensité et de densité ». Saint-Gelais qualifie de « lectures erratiques », celles qui « dérapent, hésitent, se trompent »</w:t>
      </w:r>
      <w:r w:rsidRPr="00F11A0B">
        <w:rPr>
          <w:rStyle w:val="FootnoteReference"/>
          <w:szCs w:val="21"/>
        </w:rPr>
        <w:footnoteReference w:id="14"/>
      </w:r>
      <w:r w:rsidRPr="00F11A0B">
        <w:t>, qui remplacent le parcours linéaire par des retours en arrière afin par exemple de « retracer ce qui a pu déclencher la méprise »</w:t>
      </w:r>
      <w:r w:rsidRPr="00F11A0B">
        <w:rPr>
          <w:rStyle w:val="FootnoteReference"/>
          <w:szCs w:val="21"/>
        </w:rPr>
        <w:footnoteReference w:id="15"/>
      </w:r>
      <w:r w:rsidRPr="00F11A0B">
        <w:t>, attentives à la lettre du texte, révoquant toute transparence des mots, entraînant le « passage d’une appréhension fictionnelle à une appréhension matérielle du texte »</w:t>
      </w:r>
      <w:r>
        <w:rPr>
          <w:rStyle w:val="FootnoteReference"/>
          <w:szCs w:val="21"/>
        </w:rPr>
        <w:footnoteReference w:id="16"/>
      </w:r>
      <w:r w:rsidRPr="00F11A0B">
        <w:t xml:space="preserve">. Saint-Gelais cite en l’occurrence la méprise par un récepteur québécois de la </w:t>
      </w:r>
      <w:r w:rsidRPr="00F11A0B">
        <w:rPr>
          <w:i/>
        </w:rPr>
        <w:t>tutélaire torche</w:t>
      </w:r>
      <w:r w:rsidRPr="00F11A0B">
        <w:t xml:space="preserve"> du sonnet « La chevelure vol d’une flamme à l’extrême » de Mallarmé</w:t>
      </w:r>
      <w:r>
        <w:t>,</w:t>
      </w:r>
      <w:r w:rsidRPr="00F11A0B">
        <w:t xml:space="preserve"> entendue de travers comme </w:t>
      </w:r>
      <w:r w:rsidRPr="00F11A0B">
        <w:rPr>
          <w:i/>
        </w:rPr>
        <w:t>grosse torche</w:t>
      </w:r>
      <w:r w:rsidRPr="00F11A0B">
        <w:t xml:space="preserve"> (femme obèse).</w:t>
      </w:r>
      <w:r>
        <w:t xml:space="preserve"> </w:t>
      </w:r>
      <w:r w:rsidRPr="00F11A0B">
        <w:t>Ce dispositif erratique déroge en tout cas à ce que Roland Barthes appelait la morale du sens « bon, [du] vrai sens […] du sens droit (et de sa faute, le ‘contre-sens’) »</w:t>
      </w:r>
      <w:r w:rsidRPr="00F11A0B">
        <w:rPr>
          <w:rStyle w:val="FootnoteReference"/>
          <w:szCs w:val="21"/>
        </w:rPr>
        <w:footnoteReference w:id="17"/>
      </w:r>
      <w:r w:rsidR="005D4681">
        <w:t>. E</w:t>
      </w:r>
      <w:r w:rsidRPr="00F11A0B">
        <w:t>n revanche</w:t>
      </w:r>
      <w:r w:rsidR="005D4681">
        <w:t>, il épouse</w:t>
      </w:r>
      <w:r w:rsidRPr="00F11A0B">
        <w:t xml:space="preserve"> l</w:t>
      </w:r>
      <w:r w:rsidRPr="00F11A0B">
        <w:rPr>
          <w:i/>
        </w:rPr>
        <w:t>’</w:t>
      </w:r>
      <w:proofErr w:type="spellStart"/>
      <w:r w:rsidRPr="00F11A0B">
        <w:rPr>
          <w:i/>
        </w:rPr>
        <w:t>intentio</w:t>
      </w:r>
      <w:proofErr w:type="spellEnd"/>
      <w:r w:rsidRPr="00F11A0B">
        <w:rPr>
          <w:i/>
        </w:rPr>
        <w:t xml:space="preserve"> </w:t>
      </w:r>
      <w:proofErr w:type="spellStart"/>
      <w:r w:rsidRPr="00F11A0B">
        <w:rPr>
          <w:i/>
        </w:rPr>
        <w:t>lectoris</w:t>
      </w:r>
      <w:proofErr w:type="spellEnd"/>
      <w:r w:rsidRPr="00F11A0B">
        <w:t xml:space="preserve"> qu’Umberto Eco « définit comme ce que le destinataire trouve dans le texte, en fonction de ses propres systèmes de signification, désirs, pulsions et choix. »</w:t>
      </w:r>
      <w:r w:rsidRPr="00F11A0B">
        <w:rPr>
          <w:rStyle w:val="FootnoteReference"/>
          <w:szCs w:val="21"/>
        </w:rPr>
        <w:footnoteReference w:id="18"/>
      </w:r>
      <w:r>
        <w:t xml:space="preserve"> </w:t>
      </w:r>
      <w:r w:rsidRPr="00F11A0B">
        <w:t>Quoique « théoriquement insoutenable »</w:t>
      </w:r>
      <w:r w:rsidRPr="00F11A0B">
        <w:rPr>
          <w:rStyle w:val="FootnoteReference"/>
          <w:szCs w:val="21"/>
        </w:rPr>
        <w:footnoteReference w:id="19"/>
      </w:r>
      <w:r w:rsidRPr="00F11A0B">
        <w:t>, voire considérée comme « paranoïaque », non cautionnée par l’</w:t>
      </w:r>
      <w:proofErr w:type="spellStart"/>
      <w:r w:rsidRPr="00F11A0B">
        <w:rPr>
          <w:i/>
        </w:rPr>
        <w:t>intentio</w:t>
      </w:r>
      <w:proofErr w:type="spellEnd"/>
      <w:r w:rsidRPr="00F11A0B">
        <w:rPr>
          <w:i/>
        </w:rPr>
        <w:t xml:space="preserve"> </w:t>
      </w:r>
      <w:proofErr w:type="spellStart"/>
      <w:r w:rsidRPr="00F11A0B">
        <w:rPr>
          <w:i/>
        </w:rPr>
        <w:t>operis</w:t>
      </w:r>
      <w:proofErr w:type="spellEnd"/>
      <w:r w:rsidRPr="00F11A0B">
        <w:t xml:space="preserve">, la lecture erratique respecte la distraction d’un lecteur qui </w:t>
      </w:r>
      <w:r w:rsidR="005D4681">
        <w:t>emprunte son propre</w:t>
      </w:r>
      <w:r w:rsidRPr="00F11A0B">
        <w:t xml:space="preserve"> réseau aléa</w:t>
      </w:r>
      <w:r w:rsidR="005D4681">
        <w:t xml:space="preserve">toire d’inférences </w:t>
      </w:r>
      <w:proofErr w:type="spellStart"/>
      <w:r w:rsidR="005D4681">
        <w:t>lectorales</w:t>
      </w:r>
      <w:proofErr w:type="spellEnd"/>
      <w:r w:rsidR="005D4681">
        <w:t>. C</w:t>
      </w:r>
      <w:r w:rsidRPr="00F11A0B">
        <w:t>es errements peuvent aller jusqu’à ravager le texte et nous amènent à avancer que</w:t>
      </w:r>
      <w:r w:rsidRPr="00F11A0B">
        <w:rPr>
          <w:lang w:val="fr-BE"/>
        </w:rPr>
        <w:t xml:space="preserve"> lire consiste toujours à </w:t>
      </w:r>
      <w:proofErr w:type="spellStart"/>
      <w:r w:rsidRPr="00F11A0B">
        <w:rPr>
          <w:lang w:val="fr-BE"/>
        </w:rPr>
        <w:t>mé</w:t>
      </w:r>
      <w:proofErr w:type="spellEnd"/>
      <w:r w:rsidRPr="00F11A0B">
        <w:rPr>
          <w:lang w:val="fr-BE"/>
        </w:rPr>
        <w:t xml:space="preserve">-lire, </w:t>
      </w:r>
      <w:proofErr w:type="spellStart"/>
      <w:r>
        <w:rPr>
          <w:lang w:val="fr-BE"/>
        </w:rPr>
        <w:t>dé-lire</w:t>
      </w:r>
      <w:proofErr w:type="spellEnd"/>
      <w:r>
        <w:rPr>
          <w:lang w:val="fr-BE"/>
        </w:rPr>
        <w:t xml:space="preserve">, </w:t>
      </w:r>
      <w:proofErr w:type="spellStart"/>
      <w:r>
        <w:rPr>
          <w:lang w:val="fr-BE"/>
        </w:rPr>
        <w:t>contre-lire</w:t>
      </w:r>
      <w:proofErr w:type="spellEnd"/>
      <w:r>
        <w:rPr>
          <w:lang w:val="fr-BE"/>
        </w:rPr>
        <w:t>, tra-lire</w:t>
      </w:r>
      <w:r w:rsidRPr="00F11A0B">
        <w:rPr>
          <w:lang w:val="fr-BE"/>
        </w:rPr>
        <w:t xml:space="preserve">. La lecture </w:t>
      </w:r>
      <w:r w:rsidRPr="00F11A0B">
        <w:t>activerait l’hémisphère droit (siège des affects) plutôt que l’hémisphère gauche (siège de la raison).</w:t>
      </w:r>
    </w:p>
    <w:p w:rsidR="007251A3" w:rsidRDefault="007251A3" w:rsidP="005D4681">
      <w:r>
        <w:rPr>
          <w:lang w:val="fr-BE"/>
        </w:rPr>
        <w:t>L</w:t>
      </w:r>
      <w:r w:rsidRPr="00F11A0B">
        <w:rPr>
          <w:lang w:val="fr-BE"/>
        </w:rPr>
        <w:t xml:space="preserve">es poètes </w:t>
      </w:r>
      <w:proofErr w:type="spellStart"/>
      <w:r w:rsidRPr="00F11A0B">
        <w:rPr>
          <w:i/>
          <w:lang w:val="fr-BE"/>
        </w:rPr>
        <w:t>eraserists</w:t>
      </w:r>
      <w:proofErr w:type="spellEnd"/>
      <w:r>
        <w:rPr>
          <w:i/>
          <w:lang w:val="fr-BE"/>
        </w:rPr>
        <w:t>,</w:t>
      </w:r>
      <w:r w:rsidRPr="00F11A0B">
        <w:rPr>
          <w:lang w:val="fr-BE"/>
        </w:rPr>
        <w:t xml:space="preserve"> qui œuvrent dans le sillage de la poésie lettrée, tels Thom Phillips, </w:t>
      </w:r>
      <w:r w:rsidRPr="00F11A0B">
        <w:t>révèlent par leurs manipulations d’un texte source, le processus de la lecture même. Autrement dit, ils « </w:t>
      </w:r>
      <w:proofErr w:type="spellStart"/>
      <w:r w:rsidRPr="00F11A0B">
        <w:t>artialisent</w:t>
      </w:r>
      <w:proofErr w:type="spellEnd"/>
      <w:r w:rsidRPr="00F11A0B">
        <w:t> » un phénomène quotidien : l’oblitération et le prélèvement</w:t>
      </w:r>
      <w:r>
        <w:rPr>
          <w:rStyle w:val="FootnoteReference"/>
          <w:szCs w:val="21"/>
        </w:rPr>
        <w:footnoteReference w:id="20"/>
      </w:r>
      <w:r>
        <w:t>,</w:t>
      </w:r>
      <w:r w:rsidRPr="00F11A0B">
        <w:t xml:space="preserve"> dans l’agencement spatial du texte</w:t>
      </w:r>
      <w:r>
        <w:t>,</w:t>
      </w:r>
      <w:r w:rsidRPr="00F11A0B">
        <w:t xml:space="preserve"> de « ruisselets » ou de « rivières » de mots, selon les termes de l’auteur.  Nous sommes tous des « </w:t>
      </w:r>
      <w:proofErr w:type="spellStart"/>
      <w:r w:rsidRPr="00F11A0B">
        <w:t>eraserists</w:t>
      </w:r>
      <w:proofErr w:type="spellEnd"/>
      <w:r w:rsidRPr="00F11A0B">
        <w:t> » semble</w:t>
      </w:r>
      <w:r w:rsidRPr="00F11A0B">
        <w:rPr>
          <w:lang w:val="fr-BE"/>
        </w:rPr>
        <w:t xml:space="preserve"> nous rappeler </w:t>
      </w:r>
      <w:r w:rsidRPr="00F11A0B">
        <w:rPr>
          <w:i/>
          <w:lang w:val="fr-BE"/>
        </w:rPr>
        <w:t xml:space="preserve">A </w:t>
      </w:r>
      <w:proofErr w:type="spellStart"/>
      <w:r w:rsidRPr="00F11A0B">
        <w:rPr>
          <w:i/>
          <w:lang w:val="fr-BE"/>
        </w:rPr>
        <w:t>Humument</w:t>
      </w:r>
      <w:proofErr w:type="spellEnd"/>
      <w:r w:rsidRPr="00F11A0B">
        <w:rPr>
          <w:lang w:val="fr-BE"/>
        </w:rPr>
        <w:t xml:space="preserve">. </w:t>
      </w:r>
      <w:r w:rsidRPr="00F11A0B">
        <w:rPr>
          <w:i/>
          <w:lang w:val="fr-BE"/>
        </w:rPr>
        <w:t xml:space="preserve">A </w:t>
      </w:r>
      <w:proofErr w:type="spellStart"/>
      <w:r w:rsidRPr="00F11A0B">
        <w:rPr>
          <w:i/>
          <w:lang w:val="fr-BE"/>
        </w:rPr>
        <w:t>Treated</w:t>
      </w:r>
      <w:proofErr w:type="spellEnd"/>
      <w:r w:rsidRPr="00F11A0B">
        <w:rPr>
          <w:i/>
          <w:lang w:val="fr-BE"/>
        </w:rPr>
        <w:t xml:space="preserve"> </w:t>
      </w:r>
      <w:proofErr w:type="spellStart"/>
      <w:r w:rsidRPr="00F11A0B">
        <w:rPr>
          <w:i/>
          <w:lang w:val="fr-BE"/>
        </w:rPr>
        <w:t>Victorian</w:t>
      </w:r>
      <w:proofErr w:type="spellEnd"/>
      <w:r w:rsidRPr="00F11A0B">
        <w:rPr>
          <w:i/>
          <w:lang w:val="fr-BE"/>
        </w:rPr>
        <w:t xml:space="preserve"> Novel,</w:t>
      </w:r>
      <w:r w:rsidRPr="00F11A0B">
        <w:rPr>
          <w:rFonts w:ascii="Lucida Sans Unicode" w:hAnsi="Lucida Sans Unicode" w:cs="Lucida Sans Unicode"/>
          <w:b/>
          <w:bCs/>
          <w:sz w:val="19"/>
          <w:szCs w:val="19"/>
          <w:shd w:val="clear" w:color="auto" w:fill="FFFFFF"/>
        </w:rPr>
        <w:t xml:space="preserve"> </w:t>
      </w:r>
      <w:r w:rsidRPr="00F11A0B">
        <w:rPr>
          <w:lang w:val="fr-BE"/>
        </w:rPr>
        <w:t>ce</w:t>
      </w:r>
      <w:r w:rsidRPr="00F11A0B">
        <w:t xml:space="preserve"> </w:t>
      </w:r>
      <w:proofErr w:type="spellStart"/>
      <w:r w:rsidRPr="00F11A0B">
        <w:rPr>
          <w:i/>
        </w:rPr>
        <w:t>work</w:t>
      </w:r>
      <w:proofErr w:type="spellEnd"/>
      <w:r w:rsidRPr="00F11A0B">
        <w:rPr>
          <w:i/>
        </w:rPr>
        <w:t xml:space="preserve"> in </w:t>
      </w:r>
      <w:proofErr w:type="spellStart"/>
      <w:r w:rsidRPr="00F11A0B">
        <w:rPr>
          <w:i/>
        </w:rPr>
        <w:t>progress</w:t>
      </w:r>
      <w:proofErr w:type="spellEnd"/>
      <w:r w:rsidRPr="00F11A0B">
        <w:t xml:space="preserve"> entamé en 1966 depuis que Tom Phillips a acquis pour trois pence chez un bouquiniste un roman victorien de 1892, </w:t>
      </w:r>
      <w:r w:rsidRPr="00F11A0B">
        <w:rPr>
          <w:i/>
        </w:rPr>
        <w:t xml:space="preserve">A Human </w:t>
      </w:r>
      <w:r w:rsidRPr="005C3196">
        <w:rPr>
          <w:i/>
        </w:rPr>
        <w:t>Document </w:t>
      </w:r>
      <w:r w:rsidRPr="005C3196">
        <w:t xml:space="preserve">de William </w:t>
      </w:r>
      <w:proofErr w:type="spellStart"/>
      <w:r w:rsidRPr="005C3196">
        <w:t>Hurrell</w:t>
      </w:r>
      <w:proofErr w:type="spellEnd"/>
      <w:r w:rsidRPr="005C3196">
        <w:t xml:space="preserve"> </w:t>
      </w:r>
      <w:proofErr w:type="spellStart"/>
      <w:r w:rsidRPr="005C3196">
        <w:t>Mallock</w:t>
      </w:r>
      <w:proofErr w:type="spellEnd"/>
      <w:r w:rsidRPr="005C3196">
        <w:t>, et qu’il s’est mis à coller, découper, créer une nouvelle version</w:t>
      </w:r>
      <w:r w:rsidRPr="005C3196">
        <w:rPr>
          <w:rStyle w:val="FootnoteReference"/>
          <w:szCs w:val="21"/>
        </w:rPr>
        <w:footnoteReference w:id="21"/>
      </w:r>
      <w:r w:rsidR="005D4681">
        <w:t>, et « </w:t>
      </w:r>
      <w:r w:rsidRPr="005C3196">
        <w:t xml:space="preserve"> il est vite devenu évident qu’il était possible de renforcer l’unité du mot et de l’image, qui se trouveraient entrelacés comme dans une miniature médiévale</w:t>
      </w:r>
      <w:r w:rsidR="005D4681">
        <w:t> »</w:t>
      </w:r>
      <w:r w:rsidRPr="005C3196">
        <w:rPr>
          <w:rStyle w:val="FootnoteReference"/>
          <w:sz w:val="16"/>
          <w:szCs w:val="16"/>
        </w:rPr>
        <w:footnoteReference w:id="22"/>
      </w:r>
      <w:r w:rsidRPr="005C3196">
        <w:t xml:space="preserve">. </w:t>
      </w:r>
    </w:p>
    <w:p w:rsidR="007251A3" w:rsidRPr="00F93EEE" w:rsidRDefault="007251A3" w:rsidP="007251A3">
      <w:r w:rsidRPr="005C3196">
        <w:t xml:space="preserve">L’une des multiples manipulations aboutit à la création de « personnages textuels », tel </w:t>
      </w:r>
      <w:r w:rsidRPr="005C3196">
        <w:rPr>
          <w:i/>
        </w:rPr>
        <w:t>Bill Toge</w:t>
      </w:r>
      <w:r w:rsidRPr="005C3196">
        <w:t>, dont le nom de famille provient du mot « </w:t>
      </w:r>
      <w:proofErr w:type="spellStart"/>
      <w:r w:rsidRPr="005C3196">
        <w:rPr>
          <w:rStyle w:val="Emphasis"/>
          <w:szCs w:val="21"/>
        </w:rPr>
        <w:t>together</w:t>
      </w:r>
      <w:proofErr w:type="spellEnd"/>
      <w:r w:rsidRPr="005C3196">
        <w:t> » ou « </w:t>
      </w:r>
      <w:proofErr w:type="spellStart"/>
      <w:r w:rsidRPr="005C3196">
        <w:rPr>
          <w:rStyle w:val="Emphasis"/>
          <w:szCs w:val="21"/>
        </w:rPr>
        <w:t>altogether</w:t>
      </w:r>
      <w:proofErr w:type="spellEnd"/>
      <w:r w:rsidRPr="005C3196">
        <w:t xml:space="preserve"> ». L’abondance des allusions sexuelles dans les « poèmes » de Phillips et, de manière plus générale, la volonté, explicite de dévoiler le contenu caché du roman de </w:t>
      </w:r>
      <w:proofErr w:type="spellStart"/>
      <w:r w:rsidRPr="005C3196">
        <w:t>Mallock</w:t>
      </w:r>
      <w:proofErr w:type="spellEnd"/>
      <w:r w:rsidRPr="005C3196">
        <w:t xml:space="preserve"> (« </w:t>
      </w:r>
      <w:proofErr w:type="spellStart"/>
      <w:r w:rsidRPr="005C3196">
        <w:rPr>
          <w:rStyle w:val="Emphasis"/>
          <w:szCs w:val="21"/>
        </w:rPr>
        <w:t>that</w:t>
      </w:r>
      <w:proofErr w:type="spellEnd"/>
      <w:r>
        <w:rPr>
          <w:rStyle w:val="Emphasis"/>
          <w:szCs w:val="21"/>
        </w:rPr>
        <w:t xml:space="preserve"> </w:t>
      </w:r>
      <w:r w:rsidRPr="005C3196">
        <w:rPr>
          <w:rStyle w:val="Emphasis"/>
          <w:szCs w:val="21"/>
        </w:rPr>
        <w:t>/</w:t>
      </w:r>
      <w:r>
        <w:rPr>
          <w:rStyle w:val="Emphasis"/>
          <w:szCs w:val="21"/>
        </w:rPr>
        <w:t xml:space="preserve"> </w:t>
      </w:r>
      <w:proofErr w:type="spellStart"/>
      <w:r w:rsidRPr="005C3196">
        <w:rPr>
          <w:rStyle w:val="Emphasis"/>
          <w:szCs w:val="21"/>
        </w:rPr>
        <w:t>which</w:t>
      </w:r>
      <w:proofErr w:type="spellEnd"/>
      <w:r>
        <w:rPr>
          <w:rStyle w:val="Emphasis"/>
          <w:szCs w:val="21"/>
        </w:rPr>
        <w:t xml:space="preserve"> </w:t>
      </w:r>
      <w:r w:rsidRPr="005C3196">
        <w:rPr>
          <w:rStyle w:val="Emphasis"/>
          <w:szCs w:val="21"/>
        </w:rPr>
        <w:t>/</w:t>
      </w:r>
      <w:r>
        <w:rPr>
          <w:rStyle w:val="Emphasis"/>
          <w:szCs w:val="21"/>
        </w:rPr>
        <w:t xml:space="preserve"> </w:t>
      </w:r>
      <w:proofErr w:type="spellStart"/>
      <w:r w:rsidRPr="005C3196">
        <w:rPr>
          <w:rStyle w:val="Emphasis"/>
          <w:szCs w:val="21"/>
        </w:rPr>
        <w:t>he</w:t>
      </w:r>
      <w:proofErr w:type="spellEnd"/>
      <w:r>
        <w:rPr>
          <w:rStyle w:val="Emphasis"/>
          <w:szCs w:val="21"/>
        </w:rPr>
        <w:t xml:space="preserve"> </w:t>
      </w:r>
      <w:r w:rsidRPr="005C3196">
        <w:rPr>
          <w:rStyle w:val="Emphasis"/>
          <w:szCs w:val="21"/>
        </w:rPr>
        <w:t>/</w:t>
      </w:r>
      <w:r>
        <w:rPr>
          <w:rStyle w:val="Emphasis"/>
          <w:szCs w:val="21"/>
        </w:rPr>
        <w:t xml:space="preserve"> </w:t>
      </w:r>
      <w:proofErr w:type="spellStart"/>
      <w:r w:rsidRPr="005C3196">
        <w:rPr>
          <w:rStyle w:val="Emphasis"/>
          <w:szCs w:val="21"/>
        </w:rPr>
        <w:t>hid</w:t>
      </w:r>
      <w:proofErr w:type="spellEnd"/>
      <w:r>
        <w:rPr>
          <w:rStyle w:val="Emphasis"/>
          <w:szCs w:val="21"/>
        </w:rPr>
        <w:t xml:space="preserve"> </w:t>
      </w:r>
      <w:r w:rsidRPr="005C3196">
        <w:rPr>
          <w:rStyle w:val="Emphasis"/>
          <w:szCs w:val="21"/>
        </w:rPr>
        <w:t>/</w:t>
      </w:r>
      <w:r>
        <w:rPr>
          <w:rStyle w:val="Emphasis"/>
          <w:szCs w:val="21"/>
        </w:rPr>
        <w:t xml:space="preserve"> </w:t>
      </w:r>
      <w:proofErr w:type="spellStart"/>
      <w:r w:rsidRPr="005C3196">
        <w:rPr>
          <w:rStyle w:val="Emphasis"/>
          <w:szCs w:val="21"/>
        </w:rPr>
        <w:t>reveal</w:t>
      </w:r>
      <w:proofErr w:type="spellEnd"/>
      <w:r>
        <w:rPr>
          <w:rStyle w:val="Emphasis"/>
          <w:szCs w:val="21"/>
        </w:rPr>
        <w:t xml:space="preserve"> </w:t>
      </w:r>
      <w:r w:rsidRPr="005C3196">
        <w:rPr>
          <w:rStyle w:val="Emphasis"/>
          <w:szCs w:val="21"/>
        </w:rPr>
        <w:t>/I</w:t>
      </w:r>
      <w:r w:rsidRPr="005C3196">
        <w:t> ») invitent à établir que</w:t>
      </w:r>
      <w:r w:rsidRPr="005C3196">
        <w:rPr>
          <w:rStyle w:val="Emphasis"/>
          <w:szCs w:val="21"/>
        </w:rPr>
        <w:t xml:space="preserve"> A </w:t>
      </w:r>
      <w:proofErr w:type="spellStart"/>
      <w:r w:rsidRPr="005C3196">
        <w:rPr>
          <w:rStyle w:val="Emphasis"/>
          <w:szCs w:val="21"/>
        </w:rPr>
        <w:t>Humument</w:t>
      </w:r>
      <w:proofErr w:type="spellEnd"/>
      <w:r w:rsidRPr="005C3196">
        <w:t> « psychanalyse »</w:t>
      </w:r>
      <w:r w:rsidRPr="005C3196">
        <w:rPr>
          <w:rStyle w:val="FootnoteReference"/>
          <w:szCs w:val="21"/>
        </w:rPr>
        <w:footnoteReference w:id="23"/>
      </w:r>
      <w:r w:rsidRPr="005C3196">
        <w:t xml:space="preserve"> le texte-source – « exhume » l’arrière-texte, pourrions-nous dire –, notamment en y décelant les </w:t>
      </w:r>
      <w:r w:rsidRPr="005C3196">
        <w:lastRenderedPageBreak/>
        <w:t xml:space="preserve">symptômes d’une frustration psycho-sexuelle enfouie sous le vernis d’une respectabilité en apparence toute victorienne. Une apparition « timide » de </w:t>
      </w:r>
      <w:r w:rsidRPr="005C3196">
        <w:rPr>
          <w:i/>
        </w:rPr>
        <w:t xml:space="preserve">Bill Toge </w:t>
      </w:r>
      <w:r w:rsidRPr="005C3196">
        <w:t>le voit en train de regarder sous la robe d’une</w:t>
      </w:r>
      <w:r>
        <w:t xml:space="preserve"> dame, mouvement </w:t>
      </w:r>
      <w:r w:rsidRPr="00F93EEE">
        <w:t>auquel celle-ci répond avec « un empressement digne » : « </w:t>
      </w:r>
      <w:r w:rsidRPr="00F93EEE">
        <w:rPr>
          <w:rStyle w:val="Emphasis"/>
          <w:szCs w:val="21"/>
        </w:rPr>
        <w:t xml:space="preserve">scan the sofa,/to </w:t>
      </w:r>
      <w:proofErr w:type="spellStart"/>
      <w:r w:rsidRPr="00F93EEE">
        <w:rPr>
          <w:rStyle w:val="Emphasis"/>
          <w:szCs w:val="21"/>
        </w:rPr>
        <w:t>see</w:t>
      </w:r>
      <w:proofErr w:type="spellEnd"/>
      <w:r w:rsidRPr="00F93EEE">
        <w:rPr>
          <w:rStyle w:val="Emphasis"/>
          <w:szCs w:val="21"/>
        </w:rPr>
        <w:t>/Miss Markham,/</w:t>
      </w:r>
      <w:proofErr w:type="spellStart"/>
      <w:r w:rsidRPr="00F93EEE">
        <w:rPr>
          <w:rStyle w:val="Emphasis"/>
          <w:szCs w:val="21"/>
        </w:rPr>
        <w:t>raising</w:t>
      </w:r>
      <w:proofErr w:type="spellEnd"/>
      <w:r w:rsidRPr="00F93EEE">
        <w:rPr>
          <w:rStyle w:val="Emphasis"/>
          <w:szCs w:val="21"/>
        </w:rPr>
        <w:t xml:space="preserve"> </w:t>
      </w:r>
      <w:proofErr w:type="spellStart"/>
      <w:r w:rsidRPr="00F93EEE">
        <w:rPr>
          <w:rStyle w:val="Emphasis"/>
          <w:szCs w:val="21"/>
        </w:rPr>
        <w:t>her</w:t>
      </w:r>
      <w:proofErr w:type="spellEnd"/>
      <w:r w:rsidRPr="00F93EEE">
        <w:rPr>
          <w:rStyle w:val="Emphasis"/>
          <w:szCs w:val="21"/>
        </w:rPr>
        <w:t>/</w:t>
      </w:r>
      <w:proofErr w:type="spellStart"/>
      <w:r w:rsidRPr="00F93EEE">
        <w:rPr>
          <w:rStyle w:val="Emphasis"/>
          <w:szCs w:val="21"/>
        </w:rPr>
        <w:t>dress</w:t>
      </w:r>
      <w:proofErr w:type="spellEnd"/>
      <w:r w:rsidRPr="00F93EEE">
        <w:rPr>
          <w:rStyle w:val="Emphasis"/>
          <w:szCs w:val="21"/>
        </w:rPr>
        <w:t>/</w:t>
      </w:r>
      <w:proofErr w:type="spellStart"/>
      <w:r w:rsidRPr="00F93EEE">
        <w:rPr>
          <w:rStyle w:val="Emphasis"/>
          <w:szCs w:val="21"/>
        </w:rPr>
        <w:t>half-parted</w:t>
      </w:r>
      <w:proofErr w:type="spellEnd"/>
      <w:r w:rsidRPr="00F93EEE">
        <w:t> »</w:t>
      </w:r>
      <w:r w:rsidRPr="00F93EEE">
        <w:rPr>
          <w:b/>
          <w:bCs/>
        </w:rPr>
        <w:t xml:space="preserve"> </w:t>
      </w:r>
      <w:r w:rsidRPr="00F93EEE">
        <w:rPr>
          <w:bCs/>
        </w:rPr>
        <w:t>(</w:t>
      </w:r>
      <w:r w:rsidRPr="00F93EEE">
        <w:t>« scrute le sofa,</w:t>
      </w:r>
      <w:r w:rsidR="005D4681">
        <w:t>/pour apercevoir/Miss Markham,/</w:t>
      </w:r>
      <w:r w:rsidRPr="00F93EEE">
        <w:t>soulevant sa robe »</w:t>
      </w:r>
      <w:r w:rsidRPr="00F93EEE">
        <w:rPr>
          <w:rStyle w:val="FootnoteReference"/>
          <w:szCs w:val="21"/>
        </w:rPr>
        <w:footnoteReference w:id="24"/>
      </w:r>
      <w:r w:rsidRPr="00F93EEE">
        <w:t xml:space="preserve">). Il arrive que le texte-source, dans sa discursivité complexe, demeure toujours lisible sous la surface du poème peint par Phillips. Certains lecteurs seront en effet tentés de « relire » les parties effacées afin de satisfaire leur curiosité et, souvent, d’apprécier la relation de contraste ironique qui se noue entre la conventionalité et la bienséance victoriennes manifestes dans </w:t>
      </w:r>
      <w:r w:rsidRPr="00F93EEE">
        <w:rPr>
          <w:rStyle w:val="Emphasis"/>
          <w:szCs w:val="21"/>
        </w:rPr>
        <w:t>A Human Document</w:t>
      </w:r>
      <w:r w:rsidR="005D4681">
        <w:t xml:space="preserve"> et les connotations espiègles </w:t>
      </w:r>
      <w:r w:rsidRPr="00F93EEE">
        <w:t>suggérées par les « bulles poétiques »</w:t>
      </w:r>
      <w:r w:rsidRPr="00F93EEE">
        <w:rPr>
          <w:rStyle w:val="FootnoteReference"/>
          <w:szCs w:val="21"/>
        </w:rPr>
        <w:footnoteReference w:id="25"/>
      </w:r>
      <w:r w:rsidRPr="00F93EEE">
        <w:t xml:space="preserve"> de Phillips.</w:t>
      </w:r>
      <w:r>
        <w:t xml:space="preserve"> Cet </w:t>
      </w:r>
      <w:proofErr w:type="spellStart"/>
      <w:r w:rsidRPr="00F93EEE">
        <w:rPr>
          <w:i/>
        </w:rPr>
        <w:t>eraserist</w:t>
      </w:r>
      <w:proofErr w:type="spellEnd"/>
      <w:r w:rsidRPr="00F93EEE">
        <w:t xml:space="preserve"> attire en tous cas notre regard sur la matérialité du texte et démantèle toute linéarité.</w:t>
      </w:r>
    </w:p>
    <w:p w:rsidR="007251A3" w:rsidRPr="00F11A0B" w:rsidRDefault="007251A3" w:rsidP="007251A3">
      <w:pPr>
        <w:spacing w:line="360" w:lineRule="auto"/>
        <w:rPr>
          <w:szCs w:val="21"/>
          <w:lang w:val="fr-BE"/>
        </w:rPr>
      </w:pPr>
    </w:p>
    <w:p w:rsidR="007251A3" w:rsidRPr="00F11A0B" w:rsidRDefault="007251A3" w:rsidP="007251A3">
      <w:pPr>
        <w:pStyle w:val="Heading2"/>
        <w:rPr>
          <w:rFonts w:eastAsia="Times New Roman"/>
          <w:kern w:val="36"/>
          <w:lang w:eastAsia="fr-BE"/>
        </w:rPr>
      </w:pPr>
      <w:r w:rsidRPr="00F11A0B">
        <w:rPr>
          <w:rFonts w:eastAsia="Times New Roman"/>
          <w:kern w:val="36"/>
          <w:lang w:eastAsia="fr-BE"/>
        </w:rPr>
        <w:t>Les sens (sensorialité)</w:t>
      </w:r>
    </w:p>
    <w:p w:rsidR="007251A3" w:rsidRDefault="007251A3" w:rsidP="007251A3">
      <w:pPr>
        <w:pStyle w:val="NoSpacing"/>
        <w:spacing w:line="360" w:lineRule="auto"/>
        <w:jc w:val="both"/>
        <w:rPr>
          <w:rFonts w:ascii="Times New Roman" w:hAnsi="Times New Roman" w:cs="Times New Roman"/>
          <w:b/>
          <w:bCs/>
          <w:sz w:val="20"/>
          <w:szCs w:val="20"/>
        </w:rPr>
      </w:pPr>
    </w:p>
    <w:p w:rsidR="007251A3" w:rsidRDefault="006A786B" w:rsidP="007251A3">
      <w:pPr>
        <w:rPr>
          <w:color w:val="000000" w:themeColor="text1"/>
          <w:lang w:val="fr-BE"/>
        </w:rPr>
      </w:pPr>
      <w:r w:rsidRPr="00D64EDF">
        <w:t xml:space="preserve">Apprendre à lire très vite, c’est possible, mais hélas au détriment des sens et du sens. </w:t>
      </w:r>
      <w:r w:rsidR="007251A3" w:rsidRPr="00D64EDF">
        <w:t>Nous vivons à l’ère du</w:t>
      </w:r>
      <w:r w:rsidR="00C941A9">
        <w:t xml:space="preserve"> fast-</w:t>
      </w:r>
      <w:proofErr w:type="spellStart"/>
      <w:r w:rsidR="00C941A9">
        <w:t>reading</w:t>
      </w:r>
      <w:proofErr w:type="spellEnd"/>
      <w:r w:rsidR="00C941A9">
        <w:t>,</w:t>
      </w:r>
      <w:r w:rsidR="007251A3" w:rsidRPr="00D64EDF">
        <w:t xml:space="preserve"> </w:t>
      </w:r>
      <w:r w:rsidR="00C941A9">
        <w:t>u</w:t>
      </w:r>
      <w:r w:rsidR="007251A3" w:rsidRPr="00D64EDF">
        <w:t xml:space="preserve">ne ère aux rythmes frénétiques qui scandent notre respiration, notre nutrition, nos sentiments et bien sûr notre façon de lire. </w:t>
      </w:r>
      <w:r w:rsidR="007251A3" w:rsidRPr="00D64EDF">
        <w:rPr>
          <w:color w:val="000000" w:themeColor="text1"/>
          <w:lang w:val="fr-BE"/>
        </w:rPr>
        <w:t>Un lecteur moyen lit entre 200 et 400 mots à la minute. Avec les flux d’informations sur les réseaux sociaux, la myriade de livres édités chaque semaine et l’afflux continuel de courriels</w:t>
      </w:r>
      <w:r w:rsidR="008A30B6">
        <w:rPr>
          <w:color w:val="000000" w:themeColor="text1"/>
          <w:lang w:val="fr-BE"/>
        </w:rPr>
        <w:t>,</w:t>
      </w:r>
      <w:r w:rsidR="007251A3" w:rsidRPr="00D64EDF">
        <w:rPr>
          <w:color w:val="000000" w:themeColor="text1"/>
          <w:lang w:val="fr-BE"/>
        </w:rPr>
        <w:t xml:space="preserve"> apprendre à ingurgiter plusieurs milliers de mots à la minute pourrait représenter un atout indéniable. Depuis quelques années</w:t>
      </w:r>
      <w:r w:rsidR="007251A3">
        <w:rPr>
          <w:color w:val="000000" w:themeColor="text1"/>
          <w:lang w:val="fr-BE"/>
        </w:rPr>
        <w:t>,</w:t>
      </w:r>
      <w:r w:rsidR="007251A3" w:rsidRPr="00D64EDF">
        <w:rPr>
          <w:color w:val="000000" w:themeColor="text1"/>
          <w:lang w:val="fr-BE"/>
        </w:rPr>
        <w:t xml:space="preserve"> le web regorge d’articles de blog, de vidéos YouTube, de logiciels et de softwares à l’instar de Spritz qui font miroiter des méthodes d’apprentissage infaillibles. Elizabeth </w:t>
      </w:r>
      <w:proofErr w:type="spellStart"/>
      <w:r w:rsidR="007251A3" w:rsidRPr="00D64EDF">
        <w:rPr>
          <w:color w:val="000000" w:themeColor="text1"/>
          <w:lang w:val="fr-BE"/>
        </w:rPr>
        <w:t>Schotter</w:t>
      </w:r>
      <w:proofErr w:type="spellEnd"/>
      <w:r w:rsidR="007251A3" w:rsidRPr="00D64EDF">
        <w:rPr>
          <w:color w:val="000000" w:themeColor="text1"/>
          <w:lang w:val="fr-BE"/>
        </w:rPr>
        <w:t xml:space="preserve"> assure </w:t>
      </w:r>
      <w:r w:rsidR="00C941A9">
        <w:rPr>
          <w:color w:val="000000" w:themeColor="text1"/>
          <w:lang w:val="fr-BE"/>
        </w:rPr>
        <w:t xml:space="preserve">cependant </w:t>
      </w:r>
      <w:proofErr w:type="spellStart"/>
      <w:r w:rsidR="007251A3" w:rsidRPr="00D64EDF">
        <w:rPr>
          <w:color w:val="000000" w:themeColor="text1"/>
          <w:lang w:val="fr-BE"/>
        </w:rPr>
        <w:t>qu</w:t>
      </w:r>
      <w:proofErr w:type="spellEnd"/>
      <w:r w:rsidR="007251A3" w:rsidRPr="00D64EDF">
        <w:rPr>
          <w:color w:val="000000" w:themeColor="text1"/>
        </w:rPr>
        <w:t>’aucun être humain ne peut lire 1000 ou 2000 mots par minute et maintenir le même niveau de compréhension qu’il a à 200 ou 400 mots par minute</w:t>
      </w:r>
      <w:r w:rsidR="007251A3" w:rsidRPr="00D64EDF">
        <w:rPr>
          <w:rStyle w:val="FootnoteReference"/>
          <w:bCs/>
          <w:color w:val="000000" w:themeColor="text1"/>
          <w:szCs w:val="21"/>
        </w:rPr>
        <w:footnoteReference w:id="26"/>
      </w:r>
      <w:r w:rsidR="00C941A9">
        <w:rPr>
          <w:color w:val="000000" w:themeColor="text1"/>
        </w:rPr>
        <w:t xml:space="preserve">. Steven </w:t>
      </w:r>
      <w:proofErr w:type="spellStart"/>
      <w:r w:rsidR="00C941A9">
        <w:rPr>
          <w:color w:val="000000" w:themeColor="text1"/>
        </w:rPr>
        <w:t>Pinker</w:t>
      </w:r>
      <w:proofErr w:type="spellEnd"/>
      <w:r w:rsidR="00C941A9">
        <w:rPr>
          <w:color w:val="000000" w:themeColor="text1"/>
        </w:rPr>
        <w:t xml:space="preserve"> </w:t>
      </w:r>
      <w:r w:rsidR="007251A3" w:rsidRPr="00D64EDF">
        <w:rPr>
          <w:color w:val="000000" w:themeColor="text1"/>
        </w:rPr>
        <w:t>affirme</w:t>
      </w:r>
      <w:r w:rsidR="00C941A9">
        <w:rPr>
          <w:color w:val="000000" w:themeColor="text1"/>
        </w:rPr>
        <w:t xml:space="preserve"> en outre </w:t>
      </w:r>
      <w:r w:rsidR="007251A3" w:rsidRPr="00D64EDF">
        <w:rPr>
          <w:color w:val="000000" w:themeColor="text1"/>
        </w:rPr>
        <w:t>que</w:t>
      </w:r>
      <w:r w:rsidR="007251A3">
        <w:rPr>
          <w:color w:val="000000" w:themeColor="text1"/>
        </w:rPr>
        <w:t>,</w:t>
      </w:r>
      <w:r w:rsidR="007251A3" w:rsidRPr="00D64EDF">
        <w:rPr>
          <w:color w:val="000000" w:themeColor="text1"/>
        </w:rPr>
        <w:t xml:space="preserve"> contrairement à la parole, la lecture est « cognitivement contre-nature »</w:t>
      </w:r>
      <w:r w:rsidR="007251A3" w:rsidRPr="00D64EDF">
        <w:rPr>
          <w:rStyle w:val="FootnoteReference"/>
          <w:bCs/>
          <w:color w:val="000000" w:themeColor="text1"/>
          <w:szCs w:val="21"/>
        </w:rPr>
        <w:footnoteReference w:id="27"/>
      </w:r>
      <w:r w:rsidR="007251A3" w:rsidRPr="00D64EDF">
        <w:rPr>
          <w:color w:val="000000" w:themeColor="text1"/>
        </w:rPr>
        <w:t>.</w:t>
      </w:r>
      <w:r w:rsidR="007251A3" w:rsidRPr="00D64EDF">
        <w:rPr>
          <w:color w:val="000000" w:themeColor="text1"/>
          <w:lang w:val="fr-LU"/>
        </w:rPr>
        <w:t xml:space="preserve"> </w:t>
      </w:r>
      <w:r w:rsidR="007251A3">
        <w:rPr>
          <w:color w:val="000000" w:themeColor="text1"/>
          <w:lang w:val="fr-BE"/>
        </w:rPr>
        <w:t>Celle-ci</w:t>
      </w:r>
      <w:r w:rsidR="007251A3" w:rsidRPr="00D64EDF">
        <w:rPr>
          <w:color w:val="000000" w:themeColor="text1"/>
          <w:lang w:val="fr-BE"/>
        </w:rPr>
        <w:t xml:space="preserve"> implique de nombreux processu</w:t>
      </w:r>
      <w:r w:rsidR="007251A3">
        <w:rPr>
          <w:color w:val="000000" w:themeColor="text1"/>
          <w:lang w:val="fr-BE"/>
        </w:rPr>
        <w:t>s mentaux et visuels</w:t>
      </w:r>
      <w:r w:rsidR="00C941A9">
        <w:rPr>
          <w:color w:val="000000" w:themeColor="text1"/>
          <w:lang w:val="fr-BE"/>
        </w:rPr>
        <w:t xml:space="preserve"> qui s’appuient sur le langage et</w:t>
      </w:r>
      <w:r w:rsidR="007251A3" w:rsidRPr="00D64EDF">
        <w:rPr>
          <w:color w:val="000000" w:themeColor="text1"/>
          <w:lang w:val="fr-BE"/>
        </w:rPr>
        <w:t xml:space="preserve"> que la plupart des techniques de lecture rapide ignorent. L’une de ces techniques est la suppression de la « subvocalisation ». Lorsque nous apprenons à lire nous le faisons à haute voix, au fur et à mesure que l’apprentissage avance nous apprenons à lire en silence, mais une voix subsiste intérieurement. Cette suppression va de pair avec une baisse du niveau de compréhension. </w:t>
      </w:r>
    </w:p>
    <w:p w:rsidR="007251A3" w:rsidRPr="00D64EDF" w:rsidRDefault="007251A3" w:rsidP="007251A3">
      <w:r w:rsidRPr="00D64EDF">
        <w:t>Tahar Ben Jelloun est l’écrivain des sens au sens de sensor</w:t>
      </w:r>
      <w:r w:rsidRPr="007251A3">
        <w:t>i</w:t>
      </w:r>
      <w:r w:rsidRPr="00D64EDF">
        <w:t xml:space="preserve">alité, mais aussi le poète du sens caché et profond, du double sens et de l’essence des mots. Il accorde une place essentielle au dynamisme de la parole et à la tradition orale. </w:t>
      </w:r>
      <w:r w:rsidRPr="00621AF6">
        <w:rPr>
          <w:color w:val="000000" w:themeColor="text1"/>
        </w:rPr>
        <w:t>Écrivain « public »</w:t>
      </w:r>
      <w:r w:rsidRPr="00621AF6">
        <w:rPr>
          <w:rStyle w:val="FootnoteReference"/>
          <w:bCs/>
          <w:color w:val="000000" w:themeColor="text1"/>
          <w:szCs w:val="21"/>
        </w:rPr>
        <w:footnoteReference w:id="28"/>
      </w:r>
      <w:r w:rsidRPr="00621AF6">
        <w:rPr>
          <w:color w:val="000000" w:themeColor="text1"/>
        </w:rPr>
        <w:t xml:space="preserve"> dans la mesure où il refuse le silence approbateur et se fait le porte-parole des marginaux bâillonnés de notre société, </w:t>
      </w:r>
      <w:r w:rsidRPr="00621AF6">
        <w:t>Ben</w:t>
      </w:r>
      <w:r w:rsidRPr="00D64EDF">
        <w:t xml:space="preserve"> Jelloun est d’abord un conteur, un homme qui par sa « sorcellerie évocatoire » anime l’imagination du lecteur. </w:t>
      </w:r>
      <w:r w:rsidR="00770657">
        <w:t xml:space="preserve"> La texture du conte </w:t>
      </w:r>
      <w:proofErr w:type="spellStart"/>
      <w:r w:rsidR="00770657">
        <w:t>benjellounien</w:t>
      </w:r>
      <w:proofErr w:type="spellEnd"/>
      <w:r w:rsidR="00770657">
        <w:t xml:space="preserve"> allie</w:t>
      </w:r>
      <w:r w:rsidRPr="00D64EDF">
        <w:t xml:space="preserve"> </w:t>
      </w:r>
      <w:r>
        <w:t>l’</w:t>
      </w:r>
      <w:r w:rsidRPr="00D64EDF">
        <w:t xml:space="preserve">oral et </w:t>
      </w:r>
      <w:r>
        <w:t xml:space="preserve">le </w:t>
      </w:r>
      <w:r w:rsidRPr="00D64EDF">
        <w:t>scriptural faisant ainsi du conteur l’entité matricielle.</w:t>
      </w:r>
      <w:r w:rsidR="00770657">
        <w:t xml:space="preserve"> L</w:t>
      </w:r>
      <w:r>
        <w:t xml:space="preserve">e récit </w:t>
      </w:r>
      <w:r w:rsidRPr="00D64EDF">
        <w:t xml:space="preserve">n’est pas </w:t>
      </w:r>
      <w:r>
        <w:t>simple soierie verbale, mais aussi</w:t>
      </w:r>
      <w:r w:rsidRPr="00D64EDF">
        <w:t xml:space="preserve"> regards, grimaces, </w:t>
      </w:r>
      <w:r>
        <w:t>gestes et</w:t>
      </w:r>
      <w:r w:rsidRPr="00D64EDF">
        <w:t xml:space="preserve"> silences</w:t>
      </w:r>
      <w:r w:rsidR="00770657">
        <w:t>. L’</w:t>
      </w:r>
      <w:r>
        <w:t>écriture</w:t>
      </w:r>
      <w:r w:rsidRPr="00D64EDF">
        <w:t xml:space="preserve"> emprunte à l’oral ses procédés et son pouvoir d’envoûtement, pouvoir d’un écrivain charmant et charmeur qui tient son </w:t>
      </w:r>
      <w:r>
        <w:t>lecteur sous l’emprise</w:t>
      </w:r>
      <w:r w:rsidRPr="00D64EDF">
        <w:t xml:space="preserve"> de sa plume à la façon </w:t>
      </w:r>
      <w:r w:rsidR="00770657">
        <w:t>d’un troubadour ou d’un tribun, ce qui nous fait croire qu’elle s’</w:t>
      </w:r>
      <w:r w:rsidRPr="00D64EDF">
        <w:t xml:space="preserve">inspire du </w:t>
      </w:r>
      <w:proofErr w:type="spellStart"/>
      <w:r w:rsidRPr="00D64EDF">
        <w:t>Halqa</w:t>
      </w:r>
      <w:proofErr w:type="spellEnd"/>
      <w:r w:rsidRPr="00D64EDF">
        <w:t xml:space="preserve">, </w:t>
      </w:r>
      <w:r w:rsidR="00770657">
        <w:rPr>
          <w:color w:val="333333"/>
        </w:rPr>
        <w:t xml:space="preserve">mot arabe qui </w:t>
      </w:r>
      <w:r w:rsidRPr="00D64EDF">
        <w:rPr>
          <w:color w:val="333333"/>
        </w:rPr>
        <w:t>désigne une pratique orale ayant vu le jour au Maroc et signifiant « théâtre en rond »</w:t>
      </w:r>
      <w:r w:rsidRPr="00D64EDF">
        <w:t>. Pour certains</w:t>
      </w:r>
      <w:r>
        <w:t>,</w:t>
      </w:r>
      <w:r w:rsidRPr="00D64EDF">
        <w:t xml:space="preserve"> le </w:t>
      </w:r>
      <w:proofErr w:type="spellStart"/>
      <w:r w:rsidRPr="00D64EDF">
        <w:t>Halqa</w:t>
      </w:r>
      <w:proofErr w:type="spellEnd"/>
      <w:r w:rsidRPr="00D64EDF">
        <w:t xml:space="preserve"> représente un art, pour d’autres</w:t>
      </w:r>
      <w:r>
        <w:t>,</w:t>
      </w:r>
      <w:r w:rsidRPr="00D64EDF">
        <w:t xml:space="preserve"> </w:t>
      </w:r>
      <w:r>
        <w:t>un gagne-pain</w:t>
      </w:r>
      <w:r w:rsidRPr="00D64EDF">
        <w:t>, pratiqué pa</w:t>
      </w:r>
      <w:r>
        <w:t>r des conteurs s’apparentant aux</w:t>
      </w:r>
      <w:r w:rsidRPr="00D64EDF">
        <w:t xml:space="preserve"> aèdes de la Grèce antique dans les places publiques et les souks. </w:t>
      </w:r>
    </w:p>
    <w:p w:rsidR="007251A3" w:rsidRDefault="007251A3" w:rsidP="007251A3">
      <w:r w:rsidRPr="00D64EDF">
        <w:t xml:space="preserve">Dans son </w:t>
      </w:r>
      <w:proofErr w:type="spellStart"/>
      <w:r w:rsidRPr="00D64EDF">
        <w:t>picto</w:t>
      </w:r>
      <w:proofErr w:type="spellEnd"/>
      <w:r w:rsidRPr="00D64EDF">
        <w:t xml:space="preserve">-récit </w:t>
      </w:r>
      <w:r w:rsidRPr="00D64EDF">
        <w:rPr>
          <w:i/>
        </w:rPr>
        <w:t>Le labyrinthe des sentiments</w:t>
      </w:r>
      <w:r w:rsidRPr="00D64EDF">
        <w:t xml:space="preserve">, </w:t>
      </w:r>
      <w:r>
        <w:t>l’auteur-</w:t>
      </w:r>
      <w:r w:rsidRPr="00D64EDF">
        <w:t>funambule entre le scriptural et l’oral</w:t>
      </w:r>
      <w:r>
        <w:t xml:space="preserve"> met en scène un corps qui est</w:t>
      </w:r>
      <w:r w:rsidRPr="00D64EDF">
        <w:t xml:space="preserve"> à la fois le voluptueux sujet et objet de la lecture. Celle-ci exige lenteur (</w:t>
      </w:r>
      <w:r w:rsidRPr="00D64EDF">
        <w:rPr>
          <w:i/>
        </w:rPr>
        <w:t xml:space="preserve">slow </w:t>
      </w:r>
      <w:proofErr w:type="spellStart"/>
      <w:r w:rsidRPr="00D64EDF">
        <w:rPr>
          <w:i/>
        </w:rPr>
        <w:t>reading</w:t>
      </w:r>
      <w:proofErr w:type="spellEnd"/>
      <w:r w:rsidRPr="00D64EDF">
        <w:t>) et proximité (</w:t>
      </w:r>
      <w:r w:rsidRPr="00D64EDF">
        <w:rPr>
          <w:i/>
        </w:rPr>
        <w:t xml:space="preserve">close </w:t>
      </w:r>
      <w:proofErr w:type="spellStart"/>
      <w:r w:rsidRPr="00D64EDF">
        <w:rPr>
          <w:i/>
        </w:rPr>
        <w:t>reading</w:t>
      </w:r>
      <w:proofErr w:type="spellEnd"/>
      <w:r w:rsidRPr="00D64EDF">
        <w:t>) :</w:t>
      </w:r>
    </w:p>
    <w:p w:rsidR="00770657" w:rsidRPr="00D64EDF" w:rsidRDefault="00770657" w:rsidP="007251A3"/>
    <w:p w:rsidR="007251A3" w:rsidRPr="00D64EDF" w:rsidRDefault="007251A3" w:rsidP="00770657">
      <w:pPr>
        <w:pStyle w:val="Quote"/>
        <w:spacing w:before="0" w:after="0" w:line="240" w:lineRule="auto"/>
      </w:pPr>
      <w:r w:rsidRPr="00D64EDF">
        <w:t xml:space="preserve">Je tendis la main pour prendre son exemplaire et lui écrire un petit mot, elle le retint et le fourra dans son sac, se pencha vers moi et me dit en arabe : </w:t>
      </w:r>
    </w:p>
    <w:p w:rsidR="007251A3" w:rsidRPr="00D64EDF" w:rsidRDefault="007251A3" w:rsidP="00770657">
      <w:pPr>
        <w:pStyle w:val="Quote"/>
        <w:spacing w:before="0" w:after="0" w:line="240" w:lineRule="auto"/>
      </w:pPr>
      <w:r w:rsidRPr="00D64EDF">
        <w:t>Ta signature, je la veux entre mes cuisses, sur mon pubis, il est épilé et attend que tu y graves ta dédicace. Si tu laisses ton empreinte là, je ne pourrais plus jamais ouvrir mes jambes à quelqu’un d’autre que toi.</w:t>
      </w:r>
    </w:p>
    <w:p w:rsidR="007251A3" w:rsidRPr="00D64EDF" w:rsidRDefault="007251A3" w:rsidP="00770657">
      <w:pPr>
        <w:pStyle w:val="Quote"/>
        <w:spacing w:before="0" w:after="0" w:line="240" w:lineRule="auto"/>
      </w:pPr>
      <w:r w:rsidRPr="00D64EDF">
        <w:t>Avec quoi devrai-je faire la dédicace ?</w:t>
      </w:r>
    </w:p>
    <w:p w:rsidR="007251A3" w:rsidRPr="008A30B6" w:rsidRDefault="007251A3" w:rsidP="00770657">
      <w:pPr>
        <w:pStyle w:val="Quote"/>
        <w:spacing w:before="0" w:after="0" w:line="240" w:lineRule="auto"/>
      </w:pPr>
      <w:r w:rsidRPr="008A30B6">
        <w:lastRenderedPageBreak/>
        <w:t>Avec ton corps.</w:t>
      </w:r>
      <w:r w:rsidRPr="008A30B6">
        <w:rPr>
          <w:rStyle w:val="FootnoteReference"/>
          <w:szCs w:val="21"/>
          <w:vertAlign w:val="baseline"/>
        </w:rPr>
        <w:t xml:space="preserve"> </w:t>
      </w:r>
      <w:r w:rsidRPr="008A30B6">
        <w:rPr>
          <w:rStyle w:val="FootnoteReference"/>
          <w:szCs w:val="16"/>
          <w:vertAlign w:val="baseline"/>
        </w:rPr>
        <w:footnoteReference w:id="29"/>
      </w:r>
    </w:p>
    <w:p w:rsidR="007251A3" w:rsidRPr="00DC1493" w:rsidRDefault="007251A3" w:rsidP="007251A3">
      <w:pPr>
        <w:outlineLvl w:val="0"/>
        <w:rPr>
          <w:rFonts w:ascii="Goudy Old Style" w:hAnsi="Goudy Old Style" w:cs="Arial"/>
          <w:bCs/>
          <w:kern w:val="36"/>
          <w:sz w:val="20"/>
          <w:szCs w:val="20"/>
          <w:lang w:eastAsia="fr-BE"/>
        </w:rPr>
      </w:pPr>
    </w:p>
    <w:p w:rsidR="007251A3" w:rsidRPr="00F11A0B" w:rsidRDefault="007251A3" w:rsidP="007251A3">
      <w:pPr>
        <w:pStyle w:val="Heading1"/>
      </w:pPr>
      <w:r w:rsidRPr="00F11A0B">
        <w:t xml:space="preserve">Le </w:t>
      </w:r>
      <w:proofErr w:type="spellStart"/>
      <w:r w:rsidRPr="00F11A0B">
        <w:t>dé-lectant</w:t>
      </w:r>
      <w:proofErr w:type="spellEnd"/>
    </w:p>
    <w:p w:rsidR="007251A3" w:rsidRDefault="007251A3" w:rsidP="007251A3">
      <w:pPr>
        <w:spacing w:line="360" w:lineRule="auto"/>
        <w:ind w:firstLine="708"/>
        <w:rPr>
          <w:szCs w:val="21"/>
        </w:rPr>
      </w:pPr>
    </w:p>
    <w:p w:rsidR="003A66F7" w:rsidRDefault="007251A3" w:rsidP="0054036D">
      <w:r w:rsidRPr="00F11A0B">
        <w:t xml:space="preserve">Michel Picard invente trois instances lectrices qui empruntent au mode verbal (le </w:t>
      </w:r>
      <w:r w:rsidRPr="00F93EEE">
        <w:rPr>
          <w:i/>
        </w:rPr>
        <w:t>liseur</w:t>
      </w:r>
      <w:r w:rsidRPr="00F11A0B">
        <w:t xml:space="preserve">/actif, le </w:t>
      </w:r>
      <w:r w:rsidRPr="00F93EEE">
        <w:rPr>
          <w:i/>
        </w:rPr>
        <w:t>lu</w:t>
      </w:r>
      <w:r w:rsidRPr="00F11A0B">
        <w:t xml:space="preserve">/passif, le </w:t>
      </w:r>
      <w:proofErr w:type="spellStart"/>
      <w:r w:rsidRPr="00F93EEE">
        <w:rPr>
          <w:i/>
        </w:rPr>
        <w:t>lectant</w:t>
      </w:r>
      <w:proofErr w:type="spellEnd"/>
      <w:r w:rsidRPr="00F11A0B">
        <w:t>/gérondif)</w:t>
      </w:r>
      <w:r w:rsidRPr="00F11A0B">
        <w:rPr>
          <w:rStyle w:val="FootnoteReference"/>
          <w:szCs w:val="21"/>
        </w:rPr>
        <w:footnoteReference w:id="30"/>
      </w:r>
      <w:r w:rsidRPr="00F11A0B">
        <w:t xml:space="preserve">. Cette tripartition n’est pas sans rapport avec la triade lacanienne </w:t>
      </w:r>
      <w:r>
        <w:t xml:space="preserve">– </w:t>
      </w:r>
      <w:r w:rsidRPr="00F11A0B">
        <w:t>Réel, Imaginaire, Symbolique</w:t>
      </w:r>
      <w:r>
        <w:t xml:space="preserve"> –</w:t>
      </w:r>
      <w:r w:rsidRPr="00F11A0B">
        <w:t>, comme le remarque Trouvé</w:t>
      </w:r>
      <w:r w:rsidRPr="00F11A0B">
        <w:rPr>
          <w:rStyle w:val="FootnoteReference"/>
          <w:szCs w:val="21"/>
        </w:rPr>
        <w:footnoteReference w:id="31"/>
      </w:r>
      <w:r w:rsidRPr="00F11A0B">
        <w:t>. Nous aimerions y ajouter une quatrième posture</w:t>
      </w:r>
      <w:r w:rsidR="0054036D">
        <w:t xml:space="preserve">, celle du </w:t>
      </w:r>
      <w:proofErr w:type="spellStart"/>
      <w:r w:rsidR="0054036D" w:rsidRPr="00F93EEE">
        <w:rPr>
          <w:i/>
        </w:rPr>
        <w:t>dé-lectant</w:t>
      </w:r>
      <w:proofErr w:type="spellEnd"/>
      <w:r w:rsidR="0054036D">
        <w:t xml:space="preserve"> – proche de</w:t>
      </w:r>
      <w:r w:rsidR="0054036D" w:rsidRPr="00F11A0B">
        <w:t xml:space="preserve"> la « voix moyenne »</w:t>
      </w:r>
      <w:r w:rsidR="0054036D" w:rsidRPr="00F11A0B">
        <w:rPr>
          <w:rStyle w:val="FootnoteReference"/>
          <w:bCs/>
          <w:szCs w:val="21"/>
          <w:lang w:val="fr-BE"/>
        </w:rPr>
        <w:t xml:space="preserve"> </w:t>
      </w:r>
      <w:r w:rsidR="0054036D">
        <w:t>du grec ancien</w:t>
      </w:r>
      <w:r w:rsidR="0054036D" w:rsidRPr="00F11A0B">
        <w:t>, celle où l’action est considérée dans l’intérêt du sujet ou se répercutant sur lui</w:t>
      </w:r>
      <w:r w:rsidR="0054036D" w:rsidRPr="00F11A0B">
        <w:rPr>
          <w:rStyle w:val="FootnoteReference"/>
          <w:bCs/>
          <w:szCs w:val="21"/>
          <w:lang w:val="fr-BE"/>
        </w:rPr>
        <w:footnoteReference w:id="32"/>
      </w:r>
      <w:r w:rsidR="0054036D" w:rsidRPr="00F11A0B">
        <w:t>–</w:t>
      </w:r>
      <w:r w:rsidR="0054036D">
        <w:t>, où s’agrègeraien</w:t>
      </w:r>
      <w:r w:rsidR="0054036D" w:rsidRPr="00F11A0B">
        <w:t>t le texte</w:t>
      </w:r>
      <w:r w:rsidR="0054036D">
        <w:t xml:space="preserve"> tuteur</w:t>
      </w:r>
      <w:r w:rsidR="0054036D" w:rsidRPr="00F11A0B">
        <w:t xml:space="preserve"> et les apports du lecteur</w:t>
      </w:r>
      <w:r w:rsidR="003A66F7">
        <w:t xml:space="preserve">, et qui verrait la </w:t>
      </w:r>
      <w:r w:rsidRPr="00F11A0B">
        <w:t>singularité de son appréhension s’y amarre</w:t>
      </w:r>
      <w:r w:rsidR="003A66F7">
        <w:t>r</w:t>
      </w:r>
      <w:r w:rsidRPr="00F11A0B">
        <w:t xml:space="preserve"> ou s’y adosse</w:t>
      </w:r>
      <w:r w:rsidR="003A66F7">
        <w:t>r</w:t>
      </w:r>
      <w:r w:rsidRPr="00F11A0B">
        <w:t>, comme si le poème avait activé en lui une envie d’écrire à son tour.</w:t>
      </w:r>
    </w:p>
    <w:p w:rsidR="007251A3" w:rsidRPr="0054036D" w:rsidRDefault="00D64A39" w:rsidP="0054036D">
      <w:pPr>
        <w:rPr>
          <w:lang w:val="fr-BE"/>
        </w:rPr>
      </w:pPr>
      <w:r>
        <w:t xml:space="preserve">Certains didacticiens actuels préconisent </w:t>
      </w:r>
      <w:r w:rsidR="003A66F7">
        <w:t xml:space="preserve">ce genre de greffe textuelle afin </w:t>
      </w:r>
      <w:r w:rsidR="007251A3" w:rsidRPr="00F11A0B">
        <w:t xml:space="preserve">de déjouer les blocages et les réticences des </w:t>
      </w:r>
      <w:r>
        <w:t>« apprenants »</w:t>
      </w:r>
      <w:r w:rsidR="007251A3" w:rsidRPr="00F11A0B">
        <w:t xml:space="preserve"> f</w:t>
      </w:r>
      <w:r w:rsidR="007251A3">
        <w:t>ace à la lecture. Magali Brunel</w:t>
      </w:r>
      <w:r w:rsidR="007251A3">
        <w:rPr>
          <w:rStyle w:val="FootnoteReference"/>
          <w:szCs w:val="21"/>
        </w:rPr>
        <w:footnoteReference w:id="33"/>
      </w:r>
      <w:r w:rsidR="007251A3">
        <w:t xml:space="preserve"> a ainsi </w:t>
      </w:r>
      <w:r w:rsidR="007251A3" w:rsidRPr="00F11A0B">
        <w:t>invité des élèves de troisième en difficulté à écrire directement dans un texte d’écrivain et à opér</w:t>
      </w:r>
      <w:r w:rsidR="003A66F7">
        <w:t xml:space="preserve">er des manipulations à l’écran, </w:t>
      </w:r>
      <w:r w:rsidR="007251A3" w:rsidRPr="00F11A0B">
        <w:t xml:space="preserve">selon un protocole précis, </w:t>
      </w:r>
      <w:r w:rsidR="007251A3" w:rsidRPr="008B423B">
        <w:rPr>
          <w:i/>
        </w:rPr>
        <w:t>couper-copier-coller-déplacer-amplifier</w:t>
      </w:r>
      <w:r w:rsidR="003A66F7">
        <w:t xml:space="preserve"> le texte premier. </w:t>
      </w:r>
      <w:r w:rsidR="007251A3" w:rsidRPr="00F11A0B">
        <w:t>À titre d’exemple</w:t>
      </w:r>
      <w:r w:rsidR="007251A3">
        <w:t xml:space="preserve">, face à </w:t>
      </w:r>
      <w:r w:rsidR="007251A3" w:rsidRPr="00F11A0B">
        <w:t>l’extrait d’</w:t>
      </w:r>
      <w:r w:rsidR="007251A3" w:rsidRPr="00F11A0B">
        <w:rPr>
          <w:i/>
        </w:rPr>
        <w:t>Après le livre</w:t>
      </w:r>
      <w:r w:rsidR="007251A3" w:rsidRPr="00F11A0B">
        <w:t xml:space="preserve"> où François Bon explique le rangement de sa bibliothèque, une élève est intervenue dans la matrice textuelle et y a inséré son propre classement (non plus de livres mais de musiques). Par ce biais, les élèves s’approprient le texte, le prolongent et apprennent à se raconter. Le </w:t>
      </w:r>
      <w:r w:rsidR="007251A3">
        <w:rPr>
          <w:i/>
        </w:rPr>
        <w:t>dé</w:t>
      </w:r>
      <w:r w:rsidR="007251A3" w:rsidRPr="00780FCA">
        <w:rPr>
          <w:i/>
        </w:rPr>
        <w:t>lectant</w:t>
      </w:r>
      <w:r w:rsidR="007251A3" w:rsidRPr="00F11A0B">
        <w:t xml:space="preserve">, par son travail d’immersion dans la matière textuelle redevient, ce faisant, sujet autonome et non plus objet soumis à des dictats pédagogiques ou à une prédation marchande. </w:t>
      </w:r>
    </w:p>
    <w:p w:rsidR="007251A3" w:rsidRPr="00F11A0B" w:rsidRDefault="007251A3" w:rsidP="007251A3">
      <w:pPr>
        <w:rPr>
          <w:b/>
          <w:bCs/>
        </w:rPr>
      </w:pPr>
      <w:r w:rsidRPr="00F11A0B">
        <w:t xml:space="preserve">On le voit, le </w:t>
      </w:r>
      <w:r>
        <w:rPr>
          <w:i/>
        </w:rPr>
        <w:t>dé</w:t>
      </w:r>
      <w:r w:rsidRPr="00780FCA">
        <w:rPr>
          <w:i/>
        </w:rPr>
        <w:t>lectant</w:t>
      </w:r>
      <w:r w:rsidRPr="00F11A0B">
        <w:t xml:space="preserve"> entre dans un dialogue avec le texte mais impose la singularité de son appropriation idiosyncrasique, voire reste dans le « soliloque »</w:t>
      </w:r>
      <w:r w:rsidRPr="00F11A0B">
        <w:rPr>
          <w:rStyle w:val="FootnoteReference"/>
          <w:szCs w:val="21"/>
        </w:rPr>
        <w:footnoteReference w:id="34"/>
      </w:r>
      <w:r w:rsidRPr="00F11A0B">
        <w:t xml:space="preserve">, une des modalités de l’âme lectrice selon le théologien du moyen âge Abélard invoquées par Pascal Quignard dans la plaquette </w:t>
      </w:r>
      <w:r w:rsidRPr="00F11A0B">
        <w:rPr>
          <w:i/>
        </w:rPr>
        <w:t>Le lecteur</w:t>
      </w:r>
      <w:r w:rsidRPr="00F11A0B">
        <w:t xml:space="preserve">. Le </w:t>
      </w:r>
      <w:r w:rsidRPr="00780FCA">
        <w:rPr>
          <w:i/>
        </w:rPr>
        <w:t>délectant</w:t>
      </w:r>
      <w:r w:rsidRPr="00F11A0B">
        <w:t xml:space="preserve"> est doublement </w:t>
      </w:r>
      <w:r w:rsidRPr="00F11A0B">
        <w:rPr>
          <w:i/>
        </w:rPr>
        <w:t>ravi</w:t>
      </w:r>
      <w:r w:rsidRPr="00F11A0B">
        <w:t xml:space="preserve">, </w:t>
      </w:r>
      <w:r w:rsidRPr="00F11A0B">
        <w:rPr>
          <w:i/>
        </w:rPr>
        <w:t>ravi</w:t>
      </w:r>
      <w:r w:rsidRPr="00F11A0B">
        <w:t xml:space="preserve"> de ce qu’il lit, </w:t>
      </w:r>
      <w:r w:rsidRPr="00F11A0B">
        <w:rPr>
          <w:i/>
        </w:rPr>
        <w:t>ravi</w:t>
      </w:r>
      <w:r w:rsidRPr="00F11A0B">
        <w:t xml:space="preserve"> à la fois </w:t>
      </w:r>
      <w:r w:rsidR="003A66F7">
        <w:t xml:space="preserve">hors </w:t>
      </w:r>
      <w:r w:rsidRPr="00F11A0B">
        <w:t xml:space="preserve">du monde et du livre dont il s’émancipe. </w:t>
      </w:r>
    </w:p>
    <w:p w:rsidR="007251A3" w:rsidRPr="00F11A0B" w:rsidRDefault="007251A3" w:rsidP="007251A3">
      <w:pPr>
        <w:spacing w:line="360" w:lineRule="auto"/>
        <w:outlineLvl w:val="0"/>
        <w:rPr>
          <w:bCs/>
          <w:kern w:val="36"/>
          <w:szCs w:val="21"/>
          <w:lang w:val="fr-BE" w:eastAsia="fr-BE"/>
        </w:rPr>
      </w:pPr>
    </w:p>
    <w:p w:rsidR="007251A3" w:rsidRPr="00F11A0B" w:rsidRDefault="007251A3" w:rsidP="007251A3">
      <w:pPr>
        <w:pStyle w:val="ListParagraph"/>
        <w:spacing w:after="0" w:line="360" w:lineRule="auto"/>
        <w:jc w:val="both"/>
        <w:rPr>
          <w:rFonts w:ascii="Times New Roman" w:hAnsi="Times New Roman"/>
          <w:b/>
          <w:sz w:val="21"/>
          <w:szCs w:val="21"/>
        </w:rPr>
      </w:pPr>
    </w:p>
    <w:p w:rsidR="007251A3" w:rsidRPr="00F11A0B" w:rsidRDefault="007251A3" w:rsidP="007251A3">
      <w:r w:rsidRPr="00F11A0B">
        <w:t xml:space="preserve">En guise de point d’orgue, apportons </w:t>
      </w:r>
      <w:r>
        <w:t xml:space="preserve">toutefois </w:t>
      </w:r>
      <w:r w:rsidRPr="00F11A0B">
        <w:t xml:space="preserve">une nuance afin d’éviter que le </w:t>
      </w:r>
      <w:r w:rsidRPr="00780FCA">
        <w:rPr>
          <w:i/>
        </w:rPr>
        <w:t>délectant</w:t>
      </w:r>
      <w:r w:rsidRPr="00F11A0B">
        <w:t xml:space="preserve"> soit reçu comme une apologie d’une nouvelle herméneutique qui exempterait le lecteur et le critique d’un travail sur le signifiant.</w:t>
      </w:r>
      <w:r w:rsidRPr="00F11A0B">
        <w:rPr>
          <w:lang w:val="fr-BE"/>
        </w:rPr>
        <w:t xml:space="preserve"> Denis Bertrand pose</w:t>
      </w:r>
      <w:r>
        <w:rPr>
          <w:lang w:val="fr-BE"/>
        </w:rPr>
        <w:t xml:space="preserve"> à juste titre, nous semble-t-il, </w:t>
      </w:r>
      <w:r w:rsidRPr="00F11A0B">
        <w:rPr>
          <w:lang w:val="fr-BE"/>
        </w:rPr>
        <w:t xml:space="preserve">des garde-fous à un tournant phénoménologique, sensible et surtout pragmatique, qui passerait outre les propriétés formelles et la triple suspension – référentielle (le réel fonctionne comme un langage), différentielle (chacun opère des sélectons perceptives ou actantielles) et </w:t>
      </w:r>
      <w:proofErr w:type="spellStart"/>
      <w:r w:rsidRPr="00F11A0B">
        <w:rPr>
          <w:lang w:val="fr-BE"/>
        </w:rPr>
        <w:t>subjectale</w:t>
      </w:r>
      <w:proofErr w:type="spellEnd"/>
      <w:r w:rsidRPr="00F11A0B">
        <w:rPr>
          <w:lang w:val="fr-BE"/>
        </w:rPr>
        <w:t xml:space="preserve"> (un écran de sens se tisse entre le sujet et la lumière trop crue du réel) – qui garantit le principe d’immanence, ainsi qu’une certaine </w:t>
      </w:r>
      <w:proofErr w:type="spellStart"/>
      <w:r w:rsidRPr="00F11A0B">
        <w:rPr>
          <w:lang w:val="fr-BE"/>
        </w:rPr>
        <w:t>autotélicité</w:t>
      </w:r>
      <w:proofErr w:type="spellEnd"/>
      <w:r w:rsidRPr="00F11A0B">
        <w:rPr>
          <w:lang w:val="fr-BE"/>
        </w:rPr>
        <w:t xml:space="preserve">. Par une belle analyse du classement cétologique dans </w:t>
      </w:r>
      <w:r w:rsidRPr="00F11A0B">
        <w:rPr>
          <w:i/>
          <w:lang w:val="fr-BE"/>
        </w:rPr>
        <w:t>Moby Dick</w:t>
      </w:r>
      <w:r w:rsidRPr="00F11A0B">
        <w:rPr>
          <w:lang w:val="fr-BE"/>
        </w:rPr>
        <w:t xml:space="preserve"> de Melville, dont certaines baleines ne seraient « que des sons, pleins de fureur </w:t>
      </w:r>
      <w:proofErr w:type="spellStart"/>
      <w:r w:rsidRPr="00F11A0B">
        <w:rPr>
          <w:lang w:val="fr-BE"/>
        </w:rPr>
        <w:t>léviathanesque</w:t>
      </w:r>
      <w:proofErr w:type="spellEnd"/>
      <w:r w:rsidRPr="00F11A0B">
        <w:rPr>
          <w:lang w:val="fr-BE"/>
        </w:rPr>
        <w:t>, mais qui ne signifient rien », « de purs petits drapeaux lexicaux »</w:t>
      </w:r>
      <w:r w:rsidRPr="00F11A0B">
        <w:rPr>
          <w:rStyle w:val="FootnoteReference"/>
          <w:szCs w:val="21"/>
          <w:lang w:val="fr-BE"/>
        </w:rPr>
        <w:footnoteReference w:id="35"/>
      </w:r>
      <w:r w:rsidRPr="00F11A0B">
        <w:rPr>
          <w:lang w:val="fr-BE"/>
        </w:rPr>
        <w:t>, de purs signifiants en somme, Bertrand en arrive à la conclusion que « [l]’attitude herméneutique a pour limite la confiance qu’elle fait à la langue de bien dire le réel ; l’attitude sémiotique suspend cette confiance et entreprend d’objectiver les formes qui la suscitent »</w:t>
      </w:r>
      <w:r w:rsidRPr="00F11A0B">
        <w:rPr>
          <w:rStyle w:val="FootnoteReference"/>
          <w:szCs w:val="21"/>
          <w:lang w:val="fr-BE"/>
        </w:rPr>
        <w:footnoteReference w:id="36"/>
      </w:r>
      <w:r w:rsidRPr="00F11A0B">
        <w:rPr>
          <w:lang w:val="fr-BE"/>
        </w:rPr>
        <w:t xml:space="preserve">. Le signifiant est en dernière analyse le véhicule conventionnel de la visée d’un objet qui se refuse dans sa donation perceptive. Ce plaidoyer pour la littérarité et l’immanence n’est pas un retour au textualisme, </w:t>
      </w:r>
      <w:r>
        <w:rPr>
          <w:lang w:val="fr-BE"/>
        </w:rPr>
        <w:t>mais un avertissement. De même, d</w:t>
      </w:r>
      <w:r w:rsidRPr="00F11A0B">
        <w:rPr>
          <w:lang w:val="fr-BE"/>
        </w:rPr>
        <w:t xml:space="preserve">ans le pragmatisme et l’empirisme en vigueur dans l’enseignement, laissant libre cours à l’initiative de </w:t>
      </w:r>
      <w:r w:rsidR="003A66F7">
        <w:rPr>
          <w:lang w:val="fr-BE"/>
        </w:rPr>
        <w:t>« </w:t>
      </w:r>
      <w:r w:rsidRPr="003A66F7">
        <w:rPr>
          <w:lang w:val="fr-BE"/>
        </w:rPr>
        <w:t>l’apprenant</w:t>
      </w:r>
      <w:r w:rsidR="003A66F7">
        <w:rPr>
          <w:lang w:val="fr-BE"/>
        </w:rPr>
        <w:t> »</w:t>
      </w:r>
      <w:r w:rsidRPr="00F11A0B">
        <w:rPr>
          <w:lang w:val="fr-BE"/>
        </w:rPr>
        <w:t xml:space="preserve">, le moment du recadrage par l’enseignant est essentiel. </w:t>
      </w:r>
      <w:r>
        <w:rPr>
          <w:lang w:val="fr-BE"/>
        </w:rPr>
        <w:t xml:space="preserve">Le </w:t>
      </w:r>
      <w:r w:rsidRPr="00780FCA">
        <w:rPr>
          <w:i/>
          <w:lang w:val="fr-BE"/>
        </w:rPr>
        <w:t>délectant</w:t>
      </w:r>
      <w:r w:rsidRPr="00F11A0B">
        <w:rPr>
          <w:lang w:val="fr-BE"/>
        </w:rPr>
        <w:t xml:space="preserve">, pour autonome qu’il soit, aura toujours à goûter le </w:t>
      </w:r>
      <w:r w:rsidRPr="00F11A0B">
        <w:rPr>
          <w:lang w:val="fr-BE"/>
        </w:rPr>
        <w:lastRenderedPageBreak/>
        <w:t xml:space="preserve">style, à animer, par sa lecture même, la poétique/poïétique intrinsèque au texte, sans quoi l’on quitterait le domaine de la lecture littéraire. </w:t>
      </w:r>
    </w:p>
    <w:p w:rsidR="007251A3" w:rsidRPr="00F11A0B" w:rsidRDefault="007251A3" w:rsidP="007251A3">
      <w:pPr>
        <w:spacing w:line="360" w:lineRule="auto"/>
        <w:rPr>
          <w:szCs w:val="21"/>
          <w:lang w:val="fr-BE"/>
        </w:rPr>
      </w:pPr>
    </w:p>
    <w:p w:rsidR="007251A3" w:rsidRPr="00F11A0B" w:rsidRDefault="007251A3" w:rsidP="007251A3">
      <w:pPr>
        <w:spacing w:line="360" w:lineRule="auto"/>
        <w:ind w:left="5664" w:firstLine="708"/>
        <w:rPr>
          <w:szCs w:val="21"/>
          <w:lang w:val="fr-BE"/>
        </w:rPr>
      </w:pPr>
      <w:r w:rsidRPr="00F11A0B">
        <w:rPr>
          <w:szCs w:val="21"/>
          <w:lang w:val="fr-BE"/>
        </w:rPr>
        <w:t>Université du Luxembourg</w:t>
      </w:r>
    </w:p>
    <w:p w:rsidR="00882FCA" w:rsidRPr="007251A3" w:rsidRDefault="00882FCA" w:rsidP="007251A3"/>
    <w:sectPr w:rsidR="00882FCA" w:rsidRPr="007251A3" w:rsidSect="007C6393">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20B" w:rsidRDefault="0030120B" w:rsidP="00882FCA">
      <w:r>
        <w:separator/>
      </w:r>
    </w:p>
  </w:endnote>
  <w:endnote w:type="continuationSeparator" w:id="0">
    <w:p w:rsidR="0030120B" w:rsidRDefault="0030120B" w:rsidP="0088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Segoe UI Semilight"/>
    <w:charset w:val="00"/>
    <w:family w:val="swiss"/>
    <w:pitch w:val="variable"/>
    <w:sig w:usb0="00000000" w:usb1="00000000" w:usb2="00000000" w:usb3="00000000" w:csb0="000001F7" w:csb1="00000000"/>
  </w:font>
  <w:font w:name="Verdana">
    <w:panose1 w:val="020B0604030504040204"/>
    <w:charset w:val="00"/>
    <w:family w:val="swiss"/>
    <w:pitch w:val="variable"/>
    <w:sig w:usb0="A0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752901"/>
      <w:docPartObj>
        <w:docPartGallery w:val="Page Numbers (Bottom of Page)"/>
        <w:docPartUnique/>
      </w:docPartObj>
    </w:sdtPr>
    <w:sdtEndPr>
      <w:rPr>
        <w:noProof/>
      </w:rPr>
    </w:sdtEndPr>
    <w:sdtContent>
      <w:p w:rsidR="008F3DB4" w:rsidRDefault="006E1E24">
        <w:pPr>
          <w:pStyle w:val="Footer"/>
          <w:jc w:val="right"/>
        </w:pPr>
        <w:r>
          <w:fldChar w:fldCharType="begin"/>
        </w:r>
        <w:r w:rsidR="00EF108C">
          <w:instrText xml:space="preserve"> PAGE   \* MERGEFORMAT </w:instrText>
        </w:r>
        <w:r>
          <w:fldChar w:fldCharType="separate"/>
        </w:r>
        <w:r w:rsidR="003A66F7">
          <w:rPr>
            <w:noProof/>
          </w:rPr>
          <w:t>6</w:t>
        </w:r>
        <w:r>
          <w:rPr>
            <w:noProof/>
          </w:rPr>
          <w:fldChar w:fldCharType="end"/>
        </w:r>
      </w:p>
    </w:sdtContent>
  </w:sdt>
  <w:p w:rsidR="008F3DB4" w:rsidRDefault="00301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20B" w:rsidRDefault="0030120B" w:rsidP="00882FCA">
      <w:r>
        <w:separator/>
      </w:r>
    </w:p>
  </w:footnote>
  <w:footnote w:type="continuationSeparator" w:id="0">
    <w:p w:rsidR="0030120B" w:rsidRDefault="0030120B" w:rsidP="00882FCA">
      <w:r>
        <w:continuationSeparator/>
      </w:r>
    </w:p>
  </w:footnote>
  <w:footnote w:id="1">
    <w:p w:rsidR="007251A3" w:rsidRPr="0054255E" w:rsidRDefault="007251A3" w:rsidP="007251A3">
      <w:pPr>
        <w:pStyle w:val="FootnoteText"/>
        <w:rPr>
          <w:szCs w:val="16"/>
          <w:lang w:val="en-US"/>
        </w:rPr>
      </w:pPr>
      <w:r w:rsidRPr="0054255E">
        <w:rPr>
          <w:rStyle w:val="FootnoteReference"/>
          <w:szCs w:val="16"/>
        </w:rPr>
        <w:footnoteRef/>
      </w:r>
      <w:r w:rsidRPr="0054255E">
        <w:rPr>
          <w:szCs w:val="16"/>
          <w:lang w:val="en-US"/>
        </w:rPr>
        <w:t xml:space="preserve"> James Joyce, Finnegan’s Wake, 1939, University of Adelaide, 2014,</w:t>
      </w:r>
    </w:p>
    <w:p w:rsidR="007251A3" w:rsidRPr="0054255E" w:rsidRDefault="007251A3" w:rsidP="007251A3">
      <w:pPr>
        <w:pStyle w:val="FootnoteText"/>
        <w:rPr>
          <w:szCs w:val="16"/>
        </w:rPr>
      </w:pPr>
      <w:r w:rsidRPr="0054255E">
        <w:rPr>
          <w:szCs w:val="16"/>
          <w:lang w:val="en-US"/>
        </w:rPr>
        <w:t xml:space="preserve"> </w:t>
      </w:r>
      <w:hyperlink r:id="rId1" w:history="1">
        <w:r w:rsidRPr="0054255E">
          <w:rPr>
            <w:rStyle w:val="Hyperlink"/>
            <w:rFonts w:eastAsiaTheme="majorEastAsia"/>
            <w:szCs w:val="16"/>
          </w:rPr>
          <w:t>https://ebooks.adelaide.edu.au/j/joyce/james/j8f/episode5.html I,5</w:t>
        </w:r>
      </w:hyperlink>
      <w:r w:rsidRPr="0054255E">
        <w:rPr>
          <w:szCs w:val="16"/>
        </w:rPr>
        <w:t>, nous soulignons.</w:t>
      </w:r>
    </w:p>
  </w:footnote>
  <w:footnote w:id="2">
    <w:p w:rsidR="007251A3" w:rsidRPr="0054255E" w:rsidRDefault="007251A3" w:rsidP="007251A3">
      <w:pPr>
        <w:pStyle w:val="FootnoteText"/>
        <w:rPr>
          <w:szCs w:val="16"/>
          <w:lang w:val="fr-BE"/>
        </w:rPr>
      </w:pPr>
      <w:r w:rsidRPr="0054255E">
        <w:rPr>
          <w:rStyle w:val="FootnoteReference"/>
          <w:szCs w:val="16"/>
        </w:rPr>
        <w:footnoteRef/>
      </w:r>
      <w:r w:rsidRPr="0054255E">
        <w:rPr>
          <w:szCs w:val="16"/>
        </w:rPr>
        <w:t xml:space="preserve"> </w:t>
      </w:r>
      <w:r w:rsidRPr="0054255E">
        <w:rPr>
          <w:bCs/>
          <w:szCs w:val="16"/>
        </w:rPr>
        <w:t xml:space="preserve">Jacques Derrida, </w:t>
      </w:r>
      <w:r w:rsidRPr="0054255E">
        <w:rPr>
          <w:bCs/>
          <w:i/>
          <w:szCs w:val="16"/>
        </w:rPr>
        <w:t>Ulysse gramophone</w:t>
      </w:r>
      <w:r w:rsidRPr="0054255E">
        <w:rPr>
          <w:bCs/>
          <w:szCs w:val="16"/>
        </w:rPr>
        <w:t xml:space="preserve">, </w:t>
      </w:r>
      <w:r w:rsidRPr="0054255E">
        <w:rPr>
          <w:bCs/>
          <w:i/>
          <w:szCs w:val="16"/>
        </w:rPr>
        <w:t>Deux mots pour Joyce</w:t>
      </w:r>
      <w:r w:rsidRPr="0054255E">
        <w:rPr>
          <w:bCs/>
          <w:szCs w:val="16"/>
        </w:rPr>
        <w:t>, Paris, Galilée, 1987, p. 98.</w:t>
      </w:r>
    </w:p>
  </w:footnote>
  <w:footnote w:id="3">
    <w:p w:rsidR="007251A3" w:rsidRPr="0054255E" w:rsidRDefault="007251A3" w:rsidP="007251A3">
      <w:pPr>
        <w:pStyle w:val="corpus"/>
        <w:spacing w:before="0" w:beforeAutospacing="0" w:after="0" w:afterAutospacing="0"/>
        <w:jc w:val="both"/>
        <w:rPr>
          <w:sz w:val="16"/>
          <w:szCs w:val="16"/>
        </w:rPr>
      </w:pPr>
      <w:r w:rsidRPr="0054255E">
        <w:rPr>
          <w:rStyle w:val="FootnoteReference"/>
          <w:sz w:val="16"/>
          <w:szCs w:val="16"/>
        </w:rPr>
        <w:footnoteRef/>
      </w:r>
      <w:r w:rsidRPr="0054255E">
        <w:rPr>
          <w:sz w:val="16"/>
          <w:szCs w:val="16"/>
        </w:rPr>
        <w:t xml:space="preserve"> Alain Trouvé, </w:t>
      </w:r>
      <w:r w:rsidRPr="0054255E">
        <w:rPr>
          <w:i/>
          <w:iCs/>
          <w:sz w:val="16"/>
          <w:szCs w:val="16"/>
        </w:rPr>
        <w:t>Nouvelles déclinaisons de l’arrière-texte</w:t>
      </w:r>
      <w:r w:rsidRPr="0054255E">
        <w:rPr>
          <w:sz w:val="16"/>
          <w:szCs w:val="16"/>
        </w:rPr>
        <w:t xml:space="preserve">, Reims, Epure, 2018, p. 28. </w:t>
      </w:r>
    </w:p>
  </w:footnote>
  <w:footnote w:id="4">
    <w:p w:rsidR="007251A3" w:rsidRPr="0054255E" w:rsidRDefault="007251A3" w:rsidP="007251A3">
      <w:pPr>
        <w:ind w:firstLine="0"/>
        <w:rPr>
          <w:sz w:val="16"/>
          <w:szCs w:val="16"/>
          <w:lang w:val="fr-BE"/>
        </w:rPr>
      </w:pPr>
      <w:r w:rsidRPr="0054255E">
        <w:rPr>
          <w:rStyle w:val="FootnoteReference"/>
          <w:sz w:val="16"/>
          <w:szCs w:val="16"/>
        </w:rPr>
        <w:footnoteRef/>
      </w:r>
      <w:r w:rsidRPr="0054255E">
        <w:rPr>
          <w:sz w:val="16"/>
          <w:szCs w:val="16"/>
        </w:rPr>
        <w:t xml:space="preserve"> </w:t>
      </w:r>
      <w:r w:rsidRPr="0054255E">
        <w:rPr>
          <w:sz w:val="16"/>
          <w:szCs w:val="16"/>
          <w:lang w:val="fr-BE"/>
        </w:rPr>
        <w:t xml:space="preserve">Jean Portante, « Patineurs (avec Brueghel) », </w:t>
      </w:r>
      <w:r w:rsidRPr="0054255E">
        <w:rPr>
          <w:i/>
          <w:iCs/>
          <w:sz w:val="16"/>
          <w:szCs w:val="16"/>
          <w:lang w:val="fr-BE"/>
        </w:rPr>
        <w:t>La tristesse cosmique</w:t>
      </w:r>
      <w:r w:rsidRPr="0054255E">
        <w:rPr>
          <w:sz w:val="16"/>
          <w:szCs w:val="16"/>
          <w:lang w:val="fr-BE"/>
        </w:rPr>
        <w:t xml:space="preserve">, Esch, Phi, 2017, p.106. </w:t>
      </w:r>
    </w:p>
  </w:footnote>
  <w:footnote w:id="5">
    <w:p w:rsidR="00D17299" w:rsidRPr="0054255E" w:rsidRDefault="00D17299" w:rsidP="00D17299">
      <w:pPr>
        <w:rPr>
          <w:sz w:val="16"/>
          <w:szCs w:val="16"/>
          <w:lang w:val="fr-BE"/>
        </w:rPr>
      </w:pPr>
      <w:r w:rsidRPr="0054255E">
        <w:rPr>
          <w:rStyle w:val="FootnoteReference"/>
          <w:sz w:val="16"/>
          <w:szCs w:val="16"/>
        </w:rPr>
        <w:footnoteRef/>
      </w:r>
      <w:r w:rsidRPr="0054255E">
        <w:rPr>
          <w:sz w:val="16"/>
          <w:szCs w:val="16"/>
        </w:rPr>
        <w:t xml:space="preserve"> </w:t>
      </w:r>
      <w:r w:rsidRPr="0054255E">
        <w:rPr>
          <w:sz w:val="16"/>
          <w:szCs w:val="16"/>
          <w:lang w:val="fr-BE"/>
        </w:rPr>
        <w:t xml:space="preserve">Claude </w:t>
      </w:r>
      <w:proofErr w:type="spellStart"/>
      <w:r w:rsidRPr="0054255E">
        <w:rPr>
          <w:sz w:val="16"/>
          <w:szCs w:val="16"/>
          <w:lang w:val="fr-BE"/>
        </w:rPr>
        <w:t>Gandelman</w:t>
      </w:r>
      <w:proofErr w:type="spellEnd"/>
      <w:r w:rsidRPr="0054255E">
        <w:rPr>
          <w:sz w:val="16"/>
          <w:szCs w:val="16"/>
          <w:lang w:val="fr-BE"/>
        </w:rPr>
        <w:t xml:space="preserve">, </w:t>
      </w:r>
      <w:r w:rsidRPr="0054255E">
        <w:rPr>
          <w:i/>
          <w:iCs/>
          <w:sz w:val="16"/>
          <w:szCs w:val="16"/>
          <w:lang w:val="fr-BE"/>
        </w:rPr>
        <w:t>Le regard dans le texte</w:t>
      </w:r>
      <w:r w:rsidRPr="0054255E">
        <w:rPr>
          <w:sz w:val="16"/>
          <w:szCs w:val="16"/>
          <w:lang w:val="fr-BE"/>
        </w:rPr>
        <w:t xml:space="preserve">, Paris, </w:t>
      </w:r>
      <w:proofErr w:type="spellStart"/>
      <w:r w:rsidRPr="0054255E">
        <w:rPr>
          <w:sz w:val="16"/>
          <w:szCs w:val="16"/>
          <w:lang w:val="fr-BE"/>
        </w:rPr>
        <w:t>Klinksieck</w:t>
      </w:r>
      <w:proofErr w:type="spellEnd"/>
      <w:r w:rsidRPr="0054255E">
        <w:rPr>
          <w:sz w:val="16"/>
          <w:szCs w:val="16"/>
          <w:lang w:val="fr-BE"/>
        </w:rPr>
        <w:t>, 1986, p. 21.</w:t>
      </w:r>
    </w:p>
  </w:footnote>
  <w:footnote w:id="6">
    <w:p w:rsidR="007251A3" w:rsidRPr="0054255E" w:rsidRDefault="007251A3" w:rsidP="007251A3">
      <w:pPr>
        <w:pStyle w:val="FootnoteText"/>
        <w:rPr>
          <w:szCs w:val="16"/>
          <w:lang w:val="fr-BE"/>
        </w:rPr>
      </w:pPr>
      <w:r w:rsidRPr="0054255E">
        <w:rPr>
          <w:rStyle w:val="FootnoteReference"/>
          <w:szCs w:val="16"/>
        </w:rPr>
        <w:footnoteRef/>
      </w:r>
      <w:r w:rsidRPr="0054255E">
        <w:rPr>
          <w:szCs w:val="16"/>
        </w:rPr>
        <w:t xml:space="preserve"> </w:t>
      </w:r>
      <w:r w:rsidRPr="0054255E">
        <w:rPr>
          <w:i/>
          <w:szCs w:val="16"/>
          <w:lang w:val="fr-BE"/>
        </w:rPr>
        <w:t>Ibid</w:t>
      </w:r>
      <w:r w:rsidRPr="0054255E">
        <w:rPr>
          <w:szCs w:val="16"/>
          <w:lang w:val="fr-BE"/>
        </w:rPr>
        <w:t>., p. 24.</w:t>
      </w:r>
    </w:p>
  </w:footnote>
  <w:footnote w:id="7">
    <w:p w:rsidR="007251A3" w:rsidRPr="0054255E" w:rsidRDefault="007251A3" w:rsidP="007251A3">
      <w:pPr>
        <w:pStyle w:val="FootnoteText"/>
        <w:rPr>
          <w:szCs w:val="16"/>
          <w:lang w:val="fr-BE"/>
        </w:rPr>
      </w:pPr>
      <w:r w:rsidRPr="0054255E">
        <w:rPr>
          <w:rStyle w:val="FootnoteReference"/>
          <w:szCs w:val="16"/>
        </w:rPr>
        <w:footnoteRef/>
      </w:r>
      <w:r w:rsidRPr="0054255E">
        <w:rPr>
          <w:szCs w:val="16"/>
        </w:rPr>
        <w:t xml:space="preserve"> </w:t>
      </w:r>
      <w:r w:rsidRPr="0054255E">
        <w:rPr>
          <w:szCs w:val="16"/>
          <w:lang w:val="fr-BE"/>
        </w:rPr>
        <w:t xml:space="preserve">Gilles Deleuze, </w:t>
      </w:r>
      <w:r w:rsidRPr="0054255E">
        <w:rPr>
          <w:i/>
          <w:szCs w:val="16"/>
          <w:lang w:val="fr-BE"/>
        </w:rPr>
        <w:t>Critique et clinique</w:t>
      </w:r>
      <w:r w:rsidRPr="0054255E">
        <w:rPr>
          <w:szCs w:val="16"/>
          <w:lang w:val="fr-BE"/>
        </w:rPr>
        <w:t xml:space="preserve">, Paris, Minuit, 1993, p. 84. </w:t>
      </w:r>
    </w:p>
  </w:footnote>
  <w:footnote w:id="8">
    <w:p w:rsidR="007251A3" w:rsidRPr="0054255E" w:rsidRDefault="007251A3" w:rsidP="007251A3">
      <w:pPr>
        <w:pStyle w:val="FootnoteText"/>
        <w:rPr>
          <w:szCs w:val="16"/>
          <w:lang w:val="fr-BE"/>
        </w:rPr>
      </w:pPr>
      <w:r w:rsidRPr="0054255E">
        <w:rPr>
          <w:rStyle w:val="FootnoteReference"/>
          <w:szCs w:val="16"/>
        </w:rPr>
        <w:footnoteRef/>
      </w:r>
      <w:r w:rsidRPr="0054255E">
        <w:rPr>
          <w:szCs w:val="16"/>
        </w:rPr>
        <w:t xml:space="preserve"> </w:t>
      </w:r>
      <w:r w:rsidRPr="0054255E">
        <w:rPr>
          <w:szCs w:val="16"/>
          <w:lang w:val="fr-BE"/>
        </w:rPr>
        <w:t xml:space="preserve">Félix Guattari </w:t>
      </w:r>
      <w:r w:rsidRPr="0054255E">
        <w:rPr>
          <w:i/>
          <w:szCs w:val="16"/>
          <w:lang w:val="fr-BE"/>
        </w:rPr>
        <w:t>Cartographies schizo-analytiques</w:t>
      </w:r>
      <w:r w:rsidRPr="0054255E">
        <w:rPr>
          <w:szCs w:val="16"/>
          <w:lang w:val="fr-BE"/>
        </w:rPr>
        <w:t>, Paris, Galilée, 1989.</w:t>
      </w:r>
    </w:p>
  </w:footnote>
  <w:footnote w:id="9">
    <w:p w:rsidR="00D17299" w:rsidRPr="0054255E" w:rsidRDefault="00D17299" w:rsidP="00D17299">
      <w:pPr>
        <w:pStyle w:val="FootnoteText"/>
        <w:rPr>
          <w:szCs w:val="16"/>
        </w:rPr>
      </w:pPr>
      <w:r w:rsidRPr="0054255E">
        <w:rPr>
          <w:rStyle w:val="FootnoteReference"/>
          <w:szCs w:val="16"/>
        </w:rPr>
        <w:footnoteRef/>
      </w:r>
      <w:r w:rsidRPr="0054255E">
        <w:rPr>
          <w:szCs w:val="16"/>
        </w:rPr>
        <w:t xml:space="preserve"> </w:t>
      </w:r>
      <w:r w:rsidRPr="0054255E">
        <w:rPr>
          <w:szCs w:val="16"/>
          <w:lang w:val="fr-BE"/>
        </w:rPr>
        <w:t xml:space="preserve">Gilles Deleuze, </w:t>
      </w:r>
      <w:r w:rsidRPr="0054255E">
        <w:rPr>
          <w:i/>
          <w:szCs w:val="16"/>
          <w:lang w:val="fr-BE"/>
        </w:rPr>
        <w:t>Critique et clinique</w:t>
      </w:r>
      <w:r w:rsidRPr="0054255E">
        <w:rPr>
          <w:szCs w:val="16"/>
          <w:lang w:val="fr-BE"/>
        </w:rPr>
        <w:t xml:space="preserve">, </w:t>
      </w:r>
      <w:r w:rsidRPr="0054255E">
        <w:rPr>
          <w:i/>
          <w:szCs w:val="16"/>
          <w:lang w:val="fr-BE"/>
        </w:rPr>
        <w:t xml:space="preserve">op. </w:t>
      </w:r>
      <w:proofErr w:type="spellStart"/>
      <w:proofErr w:type="gramStart"/>
      <w:r w:rsidRPr="0054255E">
        <w:rPr>
          <w:i/>
          <w:szCs w:val="16"/>
          <w:lang w:val="fr-BE"/>
        </w:rPr>
        <w:t>cit</w:t>
      </w:r>
      <w:proofErr w:type="spellEnd"/>
      <w:proofErr w:type="gramEnd"/>
      <w:r w:rsidRPr="0054255E">
        <w:rPr>
          <w:i/>
          <w:szCs w:val="16"/>
          <w:lang w:val="fr-BE"/>
        </w:rPr>
        <w:t>.,</w:t>
      </w:r>
      <w:r w:rsidRPr="0054255E">
        <w:rPr>
          <w:szCs w:val="16"/>
          <w:lang w:val="fr-BE"/>
        </w:rPr>
        <w:t xml:space="preserve"> </w:t>
      </w:r>
      <w:r w:rsidRPr="0054255E">
        <w:rPr>
          <w:szCs w:val="16"/>
        </w:rPr>
        <w:t>p. 84.</w:t>
      </w:r>
    </w:p>
  </w:footnote>
  <w:footnote w:id="10">
    <w:p w:rsidR="007251A3" w:rsidRPr="0054255E" w:rsidRDefault="007251A3" w:rsidP="007251A3">
      <w:pPr>
        <w:rPr>
          <w:sz w:val="16"/>
          <w:szCs w:val="16"/>
          <w:lang w:val="fr-BE"/>
        </w:rPr>
      </w:pPr>
      <w:r w:rsidRPr="0054255E">
        <w:rPr>
          <w:rStyle w:val="FootnoteReference"/>
          <w:sz w:val="16"/>
          <w:szCs w:val="16"/>
        </w:rPr>
        <w:footnoteRef/>
      </w:r>
      <w:r w:rsidRPr="0054255E">
        <w:rPr>
          <w:sz w:val="16"/>
          <w:szCs w:val="16"/>
        </w:rPr>
        <w:t xml:space="preserve"> </w:t>
      </w:r>
      <w:r w:rsidRPr="0054255E">
        <w:rPr>
          <w:sz w:val="16"/>
          <w:szCs w:val="16"/>
          <w:lang w:val="fr-BE"/>
        </w:rPr>
        <w:t xml:space="preserve">Alexandra </w:t>
      </w:r>
      <w:proofErr w:type="spellStart"/>
      <w:r w:rsidRPr="0054255E">
        <w:rPr>
          <w:sz w:val="16"/>
          <w:szCs w:val="16"/>
          <w:lang w:val="fr-BE"/>
        </w:rPr>
        <w:t>Saemmer</w:t>
      </w:r>
      <w:proofErr w:type="spellEnd"/>
      <w:r w:rsidRPr="0054255E">
        <w:rPr>
          <w:sz w:val="16"/>
          <w:szCs w:val="16"/>
          <w:lang w:val="fr-BE"/>
        </w:rPr>
        <w:t xml:space="preserve">, « Pour une sémiotique critique des artefacts culturels » in Amir Biglari &amp; Nathalie </w:t>
      </w:r>
      <w:proofErr w:type="spellStart"/>
      <w:r w:rsidRPr="0054255E">
        <w:rPr>
          <w:sz w:val="16"/>
          <w:szCs w:val="16"/>
          <w:lang w:val="fr-BE"/>
        </w:rPr>
        <w:t>Roelens</w:t>
      </w:r>
      <w:proofErr w:type="spellEnd"/>
      <w:r w:rsidRPr="0054255E">
        <w:rPr>
          <w:sz w:val="16"/>
          <w:szCs w:val="16"/>
          <w:lang w:val="fr-BE"/>
        </w:rPr>
        <w:t xml:space="preserve"> (</w:t>
      </w:r>
      <w:proofErr w:type="spellStart"/>
      <w:r w:rsidRPr="0054255E">
        <w:rPr>
          <w:sz w:val="16"/>
          <w:szCs w:val="16"/>
          <w:lang w:val="fr-BE"/>
        </w:rPr>
        <w:t>dir</w:t>
      </w:r>
      <w:proofErr w:type="spellEnd"/>
      <w:r w:rsidRPr="0054255E">
        <w:rPr>
          <w:sz w:val="16"/>
          <w:szCs w:val="16"/>
          <w:lang w:val="fr-BE"/>
        </w:rPr>
        <w:t xml:space="preserve">.), </w:t>
      </w:r>
      <w:r w:rsidRPr="0054255E">
        <w:rPr>
          <w:i/>
          <w:sz w:val="16"/>
          <w:szCs w:val="16"/>
          <w:lang w:val="fr-BE"/>
        </w:rPr>
        <w:t>La sémiotique et son autre</w:t>
      </w:r>
      <w:r w:rsidRPr="0054255E">
        <w:rPr>
          <w:sz w:val="16"/>
          <w:szCs w:val="16"/>
          <w:lang w:val="fr-BE"/>
        </w:rPr>
        <w:t>, Paris, Kimé (en préparation), p. 334.</w:t>
      </w:r>
    </w:p>
  </w:footnote>
  <w:footnote w:id="11">
    <w:p w:rsidR="007251A3" w:rsidRPr="0054255E" w:rsidRDefault="007251A3" w:rsidP="007251A3">
      <w:pPr>
        <w:pStyle w:val="FootnoteText"/>
        <w:rPr>
          <w:szCs w:val="16"/>
          <w:lang w:val="fr-BE"/>
        </w:rPr>
      </w:pPr>
      <w:r w:rsidRPr="0054255E">
        <w:rPr>
          <w:rStyle w:val="FootnoteReference"/>
          <w:szCs w:val="16"/>
        </w:rPr>
        <w:footnoteRef/>
      </w:r>
      <w:r w:rsidRPr="0054255E">
        <w:rPr>
          <w:szCs w:val="16"/>
        </w:rPr>
        <w:t xml:space="preserve"> </w:t>
      </w:r>
      <w:r w:rsidRPr="0054255E">
        <w:rPr>
          <w:szCs w:val="16"/>
          <w:lang w:val="fr-BE"/>
        </w:rPr>
        <w:t xml:space="preserve">Gilles Deleuze, </w:t>
      </w:r>
      <w:r w:rsidRPr="0054255E">
        <w:rPr>
          <w:i/>
          <w:szCs w:val="16"/>
          <w:lang w:val="fr-BE"/>
        </w:rPr>
        <w:t>Critique et clinique</w:t>
      </w:r>
      <w:r w:rsidRPr="0054255E">
        <w:rPr>
          <w:szCs w:val="16"/>
          <w:lang w:val="fr-BE"/>
        </w:rPr>
        <w:t xml:space="preserve">, </w:t>
      </w:r>
      <w:r w:rsidRPr="0054255E">
        <w:rPr>
          <w:i/>
          <w:szCs w:val="16"/>
          <w:lang w:val="fr-BE"/>
        </w:rPr>
        <w:t xml:space="preserve">op. </w:t>
      </w:r>
      <w:proofErr w:type="spellStart"/>
      <w:proofErr w:type="gramStart"/>
      <w:r w:rsidRPr="0054255E">
        <w:rPr>
          <w:i/>
          <w:szCs w:val="16"/>
          <w:lang w:val="fr-BE"/>
        </w:rPr>
        <w:t>cit</w:t>
      </w:r>
      <w:proofErr w:type="spellEnd"/>
      <w:proofErr w:type="gramEnd"/>
      <w:r w:rsidRPr="0054255E">
        <w:rPr>
          <w:szCs w:val="16"/>
          <w:lang w:val="fr-BE"/>
        </w:rPr>
        <w:t>., p. 9.</w:t>
      </w:r>
    </w:p>
  </w:footnote>
  <w:footnote w:id="12">
    <w:p w:rsidR="007251A3" w:rsidRPr="0054255E" w:rsidRDefault="007251A3" w:rsidP="007251A3">
      <w:pPr>
        <w:rPr>
          <w:sz w:val="16"/>
          <w:szCs w:val="16"/>
        </w:rPr>
      </w:pPr>
      <w:r w:rsidRPr="0054255E">
        <w:rPr>
          <w:rStyle w:val="FootnoteReference"/>
          <w:sz w:val="16"/>
          <w:szCs w:val="16"/>
        </w:rPr>
        <w:footnoteRef/>
      </w:r>
      <w:r w:rsidRPr="0054255E">
        <w:rPr>
          <w:sz w:val="16"/>
          <w:szCs w:val="16"/>
        </w:rPr>
        <w:t xml:space="preserve"> Alain Trouvé, </w:t>
      </w:r>
      <w:r w:rsidRPr="0054255E">
        <w:rPr>
          <w:i/>
          <w:iCs/>
          <w:sz w:val="16"/>
          <w:szCs w:val="16"/>
        </w:rPr>
        <w:t>Nouvelles déclinaisons de l’arrière-texte</w:t>
      </w:r>
      <w:r w:rsidRPr="0054255E">
        <w:rPr>
          <w:sz w:val="16"/>
          <w:szCs w:val="16"/>
        </w:rPr>
        <w:t>, Reims, Epure, 2018, p. 52.</w:t>
      </w:r>
    </w:p>
  </w:footnote>
  <w:footnote w:id="13">
    <w:p w:rsidR="007251A3" w:rsidRPr="0054255E" w:rsidRDefault="007251A3" w:rsidP="007251A3">
      <w:pPr>
        <w:pStyle w:val="FootnoteText"/>
        <w:rPr>
          <w:szCs w:val="16"/>
        </w:rPr>
      </w:pPr>
      <w:r w:rsidRPr="0054255E">
        <w:rPr>
          <w:rStyle w:val="FootnoteReference"/>
          <w:szCs w:val="16"/>
        </w:rPr>
        <w:footnoteRef/>
      </w:r>
      <w:r w:rsidRPr="0054255E">
        <w:rPr>
          <w:szCs w:val="16"/>
        </w:rPr>
        <w:t xml:space="preserve"> Vincent Jouve, </w:t>
      </w:r>
      <w:r w:rsidRPr="0054255E">
        <w:rPr>
          <w:i/>
          <w:szCs w:val="16"/>
        </w:rPr>
        <w:t>La Lecture</w:t>
      </w:r>
      <w:r w:rsidRPr="0054255E">
        <w:rPr>
          <w:szCs w:val="16"/>
        </w:rPr>
        <w:t>, Paris, Hachette, 1993, p. 79.</w:t>
      </w:r>
    </w:p>
  </w:footnote>
  <w:footnote w:id="14">
    <w:p w:rsidR="007251A3" w:rsidRPr="0054255E" w:rsidRDefault="007251A3" w:rsidP="007251A3">
      <w:pPr>
        <w:outlineLvl w:val="0"/>
        <w:rPr>
          <w:sz w:val="16"/>
          <w:szCs w:val="16"/>
        </w:rPr>
      </w:pPr>
      <w:r w:rsidRPr="0054255E">
        <w:rPr>
          <w:rStyle w:val="FootnoteReference"/>
          <w:sz w:val="16"/>
          <w:szCs w:val="16"/>
        </w:rPr>
        <w:footnoteRef/>
      </w:r>
      <w:r w:rsidRPr="0054255E">
        <w:rPr>
          <w:sz w:val="16"/>
          <w:szCs w:val="16"/>
        </w:rPr>
        <w:t xml:space="preserve"> Richard Saint Gelais, « La lecture erratique », in Denis St-Jacques (dir.), </w:t>
      </w:r>
      <w:r w:rsidRPr="0054255E">
        <w:rPr>
          <w:i/>
          <w:sz w:val="16"/>
          <w:szCs w:val="16"/>
        </w:rPr>
        <w:t>L’acte de Lecture</w:t>
      </w:r>
      <w:r w:rsidRPr="0054255E">
        <w:rPr>
          <w:sz w:val="16"/>
          <w:szCs w:val="16"/>
        </w:rPr>
        <w:t>, Québec, Nota Bene, 1998, pp. 273-290, p. 274.</w:t>
      </w:r>
    </w:p>
  </w:footnote>
  <w:footnote w:id="15">
    <w:p w:rsidR="007251A3" w:rsidRPr="0054255E" w:rsidRDefault="007251A3" w:rsidP="007251A3">
      <w:pPr>
        <w:pStyle w:val="FootnoteText"/>
        <w:rPr>
          <w:szCs w:val="16"/>
          <w:lang w:val="en-US"/>
        </w:rPr>
      </w:pPr>
      <w:r w:rsidRPr="0054255E">
        <w:rPr>
          <w:rStyle w:val="FootnoteReference"/>
          <w:szCs w:val="16"/>
        </w:rPr>
        <w:footnoteRef/>
      </w:r>
      <w:r w:rsidRPr="0054255E">
        <w:rPr>
          <w:szCs w:val="16"/>
          <w:lang w:val="en-US"/>
        </w:rPr>
        <w:t xml:space="preserve"> </w:t>
      </w:r>
      <w:r w:rsidRPr="0054255E">
        <w:rPr>
          <w:i/>
          <w:szCs w:val="16"/>
          <w:lang w:val="en-US"/>
        </w:rPr>
        <w:t>Ibid</w:t>
      </w:r>
      <w:r w:rsidRPr="0054255E">
        <w:rPr>
          <w:szCs w:val="16"/>
          <w:lang w:val="en-US"/>
        </w:rPr>
        <w:t>., p. 276.</w:t>
      </w:r>
    </w:p>
  </w:footnote>
  <w:footnote w:id="16">
    <w:p w:rsidR="007251A3" w:rsidRPr="0054255E" w:rsidRDefault="007251A3" w:rsidP="007251A3">
      <w:pPr>
        <w:pStyle w:val="FootnoteText"/>
        <w:rPr>
          <w:szCs w:val="16"/>
          <w:lang w:val="en-US"/>
        </w:rPr>
      </w:pPr>
      <w:r w:rsidRPr="0054255E">
        <w:rPr>
          <w:rStyle w:val="FootnoteReference"/>
          <w:szCs w:val="16"/>
        </w:rPr>
        <w:footnoteRef/>
      </w:r>
      <w:r w:rsidRPr="0054255E">
        <w:rPr>
          <w:szCs w:val="16"/>
          <w:lang w:val="en-US"/>
        </w:rPr>
        <w:t xml:space="preserve"> </w:t>
      </w:r>
      <w:r w:rsidRPr="0054255E">
        <w:rPr>
          <w:i/>
          <w:szCs w:val="16"/>
          <w:lang w:val="en-US"/>
        </w:rPr>
        <w:t>Ibid</w:t>
      </w:r>
      <w:r w:rsidRPr="0054255E">
        <w:rPr>
          <w:szCs w:val="16"/>
          <w:lang w:val="en-US"/>
        </w:rPr>
        <w:t>.</w:t>
      </w:r>
    </w:p>
  </w:footnote>
  <w:footnote w:id="17">
    <w:p w:rsidR="007251A3" w:rsidRPr="0054255E" w:rsidRDefault="007251A3" w:rsidP="007251A3">
      <w:pPr>
        <w:pStyle w:val="FootnoteText"/>
        <w:rPr>
          <w:szCs w:val="16"/>
          <w:lang w:val="en-US"/>
        </w:rPr>
      </w:pPr>
      <w:r w:rsidRPr="0054255E">
        <w:rPr>
          <w:rStyle w:val="FootnoteReference"/>
          <w:szCs w:val="16"/>
        </w:rPr>
        <w:footnoteRef/>
      </w:r>
      <w:r w:rsidRPr="0054255E">
        <w:rPr>
          <w:szCs w:val="16"/>
          <w:lang w:val="en-US"/>
        </w:rPr>
        <w:t xml:space="preserve"> Roland Barthes, </w:t>
      </w:r>
      <w:r w:rsidRPr="0054255E">
        <w:rPr>
          <w:i/>
          <w:szCs w:val="16"/>
          <w:lang w:val="en-US"/>
        </w:rPr>
        <w:t>S/Z</w:t>
      </w:r>
      <w:r w:rsidRPr="0054255E">
        <w:rPr>
          <w:szCs w:val="16"/>
          <w:lang w:val="en-US"/>
        </w:rPr>
        <w:t xml:space="preserve">, Paris, </w:t>
      </w:r>
      <w:proofErr w:type="spellStart"/>
      <w:r w:rsidRPr="0054255E">
        <w:rPr>
          <w:szCs w:val="16"/>
          <w:lang w:val="en-US"/>
        </w:rPr>
        <w:t>Seuil</w:t>
      </w:r>
      <w:proofErr w:type="spellEnd"/>
      <w:r w:rsidRPr="0054255E">
        <w:rPr>
          <w:szCs w:val="16"/>
          <w:lang w:val="en-US"/>
        </w:rPr>
        <w:t>, 1970, p. 178.</w:t>
      </w:r>
    </w:p>
  </w:footnote>
  <w:footnote w:id="18">
    <w:p w:rsidR="007251A3" w:rsidRPr="0054255E" w:rsidRDefault="007251A3" w:rsidP="007251A3">
      <w:pPr>
        <w:pStyle w:val="FootnoteText"/>
        <w:rPr>
          <w:szCs w:val="16"/>
        </w:rPr>
      </w:pPr>
      <w:r w:rsidRPr="0054255E">
        <w:rPr>
          <w:rStyle w:val="FootnoteReference"/>
          <w:szCs w:val="16"/>
        </w:rPr>
        <w:footnoteRef/>
      </w:r>
      <w:r w:rsidRPr="0054255E">
        <w:rPr>
          <w:szCs w:val="16"/>
        </w:rPr>
        <w:t xml:space="preserve"> Richard Saint Gelais, « La lecture erratique », art. </w:t>
      </w:r>
      <w:proofErr w:type="spellStart"/>
      <w:r w:rsidRPr="0054255E">
        <w:rPr>
          <w:szCs w:val="16"/>
        </w:rPr>
        <w:t>cit</w:t>
      </w:r>
      <w:proofErr w:type="spellEnd"/>
      <w:r w:rsidRPr="0054255E">
        <w:rPr>
          <w:szCs w:val="16"/>
        </w:rPr>
        <w:t>., p. 276.</w:t>
      </w:r>
    </w:p>
  </w:footnote>
  <w:footnote w:id="19">
    <w:p w:rsidR="007251A3" w:rsidRPr="0054255E" w:rsidRDefault="007251A3" w:rsidP="007251A3">
      <w:pPr>
        <w:pStyle w:val="FootnoteText"/>
        <w:rPr>
          <w:szCs w:val="16"/>
        </w:rPr>
      </w:pPr>
      <w:r w:rsidRPr="0054255E">
        <w:rPr>
          <w:rStyle w:val="FootnoteReference"/>
          <w:szCs w:val="16"/>
        </w:rPr>
        <w:footnoteRef/>
      </w:r>
      <w:r w:rsidRPr="0054255E">
        <w:rPr>
          <w:szCs w:val="16"/>
        </w:rPr>
        <w:t xml:space="preserve"> </w:t>
      </w:r>
      <w:r w:rsidRPr="0054255E">
        <w:rPr>
          <w:i/>
          <w:szCs w:val="16"/>
        </w:rPr>
        <w:t>Ibid</w:t>
      </w:r>
      <w:r w:rsidRPr="0054255E">
        <w:rPr>
          <w:szCs w:val="16"/>
        </w:rPr>
        <w:t>., p. 288.</w:t>
      </w:r>
    </w:p>
  </w:footnote>
  <w:footnote w:id="20">
    <w:p w:rsidR="007251A3" w:rsidRPr="0054255E" w:rsidRDefault="007251A3" w:rsidP="007251A3">
      <w:pPr>
        <w:pStyle w:val="FootnoteText"/>
        <w:rPr>
          <w:szCs w:val="16"/>
        </w:rPr>
      </w:pPr>
      <w:r w:rsidRPr="0054255E">
        <w:rPr>
          <w:rStyle w:val="FootnoteReference"/>
          <w:szCs w:val="16"/>
        </w:rPr>
        <w:footnoteRef/>
      </w:r>
      <w:r w:rsidRPr="0054255E">
        <w:rPr>
          <w:szCs w:val="16"/>
        </w:rPr>
        <w:t xml:space="preserve"> Le « prélèvement » est considéré comme le premier </w:t>
      </w:r>
      <w:r w:rsidRPr="0054255E">
        <w:rPr>
          <w:i/>
          <w:szCs w:val="16"/>
        </w:rPr>
        <w:t>geste</w:t>
      </w:r>
      <w:r w:rsidRPr="0054255E">
        <w:rPr>
          <w:szCs w:val="16"/>
        </w:rPr>
        <w:t xml:space="preserve"> </w:t>
      </w:r>
      <w:r w:rsidRPr="0054255E">
        <w:rPr>
          <w:i/>
          <w:szCs w:val="16"/>
        </w:rPr>
        <w:t>appropriatif</w:t>
      </w:r>
      <w:r w:rsidRPr="0054255E">
        <w:rPr>
          <w:szCs w:val="16"/>
        </w:rPr>
        <w:t xml:space="preserve"> d’un texte, selon Bénédicte </w:t>
      </w:r>
      <w:proofErr w:type="spellStart"/>
      <w:r w:rsidRPr="0054255E">
        <w:rPr>
          <w:szCs w:val="16"/>
        </w:rPr>
        <w:t>Shawky-Milcent</w:t>
      </w:r>
      <w:proofErr w:type="spellEnd"/>
      <w:r w:rsidRPr="0054255E">
        <w:rPr>
          <w:szCs w:val="16"/>
        </w:rPr>
        <w:t> : « Tout lecteur prélève des mots ou des expressions du texte, que ce soit dans son for intérieur […] ou par le geste concret du surlignage, du découpage, du prélèvement de citations. […] On prélève un fragment de texte parce qu’on lui trouve de l’intérêt, parce qu’il permet à une réflexion d’aboutir, parce qu’il dit ce qu’on ne parvenait pas à dire, ou encore parce qu’il apporte un plaisir esthétique » (</w:t>
      </w:r>
      <w:r w:rsidRPr="0054255E">
        <w:rPr>
          <w:i/>
          <w:szCs w:val="16"/>
        </w:rPr>
        <w:t>La lecture, ça ne sert à rien !</w:t>
      </w:r>
      <w:r w:rsidRPr="0054255E">
        <w:rPr>
          <w:szCs w:val="16"/>
        </w:rPr>
        <w:t>, Paris, PUF, 2016, pp. 93-94).</w:t>
      </w:r>
    </w:p>
  </w:footnote>
  <w:footnote w:id="21">
    <w:p w:rsidR="007251A3" w:rsidRPr="0054255E" w:rsidRDefault="007251A3" w:rsidP="007251A3">
      <w:pPr>
        <w:pStyle w:val="FootnoteText"/>
        <w:rPr>
          <w:szCs w:val="16"/>
        </w:rPr>
      </w:pPr>
      <w:r w:rsidRPr="0054255E">
        <w:rPr>
          <w:rStyle w:val="FootnoteReference"/>
          <w:szCs w:val="16"/>
        </w:rPr>
        <w:footnoteRef/>
      </w:r>
      <w:r w:rsidRPr="0054255E">
        <w:rPr>
          <w:szCs w:val="16"/>
        </w:rPr>
        <w:t xml:space="preserve"> Tom Phillips, </w:t>
      </w:r>
      <w:r w:rsidRPr="0054255E">
        <w:rPr>
          <w:i/>
          <w:iCs/>
          <w:szCs w:val="16"/>
        </w:rPr>
        <w:t xml:space="preserve">A </w:t>
      </w:r>
      <w:proofErr w:type="spellStart"/>
      <w:r w:rsidRPr="0054255E">
        <w:rPr>
          <w:i/>
          <w:iCs/>
          <w:szCs w:val="16"/>
        </w:rPr>
        <w:t>Humument</w:t>
      </w:r>
      <w:proofErr w:type="spellEnd"/>
      <w:r w:rsidRPr="0054255E">
        <w:rPr>
          <w:i/>
          <w:iCs/>
          <w:szCs w:val="16"/>
        </w:rPr>
        <w:t xml:space="preserve">. A </w:t>
      </w:r>
      <w:proofErr w:type="spellStart"/>
      <w:r w:rsidRPr="0054255E">
        <w:rPr>
          <w:i/>
          <w:iCs/>
          <w:szCs w:val="16"/>
        </w:rPr>
        <w:t>Treated</w:t>
      </w:r>
      <w:proofErr w:type="spellEnd"/>
      <w:r w:rsidRPr="0054255E">
        <w:rPr>
          <w:i/>
          <w:iCs/>
          <w:szCs w:val="16"/>
        </w:rPr>
        <w:t xml:space="preserve"> </w:t>
      </w:r>
      <w:proofErr w:type="spellStart"/>
      <w:r w:rsidRPr="0054255E">
        <w:rPr>
          <w:i/>
          <w:iCs/>
          <w:szCs w:val="16"/>
        </w:rPr>
        <w:t>Victorian</w:t>
      </w:r>
      <w:proofErr w:type="spellEnd"/>
      <w:r w:rsidRPr="0054255E">
        <w:rPr>
          <w:i/>
          <w:iCs/>
          <w:szCs w:val="16"/>
        </w:rPr>
        <w:t xml:space="preserve"> Novel,</w:t>
      </w:r>
      <w:r w:rsidRPr="0054255E">
        <w:rPr>
          <w:szCs w:val="16"/>
        </w:rPr>
        <w:t xml:space="preserve"> London, Thames &amp; Huston (1980), 2015 [W. H. </w:t>
      </w:r>
      <w:proofErr w:type="spellStart"/>
      <w:r w:rsidRPr="0054255E">
        <w:rPr>
          <w:szCs w:val="16"/>
        </w:rPr>
        <w:t>Mallock</w:t>
      </w:r>
      <w:proofErr w:type="spellEnd"/>
      <w:r w:rsidRPr="0054255E">
        <w:rPr>
          <w:szCs w:val="16"/>
        </w:rPr>
        <w:t xml:space="preserve">, </w:t>
      </w:r>
      <w:r w:rsidRPr="0054255E">
        <w:rPr>
          <w:i/>
          <w:iCs/>
          <w:szCs w:val="16"/>
        </w:rPr>
        <w:t>A Human Document</w:t>
      </w:r>
      <w:r w:rsidRPr="0054255E">
        <w:rPr>
          <w:szCs w:val="16"/>
        </w:rPr>
        <w:t xml:space="preserve">, 1892], (La première version fut publiée chez </w:t>
      </w:r>
      <w:proofErr w:type="spellStart"/>
      <w:r w:rsidRPr="0054255E">
        <w:rPr>
          <w:szCs w:val="16"/>
        </w:rPr>
        <w:t>Tetrad</w:t>
      </w:r>
      <w:proofErr w:type="spellEnd"/>
      <w:r w:rsidRPr="0054255E">
        <w:rPr>
          <w:szCs w:val="16"/>
        </w:rPr>
        <w:t xml:space="preserve"> </w:t>
      </w:r>
      <w:proofErr w:type="spellStart"/>
      <w:r w:rsidRPr="0054255E">
        <w:rPr>
          <w:szCs w:val="16"/>
        </w:rPr>
        <w:t>press</w:t>
      </w:r>
      <w:proofErr w:type="spellEnd"/>
      <w:r w:rsidRPr="0054255E">
        <w:rPr>
          <w:szCs w:val="16"/>
        </w:rPr>
        <w:t xml:space="preserve">, </w:t>
      </w:r>
      <w:proofErr w:type="spellStart"/>
      <w:r w:rsidRPr="0054255E">
        <w:rPr>
          <w:szCs w:val="16"/>
        </w:rPr>
        <w:t>in</w:t>
      </w:r>
      <w:proofErr w:type="spellEnd"/>
      <w:r w:rsidRPr="0054255E">
        <w:rPr>
          <w:szCs w:val="16"/>
        </w:rPr>
        <w:t xml:space="preserve"> 1973, depuis lors il en est à sa 6</w:t>
      </w:r>
      <w:r w:rsidRPr="0054255E">
        <w:rPr>
          <w:szCs w:val="16"/>
          <w:vertAlign w:val="superscript"/>
        </w:rPr>
        <w:t>ième</w:t>
      </w:r>
      <w:r w:rsidRPr="0054255E">
        <w:rPr>
          <w:szCs w:val="16"/>
        </w:rPr>
        <w:t xml:space="preserve"> et dernière version).</w:t>
      </w:r>
    </w:p>
  </w:footnote>
  <w:footnote w:id="22">
    <w:p w:rsidR="007251A3" w:rsidRPr="0054255E" w:rsidRDefault="007251A3" w:rsidP="007251A3">
      <w:pPr>
        <w:pStyle w:val="FootnoteText"/>
        <w:rPr>
          <w:szCs w:val="16"/>
        </w:rPr>
      </w:pPr>
      <w:r w:rsidRPr="0054255E">
        <w:rPr>
          <w:rStyle w:val="FootnoteReference"/>
          <w:szCs w:val="16"/>
        </w:rPr>
        <w:footnoteRef/>
      </w:r>
      <w:r w:rsidRPr="0054255E">
        <w:rPr>
          <w:szCs w:val="16"/>
        </w:rPr>
        <w:t xml:space="preserve"> Michel Delville, « </w:t>
      </w:r>
      <w:r w:rsidRPr="0054255E">
        <w:rPr>
          <w:bCs/>
          <w:szCs w:val="16"/>
        </w:rPr>
        <w:t xml:space="preserve">La matière du détail : autour de </w:t>
      </w:r>
      <w:r w:rsidRPr="0054255E">
        <w:rPr>
          <w:rStyle w:val="Emphasis"/>
          <w:bCs/>
          <w:szCs w:val="16"/>
        </w:rPr>
        <w:t>A </w:t>
      </w:r>
      <w:proofErr w:type="spellStart"/>
      <w:r w:rsidRPr="0054255E">
        <w:rPr>
          <w:rStyle w:val="Emphasis"/>
          <w:bCs/>
          <w:szCs w:val="16"/>
        </w:rPr>
        <w:t>Humument</w:t>
      </w:r>
      <w:proofErr w:type="spellEnd"/>
      <w:r w:rsidRPr="0054255E">
        <w:rPr>
          <w:bCs/>
          <w:szCs w:val="16"/>
        </w:rPr>
        <w:t xml:space="preserve"> de Tom Phillips » (t</w:t>
      </w:r>
      <w:r w:rsidRPr="0054255E">
        <w:rPr>
          <w:szCs w:val="16"/>
        </w:rPr>
        <w:t xml:space="preserve">rad. de Christine </w:t>
      </w:r>
      <w:proofErr w:type="spellStart"/>
      <w:r w:rsidRPr="0054255E">
        <w:rPr>
          <w:rStyle w:val="familyname"/>
          <w:szCs w:val="16"/>
        </w:rPr>
        <w:t>Pagnoulle</w:t>
      </w:r>
      <w:proofErr w:type="spellEnd"/>
      <w:r w:rsidRPr="0054255E">
        <w:rPr>
          <w:szCs w:val="16"/>
        </w:rPr>
        <w:t xml:space="preserve"> et Livio </w:t>
      </w:r>
      <w:proofErr w:type="spellStart"/>
      <w:r w:rsidRPr="0054255E">
        <w:rPr>
          <w:rStyle w:val="familyname"/>
          <w:szCs w:val="16"/>
        </w:rPr>
        <w:t>Belloï</w:t>
      </w:r>
      <w:proofErr w:type="spellEnd"/>
      <w:r w:rsidRPr="0054255E">
        <w:rPr>
          <w:rStyle w:val="familyname"/>
          <w:szCs w:val="16"/>
        </w:rPr>
        <w:t>),</w:t>
      </w:r>
      <w:r w:rsidRPr="0054255E">
        <w:rPr>
          <w:szCs w:val="16"/>
        </w:rPr>
        <w:t xml:space="preserve"> </w:t>
      </w:r>
      <w:r w:rsidRPr="0054255E">
        <w:rPr>
          <w:bCs/>
          <w:szCs w:val="16"/>
        </w:rPr>
        <w:t>in</w:t>
      </w:r>
      <w:r w:rsidRPr="0054255E">
        <w:rPr>
          <w:caps/>
          <w:szCs w:val="16"/>
        </w:rPr>
        <w:t xml:space="preserve"> </w:t>
      </w:r>
      <w:r w:rsidRPr="0054255E">
        <w:rPr>
          <w:szCs w:val="16"/>
        </w:rPr>
        <w:t xml:space="preserve">Livio </w:t>
      </w:r>
      <w:proofErr w:type="spellStart"/>
      <w:r w:rsidRPr="0054255E">
        <w:rPr>
          <w:szCs w:val="16"/>
        </w:rPr>
        <w:t>Belloï</w:t>
      </w:r>
      <w:proofErr w:type="spellEnd"/>
      <w:r w:rsidRPr="0054255E">
        <w:rPr>
          <w:szCs w:val="16"/>
        </w:rPr>
        <w:t xml:space="preserve"> &amp; Maud Hagelstein, </w:t>
      </w:r>
      <w:r w:rsidRPr="0054255E">
        <w:rPr>
          <w:i/>
          <w:szCs w:val="16"/>
        </w:rPr>
        <w:t>La mécanique du détail</w:t>
      </w:r>
      <w:r w:rsidRPr="0054255E">
        <w:rPr>
          <w:szCs w:val="16"/>
        </w:rPr>
        <w:t>, Lyon, ENS, 2017, pp. 31-52, p. 40.</w:t>
      </w:r>
    </w:p>
  </w:footnote>
  <w:footnote w:id="23">
    <w:p w:rsidR="007251A3" w:rsidRPr="0054255E" w:rsidRDefault="007251A3" w:rsidP="007251A3">
      <w:pPr>
        <w:pStyle w:val="FootnoteText"/>
        <w:rPr>
          <w:szCs w:val="16"/>
          <w:lang w:val="en-US"/>
        </w:rPr>
      </w:pPr>
      <w:r w:rsidRPr="0054255E">
        <w:rPr>
          <w:rStyle w:val="FootnoteReference"/>
          <w:szCs w:val="16"/>
        </w:rPr>
        <w:footnoteRef/>
      </w:r>
      <w:r w:rsidRPr="0054255E">
        <w:rPr>
          <w:szCs w:val="16"/>
          <w:lang w:val="en-US"/>
        </w:rPr>
        <w:t xml:space="preserve"> </w:t>
      </w:r>
      <w:r w:rsidRPr="0054255E">
        <w:rPr>
          <w:i/>
          <w:szCs w:val="16"/>
          <w:lang w:val="en-US"/>
        </w:rPr>
        <w:t>Ibid</w:t>
      </w:r>
      <w:r w:rsidRPr="0054255E">
        <w:rPr>
          <w:szCs w:val="16"/>
          <w:lang w:val="en-US"/>
        </w:rPr>
        <w:t>., p. 44.</w:t>
      </w:r>
    </w:p>
  </w:footnote>
  <w:footnote w:id="24">
    <w:p w:rsidR="007251A3" w:rsidRPr="0054255E" w:rsidRDefault="007251A3" w:rsidP="007251A3">
      <w:pPr>
        <w:pStyle w:val="FootnoteText"/>
        <w:rPr>
          <w:szCs w:val="16"/>
          <w:lang w:val="en-US"/>
        </w:rPr>
      </w:pPr>
      <w:r w:rsidRPr="0054255E">
        <w:rPr>
          <w:rStyle w:val="FootnoteReference"/>
          <w:szCs w:val="16"/>
        </w:rPr>
        <w:footnoteRef/>
      </w:r>
      <w:r w:rsidRPr="0054255E">
        <w:rPr>
          <w:szCs w:val="16"/>
          <w:lang w:val="en-US"/>
        </w:rPr>
        <w:t xml:space="preserve"> Tom Phillips, </w:t>
      </w:r>
      <w:r w:rsidRPr="0054255E">
        <w:rPr>
          <w:i/>
          <w:szCs w:val="16"/>
          <w:lang w:val="en-US"/>
        </w:rPr>
        <w:t xml:space="preserve">A </w:t>
      </w:r>
      <w:proofErr w:type="spellStart"/>
      <w:r w:rsidRPr="0054255E">
        <w:rPr>
          <w:i/>
          <w:szCs w:val="16"/>
          <w:lang w:val="en-US"/>
        </w:rPr>
        <w:t>Humument</w:t>
      </w:r>
      <w:proofErr w:type="spellEnd"/>
      <w:r w:rsidRPr="0054255E">
        <w:rPr>
          <w:szCs w:val="16"/>
          <w:lang w:val="en-US"/>
        </w:rPr>
        <w:t xml:space="preserve">, </w:t>
      </w:r>
      <w:proofErr w:type="spellStart"/>
      <w:r w:rsidRPr="0054255E">
        <w:rPr>
          <w:i/>
          <w:szCs w:val="16"/>
          <w:lang w:val="en-US"/>
        </w:rPr>
        <w:t>op.cit</w:t>
      </w:r>
      <w:proofErr w:type="spellEnd"/>
      <w:r w:rsidRPr="0054255E">
        <w:rPr>
          <w:szCs w:val="16"/>
          <w:lang w:val="en-US"/>
        </w:rPr>
        <w:t>, p. 39.</w:t>
      </w:r>
    </w:p>
  </w:footnote>
  <w:footnote w:id="25">
    <w:p w:rsidR="007251A3" w:rsidRPr="00DC1493" w:rsidRDefault="007251A3" w:rsidP="007251A3">
      <w:pPr>
        <w:pStyle w:val="FootnoteText"/>
        <w:rPr>
          <w:szCs w:val="16"/>
          <w:lang w:val="en-US"/>
        </w:rPr>
      </w:pPr>
      <w:r w:rsidRPr="0054255E">
        <w:rPr>
          <w:rStyle w:val="FootnoteReference"/>
          <w:szCs w:val="16"/>
        </w:rPr>
        <w:footnoteRef/>
      </w:r>
      <w:r w:rsidRPr="00DC1493">
        <w:rPr>
          <w:szCs w:val="16"/>
          <w:lang w:val="en-US"/>
        </w:rPr>
        <w:t xml:space="preserve"> Michel </w:t>
      </w:r>
      <w:proofErr w:type="spellStart"/>
      <w:r w:rsidRPr="00DC1493">
        <w:rPr>
          <w:szCs w:val="16"/>
          <w:lang w:val="en-US"/>
        </w:rPr>
        <w:t>Delville</w:t>
      </w:r>
      <w:proofErr w:type="spellEnd"/>
      <w:r w:rsidRPr="00DC1493">
        <w:rPr>
          <w:szCs w:val="16"/>
          <w:lang w:val="en-US"/>
        </w:rPr>
        <w:t>, art. cit., p. 46.</w:t>
      </w:r>
    </w:p>
  </w:footnote>
  <w:footnote w:id="26">
    <w:p w:rsidR="007251A3" w:rsidRPr="0054255E" w:rsidRDefault="007251A3" w:rsidP="007251A3">
      <w:pPr>
        <w:pStyle w:val="FootnoteText"/>
        <w:rPr>
          <w:szCs w:val="16"/>
          <w:lang w:val="en-US"/>
        </w:rPr>
      </w:pPr>
      <w:r w:rsidRPr="0054255E">
        <w:rPr>
          <w:rStyle w:val="FootnoteReference"/>
          <w:color w:val="000000" w:themeColor="text1"/>
          <w:szCs w:val="16"/>
        </w:rPr>
        <w:footnoteRef/>
      </w:r>
      <w:r w:rsidRPr="0054255E">
        <w:rPr>
          <w:color w:val="000000" w:themeColor="text1"/>
          <w:szCs w:val="16"/>
          <w:lang w:val="en-US"/>
        </w:rPr>
        <w:t xml:space="preserve"> Keith Rayner, Elizabeth R. </w:t>
      </w:r>
      <w:proofErr w:type="spellStart"/>
      <w:r w:rsidRPr="0054255E">
        <w:rPr>
          <w:color w:val="000000" w:themeColor="text1"/>
          <w:szCs w:val="16"/>
          <w:lang w:val="en-US"/>
        </w:rPr>
        <w:t>Schotter</w:t>
      </w:r>
      <w:proofErr w:type="spellEnd"/>
      <w:r w:rsidRPr="0054255E">
        <w:rPr>
          <w:color w:val="000000" w:themeColor="text1"/>
          <w:szCs w:val="16"/>
          <w:lang w:val="en-US"/>
        </w:rPr>
        <w:t xml:space="preserve"> et al., “How Do We Read, and Can Speed Reading Help?”, in </w:t>
      </w:r>
      <w:r w:rsidRPr="0054255E">
        <w:rPr>
          <w:i/>
          <w:color w:val="000000" w:themeColor="text1"/>
          <w:szCs w:val="16"/>
          <w:lang w:val="en-US"/>
        </w:rPr>
        <w:t>Psychological Science in the Public Interest Vol. 17(1)</w:t>
      </w:r>
      <w:r w:rsidRPr="0054255E">
        <w:rPr>
          <w:color w:val="000000" w:themeColor="text1"/>
          <w:szCs w:val="16"/>
          <w:lang w:val="en-US"/>
        </w:rPr>
        <w:t xml:space="preserve">, </w:t>
      </w:r>
      <w:r w:rsidRPr="0054255E">
        <w:rPr>
          <w:rStyle w:val="Emphasis"/>
          <w:bCs/>
          <w:color w:val="000000" w:themeColor="text1"/>
          <w:szCs w:val="16"/>
          <w:shd w:val="clear" w:color="auto" w:fill="FFFFFF"/>
          <w:lang w:val="en-US"/>
        </w:rPr>
        <w:t>Ithaca,</w:t>
      </w:r>
      <w:r w:rsidRPr="0054255E">
        <w:rPr>
          <w:color w:val="000000" w:themeColor="text1"/>
          <w:szCs w:val="16"/>
          <w:lang w:val="en-US"/>
        </w:rPr>
        <w:t xml:space="preserve"> </w:t>
      </w:r>
      <w:r w:rsidRPr="0054255E">
        <w:rPr>
          <w:color w:val="000000" w:themeColor="text1"/>
          <w:szCs w:val="16"/>
          <w:shd w:val="clear" w:color="auto" w:fill="FFFFFF"/>
          <w:lang w:val="en-US"/>
        </w:rPr>
        <w:t xml:space="preserve">Association for </w:t>
      </w:r>
      <w:r w:rsidRPr="0054255E">
        <w:rPr>
          <w:rStyle w:val="Emphasis"/>
          <w:bCs/>
          <w:color w:val="000000" w:themeColor="text1"/>
          <w:szCs w:val="16"/>
          <w:shd w:val="clear" w:color="auto" w:fill="FFFFFF"/>
          <w:lang w:val="en-US"/>
        </w:rPr>
        <w:t xml:space="preserve">Psychological Science, </w:t>
      </w:r>
      <w:r w:rsidRPr="0054255E">
        <w:rPr>
          <w:color w:val="000000" w:themeColor="text1"/>
          <w:szCs w:val="16"/>
          <w:lang w:val="en-US"/>
        </w:rPr>
        <w:t>2016, pp. 4-34, p. 5.</w:t>
      </w:r>
    </w:p>
  </w:footnote>
  <w:footnote w:id="27">
    <w:p w:rsidR="007251A3" w:rsidRPr="0054255E" w:rsidRDefault="007251A3" w:rsidP="007251A3">
      <w:pPr>
        <w:pStyle w:val="FootnoteText"/>
        <w:rPr>
          <w:szCs w:val="16"/>
          <w:lang w:val="en-US"/>
        </w:rPr>
      </w:pPr>
      <w:r w:rsidRPr="0054255E">
        <w:rPr>
          <w:rStyle w:val="FootnoteReference"/>
          <w:szCs w:val="16"/>
        </w:rPr>
        <w:footnoteRef/>
      </w:r>
      <w:r w:rsidRPr="0054255E">
        <w:rPr>
          <w:szCs w:val="16"/>
          <w:lang w:val="en-US"/>
        </w:rPr>
        <w:t xml:space="preserve"> Steven Pinker, </w:t>
      </w:r>
      <w:r w:rsidRPr="0054255E">
        <w:rPr>
          <w:i/>
          <w:szCs w:val="16"/>
          <w:lang w:val="en-US"/>
        </w:rPr>
        <w:t>The Sense of Style</w:t>
      </w:r>
      <w:r w:rsidRPr="0054255E">
        <w:rPr>
          <w:szCs w:val="16"/>
          <w:lang w:val="en-US"/>
        </w:rPr>
        <w:t>, New York, Viking Press, 2014, p. 56.</w:t>
      </w:r>
    </w:p>
  </w:footnote>
  <w:footnote w:id="28">
    <w:p w:rsidR="007251A3" w:rsidRPr="0054255E" w:rsidRDefault="007251A3" w:rsidP="007251A3">
      <w:pPr>
        <w:pStyle w:val="FootnoteText"/>
        <w:rPr>
          <w:szCs w:val="16"/>
          <w:lang w:val="fr-LU"/>
        </w:rPr>
      </w:pPr>
      <w:r w:rsidRPr="0054255E">
        <w:rPr>
          <w:rStyle w:val="FootnoteReference"/>
          <w:szCs w:val="16"/>
        </w:rPr>
        <w:footnoteRef/>
      </w:r>
      <w:r w:rsidRPr="0054255E">
        <w:rPr>
          <w:szCs w:val="16"/>
        </w:rPr>
        <w:t xml:space="preserve"> Tahar Ben Jelloun, </w:t>
      </w:r>
      <w:r w:rsidRPr="0054255E">
        <w:rPr>
          <w:i/>
          <w:szCs w:val="16"/>
          <w:lang w:val="fr-LU"/>
        </w:rPr>
        <w:t>L’écrivain public</w:t>
      </w:r>
      <w:r w:rsidRPr="0054255E">
        <w:rPr>
          <w:szCs w:val="16"/>
          <w:lang w:val="fr-LU"/>
        </w:rPr>
        <w:t>, Paris, Seuil, 1997.</w:t>
      </w:r>
    </w:p>
  </w:footnote>
  <w:footnote w:id="29">
    <w:p w:rsidR="007251A3" w:rsidRPr="0054255E" w:rsidRDefault="007251A3" w:rsidP="007251A3">
      <w:pPr>
        <w:pStyle w:val="FootnoteText"/>
        <w:rPr>
          <w:szCs w:val="16"/>
        </w:rPr>
      </w:pPr>
      <w:r w:rsidRPr="0054255E">
        <w:rPr>
          <w:rStyle w:val="FootnoteReference"/>
          <w:szCs w:val="16"/>
        </w:rPr>
        <w:footnoteRef/>
      </w:r>
      <w:r w:rsidRPr="0054255E">
        <w:rPr>
          <w:bCs/>
          <w:szCs w:val="16"/>
        </w:rPr>
        <w:t xml:space="preserve"> Tahar Ben Jelloun</w:t>
      </w:r>
      <w:r w:rsidRPr="0054255E">
        <w:rPr>
          <w:bCs/>
          <w:i/>
          <w:iCs/>
          <w:szCs w:val="16"/>
        </w:rPr>
        <w:t xml:space="preserve">, Le labyrinthe des sentiments, </w:t>
      </w:r>
      <w:r w:rsidRPr="0054255E">
        <w:rPr>
          <w:bCs/>
          <w:szCs w:val="16"/>
        </w:rPr>
        <w:t>Paris, Stock « Point », 1999, p. 114</w:t>
      </w:r>
      <w:r w:rsidRPr="0054255E">
        <w:rPr>
          <w:szCs w:val="16"/>
        </w:rPr>
        <w:t>.</w:t>
      </w:r>
    </w:p>
  </w:footnote>
  <w:footnote w:id="30">
    <w:p w:rsidR="007251A3" w:rsidRPr="0054255E" w:rsidRDefault="007251A3" w:rsidP="007251A3">
      <w:pPr>
        <w:pStyle w:val="FootnoteText"/>
        <w:rPr>
          <w:szCs w:val="16"/>
          <w:lang w:val="fr-BE"/>
        </w:rPr>
      </w:pPr>
      <w:r w:rsidRPr="0054255E">
        <w:rPr>
          <w:rStyle w:val="FootnoteReference"/>
          <w:szCs w:val="16"/>
        </w:rPr>
        <w:footnoteRef/>
      </w:r>
      <w:r w:rsidRPr="0054255E">
        <w:rPr>
          <w:szCs w:val="16"/>
        </w:rPr>
        <w:t xml:space="preserve"> Michel Picard, </w:t>
      </w:r>
      <w:r w:rsidRPr="0054255E">
        <w:rPr>
          <w:i/>
          <w:szCs w:val="16"/>
        </w:rPr>
        <w:t>La Lecture comme jeu</w:t>
      </w:r>
      <w:r w:rsidRPr="0054255E">
        <w:rPr>
          <w:szCs w:val="16"/>
        </w:rPr>
        <w:t xml:space="preserve">. </w:t>
      </w:r>
      <w:r w:rsidRPr="0054255E">
        <w:rPr>
          <w:i/>
          <w:szCs w:val="16"/>
        </w:rPr>
        <w:t>Essai sur la lecture littéraire</w:t>
      </w:r>
      <w:r w:rsidRPr="0054255E">
        <w:rPr>
          <w:szCs w:val="16"/>
        </w:rPr>
        <w:t>, Paris, Minuit, 1986.</w:t>
      </w:r>
    </w:p>
  </w:footnote>
  <w:footnote w:id="31">
    <w:p w:rsidR="007251A3" w:rsidRPr="0054255E" w:rsidRDefault="007251A3" w:rsidP="007251A3">
      <w:pPr>
        <w:pStyle w:val="FootnoteText"/>
        <w:rPr>
          <w:szCs w:val="16"/>
          <w:lang w:val="fr-BE"/>
        </w:rPr>
      </w:pPr>
      <w:r w:rsidRPr="0054255E">
        <w:rPr>
          <w:rStyle w:val="FootnoteReference"/>
          <w:szCs w:val="16"/>
        </w:rPr>
        <w:footnoteRef/>
      </w:r>
      <w:r w:rsidRPr="0054255E">
        <w:rPr>
          <w:szCs w:val="16"/>
        </w:rPr>
        <w:t xml:space="preserve"> </w:t>
      </w:r>
      <w:r w:rsidRPr="0054255E">
        <w:rPr>
          <w:szCs w:val="16"/>
          <w:lang w:val="fr-BE"/>
        </w:rPr>
        <w:t xml:space="preserve">Alain Trouvé, </w:t>
      </w:r>
      <w:r w:rsidRPr="0054255E">
        <w:rPr>
          <w:i/>
          <w:szCs w:val="16"/>
          <w:lang w:val="fr-BE"/>
        </w:rPr>
        <w:t>Nouvelles déclinaisons de l’arrière-texte</w:t>
      </w:r>
      <w:r w:rsidRPr="0054255E">
        <w:rPr>
          <w:szCs w:val="16"/>
          <w:lang w:val="fr-BE"/>
        </w:rPr>
        <w:t xml:space="preserve">, </w:t>
      </w:r>
      <w:r w:rsidRPr="0054255E">
        <w:rPr>
          <w:i/>
          <w:szCs w:val="16"/>
          <w:lang w:val="fr-BE"/>
        </w:rPr>
        <w:t xml:space="preserve">op. </w:t>
      </w:r>
      <w:proofErr w:type="spellStart"/>
      <w:proofErr w:type="gramStart"/>
      <w:r w:rsidRPr="0054255E">
        <w:rPr>
          <w:i/>
          <w:szCs w:val="16"/>
          <w:lang w:val="fr-BE"/>
        </w:rPr>
        <w:t>cit</w:t>
      </w:r>
      <w:proofErr w:type="spellEnd"/>
      <w:proofErr w:type="gramEnd"/>
      <w:r w:rsidRPr="0054255E">
        <w:rPr>
          <w:szCs w:val="16"/>
          <w:lang w:val="fr-BE"/>
        </w:rPr>
        <w:t>., pp. 53-54.</w:t>
      </w:r>
    </w:p>
  </w:footnote>
  <w:footnote w:id="32">
    <w:p w:rsidR="0054036D" w:rsidRPr="0054255E" w:rsidRDefault="0054036D" w:rsidP="0054036D">
      <w:pPr>
        <w:rPr>
          <w:sz w:val="16"/>
          <w:szCs w:val="16"/>
          <w:lang w:val="fr-BE"/>
        </w:rPr>
      </w:pPr>
      <w:r w:rsidRPr="0054255E">
        <w:rPr>
          <w:rStyle w:val="FootnoteReference"/>
          <w:sz w:val="16"/>
          <w:szCs w:val="16"/>
        </w:rPr>
        <w:footnoteRef/>
      </w:r>
      <w:r w:rsidRPr="0054255E">
        <w:rPr>
          <w:sz w:val="16"/>
          <w:szCs w:val="16"/>
        </w:rPr>
        <w:t xml:space="preserve"> L</w:t>
      </w:r>
      <w:r w:rsidRPr="0054255E">
        <w:rPr>
          <w:bCs/>
          <w:sz w:val="16"/>
          <w:szCs w:val="16"/>
          <w:lang w:val="fr-BE"/>
        </w:rPr>
        <w:t>e verbe β</w:t>
      </w:r>
      <w:proofErr w:type="spellStart"/>
      <w:r w:rsidRPr="0054255E">
        <w:rPr>
          <w:bCs/>
          <w:sz w:val="16"/>
          <w:szCs w:val="16"/>
          <w:lang w:val="fr-BE"/>
        </w:rPr>
        <w:t>ουλεύειν</w:t>
      </w:r>
      <w:proofErr w:type="spellEnd"/>
      <w:r w:rsidRPr="0054255E">
        <w:rPr>
          <w:bCs/>
          <w:sz w:val="16"/>
          <w:szCs w:val="16"/>
          <w:lang w:val="fr-BE"/>
        </w:rPr>
        <w:t xml:space="preserve"> (« délibérer », « tenir conseil ») signifie à la voix moyenne </w:t>
      </w:r>
      <w:proofErr w:type="gramStart"/>
      <w:r w:rsidRPr="0054255E">
        <w:rPr>
          <w:bCs/>
          <w:sz w:val="16"/>
          <w:szCs w:val="16"/>
          <w:lang w:val="fr-BE"/>
        </w:rPr>
        <w:t>β</w:t>
      </w:r>
      <w:proofErr w:type="spellStart"/>
      <w:r w:rsidRPr="0054255E">
        <w:rPr>
          <w:bCs/>
          <w:sz w:val="16"/>
          <w:szCs w:val="16"/>
          <w:lang w:val="fr-BE"/>
        </w:rPr>
        <w:t>ουλεύεσθ</w:t>
      </w:r>
      <w:proofErr w:type="spellEnd"/>
      <w:r w:rsidRPr="0054255E">
        <w:rPr>
          <w:bCs/>
          <w:sz w:val="16"/>
          <w:szCs w:val="16"/>
          <w:lang w:val="fr-BE"/>
        </w:rPr>
        <w:t>αι ,</w:t>
      </w:r>
      <w:proofErr w:type="gramEnd"/>
      <w:r w:rsidRPr="0054255E">
        <w:rPr>
          <w:bCs/>
          <w:sz w:val="16"/>
          <w:szCs w:val="16"/>
          <w:lang w:val="fr-BE"/>
        </w:rPr>
        <w:t xml:space="preserve"> « délibérer en soi-même », c'est-à-dire « méditer ». </w:t>
      </w:r>
    </w:p>
  </w:footnote>
  <w:footnote w:id="33">
    <w:p w:rsidR="007251A3" w:rsidRPr="0054255E" w:rsidRDefault="007251A3" w:rsidP="007251A3">
      <w:pPr>
        <w:shd w:val="clear" w:color="auto" w:fill="FFFFFF"/>
        <w:rPr>
          <w:sz w:val="16"/>
          <w:szCs w:val="16"/>
        </w:rPr>
      </w:pPr>
      <w:r w:rsidRPr="0054255E">
        <w:rPr>
          <w:rStyle w:val="FootnoteReference"/>
          <w:sz w:val="16"/>
          <w:szCs w:val="16"/>
        </w:rPr>
        <w:footnoteRef/>
      </w:r>
      <w:r w:rsidRPr="0054255E">
        <w:rPr>
          <w:sz w:val="16"/>
          <w:szCs w:val="16"/>
        </w:rPr>
        <w:t xml:space="preserve"> </w:t>
      </w:r>
      <w:r w:rsidRPr="0054255E">
        <w:rPr>
          <w:color w:val="000000"/>
          <w:sz w:val="16"/>
          <w:szCs w:val="16"/>
        </w:rPr>
        <w:t>Magali Brunel et Carole Guérin-</w:t>
      </w:r>
      <w:proofErr w:type="spellStart"/>
      <w:r w:rsidRPr="0054255E">
        <w:rPr>
          <w:color w:val="000000"/>
          <w:sz w:val="16"/>
          <w:szCs w:val="16"/>
        </w:rPr>
        <w:t>Callebout</w:t>
      </w:r>
      <w:proofErr w:type="spellEnd"/>
      <w:r w:rsidRPr="0054255E">
        <w:rPr>
          <w:color w:val="000000"/>
          <w:sz w:val="16"/>
          <w:szCs w:val="16"/>
        </w:rPr>
        <w:t>,</w:t>
      </w:r>
      <w:r w:rsidRPr="0054255E">
        <w:rPr>
          <w:sz w:val="16"/>
          <w:szCs w:val="16"/>
        </w:rPr>
        <w:t xml:space="preserve"> « ‘écrire dans’ : écriture littéraire sur écran. Présentation d’une expérimentation en classe de de 3</w:t>
      </w:r>
      <w:r w:rsidRPr="0054255E">
        <w:rPr>
          <w:sz w:val="16"/>
          <w:szCs w:val="16"/>
          <w:vertAlign w:val="superscript"/>
        </w:rPr>
        <w:t>e</w:t>
      </w:r>
      <w:r w:rsidRPr="0054255E">
        <w:rPr>
          <w:sz w:val="16"/>
          <w:szCs w:val="16"/>
        </w:rPr>
        <w:t xml:space="preserve"> année du secondaire », </w:t>
      </w:r>
      <w:r w:rsidRPr="0054255E">
        <w:rPr>
          <w:i/>
          <w:sz w:val="16"/>
          <w:szCs w:val="16"/>
        </w:rPr>
        <w:t>R</w:t>
      </w:r>
      <w:r w:rsidRPr="0054255E">
        <w:rPr>
          <w:i/>
          <w:color w:val="000000"/>
          <w:sz w:val="16"/>
          <w:szCs w:val="16"/>
        </w:rPr>
        <w:t xml:space="preserve">evue de recherches en </w:t>
      </w:r>
      <w:proofErr w:type="spellStart"/>
      <w:r w:rsidRPr="0054255E">
        <w:rPr>
          <w:i/>
          <w:color w:val="000000"/>
          <w:sz w:val="16"/>
          <w:szCs w:val="16"/>
        </w:rPr>
        <w:t>litératie</w:t>
      </w:r>
      <w:proofErr w:type="spellEnd"/>
      <w:r w:rsidRPr="0054255E">
        <w:rPr>
          <w:i/>
          <w:color w:val="000000"/>
          <w:sz w:val="16"/>
          <w:szCs w:val="16"/>
        </w:rPr>
        <w:t xml:space="preserve"> médiatique multimodale</w:t>
      </w:r>
      <w:r w:rsidRPr="0054255E">
        <w:rPr>
          <w:color w:val="000000"/>
          <w:sz w:val="16"/>
          <w:szCs w:val="16"/>
        </w:rPr>
        <w:t>, vol. 3, novembre 2016.</w:t>
      </w:r>
    </w:p>
  </w:footnote>
  <w:footnote w:id="34">
    <w:p w:rsidR="007251A3" w:rsidRPr="00B400E2" w:rsidRDefault="007251A3" w:rsidP="007251A3">
      <w:pPr>
        <w:shd w:val="clear" w:color="auto" w:fill="FFFFFF"/>
        <w:rPr>
          <w:sz w:val="16"/>
          <w:szCs w:val="16"/>
          <w:lang w:val="fr-BE"/>
        </w:rPr>
      </w:pPr>
      <w:r w:rsidRPr="0054255E">
        <w:rPr>
          <w:rStyle w:val="FootnoteReference"/>
          <w:sz w:val="16"/>
          <w:szCs w:val="16"/>
        </w:rPr>
        <w:footnoteRef/>
      </w:r>
      <w:r w:rsidRPr="0054255E">
        <w:rPr>
          <w:sz w:val="16"/>
          <w:szCs w:val="16"/>
        </w:rPr>
        <w:t xml:space="preserve"> « </w:t>
      </w:r>
      <w:r w:rsidRPr="0054255E">
        <w:rPr>
          <w:sz w:val="16"/>
          <w:szCs w:val="16"/>
          <w:lang w:val="fr-BE"/>
        </w:rPr>
        <w:t>Le lecteur est seul, sans le monde. Pourtant, plongé dans sa lecture, tous les livres du monde sont tombés. En d’autres termes, il est seul</w:t>
      </w:r>
      <w:r w:rsidRPr="00B400E2">
        <w:rPr>
          <w:sz w:val="16"/>
          <w:szCs w:val="16"/>
          <w:lang w:val="fr-BE"/>
        </w:rPr>
        <w:t xml:space="preserve">, sans le monde que détruisait le livre : sans le livre ni le monde détruit » (Pascal Quignard, </w:t>
      </w:r>
      <w:r w:rsidRPr="00B400E2">
        <w:rPr>
          <w:i/>
          <w:sz w:val="16"/>
          <w:szCs w:val="16"/>
          <w:lang w:val="fr-BE"/>
        </w:rPr>
        <w:t>Le lecteur</w:t>
      </w:r>
      <w:r w:rsidRPr="00B400E2">
        <w:rPr>
          <w:sz w:val="16"/>
          <w:szCs w:val="16"/>
          <w:lang w:val="fr-BE"/>
        </w:rPr>
        <w:t>, Paris, Gallimard, 1976, p. 37).</w:t>
      </w:r>
    </w:p>
  </w:footnote>
  <w:footnote w:id="35">
    <w:p w:rsidR="007251A3" w:rsidRPr="00B400E2" w:rsidRDefault="007251A3" w:rsidP="00B400E2">
      <w:pPr>
        <w:ind w:left="709" w:hanging="709"/>
        <w:rPr>
          <w:sz w:val="16"/>
          <w:szCs w:val="16"/>
          <w:lang w:val="fr-BE"/>
        </w:rPr>
      </w:pPr>
      <w:r w:rsidRPr="00B400E2">
        <w:rPr>
          <w:rStyle w:val="FootnoteReference"/>
          <w:sz w:val="16"/>
          <w:szCs w:val="16"/>
        </w:rPr>
        <w:footnoteRef/>
      </w:r>
      <w:r w:rsidRPr="00B400E2">
        <w:rPr>
          <w:sz w:val="16"/>
          <w:szCs w:val="16"/>
        </w:rPr>
        <w:t xml:space="preserve"> </w:t>
      </w:r>
      <w:bookmarkStart w:id="0" w:name="_Hlk533786106"/>
      <w:bookmarkStart w:id="1" w:name="_GoBack"/>
      <w:r w:rsidRPr="00B400E2">
        <w:rPr>
          <w:sz w:val="16"/>
          <w:szCs w:val="16"/>
        </w:rPr>
        <w:t xml:space="preserve">Denis Bertrand, « Sémiotique, littérature et Nouvelle herméneutique. Pour une approche formelle et engagée », </w:t>
      </w:r>
      <w:r w:rsidR="00B400E2" w:rsidRPr="00B400E2">
        <w:rPr>
          <w:i/>
          <w:color w:val="222222"/>
          <w:sz w:val="16"/>
          <w:szCs w:val="16"/>
          <w:shd w:val="clear" w:color="auto" w:fill="FFFFFF"/>
        </w:rPr>
        <w:t>Langages</w:t>
      </w:r>
      <w:r w:rsidR="00B400E2" w:rsidRPr="00B400E2">
        <w:rPr>
          <w:iCs/>
          <w:color w:val="222222"/>
          <w:sz w:val="16"/>
          <w:szCs w:val="16"/>
          <w:shd w:val="clear" w:color="auto" w:fill="FFFFFF"/>
        </w:rPr>
        <w:t xml:space="preserve">, n° 212, à paraître. </w:t>
      </w:r>
      <w:bookmarkEnd w:id="0"/>
      <w:bookmarkEnd w:id="1"/>
    </w:p>
  </w:footnote>
  <w:footnote w:id="36">
    <w:p w:rsidR="007251A3" w:rsidRPr="0054255E" w:rsidRDefault="007251A3" w:rsidP="007251A3">
      <w:pPr>
        <w:pStyle w:val="FootnoteText"/>
        <w:rPr>
          <w:szCs w:val="16"/>
        </w:rPr>
      </w:pPr>
      <w:r w:rsidRPr="0054255E">
        <w:rPr>
          <w:rStyle w:val="FootnoteReference"/>
          <w:szCs w:val="16"/>
        </w:rPr>
        <w:footnoteRef/>
      </w:r>
      <w:r w:rsidRPr="0054255E">
        <w:rPr>
          <w:szCs w:val="16"/>
        </w:rPr>
        <w:t xml:space="preserve"> </w:t>
      </w:r>
      <w:r w:rsidRPr="0054255E">
        <w:rPr>
          <w:i/>
          <w:szCs w:val="16"/>
        </w:rPr>
        <w:t>Ibid</w:t>
      </w:r>
      <w:r w:rsidRPr="0054255E">
        <w:rPr>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B77"/>
    <w:multiLevelType w:val="multilevel"/>
    <w:tmpl w:val="08225D7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 w15:restartNumberingAfterBreak="0">
    <w:nsid w:val="432A6E8B"/>
    <w:multiLevelType w:val="hybridMultilevel"/>
    <w:tmpl w:val="8F30C386"/>
    <w:lvl w:ilvl="0" w:tplc="4F42F9F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CA"/>
    <w:rsid w:val="0002623A"/>
    <w:rsid w:val="001B5E73"/>
    <w:rsid w:val="001C09CD"/>
    <w:rsid w:val="00286F33"/>
    <w:rsid w:val="002D26B7"/>
    <w:rsid w:val="002F12C1"/>
    <w:rsid w:val="002F4229"/>
    <w:rsid w:val="0030120B"/>
    <w:rsid w:val="00356520"/>
    <w:rsid w:val="00392259"/>
    <w:rsid w:val="003A66F7"/>
    <w:rsid w:val="00442702"/>
    <w:rsid w:val="00443DDA"/>
    <w:rsid w:val="004B4482"/>
    <w:rsid w:val="004F28A0"/>
    <w:rsid w:val="00521CD1"/>
    <w:rsid w:val="00522B40"/>
    <w:rsid w:val="0054036D"/>
    <w:rsid w:val="0054255E"/>
    <w:rsid w:val="005D4681"/>
    <w:rsid w:val="006162B6"/>
    <w:rsid w:val="00652146"/>
    <w:rsid w:val="006A786B"/>
    <w:rsid w:val="006E1E24"/>
    <w:rsid w:val="0071752E"/>
    <w:rsid w:val="007251A3"/>
    <w:rsid w:val="00770657"/>
    <w:rsid w:val="007F0E17"/>
    <w:rsid w:val="00876E6B"/>
    <w:rsid w:val="00882FCA"/>
    <w:rsid w:val="008A30B6"/>
    <w:rsid w:val="009471EA"/>
    <w:rsid w:val="00A430A2"/>
    <w:rsid w:val="00AF4BD9"/>
    <w:rsid w:val="00B400E2"/>
    <w:rsid w:val="00B7617D"/>
    <w:rsid w:val="00B82900"/>
    <w:rsid w:val="00BD3E9E"/>
    <w:rsid w:val="00C05549"/>
    <w:rsid w:val="00C941A9"/>
    <w:rsid w:val="00CA3A24"/>
    <w:rsid w:val="00D17299"/>
    <w:rsid w:val="00D64A39"/>
    <w:rsid w:val="00DC1493"/>
    <w:rsid w:val="00E332C4"/>
    <w:rsid w:val="00ED5030"/>
    <w:rsid w:val="00EF108C"/>
    <w:rsid w:val="00F2644A"/>
    <w:rsid w:val="00F96B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22969"/>
  <w15:docId w15:val="{88B7EE36-782F-4435-BB53-B5B2475E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E73"/>
    <w:pPr>
      <w:ind w:firstLine="284"/>
      <w:jc w:val="both"/>
    </w:pPr>
    <w:rPr>
      <w:rFonts w:ascii="Times New Roman" w:hAnsi="Times New Roman" w:cs="Times New Roman"/>
      <w:sz w:val="21"/>
      <w:lang w:eastAsia="fr-FR"/>
    </w:rPr>
  </w:style>
  <w:style w:type="paragraph" w:styleId="Heading1">
    <w:name w:val="heading 1"/>
    <w:basedOn w:val="Normal"/>
    <w:next w:val="Normal"/>
    <w:link w:val="Heading1Char"/>
    <w:uiPriority w:val="9"/>
    <w:qFormat/>
    <w:rsid w:val="00443DDA"/>
    <w:pPr>
      <w:keepNext/>
      <w:keepLines/>
      <w:spacing w:before="240" w:after="480"/>
      <w:ind w:firstLine="0"/>
      <w:jc w:val="center"/>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autoRedefine/>
    <w:uiPriority w:val="9"/>
    <w:unhideWhenUsed/>
    <w:qFormat/>
    <w:rsid w:val="004B4482"/>
    <w:pPr>
      <w:keepNext/>
      <w:keepLines/>
      <w:spacing w:before="240" w:after="120" w:line="240" w:lineRule="exact"/>
      <w:jc w:val="left"/>
      <w:outlineLvl w:val="1"/>
    </w:pPr>
    <w:rPr>
      <w:rFonts w:ascii="Arial" w:eastAsiaTheme="majorEastAsia" w:hAnsi="Arial" w:cstheme="majorBidi"/>
      <w:szCs w:val="26"/>
    </w:rPr>
  </w:style>
  <w:style w:type="paragraph" w:styleId="Heading3">
    <w:name w:val="heading 3"/>
    <w:basedOn w:val="Normal"/>
    <w:next w:val="Normal"/>
    <w:link w:val="Heading3Char"/>
    <w:uiPriority w:val="99"/>
    <w:qFormat/>
    <w:rsid w:val="00F96B3F"/>
    <w:pPr>
      <w:keepNext/>
      <w:keepLines/>
      <w:spacing w:before="240" w:after="240"/>
      <w:outlineLvl w:val="2"/>
    </w:pPr>
    <w:rPr>
      <w:rFonts w:ascii="Cambria" w:eastAsia="MS Gothic" w:hAnsi="Cambria" w:cs="Cambria"/>
      <w:b/>
      <w:bC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DDA"/>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4B4482"/>
    <w:rPr>
      <w:rFonts w:ascii="Arial" w:eastAsiaTheme="majorEastAsia" w:hAnsi="Arial" w:cstheme="majorBidi"/>
      <w:szCs w:val="26"/>
    </w:rPr>
  </w:style>
  <w:style w:type="paragraph" w:customStyle="1" w:styleId="Titre1avecsous-titre">
    <w:name w:val="Titre 1 avec sous-titre"/>
    <w:basedOn w:val="Heading1"/>
    <w:next w:val="Subtitle"/>
    <w:qFormat/>
    <w:rsid w:val="00522B40"/>
    <w:rPr>
      <w:rFonts w:ascii="Gill Sans" w:hAnsi="Gill Sans"/>
      <w:b/>
      <w:sz w:val="24"/>
    </w:rPr>
  </w:style>
  <w:style w:type="paragraph" w:styleId="Subtitle">
    <w:name w:val="Subtitle"/>
    <w:basedOn w:val="Heading1"/>
    <w:next w:val="Heading2"/>
    <w:link w:val="SubtitleChar"/>
    <w:qFormat/>
    <w:rsid w:val="00AF4BD9"/>
    <w:pPr>
      <w:spacing w:before="0"/>
      <w:outlineLvl w:val="9"/>
    </w:pPr>
    <w:rPr>
      <w:rFonts w:ascii="Gill Sans" w:hAnsi="Gill Sans"/>
      <w:b/>
      <w:sz w:val="24"/>
    </w:rPr>
  </w:style>
  <w:style w:type="character" w:customStyle="1" w:styleId="SubtitleChar">
    <w:name w:val="Subtitle Char"/>
    <w:basedOn w:val="DefaultParagraphFont"/>
    <w:link w:val="Subtitle"/>
    <w:rsid w:val="00AF4BD9"/>
    <w:rPr>
      <w:rFonts w:ascii="Gill Sans" w:eastAsiaTheme="majorEastAsia" w:hAnsi="Gill Sans" w:cstheme="majorBidi"/>
      <w:b/>
      <w:color w:val="000000" w:themeColor="text1"/>
      <w:szCs w:val="32"/>
    </w:rPr>
  </w:style>
  <w:style w:type="paragraph" w:customStyle="1" w:styleId="Cours">
    <w:name w:val="Cours"/>
    <w:basedOn w:val="Normal"/>
    <w:qFormat/>
    <w:rsid w:val="00876E6B"/>
    <w:pPr>
      <w:spacing w:line="360" w:lineRule="auto"/>
      <w:ind w:firstLine="567"/>
    </w:pPr>
    <w:rPr>
      <w:rFonts w:ascii="Verdana" w:eastAsia="Cambria" w:hAnsi="Verdana"/>
      <w:sz w:val="32"/>
      <w:szCs w:val="20"/>
      <w:lang w:eastAsia="en-US"/>
    </w:rPr>
  </w:style>
  <w:style w:type="paragraph" w:customStyle="1" w:styleId="Aronaute">
    <w:name w:val="Aéronaute"/>
    <w:basedOn w:val="Normal"/>
    <w:qFormat/>
    <w:rsid w:val="0071752E"/>
    <w:pPr>
      <w:spacing w:line="250" w:lineRule="exact"/>
      <w:contextualSpacing/>
    </w:pPr>
    <w:rPr>
      <w:rFonts w:ascii="Goudy Old Style" w:hAnsi="Goudy Old Style"/>
      <w:sz w:val="22"/>
    </w:rPr>
  </w:style>
  <w:style w:type="paragraph" w:styleId="Quote">
    <w:name w:val="Quote"/>
    <w:basedOn w:val="Normal"/>
    <w:link w:val="QuoteChar"/>
    <w:qFormat/>
    <w:rsid w:val="0071752E"/>
    <w:pPr>
      <w:spacing w:before="240" w:after="240" w:line="240" w:lineRule="exact"/>
      <w:ind w:left="284" w:right="284"/>
    </w:pPr>
    <w:rPr>
      <w:rFonts w:ascii="Goudy Old Style" w:hAnsi="Goudy Old Style"/>
      <w:sz w:val="20"/>
    </w:rPr>
  </w:style>
  <w:style w:type="character" w:customStyle="1" w:styleId="QuoteChar">
    <w:name w:val="Quote Char"/>
    <w:basedOn w:val="DefaultParagraphFont"/>
    <w:link w:val="Quote"/>
    <w:rsid w:val="0071752E"/>
    <w:rPr>
      <w:rFonts w:ascii="Goudy Old Style" w:hAnsi="Goudy Old Style"/>
      <w:sz w:val="20"/>
    </w:rPr>
  </w:style>
  <w:style w:type="character" w:customStyle="1" w:styleId="Heading3Char">
    <w:name w:val="Heading 3 Char"/>
    <w:basedOn w:val="DefaultParagraphFont"/>
    <w:link w:val="Heading3"/>
    <w:uiPriority w:val="99"/>
    <w:rsid w:val="00F96B3F"/>
    <w:rPr>
      <w:rFonts w:ascii="Cambria" w:eastAsia="MS Gothic" w:hAnsi="Cambria" w:cs="Cambria"/>
      <w:b/>
      <w:bCs/>
      <w:lang w:eastAsia="ja-JP"/>
    </w:rPr>
  </w:style>
  <w:style w:type="paragraph" w:styleId="BodyText">
    <w:name w:val="Body Text"/>
    <w:basedOn w:val="Normal"/>
    <w:link w:val="BodyTextChar"/>
    <w:uiPriority w:val="99"/>
    <w:semiHidden/>
    <w:unhideWhenUsed/>
    <w:rsid w:val="00BD3E9E"/>
    <w:pPr>
      <w:spacing w:after="120"/>
    </w:pPr>
  </w:style>
  <w:style w:type="character" w:customStyle="1" w:styleId="BodyTextChar">
    <w:name w:val="Body Text Char"/>
    <w:basedOn w:val="DefaultParagraphFont"/>
    <w:link w:val="BodyText"/>
    <w:uiPriority w:val="99"/>
    <w:semiHidden/>
    <w:rsid w:val="00BD3E9E"/>
    <w:rPr>
      <w:rFonts w:ascii="Times New Roman" w:hAnsi="Times New Roman"/>
      <w:sz w:val="21"/>
    </w:rPr>
  </w:style>
  <w:style w:type="paragraph" w:styleId="BodyTextFirstIndent">
    <w:name w:val="Body Text First Indent"/>
    <w:basedOn w:val="BodyText"/>
    <w:link w:val="BodyTextFirstIndentChar"/>
    <w:uiPriority w:val="99"/>
    <w:semiHidden/>
    <w:unhideWhenUsed/>
    <w:rsid w:val="00BD3E9E"/>
    <w:pPr>
      <w:spacing w:after="0"/>
      <w:ind w:firstLine="360"/>
    </w:pPr>
  </w:style>
  <w:style w:type="character" w:customStyle="1" w:styleId="BodyTextFirstIndentChar">
    <w:name w:val="Body Text First Indent Char"/>
    <w:basedOn w:val="BodyTextChar"/>
    <w:link w:val="BodyTextFirstIndent"/>
    <w:uiPriority w:val="99"/>
    <w:semiHidden/>
    <w:rsid w:val="00BD3E9E"/>
    <w:rPr>
      <w:rFonts w:ascii="Times New Roman" w:hAnsi="Times New Roman"/>
      <w:sz w:val="21"/>
    </w:rPr>
  </w:style>
  <w:style w:type="paragraph" w:customStyle="1" w:styleId="CitationCOurs">
    <w:name w:val="Citation COurs"/>
    <w:basedOn w:val="Cours"/>
    <w:qFormat/>
    <w:rsid w:val="00356520"/>
    <w:pPr>
      <w:ind w:left="567" w:right="567"/>
    </w:pPr>
    <w:rPr>
      <w:i/>
    </w:rPr>
  </w:style>
  <w:style w:type="paragraph" w:styleId="FootnoteText">
    <w:name w:val="footnote text"/>
    <w:aliases w:val=" Char Char Char, Char, Char Char Char Char Char Char Char Char Char Char Char Char Char Char Char Char Char Char Char Char Char Char Char Char Char Char Char Char Char Char Char Char Char Char, Char1, Char Char Char Char,C"/>
    <w:basedOn w:val="Normal"/>
    <w:link w:val="FootnoteTextChar"/>
    <w:uiPriority w:val="99"/>
    <w:unhideWhenUsed/>
    <w:rsid w:val="001C09CD"/>
    <w:pPr>
      <w:ind w:left="284" w:hanging="284"/>
    </w:pPr>
    <w:rPr>
      <w:sz w:val="16"/>
      <w:szCs w:val="20"/>
    </w:rPr>
  </w:style>
  <w:style w:type="character" w:customStyle="1" w:styleId="FootnoteTextChar">
    <w:name w:val="Footnote Text Char"/>
    <w:aliases w:val=" Char Char Char Char1, Char Char, Char Char Char Char Char Char Char Char Char Char Char Char Char Char Char Char Char Char Char Char Char Char Char Char Char Char Char Char Char Char Char Char Char Char Char, Char1 Char,C Char"/>
    <w:basedOn w:val="DefaultParagraphFont"/>
    <w:link w:val="FootnoteText"/>
    <w:uiPriority w:val="99"/>
    <w:rsid w:val="001C09CD"/>
    <w:rPr>
      <w:rFonts w:ascii="Times New Roman" w:hAnsi="Times New Roman" w:cs="Times New Roman"/>
      <w:sz w:val="16"/>
      <w:szCs w:val="20"/>
      <w:lang w:eastAsia="fr-FR"/>
    </w:rPr>
  </w:style>
  <w:style w:type="character" w:styleId="FootnoteReference">
    <w:name w:val="footnote reference"/>
    <w:aliases w:val="Times 10 Point,Exposant 3 Point,Footnote symbol,footnote ref"/>
    <w:basedOn w:val="DefaultParagraphFont"/>
    <w:uiPriority w:val="99"/>
    <w:unhideWhenUsed/>
    <w:rsid w:val="00882FCA"/>
    <w:rPr>
      <w:vertAlign w:val="superscript"/>
    </w:rPr>
  </w:style>
  <w:style w:type="paragraph" w:styleId="ListParagraph">
    <w:name w:val="List Paragraph"/>
    <w:basedOn w:val="Normal"/>
    <w:uiPriority w:val="34"/>
    <w:qFormat/>
    <w:rsid w:val="007251A3"/>
    <w:pPr>
      <w:suppressAutoHyphens/>
      <w:autoSpaceDN w:val="0"/>
      <w:spacing w:after="160" w:line="251" w:lineRule="auto"/>
      <w:ind w:left="720" w:firstLine="0"/>
      <w:jc w:val="left"/>
      <w:textAlignment w:val="baseline"/>
    </w:pPr>
    <w:rPr>
      <w:rFonts w:ascii="Calibri" w:eastAsia="Calibri" w:hAnsi="Calibri"/>
      <w:sz w:val="22"/>
      <w:szCs w:val="22"/>
      <w:lang w:eastAsia="en-US"/>
    </w:rPr>
  </w:style>
  <w:style w:type="character" w:styleId="Hyperlink">
    <w:name w:val="Hyperlink"/>
    <w:basedOn w:val="DefaultParagraphFont"/>
    <w:uiPriority w:val="99"/>
    <w:unhideWhenUsed/>
    <w:rsid w:val="007251A3"/>
    <w:rPr>
      <w:color w:val="0000FF"/>
      <w:u w:val="single"/>
    </w:rPr>
  </w:style>
  <w:style w:type="character" w:styleId="Emphasis">
    <w:name w:val="Emphasis"/>
    <w:basedOn w:val="DefaultParagraphFont"/>
    <w:uiPriority w:val="20"/>
    <w:qFormat/>
    <w:rsid w:val="007251A3"/>
    <w:rPr>
      <w:i/>
      <w:iCs/>
    </w:rPr>
  </w:style>
  <w:style w:type="paragraph" w:styleId="Footer">
    <w:name w:val="footer"/>
    <w:basedOn w:val="Normal"/>
    <w:link w:val="FooterChar"/>
    <w:uiPriority w:val="99"/>
    <w:unhideWhenUsed/>
    <w:rsid w:val="007251A3"/>
    <w:pPr>
      <w:tabs>
        <w:tab w:val="center" w:pos="4536"/>
        <w:tab w:val="right" w:pos="9072"/>
      </w:tabs>
      <w:suppressAutoHyphens/>
      <w:autoSpaceDN w:val="0"/>
      <w:ind w:firstLine="0"/>
      <w:jc w:val="left"/>
      <w:textAlignment w:val="baseline"/>
    </w:pPr>
    <w:rPr>
      <w:rFonts w:ascii="Calibri" w:eastAsia="Calibri" w:hAnsi="Calibri"/>
      <w:sz w:val="22"/>
      <w:szCs w:val="22"/>
      <w:lang w:eastAsia="en-US"/>
    </w:rPr>
  </w:style>
  <w:style w:type="character" w:customStyle="1" w:styleId="FooterChar">
    <w:name w:val="Footer Char"/>
    <w:basedOn w:val="DefaultParagraphFont"/>
    <w:link w:val="Footer"/>
    <w:uiPriority w:val="99"/>
    <w:rsid w:val="007251A3"/>
    <w:rPr>
      <w:rFonts w:ascii="Calibri" w:eastAsia="Calibri" w:hAnsi="Calibri" w:cs="Times New Roman"/>
      <w:sz w:val="22"/>
      <w:szCs w:val="22"/>
    </w:rPr>
  </w:style>
  <w:style w:type="paragraph" w:customStyle="1" w:styleId="corpus">
    <w:name w:val="corpus"/>
    <w:basedOn w:val="Normal"/>
    <w:rsid w:val="007251A3"/>
    <w:pPr>
      <w:spacing w:before="100" w:beforeAutospacing="1" w:after="100" w:afterAutospacing="1"/>
      <w:ind w:firstLine="0"/>
      <w:jc w:val="left"/>
    </w:pPr>
    <w:rPr>
      <w:sz w:val="24"/>
      <w:lang w:val="fr-BE" w:eastAsia="fr-BE"/>
    </w:rPr>
  </w:style>
  <w:style w:type="character" w:customStyle="1" w:styleId="familyname">
    <w:name w:val="familyname"/>
    <w:basedOn w:val="DefaultParagraphFont"/>
    <w:rsid w:val="007251A3"/>
  </w:style>
  <w:style w:type="character" w:customStyle="1" w:styleId="a-size-extra-large">
    <w:name w:val="a-size-extra-large"/>
    <w:basedOn w:val="DefaultParagraphFont"/>
    <w:rsid w:val="007251A3"/>
  </w:style>
  <w:style w:type="character" w:customStyle="1" w:styleId="author">
    <w:name w:val="author"/>
    <w:basedOn w:val="DefaultParagraphFont"/>
    <w:rsid w:val="007251A3"/>
  </w:style>
  <w:style w:type="character" w:customStyle="1" w:styleId="a-color-secondary">
    <w:name w:val="a-color-secondary"/>
    <w:basedOn w:val="DefaultParagraphFont"/>
    <w:rsid w:val="007251A3"/>
  </w:style>
  <w:style w:type="paragraph" w:styleId="NoSpacing">
    <w:name w:val="No Spacing"/>
    <w:uiPriority w:val="1"/>
    <w:qFormat/>
    <w:rsid w:val="007251A3"/>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Art_chr%C3%A9ti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r.wikipedia.org/wiki/Moyen_%C3%82g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books.adelaide.edu.au/j/joyce/james/j8f/episode5.html%20I,5"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A99F0-4C19-4F96-A408-2039DCA18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2993</Words>
  <Characters>16467</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Anne-Elisabeth Halpern</dc:creator>
  <cp:keywords/>
  <dc:description/>
  <cp:lastModifiedBy>User</cp:lastModifiedBy>
  <cp:revision>2</cp:revision>
  <dcterms:created xsi:type="dcterms:W3CDTF">2018-12-28T17:49:00Z</dcterms:created>
  <dcterms:modified xsi:type="dcterms:W3CDTF">2018-12-28T17:49:00Z</dcterms:modified>
</cp:coreProperties>
</file>