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E8" w:rsidRPr="00673EE8" w:rsidRDefault="00673EE8" w:rsidP="00673EE8">
      <w:pPr>
        <w:rPr>
          <w:lang w:val="en-GB"/>
        </w:rPr>
      </w:pPr>
      <w:r>
        <w:rPr>
          <w:lang w:val="en-GB"/>
        </w:rPr>
        <w:t>French Politics</w:t>
      </w:r>
    </w:p>
    <w:p w:rsidR="00673EE8" w:rsidRPr="00673EE8" w:rsidRDefault="00673EE8" w:rsidP="00673EE8">
      <w:pPr>
        <w:rPr>
          <w:lang w:val="en-GB"/>
        </w:rPr>
      </w:pPr>
      <w:r>
        <w:rPr>
          <w:lang w:val="en-GB"/>
        </w:rPr>
        <w:t>pp 1–28 | Cite as</w:t>
      </w:r>
    </w:p>
    <w:p w:rsidR="00673EE8" w:rsidRPr="00673EE8" w:rsidRDefault="00673EE8" w:rsidP="00673EE8">
      <w:pPr>
        <w:rPr>
          <w:lang w:val="en-GB"/>
        </w:rPr>
      </w:pPr>
      <w:bookmarkStart w:id="0" w:name="_GoBack"/>
      <w:r w:rsidRPr="00673EE8">
        <w:rPr>
          <w:lang w:val="en-GB"/>
        </w:rPr>
        <w:t>The ideational origins of European democratization</w:t>
      </w:r>
      <w:bookmarkEnd w:id="0"/>
      <w:r w:rsidRPr="00673EE8">
        <w:rPr>
          <w:lang w:val="en-GB"/>
        </w:rPr>
        <w:t>: the “French connection” and the case of Belgian liberals</w:t>
      </w:r>
    </w:p>
    <w:p w:rsidR="00673EE8" w:rsidRPr="00673EE8" w:rsidRDefault="00673EE8" w:rsidP="00673EE8">
      <w:pPr>
        <w:rPr>
          <w:lang w:val="en-GB"/>
        </w:rPr>
      </w:pPr>
      <w:r w:rsidRPr="00673EE8">
        <w:rPr>
          <w:lang w:val="en-GB"/>
        </w:rPr>
        <w:t>Authors</w:t>
      </w:r>
    </w:p>
    <w:p w:rsidR="00673EE8" w:rsidRPr="00673EE8" w:rsidRDefault="00673EE8" w:rsidP="00673EE8">
      <w:pPr>
        <w:rPr>
          <w:lang w:val="en-GB"/>
        </w:rPr>
      </w:pPr>
      <w:r w:rsidRPr="00673EE8">
        <w:rPr>
          <w:lang w:val="en-GB"/>
        </w:rPr>
        <w:t>Authors and affiliations</w:t>
      </w:r>
    </w:p>
    <w:p w:rsidR="00673EE8" w:rsidRPr="00673EE8" w:rsidRDefault="00673EE8" w:rsidP="00673EE8">
      <w:pPr>
        <w:rPr>
          <w:lang w:val="en-GB"/>
        </w:rPr>
      </w:pPr>
      <w:r w:rsidRPr="00673EE8">
        <w:rPr>
          <w:lang w:val="en-GB"/>
        </w:rPr>
        <w:t>Nadim FarhatEmail authorPhilippe Poirier</w:t>
      </w:r>
    </w:p>
    <w:p w:rsidR="00673EE8" w:rsidRPr="00673EE8" w:rsidRDefault="00673EE8" w:rsidP="00673EE8">
      <w:pPr>
        <w:rPr>
          <w:lang w:val="en-GB"/>
        </w:rPr>
      </w:pPr>
      <w:r w:rsidRPr="00673EE8">
        <w:rPr>
          <w:lang w:val="en-GB"/>
        </w:rPr>
        <w:t>Original Article</w:t>
      </w:r>
    </w:p>
    <w:p w:rsidR="00673EE8" w:rsidRPr="00673EE8" w:rsidRDefault="00673EE8" w:rsidP="00673EE8">
      <w:pPr>
        <w:rPr>
          <w:lang w:val="en-GB"/>
        </w:rPr>
      </w:pPr>
      <w:r w:rsidRPr="00673EE8">
        <w:rPr>
          <w:lang w:val="en-GB"/>
        </w:rPr>
        <w:t>First Online: 08 June 2019</w:t>
      </w:r>
    </w:p>
    <w:p w:rsidR="00673EE8" w:rsidRPr="00673EE8" w:rsidRDefault="00673EE8" w:rsidP="00673EE8">
      <w:pPr>
        <w:rPr>
          <w:lang w:val="en-GB"/>
        </w:rPr>
      </w:pPr>
      <w:r w:rsidRPr="00673EE8">
        <w:rPr>
          <w:lang w:val="en-GB"/>
        </w:rPr>
        <w:t>Abstract</w:t>
      </w:r>
    </w:p>
    <w:p w:rsidR="00673EE8" w:rsidRPr="00673EE8" w:rsidRDefault="00673EE8" w:rsidP="00673EE8">
      <w:pPr>
        <w:rPr>
          <w:lang w:val="en-GB"/>
        </w:rPr>
      </w:pPr>
      <w:r w:rsidRPr="00673EE8">
        <w:rPr>
          <w:lang w:val="en-GB"/>
        </w:rPr>
        <w:t>Why, in some cases, did old elites promote democratization without the partisan capacity to embrace mass politics and without guarantees about their future participation in the new regime? This article investigates the case of the Liberals in Belgium who were eager, in the years between 1893–1921, to launch democratization while founding their actions and choices on a selfless approach to politics. In seeking to identify the source of this democratic preference, one factor, largely ignored in the studies on the first wave of democratization, emerges: the diffusion of democratic ideas and practices from France. Constructing and analyzing two original data sets including, respectively, the personal characteristics of Belgian Liberal MPs who were active during the democratic transition period and the speeches of those who addressed topics related to France, this article shows that the democratic ideas as well as the choices expressed by Liberal MPs in the parliament are significantly related to their prior socialization into French democratic norms. This result has broad implications for understanding ideational transfer and diffusion in the first wave of European democratization, opening n</w:t>
      </w:r>
      <w:r>
        <w:rPr>
          <w:lang w:val="en-GB"/>
        </w:rPr>
        <w:t>ew avenues for future research.</w:t>
      </w:r>
    </w:p>
    <w:p w:rsidR="00673EE8" w:rsidRPr="00673EE8" w:rsidRDefault="00673EE8" w:rsidP="00673EE8">
      <w:pPr>
        <w:rPr>
          <w:lang w:val="en-GB"/>
        </w:rPr>
      </w:pPr>
      <w:r w:rsidRPr="00673EE8">
        <w:rPr>
          <w:lang w:val="en-GB"/>
        </w:rPr>
        <w:t>Keywords</w:t>
      </w:r>
    </w:p>
    <w:p w:rsidR="00673EE8" w:rsidRPr="00673EE8" w:rsidRDefault="00673EE8" w:rsidP="00673EE8">
      <w:pPr>
        <w:rPr>
          <w:lang w:val="en-GB"/>
        </w:rPr>
      </w:pPr>
      <w:r w:rsidRPr="00673EE8">
        <w:rPr>
          <w:lang w:val="en-GB"/>
        </w:rPr>
        <w:t>European democratization Ideational diffusion</w:t>
      </w:r>
      <w:r>
        <w:rPr>
          <w:lang w:val="en-GB"/>
        </w:rPr>
        <w:t xml:space="preserve"> Liberal elites France Belgium </w:t>
      </w:r>
    </w:p>
    <w:p w:rsidR="00673EE8" w:rsidRPr="00673EE8" w:rsidRDefault="00673EE8" w:rsidP="00673EE8">
      <w:pPr>
        <w:rPr>
          <w:lang w:val="en-GB"/>
        </w:rPr>
      </w:pPr>
      <w:r w:rsidRPr="00673EE8">
        <w:rPr>
          <w:lang w:val="en-GB"/>
        </w:rPr>
        <w:t>References</w:t>
      </w:r>
    </w:p>
    <w:p w:rsidR="00673EE8" w:rsidRPr="00673EE8" w:rsidRDefault="00673EE8" w:rsidP="00673EE8">
      <w:pPr>
        <w:rPr>
          <w:lang w:val="en-GB"/>
        </w:rPr>
      </w:pPr>
      <w:r w:rsidRPr="00673EE8">
        <w:rPr>
          <w:lang w:val="en-GB"/>
        </w:rPr>
        <w:t>Acemoglu, D., and J.A. Robinson. 2006. Economic Origins of Dictatorship and Democracy. New York: Cambridge University Press.</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Albertus, M., and V. Menaldo. 2018. Authoritarianism and the Elite Origins of Democracy. </w:t>
      </w:r>
      <w:r>
        <w:t>Cambridge: Cambridge University Press.</w:t>
      </w:r>
    </w:p>
    <w:p w:rsidR="00673EE8" w:rsidRDefault="00673EE8" w:rsidP="00673EE8">
      <w:r>
        <w:t>Google Scholar</w:t>
      </w:r>
    </w:p>
    <w:p w:rsidR="00673EE8" w:rsidRDefault="00673EE8" w:rsidP="00673EE8">
      <w:r>
        <w:t>Aron, R. 1967. Les grandes heures de la Troisième République. Paris: Librairie Académique Perrin.</w:t>
      </w:r>
    </w:p>
    <w:p w:rsidR="00673EE8" w:rsidRDefault="00673EE8" w:rsidP="00673EE8">
      <w:r>
        <w:t>Google Scholar</w:t>
      </w:r>
    </w:p>
    <w:p w:rsidR="00673EE8" w:rsidRDefault="00673EE8" w:rsidP="00673EE8">
      <w:r w:rsidRPr="00673EE8">
        <w:rPr>
          <w:lang w:val="en-GB"/>
        </w:rPr>
        <w:t xml:space="preserve">Aron, P., and J.-P. Schreiber. </w:t>
      </w:r>
      <w:r>
        <w:t>1994. La Réception de l’Affaire en Belgique. In L’Affaire Dreyfus de A à Z, ed. M. Drouin, 543–547. Paris: Flammarion.</w:t>
      </w:r>
    </w:p>
    <w:p w:rsidR="00673EE8" w:rsidRDefault="00673EE8" w:rsidP="00673EE8">
      <w:r>
        <w:t>Google Scholar</w:t>
      </w:r>
    </w:p>
    <w:p w:rsidR="00673EE8" w:rsidRDefault="00673EE8" w:rsidP="00673EE8">
      <w:r>
        <w:lastRenderedPageBreak/>
        <w:t>Bairoch, P. 1965. Niveaux de développement économique de 1810 à 1910. Annales: Economies, Sociétés Civilisations 20(6): 1091–1117.</w:t>
      </w:r>
    </w:p>
    <w:p w:rsidR="00673EE8" w:rsidRDefault="00673EE8" w:rsidP="00673EE8">
      <w:r>
        <w:t>CrossRefGoogle Scholar</w:t>
      </w:r>
    </w:p>
    <w:p w:rsidR="00673EE8" w:rsidRDefault="00673EE8" w:rsidP="00673EE8">
      <w:r>
        <w:t>Balace, F. 2011. Introduction. Guerres mondiales et conflits contemporains 1(241): 5–12.</w:t>
      </w:r>
    </w:p>
    <w:p w:rsidR="00673EE8" w:rsidRDefault="00673EE8" w:rsidP="00673EE8">
      <w:r>
        <w:t>CrossRefGoogle Scholar</w:t>
      </w:r>
    </w:p>
    <w:p w:rsidR="00673EE8" w:rsidRPr="00673EE8" w:rsidRDefault="00673EE8" w:rsidP="00673EE8">
      <w:pPr>
        <w:rPr>
          <w:lang w:val="en-GB"/>
        </w:rPr>
      </w:pPr>
      <w:r>
        <w:t xml:space="preserve">Barthélemy, J. 1912. L’organisation du suffrage et l’expérience belge. </w:t>
      </w:r>
      <w:r w:rsidRPr="00673EE8">
        <w:rPr>
          <w:lang w:val="en-GB"/>
        </w:rPr>
        <w:t>Paris: M. Giard &amp; É. Brière.</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Berlinski, S., T. Dewan, and B. Van Coppenolle. 2014. Franchise Extension and the British Aristocracy. Legislative Studies Quarterly 39(4): 531–558.</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Beyen, M., and H.T. Velde. 2016. Passion and Reason. Modern Parliaments in the Low Countries. In Parliament and Parliamentarism. A Comparative History of a European Concept, ed. P. Ihalainen, C. Ilie, and K. Palonen. New York: Berghahn.</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Beyers, J. 2005. Multiple Embeddedness and Socialization in Europe: The Case of Council Officials. </w:t>
      </w:r>
      <w:r>
        <w:t>International Organization 59(4): 899–936.</w:t>
      </w:r>
    </w:p>
    <w:p w:rsidR="00673EE8" w:rsidRDefault="00673EE8" w:rsidP="00673EE8">
      <w:r>
        <w:t>CrossRefGoogle Scholar</w:t>
      </w:r>
    </w:p>
    <w:p w:rsidR="00673EE8" w:rsidRDefault="00673EE8" w:rsidP="00673EE8">
      <w:r>
        <w:t>Bitsch, M.-T. 1994. La Belgique entre la France et l’Allemagne, 1905–1914. Paris: Publications de la Sorbonne.</w:t>
      </w:r>
    </w:p>
    <w:p w:rsidR="00673EE8" w:rsidRDefault="00673EE8" w:rsidP="00673EE8">
      <w:r>
        <w:t>Google Scholar</w:t>
      </w:r>
    </w:p>
    <w:p w:rsidR="00673EE8" w:rsidRPr="00673EE8" w:rsidRDefault="00673EE8" w:rsidP="00673EE8">
      <w:pPr>
        <w:rPr>
          <w:lang w:val="en-GB"/>
        </w:rPr>
      </w:pPr>
      <w:r>
        <w:t xml:space="preserve">Bitsch, M.-T. 2004. Histoire de la Belgique de l’Antiquité à nos jours. </w:t>
      </w:r>
      <w:r w:rsidRPr="00673EE8">
        <w:rPr>
          <w:lang w:val="en-GB"/>
        </w:rPr>
        <w:t>Bruxelles: Complexe.</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Boix, C. 2003. Democracy and Redistribution. Cambridge: Cambridge University Press.</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Braun, D., and F. Gilardi. 2006. Taking ‘Galton’s Problem’ Seriously: Towards a Theory of Policy Diffusion. Journal of Theoretical Politics 18(3): 298–322.</w:t>
      </w:r>
    </w:p>
    <w:p w:rsidR="00673EE8" w:rsidRPr="00673EE8" w:rsidRDefault="00673EE8" w:rsidP="00673EE8">
      <w:pPr>
        <w:rPr>
          <w:lang w:val="en-GB"/>
        </w:rPr>
      </w:pPr>
      <w:r w:rsidRPr="00673EE8">
        <w:rPr>
          <w:lang w:val="en-GB"/>
        </w:rPr>
        <w:t>CrossRefGoogle Scholar</w:t>
      </w:r>
    </w:p>
    <w:p w:rsidR="00673EE8" w:rsidRDefault="00673EE8" w:rsidP="00673EE8">
      <w:r w:rsidRPr="00673EE8">
        <w:rPr>
          <w:lang w:val="en-GB"/>
        </w:rPr>
        <w:t xml:space="preserve">Capoccia, G., and D. Ziblatt. 2010. The Historical Turn in Democratization Studies: A New Research Agenda for Europe and Beyond. </w:t>
      </w:r>
      <w:r>
        <w:t>Comparative Political Studies 43(8–9): 931–968.</w:t>
      </w:r>
    </w:p>
    <w:p w:rsidR="00673EE8" w:rsidRDefault="00673EE8" w:rsidP="00673EE8">
      <w:r>
        <w:t>CrossRefGoogle Scholar</w:t>
      </w:r>
    </w:p>
    <w:p w:rsidR="00673EE8" w:rsidRDefault="00673EE8" w:rsidP="00673EE8">
      <w:r>
        <w:t>Centre Paul Hymans. 1993. Libéralisme. Numéros 11 à 15.</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Checkel, J. 2005. International Institutions and Socialization in Europe: Introduction and Framework. International Organization 59(4): 801–826.</w:t>
      </w:r>
    </w:p>
    <w:p w:rsidR="00673EE8" w:rsidRPr="00673EE8" w:rsidRDefault="00673EE8" w:rsidP="00673EE8">
      <w:pPr>
        <w:rPr>
          <w:lang w:val="en-GB"/>
        </w:rPr>
      </w:pPr>
      <w:r w:rsidRPr="00673EE8">
        <w:rPr>
          <w:lang w:val="en-GB"/>
        </w:rPr>
        <w:lastRenderedPageBreak/>
        <w:t>CrossRefGoogle Scholar</w:t>
      </w:r>
    </w:p>
    <w:p w:rsidR="00673EE8" w:rsidRPr="00673EE8" w:rsidRDefault="00673EE8" w:rsidP="00673EE8">
      <w:pPr>
        <w:rPr>
          <w:lang w:val="en-GB"/>
        </w:rPr>
      </w:pPr>
      <w:r w:rsidRPr="00673EE8">
        <w:rPr>
          <w:lang w:val="en-GB"/>
        </w:rPr>
        <w:t>Cook, B. 2004. Belgium: A History. New York: Peter Lang.</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Craeybeckx, J., and E. Witte. </w:t>
      </w:r>
      <w:r>
        <w:t>1987. La Belgique politique de 1830 à nos jours: les tensions d’une démocratie bourgeoise. Bruxelles: Labor.</w:t>
      </w:r>
    </w:p>
    <w:p w:rsidR="00673EE8" w:rsidRDefault="00673EE8" w:rsidP="00673EE8">
      <w:r>
        <w:t>Google Scholar</w:t>
      </w:r>
    </w:p>
    <w:p w:rsidR="00673EE8" w:rsidRPr="00673EE8" w:rsidRDefault="00673EE8" w:rsidP="00673EE8">
      <w:pPr>
        <w:rPr>
          <w:lang w:val="en-GB"/>
        </w:rPr>
      </w:pPr>
      <w:r>
        <w:t xml:space="preserve">De Maeyer, J. 1994. La Ligue Démocratique Belge et ses antécédents. In Histoire du Mouvement ouvrier chrétien en Belgique, vol. 2, ed. </w:t>
      </w:r>
      <w:r w:rsidRPr="00673EE8">
        <w:rPr>
          <w:lang w:val="en-GB"/>
        </w:rPr>
        <w:t>E. Gerard and P. Wynants. Leuven: Leuven University Press.</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De Paepe, J.-L., C. Raindorf-Gérard, P. Gillard, and R. Brion. </w:t>
      </w:r>
      <w:r>
        <w:t>1996. Le Parlement belge 1831–1894: données biographiques. Bruxelles: Académie Royale de Belgique.</w:t>
      </w:r>
    </w:p>
    <w:p w:rsidR="00673EE8" w:rsidRDefault="00673EE8" w:rsidP="00673EE8">
      <w:r>
        <w:t>Google Scholar</w:t>
      </w:r>
    </w:p>
    <w:p w:rsidR="00673EE8" w:rsidRPr="00673EE8" w:rsidRDefault="00673EE8" w:rsidP="00673EE8">
      <w:pPr>
        <w:rPr>
          <w:lang w:val="en-GB"/>
        </w:rPr>
      </w:pPr>
      <w:r>
        <w:t xml:space="preserve">Delfosse, P. 1998. Enjeux, clivages et autonomie du Parlement en Belgique. Alliances et oppositions dans le premier Parlement belge issu du suffrage universel. </w:t>
      </w:r>
      <w:r w:rsidRPr="00673EE8">
        <w:rPr>
          <w:lang w:val="en-GB"/>
        </w:rPr>
        <w:t>Revue du Nord 326–327: 729–758.</w:t>
      </w:r>
    </w:p>
    <w:p w:rsidR="00673EE8" w:rsidRPr="00673EE8" w:rsidRDefault="00673EE8" w:rsidP="00673EE8">
      <w:pPr>
        <w:rPr>
          <w:lang w:val="en-GB"/>
        </w:rPr>
      </w:pPr>
      <w:r w:rsidRPr="00673EE8">
        <w:rPr>
          <w:lang w:val="en-GB"/>
        </w:rPr>
        <w:t>CrossRefGoogle Scholar</w:t>
      </w:r>
    </w:p>
    <w:p w:rsidR="00673EE8" w:rsidRDefault="00673EE8" w:rsidP="00673EE8">
      <w:r w:rsidRPr="00673EE8">
        <w:rPr>
          <w:lang w:val="en-GB"/>
        </w:rPr>
        <w:t xml:space="preserve">Delpech, D., and S. Rollet. </w:t>
      </w:r>
      <w:r>
        <w:t>2017. La France dans l’Europe du XIXe siecle 1802–1914. Paris: Armand Colin.</w:t>
      </w:r>
    </w:p>
    <w:p w:rsidR="00673EE8" w:rsidRDefault="00673EE8" w:rsidP="00673EE8">
      <w:r>
        <w:t>Google Scholar</w:t>
      </w:r>
    </w:p>
    <w:p w:rsidR="00673EE8" w:rsidRDefault="00673EE8" w:rsidP="00673EE8">
      <w:r>
        <w:t>Dumont-Wilden, L. 1905. Le parti libéral en Belgique. Revue politique et littéraire 848–851.</w:t>
      </w:r>
    </w:p>
    <w:p w:rsidR="00673EE8" w:rsidRDefault="00673EE8" w:rsidP="00673EE8">
      <w:r>
        <w:t>Google Scholar</w:t>
      </w:r>
    </w:p>
    <w:p w:rsidR="00673EE8" w:rsidRPr="00673EE8" w:rsidRDefault="00673EE8" w:rsidP="00673EE8">
      <w:pPr>
        <w:rPr>
          <w:lang w:val="en-GB"/>
        </w:rPr>
      </w:pPr>
      <w:r w:rsidRPr="00673EE8">
        <w:rPr>
          <w:lang w:val="en-GB"/>
        </w:rPr>
        <w:t>Eling, K. 1999. The Politics of Cultural Policy in France. London: Macmillan.</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Flockhart, T. (ed.). 2005. Socializing Democratic Norms: The Role of International Organisations for the Construction of Europe. Houndmills: Palgrave Macmillan.</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Freyburg, T.M. 2010. Transnational Influences and Democratic Socialization in Authoritarian Contexts. </w:t>
      </w:r>
      <w:r>
        <w:t>Doctoral Dissertation, ETH Zurich.</w:t>
      </w:r>
    </w:p>
    <w:p w:rsidR="00673EE8" w:rsidRDefault="00673EE8" w:rsidP="00673EE8">
      <w:r>
        <w:t>Google Scholar</w:t>
      </w:r>
    </w:p>
    <w:p w:rsidR="00673EE8" w:rsidRDefault="00673EE8" w:rsidP="00673EE8">
      <w:r>
        <w:t>Gambetta, L. 1882. Discours et plaidoyers politiques de M. Gambetta. VII. 5e partie (16 mai 1877-14 décembre 1877). Paris: G. Charpentier.</w:t>
      </w:r>
    </w:p>
    <w:p w:rsidR="00673EE8" w:rsidRDefault="00673EE8" w:rsidP="00673EE8">
      <w:r>
        <w:t>Google Scholar</w:t>
      </w:r>
    </w:p>
    <w:p w:rsidR="00673EE8" w:rsidRDefault="00673EE8" w:rsidP="00673EE8">
      <w:r>
        <w:t>Gilissen, John. 1958. Régime représentatif en Belgique depuis 1790. Brussels: Renaissance du Livre.</w:t>
      </w:r>
    </w:p>
    <w:p w:rsidR="00673EE8" w:rsidRDefault="00673EE8" w:rsidP="00673EE8">
      <w:r>
        <w:t>Google Scholar</w:t>
      </w:r>
    </w:p>
    <w:p w:rsidR="00673EE8" w:rsidRPr="00673EE8" w:rsidRDefault="00673EE8" w:rsidP="00673EE8">
      <w:pPr>
        <w:rPr>
          <w:lang w:val="en-GB"/>
        </w:rPr>
      </w:pPr>
      <w:r w:rsidRPr="00673EE8">
        <w:rPr>
          <w:lang w:val="en-GB"/>
        </w:rPr>
        <w:lastRenderedPageBreak/>
        <w:t>Gould, Andrew C. 1999. Origins of Liberal Dominance: State, Church, and Party in Nineteenth-Century Europe. Ann Arbor, MI: University of Michigan.</w:t>
      </w:r>
    </w:p>
    <w:p w:rsidR="00673EE8" w:rsidRPr="00673EE8" w:rsidRDefault="00673EE8" w:rsidP="00673EE8">
      <w:pPr>
        <w:rPr>
          <w:lang w:val="en-GB"/>
        </w:rPr>
      </w:pPr>
      <w:r w:rsidRPr="00673EE8">
        <w:rPr>
          <w:lang w:val="en-GB"/>
        </w:rPr>
        <w:t>CrossRefGoogle Scholar</w:t>
      </w:r>
    </w:p>
    <w:p w:rsidR="00673EE8" w:rsidRDefault="00673EE8" w:rsidP="00673EE8">
      <w:r w:rsidRPr="00673EE8">
        <w:rPr>
          <w:lang w:val="en-GB"/>
        </w:rPr>
        <w:t xml:space="preserve">Heinze, T. 2011. Mechanism-Based Thinking on Policy Diffusion. A Review of Current Approaches in Political Science. </w:t>
      </w:r>
      <w:r>
        <w:t>KFG Working Paper Series, p. 34.</w:t>
      </w:r>
    </w:p>
    <w:p w:rsidR="00673EE8" w:rsidRDefault="00673EE8" w:rsidP="00673EE8">
      <w:r>
        <w:t>Google Scholar</w:t>
      </w:r>
    </w:p>
    <w:p w:rsidR="00673EE8" w:rsidRDefault="00673EE8" w:rsidP="00673EE8">
      <w:r>
        <w:t>Hymans, P. 1930. L’œuvre libérale d’un siècle (1830-1930). Bruxelles: Conseil national du Parti libéral.</w:t>
      </w:r>
    </w:p>
    <w:p w:rsidR="00673EE8" w:rsidRDefault="00673EE8" w:rsidP="00673EE8">
      <w:r>
        <w:t>Google Scholar</w:t>
      </w:r>
    </w:p>
    <w:p w:rsidR="00673EE8" w:rsidRDefault="00673EE8" w:rsidP="00673EE8">
      <w:r>
        <w:t>Hymans, L.S., P. Hymans, and A. Delcroix. 1906. Histoire parlementaire de la Belgique: 3. série. t. 1. 1890–1896. Bruxelles: Bruylant-Christophe.</w:t>
      </w:r>
    </w:p>
    <w:p w:rsidR="00673EE8" w:rsidRDefault="00673EE8" w:rsidP="00673EE8">
      <w:r>
        <w:t>Google Scholar</w:t>
      </w:r>
    </w:p>
    <w:p w:rsidR="00673EE8" w:rsidRDefault="00673EE8" w:rsidP="00673EE8">
      <w:r w:rsidRPr="00673EE8">
        <w:rPr>
          <w:lang w:val="en-GB"/>
        </w:rPr>
        <w:t xml:space="preserve">Jones, M.P., and W. Hwang. 2005. Party Government in Presidential Democracies: Extending Cartel Theory beyond the U.S. Congress. </w:t>
      </w:r>
      <w:r>
        <w:t>American Journal of Political Science 49: 267–282.</w:t>
      </w:r>
    </w:p>
    <w:p w:rsidR="00673EE8" w:rsidRDefault="00673EE8" w:rsidP="00673EE8">
      <w:r>
        <w:t>CrossRefGoogle Scholar</w:t>
      </w:r>
    </w:p>
    <w:p w:rsidR="00673EE8" w:rsidRDefault="00673EE8" w:rsidP="00673EE8">
      <w:r>
        <w:t>Kusters, W. 2011. Les politiques éducatives de la Troisième République et les enfants d’immigrants belges dans le département du Nord. Documents pour l’histoire du français langue étrangère ou seconde 46: 15–31.</w:t>
      </w:r>
    </w:p>
    <w:p w:rsidR="00673EE8" w:rsidRDefault="00673EE8" w:rsidP="00673EE8">
      <w:r>
        <w:t>Google Scholar</w:t>
      </w:r>
    </w:p>
    <w:p w:rsidR="00673EE8" w:rsidRDefault="00673EE8" w:rsidP="00673EE8">
      <w:r w:rsidRPr="00673EE8">
        <w:rPr>
          <w:lang w:val="en-GB"/>
        </w:rPr>
        <w:t xml:space="preserve">Lamberts, E. 2005. Catholic Congresses as Amplifiers of International Catholic Opinion. In The Papacy and the New World Order, ed. V. Viaene, 213–223. </w:t>
      </w:r>
      <w:r>
        <w:t>Leuven: Leuven University Press.</w:t>
      </w:r>
    </w:p>
    <w:p w:rsidR="00673EE8" w:rsidRDefault="00673EE8" w:rsidP="00673EE8">
      <w:r>
        <w:t>Google Scholar</w:t>
      </w:r>
    </w:p>
    <w:p w:rsidR="00673EE8" w:rsidRDefault="00673EE8" w:rsidP="00673EE8">
      <w:r w:rsidRPr="00673EE8">
        <w:rPr>
          <w:lang w:val="en-GB"/>
        </w:rPr>
        <w:t xml:space="preserve">Laqua, D. 2013. The Age of Internationalism and Belgium, 1880–1930: Peace, Progress and Prestige. </w:t>
      </w:r>
      <w:r>
        <w:t>Manchester: Manchester University Press.</w:t>
      </w:r>
    </w:p>
    <w:p w:rsidR="00673EE8" w:rsidRDefault="00673EE8" w:rsidP="00673EE8">
      <w:r>
        <w:t>CrossRefGoogle Scholar</w:t>
      </w:r>
    </w:p>
    <w:p w:rsidR="00673EE8" w:rsidRDefault="00673EE8" w:rsidP="00673EE8">
      <w:r>
        <w:t>Levasseur, E. 1907. Questions ouvrières et industrielles en France sous la Troisième République. Paris: Arthur Rousseau.</w:t>
      </w:r>
    </w:p>
    <w:p w:rsidR="00673EE8" w:rsidRDefault="00673EE8" w:rsidP="00673EE8">
      <w:r>
        <w:t>Google Scholar</w:t>
      </w:r>
    </w:p>
    <w:p w:rsidR="00673EE8" w:rsidRPr="00673EE8" w:rsidRDefault="00673EE8" w:rsidP="00673EE8">
      <w:pPr>
        <w:rPr>
          <w:lang w:val="en-GB"/>
        </w:rPr>
      </w:pPr>
      <w:r>
        <w:t xml:space="preserve">Lory, J. 1979. Libéralisme et instruction primaire: 1842–1879. Introduction à l’étude de la lutte scolaire en Belgique. </w:t>
      </w:r>
      <w:r w:rsidRPr="00673EE8">
        <w:rPr>
          <w:lang w:val="en-GB"/>
        </w:rPr>
        <w:t>Louvain: Nauwelaerts.</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Luebbert, G. 1991. Liberalism, Fascism, or Social Democracy. New York: Oxford University Press.</w:t>
      </w:r>
    </w:p>
    <w:p w:rsidR="00673EE8" w:rsidRDefault="00673EE8" w:rsidP="00673EE8">
      <w:r>
        <w:t>Google Scholar</w:t>
      </w:r>
    </w:p>
    <w:p w:rsidR="00673EE8" w:rsidRDefault="00673EE8" w:rsidP="00673EE8">
      <w:r w:rsidRPr="00673EE8">
        <w:rPr>
          <w:lang w:val="en-GB"/>
        </w:rPr>
        <w:t xml:space="preserve">Marwell, Gerald, and Pamela Oliver. 1993. The Critical Mass in Collective Action. </w:t>
      </w:r>
      <w:r>
        <w:t>A MicroSocial Theory. Cambridge: Cambridge University Press.</w:t>
      </w:r>
    </w:p>
    <w:p w:rsidR="00673EE8" w:rsidRDefault="00673EE8" w:rsidP="00673EE8">
      <w:r>
        <w:t>CrossRefGoogle Scholar</w:t>
      </w:r>
    </w:p>
    <w:p w:rsidR="00673EE8" w:rsidRPr="00673EE8" w:rsidRDefault="00673EE8" w:rsidP="00673EE8">
      <w:pPr>
        <w:rPr>
          <w:lang w:val="en-GB"/>
        </w:rPr>
      </w:pPr>
      <w:r w:rsidRPr="00673EE8">
        <w:rPr>
          <w:lang w:val="en-GB"/>
        </w:rPr>
        <w:lastRenderedPageBreak/>
        <w:t>Marx, K., and Friedrich Engels. 1987. In Marx and Engels on the Trade Unions, ed. Kenneth Lapides. New York: Praeger.</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Moore, Barrington. 1966. The Social Origins of Dictatorship and Democracy. Boston: Beacon.</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Nohlen, D., and S. Philip. 2010. Elections in Europe: A data handbook. </w:t>
      </w:r>
      <w:r>
        <w:t>‎Baden-Baden: Nomos Verlagsgesellschaft.</w:t>
      </w:r>
    </w:p>
    <w:p w:rsidR="00673EE8" w:rsidRDefault="00673EE8" w:rsidP="00673EE8">
      <w:r>
        <w:t>CrossRefGoogle Scholar</w:t>
      </w:r>
    </w:p>
    <w:p w:rsidR="00673EE8" w:rsidRDefault="00673EE8" w:rsidP="00673EE8">
      <w:r w:rsidRPr="00673EE8">
        <w:rPr>
          <w:lang w:val="en-GB"/>
        </w:rPr>
        <w:t xml:space="preserve">Nord, P. 1995. The Republican Moment: Struggles for Democracy in Nineteenth-Century France. </w:t>
      </w:r>
      <w:r>
        <w:t>Cambridge: Harvard University Press.</w:t>
      </w:r>
    </w:p>
    <w:p w:rsidR="00673EE8" w:rsidRDefault="00673EE8" w:rsidP="00673EE8">
      <w:r>
        <w:t>Google Scholar</w:t>
      </w:r>
    </w:p>
    <w:p w:rsidR="00673EE8" w:rsidRDefault="00673EE8" w:rsidP="00673EE8">
      <w:r w:rsidRPr="00673EE8">
        <w:rPr>
          <w:lang w:val="en-GB"/>
        </w:rPr>
        <w:t xml:space="preserve">O’Donnell, G.A., and P.C. Schmitter. 1986. Transitions from Authoritarian Rule. Tentative Conclusions about Uncertain Democracies. </w:t>
      </w:r>
      <w:r>
        <w:t>Baltimore: Johns Hopkins University Press.</w:t>
      </w:r>
    </w:p>
    <w:p w:rsidR="00673EE8" w:rsidRDefault="00673EE8" w:rsidP="00673EE8">
      <w:r>
        <w:t>Google Scholar</w:t>
      </w:r>
    </w:p>
    <w:p w:rsidR="00673EE8" w:rsidRPr="00673EE8" w:rsidRDefault="00673EE8" w:rsidP="00673EE8">
      <w:pPr>
        <w:rPr>
          <w:lang w:val="en-GB"/>
        </w:rPr>
      </w:pPr>
      <w:r w:rsidRPr="00673EE8">
        <w:rPr>
          <w:lang w:val="en-GB"/>
        </w:rPr>
        <w:t>Pérez-Armendáriz, C., and D. Crow. 2010. Do Migrants Remit Democracy? International Migration, Political Beliefs, and Behavior in Mexico. Comparative Political Studies 43(1): 119–148.</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Piketty, T., G. Postel-Vinay, and J.L. Rosenthal. 2007. The Increased Concentration of Wealth in Paris 1807–1912; Of Revolution and Demography. Paris School of Economics (unpublished paper).</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Pridham, G., and T. Vanhanen. 1994. Conclusion. In Democratization in Eastern Europe, ed. G. Pridham and T. Vanhanen. London: Routledge.</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Przeworski, A. 2008. Conquered or Granted? A History of Suffrage Extensions. </w:t>
      </w:r>
      <w:r>
        <w:t>British Journal of Political Science 39(2): 291–321.</w:t>
      </w:r>
    </w:p>
    <w:p w:rsidR="00673EE8" w:rsidRDefault="00673EE8" w:rsidP="00673EE8">
      <w:r>
        <w:t>CrossRefGoogle Scholar</w:t>
      </w:r>
    </w:p>
    <w:p w:rsidR="00673EE8" w:rsidRDefault="00673EE8" w:rsidP="00673EE8">
      <w:r>
        <w:t xml:space="preserve">Przeworski, A., F. Limongi, J.A. Cheibub, and M.E. Alvarez. </w:t>
      </w:r>
      <w:r w:rsidRPr="00673EE8">
        <w:rPr>
          <w:lang w:val="en-GB"/>
        </w:rPr>
        <w:t xml:space="preserve">2000. Democracy and Development: Political Institutions and Well-Being in the World, 1950–1990. </w:t>
      </w:r>
      <w:r>
        <w:t>Princeton: Princeton University Press.</w:t>
      </w:r>
    </w:p>
    <w:p w:rsidR="00673EE8" w:rsidRDefault="00673EE8" w:rsidP="00673EE8">
      <w:r>
        <w:t>CrossRefGoogle Scholar</w:t>
      </w:r>
    </w:p>
    <w:p w:rsidR="00673EE8" w:rsidRDefault="00673EE8" w:rsidP="00673EE8">
      <w:r>
        <w:t>Rebérioux, M. 1975. La République radicale? 1898–1914. Paris: Seuil.</w:t>
      </w:r>
    </w:p>
    <w:p w:rsidR="00673EE8" w:rsidRDefault="00673EE8" w:rsidP="00673EE8">
      <w:r>
        <w:t>Google Scholar</w:t>
      </w:r>
    </w:p>
    <w:p w:rsidR="00673EE8" w:rsidRDefault="00673EE8" w:rsidP="00673EE8">
      <w:r>
        <w:t>Reinert, Max. 2003. Le rôle de la répétition dans la représentation du sens et son approche statistique par la méthode “ALCESTE”. Semiotica 147: 389–420.</w:t>
      </w:r>
    </w:p>
    <w:p w:rsidR="00673EE8" w:rsidRDefault="00673EE8" w:rsidP="00673EE8">
      <w:r>
        <w:t>Google Scholar</w:t>
      </w:r>
    </w:p>
    <w:p w:rsidR="00673EE8" w:rsidRDefault="00673EE8" w:rsidP="00673EE8">
      <w:r>
        <w:t>Rosanvallon, P. 1992. Le Sacre du citoyen: histoire du suffrage universel en France. Paris: Gallimard.</w:t>
      </w:r>
    </w:p>
    <w:p w:rsidR="00673EE8" w:rsidRPr="00673EE8" w:rsidRDefault="00673EE8" w:rsidP="00673EE8">
      <w:pPr>
        <w:rPr>
          <w:lang w:val="en-GB"/>
        </w:rPr>
      </w:pPr>
      <w:r w:rsidRPr="00673EE8">
        <w:rPr>
          <w:lang w:val="en-GB"/>
        </w:rPr>
        <w:lastRenderedPageBreak/>
        <w:t>Google Scholar</w:t>
      </w:r>
    </w:p>
    <w:p w:rsidR="00673EE8" w:rsidRPr="00673EE8" w:rsidRDefault="00673EE8" w:rsidP="00673EE8">
      <w:pPr>
        <w:rPr>
          <w:lang w:val="en-GB"/>
        </w:rPr>
      </w:pPr>
      <w:r w:rsidRPr="00673EE8">
        <w:rPr>
          <w:lang w:val="en-GB"/>
        </w:rPr>
        <w:t>Röttger, R. 2005. Een rode draad voor een blauw verhaal. De links-liberale uitwerking van mimetische representatie en de opvattingen over democratisch burgerschap in België, 1893–1900. BMGN—Low Countries Historical Review 120(3): 435–465.</w:t>
      </w:r>
    </w:p>
    <w:p w:rsidR="00673EE8" w:rsidRPr="00673EE8" w:rsidRDefault="00673EE8" w:rsidP="00673EE8">
      <w:pPr>
        <w:rPr>
          <w:lang w:val="en-GB"/>
        </w:rPr>
      </w:pPr>
      <w:r w:rsidRPr="00673EE8">
        <w:rPr>
          <w:lang w:val="en-GB"/>
        </w:rPr>
        <w:t>CrossRefGoogle Scholar</w:t>
      </w:r>
    </w:p>
    <w:p w:rsidR="00673EE8" w:rsidRDefault="00673EE8" w:rsidP="00673EE8">
      <w:r w:rsidRPr="00673EE8">
        <w:rPr>
          <w:lang w:val="en-GB"/>
        </w:rPr>
        <w:t xml:space="preserve">Rowell, D. 2009. The Power of Ideas: A Political Social-Psychological Theory of Democracy, Political Development, and Political Communication. </w:t>
      </w:r>
      <w:r>
        <w:t>Boca Raton: Florida.</w:t>
      </w:r>
    </w:p>
    <w:p w:rsidR="00673EE8" w:rsidRDefault="00673EE8" w:rsidP="00673EE8">
      <w:r>
        <w:t>Google Scholar</w:t>
      </w:r>
    </w:p>
    <w:p w:rsidR="00673EE8" w:rsidRDefault="00673EE8" w:rsidP="00673EE8">
      <w:r>
        <w:t>Schnapper, D. 1991. La France de l’intégration. Sociologie de la nation en 1990. Paris: Gallimard.</w:t>
      </w:r>
    </w:p>
    <w:p w:rsidR="00673EE8" w:rsidRDefault="00673EE8" w:rsidP="00673EE8">
      <w:r>
        <w:t>Google Scholar</w:t>
      </w:r>
    </w:p>
    <w:p w:rsidR="00673EE8" w:rsidRDefault="00673EE8" w:rsidP="00673EE8">
      <w:r>
        <w:t>Stengers, J. 2004. La Belgique, un foyer de dreyfusime. RBPH–BTFG 82: 273–290.</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 xml:space="preserve">Stengers, J., and E. Gubin. </w:t>
      </w:r>
      <w:r>
        <w:t xml:space="preserve">2002. Le Grand Siècle de la nationalité belge: de 1830 à 1918. </w:t>
      </w:r>
      <w:r w:rsidRPr="00673EE8">
        <w:rPr>
          <w:lang w:val="en-GB"/>
        </w:rPr>
        <w:t>Bruxelles: Racine.</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Strikwerda, C. 1997. A House Divided: Catholics, Socialists and Flemish Nationalists in Nineteenth- Century Belgium. </w:t>
      </w:r>
      <w:r>
        <w:t>New York: Rowman &amp; Littlefield Publishers.</w:t>
      </w:r>
    </w:p>
    <w:p w:rsidR="00673EE8" w:rsidRDefault="00673EE8" w:rsidP="00673EE8">
      <w:r>
        <w:t>Google Scholar</w:t>
      </w:r>
    </w:p>
    <w:p w:rsidR="00673EE8" w:rsidRDefault="00673EE8" w:rsidP="00673EE8">
      <w:r w:rsidRPr="00673EE8">
        <w:rPr>
          <w:lang w:val="en-GB"/>
        </w:rPr>
        <w:t xml:space="preserve">Thogmartin, C. 1998. The National Daily Press of France. </w:t>
      </w:r>
      <w:r>
        <w:t>Birmingham, AL: Summa.</w:t>
      </w:r>
    </w:p>
    <w:p w:rsidR="00673EE8" w:rsidRDefault="00673EE8" w:rsidP="00673EE8">
      <w:r>
        <w:t>Google Scholar</w:t>
      </w:r>
    </w:p>
    <w:p w:rsidR="00673EE8" w:rsidRPr="00673EE8" w:rsidRDefault="00673EE8" w:rsidP="00673EE8">
      <w:pPr>
        <w:rPr>
          <w:lang w:val="en-GB"/>
        </w:rPr>
      </w:pPr>
      <w:r w:rsidRPr="00673EE8">
        <w:rPr>
          <w:lang w:val="en-GB"/>
        </w:rPr>
        <w:t>Thomsen, P., and M. Olsen. 2017. Re-examining Socialization Theory: How Does Democracy Influence the Impact of Education on Anti-Foreigner Sentiment?. British Journal of Political Science 47(4): 915–938.</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 xml:space="preserve">Tordoir, J. 1999. Paul Janson (1840–1913). </w:t>
      </w:r>
      <w:r>
        <w:t xml:space="preserve">Un libéral à la conquête du suffrage universel. </w:t>
      </w:r>
      <w:r w:rsidRPr="00673EE8">
        <w:rPr>
          <w:lang w:val="en-GB"/>
        </w:rPr>
        <w:t>Bruxelles: Archives Libérales Francophones.</w:t>
      </w:r>
    </w:p>
    <w:p w:rsidR="00673EE8" w:rsidRPr="00673EE8" w:rsidRDefault="00673EE8" w:rsidP="00673EE8">
      <w:pPr>
        <w:rPr>
          <w:lang w:val="en-GB"/>
        </w:rPr>
      </w:pPr>
      <w:r w:rsidRPr="00673EE8">
        <w:rPr>
          <w:lang w:val="en-GB"/>
        </w:rPr>
        <w:t>Google Scholar</w:t>
      </w:r>
    </w:p>
    <w:p w:rsidR="00673EE8" w:rsidRDefault="00673EE8" w:rsidP="00673EE8">
      <w:r w:rsidRPr="00673EE8">
        <w:rPr>
          <w:lang w:val="en-GB"/>
        </w:rPr>
        <w:t xml:space="preserve">Torfason, M.T., and P. Ingram. 2010. The Global Rise of Democracy: A Network Account. </w:t>
      </w:r>
      <w:r>
        <w:t>American Sociological Review 75(3): 355–357.</w:t>
      </w:r>
    </w:p>
    <w:p w:rsidR="00673EE8" w:rsidRDefault="00673EE8" w:rsidP="00673EE8">
      <w:r>
        <w:t>CrossRefGoogle Scholar</w:t>
      </w:r>
    </w:p>
    <w:p w:rsidR="00673EE8" w:rsidRDefault="00673EE8" w:rsidP="00673EE8">
      <w:r>
        <w:t>Van Molle, P. 1972. Le Parlement belge 1894–1972. Antwerpen: Standaard Wetenschappelijke Uitgeverij.</w:t>
      </w:r>
    </w:p>
    <w:p w:rsidR="00673EE8" w:rsidRDefault="00673EE8" w:rsidP="00673EE8">
      <w:r>
        <w:t>Google Scholar</w:t>
      </w:r>
    </w:p>
    <w:p w:rsidR="00673EE8" w:rsidRDefault="00673EE8" w:rsidP="00673EE8">
      <w:r>
        <w:t>Vangottom, D. 1985. Les libéraux belges et la question du suffrage universel 1894–1914. Louvain-la-Neuve: UCL. (unpublished).</w:t>
      </w:r>
    </w:p>
    <w:p w:rsidR="00673EE8" w:rsidRDefault="00673EE8" w:rsidP="00673EE8">
      <w:r>
        <w:lastRenderedPageBreak/>
        <w:t>Google Scholar</w:t>
      </w:r>
    </w:p>
    <w:p w:rsidR="00673EE8" w:rsidRDefault="00673EE8" w:rsidP="00673EE8">
      <w:r w:rsidRPr="00673EE8">
        <w:rPr>
          <w:lang w:val="en-GB"/>
        </w:rPr>
        <w:t xml:space="preserve">Wejnert, B. 2005. Diffusion, Development, and Democracy, 1800–1999. </w:t>
      </w:r>
      <w:r>
        <w:t>American Sociological Review 70(1): 53–81.</w:t>
      </w:r>
    </w:p>
    <w:p w:rsidR="00673EE8" w:rsidRDefault="00673EE8" w:rsidP="00673EE8">
      <w:r>
        <w:t>CrossRefGoogle Scholar</w:t>
      </w:r>
    </w:p>
    <w:p w:rsidR="00673EE8" w:rsidRPr="00673EE8" w:rsidRDefault="00673EE8" w:rsidP="00673EE8">
      <w:pPr>
        <w:rPr>
          <w:lang w:val="en-GB"/>
        </w:rPr>
      </w:pPr>
      <w:r w:rsidRPr="00673EE8">
        <w:rPr>
          <w:lang w:val="en-GB"/>
        </w:rPr>
        <w:t>Weyland, K. 2010. The Diffusion of Regime Contention in European Democratization, 1830–1940. Comparative Political Studies 43(8): 1148–1176.</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Witte, E., Jan Craeybeckx, and Alain Maynen. 2000. Political History of Belgium from 1830 Onwards. Brussels: VUB University Press.</w:t>
      </w:r>
    </w:p>
    <w:p w:rsidR="00673EE8" w:rsidRPr="00673EE8" w:rsidRDefault="00673EE8" w:rsidP="00673EE8">
      <w:pPr>
        <w:rPr>
          <w:lang w:val="en-GB"/>
        </w:rPr>
      </w:pPr>
      <w:r w:rsidRPr="00673EE8">
        <w:rPr>
          <w:lang w:val="en-GB"/>
        </w:rPr>
        <w:t>Google Scholar</w:t>
      </w:r>
    </w:p>
    <w:p w:rsidR="00673EE8" w:rsidRPr="00673EE8" w:rsidRDefault="00673EE8" w:rsidP="00673EE8">
      <w:pPr>
        <w:rPr>
          <w:lang w:val="en-GB"/>
        </w:rPr>
      </w:pPr>
      <w:r w:rsidRPr="00673EE8">
        <w:rPr>
          <w:lang w:val="en-GB"/>
        </w:rPr>
        <w:t>Ziblatt, D. 2008. Does Landholding Inequality Block Democratization? A Test of the ‘Bread and Democracy’ Thesis and the Case of Prussia. World Politics 60(4): 610–641.</w:t>
      </w:r>
    </w:p>
    <w:p w:rsidR="00673EE8" w:rsidRPr="00673EE8" w:rsidRDefault="00673EE8" w:rsidP="00673EE8">
      <w:pPr>
        <w:rPr>
          <w:lang w:val="en-GB"/>
        </w:rPr>
      </w:pPr>
      <w:r w:rsidRPr="00673EE8">
        <w:rPr>
          <w:lang w:val="en-GB"/>
        </w:rPr>
        <w:t>CrossRefGoogle Scholar</w:t>
      </w:r>
    </w:p>
    <w:p w:rsidR="00673EE8" w:rsidRPr="00673EE8" w:rsidRDefault="00673EE8" w:rsidP="00673EE8">
      <w:pPr>
        <w:rPr>
          <w:lang w:val="en-GB"/>
        </w:rPr>
      </w:pPr>
      <w:r w:rsidRPr="00673EE8">
        <w:rPr>
          <w:lang w:val="en-GB"/>
        </w:rPr>
        <w:t>Ziblatt, D. 2017. Conservative Parties and the Birth of Democracy. New York: Cambridge Studies in Comparative Politics.</w:t>
      </w:r>
    </w:p>
    <w:p w:rsidR="00673EE8" w:rsidRPr="00673EE8" w:rsidRDefault="00673EE8" w:rsidP="00673EE8">
      <w:pPr>
        <w:rPr>
          <w:lang w:val="en-GB"/>
        </w:rPr>
      </w:pPr>
      <w:r w:rsidRPr="00673EE8">
        <w:rPr>
          <w:lang w:val="en-GB"/>
        </w:rPr>
        <w:t>CrossRefGoogle Scholar</w:t>
      </w:r>
    </w:p>
    <w:p w:rsidR="009C3E9F" w:rsidRPr="00673EE8" w:rsidRDefault="00673EE8" w:rsidP="00673EE8">
      <w:pPr>
        <w:rPr>
          <w:lang w:val="en-GB"/>
        </w:rPr>
      </w:pPr>
      <w:r w:rsidRPr="00673EE8">
        <w:rPr>
          <w:lang w:val="en-GB"/>
        </w:rPr>
        <w:t>Copyright information</w:t>
      </w:r>
    </w:p>
    <w:sectPr w:rsidR="009C3E9F" w:rsidRPr="00673EE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64D" w:rsidRDefault="001B364D" w:rsidP="009C3E9F">
      <w:pPr>
        <w:spacing w:after="0" w:line="240" w:lineRule="auto"/>
      </w:pPr>
      <w:r>
        <w:separator/>
      </w:r>
    </w:p>
  </w:endnote>
  <w:endnote w:type="continuationSeparator" w:id="0">
    <w:p w:rsidR="001B364D" w:rsidRDefault="001B364D" w:rsidP="009C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64D" w:rsidRDefault="001B364D" w:rsidP="009C3E9F">
      <w:pPr>
        <w:spacing w:after="0" w:line="240" w:lineRule="auto"/>
      </w:pPr>
      <w:r>
        <w:separator/>
      </w:r>
    </w:p>
  </w:footnote>
  <w:footnote w:type="continuationSeparator" w:id="0">
    <w:p w:rsidR="001B364D" w:rsidRDefault="001B364D" w:rsidP="009C3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602621"/>
      <w:docPartObj>
        <w:docPartGallery w:val="Page Numbers (Margins)"/>
        <w:docPartUnique/>
      </w:docPartObj>
    </w:sdtPr>
    <w:sdtEndPr/>
    <w:sdtContent>
      <w:p w:rsidR="009C3E9F" w:rsidRDefault="009C3E9F" w:rsidP="009C3E9F">
        <w:pPr>
          <w:pStyle w:val="Intestazione"/>
          <w:jc w:val="center"/>
        </w:pPr>
        <w:r>
          <w:rPr>
            <w:noProof/>
            <w:lang w:val="it-IT" w:eastAsia="it-IT"/>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1788795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E9F" w:rsidRDefault="009C3E9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73EE8">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9C3E9F" w:rsidRDefault="009C3E9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73EE8">
                          <w:rPr>
                            <w:noProof/>
                          </w:rPr>
                          <w:t>1</w:t>
                        </w:r>
                        <w:r>
                          <w:rPr>
                            <w:noProof/>
                          </w:rPr>
                          <w:fldChar w:fldCharType="end"/>
                        </w:r>
                      </w:p>
                    </w:txbxContent>
                  </v:textbox>
                  <w10:wrap anchorx="margin" anchory="margin"/>
                </v:rect>
              </w:pict>
            </mc:Fallback>
          </mc:AlternateContent>
        </w:r>
      </w:p>
    </w:sdtContent>
  </w:sdt>
  <w:p w:rsidR="009C3E9F" w:rsidRDefault="009C3E9F" w:rsidP="009C3E9F">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9F"/>
    <w:rsid w:val="000D5FC9"/>
    <w:rsid w:val="001B364D"/>
    <w:rsid w:val="004D3AAE"/>
    <w:rsid w:val="005F2D11"/>
    <w:rsid w:val="00673EE8"/>
    <w:rsid w:val="007033BC"/>
    <w:rsid w:val="009C3E9F"/>
    <w:rsid w:val="00AB3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7F967D-B2E5-4DBD-85C2-8A630B26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C3E9F"/>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9C3E9F"/>
  </w:style>
  <w:style w:type="paragraph" w:styleId="Pidipagina">
    <w:name w:val="footer"/>
    <w:basedOn w:val="Normale"/>
    <w:link w:val="PidipaginaCarattere"/>
    <w:uiPriority w:val="99"/>
    <w:unhideWhenUsed/>
    <w:rsid w:val="009C3E9F"/>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9C3E9F"/>
  </w:style>
  <w:style w:type="table" w:styleId="Grigliatabella">
    <w:name w:val="Table Grid"/>
    <w:basedOn w:val="Tabellanormale"/>
    <w:uiPriority w:val="39"/>
    <w:rsid w:val="009C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43684">
      <w:bodyDiv w:val="1"/>
      <w:marLeft w:val="0"/>
      <w:marRight w:val="0"/>
      <w:marTop w:val="0"/>
      <w:marBottom w:val="0"/>
      <w:divBdr>
        <w:top w:val="none" w:sz="0" w:space="0" w:color="auto"/>
        <w:left w:val="none" w:sz="0" w:space="0" w:color="auto"/>
        <w:bottom w:val="none" w:sz="0" w:space="0" w:color="auto"/>
        <w:right w:val="none" w:sz="0" w:space="0" w:color="auto"/>
      </w:divBdr>
      <w:divsChild>
        <w:div w:id="591472761">
          <w:marLeft w:val="30"/>
          <w:marRight w:val="30"/>
          <w:marTop w:val="30"/>
          <w:marBottom w:val="30"/>
          <w:divBdr>
            <w:top w:val="none" w:sz="0" w:space="0" w:color="auto"/>
            <w:left w:val="none" w:sz="0" w:space="0" w:color="auto"/>
            <w:bottom w:val="none" w:sz="0" w:space="0" w:color="auto"/>
            <w:right w:val="none" w:sz="0" w:space="0" w:color="auto"/>
          </w:divBdr>
        </w:div>
        <w:div w:id="977220256">
          <w:marLeft w:val="30"/>
          <w:marRight w:val="30"/>
          <w:marTop w:val="30"/>
          <w:marBottom w:val="30"/>
          <w:divBdr>
            <w:top w:val="none" w:sz="0" w:space="0" w:color="auto"/>
            <w:left w:val="none" w:sz="0" w:space="0" w:color="auto"/>
            <w:bottom w:val="none" w:sz="0" w:space="0" w:color="auto"/>
            <w:right w:val="none" w:sz="0" w:space="0" w:color="auto"/>
          </w:divBdr>
        </w:div>
        <w:div w:id="1583370164">
          <w:marLeft w:val="30"/>
          <w:marRight w:val="30"/>
          <w:marTop w:val="30"/>
          <w:marBottom w:val="30"/>
          <w:divBdr>
            <w:top w:val="none" w:sz="0" w:space="0" w:color="auto"/>
            <w:left w:val="none" w:sz="0" w:space="0" w:color="auto"/>
            <w:bottom w:val="none" w:sz="0" w:space="0" w:color="auto"/>
            <w:right w:val="none" w:sz="0" w:space="0" w:color="auto"/>
          </w:divBdr>
        </w:div>
        <w:div w:id="1307590507">
          <w:marLeft w:val="30"/>
          <w:marRight w:val="30"/>
          <w:marTop w:val="30"/>
          <w:marBottom w:val="30"/>
          <w:divBdr>
            <w:top w:val="none" w:sz="0" w:space="0" w:color="auto"/>
            <w:left w:val="none" w:sz="0" w:space="0" w:color="auto"/>
            <w:bottom w:val="none" w:sz="0" w:space="0" w:color="auto"/>
            <w:right w:val="none" w:sz="0" w:space="0" w:color="auto"/>
          </w:divBdr>
        </w:div>
        <w:div w:id="427123649">
          <w:marLeft w:val="30"/>
          <w:marRight w:val="30"/>
          <w:marTop w:val="30"/>
          <w:marBottom w:val="30"/>
          <w:divBdr>
            <w:top w:val="none" w:sz="0" w:space="0" w:color="auto"/>
            <w:left w:val="none" w:sz="0" w:space="0" w:color="auto"/>
            <w:bottom w:val="none" w:sz="0" w:space="0" w:color="auto"/>
            <w:right w:val="none" w:sz="0" w:space="0" w:color="auto"/>
          </w:divBdr>
        </w:div>
        <w:div w:id="1392002447">
          <w:marLeft w:val="30"/>
          <w:marRight w:val="30"/>
          <w:marTop w:val="30"/>
          <w:marBottom w:val="30"/>
          <w:divBdr>
            <w:top w:val="none" w:sz="0" w:space="0" w:color="auto"/>
            <w:left w:val="none" w:sz="0" w:space="0" w:color="auto"/>
            <w:bottom w:val="none" w:sz="0" w:space="0" w:color="auto"/>
            <w:right w:val="none" w:sz="0" w:space="0" w:color="auto"/>
          </w:divBdr>
        </w:div>
        <w:div w:id="595020421">
          <w:marLeft w:val="30"/>
          <w:marRight w:val="30"/>
          <w:marTop w:val="30"/>
          <w:marBottom w:val="30"/>
          <w:divBdr>
            <w:top w:val="none" w:sz="0" w:space="0" w:color="auto"/>
            <w:left w:val="none" w:sz="0" w:space="0" w:color="auto"/>
            <w:bottom w:val="none" w:sz="0" w:space="0" w:color="auto"/>
            <w:right w:val="none" w:sz="0" w:space="0" w:color="auto"/>
          </w:divBdr>
        </w:div>
        <w:div w:id="784927476">
          <w:marLeft w:val="30"/>
          <w:marRight w:val="30"/>
          <w:marTop w:val="30"/>
          <w:marBottom w:val="30"/>
          <w:divBdr>
            <w:top w:val="none" w:sz="0" w:space="0" w:color="auto"/>
            <w:left w:val="none" w:sz="0" w:space="0" w:color="auto"/>
            <w:bottom w:val="none" w:sz="0" w:space="0" w:color="auto"/>
            <w:right w:val="none" w:sz="0" w:space="0" w:color="auto"/>
          </w:divBdr>
        </w:div>
        <w:div w:id="1575505578">
          <w:marLeft w:val="30"/>
          <w:marRight w:val="30"/>
          <w:marTop w:val="30"/>
          <w:marBottom w:val="30"/>
          <w:divBdr>
            <w:top w:val="none" w:sz="0" w:space="0" w:color="auto"/>
            <w:left w:val="none" w:sz="0" w:space="0" w:color="auto"/>
            <w:bottom w:val="none" w:sz="0" w:space="0" w:color="auto"/>
            <w:right w:val="none" w:sz="0" w:space="0" w:color="auto"/>
          </w:divBdr>
        </w:div>
        <w:div w:id="1509364371">
          <w:marLeft w:val="30"/>
          <w:marRight w:val="30"/>
          <w:marTop w:val="30"/>
          <w:marBottom w:val="30"/>
          <w:divBdr>
            <w:top w:val="none" w:sz="0" w:space="0" w:color="auto"/>
            <w:left w:val="none" w:sz="0" w:space="0" w:color="auto"/>
            <w:bottom w:val="none" w:sz="0" w:space="0" w:color="auto"/>
            <w:right w:val="none" w:sz="0" w:space="0" w:color="auto"/>
          </w:divBdr>
        </w:div>
        <w:div w:id="893584784">
          <w:marLeft w:val="30"/>
          <w:marRight w:val="30"/>
          <w:marTop w:val="30"/>
          <w:marBottom w:val="30"/>
          <w:divBdr>
            <w:top w:val="none" w:sz="0" w:space="0" w:color="auto"/>
            <w:left w:val="none" w:sz="0" w:space="0" w:color="auto"/>
            <w:bottom w:val="none" w:sz="0" w:space="0" w:color="auto"/>
            <w:right w:val="none" w:sz="0" w:space="0" w:color="auto"/>
          </w:divBdr>
        </w:div>
        <w:div w:id="1929733625">
          <w:marLeft w:val="30"/>
          <w:marRight w:val="30"/>
          <w:marTop w:val="30"/>
          <w:marBottom w:val="30"/>
          <w:divBdr>
            <w:top w:val="none" w:sz="0" w:space="0" w:color="auto"/>
            <w:left w:val="none" w:sz="0" w:space="0" w:color="auto"/>
            <w:bottom w:val="none" w:sz="0" w:space="0" w:color="auto"/>
            <w:right w:val="none" w:sz="0" w:space="0" w:color="auto"/>
          </w:divBdr>
        </w:div>
        <w:div w:id="2061859174">
          <w:marLeft w:val="30"/>
          <w:marRight w:val="30"/>
          <w:marTop w:val="30"/>
          <w:marBottom w:val="30"/>
          <w:divBdr>
            <w:top w:val="none" w:sz="0" w:space="0" w:color="auto"/>
            <w:left w:val="none" w:sz="0" w:space="0" w:color="auto"/>
            <w:bottom w:val="none" w:sz="0" w:space="0" w:color="auto"/>
            <w:right w:val="none" w:sz="0" w:space="0" w:color="auto"/>
          </w:divBdr>
        </w:div>
        <w:div w:id="1916016368">
          <w:marLeft w:val="30"/>
          <w:marRight w:val="30"/>
          <w:marTop w:val="30"/>
          <w:marBottom w:val="30"/>
          <w:divBdr>
            <w:top w:val="none" w:sz="0" w:space="0" w:color="auto"/>
            <w:left w:val="none" w:sz="0" w:space="0" w:color="auto"/>
            <w:bottom w:val="none" w:sz="0" w:space="0" w:color="auto"/>
            <w:right w:val="none" w:sz="0" w:space="0" w:color="auto"/>
          </w:divBdr>
        </w:div>
        <w:div w:id="558245422">
          <w:marLeft w:val="30"/>
          <w:marRight w:val="30"/>
          <w:marTop w:val="30"/>
          <w:marBottom w:val="30"/>
          <w:divBdr>
            <w:top w:val="none" w:sz="0" w:space="0" w:color="auto"/>
            <w:left w:val="none" w:sz="0" w:space="0" w:color="auto"/>
            <w:bottom w:val="none" w:sz="0" w:space="0" w:color="auto"/>
            <w:right w:val="none" w:sz="0" w:space="0" w:color="auto"/>
          </w:divBdr>
        </w:div>
        <w:div w:id="619260739">
          <w:marLeft w:val="30"/>
          <w:marRight w:val="30"/>
          <w:marTop w:val="30"/>
          <w:marBottom w:val="30"/>
          <w:divBdr>
            <w:top w:val="none" w:sz="0" w:space="0" w:color="auto"/>
            <w:left w:val="none" w:sz="0" w:space="0" w:color="auto"/>
            <w:bottom w:val="none" w:sz="0" w:space="0" w:color="auto"/>
            <w:right w:val="none" w:sz="0" w:space="0" w:color="auto"/>
          </w:divBdr>
        </w:div>
        <w:div w:id="1197815232">
          <w:marLeft w:val="30"/>
          <w:marRight w:val="30"/>
          <w:marTop w:val="30"/>
          <w:marBottom w:val="30"/>
          <w:divBdr>
            <w:top w:val="none" w:sz="0" w:space="0" w:color="auto"/>
            <w:left w:val="none" w:sz="0" w:space="0" w:color="auto"/>
            <w:bottom w:val="none" w:sz="0" w:space="0" w:color="auto"/>
            <w:right w:val="none" w:sz="0" w:space="0" w:color="auto"/>
          </w:divBdr>
        </w:div>
        <w:div w:id="1244335551">
          <w:marLeft w:val="30"/>
          <w:marRight w:val="30"/>
          <w:marTop w:val="30"/>
          <w:marBottom w:val="30"/>
          <w:divBdr>
            <w:top w:val="none" w:sz="0" w:space="0" w:color="auto"/>
            <w:left w:val="none" w:sz="0" w:space="0" w:color="auto"/>
            <w:bottom w:val="none" w:sz="0" w:space="0" w:color="auto"/>
            <w:right w:val="none" w:sz="0" w:space="0" w:color="auto"/>
          </w:divBdr>
        </w:div>
        <w:div w:id="1046445168">
          <w:marLeft w:val="30"/>
          <w:marRight w:val="30"/>
          <w:marTop w:val="30"/>
          <w:marBottom w:val="30"/>
          <w:divBdr>
            <w:top w:val="none" w:sz="0" w:space="0" w:color="auto"/>
            <w:left w:val="none" w:sz="0" w:space="0" w:color="auto"/>
            <w:bottom w:val="none" w:sz="0" w:space="0" w:color="auto"/>
            <w:right w:val="none" w:sz="0" w:space="0" w:color="auto"/>
          </w:divBdr>
        </w:div>
        <w:div w:id="799151613">
          <w:marLeft w:val="30"/>
          <w:marRight w:val="30"/>
          <w:marTop w:val="30"/>
          <w:marBottom w:val="30"/>
          <w:divBdr>
            <w:top w:val="none" w:sz="0" w:space="0" w:color="auto"/>
            <w:left w:val="none" w:sz="0" w:space="0" w:color="auto"/>
            <w:bottom w:val="none" w:sz="0" w:space="0" w:color="auto"/>
            <w:right w:val="none" w:sz="0" w:space="0" w:color="auto"/>
          </w:divBdr>
        </w:div>
        <w:div w:id="907110418">
          <w:marLeft w:val="30"/>
          <w:marRight w:val="30"/>
          <w:marTop w:val="30"/>
          <w:marBottom w:val="30"/>
          <w:divBdr>
            <w:top w:val="none" w:sz="0" w:space="0" w:color="auto"/>
            <w:left w:val="none" w:sz="0" w:space="0" w:color="auto"/>
            <w:bottom w:val="none" w:sz="0" w:space="0" w:color="auto"/>
            <w:right w:val="none" w:sz="0" w:space="0" w:color="auto"/>
          </w:divBdr>
        </w:div>
        <w:div w:id="871965397">
          <w:marLeft w:val="30"/>
          <w:marRight w:val="30"/>
          <w:marTop w:val="30"/>
          <w:marBottom w:val="30"/>
          <w:divBdr>
            <w:top w:val="none" w:sz="0" w:space="0" w:color="auto"/>
            <w:left w:val="none" w:sz="0" w:space="0" w:color="auto"/>
            <w:bottom w:val="none" w:sz="0" w:space="0" w:color="auto"/>
            <w:right w:val="none" w:sz="0" w:space="0" w:color="auto"/>
          </w:divBdr>
        </w:div>
        <w:div w:id="496388681">
          <w:marLeft w:val="30"/>
          <w:marRight w:val="30"/>
          <w:marTop w:val="30"/>
          <w:marBottom w:val="30"/>
          <w:divBdr>
            <w:top w:val="none" w:sz="0" w:space="0" w:color="auto"/>
            <w:left w:val="none" w:sz="0" w:space="0" w:color="auto"/>
            <w:bottom w:val="none" w:sz="0" w:space="0" w:color="auto"/>
            <w:right w:val="none" w:sz="0" w:space="0" w:color="auto"/>
          </w:divBdr>
        </w:div>
        <w:div w:id="1098284182">
          <w:marLeft w:val="30"/>
          <w:marRight w:val="30"/>
          <w:marTop w:val="30"/>
          <w:marBottom w:val="30"/>
          <w:divBdr>
            <w:top w:val="none" w:sz="0" w:space="0" w:color="auto"/>
            <w:left w:val="none" w:sz="0" w:space="0" w:color="auto"/>
            <w:bottom w:val="none" w:sz="0" w:space="0" w:color="auto"/>
            <w:right w:val="none" w:sz="0" w:space="0" w:color="auto"/>
          </w:divBdr>
        </w:div>
        <w:div w:id="1024867119">
          <w:marLeft w:val="30"/>
          <w:marRight w:val="30"/>
          <w:marTop w:val="30"/>
          <w:marBottom w:val="30"/>
          <w:divBdr>
            <w:top w:val="none" w:sz="0" w:space="0" w:color="auto"/>
            <w:left w:val="none" w:sz="0" w:space="0" w:color="auto"/>
            <w:bottom w:val="none" w:sz="0" w:space="0" w:color="auto"/>
            <w:right w:val="none" w:sz="0" w:space="0" w:color="auto"/>
          </w:divBdr>
        </w:div>
        <w:div w:id="541941288">
          <w:marLeft w:val="30"/>
          <w:marRight w:val="30"/>
          <w:marTop w:val="30"/>
          <w:marBottom w:val="30"/>
          <w:divBdr>
            <w:top w:val="none" w:sz="0" w:space="0" w:color="auto"/>
            <w:left w:val="none" w:sz="0" w:space="0" w:color="auto"/>
            <w:bottom w:val="none" w:sz="0" w:space="0" w:color="auto"/>
            <w:right w:val="none" w:sz="0" w:space="0" w:color="auto"/>
          </w:divBdr>
        </w:div>
        <w:div w:id="688991253">
          <w:marLeft w:val="30"/>
          <w:marRight w:val="30"/>
          <w:marTop w:val="30"/>
          <w:marBottom w:val="30"/>
          <w:divBdr>
            <w:top w:val="none" w:sz="0" w:space="0" w:color="auto"/>
            <w:left w:val="none" w:sz="0" w:space="0" w:color="auto"/>
            <w:bottom w:val="none" w:sz="0" w:space="0" w:color="auto"/>
            <w:right w:val="none" w:sz="0" w:space="0" w:color="auto"/>
          </w:divBdr>
        </w:div>
        <w:div w:id="1591037044">
          <w:marLeft w:val="30"/>
          <w:marRight w:val="30"/>
          <w:marTop w:val="30"/>
          <w:marBottom w:val="30"/>
          <w:divBdr>
            <w:top w:val="none" w:sz="0" w:space="0" w:color="auto"/>
            <w:left w:val="none" w:sz="0" w:space="0" w:color="auto"/>
            <w:bottom w:val="none" w:sz="0" w:space="0" w:color="auto"/>
            <w:right w:val="none" w:sz="0" w:space="0" w:color="auto"/>
          </w:divBdr>
        </w:div>
        <w:div w:id="1512837231">
          <w:marLeft w:val="30"/>
          <w:marRight w:val="30"/>
          <w:marTop w:val="30"/>
          <w:marBottom w:val="30"/>
          <w:divBdr>
            <w:top w:val="none" w:sz="0" w:space="0" w:color="auto"/>
            <w:left w:val="none" w:sz="0" w:space="0" w:color="auto"/>
            <w:bottom w:val="none" w:sz="0" w:space="0" w:color="auto"/>
            <w:right w:val="none" w:sz="0" w:space="0" w:color="auto"/>
          </w:divBdr>
        </w:div>
        <w:div w:id="695009980">
          <w:marLeft w:val="30"/>
          <w:marRight w:val="30"/>
          <w:marTop w:val="30"/>
          <w:marBottom w:val="30"/>
          <w:divBdr>
            <w:top w:val="none" w:sz="0" w:space="0" w:color="auto"/>
            <w:left w:val="none" w:sz="0" w:space="0" w:color="auto"/>
            <w:bottom w:val="none" w:sz="0" w:space="0" w:color="auto"/>
            <w:right w:val="none" w:sz="0" w:space="0" w:color="auto"/>
          </w:divBdr>
        </w:div>
        <w:div w:id="905720417">
          <w:marLeft w:val="30"/>
          <w:marRight w:val="30"/>
          <w:marTop w:val="30"/>
          <w:marBottom w:val="30"/>
          <w:divBdr>
            <w:top w:val="none" w:sz="0" w:space="0" w:color="auto"/>
            <w:left w:val="none" w:sz="0" w:space="0" w:color="auto"/>
            <w:bottom w:val="none" w:sz="0" w:space="0" w:color="auto"/>
            <w:right w:val="none" w:sz="0" w:space="0" w:color="auto"/>
          </w:divBdr>
        </w:div>
        <w:div w:id="113525148">
          <w:marLeft w:val="30"/>
          <w:marRight w:val="30"/>
          <w:marTop w:val="30"/>
          <w:marBottom w:val="30"/>
          <w:divBdr>
            <w:top w:val="none" w:sz="0" w:space="0" w:color="auto"/>
            <w:left w:val="none" w:sz="0" w:space="0" w:color="auto"/>
            <w:bottom w:val="none" w:sz="0" w:space="0" w:color="auto"/>
            <w:right w:val="none" w:sz="0" w:space="0" w:color="auto"/>
          </w:divBdr>
        </w:div>
        <w:div w:id="605692443">
          <w:marLeft w:val="30"/>
          <w:marRight w:val="30"/>
          <w:marTop w:val="30"/>
          <w:marBottom w:val="30"/>
          <w:divBdr>
            <w:top w:val="none" w:sz="0" w:space="0" w:color="auto"/>
            <w:left w:val="none" w:sz="0" w:space="0" w:color="auto"/>
            <w:bottom w:val="none" w:sz="0" w:space="0" w:color="auto"/>
            <w:right w:val="none" w:sz="0" w:space="0" w:color="auto"/>
          </w:divBdr>
        </w:div>
        <w:div w:id="467479152">
          <w:marLeft w:val="30"/>
          <w:marRight w:val="30"/>
          <w:marTop w:val="30"/>
          <w:marBottom w:val="30"/>
          <w:divBdr>
            <w:top w:val="none" w:sz="0" w:space="0" w:color="auto"/>
            <w:left w:val="none" w:sz="0" w:space="0" w:color="auto"/>
            <w:bottom w:val="none" w:sz="0" w:space="0" w:color="auto"/>
            <w:right w:val="none" w:sz="0" w:space="0" w:color="auto"/>
          </w:divBdr>
        </w:div>
        <w:div w:id="1110081057">
          <w:marLeft w:val="30"/>
          <w:marRight w:val="30"/>
          <w:marTop w:val="30"/>
          <w:marBottom w:val="30"/>
          <w:divBdr>
            <w:top w:val="none" w:sz="0" w:space="0" w:color="auto"/>
            <w:left w:val="none" w:sz="0" w:space="0" w:color="auto"/>
            <w:bottom w:val="none" w:sz="0" w:space="0" w:color="auto"/>
            <w:right w:val="none" w:sz="0" w:space="0" w:color="auto"/>
          </w:divBdr>
        </w:div>
        <w:div w:id="1413623790">
          <w:marLeft w:val="30"/>
          <w:marRight w:val="30"/>
          <w:marTop w:val="30"/>
          <w:marBottom w:val="30"/>
          <w:divBdr>
            <w:top w:val="none" w:sz="0" w:space="0" w:color="auto"/>
            <w:left w:val="none" w:sz="0" w:space="0" w:color="auto"/>
            <w:bottom w:val="none" w:sz="0" w:space="0" w:color="auto"/>
            <w:right w:val="none" w:sz="0" w:space="0" w:color="auto"/>
          </w:divBdr>
        </w:div>
        <w:div w:id="633871843">
          <w:marLeft w:val="30"/>
          <w:marRight w:val="30"/>
          <w:marTop w:val="30"/>
          <w:marBottom w:val="30"/>
          <w:divBdr>
            <w:top w:val="none" w:sz="0" w:space="0" w:color="auto"/>
            <w:left w:val="none" w:sz="0" w:space="0" w:color="auto"/>
            <w:bottom w:val="none" w:sz="0" w:space="0" w:color="auto"/>
            <w:right w:val="none" w:sz="0" w:space="0" w:color="auto"/>
          </w:divBdr>
        </w:div>
        <w:div w:id="1574700551">
          <w:marLeft w:val="30"/>
          <w:marRight w:val="30"/>
          <w:marTop w:val="30"/>
          <w:marBottom w:val="30"/>
          <w:divBdr>
            <w:top w:val="none" w:sz="0" w:space="0" w:color="auto"/>
            <w:left w:val="none" w:sz="0" w:space="0" w:color="auto"/>
            <w:bottom w:val="none" w:sz="0" w:space="0" w:color="auto"/>
            <w:right w:val="none" w:sz="0" w:space="0" w:color="auto"/>
          </w:divBdr>
        </w:div>
        <w:div w:id="1207722141">
          <w:marLeft w:val="30"/>
          <w:marRight w:val="30"/>
          <w:marTop w:val="30"/>
          <w:marBottom w:val="30"/>
          <w:divBdr>
            <w:top w:val="none" w:sz="0" w:space="0" w:color="auto"/>
            <w:left w:val="none" w:sz="0" w:space="0" w:color="auto"/>
            <w:bottom w:val="none" w:sz="0" w:space="0" w:color="auto"/>
            <w:right w:val="none" w:sz="0" w:space="0" w:color="auto"/>
          </w:divBdr>
        </w:div>
        <w:div w:id="1817985384">
          <w:marLeft w:val="30"/>
          <w:marRight w:val="30"/>
          <w:marTop w:val="30"/>
          <w:marBottom w:val="30"/>
          <w:divBdr>
            <w:top w:val="none" w:sz="0" w:space="0" w:color="auto"/>
            <w:left w:val="none" w:sz="0" w:space="0" w:color="auto"/>
            <w:bottom w:val="none" w:sz="0" w:space="0" w:color="auto"/>
            <w:right w:val="none" w:sz="0" w:space="0" w:color="auto"/>
          </w:divBdr>
        </w:div>
        <w:div w:id="746148771">
          <w:marLeft w:val="30"/>
          <w:marRight w:val="30"/>
          <w:marTop w:val="30"/>
          <w:marBottom w:val="30"/>
          <w:divBdr>
            <w:top w:val="none" w:sz="0" w:space="0" w:color="auto"/>
            <w:left w:val="none" w:sz="0" w:space="0" w:color="auto"/>
            <w:bottom w:val="none" w:sz="0" w:space="0" w:color="auto"/>
            <w:right w:val="none" w:sz="0" w:space="0" w:color="auto"/>
          </w:divBdr>
        </w:div>
        <w:div w:id="390034434">
          <w:marLeft w:val="30"/>
          <w:marRight w:val="30"/>
          <w:marTop w:val="30"/>
          <w:marBottom w:val="30"/>
          <w:divBdr>
            <w:top w:val="none" w:sz="0" w:space="0" w:color="auto"/>
            <w:left w:val="none" w:sz="0" w:space="0" w:color="auto"/>
            <w:bottom w:val="none" w:sz="0" w:space="0" w:color="auto"/>
            <w:right w:val="none" w:sz="0" w:space="0" w:color="auto"/>
          </w:divBdr>
        </w:div>
        <w:div w:id="1597134358">
          <w:marLeft w:val="30"/>
          <w:marRight w:val="30"/>
          <w:marTop w:val="30"/>
          <w:marBottom w:val="30"/>
          <w:divBdr>
            <w:top w:val="none" w:sz="0" w:space="0" w:color="auto"/>
            <w:left w:val="none" w:sz="0" w:space="0" w:color="auto"/>
            <w:bottom w:val="none" w:sz="0" w:space="0" w:color="auto"/>
            <w:right w:val="none" w:sz="0" w:space="0" w:color="auto"/>
          </w:divBdr>
        </w:div>
        <w:div w:id="1263343318">
          <w:marLeft w:val="30"/>
          <w:marRight w:val="30"/>
          <w:marTop w:val="30"/>
          <w:marBottom w:val="30"/>
          <w:divBdr>
            <w:top w:val="none" w:sz="0" w:space="0" w:color="auto"/>
            <w:left w:val="none" w:sz="0" w:space="0" w:color="auto"/>
            <w:bottom w:val="none" w:sz="0" w:space="0" w:color="auto"/>
            <w:right w:val="none" w:sz="0" w:space="0" w:color="auto"/>
          </w:divBdr>
        </w:div>
        <w:div w:id="182524339">
          <w:marLeft w:val="30"/>
          <w:marRight w:val="30"/>
          <w:marTop w:val="30"/>
          <w:marBottom w:val="30"/>
          <w:divBdr>
            <w:top w:val="none" w:sz="0" w:space="0" w:color="auto"/>
            <w:left w:val="none" w:sz="0" w:space="0" w:color="auto"/>
            <w:bottom w:val="none" w:sz="0" w:space="0" w:color="auto"/>
            <w:right w:val="none" w:sz="0" w:space="0" w:color="auto"/>
          </w:divBdr>
        </w:div>
        <w:div w:id="989938493">
          <w:marLeft w:val="30"/>
          <w:marRight w:val="30"/>
          <w:marTop w:val="30"/>
          <w:marBottom w:val="30"/>
          <w:divBdr>
            <w:top w:val="none" w:sz="0" w:space="0" w:color="auto"/>
            <w:left w:val="none" w:sz="0" w:space="0" w:color="auto"/>
            <w:bottom w:val="none" w:sz="0" w:space="0" w:color="auto"/>
            <w:right w:val="none" w:sz="0" w:space="0" w:color="auto"/>
          </w:divBdr>
        </w:div>
        <w:div w:id="83185472">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1861</Words>
  <Characters>10609</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University of Luxembourg</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POIRIER</dc:creator>
  <cp:keywords/>
  <dc:description/>
  <cp:lastModifiedBy>Philippe Poirier</cp:lastModifiedBy>
  <cp:revision>2</cp:revision>
  <dcterms:created xsi:type="dcterms:W3CDTF">2019-07-18T10:30:00Z</dcterms:created>
  <dcterms:modified xsi:type="dcterms:W3CDTF">2019-07-18T10:30:00Z</dcterms:modified>
</cp:coreProperties>
</file>