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4106D" w14:textId="42AC5B52" w:rsidR="003F1DB9" w:rsidRDefault="00152772" w:rsidP="000E76B2">
      <w:pPr>
        <w:pStyle w:val="Heading1"/>
        <w:numPr>
          <w:ilvl w:val="0"/>
          <w:numId w:val="0"/>
        </w:numPr>
        <w:spacing w:before="0" w:line="360" w:lineRule="auto"/>
      </w:pPr>
      <w:bookmarkStart w:id="0" w:name="_GoBack"/>
      <w:bookmarkEnd w:id="0"/>
      <w:r>
        <w:t xml:space="preserve">Bankruptcy </w:t>
      </w:r>
      <w:r w:rsidR="008C4477">
        <w:t xml:space="preserve">in </w:t>
      </w:r>
      <w:r w:rsidR="00D0627D">
        <w:t>international vs domestic markets</w:t>
      </w:r>
      <w:r w:rsidR="00624EE0">
        <w:t xml:space="preserve">: </w:t>
      </w:r>
      <w:r w:rsidR="00D0627D">
        <w:t>Evidence from the airline industry</w:t>
      </w:r>
    </w:p>
    <w:p w14:paraId="28FBEDD4" w14:textId="500534A7" w:rsidR="00B51242" w:rsidRPr="0019460B" w:rsidRDefault="00B51242" w:rsidP="000E76B2">
      <w:pPr>
        <w:pStyle w:val="FlietextAbstanddavor"/>
        <w:spacing w:before="0" w:line="360" w:lineRule="auto"/>
        <w:rPr>
          <w:vertAlign w:val="superscript"/>
        </w:rPr>
      </w:pPr>
      <w:r>
        <w:t xml:space="preserve">Sebastian </w:t>
      </w:r>
      <w:proofErr w:type="spellStart"/>
      <w:r>
        <w:t>Bock</w:t>
      </w:r>
      <w:r w:rsidRPr="00B51242">
        <w:rPr>
          <w:vertAlign w:val="superscript"/>
        </w:rPr>
        <w:t>a</w:t>
      </w:r>
      <w:proofErr w:type="spellEnd"/>
      <w:r>
        <w:t xml:space="preserve">, Benny </w:t>
      </w:r>
      <w:proofErr w:type="spellStart"/>
      <w:proofErr w:type="gramStart"/>
      <w:r>
        <w:t>Mantin</w:t>
      </w:r>
      <w:r w:rsidRPr="00B51242">
        <w:rPr>
          <w:vertAlign w:val="superscript"/>
        </w:rPr>
        <w:t>b</w:t>
      </w:r>
      <w:proofErr w:type="spellEnd"/>
      <w:r w:rsidR="00E2606C">
        <w:rPr>
          <w:vertAlign w:val="superscript"/>
        </w:rPr>
        <w:t>,*</w:t>
      </w:r>
      <w:proofErr w:type="gramEnd"/>
      <w:r w:rsidR="0019460B">
        <w:t xml:space="preserve">, Hans-Martin </w:t>
      </w:r>
      <w:proofErr w:type="spellStart"/>
      <w:r w:rsidR="0019460B">
        <w:t>Niemeier</w:t>
      </w:r>
      <w:r w:rsidR="0019460B">
        <w:rPr>
          <w:vertAlign w:val="superscript"/>
        </w:rPr>
        <w:t>c</w:t>
      </w:r>
      <w:proofErr w:type="spellEnd"/>
      <w:r w:rsidR="0019460B">
        <w:t xml:space="preserve">, </w:t>
      </w:r>
      <w:r w:rsidR="0019460B" w:rsidRPr="0019460B">
        <w:t xml:space="preserve">Peter John </w:t>
      </w:r>
      <w:proofErr w:type="spellStart"/>
      <w:r w:rsidR="0019460B" w:rsidRPr="0019460B">
        <w:t>Forsyth</w:t>
      </w:r>
      <w:r w:rsidR="0019460B">
        <w:rPr>
          <w:vertAlign w:val="superscript"/>
        </w:rPr>
        <w:t>d</w:t>
      </w:r>
      <w:proofErr w:type="spellEnd"/>
    </w:p>
    <w:p w14:paraId="744A4BAB" w14:textId="7E796921" w:rsidR="00B51242" w:rsidRPr="00B51242" w:rsidRDefault="00B51242" w:rsidP="000E76B2">
      <w:pPr>
        <w:pStyle w:val="Flietext"/>
        <w:spacing w:line="360" w:lineRule="auto"/>
        <w:rPr>
          <w:i/>
          <w:sz w:val="20"/>
        </w:rPr>
      </w:pPr>
      <w:r w:rsidRPr="00B51242">
        <w:rPr>
          <w:i/>
          <w:sz w:val="20"/>
          <w:vertAlign w:val="superscript"/>
        </w:rPr>
        <w:t>a</w:t>
      </w:r>
      <w:r w:rsidRPr="00B51242">
        <w:rPr>
          <w:i/>
          <w:sz w:val="20"/>
        </w:rPr>
        <w:t xml:space="preserve"> University of Applied Sciences Bremen, Germany</w:t>
      </w:r>
      <w:r w:rsidR="00572D5A">
        <w:rPr>
          <w:i/>
          <w:sz w:val="20"/>
        </w:rPr>
        <w:t>; SebastianBock@gmx.net</w:t>
      </w:r>
    </w:p>
    <w:p w14:paraId="0B770FA0" w14:textId="729E9948" w:rsidR="004A7711" w:rsidRDefault="00B51242" w:rsidP="000E76B2">
      <w:pPr>
        <w:pStyle w:val="Flietext"/>
        <w:spacing w:line="360" w:lineRule="auto"/>
        <w:rPr>
          <w:i/>
          <w:sz w:val="20"/>
        </w:rPr>
      </w:pPr>
      <w:r w:rsidRPr="00B51242">
        <w:rPr>
          <w:i/>
          <w:sz w:val="20"/>
          <w:vertAlign w:val="superscript"/>
        </w:rPr>
        <w:t>b</w:t>
      </w:r>
      <w:r w:rsidRPr="00B51242">
        <w:rPr>
          <w:i/>
          <w:sz w:val="20"/>
        </w:rPr>
        <w:t xml:space="preserve"> University of </w:t>
      </w:r>
      <w:r w:rsidR="00310BC0">
        <w:rPr>
          <w:i/>
          <w:sz w:val="20"/>
        </w:rPr>
        <w:t>Luxembourg</w:t>
      </w:r>
      <w:r w:rsidRPr="00B51242">
        <w:rPr>
          <w:i/>
          <w:sz w:val="20"/>
        </w:rPr>
        <w:t xml:space="preserve">, </w:t>
      </w:r>
      <w:r w:rsidR="00310BC0">
        <w:rPr>
          <w:i/>
          <w:sz w:val="20"/>
        </w:rPr>
        <w:t>Luxembourg</w:t>
      </w:r>
      <w:r w:rsidR="00572D5A">
        <w:rPr>
          <w:i/>
          <w:sz w:val="20"/>
        </w:rPr>
        <w:t>;</w:t>
      </w:r>
      <w:r w:rsidR="00572D5A" w:rsidRPr="00572D5A">
        <w:t xml:space="preserve"> </w:t>
      </w:r>
      <w:r w:rsidR="00572D5A" w:rsidRPr="00572D5A">
        <w:rPr>
          <w:i/>
          <w:sz w:val="20"/>
        </w:rPr>
        <w:t>b</w:t>
      </w:r>
      <w:r w:rsidR="00310BC0">
        <w:rPr>
          <w:i/>
          <w:sz w:val="20"/>
        </w:rPr>
        <w:t>enny.</w:t>
      </w:r>
      <w:r w:rsidR="00572D5A" w:rsidRPr="00572D5A">
        <w:rPr>
          <w:i/>
          <w:sz w:val="20"/>
        </w:rPr>
        <w:t>mantin@u</w:t>
      </w:r>
      <w:r w:rsidR="00310BC0">
        <w:rPr>
          <w:i/>
          <w:sz w:val="20"/>
        </w:rPr>
        <w:t>ni.lu</w:t>
      </w:r>
    </w:p>
    <w:p w14:paraId="414E63BB" w14:textId="366B58D0" w:rsidR="0019460B" w:rsidRDefault="0019460B" w:rsidP="000E76B2">
      <w:pPr>
        <w:pStyle w:val="Flietext"/>
        <w:spacing w:line="360" w:lineRule="auto"/>
        <w:rPr>
          <w:i/>
          <w:sz w:val="20"/>
        </w:rPr>
      </w:pPr>
      <w:r>
        <w:rPr>
          <w:i/>
          <w:sz w:val="20"/>
          <w:vertAlign w:val="superscript"/>
        </w:rPr>
        <w:t>c</w:t>
      </w:r>
      <w:r w:rsidRPr="00B51242">
        <w:rPr>
          <w:i/>
          <w:sz w:val="20"/>
        </w:rPr>
        <w:t xml:space="preserve"> University of Applied Sciences Bremen, Germany</w:t>
      </w:r>
      <w:r w:rsidR="00572D5A">
        <w:rPr>
          <w:i/>
          <w:sz w:val="20"/>
        </w:rPr>
        <w:t>;</w:t>
      </w:r>
      <w:r w:rsidR="00572D5A" w:rsidRPr="00572D5A">
        <w:t xml:space="preserve"> </w:t>
      </w:r>
      <w:r w:rsidR="00572D5A" w:rsidRPr="00572D5A">
        <w:rPr>
          <w:i/>
          <w:sz w:val="20"/>
        </w:rPr>
        <w:t>Hans-Martin.Niemeier@hs-bremen.de</w:t>
      </w:r>
    </w:p>
    <w:p w14:paraId="5DC2B2F0" w14:textId="496847FA" w:rsidR="0019460B" w:rsidRDefault="0019460B" w:rsidP="000E76B2">
      <w:pPr>
        <w:pStyle w:val="Flietext"/>
        <w:spacing w:line="360" w:lineRule="auto"/>
        <w:rPr>
          <w:i/>
          <w:sz w:val="20"/>
        </w:rPr>
      </w:pPr>
      <w:r>
        <w:rPr>
          <w:i/>
          <w:sz w:val="20"/>
          <w:vertAlign w:val="superscript"/>
        </w:rPr>
        <w:t>d</w:t>
      </w:r>
      <w:r w:rsidRPr="00B51242">
        <w:rPr>
          <w:i/>
          <w:sz w:val="20"/>
        </w:rPr>
        <w:t xml:space="preserve"> </w:t>
      </w:r>
      <w:r w:rsidRPr="0019460B">
        <w:rPr>
          <w:i/>
          <w:sz w:val="20"/>
        </w:rPr>
        <w:t>Monash University</w:t>
      </w:r>
      <w:r w:rsidR="00D55637">
        <w:rPr>
          <w:i/>
          <w:sz w:val="20"/>
        </w:rPr>
        <w:t xml:space="preserve"> and Southern Cross University</w:t>
      </w:r>
      <w:r w:rsidRPr="00B51242">
        <w:rPr>
          <w:i/>
          <w:sz w:val="20"/>
        </w:rPr>
        <w:t xml:space="preserve">, </w:t>
      </w:r>
      <w:r>
        <w:rPr>
          <w:i/>
          <w:sz w:val="20"/>
        </w:rPr>
        <w:t>Australia</w:t>
      </w:r>
      <w:r w:rsidR="00572D5A">
        <w:rPr>
          <w:i/>
          <w:sz w:val="20"/>
        </w:rPr>
        <w:t>;</w:t>
      </w:r>
      <w:r w:rsidR="00572D5A" w:rsidRPr="00572D5A">
        <w:t xml:space="preserve"> </w:t>
      </w:r>
      <w:r w:rsidR="00572D5A" w:rsidRPr="00572D5A">
        <w:rPr>
          <w:i/>
          <w:sz w:val="20"/>
        </w:rPr>
        <w:t>peter.forsyth@monash.edu</w:t>
      </w:r>
    </w:p>
    <w:p w14:paraId="72C1D9A2" w14:textId="777D4DA5" w:rsidR="00E2606C" w:rsidRPr="00E2606C" w:rsidRDefault="00E2606C" w:rsidP="000E76B2">
      <w:pPr>
        <w:pStyle w:val="Flietext"/>
        <w:spacing w:line="360" w:lineRule="auto"/>
        <w:rPr>
          <w:i/>
          <w:sz w:val="20"/>
        </w:rPr>
      </w:pPr>
      <w:r w:rsidRPr="00E2606C">
        <w:rPr>
          <w:i/>
          <w:sz w:val="20"/>
          <w:vertAlign w:val="superscript"/>
        </w:rPr>
        <w:t>*</w:t>
      </w:r>
      <w:r w:rsidRPr="00E2606C">
        <w:rPr>
          <w:i/>
          <w:sz w:val="20"/>
        </w:rPr>
        <w:t xml:space="preserve"> Corresponding author, </w:t>
      </w:r>
      <w:r w:rsidR="00310BC0">
        <w:rPr>
          <w:i/>
          <w:sz w:val="20"/>
        </w:rPr>
        <w:t>+</w:t>
      </w:r>
      <w:r w:rsidR="00310BC0" w:rsidRPr="00310BC0">
        <w:rPr>
          <w:i/>
          <w:sz w:val="20"/>
        </w:rPr>
        <w:t xml:space="preserve"> 352 4666 44 5815 </w:t>
      </w:r>
    </w:p>
    <w:p w14:paraId="7CB4DB4F" w14:textId="77777777" w:rsidR="0019460B" w:rsidRPr="0019460B" w:rsidRDefault="0019460B" w:rsidP="000E76B2">
      <w:pPr>
        <w:pStyle w:val="FlietextFolge"/>
        <w:spacing w:line="360" w:lineRule="auto"/>
      </w:pPr>
    </w:p>
    <w:p w14:paraId="719F216C" w14:textId="77777777" w:rsidR="00564D49" w:rsidRPr="00B03A20" w:rsidRDefault="00564D49" w:rsidP="000E76B2">
      <w:pPr>
        <w:pStyle w:val="Heading1"/>
        <w:numPr>
          <w:ilvl w:val="0"/>
          <w:numId w:val="0"/>
        </w:numPr>
        <w:spacing w:before="0" w:line="360" w:lineRule="auto"/>
      </w:pPr>
      <w:bookmarkStart w:id="1" w:name="_Toc441511522"/>
      <w:bookmarkStart w:id="2" w:name="_Toc441511720"/>
      <w:bookmarkStart w:id="3" w:name="_Toc441511747"/>
      <w:bookmarkStart w:id="4" w:name="_Toc444674728"/>
      <w:bookmarkStart w:id="5" w:name="_Toc451769635"/>
      <w:bookmarkStart w:id="6" w:name="_Ref417210887"/>
      <w:r w:rsidRPr="00B03A20">
        <w:t>Abstract</w:t>
      </w:r>
      <w:bookmarkEnd w:id="1"/>
      <w:bookmarkEnd w:id="2"/>
      <w:bookmarkEnd w:id="3"/>
      <w:bookmarkEnd w:id="4"/>
      <w:bookmarkEnd w:id="5"/>
    </w:p>
    <w:p w14:paraId="00D22433" w14:textId="77C91BAA" w:rsidR="00165E90" w:rsidRDefault="00D0627D" w:rsidP="000E76B2">
      <w:pPr>
        <w:pStyle w:val="FlietextAbstanddavor"/>
        <w:spacing w:before="0" w:line="360" w:lineRule="auto"/>
      </w:pPr>
      <w:r>
        <w:t xml:space="preserve">We study the effects of Chapter 11 bankruptcy protection on competitive product pricing in both domestic and international </w:t>
      </w:r>
      <w:r w:rsidR="00B20674">
        <w:t xml:space="preserve">markets using data from the airline industry. </w:t>
      </w:r>
      <w:r w:rsidR="0098662B">
        <w:t>W</w:t>
      </w:r>
      <w:r w:rsidR="00B20674">
        <w:t xml:space="preserve">e find a decline of </w:t>
      </w:r>
      <w:r w:rsidR="00135111">
        <w:t xml:space="preserve">about 5% in domestic markets and an even more significant drop </w:t>
      </w:r>
      <w:r w:rsidR="00B20674">
        <w:t xml:space="preserve">in international markets. Further, in international markets the </w:t>
      </w:r>
      <w:r w:rsidR="005622C2">
        <w:t xml:space="preserve">competing carriers </w:t>
      </w:r>
      <w:r w:rsidR="00B20674">
        <w:t xml:space="preserve">respond by </w:t>
      </w:r>
      <w:r w:rsidR="005622C2">
        <w:t>drop</w:t>
      </w:r>
      <w:r w:rsidR="00B20674">
        <w:t>ping</w:t>
      </w:r>
      <w:r w:rsidR="005622C2">
        <w:t xml:space="preserve"> their prices </w:t>
      </w:r>
      <w:r w:rsidR="00B20674">
        <w:t xml:space="preserve">as well, whereas </w:t>
      </w:r>
      <w:r w:rsidR="005622C2">
        <w:t xml:space="preserve">they slightly increase them domestically. </w:t>
      </w:r>
      <w:r w:rsidR="0098662B">
        <w:t xml:space="preserve">By contrast, existing literature considers only domestic markets </w:t>
      </w:r>
      <w:r w:rsidR="00071820">
        <w:t xml:space="preserve">finding </w:t>
      </w:r>
      <w:r w:rsidR="0098662B">
        <w:t xml:space="preserve">a </w:t>
      </w:r>
      <w:r w:rsidR="00071820">
        <w:t xml:space="preserve">more moderate </w:t>
      </w:r>
      <w:r w:rsidR="0098662B">
        <w:t>fare drop of about 3% in domestic markets by the bankrupt carrier</w:t>
      </w:r>
      <w:r w:rsidR="00AF6BC6">
        <w:t>, with mixed results on the fare drop by competitors</w:t>
      </w:r>
      <w:r w:rsidR="00071820">
        <w:t>.</w:t>
      </w:r>
    </w:p>
    <w:p w14:paraId="21FFCEF7" w14:textId="77777777" w:rsidR="00CD2FBB" w:rsidRDefault="00CD2FBB" w:rsidP="000E76B2">
      <w:pPr>
        <w:autoSpaceDE w:val="0"/>
        <w:autoSpaceDN w:val="0"/>
        <w:adjustRightInd w:val="0"/>
        <w:spacing w:line="360" w:lineRule="auto"/>
        <w:jc w:val="left"/>
        <w:rPr>
          <w:rFonts w:eastAsiaTheme="majorEastAsia" w:cstheme="majorBidi"/>
          <w:bCs/>
          <w:szCs w:val="26"/>
          <w:lang w:val="en-GB"/>
        </w:rPr>
      </w:pPr>
    </w:p>
    <w:p w14:paraId="2410731F" w14:textId="6E1A357B" w:rsidR="00CD2FBB" w:rsidRPr="00570437" w:rsidRDefault="00CD2FBB" w:rsidP="000E76B2">
      <w:pPr>
        <w:autoSpaceDE w:val="0"/>
        <w:autoSpaceDN w:val="0"/>
        <w:adjustRightInd w:val="0"/>
        <w:spacing w:line="360" w:lineRule="auto"/>
        <w:jc w:val="left"/>
        <w:rPr>
          <w:rFonts w:eastAsiaTheme="majorEastAsia" w:cstheme="majorBidi"/>
          <w:bCs/>
          <w:szCs w:val="26"/>
          <w:lang w:val="fr-FR"/>
        </w:rPr>
      </w:pPr>
      <w:r w:rsidRPr="000E76B2">
        <w:rPr>
          <w:rFonts w:eastAsiaTheme="majorEastAsia" w:cstheme="majorBidi"/>
          <w:b/>
          <w:bCs/>
          <w:szCs w:val="26"/>
          <w:lang w:val="fr-FR"/>
        </w:rPr>
        <w:t xml:space="preserve">JEL </w:t>
      </w:r>
      <w:proofErr w:type="gramStart"/>
      <w:r w:rsidR="000B3047" w:rsidRPr="000E76B2">
        <w:rPr>
          <w:rFonts w:eastAsiaTheme="majorEastAsia" w:cstheme="majorBidi"/>
          <w:b/>
          <w:bCs/>
          <w:szCs w:val="26"/>
          <w:lang w:val="fr-FR"/>
        </w:rPr>
        <w:t>classifications:</w:t>
      </w:r>
      <w:proofErr w:type="gramEnd"/>
      <w:r w:rsidRPr="00570437">
        <w:rPr>
          <w:rFonts w:eastAsiaTheme="majorEastAsia" w:cstheme="majorBidi"/>
          <w:bCs/>
          <w:szCs w:val="26"/>
          <w:lang w:val="fr-FR"/>
        </w:rPr>
        <w:t xml:space="preserve"> G33; L13; L93; K2</w:t>
      </w:r>
    </w:p>
    <w:p w14:paraId="7A869BAC" w14:textId="20D8465F" w:rsidR="00CD2FBB" w:rsidRDefault="00CD2FBB" w:rsidP="000E76B2">
      <w:pPr>
        <w:autoSpaceDE w:val="0"/>
        <w:autoSpaceDN w:val="0"/>
        <w:adjustRightInd w:val="0"/>
        <w:spacing w:line="360" w:lineRule="auto"/>
        <w:jc w:val="left"/>
        <w:rPr>
          <w:rFonts w:eastAsiaTheme="majorEastAsia" w:cstheme="majorBidi"/>
          <w:szCs w:val="26"/>
          <w:lang w:val="en-GB"/>
        </w:rPr>
      </w:pPr>
      <w:r w:rsidRPr="000E76B2">
        <w:rPr>
          <w:rFonts w:eastAsiaTheme="majorEastAsia" w:cstheme="majorBidi"/>
          <w:b/>
          <w:bCs/>
          <w:szCs w:val="26"/>
          <w:lang w:val="en-GB"/>
        </w:rPr>
        <w:t>Keywords:</w:t>
      </w:r>
      <w:r>
        <w:rPr>
          <w:rFonts w:eastAsiaTheme="majorEastAsia" w:cstheme="majorBidi"/>
          <w:bCs/>
          <w:szCs w:val="26"/>
          <w:lang w:val="en-GB"/>
        </w:rPr>
        <w:t xml:space="preserve"> </w:t>
      </w:r>
      <w:r w:rsidRPr="00CD2FBB">
        <w:rPr>
          <w:rFonts w:eastAsiaTheme="majorEastAsia" w:cstheme="majorBidi"/>
          <w:bCs/>
          <w:szCs w:val="26"/>
          <w:lang w:val="en-GB"/>
        </w:rPr>
        <w:t>Airline industry</w:t>
      </w:r>
      <w:r>
        <w:rPr>
          <w:rFonts w:eastAsiaTheme="majorEastAsia" w:cstheme="majorBidi"/>
          <w:bCs/>
          <w:szCs w:val="26"/>
          <w:lang w:val="en-GB"/>
        </w:rPr>
        <w:t xml:space="preserve">; </w:t>
      </w:r>
      <w:r w:rsidRPr="00CD2FBB">
        <w:rPr>
          <w:rFonts w:eastAsiaTheme="majorEastAsia" w:cstheme="majorBidi"/>
          <w:bCs/>
          <w:szCs w:val="26"/>
          <w:lang w:val="en-GB"/>
        </w:rPr>
        <w:t>Bankruptcy</w:t>
      </w:r>
      <w:r>
        <w:rPr>
          <w:rFonts w:eastAsiaTheme="majorEastAsia" w:cstheme="majorBidi"/>
          <w:bCs/>
          <w:szCs w:val="26"/>
          <w:lang w:val="en-GB"/>
        </w:rPr>
        <w:t xml:space="preserve">; </w:t>
      </w:r>
      <w:r w:rsidRPr="00CD2FBB">
        <w:rPr>
          <w:rFonts w:eastAsiaTheme="majorEastAsia" w:cstheme="majorBidi"/>
          <w:szCs w:val="26"/>
          <w:lang w:val="en-GB"/>
        </w:rPr>
        <w:t>Chapter 11</w:t>
      </w:r>
    </w:p>
    <w:p w14:paraId="51081960" w14:textId="77777777" w:rsidR="00C72ADD" w:rsidRDefault="00C72ADD" w:rsidP="000E76B2">
      <w:pPr>
        <w:autoSpaceDE w:val="0"/>
        <w:autoSpaceDN w:val="0"/>
        <w:adjustRightInd w:val="0"/>
        <w:spacing w:line="360" w:lineRule="auto"/>
        <w:jc w:val="left"/>
        <w:rPr>
          <w:lang w:val="en-GB"/>
        </w:rPr>
      </w:pPr>
    </w:p>
    <w:p w14:paraId="18C364AA" w14:textId="77777777" w:rsidR="00FC5FBF" w:rsidRPr="00FC5FBF" w:rsidRDefault="00FC5FBF" w:rsidP="00FC5FBF">
      <w:pPr>
        <w:pStyle w:val="FlietextFolge"/>
      </w:pPr>
    </w:p>
    <w:p w14:paraId="35064390" w14:textId="77777777" w:rsidR="00310BC0" w:rsidRDefault="00310BC0">
      <w:pPr>
        <w:spacing w:after="200" w:line="276" w:lineRule="auto"/>
        <w:jc w:val="left"/>
        <w:rPr>
          <w:rFonts w:eastAsiaTheme="majorEastAsia" w:cstheme="majorBidi"/>
          <w:b/>
          <w:bCs/>
          <w:spacing w:val="10"/>
          <w:szCs w:val="26"/>
          <w:highlight w:val="lightGray"/>
          <w:lang w:val="en-GB"/>
        </w:rPr>
      </w:pPr>
      <w:bookmarkStart w:id="7" w:name="_Toc444674739"/>
      <w:bookmarkStart w:id="8" w:name="_Toc451769676"/>
      <w:bookmarkEnd w:id="6"/>
      <w:r>
        <w:rPr>
          <w:highlight w:val="lightGray"/>
        </w:rPr>
        <w:br w:type="page"/>
      </w:r>
    </w:p>
    <w:p w14:paraId="46F0E3A5" w14:textId="77777777" w:rsidR="00CF25E8" w:rsidRPr="001B5CCC" w:rsidRDefault="00CF25E8" w:rsidP="0011694C">
      <w:pPr>
        <w:pStyle w:val="Heading1"/>
        <w:tabs>
          <w:tab w:val="clear" w:pos="1021"/>
        </w:tabs>
        <w:spacing w:before="120" w:after="120" w:line="360" w:lineRule="auto"/>
        <w:ind w:left="567" w:hanging="567"/>
      </w:pPr>
      <w:r w:rsidRPr="001B5CCC">
        <w:lastRenderedPageBreak/>
        <w:t>Introduction</w:t>
      </w:r>
    </w:p>
    <w:bookmarkEnd w:id="7"/>
    <w:bookmarkEnd w:id="8"/>
    <w:p w14:paraId="745068B3" w14:textId="5FAAB959" w:rsidR="001C6F43" w:rsidRDefault="005622C2" w:rsidP="00566DE0">
      <w:pPr>
        <w:pStyle w:val="FlietextAbstanddavor"/>
        <w:spacing w:before="0" w:line="360" w:lineRule="auto"/>
      </w:pPr>
      <w:r>
        <w:t>Bankruptcy protection under Chapter 11 of the United States Bankruptcy Law is a mechanism that allows firms to organize and restructure</w:t>
      </w:r>
      <w:r w:rsidR="00D66D16">
        <w:t xml:space="preserve">. </w:t>
      </w:r>
      <w:r w:rsidR="00D0627D">
        <w:t xml:space="preserve">This process has been employed by </w:t>
      </w:r>
      <w:r w:rsidR="00310BC0">
        <w:t>numerous</w:t>
      </w:r>
      <w:r w:rsidR="00D0627D">
        <w:t xml:space="preserve"> firms </w:t>
      </w:r>
      <w:r w:rsidR="00B20674">
        <w:t xml:space="preserve">from </w:t>
      </w:r>
      <w:r w:rsidR="004D2414">
        <w:t xml:space="preserve">literally </w:t>
      </w:r>
      <w:r w:rsidR="00B20674">
        <w:t xml:space="preserve">every segment of </w:t>
      </w:r>
      <w:r w:rsidR="00D0627D">
        <w:t xml:space="preserve">the </w:t>
      </w:r>
      <w:r w:rsidR="00B20674">
        <w:t xml:space="preserve">US economy, such as </w:t>
      </w:r>
      <w:r w:rsidR="00C1456C">
        <w:t xml:space="preserve">the </w:t>
      </w:r>
      <w:r w:rsidR="00A855F3">
        <w:t xml:space="preserve">banking and </w:t>
      </w:r>
      <w:r w:rsidR="00B20674">
        <w:t xml:space="preserve">financial </w:t>
      </w:r>
      <w:r w:rsidR="00C1456C">
        <w:t xml:space="preserve">sector </w:t>
      </w:r>
      <w:r w:rsidR="00B20674">
        <w:t>(Conseco in 2002</w:t>
      </w:r>
      <w:r w:rsidR="00A855F3">
        <w:t>, Lehman Brothers and Washington Mutual in 2008</w:t>
      </w:r>
      <w:r w:rsidR="00B20674">
        <w:t xml:space="preserve">), </w:t>
      </w:r>
      <w:r w:rsidR="00C1456C">
        <w:t xml:space="preserve">the </w:t>
      </w:r>
      <w:r w:rsidR="00B20674">
        <w:t xml:space="preserve">automotive </w:t>
      </w:r>
      <w:r w:rsidR="00C1456C">
        <w:t xml:space="preserve">sector </w:t>
      </w:r>
      <w:r w:rsidR="00B20674">
        <w:t xml:space="preserve">(GM and Chrysler in 2009), </w:t>
      </w:r>
      <w:r w:rsidR="00A855F3">
        <w:t xml:space="preserve">and </w:t>
      </w:r>
      <w:r w:rsidR="00C1456C">
        <w:t xml:space="preserve">the </w:t>
      </w:r>
      <w:r w:rsidR="00B20674">
        <w:t xml:space="preserve">telecommunications </w:t>
      </w:r>
      <w:r w:rsidR="00C1456C">
        <w:t xml:space="preserve">sector </w:t>
      </w:r>
      <w:r w:rsidR="00B20674">
        <w:t>(WorldCom in 2002</w:t>
      </w:r>
      <w:r w:rsidR="00A855F3">
        <w:t>)</w:t>
      </w:r>
      <w:r w:rsidR="00C1456C">
        <w:t>.</w:t>
      </w:r>
      <w:r w:rsidR="00A855F3">
        <w:t xml:space="preserve"> </w:t>
      </w:r>
      <w:r w:rsidR="001C6F43">
        <w:t xml:space="preserve">Bankruptcy protection has been criticized as it facilitates reorganization of potentially inefficient firms (Hotchkiss, 1995), and that this reorganization may result with chronic inefficiencies (Jensen, 1991), which can lead to recurring filings for bankruptcy protection, as is the case with the US airline industry—this </w:t>
      </w:r>
      <w:r w:rsidR="00D66D16">
        <w:t xml:space="preserve">process has been employed by all major US </w:t>
      </w:r>
      <w:r w:rsidR="004D2414">
        <w:t xml:space="preserve">network </w:t>
      </w:r>
      <w:r w:rsidR="00D66D16">
        <w:t xml:space="preserve">carriers in the past. </w:t>
      </w:r>
    </w:p>
    <w:p w14:paraId="768C3B5A" w14:textId="033148CA" w:rsidR="00F67785" w:rsidRDefault="00D66D16" w:rsidP="00566DE0">
      <w:pPr>
        <w:pStyle w:val="FlietextAbstanddavor"/>
        <w:spacing w:before="0" w:line="360" w:lineRule="auto"/>
        <w:ind w:firstLine="288"/>
      </w:pPr>
      <w:r>
        <w:t xml:space="preserve">The prevalence of Chapter 11 and the access to this process has raised concerns that </w:t>
      </w:r>
      <w:r w:rsidR="005B7692" w:rsidRPr="005B7692">
        <w:t>Chapter 11</w:t>
      </w:r>
      <w:r>
        <w:t xml:space="preserve"> can be perceived as a form of a s</w:t>
      </w:r>
      <w:r w:rsidRPr="00F4110F">
        <w:t>ubsid</w:t>
      </w:r>
      <w:r>
        <w:t xml:space="preserve">y which </w:t>
      </w:r>
      <w:r w:rsidR="005F2318">
        <w:t>ultimately</w:t>
      </w:r>
      <w:r>
        <w:t xml:space="preserve"> distorts </w:t>
      </w:r>
      <w:r w:rsidR="00BC3FE9">
        <w:t>t</w:t>
      </w:r>
      <w:r w:rsidR="005939C8" w:rsidRPr="00F4110F">
        <w:t xml:space="preserve">he </w:t>
      </w:r>
      <w:r w:rsidR="005939C8" w:rsidRPr="00734936">
        <w:rPr>
          <w:rStyle w:val="SubtleReference"/>
          <w:i w:val="0"/>
          <w:iCs/>
        </w:rPr>
        <w:t>level playing field</w:t>
      </w:r>
      <w:r w:rsidR="005939C8" w:rsidRPr="00F4110F">
        <w:rPr>
          <w:i/>
        </w:rPr>
        <w:t xml:space="preserve"> </w:t>
      </w:r>
      <w:r w:rsidR="005939C8" w:rsidRPr="00F4110F">
        <w:t xml:space="preserve">in </w:t>
      </w:r>
      <w:r w:rsidR="001C6F43">
        <w:t>international markets. This concern has been clearly voiced by the European Union</w:t>
      </w:r>
      <w:r w:rsidR="00F67785" w:rsidRPr="00F67785">
        <w:t xml:space="preserve"> </w:t>
      </w:r>
      <w:r w:rsidR="00F67785">
        <w:t>in December 2011</w:t>
      </w:r>
      <w:r w:rsidR="001C6F43">
        <w:t xml:space="preserve">, </w:t>
      </w:r>
      <w:r w:rsidR="00F67785">
        <w:t xml:space="preserve">when its </w:t>
      </w:r>
      <w:r w:rsidR="001C6F43">
        <w:t xml:space="preserve">delegation </w:t>
      </w:r>
      <w:r w:rsidR="00E2606C">
        <w:t>to</w:t>
      </w:r>
      <w:r w:rsidR="0067682D">
        <w:t xml:space="preserve"> the US-EU Joint Committee</w:t>
      </w:r>
      <w:r w:rsidR="00E2606C">
        <w:t>—a consensus body that oversees the implementation of the EU-US open skies agreement—</w:t>
      </w:r>
      <w:r w:rsidR="00B537F1">
        <w:t>expressed</w:t>
      </w:r>
      <w:r w:rsidR="00F800BB" w:rsidRPr="00F4110F">
        <w:t xml:space="preserve"> </w:t>
      </w:r>
      <w:r w:rsidR="0067682D">
        <w:t>its</w:t>
      </w:r>
      <w:r w:rsidR="00AC75AE">
        <w:t xml:space="preserve"> concerns</w:t>
      </w:r>
      <w:r w:rsidR="0067682D">
        <w:t xml:space="preserve"> </w:t>
      </w:r>
      <w:r w:rsidR="00AC75AE">
        <w:t xml:space="preserve">about </w:t>
      </w:r>
      <w:r w:rsidR="00D0627D">
        <w:t xml:space="preserve">the </w:t>
      </w:r>
      <w:r w:rsidR="00AC75AE">
        <w:t>competition distorting effects of</w:t>
      </w:r>
      <w:r w:rsidR="00F800BB" w:rsidRPr="00F4110F">
        <w:t xml:space="preserve"> </w:t>
      </w:r>
      <w:r w:rsidR="005B7692" w:rsidRPr="005B7692">
        <w:t>Chapter 11</w:t>
      </w:r>
      <w:r w:rsidR="00F800BB">
        <w:t xml:space="preserve"> </w:t>
      </w:r>
      <w:proofErr w:type="gramStart"/>
      <w:r w:rsidR="00AC75AE">
        <w:t>in regard to</w:t>
      </w:r>
      <w:proofErr w:type="gramEnd"/>
      <w:r w:rsidR="00AC75AE">
        <w:t xml:space="preserve"> flights under the EU-US open skies agreement</w:t>
      </w:r>
      <w:r w:rsidR="00E2606C">
        <w:t xml:space="preserve">. Specifically, </w:t>
      </w:r>
      <w:r w:rsidR="00AC75AE">
        <w:t>the</w:t>
      </w:r>
      <w:r w:rsidR="00EC1FE3">
        <w:t xml:space="preserve">y asked whether </w:t>
      </w:r>
      <w:r w:rsidR="005B7692" w:rsidRPr="005B7692">
        <w:t>Chapter 11</w:t>
      </w:r>
      <w:r w:rsidR="00F800BB">
        <w:t xml:space="preserve"> </w:t>
      </w:r>
      <w:r w:rsidR="00104A64" w:rsidRPr="00E4091B">
        <w:t>ha</w:t>
      </w:r>
      <w:r w:rsidR="00EC1FE3">
        <w:t>d</w:t>
      </w:r>
      <w:r w:rsidR="00104A64" w:rsidRPr="00E4091B">
        <w:t xml:space="preserve"> an influence on </w:t>
      </w:r>
      <w:r w:rsidR="00104A64">
        <w:t>airline pricing strategies</w:t>
      </w:r>
      <w:r w:rsidR="00104A64" w:rsidRPr="00E4091B">
        <w:t xml:space="preserve"> </w:t>
      </w:r>
      <w:r w:rsidR="004B7748">
        <w:t xml:space="preserve">and competition </w:t>
      </w:r>
      <w:r w:rsidR="00104A64" w:rsidRPr="00E4091B">
        <w:t>in international</w:t>
      </w:r>
      <w:r w:rsidR="00104A64">
        <w:t xml:space="preserve"> markets</w:t>
      </w:r>
      <w:r w:rsidR="0058408B">
        <w:t xml:space="preserve"> (</w:t>
      </w:r>
      <w:r w:rsidR="005A60C0" w:rsidRPr="005A60C0">
        <w:t>European Commission and United States DOT,</w:t>
      </w:r>
      <w:r w:rsidR="005A60C0">
        <w:rPr>
          <w:noProof/>
          <w:lang w:val="en-CA"/>
        </w:rPr>
        <w:t xml:space="preserve"> 2010</w:t>
      </w:r>
      <w:r w:rsidR="0058408B">
        <w:t>)</w:t>
      </w:r>
      <w:r w:rsidR="004C6FDB">
        <w:t>.</w:t>
      </w:r>
      <w:r w:rsidR="0058408B">
        <w:rPr>
          <w:rStyle w:val="FootnoteReference"/>
        </w:rPr>
        <w:footnoteReference w:id="1"/>
      </w:r>
      <w:r w:rsidR="005F2318">
        <w:t xml:space="preserve"> </w:t>
      </w:r>
      <w:r w:rsidR="0045392C">
        <w:t xml:space="preserve">Similar, in the debate on </w:t>
      </w:r>
      <w:r w:rsidR="00D55637">
        <w:t xml:space="preserve">the </w:t>
      </w:r>
      <w:r w:rsidR="00EF2ECA">
        <w:t>“</w:t>
      </w:r>
      <w:r w:rsidR="0045392C">
        <w:t>level play</w:t>
      </w:r>
      <w:r w:rsidR="00D55637">
        <w:t xml:space="preserve">ing </w:t>
      </w:r>
      <w:r w:rsidR="0045392C">
        <w:t>field</w:t>
      </w:r>
      <w:r w:rsidR="00EF2ECA">
        <w:t>”</w:t>
      </w:r>
      <w:r w:rsidR="00D55637">
        <w:t>,</w:t>
      </w:r>
      <w:r w:rsidR="0045392C">
        <w:t xml:space="preserve"> Emirates responded to the accusations of </w:t>
      </w:r>
      <w:r w:rsidR="0045392C" w:rsidRPr="0045392C">
        <w:t>Delta Air Lines, United Airlines, and American Airlines</w:t>
      </w:r>
      <w:r w:rsidR="00767B51">
        <w:t xml:space="preserve"> </w:t>
      </w:r>
      <w:r w:rsidR="00D55637">
        <w:t xml:space="preserve">by claiming that the US carriers were </w:t>
      </w:r>
      <w:r w:rsidR="000820FB">
        <w:t>subsidised</w:t>
      </w:r>
      <w:r w:rsidR="00D55637">
        <w:t xml:space="preserve"> via the operation of </w:t>
      </w:r>
      <w:r w:rsidR="00310BC0">
        <w:t>Chapter 11</w:t>
      </w:r>
      <w:r w:rsidR="00D55637">
        <w:t xml:space="preserve"> (Emirates, 2015).</w:t>
      </w:r>
      <w:r w:rsidR="000820FB">
        <w:t xml:space="preserve"> </w:t>
      </w:r>
      <w:bookmarkStart w:id="9" w:name="_Hlk529864071"/>
      <w:r w:rsidR="000820FB">
        <w:t xml:space="preserve">The present paper </w:t>
      </w:r>
      <w:r w:rsidR="00EF68C2">
        <w:t xml:space="preserve">focuses on the pricing behaviour of bankrupt carriers protected under </w:t>
      </w:r>
      <w:r w:rsidR="00310BC0">
        <w:t>Chapter 11</w:t>
      </w:r>
      <w:r w:rsidR="000820FB">
        <w:t xml:space="preserve"> </w:t>
      </w:r>
      <w:r w:rsidR="00EF68C2">
        <w:t>and their competitors</w:t>
      </w:r>
      <w:bookmarkEnd w:id="9"/>
      <w:r w:rsidR="00310BC0">
        <w:t>. T</w:t>
      </w:r>
      <w:r w:rsidR="000820FB">
        <w:t xml:space="preserve">he broader question if whether </w:t>
      </w:r>
      <w:r w:rsidR="00310BC0">
        <w:t>Chapter 11</w:t>
      </w:r>
      <w:r w:rsidR="000820FB">
        <w:t xml:space="preserve"> does involve a subsidy, and if so, does it distort competition, is a matter for further research</w:t>
      </w:r>
      <w:r w:rsidR="00AF1A90">
        <w:t xml:space="preserve"> (see Bock et al</w:t>
      </w:r>
      <w:r w:rsidR="000262FD">
        <w:t>.</w:t>
      </w:r>
      <w:r w:rsidR="00AF1A90">
        <w:t>, 201</w:t>
      </w:r>
      <w:r w:rsidR="00727107">
        <w:t>8</w:t>
      </w:r>
      <w:r w:rsidR="00AF1A90">
        <w:t>).</w:t>
      </w:r>
    </w:p>
    <w:p w14:paraId="70CB98DF" w14:textId="06E346F2" w:rsidR="005939C8" w:rsidRDefault="00F67785" w:rsidP="00566DE0">
      <w:pPr>
        <w:pStyle w:val="FlietextAbstanddavor"/>
        <w:spacing w:before="0" w:line="360" w:lineRule="auto"/>
        <w:ind w:firstLine="288"/>
      </w:pPr>
      <w:r>
        <w:t>While existing literature considers markets where all firms are subject to the same legal framework</w:t>
      </w:r>
      <w:r w:rsidR="001336E2">
        <w:t xml:space="preserve"> </w:t>
      </w:r>
      <w:r>
        <w:t xml:space="preserve">namely, they all have access to the bankruptcy protection process—quite </w:t>
      </w:r>
      <w:r>
        <w:lastRenderedPageBreak/>
        <w:t xml:space="preserve">surprisingly, </w:t>
      </w:r>
      <w:r w:rsidR="000820FB">
        <w:t>little</w:t>
      </w:r>
      <w:r w:rsidR="009A4B45">
        <w:t xml:space="preserve"> </w:t>
      </w:r>
      <w:r>
        <w:t xml:space="preserve">is known about the effect in international markets where firms might have varying degrees of access to bankruptcy protection. </w:t>
      </w:r>
      <w:r w:rsidR="005F2318">
        <w:t xml:space="preserve">Hence, it is </w:t>
      </w:r>
      <w:r w:rsidR="00AF1A90">
        <w:t>instructive</w:t>
      </w:r>
      <w:r w:rsidR="000950ED">
        <w:t xml:space="preserve"> </w:t>
      </w:r>
      <w:r w:rsidR="005F2318">
        <w:t xml:space="preserve">to understand whether bankruptcy protection results with a pricing behaviour in international markets that is different than </w:t>
      </w:r>
      <w:r w:rsidR="008C0AF4">
        <w:t>the outcomes that have been observed</w:t>
      </w:r>
      <w:r w:rsidR="005F2318">
        <w:t xml:space="preserve"> in </w:t>
      </w:r>
      <w:r w:rsidR="0014698A">
        <w:t xml:space="preserve">US </w:t>
      </w:r>
      <w:r w:rsidR="005F2318">
        <w:t xml:space="preserve">domestic markets, as in the latter all competing </w:t>
      </w:r>
      <w:r w:rsidR="0014698A">
        <w:t xml:space="preserve">firms </w:t>
      </w:r>
      <w:r w:rsidR="005F2318">
        <w:t xml:space="preserve">have access to </w:t>
      </w:r>
      <w:r w:rsidR="0014698A">
        <w:t xml:space="preserve">the rather lenient process of </w:t>
      </w:r>
      <w:r w:rsidR="005F2318">
        <w:t>Chapter 11</w:t>
      </w:r>
      <w:r w:rsidR="008C0AF4">
        <w:t>,</w:t>
      </w:r>
      <w:r w:rsidR="005F2318">
        <w:t xml:space="preserve"> whereas in the former only US </w:t>
      </w:r>
      <w:r w:rsidR="0014698A">
        <w:t xml:space="preserve">firms </w:t>
      </w:r>
      <w:r w:rsidR="005F2318">
        <w:t xml:space="preserve">can </w:t>
      </w:r>
      <w:r w:rsidR="008C0AF4">
        <w:t>take advantage of</w:t>
      </w:r>
      <w:r w:rsidR="005F2318">
        <w:t xml:space="preserve"> this option. </w:t>
      </w:r>
    </w:p>
    <w:p w14:paraId="775C9D16" w14:textId="33957249" w:rsidR="00924F5C" w:rsidRDefault="00BC3FE9" w:rsidP="00566DE0">
      <w:pPr>
        <w:pStyle w:val="FlietextFolge"/>
        <w:spacing w:line="360" w:lineRule="auto"/>
        <w:ind w:firstLine="288"/>
      </w:pPr>
      <w:r>
        <w:t>Existing studies (</w:t>
      </w:r>
      <w:proofErr w:type="spellStart"/>
      <w:r w:rsidR="00B75EFF" w:rsidRPr="00B75EFF">
        <w:rPr>
          <w:noProof/>
        </w:rPr>
        <w:t>Borenstein</w:t>
      </w:r>
      <w:proofErr w:type="spellEnd"/>
      <w:r w:rsidR="00B75EFF" w:rsidRPr="00B75EFF">
        <w:rPr>
          <w:noProof/>
        </w:rPr>
        <w:t xml:space="preserve"> </w:t>
      </w:r>
      <w:r w:rsidR="00B75EFF">
        <w:rPr>
          <w:noProof/>
          <w:lang w:val="en-CA"/>
        </w:rPr>
        <w:t>and</w:t>
      </w:r>
      <w:r w:rsidR="00B75EFF" w:rsidRPr="00B75EFF">
        <w:rPr>
          <w:noProof/>
        </w:rPr>
        <w:t xml:space="preserve"> Rose, 1995</w:t>
      </w:r>
      <w:r w:rsidR="00B75EFF">
        <w:rPr>
          <w:noProof/>
          <w:lang w:val="en-CA"/>
        </w:rPr>
        <w:t xml:space="preserve">; </w:t>
      </w:r>
      <w:proofErr w:type="spellStart"/>
      <w:r w:rsidR="00B75EFF">
        <w:t>Barla</w:t>
      </w:r>
      <w:proofErr w:type="spellEnd"/>
      <w:r w:rsidR="00B75EFF">
        <w:t xml:space="preserve"> and </w:t>
      </w:r>
      <w:r w:rsidR="00B75EFF" w:rsidRPr="00F4110F">
        <w:t>Koo</w:t>
      </w:r>
      <w:r w:rsidR="00B75EFF">
        <w:t xml:space="preserve">, 1999; </w:t>
      </w:r>
      <w:proofErr w:type="spellStart"/>
      <w:r w:rsidRPr="00F4110F">
        <w:t>Ciliberto</w:t>
      </w:r>
      <w:proofErr w:type="spellEnd"/>
      <w:r w:rsidRPr="00F4110F">
        <w:t xml:space="preserve"> </w:t>
      </w:r>
      <w:r w:rsidR="00B75EFF">
        <w:t>and</w:t>
      </w:r>
      <w:r w:rsidRPr="00F4110F">
        <w:t xml:space="preserve"> </w:t>
      </w:r>
      <w:proofErr w:type="spellStart"/>
      <w:r w:rsidRPr="00F4110F">
        <w:t>Schenone</w:t>
      </w:r>
      <w:proofErr w:type="spellEnd"/>
      <w:r w:rsidR="00B75EFF">
        <w:t>, 2012a</w:t>
      </w:r>
      <w:r>
        <w:t>)</w:t>
      </w:r>
      <w:r w:rsidR="00DF42F0">
        <w:t xml:space="preserve"> </w:t>
      </w:r>
      <w:r w:rsidR="005F2318">
        <w:t xml:space="preserve">reveal </w:t>
      </w:r>
      <w:r w:rsidR="00F3564F">
        <w:t xml:space="preserve">that </w:t>
      </w:r>
      <w:r w:rsidR="005F2318">
        <w:t xml:space="preserve">carriers </w:t>
      </w:r>
      <w:r w:rsidR="00F3564F">
        <w:t xml:space="preserve">decrease their prices </w:t>
      </w:r>
      <w:r w:rsidR="00CD2FBB">
        <w:t xml:space="preserve">by about 2%-3% </w:t>
      </w:r>
      <w:r w:rsidR="00F3564F">
        <w:t xml:space="preserve">upon entering bankruptcy protection. The reactions by the competing carriers are less clear. According to </w:t>
      </w:r>
      <w:r w:rsidR="00F3564F" w:rsidRPr="00407018">
        <w:rPr>
          <w:noProof/>
          <w:lang w:val="en-CA"/>
        </w:rPr>
        <w:t xml:space="preserve">Borenstein </w:t>
      </w:r>
      <w:r w:rsidR="00F3564F">
        <w:rPr>
          <w:noProof/>
          <w:lang w:val="en-CA"/>
        </w:rPr>
        <w:t>and Rose (</w:t>
      </w:r>
      <w:r w:rsidR="00F3564F" w:rsidRPr="00407018">
        <w:rPr>
          <w:noProof/>
          <w:lang w:val="en-CA"/>
        </w:rPr>
        <w:t>1995</w:t>
      </w:r>
      <w:r w:rsidR="00F3564F">
        <w:rPr>
          <w:noProof/>
          <w:lang w:val="en-CA"/>
        </w:rPr>
        <w:t>)</w:t>
      </w:r>
      <w:r w:rsidR="00CD2FBB">
        <w:rPr>
          <w:noProof/>
          <w:lang w:val="en-CA"/>
        </w:rPr>
        <w:t>,</w:t>
      </w:r>
      <w:r w:rsidR="00F3564F">
        <w:rPr>
          <w:noProof/>
          <w:lang w:val="en-CA"/>
        </w:rPr>
        <w:t xml:space="preserve"> competing carriers first respond by dropping their fa</w:t>
      </w:r>
      <w:r w:rsidR="00715787">
        <w:rPr>
          <w:noProof/>
          <w:lang w:val="en-CA"/>
        </w:rPr>
        <w:t>res by 2%, but this is offset</w:t>
      </w:r>
      <w:r w:rsidR="00F3564F">
        <w:rPr>
          <w:noProof/>
          <w:lang w:val="en-CA"/>
        </w:rPr>
        <w:t xml:space="preserve"> over time as their fare</w:t>
      </w:r>
      <w:r w:rsidR="000820FB">
        <w:rPr>
          <w:noProof/>
          <w:lang w:val="en-CA"/>
        </w:rPr>
        <w:t>s</w:t>
      </w:r>
      <w:r w:rsidR="00F3564F">
        <w:rPr>
          <w:noProof/>
          <w:lang w:val="en-CA"/>
        </w:rPr>
        <w:t xml:space="preserve"> ultimately incr</w:t>
      </w:r>
      <w:r w:rsidR="000820FB">
        <w:rPr>
          <w:noProof/>
          <w:lang w:val="en-CA"/>
        </w:rPr>
        <w:t>e</w:t>
      </w:r>
      <w:r w:rsidR="00F3564F">
        <w:rPr>
          <w:noProof/>
          <w:lang w:val="en-CA"/>
        </w:rPr>
        <w:t xml:space="preserve">ase by 1% above the pre-bankruptcy level. </w:t>
      </w:r>
      <w:proofErr w:type="spellStart"/>
      <w:r w:rsidR="00F3564F" w:rsidRPr="00F4110F">
        <w:t>Barla</w:t>
      </w:r>
      <w:proofErr w:type="spellEnd"/>
      <w:r w:rsidR="00F3564F" w:rsidRPr="00F4110F">
        <w:t xml:space="preserve"> </w:t>
      </w:r>
      <w:r w:rsidR="00F3564F">
        <w:t>and</w:t>
      </w:r>
      <w:r w:rsidR="00F3564F" w:rsidRPr="00F4110F">
        <w:t xml:space="preserve"> Koo</w:t>
      </w:r>
      <w:r w:rsidR="004C6FDB">
        <w:t xml:space="preserve"> (1999) fi</w:t>
      </w:r>
      <w:r w:rsidR="00F3564F">
        <w:rPr>
          <w:noProof/>
        </w:rPr>
        <w:t xml:space="preserve">nd that competing carriers drop prices by about 4%, </w:t>
      </w:r>
      <w:r w:rsidR="00CD2FBB">
        <w:rPr>
          <w:noProof/>
        </w:rPr>
        <w:t>whereas</w:t>
      </w:r>
      <w:r w:rsidR="00F3564F">
        <w:rPr>
          <w:noProof/>
        </w:rPr>
        <w:t xml:space="preserve"> </w:t>
      </w:r>
      <w:proofErr w:type="spellStart"/>
      <w:r w:rsidR="00F3564F" w:rsidRPr="00F4110F">
        <w:t>Ciliberto</w:t>
      </w:r>
      <w:proofErr w:type="spellEnd"/>
      <w:r w:rsidR="00F3564F" w:rsidRPr="00F4110F">
        <w:t xml:space="preserve"> </w:t>
      </w:r>
      <w:r w:rsidR="00F3564F">
        <w:t>and</w:t>
      </w:r>
      <w:r w:rsidR="00F3564F" w:rsidRPr="00F4110F">
        <w:t xml:space="preserve"> </w:t>
      </w:r>
      <w:proofErr w:type="spellStart"/>
      <w:r w:rsidR="00F3564F" w:rsidRPr="00F4110F">
        <w:t>Schenone</w:t>
      </w:r>
      <w:proofErr w:type="spellEnd"/>
      <w:r w:rsidR="004C6FDB">
        <w:t xml:space="preserve"> (2012a)</w:t>
      </w:r>
      <w:r w:rsidR="00F3564F">
        <w:t xml:space="preserve"> do not find any evidence for a fare response by competitors. </w:t>
      </w:r>
      <w:r w:rsidR="00924F5C">
        <w:t xml:space="preserve">It shall be noted that the aggressive pricing may start even before the firm enters bankruptcy protection. </w:t>
      </w:r>
      <w:r w:rsidR="00924F5C" w:rsidRPr="00C1436F">
        <w:t>Phillips</w:t>
      </w:r>
      <w:r w:rsidR="00924F5C">
        <w:t xml:space="preserve"> and </w:t>
      </w:r>
      <w:proofErr w:type="spellStart"/>
      <w:r w:rsidR="00924F5C">
        <w:t>Sertsios</w:t>
      </w:r>
      <w:proofErr w:type="spellEnd"/>
      <w:r w:rsidR="00924F5C">
        <w:t xml:space="preserve"> (</w:t>
      </w:r>
      <w:r w:rsidR="00924F5C" w:rsidRPr="00C1436F">
        <w:t>2013</w:t>
      </w:r>
      <w:r w:rsidR="00924F5C">
        <w:t>) show that firms’ decisions under financial distress might differ than those under bankruptcy. Accordingly, firms might start their aggressive pricing already under financial distress in order to gain market share, although this may spark a price war in the future.</w:t>
      </w:r>
      <w:r w:rsidR="00924F5C" w:rsidRPr="00924F5C">
        <w:t xml:space="preserve"> </w:t>
      </w:r>
      <w:r w:rsidR="00924F5C">
        <w:t>The impact of bankruptcy protection lingers also in the post-bankruptcy period. Zhang (2010) find</w:t>
      </w:r>
      <w:r w:rsidR="00BB2829">
        <w:t>s</w:t>
      </w:r>
      <w:r w:rsidR="00924F5C">
        <w:t xml:space="preserve"> that when firms emerge from bankruptcy protection, this had a negative impact on their competitors, who then suffer from worsening financial performance and exhibit negative </w:t>
      </w:r>
      <w:r w:rsidR="00924F5C" w:rsidRPr="004D00D2">
        <w:t>post</w:t>
      </w:r>
      <w:r w:rsidR="00924F5C">
        <w:t>-</w:t>
      </w:r>
      <w:r w:rsidR="00924F5C" w:rsidRPr="004D00D2">
        <w:t>emergence long-term equity returns</w:t>
      </w:r>
      <w:r w:rsidR="00924F5C">
        <w:t>. Hence, there is ample evidence that the bankruptcy pr</w:t>
      </w:r>
      <w:r w:rsidR="00337053">
        <w:t xml:space="preserve">otection process influences the entire industry during bankruptcy protection as well as once the bankrupt firm emerges from protection. </w:t>
      </w:r>
    </w:p>
    <w:p w14:paraId="2699EE9C" w14:textId="55B21E76" w:rsidR="004357A8" w:rsidRDefault="00E1313C" w:rsidP="00566DE0">
      <w:pPr>
        <w:pStyle w:val="FlietextFolge"/>
        <w:spacing w:line="360" w:lineRule="auto"/>
        <w:ind w:firstLine="288"/>
      </w:pPr>
      <w:r>
        <w:t xml:space="preserve">Since all earlier contributions that study the effect </w:t>
      </w:r>
      <w:r w:rsidR="005B7692" w:rsidRPr="005B7692">
        <w:t>Chapter 11</w:t>
      </w:r>
      <w:r w:rsidR="00DF42F0">
        <w:t xml:space="preserve"> </w:t>
      </w:r>
      <w:r>
        <w:t xml:space="preserve">on pricing </w:t>
      </w:r>
      <w:r w:rsidR="00F3564F">
        <w:t xml:space="preserve">are </w:t>
      </w:r>
      <w:r>
        <w:t xml:space="preserve">carried out </w:t>
      </w:r>
      <w:r w:rsidR="00F3564F">
        <w:t xml:space="preserve">in the context of </w:t>
      </w:r>
      <w:r w:rsidR="00DF42F0">
        <w:t>US domestic markets only</w:t>
      </w:r>
      <w:r>
        <w:t xml:space="preserve">, the insights and conclusions cannot be immediately applied to </w:t>
      </w:r>
      <w:r w:rsidR="00B327D9">
        <w:t>international markets</w:t>
      </w:r>
      <w:r>
        <w:t>. As stated above, i</w:t>
      </w:r>
      <w:r w:rsidR="00B327D9">
        <w:t>nternational markets differ from domestic markets in several different dimensions</w:t>
      </w:r>
      <w:r>
        <w:t xml:space="preserve"> (</w:t>
      </w:r>
      <w:r w:rsidR="00D37C9B">
        <w:t>e.g.</w:t>
      </w:r>
      <w:r w:rsidR="00C65C43">
        <w:t>,</w:t>
      </w:r>
      <w:r w:rsidR="00D37C9B">
        <w:t xml:space="preserve"> </w:t>
      </w:r>
      <w:proofErr w:type="gramStart"/>
      <w:r w:rsidR="00C70476">
        <w:t>in regard to</w:t>
      </w:r>
      <w:proofErr w:type="gramEnd"/>
      <w:r w:rsidR="00C70476">
        <w:t xml:space="preserve"> access to Ch</w:t>
      </w:r>
      <w:r w:rsidR="00D6305D">
        <w:t>apter 11,</w:t>
      </w:r>
      <w:r w:rsidR="00D37C9B">
        <w:t xml:space="preserve"> the</w:t>
      </w:r>
      <w:r w:rsidR="00C70476">
        <w:t xml:space="preserve"> regulatory</w:t>
      </w:r>
      <w:r w:rsidR="00D6305D">
        <w:t xml:space="preserve"> </w:t>
      </w:r>
      <w:r w:rsidR="00C70476">
        <w:t>framework</w:t>
      </w:r>
      <w:r w:rsidR="00D6305D">
        <w:t xml:space="preserve"> </w:t>
      </w:r>
      <w:r w:rsidR="00C70476">
        <w:t xml:space="preserve">and </w:t>
      </w:r>
      <w:r w:rsidR="00D37C9B">
        <w:t xml:space="preserve">the </w:t>
      </w:r>
      <w:r w:rsidR="00C70476">
        <w:t>competitive situation</w:t>
      </w:r>
      <w:r>
        <w:t>)</w:t>
      </w:r>
      <w:r w:rsidR="00B327D9">
        <w:t xml:space="preserve">. </w:t>
      </w:r>
      <w:r w:rsidR="00C65C43">
        <w:t>Accordingly</w:t>
      </w:r>
      <w:r w:rsidR="00F3564F">
        <w:t>, t</w:t>
      </w:r>
      <w:r w:rsidR="001B15B1">
        <w:t xml:space="preserve">his work </w:t>
      </w:r>
      <w:r w:rsidR="00F3564F">
        <w:t>extend</w:t>
      </w:r>
      <w:r w:rsidR="00B75EFF">
        <w:t>s</w:t>
      </w:r>
      <w:r w:rsidR="00F3564F">
        <w:t xml:space="preserve"> the scope </w:t>
      </w:r>
      <w:r w:rsidR="001B15B1">
        <w:t xml:space="preserve">to analyse the influence of </w:t>
      </w:r>
      <w:r w:rsidR="005B7692" w:rsidRPr="005B7692">
        <w:t>Chapter 11</w:t>
      </w:r>
      <w:r w:rsidR="001B15B1">
        <w:t xml:space="preserve"> on prices in the E</w:t>
      </w:r>
      <w:r>
        <w:t>uropean</w:t>
      </w:r>
      <w:r w:rsidR="001B15B1">
        <w:t xml:space="preserve">-US </w:t>
      </w:r>
      <w:r w:rsidR="00E2226F">
        <w:t xml:space="preserve">aviation </w:t>
      </w:r>
      <w:r w:rsidR="001B15B1">
        <w:t>market</w:t>
      </w:r>
      <w:r w:rsidR="00F3564F">
        <w:t xml:space="preserve">s as well, thereby revealing potential </w:t>
      </w:r>
      <w:r w:rsidR="00D0549C">
        <w:t>differences</w:t>
      </w:r>
      <w:r w:rsidR="00F3564F">
        <w:t xml:space="preserve"> in pricing between these two market types: </w:t>
      </w:r>
      <w:r w:rsidR="00835968">
        <w:t xml:space="preserve">US domestic </w:t>
      </w:r>
      <w:r w:rsidR="00E2226F">
        <w:t xml:space="preserve">flights </w:t>
      </w:r>
      <w:r w:rsidR="00F3564F">
        <w:t>vs transatlantic</w:t>
      </w:r>
      <w:r w:rsidR="00E2226F">
        <w:t xml:space="preserve"> flights</w:t>
      </w:r>
      <w:r w:rsidR="001B15B1">
        <w:t>.</w:t>
      </w:r>
    </w:p>
    <w:p w14:paraId="0152F85D" w14:textId="4BB47373" w:rsidR="00412925" w:rsidRDefault="00213DE9" w:rsidP="00566DE0">
      <w:pPr>
        <w:pStyle w:val="FlietextFolge"/>
        <w:spacing w:line="360" w:lineRule="auto"/>
        <w:ind w:firstLine="288"/>
      </w:pPr>
      <w:r>
        <w:lastRenderedPageBreak/>
        <w:t>To carry out the empirical analysis, w</w:t>
      </w:r>
      <w:r w:rsidR="00225D72">
        <w:t>e use monthly</w:t>
      </w:r>
      <w:r w:rsidR="00225D72" w:rsidRPr="00225D72">
        <w:t xml:space="preserve"> </w:t>
      </w:r>
      <w:r>
        <w:t>airfare data obtained from a g</w:t>
      </w:r>
      <w:r w:rsidR="00C65C43" w:rsidRPr="00C71958">
        <w:t xml:space="preserve">lobal </w:t>
      </w:r>
      <w:r>
        <w:t>d</w:t>
      </w:r>
      <w:r w:rsidR="00C65C43" w:rsidRPr="00C71958">
        <w:t xml:space="preserve">istribution </w:t>
      </w:r>
      <w:r>
        <w:t>s</w:t>
      </w:r>
      <w:r w:rsidR="00C65C43" w:rsidRPr="00C71958">
        <w:t xml:space="preserve">ystem </w:t>
      </w:r>
      <w:r>
        <w:t>covering US domestic flights and European-US flights between 20</w:t>
      </w:r>
      <w:r w:rsidR="005F6015">
        <w:t>09</w:t>
      </w:r>
      <w:r>
        <w:t xml:space="preserve"> and 2015. </w:t>
      </w:r>
      <w:r w:rsidR="004A3A4D">
        <w:t>Our</w:t>
      </w:r>
      <w:r w:rsidR="00225D72" w:rsidRPr="00225D72">
        <w:t xml:space="preserve"> econometric approach is </w:t>
      </w:r>
      <w:proofErr w:type="gramStart"/>
      <w:r w:rsidR="00225D72" w:rsidRPr="00225D72">
        <w:t>similar to</w:t>
      </w:r>
      <w:proofErr w:type="gramEnd"/>
      <w:r w:rsidR="00225D72" w:rsidRPr="00225D72">
        <w:t xml:space="preserve"> </w:t>
      </w:r>
      <w:r w:rsidR="00C65C43">
        <w:t xml:space="preserve">that of </w:t>
      </w:r>
      <w:proofErr w:type="spellStart"/>
      <w:r w:rsidR="00225D72" w:rsidRPr="00225D72">
        <w:t>Barla</w:t>
      </w:r>
      <w:proofErr w:type="spellEnd"/>
      <w:r w:rsidR="00225D72" w:rsidRPr="00225D72">
        <w:t xml:space="preserve"> </w:t>
      </w:r>
      <w:r w:rsidR="004C6B26">
        <w:t>and</w:t>
      </w:r>
      <w:r w:rsidR="00225D72" w:rsidRPr="00225D72">
        <w:t xml:space="preserve"> Koo (1999) and </w:t>
      </w:r>
      <w:proofErr w:type="spellStart"/>
      <w:r w:rsidR="00225D72" w:rsidRPr="00225D72">
        <w:t>Ciliberto</w:t>
      </w:r>
      <w:proofErr w:type="spellEnd"/>
      <w:r w:rsidR="00225D72" w:rsidRPr="00225D72">
        <w:t xml:space="preserve"> </w:t>
      </w:r>
      <w:r w:rsidR="004C6B26">
        <w:t>and</w:t>
      </w:r>
      <w:r w:rsidR="00225D72" w:rsidRPr="00225D72">
        <w:t xml:space="preserve"> </w:t>
      </w:r>
      <w:proofErr w:type="spellStart"/>
      <w:r w:rsidR="00225D72" w:rsidRPr="00225D72">
        <w:t>Schenone</w:t>
      </w:r>
      <w:proofErr w:type="spellEnd"/>
      <w:r w:rsidR="00225D72" w:rsidRPr="00225D72">
        <w:t xml:space="preserve"> (2012a). A log-linear fixed-effects model is used to assess bankruptcy and post-bankruptcy effects of Chapter 11 on prices of </w:t>
      </w:r>
      <w:r w:rsidR="009830DF">
        <w:t xml:space="preserve">the </w:t>
      </w:r>
      <w:r w:rsidR="00225D72" w:rsidRPr="00225D72">
        <w:t xml:space="preserve">bankrupt carrier and </w:t>
      </w:r>
      <w:r w:rsidR="009830DF">
        <w:t xml:space="preserve">its </w:t>
      </w:r>
      <w:r w:rsidR="00225D72" w:rsidRPr="00225D72">
        <w:t xml:space="preserve">competitors. </w:t>
      </w:r>
    </w:p>
    <w:p w14:paraId="7A0BCF18" w14:textId="0BF7652E" w:rsidR="00AA352D" w:rsidRPr="001E438B" w:rsidRDefault="0002514C" w:rsidP="007C43EA">
      <w:pPr>
        <w:pStyle w:val="FlietextFolge"/>
        <w:spacing w:line="360" w:lineRule="auto"/>
        <w:ind w:firstLine="288"/>
      </w:pPr>
      <w:r w:rsidRPr="001E438B">
        <w:t>I</w:t>
      </w:r>
      <w:r w:rsidR="006B146D" w:rsidRPr="001E438B">
        <w:t>n line with earlier literature, o</w:t>
      </w:r>
      <w:r w:rsidR="00412925" w:rsidRPr="001E438B">
        <w:t xml:space="preserve">ur results indicate that in US domestic markets the bankrupt carrier decreases prices </w:t>
      </w:r>
      <w:r w:rsidR="006B146D" w:rsidRPr="001E438B">
        <w:t xml:space="preserve">during the </w:t>
      </w:r>
      <w:r w:rsidR="00412925" w:rsidRPr="001E438B">
        <w:t xml:space="preserve">bankruptcy period by about </w:t>
      </w:r>
      <w:r w:rsidR="00B61020">
        <w:t>5</w:t>
      </w:r>
      <w:r w:rsidR="00412925" w:rsidRPr="001E438B">
        <w:t>%</w:t>
      </w:r>
      <w:r w:rsidR="006B146D" w:rsidRPr="001E438B">
        <w:t xml:space="preserve"> and by </w:t>
      </w:r>
      <w:r w:rsidR="005176A9">
        <w:t>additional</w:t>
      </w:r>
      <w:r w:rsidR="005176A9" w:rsidRPr="001E438B">
        <w:t xml:space="preserve"> </w:t>
      </w:r>
      <w:r w:rsidR="005176A9">
        <w:t>2-3</w:t>
      </w:r>
      <w:r w:rsidR="00412925" w:rsidRPr="001E438B">
        <w:t xml:space="preserve">% </w:t>
      </w:r>
      <w:r w:rsidR="006B146D" w:rsidRPr="001E438B">
        <w:t>upon emerging from the bankruptcy protection</w:t>
      </w:r>
      <w:r w:rsidR="00BB2829" w:rsidRPr="001E438B">
        <w:t>,</w:t>
      </w:r>
      <w:r w:rsidR="006B146D" w:rsidRPr="001E438B">
        <w:t xml:space="preserve"> as </w:t>
      </w:r>
      <w:r w:rsidR="00412925" w:rsidRPr="001E438B">
        <w:t xml:space="preserve">compared to the pre-bankruptcy level. </w:t>
      </w:r>
      <w:r w:rsidR="006B146D" w:rsidRPr="001E438B">
        <w:t xml:space="preserve">By contrast, </w:t>
      </w:r>
      <w:r w:rsidR="00412925" w:rsidRPr="001E438B">
        <w:t>in European-US market</w:t>
      </w:r>
      <w:r w:rsidR="006B146D" w:rsidRPr="001E438B">
        <w:t>s</w:t>
      </w:r>
      <w:r w:rsidR="00412925" w:rsidRPr="001E438B">
        <w:t xml:space="preserve"> there is a </w:t>
      </w:r>
      <w:r w:rsidR="005176A9">
        <w:t xml:space="preserve">dramatic fare </w:t>
      </w:r>
      <w:r w:rsidR="00412925" w:rsidRPr="001E438B">
        <w:t xml:space="preserve">reduction </w:t>
      </w:r>
      <w:r w:rsidR="005176A9">
        <w:t xml:space="preserve">of about 50% </w:t>
      </w:r>
      <w:r w:rsidR="00412925" w:rsidRPr="001E438B">
        <w:t xml:space="preserve">by the bankrupt carrier </w:t>
      </w:r>
      <w:r w:rsidR="006B146D" w:rsidRPr="001E438B">
        <w:t xml:space="preserve">during </w:t>
      </w:r>
      <w:r w:rsidR="00412925" w:rsidRPr="001E438B">
        <w:t xml:space="preserve">the bankruptcy period, followed by a price </w:t>
      </w:r>
      <w:r w:rsidR="005176A9">
        <w:t>correction</w:t>
      </w:r>
      <w:r w:rsidR="005176A9" w:rsidRPr="001E438B">
        <w:t xml:space="preserve"> </w:t>
      </w:r>
      <w:r w:rsidR="00412925" w:rsidRPr="001E438B">
        <w:t>in the post-bankruptcy period</w:t>
      </w:r>
      <w:r w:rsidR="005176A9">
        <w:t>, completing a fare reduction of 30%</w:t>
      </w:r>
      <w:r w:rsidR="00412925" w:rsidRPr="001E438B">
        <w:t xml:space="preserve">. </w:t>
      </w:r>
      <w:r w:rsidR="00AA352D" w:rsidRPr="001E438B">
        <w:t xml:space="preserve">This is a rather surprising result, as—from </w:t>
      </w:r>
      <w:r w:rsidR="00AF1A90" w:rsidRPr="001E438B">
        <w:t xml:space="preserve">the </w:t>
      </w:r>
      <w:r w:rsidR="00AA352D" w:rsidRPr="001E438B">
        <w:t>cost argument—one would expect domestic markets to exhibit a more substantial drop than international markets. When US carriers set up operations in Europe, they are subject to local law and regulations. Hence, the cost reduction benefits that come with Chapter 11 do not fully apply to their international operations. The main intuition for this</w:t>
      </w:r>
      <w:r w:rsidR="00AC0FCC" w:rsidRPr="001E438B">
        <w:t xml:space="preserve"> result is</w:t>
      </w:r>
      <w:r w:rsidR="00AA352D" w:rsidRPr="001E438B">
        <w:t xml:space="preserve"> the risk faced by passengers</w:t>
      </w:r>
      <w:r w:rsidR="00AC0FCC" w:rsidRPr="001E438B">
        <w:t xml:space="preserve"> that drives </w:t>
      </w:r>
      <w:r w:rsidR="00687492" w:rsidRPr="001E438B">
        <w:t xml:space="preserve">fares </w:t>
      </w:r>
      <w:r w:rsidR="00AC0FCC" w:rsidRPr="001E438B">
        <w:t>lower in international markets</w:t>
      </w:r>
      <w:r w:rsidR="00AA352D" w:rsidRPr="001E438B">
        <w:t xml:space="preserve">. In </w:t>
      </w:r>
      <w:r w:rsidR="00D7216B" w:rsidRPr="001E438B">
        <w:t xml:space="preserve">domestic </w:t>
      </w:r>
      <w:r w:rsidR="00A50E1D" w:rsidRPr="001E438B">
        <w:t>markets,</w:t>
      </w:r>
      <w:r w:rsidR="00D7216B" w:rsidRPr="001E438B">
        <w:t xml:space="preserve"> passengers can easily substitute a flight from a bankrupt carrier </w:t>
      </w:r>
      <w:r w:rsidR="00687492">
        <w:t xml:space="preserve">to another rival carrier (or </w:t>
      </w:r>
      <w:r w:rsidR="00D7216B" w:rsidRPr="001E438B">
        <w:t>with other travel modes</w:t>
      </w:r>
      <w:r w:rsidR="00687492">
        <w:t>, when available)</w:t>
      </w:r>
      <w:r w:rsidR="00D7216B" w:rsidRPr="001E438B">
        <w:t xml:space="preserve">. Further, </w:t>
      </w:r>
      <w:r w:rsidR="00AC0FCC" w:rsidRPr="001E438B">
        <w:t>with the slot-constrained European airports</w:t>
      </w:r>
      <w:r w:rsidR="007C43EA" w:rsidRPr="001E438B">
        <w:t xml:space="preserve"> and due to different training procedures, longer planning</w:t>
      </w:r>
      <w:r w:rsidR="002C3CE5">
        <w:t>,</w:t>
      </w:r>
      <w:r w:rsidR="007C43EA" w:rsidRPr="001E438B">
        <w:t xml:space="preserve"> scheduling processes</w:t>
      </w:r>
      <w:r w:rsidR="002C3CE5">
        <w:t xml:space="preserve"> and generally higher load factors in intercontinental flights</w:t>
      </w:r>
      <w:r w:rsidR="00AC0FCC" w:rsidRPr="001E438B">
        <w:t xml:space="preserve">, </w:t>
      </w:r>
      <w:r w:rsidR="007C43EA" w:rsidRPr="001E438B">
        <w:t>competing carriers cannot</w:t>
      </w:r>
      <w:r w:rsidR="00AC0FCC" w:rsidRPr="001E438B">
        <w:t xml:space="preserve"> easily pick up the slack</w:t>
      </w:r>
      <w:r w:rsidR="007C43EA" w:rsidRPr="001E438B">
        <w:t xml:space="preserve"> in international markets</w:t>
      </w:r>
      <w:r w:rsidR="00AC0FCC" w:rsidRPr="001E438B">
        <w:t xml:space="preserve">. </w:t>
      </w:r>
      <w:r w:rsidR="007C43EA" w:rsidRPr="001E438B">
        <w:t xml:space="preserve">Also related is the behaviour of consumers when purchasing flights for trans-Atlantic vs domestic travel. Since travel planning and reservations in trans-Atlantic markets occur much earlier than in domestic markets, passengers demand a larger discount on the fares to compensate for the risk of flying with a carrier under bankruptcy protection. </w:t>
      </w:r>
      <w:r w:rsidR="005176A9">
        <w:t xml:space="preserve">This is an important consideration. Potentially, news </w:t>
      </w:r>
      <w:r w:rsidR="00687492">
        <w:t>relating to the carrier’s financial distress</w:t>
      </w:r>
      <w:r w:rsidR="000F3F80">
        <w:t>ed</w:t>
      </w:r>
      <w:r w:rsidR="00687492">
        <w:t xml:space="preserve"> state start emerging prior to </w:t>
      </w:r>
      <w:r w:rsidR="005176A9">
        <w:t>the bankruptcy filing itself whereby the risk associated with the financially distressed carrier increases inducing the carrier to initiate a price war (</w:t>
      </w:r>
      <w:proofErr w:type="spellStart"/>
      <w:r w:rsidR="005176A9">
        <w:t>Busse</w:t>
      </w:r>
      <w:proofErr w:type="spellEnd"/>
      <w:r w:rsidR="005176A9">
        <w:t xml:space="preserve"> 2002). Hence, this fare drop in international markets is a process that spans over several months.</w:t>
      </w:r>
      <w:r w:rsidR="005176A9">
        <w:rPr>
          <w:rStyle w:val="FootnoteReference"/>
        </w:rPr>
        <w:footnoteReference w:id="2"/>
      </w:r>
    </w:p>
    <w:p w14:paraId="7DA953B3" w14:textId="6554EF67" w:rsidR="00AC0FCC" w:rsidRDefault="00A50E1D" w:rsidP="00BC2BB5">
      <w:pPr>
        <w:pStyle w:val="FlietextFolge"/>
        <w:spacing w:line="360" w:lineRule="auto"/>
        <w:ind w:firstLine="288"/>
      </w:pPr>
      <w:r w:rsidRPr="001E438B">
        <w:lastRenderedPageBreak/>
        <w:t>Additionally</w:t>
      </w:r>
      <w:r w:rsidR="00AC0FCC" w:rsidRPr="001E438B">
        <w:t>, we find that c</w:t>
      </w:r>
      <w:r w:rsidR="00412925" w:rsidRPr="001E438B">
        <w:t xml:space="preserve">ompetitors of bankrupt carriers slightly increase </w:t>
      </w:r>
      <w:r w:rsidR="006B146D" w:rsidRPr="001E438B">
        <w:t xml:space="preserve">their </w:t>
      </w:r>
      <w:r w:rsidR="00412925" w:rsidRPr="001E438B">
        <w:t xml:space="preserve">prices by about </w:t>
      </w:r>
      <w:r w:rsidR="005176A9">
        <w:t>2</w:t>
      </w:r>
      <w:r w:rsidR="00412925" w:rsidRPr="001E438B">
        <w:t xml:space="preserve">% in US domestic markets </w:t>
      </w:r>
      <w:r w:rsidR="006B146D" w:rsidRPr="001E438B">
        <w:t xml:space="preserve">during the </w:t>
      </w:r>
      <w:r w:rsidR="00412925" w:rsidRPr="001E438B">
        <w:t xml:space="preserve">bankruptcy period </w:t>
      </w:r>
      <w:r w:rsidR="006B146D" w:rsidRPr="001E438B">
        <w:t xml:space="preserve">and </w:t>
      </w:r>
      <w:r w:rsidR="00412925" w:rsidRPr="001E438B">
        <w:t xml:space="preserve">remain stable thereafter. Interestingly, in the </w:t>
      </w:r>
      <w:r w:rsidR="006B146D" w:rsidRPr="001E438B">
        <w:t>European</w:t>
      </w:r>
      <w:r w:rsidR="00412925" w:rsidRPr="001E438B">
        <w:t>-US market</w:t>
      </w:r>
      <w:r w:rsidR="006B146D" w:rsidRPr="001E438B">
        <w:t>s,</w:t>
      </w:r>
      <w:r w:rsidR="00412925" w:rsidRPr="001E438B">
        <w:t xml:space="preserve"> competitors decrease prices </w:t>
      </w:r>
      <w:r w:rsidR="006B146D" w:rsidRPr="001E438B">
        <w:t xml:space="preserve">during </w:t>
      </w:r>
      <w:r w:rsidR="00412925" w:rsidRPr="001E438B">
        <w:t xml:space="preserve">the bankruptcy </w:t>
      </w:r>
      <w:r w:rsidR="006B146D" w:rsidRPr="001E438B">
        <w:t xml:space="preserve">protection </w:t>
      </w:r>
      <w:r w:rsidR="00412925" w:rsidRPr="001E438B">
        <w:t xml:space="preserve">period by </w:t>
      </w:r>
      <w:r w:rsidR="005176A9">
        <w:t>1</w:t>
      </w:r>
      <w:r w:rsidR="00412925" w:rsidRPr="001E438B">
        <w:t>%</w:t>
      </w:r>
      <w:r w:rsidR="00BB2829" w:rsidRPr="001E438B">
        <w:t>,</w:t>
      </w:r>
      <w:r w:rsidR="00412925" w:rsidRPr="001E438B">
        <w:t xml:space="preserve"> and by about </w:t>
      </w:r>
      <w:r w:rsidR="005176A9">
        <w:t>3</w:t>
      </w:r>
      <w:r w:rsidR="00412925" w:rsidRPr="001E438B">
        <w:t xml:space="preserve">% in the post-bankruptcy period </w:t>
      </w:r>
      <w:r w:rsidR="006B146D" w:rsidRPr="001E438B">
        <w:t xml:space="preserve">as </w:t>
      </w:r>
      <w:r w:rsidR="00412925" w:rsidRPr="001E438B">
        <w:t xml:space="preserve">compared to the pre-bankruptcy level. </w:t>
      </w:r>
      <w:r w:rsidRPr="001E438B">
        <w:t xml:space="preserve">This fare decrease in international markets suggests that competing carriers respond to the price drop of the carrier under bankruptcy protection. </w:t>
      </w:r>
    </w:p>
    <w:p w14:paraId="7EC613B3" w14:textId="6BAC8F81" w:rsidR="006B146D" w:rsidRDefault="0002514C" w:rsidP="007C43EA">
      <w:pPr>
        <w:pStyle w:val="FlietextFolge"/>
        <w:spacing w:line="360" w:lineRule="auto"/>
        <w:ind w:firstLine="288"/>
      </w:pPr>
      <w:r>
        <w:t>Overall</w:t>
      </w:r>
      <w:r w:rsidR="000262FD">
        <w:t>,</w:t>
      </w:r>
      <w:r>
        <w:t xml:space="preserve"> our </w:t>
      </w:r>
      <w:r w:rsidR="006B146D">
        <w:t xml:space="preserve">results </w:t>
      </w:r>
      <w:r>
        <w:t xml:space="preserve">are significant as they </w:t>
      </w:r>
      <w:r w:rsidR="006B146D">
        <w:t xml:space="preserve">clearly </w:t>
      </w:r>
      <w:r>
        <w:t xml:space="preserve">quantify the difference in </w:t>
      </w:r>
      <w:r w:rsidR="006B146D">
        <w:t xml:space="preserve">the dynamics </w:t>
      </w:r>
      <w:r>
        <w:t>between</w:t>
      </w:r>
      <w:r w:rsidR="006B146D">
        <w:t xml:space="preserve"> international markets </w:t>
      </w:r>
      <w:r>
        <w:t xml:space="preserve">and </w:t>
      </w:r>
      <w:r w:rsidR="006B146D">
        <w:t xml:space="preserve">domestic markets. </w:t>
      </w:r>
      <w:r w:rsidR="00E96730">
        <w:t>Namely, they show that the impact of bankruptcy protection is amplified in European-US markets</w:t>
      </w:r>
      <w:r w:rsidR="00E96730" w:rsidDel="007C43EA">
        <w:t xml:space="preserve"> </w:t>
      </w:r>
      <w:r w:rsidR="00E96730">
        <w:t>as compared with US domestic markets.</w:t>
      </w:r>
    </w:p>
    <w:p w14:paraId="53F3A897" w14:textId="074E2407" w:rsidR="00812D2D" w:rsidRDefault="000635EA" w:rsidP="00812D2D">
      <w:pPr>
        <w:pStyle w:val="FlietextFolge"/>
        <w:spacing w:line="360" w:lineRule="auto"/>
        <w:ind w:firstLine="288"/>
      </w:pPr>
      <w:r>
        <w:t>Bankruptcy protection is a process that is not limited to US domestic markets. In Japan, firms under financial stress can apply</w:t>
      </w:r>
      <w:r w:rsidR="00651903">
        <w:t xml:space="preserve"> for court protection from creditors under the Corporation Reorganization Law or under the Civil Rehabilitation Law (</w:t>
      </w:r>
      <w:r>
        <w:t>Nakata</w:t>
      </w:r>
      <w:r w:rsidR="00651903">
        <w:t>,</w:t>
      </w:r>
      <w:r>
        <w:t xml:space="preserve"> 2009)</w:t>
      </w:r>
      <w:r w:rsidR="00651903">
        <w:t xml:space="preserve">. Japan Airlines </w:t>
      </w:r>
      <w:r w:rsidR="00812D2D">
        <w:t xml:space="preserve">(JAL) </w:t>
      </w:r>
      <w:r w:rsidR="00651903">
        <w:t xml:space="preserve">has applied for protection on 19 </w:t>
      </w:r>
      <w:r w:rsidR="00812D2D">
        <w:t>January</w:t>
      </w:r>
      <w:r w:rsidR="00651903">
        <w:t xml:space="preserve"> 2010, in a process that is </w:t>
      </w:r>
      <w:proofErr w:type="gramStart"/>
      <w:r w:rsidR="00651903">
        <w:t>similar to</w:t>
      </w:r>
      <w:proofErr w:type="gramEnd"/>
      <w:r w:rsidR="00651903">
        <w:t xml:space="preserve"> that available in the US. </w:t>
      </w:r>
      <w:r w:rsidR="00812D2D">
        <w:t xml:space="preserve">JAL’s restructuring included shedding </w:t>
      </w:r>
      <w:proofErr w:type="gramStart"/>
      <w:r w:rsidR="00812D2D">
        <w:t>off of</w:t>
      </w:r>
      <w:proofErr w:type="gramEnd"/>
      <w:r w:rsidR="00812D2D">
        <w:t xml:space="preserve"> close to 16,000 positions, retiring of older and less fuel-efficient aircraft, and the elimination of JAP Cargo. These were agreed upon in exchange for </w:t>
      </w:r>
      <w:r w:rsidR="00812D2D" w:rsidRPr="005B5F05">
        <w:t>¥300 billion</w:t>
      </w:r>
      <w:r w:rsidR="00812D2D">
        <w:t xml:space="preserve"> cash injection via t</w:t>
      </w:r>
      <w:r w:rsidR="00812D2D" w:rsidRPr="005D6130">
        <w:t>he government-backed Enterprise Turnaround Initiative Corp</w:t>
      </w:r>
      <w:r w:rsidR="00812D2D">
        <w:t>oration</w:t>
      </w:r>
      <w:r w:rsidR="00812D2D" w:rsidRPr="005D6130">
        <w:t xml:space="preserve"> of Japan</w:t>
      </w:r>
      <w:r w:rsidR="00812D2D">
        <w:t xml:space="preserve">. </w:t>
      </w:r>
    </w:p>
    <w:p w14:paraId="384AE56D" w14:textId="06712A0C" w:rsidR="000635EA" w:rsidRDefault="00812D2D" w:rsidP="00566DE0">
      <w:pPr>
        <w:pStyle w:val="FlietextFolge"/>
        <w:spacing w:line="360" w:lineRule="auto"/>
        <w:ind w:firstLine="288"/>
      </w:pPr>
      <w:r>
        <w:t>Our paper also studies the implication</w:t>
      </w:r>
      <w:r w:rsidR="00EF2ECA">
        <w:t>s</w:t>
      </w:r>
      <w:r>
        <w:t xml:space="preserve"> of both AA’s and JAL’s bankruptcies in the US-Japan aviation market. The prevailing results reveal consistent qualitative insights. </w:t>
      </w:r>
      <w:r w:rsidR="003C4CD8">
        <w:t>While our data does not include fares in Japanese domestic markets, we still observe and find evidence that i</w:t>
      </w:r>
      <w:r>
        <w:t xml:space="preserve">n international markets prices drop </w:t>
      </w:r>
      <w:r w:rsidR="00D33C57">
        <w:t xml:space="preserve">significantly more than in </w:t>
      </w:r>
      <w:r w:rsidR="003C4CD8">
        <w:t xml:space="preserve">US </w:t>
      </w:r>
      <w:r w:rsidR="00D33C57">
        <w:t xml:space="preserve">domestic markets. </w:t>
      </w:r>
      <w:r w:rsidR="003C4CD8">
        <w:t xml:space="preserve">Still, the behaviour of prices in US-Japan markets differ than in US-European markets. </w:t>
      </w:r>
    </w:p>
    <w:p w14:paraId="48C36C57" w14:textId="184BA3AE" w:rsidR="000B7CD6" w:rsidRDefault="000B7CD6" w:rsidP="00566DE0">
      <w:pPr>
        <w:pStyle w:val="FlietextFolge"/>
        <w:spacing w:line="360" w:lineRule="auto"/>
        <w:ind w:firstLine="288"/>
      </w:pPr>
      <w:r>
        <w:t xml:space="preserve">This work contributes to a more </w:t>
      </w:r>
      <w:r w:rsidR="00C65C43">
        <w:t>comprehensive</w:t>
      </w:r>
      <w:r>
        <w:t xml:space="preserve"> understanding o</w:t>
      </w:r>
      <w:r w:rsidR="00C65C43">
        <w:t>f</w:t>
      </w:r>
      <w:r>
        <w:t xml:space="preserve"> how Chapter 11 influences pricing strategies in international markets</w:t>
      </w:r>
      <w:r w:rsidR="00BB2829">
        <w:t>,</w:t>
      </w:r>
      <w:r w:rsidR="002212BF">
        <w:t xml:space="preserve"> which have a different competitive environment than US domestic markets.</w:t>
      </w:r>
      <w:r w:rsidR="00225D72">
        <w:t xml:space="preserve"> This is especially important from </w:t>
      </w:r>
      <w:r w:rsidR="00EF2ECA">
        <w:t xml:space="preserve">a </w:t>
      </w:r>
      <w:r w:rsidR="00225D72">
        <w:t xml:space="preserve">policy perspective </w:t>
      </w:r>
      <w:r w:rsidR="009830DF">
        <w:t xml:space="preserve">in ensuring a </w:t>
      </w:r>
      <w:r w:rsidR="00225D72">
        <w:t xml:space="preserve">level playing field under open skies agreements </w:t>
      </w:r>
      <w:r w:rsidR="009830DF">
        <w:t>between the EU and</w:t>
      </w:r>
      <w:r w:rsidR="00225D72">
        <w:t xml:space="preserve"> the US</w:t>
      </w:r>
      <w:r w:rsidR="005B7CC4">
        <w:t xml:space="preserve">, as </w:t>
      </w:r>
      <w:r w:rsidR="00CD62A1">
        <w:t>under</w:t>
      </w:r>
      <w:r w:rsidR="005B7CC4">
        <w:t xml:space="preserve"> such</w:t>
      </w:r>
      <w:r w:rsidR="00CD62A1">
        <w:t xml:space="preserve"> agreements</w:t>
      </w:r>
      <w:r w:rsidR="005B7CC4">
        <w:t xml:space="preserve"> only </w:t>
      </w:r>
      <w:r w:rsidR="009830DF">
        <w:t xml:space="preserve">the </w:t>
      </w:r>
      <w:r w:rsidR="005B7CC4">
        <w:t>US carriers have access to Chapter 11.</w:t>
      </w:r>
    </w:p>
    <w:p w14:paraId="0C201422" w14:textId="115A9D20" w:rsidR="00B537F1" w:rsidRPr="0011694C" w:rsidRDefault="0090355E" w:rsidP="0011694C">
      <w:pPr>
        <w:pStyle w:val="Heading1"/>
        <w:tabs>
          <w:tab w:val="clear" w:pos="1021"/>
        </w:tabs>
        <w:spacing w:before="120" w:after="120" w:line="360" w:lineRule="auto"/>
        <w:ind w:left="567" w:hanging="567"/>
      </w:pPr>
      <w:bookmarkStart w:id="10" w:name="_Ref447273039"/>
      <w:bookmarkStart w:id="11" w:name="_Ref447630249"/>
      <w:bookmarkStart w:id="12" w:name="_Toc451769677"/>
      <w:r w:rsidRPr="0011694C">
        <w:t>Chapter 11</w:t>
      </w:r>
      <w:r w:rsidR="002277E0" w:rsidRPr="0011694C">
        <w:t xml:space="preserve"> and </w:t>
      </w:r>
      <w:bookmarkEnd w:id="10"/>
      <w:bookmarkEnd w:id="11"/>
      <w:bookmarkEnd w:id="12"/>
      <w:r w:rsidRPr="0011694C">
        <w:t>the airline industry</w:t>
      </w:r>
    </w:p>
    <w:p w14:paraId="27915088" w14:textId="541E8800" w:rsidR="007C3F96" w:rsidRDefault="002E5011" w:rsidP="00566DE0">
      <w:pPr>
        <w:pStyle w:val="FlietextAbstanddavor"/>
        <w:spacing w:before="0" w:line="360" w:lineRule="auto"/>
      </w:pPr>
      <w:r>
        <w:t xml:space="preserve">Chapter 11 bankruptcy protection of the United States Bankruptcy Law is a mechanism that allows firms to organize and restructure. It is only available to US </w:t>
      </w:r>
      <w:r w:rsidR="009830DF">
        <w:t>firms</w:t>
      </w:r>
      <w:r>
        <w:t xml:space="preserve">. </w:t>
      </w:r>
      <w:r w:rsidR="007C3F96">
        <w:t xml:space="preserve">Under </w:t>
      </w:r>
      <w:r w:rsidR="007C3F96">
        <w:lastRenderedPageBreak/>
        <w:t xml:space="preserve">Chapter 11 protection, the bankrupt </w:t>
      </w:r>
      <w:r w:rsidR="009830DF">
        <w:t>firm</w:t>
      </w:r>
      <w:r w:rsidR="007C3F96">
        <w:t xml:space="preserve"> can implement cost reduction strategies</w:t>
      </w:r>
      <w:r w:rsidR="009830DF">
        <w:t xml:space="preserve">. </w:t>
      </w:r>
      <w:r w:rsidR="009830DF" w:rsidRPr="002E5011">
        <w:t xml:space="preserve">Filing a </w:t>
      </w:r>
      <w:r w:rsidR="009830DF">
        <w:t xml:space="preserve">Chapter 11 </w:t>
      </w:r>
      <w:r w:rsidR="009830DF" w:rsidRPr="002E5011">
        <w:t xml:space="preserve">petition </w:t>
      </w:r>
      <w:r w:rsidR="009830DF">
        <w:t xml:space="preserve">also </w:t>
      </w:r>
      <w:r w:rsidR="009830DF" w:rsidRPr="002E5011">
        <w:t xml:space="preserve">automatically </w:t>
      </w:r>
      <w:r w:rsidR="009830DF">
        <w:t xml:space="preserve">facilitates </w:t>
      </w:r>
      <w:r w:rsidR="009830DF" w:rsidRPr="002E5011">
        <w:t>a stay to recover a claim or to enforce a judgement against the debtor.</w:t>
      </w:r>
      <w:r w:rsidR="009830DF">
        <w:t xml:space="preserve"> </w:t>
      </w:r>
      <w:r w:rsidR="009830DF" w:rsidRPr="002E5011">
        <w:t xml:space="preserve">This procedure </w:t>
      </w:r>
      <w:r w:rsidR="007C3F96">
        <w:t xml:space="preserve">prevents creditors </w:t>
      </w:r>
      <w:r w:rsidR="009830DF">
        <w:t>from</w:t>
      </w:r>
      <w:r w:rsidR="007C3F96">
        <w:t xml:space="preserve"> recover</w:t>
      </w:r>
      <w:r w:rsidR="009830DF">
        <w:t>ing</w:t>
      </w:r>
      <w:r w:rsidR="007C3F96">
        <w:t xml:space="preserve"> claim</w:t>
      </w:r>
      <w:r w:rsidR="00584DA4">
        <w:t>s</w:t>
      </w:r>
      <w:r w:rsidR="007C3F96">
        <w:t xml:space="preserve"> against the debtor.</w:t>
      </w:r>
      <w:r w:rsidR="00584DA4">
        <w:t xml:space="preserve"> The core options available to the debtor include: Renegotiation on prepetition debts; Rejection of executory contracts; Rejection of </w:t>
      </w:r>
      <w:r w:rsidR="009830DF">
        <w:t xml:space="preserve">equipment </w:t>
      </w:r>
      <w:r w:rsidR="00584DA4">
        <w:t xml:space="preserve">leases; </w:t>
      </w:r>
      <w:r w:rsidR="002B1D72">
        <w:t>M</w:t>
      </w:r>
      <w:r w:rsidR="00584DA4">
        <w:t xml:space="preserve">odification of </w:t>
      </w:r>
      <w:r w:rsidR="009830DF">
        <w:t xml:space="preserve">the </w:t>
      </w:r>
      <w:r w:rsidR="009830DF" w:rsidRPr="00023651">
        <w:t>Collective Bargaining Agreement</w:t>
      </w:r>
      <w:r w:rsidR="009830DF">
        <w:t>s (</w:t>
      </w:r>
      <w:r w:rsidR="00584DA4">
        <w:t>CBAs</w:t>
      </w:r>
      <w:r w:rsidR="009830DF">
        <w:t>)</w:t>
      </w:r>
      <w:r w:rsidR="00584DA4">
        <w:t>; Termination of pension plans; and Modification of retiree benefits.</w:t>
      </w:r>
      <w:r w:rsidR="002B1D72">
        <w:t xml:space="preserve"> These options can result in </w:t>
      </w:r>
      <w:r w:rsidR="009830DF">
        <w:t>significant</w:t>
      </w:r>
      <w:r w:rsidR="002B1D72">
        <w:t xml:space="preserve"> annual cost savings providing the debtor with a competitive advantage over competitors.</w:t>
      </w:r>
    </w:p>
    <w:p w14:paraId="5A8DF317" w14:textId="5BC8DB49" w:rsidR="00061FDA" w:rsidRDefault="003F644C" w:rsidP="00566DE0">
      <w:pPr>
        <w:pStyle w:val="FlietextFolge"/>
        <w:spacing w:line="360" w:lineRule="auto"/>
      </w:pPr>
      <w:r>
        <w:t>In recent history (s</w:t>
      </w:r>
      <w:r w:rsidR="002277E0" w:rsidRPr="008F1F49">
        <w:t>ince 2000</w:t>
      </w:r>
      <w:r>
        <w:t>)</w:t>
      </w:r>
      <w:r w:rsidR="009830DF">
        <w:t>,</w:t>
      </w:r>
      <w:r>
        <w:t xml:space="preserve"> </w:t>
      </w:r>
      <w:r w:rsidR="00EF2ECA">
        <w:t xml:space="preserve">almost </w:t>
      </w:r>
      <w:r>
        <w:t xml:space="preserve">every major network carrier in the US has gone through the </w:t>
      </w:r>
      <w:r w:rsidR="002277E0" w:rsidRPr="005B7692">
        <w:t>Chapter 11</w:t>
      </w:r>
      <w:r w:rsidR="002277E0" w:rsidRPr="008F1F49">
        <w:t xml:space="preserve"> bankruptc</w:t>
      </w:r>
      <w:r>
        <w:t xml:space="preserve">y protection process. Each of these carriers </w:t>
      </w:r>
      <w:r w:rsidR="003E4FFF">
        <w:t>had</w:t>
      </w:r>
      <w:r w:rsidR="004B7175">
        <w:t xml:space="preserve"> a</w:t>
      </w:r>
      <w:r w:rsidR="003E4FFF">
        <w:t xml:space="preserve"> presence in international markets and hence could have affected the competitive environments in those markets. </w:t>
      </w:r>
      <w:r w:rsidR="006049F6">
        <w:t xml:space="preserve">In </w:t>
      </w:r>
      <w:r w:rsidR="003E4FFF">
        <w:t xml:space="preserve">each of </w:t>
      </w:r>
      <w:r w:rsidR="006049F6">
        <w:t xml:space="preserve">the cases </w:t>
      </w:r>
      <w:r w:rsidR="003E4FFF">
        <w:t xml:space="preserve">where the US carriers has </w:t>
      </w:r>
      <w:r w:rsidR="006049F6">
        <w:t xml:space="preserve">filed for </w:t>
      </w:r>
      <w:r w:rsidR="006049F6" w:rsidRPr="005B7692">
        <w:t>Chapter 11</w:t>
      </w:r>
      <w:r w:rsidR="003E4FFF">
        <w:t xml:space="preserve">, this was done </w:t>
      </w:r>
      <w:r w:rsidR="006049F6">
        <w:t>voluntarily</w:t>
      </w:r>
      <w:r w:rsidR="003E4FFF">
        <w:t xml:space="preserve">, and it </w:t>
      </w:r>
      <w:r w:rsidR="004B7175">
        <w:t xml:space="preserve">can be </w:t>
      </w:r>
      <w:r w:rsidR="003E4FFF">
        <w:t xml:space="preserve">noticed that </w:t>
      </w:r>
      <w:r w:rsidR="006049F6">
        <w:t>no conversion to Chapter 7</w:t>
      </w:r>
      <w:r w:rsidR="003E4FFF">
        <w:t>—where the</w:t>
      </w:r>
      <w:r w:rsidR="003E4FFF" w:rsidRPr="00C71958">
        <w:t xml:space="preserve"> trustee liquidate</w:t>
      </w:r>
      <w:r w:rsidR="003E4FFF">
        <w:t>s</w:t>
      </w:r>
      <w:r w:rsidR="003E4FFF" w:rsidRPr="00C71958">
        <w:t xml:space="preserve"> the debtor’s assets to pay creditors </w:t>
      </w:r>
      <w:r w:rsidR="003E4FFF">
        <w:t>as</w:t>
      </w:r>
      <w:r w:rsidR="003E4FFF" w:rsidRPr="00C71958">
        <w:t xml:space="preserve"> the company end</w:t>
      </w:r>
      <w:r w:rsidR="003E4FFF">
        <w:t>s</w:t>
      </w:r>
      <w:r w:rsidR="003E4FFF" w:rsidRPr="00C71958">
        <w:t xml:space="preserve"> its operation</w:t>
      </w:r>
      <w:r w:rsidR="003E4FFF">
        <w:t>s—</w:t>
      </w:r>
      <w:r w:rsidR="006049F6">
        <w:t xml:space="preserve"> ha</w:t>
      </w:r>
      <w:r w:rsidR="003E4FFF">
        <w:t xml:space="preserve">s ever </w:t>
      </w:r>
      <w:r w:rsidR="006049F6">
        <w:t>occurred</w:t>
      </w:r>
      <w:r w:rsidR="003E4FFF">
        <w:t xml:space="preserve"> in those cases</w:t>
      </w:r>
      <w:r w:rsidR="006049F6">
        <w:t>.</w:t>
      </w:r>
    </w:p>
    <w:p w14:paraId="1CC2D0F1" w14:textId="03F647EC" w:rsidR="005B2A34" w:rsidRDefault="00061FDA" w:rsidP="00566DE0">
      <w:pPr>
        <w:pStyle w:val="FlietextFolge"/>
        <w:spacing w:line="360" w:lineRule="auto"/>
      </w:pPr>
      <w:r>
        <w:t xml:space="preserve">Possibly, a Chapter 11 filing by one firm has initiated a domino effect that ultimately has </w:t>
      </w:r>
      <w:r w:rsidR="004B7175">
        <w:t>affected</w:t>
      </w:r>
      <w:r w:rsidR="009A4B45">
        <w:t xml:space="preserve"> </w:t>
      </w:r>
      <w:r>
        <w:t xml:space="preserve">the entire airline industry in the US. </w:t>
      </w:r>
      <w:r w:rsidR="005B2A34">
        <w:t>Evidently, once a firm enters bankruptcy protection, it enjoys some advantages not available to other firms in the industry, while facing a detrimental risk of moving in</w:t>
      </w:r>
      <w:r w:rsidR="00B92D8C">
        <w:t>to</w:t>
      </w:r>
      <w:r w:rsidR="005B2A34">
        <w:t xml:space="preserve"> Chapter 7. These influence the ways in which firm, as well as its competitor</w:t>
      </w:r>
      <w:r w:rsidR="00EF2ECA">
        <w:t>s</w:t>
      </w:r>
      <w:r w:rsidR="005B2A34">
        <w:t xml:space="preserve">, behave and set prices. Specifically, the following aspects have been identified by the literature </w:t>
      </w:r>
      <w:r w:rsidR="005B2A34" w:rsidRPr="00A63DAF">
        <w:rPr>
          <w:noProof/>
          <w:lang w:val="en-CA"/>
        </w:rPr>
        <w:t xml:space="preserve">(Borenstein </w:t>
      </w:r>
      <w:r w:rsidR="005B2A34">
        <w:rPr>
          <w:noProof/>
          <w:lang w:val="en-CA"/>
        </w:rPr>
        <w:t>and</w:t>
      </w:r>
      <w:r w:rsidR="005B2A34" w:rsidRPr="00A63DAF">
        <w:rPr>
          <w:noProof/>
          <w:lang w:val="en-CA"/>
        </w:rPr>
        <w:t xml:space="preserve"> Rose, 1995; Barla </w:t>
      </w:r>
      <w:r w:rsidR="005B2A34">
        <w:rPr>
          <w:noProof/>
          <w:lang w:val="en-CA"/>
        </w:rPr>
        <w:t>and</w:t>
      </w:r>
      <w:r w:rsidR="005B2A34" w:rsidRPr="00A63DAF">
        <w:rPr>
          <w:noProof/>
          <w:lang w:val="en-CA"/>
        </w:rPr>
        <w:t xml:space="preserve"> Koo, 1999; Ciliberto </w:t>
      </w:r>
      <w:r w:rsidR="005B2A34">
        <w:rPr>
          <w:noProof/>
          <w:lang w:val="en-CA"/>
        </w:rPr>
        <w:t>and</w:t>
      </w:r>
      <w:r w:rsidR="005B2A34" w:rsidRPr="00A63DAF">
        <w:rPr>
          <w:noProof/>
          <w:lang w:val="en-CA"/>
        </w:rPr>
        <w:t xml:space="preserve"> Schenone, 2012a)</w:t>
      </w:r>
      <w:r w:rsidR="005B2A34">
        <w:rPr>
          <w:noProof/>
          <w:lang w:val="en-CA"/>
        </w:rPr>
        <w:t xml:space="preserve"> as key in affecting pricing decisions by airline carriers during and post bankruptcy protection</w:t>
      </w:r>
      <w:r w:rsidR="009C00D8">
        <w:t xml:space="preserve">: (1) </w:t>
      </w:r>
      <w:r w:rsidR="00D275DA">
        <w:t xml:space="preserve">The </w:t>
      </w:r>
      <w:r w:rsidR="00D436CB">
        <w:t xml:space="preserve">possible </w:t>
      </w:r>
      <w:r w:rsidR="00D275DA">
        <w:t>cost reduction</w:t>
      </w:r>
      <w:r w:rsidR="00D436CB">
        <w:t>s</w:t>
      </w:r>
      <w:r w:rsidR="00D275DA">
        <w:t xml:space="preserve"> </w:t>
      </w:r>
      <w:r w:rsidR="009C00D8">
        <w:t xml:space="preserve">the airline </w:t>
      </w:r>
      <w:r w:rsidR="00D275DA">
        <w:t xml:space="preserve">under </w:t>
      </w:r>
      <w:r w:rsidR="005B7692" w:rsidRPr="005B7692">
        <w:t>Chapter 11</w:t>
      </w:r>
      <w:r w:rsidR="00D275DA">
        <w:t xml:space="preserve"> </w:t>
      </w:r>
      <w:r w:rsidR="00D436CB">
        <w:t>can achieve</w:t>
      </w:r>
      <w:r w:rsidR="009C00D8">
        <w:t xml:space="preserve">; (2) </w:t>
      </w:r>
      <w:r w:rsidR="002A682F">
        <w:t>A d</w:t>
      </w:r>
      <w:r w:rsidR="006347C7">
        <w:t>ecline in demand</w:t>
      </w:r>
      <w:r w:rsidR="00C80CE9">
        <w:t xml:space="preserve"> for the products of the bankrupt airline </w:t>
      </w:r>
      <w:r w:rsidR="009C00D8">
        <w:t xml:space="preserve">due to </w:t>
      </w:r>
      <w:r w:rsidR="00536F55">
        <w:t>the negative impact of bankruptcy on the public image of the firm</w:t>
      </w:r>
      <w:r w:rsidR="009C00D8">
        <w:t xml:space="preserve">; (3) </w:t>
      </w:r>
      <w:r w:rsidR="004B7175">
        <w:t>A f</w:t>
      </w:r>
      <w:r w:rsidR="00C80CE9">
        <w:t>ocus on s</w:t>
      </w:r>
      <w:r w:rsidR="006347C7">
        <w:t>hort term profit maximization</w:t>
      </w:r>
      <w:r w:rsidR="00C80CE9">
        <w:t xml:space="preserve"> of the bankrupt firm in order to</w:t>
      </w:r>
      <w:r w:rsidR="00C1044C">
        <w:t xml:space="preserve"> raise cash quickly and</w:t>
      </w:r>
      <w:r w:rsidR="00C80CE9">
        <w:t xml:space="preserve"> avoid liquidation</w:t>
      </w:r>
      <w:r w:rsidR="009C00D8">
        <w:t xml:space="preserve">; and (4) </w:t>
      </w:r>
      <w:r w:rsidR="00F8603A">
        <w:t xml:space="preserve">Predation strategies by competitors which want to drive the financially weak company under </w:t>
      </w:r>
      <w:r w:rsidR="005B7692" w:rsidRPr="005B7692">
        <w:t>Chapter 11</w:t>
      </w:r>
      <w:r w:rsidR="00F8603A">
        <w:t xml:space="preserve"> out of the market</w:t>
      </w:r>
      <w:r w:rsidR="009C00D8">
        <w:t>. We elaborate on each of these aspects.</w:t>
      </w:r>
    </w:p>
    <w:p w14:paraId="73CAA81D" w14:textId="77777777" w:rsidR="005B2A34" w:rsidRDefault="005B2A34" w:rsidP="00566DE0">
      <w:pPr>
        <w:pStyle w:val="FlietextFolge"/>
        <w:spacing w:line="360" w:lineRule="auto"/>
      </w:pPr>
      <w:r>
        <w:t xml:space="preserve">Cost reductions: </w:t>
      </w:r>
      <w:r w:rsidR="001823A6">
        <w:t xml:space="preserve">Chapter 11 basically provides bankrupt carriers with six core possibilities to reduce cost during reorganization: renegotiation on prepetition debts, rejection of executory contracts, rejection of aircraft leases, modification of CBA, termination of pension plans and modification of retiree benefits. </w:t>
      </w:r>
      <w:r w:rsidR="000D718B">
        <w:t>Cost</w:t>
      </w:r>
      <w:r w:rsidR="003C0E29">
        <w:t xml:space="preserve"> savings </w:t>
      </w:r>
      <w:r w:rsidR="00013E2A">
        <w:t xml:space="preserve">and </w:t>
      </w:r>
      <w:r w:rsidR="00013E2A">
        <w:lastRenderedPageBreak/>
        <w:t xml:space="preserve">consequently decreasing marginal costs </w:t>
      </w:r>
      <w:r w:rsidR="0058744A">
        <w:t>might</w:t>
      </w:r>
      <w:r w:rsidR="003C0E29">
        <w:t xml:space="preserve"> lead to lower prices </w:t>
      </w:r>
      <w:r w:rsidR="00013E2A">
        <w:t xml:space="preserve">being </w:t>
      </w:r>
      <w:r w:rsidR="003C0E29">
        <w:t>charged by the bankrupt carrier.</w:t>
      </w:r>
      <w:r w:rsidR="00D31F5C">
        <w:t xml:space="preserve"> </w:t>
      </w:r>
    </w:p>
    <w:p w14:paraId="6C8D54D3" w14:textId="7412F5E8" w:rsidR="0030605F" w:rsidRDefault="005B2A34" w:rsidP="00566DE0">
      <w:pPr>
        <w:pStyle w:val="FlietextFolge"/>
        <w:spacing w:line="360" w:lineRule="auto"/>
      </w:pPr>
      <w:r>
        <w:t>Declining demand: C</w:t>
      </w:r>
      <w:r w:rsidR="003C0E29">
        <w:t>arriers under Chapter 11 may face a declining demand for their product</w:t>
      </w:r>
      <w:r w:rsidR="0058744A">
        <w:t>s</w:t>
      </w:r>
      <w:r w:rsidR="003C0E29">
        <w:t xml:space="preserve"> because of the negative impact the bankruptcy has on the public image of the company.</w:t>
      </w:r>
      <w:r w:rsidR="0058744A">
        <w:t xml:space="preserve"> </w:t>
      </w:r>
      <w:r w:rsidR="0030605F">
        <w:t>C</w:t>
      </w:r>
      <w:r w:rsidR="0058744A">
        <w:t xml:space="preserve">ustomers may fear that the bankrupt carrier might not </w:t>
      </w:r>
      <w:r>
        <w:t xml:space="preserve">be </w:t>
      </w:r>
      <w:r w:rsidR="0058744A">
        <w:t xml:space="preserve">able to </w:t>
      </w:r>
      <w:r w:rsidR="004B7175">
        <w:t>survive</w:t>
      </w:r>
      <w:r w:rsidR="009A4B45">
        <w:t xml:space="preserve"> </w:t>
      </w:r>
      <w:r w:rsidR="0030605F">
        <w:t xml:space="preserve">and accordingly </w:t>
      </w:r>
      <w:r w:rsidR="004B7175">
        <w:t xml:space="preserve">they </w:t>
      </w:r>
      <w:r w:rsidR="0030605F">
        <w:t>switch their loyalty to another carrier</w:t>
      </w:r>
      <w:r>
        <w:t xml:space="preserve">. </w:t>
      </w:r>
      <w:r w:rsidR="0030605F">
        <w:t>Further</w:t>
      </w:r>
      <w:r>
        <w:t xml:space="preserve">, a major concern of many loyal customers </w:t>
      </w:r>
      <w:r w:rsidR="000E76B2">
        <w:t>is</w:t>
      </w:r>
      <w:r>
        <w:t xml:space="preserve"> their earned benefits. Indeed, upon </w:t>
      </w:r>
      <w:r w:rsidRPr="00E4058D">
        <w:t>filing for Chapter 11 on November 29, 2011</w:t>
      </w:r>
      <w:r>
        <w:t>,</w:t>
      </w:r>
      <w:r w:rsidRPr="00E4058D">
        <w:t xml:space="preserve"> </w:t>
      </w:r>
      <w:r>
        <w:t xml:space="preserve">American Airlines published a </w:t>
      </w:r>
      <w:r w:rsidRPr="00E4058D">
        <w:t>statement</w:t>
      </w:r>
      <w:r>
        <w:t xml:space="preserve"> (on </w:t>
      </w:r>
      <w:r w:rsidR="00EF2ECA" w:rsidRPr="00E52C8D">
        <w:rPr>
          <w:i/>
          <w:iCs/>
        </w:rPr>
        <w:t xml:space="preserve">The </w:t>
      </w:r>
      <w:r w:rsidRPr="00E52C8D">
        <w:rPr>
          <w:i/>
          <w:iCs/>
        </w:rPr>
        <w:t>Wall Street Journal</w:t>
      </w:r>
      <w:r>
        <w:t xml:space="preserve">) assuring its customers that the frequent flyer program will be fully </w:t>
      </w:r>
      <w:proofErr w:type="gramStart"/>
      <w:r>
        <w:t>maintained</w:t>
      </w:r>
      <w:proofErr w:type="gramEnd"/>
      <w:r>
        <w:t xml:space="preserve"> and all miles and elite status earned are secure. This highlights </w:t>
      </w:r>
      <w:r w:rsidR="00EF2ECA">
        <w:t xml:space="preserve">the fact that </w:t>
      </w:r>
      <w:r>
        <w:t xml:space="preserve">that bankrupt airlines </w:t>
      </w:r>
      <w:proofErr w:type="gramStart"/>
      <w:r>
        <w:t>are aware of the fact that</w:t>
      </w:r>
      <w:proofErr w:type="gramEnd"/>
      <w:r>
        <w:t xml:space="preserve"> consumers are worried about their frequent flyer benefits in the case of an airline bankruptcy.</w:t>
      </w:r>
      <w:r w:rsidR="00205036">
        <w:t xml:space="preserve"> </w:t>
      </w:r>
      <w:r w:rsidR="00E73EC1">
        <w:t xml:space="preserve">The possibly </w:t>
      </w:r>
      <w:r>
        <w:t xml:space="preserve">of </w:t>
      </w:r>
      <w:r w:rsidR="00E73EC1">
        <w:t>declining demand might lead to significant price cuts of bankrupt carriers</w:t>
      </w:r>
      <w:r w:rsidR="00592382">
        <w:t xml:space="preserve"> in order to achieve required load factors and avoid losing market share</w:t>
      </w:r>
      <w:r w:rsidR="00E73EC1">
        <w:t>.</w:t>
      </w:r>
    </w:p>
    <w:p w14:paraId="3791378E" w14:textId="34BD084B" w:rsidR="0090355E" w:rsidRDefault="0030605F" w:rsidP="00A844EC">
      <w:pPr>
        <w:pStyle w:val="FlietextFolge"/>
        <w:spacing w:line="360" w:lineRule="auto"/>
      </w:pPr>
      <w:r>
        <w:t>Short term focus: T</w:t>
      </w:r>
      <w:r w:rsidR="00DA014C">
        <w:t xml:space="preserve">he fear of a possible liquidation might lead to a focus of the bankrupt carrier on short term profit maximization </w:t>
      </w:r>
      <w:r w:rsidR="00671DFC">
        <w:t>in order to raise cash</w:t>
      </w:r>
      <w:r w:rsidR="000A4C6F">
        <w:t xml:space="preserve"> (as </w:t>
      </w:r>
      <w:r w:rsidR="00766177" w:rsidRPr="00766177">
        <w:t>crises reduce the likel</w:t>
      </w:r>
      <w:r w:rsidR="000A4C6F">
        <w:t xml:space="preserve">ihood of the carrier generating any </w:t>
      </w:r>
      <w:r w:rsidR="00766177" w:rsidRPr="00766177">
        <w:t>earning in the future</w:t>
      </w:r>
      <w:r w:rsidR="000A4C6F">
        <w:t xml:space="preserve">). </w:t>
      </w:r>
      <w:r w:rsidR="009D4C7E">
        <w:t>This change in pricing policy might be different for different competitive situations.</w:t>
      </w:r>
      <w:r w:rsidR="0090355E">
        <w:t xml:space="preserve"> With respect to aviation markets, this effect might be influenced by the presence of airline alliances. </w:t>
      </w:r>
      <w:r w:rsidR="00CC736D">
        <w:t xml:space="preserve">In this respect, domestic and international markets differ. </w:t>
      </w:r>
      <w:r w:rsidR="0090355E">
        <w:t xml:space="preserve">The </w:t>
      </w:r>
      <w:r w:rsidR="00671DFC">
        <w:t>North Atlantic market</w:t>
      </w:r>
      <w:r w:rsidR="0090355E">
        <w:t xml:space="preserve">, for example, </w:t>
      </w:r>
      <w:r w:rsidR="00671DFC">
        <w:t xml:space="preserve">is dominated by three </w:t>
      </w:r>
      <w:r w:rsidR="0090355E">
        <w:t xml:space="preserve">major airline </w:t>
      </w:r>
      <w:r w:rsidR="00671DFC">
        <w:t>alliances</w:t>
      </w:r>
      <w:r w:rsidR="0090355E">
        <w:t>. The presence of these alliances give</w:t>
      </w:r>
      <w:r w:rsidR="004B7175">
        <w:t>s</w:t>
      </w:r>
      <w:r w:rsidR="0090355E">
        <w:t xml:space="preserve"> rise to potential </w:t>
      </w:r>
      <w:r w:rsidR="00671DFC" w:rsidRPr="0090355E">
        <w:rPr>
          <w:rStyle w:val="SubtleReference"/>
          <w:i w:val="0"/>
        </w:rPr>
        <w:t>tacit collusion</w:t>
      </w:r>
      <w:r w:rsidR="00CC736D">
        <w:rPr>
          <w:rStyle w:val="SubtleReference"/>
          <w:i w:val="0"/>
        </w:rPr>
        <w:t>, and revenue sharing, which lessens competitive rivalry, is permitted in some international markets, though not US domestic markets.</w:t>
      </w:r>
      <w:r w:rsidR="0090355E">
        <w:rPr>
          <w:rStyle w:val="SubtleReference"/>
          <w:i w:val="0"/>
        </w:rPr>
        <w:t xml:space="preserve"> </w:t>
      </w:r>
      <w:r w:rsidR="008720E8" w:rsidRPr="008720E8">
        <w:t>Tacit collusion</w:t>
      </w:r>
      <w:r w:rsidR="00B5705D">
        <w:t xml:space="preserve"> exists if firms accomplish collusion indirectly</w:t>
      </w:r>
      <w:r w:rsidR="004B7175">
        <w:t>,</w:t>
      </w:r>
      <w:r w:rsidR="0090355E">
        <w:t xml:space="preserve"> as t</w:t>
      </w:r>
      <w:r w:rsidR="00F67858">
        <w:t xml:space="preserve">hey learn from experience how competitors will behave in the market. </w:t>
      </w:r>
      <w:r w:rsidR="00FB0B68">
        <w:t xml:space="preserve">If firms </w:t>
      </w:r>
      <w:r w:rsidR="00EE0350">
        <w:t>which charge lower prices</w:t>
      </w:r>
      <w:r w:rsidR="00500DD2">
        <w:t xml:space="preserve"> than the average market price </w:t>
      </w:r>
      <w:r w:rsidR="00FB0B68">
        <w:t xml:space="preserve">are punished by competitors </w:t>
      </w:r>
      <w:r w:rsidR="00EE0350">
        <w:t xml:space="preserve">by even stronger price cuts </w:t>
      </w:r>
      <w:r w:rsidR="008720E8" w:rsidRPr="008720E8">
        <w:t>tacit collusion</w:t>
      </w:r>
      <w:r w:rsidR="00FB0B68">
        <w:t xml:space="preserve"> is the likely outcome</w:t>
      </w:r>
      <w:r w:rsidR="0090355E">
        <w:t xml:space="preserve"> (</w:t>
      </w:r>
      <w:proofErr w:type="spellStart"/>
      <w:r w:rsidR="0090355E">
        <w:t>Baye</w:t>
      </w:r>
      <w:proofErr w:type="spellEnd"/>
      <w:r w:rsidR="0090355E">
        <w:t>, 2010)</w:t>
      </w:r>
      <w:r w:rsidR="00FB0B68">
        <w:t>.</w:t>
      </w:r>
      <w:r w:rsidR="0090355E">
        <w:t xml:space="preserve"> </w:t>
      </w:r>
      <w:r w:rsidR="00293B22">
        <w:t>If the financial distress is severe or demand declines</w:t>
      </w:r>
      <w:r w:rsidR="004020A2">
        <w:t xml:space="preserve"> massively</w:t>
      </w:r>
      <w:r w:rsidR="0090355E">
        <w:t>,</w:t>
      </w:r>
      <w:r w:rsidR="00293B22">
        <w:t xml:space="preserve"> a focus on short term profit maximization might lead the respective carrier to the conclusion that </w:t>
      </w:r>
      <w:r w:rsidR="0095659E">
        <w:t>deviating</w:t>
      </w:r>
      <w:r w:rsidR="00293B22">
        <w:t xml:space="preserve"> </w:t>
      </w:r>
      <w:r w:rsidR="0095659E">
        <w:t>from</w:t>
      </w:r>
      <w:r w:rsidR="00293B22">
        <w:t xml:space="preserve"> the collusi</w:t>
      </w:r>
      <w:r w:rsidR="0090355E">
        <w:t xml:space="preserve">ve status-quo </w:t>
      </w:r>
      <w:r w:rsidR="0095659E">
        <w:t>by charging lower prices</w:t>
      </w:r>
      <w:r w:rsidR="00293B22">
        <w:t xml:space="preserve"> is favourable even </w:t>
      </w:r>
      <w:proofErr w:type="gramStart"/>
      <w:r w:rsidR="00293B22">
        <w:t>in regard to</w:t>
      </w:r>
      <w:proofErr w:type="gramEnd"/>
      <w:r w:rsidR="00293B22">
        <w:t xml:space="preserve"> the future punishment</w:t>
      </w:r>
      <w:r w:rsidR="001B729E">
        <w:t xml:space="preserve"> which is likely to follow</w:t>
      </w:r>
      <w:r w:rsidR="00293B22">
        <w:t>.</w:t>
      </w:r>
      <w:r w:rsidR="0090355E">
        <w:t xml:space="preserve"> </w:t>
      </w:r>
    </w:p>
    <w:p w14:paraId="317E1AC8" w14:textId="220C0297" w:rsidR="00C65C43" w:rsidRDefault="0090355E" w:rsidP="00566DE0">
      <w:pPr>
        <w:pStyle w:val="FlietextFolge"/>
        <w:spacing w:line="360" w:lineRule="auto"/>
      </w:pPr>
      <w:r>
        <w:t>Predation strategies: T</w:t>
      </w:r>
      <w:r w:rsidR="0085186B">
        <w:t xml:space="preserve">he presence of a bankrupt airline in a market might </w:t>
      </w:r>
      <w:r w:rsidR="002A72BF">
        <w:t xml:space="preserve">also </w:t>
      </w:r>
      <w:r w:rsidR="0085186B">
        <w:t>lead to predation by competitors.</w:t>
      </w:r>
      <w:r w:rsidR="002A72BF">
        <w:t xml:space="preserve"> Predation is only economically </w:t>
      </w:r>
      <w:r w:rsidR="004020A2">
        <w:t>rational</w:t>
      </w:r>
      <w:r w:rsidR="009A4B45">
        <w:t xml:space="preserve"> </w:t>
      </w:r>
      <w:r w:rsidR="002A72BF">
        <w:t>if the future profits without the respective competitor offset the</w:t>
      </w:r>
      <w:r w:rsidR="00355803">
        <w:t xml:space="preserve"> initial losses. If predation plays a role </w:t>
      </w:r>
      <w:proofErr w:type="gramStart"/>
      <w:r w:rsidR="00355803">
        <w:t xml:space="preserve">in regard </w:t>
      </w:r>
      <w:r w:rsidR="00355803">
        <w:lastRenderedPageBreak/>
        <w:t>to</w:t>
      </w:r>
      <w:proofErr w:type="gramEnd"/>
      <w:r w:rsidR="00355803">
        <w:t xml:space="preserve"> market competition and </w:t>
      </w:r>
      <w:r w:rsidR="005B7692" w:rsidRPr="005B7692">
        <w:t>Chapter 11</w:t>
      </w:r>
      <w:r w:rsidR="00355803">
        <w:t xml:space="preserve"> bankruptcy </w:t>
      </w:r>
      <w:r w:rsidR="004020A2">
        <w:t xml:space="preserve">is present, </w:t>
      </w:r>
      <w:r w:rsidR="00355803">
        <w:t>significant price drops</w:t>
      </w:r>
      <w:r w:rsidR="00461BCB">
        <w:t xml:space="preserve"> by competitors of the b</w:t>
      </w:r>
      <w:r w:rsidR="00C65C43">
        <w:t>ankrupt firm will be observable.</w:t>
      </w:r>
    </w:p>
    <w:p w14:paraId="21C527FE" w14:textId="46B9A013" w:rsidR="0043079E" w:rsidRDefault="009976AC" w:rsidP="00566DE0">
      <w:pPr>
        <w:pStyle w:val="FlietextFolge"/>
        <w:spacing w:line="360" w:lineRule="auto"/>
      </w:pPr>
      <w:r>
        <w:t xml:space="preserve">Another possible point that could affect pricing behaviour under </w:t>
      </w:r>
      <w:r w:rsidR="005B7692" w:rsidRPr="005B7692">
        <w:t>Chapter 11</w:t>
      </w:r>
      <w:r>
        <w:t xml:space="preserve"> is addressed </w:t>
      </w:r>
      <w:r w:rsidR="00080259">
        <w:t>by</w:t>
      </w:r>
      <w:r w:rsidR="00A801FF">
        <w:t xml:space="preserve"> </w:t>
      </w:r>
      <w:r w:rsidR="00A801FF" w:rsidRPr="001748E1">
        <w:rPr>
          <w:noProof/>
        </w:rPr>
        <w:t xml:space="preserve">Ciliberto </w:t>
      </w:r>
      <w:r w:rsidR="004C6B26">
        <w:rPr>
          <w:noProof/>
        </w:rPr>
        <w:t>and</w:t>
      </w:r>
      <w:r w:rsidR="00A801FF" w:rsidRPr="001748E1">
        <w:rPr>
          <w:noProof/>
        </w:rPr>
        <w:t xml:space="preserve"> Schenone</w:t>
      </w:r>
      <w:r w:rsidR="000E76B2">
        <w:rPr>
          <w:noProof/>
        </w:rPr>
        <w:t xml:space="preserve"> (2012b)</w:t>
      </w:r>
      <w:r w:rsidR="00080259">
        <w:rPr>
          <w:noProof/>
        </w:rPr>
        <w:t>, who</w:t>
      </w:r>
      <w:r w:rsidR="00A801FF">
        <w:rPr>
          <w:noProof/>
        </w:rPr>
        <w:t xml:space="preserve"> point out that </w:t>
      </w:r>
      <w:r w:rsidR="005B7692" w:rsidRPr="005B7692">
        <w:t>Chapter 11</w:t>
      </w:r>
      <w:r w:rsidR="00A801FF">
        <w:rPr>
          <w:noProof/>
        </w:rPr>
        <w:t xml:space="preserve"> or financial distress in general could be linked to </w:t>
      </w:r>
      <w:r w:rsidR="00EA40DC">
        <w:rPr>
          <w:noProof/>
        </w:rPr>
        <w:t xml:space="preserve">the </w:t>
      </w:r>
      <w:r w:rsidR="00A801FF">
        <w:rPr>
          <w:noProof/>
        </w:rPr>
        <w:t>product quality of an airline</w:t>
      </w:r>
      <w:r w:rsidR="004B123B">
        <w:rPr>
          <w:noProof/>
        </w:rPr>
        <w:t xml:space="preserve"> (cancellations, delays and average aircraft age)</w:t>
      </w:r>
      <w:r w:rsidR="00A801FF">
        <w:rPr>
          <w:noProof/>
        </w:rPr>
        <w:t>.</w:t>
      </w:r>
      <w:r w:rsidR="00D3664B">
        <w:rPr>
          <w:noProof/>
        </w:rPr>
        <w:t xml:space="preserve"> </w:t>
      </w:r>
      <w:r w:rsidR="001F6559">
        <w:rPr>
          <w:noProof/>
        </w:rPr>
        <w:t xml:space="preserve">They find that Chapter 11 </w:t>
      </w:r>
      <w:r w:rsidR="00B0548F">
        <w:rPr>
          <w:noProof/>
        </w:rPr>
        <w:t>does not lead to decreased product qu</w:t>
      </w:r>
      <w:r w:rsidR="00503C0A">
        <w:rPr>
          <w:noProof/>
        </w:rPr>
        <w:t>a</w:t>
      </w:r>
      <w:r w:rsidR="00B0548F">
        <w:rPr>
          <w:noProof/>
        </w:rPr>
        <w:t xml:space="preserve">lity in the airline industry and therefore </w:t>
      </w:r>
      <w:r w:rsidR="00C216CE">
        <w:rPr>
          <w:noProof/>
        </w:rPr>
        <w:t>changes in product qu</w:t>
      </w:r>
      <w:r w:rsidR="00726759">
        <w:rPr>
          <w:noProof/>
        </w:rPr>
        <w:t>a</w:t>
      </w:r>
      <w:r w:rsidR="00C216CE">
        <w:rPr>
          <w:noProof/>
        </w:rPr>
        <w:t xml:space="preserve">lity </w:t>
      </w:r>
      <w:r w:rsidR="00D94559">
        <w:rPr>
          <w:noProof/>
        </w:rPr>
        <w:t>put</w:t>
      </w:r>
      <w:r w:rsidR="00C216CE">
        <w:rPr>
          <w:noProof/>
        </w:rPr>
        <w:t xml:space="preserve"> no additional downward pressure on prices of the bankrupt carrier.</w:t>
      </w:r>
      <w:r w:rsidR="0090355E">
        <w:rPr>
          <w:noProof/>
        </w:rPr>
        <w:t xml:space="preserve"> </w:t>
      </w:r>
      <w:proofErr w:type="spellStart"/>
      <w:r w:rsidR="0043079E">
        <w:t>Borenstein</w:t>
      </w:r>
      <w:proofErr w:type="spellEnd"/>
      <w:r w:rsidR="0043079E">
        <w:t xml:space="preserve"> </w:t>
      </w:r>
      <w:r w:rsidR="004C6B26">
        <w:t>and</w:t>
      </w:r>
      <w:r w:rsidR="0043079E">
        <w:t xml:space="preserve"> Rose</w:t>
      </w:r>
      <w:r w:rsidR="000E76B2">
        <w:t xml:space="preserve"> (1995)</w:t>
      </w:r>
      <w:r w:rsidR="00563EC5">
        <w:t xml:space="preserve"> </w:t>
      </w:r>
      <w:r w:rsidR="0090355E">
        <w:t>consider</w:t>
      </w:r>
      <w:r w:rsidR="002F2C3C">
        <w:t xml:space="preserve"> another possible link between financial distress and pricing behaviour.</w:t>
      </w:r>
      <w:r w:rsidR="00884EBC">
        <w:t xml:space="preserve"> They state that bankruptcy could alter the strategic position of the bankrupt carrier</w:t>
      </w:r>
      <w:r w:rsidR="00CB7D4E">
        <w:t xml:space="preserve"> by lifting or introducing </w:t>
      </w:r>
      <w:r w:rsidR="00B33F28">
        <w:t xml:space="preserve">company internal </w:t>
      </w:r>
      <w:r w:rsidR="00CB7D4E">
        <w:t xml:space="preserve">constraints through </w:t>
      </w:r>
      <w:r w:rsidR="00503C0A">
        <w:t xml:space="preserve">changing </w:t>
      </w:r>
      <w:r w:rsidR="00CB7D4E">
        <w:t>managerial decisions committing a carrier to more</w:t>
      </w:r>
      <w:r w:rsidR="0090355E">
        <w:t>,</w:t>
      </w:r>
      <w:r w:rsidR="00CB7D4E">
        <w:t xml:space="preserve"> or less</w:t>
      </w:r>
      <w:r w:rsidR="0090355E">
        <w:t>,</w:t>
      </w:r>
      <w:r w:rsidR="00CB7D4E">
        <w:t xml:space="preserve"> aggressive competition</w:t>
      </w:r>
      <w:r w:rsidR="009A4B45">
        <w:t>.</w:t>
      </w:r>
    </w:p>
    <w:p w14:paraId="3C864EB2" w14:textId="2E7FAB24" w:rsidR="00061FDA" w:rsidRDefault="0090355E" w:rsidP="00566DE0">
      <w:pPr>
        <w:pStyle w:val="FlietextFolge"/>
        <w:spacing w:line="360" w:lineRule="auto"/>
      </w:pPr>
      <w:r>
        <w:t>In this paper, due to limitation of data availability</w:t>
      </w:r>
      <w:r w:rsidR="00696B0D">
        <w:t xml:space="preserve"> (see Section 3)</w:t>
      </w:r>
      <w:r>
        <w:t xml:space="preserve">, we consider </w:t>
      </w:r>
      <w:r w:rsidR="0007433B">
        <w:t xml:space="preserve">primarily </w:t>
      </w:r>
      <w:r>
        <w:t>the bankruptcy protection of American Airline</w:t>
      </w:r>
      <w:r w:rsidR="00696B0D">
        <w:t>, henceforth AA,</w:t>
      </w:r>
      <w:r>
        <w:t xml:space="preserve"> </w:t>
      </w:r>
      <w:r w:rsidR="003C4CD8">
        <w:t>as it</w:t>
      </w:r>
      <w:r w:rsidR="0007433B">
        <w:t xml:space="preserve"> operates both domestic markets as well as international markets. </w:t>
      </w:r>
      <w:r w:rsidR="0007433B">
        <w:rPr>
          <w:rStyle w:val="SubtleReference"/>
          <w:i w:val="0"/>
          <w:iCs/>
        </w:rPr>
        <w:t xml:space="preserve">AA </w:t>
      </w:r>
      <w:r w:rsidRPr="00C01787">
        <w:t xml:space="preserve">filed for </w:t>
      </w:r>
      <w:r w:rsidRPr="005B7692">
        <w:t>Chapter 11</w:t>
      </w:r>
      <w:r w:rsidRPr="00C01787">
        <w:t xml:space="preserve"> on November 29, 2011</w:t>
      </w:r>
      <w:r>
        <w:t>,</w:t>
      </w:r>
      <w:r w:rsidRPr="00C01787">
        <w:t xml:space="preserve"> and emerged after 741 days in </w:t>
      </w:r>
      <w:proofErr w:type="gramStart"/>
      <w:r w:rsidRPr="00C01787">
        <w:t>December,</w:t>
      </w:r>
      <w:proofErr w:type="gramEnd"/>
      <w:r w:rsidRPr="00C01787">
        <w:t xml:space="preserve"> 2013</w:t>
      </w:r>
      <w:r>
        <w:t>,</w:t>
      </w:r>
      <w:r w:rsidRPr="00C01787">
        <w:t xml:space="preserve"> </w:t>
      </w:r>
      <w:r>
        <w:rPr>
          <w:rStyle w:val="apple-converted-space"/>
        </w:rPr>
        <w:t xml:space="preserve">after merging with </w:t>
      </w:r>
      <w:r w:rsidRPr="00734936">
        <w:rPr>
          <w:rStyle w:val="SubtleReference"/>
          <w:i w:val="0"/>
          <w:iCs/>
        </w:rPr>
        <w:t>US Airways Group</w:t>
      </w:r>
      <w:r>
        <w:rPr>
          <w:rStyle w:val="SubtleReference"/>
          <w:i w:val="0"/>
          <w:iCs/>
        </w:rPr>
        <w:t xml:space="preserve"> (McGrath, 2013)</w:t>
      </w:r>
      <w:r>
        <w:t>.</w:t>
      </w:r>
      <w:r w:rsidR="003C4CD8">
        <w:t xml:space="preserve"> Our data also include two domestic bankruptcies: </w:t>
      </w:r>
      <w:r w:rsidR="003C4CD8" w:rsidRPr="005D6130">
        <w:rPr>
          <w:lang w:val="en-SG"/>
        </w:rPr>
        <w:t xml:space="preserve">Pinnacle Airlines </w:t>
      </w:r>
      <w:r w:rsidR="003C4CD8">
        <w:rPr>
          <w:lang w:val="en-SG"/>
        </w:rPr>
        <w:t xml:space="preserve">and </w:t>
      </w:r>
      <w:r w:rsidR="003C4CD8">
        <w:t>Mesa Air.</w:t>
      </w:r>
      <w:r>
        <w:t xml:space="preserve"> The duration of </w:t>
      </w:r>
      <w:r w:rsidR="003C4CD8">
        <w:t xml:space="preserve">AA’s </w:t>
      </w:r>
      <w:r>
        <w:t>bankruptcy protection is in line with previously observed bankruptcies in the US airline industry which ranged between five months to more than three years</w:t>
      </w:r>
      <w:r w:rsidR="00696B0D">
        <w:t xml:space="preserve">. </w:t>
      </w:r>
      <w:r w:rsidR="000E76B2">
        <w:t xml:space="preserve">AA </w:t>
      </w:r>
      <w:r w:rsidR="00696B0D">
        <w:t xml:space="preserve">was evidently aware of the perils that entering a Chapter 11 entails, as the firm has clearly declared </w:t>
      </w:r>
      <w:r w:rsidR="00422C9A">
        <w:t xml:space="preserve">less than two months before entering bankruptcy protection </w:t>
      </w:r>
      <w:r w:rsidR="00696B0D">
        <w:t xml:space="preserve">that </w:t>
      </w:r>
      <w:r w:rsidR="00270791">
        <w:t xml:space="preserve">it is </w:t>
      </w:r>
      <w:r w:rsidR="00696B0D">
        <w:t>“</w:t>
      </w:r>
      <w:r w:rsidR="00061FDA">
        <w:t>certai</w:t>
      </w:r>
      <w:r w:rsidR="00696B0D">
        <w:t>nly not our goal or preference”</w:t>
      </w:r>
      <w:r w:rsidR="00422C9A">
        <w:t>.</w:t>
      </w:r>
    </w:p>
    <w:p w14:paraId="650DC54C" w14:textId="0DF06DCC" w:rsidR="00160554" w:rsidRDefault="007F66BA" w:rsidP="00566DE0">
      <w:pPr>
        <w:pStyle w:val="FlietextFolge"/>
        <w:spacing w:line="360" w:lineRule="auto"/>
      </w:pPr>
      <w:r>
        <w:t xml:space="preserve">While </w:t>
      </w:r>
      <w:r w:rsidR="00061FDA">
        <w:t xml:space="preserve">every other major legacy carrier in the US had already filed for </w:t>
      </w:r>
      <w:r w:rsidR="00061FDA" w:rsidRPr="005B7692">
        <w:t>Chapter 11</w:t>
      </w:r>
      <w:r w:rsidR="00061FDA">
        <w:t xml:space="preserve"> at least once</w:t>
      </w:r>
      <w:r>
        <w:t xml:space="preserve"> since 2001 (following 9/11), </w:t>
      </w:r>
      <w:r w:rsidR="00061FDA">
        <w:t xml:space="preserve">AA </w:t>
      </w:r>
      <w:r>
        <w:t>was presumabl</w:t>
      </w:r>
      <w:r w:rsidR="000564E4">
        <w:t>y</w:t>
      </w:r>
      <w:r>
        <w:t xml:space="preserve"> at a disadvantage </w:t>
      </w:r>
      <w:r w:rsidR="00061FDA">
        <w:t xml:space="preserve">in the late 2000s </w:t>
      </w:r>
      <w:r>
        <w:t xml:space="preserve">as </w:t>
      </w:r>
      <w:r w:rsidR="00061FDA">
        <w:t>its major competitors had reduced their debts and renegotiated labour related contracts during bankruptcy</w:t>
      </w:r>
      <w:r w:rsidR="004020A2">
        <w:t>,</w:t>
      </w:r>
      <w:r w:rsidR="00061FDA">
        <w:t xml:space="preserve"> leaving them with a lower cost base.</w:t>
      </w:r>
      <w:r>
        <w:t xml:space="preserve"> Indeed, AA’s </w:t>
      </w:r>
      <w:r w:rsidR="00061FDA" w:rsidRPr="00D54C17">
        <w:t>Turnaround Plan</w:t>
      </w:r>
      <w:r w:rsidR="00061FDA" w:rsidRPr="00A91AA4">
        <w:t xml:space="preserve"> in 2003-2007</w:t>
      </w:r>
      <w:r>
        <w:t xml:space="preserve"> resulted with the industry’</w:t>
      </w:r>
      <w:r w:rsidR="00061FDA" w:rsidRPr="00A91AA4">
        <w:t xml:space="preserve">s </w:t>
      </w:r>
      <w:r w:rsidR="004020A2">
        <w:t>largest</w:t>
      </w:r>
      <w:r w:rsidR="009A4B45">
        <w:t xml:space="preserve"> </w:t>
      </w:r>
      <w:r w:rsidR="00061FDA" w:rsidRPr="00A91AA4">
        <w:t>non-labour cost reductions</w:t>
      </w:r>
      <w:r w:rsidR="00061FDA">
        <w:t xml:space="preserve"> (estimated to </w:t>
      </w:r>
      <w:r w:rsidR="00061FDA" w:rsidRPr="00A91AA4">
        <w:t>$4</w:t>
      </w:r>
      <w:r w:rsidR="00061FDA">
        <w:t xml:space="preserve"> billion</w:t>
      </w:r>
      <w:r w:rsidR="00061FDA" w:rsidRPr="00A91AA4">
        <w:t xml:space="preserve"> of annual savings</w:t>
      </w:r>
      <w:r w:rsidR="00061FDA">
        <w:t>)</w:t>
      </w:r>
      <w:r w:rsidR="004020A2">
        <w:t>,</w:t>
      </w:r>
      <w:r>
        <w:t xml:space="preserve"> along with a </w:t>
      </w:r>
      <w:r w:rsidR="00061FDA">
        <w:t xml:space="preserve">negotiated </w:t>
      </w:r>
      <w:r w:rsidR="00061FDA" w:rsidRPr="00A91AA4">
        <w:t>$1.8</w:t>
      </w:r>
      <w:r w:rsidR="00061FDA">
        <w:t xml:space="preserve"> </w:t>
      </w:r>
      <w:r w:rsidR="00061FDA" w:rsidRPr="00A91AA4">
        <w:t>b</w:t>
      </w:r>
      <w:r w:rsidR="00061FDA">
        <w:t>illio</w:t>
      </w:r>
      <w:r w:rsidR="00061FDA" w:rsidRPr="00A91AA4">
        <w:t>n voluntary labour cost savings</w:t>
      </w:r>
      <w:r w:rsidR="00061FDA">
        <w:t xml:space="preserve"> during this period.</w:t>
      </w:r>
      <w:r w:rsidR="009A4B45">
        <w:t xml:space="preserve"> </w:t>
      </w:r>
      <w:proofErr w:type="gramStart"/>
      <w:r w:rsidR="009A4B45">
        <w:t>In spi</w:t>
      </w:r>
      <w:r w:rsidR="00533F04">
        <w:t>t</w:t>
      </w:r>
      <w:r w:rsidR="009A4B45">
        <w:t>e</w:t>
      </w:r>
      <w:r w:rsidR="00533F04">
        <w:t xml:space="preserve"> of</w:t>
      </w:r>
      <w:proofErr w:type="gramEnd"/>
      <w:r w:rsidR="00533F04">
        <w:t xml:space="preserve"> this</w:t>
      </w:r>
      <w:r>
        <w:t xml:space="preserve">, AA’s </w:t>
      </w:r>
      <w:r w:rsidR="00061FDA" w:rsidRPr="00A91AA4">
        <w:t xml:space="preserve">competitors </w:t>
      </w:r>
      <w:r>
        <w:t xml:space="preserve">have </w:t>
      </w:r>
      <w:r w:rsidR="00061FDA">
        <w:t>achieved higher labour cost savings</w:t>
      </w:r>
      <w:r w:rsidR="00061FDA" w:rsidRPr="00A91AA4">
        <w:t xml:space="preserve"> </w:t>
      </w:r>
      <w:r>
        <w:t>via</w:t>
      </w:r>
      <w:r w:rsidR="00061FDA" w:rsidRPr="00A91AA4">
        <w:t xml:space="preserve"> </w:t>
      </w:r>
      <w:r w:rsidR="00061FDA" w:rsidRPr="005B7692">
        <w:t>Chapter 11</w:t>
      </w:r>
      <w:r>
        <w:t xml:space="preserve">, which </w:t>
      </w:r>
      <w:r w:rsidR="000564E4">
        <w:t>essentially</w:t>
      </w:r>
      <w:r w:rsidR="00061FDA">
        <w:t xml:space="preserve"> leaves </w:t>
      </w:r>
      <w:r w:rsidR="00061FDA" w:rsidRPr="00A91AA4">
        <w:t>A</w:t>
      </w:r>
      <w:r w:rsidR="00061FDA">
        <w:t>A</w:t>
      </w:r>
      <w:r w:rsidR="00061FDA" w:rsidRPr="00A91AA4">
        <w:t xml:space="preserve"> </w:t>
      </w:r>
      <w:r w:rsidR="00061FDA">
        <w:t xml:space="preserve">with </w:t>
      </w:r>
      <w:r w:rsidR="00061FDA" w:rsidRPr="00A91AA4">
        <w:t>a labour cost disadvantage</w:t>
      </w:r>
      <w:r w:rsidR="00061FDA">
        <w:t xml:space="preserve"> (Aviation Economics, 2008).</w:t>
      </w:r>
      <w:r w:rsidR="000564E4">
        <w:t xml:space="preserve"> </w:t>
      </w:r>
    </w:p>
    <w:p w14:paraId="6D9046BB" w14:textId="4F48B769" w:rsidR="00061FDA" w:rsidRDefault="00061FDA" w:rsidP="00566DE0">
      <w:pPr>
        <w:pStyle w:val="FlietextFolge"/>
        <w:spacing w:line="360" w:lineRule="auto"/>
      </w:pPr>
      <w:r>
        <w:t xml:space="preserve">The point </w:t>
      </w:r>
      <w:r w:rsidR="000564E4">
        <w:t xml:space="preserve">was echoed by the CEO of AA in 2012, as he was </w:t>
      </w:r>
      <w:r>
        <w:t>announc</w:t>
      </w:r>
      <w:r w:rsidR="000564E4">
        <w:t>ing</w:t>
      </w:r>
      <w:r>
        <w:t xml:space="preserve"> </w:t>
      </w:r>
      <w:r w:rsidR="000564E4">
        <w:t xml:space="preserve">the firm’s plan </w:t>
      </w:r>
      <w:r w:rsidRPr="00B867D3">
        <w:t>to save $2 billion</w:t>
      </w:r>
      <w:r>
        <w:t xml:space="preserve"> annually, </w:t>
      </w:r>
      <w:r w:rsidR="00533F04">
        <w:t xml:space="preserve">including </w:t>
      </w:r>
      <w:r w:rsidRPr="00B867D3">
        <w:t>$1.25</w:t>
      </w:r>
      <w:r>
        <w:t xml:space="preserve"> </w:t>
      </w:r>
      <w:r w:rsidRPr="00B867D3">
        <w:t>billion</w:t>
      </w:r>
      <w:r>
        <w:t xml:space="preserve"> in labour costs (Carey &amp; Nicas, 2012).</w:t>
      </w:r>
      <w:r w:rsidR="00160554">
        <w:t xml:space="preserve"> </w:t>
      </w:r>
      <w:r w:rsidR="00160554">
        <w:lastRenderedPageBreak/>
        <w:t xml:space="preserve">This plan resulted with </w:t>
      </w:r>
      <w:r>
        <w:t xml:space="preserve">$1.1 billion </w:t>
      </w:r>
      <w:r w:rsidR="00160554">
        <w:t xml:space="preserve">labour cost saving </w:t>
      </w:r>
      <w:r>
        <w:t>annually</w:t>
      </w:r>
      <w:r w:rsidR="00533F04">
        <w:t>,</w:t>
      </w:r>
      <w:r>
        <w:t xml:space="preserve"> through new CBAs and freezing of pension plans</w:t>
      </w:r>
      <w:r w:rsidR="00160554">
        <w:t xml:space="preserve">, along with $450 million of annual savings due to </w:t>
      </w:r>
      <w:r>
        <w:t>renegotiated leasing contracts for aircrafts and executory contracts</w:t>
      </w:r>
      <w:r w:rsidR="0092572E">
        <w:t>.</w:t>
      </w:r>
    </w:p>
    <w:p w14:paraId="54594E75" w14:textId="3D099344" w:rsidR="00061FDA" w:rsidRDefault="00061FDA" w:rsidP="00566DE0">
      <w:pPr>
        <w:pStyle w:val="FlietextFolge"/>
        <w:spacing w:line="360" w:lineRule="auto"/>
      </w:pPr>
      <w:r>
        <w:t xml:space="preserve">On </w:t>
      </w:r>
      <w:r w:rsidRPr="003211E0">
        <w:t>December 9, 2013</w:t>
      </w:r>
      <w:r w:rsidR="00160554" w:rsidRPr="003211E0">
        <w:t xml:space="preserve">, AA </w:t>
      </w:r>
      <w:r w:rsidRPr="003211E0">
        <w:t>emerged from bankruptcy</w:t>
      </w:r>
      <w:r w:rsidR="009A4B45" w:rsidRPr="003211E0">
        <w:rPr>
          <w:rStyle w:val="apple-converted-space"/>
        </w:rPr>
        <w:t xml:space="preserve"> </w:t>
      </w:r>
      <w:r w:rsidRPr="003211E0">
        <w:rPr>
          <w:rStyle w:val="apple-converted-space"/>
        </w:rPr>
        <w:t xml:space="preserve">after merging with </w:t>
      </w:r>
      <w:r w:rsidRPr="003211E0">
        <w:rPr>
          <w:rStyle w:val="SubtleReference"/>
          <w:i w:val="0"/>
          <w:iCs/>
        </w:rPr>
        <w:t>US Airways</w:t>
      </w:r>
      <w:r w:rsidRPr="003211E0">
        <w:t>.</w:t>
      </w:r>
      <w:r w:rsidR="00160554" w:rsidRPr="003211E0">
        <w:t xml:space="preserve"> </w:t>
      </w:r>
      <w:r w:rsidR="00AA10F7" w:rsidRPr="00C326EA">
        <w:t>Prior to the merger, the two airlines had only a dozen overlapping routes out of the combined 900 routes (Mouawad, 2013)</w:t>
      </w:r>
      <w:r w:rsidR="00533F04" w:rsidRPr="00C326EA">
        <w:t>,</w:t>
      </w:r>
      <w:r w:rsidR="00AA10F7" w:rsidRPr="00C326EA">
        <w:t xml:space="preserve"> with none of these 12 overlaps occurring in international markets.</w:t>
      </w:r>
      <w:r w:rsidR="00D847CB" w:rsidRPr="00C326EA">
        <w:t xml:space="preserve"> </w:t>
      </w:r>
      <w:r w:rsidR="00103956">
        <w:rPr>
          <w:lang w:val="en-CA"/>
        </w:rPr>
        <w:t xml:space="preserve">US Airways shareholders received 28% of the shares of the new airline whereas the parent company of American Airlines received 72%. </w:t>
      </w:r>
      <w:r>
        <w:t>The merge</w:t>
      </w:r>
      <w:r w:rsidR="00160554">
        <w:t xml:space="preserve">d airline was better positioned </w:t>
      </w:r>
      <w:r>
        <w:t xml:space="preserve">to compete with </w:t>
      </w:r>
      <w:r w:rsidR="0092572E">
        <w:t xml:space="preserve">the other two network carriers, </w:t>
      </w:r>
      <w:r>
        <w:t>United Airlines and Delta Air Lines</w:t>
      </w:r>
      <w:r w:rsidR="00D847CB">
        <w:t>, both of which have gone through bankruptcies and mergers in the previous decade</w:t>
      </w:r>
      <w:r>
        <w:t xml:space="preserve"> </w:t>
      </w:r>
      <w:r w:rsidR="0092572E">
        <w:t>(</w:t>
      </w:r>
      <w:r w:rsidR="000652AA">
        <w:t>ibid.</w:t>
      </w:r>
      <w:r w:rsidR="0092572E">
        <w:t>).</w:t>
      </w:r>
      <w:r w:rsidR="0092572E" w:rsidRPr="0092572E">
        <w:t xml:space="preserve"> </w:t>
      </w:r>
      <w:r w:rsidR="0092572E">
        <w:t xml:space="preserve">All creditors experienced a 100% recovery rate (partly in equity of the new company), </w:t>
      </w:r>
      <w:r w:rsidR="00533F04">
        <w:t xml:space="preserve">and </w:t>
      </w:r>
      <w:r w:rsidR="0092572E">
        <w:t>equity holders even earned profits (</w:t>
      </w:r>
      <w:proofErr w:type="spellStart"/>
      <w:r w:rsidR="0092572E">
        <w:t>Lynagh</w:t>
      </w:r>
      <w:proofErr w:type="spellEnd"/>
      <w:r w:rsidR="0092572E">
        <w:t xml:space="preserve"> et al., 2013).</w:t>
      </w:r>
      <w:r w:rsidR="00D847CB">
        <w:t xml:space="preserve"> For further discussion of the merger and its approval by the Justice Department, see </w:t>
      </w:r>
      <w:proofErr w:type="spellStart"/>
      <w:r w:rsidR="00D847CB" w:rsidRPr="00D847CB">
        <w:t>DePamphilis</w:t>
      </w:r>
      <w:proofErr w:type="spellEnd"/>
      <w:r w:rsidR="00D847CB">
        <w:t xml:space="preserve"> (2015).</w:t>
      </w:r>
    </w:p>
    <w:p w14:paraId="33636781" w14:textId="42042BEB" w:rsidR="003C4CD8" w:rsidRPr="00CC4B19" w:rsidRDefault="003C4CD8" w:rsidP="00566DE0">
      <w:pPr>
        <w:pStyle w:val="FlietextFolge"/>
        <w:spacing w:line="360" w:lineRule="auto"/>
      </w:pPr>
      <w:r>
        <w:t xml:space="preserve">In our robustness analysis we also include Japan Airline’s bankruptcy. While </w:t>
      </w:r>
      <w:proofErr w:type="gramStart"/>
      <w:r>
        <w:t>similar to</w:t>
      </w:r>
      <w:proofErr w:type="gramEnd"/>
      <w:r>
        <w:t xml:space="preserve"> the process in the US, there are still differences between the two countries. For example, in Japan the government can inject money to support the </w:t>
      </w:r>
      <w:r w:rsidR="00EE3909">
        <w:t xml:space="preserve">reorganization (through the </w:t>
      </w:r>
      <w:r w:rsidR="00EE3909" w:rsidRPr="005D6130">
        <w:t>Enterprise Turnaround Initiative Corp</w:t>
      </w:r>
      <w:r w:rsidR="00EE3909">
        <w:t>oration</w:t>
      </w:r>
      <w:r w:rsidR="00EE3909" w:rsidRPr="005D6130">
        <w:t xml:space="preserve"> of Japan</w:t>
      </w:r>
      <w:r w:rsidR="00EE3909">
        <w:t xml:space="preserve">) and even provide load guarantees. Yet, despite the differences, it is valuable to highlight how two bankruptcies influence pricing behaviour in the international markets. This is carried out later in </w:t>
      </w:r>
      <w:r w:rsidR="00EE3909">
        <w:rPr>
          <w:rFonts w:cs="Times New Roman"/>
        </w:rPr>
        <w:t>§</w:t>
      </w:r>
      <w:r w:rsidR="00EE3909">
        <w:fldChar w:fldCharType="begin"/>
      </w:r>
      <w:r w:rsidR="00EE3909">
        <w:rPr>
          <w:rFonts w:cs="Times New Roman"/>
        </w:rPr>
        <w:instrText xml:space="preserve"> REF _Ref520993623 \r \h </w:instrText>
      </w:r>
      <w:r w:rsidR="00EE3909">
        <w:fldChar w:fldCharType="separate"/>
      </w:r>
      <w:r w:rsidR="00886B31">
        <w:rPr>
          <w:rFonts w:cs="Times New Roman"/>
          <w:cs/>
        </w:rPr>
        <w:t>‎</w:t>
      </w:r>
      <w:r w:rsidR="00886B31">
        <w:rPr>
          <w:rFonts w:cs="Times New Roman"/>
        </w:rPr>
        <w:t>6.4</w:t>
      </w:r>
      <w:r w:rsidR="00EE3909">
        <w:fldChar w:fldCharType="end"/>
      </w:r>
      <w:r w:rsidR="00EE3909">
        <w:t>.</w:t>
      </w:r>
    </w:p>
    <w:p w14:paraId="673231CF" w14:textId="77777777" w:rsidR="00061FDA" w:rsidRDefault="00061FDA" w:rsidP="00061FDA">
      <w:pPr>
        <w:pStyle w:val="FlietextFolge"/>
      </w:pPr>
    </w:p>
    <w:p w14:paraId="239C0B73" w14:textId="315D34BF" w:rsidR="00B860F2" w:rsidRPr="0011694C" w:rsidRDefault="00B860F2" w:rsidP="0011694C">
      <w:pPr>
        <w:pStyle w:val="Heading1"/>
        <w:tabs>
          <w:tab w:val="clear" w:pos="1021"/>
        </w:tabs>
        <w:spacing w:before="120" w:after="120" w:line="360" w:lineRule="auto"/>
        <w:ind w:left="567" w:hanging="567"/>
      </w:pPr>
      <w:bookmarkStart w:id="13" w:name="_Toc451769680"/>
      <w:r w:rsidRPr="0011694C">
        <w:t xml:space="preserve">Data </w:t>
      </w:r>
      <w:r w:rsidR="008773E1" w:rsidRPr="0011694C">
        <w:t>d</w:t>
      </w:r>
      <w:r w:rsidRPr="0011694C">
        <w:t>escription</w:t>
      </w:r>
      <w:bookmarkEnd w:id="13"/>
    </w:p>
    <w:p w14:paraId="39EC339B" w14:textId="0B90B858" w:rsidR="00EF1C10" w:rsidRPr="00DE3CF7" w:rsidRDefault="004615CD" w:rsidP="000E76B2">
      <w:pPr>
        <w:pStyle w:val="FlietextAbstanddavor"/>
        <w:spacing w:before="0" w:line="360" w:lineRule="auto"/>
      </w:pPr>
      <w:r>
        <w:t>T</w:t>
      </w:r>
      <w:r w:rsidR="00485B35">
        <w:t xml:space="preserve">o </w:t>
      </w:r>
      <w:r w:rsidR="00DE110A">
        <w:t>empirically estimate</w:t>
      </w:r>
      <w:r w:rsidR="00485B35">
        <w:t xml:space="preserve"> the effects of </w:t>
      </w:r>
      <w:r w:rsidR="005B7692" w:rsidRPr="005B7692">
        <w:t>Chapter 11</w:t>
      </w:r>
      <w:r w:rsidR="00485B35">
        <w:t xml:space="preserve"> on market competition in the </w:t>
      </w:r>
      <w:r w:rsidR="00E1313C">
        <w:t>E</w:t>
      </w:r>
      <w:r>
        <w:t>urope</w:t>
      </w:r>
      <w:r w:rsidR="00485B35">
        <w:t xml:space="preserve">-US market </w:t>
      </w:r>
      <w:r w:rsidRPr="00C71958">
        <w:t xml:space="preserve">Global Distribution System </w:t>
      </w:r>
      <w:r>
        <w:t xml:space="preserve">(GDS) </w:t>
      </w:r>
      <w:r w:rsidRPr="00C71958">
        <w:t>data obtained from</w:t>
      </w:r>
      <w:r>
        <w:t xml:space="preserve"> a major provider (</w:t>
      </w:r>
      <w:r w:rsidRPr="004615CD">
        <w:rPr>
          <w:rStyle w:val="SubtleReference"/>
          <w:i w:val="0"/>
          <w:iCs/>
        </w:rPr>
        <w:t xml:space="preserve">Sabre </w:t>
      </w:r>
      <w:proofErr w:type="spellStart"/>
      <w:r w:rsidRPr="004615CD">
        <w:rPr>
          <w:rStyle w:val="SubtleReference"/>
          <w:i w:val="0"/>
          <w:iCs/>
        </w:rPr>
        <w:t>AirVision</w:t>
      </w:r>
      <w:proofErr w:type="spellEnd"/>
      <w:r w:rsidRPr="004615CD">
        <w:rPr>
          <w:rStyle w:val="SubtleReference"/>
          <w:i w:val="0"/>
          <w:iCs/>
        </w:rPr>
        <w:t>)</w:t>
      </w:r>
      <w:r w:rsidR="00533F04">
        <w:rPr>
          <w:rStyle w:val="SubtleReference"/>
          <w:i w:val="0"/>
          <w:iCs/>
        </w:rPr>
        <w:t xml:space="preserve"> were used</w:t>
      </w:r>
      <w:r>
        <w:rPr>
          <w:rStyle w:val="SubtleReference"/>
          <w:i w:val="0"/>
          <w:iCs/>
        </w:rPr>
        <w:t xml:space="preserve">. GDSs facilitate transactions between providers of travel services (airlines) and travel agencies. GDSs can provide extensive information on travel itineraries. The data obtained </w:t>
      </w:r>
      <w:r w:rsidR="00533F04">
        <w:t>are</w:t>
      </w:r>
      <w:r>
        <w:t xml:space="preserve"> for </w:t>
      </w:r>
      <w:r w:rsidR="008C11A5">
        <w:t xml:space="preserve">an </w:t>
      </w:r>
      <w:r>
        <w:t>on</w:t>
      </w:r>
      <w:r w:rsidR="008C11A5">
        <w:t>-</w:t>
      </w:r>
      <w:r w:rsidR="00485B35">
        <w:t xml:space="preserve">leg </w:t>
      </w:r>
      <w:r>
        <w:t xml:space="preserve">basis </w:t>
      </w:r>
      <w:r w:rsidR="00485B35">
        <w:t xml:space="preserve">for </w:t>
      </w:r>
      <w:r>
        <w:t xml:space="preserve">US domestic flights as well as </w:t>
      </w:r>
      <w:r w:rsidR="00485B35">
        <w:t>flights between North America and Europe</w:t>
      </w:r>
      <w:r w:rsidR="009002DA">
        <w:t>. The data</w:t>
      </w:r>
      <w:r w:rsidR="003C7E36">
        <w:t xml:space="preserve"> </w:t>
      </w:r>
      <w:r w:rsidR="009002DA">
        <w:t>include</w:t>
      </w:r>
      <w:r w:rsidR="002D0957">
        <w:t xml:space="preserve"> information on average fares and</w:t>
      </w:r>
      <w:r w:rsidR="003C7E36">
        <w:t xml:space="preserve"> airline passenger share on the respective routes</w:t>
      </w:r>
      <w:r w:rsidR="002D0957">
        <w:t xml:space="preserve"> on a monthly basis</w:t>
      </w:r>
      <w:r>
        <w:t>,</w:t>
      </w:r>
      <w:r w:rsidR="009002DA">
        <w:t xml:space="preserve"> and the great circle distance</w:t>
      </w:r>
      <w:r w:rsidR="003C7E36">
        <w:t xml:space="preserve"> </w:t>
      </w:r>
      <w:r w:rsidR="009002DA">
        <w:t>between the origin and destination airport</w:t>
      </w:r>
      <w:r>
        <w:t>s</w:t>
      </w:r>
      <w:r w:rsidR="003C7E36">
        <w:t>.</w:t>
      </w:r>
      <w:r w:rsidR="006B03B0">
        <w:t xml:space="preserve"> </w:t>
      </w:r>
      <w:r w:rsidR="005F6015">
        <w:rPr>
          <w:lang w:val="en-CA"/>
        </w:rPr>
        <w:t>D</w:t>
      </w:r>
      <w:r w:rsidR="00E61052">
        <w:rPr>
          <w:lang w:val="en-CA"/>
        </w:rPr>
        <w:t xml:space="preserve">ata obtained </w:t>
      </w:r>
      <w:r w:rsidR="005F6015">
        <w:rPr>
          <w:lang w:val="en-CA"/>
        </w:rPr>
        <w:t xml:space="preserve">were </w:t>
      </w:r>
      <w:r w:rsidR="00E61052">
        <w:rPr>
          <w:lang w:val="en-CA"/>
        </w:rPr>
        <w:t xml:space="preserve">for the </w:t>
      </w:r>
      <w:r w:rsidR="005F6015">
        <w:rPr>
          <w:lang w:val="en-CA"/>
        </w:rPr>
        <w:t>2009</w:t>
      </w:r>
      <w:r w:rsidR="00E61052">
        <w:rPr>
          <w:lang w:val="en-CA"/>
        </w:rPr>
        <w:t>-2015 period</w:t>
      </w:r>
      <w:r w:rsidR="00D50005">
        <w:t>.</w:t>
      </w:r>
      <w:r w:rsidR="006173DA">
        <w:t xml:space="preserve"> </w:t>
      </w:r>
      <w:r w:rsidR="00E61052">
        <w:t xml:space="preserve">Accordingly, </w:t>
      </w:r>
      <w:r w:rsidR="00F30941">
        <w:t>the unit</w:t>
      </w:r>
      <w:r w:rsidR="006173DA">
        <w:t xml:space="preserve"> of observation </w:t>
      </w:r>
      <w:r w:rsidR="00F30941">
        <w:t>is a</w:t>
      </w:r>
      <w:r w:rsidR="006173DA">
        <w:t xml:space="preserve"> ca</w:t>
      </w:r>
      <w:r w:rsidR="00F30941">
        <w:t>rrier-route-year-</w:t>
      </w:r>
      <w:r w:rsidR="00EA0B53">
        <w:t>month</w:t>
      </w:r>
      <w:r w:rsidR="00F30941">
        <w:t xml:space="preserve"> combination</w:t>
      </w:r>
      <w:r w:rsidR="002D78CA">
        <w:t>.</w:t>
      </w:r>
      <w:r w:rsidR="000E76B2">
        <w:t xml:space="preserve"> </w:t>
      </w:r>
      <w:r w:rsidR="00E60E50">
        <w:t>In the scope of this work a route is defined as a non-stop airport-to-airport trip.</w:t>
      </w:r>
      <w:r w:rsidR="000575B6">
        <w:t xml:space="preserve"> </w:t>
      </w:r>
    </w:p>
    <w:p w14:paraId="76DB65B5" w14:textId="3075CF9B" w:rsidR="00EF1C10" w:rsidRDefault="00A8584D" w:rsidP="00566DE0">
      <w:pPr>
        <w:pStyle w:val="FlietextFolge"/>
        <w:spacing w:line="360" w:lineRule="auto"/>
      </w:pPr>
      <w:r>
        <w:lastRenderedPageBreak/>
        <w:t>T</w:t>
      </w:r>
      <w:r w:rsidR="00A56868">
        <w:t>hin markets</w:t>
      </w:r>
      <w:r>
        <w:t xml:space="preserve"> could have a distortive effect on the analysis because of different</w:t>
      </w:r>
      <w:r w:rsidR="00C704F3">
        <w:t xml:space="preserve"> competitive situations in contrast to larger </w:t>
      </w:r>
      <w:r w:rsidR="00C704F3" w:rsidRPr="00CF1CFD">
        <w:t>markets</w:t>
      </w:r>
      <w:r w:rsidRPr="00CF1CFD">
        <w:t>.</w:t>
      </w:r>
      <w:r w:rsidR="00A56868" w:rsidRPr="00CF1CFD">
        <w:t xml:space="preserve"> </w:t>
      </w:r>
      <w:r w:rsidR="00C704F3" w:rsidRPr="00CF1CFD">
        <w:t>Therefore</w:t>
      </w:r>
      <w:r w:rsidR="00EF1C10">
        <w:t>,</w:t>
      </w:r>
      <w:r w:rsidR="00C704F3" w:rsidRPr="00CF1CFD">
        <w:t xml:space="preserve"> </w:t>
      </w:r>
      <w:r w:rsidR="00CF1CFD" w:rsidRPr="00CF1CFD">
        <w:t xml:space="preserve">the analysis includes only the densest </w:t>
      </w:r>
      <w:r w:rsidR="000575B6">
        <w:t>routes</w:t>
      </w:r>
      <w:r w:rsidR="00CF1CFD" w:rsidRPr="00CF1CFD">
        <w:t xml:space="preserve"> which cover 50% of the total traffic</w:t>
      </w:r>
      <w:r w:rsidR="00EF1C10">
        <w:t xml:space="preserve"> b</w:t>
      </w:r>
      <w:r w:rsidR="00EF1C10" w:rsidRPr="008B7B32">
        <w:t>ased on pas</w:t>
      </w:r>
      <w:r w:rsidR="00EF1C10">
        <w:t>senger numbers in 2012</w:t>
      </w:r>
      <w:r w:rsidR="00CF1CFD" w:rsidRPr="00CF1CFD">
        <w:t xml:space="preserve"> in domestic and international markets</w:t>
      </w:r>
      <w:r w:rsidR="00EF1C10">
        <w:t>,</w:t>
      </w:r>
      <w:r w:rsidR="00CF1CFD" w:rsidRPr="00CF1CFD">
        <w:t xml:space="preserve"> respectively</w:t>
      </w:r>
      <w:r w:rsidR="00EF1C10">
        <w:t>.</w:t>
      </w:r>
      <w:r w:rsidR="00EF1C10" w:rsidRPr="00EF1C10">
        <w:t xml:space="preserve"> To test for </w:t>
      </w:r>
      <w:r w:rsidR="00EF1C10">
        <w:t>the robustness of the results,</w:t>
      </w:r>
      <w:r w:rsidR="00EF1C10" w:rsidRPr="00EF1C10">
        <w:t xml:space="preserve"> 25% </w:t>
      </w:r>
      <w:r w:rsidR="006F2B39">
        <w:t xml:space="preserve">and 75% </w:t>
      </w:r>
      <w:r w:rsidR="00EF1C10" w:rsidRPr="00EF1C10">
        <w:t>cut-off</w:t>
      </w:r>
      <w:r w:rsidR="006F2B39">
        <w:t>s</w:t>
      </w:r>
      <w:r w:rsidR="00EF1C10" w:rsidRPr="00EF1C10">
        <w:t xml:space="preserve"> </w:t>
      </w:r>
      <w:r w:rsidR="006F2B39">
        <w:t>are</w:t>
      </w:r>
      <w:r w:rsidR="006F2B39" w:rsidRPr="00EF1C10">
        <w:t xml:space="preserve"> </w:t>
      </w:r>
      <w:r w:rsidR="00EF1C10" w:rsidRPr="00EF1C10">
        <w:t>discussed in §</w:t>
      </w:r>
      <w:r w:rsidR="00EF1C10" w:rsidRPr="00EF1C10">
        <w:fldChar w:fldCharType="begin"/>
      </w:r>
      <w:r w:rsidR="00EF1C10" w:rsidRPr="00EF1C10">
        <w:instrText xml:space="preserve"> REF _Ref452966780 \r \h  \* MERGEFORMAT </w:instrText>
      </w:r>
      <w:r w:rsidR="00EF1C10" w:rsidRPr="00EF1C10">
        <w:fldChar w:fldCharType="separate"/>
      </w:r>
      <w:r w:rsidR="00886B31">
        <w:rPr>
          <w:cs/>
        </w:rPr>
        <w:t>‎</w:t>
      </w:r>
      <w:r w:rsidR="00EF1C10" w:rsidRPr="00EF1C10">
        <w:fldChar w:fldCharType="end"/>
      </w:r>
      <w:r w:rsidR="006F2B39">
        <w:fldChar w:fldCharType="begin"/>
      </w:r>
      <w:r w:rsidR="006F2B39">
        <w:instrText xml:space="preserve"> REF _Ref486852306 \r \h </w:instrText>
      </w:r>
      <w:r w:rsidR="006F2B39">
        <w:fldChar w:fldCharType="separate"/>
      </w:r>
      <w:r w:rsidR="006F2B39">
        <w:rPr>
          <w:cs/>
        </w:rPr>
        <w:t>‎</w:t>
      </w:r>
      <w:r w:rsidR="006F2B39">
        <w:t>6.1</w:t>
      </w:r>
      <w:r w:rsidR="006F2B39">
        <w:fldChar w:fldCharType="end"/>
      </w:r>
      <w:r w:rsidR="00EF1C10">
        <w:t>, and in the appendix we consider a threshold based on passenger volume, rather than percentage-based</w:t>
      </w:r>
      <w:r w:rsidR="00EF1C10" w:rsidRPr="00EF1C10">
        <w:t>.</w:t>
      </w:r>
    </w:p>
    <w:p w14:paraId="46FE5AB1" w14:textId="42BB55C9" w:rsidR="00EF1C10" w:rsidRDefault="00EF1C10" w:rsidP="00566DE0">
      <w:pPr>
        <w:pStyle w:val="FlietextFolge"/>
        <w:spacing w:line="360" w:lineRule="auto"/>
      </w:pPr>
      <w:r w:rsidRPr="00DE3CF7">
        <w:t>AA operate</w:t>
      </w:r>
      <w:r w:rsidR="00533F04">
        <w:t>d</w:t>
      </w:r>
      <w:r w:rsidRPr="00DE3CF7">
        <w:t xml:space="preserve"> in </w:t>
      </w:r>
      <w:r w:rsidR="00170785">
        <w:t>34</w:t>
      </w:r>
      <w:r w:rsidR="00170785" w:rsidRPr="00DE3CF7">
        <w:t xml:space="preserve"> </w:t>
      </w:r>
      <w:r w:rsidRPr="00DE3CF7">
        <w:t xml:space="preserve">of the </w:t>
      </w:r>
      <w:r w:rsidR="00170785">
        <w:t>86</w:t>
      </w:r>
      <w:r w:rsidR="00170785" w:rsidRPr="00DE3CF7">
        <w:t xml:space="preserve"> </w:t>
      </w:r>
      <w:r>
        <w:t>Europe</w:t>
      </w:r>
      <w:r w:rsidRPr="00DE3CF7">
        <w:t xml:space="preserve">-US routes during bankruptcy, and in </w:t>
      </w:r>
      <w:r w:rsidR="003E572C">
        <w:t>32</w:t>
      </w:r>
      <w:r w:rsidR="003E572C" w:rsidRPr="00DE3CF7">
        <w:t xml:space="preserve"> </w:t>
      </w:r>
      <w:r w:rsidRPr="00DE3CF7">
        <w:t>after emerging from Chapter 11. In US domestic markets AA operate</w:t>
      </w:r>
      <w:r w:rsidR="00533F04">
        <w:t>d</w:t>
      </w:r>
      <w:r w:rsidRPr="00DE3CF7">
        <w:t xml:space="preserve"> during bankruptcy in </w:t>
      </w:r>
      <w:r w:rsidR="008B37C8">
        <w:t>165</w:t>
      </w:r>
      <w:r w:rsidR="008B37C8" w:rsidRPr="00DE3CF7">
        <w:t xml:space="preserve"> </w:t>
      </w:r>
      <w:r w:rsidRPr="00DE3CF7">
        <w:t xml:space="preserve">of the </w:t>
      </w:r>
      <w:r w:rsidR="008B37C8">
        <w:t>688</w:t>
      </w:r>
      <w:r w:rsidR="008B37C8" w:rsidRPr="00DE3CF7">
        <w:t xml:space="preserve"> </w:t>
      </w:r>
      <w:r w:rsidRPr="00DE3CF7">
        <w:t>routes</w:t>
      </w:r>
      <w:r>
        <w:t xml:space="preserve"> in the sample</w:t>
      </w:r>
      <w:r w:rsidRPr="00DE3CF7">
        <w:t xml:space="preserve">, and in </w:t>
      </w:r>
      <w:r w:rsidR="008B37C8">
        <w:t>180</w:t>
      </w:r>
      <w:r w:rsidR="008B37C8" w:rsidRPr="00DE3CF7">
        <w:t xml:space="preserve"> </w:t>
      </w:r>
      <w:r w:rsidRPr="00DE3CF7">
        <w:t>after emerging from Chapter 11 protection.</w:t>
      </w:r>
      <w:r w:rsidR="006F2B39">
        <w:rPr>
          <w:rStyle w:val="FootnoteReference"/>
        </w:rPr>
        <w:footnoteReference w:id="3"/>
      </w:r>
    </w:p>
    <w:p w14:paraId="11B4ADAC" w14:textId="0DDCACFA" w:rsidR="00C83D74" w:rsidRDefault="00C83D74" w:rsidP="001C25EF">
      <w:pPr>
        <w:pStyle w:val="FlietextFolge"/>
        <w:spacing w:line="360" w:lineRule="auto"/>
      </w:pPr>
      <w:r>
        <w:t xml:space="preserve">Apart from AA’s bankruptcy, our data contains additional </w:t>
      </w:r>
      <w:r w:rsidR="00053964">
        <w:t>bankruptcies. Specifically,</w:t>
      </w:r>
      <w:r w:rsidR="00053964" w:rsidRPr="005D6130">
        <w:rPr>
          <w:lang w:val="en-SG"/>
        </w:rPr>
        <w:t xml:space="preserve"> Pinnacle Airlines </w:t>
      </w:r>
      <w:r w:rsidR="00053964">
        <w:rPr>
          <w:lang w:val="en-SG"/>
        </w:rPr>
        <w:t xml:space="preserve">which was under bankruptcy protection between April </w:t>
      </w:r>
      <w:r w:rsidR="00053964" w:rsidRPr="005D6130">
        <w:rPr>
          <w:lang w:val="en-SG"/>
        </w:rPr>
        <w:t>2012</w:t>
      </w:r>
      <w:r w:rsidR="00053964">
        <w:rPr>
          <w:lang w:val="en-SG"/>
        </w:rPr>
        <w:t xml:space="preserve"> and </w:t>
      </w:r>
      <w:proofErr w:type="gramStart"/>
      <w:r w:rsidR="00053964">
        <w:rPr>
          <w:lang w:val="en-SG"/>
        </w:rPr>
        <w:t xml:space="preserve">May </w:t>
      </w:r>
      <w:r w:rsidR="00053964" w:rsidRPr="005D6130">
        <w:rPr>
          <w:lang w:val="en-SG"/>
        </w:rPr>
        <w:t>2013</w:t>
      </w:r>
      <w:r w:rsidR="00053964">
        <w:rPr>
          <w:lang w:val="en-SG"/>
        </w:rPr>
        <w:t>,</w:t>
      </w:r>
      <w:r w:rsidR="009D13EB">
        <w:rPr>
          <w:lang w:val="en-SG"/>
        </w:rPr>
        <w:t xml:space="preserve"> </w:t>
      </w:r>
      <w:r w:rsidR="00B23FB7">
        <w:rPr>
          <w:lang w:val="en-SG"/>
        </w:rPr>
        <w:t>and</w:t>
      </w:r>
      <w:proofErr w:type="gramEnd"/>
      <w:r w:rsidR="00B23FB7">
        <w:rPr>
          <w:lang w:val="en-SG"/>
        </w:rPr>
        <w:t xml:space="preserve"> </w:t>
      </w:r>
      <w:r w:rsidR="009D13EB">
        <w:rPr>
          <w:lang w:val="en-SG"/>
        </w:rPr>
        <w:t>operat</w:t>
      </w:r>
      <w:r w:rsidR="00B23FB7">
        <w:rPr>
          <w:lang w:val="en-SG"/>
        </w:rPr>
        <w:t>ed</w:t>
      </w:r>
      <w:r w:rsidR="009D13EB">
        <w:rPr>
          <w:lang w:val="en-SG"/>
        </w:rPr>
        <w:t xml:space="preserve"> in 41 of the 688 domestic routes in the sample </w:t>
      </w:r>
      <w:r w:rsidR="00701086">
        <w:rPr>
          <w:lang w:val="en-SG"/>
        </w:rPr>
        <w:t xml:space="preserve">during bankruptcy </w:t>
      </w:r>
      <w:r w:rsidR="009D13EB">
        <w:rPr>
          <w:lang w:val="en-SG"/>
        </w:rPr>
        <w:t>and in 24 after emerging from Chapter 11.</w:t>
      </w:r>
      <w:r w:rsidR="00053964">
        <w:rPr>
          <w:lang w:val="en-SG"/>
        </w:rPr>
        <w:t xml:space="preserve"> </w:t>
      </w:r>
      <w:r w:rsidR="009D13EB">
        <w:rPr>
          <w:lang w:val="en-SG"/>
        </w:rPr>
        <w:t>Furthermore</w:t>
      </w:r>
      <w:r w:rsidR="00E31689">
        <w:rPr>
          <w:lang w:val="en-SG"/>
        </w:rPr>
        <w:t>,</w:t>
      </w:r>
      <w:r w:rsidR="009D13EB">
        <w:rPr>
          <w:lang w:val="en-SG"/>
        </w:rPr>
        <w:t xml:space="preserve"> </w:t>
      </w:r>
      <w:r w:rsidR="00053964">
        <w:t>Mesa Air that was under such protection between January 2010 and March 2011</w:t>
      </w:r>
      <w:r w:rsidR="009D13EB">
        <w:t>, operat</w:t>
      </w:r>
      <w:r w:rsidR="00B23FB7">
        <w:t>ed</w:t>
      </w:r>
      <w:r w:rsidR="009D13EB">
        <w:t xml:space="preserve"> in</w:t>
      </w:r>
      <w:r w:rsidR="00161049">
        <w:t xml:space="preserve"> 52</w:t>
      </w:r>
      <w:r w:rsidR="00572379">
        <w:t xml:space="preserve"> of the 688 do</w:t>
      </w:r>
      <w:r w:rsidR="00701086">
        <w:t xml:space="preserve">mestic routes in the bankruptcy period </w:t>
      </w:r>
      <w:r w:rsidR="00572379">
        <w:t xml:space="preserve">and in </w:t>
      </w:r>
      <w:r w:rsidR="00161049">
        <w:t>46</w:t>
      </w:r>
      <w:r w:rsidR="00572379">
        <w:t xml:space="preserve"> after emerging</w:t>
      </w:r>
      <w:r w:rsidR="00053964">
        <w:t xml:space="preserve">. </w:t>
      </w:r>
      <w:r w:rsidR="000E7CD0">
        <w:t>W</w:t>
      </w:r>
      <w:r w:rsidR="00053964">
        <w:t>e also obtained data that covers the Japan Airlines bankruptcy (January 2010</w:t>
      </w:r>
      <w:r w:rsidR="00314719">
        <w:t xml:space="preserve"> – March 2011)</w:t>
      </w:r>
      <w:r w:rsidR="000E7CD0">
        <w:t>, as a robustness check (</w:t>
      </w:r>
      <w:r w:rsidR="000E7CD0">
        <w:rPr>
          <w:rFonts w:cs="Times New Roman"/>
        </w:rPr>
        <w:t>§</w:t>
      </w:r>
      <w:r w:rsidR="000E7CD0">
        <w:fldChar w:fldCharType="begin"/>
      </w:r>
      <w:r w:rsidR="000E7CD0">
        <w:rPr>
          <w:rFonts w:cs="Times New Roman"/>
        </w:rPr>
        <w:instrText xml:space="preserve"> REF _Ref520993623 \n \h </w:instrText>
      </w:r>
      <w:r w:rsidR="000E7CD0">
        <w:fldChar w:fldCharType="separate"/>
      </w:r>
      <w:r w:rsidR="00886B31">
        <w:rPr>
          <w:rFonts w:cs="Times New Roman"/>
          <w:cs/>
        </w:rPr>
        <w:t>‎</w:t>
      </w:r>
      <w:r w:rsidR="00886B31">
        <w:rPr>
          <w:rFonts w:cs="Times New Roman"/>
        </w:rPr>
        <w:t>6.4</w:t>
      </w:r>
      <w:r w:rsidR="000E7CD0">
        <w:fldChar w:fldCharType="end"/>
      </w:r>
      <w:r w:rsidR="000E7CD0">
        <w:t>).</w:t>
      </w:r>
      <w:r w:rsidR="00314719">
        <w:t xml:space="preserve"> </w:t>
      </w:r>
      <w:r w:rsidR="00273A03">
        <w:t xml:space="preserve">Japan Airlines operated in 12 of the 14 US-Japan routes during bankruptcy and in 11 after emerging from bankruptcy protection. </w:t>
      </w:r>
      <w:r w:rsidR="001C25EF">
        <w:t xml:space="preserve">However, as we only have the US-Japan data without the Japanese domestic data we are unable to compare the change in fares in the international market to that in the domestic </w:t>
      </w:r>
      <w:r w:rsidR="005D6130">
        <w:t xml:space="preserve">Japanese </w:t>
      </w:r>
      <w:r w:rsidR="001C25EF">
        <w:t>market. Hence, we include this analysis only in the robustness checks</w:t>
      </w:r>
      <w:r w:rsidR="005D6130">
        <w:t>.</w:t>
      </w:r>
      <w:r w:rsidR="001C25EF">
        <w:t xml:space="preserve"> </w:t>
      </w:r>
    </w:p>
    <w:p w14:paraId="59299D53" w14:textId="45BF1BBC" w:rsidR="00113911" w:rsidRDefault="00161BF9" w:rsidP="00566DE0">
      <w:pPr>
        <w:pStyle w:val="FlietextFolge"/>
        <w:spacing w:line="360" w:lineRule="auto"/>
        <w:rPr>
          <w:noProof/>
        </w:rPr>
      </w:pPr>
      <w:r>
        <w:t xml:space="preserve">Carriers that do not </w:t>
      </w:r>
      <w:r w:rsidR="00547F3B">
        <w:t>provide service on</w:t>
      </w:r>
      <w:r>
        <w:t xml:space="preserve"> a specific route on a regular basis could distort the results of the analysis. </w:t>
      </w:r>
      <w:r w:rsidR="00547F3B">
        <w:t>Nevertheless</w:t>
      </w:r>
      <w:r w:rsidR="00113911">
        <w:t>,</w:t>
      </w:r>
      <w:r w:rsidR="00547F3B">
        <w:t xml:space="preserve"> they could appear in the dataset because of</w:t>
      </w:r>
      <w:r w:rsidR="00113911">
        <w:t>,</w:t>
      </w:r>
      <w:r w:rsidR="00547F3B">
        <w:t xml:space="preserve"> e.g.</w:t>
      </w:r>
      <w:r w:rsidR="00113911">
        <w:t>,</w:t>
      </w:r>
      <w:r w:rsidR="00547F3B">
        <w:t xml:space="preserve"> rerouting (airport closure, weather situation</w:t>
      </w:r>
      <w:r w:rsidR="00533F04">
        <w:t>s</w:t>
      </w:r>
      <w:r w:rsidR="00113911">
        <w:t>,</w:t>
      </w:r>
      <w:r w:rsidR="00547F3B">
        <w:t xml:space="preserve"> etc.). </w:t>
      </w:r>
      <w:r>
        <w:t>Therefore</w:t>
      </w:r>
      <w:r w:rsidR="00113911">
        <w:t>,</w:t>
      </w:r>
      <w:r>
        <w:t xml:space="preserve"> airlines with a passenger</w:t>
      </w:r>
      <w:r w:rsidR="00987FAC">
        <w:t xml:space="preserve"> share of less than 5% on a specific route within </w:t>
      </w:r>
      <w:r w:rsidR="00113911">
        <w:t xml:space="preserve">the corresponding </w:t>
      </w:r>
      <w:r w:rsidR="00987FAC">
        <w:t xml:space="preserve">month </w:t>
      </w:r>
      <w:r>
        <w:t>are excluded from the analysis.</w:t>
      </w:r>
      <w:r w:rsidR="00730B73">
        <w:t xml:space="preserve"> </w:t>
      </w:r>
      <w:proofErr w:type="spellStart"/>
      <w:r w:rsidR="005175D7" w:rsidRPr="00F4110F">
        <w:t>Barla</w:t>
      </w:r>
      <w:proofErr w:type="spellEnd"/>
      <w:r w:rsidR="005175D7" w:rsidRPr="00F4110F">
        <w:t xml:space="preserve"> </w:t>
      </w:r>
      <w:r w:rsidR="004C6B26">
        <w:t>and</w:t>
      </w:r>
      <w:r w:rsidR="005175D7" w:rsidRPr="00F4110F">
        <w:t xml:space="preserve"> Koo </w:t>
      </w:r>
      <w:sdt>
        <w:sdtPr>
          <w:id w:val="-811784805"/>
          <w:citation/>
        </w:sdtPr>
        <w:sdtEndPr/>
        <w:sdtContent>
          <w:r w:rsidR="005175D7" w:rsidRPr="00F4110F">
            <w:fldChar w:fldCharType="begin"/>
          </w:r>
          <w:r w:rsidR="008A2263">
            <w:instrText xml:space="preserve">CITATION Bar99 \n  \t  \l 1031 </w:instrText>
          </w:r>
          <w:r w:rsidR="005175D7" w:rsidRPr="00F4110F">
            <w:fldChar w:fldCharType="separate"/>
          </w:r>
          <w:r w:rsidR="00886B31" w:rsidRPr="00E52C8D">
            <w:rPr>
              <w:noProof/>
            </w:rPr>
            <w:t>(1999)</w:t>
          </w:r>
          <w:r w:rsidR="005175D7" w:rsidRPr="00F4110F">
            <w:fldChar w:fldCharType="end"/>
          </w:r>
        </w:sdtContent>
      </w:sdt>
      <w:r w:rsidR="00A72FCC">
        <w:t xml:space="preserve"> </w:t>
      </w:r>
      <w:r w:rsidR="00DA7D7D">
        <w:t xml:space="preserve">use a similar </w:t>
      </w:r>
      <w:r w:rsidR="00113911">
        <w:t xml:space="preserve">cleaning </w:t>
      </w:r>
      <w:r w:rsidR="00DA7D7D">
        <w:t xml:space="preserve">and </w:t>
      </w:r>
      <w:r w:rsidR="00A72FCC">
        <w:t>drop</w:t>
      </w:r>
      <w:r w:rsidR="00DA7D7D">
        <w:t xml:space="preserve"> observations for</w:t>
      </w:r>
      <w:r w:rsidR="00A72FCC">
        <w:t xml:space="preserve"> airlines with a market share of less than 3%.</w:t>
      </w:r>
      <w:r w:rsidR="007E1BFB">
        <w:t xml:space="preserve"> </w:t>
      </w:r>
      <w:r w:rsidR="007E1BFB" w:rsidRPr="001748E1">
        <w:rPr>
          <w:noProof/>
        </w:rPr>
        <w:t xml:space="preserve">Ciliberto </w:t>
      </w:r>
      <w:r w:rsidR="004C6B26">
        <w:rPr>
          <w:noProof/>
        </w:rPr>
        <w:t>and</w:t>
      </w:r>
      <w:r w:rsidR="007E1BFB" w:rsidRPr="001748E1">
        <w:rPr>
          <w:noProof/>
        </w:rPr>
        <w:t xml:space="preserve"> Schenone</w:t>
      </w:r>
      <w:r w:rsidR="007E1BFB">
        <w:rPr>
          <w:noProof/>
        </w:rPr>
        <w:t xml:space="preserve"> </w:t>
      </w:r>
      <w:sdt>
        <w:sdtPr>
          <w:rPr>
            <w:noProof/>
          </w:rPr>
          <w:id w:val="623970990"/>
          <w:citation/>
        </w:sdtPr>
        <w:sdtEndPr/>
        <w:sdtContent>
          <w:r w:rsidR="007E1BFB">
            <w:rPr>
              <w:noProof/>
            </w:rPr>
            <w:fldChar w:fldCharType="begin"/>
          </w:r>
          <w:r w:rsidR="008A2263">
            <w:rPr>
              <w:noProof/>
            </w:rPr>
            <w:instrText xml:space="preserve">CITATION Cil12 \n  \t  \l 1031 </w:instrText>
          </w:r>
          <w:r w:rsidR="007E1BFB">
            <w:rPr>
              <w:noProof/>
            </w:rPr>
            <w:fldChar w:fldCharType="separate"/>
          </w:r>
          <w:r w:rsidR="00886B31" w:rsidRPr="00E52C8D">
            <w:rPr>
              <w:noProof/>
            </w:rPr>
            <w:t>(2012a)</w:t>
          </w:r>
          <w:r w:rsidR="007E1BFB">
            <w:rPr>
              <w:noProof/>
            </w:rPr>
            <w:fldChar w:fldCharType="end"/>
          </w:r>
        </w:sdtContent>
      </w:sdt>
      <w:r w:rsidR="007E1BFB">
        <w:rPr>
          <w:noProof/>
        </w:rPr>
        <w:t xml:space="preserve"> </w:t>
      </w:r>
      <w:r w:rsidR="00113911">
        <w:rPr>
          <w:noProof/>
        </w:rPr>
        <w:t>use a different cleaning method according to which</w:t>
      </w:r>
      <w:r w:rsidR="007E1BFB">
        <w:rPr>
          <w:noProof/>
        </w:rPr>
        <w:t xml:space="preserve"> they drop observations for airlines with less than one departure every week in one direction.</w:t>
      </w:r>
    </w:p>
    <w:p w14:paraId="782A557C" w14:textId="48745085" w:rsidR="005966F5" w:rsidRDefault="00B354B2" w:rsidP="00566DE0">
      <w:pPr>
        <w:pStyle w:val="FlietextFolge"/>
        <w:spacing w:line="360" w:lineRule="auto"/>
      </w:pPr>
      <w:r>
        <w:t xml:space="preserve">The GDS fares </w:t>
      </w:r>
      <w:r w:rsidR="00533F04">
        <w:t xml:space="preserve">obtained </w:t>
      </w:r>
      <w:r>
        <w:t xml:space="preserve">are weighted </w:t>
      </w:r>
      <w:r w:rsidR="00537A15">
        <w:t xml:space="preserve">monthly </w:t>
      </w:r>
      <w:r>
        <w:t>average</w:t>
      </w:r>
      <w:r w:rsidR="00537A15">
        <w:t>s.</w:t>
      </w:r>
      <w:r>
        <w:t xml:space="preserve"> </w:t>
      </w:r>
      <w:r w:rsidR="00A56868">
        <w:t>This means that</w:t>
      </w:r>
      <w:r w:rsidR="00384EB6">
        <w:t xml:space="preserve"> the average fare</w:t>
      </w:r>
      <w:r w:rsidR="00A9608F">
        <w:t>s</w:t>
      </w:r>
      <w:r w:rsidR="00384EB6">
        <w:t xml:space="preserve"> </w:t>
      </w:r>
      <w:r w:rsidR="00A9608F">
        <w:t xml:space="preserve">were </w:t>
      </w:r>
      <w:r w:rsidR="00384EB6">
        <w:t xml:space="preserve">calculated </w:t>
      </w:r>
      <w:r w:rsidR="00A9608F">
        <w:t xml:space="preserve">by </w:t>
      </w:r>
      <w:proofErr w:type="gramStart"/>
      <w:r w:rsidR="00384EB6">
        <w:t>taking into account</w:t>
      </w:r>
      <w:proofErr w:type="gramEnd"/>
      <w:r w:rsidR="00384EB6">
        <w:t xml:space="preserve"> the different fare classes and the number of </w:t>
      </w:r>
      <w:r w:rsidR="005966F5">
        <w:lastRenderedPageBreak/>
        <w:t>tickets available</w:t>
      </w:r>
      <w:r w:rsidR="00384EB6">
        <w:t xml:space="preserve"> in the respective class.</w:t>
      </w:r>
      <w:r w:rsidR="00A9608F">
        <w:t xml:space="preserve"> Hence, </w:t>
      </w:r>
      <w:r w:rsidR="005966F5">
        <w:t>the average fare</w:t>
      </w:r>
      <w:r w:rsidR="00A9608F">
        <w:t>s</w:t>
      </w:r>
      <w:r w:rsidR="005966F5">
        <w:t xml:space="preserve"> </w:t>
      </w:r>
      <w:r w:rsidR="00A9608F">
        <w:t xml:space="preserve">may reflect not only in the levels of fares at the different fare classes, but </w:t>
      </w:r>
      <w:r w:rsidR="005966F5">
        <w:t xml:space="preserve">also a change in the </w:t>
      </w:r>
      <w:r w:rsidR="00A9608F">
        <w:t xml:space="preserve">allocation of seats to the various </w:t>
      </w:r>
      <w:r w:rsidR="005966F5">
        <w:t>fare classes</w:t>
      </w:r>
      <w:r w:rsidR="0027494D">
        <w:t>.</w:t>
      </w:r>
      <w:r w:rsidR="005966F5">
        <w:t xml:space="preserve"> </w:t>
      </w:r>
    </w:p>
    <w:p w14:paraId="0B1E7401" w14:textId="0B38F7E4" w:rsidR="00FC2028" w:rsidRPr="000F6B54" w:rsidRDefault="00A9608F" w:rsidP="00566DE0">
      <w:pPr>
        <w:pStyle w:val="FlietextFolge"/>
        <w:spacing w:line="360" w:lineRule="auto"/>
      </w:pPr>
      <w:r>
        <w:t>F</w:t>
      </w:r>
      <w:r w:rsidRPr="000F6B54">
        <w:t>ares were normalized</w:t>
      </w:r>
      <w:r>
        <w:t xml:space="preserve"> by dividing with the respective route distance to </w:t>
      </w:r>
      <w:proofErr w:type="gramStart"/>
      <w:r>
        <w:t>take into account</w:t>
      </w:r>
      <w:proofErr w:type="gramEnd"/>
      <w:r>
        <w:t xml:space="preserve"> possible distorting effects of different leg distances within either domestic or international markets. </w:t>
      </w:r>
      <w:r w:rsidR="000F6B54" w:rsidRPr="000F6B54">
        <w:t xml:space="preserve">For the US domestic data and the </w:t>
      </w:r>
      <w:r w:rsidR="00E1313C">
        <w:t>E</w:t>
      </w:r>
      <w:r>
        <w:t>urope</w:t>
      </w:r>
      <w:r w:rsidR="000F6B54" w:rsidRPr="000F6B54">
        <w:t>-US international data</w:t>
      </w:r>
      <w:r>
        <w:t>,</w:t>
      </w:r>
      <w:r w:rsidR="000F6B54" w:rsidRPr="000F6B54">
        <w:t xml:space="preserve"> respectively</w:t>
      </w:r>
      <w:r>
        <w:t>,</w:t>
      </w:r>
      <w:r w:rsidR="000F6B54" w:rsidRPr="000F6B54">
        <w:t xml:space="preserve"> </w:t>
      </w:r>
      <w:r w:rsidR="00F47814" w:rsidRPr="000F6B54">
        <w:t xml:space="preserve">observations with fares in </w:t>
      </w:r>
      <w:r w:rsidR="00FC2028" w:rsidRPr="000F6B54">
        <w:t>the</w:t>
      </w:r>
      <w:r w:rsidR="00F47814" w:rsidRPr="000F6B54">
        <w:t xml:space="preserve"> bottom and top 5 percentile in their month were dropped</w:t>
      </w:r>
      <w:r w:rsidR="000F6B54" w:rsidRPr="000F6B54">
        <w:t xml:space="preserve"> to control for outliers</w:t>
      </w:r>
      <w:r w:rsidR="00F47814" w:rsidRPr="000F6B54">
        <w:t>.</w:t>
      </w:r>
      <w:r w:rsidR="00D15499">
        <w:t xml:space="preserve"> </w:t>
      </w:r>
      <w:r w:rsidR="00D15499" w:rsidRPr="001748E1">
        <w:rPr>
          <w:noProof/>
        </w:rPr>
        <w:t xml:space="preserve">Ciliberto </w:t>
      </w:r>
      <w:r w:rsidR="004C6B26">
        <w:rPr>
          <w:noProof/>
        </w:rPr>
        <w:t>and</w:t>
      </w:r>
      <w:r w:rsidR="00D15499" w:rsidRPr="001748E1">
        <w:rPr>
          <w:noProof/>
        </w:rPr>
        <w:t xml:space="preserve"> Schenone</w:t>
      </w:r>
      <w:r w:rsidR="00D15499">
        <w:rPr>
          <w:noProof/>
        </w:rPr>
        <w:t xml:space="preserve"> </w:t>
      </w:r>
      <w:sdt>
        <w:sdtPr>
          <w:rPr>
            <w:noProof/>
          </w:rPr>
          <w:id w:val="93901422"/>
          <w:citation/>
        </w:sdtPr>
        <w:sdtEndPr/>
        <w:sdtContent>
          <w:r w:rsidR="00D15499">
            <w:rPr>
              <w:noProof/>
            </w:rPr>
            <w:fldChar w:fldCharType="begin"/>
          </w:r>
          <w:r w:rsidR="008A2263">
            <w:rPr>
              <w:noProof/>
            </w:rPr>
            <w:instrText xml:space="preserve">CITATION Cil12 \n  \t  \l 1031 </w:instrText>
          </w:r>
          <w:r w:rsidR="00D15499">
            <w:rPr>
              <w:noProof/>
            </w:rPr>
            <w:fldChar w:fldCharType="separate"/>
          </w:r>
          <w:r w:rsidR="00886B31" w:rsidRPr="00E52C8D">
            <w:rPr>
              <w:noProof/>
            </w:rPr>
            <w:t>(2012a)</w:t>
          </w:r>
          <w:r w:rsidR="00D15499">
            <w:rPr>
              <w:noProof/>
            </w:rPr>
            <w:fldChar w:fldCharType="end"/>
          </w:r>
        </w:sdtContent>
      </w:sdt>
      <w:r w:rsidR="00D15499">
        <w:rPr>
          <w:noProof/>
        </w:rPr>
        <w:t xml:space="preserve"> </w:t>
      </w:r>
      <w:r w:rsidR="001E3ADB">
        <w:rPr>
          <w:noProof/>
        </w:rPr>
        <w:t xml:space="preserve">also </w:t>
      </w:r>
      <w:r w:rsidR="00D15499">
        <w:rPr>
          <w:noProof/>
        </w:rPr>
        <w:t>exclude observations with fares</w:t>
      </w:r>
      <w:r w:rsidR="00D15499" w:rsidRPr="00D15499">
        <w:t xml:space="preserve"> </w:t>
      </w:r>
      <w:r w:rsidR="00D15499" w:rsidRPr="000F6B54">
        <w:t>in the bottom and top 5 percentile</w:t>
      </w:r>
      <w:r w:rsidR="001E3ADB">
        <w:t>, however related to a yearly interval</w:t>
      </w:r>
      <w:r w:rsidR="00D15499">
        <w:t>.</w:t>
      </w:r>
    </w:p>
    <w:p w14:paraId="62CFA647" w14:textId="6BF05E72" w:rsidR="003211E0" w:rsidRDefault="003211E0">
      <w:pPr>
        <w:spacing w:after="200" w:line="276" w:lineRule="auto"/>
        <w:jc w:val="left"/>
        <w:rPr>
          <w:rFonts w:cs="Times New Roman"/>
          <w:b/>
          <w:bCs/>
          <w:szCs w:val="24"/>
        </w:rPr>
      </w:pPr>
    </w:p>
    <w:p w14:paraId="63EF8638" w14:textId="0BAF6558" w:rsidR="00CA2D1A" w:rsidRPr="0011694C" w:rsidRDefault="00CA2D1A" w:rsidP="0011694C">
      <w:pPr>
        <w:pStyle w:val="Heading1"/>
        <w:tabs>
          <w:tab w:val="clear" w:pos="1021"/>
        </w:tabs>
        <w:spacing w:before="120" w:after="120" w:line="360" w:lineRule="auto"/>
        <w:ind w:left="567" w:hanging="567"/>
      </w:pPr>
      <w:bookmarkStart w:id="14" w:name="_Ref529871104"/>
      <w:r w:rsidRPr="0011694C">
        <w:t>General Effects of Chapter 11 on Prices</w:t>
      </w:r>
      <w:bookmarkEnd w:id="14"/>
    </w:p>
    <w:p w14:paraId="76A65BD4" w14:textId="77777777" w:rsidR="00CA2D1A" w:rsidRDefault="002B1562" w:rsidP="00566DE0">
      <w:pPr>
        <w:pStyle w:val="FlietextAbstanddavor"/>
        <w:spacing w:before="0" w:line="360" w:lineRule="auto"/>
      </w:pPr>
      <w:r>
        <w:t xml:space="preserve">The following specification is </w:t>
      </w:r>
      <w:r w:rsidR="00F209FA">
        <w:t xml:space="preserve">used to estimate the overall effects of a Chapter 11 filing on </w:t>
      </w:r>
      <w:r w:rsidR="00CA2D1A">
        <w:t xml:space="preserve">airlines’ </w:t>
      </w:r>
      <w:r w:rsidR="00F209FA">
        <w:t>pric</w:t>
      </w:r>
      <w:r w:rsidR="00CA2D1A">
        <w:t xml:space="preserve">es. This estimation implicitly assumes that the effects in domestic and international markets are identical. We isolate the effects on the bankrupt airline’s prices from the competing airlines’ prices and we further differentiate the effect during the bankruptcy protection from that after the bankruptcy protection. </w:t>
      </w:r>
    </w:p>
    <w:p w14:paraId="5C3C8EA8" w14:textId="238AA239" w:rsidR="0089798F" w:rsidRDefault="00213A64" w:rsidP="00566DE0">
      <w:pPr>
        <w:pStyle w:val="FlietextFolge"/>
        <w:spacing w:line="360" w:lineRule="auto"/>
      </w:pPr>
      <w:r>
        <w:t xml:space="preserve">Following </w:t>
      </w:r>
      <w:r w:rsidRPr="001748E1">
        <w:rPr>
          <w:noProof/>
        </w:rPr>
        <w:t xml:space="preserve">Ciliberto </w:t>
      </w:r>
      <w:r>
        <w:rPr>
          <w:noProof/>
        </w:rPr>
        <w:t>and</w:t>
      </w:r>
      <w:r w:rsidRPr="001748E1">
        <w:rPr>
          <w:noProof/>
        </w:rPr>
        <w:t xml:space="preserve"> Schenone</w:t>
      </w:r>
      <w:r>
        <w:rPr>
          <w:noProof/>
        </w:rPr>
        <w:t xml:space="preserve"> </w:t>
      </w:r>
      <w:sdt>
        <w:sdtPr>
          <w:rPr>
            <w:noProof/>
          </w:rPr>
          <w:id w:val="-1599856005"/>
          <w:citation/>
        </w:sdtPr>
        <w:sdtEndPr/>
        <w:sdtContent>
          <w:r>
            <w:rPr>
              <w:noProof/>
            </w:rPr>
            <w:fldChar w:fldCharType="begin"/>
          </w:r>
          <w:r>
            <w:rPr>
              <w:noProof/>
            </w:rPr>
            <w:instrText xml:space="preserve">CITATION Cil12 \n  \t  \l 1031 </w:instrText>
          </w:r>
          <w:r>
            <w:rPr>
              <w:noProof/>
            </w:rPr>
            <w:fldChar w:fldCharType="separate"/>
          </w:r>
          <w:r w:rsidR="00886B31" w:rsidRPr="00E52C8D">
            <w:rPr>
              <w:noProof/>
            </w:rPr>
            <w:t>(2012a)</w:t>
          </w:r>
          <w:r>
            <w:rPr>
              <w:noProof/>
            </w:rPr>
            <w:fldChar w:fldCharType="end"/>
          </w:r>
        </w:sdtContent>
      </w:sdt>
      <w:r w:rsidR="00CA2D1A">
        <w:t xml:space="preserve">, </w:t>
      </w:r>
      <w:r w:rsidR="00392E96">
        <w:t xml:space="preserve">while adding controls for competition intensity and differentiating between domestic and international markets, </w:t>
      </w:r>
      <w:r w:rsidR="00CA2D1A">
        <w:t>we have</w:t>
      </w:r>
    </w:p>
    <w:p w14:paraId="1A39AC15" w14:textId="77777777" w:rsidR="0089798F" w:rsidRPr="0089798F" w:rsidRDefault="0089798F" w:rsidP="00566DE0">
      <w:pPr>
        <w:pStyle w:val="FlietextFolge"/>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881"/>
      </w:tblGrid>
      <w:tr w:rsidR="00D122AA" w14:paraId="392C1D1E" w14:textId="77777777" w:rsidTr="00D122AA">
        <w:tc>
          <w:tcPr>
            <w:tcW w:w="7763" w:type="dxa"/>
          </w:tcPr>
          <w:p w14:paraId="318B6E6E" w14:textId="6FB318CB" w:rsidR="00D122AA" w:rsidRDefault="00EC01D9" w:rsidP="00566DE0">
            <w:pPr>
              <w:pStyle w:val="FlietextFolge"/>
              <w:spacing w:line="360" w:lineRule="auto"/>
              <w:ind w:firstLine="0"/>
              <w:jc w:val="left"/>
            </w:pPr>
            <m:oMathPara>
              <m:oMath>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P</m:t>
                        </m:r>
                      </m:e>
                      <m:sub>
                        <m:r>
                          <w:rPr>
                            <w:rFonts w:ascii="Cambria Math" w:hAnsi="Cambria Math"/>
                          </w:rPr>
                          <m:t>crt</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own</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other</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own</m:t>
                        </m:r>
                      </m:sub>
                    </m:sSub>
                  </m:e>
                </m:func>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ownpast</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other</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m:t>
                    </m:r>
                  </m:sup>
                </m:sSubSup>
                <m:r>
                  <m:rPr>
                    <m:sty m:val="p"/>
                  </m:rPr>
                  <w:rPr>
                    <w:rFonts w:ascii="Cambria Math" w:hAnsi="Cambria Math"/>
                  </w:rPr>
                  <m:t>+γ</m:t>
                </m:r>
                <m:sSub>
                  <m:sSubPr>
                    <m:ctrlPr>
                      <w:rPr>
                        <w:rFonts w:ascii="Cambria Math" w:hAnsi="Cambria Math"/>
                      </w:rPr>
                    </m:ctrlPr>
                  </m:sSubPr>
                  <m:e>
                    <m:r>
                      <w:rPr>
                        <w:rFonts w:ascii="Cambria Math" w:hAnsi="Cambria Math"/>
                      </w:rPr>
                      <m:t>HHI</m:t>
                    </m:r>
                  </m:e>
                  <m:sub>
                    <m:r>
                      <w:rPr>
                        <w:rFonts w:ascii="Cambria Math" w:hAnsi="Cambria Math"/>
                      </w:rPr>
                      <m:t>rt</m:t>
                    </m:r>
                  </m:sub>
                </m:sSub>
                <m:r>
                  <m:rPr>
                    <m:sty m:val="p"/>
                  </m:rPr>
                  <w:rPr>
                    <w:rFonts w:ascii="Cambria Math" w:hAnsi="Cambria Math"/>
                  </w:rPr>
                  <m:t>+δ</m:t>
                </m:r>
                <m:r>
                  <w:rPr>
                    <w:rFonts w:ascii="Cambria Math" w:hAnsi="Cambria Math"/>
                  </w:rPr>
                  <m:t>INT</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cr</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crt</m:t>
                    </m:r>
                  </m:sub>
                </m:sSub>
                <m:r>
                  <w:rPr>
                    <w:rFonts w:ascii="Cambria Math" w:hAnsi="Cambria Math"/>
                  </w:rPr>
                  <m:t>,</m:t>
                </m:r>
              </m:oMath>
            </m:oMathPara>
          </w:p>
        </w:tc>
        <w:tc>
          <w:tcPr>
            <w:tcW w:w="881" w:type="dxa"/>
            <w:vAlign w:val="center"/>
          </w:tcPr>
          <w:p w14:paraId="4D1852C5" w14:textId="3B232419" w:rsidR="00D122AA" w:rsidRDefault="00D122AA" w:rsidP="00566DE0">
            <w:pPr>
              <w:pStyle w:val="Caption"/>
              <w:spacing w:after="0" w:line="360" w:lineRule="auto"/>
              <w:jc w:val="center"/>
            </w:pPr>
            <w:r w:rsidRPr="00D122AA">
              <w:rPr>
                <w:sz w:val="24"/>
              </w:rPr>
              <w:t>(</w:t>
            </w:r>
            <w:r w:rsidRPr="00D122AA">
              <w:rPr>
                <w:sz w:val="24"/>
              </w:rPr>
              <w:fldChar w:fldCharType="begin"/>
            </w:r>
            <w:r w:rsidRPr="00D122AA">
              <w:rPr>
                <w:sz w:val="24"/>
              </w:rPr>
              <w:instrText xml:space="preserve"> SEQ Formel \* ARABIC </w:instrText>
            </w:r>
            <w:r w:rsidRPr="00D122AA">
              <w:rPr>
                <w:sz w:val="24"/>
              </w:rPr>
              <w:fldChar w:fldCharType="separate"/>
            </w:r>
            <w:r w:rsidR="00886B31">
              <w:rPr>
                <w:noProof/>
                <w:sz w:val="24"/>
              </w:rPr>
              <w:t>1</w:t>
            </w:r>
            <w:r w:rsidRPr="00D122AA">
              <w:rPr>
                <w:sz w:val="24"/>
              </w:rPr>
              <w:fldChar w:fldCharType="end"/>
            </w:r>
            <w:r w:rsidRPr="00D122AA">
              <w:rPr>
                <w:sz w:val="24"/>
              </w:rPr>
              <w:t>)</w:t>
            </w:r>
          </w:p>
        </w:tc>
      </w:tr>
    </w:tbl>
    <w:p w14:paraId="44CAF56F" w14:textId="77777777" w:rsidR="00DE4140" w:rsidRDefault="00DE4140" w:rsidP="00566DE0">
      <w:pPr>
        <w:pStyle w:val="FlietextFolge"/>
        <w:spacing w:line="360" w:lineRule="auto"/>
        <w:ind w:firstLine="0"/>
      </w:pPr>
    </w:p>
    <w:p w14:paraId="65B32805" w14:textId="0EF21619" w:rsidR="00A32320" w:rsidRPr="00F31481" w:rsidRDefault="005D3731" w:rsidP="00A844EC">
      <w:pPr>
        <w:pStyle w:val="FlietextFolge"/>
        <w:spacing w:line="360" w:lineRule="auto"/>
        <w:ind w:firstLine="0"/>
        <w:rPr>
          <w:i/>
        </w:rPr>
      </w:pPr>
      <w:r>
        <w:t xml:space="preserve">where </w:t>
      </w:r>
      <m:oMath>
        <m:sSub>
          <m:sSubPr>
            <m:ctrlPr>
              <w:rPr>
                <w:rFonts w:ascii="Cambria Math" w:hAnsi="Cambria Math"/>
                <w:i/>
              </w:rPr>
            </m:ctrlPr>
          </m:sSubPr>
          <m:e>
            <m:r>
              <w:rPr>
                <w:rFonts w:ascii="Cambria Math" w:hAnsi="Cambria Math"/>
              </w:rPr>
              <m:t>P</m:t>
            </m:r>
          </m:e>
          <m:sub>
            <m:r>
              <w:rPr>
                <w:rFonts w:ascii="Cambria Math" w:hAnsi="Cambria Math"/>
              </w:rPr>
              <m:t>crt</m:t>
            </m:r>
          </m:sub>
        </m:sSub>
      </m:oMath>
      <w:r>
        <w:t xml:space="preserve"> is</w:t>
      </w:r>
      <w:r w:rsidR="00537A15">
        <w:t xml:space="preserve"> </w:t>
      </w:r>
      <w:r w:rsidR="00F40E0E">
        <w:t>the</w:t>
      </w:r>
      <w:r w:rsidR="00B7710A">
        <w:t xml:space="preserve"> average fare</w:t>
      </w:r>
      <w:r w:rsidR="00710825">
        <w:t xml:space="preserve"> per </w:t>
      </w:r>
      <w:r w:rsidR="00D257D2">
        <w:t>kilometre</w:t>
      </w:r>
      <w:r w:rsidR="00537A15">
        <w:t xml:space="preserve"> for </w:t>
      </w:r>
      <w:r w:rsidR="00B7710A">
        <w:t xml:space="preserve">a flight of </w:t>
      </w:r>
      <w:r w:rsidR="00537A15">
        <w:t xml:space="preserve">carrier </w:t>
      </w:r>
      <w:r w:rsidR="00537A15" w:rsidRPr="0068608C">
        <w:rPr>
          <w:rStyle w:val="SubtleReference"/>
        </w:rPr>
        <w:t>c</w:t>
      </w:r>
      <w:r w:rsidR="00537A15">
        <w:t xml:space="preserve"> on route </w:t>
      </w:r>
      <w:proofErr w:type="spellStart"/>
      <w:r w:rsidR="00537A15" w:rsidRPr="0068608C">
        <w:rPr>
          <w:rStyle w:val="SubtleReference"/>
        </w:rPr>
        <w:t>r</w:t>
      </w:r>
      <w:r w:rsidR="00537A15">
        <w:t xml:space="preserve"> at</w:t>
      </w:r>
      <w:proofErr w:type="spellEnd"/>
      <w:r w:rsidR="00537A15">
        <w:t xml:space="preserve"> time </w:t>
      </w:r>
      <w:r w:rsidR="00DD7681" w:rsidRPr="00420A7B">
        <w:rPr>
          <w:rStyle w:val="SubtleReference"/>
        </w:rPr>
        <w:t>t</w:t>
      </w:r>
      <w:r w:rsidR="00CA2D1A">
        <w:t xml:space="preserve">; </w:t>
      </w:r>
      <m:oMath>
        <m:sSubSup>
          <m:sSubSupPr>
            <m:ctrlPr>
              <w:rPr>
                <w:rFonts w:ascii="Cambria Math" w:hAnsi="Cambria Math"/>
                <w:i/>
              </w:rPr>
            </m:ctrlPr>
          </m:sSubSupPr>
          <m:e>
            <m:r>
              <w:rPr>
                <w:rFonts w:ascii="Cambria Math" w:hAnsi="Cambria Math"/>
              </w:rPr>
              <m:t>Bkt</m:t>
            </m:r>
          </m:e>
          <m:sub>
            <m:r>
              <w:rPr>
                <w:rFonts w:ascii="Cambria Math" w:hAnsi="Cambria Math"/>
              </w:rPr>
              <m:t>rt</m:t>
            </m:r>
          </m:sub>
          <m:sup>
            <m:r>
              <w:rPr>
                <w:rFonts w:ascii="Cambria Math" w:hAnsi="Cambria Math"/>
              </w:rPr>
              <m:t>own</m:t>
            </m:r>
          </m:sup>
        </m:sSubSup>
      </m:oMath>
      <w:r w:rsidR="00F31481">
        <w:t xml:space="preserve"> is</w:t>
      </w:r>
      <w:r w:rsidR="00CA2D1A">
        <w:t xml:space="preserve"> a dummy variable that indicates whether the airline is bankrupt or not. Specifically, it</w:t>
      </w:r>
      <w:r w:rsidR="00F31481">
        <w:t xml:space="preserve"> equal</w:t>
      </w:r>
      <w:r w:rsidR="00CA2D1A">
        <w:t>s</w:t>
      </w:r>
      <w:r w:rsidR="00F31481">
        <w:t xml:space="preserve"> to 1 if </w:t>
      </w:r>
      <w:r w:rsidR="00CA2D1A">
        <w:t>the</w:t>
      </w:r>
      <w:r w:rsidR="00F31481">
        <w:t xml:space="preserve"> carrier is bankrupt and operates on route </w:t>
      </w:r>
      <w:proofErr w:type="spellStart"/>
      <w:r w:rsidR="00F31481" w:rsidRPr="00420A7B">
        <w:rPr>
          <w:rStyle w:val="SubtleReference"/>
        </w:rPr>
        <w:t>r</w:t>
      </w:r>
      <w:r w:rsidR="00F31481">
        <w:t xml:space="preserve"> at</w:t>
      </w:r>
      <w:proofErr w:type="spellEnd"/>
      <w:r w:rsidR="00F31481">
        <w:t xml:space="preserve"> time </w:t>
      </w:r>
      <w:r w:rsidR="00F31481" w:rsidRPr="00420A7B">
        <w:rPr>
          <w:rStyle w:val="SubtleReference"/>
        </w:rPr>
        <w:t>t</w:t>
      </w:r>
      <w:r w:rsidR="00CA2D1A">
        <w:t xml:space="preserve">; similarly, </w:t>
      </w:r>
      <m:oMath>
        <m:sSubSup>
          <m:sSubSupPr>
            <m:ctrlPr>
              <w:rPr>
                <w:rFonts w:ascii="Cambria Math" w:hAnsi="Cambria Math"/>
                <w:i/>
              </w:rPr>
            </m:ctrlPr>
          </m:sSubSupPr>
          <m:e>
            <m:r>
              <w:rPr>
                <w:rFonts w:ascii="Cambria Math" w:hAnsi="Cambria Math"/>
              </w:rPr>
              <m:t>Bkt</m:t>
            </m:r>
          </m:e>
          <m:sub>
            <m:r>
              <w:rPr>
                <w:rFonts w:ascii="Cambria Math" w:hAnsi="Cambria Math"/>
              </w:rPr>
              <m:t>rt</m:t>
            </m:r>
          </m:sub>
          <m:sup>
            <m:r>
              <w:rPr>
                <w:rFonts w:ascii="Cambria Math" w:hAnsi="Cambria Math"/>
              </w:rPr>
              <m:t>other</m:t>
            </m:r>
          </m:sup>
        </m:sSubSup>
      </m:oMath>
      <w:r w:rsidR="00F31481">
        <w:t xml:space="preserve"> is </w:t>
      </w:r>
      <w:r w:rsidR="009A4B45">
        <w:t xml:space="preserve">a </w:t>
      </w:r>
      <w:r w:rsidR="000767D0" w:rsidRPr="000767D0">
        <w:rPr>
          <w:bCs w:val="0"/>
        </w:rPr>
        <w:t>dummy variable for a competitor which is serving the same market as the bankrupt</w:t>
      </w:r>
      <w:r w:rsidR="000767D0">
        <w:rPr>
          <w:bCs w:val="0"/>
        </w:rPr>
        <w:t xml:space="preserve"> </w:t>
      </w:r>
      <w:r w:rsidR="000767D0" w:rsidRPr="000767D0">
        <w:t>airline</w:t>
      </w:r>
      <w:r w:rsidR="00CA2D1A">
        <w:t xml:space="preserve">. Specifically, it </w:t>
      </w:r>
      <w:r w:rsidR="00F31481">
        <w:t>equal</w:t>
      </w:r>
      <w:r w:rsidR="00CA2D1A">
        <w:t>s</w:t>
      </w:r>
      <w:r w:rsidR="00F31481">
        <w:t xml:space="preserve"> to 1 if a competitor is bankrupt and operates on route </w:t>
      </w:r>
      <w:proofErr w:type="spellStart"/>
      <w:r w:rsidR="00F31481" w:rsidRPr="00420A7B">
        <w:rPr>
          <w:rStyle w:val="SubtleReference"/>
        </w:rPr>
        <w:t>r</w:t>
      </w:r>
      <w:r w:rsidR="00F31481">
        <w:t xml:space="preserve"> at</w:t>
      </w:r>
      <w:proofErr w:type="spellEnd"/>
      <w:r w:rsidR="00F31481">
        <w:t xml:space="preserve"> time </w:t>
      </w:r>
      <w:r w:rsidR="00F31481" w:rsidRPr="00420A7B">
        <w:rPr>
          <w:rStyle w:val="SubtleReference"/>
        </w:rPr>
        <w:t>t</w:t>
      </w:r>
      <w:r w:rsidR="00F31481">
        <w:rPr>
          <w:rStyle w:val="SubtleReference"/>
        </w:rPr>
        <w:t xml:space="preserve">. </w:t>
      </w:r>
      <w:r w:rsidR="00CA2D1A">
        <w:t>Thus,</w:t>
      </w:r>
      <w:r w:rsidR="00860A49">
        <w:t xml:space="preserve"> t</w:t>
      </w:r>
      <w:r>
        <w:t xml:space="preserve">he coefficient </w:t>
      </w:r>
      <m:oMath>
        <m:sSub>
          <m:sSubPr>
            <m:ctrlPr>
              <w:rPr>
                <w:rFonts w:ascii="Cambria Math" w:hAnsi="Cambria Math"/>
              </w:rPr>
            </m:ctrlPr>
          </m:sSubPr>
          <m:e>
            <m:r>
              <w:rPr>
                <w:rFonts w:ascii="Cambria Math" w:hAnsi="Cambria Math"/>
              </w:rPr>
              <m:t>α</m:t>
            </m:r>
          </m:e>
          <m:sub>
            <m:r>
              <w:rPr>
                <w:rFonts w:ascii="Cambria Math" w:hAnsi="Cambria Math"/>
              </w:rPr>
              <m:t>own</m:t>
            </m:r>
          </m:sub>
        </m:sSub>
      </m:oMath>
      <w:r w:rsidR="001F1E9C">
        <w:t xml:space="preserve"> </w:t>
      </w:r>
      <w:r w:rsidR="00525199">
        <w:t>measures the current effect</w:t>
      </w:r>
      <w:r w:rsidR="00203372">
        <w:t xml:space="preserve"> of a </w:t>
      </w:r>
      <w:r w:rsidR="005B7692" w:rsidRPr="005B7692">
        <w:t>Chapter 11</w:t>
      </w:r>
      <w:r w:rsidR="00B7710A">
        <w:t xml:space="preserve"> filing on the bankrupt carrier</w:t>
      </w:r>
      <w:r w:rsidR="00203372">
        <w:t>’</w:t>
      </w:r>
      <w:r w:rsidR="00B7710A">
        <w:t>s</w:t>
      </w:r>
      <w:r w:rsidR="00203372">
        <w:t xml:space="preserve"> price </w:t>
      </w:r>
      <m:oMath>
        <m:sSub>
          <m:sSubPr>
            <m:ctrlPr>
              <w:rPr>
                <w:rFonts w:ascii="Cambria Math" w:hAnsi="Cambria Math"/>
                <w:i/>
              </w:rPr>
            </m:ctrlPr>
          </m:sSubPr>
          <m:e>
            <m:r>
              <w:rPr>
                <w:rFonts w:ascii="Cambria Math" w:hAnsi="Cambria Math"/>
              </w:rPr>
              <m:t>P</m:t>
            </m:r>
          </m:e>
          <m:sub>
            <m:r>
              <w:rPr>
                <w:rFonts w:ascii="Cambria Math" w:hAnsi="Cambria Math"/>
              </w:rPr>
              <m:t>crt</m:t>
            </m:r>
          </m:sub>
        </m:sSub>
      </m:oMath>
      <w:r w:rsidR="00203372">
        <w:t xml:space="preserve"> charged </w:t>
      </w:r>
      <w:r w:rsidR="00525199">
        <w:t>o</w:t>
      </w:r>
      <w:r w:rsidR="00203372">
        <w:t xml:space="preserve">n route </w:t>
      </w:r>
      <w:proofErr w:type="spellStart"/>
      <w:r w:rsidR="00203372" w:rsidRPr="0068608C">
        <w:rPr>
          <w:rStyle w:val="SubtleReference"/>
        </w:rPr>
        <w:t>r</w:t>
      </w:r>
      <w:r w:rsidR="00203372">
        <w:t xml:space="preserve"> at</w:t>
      </w:r>
      <w:proofErr w:type="spellEnd"/>
      <w:r w:rsidR="00203372">
        <w:t xml:space="preserve"> time </w:t>
      </w:r>
      <w:r w:rsidR="00203372" w:rsidRPr="00420A7B">
        <w:rPr>
          <w:rStyle w:val="SubtleReference"/>
        </w:rPr>
        <w:t>t</w:t>
      </w:r>
      <w:r w:rsidR="00CA2D1A">
        <w:t xml:space="preserve">, whereas the current effect of bankruptcy </w:t>
      </w:r>
      <w:r w:rsidR="00525199">
        <w:t xml:space="preserve">on </w:t>
      </w:r>
      <w:r w:rsidR="00CA2D1A">
        <w:t xml:space="preserve">the </w:t>
      </w:r>
      <w:r w:rsidR="00525199">
        <w:t xml:space="preserve">competitors’ prices is measured </w:t>
      </w:r>
      <w:r w:rsidR="000B409D">
        <w:t xml:space="preserve">by </w:t>
      </w:r>
      <m:oMath>
        <m:sSub>
          <m:sSubPr>
            <m:ctrlPr>
              <w:rPr>
                <w:rFonts w:ascii="Cambria Math" w:hAnsi="Cambria Math"/>
              </w:rPr>
            </m:ctrlPr>
          </m:sSubPr>
          <m:e>
            <m:r>
              <w:rPr>
                <w:rFonts w:ascii="Cambria Math" w:hAnsi="Cambria Math"/>
              </w:rPr>
              <m:t>α</m:t>
            </m:r>
          </m:e>
          <m:sub>
            <m:r>
              <w:rPr>
                <w:rFonts w:ascii="Cambria Math" w:hAnsi="Cambria Math"/>
              </w:rPr>
              <m:t>other</m:t>
            </m:r>
          </m:sub>
        </m:sSub>
      </m:oMath>
      <w:r w:rsidR="00CA2D1A">
        <w:t xml:space="preserve">; </w:t>
      </w:r>
      <w:r w:rsidR="00A32320">
        <w:t xml:space="preserve">in a similar fashion, </w:t>
      </w:r>
      <m:oMath>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ownpast</m:t>
            </m:r>
          </m:sup>
        </m:sSubSup>
      </m:oMath>
      <w:r w:rsidR="00A32320">
        <w:t xml:space="preserve"> and </w:t>
      </w:r>
      <m:oMath>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m:t>
            </m:r>
          </m:sup>
        </m:sSubSup>
      </m:oMath>
      <w:r w:rsidR="00A32320">
        <w:t xml:space="preserve">, are post-bankruptcy dummy variables and their coefficients, </w:t>
      </w:r>
      <m:oMath>
        <m:sSub>
          <m:sSubPr>
            <m:ctrlPr>
              <w:rPr>
                <w:rFonts w:ascii="Cambria Math" w:hAnsi="Cambria Math"/>
              </w:rPr>
            </m:ctrlPr>
          </m:sSubPr>
          <m:e>
            <m:r>
              <w:rPr>
                <w:rFonts w:ascii="Cambria Math" w:hAnsi="Cambria Math"/>
              </w:rPr>
              <m:t>β</m:t>
            </m:r>
          </m:e>
          <m:sub>
            <m:r>
              <w:rPr>
                <w:rFonts w:ascii="Cambria Math" w:hAnsi="Cambria Math"/>
              </w:rPr>
              <m:t>own</m:t>
            </m:r>
          </m:sub>
        </m:sSub>
      </m:oMath>
      <w:r w:rsidR="00A32320">
        <w:t xml:space="preserve"> and </w:t>
      </w:r>
      <m:oMath>
        <m:sSub>
          <m:sSubPr>
            <m:ctrlPr>
              <w:rPr>
                <w:rFonts w:ascii="Cambria Math" w:hAnsi="Cambria Math"/>
              </w:rPr>
            </m:ctrlPr>
          </m:sSubPr>
          <m:e>
            <m:r>
              <w:rPr>
                <w:rFonts w:ascii="Cambria Math" w:hAnsi="Cambria Math"/>
              </w:rPr>
              <m:t>β</m:t>
            </m:r>
          </m:e>
          <m:sub>
            <m:r>
              <w:rPr>
                <w:rFonts w:ascii="Cambria Math" w:hAnsi="Cambria Math"/>
              </w:rPr>
              <m:t>other</m:t>
            </m:r>
          </m:sub>
        </m:sSub>
      </m:oMath>
      <w:r w:rsidR="00A32320">
        <w:t xml:space="preserve">, measure the post-bankruptcy effects (within the defined post-bankruptcy </w:t>
      </w:r>
      <w:r w:rsidR="00A32320">
        <w:lastRenderedPageBreak/>
        <w:t xml:space="preserve">period of one year after the official emergence from </w:t>
      </w:r>
      <w:r w:rsidR="00A32320" w:rsidRPr="005B7692">
        <w:t>Chapter 11</w:t>
      </w:r>
      <w:r w:rsidR="00A32320">
        <w:t>) on the bankrupt carrier and on its competitors.</w:t>
      </w:r>
    </w:p>
    <w:p w14:paraId="7403DBF5" w14:textId="47B51CF6" w:rsidR="005F1915" w:rsidRDefault="00857161" w:rsidP="00566DE0">
      <w:pPr>
        <w:pStyle w:val="FlietextFolge"/>
        <w:spacing w:line="360" w:lineRule="auto"/>
      </w:pPr>
      <w:r>
        <w:t xml:space="preserve">The variable </w:t>
      </w:r>
      <m:oMath>
        <m:sSub>
          <m:sSubPr>
            <m:ctrlPr>
              <w:rPr>
                <w:rFonts w:ascii="Cambria Math" w:hAnsi="Cambria Math"/>
              </w:rPr>
            </m:ctrlPr>
          </m:sSubPr>
          <m:e>
            <m:r>
              <w:rPr>
                <w:rFonts w:ascii="Cambria Math" w:hAnsi="Cambria Math"/>
              </w:rPr>
              <m:t>HHI</m:t>
            </m:r>
          </m:e>
          <m:sub>
            <m:r>
              <w:rPr>
                <w:rFonts w:ascii="Cambria Math" w:hAnsi="Cambria Math"/>
              </w:rPr>
              <m:t>rt</m:t>
            </m:r>
          </m:sub>
        </m:sSub>
      </m:oMath>
      <w:r>
        <w:t xml:space="preserve"> represents the </w:t>
      </w:r>
      <w:r w:rsidRPr="00734936">
        <w:rPr>
          <w:rStyle w:val="SubtleReference"/>
          <w:i w:val="0"/>
          <w:iCs/>
        </w:rPr>
        <w:t>Herfindahl</w:t>
      </w:r>
      <w:r w:rsidR="00B32F6F" w:rsidRPr="00734936">
        <w:rPr>
          <w:rStyle w:val="SubtleReference"/>
          <w:i w:val="0"/>
          <w:iCs/>
        </w:rPr>
        <w:t>-Hirschman</w:t>
      </w:r>
      <w:r w:rsidRPr="00734936">
        <w:rPr>
          <w:rStyle w:val="SubtleReference"/>
          <w:i w:val="0"/>
          <w:iCs/>
        </w:rPr>
        <w:t xml:space="preserve"> index</w:t>
      </w:r>
      <w:r w:rsidRPr="00A37F0A">
        <w:rPr>
          <w:i/>
          <w:iCs/>
        </w:rPr>
        <w:t xml:space="preserve"> </w:t>
      </w:r>
      <w:r w:rsidR="00306545">
        <w:t>(HHI</w:t>
      </w:r>
      <w:r w:rsidR="00306545">
        <w:fldChar w:fldCharType="begin"/>
      </w:r>
      <w:r w:rsidR="00306545">
        <w:instrText xml:space="preserve"> XE "</w:instrText>
      </w:r>
      <w:r w:rsidR="00306545" w:rsidRPr="00FB247A">
        <w:instrText>HHI</w:instrText>
      </w:r>
      <w:r w:rsidR="00306545">
        <w:instrText>" \t "</w:instrText>
      </w:r>
      <w:r w:rsidR="00306545" w:rsidRPr="00306545">
        <w:rPr>
          <w:rFonts w:asciiTheme="minorHAnsi" w:hAnsiTheme="minorHAnsi" w:cstheme="minorHAnsi"/>
        </w:rPr>
        <w:instrText>Herfindahl</w:instrText>
      </w:r>
      <w:r w:rsidR="00306545" w:rsidRPr="00314A73">
        <w:rPr>
          <w:rFonts w:asciiTheme="minorHAnsi" w:hAnsiTheme="minorHAnsi" w:cstheme="minorHAnsi"/>
          <w:i/>
        </w:rPr>
        <w:instrText xml:space="preserve"> </w:instrText>
      </w:r>
      <w:r w:rsidR="00306545" w:rsidRPr="00306545">
        <w:rPr>
          <w:rFonts w:asciiTheme="minorHAnsi" w:hAnsiTheme="minorHAnsi" w:cstheme="minorHAnsi"/>
        </w:rPr>
        <w:instrText>Index</w:instrText>
      </w:r>
      <w:r w:rsidR="00306545">
        <w:instrText xml:space="preserve">" </w:instrText>
      </w:r>
      <w:r w:rsidR="00306545">
        <w:fldChar w:fldCharType="end"/>
      </w:r>
      <w:r w:rsidR="00306545">
        <w:t xml:space="preserve">) </w:t>
      </w:r>
      <w:r>
        <w:t xml:space="preserve">on route </w:t>
      </w:r>
      <w:proofErr w:type="spellStart"/>
      <w:r w:rsidRPr="0068608C">
        <w:rPr>
          <w:rStyle w:val="SubtleReference"/>
        </w:rPr>
        <w:t>r</w:t>
      </w:r>
      <w:r>
        <w:t xml:space="preserve"> at</w:t>
      </w:r>
      <w:proofErr w:type="spellEnd"/>
      <w:r>
        <w:t xml:space="preserve"> time </w:t>
      </w:r>
      <w:r w:rsidRPr="00420A7B">
        <w:rPr>
          <w:rStyle w:val="SubtleReference"/>
        </w:rPr>
        <w:t>t</w:t>
      </w:r>
      <w:r>
        <w:t xml:space="preserve">. It is defined as the sum of the squared </w:t>
      </w:r>
      <w:r w:rsidR="00A32320">
        <w:t xml:space="preserve">(passenger-based) </w:t>
      </w:r>
      <w:r>
        <w:t>market shares</w:t>
      </w:r>
      <w:r w:rsidR="009F6D22">
        <w:t xml:space="preserve"> and can range from 0 to 1</w:t>
      </w:r>
      <w:r>
        <w:t>.</w:t>
      </w:r>
      <w:r w:rsidR="00AD1DFE">
        <w:t xml:space="preserve"> </w:t>
      </w:r>
      <w:r w:rsidR="009F6D22">
        <w:t>As the value increase and approaches 1 it indicates a higher degree of concentration on the respective route</w:t>
      </w:r>
      <w:r w:rsidR="00A32320">
        <w:t>,</w:t>
      </w:r>
      <w:r w:rsidR="009F6D22">
        <w:t xml:space="preserve"> with 1 essentially reflecting a monopoly</w:t>
      </w:r>
      <w:r w:rsidR="00AD1DFE">
        <w:t>.</w:t>
      </w:r>
      <w:r>
        <w:t xml:space="preserve"> The coefficient </w:t>
      </w:r>
      <m:oMath>
        <m:r>
          <m:rPr>
            <m:sty m:val="p"/>
          </m:rPr>
          <w:rPr>
            <w:rFonts w:ascii="Cambria Math" w:hAnsi="Cambria Math"/>
          </w:rPr>
          <m:t>γ</m:t>
        </m:r>
      </m:oMath>
      <w:r>
        <w:t xml:space="preserve"> </w:t>
      </w:r>
      <w:r w:rsidR="0093597F">
        <w:t xml:space="preserve">therefore </w:t>
      </w:r>
      <w:r>
        <w:t>measures the effect</w:t>
      </w:r>
      <w:r w:rsidR="0093597F">
        <w:t xml:space="preserve"> of concentration on </w:t>
      </w:r>
      <m:oMath>
        <m:sSub>
          <m:sSubPr>
            <m:ctrlPr>
              <w:rPr>
                <w:rFonts w:ascii="Cambria Math" w:hAnsi="Cambria Math"/>
                <w:i/>
              </w:rPr>
            </m:ctrlPr>
          </m:sSubPr>
          <m:e>
            <m:r>
              <w:rPr>
                <w:rFonts w:ascii="Cambria Math" w:hAnsi="Cambria Math"/>
              </w:rPr>
              <m:t>P</m:t>
            </m:r>
          </m:e>
          <m:sub>
            <m:r>
              <w:rPr>
                <w:rFonts w:ascii="Cambria Math" w:hAnsi="Cambria Math"/>
              </w:rPr>
              <m:t>crt</m:t>
            </m:r>
          </m:sub>
        </m:sSub>
      </m:oMath>
      <w:r w:rsidR="0093597F">
        <w:t>.</w:t>
      </w:r>
      <w:r w:rsidR="00A32320">
        <w:rPr>
          <w:rStyle w:val="FootnoteReference"/>
        </w:rPr>
        <w:footnoteReference w:id="4"/>
      </w:r>
    </w:p>
    <w:p w14:paraId="531A3785" w14:textId="2BA54EB0" w:rsidR="001D267C" w:rsidRDefault="00A32320" w:rsidP="00527B8D">
      <w:pPr>
        <w:pStyle w:val="FlietextFolge"/>
        <w:spacing w:line="360" w:lineRule="auto"/>
      </w:pPr>
      <w:r>
        <w:t>Although we do not distinguish, at th</w:t>
      </w:r>
      <w:r w:rsidR="001C5BF1">
        <w:t>is</w:t>
      </w:r>
      <w:r>
        <w:t xml:space="preserve"> stage, between the effects of bankruptcy in domestic and international markets, we still account for potential </w:t>
      </w:r>
      <w:r w:rsidR="00F13433">
        <w:t xml:space="preserve">inherent </w:t>
      </w:r>
      <w:r>
        <w:t>differences between these two types of markets. We let the dummy variable</w:t>
      </w:r>
      <w:r w:rsidR="005F1915">
        <w:t xml:space="preserve"> </w:t>
      </w:r>
      <m:oMath>
        <m:r>
          <w:rPr>
            <w:rFonts w:ascii="Cambria Math" w:hAnsi="Cambria Math"/>
          </w:rPr>
          <m:t>INT</m:t>
        </m:r>
      </m:oMath>
      <w:r w:rsidR="00C22D2D">
        <w:t xml:space="preserve"> equal to 1 if the respective observation is an interna</w:t>
      </w:r>
      <w:proofErr w:type="spellStart"/>
      <w:r w:rsidR="00C22D2D">
        <w:t>tional</w:t>
      </w:r>
      <w:proofErr w:type="spellEnd"/>
      <w:r w:rsidR="00C22D2D">
        <w:t xml:space="preserve"> flight between the </w:t>
      </w:r>
      <w:r w:rsidR="00E1313C">
        <w:t>E</w:t>
      </w:r>
      <w:r w:rsidR="00F13433">
        <w:t xml:space="preserve">urope </w:t>
      </w:r>
      <w:r w:rsidR="00C22D2D">
        <w:t>and the US</w:t>
      </w:r>
      <w:r w:rsidR="00F13433">
        <w:t xml:space="preserve">, </w:t>
      </w:r>
      <w:r w:rsidR="00C22D2D">
        <w:t xml:space="preserve">and 0 </w:t>
      </w:r>
      <w:r w:rsidR="00F13433">
        <w:t xml:space="preserve">otherwise (i.e., </w:t>
      </w:r>
      <w:r w:rsidR="00C22D2D">
        <w:t>if it is a US domestic flight</w:t>
      </w:r>
      <w:r w:rsidR="00F13433">
        <w:t>)</w:t>
      </w:r>
      <w:r w:rsidR="00C22D2D">
        <w:t xml:space="preserve">. Thus, </w:t>
      </w:r>
      <m:oMath>
        <m:r>
          <m:rPr>
            <m:sty m:val="p"/>
          </m:rPr>
          <w:rPr>
            <w:rFonts w:ascii="Cambria Math" w:hAnsi="Cambria Math"/>
          </w:rPr>
          <m:t>δ</m:t>
        </m:r>
      </m:oMath>
      <w:r w:rsidR="00C22D2D">
        <w:t xml:space="preserve"> </w:t>
      </w:r>
      <w:r w:rsidR="00F13433">
        <w:t>captures</w:t>
      </w:r>
      <w:r w:rsidR="00C22D2D">
        <w:t xml:space="preserve"> </w:t>
      </w:r>
      <w:r w:rsidR="00F13433">
        <w:t xml:space="preserve">fundamental differences between </w:t>
      </w:r>
      <w:r w:rsidR="00C22D2D">
        <w:t>international and domestic flights</w:t>
      </w:r>
      <w:r w:rsidR="00F13433">
        <w:t xml:space="preserve"> as reflected in the normalized fares levels</w:t>
      </w:r>
      <w:r w:rsidR="00C22D2D">
        <w:t>.</w:t>
      </w:r>
      <w:r w:rsidR="00527B8D">
        <w:rPr>
          <w:rStyle w:val="FootnoteReference"/>
        </w:rPr>
        <w:footnoteReference w:id="5"/>
      </w:r>
    </w:p>
    <w:p w14:paraId="2FD0CA5A" w14:textId="187E279F" w:rsidR="00EE14BF" w:rsidRPr="002C388F" w:rsidRDefault="00F13433" w:rsidP="00566DE0">
      <w:pPr>
        <w:pStyle w:val="FlietextFolge"/>
        <w:spacing w:line="360" w:lineRule="auto"/>
      </w:pPr>
      <w:r>
        <w:t xml:space="preserve"> </w:t>
      </w:r>
      <m:oMath>
        <m:sSub>
          <m:sSubPr>
            <m:ctrlPr>
              <w:rPr>
                <w:rFonts w:ascii="Cambria Math" w:hAnsi="Cambria Math"/>
              </w:rPr>
            </m:ctrlPr>
          </m:sSubPr>
          <m:e>
            <m:r>
              <w:rPr>
                <w:rFonts w:ascii="Cambria Math" w:hAnsi="Cambria Math"/>
              </w:rPr>
              <m:t>a</m:t>
            </m:r>
          </m:e>
          <m:sub>
            <m:r>
              <w:rPr>
                <w:rFonts w:ascii="Cambria Math" w:hAnsi="Cambria Math"/>
              </w:rPr>
              <m:t>cr</m:t>
            </m:r>
          </m:sub>
        </m:sSub>
      </m:oMath>
      <w:r w:rsidR="00AD1DFE">
        <w:t xml:space="preserve"> is a route-carrier fixed effect</w:t>
      </w:r>
      <w:r w:rsidR="005934F6">
        <w:t xml:space="preserve"> </w:t>
      </w:r>
      <w:r>
        <w:t xml:space="preserve">measuring </w:t>
      </w:r>
      <w:r w:rsidR="005934F6" w:rsidRPr="005934F6">
        <w:t xml:space="preserve">unobserved </w:t>
      </w:r>
      <w:proofErr w:type="gramStart"/>
      <w:r w:rsidR="005934F6" w:rsidRPr="005934F6">
        <w:t>heterogeneity</w:t>
      </w:r>
      <w:r w:rsidR="00EE14BF">
        <w:t>.</w:t>
      </w:r>
      <w:proofErr w:type="gramEnd"/>
      <w:r w:rsidR="001533D8">
        <w:t xml:space="preserve"> </w:t>
      </w:r>
      <w:proofErr w:type="spellStart"/>
      <w:r w:rsidR="004966E0" w:rsidRPr="00072FCD">
        <w:t>Ciliberto</w:t>
      </w:r>
      <w:proofErr w:type="spellEnd"/>
      <w:r w:rsidR="004966E0" w:rsidRPr="00072FCD">
        <w:t xml:space="preserve"> </w:t>
      </w:r>
      <w:r w:rsidR="004C6B26">
        <w:t>and</w:t>
      </w:r>
      <w:r w:rsidR="004966E0" w:rsidRPr="00072FCD">
        <w:t xml:space="preserve"> </w:t>
      </w:r>
      <w:proofErr w:type="spellStart"/>
      <w:r w:rsidR="004966E0" w:rsidRPr="00072FCD">
        <w:t>Schenone</w:t>
      </w:r>
      <w:proofErr w:type="spellEnd"/>
      <w:r w:rsidR="004966E0" w:rsidRPr="00072FCD">
        <w:t xml:space="preserve"> </w:t>
      </w:r>
      <w:sdt>
        <w:sdtPr>
          <w:id w:val="-2093699291"/>
          <w:citation/>
        </w:sdtPr>
        <w:sdtEndPr/>
        <w:sdtContent>
          <w:r w:rsidR="004966E0" w:rsidRPr="00072FCD">
            <w:fldChar w:fldCharType="begin"/>
          </w:r>
          <w:r w:rsidR="008A2263">
            <w:instrText xml:space="preserve">CITATION Cil12 \n  \t  \l 1031 </w:instrText>
          </w:r>
          <w:r w:rsidR="004966E0" w:rsidRPr="00072FCD">
            <w:fldChar w:fldCharType="separate"/>
          </w:r>
          <w:r w:rsidR="00886B31" w:rsidRPr="00E52C8D">
            <w:rPr>
              <w:noProof/>
            </w:rPr>
            <w:t>(2012a)</w:t>
          </w:r>
          <w:r w:rsidR="004966E0" w:rsidRPr="00072FCD">
            <w:fldChar w:fldCharType="end"/>
          </w:r>
        </w:sdtContent>
      </w:sdt>
      <w:r w:rsidR="00EE14BF" w:rsidRPr="00072FCD">
        <w:t xml:space="preserve"> </w:t>
      </w:r>
      <w:r w:rsidR="004966E0" w:rsidRPr="00072FCD">
        <w:t xml:space="preserve">argue that including route-carrier fixed effects instead of just carrier and route fixed effects is important </w:t>
      </w:r>
      <w:proofErr w:type="gramStart"/>
      <w:r w:rsidR="004966E0" w:rsidRPr="00072FCD">
        <w:t>in regard to</w:t>
      </w:r>
      <w:proofErr w:type="gramEnd"/>
      <w:r w:rsidR="004966E0" w:rsidRPr="00072FCD">
        <w:t xml:space="preserve"> empirical analysi</w:t>
      </w:r>
      <w:r w:rsidR="00072FCD" w:rsidRPr="00072FCD">
        <w:t>s in the airline industry. The</w:t>
      </w:r>
      <w:r>
        <w:t>y</w:t>
      </w:r>
      <w:r w:rsidR="00072FCD" w:rsidRPr="00072FCD">
        <w:t xml:space="preserve"> state</w:t>
      </w:r>
      <w:r>
        <w:t>,</w:t>
      </w:r>
      <w:r w:rsidR="00072FCD" w:rsidRPr="00072FCD">
        <w:t xml:space="preserve"> </w:t>
      </w:r>
      <w:r w:rsidR="00072FCD">
        <w:t>among others</w:t>
      </w:r>
      <w:r>
        <w:t>,</w:t>
      </w:r>
      <w:r w:rsidR="00072FCD">
        <w:t xml:space="preserve"> the following example</w:t>
      </w:r>
      <w:r w:rsidR="00311C04">
        <w:t xml:space="preserve"> to support their argumentation</w:t>
      </w:r>
      <w:r w:rsidR="00072FCD">
        <w:t>:</w:t>
      </w:r>
      <w:r w:rsidR="00072FCD" w:rsidRPr="00072FCD">
        <w:t xml:space="preserve"> </w:t>
      </w:r>
      <w:r w:rsidR="00072FCD" w:rsidRPr="00580AA0">
        <w:rPr>
          <w:rStyle w:val="QuoteChar"/>
        </w:rPr>
        <w:t>“[…] a carrier flying on a certain time schedule might benefit business travel in some markets but not in others, affecting the price behaviour of that carrier in those markets, but not in others</w:t>
      </w:r>
      <w:r w:rsidR="002C388F">
        <w:rPr>
          <w:rStyle w:val="QuoteChar"/>
        </w:rPr>
        <w:t>”</w:t>
      </w:r>
      <w:r>
        <w:rPr>
          <w:rStyle w:val="QuoteChar"/>
          <w:i w:val="0"/>
          <w:iCs w:val="0"/>
        </w:rPr>
        <w:t>.</w:t>
      </w:r>
      <w:r w:rsidR="001533D8">
        <w:t xml:space="preserve"> Furthermore</w:t>
      </w:r>
      <w:r>
        <w:t>,</w:t>
      </w:r>
      <w:r w:rsidR="001533D8">
        <w:t xml:space="preserve"> </w:t>
      </w:r>
      <w:proofErr w:type="spellStart"/>
      <w:r w:rsidR="00FB5285">
        <w:t>Gera</w:t>
      </w:r>
      <w:r w:rsidR="0031508F">
        <w:t>r</w:t>
      </w:r>
      <w:r w:rsidR="00FB5285">
        <w:t>di</w:t>
      </w:r>
      <w:proofErr w:type="spellEnd"/>
      <w:r w:rsidR="00FB5285">
        <w:t xml:space="preserve"> </w:t>
      </w:r>
      <w:r w:rsidR="004C6B26">
        <w:t>and</w:t>
      </w:r>
      <w:r w:rsidR="00FB5285">
        <w:t xml:space="preserve"> Shapiro</w:t>
      </w:r>
      <w:r>
        <w:t xml:space="preserve"> (2007)</w:t>
      </w:r>
      <w:r w:rsidR="001533D8">
        <w:t xml:space="preserve"> </w:t>
      </w:r>
      <w:r w:rsidR="0026467B">
        <w:t>made similar conclusions.</w:t>
      </w:r>
    </w:p>
    <w:p w14:paraId="3E1204C9" w14:textId="5EF90D63" w:rsidR="00CC6374" w:rsidRDefault="00F13433" w:rsidP="00566DE0">
      <w:pPr>
        <w:pStyle w:val="FlietextFolge"/>
        <w:spacing w:line="360" w:lineRule="auto"/>
      </w:pPr>
      <w:r>
        <w:t>S</w:t>
      </w:r>
      <w:r w:rsidR="00315574">
        <w:t xml:space="preserve">easonal </w:t>
      </w:r>
      <w:r w:rsidR="00315574" w:rsidRPr="00315574">
        <w:t>demand changes</w:t>
      </w:r>
      <w:r w:rsidR="00315574">
        <w:t xml:space="preserve"> and</w:t>
      </w:r>
      <w:r w:rsidR="00315574" w:rsidRPr="00315574">
        <w:t xml:space="preserve"> </w:t>
      </w:r>
      <w:hyperlink r:id="rId8" w:tooltip="frequency: 45" w:history="1">
        <w:r w:rsidR="00315574" w:rsidRPr="00315574">
          <w:t>exogenous</w:t>
        </w:r>
      </w:hyperlink>
      <w:r w:rsidR="00315574">
        <w:t xml:space="preserve"> </w:t>
      </w:r>
      <w:r>
        <w:t xml:space="preserve">system-wide </w:t>
      </w:r>
      <w:r w:rsidR="00315574">
        <w:t>effects (e.g.</w:t>
      </w:r>
      <w:r>
        <w:t>,</w:t>
      </w:r>
      <w:r w:rsidR="00315574">
        <w:t xml:space="preserve"> changes in fuel prices)</w:t>
      </w:r>
      <w:r>
        <w:t>,</w:t>
      </w:r>
      <w:r w:rsidR="00AD1DFE">
        <w:t xml:space="preserve"> </w:t>
      </w:r>
      <w:r w:rsidR="00315574">
        <w:t xml:space="preserve">year-month fixed effects are </w:t>
      </w:r>
      <w:r>
        <w:t xml:space="preserve">captured by </w:t>
      </w:r>
      <w:r w:rsidR="00315574">
        <w:t xml:space="preserve">the variable </w:t>
      </w:r>
      <m:oMath>
        <m:sSub>
          <m:sSubPr>
            <m:ctrlPr>
              <w:rPr>
                <w:rFonts w:ascii="Cambria Math" w:hAnsi="Cambria Math"/>
              </w:rPr>
            </m:ctrlPr>
          </m:sSubPr>
          <m:e>
            <m:r>
              <w:rPr>
                <w:rFonts w:ascii="Cambria Math" w:hAnsi="Cambria Math"/>
              </w:rPr>
              <m:t>a</m:t>
            </m:r>
          </m:e>
          <m:sub>
            <m:r>
              <w:rPr>
                <w:rFonts w:ascii="Cambria Math" w:hAnsi="Cambria Math"/>
              </w:rPr>
              <m:t>t</m:t>
            </m:r>
          </m:sub>
        </m:sSub>
      </m:oMath>
      <w:r w:rsidR="00AD1DFE">
        <w:t>.</w:t>
      </w:r>
      <w:r w:rsidR="00D1079C">
        <w:t xml:space="preserve"> </w:t>
      </w:r>
      <w:r w:rsidR="00CC6374">
        <w:t xml:space="preserve">The variable </w:t>
      </w:r>
      <m:oMath>
        <m:sSub>
          <m:sSubPr>
            <m:ctrlPr>
              <w:rPr>
                <w:rFonts w:ascii="Cambria Math" w:hAnsi="Cambria Math"/>
              </w:rPr>
            </m:ctrlPr>
          </m:sSubPr>
          <m:e>
            <m:r>
              <w:rPr>
                <w:rFonts w:ascii="Cambria Math" w:hAnsi="Cambria Math"/>
              </w:rPr>
              <m:t>u</m:t>
            </m:r>
          </m:e>
          <m:sub>
            <m:r>
              <w:rPr>
                <w:rFonts w:ascii="Cambria Math" w:hAnsi="Cambria Math"/>
              </w:rPr>
              <m:t>crt</m:t>
            </m:r>
          </m:sub>
        </m:sSub>
      </m:oMath>
      <w:r w:rsidR="00CC6374">
        <w:t xml:space="preserve"> </w:t>
      </w:r>
      <w:r w:rsidR="00CC6374" w:rsidRPr="00CC6374">
        <w:t>is a</w:t>
      </w:r>
      <w:r w:rsidR="00CC6374">
        <w:t>n</w:t>
      </w:r>
      <w:r w:rsidR="00CC6374" w:rsidRPr="00CC6374">
        <w:t xml:space="preserve"> idiosyncratic error</w:t>
      </w:r>
      <w:r w:rsidR="00045546">
        <w:t xml:space="preserve"> and assumed to be uncorrelated with the explanatory variables</w:t>
      </w:r>
      <w:r w:rsidR="00CC6374">
        <w:t>.</w:t>
      </w:r>
    </w:p>
    <w:p w14:paraId="64A2F62E" w14:textId="01EC67D8" w:rsidR="00E00ED5" w:rsidRDefault="00045546" w:rsidP="00566DE0">
      <w:pPr>
        <w:pStyle w:val="FlietextFolge"/>
        <w:spacing w:line="360" w:lineRule="auto"/>
      </w:pPr>
      <w:r>
        <w:t xml:space="preserve">Another important point to consider </w:t>
      </w:r>
      <w:proofErr w:type="gramStart"/>
      <w:r>
        <w:t>in regard to</w:t>
      </w:r>
      <w:proofErr w:type="gramEnd"/>
      <w:r>
        <w:t xml:space="preserve"> the empirical analysis is the pre-bankruptcy </w:t>
      </w:r>
      <w:r w:rsidR="001E6109">
        <w:t>performance</w:t>
      </w:r>
      <w:r>
        <w:t xml:space="preserve"> of </w:t>
      </w:r>
      <w:r w:rsidR="00D5787A">
        <w:t xml:space="preserve">bankrupt firms’ </w:t>
      </w:r>
      <w:r>
        <w:t>prices</w:t>
      </w:r>
      <w:r w:rsidR="0098715E">
        <w:t xml:space="preserve"> and competitors’ prices</w:t>
      </w:r>
      <w:r>
        <w:t>.</w:t>
      </w:r>
      <w:r w:rsidR="001E6109">
        <w:t xml:space="preserve"> Firms filing for </w:t>
      </w:r>
      <w:r w:rsidR="005B7692" w:rsidRPr="005B7692">
        <w:t>Chapter 11</w:t>
      </w:r>
      <w:r w:rsidR="001E6109">
        <w:t xml:space="preserve"> </w:t>
      </w:r>
      <w:r w:rsidR="00EB0BAC">
        <w:t xml:space="preserve">have been </w:t>
      </w:r>
      <w:r w:rsidR="001E6109">
        <w:t>usually</w:t>
      </w:r>
      <w:r>
        <w:t xml:space="preserve"> </w:t>
      </w:r>
      <w:r w:rsidR="001E6109">
        <w:t>already operating under financial distress for a certain</w:t>
      </w:r>
      <w:r w:rsidR="003553A6">
        <w:t xml:space="preserve"> time period</w:t>
      </w:r>
      <w:r w:rsidR="001E6109">
        <w:t>.</w:t>
      </w:r>
      <w:r w:rsidR="003553A6">
        <w:t xml:space="preserve"> </w:t>
      </w:r>
      <w:r w:rsidR="0031508F">
        <w:t xml:space="preserve">During this time period </w:t>
      </w:r>
      <w:r w:rsidR="003553A6">
        <w:t xml:space="preserve">the </w:t>
      </w:r>
      <w:r w:rsidR="0031508F">
        <w:t xml:space="preserve">financially distressed </w:t>
      </w:r>
      <w:r w:rsidR="003553A6">
        <w:t>company might try</w:t>
      </w:r>
      <w:proofErr w:type="gramStart"/>
      <w:r w:rsidR="0031508F">
        <w:t>,</w:t>
      </w:r>
      <w:r w:rsidR="003553A6">
        <w:t xml:space="preserve"> by all means</w:t>
      </w:r>
      <w:r w:rsidR="0031508F">
        <w:t>,</w:t>
      </w:r>
      <w:r w:rsidR="003553A6">
        <w:t xml:space="preserve"> to</w:t>
      </w:r>
      <w:proofErr w:type="gramEnd"/>
      <w:r w:rsidR="003553A6">
        <w:t xml:space="preserve"> avoid bankruptcy</w:t>
      </w:r>
      <w:r w:rsidR="0098715E">
        <w:t xml:space="preserve"> and</w:t>
      </w:r>
      <w:r w:rsidR="0031508F">
        <w:t>,</w:t>
      </w:r>
      <w:r w:rsidR="0098715E">
        <w:t xml:space="preserve"> therefore</w:t>
      </w:r>
      <w:r w:rsidR="0031508F">
        <w:t>,</w:t>
      </w:r>
      <w:r w:rsidR="0098715E">
        <w:t xml:space="preserve"> focus on short term profit maximization</w:t>
      </w:r>
      <w:r w:rsidR="00026B55">
        <w:t xml:space="preserve">, for example, </w:t>
      </w:r>
      <w:r w:rsidR="0098715E">
        <w:lastRenderedPageBreak/>
        <w:t xml:space="preserve">by cutting prices in order to </w:t>
      </w:r>
      <w:r w:rsidR="00026B55">
        <w:t>steal market share from competitors</w:t>
      </w:r>
      <w:r w:rsidR="00C94616">
        <w:t>.</w:t>
      </w:r>
      <w:r w:rsidR="00B32F6F">
        <w:t xml:space="preserve"> </w:t>
      </w:r>
      <w:r w:rsidR="00026B55">
        <w:t>At the same time,</w:t>
      </w:r>
      <w:r w:rsidR="00C94616">
        <w:t xml:space="preserve"> competitors might establish predation strategies even before the financial troubled carrier files for </w:t>
      </w:r>
      <w:r w:rsidR="005B7692" w:rsidRPr="005B7692">
        <w:t>Chapter 11</w:t>
      </w:r>
      <w:r w:rsidR="00C94616">
        <w:t xml:space="preserve"> in order to weaken the distressed carrier even further.</w:t>
      </w:r>
      <w:r w:rsidR="00026B55">
        <w:t xml:space="preserve"> </w:t>
      </w:r>
      <w:r w:rsidR="00D4708B">
        <w:t xml:space="preserve">These points could lead to significant price drops </w:t>
      </w:r>
      <w:r w:rsidR="00026B55">
        <w:t xml:space="preserve">prior to </w:t>
      </w:r>
      <w:r w:rsidR="00D4708B">
        <w:t xml:space="preserve">the actual filing for </w:t>
      </w:r>
      <w:r w:rsidR="005B7692" w:rsidRPr="005B7692">
        <w:t>Chapter 11</w:t>
      </w:r>
      <w:r w:rsidR="00D4708B">
        <w:t>. Hence, comparing the average prices during bankruptcy to the pre-bankruptcy val</w:t>
      </w:r>
      <w:r w:rsidR="00D7122C">
        <w:t>ues</w:t>
      </w:r>
      <w:r w:rsidR="00026B55">
        <w:t>,</w:t>
      </w:r>
      <w:r w:rsidR="00D7122C">
        <w:t xml:space="preserve"> might distort the results</w:t>
      </w:r>
      <w:r w:rsidR="00026B55">
        <w:t>, if the pre-bankruptcy prices are artificial low</w:t>
      </w:r>
      <w:r w:rsidR="00D7122C">
        <w:t>.</w:t>
      </w:r>
      <w:r w:rsidR="00910267">
        <w:t xml:space="preserve"> </w:t>
      </w:r>
      <w:r w:rsidR="00E00ED5">
        <w:t>To address this issue</w:t>
      </w:r>
      <w:r w:rsidR="00026B55">
        <w:t>,</w:t>
      </w:r>
      <w:r w:rsidR="00E00ED5">
        <w:t xml:space="preserve"> </w:t>
      </w:r>
      <w:r w:rsidR="00026B55">
        <w:t xml:space="preserve">we also test estimations where we eliminate from the analysis </w:t>
      </w:r>
      <w:r w:rsidR="00E00ED5">
        <w:t xml:space="preserve">the observations </w:t>
      </w:r>
      <w:r w:rsidR="00026B55">
        <w:t xml:space="preserve">from the </w:t>
      </w:r>
      <w:r w:rsidR="00DD4DAF">
        <w:t xml:space="preserve">three months </w:t>
      </w:r>
      <w:r w:rsidR="00E00ED5">
        <w:t xml:space="preserve">prior to the </w:t>
      </w:r>
      <w:r w:rsidR="005B7692" w:rsidRPr="005B7692">
        <w:t>Chapter 11</w:t>
      </w:r>
      <w:r w:rsidR="00E00ED5">
        <w:t xml:space="preserve"> filing date.</w:t>
      </w:r>
    </w:p>
    <w:p w14:paraId="6404AF9A" w14:textId="3AC2BA1B" w:rsidR="006C2A93" w:rsidRDefault="00026B55" w:rsidP="00190288">
      <w:pPr>
        <w:pStyle w:val="FlietextFolge"/>
        <w:spacing w:line="360" w:lineRule="auto"/>
      </w:pPr>
      <w:r w:rsidRPr="00CF6DA2">
        <w:t>A</w:t>
      </w:r>
      <w:r w:rsidR="000974F0" w:rsidRPr="00CF6DA2">
        <w:t>nother important point is the possible endogeneity of the Chapter 11 process itself.</w:t>
      </w:r>
      <w:r w:rsidR="003A3719" w:rsidRPr="00CF6DA2">
        <w:t xml:space="preserve"> Decreasing prices in the pre-bankruptcy period might have caused the Chapter 11 filing. Therefore</w:t>
      </w:r>
      <w:r w:rsidRPr="00CF6DA2">
        <w:t>,</w:t>
      </w:r>
      <w:r w:rsidR="003A3719" w:rsidRPr="00CF6DA2">
        <w:t xml:space="preserve"> reversed causality might be a factor concerning the pre-bankruptcy performance of bankrupt airlines.</w:t>
      </w:r>
      <w:r w:rsidR="003A3719">
        <w:t xml:space="preserve"> </w:t>
      </w:r>
      <w:r w:rsidR="00190288">
        <w:t xml:space="preserve">While filing for bankruptcy protection is potentially endogenous, in their study of seven Chapter 11 filings, </w:t>
      </w:r>
      <w:r w:rsidR="00190288" w:rsidRPr="001748E1">
        <w:rPr>
          <w:noProof/>
        </w:rPr>
        <w:t xml:space="preserve">Ciliberto </w:t>
      </w:r>
      <w:r w:rsidR="00190288">
        <w:rPr>
          <w:noProof/>
        </w:rPr>
        <w:t>and</w:t>
      </w:r>
      <w:r w:rsidR="00190288" w:rsidRPr="001748E1">
        <w:rPr>
          <w:noProof/>
        </w:rPr>
        <w:t xml:space="preserve"> Schenone</w:t>
      </w:r>
      <w:r w:rsidR="00190288">
        <w:rPr>
          <w:noProof/>
        </w:rPr>
        <w:t xml:space="preserve"> </w:t>
      </w:r>
      <w:sdt>
        <w:sdtPr>
          <w:rPr>
            <w:noProof/>
          </w:rPr>
          <w:id w:val="611872885"/>
          <w:citation/>
        </w:sdtPr>
        <w:sdtEndPr/>
        <w:sdtContent>
          <w:r w:rsidR="00190288">
            <w:rPr>
              <w:noProof/>
            </w:rPr>
            <w:fldChar w:fldCharType="begin"/>
          </w:r>
          <w:r w:rsidR="00190288">
            <w:rPr>
              <w:noProof/>
            </w:rPr>
            <w:instrText xml:space="preserve">CITATION Cil12 \n  \t  \l 1031 </w:instrText>
          </w:r>
          <w:r w:rsidR="00190288">
            <w:rPr>
              <w:noProof/>
            </w:rPr>
            <w:fldChar w:fldCharType="separate"/>
          </w:r>
          <w:r w:rsidR="00886B31" w:rsidRPr="00E52C8D">
            <w:rPr>
              <w:noProof/>
            </w:rPr>
            <w:t>(2012a)</w:t>
          </w:r>
          <w:r w:rsidR="00190288">
            <w:rPr>
              <w:noProof/>
            </w:rPr>
            <w:fldChar w:fldCharType="end"/>
          </w:r>
        </w:sdtContent>
      </w:sdt>
      <w:r w:rsidR="00190288">
        <w:rPr>
          <w:noProof/>
        </w:rPr>
        <w:t xml:space="preserve"> suggest that this does not seem to be significant in practice and hence they conclude that the estimated coefficients are not biased.</w:t>
      </w:r>
    </w:p>
    <w:p w14:paraId="6833E463" w14:textId="59CB783D" w:rsidR="00A2145E" w:rsidRPr="00CE5977" w:rsidRDefault="00026B55" w:rsidP="00240B77">
      <w:pPr>
        <w:pStyle w:val="FlietextFolge"/>
        <w:spacing w:line="360" w:lineRule="auto"/>
      </w:pPr>
      <w:r>
        <w:t xml:space="preserve">The estimation results of </w:t>
      </w:r>
      <w:r w:rsidR="00AA324D">
        <w:t>E</w:t>
      </w:r>
      <w:r w:rsidR="006334F7">
        <w:t>quation (1)</w:t>
      </w:r>
      <w:r w:rsidR="00AA324D">
        <w:t xml:space="preserve"> </w:t>
      </w:r>
      <w:r w:rsidR="006334F7">
        <w:t xml:space="preserve">are </w:t>
      </w:r>
      <w:r>
        <w:t xml:space="preserve">provided </w:t>
      </w:r>
      <w:r w:rsidR="006334F7">
        <w:t xml:space="preserve">in </w:t>
      </w:r>
      <w:r w:rsidR="006334F7">
        <w:fldChar w:fldCharType="begin"/>
      </w:r>
      <w:r w:rsidR="006334F7">
        <w:instrText xml:space="preserve"> REF _Ref447293539 \h </w:instrText>
      </w:r>
      <w:r w:rsidR="006334F7">
        <w:fldChar w:fldCharType="separate"/>
      </w:r>
      <w:r w:rsidR="00886B31">
        <w:t xml:space="preserve">Table </w:t>
      </w:r>
      <w:r w:rsidR="00886B31">
        <w:rPr>
          <w:noProof/>
        </w:rPr>
        <w:t>1</w:t>
      </w:r>
      <w:r w:rsidR="006334F7">
        <w:fldChar w:fldCharType="end"/>
      </w:r>
      <w:r w:rsidR="009C6D2C">
        <w:t xml:space="preserve">, </w:t>
      </w:r>
      <w:r w:rsidR="009C6D2C" w:rsidRPr="009C6D2C">
        <w:t xml:space="preserve">including fixed effects and mixed effects models. The mixed effects models enable estimation of the coefficient of </w:t>
      </w:r>
      <w:r w:rsidR="009C6D2C">
        <w:t>INT</w:t>
      </w:r>
      <w:r w:rsidR="009C6D2C" w:rsidRPr="009C6D2C">
        <w:t>, which is invariant over time.</w:t>
      </w:r>
      <w:r w:rsidR="009C6D2C">
        <w:t xml:space="preserve"> </w:t>
      </w:r>
      <w:r w:rsidR="00AA324D">
        <w:t xml:space="preserve">The results are robust across the four different models and indicate that the </w:t>
      </w:r>
      <w:r>
        <w:t xml:space="preserve">prices of the </w:t>
      </w:r>
      <w:r w:rsidR="00AA324D">
        <w:t xml:space="preserve">bankrupt carrier </w:t>
      </w:r>
      <w:r>
        <w:t xml:space="preserve">are lower both during the </w:t>
      </w:r>
      <w:r w:rsidR="00AA324D">
        <w:t xml:space="preserve">bankruptcy protection </w:t>
      </w:r>
      <w:r w:rsidR="00863222">
        <w:t>as well as</w:t>
      </w:r>
      <w:r w:rsidR="00AA324D">
        <w:t xml:space="preserve"> </w:t>
      </w:r>
      <w:r>
        <w:t xml:space="preserve">after emerging from </w:t>
      </w:r>
      <w:r w:rsidR="00863222">
        <w:t xml:space="preserve">bankruptcy </w:t>
      </w:r>
      <w:r>
        <w:t xml:space="preserve">as compared to the pre-bankruptcy </w:t>
      </w:r>
      <w:r w:rsidR="00863222">
        <w:t>period</w:t>
      </w:r>
      <w:r w:rsidR="00AA324D">
        <w:t xml:space="preserve">. The </w:t>
      </w:r>
      <w:r>
        <w:t xml:space="preserve">prices of the </w:t>
      </w:r>
      <w:r w:rsidR="00AA324D">
        <w:t xml:space="preserve">competitors </w:t>
      </w:r>
      <w:r w:rsidR="006C2A93">
        <w:t xml:space="preserve">are slightly higher </w:t>
      </w:r>
      <w:r>
        <w:t xml:space="preserve">during </w:t>
      </w:r>
      <w:r w:rsidR="006C2A93">
        <w:t xml:space="preserve">and </w:t>
      </w:r>
      <w:r>
        <w:t>after the bankruptcy.</w:t>
      </w:r>
      <w:r w:rsidR="00B45B9F">
        <w:t xml:space="preserve"> Further, as expected, t</w:t>
      </w:r>
      <w:r w:rsidR="00CE5977">
        <w:t>he coefficient of the HHI</w:t>
      </w:r>
      <w:r>
        <w:t>,</w:t>
      </w:r>
      <w:r w:rsidR="00CE5977">
        <w:t xml:space="preserve"> </w:t>
      </w:r>
      <m:oMath>
        <m:r>
          <m:rPr>
            <m:sty m:val="p"/>
          </m:rPr>
          <w:rPr>
            <w:rFonts w:ascii="Cambria Math" w:hAnsi="Cambria Math"/>
          </w:rPr>
          <m:t>γ</m:t>
        </m:r>
      </m:oMath>
      <w:r>
        <w:t>,</w:t>
      </w:r>
      <w:r w:rsidR="00A2145E">
        <w:t xml:space="preserve"> </w:t>
      </w:r>
      <w:r w:rsidR="00CE5977">
        <w:t xml:space="preserve">is positive and indicates that more concentrated markets have higher prices per kilometre </w:t>
      </w:r>
      <w:r w:rsidR="00E0481D">
        <w:t>than less concentrated markets</w:t>
      </w:r>
      <w:r w:rsidR="00B45B9F">
        <w:t>, whereas t</w:t>
      </w:r>
      <w:r w:rsidR="00A2145E">
        <w:t>he negative coefficient of the I</w:t>
      </w:r>
      <w:r w:rsidR="00E351BD">
        <w:t>NT</w:t>
      </w:r>
      <w:r w:rsidR="00A2145E">
        <w:t xml:space="preserve"> variable</w:t>
      </w:r>
      <w:r w:rsidR="00E351BD">
        <w:t>,</w:t>
      </w:r>
      <w:r w:rsidR="00A2145E">
        <w:t xml:space="preserve"> </w:t>
      </w:r>
      <m:oMath>
        <m:r>
          <m:rPr>
            <m:sty m:val="p"/>
          </m:rPr>
          <w:rPr>
            <w:rFonts w:ascii="Cambria Math" w:hAnsi="Cambria Math"/>
          </w:rPr>
          <m:t>δ</m:t>
        </m:r>
      </m:oMath>
      <w:r w:rsidR="00E351BD">
        <w:t>,</w:t>
      </w:r>
      <w:r w:rsidR="009D5BE1">
        <w:t xml:space="preserve"> confirms that prices per kilometre a</w:t>
      </w:r>
      <w:r w:rsidR="009C5C56">
        <w:t>re</w:t>
      </w:r>
      <w:r w:rsidR="009D5BE1">
        <w:t xml:space="preserve"> lower in international markets than in domestic markets</w:t>
      </w:r>
      <w:r w:rsidR="00E351BD">
        <w:t xml:space="preserve"> (Holloway, 2008).</w:t>
      </w:r>
      <w:r w:rsidR="00816F26">
        <w:t xml:space="preserve"> </w:t>
      </w:r>
    </w:p>
    <w:p w14:paraId="29CD8BAC" w14:textId="77777777" w:rsidR="007448E9" w:rsidRPr="007448E9" w:rsidRDefault="007448E9" w:rsidP="007448E9">
      <w:pPr>
        <w:pStyle w:val="FlietextFolge"/>
      </w:pPr>
    </w:p>
    <w:p w14:paraId="4D7419EE" w14:textId="5E6C9DF7" w:rsidR="0095351A" w:rsidRDefault="0095351A" w:rsidP="00E351BD">
      <w:pPr>
        <w:pStyle w:val="Caption"/>
        <w:keepNext/>
      </w:pPr>
      <w:bookmarkStart w:id="15" w:name="_Ref447293539"/>
      <w:bookmarkStart w:id="16" w:name="_Ref451601131"/>
      <w:bookmarkStart w:id="17" w:name="_Toc451778088"/>
      <w:r>
        <w:lastRenderedPageBreak/>
        <w:t xml:space="preserve">Table </w:t>
      </w:r>
      <w:r>
        <w:fldChar w:fldCharType="begin"/>
      </w:r>
      <w:r>
        <w:instrText xml:space="preserve"> SEQ Table \* ARABIC </w:instrText>
      </w:r>
      <w:r>
        <w:fldChar w:fldCharType="separate"/>
      </w:r>
      <w:r w:rsidR="00886B31">
        <w:rPr>
          <w:noProof/>
        </w:rPr>
        <w:t>1</w:t>
      </w:r>
      <w:r>
        <w:fldChar w:fldCharType="end"/>
      </w:r>
      <w:bookmarkEnd w:id="15"/>
      <w:r w:rsidR="006334F7">
        <w:t xml:space="preserve">: </w:t>
      </w:r>
      <w:r w:rsidR="009C5C56">
        <w:t>E</w:t>
      </w:r>
      <w:r w:rsidR="006334F7">
        <w:t>ffects of Chapter 11 filings on prices (</w:t>
      </w:r>
      <w:r w:rsidR="008A0928">
        <w:t xml:space="preserve">dependent variable ln </w:t>
      </w:r>
      <m:oMath>
        <m:sSub>
          <m:sSubPr>
            <m:ctrlPr>
              <w:rPr>
                <w:rFonts w:ascii="Cambria Math" w:hAnsi="Cambria Math"/>
              </w:rPr>
            </m:ctrlPr>
          </m:sSubPr>
          <m:e>
            <m:r>
              <w:rPr>
                <w:rFonts w:ascii="Cambria Math" w:hAnsi="Cambria Math"/>
              </w:rPr>
              <m:t>P</m:t>
            </m:r>
          </m:e>
          <m:sub>
            <m:r>
              <w:rPr>
                <w:rFonts w:ascii="Cambria Math" w:hAnsi="Cambria Math"/>
              </w:rPr>
              <m:t>crt</m:t>
            </m:r>
          </m:sub>
        </m:sSub>
      </m:oMath>
      <w:r w:rsidR="006334F7">
        <w:t>)</w:t>
      </w:r>
      <w:r w:rsidR="00CD1DB6">
        <w:t>, routes covering 50% of total traffic</w:t>
      </w:r>
      <w:r w:rsidR="009C5C56">
        <w:t xml:space="preserve">, pooled US and </w:t>
      </w:r>
      <w:r w:rsidR="00E351BD">
        <w:t>Europe-</w:t>
      </w:r>
      <w:r w:rsidR="009C5C56">
        <w:t>US markets</w:t>
      </w:r>
      <w:r w:rsidR="00AE1DAE">
        <w:t xml:space="preserve"> </w:t>
      </w:r>
      <w:bookmarkEnd w:id="16"/>
      <w:bookmarkEnd w:id="17"/>
    </w:p>
    <w:tbl>
      <w:tblPr>
        <w:tblStyle w:val="HelleSchattierung-Akzent11"/>
        <w:tblW w:w="8929" w:type="dxa"/>
        <w:tblInd w:w="0" w:type="dxa"/>
        <w:tblLayout w:type="fixed"/>
        <w:tblLook w:val="0600" w:firstRow="0" w:lastRow="0" w:firstColumn="0" w:lastColumn="0" w:noHBand="1" w:noVBand="1"/>
      </w:tblPr>
      <w:tblGrid>
        <w:gridCol w:w="2694"/>
        <w:gridCol w:w="1247"/>
        <w:gridCol w:w="1247"/>
        <w:gridCol w:w="1247"/>
        <w:gridCol w:w="1247"/>
        <w:gridCol w:w="1247"/>
      </w:tblGrid>
      <w:tr w:rsidR="00E93FA4" w:rsidRPr="0095351A" w14:paraId="6532CC6E" w14:textId="440B708F" w:rsidTr="00AC5E78">
        <w:tc>
          <w:tcPr>
            <w:tcW w:w="2694" w:type="dxa"/>
            <w:tcBorders>
              <w:top w:val="single" w:sz="8" w:space="0" w:color="000000" w:themeColor="text1"/>
              <w:bottom w:val="single" w:sz="4" w:space="0" w:color="auto"/>
            </w:tcBorders>
          </w:tcPr>
          <w:p w14:paraId="7A138E22" w14:textId="77777777" w:rsidR="00E93FA4" w:rsidRPr="0095351A" w:rsidRDefault="00E93FA4" w:rsidP="000E14BC">
            <w:pPr>
              <w:widowControl w:val="0"/>
              <w:autoSpaceDE w:val="0"/>
              <w:autoSpaceDN w:val="0"/>
              <w:adjustRightInd w:val="0"/>
              <w:spacing w:line="240" w:lineRule="auto"/>
              <w:rPr>
                <w:rFonts w:cs="Times New Roman"/>
                <w:szCs w:val="24"/>
                <w:lang w:val="en-GB"/>
              </w:rPr>
            </w:pPr>
          </w:p>
        </w:tc>
        <w:tc>
          <w:tcPr>
            <w:tcW w:w="1247" w:type="dxa"/>
            <w:tcBorders>
              <w:top w:val="single" w:sz="8" w:space="0" w:color="000000" w:themeColor="text1"/>
              <w:bottom w:val="single" w:sz="4" w:space="0" w:color="auto"/>
            </w:tcBorders>
          </w:tcPr>
          <w:p w14:paraId="5B40A3EA" w14:textId="77777777" w:rsidR="00E93FA4" w:rsidRPr="0095351A" w:rsidRDefault="00E93FA4" w:rsidP="000E14BC">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247" w:type="dxa"/>
            <w:tcBorders>
              <w:top w:val="single" w:sz="8" w:space="0" w:color="000000" w:themeColor="text1"/>
              <w:bottom w:val="single" w:sz="4" w:space="0" w:color="auto"/>
            </w:tcBorders>
          </w:tcPr>
          <w:p w14:paraId="59DD21B2" w14:textId="77777777" w:rsidR="00E93FA4" w:rsidRPr="0095351A" w:rsidRDefault="00E93FA4" w:rsidP="000E14BC">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247" w:type="dxa"/>
            <w:tcBorders>
              <w:top w:val="single" w:sz="8" w:space="0" w:color="000000" w:themeColor="text1"/>
              <w:bottom w:val="single" w:sz="4" w:space="0" w:color="auto"/>
            </w:tcBorders>
          </w:tcPr>
          <w:p w14:paraId="136293C4" w14:textId="77777777" w:rsidR="00E93FA4" w:rsidRPr="0095351A" w:rsidRDefault="00E93FA4" w:rsidP="000E14BC">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247" w:type="dxa"/>
            <w:tcBorders>
              <w:top w:val="single" w:sz="8" w:space="0" w:color="000000" w:themeColor="text1"/>
              <w:bottom w:val="single" w:sz="4" w:space="0" w:color="auto"/>
            </w:tcBorders>
          </w:tcPr>
          <w:p w14:paraId="47CB8179" w14:textId="77777777" w:rsidR="00E93FA4" w:rsidRPr="0095351A" w:rsidRDefault="00E93FA4" w:rsidP="000E14BC">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247" w:type="dxa"/>
            <w:tcBorders>
              <w:top w:val="single" w:sz="8" w:space="0" w:color="000000" w:themeColor="text1"/>
              <w:bottom w:val="single" w:sz="4" w:space="0" w:color="auto"/>
            </w:tcBorders>
          </w:tcPr>
          <w:p w14:paraId="05E9E822" w14:textId="6056135E" w:rsidR="00E93FA4" w:rsidRDefault="00E93FA4" w:rsidP="000E14BC">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0F030C" w:rsidRPr="0095351A" w14:paraId="37073AFC" w14:textId="797B0D15" w:rsidTr="00AC5E78">
        <w:tc>
          <w:tcPr>
            <w:tcW w:w="2694" w:type="dxa"/>
            <w:vAlign w:val="center"/>
          </w:tcPr>
          <w:p w14:paraId="61FFDBF2"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247" w:type="dxa"/>
          </w:tcPr>
          <w:p w14:paraId="2FA5AE1A" w14:textId="306E3010"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-0.060***</w:t>
            </w:r>
          </w:p>
        </w:tc>
        <w:tc>
          <w:tcPr>
            <w:tcW w:w="1247" w:type="dxa"/>
          </w:tcPr>
          <w:p w14:paraId="0214F776" w14:textId="0E36A9D0"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-0.058***</w:t>
            </w:r>
          </w:p>
        </w:tc>
        <w:tc>
          <w:tcPr>
            <w:tcW w:w="1247" w:type="dxa"/>
          </w:tcPr>
          <w:p w14:paraId="79661F70" w14:textId="621D4C6E"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-0.074***</w:t>
            </w:r>
          </w:p>
        </w:tc>
        <w:tc>
          <w:tcPr>
            <w:tcW w:w="1247" w:type="dxa"/>
          </w:tcPr>
          <w:p w14:paraId="5DD10705" w14:textId="1909F6D3"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-0.056***</w:t>
            </w:r>
          </w:p>
        </w:tc>
        <w:tc>
          <w:tcPr>
            <w:tcW w:w="1247" w:type="dxa"/>
            <w:vAlign w:val="center"/>
          </w:tcPr>
          <w:p w14:paraId="00B1C955" w14:textId="36C517A0" w:rsidR="000F030C" w:rsidRDefault="000F030C" w:rsidP="000F030C">
            <w:pPr>
              <w:widowControl w:val="0"/>
              <w:autoSpaceDE w:val="0"/>
              <w:autoSpaceDN w:val="0"/>
              <w:adjustRightInd w:val="0"/>
              <w:spacing w:line="240" w:lineRule="auto"/>
              <w:jc w:val="center"/>
              <w:rPr>
                <w:rFonts w:cs="Times New Roman"/>
                <w:szCs w:val="24"/>
              </w:rPr>
            </w:pPr>
            <w:r>
              <w:rPr>
                <w:color w:val="000000"/>
              </w:rPr>
              <w:t>-0.060***</w:t>
            </w:r>
          </w:p>
        </w:tc>
      </w:tr>
      <w:tr w:rsidR="000F030C" w:rsidRPr="0095351A" w14:paraId="0AC0AA8E" w14:textId="3F85682B" w:rsidTr="00AC5E78">
        <w:tc>
          <w:tcPr>
            <w:tcW w:w="2694" w:type="dxa"/>
            <w:vAlign w:val="center"/>
          </w:tcPr>
          <w:p w14:paraId="2B6EAC2A"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tcPr>
          <w:p w14:paraId="4FCFA032" w14:textId="2E4EAE7B"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B418F4E" w14:textId="1B887682"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4D2387D0" w14:textId="5D371A30"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71E26BA" w14:textId="25F48FC9"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vAlign w:val="center"/>
          </w:tcPr>
          <w:p w14:paraId="7BFA0C7D" w14:textId="5B6A7240"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r>
      <w:tr w:rsidR="000F030C" w:rsidRPr="0095351A" w14:paraId="29369A04" w14:textId="42BE1F08" w:rsidTr="00AC5E78">
        <w:tc>
          <w:tcPr>
            <w:tcW w:w="2694" w:type="dxa"/>
            <w:vAlign w:val="center"/>
          </w:tcPr>
          <w:p w14:paraId="1C5BBC2A"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247" w:type="dxa"/>
          </w:tcPr>
          <w:p w14:paraId="064E620A" w14:textId="323CDE86"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0813D7C1" w14:textId="64317F9D"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0.014***</w:t>
            </w:r>
          </w:p>
        </w:tc>
        <w:tc>
          <w:tcPr>
            <w:tcW w:w="1247" w:type="dxa"/>
          </w:tcPr>
          <w:p w14:paraId="7C48AA7A" w14:textId="59F98812"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0.015***</w:t>
            </w:r>
          </w:p>
        </w:tc>
        <w:tc>
          <w:tcPr>
            <w:tcW w:w="1247" w:type="dxa"/>
          </w:tcPr>
          <w:p w14:paraId="0AC10056" w14:textId="54E5F2CE"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vAlign w:val="center"/>
          </w:tcPr>
          <w:p w14:paraId="12B9470F" w14:textId="7B12DA4B" w:rsidR="000F030C" w:rsidRDefault="000F030C" w:rsidP="000F030C">
            <w:pPr>
              <w:widowControl w:val="0"/>
              <w:autoSpaceDE w:val="0"/>
              <w:autoSpaceDN w:val="0"/>
              <w:adjustRightInd w:val="0"/>
              <w:spacing w:line="240" w:lineRule="auto"/>
              <w:jc w:val="center"/>
              <w:rPr>
                <w:rFonts w:cs="Times New Roman"/>
                <w:szCs w:val="24"/>
              </w:rPr>
            </w:pPr>
            <w:r>
              <w:rPr>
                <w:color w:val="000000"/>
              </w:rPr>
              <w:t>0.018***</w:t>
            </w:r>
          </w:p>
        </w:tc>
      </w:tr>
      <w:tr w:rsidR="000F030C" w:rsidRPr="0095351A" w14:paraId="21C64703" w14:textId="68E7B30F" w:rsidTr="00AC5E78">
        <w:tc>
          <w:tcPr>
            <w:tcW w:w="2694" w:type="dxa"/>
            <w:vAlign w:val="center"/>
          </w:tcPr>
          <w:p w14:paraId="2EBF5CD4"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tcPr>
          <w:p w14:paraId="7E58EE87" w14:textId="14A0A1A1"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4C3B61E" w14:textId="71655A54"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532E6727" w14:textId="5847353C"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6381D3C" w14:textId="3ED22E37"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vAlign w:val="center"/>
          </w:tcPr>
          <w:p w14:paraId="1BCD3186" w14:textId="1DADF64A"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r>
      <w:tr w:rsidR="000F030C" w:rsidRPr="0095351A" w14:paraId="51AD3357" w14:textId="29F1AAD0" w:rsidTr="00AC5E78">
        <w:tc>
          <w:tcPr>
            <w:tcW w:w="2694" w:type="dxa"/>
            <w:vAlign w:val="center"/>
          </w:tcPr>
          <w:p w14:paraId="4E9F0B1E"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247" w:type="dxa"/>
          </w:tcPr>
          <w:p w14:paraId="467A4D3F" w14:textId="2043D1A5"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-0.080***</w:t>
            </w:r>
          </w:p>
        </w:tc>
        <w:tc>
          <w:tcPr>
            <w:tcW w:w="1247" w:type="dxa"/>
          </w:tcPr>
          <w:p w14:paraId="5CF25170" w14:textId="64CE5C5D"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-0.076***</w:t>
            </w:r>
          </w:p>
        </w:tc>
        <w:tc>
          <w:tcPr>
            <w:tcW w:w="1247" w:type="dxa"/>
          </w:tcPr>
          <w:p w14:paraId="572B1093" w14:textId="5BBA492E"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-0.093***</w:t>
            </w:r>
          </w:p>
        </w:tc>
        <w:tc>
          <w:tcPr>
            <w:tcW w:w="1247" w:type="dxa"/>
          </w:tcPr>
          <w:p w14:paraId="2A27BDE8" w14:textId="14964B0C"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-0.066***</w:t>
            </w:r>
          </w:p>
        </w:tc>
        <w:tc>
          <w:tcPr>
            <w:tcW w:w="1247" w:type="dxa"/>
            <w:vAlign w:val="center"/>
          </w:tcPr>
          <w:p w14:paraId="3732ABD4" w14:textId="21EDB466" w:rsidR="000F030C" w:rsidRDefault="000F030C" w:rsidP="000F030C">
            <w:pPr>
              <w:widowControl w:val="0"/>
              <w:autoSpaceDE w:val="0"/>
              <w:autoSpaceDN w:val="0"/>
              <w:adjustRightInd w:val="0"/>
              <w:spacing w:line="240" w:lineRule="auto"/>
              <w:jc w:val="center"/>
              <w:rPr>
                <w:rFonts w:cs="Times New Roman"/>
                <w:szCs w:val="24"/>
              </w:rPr>
            </w:pPr>
            <w:r>
              <w:rPr>
                <w:color w:val="000000"/>
              </w:rPr>
              <w:t>-0.080***</w:t>
            </w:r>
          </w:p>
        </w:tc>
      </w:tr>
      <w:tr w:rsidR="000F030C" w:rsidRPr="0095351A" w14:paraId="2C8951B3" w14:textId="2DF6BBAF" w:rsidTr="00AC5E78">
        <w:tc>
          <w:tcPr>
            <w:tcW w:w="2694" w:type="dxa"/>
            <w:vAlign w:val="center"/>
          </w:tcPr>
          <w:p w14:paraId="7C976412"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tcPr>
          <w:p w14:paraId="56E71414" w14:textId="64C9BCF6"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79FA21BF" w14:textId="2A630CA6"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0BED9E77" w14:textId="34E909A2"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35E4FB4C" w14:textId="6B2350B5"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vAlign w:val="center"/>
          </w:tcPr>
          <w:p w14:paraId="6D8AEFFA" w14:textId="35CE4415"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r>
      <w:tr w:rsidR="000F030C" w:rsidRPr="0095351A" w14:paraId="052B1857" w14:textId="06254DFF" w:rsidTr="00AC5E78">
        <w:tc>
          <w:tcPr>
            <w:tcW w:w="2694" w:type="dxa"/>
            <w:vAlign w:val="center"/>
          </w:tcPr>
          <w:p w14:paraId="2B10179F"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247" w:type="dxa"/>
          </w:tcPr>
          <w:p w14:paraId="2366EF34" w14:textId="44DC2D2F"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3EF35976" w14:textId="4DBE409C"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18BBC6DB" w14:textId="16C18707"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0.010***</w:t>
            </w:r>
          </w:p>
        </w:tc>
        <w:tc>
          <w:tcPr>
            <w:tcW w:w="1247" w:type="dxa"/>
          </w:tcPr>
          <w:p w14:paraId="76C881DE" w14:textId="1965CFAB"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vAlign w:val="center"/>
          </w:tcPr>
          <w:p w14:paraId="602DF2FF" w14:textId="3526D7CE" w:rsidR="000F030C" w:rsidRDefault="000F030C" w:rsidP="000F030C">
            <w:pPr>
              <w:widowControl w:val="0"/>
              <w:autoSpaceDE w:val="0"/>
              <w:autoSpaceDN w:val="0"/>
              <w:adjustRightInd w:val="0"/>
              <w:spacing w:line="240" w:lineRule="auto"/>
              <w:jc w:val="center"/>
              <w:rPr>
                <w:rFonts w:cs="Times New Roman"/>
                <w:szCs w:val="24"/>
              </w:rPr>
            </w:pPr>
            <w:r>
              <w:rPr>
                <w:color w:val="000000"/>
              </w:rPr>
              <w:t>0.006***</w:t>
            </w:r>
          </w:p>
        </w:tc>
      </w:tr>
      <w:tr w:rsidR="000F030C" w:rsidRPr="0095351A" w14:paraId="778122EB" w14:textId="5DD005CA" w:rsidTr="00AC5E78">
        <w:tc>
          <w:tcPr>
            <w:tcW w:w="2694" w:type="dxa"/>
            <w:vAlign w:val="center"/>
          </w:tcPr>
          <w:p w14:paraId="61516A4A"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tcPr>
          <w:p w14:paraId="0B678AED" w14:textId="71DC8878"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E496B1C" w14:textId="346C4A06"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019ECFD1" w14:textId="39608758"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449732B5" w14:textId="47351987"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vAlign w:val="center"/>
          </w:tcPr>
          <w:p w14:paraId="107AF878" w14:textId="4516B33E"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r>
      <w:tr w:rsidR="000F030C" w:rsidRPr="0095351A" w14:paraId="60F7EC1F" w14:textId="589ABE27" w:rsidTr="00AC5E78">
        <w:tc>
          <w:tcPr>
            <w:tcW w:w="2694" w:type="dxa"/>
            <w:vAlign w:val="center"/>
          </w:tcPr>
          <w:p w14:paraId="30257C85" w14:textId="65588050"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HHI</m:t>
              </m:r>
            </m:oMath>
          </w:p>
        </w:tc>
        <w:tc>
          <w:tcPr>
            <w:tcW w:w="1247" w:type="dxa"/>
          </w:tcPr>
          <w:p w14:paraId="2926CA91" w14:textId="5B2132B9"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0.157***</w:t>
            </w:r>
          </w:p>
        </w:tc>
        <w:tc>
          <w:tcPr>
            <w:tcW w:w="1247" w:type="dxa"/>
          </w:tcPr>
          <w:p w14:paraId="5035E4C2" w14:textId="23A3C584"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0.156***</w:t>
            </w:r>
          </w:p>
        </w:tc>
        <w:tc>
          <w:tcPr>
            <w:tcW w:w="1247" w:type="dxa"/>
          </w:tcPr>
          <w:p w14:paraId="3E95B647" w14:textId="5CDD186A"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0.136***</w:t>
            </w:r>
          </w:p>
        </w:tc>
        <w:tc>
          <w:tcPr>
            <w:tcW w:w="1247" w:type="dxa"/>
          </w:tcPr>
          <w:p w14:paraId="107E866E" w14:textId="28FE94F1"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0.167***</w:t>
            </w:r>
          </w:p>
        </w:tc>
        <w:tc>
          <w:tcPr>
            <w:tcW w:w="1247" w:type="dxa"/>
            <w:vAlign w:val="center"/>
          </w:tcPr>
          <w:p w14:paraId="437DBE9A" w14:textId="2E3F2CE0" w:rsidR="000F030C" w:rsidRDefault="000F030C" w:rsidP="000F030C">
            <w:pPr>
              <w:widowControl w:val="0"/>
              <w:autoSpaceDE w:val="0"/>
              <w:autoSpaceDN w:val="0"/>
              <w:adjustRightInd w:val="0"/>
              <w:spacing w:line="240" w:lineRule="auto"/>
              <w:jc w:val="center"/>
              <w:rPr>
                <w:rFonts w:cs="Times New Roman"/>
                <w:szCs w:val="24"/>
              </w:rPr>
            </w:pPr>
            <w:r>
              <w:rPr>
                <w:color w:val="000000"/>
              </w:rPr>
              <w:t>0.151***</w:t>
            </w:r>
          </w:p>
        </w:tc>
      </w:tr>
      <w:tr w:rsidR="000F030C" w:rsidRPr="0095351A" w14:paraId="0F05C69C" w14:textId="4A05EB04" w:rsidTr="00AC5E78">
        <w:tc>
          <w:tcPr>
            <w:tcW w:w="2694" w:type="dxa"/>
            <w:vAlign w:val="center"/>
          </w:tcPr>
          <w:p w14:paraId="222A4A03"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tcPr>
          <w:p w14:paraId="4B662C62" w14:textId="49A4B3BF"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29C17688" w14:textId="4E908A31"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7DED0B74" w14:textId="1A12518B"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09DD6F5C" w14:textId="4BCF0FDF" w:rsidR="000F030C" w:rsidRDefault="000F030C" w:rsidP="000F030C">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vAlign w:val="center"/>
          </w:tcPr>
          <w:p w14:paraId="6015E6D2" w14:textId="12E734A8"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r>
      <w:tr w:rsidR="000F030C" w:rsidRPr="0095351A" w14:paraId="0C0C72C3" w14:textId="4344F57C" w:rsidTr="00AC5E78">
        <w:tc>
          <w:tcPr>
            <w:tcW w:w="2694" w:type="dxa"/>
            <w:tcBorders>
              <w:bottom w:val="nil"/>
            </w:tcBorders>
            <w:vAlign w:val="center"/>
          </w:tcPr>
          <w:p w14:paraId="6BA10C43" w14:textId="0F3F7BC6" w:rsidR="000F030C" w:rsidRPr="0095351A" w:rsidRDefault="000F030C" w:rsidP="000F030C">
            <w:pPr>
              <w:widowControl w:val="0"/>
              <w:autoSpaceDE w:val="0"/>
              <w:autoSpaceDN w:val="0"/>
              <w:adjustRightInd w:val="0"/>
              <w:spacing w:line="240" w:lineRule="auto"/>
              <w:jc w:val="left"/>
              <w:rPr>
                <w:rFonts w:cs="Times New Roman"/>
                <w:szCs w:val="24"/>
                <w:lang w:val="en-GB"/>
              </w:rPr>
            </w:pPr>
            <w:r>
              <w:t xml:space="preserve"> </w:t>
            </w:r>
            <m:oMath>
              <m:r>
                <m:rPr>
                  <m:sty m:val="p"/>
                </m:rPr>
                <w:rPr>
                  <w:rFonts w:ascii="Cambria Math" w:hAnsi="Cambria Math"/>
                </w:rPr>
                <m:t>INT</m:t>
              </m:r>
            </m:oMath>
          </w:p>
        </w:tc>
        <w:tc>
          <w:tcPr>
            <w:tcW w:w="1247" w:type="dxa"/>
            <w:tcBorders>
              <w:bottom w:val="nil"/>
            </w:tcBorders>
          </w:tcPr>
          <w:p w14:paraId="1C604C05" w14:textId="48931D55"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bottom w:val="nil"/>
            </w:tcBorders>
          </w:tcPr>
          <w:p w14:paraId="35512206" w14:textId="22B30352"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bottom w:val="nil"/>
            </w:tcBorders>
          </w:tcPr>
          <w:p w14:paraId="04932197" w14:textId="5DBC7A77"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bottom w:val="nil"/>
            </w:tcBorders>
          </w:tcPr>
          <w:p w14:paraId="1B7C566E" w14:textId="70FAB9F2"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bottom w:val="nil"/>
            </w:tcBorders>
            <w:vAlign w:val="center"/>
          </w:tcPr>
          <w:p w14:paraId="478A5ECD" w14:textId="07EDE4FD" w:rsidR="000F030C" w:rsidRDefault="000F030C" w:rsidP="000F030C">
            <w:pPr>
              <w:widowControl w:val="0"/>
              <w:autoSpaceDE w:val="0"/>
              <w:autoSpaceDN w:val="0"/>
              <w:adjustRightInd w:val="0"/>
              <w:spacing w:line="240" w:lineRule="auto"/>
              <w:jc w:val="center"/>
              <w:rPr>
                <w:rFonts w:cs="Times New Roman"/>
                <w:szCs w:val="24"/>
              </w:rPr>
            </w:pPr>
            <w:r>
              <w:rPr>
                <w:color w:val="000000"/>
              </w:rPr>
              <w:t>-0.227***</w:t>
            </w:r>
          </w:p>
        </w:tc>
      </w:tr>
      <w:tr w:rsidR="000F030C" w:rsidRPr="0095351A" w14:paraId="2FE60327" w14:textId="2263C6A0" w:rsidTr="00AC5E78">
        <w:tc>
          <w:tcPr>
            <w:tcW w:w="2694" w:type="dxa"/>
            <w:tcBorders>
              <w:top w:val="nil"/>
              <w:bottom w:val="single" w:sz="4" w:space="0" w:color="auto"/>
            </w:tcBorders>
            <w:vAlign w:val="center"/>
          </w:tcPr>
          <w:p w14:paraId="549B4A2D"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tcBorders>
              <w:top w:val="nil"/>
              <w:bottom w:val="single" w:sz="4" w:space="0" w:color="auto"/>
            </w:tcBorders>
          </w:tcPr>
          <w:p w14:paraId="6479880C" w14:textId="3A1501F0"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top w:val="nil"/>
              <w:bottom w:val="single" w:sz="4" w:space="0" w:color="auto"/>
            </w:tcBorders>
          </w:tcPr>
          <w:p w14:paraId="25651D30" w14:textId="1BFFA977"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top w:val="nil"/>
              <w:bottom w:val="single" w:sz="4" w:space="0" w:color="auto"/>
            </w:tcBorders>
          </w:tcPr>
          <w:p w14:paraId="331D7256" w14:textId="7949B708"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top w:val="nil"/>
              <w:bottom w:val="single" w:sz="4" w:space="0" w:color="auto"/>
            </w:tcBorders>
          </w:tcPr>
          <w:p w14:paraId="0BB8140E" w14:textId="4ED916BA"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top w:val="nil"/>
              <w:bottom w:val="single" w:sz="4" w:space="0" w:color="auto"/>
            </w:tcBorders>
            <w:vAlign w:val="center"/>
          </w:tcPr>
          <w:p w14:paraId="68C7AE08" w14:textId="4ADBD06C"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0.02</w:t>
            </w:r>
            <w:r>
              <w:rPr>
                <w:color w:val="000000"/>
              </w:rPr>
              <w:t>)</w:t>
            </w:r>
          </w:p>
        </w:tc>
      </w:tr>
      <w:tr w:rsidR="00E93FA4" w:rsidRPr="0095351A" w14:paraId="591EBC9D" w14:textId="4F6C54CD" w:rsidTr="00AC5E78">
        <w:tc>
          <w:tcPr>
            <w:tcW w:w="2694" w:type="dxa"/>
          </w:tcPr>
          <w:p w14:paraId="22F60FFC" w14:textId="77777777" w:rsidR="00E93FA4" w:rsidRPr="0095351A" w:rsidRDefault="00E93FA4" w:rsidP="0027774A">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247" w:type="dxa"/>
          </w:tcPr>
          <w:p w14:paraId="54D0012D" w14:textId="722B9C29" w:rsidR="00E93FA4" w:rsidRPr="0095351A" w:rsidRDefault="00E93FA4" w:rsidP="0027774A">
            <w:pPr>
              <w:widowControl w:val="0"/>
              <w:autoSpaceDE w:val="0"/>
              <w:autoSpaceDN w:val="0"/>
              <w:adjustRightInd w:val="0"/>
              <w:spacing w:line="240" w:lineRule="auto"/>
              <w:jc w:val="center"/>
              <w:rPr>
                <w:rFonts w:cs="Times New Roman"/>
                <w:szCs w:val="24"/>
                <w:lang w:val="en-GB"/>
              </w:rPr>
            </w:pPr>
            <w:r>
              <w:rPr>
                <w:rFonts w:cs="Times New Roman"/>
                <w:szCs w:val="24"/>
              </w:rPr>
              <w:t>128,146</w:t>
            </w:r>
          </w:p>
        </w:tc>
        <w:tc>
          <w:tcPr>
            <w:tcW w:w="1247" w:type="dxa"/>
          </w:tcPr>
          <w:p w14:paraId="4AC9F1E4" w14:textId="0E12B706" w:rsidR="00E93FA4" w:rsidRPr="0095351A" w:rsidRDefault="00E93FA4" w:rsidP="0027774A">
            <w:pPr>
              <w:widowControl w:val="0"/>
              <w:autoSpaceDE w:val="0"/>
              <w:autoSpaceDN w:val="0"/>
              <w:adjustRightInd w:val="0"/>
              <w:spacing w:line="240" w:lineRule="auto"/>
              <w:jc w:val="center"/>
              <w:rPr>
                <w:rFonts w:cs="Times New Roman"/>
                <w:szCs w:val="24"/>
                <w:lang w:val="en-GB"/>
              </w:rPr>
            </w:pPr>
            <w:r>
              <w:rPr>
                <w:rFonts w:cs="Times New Roman"/>
                <w:szCs w:val="24"/>
              </w:rPr>
              <w:t>132,867</w:t>
            </w:r>
          </w:p>
        </w:tc>
        <w:tc>
          <w:tcPr>
            <w:tcW w:w="1247" w:type="dxa"/>
          </w:tcPr>
          <w:p w14:paraId="405189CD" w14:textId="7F042AD5" w:rsidR="00E93FA4" w:rsidRPr="0095351A" w:rsidRDefault="00E93FA4" w:rsidP="0027774A">
            <w:pPr>
              <w:widowControl w:val="0"/>
              <w:autoSpaceDE w:val="0"/>
              <w:autoSpaceDN w:val="0"/>
              <w:adjustRightInd w:val="0"/>
              <w:spacing w:line="240" w:lineRule="auto"/>
              <w:jc w:val="center"/>
              <w:rPr>
                <w:rFonts w:cs="Times New Roman"/>
                <w:szCs w:val="24"/>
                <w:lang w:val="en-GB"/>
              </w:rPr>
            </w:pPr>
            <w:r>
              <w:rPr>
                <w:rFonts w:cs="Times New Roman"/>
                <w:szCs w:val="24"/>
              </w:rPr>
              <w:t>128,350</w:t>
            </w:r>
          </w:p>
        </w:tc>
        <w:tc>
          <w:tcPr>
            <w:tcW w:w="1247" w:type="dxa"/>
          </w:tcPr>
          <w:p w14:paraId="13204C60" w14:textId="5DEC1C6C" w:rsidR="00E93FA4" w:rsidRPr="0095351A" w:rsidRDefault="00E93FA4" w:rsidP="0027774A">
            <w:pPr>
              <w:widowControl w:val="0"/>
              <w:autoSpaceDE w:val="0"/>
              <w:autoSpaceDN w:val="0"/>
              <w:adjustRightInd w:val="0"/>
              <w:spacing w:line="240" w:lineRule="auto"/>
              <w:jc w:val="center"/>
              <w:rPr>
                <w:rFonts w:cs="Times New Roman"/>
                <w:szCs w:val="24"/>
                <w:lang w:val="en-GB"/>
              </w:rPr>
            </w:pPr>
            <w:r>
              <w:rPr>
                <w:rFonts w:cs="Times New Roman"/>
                <w:szCs w:val="24"/>
              </w:rPr>
              <w:t>128,146</w:t>
            </w:r>
          </w:p>
        </w:tc>
        <w:tc>
          <w:tcPr>
            <w:tcW w:w="1247" w:type="dxa"/>
          </w:tcPr>
          <w:p w14:paraId="09FE2BE5" w14:textId="7C1B3D39" w:rsidR="00E93FA4" w:rsidRPr="009C6D2C" w:rsidRDefault="009C6D2C" w:rsidP="009C6D2C">
            <w:pPr>
              <w:spacing w:line="240" w:lineRule="auto"/>
              <w:jc w:val="center"/>
              <w:rPr>
                <w:rFonts w:cs="Times New Roman"/>
                <w:color w:val="000000"/>
                <w:lang w:val="en-SG"/>
              </w:rPr>
            </w:pPr>
            <w:r>
              <w:rPr>
                <w:color w:val="000000"/>
              </w:rPr>
              <w:t>128,357</w:t>
            </w:r>
          </w:p>
        </w:tc>
      </w:tr>
      <w:tr w:rsidR="00392E96" w:rsidRPr="0095351A" w14:paraId="0F986833" w14:textId="76E6A77C" w:rsidTr="00AC5E78">
        <w:tc>
          <w:tcPr>
            <w:tcW w:w="2694" w:type="dxa"/>
          </w:tcPr>
          <w:p w14:paraId="0B36C6A7" w14:textId="77777777" w:rsidR="00392E96" w:rsidRPr="0095351A" w:rsidRDefault="00392E96" w:rsidP="00392E96">
            <w:pPr>
              <w:widowControl w:val="0"/>
              <w:autoSpaceDE w:val="0"/>
              <w:autoSpaceDN w:val="0"/>
              <w:adjustRightInd w:val="0"/>
              <w:spacing w:line="240" w:lineRule="auto"/>
              <w:rPr>
                <w:rFonts w:cs="Times New Roman"/>
                <w:szCs w:val="24"/>
                <w:lang w:val="en-GB"/>
              </w:rPr>
            </w:pPr>
            <w:r w:rsidRPr="0095351A">
              <w:rPr>
                <w:rFonts w:cs="Times New Roman"/>
                <w:szCs w:val="24"/>
                <w:lang w:val="en-GB"/>
              </w:rPr>
              <w:t>Route-carrier FE</w:t>
            </w:r>
          </w:p>
        </w:tc>
        <w:tc>
          <w:tcPr>
            <w:tcW w:w="1247" w:type="dxa"/>
          </w:tcPr>
          <w:p w14:paraId="4F6FB28F"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0B21F324"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307961BA"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3BA6F882"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09B44233" w14:textId="6CD5893C"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r>
      <w:tr w:rsidR="00392E96" w:rsidRPr="0095351A" w14:paraId="7FE3B4DD" w14:textId="635C65A2" w:rsidTr="00AC5E78">
        <w:tc>
          <w:tcPr>
            <w:tcW w:w="2694" w:type="dxa"/>
          </w:tcPr>
          <w:p w14:paraId="64E21F40" w14:textId="39D7F32B" w:rsidR="00392E96" w:rsidRPr="0095351A" w:rsidRDefault="00392E96" w:rsidP="00392E96">
            <w:pPr>
              <w:widowControl w:val="0"/>
              <w:autoSpaceDE w:val="0"/>
              <w:autoSpaceDN w:val="0"/>
              <w:adjustRightInd w:val="0"/>
              <w:spacing w:line="240" w:lineRule="auto"/>
              <w:rPr>
                <w:rFonts w:cs="Times New Roman"/>
                <w:szCs w:val="24"/>
                <w:lang w:val="en-GB"/>
              </w:rPr>
            </w:pPr>
            <w:r>
              <w:rPr>
                <w:rFonts w:cs="Times New Roman"/>
                <w:szCs w:val="24"/>
                <w:lang w:val="en-GB"/>
              </w:rPr>
              <w:t>Route and carrier FE</w:t>
            </w:r>
          </w:p>
        </w:tc>
        <w:tc>
          <w:tcPr>
            <w:tcW w:w="1247" w:type="dxa"/>
          </w:tcPr>
          <w:p w14:paraId="51D5D954"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13FF47C1"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43708198"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4E286CD3"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6AB3E026" w14:textId="56FEA6D3"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r>
      <w:tr w:rsidR="00392E96" w:rsidRPr="0095351A" w14:paraId="355A08BE" w14:textId="11AB0C04" w:rsidTr="00AC5E78">
        <w:tc>
          <w:tcPr>
            <w:tcW w:w="2694" w:type="dxa"/>
          </w:tcPr>
          <w:p w14:paraId="374BEB28" w14:textId="5B80538C" w:rsidR="00392E96" w:rsidRPr="0095351A" w:rsidRDefault="00392E96" w:rsidP="00392E96">
            <w:pPr>
              <w:widowControl w:val="0"/>
              <w:autoSpaceDE w:val="0"/>
              <w:autoSpaceDN w:val="0"/>
              <w:adjustRightInd w:val="0"/>
              <w:spacing w:line="240" w:lineRule="auto"/>
              <w:rPr>
                <w:rFonts w:cs="Times New Roman"/>
                <w:szCs w:val="24"/>
                <w:lang w:val="en-GB"/>
              </w:rPr>
            </w:pPr>
            <w:r w:rsidRPr="0095351A">
              <w:rPr>
                <w:rFonts w:cs="Times New Roman"/>
                <w:szCs w:val="24"/>
                <w:lang w:val="en-GB"/>
              </w:rPr>
              <w:t>Year-month FE</w:t>
            </w:r>
            <w:r w:rsidRPr="00CF6DA2">
              <w:rPr>
                <w:rFonts w:cs="Times New Roman"/>
                <w:szCs w:val="24"/>
                <w:vertAlign w:val="superscript"/>
                <w:lang w:val="en-GB"/>
              </w:rPr>
              <w:t>†</w:t>
            </w:r>
            <w:r>
              <w:rPr>
                <w:rFonts w:cs="Times New Roman"/>
                <w:szCs w:val="24"/>
                <w:lang w:val="en-GB"/>
              </w:rPr>
              <w:t xml:space="preserve"> (84 FE)</w:t>
            </w:r>
          </w:p>
        </w:tc>
        <w:tc>
          <w:tcPr>
            <w:tcW w:w="1247" w:type="dxa"/>
          </w:tcPr>
          <w:p w14:paraId="76892503"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065DC8DF"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56EFD253"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4964A6A6"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69F8B2BE" w14:textId="22926D05" w:rsidR="00392E96" w:rsidRPr="0095351A" w:rsidRDefault="000F030C" w:rsidP="00392E96">
            <w:pPr>
              <w:widowControl w:val="0"/>
              <w:autoSpaceDE w:val="0"/>
              <w:autoSpaceDN w:val="0"/>
              <w:adjustRightInd w:val="0"/>
              <w:spacing w:line="240" w:lineRule="auto"/>
              <w:jc w:val="center"/>
              <w:rPr>
                <w:rFonts w:cs="Times New Roman"/>
                <w:szCs w:val="24"/>
                <w:lang w:val="en-GB"/>
              </w:rPr>
            </w:pPr>
            <w:r>
              <w:rPr>
                <w:rFonts w:cs="Times New Roman"/>
                <w:szCs w:val="24"/>
                <w:lang w:val="en-GB"/>
              </w:rPr>
              <w:t>YES</w:t>
            </w:r>
          </w:p>
        </w:tc>
      </w:tr>
      <w:tr w:rsidR="00392E96" w:rsidRPr="0095351A" w14:paraId="181AE519" w14:textId="04EE1332" w:rsidTr="00AC5E78">
        <w:tc>
          <w:tcPr>
            <w:tcW w:w="2694" w:type="dxa"/>
          </w:tcPr>
          <w:p w14:paraId="5A0E4414" w14:textId="4A0E9A9E" w:rsidR="00392E96" w:rsidRPr="0095351A" w:rsidRDefault="00392E96" w:rsidP="00392E96">
            <w:pPr>
              <w:widowControl w:val="0"/>
              <w:autoSpaceDE w:val="0"/>
              <w:autoSpaceDN w:val="0"/>
              <w:adjustRightInd w:val="0"/>
              <w:spacing w:line="240" w:lineRule="auto"/>
              <w:rPr>
                <w:rFonts w:cs="Times New Roman"/>
                <w:szCs w:val="24"/>
                <w:lang w:val="en-GB"/>
              </w:rPr>
            </w:pPr>
            <w:r>
              <w:rPr>
                <w:rFonts w:cs="Times New Roman"/>
                <w:szCs w:val="24"/>
                <w:lang w:val="en-GB"/>
              </w:rPr>
              <w:t xml:space="preserve">Year and month FE </w:t>
            </w:r>
          </w:p>
        </w:tc>
        <w:tc>
          <w:tcPr>
            <w:tcW w:w="1247" w:type="dxa"/>
          </w:tcPr>
          <w:p w14:paraId="7056920C"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442DCDF2"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2C4292DC"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1108C283"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3C63156B" w14:textId="26E39D73"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r>
      <w:tr w:rsidR="00392E96" w:rsidRPr="0095351A" w14:paraId="0DC516E5" w14:textId="403982D0" w:rsidTr="00AC5E78">
        <w:tc>
          <w:tcPr>
            <w:tcW w:w="2694" w:type="dxa"/>
          </w:tcPr>
          <w:p w14:paraId="1141CC69" w14:textId="77777777" w:rsidR="00392E96" w:rsidRPr="0095351A" w:rsidRDefault="00392E96" w:rsidP="00392E96">
            <w:pPr>
              <w:widowControl w:val="0"/>
              <w:autoSpaceDE w:val="0"/>
              <w:autoSpaceDN w:val="0"/>
              <w:adjustRightInd w:val="0"/>
              <w:spacing w:line="240" w:lineRule="auto"/>
              <w:rPr>
                <w:rFonts w:cs="Times New Roman"/>
                <w:szCs w:val="24"/>
                <w:lang w:val="en-GB"/>
              </w:rPr>
            </w:pPr>
            <w:r w:rsidRPr="0095351A">
              <w:rPr>
                <w:rFonts w:cs="Times New Roman"/>
                <w:szCs w:val="24"/>
                <w:lang w:val="en-GB"/>
              </w:rPr>
              <w:t xml:space="preserve">3 </w:t>
            </w:r>
            <w:proofErr w:type="gramStart"/>
            <w:r w:rsidRPr="0095351A">
              <w:rPr>
                <w:rFonts w:cs="Times New Roman"/>
                <w:szCs w:val="24"/>
                <w:lang w:val="en-GB"/>
              </w:rPr>
              <w:t>month</w:t>
            </w:r>
            <w:proofErr w:type="gramEnd"/>
            <w:r w:rsidRPr="0095351A">
              <w:rPr>
                <w:rFonts w:cs="Times New Roman"/>
                <w:szCs w:val="24"/>
                <w:lang w:val="en-GB"/>
              </w:rPr>
              <w:t xml:space="preserve"> prior excluded</w:t>
            </w:r>
          </w:p>
        </w:tc>
        <w:tc>
          <w:tcPr>
            <w:tcW w:w="1247" w:type="dxa"/>
          </w:tcPr>
          <w:p w14:paraId="244B87F3"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00AB4AC6"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NO</w:t>
            </w:r>
          </w:p>
        </w:tc>
        <w:tc>
          <w:tcPr>
            <w:tcW w:w="1247" w:type="dxa"/>
          </w:tcPr>
          <w:p w14:paraId="46604B12"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772CD3C5" w14:textId="77777777" w:rsidR="00392E96" w:rsidRPr="0095351A" w:rsidRDefault="00392E96" w:rsidP="00392E96">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YES</w:t>
            </w:r>
          </w:p>
        </w:tc>
        <w:tc>
          <w:tcPr>
            <w:tcW w:w="1247" w:type="dxa"/>
          </w:tcPr>
          <w:p w14:paraId="795C3056" w14:textId="16EDA63B" w:rsidR="00392E96" w:rsidRPr="0095351A" w:rsidRDefault="000F030C" w:rsidP="00392E96">
            <w:pPr>
              <w:widowControl w:val="0"/>
              <w:autoSpaceDE w:val="0"/>
              <w:autoSpaceDN w:val="0"/>
              <w:adjustRightInd w:val="0"/>
              <w:spacing w:line="240" w:lineRule="auto"/>
              <w:jc w:val="center"/>
              <w:rPr>
                <w:rFonts w:cs="Times New Roman"/>
                <w:szCs w:val="24"/>
                <w:lang w:val="en-GB"/>
              </w:rPr>
            </w:pPr>
            <w:r>
              <w:rPr>
                <w:rFonts w:cs="Times New Roman"/>
                <w:szCs w:val="24"/>
                <w:lang w:val="en-GB"/>
              </w:rPr>
              <w:t>YES</w:t>
            </w:r>
          </w:p>
        </w:tc>
      </w:tr>
      <w:tr w:rsidR="00392E96" w:rsidRPr="0095351A" w14:paraId="5B888D4A" w14:textId="60B75E15" w:rsidTr="00AC5E78">
        <w:tc>
          <w:tcPr>
            <w:tcW w:w="2694" w:type="dxa"/>
          </w:tcPr>
          <w:p w14:paraId="5D0BF913" w14:textId="2A2AD3E6" w:rsidR="00392E96" w:rsidRPr="0095351A" w:rsidRDefault="00392E96" w:rsidP="00392E96">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w:t>
            </w:r>
            <w:r w:rsidR="00AC5E78">
              <w:rPr>
                <w:rFonts w:cs="Times New Roman"/>
                <w:szCs w:val="24"/>
                <w:lang w:val="en-GB"/>
              </w:rPr>
              <w:t>LL</w:t>
            </w:r>
          </w:p>
        </w:tc>
        <w:tc>
          <w:tcPr>
            <w:tcW w:w="1247" w:type="dxa"/>
          </w:tcPr>
          <w:p w14:paraId="2F5F3C59" w14:textId="6EC1E5B6" w:rsidR="00392E96" w:rsidRPr="0095351A" w:rsidRDefault="00392E96" w:rsidP="00392E96">
            <w:pPr>
              <w:widowControl w:val="0"/>
              <w:autoSpaceDE w:val="0"/>
              <w:autoSpaceDN w:val="0"/>
              <w:adjustRightInd w:val="0"/>
              <w:spacing w:line="240" w:lineRule="auto"/>
              <w:jc w:val="center"/>
              <w:rPr>
                <w:rFonts w:cs="Times New Roman"/>
                <w:szCs w:val="24"/>
                <w:lang w:val="en-GB"/>
              </w:rPr>
            </w:pPr>
            <w:r>
              <w:rPr>
                <w:rFonts w:cs="Times New Roman"/>
                <w:szCs w:val="24"/>
              </w:rPr>
              <w:t>0.0168</w:t>
            </w:r>
          </w:p>
        </w:tc>
        <w:tc>
          <w:tcPr>
            <w:tcW w:w="1247" w:type="dxa"/>
          </w:tcPr>
          <w:p w14:paraId="739AF221" w14:textId="6994C028" w:rsidR="00392E96" w:rsidRPr="0095351A" w:rsidRDefault="00392E96" w:rsidP="00392E96">
            <w:pPr>
              <w:widowControl w:val="0"/>
              <w:autoSpaceDE w:val="0"/>
              <w:autoSpaceDN w:val="0"/>
              <w:adjustRightInd w:val="0"/>
              <w:spacing w:line="240" w:lineRule="auto"/>
              <w:jc w:val="center"/>
              <w:rPr>
                <w:rFonts w:cs="Times New Roman"/>
                <w:szCs w:val="24"/>
                <w:lang w:val="en-GB"/>
              </w:rPr>
            </w:pPr>
            <w:r>
              <w:rPr>
                <w:rFonts w:cs="Times New Roman"/>
                <w:szCs w:val="24"/>
              </w:rPr>
              <w:t>0.0159</w:t>
            </w:r>
          </w:p>
        </w:tc>
        <w:tc>
          <w:tcPr>
            <w:tcW w:w="1247" w:type="dxa"/>
          </w:tcPr>
          <w:p w14:paraId="1A47C6FD" w14:textId="3A9020FF" w:rsidR="00392E96" w:rsidRPr="0095351A" w:rsidRDefault="00392E96" w:rsidP="00392E96">
            <w:pPr>
              <w:widowControl w:val="0"/>
              <w:autoSpaceDE w:val="0"/>
              <w:autoSpaceDN w:val="0"/>
              <w:adjustRightInd w:val="0"/>
              <w:spacing w:line="240" w:lineRule="auto"/>
              <w:jc w:val="center"/>
              <w:rPr>
                <w:rFonts w:cs="Times New Roman"/>
                <w:szCs w:val="24"/>
                <w:lang w:val="en-GB"/>
              </w:rPr>
            </w:pPr>
            <w:r>
              <w:rPr>
                <w:rFonts w:cs="Times New Roman"/>
                <w:szCs w:val="24"/>
              </w:rPr>
              <w:t>0.0147</w:t>
            </w:r>
          </w:p>
        </w:tc>
        <w:tc>
          <w:tcPr>
            <w:tcW w:w="1247" w:type="dxa"/>
          </w:tcPr>
          <w:p w14:paraId="4EA99A12" w14:textId="510F09EF" w:rsidR="00392E96" w:rsidRPr="0095351A" w:rsidRDefault="00392E96" w:rsidP="00392E96">
            <w:pPr>
              <w:widowControl w:val="0"/>
              <w:autoSpaceDE w:val="0"/>
              <w:autoSpaceDN w:val="0"/>
              <w:adjustRightInd w:val="0"/>
              <w:spacing w:line="240" w:lineRule="auto"/>
              <w:jc w:val="center"/>
              <w:rPr>
                <w:rFonts w:cs="Times New Roman"/>
                <w:szCs w:val="24"/>
                <w:lang w:val="en-GB"/>
              </w:rPr>
            </w:pPr>
            <w:r>
              <w:rPr>
                <w:rFonts w:cs="Times New Roman"/>
                <w:szCs w:val="24"/>
              </w:rPr>
              <w:t>0.0144</w:t>
            </w:r>
          </w:p>
        </w:tc>
        <w:tc>
          <w:tcPr>
            <w:tcW w:w="1247" w:type="dxa"/>
          </w:tcPr>
          <w:p w14:paraId="75A13BCB" w14:textId="2CAA3077" w:rsidR="00392E96" w:rsidRDefault="000F030C" w:rsidP="00AC5E78">
            <w:pPr>
              <w:widowControl w:val="0"/>
              <w:autoSpaceDE w:val="0"/>
              <w:autoSpaceDN w:val="0"/>
              <w:adjustRightInd w:val="0"/>
              <w:spacing w:line="240" w:lineRule="auto"/>
              <w:jc w:val="center"/>
              <w:rPr>
                <w:rFonts w:cs="Times New Roman"/>
                <w:szCs w:val="24"/>
              </w:rPr>
            </w:pPr>
            <w:r w:rsidRPr="000F030C">
              <w:rPr>
                <w:color w:val="000000"/>
              </w:rPr>
              <w:t>80554</w:t>
            </w:r>
          </w:p>
        </w:tc>
      </w:tr>
    </w:tbl>
    <w:p w14:paraId="20A1272D" w14:textId="6F5542F7" w:rsidR="00522635" w:rsidRDefault="007D4C7D" w:rsidP="00602F16">
      <w:pPr>
        <w:pStyle w:val="FlietextFolge"/>
      </w:pPr>
      <w:r w:rsidRPr="0095351A">
        <w:t>Standard errors in parentheses</w:t>
      </w:r>
      <w:r w:rsidR="0095351A">
        <w:t xml:space="preserve">; </w:t>
      </w:r>
      <w:r w:rsidRPr="0095351A">
        <w:t>*** p&lt;0.01, ** p&lt;0.05, * p&lt;0.1</w:t>
      </w:r>
    </w:p>
    <w:p w14:paraId="34F70008" w14:textId="0016DB01" w:rsidR="00CF6DA2" w:rsidRDefault="00CF6DA2" w:rsidP="00CF6DA2">
      <w:pPr>
        <w:pStyle w:val="FlietextFolge"/>
        <w:ind w:left="284" w:firstLine="0"/>
      </w:pPr>
      <w:r>
        <w:rPr>
          <w:rFonts w:cs="Times New Roman"/>
          <w:szCs w:val="24"/>
        </w:rPr>
        <w:t xml:space="preserve">† Note, when the 3 months prior to bankruptcy are excluded (resp., included) there are </w:t>
      </w:r>
      <w:r w:rsidR="00AC5E78">
        <w:rPr>
          <w:rFonts w:cs="Times New Roman"/>
          <w:szCs w:val="24"/>
        </w:rPr>
        <w:t xml:space="preserve">81 </w:t>
      </w:r>
      <w:r>
        <w:rPr>
          <w:rFonts w:cs="Times New Roman"/>
          <w:szCs w:val="24"/>
        </w:rPr>
        <w:t xml:space="preserve">(resp., </w:t>
      </w:r>
      <w:r w:rsidR="00AC5E78">
        <w:rPr>
          <w:rFonts w:cs="Times New Roman"/>
          <w:szCs w:val="24"/>
        </w:rPr>
        <w:t>84</w:t>
      </w:r>
      <w:r>
        <w:rPr>
          <w:rFonts w:cs="Times New Roman"/>
          <w:szCs w:val="24"/>
        </w:rPr>
        <w:t>) year-month fixed effects.</w:t>
      </w:r>
      <w:r w:rsidR="00AC5E78">
        <w:rPr>
          <w:rFonts w:cs="Times New Roman"/>
          <w:szCs w:val="24"/>
        </w:rPr>
        <w:t xml:space="preserve"> LL stands for Log Likelihood.</w:t>
      </w:r>
    </w:p>
    <w:p w14:paraId="6168B446" w14:textId="77777777" w:rsidR="00602F16" w:rsidRDefault="00602F16" w:rsidP="00602F16">
      <w:pPr>
        <w:pStyle w:val="FlietextFolge"/>
      </w:pPr>
    </w:p>
    <w:p w14:paraId="5F056915" w14:textId="77E8CFB5" w:rsidR="00C65C43" w:rsidRDefault="001623F0" w:rsidP="00566DE0">
      <w:pPr>
        <w:pStyle w:val="FlietextFolge"/>
        <w:spacing w:line="360" w:lineRule="auto"/>
        <w:ind w:firstLine="288"/>
      </w:pPr>
      <w:r>
        <w:t xml:space="preserve">Estimation </w:t>
      </w:r>
      <w:r w:rsidR="00C747C2">
        <w:t xml:space="preserve">(1) includes route-carrier and year-month fixed effects and furthermore excludes observations three months prior to the </w:t>
      </w:r>
      <w:r w:rsidR="00C747C2" w:rsidRPr="005B7692">
        <w:t>Chapter 11</w:t>
      </w:r>
      <w:r w:rsidR="00C747C2">
        <w:t xml:space="preserve"> filing to address the issue of possible price reductions in the pre-bankruptcy period by the bankrupt carrier. The coefficient </w:t>
      </w:r>
      <w:r w:rsidR="00C747C2">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r w:rsidR="00C747C2">
        <w:rPr>
          <w:rFonts w:cs="Times New Roman"/>
        </w:rPr>
        <w:t xml:space="preserve"> </w:t>
      </w:r>
      <w:r>
        <w:rPr>
          <w:rFonts w:cs="Times New Roman"/>
        </w:rPr>
        <w:t>indicates</w:t>
      </w:r>
      <w:r w:rsidR="00C747C2">
        <w:rPr>
          <w:rFonts w:cs="Times New Roman"/>
          <w:szCs w:val="24"/>
        </w:rPr>
        <w:t xml:space="preserve"> a </w:t>
      </w:r>
      <w:r w:rsidR="009C6D2C">
        <w:rPr>
          <w:rFonts w:cs="Times New Roman"/>
          <w:szCs w:val="24"/>
        </w:rPr>
        <w:t>5</w:t>
      </w:r>
      <w:r w:rsidR="00C747C2">
        <w:rPr>
          <w:rFonts w:cs="Times New Roman"/>
          <w:szCs w:val="24"/>
        </w:rPr>
        <w:t>.</w:t>
      </w:r>
      <w:r w:rsidR="009C6D2C">
        <w:rPr>
          <w:rFonts w:cs="Times New Roman"/>
          <w:szCs w:val="24"/>
        </w:rPr>
        <w:t>8</w:t>
      </w:r>
      <w:r w:rsidR="00C747C2">
        <w:rPr>
          <w:rFonts w:cs="Times New Roman"/>
          <w:szCs w:val="24"/>
        </w:rPr>
        <w:t>%</w:t>
      </w:r>
      <w:r w:rsidR="00C747C2">
        <w:t xml:space="preserve"> price drop of the bankrupt carrier while being under </w:t>
      </w:r>
      <w:r w:rsidR="00C747C2" w:rsidRPr="005B7692">
        <w:t>Chapter 11</w:t>
      </w:r>
      <w:r w:rsidR="00C747C2">
        <w:t xml:space="preserve"> protection.</w:t>
      </w:r>
      <w:r>
        <w:rPr>
          <w:rStyle w:val="FootnoteReference"/>
          <w:rFonts w:cs="Times New Roman"/>
          <w:szCs w:val="24"/>
        </w:rPr>
        <w:footnoteReference w:id="6"/>
      </w:r>
      <w:r w:rsidR="00C747C2">
        <w:t xml:space="preserve"> </w:t>
      </w:r>
      <w:r>
        <w:t>Estimation</w:t>
      </w:r>
      <w:r w:rsidR="00C747C2">
        <w:t xml:space="preserve"> (2) does not exclude observations three month prior to the Chapter 11 filing. In the three month</w:t>
      </w:r>
      <w:r w:rsidR="00886B31">
        <w:t>s</w:t>
      </w:r>
      <w:r w:rsidR="00C747C2">
        <w:t xml:space="preserve"> prior to </w:t>
      </w:r>
      <w:r w:rsidR="002B66D6">
        <w:t xml:space="preserve">entering </w:t>
      </w:r>
      <w:r w:rsidR="00C747C2">
        <w:t xml:space="preserve">bankruptcy </w:t>
      </w:r>
      <w:r w:rsidR="002B66D6">
        <w:t xml:space="preserve">protection, </w:t>
      </w:r>
      <w:r w:rsidR="00C747C2">
        <w:t xml:space="preserve">prices </w:t>
      </w:r>
      <w:r w:rsidR="002B66D6">
        <w:t xml:space="preserve">might </w:t>
      </w:r>
      <w:r w:rsidR="00C747C2">
        <w:t>decrease</w:t>
      </w:r>
      <w:r w:rsidR="002B66D6">
        <w:t xml:space="preserve"> and, hence, in</w:t>
      </w:r>
      <w:r w:rsidR="00C747C2">
        <w:t xml:space="preserve">cluding these observations </w:t>
      </w:r>
      <w:r w:rsidR="002B66D6">
        <w:t>c</w:t>
      </w:r>
      <w:r w:rsidR="00C747C2">
        <w:t>ould lead to a less pronounced price dec</w:t>
      </w:r>
      <w:r w:rsidR="007411CE">
        <w:t xml:space="preserve">rease </w:t>
      </w:r>
      <w:r w:rsidR="002B66D6">
        <w:t xml:space="preserve">during </w:t>
      </w:r>
      <w:r w:rsidR="007411CE">
        <w:t xml:space="preserve">the bankruptcy period. </w:t>
      </w:r>
      <w:r w:rsidR="00C747C2">
        <w:t xml:space="preserve">However, </w:t>
      </w:r>
      <w:r w:rsidR="002B66D6">
        <w:t xml:space="preserve">we do not find evidence for that as </w:t>
      </w:r>
      <w:r w:rsidR="007411CE">
        <w:t>the coefficient</w:t>
      </w:r>
      <w:r w:rsidR="00C747C2">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r w:rsidR="007411CE">
        <w:t xml:space="preserve"> </w:t>
      </w:r>
      <w:r w:rsidR="00C747C2">
        <w:t xml:space="preserve">indicates </w:t>
      </w:r>
      <w:r w:rsidR="002B66D6">
        <w:t xml:space="preserve">a </w:t>
      </w:r>
      <w:r w:rsidR="009C6D2C">
        <w:t xml:space="preserve">similar </w:t>
      </w:r>
      <w:r w:rsidR="002B66D6">
        <w:t>drop in prices by the bankrupt carrier</w:t>
      </w:r>
      <w:r w:rsidR="00C747C2" w:rsidRPr="00CF165A">
        <w:t xml:space="preserve">. </w:t>
      </w:r>
      <w:r w:rsidR="00137198">
        <w:t xml:space="preserve">Estimations (3) and (4) consider further variations—replacing the route-carrier fixed effects with separate route and carrier fixed effects (estimation 3) and replacing the year-month fixed </w:t>
      </w:r>
      <w:r w:rsidR="00137198">
        <w:lastRenderedPageBreak/>
        <w:t xml:space="preserve">effects with separate year and month fixed effects. </w:t>
      </w:r>
      <w:r w:rsidR="009C6D2C">
        <w:t xml:space="preserve">Estimation (5) </w:t>
      </w:r>
      <w:r w:rsidR="00125A09">
        <w:t xml:space="preserve">provides </w:t>
      </w:r>
      <w:r w:rsidR="00392E96">
        <w:t xml:space="preserve">an example of a </w:t>
      </w:r>
      <w:r w:rsidR="00125A09">
        <w:t xml:space="preserve">mixed effects regression that allows us to estimate the value of INT. </w:t>
      </w:r>
    </w:p>
    <w:p w14:paraId="3B76CBE4" w14:textId="051E879F" w:rsidR="00137198" w:rsidRDefault="00137198" w:rsidP="00566DE0">
      <w:pPr>
        <w:pStyle w:val="Flietext"/>
        <w:spacing w:line="360" w:lineRule="auto"/>
        <w:ind w:firstLine="288"/>
      </w:pPr>
      <w:r>
        <w:t xml:space="preserve">Quite consistently, we find that during Chapter 11 protection the bankrupt carrier lowers its prices by about </w:t>
      </w:r>
      <w:r w:rsidR="00FF1CAA">
        <w:t>6-7</w:t>
      </w:r>
      <w:r>
        <w:t xml:space="preserve">% </w:t>
      </w:r>
      <w:r w:rsidR="00FF1CAA">
        <w:t xml:space="preserve">across all </w:t>
      </w:r>
      <w:r>
        <w:t>estimations.</w:t>
      </w:r>
      <w:r w:rsidRPr="00B45B9F">
        <w:rPr>
          <w:rStyle w:val="FootnoteReference"/>
          <w:rFonts w:cs="Times New Roman"/>
          <w:szCs w:val="24"/>
        </w:rPr>
        <w:t xml:space="preserve"> </w:t>
      </w:r>
      <w:r>
        <w:t xml:space="preserve">In the post-bankruptcy period the prices of the bankrupt carrier drop by an additional </w:t>
      </w:r>
      <w:r w:rsidR="00CF46E8">
        <w:t>1-</w:t>
      </w:r>
      <w:r>
        <w:t xml:space="preserve">2 percentage points compared to the in-bankruptcy period. </w:t>
      </w:r>
    </w:p>
    <w:p w14:paraId="3E14AB1A" w14:textId="6F268CC0" w:rsidR="00C65C43" w:rsidRDefault="00602F16" w:rsidP="00566DE0">
      <w:pPr>
        <w:pStyle w:val="FlietextFolge"/>
        <w:spacing w:line="360" w:lineRule="auto"/>
        <w:ind w:firstLine="288"/>
      </w:pPr>
      <w:r>
        <w:t xml:space="preserve">Competitors </w:t>
      </w:r>
      <w:r w:rsidR="00CF46E8">
        <w:t xml:space="preserve">increase </w:t>
      </w:r>
      <w:r w:rsidR="00AB4CDC">
        <w:t xml:space="preserve">their prices </w:t>
      </w:r>
      <w:r w:rsidR="00CF46E8">
        <w:t>by about 1.5-2% in all</w:t>
      </w:r>
      <w:r w:rsidR="00AB4CDC">
        <w:t xml:space="preserve"> </w:t>
      </w:r>
      <w:r w:rsidR="00137198">
        <w:t>estimations</w:t>
      </w:r>
      <w:r w:rsidR="009300FC">
        <w:t xml:space="preserve">. </w:t>
      </w:r>
      <w:r w:rsidR="00F953E0">
        <w:t>However</w:t>
      </w:r>
      <w:r w:rsidR="009300FC">
        <w:t xml:space="preserve">, </w:t>
      </w:r>
      <w:r w:rsidR="001B463A">
        <w:t>in the post-bankruptcy period</w:t>
      </w:r>
      <w:r w:rsidR="009300FC">
        <w:t xml:space="preserve"> </w:t>
      </w:r>
      <w:r w:rsidR="00CF46E8">
        <w:t xml:space="preserve">competitors’ prices return to their </w:t>
      </w:r>
      <w:r w:rsidR="009300FC">
        <w:t>pre-bankruptcy level</w:t>
      </w:r>
      <w:r w:rsidR="00CF46E8">
        <w:t xml:space="preserve">s, overall reflecting an increase of up to 1% </w:t>
      </w:r>
      <w:r w:rsidR="00336D8D">
        <w:t xml:space="preserve">compared to </w:t>
      </w:r>
      <w:r w:rsidR="00A36548">
        <w:t xml:space="preserve">the </w:t>
      </w:r>
      <w:r w:rsidR="00CF46E8">
        <w:t>pre</w:t>
      </w:r>
      <w:r w:rsidR="00A36548">
        <w:t>-bankruptcy</w:t>
      </w:r>
      <w:r w:rsidR="00262447">
        <w:t xml:space="preserve"> period. </w:t>
      </w:r>
    </w:p>
    <w:p w14:paraId="7D2F4880" w14:textId="47F2DCC0" w:rsidR="00BC4255" w:rsidRPr="00BC4255" w:rsidRDefault="001A37C4" w:rsidP="00566DE0">
      <w:pPr>
        <w:pStyle w:val="FlietextFolge"/>
        <w:spacing w:line="360" w:lineRule="auto"/>
        <w:ind w:firstLine="288"/>
      </w:pPr>
      <w:r>
        <w:t xml:space="preserve">These results are partially in line with the findings of </w:t>
      </w:r>
      <w:proofErr w:type="spellStart"/>
      <w:r w:rsidRPr="00F4110F">
        <w:t>Ciliberto</w:t>
      </w:r>
      <w:proofErr w:type="spellEnd"/>
      <w:r w:rsidRPr="00F4110F">
        <w:t xml:space="preserve"> </w:t>
      </w:r>
      <w:r w:rsidR="004C6B26">
        <w:t>and</w:t>
      </w:r>
      <w:r w:rsidRPr="00F4110F">
        <w:t xml:space="preserve"> </w:t>
      </w:r>
      <w:proofErr w:type="spellStart"/>
      <w:r w:rsidRPr="00F4110F">
        <w:t>Schenone</w:t>
      </w:r>
      <w:proofErr w:type="spellEnd"/>
      <w:r w:rsidR="00137198">
        <w:t xml:space="preserve"> (2012a)</w:t>
      </w:r>
      <w:r w:rsidR="001C5BF1">
        <w:t>,</w:t>
      </w:r>
      <w:r w:rsidRPr="00F4110F">
        <w:t xml:space="preserve"> </w:t>
      </w:r>
      <w:r>
        <w:t xml:space="preserve">who investigated Chapter 11 bankruptcies in </w:t>
      </w:r>
      <w:r w:rsidRPr="00F4110F">
        <w:t xml:space="preserve">US </w:t>
      </w:r>
      <w:r>
        <w:t>domestic markets</w:t>
      </w:r>
      <w:r w:rsidRPr="00F4110F">
        <w:t xml:space="preserve"> between 1992 and 2007.</w:t>
      </w:r>
      <w:r>
        <w:t xml:space="preserve"> </w:t>
      </w:r>
      <w:r w:rsidR="00CF46E8">
        <w:t>Specifically</w:t>
      </w:r>
      <w:r w:rsidR="00137198">
        <w:t>,</w:t>
      </w:r>
      <w:r>
        <w:t xml:space="preserve"> they find that </w:t>
      </w:r>
      <w:r w:rsidR="00C21F72">
        <w:t>bankrupt airlines drop</w:t>
      </w:r>
      <w:r>
        <w:t xml:space="preserve"> prices</w:t>
      </w:r>
      <w:r w:rsidRPr="00F4110F">
        <w:t xml:space="preserve"> by 3% wh</w:t>
      </w:r>
      <w:r>
        <w:t xml:space="preserve">ile under bankruptcy protection, which is </w:t>
      </w:r>
      <w:r w:rsidR="00CF46E8">
        <w:t xml:space="preserve">in line </w:t>
      </w:r>
      <w:r w:rsidR="00C21F72">
        <w:t>with</w:t>
      </w:r>
      <w:r>
        <w:t xml:space="preserve"> the estimated </w:t>
      </w:r>
      <w:r w:rsidR="00CF46E8">
        <w:t>6-7</w:t>
      </w:r>
      <w:r>
        <w:t xml:space="preserve">% </w:t>
      </w:r>
      <w:r w:rsidR="00CF46E8">
        <w:t xml:space="preserve">drop we depict </w:t>
      </w:r>
      <w:r>
        <w:t xml:space="preserve">in </w:t>
      </w:r>
      <w:r>
        <w:fldChar w:fldCharType="begin"/>
      </w:r>
      <w:r>
        <w:instrText xml:space="preserve"> REF _Ref447293539 \h </w:instrText>
      </w:r>
      <w:r>
        <w:fldChar w:fldCharType="separate"/>
      </w:r>
      <w:r w:rsidR="00886B31">
        <w:t xml:space="preserve">Table </w:t>
      </w:r>
      <w:r w:rsidR="00886B31">
        <w:rPr>
          <w:noProof/>
        </w:rPr>
        <w:t>1</w:t>
      </w:r>
      <w:r>
        <w:fldChar w:fldCharType="end"/>
      </w:r>
      <w:r>
        <w:t>.</w:t>
      </w:r>
      <w:r w:rsidR="00CF46E8">
        <w:t xml:space="preserve"> This difference could be driven by the fact that we integrate international markets. To that</w:t>
      </w:r>
      <w:r w:rsidRPr="00F4110F">
        <w:t xml:space="preserve"> </w:t>
      </w:r>
      <w:r w:rsidR="00CF46E8">
        <w:t>end, in the next section we differentiate between domestic and international markets. Further</w:t>
      </w:r>
      <w:r>
        <w:t>, they notice an</w:t>
      </w:r>
      <w:r w:rsidRPr="00F4110F">
        <w:t xml:space="preserve"> increase by </w:t>
      </w:r>
      <w:r>
        <w:t>4</w:t>
      </w:r>
      <w:r w:rsidRPr="00F4110F">
        <w:t xml:space="preserve">% </w:t>
      </w:r>
      <w:r>
        <w:t xml:space="preserve">in prices by the bankrupt carriers </w:t>
      </w:r>
      <w:r w:rsidRPr="00F4110F">
        <w:t>after emerging</w:t>
      </w:r>
      <w:r>
        <w:t xml:space="preserve"> from Chapter 11</w:t>
      </w:r>
      <w:r w:rsidR="00C21F72">
        <w:t xml:space="preserve"> compared to the pre-bankruptcy period</w:t>
      </w:r>
      <w:r w:rsidRPr="00F4110F">
        <w:t xml:space="preserve">. </w:t>
      </w:r>
      <w:r w:rsidR="00CF46E8">
        <w:t>By contrast</w:t>
      </w:r>
      <w:r w:rsidR="00671942">
        <w:t>,</w:t>
      </w:r>
      <w:r w:rsidR="00C21F72">
        <w:t xml:space="preserve"> </w:t>
      </w:r>
      <w:r w:rsidR="00CF46E8">
        <w:t xml:space="preserve">our </w:t>
      </w:r>
      <w:r w:rsidR="00C21F72">
        <w:t>results suggest a further price drop in the post-bankruptcy period</w:t>
      </w:r>
      <w:r w:rsidR="00CF46E8">
        <w:t xml:space="preserve"> of 1-2%</w:t>
      </w:r>
      <w:r w:rsidR="00C21F72">
        <w:t>.</w:t>
      </w:r>
      <w:r w:rsidR="00137198">
        <w:t xml:space="preserve"> </w:t>
      </w:r>
      <w:r w:rsidR="00CF46E8">
        <w:t>Hence</w:t>
      </w:r>
      <w:r w:rsidR="00BC4255">
        <w:t>,</w:t>
      </w:r>
      <w:r w:rsidR="00CF46E8">
        <w:t xml:space="preserve"> </w:t>
      </w:r>
      <w:proofErr w:type="gramStart"/>
      <w:r w:rsidR="00CF46E8">
        <w:t>with regard to</w:t>
      </w:r>
      <w:proofErr w:type="gramEnd"/>
      <w:r w:rsidR="00CF46E8">
        <w:t xml:space="preserve"> pricing of bankrupt carriers,</w:t>
      </w:r>
      <w:r w:rsidR="00BC4255">
        <w:t xml:space="preserve"> despite the fact that both </w:t>
      </w:r>
      <w:r w:rsidR="005A076C">
        <w:t>analyses</w:t>
      </w:r>
      <w:r w:rsidR="00BC4255">
        <w:t xml:space="preserve"> were conducted over different time spans and including different markets (domestic versus domestic and international) the results are </w:t>
      </w:r>
      <w:r w:rsidR="00CF46E8">
        <w:t>rather consistent</w:t>
      </w:r>
      <w:r w:rsidR="00BC4255">
        <w:t>.</w:t>
      </w:r>
      <w:r w:rsidR="00CF46E8" w:rsidRPr="00CF46E8">
        <w:t xml:space="preserve"> </w:t>
      </w:r>
      <w:r w:rsidR="00CF46E8">
        <w:t>However, with respect to competing carriers, their results show no</w:t>
      </w:r>
      <w:r w:rsidR="00CF46E8" w:rsidRPr="00F4110F">
        <w:t xml:space="preserve"> evidence of significant </w:t>
      </w:r>
      <w:r w:rsidR="00CF46E8">
        <w:t xml:space="preserve">price </w:t>
      </w:r>
      <w:r w:rsidR="00CF46E8" w:rsidRPr="00F4110F">
        <w:t xml:space="preserve">changes by the bankrupt airline’s competitors </w:t>
      </w:r>
      <w:r w:rsidR="00CF46E8">
        <w:t>in either period. Our analysis reveals that competitors do take advantage of the</w:t>
      </w:r>
      <w:r w:rsidR="006D474E">
        <w:t>ir counterpart</w:t>
      </w:r>
      <w:r w:rsidR="00CF46E8">
        <w:t xml:space="preserve"> bankruptcy state </w:t>
      </w:r>
      <w:r w:rsidR="006D474E">
        <w:t>and increase their prices during the bankruptcy status</w:t>
      </w:r>
      <w:r w:rsidR="00CF46E8">
        <w:t>.</w:t>
      </w:r>
    </w:p>
    <w:p w14:paraId="19FD50B6" w14:textId="14B33D56" w:rsidR="00CC07FB" w:rsidRPr="0011694C" w:rsidRDefault="00624EE0" w:rsidP="0011694C">
      <w:pPr>
        <w:pStyle w:val="Heading1"/>
        <w:tabs>
          <w:tab w:val="clear" w:pos="1021"/>
        </w:tabs>
        <w:spacing w:before="120" w:after="120" w:line="360" w:lineRule="auto"/>
        <w:ind w:left="567" w:hanging="567"/>
      </w:pPr>
      <w:bookmarkStart w:id="18" w:name="_Toc451769687"/>
      <w:bookmarkStart w:id="19" w:name="_Ref464498534"/>
      <w:r w:rsidRPr="0011694C">
        <w:t xml:space="preserve">Do bankruptcies exhibit different pricing behaviour in </w:t>
      </w:r>
      <w:r w:rsidR="00CC07FB" w:rsidRPr="0011694C">
        <w:t>International and US Domestic Markets</w:t>
      </w:r>
      <w:bookmarkEnd w:id="18"/>
      <w:r w:rsidRPr="0011694C">
        <w:t>?</w:t>
      </w:r>
      <w:bookmarkEnd w:id="19"/>
    </w:p>
    <w:p w14:paraId="260E1F06" w14:textId="02869DF4" w:rsidR="00B43D2D" w:rsidRDefault="00EA7F0B" w:rsidP="00566DE0">
      <w:pPr>
        <w:pStyle w:val="FlietextAbstanddavor"/>
        <w:spacing w:before="0" w:line="360" w:lineRule="auto"/>
      </w:pPr>
      <w:r>
        <w:t xml:space="preserve">To assess the differences in pricing </w:t>
      </w:r>
      <w:r w:rsidR="00137198">
        <w:t xml:space="preserve">realizations </w:t>
      </w:r>
      <w:r>
        <w:t>of bankrupt airlines and their competitors between domestic and international markets</w:t>
      </w:r>
      <w:r w:rsidR="00137198">
        <w:t xml:space="preserve">, we consider </w:t>
      </w:r>
      <w:r w:rsidR="003D4D4C">
        <w:t>the following specification</w:t>
      </w:r>
      <w:r w:rsidR="00B43D2D">
        <w:t>:</w:t>
      </w:r>
    </w:p>
    <w:p w14:paraId="06C8F8E8" w14:textId="77777777" w:rsidR="00B43D2D" w:rsidRPr="0089798F" w:rsidRDefault="00B43D2D" w:rsidP="00566DE0">
      <w:pPr>
        <w:pStyle w:val="FlietextFolge"/>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881"/>
      </w:tblGrid>
      <w:tr w:rsidR="00B43D2D" w14:paraId="7E56E752" w14:textId="77777777" w:rsidTr="004B7748">
        <w:tc>
          <w:tcPr>
            <w:tcW w:w="7763" w:type="dxa"/>
          </w:tcPr>
          <w:p w14:paraId="670199F2" w14:textId="361843B2" w:rsidR="00B43D2D" w:rsidRDefault="00EC01D9" w:rsidP="00566DE0">
            <w:pPr>
              <w:pStyle w:val="FlietextFolge"/>
              <w:spacing w:line="360" w:lineRule="auto"/>
              <w:ind w:firstLine="0"/>
              <w:jc w:val="left"/>
            </w:pPr>
            <m:oMathPara>
              <m:oMath>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P</m:t>
                        </m:r>
                      </m:e>
                      <m:sub>
                        <m:r>
                          <w:rPr>
                            <w:rFonts w:ascii="Cambria Math" w:hAnsi="Cambria Math"/>
                          </w:rPr>
                          <m:t>crt</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own</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other</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own</m:t>
                        </m:r>
                      </m:sub>
                    </m:sSub>
                  </m:e>
                </m:func>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ownpast</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other</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ownint</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ownint</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otherint</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otherint</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ownint</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ownpastint</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otherint</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otherpastint</m:t>
                    </m:r>
                  </m:sup>
                </m:sSubSup>
                <m:r>
                  <m:rPr>
                    <m:sty m:val="p"/>
                  </m:rPr>
                  <w:rPr>
                    <w:rFonts w:ascii="Cambria Math" w:hAnsi="Cambria Math"/>
                  </w:rPr>
                  <m:t>+γ</m:t>
                </m:r>
                <m:sSub>
                  <m:sSubPr>
                    <m:ctrlPr>
                      <w:rPr>
                        <w:rFonts w:ascii="Cambria Math" w:hAnsi="Cambria Math"/>
                      </w:rPr>
                    </m:ctrlPr>
                  </m:sSubPr>
                  <m:e>
                    <m:r>
                      <w:rPr>
                        <w:rFonts w:ascii="Cambria Math" w:hAnsi="Cambria Math"/>
                      </w:rPr>
                      <m:t>HHI</m:t>
                    </m:r>
                  </m:e>
                  <m:sub>
                    <m:r>
                      <w:rPr>
                        <w:rFonts w:ascii="Cambria Math" w:hAnsi="Cambria Math"/>
                      </w:rPr>
                      <m:t>rt</m:t>
                    </m:r>
                  </m:sub>
                </m:sSub>
                <m:r>
                  <m:rPr>
                    <m:sty m:val="p"/>
                  </m:rPr>
                  <w:rPr>
                    <w:rFonts w:ascii="Cambria Math" w:hAnsi="Cambria Math"/>
                  </w:rPr>
                  <m:t>+δ</m:t>
                </m:r>
                <m:r>
                  <w:rPr>
                    <w:rFonts w:ascii="Cambria Math" w:hAnsi="Cambria Math"/>
                  </w:rPr>
                  <m:t>INT</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cr</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crt</m:t>
                    </m:r>
                  </m:sub>
                </m:sSub>
              </m:oMath>
            </m:oMathPara>
          </w:p>
        </w:tc>
        <w:tc>
          <w:tcPr>
            <w:tcW w:w="881" w:type="dxa"/>
            <w:vAlign w:val="center"/>
          </w:tcPr>
          <w:p w14:paraId="437BC58F" w14:textId="312838ED" w:rsidR="00B43D2D" w:rsidRDefault="00B43D2D" w:rsidP="00566DE0">
            <w:pPr>
              <w:pStyle w:val="Caption"/>
              <w:spacing w:after="0" w:line="360" w:lineRule="auto"/>
              <w:jc w:val="center"/>
            </w:pPr>
            <w:r w:rsidRPr="00D122AA">
              <w:rPr>
                <w:sz w:val="24"/>
              </w:rPr>
              <w:t>(</w:t>
            </w:r>
            <w:r w:rsidRPr="00D122AA">
              <w:rPr>
                <w:sz w:val="24"/>
              </w:rPr>
              <w:fldChar w:fldCharType="begin"/>
            </w:r>
            <w:r w:rsidRPr="00D122AA">
              <w:rPr>
                <w:sz w:val="24"/>
              </w:rPr>
              <w:instrText xml:space="preserve"> SEQ Formel \* ARABIC </w:instrText>
            </w:r>
            <w:r w:rsidRPr="00D122AA">
              <w:rPr>
                <w:sz w:val="24"/>
              </w:rPr>
              <w:fldChar w:fldCharType="separate"/>
            </w:r>
            <w:r w:rsidR="00886B31">
              <w:rPr>
                <w:noProof/>
                <w:sz w:val="24"/>
              </w:rPr>
              <w:t>2</w:t>
            </w:r>
            <w:r w:rsidRPr="00D122AA">
              <w:rPr>
                <w:sz w:val="24"/>
              </w:rPr>
              <w:fldChar w:fldCharType="end"/>
            </w:r>
            <w:r w:rsidRPr="00D122AA">
              <w:rPr>
                <w:sz w:val="24"/>
              </w:rPr>
              <w:t>)</w:t>
            </w:r>
          </w:p>
        </w:tc>
      </w:tr>
    </w:tbl>
    <w:p w14:paraId="49E28E93" w14:textId="4CCDBD25" w:rsidR="00DE4140" w:rsidRDefault="00DE4140" w:rsidP="00566DE0">
      <w:pPr>
        <w:pStyle w:val="FlietextFolge"/>
        <w:spacing w:line="360" w:lineRule="auto"/>
        <w:ind w:firstLine="0"/>
      </w:pPr>
    </w:p>
    <w:p w14:paraId="66F535F7" w14:textId="7DCBC2FB" w:rsidR="00B43D2D" w:rsidRPr="00214071" w:rsidRDefault="00137198" w:rsidP="006135EA">
      <w:pPr>
        <w:pStyle w:val="FlietextFolge"/>
        <w:spacing w:line="360" w:lineRule="auto"/>
      </w:pPr>
      <w:r>
        <w:t xml:space="preserve">Notice that the </w:t>
      </w:r>
      <w:r w:rsidR="00B43D2D">
        <w:t xml:space="preserve">four </w:t>
      </w:r>
      <w:r>
        <w:t xml:space="preserve">bankruptcy </w:t>
      </w:r>
      <w:r w:rsidR="00B43D2D">
        <w:t xml:space="preserve">dummy variables </w:t>
      </w:r>
      <w:r>
        <w:t xml:space="preserve">from Equation (1) are </w:t>
      </w:r>
      <w:r w:rsidR="00B43D2D">
        <w:t xml:space="preserve">now </w:t>
      </w:r>
      <w:r>
        <w:t xml:space="preserve">replaced by eight such variables </w:t>
      </w:r>
      <w:r w:rsidR="0052536C">
        <w:t xml:space="preserve">in Equation (2) </w:t>
      </w:r>
      <w:r>
        <w:t xml:space="preserve">as </w:t>
      </w:r>
      <w:r w:rsidR="0052536C">
        <w:t xml:space="preserve">the </w:t>
      </w:r>
      <w:r>
        <w:t xml:space="preserve">during and </w:t>
      </w:r>
      <w:r w:rsidR="00DE4140">
        <w:t>post-bankruptcy</w:t>
      </w:r>
      <w:r>
        <w:t xml:space="preserve"> effects of bankruptcy effect</w:t>
      </w:r>
      <w:r w:rsidR="0052536C">
        <w:t xml:space="preserve">ing the </w:t>
      </w:r>
      <w:r>
        <w:t>bankrupt carrier and its competitors</w:t>
      </w:r>
      <w:r w:rsidR="0052536C">
        <w:t xml:space="preserve"> now further distinguish between US domestic and international markets</w:t>
      </w:r>
      <w:r w:rsidR="001C5BF1">
        <w:t>.</w:t>
      </w:r>
      <w:r>
        <w:t xml:space="preserve"> </w:t>
      </w:r>
      <w:bookmarkStart w:id="20" w:name="_Hlk521503532"/>
      <w:r w:rsidR="00214071">
        <w:t>These new terms are defined as interaction term</w:t>
      </w:r>
      <w:r w:rsidR="0052536C">
        <w:t>s</w:t>
      </w:r>
      <w:r w:rsidR="00214071">
        <w:t xml:space="preserve">, that is, </w:t>
      </w:r>
      <m:oMath>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ownint</m:t>
            </m:r>
          </m:sup>
        </m:sSubSup>
        <m:r>
          <w:rPr>
            <w:rFonts w:ascii="Cambria Math" w:hAnsi="Cambria Math"/>
          </w:rPr>
          <m:t>=</m:t>
        </m:r>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m:t>
            </m:r>
          </m:sup>
        </m:sSubSup>
        <m:r>
          <w:rPr>
            <w:rFonts w:ascii="Cambria Math" w:hAnsi="Cambria Math"/>
          </w:rPr>
          <m:t>∙INT</m:t>
        </m:r>
      </m:oMath>
      <w:r w:rsidR="00214071">
        <w:t>,</w:t>
      </w:r>
      <m:oMath>
        <m:r>
          <m:rPr>
            <m:sty m:val="p"/>
          </m:rPr>
          <w:rPr>
            <w:rFonts w:ascii="Cambria Math" w:hAnsi="Cambria Math"/>
          </w:rPr>
          <m:t xml:space="preserve"> </m:t>
        </m:r>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otherint</m:t>
            </m:r>
          </m:sup>
        </m:sSubSup>
        <m:r>
          <w:rPr>
            <w:rFonts w:ascii="Cambria Math" w:hAnsi="Cambria Math"/>
          </w:rPr>
          <m:t>=</m:t>
        </m:r>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m:t>
            </m:r>
          </m:sup>
        </m:sSubSup>
        <m:r>
          <w:rPr>
            <w:rFonts w:ascii="Cambria Math" w:hAnsi="Cambria Math"/>
          </w:rPr>
          <m:t>∙INT</m:t>
        </m:r>
      </m:oMath>
      <w:r w:rsidR="00214071">
        <w:t xml:space="preserve">, </w:t>
      </w:r>
      <m:oMath>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ownpastint</m:t>
            </m:r>
          </m:sup>
        </m:sSubSup>
        <m:r>
          <w:rPr>
            <w:rFonts w:ascii="Cambria Math" w:hAnsi="Cambria Math"/>
          </w:rPr>
          <m:t>=</m:t>
        </m:r>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ownpast</m:t>
            </m:r>
          </m:sup>
        </m:sSubSup>
        <m:r>
          <w:rPr>
            <w:rFonts w:ascii="Cambria Math" w:hAnsi="Cambria Math"/>
          </w:rPr>
          <m:t>∙INT</m:t>
        </m:r>
      </m:oMath>
      <w:r w:rsidR="00214071">
        <w:t xml:space="preserve">, and </w:t>
      </w:r>
      <m:oMath>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otherpastint</m:t>
            </m:r>
          </m:sup>
        </m:sSubSup>
        <m:r>
          <w:rPr>
            <w:rFonts w:ascii="Cambria Math" w:hAnsi="Cambria Math"/>
          </w:rPr>
          <m:t>=</m:t>
        </m:r>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m:t>
            </m:r>
          </m:sup>
        </m:sSubSup>
        <m:r>
          <w:rPr>
            <w:rFonts w:ascii="Cambria Math" w:hAnsi="Cambria Math"/>
          </w:rPr>
          <m:t>∙INT</m:t>
        </m:r>
      </m:oMath>
      <w:r w:rsidR="00214071">
        <w:t>.</w:t>
      </w:r>
    </w:p>
    <w:bookmarkEnd w:id="20"/>
    <w:p w14:paraId="2A97C733" w14:textId="7D4F250D" w:rsidR="004A6AE7" w:rsidRDefault="00BF76DE" w:rsidP="00566DE0">
      <w:pPr>
        <w:pStyle w:val="FlietextFolge"/>
        <w:spacing w:line="360" w:lineRule="auto"/>
      </w:pPr>
      <w:r>
        <w:t>The estimat</w:t>
      </w:r>
      <w:r w:rsidR="00C9427A">
        <w:t xml:space="preserve">ion results are provided </w:t>
      </w:r>
      <w:r>
        <w:t>in</w:t>
      </w:r>
      <w:r w:rsidR="0073260C">
        <w:t xml:space="preserve"> </w:t>
      </w:r>
      <w:r w:rsidR="0073260C">
        <w:fldChar w:fldCharType="begin"/>
      </w:r>
      <w:r w:rsidR="0073260C">
        <w:instrText xml:space="preserve"> REF _Ref451073687 \h </w:instrText>
      </w:r>
      <w:r w:rsidR="00DE4140">
        <w:instrText xml:space="preserve"> \* MERGEFORMAT </w:instrText>
      </w:r>
      <w:r w:rsidR="0073260C">
        <w:fldChar w:fldCharType="separate"/>
      </w:r>
      <w:r w:rsidR="00886B31">
        <w:t>Table 2</w:t>
      </w:r>
      <w:r w:rsidR="0073260C">
        <w:fldChar w:fldCharType="end"/>
      </w:r>
      <w:r>
        <w:t xml:space="preserve">. </w:t>
      </w:r>
      <w:r w:rsidR="00C9427A">
        <w:t xml:space="preserve">As in </w:t>
      </w:r>
      <w:r w:rsidR="00C9427A" w:rsidRPr="00DE4140">
        <w:t>§</w:t>
      </w:r>
      <w:r w:rsidR="00886B31">
        <w:fldChar w:fldCharType="begin"/>
      </w:r>
      <w:r w:rsidR="00886B31">
        <w:instrText xml:space="preserve"> REF _Ref529871104 \r \h </w:instrText>
      </w:r>
      <w:r w:rsidR="00886B31">
        <w:fldChar w:fldCharType="separate"/>
      </w:r>
      <w:r w:rsidR="00886B31">
        <w:rPr>
          <w:cs/>
        </w:rPr>
        <w:t>‎</w:t>
      </w:r>
      <w:r w:rsidR="00886B31">
        <w:t>4</w:t>
      </w:r>
      <w:r w:rsidR="00886B31">
        <w:fldChar w:fldCharType="end"/>
      </w:r>
      <w:r w:rsidR="00C9427A">
        <w:t>, f</w:t>
      </w:r>
      <w:r w:rsidR="004A6AE7">
        <w:t xml:space="preserve">our different </w:t>
      </w:r>
      <w:r w:rsidR="00C830D3">
        <w:t xml:space="preserve">fixed effects </w:t>
      </w:r>
      <w:r w:rsidR="00C9427A">
        <w:t xml:space="preserve">estimation specifications are considered, </w:t>
      </w:r>
      <w:r w:rsidR="00BE3BAC">
        <w:t xml:space="preserve">along </w:t>
      </w:r>
      <w:r w:rsidR="00C830D3">
        <w:t xml:space="preserve">with a mixed effects estimation, all in all providing consistent and robust </w:t>
      </w:r>
      <w:r w:rsidR="00C9427A">
        <w:t>results</w:t>
      </w:r>
      <w:r w:rsidR="00037948">
        <w:t>.</w:t>
      </w:r>
      <w:r w:rsidR="00C9427A">
        <w:t xml:space="preserve"> </w:t>
      </w:r>
      <w:r w:rsidR="00037948">
        <w:t>The</w:t>
      </w:r>
      <w:r w:rsidR="00C9427A">
        <w:t xml:space="preserve"> estimations clearly reveal </w:t>
      </w:r>
      <w:r>
        <w:t xml:space="preserve">that </w:t>
      </w:r>
      <w:r w:rsidR="00037948">
        <w:t xml:space="preserve">in US domestic markets </w:t>
      </w:r>
      <w:r>
        <w:t xml:space="preserve">the </w:t>
      </w:r>
      <w:r w:rsidR="00C9427A">
        <w:t xml:space="preserve">prices of the </w:t>
      </w:r>
      <w:r>
        <w:t xml:space="preserve">bankrupt carrier </w:t>
      </w:r>
      <w:r w:rsidR="00C9427A">
        <w:t xml:space="preserve">are lower during </w:t>
      </w:r>
      <w:r w:rsidR="00037948">
        <w:t xml:space="preserve">bankruptcy </w:t>
      </w:r>
      <w:r w:rsidR="002B0AF4">
        <w:t xml:space="preserve">as well as </w:t>
      </w:r>
      <w:r w:rsidR="008C5D5E">
        <w:t>during</w:t>
      </w:r>
      <w:r w:rsidR="002B0AF4">
        <w:t xml:space="preserve"> the</w:t>
      </w:r>
      <w:r w:rsidR="00037948">
        <w:t xml:space="preserve"> post-bankruptcy period. However</w:t>
      </w:r>
      <w:r w:rsidR="00C9427A">
        <w:t>,</w:t>
      </w:r>
      <w:r w:rsidR="00037948">
        <w:t xml:space="preserve"> </w:t>
      </w:r>
      <w:r w:rsidR="007B5279">
        <w:t xml:space="preserve">in the </w:t>
      </w:r>
      <w:r w:rsidR="00E1313C">
        <w:t>E</w:t>
      </w:r>
      <w:r w:rsidR="00C9427A">
        <w:t>urope</w:t>
      </w:r>
      <w:r w:rsidR="007B5279">
        <w:t xml:space="preserve">-US market there is a strong price reduction </w:t>
      </w:r>
      <w:r w:rsidR="00C9427A">
        <w:t xml:space="preserve">during </w:t>
      </w:r>
      <w:r w:rsidR="007B5279">
        <w:t xml:space="preserve">the bankruptcy period, followed by a price </w:t>
      </w:r>
      <w:r w:rsidR="00C830D3">
        <w:t xml:space="preserve">correction </w:t>
      </w:r>
      <w:r w:rsidR="008C5D5E">
        <w:t xml:space="preserve">upon emergence from </w:t>
      </w:r>
      <w:r w:rsidR="007B5279">
        <w:t>bankruptcy</w:t>
      </w:r>
      <w:r w:rsidR="00C830D3">
        <w:t>; yet post-bankruptcy prices of the bankrupt carrier are still dramatically lower compared with pre-bankruptcy prices</w:t>
      </w:r>
      <w:r w:rsidR="007B5279">
        <w:t>.</w:t>
      </w:r>
      <w:r w:rsidR="008C5D5E">
        <w:t xml:space="preserve"> </w:t>
      </w:r>
      <w:r w:rsidR="00C830D3">
        <w:t>A</w:t>
      </w:r>
      <w:r w:rsidR="008C5D5E">
        <w:t xml:space="preserve">s discussed below, there is a magnitude difference in the price drop between US domestic and </w:t>
      </w:r>
      <w:r w:rsidR="0048004A">
        <w:t>trans-Atlantic</w:t>
      </w:r>
      <w:r w:rsidR="008C5D5E">
        <w:t xml:space="preserve"> markets while the carrier is under bankruptcy protection.</w:t>
      </w:r>
      <w:r w:rsidR="00BA507D">
        <w:t xml:space="preserve"> With respect to the </w:t>
      </w:r>
      <w:r w:rsidR="00C9427A">
        <w:t>bankrupt carrier’s c</w:t>
      </w:r>
      <w:r w:rsidR="002676BD">
        <w:t>ompetitors</w:t>
      </w:r>
      <w:r w:rsidR="00BA507D">
        <w:t>, their prices</w:t>
      </w:r>
      <w:r w:rsidR="002676BD">
        <w:t xml:space="preserve"> </w:t>
      </w:r>
      <w:r w:rsidR="003717B3">
        <w:t xml:space="preserve">slightly </w:t>
      </w:r>
      <w:r w:rsidR="0073260C">
        <w:t xml:space="preserve">increase in US domestic markets </w:t>
      </w:r>
      <w:r w:rsidR="00C9427A">
        <w:t xml:space="preserve">during </w:t>
      </w:r>
      <w:r w:rsidR="00B61F3F">
        <w:t xml:space="preserve">the bankruptcy </w:t>
      </w:r>
      <w:r w:rsidR="003717B3">
        <w:t>period</w:t>
      </w:r>
      <w:r w:rsidR="00C9427A">
        <w:t>,</w:t>
      </w:r>
      <w:r w:rsidR="003717B3">
        <w:t xml:space="preserve"> remaining stable thereafter</w:t>
      </w:r>
      <w:r w:rsidR="00BA507D">
        <w:t>, whereas</w:t>
      </w:r>
      <w:r w:rsidR="0073260C">
        <w:t xml:space="preserve"> in the </w:t>
      </w:r>
      <w:r w:rsidR="00E1313C">
        <w:t>E</w:t>
      </w:r>
      <w:r w:rsidR="00C9427A">
        <w:t>urope</w:t>
      </w:r>
      <w:r w:rsidR="0073260C">
        <w:t xml:space="preserve">-US market </w:t>
      </w:r>
      <w:r w:rsidR="00BA507D">
        <w:t xml:space="preserve">their </w:t>
      </w:r>
      <w:r w:rsidR="00CE7223">
        <w:t xml:space="preserve">prices </w:t>
      </w:r>
      <w:r w:rsidR="00C9427A">
        <w:t xml:space="preserve">decrease during </w:t>
      </w:r>
      <w:r w:rsidR="00CE7223">
        <w:t xml:space="preserve">the bankruptcy </w:t>
      </w:r>
      <w:r w:rsidR="00E13941">
        <w:t xml:space="preserve">period </w:t>
      </w:r>
      <w:r w:rsidR="00CE7223">
        <w:t>as well as in the post-bankruptcy period</w:t>
      </w:r>
      <w:r w:rsidR="005A0377">
        <w:t>, but no</w:t>
      </w:r>
      <w:r w:rsidR="00BA507D">
        <w:t>t</w:t>
      </w:r>
      <w:r w:rsidR="005A0377">
        <w:t xml:space="preserve"> as pronounced </w:t>
      </w:r>
      <w:r w:rsidR="0019051D">
        <w:t>as</w:t>
      </w:r>
      <w:r w:rsidR="005A0377">
        <w:t xml:space="preserve"> </w:t>
      </w:r>
      <w:r w:rsidR="00347923">
        <w:t xml:space="preserve">for </w:t>
      </w:r>
      <w:r w:rsidR="005A0377">
        <w:t>the bankrupt carrier itself</w:t>
      </w:r>
      <w:r w:rsidR="00CE7223">
        <w:t>.</w:t>
      </w:r>
    </w:p>
    <w:p w14:paraId="4A5744C9" w14:textId="77777777" w:rsidR="00C9427A" w:rsidRDefault="00C9427A" w:rsidP="00566DE0">
      <w:pPr>
        <w:pStyle w:val="FlietextFolge"/>
        <w:spacing w:line="360" w:lineRule="auto"/>
      </w:pPr>
    </w:p>
    <w:p w14:paraId="1BC1B3DD" w14:textId="21BD4A49" w:rsidR="00416788" w:rsidRDefault="00416788" w:rsidP="00416788">
      <w:pPr>
        <w:pStyle w:val="Caption"/>
        <w:keepNext/>
      </w:pPr>
      <w:bookmarkStart w:id="21" w:name="_Ref451073687"/>
      <w:bookmarkStart w:id="22" w:name="_Ref451073683"/>
      <w:bookmarkStart w:id="23" w:name="_Toc451778090"/>
      <w:r>
        <w:lastRenderedPageBreak/>
        <w:t xml:space="preserve">Table </w:t>
      </w:r>
      <w:r>
        <w:fldChar w:fldCharType="begin"/>
      </w:r>
      <w:r>
        <w:instrText xml:space="preserve"> SEQ Table \* ARABIC </w:instrText>
      </w:r>
      <w:r>
        <w:fldChar w:fldCharType="separate"/>
      </w:r>
      <w:r w:rsidR="00886B31">
        <w:rPr>
          <w:noProof/>
        </w:rPr>
        <w:t>2</w:t>
      </w:r>
      <w:r>
        <w:fldChar w:fldCharType="end"/>
      </w:r>
      <w:bookmarkEnd w:id="21"/>
      <w:r>
        <w:t xml:space="preserve">: Effects of Chapter 11 filings on prices </w:t>
      </w:r>
      <w:r w:rsidR="006705D5">
        <w:t xml:space="preserve">in US domestic and international markets </w:t>
      </w:r>
      <w:r>
        <w:t xml:space="preserve">(dependent variable ln </w:t>
      </w:r>
      <m:oMath>
        <m:sSub>
          <m:sSubPr>
            <m:ctrlPr>
              <w:rPr>
                <w:rFonts w:ascii="Cambria Math" w:hAnsi="Cambria Math"/>
              </w:rPr>
            </m:ctrlPr>
          </m:sSubPr>
          <m:e>
            <m:r>
              <w:rPr>
                <w:rFonts w:ascii="Cambria Math" w:hAnsi="Cambria Math"/>
              </w:rPr>
              <m:t>P</m:t>
            </m:r>
          </m:e>
          <m:sub>
            <m:r>
              <w:rPr>
                <w:rFonts w:ascii="Cambria Math" w:hAnsi="Cambria Math"/>
              </w:rPr>
              <m:t>crt</m:t>
            </m:r>
          </m:sub>
        </m:sSub>
      </m:oMath>
      <w:r>
        <w:t>)</w:t>
      </w:r>
      <w:r w:rsidR="002B0AF4">
        <w:t>,</w:t>
      </w:r>
      <w:r w:rsidR="002B0AF4" w:rsidRPr="002B0AF4">
        <w:t xml:space="preserve"> </w:t>
      </w:r>
      <w:r w:rsidR="002B0AF4">
        <w:t>routes covering 50% of total traffic</w:t>
      </w:r>
      <w:bookmarkEnd w:id="22"/>
      <w:bookmarkEnd w:id="23"/>
    </w:p>
    <w:tbl>
      <w:tblPr>
        <w:tblStyle w:val="HelleSchattierung-Akzent11"/>
        <w:tblW w:w="8645" w:type="dxa"/>
        <w:tblLayout w:type="fixed"/>
        <w:tblLook w:val="0600" w:firstRow="0" w:lastRow="0" w:firstColumn="0" w:lastColumn="0" w:noHBand="1" w:noVBand="1"/>
      </w:tblPr>
      <w:tblGrid>
        <w:gridCol w:w="2410"/>
        <w:gridCol w:w="1247"/>
        <w:gridCol w:w="1247"/>
        <w:gridCol w:w="1247"/>
        <w:gridCol w:w="1247"/>
        <w:gridCol w:w="1247"/>
      </w:tblGrid>
      <w:tr w:rsidR="000F030C" w:rsidRPr="0095351A" w14:paraId="658D0651" w14:textId="1E8E585B" w:rsidTr="00AC5E78">
        <w:tc>
          <w:tcPr>
            <w:tcW w:w="2410" w:type="dxa"/>
            <w:tcBorders>
              <w:top w:val="single" w:sz="8" w:space="0" w:color="000000" w:themeColor="text1"/>
              <w:bottom w:val="single" w:sz="4" w:space="0" w:color="auto"/>
            </w:tcBorders>
          </w:tcPr>
          <w:p w14:paraId="711DF1EF" w14:textId="77777777" w:rsidR="000F030C" w:rsidRPr="0095351A" w:rsidRDefault="000F030C" w:rsidP="000E14BC">
            <w:pPr>
              <w:widowControl w:val="0"/>
              <w:autoSpaceDE w:val="0"/>
              <w:autoSpaceDN w:val="0"/>
              <w:adjustRightInd w:val="0"/>
              <w:spacing w:line="240" w:lineRule="auto"/>
              <w:rPr>
                <w:rFonts w:cs="Times New Roman"/>
                <w:szCs w:val="24"/>
                <w:lang w:val="en-GB"/>
              </w:rPr>
            </w:pPr>
          </w:p>
        </w:tc>
        <w:tc>
          <w:tcPr>
            <w:tcW w:w="1247" w:type="dxa"/>
            <w:tcBorders>
              <w:top w:val="single" w:sz="8" w:space="0" w:color="000000" w:themeColor="text1"/>
              <w:bottom w:val="single" w:sz="4" w:space="0" w:color="auto"/>
            </w:tcBorders>
          </w:tcPr>
          <w:p w14:paraId="24D7570F" w14:textId="77777777" w:rsidR="000F030C" w:rsidRPr="0095351A" w:rsidRDefault="000F030C" w:rsidP="000E14BC">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247" w:type="dxa"/>
            <w:tcBorders>
              <w:top w:val="single" w:sz="8" w:space="0" w:color="000000" w:themeColor="text1"/>
              <w:bottom w:val="single" w:sz="4" w:space="0" w:color="auto"/>
            </w:tcBorders>
          </w:tcPr>
          <w:p w14:paraId="7433B064" w14:textId="77777777" w:rsidR="000F030C" w:rsidRPr="0095351A" w:rsidRDefault="000F030C" w:rsidP="000E14BC">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247" w:type="dxa"/>
            <w:tcBorders>
              <w:top w:val="single" w:sz="8" w:space="0" w:color="000000" w:themeColor="text1"/>
              <w:bottom w:val="single" w:sz="4" w:space="0" w:color="auto"/>
            </w:tcBorders>
          </w:tcPr>
          <w:p w14:paraId="7E02D347" w14:textId="77777777" w:rsidR="000F030C" w:rsidRPr="0095351A" w:rsidRDefault="000F030C" w:rsidP="000E14BC">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247" w:type="dxa"/>
            <w:tcBorders>
              <w:top w:val="single" w:sz="8" w:space="0" w:color="000000" w:themeColor="text1"/>
              <w:bottom w:val="single" w:sz="4" w:space="0" w:color="auto"/>
            </w:tcBorders>
          </w:tcPr>
          <w:p w14:paraId="4D703ACF" w14:textId="77777777" w:rsidR="000F030C" w:rsidRPr="0095351A" w:rsidRDefault="000F030C" w:rsidP="000E14BC">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247" w:type="dxa"/>
            <w:tcBorders>
              <w:top w:val="single" w:sz="8" w:space="0" w:color="000000" w:themeColor="text1"/>
              <w:bottom w:val="single" w:sz="4" w:space="0" w:color="auto"/>
            </w:tcBorders>
          </w:tcPr>
          <w:p w14:paraId="55E06084" w14:textId="50CA6B76" w:rsidR="000F030C" w:rsidRDefault="000F030C" w:rsidP="000E14BC">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0F030C" w:rsidRPr="0095351A" w14:paraId="7AD70E42" w14:textId="1BE39068" w:rsidTr="00AC5E78">
        <w:tc>
          <w:tcPr>
            <w:tcW w:w="2410" w:type="dxa"/>
            <w:tcBorders>
              <w:top w:val="single" w:sz="4" w:space="0" w:color="auto"/>
            </w:tcBorders>
            <w:vAlign w:val="center"/>
          </w:tcPr>
          <w:p w14:paraId="46D33BE1" w14:textId="6C42E814"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247" w:type="dxa"/>
            <w:tcBorders>
              <w:top w:val="single" w:sz="4" w:space="0" w:color="auto"/>
            </w:tcBorders>
            <w:vAlign w:val="center"/>
          </w:tcPr>
          <w:p w14:paraId="30ACF5CA" w14:textId="47D706BA" w:rsidR="000F030C" w:rsidRDefault="000F030C" w:rsidP="000F030C">
            <w:pPr>
              <w:widowControl w:val="0"/>
              <w:autoSpaceDE w:val="0"/>
              <w:autoSpaceDN w:val="0"/>
              <w:adjustRightInd w:val="0"/>
              <w:spacing w:line="240" w:lineRule="auto"/>
              <w:jc w:val="center"/>
              <w:rPr>
                <w:rFonts w:cs="Times New Roman"/>
                <w:szCs w:val="24"/>
              </w:rPr>
            </w:pPr>
            <w:r>
              <w:rPr>
                <w:color w:val="000000"/>
              </w:rPr>
              <w:t>-0.048***</w:t>
            </w:r>
          </w:p>
        </w:tc>
        <w:tc>
          <w:tcPr>
            <w:tcW w:w="1247" w:type="dxa"/>
            <w:tcBorders>
              <w:top w:val="single" w:sz="4" w:space="0" w:color="auto"/>
            </w:tcBorders>
            <w:vAlign w:val="center"/>
          </w:tcPr>
          <w:p w14:paraId="765E120F" w14:textId="243828FC" w:rsidR="000F030C" w:rsidRDefault="000F030C" w:rsidP="000F030C">
            <w:pPr>
              <w:widowControl w:val="0"/>
              <w:autoSpaceDE w:val="0"/>
              <w:autoSpaceDN w:val="0"/>
              <w:adjustRightInd w:val="0"/>
              <w:spacing w:line="240" w:lineRule="auto"/>
              <w:jc w:val="center"/>
              <w:rPr>
                <w:rFonts w:cs="Times New Roman"/>
                <w:szCs w:val="24"/>
              </w:rPr>
            </w:pPr>
            <w:r>
              <w:rPr>
                <w:color w:val="000000"/>
              </w:rPr>
              <w:t>-0.047***</w:t>
            </w:r>
          </w:p>
        </w:tc>
        <w:tc>
          <w:tcPr>
            <w:tcW w:w="1247" w:type="dxa"/>
            <w:tcBorders>
              <w:top w:val="single" w:sz="4" w:space="0" w:color="auto"/>
            </w:tcBorders>
            <w:vAlign w:val="center"/>
          </w:tcPr>
          <w:p w14:paraId="11E7B4D3" w14:textId="3A109F4E" w:rsidR="000F030C" w:rsidRDefault="000F030C" w:rsidP="000F030C">
            <w:pPr>
              <w:widowControl w:val="0"/>
              <w:autoSpaceDE w:val="0"/>
              <w:autoSpaceDN w:val="0"/>
              <w:adjustRightInd w:val="0"/>
              <w:spacing w:line="240" w:lineRule="auto"/>
              <w:jc w:val="center"/>
              <w:rPr>
                <w:rFonts w:cs="Times New Roman"/>
                <w:szCs w:val="24"/>
              </w:rPr>
            </w:pPr>
            <w:r>
              <w:rPr>
                <w:color w:val="000000"/>
              </w:rPr>
              <w:t>-0.063***</w:t>
            </w:r>
          </w:p>
        </w:tc>
        <w:tc>
          <w:tcPr>
            <w:tcW w:w="1247" w:type="dxa"/>
            <w:tcBorders>
              <w:top w:val="single" w:sz="4" w:space="0" w:color="auto"/>
            </w:tcBorders>
            <w:vAlign w:val="center"/>
          </w:tcPr>
          <w:p w14:paraId="0110C15F" w14:textId="1587A1E9" w:rsidR="000F030C" w:rsidRDefault="000F030C" w:rsidP="000F030C">
            <w:pPr>
              <w:widowControl w:val="0"/>
              <w:autoSpaceDE w:val="0"/>
              <w:autoSpaceDN w:val="0"/>
              <w:adjustRightInd w:val="0"/>
              <w:spacing w:line="240" w:lineRule="auto"/>
              <w:jc w:val="center"/>
              <w:rPr>
                <w:rFonts w:cs="Times New Roman"/>
                <w:szCs w:val="24"/>
              </w:rPr>
            </w:pPr>
            <w:r>
              <w:rPr>
                <w:color w:val="000000"/>
              </w:rPr>
              <w:t>-0.044***</w:t>
            </w:r>
          </w:p>
        </w:tc>
        <w:tc>
          <w:tcPr>
            <w:tcW w:w="1247" w:type="dxa"/>
            <w:tcBorders>
              <w:top w:val="single" w:sz="4" w:space="0" w:color="auto"/>
            </w:tcBorders>
            <w:vAlign w:val="center"/>
          </w:tcPr>
          <w:p w14:paraId="0427A134" w14:textId="0F5B1E32" w:rsidR="000F030C" w:rsidRDefault="000F030C" w:rsidP="000F030C">
            <w:pPr>
              <w:widowControl w:val="0"/>
              <w:autoSpaceDE w:val="0"/>
              <w:autoSpaceDN w:val="0"/>
              <w:adjustRightInd w:val="0"/>
              <w:spacing w:line="240" w:lineRule="auto"/>
              <w:jc w:val="center"/>
              <w:rPr>
                <w:rFonts w:cs="Times New Roman"/>
                <w:szCs w:val="24"/>
              </w:rPr>
            </w:pPr>
            <w:r>
              <w:rPr>
                <w:color w:val="000000"/>
              </w:rPr>
              <w:t>-0.048***</w:t>
            </w:r>
          </w:p>
        </w:tc>
      </w:tr>
      <w:tr w:rsidR="000F030C" w:rsidRPr="0095351A" w14:paraId="74072221" w14:textId="7F5FFCF0" w:rsidTr="00AC5E78">
        <w:tc>
          <w:tcPr>
            <w:tcW w:w="2410" w:type="dxa"/>
            <w:vAlign w:val="center"/>
          </w:tcPr>
          <w:p w14:paraId="274AF563"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01B49C47" w14:textId="604D4CC5"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c>
          <w:tcPr>
            <w:tcW w:w="1247" w:type="dxa"/>
            <w:vAlign w:val="center"/>
          </w:tcPr>
          <w:p w14:paraId="08DC03F2" w14:textId="108714E2"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c>
          <w:tcPr>
            <w:tcW w:w="1247" w:type="dxa"/>
            <w:vAlign w:val="center"/>
          </w:tcPr>
          <w:p w14:paraId="7B901E93" w14:textId="2938EA7C"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c>
          <w:tcPr>
            <w:tcW w:w="1247" w:type="dxa"/>
            <w:vAlign w:val="center"/>
          </w:tcPr>
          <w:p w14:paraId="62F1DF0F" w14:textId="07885C5C"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c>
          <w:tcPr>
            <w:tcW w:w="1247" w:type="dxa"/>
            <w:vAlign w:val="center"/>
          </w:tcPr>
          <w:p w14:paraId="2077741B" w14:textId="154BE993"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r>
      <w:tr w:rsidR="000F030C" w:rsidRPr="0095351A" w14:paraId="72485763" w14:textId="21ADFF76" w:rsidTr="00AC5E78">
        <w:tc>
          <w:tcPr>
            <w:tcW w:w="2410" w:type="dxa"/>
            <w:vAlign w:val="center"/>
          </w:tcPr>
          <w:p w14:paraId="50B54A77" w14:textId="5DCE2885" w:rsidR="000F030C" w:rsidRPr="0095351A" w:rsidRDefault="000F030C" w:rsidP="000F030C">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247" w:type="dxa"/>
            <w:vAlign w:val="center"/>
          </w:tcPr>
          <w:p w14:paraId="55F6A872" w14:textId="5E0161FD" w:rsidR="000F030C" w:rsidRDefault="000F030C" w:rsidP="000F030C">
            <w:pPr>
              <w:widowControl w:val="0"/>
              <w:autoSpaceDE w:val="0"/>
              <w:autoSpaceDN w:val="0"/>
              <w:adjustRightInd w:val="0"/>
              <w:spacing w:line="240" w:lineRule="auto"/>
              <w:jc w:val="center"/>
              <w:rPr>
                <w:rFonts w:cs="Times New Roman"/>
                <w:szCs w:val="24"/>
              </w:rPr>
            </w:pPr>
            <w:r>
              <w:rPr>
                <w:color w:val="000000"/>
              </w:rPr>
              <w:t>0.022***</w:t>
            </w:r>
          </w:p>
        </w:tc>
        <w:tc>
          <w:tcPr>
            <w:tcW w:w="1247" w:type="dxa"/>
            <w:vAlign w:val="center"/>
          </w:tcPr>
          <w:p w14:paraId="72A908DC" w14:textId="394FAB23" w:rsidR="000F030C" w:rsidRDefault="000F030C" w:rsidP="000F030C">
            <w:pPr>
              <w:widowControl w:val="0"/>
              <w:autoSpaceDE w:val="0"/>
              <w:autoSpaceDN w:val="0"/>
              <w:adjustRightInd w:val="0"/>
              <w:spacing w:line="240" w:lineRule="auto"/>
              <w:jc w:val="center"/>
              <w:rPr>
                <w:rFonts w:cs="Times New Roman"/>
                <w:szCs w:val="24"/>
              </w:rPr>
            </w:pPr>
            <w:r>
              <w:rPr>
                <w:color w:val="000000"/>
              </w:rPr>
              <w:t>0.020***</w:t>
            </w:r>
          </w:p>
        </w:tc>
        <w:tc>
          <w:tcPr>
            <w:tcW w:w="1247" w:type="dxa"/>
            <w:vAlign w:val="center"/>
          </w:tcPr>
          <w:p w14:paraId="59C5CBE4" w14:textId="04D4E27D" w:rsidR="000F030C" w:rsidRDefault="000F030C" w:rsidP="000F030C">
            <w:pPr>
              <w:widowControl w:val="0"/>
              <w:autoSpaceDE w:val="0"/>
              <w:autoSpaceDN w:val="0"/>
              <w:adjustRightInd w:val="0"/>
              <w:spacing w:line="240" w:lineRule="auto"/>
              <w:jc w:val="center"/>
              <w:rPr>
                <w:rFonts w:cs="Times New Roman"/>
                <w:szCs w:val="24"/>
              </w:rPr>
            </w:pPr>
            <w:r>
              <w:rPr>
                <w:color w:val="000000"/>
              </w:rPr>
              <w:t>0.026***</w:t>
            </w:r>
          </w:p>
        </w:tc>
        <w:tc>
          <w:tcPr>
            <w:tcW w:w="1247" w:type="dxa"/>
            <w:vAlign w:val="center"/>
          </w:tcPr>
          <w:p w14:paraId="142BE04B" w14:textId="32CDCB12" w:rsidR="000F030C" w:rsidRDefault="000F030C" w:rsidP="000F030C">
            <w:pPr>
              <w:widowControl w:val="0"/>
              <w:autoSpaceDE w:val="0"/>
              <w:autoSpaceDN w:val="0"/>
              <w:adjustRightInd w:val="0"/>
              <w:spacing w:line="240" w:lineRule="auto"/>
              <w:jc w:val="center"/>
              <w:rPr>
                <w:rFonts w:cs="Times New Roman"/>
                <w:szCs w:val="24"/>
              </w:rPr>
            </w:pPr>
            <w:r>
              <w:rPr>
                <w:color w:val="000000"/>
              </w:rPr>
              <w:t>0.021***</w:t>
            </w:r>
          </w:p>
        </w:tc>
        <w:tc>
          <w:tcPr>
            <w:tcW w:w="1247" w:type="dxa"/>
            <w:vAlign w:val="center"/>
          </w:tcPr>
          <w:p w14:paraId="2B2E0891" w14:textId="1BF44131" w:rsidR="000F030C" w:rsidRDefault="000F030C" w:rsidP="000F030C">
            <w:pPr>
              <w:widowControl w:val="0"/>
              <w:autoSpaceDE w:val="0"/>
              <w:autoSpaceDN w:val="0"/>
              <w:adjustRightInd w:val="0"/>
              <w:spacing w:line="240" w:lineRule="auto"/>
              <w:jc w:val="center"/>
              <w:rPr>
                <w:rFonts w:cs="Times New Roman"/>
                <w:szCs w:val="24"/>
              </w:rPr>
            </w:pPr>
            <w:r>
              <w:rPr>
                <w:color w:val="000000"/>
              </w:rPr>
              <w:t>0.022***</w:t>
            </w:r>
          </w:p>
        </w:tc>
      </w:tr>
      <w:tr w:rsidR="000F030C" w:rsidRPr="0095351A" w14:paraId="436DDF6E" w14:textId="200B6D15" w:rsidTr="00AC5E78">
        <w:tc>
          <w:tcPr>
            <w:tcW w:w="2410" w:type="dxa"/>
            <w:vAlign w:val="center"/>
          </w:tcPr>
          <w:p w14:paraId="5C4D6F5E"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21B65379" w14:textId="1C4C7011"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c>
          <w:tcPr>
            <w:tcW w:w="1247" w:type="dxa"/>
            <w:vAlign w:val="center"/>
          </w:tcPr>
          <w:p w14:paraId="6AAD1921" w14:textId="3B73F07A"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c>
          <w:tcPr>
            <w:tcW w:w="1247" w:type="dxa"/>
            <w:vAlign w:val="center"/>
          </w:tcPr>
          <w:p w14:paraId="0DA9EE78" w14:textId="69DD49EA"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c>
          <w:tcPr>
            <w:tcW w:w="1247" w:type="dxa"/>
            <w:vAlign w:val="center"/>
          </w:tcPr>
          <w:p w14:paraId="4B2E1F26" w14:textId="69698ECA"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c>
          <w:tcPr>
            <w:tcW w:w="1247" w:type="dxa"/>
            <w:vAlign w:val="center"/>
          </w:tcPr>
          <w:p w14:paraId="71648043" w14:textId="1197D418"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r>
      <w:tr w:rsidR="000F030C" w:rsidRPr="0095351A" w14:paraId="035368F6" w14:textId="37998F0A" w:rsidTr="00AC5E78">
        <w:tc>
          <w:tcPr>
            <w:tcW w:w="2410" w:type="dxa"/>
            <w:vAlign w:val="center"/>
          </w:tcPr>
          <w:p w14:paraId="692144A4" w14:textId="48F56DD4"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247" w:type="dxa"/>
            <w:vAlign w:val="center"/>
          </w:tcPr>
          <w:p w14:paraId="3C5344EF" w14:textId="37CDD9E8" w:rsidR="000F030C" w:rsidRDefault="000F030C" w:rsidP="000F030C">
            <w:pPr>
              <w:widowControl w:val="0"/>
              <w:autoSpaceDE w:val="0"/>
              <w:autoSpaceDN w:val="0"/>
              <w:adjustRightInd w:val="0"/>
              <w:spacing w:line="240" w:lineRule="auto"/>
              <w:jc w:val="center"/>
              <w:rPr>
                <w:rFonts w:cs="Times New Roman"/>
                <w:szCs w:val="24"/>
              </w:rPr>
            </w:pPr>
            <w:r>
              <w:rPr>
                <w:color w:val="000000"/>
              </w:rPr>
              <w:t>-0.066***</w:t>
            </w:r>
          </w:p>
        </w:tc>
        <w:tc>
          <w:tcPr>
            <w:tcW w:w="1247" w:type="dxa"/>
            <w:vAlign w:val="center"/>
          </w:tcPr>
          <w:p w14:paraId="61885A3E" w14:textId="3A8FC180" w:rsidR="000F030C" w:rsidRDefault="000F030C" w:rsidP="000F030C">
            <w:pPr>
              <w:widowControl w:val="0"/>
              <w:autoSpaceDE w:val="0"/>
              <w:autoSpaceDN w:val="0"/>
              <w:adjustRightInd w:val="0"/>
              <w:spacing w:line="240" w:lineRule="auto"/>
              <w:jc w:val="center"/>
              <w:rPr>
                <w:rFonts w:cs="Times New Roman"/>
                <w:szCs w:val="24"/>
              </w:rPr>
            </w:pPr>
            <w:r>
              <w:rPr>
                <w:color w:val="000000"/>
              </w:rPr>
              <w:t>-0.064***</w:t>
            </w:r>
          </w:p>
        </w:tc>
        <w:tc>
          <w:tcPr>
            <w:tcW w:w="1247" w:type="dxa"/>
            <w:vAlign w:val="center"/>
          </w:tcPr>
          <w:p w14:paraId="46FAD90F" w14:textId="4F966B51" w:rsidR="000F030C" w:rsidRDefault="000F030C" w:rsidP="000F030C">
            <w:pPr>
              <w:widowControl w:val="0"/>
              <w:autoSpaceDE w:val="0"/>
              <w:autoSpaceDN w:val="0"/>
              <w:adjustRightInd w:val="0"/>
              <w:spacing w:line="240" w:lineRule="auto"/>
              <w:jc w:val="center"/>
              <w:rPr>
                <w:rFonts w:cs="Times New Roman"/>
                <w:szCs w:val="24"/>
              </w:rPr>
            </w:pPr>
            <w:r>
              <w:rPr>
                <w:color w:val="000000"/>
              </w:rPr>
              <w:t>-0.080***</w:t>
            </w:r>
          </w:p>
        </w:tc>
        <w:tc>
          <w:tcPr>
            <w:tcW w:w="1247" w:type="dxa"/>
            <w:vAlign w:val="center"/>
          </w:tcPr>
          <w:p w14:paraId="2065FACE" w14:textId="067EBDA4" w:rsidR="000F030C" w:rsidRDefault="000F030C" w:rsidP="000F030C">
            <w:pPr>
              <w:widowControl w:val="0"/>
              <w:autoSpaceDE w:val="0"/>
              <w:autoSpaceDN w:val="0"/>
              <w:adjustRightInd w:val="0"/>
              <w:spacing w:line="240" w:lineRule="auto"/>
              <w:jc w:val="center"/>
              <w:rPr>
                <w:rFonts w:cs="Times New Roman"/>
                <w:szCs w:val="24"/>
              </w:rPr>
            </w:pPr>
            <w:r>
              <w:rPr>
                <w:color w:val="000000"/>
              </w:rPr>
              <w:t>-0.052***</w:t>
            </w:r>
          </w:p>
        </w:tc>
        <w:tc>
          <w:tcPr>
            <w:tcW w:w="1247" w:type="dxa"/>
            <w:vAlign w:val="center"/>
          </w:tcPr>
          <w:p w14:paraId="1911407C" w14:textId="473DE32B" w:rsidR="000F030C" w:rsidRDefault="000F030C" w:rsidP="000F030C">
            <w:pPr>
              <w:widowControl w:val="0"/>
              <w:autoSpaceDE w:val="0"/>
              <w:autoSpaceDN w:val="0"/>
              <w:adjustRightInd w:val="0"/>
              <w:spacing w:line="240" w:lineRule="auto"/>
              <w:jc w:val="center"/>
              <w:rPr>
                <w:rFonts w:cs="Times New Roman"/>
                <w:szCs w:val="24"/>
              </w:rPr>
            </w:pPr>
            <w:r>
              <w:rPr>
                <w:color w:val="000000"/>
              </w:rPr>
              <w:t>-0.067***</w:t>
            </w:r>
          </w:p>
        </w:tc>
      </w:tr>
      <w:tr w:rsidR="000F030C" w:rsidRPr="0095351A" w14:paraId="61938BE2" w14:textId="45E3A452" w:rsidTr="00AC5E78">
        <w:tc>
          <w:tcPr>
            <w:tcW w:w="2410" w:type="dxa"/>
            <w:vAlign w:val="center"/>
          </w:tcPr>
          <w:p w14:paraId="31EE5AB8"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201B04E9" w14:textId="08B0681A"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c>
          <w:tcPr>
            <w:tcW w:w="1247" w:type="dxa"/>
            <w:vAlign w:val="center"/>
          </w:tcPr>
          <w:p w14:paraId="479834BD" w14:textId="72965694"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c>
          <w:tcPr>
            <w:tcW w:w="1247" w:type="dxa"/>
            <w:vAlign w:val="center"/>
          </w:tcPr>
          <w:p w14:paraId="352C0530" w14:textId="0C846142"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0.004</w:t>
            </w:r>
            <w:r>
              <w:rPr>
                <w:color w:val="000000"/>
              </w:rPr>
              <w:t>)</w:t>
            </w:r>
          </w:p>
        </w:tc>
        <w:tc>
          <w:tcPr>
            <w:tcW w:w="1247" w:type="dxa"/>
            <w:vAlign w:val="center"/>
          </w:tcPr>
          <w:p w14:paraId="74CFC3B2" w14:textId="4D93CD42"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c>
          <w:tcPr>
            <w:tcW w:w="1247" w:type="dxa"/>
            <w:vAlign w:val="center"/>
          </w:tcPr>
          <w:p w14:paraId="4923BE5F" w14:textId="3A36443A"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0.003</w:t>
            </w:r>
            <w:r>
              <w:rPr>
                <w:color w:val="000000"/>
              </w:rPr>
              <w:t>)</w:t>
            </w:r>
          </w:p>
        </w:tc>
      </w:tr>
      <w:tr w:rsidR="000F030C" w:rsidRPr="0095351A" w14:paraId="01C6BFAD" w14:textId="7B4B2184" w:rsidTr="00AC5E78">
        <w:tc>
          <w:tcPr>
            <w:tcW w:w="2410" w:type="dxa"/>
            <w:vAlign w:val="center"/>
          </w:tcPr>
          <w:p w14:paraId="746A3FA1" w14:textId="0A832CFE" w:rsidR="000F030C" w:rsidRPr="0095351A" w:rsidRDefault="000F030C" w:rsidP="000F030C">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247" w:type="dxa"/>
            <w:vAlign w:val="center"/>
          </w:tcPr>
          <w:p w14:paraId="2B17FE39" w14:textId="1E1D0CCE" w:rsidR="000F030C" w:rsidRDefault="000F030C" w:rsidP="000F030C">
            <w:pPr>
              <w:widowControl w:val="0"/>
              <w:autoSpaceDE w:val="0"/>
              <w:autoSpaceDN w:val="0"/>
              <w:adjustRightInd w:val="0"/>
              <w:spacing w:line="240" w:lineRule="auto"/>
              <w:jc w:val="center"/>
              <w:rPr>
                <w:rFonts w:cs="Times New Roman"/>
                <w:szCs w:val="24"/>
              </w:rPr>
            </w:pPr>
            <w:r>
              <w:rPr>
                <w:color w:val="000000"/>
              </w:rPr>
              <w:t>0.015***</w:t>
            </w:r>
          </w:p>
        </w:tc>
        <w:tc>
          <w:tcPr>
            <w:tcW w:w="1247" w:type="dxa"/>
            <w:vAlign w:val="center"/>
          </w:tcPr>
          <w:p w14:paraId="52809890" w14:textId="00EF0EF0" w:rsidR="000F030C" w:rsidRDefault="000F030C" w:rsidP="000F030C">
            <w:pPr>
              <w:widowControl w:val="0"/>
              <w:autoSpaceDE w:val="0"/>
              <w:autoSpaceDN w:val="0"/>
              <w:adjustRightInd w:val="0"/>
              <w:spacing w:line="240" w:lineRule="auto"/>
              <w:jc w:val="center"/>
              <w:rPr>
                <w:rFonts w:cs="Times New Roman"/>
                <w:szCs w:val="24"/>
              </w:rPr>
            </w:pPr>
            <w:r>
              <w:rPr>
                <w:color w:val="000000"/>
              </w:rPr>
              <w:t>0.013***</w:t>
            </w:r>
          </w:p>
        </w:tc>
        <w:tc>
          <w:tcPr>
            <w:tcW w:w="1247" w:type="dxa"/>
            <w:vAlign w:val="center"/>
          </w:tcPr>
          <w:p w14:paraId="2A69AD92" w14:textId="61D2B783" w:rsidR="000F030C" w:rsidRDefault="000F030C" w:rsidP="000F030C">
            <w:pPr>
              <w:widowControl w:val="0"/>
              <w:autoSpaceDE w:val="0"/>
              <w:autoSpaceDN w:val="0"/>
              <w:adjustRightInd w:val="0"/>
              <w:spacing w:line="240" w:lineRule="auto"/>
              <w:jc w:val="center"/>
              <w:rPr>
                <w:rFonts w:cs="Times New Roman"/>
                <w:szCs w:val="24"/>
              </w:rPr>
            </w:pPr>
            <w:r>
              <w:rPr>
                <w:color w:val="000000"/>
              </w:rPr>
              <w:t>0.025***</w:t>
            </w:r>
          </w:p>
        </w:tc>
        <w:tc>
          <w:tcPr>
            <w:tcW w:w="1247" w:type="dxa"/>
            <w:vAlign w:val="center"/>
          </w:tcPr>
          <w:p w14:paraId="33348B0A" w14:textId="3502BA3B" w:rsidR="000F030C" w:rsidRDefault="000F030C" w:rsidP="000F030C">
            <w:pPr>
              <w:widowControl w:val="0"/>
              <w:autoSpaceDE w:val="0"/>
              <w:autoSpaceDN w:val="0"/>
              <w:adjustRightInd w:val="0"/>
              <w:spacing w:line="240" w:lineRule="auto"/>
              <w:jc w:val="center"/>
              <w:rPr>
                <w:rFonts w:cs="Times New Roman"/>
                <w:szCs w:val="24"/>
              </w:rPr>
            </w:pPr>
            <w:r>
              <w:rPr>
                <w:color w:val="000000"/>
              </w:rPr>
              <w:t>0.025***</w:t>
            </w:r>
          </w:p>
        </w:tc>
        <w:tc>
          <w:tcPr>
            <w:tcW w:w="1247" w:type="dxa"/>
            <w:vAlign w:val="center"/>
          </w:tcPr>
          <w:p w14:paraId="0C51D172" w14:textId="44AF4179" w:rsidR="000F030C" w:rsidRDefault="000F030C" w:rsidP="000F030C">
            <w:pPr>
              <w:widowControl w:val="0"/>
              <w:autoSpaceDE w:val="0"/>
              <w:autoSpaceDN w:val="0"/>
              <w:adjustRightInd w:val="0"/>
              <w:spacing w:line="240" w:lineRule="auto"/>
              <w:jc w:val="center"/>
              <w:rPr>
                <w:rFonts w:cs="Times New Roman"/>
                <w:szCs w:val="24"/>
              </w:rPr>
            </w:pPr>
            <w:r>
              <w:rPr>
                <w:color w:val="000000"/>
              </w:rPr>
              <w:t>0.015***</w:t>
            </w:r>
          </w:p>
        </w:tc>
      </w:tr>
      <w:tr w:rsidR="000F030C" w:rsidRPr="0095351A" w14:paraId="1BAD3730" w14:textId="39DCCC12" w:rsidTr="00AC5E78">
        <w:tc>
          <w:tcPr>
            <w:tcW w:w="2410" w:type="dxa"/>
            <w:vAlign w:val="center"/>
          </w:tcPr>
          <w:p w14:paraId="40B3F670"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5301EF12" w14:textId="4EE44A73"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c>
          <w:tcPr>
            <w:tcW w:w="1247" w:type="dxa"/>
            <w:vAlign w:val="center"/>
          </w:tcPr>
          <w:p w14:paraId="0C3D61DB" w14:textId="2708EE67"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c>
          <w:tcPr>
            <w:tcW w:w="1247" w:type="dxa"/>
            <w:vAlign w:val="center"/>
          </w:tcPr>
          <w:p w14:paraId="29DFB9A5" w14:textId="1CAEA9FB"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c>
          <w:tcPr>
            <w:tcW w:w="1247" w:type="dxa"/>
            <w:vAlign w:val="center"/>
          </w:tcPr>
          <w:p w14:paraId="06E1B36E" w14:textId="73BBBD60"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c>
          <w:tcPr>
            <w:tcW w:w="1247" w:type="dxa"/>
            <w:vAlign w:val="center"/>
          </w:tcPr>
          <w:p w14:paraId="668D9738" w14:textId="045CF8C0"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0.002</w:t>
            </w:r>
            <w:r>
              <w:rPr>
                <w:color w:val="000000"/>
              </w:rPr>
              <w:t>)</w:t>
            </w:r>
          </w:p>
        </w:tc>
      </w:tr>
      <w:tr w:rsidR="000F030C" w:rsidRPr="0095351A" w14:paraId="72FABA98" w14:textId="60EF2086" w:rsidTr="00AC5E78">
        <w:tc>
          <w:tcPr>
            <w:tcW w:w="2410" w:type="dxa"/>
            <w:vAlign w:val="center"/>
          </w:tcPr>
          <w:p w14:paraId="5F2AF711"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p>
        </w:tc>
        <w:tc>
          <w:tcPr>
            <w:tcW w:w="1247" w:type="dxa"/>
            <w:vAlign w:val="center"/>
          </w:tcPr>
          <w:p w14:paraId="0E551DB9" w14:textId="707FBEDA" w:rsidR="000F030C" w:rsidRDefault="000F030C" w:rsidP="000F030C">
            <w:pPr>
              <w:widowControl w:val="0"/>
              <w:autoSpaceDE w:val="0"/>
              <w:autoSpaceDN w:val="0"/>
              <w:adjustRightInd w:val="0"/>
              <w:spacing w:line="240" w:lineRule="auto"/>
              <w:jc w:val="center"/>
              <w:rPr>
                <w:rFonts w:cs="Times New Roman"/>
                <w:szCs w:val="24"/>
              </w:rPr>
            </w:pPr>
            <w:r>
              <w:rPr>
                <w:color w:val="000000"/>
              </w:rPr>
              <w:t>-0.476***</w:t>
            </w:r>
          </w:p>
        </w:tc>
        <w:tc>
          <w:tcPr>
            <w:tcW w:w="1247" w:type="dxa"/>
            <w:vAlign w:val="center"/>
          </w:tcPr>
          <w:p w14:paraId="7261EDD0" w14:textId="24A50A76" w:rsidR="000F030C" w:rsidRDefault="000F030C" w:rsidP="000F030C">
            <w:pPr>
              <w:widowControl w:val="0"/>
              <w:autoSpaceDE w:val="0"/>
              <w:autoSpaceDN w:val="0"/>
              <w:adjustRightInd w:val="0"/>
              <w:spacing w:line="240" w:lineRule="auto"/>
              <w:jc w:val="center"/>
              <w:rPr>
                <w:rFonts w:cs="Times New Roman"/>
                <w:szCs w:val="24"/>
              </w:rPr>
            </w:pPr>
            <w:r>
              <w:rPr>
                <w:color w:val="000000"/>
              </w:rPr>
              <w:t>-0.463***</w:t>
            </w:r>
          </w:p>
        </w:tc>
        <w:tc>
          <w:tcPr>
            <w:tcW w:w="1247" w:type="dxa"/>
            <w:vAlign w:val="center"/>
          </w:tcPr>
          <w:p w14:paraId="31ED39D4" w14:textId="112CB604" w:rsidR="000F030C" w:rsidRDefault="000F030C" w:rsidP="000F030C">
            <w:pPr>
              <w:widowControl w:val="0"/>
              <w:autoSpaceDE w:val="0"/>
              <w:autoSpaceDN w:val="0"/>
              <w:adjustRightInd w:val="0"/>
              <w:spacing w:line="240" w:lineRule="auto"/>
              <w:jc w:val="center"/>
              <w:rPr>
                <w:rFonts w:cs="Times New Roman"/>
                <w:szCs w:val="24"/>
              </w:rPr>
            </w:pPr>
            <w:r>
              <w:rPr>
                <w:color w:val="000000"/>
              </w:rPr>
              <w:t>-0.411***</w:t>
            </w:r>
          </w:p>
        </w:tc>
        <w:tc>
          <w:tcPr>
            <w:tcW w:w="1247" w:type="dxa"/>
            <w:vAlign w:val="center"/>
          </w:tcPr>
          <w:p w14:paraId="74D037D4" w14:textId="318F3515" w:rsidR="000F030C" w:rsidRDefault="000F030C" w:rsidP="000F030C">
            <w:pPr>
              <w:widowControl w:val="0"/>
              <w:autoSpaceDE w:val="0"/>
              <w:autoSpaceDN w:val="0"/>
              <w:adjustRightInd w:val="0"/>
              <w:spacing w:line="240" w:lineRule="auto"/>
              <w:jc w:val="center"/>
              <w:rPr>
                <w:rFonts w:cs="Times New Roman"/>
                <w:szCs w:val="24"/>
              </w:rPr>
            </w:pPr>
            <w:r>
              <w:rPr>
                <w:color w:val="000000"/>
              </w:rPr>
              <w:t>-0.477***</w:t>
            </w:r>
          </w:p>
        </w:tc>
        <w:tc>
          <w:tcPr>
            <w:tcW w:w="1247" w:type="dxa"/>
            <w:vAlign w:val="center"/>
          </w:tcPr>
          <w:p w14:paraId="50BFA512" w14:textId="5DF42C16" w:rsidR="000F030C" w:rsidRDefault="000F030C" w:rsidP="000F030C">
            <w:pPr>
              <w:widowControl w:val="0"/>
              <w:autoSpaceDE w:val="0"/>
              <w:autoSpaceDN w:val="0"/>
              <w:adjustRightInd w:val="0"/>
              <w:spacing w:line="240" w:lineRule="auto"/>
              <w:jc w:val="center"/>
              <w:rPr>
                <w:rFonts w:cs="Times New Roman"/>
                <w:szCs w:val="24"/>
              </w:rPr>
            </w:pPr>
            <w:r>
              <w:rPr>
                <w:color w:val="000000"/>
              </w:rPr>
              <w:t>-0.475***</w:t>
            </w:r>
          </w:p>
        </w:tc>
      </w:tr>
      <w:tr w:rsidR="000F030C" w:rsidRPr="0095351A" w14:paraId="73AEAD47" w14:textId="632C8F0F" w:rsidTr="00AC5E78">
        <w:tc>
          <w:tcPr>
            <w:tcW w:w="2410" w:type="dxa"/>
            <w:vAlign w:val="center"/>
          </w:tcPr>
          <w:p w14:paraId="17D55FB8"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6FC5CB1D" w14:textId="7DBF8E60"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0.016</w:t>
            </w:r>
            <w:r>
              <w:rPr>
                <w:color w:val="000000"/>
              </w:rPr>
              <w:t>)</w:t>
            </w:r>
          </w:p>
        </w:tc>
        <w:tc>
          <w:tcPr>
            <w:tcW w:w="1247" w:type="dxa"/>
            <w:vAlign w:val="center"/>
          </w:tcPr>
          <w:p w14:paraId="120E1D5C" w14:textId="38C5F4A8"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0.016</w:t>
            </w:r>
            <w:r>
              <w:rPr>
                <w:color w:val="000000"/>
              </w:rPr>
              <w:t>)</w:t>
            </w:r>
          </w:p>
        </w:tc>
        <w:tc>
          <w:tcPr>
            <w:tcW w:w="1247" w:type="dxa"/>
            <w:vAlign w:val="center"/>
          </w:tcPr>
          <w:p w14:paraId="428915C8" w14:textId="1D47AD92"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0.018</w:t>
            </w:r>
            <w:r>
              <w:rPr>
                <w:color w:val="000000"/>
              </w:rPr>
              <w:t>)</w:t>
            </w:r>
          </w:p>
        </w:tc>
        <w:tc>
          <w:tcPr>
            <w:tcW w:w="1247" w:type="dxa"/>
            <w:vAlign w:val="center"/>
          </w:tcPr>
          <w:p w14:paraId="20157ED0" w14:textId="61DA7A07"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0.017</w:t>
            </w:r>
            <w:r>
              <w:rPr>
                <w:color w:val="000000"/>
              </w:rPr>
              <w:t>)</w:t>
            </w:r>
          </w:p>
        </w:tc>
        <w:tc>
          <w:tcPr>
            <w:tcW w:w="1247" w:type="dxa"/>
            <w:vAlign w:val="center"/>
          </w:tcPr>
          <w:p w14:paraId="3F792564" w14:textId="15883D08"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0.016</w:t>
            </w:r>
            <w:r>
              <w:rPr>
                <w:color w:val="000000"/>
              </w:rPr>
              <w:t>)</w:t>
            </w:r>
          </w:p>
        </w:tc>
      </w:tr>
      <w:tr w:rsidR="000F030C" w:rsidRPr="0095351A" w14:paraId="7718B714" w14:textId="259C393C" w:rsidTr="00AC5E78">
        <w:tc>
          <w:tcPr>
            <w:tcW w:w="2410" w:type="dxa"/>
            <w:vAlign w:val="center"/>
          </w:tcPr>
          <w:p w14:paraId="0F3A7415"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otherint</m:t>
                  </m:r>
                </m:sub>
              </m:sSub>
            </m:oMath>
          </w:p>
        </w:tc>
        <w:tc>
          <w:tcPr>
            <w:tcW w:w="1247" w:type="dxa"/>
            <w:vAlign w:val="center"/>
          </w:tcPr>
          <w:p w14:paraId="508403B3" w14:textId="7575FA2F" w:rsidR="000F030C" w:rsidRDefault="000F030C" w:rsidP="000F030C">
            <w:pPr>
              <w:widowControl w:val="0"/>
              <w:autoSpaceDE w:val="0"/>
              <w:autoSpaceDN w:val="0"/>
              <w:adjustRightInd w:val="0"/>
              <w:spacing w:line="240" w:lineRule="auto"/>
              <w:jc w:val="center"/>
              <w:rPr>
                <w:rFonts w:cs="Times New Roman"/>
                <w:szCs w:val="24"/>
              </w:rPr>
            </w:pPr>
            <w:r>
              <w:rPr>
                <w:color w:val="000000"/>
              </w:rPr>
              <w:t>-0.026***</w:t>
            </w:r>
          </w:p>
        </w:tc>
        <w:tc>
          <w:tcPr>
            <w:tcW w:w="1247" w:type="dxa"/>
            <w:vAlign w:val="center"/>
          </w:tcPr>
          <w:p w14:paraId="738EBB19" w14:textId="41D919B3" w:rsidR="000F030C" w:rsidRDefault="000F030C" w:rsidP="000F030C">
            <w:pPr>
              <w:widowControl w:val="0"/>
              <w:autoSpaceDE w:val="0"/>
              <w:autoSpaceDN w:val="0"/>
              <w:adjustRightInd w:val="0"/>
              <w:spacing w:line="240" w:lineRule="auto"/>
              <w:jc w:val="center"/>
              <w:rPr>
                <w:rFonts w:cs="Times New Roman"/>
                <w:szCs w:val="24"/>
              </w:rPr>
            </w:pPr>
            <w:r>
              <w:rPr>
                <w:color w:val="000000"/>
              </w:rPr>
              <w:t>-0.033***</w:t>
            </w:r>
          </w:p>
        </w:tc>
        <w:tc>
          <w:tcPr>
            <w:tcW w:w="1247" w:type="dxa"/>
            <w:vAlign w:val="center"/>
          </w:tcPr>
          <w:p w14:paraId="45AC9C74" w14:textId="7C79A54B" w:rsidR="000F030C" w:rsidRDefault="000F030C" w:rsidP="000F030C">
            <w:pPr>
              <w:widowControl w:val="0"/>
              <w:autoSpaceDE w:val="0"/>
              <w:autoSpaceDN w:val="0"/>
              <w:adjustRightInd w:val="0"/>
              <w:spacing w:line="240" w:lineRule="auto"/>
              <w:jc w:val="center"/>
              <w:rPr>
                <w:rFonts w:cs="Times New Roman"/>
                <w:szCs w:val="24"/>
              </w:rPr>
            </w:pPr>
            <w:r>
              <w:rPr>
                <w:color w:val="000000"/>
              </w:rPr>
              <w:t>-0.075***</w:t>
            </w:r>
          </w:p>
        </w:tc>
        <w:tc>
          <w:tcPr>
            <w:tcW w:w="1247" w:type="dxa"/>
            <w:vAlign w:val="center"/>
          </w:tcPr>
          <w:p w14:paraId="09FAD70D" w14:textId="30D7E8E7" w:rsidR="000F030C" w:rsidRDefault="000F030C" w:rsidP="000F030C">
            <w:pPr>
              <w:widowControl w:val="0"/>
              <w:autoSpaceDE w:val="0"/>
              <w:autoSpaceDN w:val="0"/>
              <w:adjustRightInd w:val="0"/>
              <w:spacing w:line="240" w:lineRule="auto"/>
              <w:jc w:val="center"/>
              <w:rPr>
                <w:rFonts w:cs="Times New Roman"/>
                <w:szCs w:val="24"/>
              </w:rPr>
            </w:pPr>
            <w:r>
              <w:rPr>
                <w:color w:val="000000"/>
              </w:rPr>
              <w:t>-0.019***</w:t>
            </w:r>
          </w:p>
        </w:tc>
        <w:tc>
          <w:tcPr>
            <w:tcW w:w="1247" w:type="dxa"/>
            <w:vAlign w:val="center"/>
          </w:tcPr>
          <w:p w14:paraId="754C6658" w14:textId="660EB664" w:rsidR="000F030C" w:rsidRDefault="000F030C" w:rsidP="000F030C">
            <w:pPr>
              <w:widowControl w:val="0"/>
              <w:autoSpaceDE w:val="0"/>
              <w:autoSpaceDN w:val="0"/>
              <w:adjustRightInd w:val="0"/>
              <w:spacing w:line="240" w:lineRule="auto"/>
              <w:jc w:val="center"/>
              <w:rPr>
                <w:rFonts w:cs="Times New Roman"/>
                <w:szCs w:val="24"/>
              </w:rPr>
            </w:pPr>
            <w:r>
              <w:rPr>
                <w:color w:val="000000"/>
              </w:rPr>
              <w:t>-0.027***</w:t>
            </w:r>
          </w:p>
        </w:tc>
      </w:tr>
      <w:tr w:rsidR="000F030C" w:rsidRPr="0095351A" w14:paraId="0C65D8BF" w14:textId="0EFF3CFA" w:rsidTr="00AC5E78">
        <w:tc>
          <w:tcPr>
            <w:tcW w:w="2410" w:type="dxa"/>
            <w:vAlign w:val="center"/>
          </w:tcPr>
          <w:p w14:paraId="0A3484A9"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1BD20DC1" w14:textId="269A1142"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64666E17" w14:textId="7F94D109"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489A6569" w14:textId="0B245217"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66314D0D" w14:textId="0B6DEDBD"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70D2F1CC" w14:textId="134613AD"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r>
      <w:tr w:rsidR="000F030C" w:rsidRPr="0095351A" w14:paraId="0ADB5AB9" w14:textId="67931B0A" w:rsidTr="00AC5E78">
        <w:tc>
          <w:tcPr>
            <w:tcW w:w="2410" w:type="dxa"/>
            <w:vAlign w:val="center"/>
          </w:tcPr>
          <w:p w14:paraId="3A38D5E1"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p>
        </w:tc>
        <w:tc>
          <w:tcPr>
            <w:tcW w:w="1247" w:type="dxa"/>
            <w:vAlign w:val="center"/>
          </w:tcPr>
          <w:p w14:paraId="3171DEF3" w14:textId="348FDBBB" w:rsidR="000F030C" w:rsidRDefault="000F030C" w:rsidP="000F030C">
            <w:pPr>
              <w:widowControl w:val="0"/>
              <w:autoSpaceDE w:val="0"/>
              <w:autoSpaceDN w:val="0"/>
              <w:adjustRightInd w:val="0"/>
              <w:spacing w:line="240" w:lineRule="auto"/>
              <w:jc w:val="center"/>
              <w:rPr>
                <w:rFonts w:cs="Times New Roman"/>
                <w:szCs w:val="24"/>
              </w:rPr>
            </w:pPr>
            <w:r>
              <w:rPr>
                <w:color w:val="000000"/>
              </w:rPr>
              <w:t>-0.346***</w:t>
            </w:r>
          </w:p>
        </w:tc>
        <w:tc>
          <w:tcPr>
            <w:tcW w:w="1247" w:type="dxa"/>
            <w:vAlign w:val="center"/>
          </w:tcPr>
          <w:p w14:paraId="7882CB51" w14:textId="69D08750" w:rsidR="000F030C" w:rsidRDefault="000F030C" w:rsidP="000F030C">
            <w:pPr>
              <w:widowControl w:val="0"/>
              <w:autoSpaceDE w:val="0"/>
              <w:autoSpaceDN w:val="0"/>
              <w:adjustRightInd w:val="0"/>
              <w:spacing w:line="240" w:lineRule="auto"/>
              <w:jc w:val="center"/>
              <w:rPr>
                <w:rFonts w:cs="Times New Roman"/>
                <w:szCs w:val="24"/>
              </w:rPr>
            </w:pPr>
            <w:r>
              <w:rPr>
                <w:color w:val="000000"/>
              </w:rPr>
              <w:t>-0.332***</w:t>
            </w:r>
          </w:p>
        </w:tc>
        <w:tc>
          <w:tcPr>
            <w:tcW w:w="1247" w:type="dxa"/>
            <w:vAlign w:val="center"/>
          </w:tcPr>
          <w:p w14:paraId="4CBEE7B9" w14:textId="68DED8BA" w:rsidR="000F030C" w:rsidRDefault="000F030C" w:rsidP="000F030C">
            <w:pPr>
              <w:widowControl w:val="0"/>
              <w:autoSpaceDE w:val="0"/>
              <w:autoSpaceDN w:val="0"/>
              <w:adjustRightInd w:val="0"/>
              <w:spacing w:line="240" w:lineRule="auto"/>
              <w:jc w:val="center"/>
              <w:rPr>
                <w:rFonts w:cs="Times New Roman"/>
                <w:szCs w:val="24"/>
              </w:rPr>
            </w:pPr>
            <w:r>
              <w:rPr>
                <w:color w:val="000000"/>
              </w:rPr>
              <w:t>-0.334***</w:t>
            </w:r>
          </w:p>
        </w:tc>
        <w:tc>
          <w:tcPr>
            <w:tcW w:w="1247" w:type="dxa"/>
            <w:vAlign w:val="center"/>
          </w:tcPr>
          <w:p w14:paraId="52CC8371" w14:textId="0E0E9E4C" w:rsidR="000F030C" w:rsidRDefault="000F030C" w:rsidP="000F030C">
            <w:pPr>
              <w:widowControl w:val="0"/>
              <w:autoSpaceDE w:val="0"/>
              <w:autoSpaceDN w:val="0"/>
              <w:adjustRightInd w:val="0"/>
              <w:spacing w:line="240" w:lineRule="auto"/>
              <w:jc w:val="center"/>
              <w:rPr>
                <w:rFonts w:cs="Times New Roman"/>
                <w:szCs w:val="24"/>
              </w:rPr>
            </w:pPr>
            <w:r>
              <w:rPr>
                <w:color w:val="000000"/>
              </w:rPr>
              <w:t>-0.346***</w:t>
            </w:r>
          </w:p>
        </w:tc>
        <w:tc>
          <w:tcPr>
            <w:tcW w:w="1247" w:type="dxa"/>
            <w:vAlign w:val="center"/>
          </w:tcPr>
          <w:p w14:paraId="11813942" w14:textId="61DB7225" w:rsidR="000F030C" w:rsidRDefault="000F030C" w:rsidP="000F030C">
            <w:pPr>
              <w:widowControl w:val="0"/>
              <w:autoSpaceDE w:val="0"/>
              <w:autoSpaceDN w:val="0"/>
              <w:adjustRightInd w:val="0"/>
              <w:spacing w:line="240" w:lineRule="auto"/>
              <w:jc w:val="center"/>
              <w:rPr>
                <w:rFonts w:cs="Times New Roman"/>
                <w:szCs w:val="24"/>
              </w:rPr>
            </w:pPr>
            <w:r>
              <w:rPr>
                <w:color w:val="000000"/>
              </w:rPr>
              <w:t>-0.346***</w:t>
            </w:r>
          </w:p>
        </w:tc>
      </w:tr>
      <w:tr w:rsidR="000F030C" w:rsidRPr="0095351A" w14:paraId="4E04DADA" w14:textId="257E5EA9" w:rsidTr="00AC5E78">
        <w:tc>
          <w:tcPr>
            <w:tcW w:w="2410" w:type="dxa"/>
            <w:vAlign w:val="center"/>
          </w:tcPr>
          <w:p w14:paraId="1C34286D"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17FFA070" w14:textId="026D872D"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0.016</w:t>
            </w:r>
            <w:r>
              <w:rPr>
                <w:color w:val="000000"/>
              </w:rPr>
              <w:t>)</w:t>
            </w:r>
          </w:p>
        </w:tc>
        <w:tc>
          <w:tcPr>
            <w:tcW w:w="1247" w:type="dxa"/>
            <w:vAlign w:val="center"/>
          </w:tcPr>
          <w:p w14:paraId="44BA9D10" w14:textId="3EE78D15"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0.016</w:t>
            </w:r>
            <w:r>
              <w:rPr>
                <w:color w:val="000000"/>
              </w:rPr>
              <w:t>)</w:t>
            </w:r>
          </w:p>
        </w:tc>
        <w:tc>
          <w:tcPr>
            <w:tcW w:w="1247" w:type="dxa"/>
            <w:vAlign w:val="center"/>
          </w:tcPr>
          <w:p w14:paraId="46284761" w14:textId="541C4043"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0.018</w:t>
            </w:r>
            <w:r>
              <w:rPr>
                <w:color w:val="000000"/>
              </w:rPr>
              <w:t>)</w:t>
            </w:r>
          </w:p>
        </w:tc>
        <w:tc>
          <w:tcPr>
            <w:tcW w:w="1247" w:type="dxa"/>
            <w:vAlign w:val="center"/>
          </w:tcPr>
          <w:p w14:paraId="1247228B" w14:textId="5ADA2ED1"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0.017</w:t>
            </w:r>
            <w:r>
              <w:rPr>
                <w:color w:val="000000"/>
              </w:rPr>
              <w:t>)</w:t>
            </w:r>
          </w:p>
        </w:tc>
        <w:tc>
          <w:tcPr>
            <w:tcW w:w="1247" w:type="dxa"/>
            <w:vAlign w:val="center"/>
          </w:tcPr>
          <w:p w14:paraId="7C025062" w14:textId="7F42F804"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0.016</w:t>
            </w:r>
            <w:r>
              <w:rPr>
                <w:color w:val="000000"/>
              </w:rPr>
              <w:t>)</w:t>
            </w:r>
          </w:p>
        </w:tc>
      </w:tr>
      <w:tr w:rsidR="000F030C" w:rsidRPr="0095351A" w14:paraId="67911AE3" w14:textId="7FD2BB61" w:rsidTr="00AC5E78">
        <w:tc>
          <w:tcPr>
            <w:tcW w:w="2410" w:type="dxa"/>
            <w:vAlign w:val="center"/>
          </w:tcPr>
          <w:p w14:paraId="2B4CCB6B"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otherint</m:t>
                  </m:r>
                </m:sub>
              </m:sSub>
            </m:oMath>
          </w:p>
        </w:tc>
        <w:tc>
          <w:tcPr>
            <w:tcW w:w="1247" w:type="dxa"/>
            <w:vAlign w:val="center"/>
          </w:tcPr>
          <w:p w14:paraId="3C2482C4" w14:textId="78B1E94E" w:rsidR="000F030C" w:rsidRDefault="000F030C" w:rsidP="000F030C">
            <w:pPr>
              <w:widowControl w:val="0"/>
              <w:autoSpaceDE w:val="0"/>
              <w:autoSpaceDN w:val="0"/>
              <w:adjustRightInd w:val="0"/>
              <w:spacing w:line="240" w:lineRule="auto"/>
              <w:jc w:val="center"/>
              <w:rPr>
                <w:rFonts w:cs="Times New Roman"/>
                <w:szCs w:val="24"/>
              </w:rPr>
            </w:pPr>
            <w:r>
              <w:rPr>
                <w:color w:val="000000"/>
              </w:rPr>
              <w:t>-0.049***</w:t>
            </w:r>
          </w:p>
        </w:tc>
        <w:tc>
          <w:tcPr>
            <w:tcW w:w="1247" w:type="dxa"/>
            <w:vAlign w:val="center"/>
          </w:tcPr>
          <w:p w14:paraId="5FB96A33" w14:textId="11E2B5D1" w:rsidR="000F030C" w:rsidRDefault="000F030C" w:rsidP="000F030C">
            <w:pPr>
              <w:widowControl w:val="0"/>
              <w:autoSpaceDE w:val="0"/>
              <w:autoSpaceDN w:val="0"/>
              <w:adjustRightInd w:val="0"/>
              <w:spacing w:line="240" w:lineRule="auto"/>
              <w:jc w:val="center"/>
              <w:rPr>
                <w:rFonts w:cs="Times New Roman"/>
                <w:szCs w:val="24"/>
              </w:rPr>
            </w:pPr>
            <w:r>
              <w:rPr>
                <w:color w:val="000000"/>
              </w:rPr>
              <w:t>-0.057***</w:t>
            </w:r>
          </w:p>
        </w:tc>
        <w:tc>
          <w:tcPr>
            <w:tcW w:w="1247" w:type="dxa"/>
            <w:vAlign w:val="center"/>
          </w:tcPr>
          <w:p w14:paraId="672C0DED" w14:textId="77A75887" w:rsidR="000F030C" w:rsidRDefault="000F030C" w:rsidP="000F030C">
            <w:pPr>
              <w:widowControl w:val="0"/>
              <w:autoSpaceDE w:val="0"/>
              <w:autoSpaceDN w:val="0"/>
              <w:adjustRightInd w:val="0"/>
              <w:spacing w:line="240" w:lineRule="auto"/>
              <w:jc w:val="center"/>
              <w:rPr>
                <w:rFonts w:cs="Times New Roman"/>
                <w:szCs w:val="24"/>
              </w:rPr>
            </w:pPr>
            <w:r>
              <w:rPr>
                <w:color w:val="000000"/>
              </w:rPr>
              <w:t>-0.100***</w:t>
            </w:r>
          </w:p>
        </w:tc>
        <w:tc>
          <w:tcPr>
            <w:tcW w:w="1247" w:type="dxa"/>
            <w:vAlign w:val="center"/>
          </w:tcPr>
          <w:p w14:paraId="201F306A" w14:textId="0A4CB4D0" w:rsidR="000F030C" w:rsidRDefault="000F030C" w:rsidP="000F030C">
            <w:pPr>
              <w:widowControl w:val="0"/>
              <w:autoSpaceDE w:val="0"/>
              <w:autoSpaceDN w:val="0"/>
              <w:adjustRightInd w:val="0"/>
              <w:spacing w:line="240" w:lineRule="auto"/>
              <w:jc w:val="center"/>
              <w:rPr>
                <w:rFonts w:cs="Times New Roman"/>
                <w:szCs w:val="24"/>
              </w:rPr>
            </w:pPr>
            <w:r>
              <w:rPr>
                <w:color w:val="000000"/>
              </w:rPr>
              <w:t>-0.051***</w:t>
            </w:r>
          </w:p>
        </w:tc>
        <w:tc>
          <w:tcPr>
            <w:tcW w:w="1247" w:type="dxa"/>
            <w:vAlign w:val="center"/>
          </w:tcPr>
          <w:p w14:paraId="526B7B23" w14:textId="3BC14FDA" w:rsidR="000F030C" w:rsidRDefault="000F030C" w:rsidP="000F030C">
            <w:pPr>
              <w:widowControl w:val="0"/>
              <w:autoSpaceDE w:val="0"/>
              <w:autoSpaceDN w:val="0"/>
              <w:adjustRightInd w:val="0"/>
              <w:spacing w:line="240" w:lineRule="auto"/>
              <w:jc w:val="center"/>
              <w:rPr>
                <w:rFonts w:cs="Times New Roman"/>
                <w:szCs w:val="24"/>
              </w:rPr>
            </w:pPr>
            <w:r>
              <w:rPr>
                <w:color w:val="000000"/>
              </w:rPr>
              <w:t>-0.049***</w:t>
            </w:r>
          </w:p>
        </w:tc>
      </w:tr>
      <w:tr w:rsidR="000F030C" w:rsidRPr="0095351A" w14:paraId="2D6888B1" w14:textId="005FD425" w:rsidTr="00AC5E78">
        <w:tc>
          <w:tcPr>
            <w:tcW w:w="2410" w:type="dxa"/>
            <w:vAlign w:val="center"/>
          </w:tcPr>
          <w:p w14:paraId="44C16223"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49DEB33A" w14:textId="4731A777"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7F8EA217" w14:textId="56F25D5E"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1DED4D62" w14:textId="2AF4B086"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33BE7A59" w14:textId="0824C233"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775A4E87" w14:textId="053AD6E1"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r>
      <w:tr w:rsidR="000F030C" w:rsidRPr="0095351A" w14:paraId="09B4CC0F" w14:textId="5E838EFF" w:rsidTr="00AC5E78">
        <w:tc>
          <w:tcPr>
            <w:tcW w:w="2410" w:type="dxa"/>
            <w:vAlign w:val="center"/>
          </w:tcPr>
          <w:p w14:paraId="1E50B868"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HHI</m:t>
              </m:r>
            </m:oMath>
          </w:p>
        </w:tc>
        <w:tc>
          <w:tcPr>
            <w:tcW w:w="1247" w:type="dxa"/>
            <w:vAlign w:val="center"/>
          </w:tcPr>
          <w:p w14:paraId="19BF39E9" w14:textId="0AF31272" w:rsidR="000F030C" w:rsidRDefault="000F030C" w:rsidP="000F030C">
            <w:pPr>
              <w:widowControl w:val="0"/>
              <w:autoSpaceDE w:val="0"/>
              <w:autoSpaceDN w:val="0"/>
              <w:adjustRightInd w:val="0"/>
              <w:spacing w:line="240" w:lineRule="auto"/>
              <w:jc w:val="center"/>
              <w:rPr>
                <w:rFonts w:cs="Times New Roman"/>
                <w:szCs w:val="24"/>
              </w:rPr>
            </w:pPr>
            <w:r>
              <w:rPr>
                <w:color w:val="000000"/>
              </w:rPr>
              <w:t>0.161***</w:t>
            </w:r>
          </w:p>
        </w:tc>
        <w:tc>
          <w:tcPr>
            <w:tcW w:w="1247" w:type="dxa"/>
            <w:vAlign w:val="center"/>
          </w:tcPr>
          <w:p w14:paraId="581D6819" w14:textId="5C1E8323" w:rsidR="000F030C" w:rsidRDefault="000F030C" w:rsidP="000F030C">
            <w:pPr>
              <w:widowControl w:val="0"/>
              <w:autoSpaceDE w:val="0"/>
              <w:autoSpaceDN w:val="0"/>
              <w:adjustRightInd w:val="0"/>
              <w:spacing w:line="240" w:lineRule="auto"/>
              <w:jc w:val="center"/>
              <w:rPr>
                <w:rFonts w:cs="Times New Roman"/>
                <w:szCs w:val="24"/>
              </w:rPr>
            </w:pPr>
            <w:r>
              <w:rPr>
                <w:color w:val="000000"/>
              </w:rPr>
              <w:t>0.160***</w:t>
            </w:r>
          </w:p>
        </w:tc>
        <w:tc>
          <w:tcPr>
            <w:tcW w:w="1247" w:type="dxa"/>
            <w:vAlign w:val="center"/>
          </w:tcPr>
          <w:p w14:paraId="7B2F79B8" w14:textId="39101F53" w:rsidR="000F030C" w:rsidRDefault="000F030C" w:rsidP="000F030C">
            <w:pPr>
              <w:widowControl w:val="0"/>
              <w:autoSpaceDE w:val="0"/>
              <w:autoSpaceDN w:val="0"/>
              <w:adjustRightInd w:val="0"/>
              <w:spacing w:line="240" w:lineRule="auto"/>
              <w:jc w:val="center"/>
              <w:rPr>
                <w:rFonts w:cs="Times New Roman"/>
                <w:szCs w:val="24"/>
              </w:rPr>
            </w:pPr>
            <w:r>
              <w:rPr>
                <w:color w:val="000000"/>
              </w:rPr>
              <w:t>0.140***</w:t>
            </w:r>
          </w:p>
        </w:tc>
        <w:tc>
          <w:tcPr>
            <w:tcW w:w="1247" w:type="dxa"/>
            <w:vAlign w:val="center"/>
          </w:tcPr>
          <w:p w14:paraId="675D8499" w14:textId="0B2DEDA7" w:rsidR="000F030C" w:rsidRDefault="000F030C" w:rsidP="000F030C">
            <w:pPr>
              <w:widowControl w:val="0"/>
              <w:autoSpaceDE w:val="0"/>
              <w:autoSpaceDN w:val="0"/>
              <w:adjustRightInd w:val="0"/>
              <w:spacing w:line="240" w:lineRule="auto"/>
              <w:jc w:val="center"/>
              <w:rPr>
                <w:rFonts w:cs="Times New Roman"/>
                <w:szCs w:val="24"/>
              </w:rPr>
            </w:pPr>
            <w:r>
              <w:rPr>
                <w:color w:val="000000"/>
              </w:rPr>
              <w:t>0.171***</w:t>
            </w:r>
          </w:p>
        </w:tc>
        <w:tc>
          <w:tcPr>
            <w:tcW w:w="1247" w:type="dxa"/>
            <w:vAlign w:val="center"/>
          </w:tcPr>
          <w:p w14:paraId="7811C1E5" w14:textId="7C02E486" w:rsidR="000F030C" w:rsidRDefault="000F030C" w:rsidP="000F030C">
            <w:pPr>
              <w:widowControl w:val="0"/>
              <w:autoSpaceDE w:val="0"/>
              <w:autoSpaceDN w:val="0"/>
              <w:adjustRightInd w:val="0"/>
              <w:spacing w:line="240" w:lineRule="auto"/>
              <w:jc w:val="center"/>
              <w:rPr>
                <w:rFonts w:cs="Times New Roman"/>
                <w:szCs w:val="24"/>
              </w:rPr>
            </w:pPr>
            <w:r>
              <w:rPr>
                <w:color w:val="000000"/>
              </w:rPr>
              <w:t>0.154***</w:t>
            </w:r>
          </w:p>
        </w:tc>
      </w:tr>
      <w:tr w:rsidR="000F030C" w:rsidRPr="0095351A" w14:paraId="136E722E" w14:textId="5C4878A8" w:rsidTr="00AC5E78">
        <w:tc>
          <w:tcPr>
            <w:tcW w:w="2410" w:type="dxa"/>
            <w:vAlign w:val="center"/>
          </w:tcPr>
          <w:p w14:paraId="78051331"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vAlign w:val="center"/>
          </w:tcPr>
          <w:p w14:paraId="75BE4465" w14:textId="3D5219A1"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1F52D1CD" w14:textId="11AE0F8E"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474769BB" w14:textId="5D977ACC"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19B016FC" w14:textId="174ED780"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c>
          <w:tcPr>
            <w:tcW w:w="1247" w:type="dxa"/>
            <w:vAlign w:val="center"/>
          </w:tcPr>
          <w:p w14:paraId="6349B8A5" w14:textId="46AE18D9"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0.005</w:t>
            </w:r>
            <w:r>
              <w:rPr>
                <w:color w:val="000000"/>
              </w:rPr>
              <w:t>)</w:t>
            </w:r>
          </w:p>
        </w:tc>
      </w:tr>
      <w:tr w:rsidR="000F030C" w:rsidRPr="0095351A" w14:paraId="1FBACFF7" w14:textId="1E3D7633" w:rsidTr="00AC5E78">
        <w:tc>
          <w:tcPr>
            <w:tcW w:w="2410" w:type="dxa"/>
            <w:vAlign w:val="center"/>
          </w:tcPr>
          <w:p w14:paraId="0F1EFDC5"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r>
              <w:t xml:space="preserve"> </w:t>
            </w:r>
            <m:oMath>
              <m:r>
                <m:rPr>
                  <m:sty m:val="p"/>
                </m:rPr>
                <w:rPr>
                  <w:rFonts w:ascii="Cambria Math" w:hAnsi="Cambria Math"/>
                </w:rPr>
                <m:t>Int</m:t>
              </m:r>
            </m:oMath>
          </w:p>
        </w:tc>
        <w:tc>
          <w:tcPr>
            <w:tcW w:w="1247" w:type="dxa"/>
            <w:vAlign w:val="center"/>
          </w:tcPr>
          <w:p w14:paraId="32FA24BE" w14:textId="669C1058" w:rsidR="000F030C" w:rsidRDefault="000F030C" w:rsidP="000F030C">
            <w:pPr>
              <w:widowControl w:val="0"/>
              <w:autoSpaceDE w:val="0"/>
              <w:autoSpaceDN w:val="0"/>
              <w:adjustRightInd w:val="0"/>
              <w:spacing w:line="240" w:lineRule="auto"/>
              <w:jc w:val="center"/>
              <w:rPr>
                <w:rFonts w:cs="Times New Roman"/>
                <w:szCs w:val="24"/>
              </w:rPr>
            </w:pPr>
          </w:p>
        </w:tc>
        <w:tc>
          <w:tcPr>
            <w:tcW w:w="1247" w:type="dxa"/>
            <w:vAlign w:val="center"/>
          </w:tcPr>
          <w:p w14:paraId="41604D03" w14:textId="0C2BE367" w:rsidR="000F030C" w:rsidRDefault="000F030C" w:rsidP="000F030C">
            <w:pPr>
              <w:widowControl w:val="0"/>
              <w:autoSpaceDE w:val="0"/>
              <w:autoSpaceDN w:val="0"/>
              <w:adjustRightInd w:val="0"/>
              <w:spacing w:line="240" w:lineRule="auto"/>
              <w:jc w:val="center"/>
              <w:rPr>
                <w:rFonts w:cs="Times New Roman"/>
                <w:szCs w:val="24"/>
              </w:rPr>
            </w:pPr>
          </w:p>
        </w:tc>
        <w:tc>
          <w:tcPr>
            <w:tcW w:w="1247" w:type="dxa"/>
            <w:vAlign w:val="center"/>
          </w:tcPr>
          <w:p w14:paraId="26774A94" w14:textId="0ABF9B52" w:rsidR="000F030C" w:rsidRDefault="000F030C" w:rsidP="000F030C">
            <w:pPr>
              <w:widowControl w:val="0"/>
              <w:autoSpaceDE w:val="0"/>
              <w:autoSpaceDN w:val="0"/>
              <w:adjustRightInd w:val="0"/>
              <w:spacing w:line="240" w:lineRule="auto"/>
              <w:jc w:val="center"/>
              <w:rPr>
                <w:rFonts w:cs="Times New Roman"/>
                <w:szCs w:val="24"/>
              </w:rPr>
            </w:pPr>
          </w:p>
        </w:tc>
        <w:tc>
          <w:tcPr>
            <w:tcW w:w="1247" w:type="dxa"/>
            <w:vAlign w:val="center"/>
          </w:tcPr>
          <w:p w14:paraId="4974C51D" w14:textId="73B65567" w:rsidR="000F030C" w:rsidRDefault="000F030C" w:rsidP="000F030C">
            <w:pPr>
              <w:widowControl w:val="0"/>
              <w:autoSpaceDE w:val="0"/>
              <w:autoSpaceDN w:val="0"/>
              <w:adjustRightInd w:val="0"/>
              <w:spacing w:line="240" w:lineRule="auto"/>
              <w:jc w:val="center"/>
              <w:rPr>
                <w:rFonts w:cs="Times New Roman"/>
                <w:szCs w:val="24"/>
              </w:rPr>
            </w:pPr>
          </w:p>
        </w:tc>
        <w:tc>
          <w:tcPr>
            <w:tcW w:w="1247" w:type="dxa"/>
            <w:vAlign w:val="center"/>
          </w:tcPr>
          <w:p w14:paraId="36EC375A" w14:textId="34F74E99" w:rsidR="000F030C" w:rsidRDefault="000F030C" w:rsidP="000F030C">
            <w:pPr>
              <w:widowControl w:val="0"/>
              <w:autoSpaceDE w:val="0"/>
              <w:autoSpaceDN w:val="0"/>
              <w:adjustRightInd w:val="0"/>
              <w:spacing w:line="240" w:lineRule="auto"/>
              <w:jc w:val="center"/>
              <w:rPr>
                <w:rFonts w:cs="Times New Roman"/>
                <w:szCs w:val="24"/>
              </w:rPr>
            </w:pPr>
            <w:r>
              <w:rPr>
                <w:color w:val="000000"/>
              </w:rPr>
              <w:t>-0.213***</w:t>
            </w:r>
          </w:p>
        </w:tc>
      </w:tr>
      <w:tr w:rsidR="000F030C" w:rsidRPr="0095351A" w14:paraId="4A4C3692" w14:textId="1F1453B6" w:rsidTr="00AC5E78">
        <w:tc>
          <w:tcPr>
            <w:tcW w:w="2410" w:type="dxa"/>
            <w:tcBorders>
              <w:bottom w:val="single" w:sz="4" w:space="0" w:color="auto"/>
            </w:tcBorders>
            <w:vAlign w:val="center"/>
          </w:tcPr>
          <w:p w14:paraId="5CC8F5D2" w14:textId="77777777" w:rsidR="000F030C" w:rsidRPr="0095351A" w:rsidRDefault="000F030C" w:rsidP="000F030C">
            <w:pPr>
              <w:widowControl w:val="0"/>
              <w:autoSpaceDE w:val="0"/>
              <w:autoSpaceDN w:val="0"/>
              <w:adjustRightInd w:val="0"/>
              <w:spacing w:line="240" w:lineRule="auto"/>
              <w:jc w:val="left"/>
              <w:rPr>
                <w:rFonts w:cs="Times New Roman"/>
                <w:szCs w:val="24"/>
                <w:lang w:val="en-GB"/>
              </w:rPr>
            </w:pPr>
          </w:p>
        </w:tc>
        <w:tc>
          <w:tcPr>
            <w:tcW w:w="1247" w:type="dxa"/>
            <w:tcBorders>
              <w:bottom w:val="single" w:sz="4" w:space="0" w:color="auto"/>
            </w:tcBorders>
            <w:vAlign w:val="center"/>
          </w:tcPr>
          <w:p w14:paraId="248B50E2" w14:textId="0E8F18EE"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vAlign w:val="center"/>
          </w:tcPr>
          <w:p w14:paraId="0FAAAE8B" w14:textId="22BC11AB"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vAlign w:val="center"/>
          </w:tcPr>
          <w:p w14:paraId="21F6C611" w14:textId="23FE913C"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vAlign w:val="center"/>
          </w:tcPr>
          <w:p w14:paraId="13193D2A" w14:textId="7816628A" w:rsidR="000F030C" w:rsidRDefault="000F030C" w:rsidP="000F030C">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vAlign w:val="center"/>
          </w:tcPr>
          <w:p w14:paraId="69DC22B0" w14:textId="1FFC2463" w:rsidR="000F030C" w:rsidRDefault="00FD7FB7" w:rsidP="000F030C">
            <w:pPr>
              <w:widowControl w:val="0"/>
              <w:autoSpaceDE w:val="0"/>
              <w:autoSpaceDN w:val="0"/>
              <w:adjustRightInd w:val="0"/>
              <w:spacing w:line="240" w:lineRule="auto"/>
              <w:jc w:val="center"/>
              <w:rPr>
                <w:rFonts w:cs="Times New Roman"/>
                <w:szCs w:val="24"/>
              </w:rPr>
            </w:pPr>
            <w:r>
              <w:rPr>
                <w:color w:val="000000"/>
              </w:rPr>
              <w:t>(</w:t>
            </w:r>
            <w:r w:rsidR="000F030C">
              <w:rPr>
                <w:color w:val="000000"/>
              </w:rPr>
              <w:t>0.02</w:t>
            </w:r>
            <w:r>
              <w:rPr>
                <w:color w:val="000000"/>
              </w:rPr>
              <w:t>)</w:t>
            </w:r>
          </w:p>
        </w:tc>
      </w:tr>
      <w:tr w:rsidR="000F030C" w:rsidRPr="0095351A" w14:paraId="464C5BB3" w14:textId="3D2BB545" w:rsidTr="00AC5E78">
        <w:tc>
          <w:tcPr>
            <w:tcW w:w="2410" w:type="dxa"/>
            <w:tcBorders>
              <w:top w:val="single" w:sz="4" w:space="0" w:color="auto"/>
              <w:bottom w:val="nil"/>
            </w:tcBorders>
          </w:tcPr>
          <w:p w14:paraId="62A792E0" w14:textId="77777777" w:rsidR="000F030C" w:rsidRPr="0095351A" w:rsidRDefault="000F030C" w:rsidP="000F030C">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247" w:type="dxa"/>
            <w:tcBorders>
              <w:top w:val="single" w:sz="4" w:space="0" w:color="auto"/>
              <w:bottom w:val="nil"/>
            </w:tcBorders>
            <w:vAlign w:val="center"/>
          </w:tcPr>
          <w:p w14:paraId="51BA8519" w14:textId="4D58CC65" w:rsidR="000F030C" w:rsidRPr="0095351A" w:rsidRDefault="000F030C" w:rsidP="000F030C">
            <w:pPr>
              <w:widowControl w:val="0"/>
              <w:autoSpaceDE w:val="0"/>
              <w:autoSpaceDN w:val="0"/>
              <w:adjustRightInd w:val="0"/>
              <w:spacing w:line="240" w:lineRule="auto"/>
              <w:jc w:val="center"/>
              <w:rPr>
                <w:rFonts w:cs="Times New Roman"/>
                <w:szCs w:val="24"/>
                <w:lang w:val="en-GB"/>
              </w:rPr>
            </w:pPr>
            <w:r>
              <w:rPr>
                <w:color w:val="000000"/>
              </w:rPr>
              <w:t>128,146</w:t>
            </w:r>
          </w:p>
        </w:tc>
        <w:tc>
          <w:tcPr>
            <w:tcW w:w="1247" w:type="dxa"/>
            <w:tcBorders>
              <w:top w:val="single" w:sz="4" w:space="0" w:color="auto"/>
              <w:bottom w:val="nil"/>
            </w:tcBorders>
            <w:vAlign w:val="center"/>
          </w:tcPr>
          <w:p w14:paraId="7B90F53B" w14:textId="1975262B" w:rsidR="000F030C" w:rsidRPr="0095351A" w:rsidRDefault="000F030C" w:rsidP="000F030C">
            <w:pPr>
              <w:widowControl w:val="0"/>
              <w:autoSpaceDE w:val="0"/>
              <w:autoSpaceDN w:val="0"/>
              <w:adjustRightInd w:val="0"/>
              <w:spacing w:line="240" w:lineRule="auto"/>
              <w:jc w:val="center"/>
              <w:rPr>
                <w:rFonts w:cs="Times New Roman"/>
                <w:szCs w:val="24"/>
                <w:lang w:val="en-GB"/>
              </w:rPr>
            </w:pPr>
            <w:r>
              <w:rPr>
                <w:color w:val="000000"/>
              </w:rPr>
              <w:t>132,867</w:t>
            </w:r>
          </w:p>
        </w:tc>
        <w:tc>
          <w:tcPr>
            <w:tcW w:w="1247" w:type="dxa"/>
            <w:tcBorders>
              <w:top w:val="single" w:sz="4" w:space="0" w:color="auto"/>
              <w:bottom w:val="nil"/>
            </w:tcBorders>
            <w:vAlign w:val="center"/>
          </w:tcPr>
          <w:p w14:paraId="031CE0E2" w14:textId="1C01DDF7" w:rsidR="000F030C" w:rsidRPr="0095351A" w:rsidRDefault="000F030C" w:rsidP="000F030C">
            <w:pPr>
              <w:widowControl w:val="0"/>
              <w:autoSpaceDE w:val="0"/>
              <w:autoSpaceDN w:val="0"/>
              <w:adjustRightInd w:val="0"/>
              <w:spacing w:line="240" w:lineRule="auto"/>
              <w:jc w:val="center"/>
              <w:rPr>
                <w:rFonts w:cs="Times New Roman"/>
                <w:szCs w:val="24"/>
                <w:lang w:val="en-GB"/>
              </w:rPr>
            </w:pPr>
            <w:r>
              <w:rPr>
                <w:color w:val="000000"/>
              </w:rPr>
              <w:t>128,350</w:t>
            </w:r>
          </w:p>
        </w:tc>
        <w:tc>
          <w:tcPr>
            <w:tcW w:w="1247" w:type="dxa"/>
            <w:tcBorders>
              <w:top w:val="single" w:sz="4" w:space="0" w:color="auto"/>
              <w:bottom w:val="nil"/>
            </w:tcBorders>
            <w:vAlign w:val="center"/>
          </w:tcPr>
          <w:p w14:paraId="05EBE8BD" w14:textId="1EC2795C" w:rsidR="000F030C" w:rsidRPr="0095351A" w:rsidRDefault="000F030C" w:rsidP="000F030C">
            <w:pPr>
              <w:widowControl w:val="0"/>
              <w:autoSpaceDE w:val="0"/>
              <w:autoSpaceDN w:val="0"/>
              <w:adjustRightInd w:val="0"/>
              <w:spacing w:line="240" w:lineRule="auto"/>
              <w:jc w:val="center"/>
              <w:rPr>
                <w:rFonts w:cs="Times New Roman"/>
                <w:szCs w:val="24"/>
                <w:lang w:val="en-GB"/>
              </w:rPr>
            </w:pPr>
            <w:r>
              <w:rPr>
                <w:color w:val="000000"/>
              </w:rPr>
              <w:t>128,146</w:t>
            </w:r>
          </w:p>
        </w:tc>
        <w:tc>
          <w:tcPr>
            <w:tcW w:w="1247" w:type="dxa"/>
            <w:tcBorders>
              <w:top w:val="single" w:sz="4" w:space="0" w:color="auto"/>
              <w:bottom w:val="nil"/>
            </w:tcBorders>
            <w:vAlign w:val="center"/>
          </w:tcPr>
          <w:p w14:paraId="50D5F128" w14:textId="25B67366" w:rsidR="000F030C" w:rsidRDefault="000F030C" w:rsidP="000F030C">
            <w:pPr>
              <w:widowControl w:val="0"/>
              <w:autoSpaceDE w:val="0"/>
              <w:autoSpaceDN w:val="0"/>
              <w:adjustRightInd w:val="0"/>
              <w:spacing w:line="240" w:lineRule="auto"/>
              <w:jc w:val="center"/>
              <w:rPr>
                <w:rFonts w:cs="Times New Roman"/>
                <w:szCs w:val="24"/>
              </w:rPr>
            </w:pPr>
            <w:r>
              <w:rPr>
                <w:color w:val="000000"/>
              </w:rPr>
              <w:t>128,357</w:t>
            </w:r>
          </w:p>
        </w:tc>
      </w:tr>
      <w:tr w:rsidR="000F030C" w:rsidRPr="0095351A" w14:paraId="5E640F61" w14:textId="3A91643F" w:rsidTr="00AC5E78">
        <w:tc>
          <w:tcPr>
            <w:tcW w:w="2410" w:type="dxa"/>
          </w:tcPr>
          <w:p w14:paraId="3D93D604" w14:textId="5B786C71" w:rsidR="000F030C" w:rsidRPr="0095351A" w:rsidRDefault="000F030C" w:rsidP="000F030C">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/LL</w:t>
            </w:r>
          </w:p>
        </w:tc>
        <w:tc>
          <w:tcPr>
            <w:tcW w:w="1247" w:type="dxa"/>
            <w:vAlign w:val="center"/>
          </w:tcPr>
          <w:p w14:paraId="6B862EF8" w14:textId="3A450E46" w:rsidR="000F030C" w:rsidRPr="0095351A" w:rsidRDefault="000F030C" w:rsidP="000F030C">
            <w:pPr>
              <w:widowControl w:val="0"/>
              <w:autoSpaceDE w:val="0"/>
              <w:autoSpaceDN w:val="0"/>
              <w:adjustRightInd w:val="0"/>
              <w:spacing w:line="240" w:lineRule="auto"/>
              <w:jc w:val="center"/>
              <w:rPr>
                <w:rFonts w:cs="Times New Roman"/>
                <w:szCs w:val="24"/>
                <w:lang w:val="en-GB"/>
              </w:rPr>
            </w:pPr>
            <w:r>
              <w:rPr>
                <w:color w:val="000000"/>
              </w:rPr>
              <w:t>0.027</w:t>
            </w:r>
          </w:p>
        </w:tc>
        <w:tc>
          <w:tcPr>
            <w:tcW w:w="1247" w:type="dxa"/>
            <w:vAlign w:val="center"/>
          </w:tcPr>
          <w:p w14:paraId="15C4BFEE" w14:textId="166BA8DB" w:rsidR="000F030C" w:rsidRPr="0095351A" w:rsidRDefault="000F030C" w:rsidP="000F030C">
            <w:pPr>
              <w:widowControl w:val="0"/>
              <w:autoSpaceDE w:val="0"/>
              <w:autoSpaceDN w:val="0"/>
              <w:adjustRightInd w:val="0"/>
              <w:spacing w:line="240" w:lineRule="auto"/>
              <w:jc w:val="center"/>
              <w:rPr>
                <w:rFonts w:cs="Times New Roman"/>
                <w:szCs w:val="24"/>
                <w:lang w:val="en-GB"/>
              </w:rPr>
            </w:pPr>
            <w:r>
              <w:rPr>
                <w:color w:val="000000"/>
              </w:rPr>
              <w:t>0.0256</w:t>
            </w:r>
          </w:p>
        </w:tc>
        <w:tc>
          <w:tcPr>
            <w:tcW w:w="1247" w:type="dxa"/>
            <w:vAlign w:val="center"/>
          </w:tcPr>
          <w:p w14:paraId="3803CD3A" w14:textId="294C0ACC" w:rsidR="000F030C" w:rsidRPr="0095351A" w:rsidRDefault="000F030C" w:rsidP="000F030C">
            <w:pPr>
              <w:widowControl w:val="0"/>
              <w:autoSpaceDE w:val="0"/>
              <w:autoSpaceDN w:val="0"/>
              <w:adjustRightInd w:val="0"/>
              <w:spacing w:line="240" w:lineRule="auto"/>
              <w:jc w:val="center"/>
              <w:rPr>
                <w:rFonts w:cs="Times New Roman"/>
                <w:szCs w:val="24"/>
                <w:lang w:val="en-GB"/>
              </w:rPr>
            </w:pPr>
            <w:r>
              <w:rPr>
                <w:color w:val="000000"/>
              </w:rPr>
              <w:t>0.0235</w:t>
            </w:r>
          </w:p>
        </w:tc>
        <w:tc>
          <w:tcPr>
            <w:tcW w:w="1247" w:type="dxa"/>
            <w:vAlign w:val="center"/>
          </w:tcPr>
          <w:p w14:paraId="04E4F3A7" w14:textId="701A6A07" w:rsidR="000F030C" w:rsidRPr="0095351A" w:rsidRDefault="000F030C" w:rsidP="000F030C">
            <w:pPr>
              <w:widowControl w:val="0"/>
              <w:autoSpaceDE w:val="0"/>
              <w:autoSpaceDN w:val="0"/>
              <w:adjustRightInd w:val="0"/>
              <w:spacing w:line="240" w:lineRule="auto"/>
              <w:jc w:val="center"/>
              <w:rPr>
                <w:rFonts w:cs="Times New Roman"/>
                <w:szCs w:val="24"/>
                <w:lang w:val="en-GB"/>
              </w:rPr>
            </w:pPr>
            <w:r>
              <w:rPr>
                <w:color w:val="000000"/>
              </w:rPr>
              <w:t>0.0238</w:t>
            </w:r>
          </w:p>
        </w:tc>
        <w:tc>
          <w:tcPr>
            <w:tcW w:w="1247" w:type="dxa"/>
            <w:vAlign w:val="center"/>
          </w:tcPr>
          <w:p w14:paraId="76BFA11F" w14:textId="20BDF7E2" w:rsidR="000F030C" w:rsidRDefault="00AC5E78" w:rsidP="000F030C">
            <w:pPr>
              <w:widowControl w:val="0"/>
              <w:autoSpaceDE w:val="0"/>
              <w:autoSpaceDN w:val="0"/>
              <w:adjustRightInd w:val="0"/>
              <w:spacing w:line="240" w:lineRule="auto"/>
              <w:jc w:val="center"/>
              <w:rPr>
                <w:rFonts w:cs="Times New Roman"/>
                <w:szCs w:val="24"/>
              </w:rPr>
            </w:pPr>
            <w:r>
              <w:rPr>
                <w:rFonts w:cs="Times New Roman"/>
                <w:szCs w:val="24"/>
              </w:rPr>
              <w:t>81206</w:t>
            </w:r>
          </w:p>
        </w:tc>
      </w:tr>
    </w:tbl>
    <w:p w14:paraId="3FAEE18B" w14:textId="57A7C8C9" w:rsidR="007C73F9" w:rsidRDefault="007C73F9" w:rsidP="00CF165A">
      <w:pPr>
        <w:pStyle w:val="FlietextFolge"/>
        <w:ind w:left="284" w:firstLine="0"/>
      </w:pPr>
      <w:r w:rsidRPr="0095351A">
        <w:t>Standard errors in parentheses</w:t>
      </w:r>
      <w:r>
        <w:t xml:space="preserve">; </w:t>
      </w:r>
      <w:r w:rsidRPr="0095351A">
        <w:t>*** p&lt;0.01, ** p&lt;0.05, * p&lt;0.1</w:t>
      </w:r>
      <w:r w:rsidR="00CF165A">
        <w:t xml:space="preserve">; the four </w:t>
      </w:r>
      <w:r w:rsidR="00671942">
        <w:t xml:space="preserve">estimation </w:t>
      </w:r>
      <w:r w:rsidR="00CF165A">
        <w:t xml:space="preserve">models are defined in </w:t>
      </w:r>
      <w:r w:rsidR="00CF165A">
        <w:fldChar w:fldCharType="begin"/>
      </w:r>
      <w:r w:rsidR="00CF165A">
        <w:instrText xml:space="preserve"> REF _Ref447293539 \h </w:instrText>
      </w:r>
      <w:r w:rsidR="00CF165A">
        <w:fldChar w:fldCharType="separate"/>
      </w:r>
      <w:r w:rsidR="00886B31">
        <w:t xml:space="preserve">Table </w:t>
      </w:r>
      <w:r w:rsidR="00886B31">
        <w:rPr>
          <w:noProof/>
        </w:rPr>
        <w:t>1</w:t>
      </w:r>
      <w:r w:rsidR="00CF165A">
        <w:fldChar w:fldCharType="end"/>
      </w:r>
      <w:r w:rsidR="00CF165A">
        <w:t>.</w:t>
      </w:r>
    </w:p>
    <w:p w14:paraId="330F5B27" w14:textId="77777777" w:rsidR="007C73F9" w:rsidRDefault="007C73F9" w:rsidP="007C73F9">
      <w:pPr>
        <w:pStyle w:val="FlietextFolge"/>
      </w:pPr>
    </w:p>
    <w:p w14:paraId="526C6D68" w14:textId="401B0FA8" w:rsidR="00B72ACE" w:rsidRDefault="00BA507D" w:rsidP="00566DE0">
      <w:pPr>
        <w:pStyle w:val="Flietext"/>
        <w:spacing w:line="360" w:lineRule="auto"/>
        <w:ind w:firstLine="284"/>
      </w:pPr>
      <w:r>
        <w:t>Estimation</w:t>
      </w:r>
      <w:r w:rsidR="00FB17A4">
        <w:t xml:space="preserve"> (1) </w:t>
      </w:r>
      <w:r w:rsidR="0052536C">
        <w:t xml:space="preserve">from </w:t>
      </w:r>
      <w:r w:rsidR="00886B31">
        <w:fldChar w:fldCharType="begin"/>
      </w:r>
      <w:r w:rsidR="00886B31">
        <w:instrText xml:space="preserve"> REF _Ref451073687 \h </w:instrText>
      </w:r>
      <w:r w:rsidR="00886B31">
        <w:fldChar w:fldCharType="separate"/>
      </w:r>
      <w:r w:rsidR="00886B31">
        <w:t xml:space="preserve">Table </w:t>
      </w:r>
      <w:r w:rsidR="00886B31">
        <w:rPr>
          <w:noProof/>
        </w:rPr>
        <w:t>2</w:t>
      </w:r>
      <w:r w:rsidR="00886B31">
        <w:fldChar w:fldCharType="end"/>
      </w:r>
      <w:r w:rsidR="00886B31">
        <w:t xml:space="preserve"> </w:t>
      </w:r>
      <w:r w:rsidR="00FB17A4">
        <w:t xml:space="preserve">shows that in US domestic markets the bankrupt carrier </w:t>
      </w:r>
      <w:r w:rsidR="00F46F65">
        <w:t>decreases</w:t>
      </w:r>
      <w:r w:rsidR="005B474C">
        <w:t xml:space="preserve"> prices during </w:t>
      </w:r>
      <w:r w:rsidR="00F46F65">
        <w:t xml:space="preserve">bankruptcy by </w:t>
      </w:r>
      <w:r w:rsidR="00AC5E78">
        <w:t>4</w:t>
      </w:r>
      <w:r w:rsidR="00F46F65">
        <w:t>.7%</w:t>
      </w:r>
      <w:r w:rsidR="00347923">
        <w:t>,</w:t>
      </w:r>
      <w:r w:rsidR="00F46F65">
        <w:t xml:space="preserve"> followed by a further decrease of </w:t>
      </w:r>
      <w:r w:rsidR="00AC5E78">
        <w:t xml:space="preserve">2.7 </w:t>
      </w:r>
      <w:r w:rsidR="00F46F65">
        <w:t>percentage points in the post-bankruptcy period compared to the in-bankruptcy period</w:t>
      </w:r>
      <w:r w:rsidR="00FB17A4">
        <w:t xml:space="preserve">. </w:t>
      </w:r>
      <w:r w:rsidR="0092274E">
        <w:t>The</w:t>
      </w:r>
      <w:r w:rsidR="00FB17A4">
        <w:t xml:space="preserve"> competitors increase prices by around </w:t>
      </w:r>
      <w:r w:rsidR="00AC5E78">
        <w:t>2</w:t>
      </w:r>
      <w:r w:rsidR="00FB17A4">
        <w:t>% in the in-</w:t>
      </w:r>
      <w:r w:rsidR="008D0B66">
        <w:t>bankruptcy</w:t>
      </w:r>
      <w:r w:rsidR="00FB17A4">
        <w:t xml:space="preserve"> </w:t>
      </w:r>
      <w:r w:rsidR="0092274E">
        <w:t>period</w:t>
      </w:r>
      <w:r w:rsidR="00727779">
        <w:t xml:space="preserve"> with no further </w:t>
      </w:r>
      <w:r w:rsidR="00AC5E78">
        <w:t xml:space="preserve">major </w:t>
      </w:r>
      <w:r w:rsidR="00727779">
        <w:t>price changes in the post-bankruptcy period</w:t>
      </w:r>
      <w:r w:rsidR="00FB17A4">
        <w:t>.</w:t>
      </w:r>
    </w:p>
    <w:p w14:paraId="79A97DDE" w14:textId="61E46830" w:rsidR="00B70845" w:rsidRDefault="008D0B66" w:rsidP="00566DE0">
      <w:pPr>
        <w:pStyle w:val="FlietextFolge"/>
        <w:spacing w:line="360" w:lineRule="auto"/>
      </w:pPr>
      <w:r>
        <w:t xml:space="preserve">In the </w:t>
      </w:r>
      <w:r w:rsidR="00E1313C">
        <w:t>E</w:t>
      </w:r>
      <w:r w:rsidR="00BA507D">
        <w:t>urope</w:t>
      </w:r>
      <w:r>
        <w:t xml:space="preserve">-US market the bankrupt carrier cuts prices by </w:t>
      </w:r>
      <w:r w:rsidR="00AC5E78">
        <w:t xml:space="preserve">a </w:t>
      </w:r>
      <w:r w:rsidR="005B6AD3">
        <w:t xml:space="preserve">whopping drop of  </w:t>
      </w:r>
      <w:r w:rsidR="00DF5E78">
        <w:t>50</w:t>
      </w:r>
      <w:r>
        <w:t xml:space="preserve">% </w:t>
      </w:r>
      <w:r w:rsidR="00DF5E78">
        <w:t xml:space="preserve">during </w:t>
      </w:r>
      <w:r>
        <w:t xml:space="preserve">the in-bankruptcy </w:t>
      </w:r>
      <w:r w:rsidR="004C21AE">
        <w:t>period</w:t>
      </w:r>
      <w:r w:rsidR="00DF5E78">
        <w:t xml:space="preserve"> (this is due to the summation of </w:t>
      </w:r>
      <m:oMath>
        <m:sSub>
          <m:sSubPr>
            <m:ctrlPr>
              <w:rPr>
                <w:rFonts w:ascii="Cambria Math" w:hAnsi="Cambria Math"/>
              </w:rPr>
            </m:ctrlPr>
          </m:sSubPr>
          <m:e>
            <m:r>
              <w:rPr>
                <w:rFonts w:ascii="Cambria Math" w:hAnsi="Cambria Math"/>
              </w:rPr>
              <m:t>α</m:t>
            </m:r>
          </m:e>
          <m:sub>
            <m:r>
              <w:rPr>
                <w:rFonts w:ascii="Cambria Math" w:hAnsi="Cambria Math"/>
              </w:rPr>
              <m:t>own</m:t>
            </m:r>
          </m:sub>
        </m:sSub>
      </m:oMath>
      <w:r w:rsidR="00DF5E78">
        <w:t xml:space="preserve">and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r w:rsidR="00183230">
        <w:t>)</w:t>
      </w:r>
      <w:r w:rsidR="004C21AE">
        <w:t xml:space="preserve"> </w:t>
      </w:r>
      <w:r w:rsidR="00DF5E78">
        <w:t xml:space="preserve"> </w:t>
      </w:r>
      <w:r w:rsidR="004C21AE">
        <w:t xml:space="preserve">and </w:t>
      </w:r>
      <w:r w:rsidR="005B6AD3">
        <w:t xml:space="preserve">manage to correct some of the price drop by raising the prices such that a drop of about </w:t>
      </w:r>
      <w:r w:rsidR="00183230">
        <w:t>30</w:t>
      </w:r>
      <w:r w:rsidR="005B6AD3">
        <w:t>% is experienced in the post-bankruptcy period compared with the pre-bankruptcy prices</w:t>
      </w:r>
      <w:r w:rsidR="00347923">
        <w:t>,</w:t>
      </w:r>
      <w:r w:rsidR="00880D1D">
        <w:t xml:space="preserve"> as indicated by</w:t>
      </w:r>
      <w:r w:rsidR="00183230">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r w:rsidR="00183230">
        <w:t xml:space="preserve"> and</w:t>
      </w:r>
      <w:r w:rsidR="00880D1D">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r>
        <w:t xml:space="preserve">. Interestingly, competitors </w:t>
      </w:r>
      <w:r w:rsidR="00183230">
        <w:t xml:space="preserve">marginally </w:t>
      </w:r>
      <w:r w:rsidR="001328BA">
        <w:t xml:space="preserve">decrease prices by around </w:t>
      </w:r>
      <w:r w:rsidR="00183230">
        <w:t>1</w:t>
      </w:r>
      <w:r w:rsidR="001328BA">
        <w:t xml:space="preserve">% in </w:t>
      </w:r>
      <w:r w:rsidR="007C0A56">
        <w:t xml:space="preserve">the in-bankruptcy period and by </w:t>
      </w:r>
      <w:r w:rsidR="00183230">
        <w:t>3</w:t>
      </w:r>
      <w:r w:rsidR="007C0A56">
        <w:t>% in the post-bankruptcy period compared to the pre-bankruptcy level</w:t>
      </w:r>
      <w:r w:rsidR="001328BA">
        <w:t>. This behaviour is diametrically opposite to the behaviour in domestic markets.</w:t>
      </w:r>
    </w:p>
    <w:p w14:paraId="203418E4" w14:textId="3AAB318A" w:rsidR="00C6730C" w:rsidRDefault="006B0EBE" w:rsidP="00566DE0">
      <w:pPr>
        <w:pStyle w:val="FlietextFolge"/>
        <w:spacing w:line="360" w:lineRule="auto"/>
      </w:pPr>
      <w:r>
        <w:lastRenderedPageBreak/>
        <w:t>Illustrating these results, we consider two</w:t>
      </w:r>
      <w:r w:rsidR="00044915">
        <w:t xml:space="preserve"> sample</w:t>
      </w:r>
      <w:r>
        <w:t xml:space="preserve"> examples of international markets LHR- JFK and CDG-MIA which are provided in </w:t>
      </w:r>
      <w:r>
        <w:fldChar w:fldCharType="begin"/>
      </w:r>
      <w:r>
        <w:instrText xml:space="preserve"> REF _Ref521485328 \h </w:instrText>
      </w:r>
      <w:r>
        <w:fldChar w:fldCharType="separate"/>
      </w:r>
      <w:r w:rsidR="00886B31">
        <w:t xml:space="preserve">Figure </w:t>
      </w:r>
      <w:r w:rsidR="00886B31">
        <w:rPr>
          <w:noProof/>
        </w:rPr>
        <w:t>1</w:t>
      </w:r>
      <w:r>
        <w:fldChar w:fldCharType="end"/>
      </w:r>
      <w:r>
        <w:t xml:space="preserve"> and </w:t>
      </w:r>
      <w:r>
        <w:fldChar w:fldCharType="begin"/>
      </w:r>
      <w:r>
        <w:instrText xml:space="preserve"> REF _Ref521485379 \h </w:instrText>
      </w:r>
      <w:r>
        <w:fldChar w:fldCharType="separate"/>
      </w:r>
      <w:r w:rsidR="00886B31">
        <w:t xml:space="preserve">Figure </w:t>
      </w:r>
      <w:r w:rsidR="00886B31">
        <w:rPr>
          <w:noProof/>
        </w:rPr>
        <w:t>2</w:t>
      </w:r>
      <w:r>
        <w:fldChar w:fldCharType="end"/>
      </w:r>
      <w:r>
        <w:t xml:space="preserve">, respectively. One can observe how the average fare by AA has dropped from an average of about 15 cents per km prior to bankruptcy to about 7 cents per km. However, this </w:t>
      </w:r>
      <w:proofErr w:type="gramStart"/>
      <w:r>
        <w:t>drop in</w:t>
      </w:r>
      <w:proofErr w:type="gramEnd"/>
      <w:r>
        <w:t xml:space="preserve"> fare</w:t>
      </w:r>
      <w:r w:rsidR="004F44C3">
        <w:t>s</w:t>
      </w:r>
      <w:r>
        <w:t xml:space="preserve"> has </w:t>
      </w:r>
      <w:r w:rsidR="004F44C3">
        <w:t xml:space="preserve">started about a year prior to bankruptcy. A similar picture emerges from the CDG-MIA market where AA’s dropped from a level of about 8 cents per km to about 5 cents. Presumably, </w:t>
      </w:r>
      <w:r w:rsidR="00044915">
        <w:t>early indicators were in place that have signalled the potential customers about the risk faced with flying AA. Indeed, the stock price has been steadily plummeting since the end of 2010.</w:t>
      </w:r>
      <w:r w:rsidR="00A65A05">
        <w:t xml:space="preserve"> This is in line with </w:t>
      </w:r>
      <w:proofErr w:type="spellStart"/>
      <w:r w:rsidR="00A65A05">
        <w:t>Busse</w:t>
      </w:r>
      <w:proofErr w:type="spellEnd"/>
      <w:r w:rsidR="00A65A05">
        <w:t xml:space="preserve"> (2002) suggesting that the deteriorating financial condition of AA has induced it to initiate a price war.</w:t>
      </w:r>
      <w:r w:rsidR="00672641">
        <w:rPr>
          <w:rStyle w:val="FootnoteReference"/>
        </w:rPr>
        <w:footnoteReference w:id="7"/>
      </w:r>
      <w:r w:rsidR="00044915">
        <w:t xml:space="preserve"> Clearly, not all markets exhibit such a </w:t>
      </w:r>
      <w:proofErr w:type="gramStart"/>
      <w:r w:rsidR="00044915">
        <w:t>drop in</w:t>
      </w:r>
      <w:proofErr w:type="gramEnd"/>
      <w:r w:rsidR="00044915">
        <w:t xml:space="preserve"> fares</w:t>
      </w:r>
      <w:r w:rsidR="00627396">
        <w:t xml:space="preserve"> as, in general, we do not observe uniform behaviour in markets due to the multiple other factors in place. </w:t>
      </w:r>
    </w:p>
    <w:p w14:paraId="29E61BF7" w14:textId="5E2F7116" w:rsidR="00B40D46" w:rsidRDefault="00B45C9E" w:rsidP="006135EA">
      <w:pPr>
        <w:pStyle w:val="FlietextFolge"/>
        <w:keepNext/>
        <w:spacing w:line="360" w:lineRule="auto"/>
      </w:pPr>
      <w:r>
        <w:rPr>
          <w:noProof/>
          <w:lang w:val="en-US"/>
        </w:rPr>
        <w:drawing>
          <wp:inline distT="0" distB="0" distL="0" distR="0" wp14:anchorId="5D123813" wp14:editId="5245BBA5">
            <wp:extent cx="5579745" cy="405828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KLAX.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9745" cy="4058285"/>
                    </a:xfrm>
                    <a:prstGeom prst="rect">
                      <a:avLst/>
                    </a:prstGeom>
                  </pic:spPr>
                </pic:pic>
              </a:graphicData>
            </a:graphic>
          </wp:inline>
        </w:drawing>
      </w:r>
    </w:p>
    <w:p w14:paraId="64116BC3" w14:textId="2C880322" w:rsidR="00B40D46" w:rsidRDefault="00B40D46" w:rsidP="006135EA">
      <w:pPr>
        <w:pStyle w:val="Caption"/>
        <w:jc w:val="both"/>
      </w:pPr>
      <w:bookmarkStart w:id="24" w:name="_Ref521485328"/>
      <w:r>
        <w:t xml:space="preserve">Figure </w:t>
      </w:r>
      <w:r>
        <w:fldChar w:fldCharType="begin"/>
      </w:r>
      <w:r>
        <w:instrText xml:space="preserve"> SEQ Figure \* ARABIC </w:instrText>
      </w:r>
      <w:r>
        <w:fldChar w:fldCharType="separate"/>
      </w:r>
      <w:r w:rsidR="00886B31">
        <w:rPr>
          <w:noProof/>
        </w:rPr>
        <w:t>1</w:t>
      </w:r>
      <w:r>
        <w:fldChar w:fldCharType="end"/>
      </w:r>
      <w:bookmarkEnd w:id="24"/>
      <w:r>
        <w:t xml:space="preserve">. </w:t>
      </w:r>
      <w:r w:rsidRPr="008F2491">
        <w:t>Monthly fares in the LHR-JFK market; Notes: AA = American Airlines, BA = British Airways, DL = Delta Air</w:t>
      </w:r>
      <w:r w:rsidR="00483F90">
        <w:t xml:space="preserve"> L</w:t>
      </w:r>
      <w:r w:rsidRPr="008F2491">
        <w:t>ines, VS = Virgin Atlantic</w:t>
      </w:r>
      <w:r>
        <w:t>; Vertical lines indicate bankruptcy period</w:t>
      </w:r>
      <w:r w:rsidR="00483F90">
        <w:t>.</w:t>
      </w:r>
    </w:p>
    <w:p w14:paraId="2C363E11" w14:textId="77777777" w:rsidR="00483F90" w:rsidRDefault="00483F90">
      <w:pPr>
        <w:pStyle w:val="FlietextFolge"/>
        <w:keepNext/>
        <w:spacing w:line="360" w:lineRule="auto"/>
      </w:pPr>
      <w:r>
        <w:rPr>
          <w:noProof/>
          <w:lang w:val="en-US"/>
        </w:rPr>
        <w:lastRenderedPageBreak/>
        <w:drawing>
          <wp:inline distT="0" distB="0" distL="0" distR="0" wp14:anchorId="3C90E594" wp14:editId="79B33D21">
            <wp:extent cx="5579745" cy="405828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DGMIA.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9745" cy="4058285"/>
                    </a:xfrm>
                    <a:prstGeom prst="rect">
                      <a:avLst/>
                    </a:prstGeom>
                  </pic:spPr>
                </pic:pic>
              </a:graphicData>
            </a:graphic>
          </wp:inline>
        </w:drawing>
      </w:r>
    </w:p>
    <w:p w14:paraId="219A769C" w14:textId="286756EA" w:rsidR="00483F90" w:rsidRDefault="00483F90" w:rsidP="006135EA">
      <w:pPr>
        <w:pStyle w:val="Caption"/>
        <w:jc w:val="both"/>
      </w:pPr>
      <w:bookmarkStart w:id="25" w:name="_Ref521485379"/>
      <w:r>
        <w:t xml:space="preserve">Figure </w:t>
      </w:r>
      <w:r>
        <w:fldChar w:fldCharType="begin"/>
      </w:r>
      <w:r>
        <w:instrText xml:space="preserve"> SEQ Figure \* ARABIC </w:instrText>
      </w:r>
      <w:r>
        <w:fldChar w:fldCharType="separate"/>
      </w:r>
      <w:r w:rsidR="00886B31">
        <w:rPr>
          <w:noProof/>
        </w:rPr>
        <w:t>2</w:t>
      </w:r>
      <w:r>
        <w:fldChar w:fldCharType="end"/>
      </w:r>
      <w:bookmarkEnd w:id="25"/>
      <w:r>
        <w:t xml:space="preserve">. </w:t>
      </w:r>
      <w:r w:rsidRPr="0052443B">
        <w:t xml:space="preserve">Monthly fares in the </w:t>
      </w:r>
      <w:r w:rsidR="005E5191">
        <w:t>CDG</w:t>
      </w:r>
      <w:r w:rsidR="005E5191" w:rsidRPr="00532D55">
        <w:t>-</w:t>
      </w:r>
      <w:r w:rsidR="005E5191">
        <w:t>MIA</w:t>
      </w:r>
      <w:r w:rsidR="005E5191" w:rsidRPr="00532D55">
        <w:t xml:space="preserve"> market; Notes: AA = American Airlines,</w:t>
      </w:r>
      <w:r w:rsidR="005E5191">
        <w:t xml:space="preserve"> </w:t>
      </w:r>
      <w:r w:rsidR="005E5191">
        <w:rPr>
          <w:lang w:val="en-CA"/>
        </w:rPr>
        <w:t>AF = Air France; 8 fare observations of the seasonal XL Airways are not plotted</w:t>
      </w:r>
      <w:r w:rsidR="000D29A5">
        <w:rPr>
          <w:rStyle w:val="FootnoteReference"/>
          <w:lang w:val="en-CA"/>
        </w:rPr>
        <w:footnoteReference w:id="8"/>
      </w:r>
      <w:r w:rsidRPr="0052443B">
        <w:t>; Vertical lines indicate bankruptcy period.</w:t>
      </w:r>
    </w:p>
    <w:p w14:paraId="42DC3FA8" w14:textId="7A4A5AD8" w:rsidR="00EF2176" w:rsidRDefault="00EF2176" w:rsidP="006135EA">
      <w:pPr>
        <w:pStyle w:val="FlietextFolge"/>
        <w:spacing w:line="360" w:lineRule="auto"/>
      </w:pPr>
      <w:r w:rsidRPr="006135EA">
        <w:rPr>
          <w:i/>
        </w:rPr>
        <w:t xml:space="preserve">Considering domestic markets, </w:t>
      </w:r>
      <w:r w:rsidR="00B45C9E">
        <w:t xml:space="preserve">we find that many markets do not exhibit a visible fare drop upon bankruptcy (or financial distress). When a fare drop is highly visible, we notice, again, that it starts prior to the actual bankruptcy announcement. This is illustrated in </w:t>
      </w:r>
      <w:r w:rsidR="00B45C9E">
        <w:fldChar w:fldCharType="begin"/>
      </w:r>
      <w:r w:rsidR="00B45C9E">
        <w:instrText xml:space="preserve"> REF _Ref521490666 \h </w:instrText>
      </w:r>
      <w:r w:rsidR="00B45C9E">
        <w:fldChar w:fldCharType="separate"/>
      </w:r>
      <w:r w:rsidR="00886B31">
        <w:t xml:space="preserve">Figure </w:t>
      </w:r>
      <w:r w:rsidR="00886B31">
        <w:rPr>
          <w:noProof/>
        </w:rPr>
        <w:t>3</w:t>
      </w:r>
      <w:r w:rsidR="00B45C9E">
        <w:fldChar w:fldCharType="end"/>
      </w:r>
      <w:r w:rsidR="00B45C9E">
        <w:t xml:space="preserve"> for the JAF-LAX market. </w:t>
      </w:r>
    </w:p>
    <w:p w14:paraId="39F0A38D" w14:textId="77777777" w:rsidR="00EF2176" w:rsidRPr="00EF2176" w:rsidRDefault="00EF2176" w:rsidP="00DB60CE">
      <w:pPr>
        <w:pStyle w:val="FlietextFolge"/>
        <w:spacing w:line="360" w:lineRule="auto"/>
      </w:pPr>
    </w:p>
    <w:p w14:paraId="5B10615F" w14:textId="77777777" w:rsidR="00B45C9E" w:rsidRDefault="00B45C9E" w:rsidP="006135EA">
      <w:pPr>
        <w:pStyle w:val="Caption"/>
        <w:keepNext/>
        <w:jc w:val="both"/>
      </w:pPr>
      <w:r>
        <w:rPr>
          <w:i w:val="0"/>
          <w:iCs/>
          <w:noProof/>
          <w:lang w:val="en-US"/>
        </w:rPr>
        <w:lastRenderedPageBreak/>
        <w:drawing>
          <wp:inline distT="0" distB="0" distL="0" distR="0" wp14:anchorId="6DE8D0E6" wp14:editId="2048BD76">
            <wp:extent cx="5579745" cy="4058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KLAX.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4058285"/>
                    </a:xfrm>
                    <a:prstGeom prst="rect">
                      <a:avLst/>
                    </a:prstGeom>
                  </pic:spPr>
                </pic:pic>
              </a:graphicData>
            </a:graphic>
          </wp:inline>
        </w:drawing>
      </w:r>
    </w:p>
    <w:p w14:paraId="2DC5FCE2" w14:textId="52733E70" w:rsidR="00EF2176" w:rsidRPr="00B45C9E" w:rsidRDefault="00B45C9E" w:rsidP="006135EA">
      <w:pPr>
        <w:pStyle w:val="Caption"/>
        <w:jc w:val="both"/>
        <w:rPr>
          <w:i w:val="0"/>
          <w:iCs/>
        </w:rPr>
      </w:pPr>
      <w:bookmarkStart w:id="26" w:name="_Ref521490666"/>
      <w:r>
        <w:t xml:space="preserve">Figure </w:t>
      </w:r>
      <w:r>
        <w:fldChar w:fldCharType="begin"/>
      </w:r>
      <w:r>
        <w:instrText xml:space="preserve"> SEQ Figure \* ARABIC </w:instrText>
      </w:r>
      <w:r>
        <w:fldChar w:fldCharType="separate"/>
      </w:r>
      <w:r w:rsidR="00886B31">
        <w:rPr>
          <w:noProof/>
        </w:rPr>
        <w:t>3</w:t>
      </w:r>
      <w:r>
        <w:fldChar w:fldCharType="end"/>
      </w:r>
      <w:bookmarkEnd w:id="26"/>
      <w:r>
        <w:t xml:space="preserve">. </w:t>
      </w:r>
      <w:r w:rsidRPr="00FE4C10">
        <w:t xml:space="preserve">Monthly fares in the </w:t>
      </w:r>
      <w:r>
        <w:t>JFK</w:t>
      </w:r>
      <w:r w:rsidRPr="00FE4C10">
        <w:t>-</w:t>
      </w:r>
      <w:r>
        <w:t>LAX</w:t>
      </w:r>
      <w:r w:rsidRPr="00FE4C10">
        <w:t xml:space="preserve"> market; Notes: AA = American Airlines, </w:t>
      </w:r>
      <w:r>
        <w:t>B6</w:t>
      </w:r>
      <w:r w:rsidRPr="00FE4C10">
        <w:t xml:space="preserve"> = </w:t>
      </w:r>
      <w:proofErr w:type="spellStart"/>
      <w:r w:rsidRPr="00B45C9E">
        <w:t>Jetblue</w:t>
      </w:r>
      <w:proofErr w:type="spellEnd"/>
      <w:r w:rsidRPr="00B45C9E">
        <w:t xml:space="preserve"> Airways</w:t>
      </w:r>
      <w:r>
        <w:t>,</w:t>
      </w:r>
      <w:r w:rsidRPr="00B45C9E">
        <w:t xml:space="preserve"> DL</w:t>
      </w:r>
      <w:r>
        <w:t xml:space="preserve"> = Delta Air Lines, </w:t>
      </w:r>
      <w:r w:rsidRPr="00B45C9E">
        <w:t xml:space="preserve">UA </w:t>
      </w:r>
      <w:r>
        <w:t xml:space="preserve">= United Airlines, </w:t>
      </w:r>
      <w:r w:rsidRPr="00B45C9E">
        <w:t>VX</w:t>
      </w:r>
      <w:r>
        <w:t xml:space="preserve"> =</w:t>
      </w:r>
      <w:r w:rsidRPr="00B45C9E">
        <w:t xml:space="preserve"> Virgin America</w:t>
      </w:r>
      <w:r>
        <w:t xml:space="preserve">; 22 </w:t>
      </w:r>
      <w:r w:rsidRPr="00FE4C10">
        <w:t>fare observations of</w:t>
      </w:r>
      <w:r>
        <w:t xml:space="preserve"> </w:t>
      </w:r>
      <w:r w:rsidRPr="00B45C9E">
        <w:t xml:space="preserve">QF </w:t>
      </w:r>
      <w:r>
        <w:t>(</w:t>
      </w:r>
      <w:r w:rsidRPr="00B45C9E">
        <w:t xml:space="preserve">Qantas Airways) </w:t>
      </w:r>
      <w:r w:rsidRPr="00FE4C10">
        <w:t>are not plotted; Vertical lines indicate bankruptcy period.</w:t>
      </w:r>
    </w:p>
    <w:p w14:paraId="0773816A" w14:textId="2712F637" w:rsidR="007F57CA" w:rsidRDefault="00BA507D" w:rsidP="00566DE0">
      <w:pPr>
        <w:pStyle w:val="FlietextFolge"/>
        <w:spacing w:line="360" w:lineRule="auto"/>
      </w:pPr>
      <w:r>
        <w:t xml:space="preserve">An important insight is that although directionally the effect of bankruptcy in international markets may be consistent with some of the </w:t>
      </w:r>
      <w:r w:rsidR="00347923">
        <w:t>results</w:t>
      </w:r>
      <w:r w:rsidR="009A4B45">
        <w:t xml:space="preserve"> </w:t>
      </w:r>
      <w:r>
        <w:t>from domestic markets, the magnitude of these effects can vary dramatically. Specifically</w:t>
      </w:r>
      <w:r w:rsidR="00C41B84">
        <w:t xml:space="preserve">, </w:t>
      </w:r>
      <w:r w:rsidR="00C338CD">
        <w:t>price adjustments in international markets are</w:t>
      </w:r>
      <w:r>
        <w:t>,</w:t>
      </w:r>
      <w:r w:rsidR="006B49E7">
        <w:t xml:space="preserve"> in general</w:t>
      </w:r>
      <w:r>
        <w:t>,</w:t>
      </w:r>
      <w:r w:rsidR="006B49E7">
        <w:t xml:space="preserve"> </w:t>
      </w:r>
      <w:r w:rsidR="00C338CD">
        <w:t>of a higher magnitude than in US domestic markets.</w:t>
      </w:r>
    </w:p>
    <w:p w14:paraId="1D7C7453" w14:textId="5ECF49F2" w:rsidR="00905BC8" w:rsidRDefault="00905BC8" w:rsidP="00566DE0">
      <w:pPr>
        <w:pStyle w:val="FlietextFolge"/>
        <w:spacing w:line="360" w:lineRule="auto"/>
      </w:pPr>
      <w:r>
        <w:t>These insights are important highlighting a key difference between domestic and international markets. In domestic markets</w:t>
      </w:r>
      <w:r w:rsidR="007B00A4">
        <w:t xml:space="preserve">, the effects of bankruptcy are quite limited in terms of price impact. In international markets the effects are dramatic. This can be driven by the nature of competition in domestic versus international markets. In domestic markets, consumers can wait until very close to the departure and observe the financial recovery strength of the bankruptcy </w:t>
      </w:r>
      <w:r w:rsidR="00057B9A">
        <w:t xml:space="preserve">carrier and, hence, </w:t>
      </w:r>
      <w:r w:rsidR="00135111">
        <w:t>the reduction in fares of the bankrupt carriers is rather limited, while, at the same time, the competing carriers can charge some premium for the benefit of flying with them. In international markets the effect is dramatically different. Consumers generally plan their travels well in advance and flying with a bankrupt carrier impose</w:t>
      </w:r>
      <w:r w:rsidR="00122606">
        <w:t>s</w:t>
      </w:r>
      <w:r w:rsidR="00135111">
        <w:t xml:space="preserve"> a significant amount of risk to bear. As such, the bankrupt carrier </w:t>
      </w:r>
      <w:r w:rsidR="00135111">
        <w:lastRenderedPageBreak/>
        <w:t>drops its prices to attract passengers. The competing carriers cannot completely ignore this fare reduction and need to respond with some comparative measures.</w:t>
      </w:r>
      <w:r w:rsidR="000A4C6F">
        <w:t xml:space="preserve"> Another potential difference between US domestic markets and intercontinental markets is asymmetric information. Namely, since the bankrupt carrier is American, it is very possible that European passengers posse</w:t>
      </w:r>
      <w:r w:rsidR="00240B77">
        <w:t>s</w:t>
      </w:r>
      <w:r w:rsidR="000A4C6F">
        <w:t>s less information regarding the bankrupt carrier than their US counterparts.</w:t>
      </w:r>
      <w:r w:rsidR="000A4C6F">
        <w:rPr>
          <w:rStyle w:val="FootnoteReference"/>
        </w:rPr>
        <w:footnoteReference w:id="9"/>
      </w:r>
      <w:r w:rsidR="000A4C6F">
        <w:t xml:space="preserve"> </w:t>
      </w:r>
    </w:p>
    <w:p w14:paraId="1B5A2499" w14:textId="2CF28656" w:rsidR="002C7FB1" w:rsidRDefault="00CD27E9" w:rsidP="00566DE0">
      <w:pPr>
        <w:pStyle w:val="FlietextFolge"/>
        <w:spacing w:line="360" w:lineRule="auto"/>
      </w:pPr>
      <w:r>
        <w:t xml:space="preserve">To evaluate the results presented in </w:t>
      </w:r>
      <w:r>
        <w:fldChar w:fldCharType="begin"/>
      </w:r>
      <w:r>
        <w:instrText xml:space="preserve"> REF _Ref451073687 \h </w:instrText>
      </w:r>
      <w:r>
        <w:fldChar w:fldCharType="separate"/>
      </w:r>
      <w:r w:rsidR="00886B31">
        <w:t xml:space="preserve">Table </w:t>
      </w:r>
      <w:r w:rsidR="00886B31">
        <w:rPr>
          <w:noProof/>
        </w:rPr>
        <w:t>2</w:t>
      </w:r>
      <w:r>
        <w:fldChar w:fldCharType="end"/>
      </w:r>
      <w:r w:rsidR="007F57CA">
        <w:t>,</w:t>
      </w:r>
      <w:r>
        <w:t xml:space="preserve"> it is useful to </w:t>
      </w:r>
      <w:r w:rsidR="007F57CA">
        <w:t xml:space="preserve">contrast them with </w:t>
      </w:r>
      <w:r>
        <w:t xml:space="preserve">existing </w:t>
      </w:r>
      <w:r w:rsidR="002C7FB1">
        <w:t xml:space="preserve">econometric studies </w:t>
      </w:r>
      <w:proofErr w:type="gramStart"/>
      <w:r w:rsidR="002C7FB1">
        <w:t>in regard to</w:t>
      </w:r>
      <w:proofErr w:type="gramEnd"/>
      <w:r w:rsidR="002C7FB1">
        <w:t xml:space="preserve"> Chapter 11 effects on pricing behaviour.</w:t>
      </w:r>
      <w:r>
        <w:t xml:space="preserve"> </w:t>
      </w:r>
      <w:r w:rsidR="007F57CA">
        <w:t>T</w:t>
      </w:r>
      <w:r>
        <w:t>hree</w:t>
      </w:r>
      <w:r w:rsidR="00A148A1">
        <w:t xml:space="preserve"> papers </w:t>
      </w:r>
      <w:r w:rsidR="007F57CA">
        <w:t xml:space="preserve">have explored the effects of </w:t>
      </w:r>
      <w:r w:rsidR="00A148A1">
        <w:t xml:space="preserve">Chapter 11 </w:t>
      </w:r>
      <w:r w:rsidR="007F57CA">
        <w:t xml:space="preserve">focusing on </w:t>
      </w:r>
      <w:r w:rsidR="00A148A1">
        <w:t>US domestic markets.</w:t>
      </w:r>
      <w:r w:rsidR="007F57CA">
        <w:t xml:space="preserve"> </w:t>
      </w:r>
      <w:proofErr w:type="spellStart"/>
      <w:r w:rsidR="002C7FB1" w:rsidRPr="00F4110F">
        <w:t>Ciliberto</w:t>
      </w:r>
      <w:proofErr w:type="spellEnd"/>
      <w:r w:rsidR="002C7FB1" w:rsidRPr="00F4110F">
        <w:t xml:space="preserve"> </w:t>
      </w:r>
      <w:r w:rsidR="004C6B26">
        <w:t>and</w:t>
      </w:r>
      <w:r w:rsidR="002C7FB1" w:rsidRPr="00F4110F">
        <w:t xml:space="preserve"> </w:t>
      </w:r>
      <w:proofErr w:type="spellStart"/>
      <w:r w:rsidR="002C7FB1" w:rsidRPr="00F4110F">
        <w:t>Schenone</w:t>
      </w:r>
      <w:proofErr w:type="spellEnd"/>
      <w:r w:rsidR="007F57CA">
        <w:t xml:space="preserve"> (2012a) </w:t>
      </w:r>
      <w:r w:rsidR="002C7FB1">
        <w:t>find that bankrupt airlines’ prices</w:t>
      </w:r>
      <w:r w:rsidR="002C7FB1" w:rsidRPr="00F4110F">
        <w:t xml:space="preserve"> </w:t>
      </w:r>
      <w:r w:rsidR="002C7FB1">
        <w:t xml:space="preserve">in US domestic markets </w:t>
      </w:r>
      <w:r w:rsidR="002C7FB1" w:rsidRPr="00F4110F">
        <w:t>drop by 3% wh</w:t>
      </w:r>
      <w:r w:rsidR="002C7FB1">
        <w:t>ile under bankruptcy protection</w:t>
      </w:r>
      <w:r w:rsidR="002C7FB1" w:rsidRPr="00F4110F">
        <w:t xml:space="preserve"> and increase by </w:t>
      </w:r>
      <w:r w:rsidR="002C7FB1">
        <w:t>4</w:t>
      </w:r>
      <w:r w:rsidR="002C7FB1" w:rsidRPr="00F4110F">
        <w:t xml:space="preserve">% after emerging. They do not find evidence of significant </w:t>
      </w:r>
      <w:r w:rsidR="002C7FB1">
        <w:t xml:space="preserve">price </w:t>
      </w:r>
      <w:r w:rsidR="002C7FB1" w:rsidRPr="00F4110F">
        <w:t xml:space="preserve">changes by the bankrupt airline’s competitors </w:t>
      </w:r>
      <w:r w:rsidR="002C7FB1">
        <w:t>in either period</w:t>
      </w:r>
      <w:r w:rsidR="002C7FB1" w:rsidRPr="00F4110F">
        <w:t>. Their investigation is based on bankruptcies in the US airline industry between 1992 and 2007.</w:t>
      </w:r>
      <w:r w:rsidR="007F57CA">
        <w:t xml:space="preserve"> </w:t>
      </w:r>
      <w:proofErr w:type="spellStart"/>
      <w:r w:rsidR="002C7FB1" w:rsidRPr="00F4110F">
        <w:t>Barla</w:t>
      </w:r>
      <w:proofErr w:type="spellEnd"/>
      <w:r w:rsidR="002C7FB1" w:rsidRPr="00F4110F">
        <w:t xml:space="preserve"> </w:t>
      </w:r>
      <w:r w:rsidR="004C6B26">
        <w:t>and</w:t>
      </w:r>
      <w:r w:rsidR="002C7FB1" w:rsidRPr="00F4110F">
        <w:t xml:space="preserve"> Koo </w:t>
      </w:r>
      <w:r w:rsidR="007F57CA">
        <w:t>(1999) c</w:t>
      </w:r>
      <w:r w:rsidR="002C7FB1" w:rsidRPr="00F4110F">
        <w:t>onduct a similar investigation over a period from 1987 to 1993. Their research shows that the competitors of bankrupt airlines also change their prices, in most of the cases to a</w:t>
      </w:r>
      <w:r w:rsidR="00347923">
        <w:t>n even</w:t>
      </w:r>
      <w:r w:rsidR="002C7FB1" w:rsidRPr="00F4110F">
        <w:t xml:space="preserve"> higher degree than the bankrupt airline itself. </w:t>
      </w:r>
      <w:r w:rsidR="002C7FB1">
        <w:t>This could be an indication of predation strategies.</w:t>
      </w:r>
      <w:r w:rsidR="007F57CA">
        <w:t xml:space="preserve"> </w:t>
      </w:r>
      <w:proofErr w:type="spellStart"/>
      <w:r w:rsidR="002C7FB1">
        <w:t>Borenstein</w:t>
      </w:r>
      <w:proofErr w:type="spellEnd"/>
      <w:r w:rsidR="002C7FB1">
        <w:t xml:space="preserve"> </w:t>
      </w:r>
      <w:r w:rsidR="004C6B26">
        <w:t>and</w:t>
      </w:r>
      <w:r w:rsidR="002C7FB1">
        <w:t xml:space="preserve"> Rose</w:t>
      </w:r>
      <w:r w:rsidR="007F57CA">
        <w:t xml:space="preserve"> (1995) </w:t>
      </w:r>
      <w:r w:rsidR="002C7FB1">
        <w:t xml:space="preserve">also analyse 1987 to 1993 US domestic data. Their results indicate that the bankrupt carriers lower their prices in the pre-bankruptcy and in-bankruptcy </w:t>
      </w:r>
      <w:proofErr w:type="gramStart"/>
      <w:r w:rsidR="002C7FB1">
        <w:t>period</w:t>
      </w:r>
      <w:proofErr w:type="gramEnd"/>
      <w:r w:rsidR="002C7FB1">
        <w:t xml:space="preserve"> but their competitors do not change prices in either period.</w:t>
      </w:r>
      <w:r w:rsidR="00354EF3">
        <w:t xml:space="preserve"> </w:t>
      </w:r>
      <w:r w:rsidR="002C7FB1">
        <w:t xml:space="preserve">The different results of </w:t>
      </w:r>
      <w:proofErr w:type="spellStart"/>
      <w:r w:rsidR="002C7FB1" w:rsidRPr="00F4110F">
        <w:t>Barla</w:t>
      </w:r>
      <w:proofErr w:type="spellEnd"/>
      <w:r w:rsidR="002C7FB1" w:rsidRPr="00F4110F">
        <w:t xml:space="preserve"> </w:t>
      </w:r>
      <w:r w:rsidR="004C6B26">
        <w:t>and</w:t>
      </w:r>
      <w:r w:rsidR="002C7FB1" w:rsidRPr="00F4110F">
        <w:t xml:space="preserve"> Koo</w:t>
      </w:r>
      <w:r w:rsidR="002C7FB1">
        <w:t xml:space="preserve"> </w:t>
      </w:r>
      <w:r w:rsidR="00671942">
        <w:t xml:space="preserve">(1999) </w:t>
      </w:r>
      <w:r w:rsidR="002C7FB1">
        <w:t xml:space="preserve">and </w:t>
      </w:r>
      <w:proofErr w:type="spellStart"/>
      <w:r w:rsidR="002C7FB1">
        <w:t>Borenstein</w:t>
      </w:r>
      <w:proofErr w:type="spellEnd"/>
      <w:r w:rsidR="002C7FB1">
        <w:t xml:space="preserve"> </w:t>
      </w:r>
      <w:r w:rsidR="004C6B26">
        <w:t>and</w:t>
      </w:r>
      <w:r w:rsidR="002C7FB1">
        <w:t xml:space="preserve"> Rose </w:t>
      </w:r>
      <w:r w:rsidR="00671942">
        <w:t xml:space="preserve">(1995) </w:t>
      </w:r>
      <w:r w:rsidR="002C7FB1">
        <w:t xml:space="preserve">for the same time period can be partially explained by the fact that </w:t>
      </w:r>
      <w:proofErr w:type="spellStart"/>
      <w:r w:rsidR="002C7FB1">
        <w:t>Borenstein</w:t>
      </w:r>
      <w:proofErr w:type="spellEnd"/>
      <w:r w:rsidR="002C7FB1">
        <w:t xml:space="preserve"> </w:t>
      </w:r>
      <w:r w:rsidR="004C6B26">
        <w:t>and</w:t>
      </w:r>
      <w:r w:rsidR="002C7FB1">
        <w:t xml:space="preserve"> Rose include </w:t>
      </w:r>
      <w:proofErr w:type="gramStart"/>
      <w:r w:rsidR="002C7FB1">
        <w:t>a large number of</w:t>
      </w:r>
      <w:proofErr w:type="gramEnd"/>
      <w:r w:rsidR="002C7FB1">
        <w:t xml:space="preserve"> smaller markets which show different behaviou</w:t>
      </w:r>
      <w:r w:rsidR="00354EF3">
        <w:t>r</w:t>
      </w:r>
      <w:r w:rsidR="007F57CA">
        <w:t xml:space="preserve"> (</w:t>
      </w:r>
      <w:proofErr w:type="spellStart"/>
      <w:r w:rsidR="007F57CA" w:rsidRPr="00F4110F">
        <w:t>Barla</w:t>
      </w:r>
      <w:proofErr w:type="spellEnd"/>
      <w:r w:rsidR="007F57CA" w:rsidRPr="00F4110F">
        <w:t xml:space="preserve"> </w:t>
      </w:r>
      <w:r w:rsidR="007F57CA">
        <w:t>and</w:t>
      </w:r>
      <w:r w:rsidR="007F57CA" w:rsidRPr="00F4110F">
        <w:t xml:space="preserve"> Koo</w:t>
      </w:r>
      <w:r w:rsidR="007F57CA">
        <w:t>,</w:t>
      </w:r>
      <w:r w:rsidR="007F57CA" w:rsidRPr="00F4110F">
        <w:t xml:space="preserve"> </w:t>
      </w:r>
      <w:r w:rsidR="007F57CA">
        <w:t>1999).</w:t>
      </w:r>
    </w:p>
    <w:p w14:paraId="5FF46F49" w14:textId="77777777" w:rsidR="000847F2" w:rsidRDefault="00CF165A" w:rsidP="00566DE0">
      <w:pPr>
        <w:pStyle w:val="FlietextFolge"/>
        <w:spacing w:line="360" w:lineRule="auto"/>
      </w:pPr>
      <w:r>
        <w:t>In general, there is no indication of predation because price changes by competitors are of a smaller magnitude than price changes of the bankrupt carrier itself. In both market types</w:t>
      </w:r>
      <w:r w:rsidR="00347923">
        <w:t>,</w:t>
      </w:r>
      <w:r>
        <w:t xml:space="preserve"> prices of bankrupt carriers are lower during bankruptcy compared to the pre-bankruptcy level. However, the price drop prior bankruptcy can only be found in international markets</w:t>
      </w:r>
      <w:r w:rsidR="00EB272D">
        <w:t>,</w:t>
      </w:r>
      <w:r>
        <w:t xml:space="preserve"> as discussed earlier. </w:t>
      </w:r>
    </w:p>
    <w:p w14:paraId="748185A2" w14:textId="438B734E" w:rsidR="004445DA" w:rsidRDefault="008A6A0B" w:rsidP="00566DE0">
      <w:pPr>
        <w:pStyle w:val="FlietextFolge"/>
        <w:spacing w:line="360" w:lineRule="auto"/>
      </w:pPr>
      <w:r>
        <w:t xml:space="preserve">To conclude, despite the difference time spans considered by the existing studies and despite the difference in their results, </w:t>
      </w:r>
      <w:r w:rsidR="004445DA">
        <w:t xml:space="preserve">two common </w:t>
      </w:r>
      <w:r>
        <w:t>insights are consistent which are also relevant for this work</w:t>
      </w:r>
      <w:r w:rsidR="004445DA">
        <w:t>:</w:t>
      </w:r>
      <w:r w:rsidR="008D57CB" w:rsidRPr="008D57CB">
        <w:t xml:space="preserve"> </w:t>
      </w:r>
      <w:r w:rsidR="008D57CB">
        <w:t>Bankrupt carriers lower their prices during bankruptcy</w:t>
      </w:r>
      <w:r w:rsidR="00EB272D">
        <w:t>,</w:t>
      </w:r>
      <w:r w:rsidR="008D57CB">
        <w:t xml:space="preserve"> and </w:t>
      </w:r>
      <w:r w:rsidR="008D57CB">
        <w:lastRenderedPageBreak/>
        <w:t xml:space="preserve">competitors </w:t>
      </w:r>
      <w:r w:rsidR="00135111">
        <w:t xml:space="preserve">respond to these </w:t>
      </w:r>
      <w:r w:rsidR="008D57CB">
        <w:t>price</w:t>
      </w:r>
      <w:r w:rsidR="00135111">
        <w:t xml:space="preserve"> drop</w:t>
      </w:r>
      <w:r w:rsidR="008D57CB">
        <w:t xml:space="preserve">s </w:t>
      </w:r>
      <w:r w:rsidR="00135111">
        <w:t>differently in domestic and in international markets</w:t>
      </w:r>
      <w:r w:rsidR="008D57CB">
        <w:t>.</w:t>
      </w:r>
    </w:p>
    <w:p w14:paraId="50F17D6B" w14:textId="34A90322" w:rsidR="00135111" w:rsidRDefault="00135111" w:rsidP="00566DE0">
      <w:pPr>
        <w:pStyle w:val="FlietextFolge"/>
        <w:spacing w:line="360" w:lineRule="auto"/>
      </w:pPr>
      <w:r>
        <w:t xml:space="preserve">Our results also bear insights on the ongoing discussion on the </w:t>
      </w:r>
      <w:r w:rsidR="00C6730C">
        <w:t xml:space="preserve">claimed </w:t>
      </w:r>
      <w:r>
        <w:t>distorting effects imposed by US bankruptcy rules. The observation that price changes are significantly different in international markets as compared to domestic markets may suggest a distortion in the competitive environment</w:t>
      </w:r>
      <w:r w:rsidR="00563B57">
        <w:t xml:space="preserve"> due to bankruptcy protection</w:t>
      </w:r>
      <w:r>
        <w:t xml:space="preserve">. </w:t>
      </w:r>
      <w:r w:rsidR="00C6730C">
        <w:t xml:space="preserve">Certainly Ch 11 has an impact. </w:t>
      </w:r>
      <w:r w:rsidR="00810645">
        <w:t>Had the bankrupt carrier been</w:t>
      </w:r>
      <w:r w:rsidR="00563B57">
        <w:t xml:space="preserve"> </w:t>
      </w:r>
      <w:proofErr w:type="gramStart"/>
      <w:r w:rsidR="00563B57">
        <w:t>actually</w:t>
      </w:r>
      <w:r w:rsidR="00810645">
        <w:t xml:space="preserve"> forced</w:t>
      </w:r>
      <w:proofErr w:type="gramEnd"/>
      <w:r w:rsidR="00810645">
        <w:t xml:space="preserve"> to </w:t>
      </w:r>
      <w:r w:rsidR="00563B57">
        <w:t xml:space="preserve">liquidate and exit the market, the remaining competing carriers would have </w:t>
      </w:r>
      <w:r w:rsidR="003F1E4C">
        <w:t xml:space="preserve">not been in a situation where they had to drop prices. On the contrary, most likely they would have been able to raise prices above and beyond those observed in domestic markets. This suggests that the asymmetric bankruptcy protection rules, especially in international markets, may </w:t>
      </w:r>
      <w:r w:rsidR="00C6730C">
        <w:t>have an impact on markets- whether it is a distortive effect is a matter of debate (Bock et al, 201</w:t>
      </w:r>
      <w:r w:rsidR="00727107">
        <w:t>8</w:t>
      </w:r>
      <w:r w:rsidR="00C6730C">
        <w:t>)</w:t>
      </w:r>
      <w:r w:rsidR="003F1E4C">
        <w:t xml:space="preserve">. </w:t>
      </w:r>
    </w:p>
    <w:p w14:paraId="69B6B843" w14:textId="41499446" w:rsidR="00B961A1" w:rsidRPr="0011694C" w:rsidRDefault="00B961A1" w:rsidP="0011694C">
      <w:pPr>
        <w:pStyle w:val="Heading1"/>
        <w:tabs>
          <w:tab w:val="clear" w:pos="1021"/>
        </w:tabs>
        <w:spacing w:before="120" w:after="120" w:line="360" w:lineRule="auto"/>
        <w:ind w:left="567" w:hanging="567"/>
      </w:pPr>
      <w:bookmarkStart w:id="27" w:name="_Ref451673350"/>
      <w:bookmarkStart w:id="28" w:name="_Toc451769688"/>
      <w:bookmarkStart w:id="29" w:name="_Ref452966780"/>
      <w:r w:rsidRPr="0011694C">
        <w:t>Robustness checks</w:t>
      </w:r>
    </w:p>
    <w:p w14:paraId="7B820961" w14:textId="1D5E47FB" w:rsidR="00B961A1" w:rsidRPr="00FC1547" w:rsidRDefault="00B961A1" w:rsidP="003D486E">
      <w:pPr>
        <w:pStyle w:val="FlietextAbstanddavor"/>
        <w:spacing w:before="0" w:line="360" w:lineRule="auto"/>
      </w:pPr>
      <w:r>
        <w:t xml:space="preserve">We carry out </w:t>
      </w:r>
      <w:r w:rsidR="003D486E">
        <w:t xml:space="preserve">four </w:t>
      </w:r>
      <w:r>
        <w:t>types of robustness checks. The first relates to the threshold value</w:t>
      </w:r>
      <w:r w:rsidR="003D486E">
        <w:t>s</w:t>
      </w:r>
      <w:r>
        <w:t xml:space="preserve"> used for market selection</w:t>
      </w:r>
      <w:r w:rsidR="003D486E">
        <w:t xml:space="preserve"> (</w:t>
      </w:r>
      <w:r w:rsidR="003D486E">
        <w:rPr>
          <w:rFonts w:cs="Times New Roman"/>
        </w:rPr>
        <w:t>§</w:t>
      </w:r>
      <w:r w:rsidR="003D486E">
        <w:fldChar w:fldCharType="begin"/>
      </w:r>
      <w:r w:rsidR="003D486E">
        <w:rPr>
          <w:rFonts w:cs="Times New Roman"/>
        </w:rPr>
        <w:instrText xml:space="preserve"> REF _Ref521501650 \r \h </w:instrText>
      </w:r>
      <w:r w:rsidR="003D486E">
        <w:fldChar w:fldCharType="separate"/>
      </w:r>
      <w:r w:rsidR="00886B31">
        <w:rPr>
          <w:rFonts w:cs="Times New Roman"/>
          <w:cs/>
        </w:rPr>
        <w:t>‎</w:t>
      </w:r>
      <w:r w:rsidR="00886B31">
        <w:rPr>
          <w:rFonts w:cs="Times New Roman"/>
        </w:rPr>
        <w:t>6.1</w:t>
      </w:r>
      <w:r w:rsidR="003D486E">
        <w:fldChar w:fldCharType="end"/>
      </w:r>
      <w:r w:rsidR="003D486E">
        <w:t>) and the length of the panel under consideration (</w:t>
      </w:r>
      <w:r w:rsidR="003D486E">
        <w:rPr>
          <w:rFonts w:cs="Times New Roman"/>
        </w:rPr>
        <w:t>§</w:t>
      </w:r>
      <w:r w:rsidR="003D486E">
        <w:fldChar w:fldCharType="begin"/>
      </w:r>
      <w:r w:rsidR="003D486E">
        <w:rPr>
          <w:rFonts w:cs="Times New Roman"/>
        </w:rPr>
        <w:instrText xml:space="preserve"> REF _Ref521493707 \r \h </w:instrText>
      </w:r>
      <w:r w:rsidR="003D486E">
        <w:fldChar w:fldCharType="separate"/>
      </w:r>
      <w:r w:rsidR="00886B31">
        <w:rPr>
          <w:rFonts w:cs="Times New Roman"/>
          <w:cs/>
        </w:rPr>
        <w:t>‎</w:t>
      </w:r>
      <w:r w:rsidR="00886B31">
        <w:rPr>
          <w:rFonts w:cs="Times New Roman"/>
        </w:rPr>
        <w:t>6.2</w:t>
      </w:r>
      <w:r w:rsidR="003D486E">
        <w:fldChar w:fldCharType="end"/>
      </w:r>
      <w:r w:rsidR="003D486E">
        <w:t>). The second studies sensitivity to inclusion of certain variables.</w:t>
      </w:r>
      <w:r>
        <w:t xml:space="preserve"> </w:t>
      </w:r>
      <w:r w:rsidR="003D486E">
        <w:t xml:space="preserve">The third </w:t>
      </w:r>
      <w:r>
        <w:t>relates to the importance of alliance membership in competitive markets</w:t>
      </w:r>
      <w:r w:rsidR="003D486E">
        <w:t xml:space="preserve"> (</w:t>
      </w:r>
      <w:r w:rsidR="003D486E">
        <w:rPr>
          <w:rFonts w:cs="Times New Roman"/>
        </w:rPr>
        <w:t>§</w:t>
      </w:r>
      <w:r w:rsidR="003D486E">
        <w:fldChar w:fldCharType="begin"/>
      </w:r>
      <w:r w:rsidR="003D486E">
        <w:rPr>
          <w:rFonts w:cs="Times New Roman"/>
        </w:rPr>
        <w:instrText xml:space="preserve"> REF _Ref520993623 \r \h </w:instrText>
      </w:r>
      <w:r w:rsidR="003D486E">
        <w:fldChar w:fldCharType="separate"/>
      </w:r>
      <w:r w:rsidR="00886B31">
        <w:rPr>
          <w:rFonts w:cs="Times New Roman"/>
          <w:cs/>
        </w:rPr>
        <w:t>‎</w:t>
      </w:r>
      <w:r w:rsidR="00886B31">
        <w:rPr>
          <w:rFonts w:cs="Times New Roman"/>
        </w:rPr>
        <w:t>6.4</w:t>
      </w:r>
      <w:r w:rsidR="003D486E">
        <w:fldChar w:fldCharType="end"/>
      </w:r>
      <w:r w:rsidR="003D486E">
        <w:t>). The last integrates the bankruptcy of Japan Airlines (</w:t>
      </w:r>
      <w:r w:rsidR="003D486E">
        <w:rPr>
          <w:rFonts w:cs="Times New Roman"/>
        </w:rPr>
        <w:t>§</w:t>
      </w:r>
      <w:r w:rsidR="003D486E">
        <w:fldChar w:fldCharType="begin"/>
      </w:r>
      <w:r w:rsidR="003D486E">
        <w:rPr>
          <w:rFonts w:cs="Times New Roman"/>
        </w:rPr>
        <w:instrText xml:space="preserve"> REF _Ref521501896 \r \h </w:instrText>
      </w:r>
      <w:r w:rsidR="003D486E">
        <w:fldChar w:fldCharType="separate"/>
      </w:r>
      <w:r w:rsidR="00886B31">
        <w:rPr>
          <w:rFonts w:cs="Times New Roman"/>
          <w:cs/>
        </w:rPr>
        <w:t>‎</w:t>
      </w:r>
      <w:r w:rsidR="00886B31">
        <w:rPr>
          <w:rFonts w:cs="Times New Roman"/>
        </w:rPr>
        <w:t>6.5</w:t>
      </w:r>
      <w:r w:rsidR="003D486E">
        <w:fldChar w:fldCharType="end"/>
      </w:r>
      <w:r w:rsidR="003D486E">
        <w:t>)</w:t>
      </w:r>
      <w:r>
        <w:t>.</w:t>
      </w:r>
    </w:p>
    <w:p w14:paraId="27F0955C" w14:textId="185B6074" w:rsidR="000B4D16" w:rsidRPr="0011694C" w:rsidRDefault="00ED3009" w:rsidP="00D014D3">
      <w:pPr>
        <w:pStyle w:val="Heading2"/>
        <w:tabs>
          <w:tab w:val="clear" w:pos="1021"/>
        </w:tabs>
        <w:spacing w:before="120" w:after="120" w:line="360" w:lineRule="auto"/>
        <w:ind w:left="567" w:hanging="567"/>
      </w:pPr>
      <w:bookmarkStart w:id="30" w:name="_Ref486852306"/>
      <w:bookmarkStart w:id="31" w:name="_Ref521501650"/>
      <w:r>
        <w:t xml:space="preserve">Thin and </w:t>
      </w:r>
      <w:r w:rsidR="00091518" w:rsidRPr="0011694C">
        <w:t>Thick Market</w:t>
      </w:r>
      <w:bookmarkEnd w:id="27"/>
      <w:r w:rsidR="00091518" w:rsidRPr="0011694C">
        <w:t>s</w:t>
      </w:r>
      <w:bookmarkEnd w:id="28"/>
      <w:bookmarkEnd w:id="29"/>
      <w:bookmarkEnd w:id="30"/>
      <w:bookmarkEnd w:id="31"/>
    </w:p>
    <w:p w14:paraId="5AC655BC" w14:textId="324C3FCF" w:rsidR="00A054D3" w:rsidRDefault="00B961A1" w:rsidP="00566DE0">
      <w:pPr>
        <w:pStyle w:val="FlietextFolge"/>
        <w:spacing w:line="360" w:lineRule="auto"/>
        <w:ind w:firstLine="0"/>
      </w:pPr>
      <w:r>
        <w:t xml:space="preserve">First, we explore </w:t>
      </w:r>
      <w:r w:rsidR="007F7340" w:rsidRPr="00FC1547">
        <w:t xml:space="preserve">the sensitivity of </w:t>
      </w:r>
      <w:r>
        <w:t xml:space="preserve">our estimation </w:t>
      </w:r>
      <w:r w:rsidR="007F7340" w:rsidRPr="00FC1547">
        <w:t xml:space="preserve">results to </w:t>
      </w:r>
      <w:r w:rsidR="005A7A5E" w:rsidRPr="00FC1547">
        <w:t xml:space="preserve">the exclusion of </w:t>
      </w:r>
      <w:r w:rsidR="007F7340" w:rsidRPr="00FC1547">
        <w:t>thin</w:t>
      </w:r>
      <w:r w:rsidR="00D81A11">
        <w:t>ner and thicker</w:t>
      </w:r>
      <w:r w:rsidR="007F7340" w:rsidRPr="00FC1547">
        <w:t xml:space="preserve"> markets</w:t>
      </w:r>
      <w:r w:rsidR="00865A30" w:rsidRPr="00FC1547">
        <w:t>.</w:t>
      </w:r>
      <w:r w:rsidR="007F7340" w:rsidRPr="00FC1547">
        <w:t xml:space="preserve"> </w:t>
      </w:r>
      <w:r w:rsidR="007F7340" w:rsidRPr="00424844">
        <w:t xml:space="preserve">Because of possible distortive effects of </w:t>
      </w:r>
      <w:r w:rsidR="00A054D3">
        <w:t xml:space="preserve">very </w:t>
      </w:r>
      <w:r w:rsidR="007F7340" w:rsidRPr="00424844">
        <w:t>thin markets</w:t>
      </w:r>
      <w:r>
        <w:t>,</w:t>
      </w:r>
      <w:r w:rsidR="007F7340" w:rsidRPr="00424844">
        <w:t xml:space="preserve"> </w:t>
      </w:r>
      <w:r>
        <w:t xml:space="preserve">in the </w:t>
      </w:r>
      <w:r w:rsidRPr="00424844">
        <w:t xml:space="preserve">analysis </w:t>
      </w:r>
      <w:r>
        <w:t xml:space="preserve">so </w:t>
      </w:r>
      <w:proofErr w:type="gramStart"/>
      <w:r>
        <w:t>far</w:t>
      </w:r>
      <w:proofErr w:type="gramEnd"/>
      <w:r>
        <w:t xml:space="preserve"> we have </w:t>
      </w:r>
      <w:r w:rsidRPr="00424844">
        <w:t xml:space="preserve">considered </w:t>
      </w:r>
      <w:r w:rsidR="003C6A2E" w:rsidRPr="00424844">
        <w:t xml:space="preserve">only </w:t>
      </w:r>
      <w:r w:rsidR="00424844" w:rsidRPr="00424844">
        <w:t>the routes which cover 50% of the total traffic in domestic and international markets respectively</w:t>
      </w:r>
      <w:r w:rsidR="00A054D3">
        <w:t xml:space="preserve">. </w:t>
      </w:r>
      <w:r w:rsidR="00D81A11">
        <w:t>I</w:t>
      </w:r>
      <w:r w:rsidR="00A054D3">
        <w:t>n this section we consider an even tighter threshold</w:t>
      </w:r>
      <w:r w:rsidR="00D81A11" w:rsidRPr="00D81A11">
        <w:t xml:space="preserve"> </w:t>
      </w:r>
      <w:r w:rsidR="00D81A11">
        <w:t xml:space="preserve">where we limit the attention </w:t>
      </w:r>
      <w:r w:rsidR="00D81A11" w:rsidRPr="003946AA">
        <w:t>to the densest routes which cover 25% of the total traffic in domestic and international markets</w:t>
      </w:r>
      <w:r w:rsidR="00D81A11">
        <w:t>,</w:t>
      </w:r>
      <w:r w:rsidR="00D81A11" w:rsidRPr="003946AA">
        <w:t xml:space="preserve"> respectively</w:t>
      </w:r>
      <w:r w:rsidR="00A054D3">
        <w:t>.</w:t>
      </w:r>
      <w:r w:rsidR="00D81A11">
        <w:t xml:space="preserve"> We also consider estimations where we relax this threshold to include routes that encompass 75% </w:t>
      </w:r>
      <w:r w:rsidR="00D81A11" w:rsidRPr="003946AA">
        <w:t>of the total traffic in domestic and international markets</w:t>
      </w:r>
      <w:r w:rsidR="00D81A11">
        <w:t>,</w:t>
      </w:r>
      <w:r w:rsidR="00D81A11" w:rsidRPr="003946AA">
        <w:t xml:space="preserve"> respectively</w:t>
      </w:r>
      <w:r w:rsidR="00D81A11">
        <w:t>.</w:t>
      </w:r>
      <w:r w:rsidR="00A054D3">
        <w:t xml:space="preserve"> </w:t>
      </w:r>
      <w:r w:rsidR="00DA1B1F">
        <w:t xml:space="preserve">These estimations support the overall insight that </w:t>
      </w:r>
      <w:r w:rsidR="00A054D3">
        <w:t xml:space="preserve">international markets </w:t>
      </w:r>
      <w:r w:rsidR="00DA1B1F">
        <w:t xml:space="preserve">exhibit </w:t>
      </w:r>
      <w:r w:rsidR="00A054D3">
        <w:t>stronger price responses to a Chapter 11 filing than domestic markets</w:t>
      </w:r>
      <w:r w:rsidR="00DA1B1F">
        <w:t>.</w:t>
      </w:r>
    </w:p>
    <w:p w14:paraId="63D4CD67" w14:textId="44A80C83" w:rsidR="00507916" w:rsidRDefault="006F2B39" w:rsidP="00D84ADF">
      <w:pPr>
        <w:pStyle w:val="FlietextFolge"/>
        <w:spacing w:line="360" w:lineRule="auto"/>
      </w:pPr>
      <w:r w:rsidRPr="00DE3CF7">
        <w:t>AA operate</w:t>
      </w:r>
      <w:r>
        <w:t>d</w:t>
      </w:r>
      <w:r w:rsidRPr="00DE3CF7">
        <w:t xml:space="preserve"> in </w:t>
      </w:r>
      <w:r>
        <w:t>4</w:t>
      </w:r>
      <w:r w:rsidR="00D84ADF">
        <w:t>7</w:t>
      </w:r>
      <w:r>
        <w:t xml:space="preserve"> (resp., 14)</w:t>
      </w:r>
      <w:r w:rsidRPr="00DE3CF7">
        <w:t xml:space="preserve"> of the </w:t>
      </w:r>
      <w:r>
        <w:t>213</w:t>
      </w:r>
      <w:r w:rsidRPr="00DE3CF7">
        <w:t xml:space="preserve"> </w:t>
      </w:r>
      <w:r>
        <w:t>(resp., 23) Europe</w:t>
      </w:r>
      <w:r w:rsidRPr="00DE3CF7">
        <w:t xml:space="preserve">-US routes during bankruptcy, and in </w:t>
      </w:r>
      <w:r>
        <w:t xml:space="preserve">41 (resp., </w:t>
      </w:r>
      <w:r w:rsidR="00D84ADF">
        <w:t xml:space="preserve">12) </w:t>
      </w:r>
      <w:r w:rsidRPr="00DE3CF7">
        <w:t>after emerging from Chapter 11. In US domestic markets AA operate</w:t>
      </w:r>
      <w:r>
        <w:t>d</w:t>
      </w:r>
      <w:r w:rsidRPr="00DE3CF7">
        <w:t xml:space="preserve"> during bankruptcy in </w:t>
      </w:r>
      <w:r w:rsidR="00D84ADF">
        <w:t>275 (resp., 88)</w:t>
      </w:r>
      <w:r w:rsidRPr="00DE3CF7">
        <w:t xml:space="preserve"> of the </w:t>
      </w:r>
      <w:r w:rsidR="00D84ADF">
        <w:t>1676</w:t>
      </w:r>
      <w:r w:rsidRPr="00DE3CF7">
        <w:t xml:space="preserve"> </w:t>
      </w:r>
      <w:r w:rsidR="00D84ADF">
        <w:t xml:space="preserve">(resp., 243) </w:t>
      </w:r>
      <w:r w:rsidRPr="00DE3CF7">
        <w:t>routes</w:t>
      </w:r>
      <w:r>
        <w:t xml:space="preserve"> in the </w:t>
      </w:r>
      <w:r>
        <w:lastRenderedPageBreak/>
        <w:t>sample</w:t>
      </w:r>
      <w:r w:rsidRPr="00DE3CF7">
        <w:t xml:space="preserve">, and in </w:t>
      </w:r>
      <w:r w:rsidR="00D84ADF">
        <w:t>285 (resp., 94)</w:t>
      </w:r>
      <w:r w:rsidRPr="00DE3CF7">
        <w:t xml:space="preserve"> after emerging from Chapter 11 protection</w:t>
      </w:r>
      <w:r w:rsidR="00D84ADF">
        <w:t xml:space="preserve"> in the 75% (resp., 25%) threshold</w:t>
      </w:r>
      <w:r w:rsidRPr="00DE3CF7">
        <w:t>.</w:t>
      </w:r>
      <w:r w:rsidR="00D84ADF">
        <w:t xml:space="preserve"> </w:t>
      </w:r>
      <w:r w:rsidRPr="005D6130">
        <w:rPr>
          <w:lang w:val="en-SG"/>
        </w:rPr>
        <w:t xml:space="preserve">Pinnacle Airlines </w:t>
      </w:r>
      <w:r>
        <w:rPr>
          <w:lang w:val="en-SG"/>
        </w:rPr>
        <w:t xml:space="preserve">operated in </w:t>
      </w:r>
      <w:r w:rsidR="00711032">
        <w:rPr>
          <w:lang w:val="en-SG"/>
        </w:rPr>
        <w:t>189 (resp., 7)</w:t>
      </w:r>
      <w:r>
        <w:rPr>
          <w:lang w:val="en-SG"/>
        </w:rPr>
        <w:t xml:space="preserve"> of the </w:t>
      </w:r>
      <w:r w:rsidR="00711032">
        <w:rPr>
          <w:lang w:val="en-SG"/>
        </w:rPr>
        <w:t>1676 (resp., 243)</w:t>
      </w:r>
      <w:r>
        <w:rPr>
          <w:lang w:val="en-SG"/>
        </w:rPr>
        <w:t xml:space="preserve"> domestic routes in the sample during bankruptcy and in </w:t>
      </w:r>
      <w:r w:rsidR="00711032">
        <w:rPr>
          <w:lang w:val="en-SG"/>
        </w:rPr>
        <w:t>143 (resp., 5)</w:t>
      </w:r>
      <w:r>
        <w:rPr>
          <w:lang w:val="en-SG"/>
        </w:rPr>
        <w:t xml:space="preserve"> after emerging from Chapter 11</w:t>
      </w:r>
      <w:r w:rsidR="00711032" w:rsidRPr="00711032">
        <w:t xml:space="preserve"> </w:t>
      </w:r>
      <w:r w:rsidR="00711032">
        <w:t>in the 75% (resp., 25%) threshold</w:t>
      </w:r>
      <w:r w:rsidR="00711032" w:rsidRPr="00DE3CF7">
        <w:t>.</w:t>
      </w:r>
      <w:r>
        <w:rPr>
          <w:lang w:val="en-SG"/>
        </w:rPr>
        <w:t xml:space="preserve"> </w:t>
      </w:r>
      <w:r w:rsidR="00711032">
        <w:rPr>
          <w:lang w:val="en-SG"/>
        </w:rPr>
        <w:t xml:space="preserve">Lastly, </w:t>
      </w:r>
      <w:r>
        <w:t xml:space="preserve">Mesa Air operated in </w:t>
      </w:r>
      <w:r w:rsidR="00201440">
        <w:t>157 (resp., 23)</w:t>
      </w:r>
      <w:r>
        <w:t xml:space="preserve"> of the </w:t>
      </w:r>
      <w:r w:rsidR="00201440">
        <w:t>1676 (resp., 243)</w:t>
      </w:r>
      <w:r>
        <w:t xml:space="preserve"> domestic routes in the bankruptcy period and in </w:t>
      </w:r>
      <w:r w:rsidR="00201440">
        <w:t>140 (resp., 22)</w:t>
      </w:r>
      <w:r>
        <w:t xml:space="preserve"> after emerging</w:t>
      </w:r>
      <w:r w:rsidR="00711032" w:rsidRPr="00711032">
        <w:t xml:space="preserve"> </w:t>
      </w:r>
      <w:r w:rsidR="00711032">
        <w:t>in the 75% (resp., 25%) threshold</w:t>
      </w:r>
      <w:r>
        <w:t xml:space="preserve">. </w:t>
      </w:r>
    </w:p>
    <w:p w14:paraId="07C04678" w14:textId="18D77BE3" w:rsidR="00C338CD" w:rsidRDefault="00D81A11" w:rsidP="00D84ADF">
      <w:pPr>
        <w:pStyle w:val="FlietextFolge"/>
        <w:spacing w:line="360" w:lineRule="auto"/>
      </w:pPr>
      <w:r>
        <w:t xml:space="preserve">In </w:t>
      </w:r>
      <w:r w:rsidR="00886B31">
        <w:fldChar w:fldCharType="begin"/>
      </w:r>
      <w:r w:rsidR="00886B31">
        <w:instrText xml:space="preserve"> REF _Ref529871419 \h </w:instrText>
      </w:r>
      <w:r w:rsidR="00886B31">
        <w:fldChar w:fldCharType="separate"/>
      </w:r>
      <w:r w:rsidR="00886B31">
        <w:t xml:space="preserve">Table </w:t>
      </w:r>
      <w:r w:rsidR="00886B31">
        <w:rPr>
          <w:noProof/>
        </w:rPr>
        <w:t>3</w:t>
      </w:r>
      <w:r w:rsidR="00886B31">
        <w:fldChar w:fldCharType="end"/>
      </w:r>
      <w:r w:rsidR="00886B31">
        <w:t xml:space="preserve"> </w:t>
      </w:r>
      <w:r>
        <w:t>we present estimations for markets covering 25% of traffic to explore the impact of bankruptcy in the thickest markets.</w:t>
      </w:r>
      <w:r w:rsidR="00E32C56">
        <w:t xml:space="preserve"> </w:t>
      </w:r>
      <w:r w:rsidR="001E438B">
        <w:t>Generally, we find consistent results. However, it appears that in these very thick markets the response of the competitors is rather mute in international markets as we do not find any significance of the corresponding terms (</w:t>
      </w:r>
      <m:oMath>
        <m:sSub>
          <m:sSubPr>
            <m:ctrlPr>
              <w:rPr>
                <w:rFonts w:ascii="Cambria Math" w:hAnsi="Cambria Math"/>
              </w:rPr>
            </m:ctrlPr>
          </m:sSubPr>
          <m:e>
            <m:r>
              <w:rPr>
                <w:rFonts w:ascii="Cambria Math" w:hAnsi="Cambria Math"/>
              </w:rPr>
              <m:t>α</m:t>
            </m:r>
          </m:e>
          <m:sub>
            <m:r>
              <w:rPr>
                <w:rFonts w:ascii="Cambria Math" w:hAnsi="Cambria Math"/>
              </w:rPr>
              <m:t>otherint</m:t>
            </m:r>
          </m:sub>
        </m:sSub>
      </m:oMath>
      <w:r w:rsidR="001E438B">
        <w:t xml:space="preserve"> and </w:t>
      </w:r>
      <m:oMath>
        <m:sSub>
          <m:sSubPr>
            <m:ctrlPr>
              <w:rPr>
                <w:rFonts w:ascii="Cambria Math" w:hAnsi="Cambria Math"/>
              </w:rPr>
            </m:ctrlPr>
          </m:sSubPr>
          <m:e>
            <m:r>
              <w:rPr>
                <w:rFonts w:ascii="Cambria Math" w:hAnsi="Cambria Math"/>
              </w:rPr>
              <m:t>β</m:t>
            </m:r>
          </m:e>
          <m:sub>
            <m:r>
              <w:rPr>
                <w:rFonts w:ascii="Cambria Math" w:hAnsi="Cambria Math"/>
              </w:rPr>
              <m:t>otherint</m:t>
            </m:r>
          </m:sub>
        </m:sSub>
      </m:oMath>
      <w:r w:rsidR="001E438B">
        <w:t xml:space="preserve">). </w:t>
      </w:r>
    </w:p>
    <w:p w14:paraId="2A5C613B" w14:textId="4C995BD4" w:rsidR="00886B31" w:rsidRDefault="00886B31" w:rsidP="00E52C8D">
      <w:pPr>
        <w:pStyle w:val="Caption"/>
        <w:keepNext/>
      </w:pPr>
      <w:bookmarkStart w:id="32" w:name="_Ref529871419"/>
      <w:r>
        <w:t xml:space="preserve">Table </w:t>
      </w:r>
      <w:r>
        <w:fldChar w:fldCharType="begin"/>
      </w:r>
      <w:r>
        <w:instrText xml:space="preserve"> SEQ Table \* ARABIC </w:instrText>
      </w:r>
      <w:r>
        <w:fldChar w:fldCharType="separate"/>
      </w:r>
      <w:r>
        <w:rPr>
          <w:noProof/>
        </w:rPr>
        <w:t>3</w:t>
      </w:r>
      <w:r>
        <w:fldChar w:fldCharType="end"/>
      </w:r>
      <w:bookmarkEnd w:id="32"/>
      <w:r>
        <w:t xml:space="preserve">. </w:t>
      </w:r>
      <w:r w:rsidRPr="007C315E">
        <w:t xml:space="preserve">Effects of Chapter 11 filings on prices in US domestic and international markets (dependent variable ln </w:t>
      </w:r>
      <w:proofErr w:type="spellStart"/>
      <w:r w:rsidRPr="007C315E">
        <w:t>P</w:t>
      </w:r>
      <w:r w:rsidRPr="00E52C8D">
        <w:rPr>
          <w:vertAlign w:val="subscript"/>
        </w:rPr>
        <w:t>crt</w:t>
      </w:r>
      <w:proofErr w:type="spellEnd"/>
      <w:r w:rsidRPr="007C315E">
        <w:t>), routes covering 25% of total traffic</w:t>
      </w:r>
    </w:p>
    <w:tbl>
      <w:tblPr>
        <w:tblStyle w:val="HelleSchattierung-Akzent11"/>
        <w:tblW w:w="8645" w:type="dxa"/>
        <w:tblLayout w:type="fixed"/>
        <w:tblLook w:val="0600" w:firstRow="0" w:lastRow="0" w:firstColumn="0" w:lastColumn="0" w:noHBand="1" w:noVBand="1"/>
      </w:tblPr>
      <w:tblGrid>
        <w:gridCol w:w="2410"/>
        <w:gridCol w:w="1247"/>
        <w:gridCol w:w="1247"/>
        <w:gridCol w:w="1247"/>
        <w:gridCol w:w="1247"/>
        <w:gridCol w:w="1247"/>
      </w:tblGrid>
      <w:tr w:rsidR="00D81A11" w:rsidRPr="0095351A" w14:paraId="058C4BE9" w14:textId="77777777" w:rsidTr="0098662B">
        <w:tc>
          <w:tcPr>
            <w:tcW w:w="2410" w:type="dxa"/>
            <w:tcBorders>
              <w:top w:val="single" w:sz="8" w:space="0" w:color="000000" w:themeColor="text1"/>
              <w:bottom w:val="single" w:sz="4" w:space="0" w:color="auto"/>
            </w:tcBorders>
          </w:tcPr>
          <w:p w14:paraId="206E39F0" w14:textId="77777777" w:rsidR="00D81A11" w:rsidRPr="0095351A" w:rsidRDefault="00D81A11" w:rsidP="0098662B">
            <w:pPr>
              <w:widowControl w:val="0"/>
              <w:autoSpaceDE w:val="0"/>
              <w:autoSpaceDN w:val="0"/>
              <w:adjustRightInd w:val="0"/>
              <w:spacing w:line="240" w:lineRule="auto"/>
              <w:rPr>
                <w:rFonts w:cs="Times New Roman"/>
                <w:szCs w:val="24"/>
                <w:lang w:val="en-GB"/>
              </w:rPr>
            </w:pPr>
          </w:p>
        </w:tc>
        <w:tc>
          <w:tcPr>
            <w:tcW w:w="1247" w:type="dxa"/>
            <w:tcBorders>
              <w:top w:val="single" w:sz="8" w:space="0" w:color="000000" w:themeColor="text1"/>
              <w:bottom w:val="single" w:sz="4" w:space="0" w:color="auto"/>
            </w:tcBorders>
          </w:tcPr>
          <w:p w14:paraId="3FB16283"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247" w:type="dxa"/>
            <w:tcBorders>
              <w:top w:val="single" w:sz="8" w:space="0" w:color="000000" w:themeColor="text1"/>
              <w:bottom w:val="single" w:sz="4" w:space="0" w:color="auto"/>
            </w:tcBorders>
          </w:tcPr>
          <w:p w14:paraId="131D0985"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247" w:type="dxa"/>
            <w:tcBorders>
              <w:top w:val="single" w:sz="8" w:space="0" w:color="000000" w:themeColor="text1"/>
              <w:bottom w:val="single" w:sz="4" w:space="0" w:color="auto"/>
            </w:tcBorders>
          </w:tcPr>
          <w:p w14:paraId="5C02E332"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247" w:type="dxa"/>
            <w:tcBorders>
              <w:top w:val="single" w:sz="8" w:space="0" w:color="000000" w:themeColor="text1"/>
              <w:bottom w:val="single" w:sz="4" w:space="0" w:color="auto"/>
            </w:tcBorders>
          </w:tcPr>
          <w:p w14:paraId="75D2D19F"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247" w:type="dxa"/>
            <w:tcBorders>
              <w:top w:val="single" w:sz="8" w:space="0" w:color="000000" w:themeColor="text1"/>
              <w:bottom w:val="single" w:sz="4" w:space="0" w:color="auto"/>
            </w:tcBorders>
          </w:tcPr>
          <w:p w14:paraId="33C0C683" w14:textId="77777777" w:rsidR="00D81A11"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D81A11" w:rsidRPr="0095351A" w14:paraId="7BCAC94C" w14:textId="77777777" w:rsidTr="0098662B">
        <w:tc>
          <w:tcPr>
            <w:tcW w:w="2410" w:type="dxa"/>
            <w:tcBorders>
              <w:top w:val="single" w:sz="4" w:space="0" w:color="auto"/>
            </w:tcBorders>
            <w:vAlign w:val="center"/>
          </w:tcPr>
          <w:p w14:paraId="7248E596"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247" w:type="dxa"/>
            <w:tcBorders>
              <w:top w:val="single" w:sz="4" w:space="0" w:color="auto"/>
            </w:tcBorders>
          </w:tcPr>
          <w:p w14:paraId="719C9151"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-0.037***</w:t>
            </w:r>
          </w:p>
        </w:tc>
        <w:tc>
          <w:tcPr>
            <w:tcW w:w="1247" w:type="dxa"/>
            <w:tcBorders>
              <w:top w:val="single" w:sz="4" w:space="0" w:color="auto"/>
            </w:tcBorders>
          </w:tcPr>
          <w:p w14:paraId="1E7FCAF0"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-0.037***</w:t>
            </w:r>
          </w:p>
        </w:tc>
        <w:tc>
          <w:tcPr>
            <w:tcW w:w="1247" w:type="dxa"/>
            <w:tcBorders>
              <w:top w:val="single" w:sz="4" w:space="0" w:color="auto"/>
            </w:tcBorders>
          </w:tcPr>
          <w:p w14:paraId="27990C11"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-0.060***</w:t>
            </w:r>
          </w:p>
        </w:tc>
        <w:tc>
          <w:tcPr>
            <w:tcW w:w="1247" w:type="dxa"/>
            <w:tcBorders>
              <w:top w:val="single" w:sz="4" w:space="0" w:color="auto"/>
            </w:tcBorders>
          </w:tcPr>
          <w:p w14:paraId="3570A877"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-0.033***</w:t>
            </w:r>
          </w:p>
        </w:tc>
        <w:tc>
          <w:tcPr>
            <w:tcW w:w="1247" w:type="dxa"/>
            <w:tcBorders>
              <w:top w:val="single" w:sz="4" w:space="0" w:color="auto"/>
            </w:tcBorders>
          </w:tcPr>
          <w:p w14:paraId="3DFBB13A"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-0.038***</w:t>
            </w:r>
          </w:p>
        </w:tc>
      </w:tr>
      <w:tr w:rsidR="00D81A11" w:rsidRPr="0095351A" w14:paraId="01C8B592" w14:textId="77777777" w:rsidTr="0098662B">
        <w:tc>
          <w:tcPr>
            <w:tcW w:w="2410" w:type="dxa"/>
            <w:vAlign w:val="center"/>
          </w:tcPr>
          <w:p w14:paraId="2D995089"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6DB36F35"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17BE437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792FB001"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35800CE7"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0C7BBB2F"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(0.004)</w:t>
            </w:r>
          </w:p>
        </w:tc>
      </w:tr>
      <w:tr w:rsidR="00D81A11" w:rsidRPr="0095351A" w14:paraId="48D3C107" w14:textId="77777777" w:rsidTr="0098662B">
        <w:tc>
          <w:tcPr>
            <w:tcW w:w="2410" w:type="dxa"/>
            <w:vAlign w:val="center"/>
          </w:tcPr>
          <w:p w14:paraId="0BEA5E0F"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247" w:type="dxa"/>
          </w:tcPr>
          <w:p w14:paraId="39272BE3"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0.021***</w:t>
            </w:r>
          </w:p>
        </w:tc>
        <w:tc>
          <w:tcPr>
            <w:tcW w:w="1247" w:type="dxa"/>
          </w:tcPr>
          <w:p w14:paraId="2ECB640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0.020***</w:t>
            </w:r>
          </w:p>
        </w:tc>
        <w:tc>
          <w:tcPr>
            <w:tcW w:w="1247" w:type="dxa"/>
          </w:tcPr>
          <w:p w14:paraId="4BC9DA94"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0.025***</w:t>
            </w:r>
          </w:p>
        </w:tc>
        <w:tc>
          <w:tcPr>
            <w:tcW w:w="1247" w:type="dxa"/>
          </w:tcPr>
          <w:p w14:paraId="19D33EC7"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0.023***</w:t>
            </w:r>
          </w:p>
        </w:tc>
        <w:tc>
          <w:tcPr>
            <w:tcW w:w="1247" w:type="dxa"/>
          </w:tcPr>
          <w:p w14:paraId="581C180E"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0.021***</w:t>
            </w:r>
          </w:p>
        </w:tc>
      </w:tr>
      <w:tr w:rsidR="00D81A11" w:rsidRPr="0095351A" w14:paraId="0F9F7A0A" w14:textId="77777777" w:rsidTr="0098662B">
        <w:tc>
          <w:tcPr>
            <w:tcW w:w="2410" w:type="dxa"/>
            <w:vAlign w:val="center"/>
          </w:tcPr>
          <w:p w14:paraId="7EA1119D"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042DBFB5"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A20260B"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E60630A"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02C457D2"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4169B708"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r>
      <w:tr w:rsidR="00D81A11" w:rsidRPr="0095351A" w14:paraId="4BB8EAEF" w14:textId="77777777" w:rsidTr="0098662B">
        <w:tc>
          <w:tcPr>
            <w:tcW w:w="2410" w:type="dxa"/>
            <w:vAlign w:val="center"/>
          </w:tcPr>
          <w:p w14:paraId="74198ABA"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247" w:type="dxa"/>
          </w:tcPr>
          <w:p w14:paraId="12EBEB26"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-0.073***</w:t>
            </w:r>
          </w:p>
        </w:tc>
        <w:tc>
          <w:tcPr>
            <w:tcW w:w="1247" w:type="dxa"/>
          </w:tcPr>
          <w:p w14:paraId="7FA8C1BB"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-0.070***</w:t>
            </w:r>
          </w:p>
        </w:tc>
        <w:tc>
          <w:tcPr>
            <w:tcW w:w="1247" w:type="dxa"/>
          </w:tcPr>
          <w:p w14:paraId="081D143B"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-0.091***</w:t>
            </w:r>
          </w:p>
        </w:tc>
        <w:tc>
          <w:tcPr>
            <w:tcW w:w="1247" w:type="dxa"/>
          </w:tcPr>
          <w:p w14:paraId="5E9DC11F"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-0.058***</w:t>
            </w:r>
          </w:p>
        </w:tc>
        <w:tc>
          <w:tcPr>
            <w:tcW w:w="1247" w:type="dxa"/>
          </w:tcPr>
          <w:p w14:paraId="6506AA1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-0.074***</w:t>
            </w:r>
          </w:p>
        </w:tc>
      </w:tr>
      <w:tr w:rsidR="00D81A11" w:rsidRPr="0095351A" w14:paraId="41CEBCF8" w14:textId="77777777" w:rsidTr="0098662B">
        <w:tc>
          <w:tcPr>
            <w:tcW w:w="2410" w:type="dxa"/>
            <w:vAlign w:val="center"/>
          </w:tcPr>
          <w:p w14:paraId="1019A8D8"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436F2E06"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1B4587EE"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557C7094"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21F7C3A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391A5229"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(0.005)</w:t>
            </w:r>
          </w:p>
        </w:tc>
      </w:tr>
      <w:tr w:rsidR="00D81A11" w:rsidRPr="0095351A" w14:paraId="0487EC1B" w14:textId="77777777" w:rsidTr="0098662B">
        <w:tc>
          <w:tcPr>
            <w:tcW w:w="2410" w:type="dxa"/>
            <w:vAlign w:val="center"/>
          </w:tcPr>
          <w:p w14:paraId="33345A46"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247" w:type="dxa"/>
          </w:tcPr>
          <w:p w14:paraId="7A7803A5"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930D76F"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1C5BF54"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0.014***</w:t>
            </w:r>
          </w:p>
        </w:tc>
        <w:tc>
          <w:tcPr>
            <w:tcW w:w="1247" w:type="dxa"/>
          </w:tcPr>
          <w:p w14:paraId="6A49B29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0.014***</w:t>
            </w:r>
          </w:p>
        </w:tc>
        <w:tc>
          <w:tcPr>
            <w:tcW w:w="1247" w:type="dxa"/>
          </w:tcPr>
          <w:p w14:paraId="2855F43F"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0.002</w:t>
            </w:r>
          </w:p>
        </w:tc>
      </w:tr>
      <w:tr w:rsidR="00D81A11" w:rsidRPr="0095351A" w14:paraId="202B834C" w14:textId="77777777" w:rsidTr="0098662B">
        <w:tc>
          <w:tcPr>
            <w:tcW w:w="2410" w:type="dxa"/>
            <w:vAlign w:val="center"/>
          </w:tcPr>
          <w:p w14:paraId="6D798BC4"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6AF3D4BD"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27353E4A"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40A35873"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55851D20"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EBB3D4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r>
      <w:tr w:rsidR="00D81A11" w:rsidRPr="0095351A" w14:paraId="6930213B" w14:textId="77777777" w:rsidTr="0098662B">
        <w:tc>
          <w:tcPr>
            <w:tcW w:w="2410" w:type="dxa"/>
            <w:vAlign w:val="center"/>
          </w:tcPr>
          <w:p w14:paraId="4058C9A9"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p>
        </w:tc>
        <w:tc>
          <w:tcPr>
            <w:tcW w:w="1247" w:type="dxa"/>
          </w:tcPr>
          <w:p w14:paraId="293D2413"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-0.539***</w:t>
            </w:r>
          </w:p>
        </w:tc>
        <w:tc>
          <w:tcPr>
            <w:tcW w:w="1247" w:type="dxa"/>
          </w:tcPr>
          <w:p w14:paraId="299DB1EA"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-0.533***</w:t>
            </w:r>
          </w:p>
        </w:tc>
        <w:tc>
          <w:tcPr>
            <w:tcW w:w="1247" w:type="dxa"/>
          </w:tcPr>
          <w:p w14:paraId="21BF1CA6"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-0.442***</w:t>
            </w:r>
          </w:p>
        </w:tc>
        <w:tc>
          <w:tcPr>
            <w:tcW w:w="1247" w:type="dxa"/>
          </w:tcPr>
          <w:p w14:paraId="3BBAE073"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-0.541***</w:t>
            </w:r>
          </w:p>
        </w:tc>
        <w:tc>
          <w:tcPr>
            <w:tcW w:w="1247" w:type="dxa"/>
          </w:tcPr>
          <w:p w14:paraId="0B4174F2"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-0.538***</w:t>
            </w:r>
          </w:p>
        </w:tc>
      </w:tr>
      <w:tr w:rsidR="00D81A11" w:rsidRPr="0095351A" w14:paraId="720A202E" w14:textId="77777777" w:rsidTr="0098662B">
        <w:tc>
          <w:tcPr>
            <w:tcW w:w="2410" w:type="dxa"/>
            <w:vAlign w:val="center"/>
          </w:tcPr>
          <w:p w14:paraId="7677D2E9"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6DE325D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(0.021)</w:t>
            </w:r>
          </w:p>
        </w:tc>
        <w:tc>
          <w:tcPr>
            <w:tcW w:w="1247" w:type="dxa"/>
          </w:tcPr>
          <w:p w14:paraId="3E305472"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(0.021)</w:t>
            </w:r>
          </w:p>
        </w:tc>
        <w:tc>
          <w:tcPr>
            <w:tcW w:w="1247" w:type="dxa"/>
          </w:tcPr>
          <w:p w14:paraId="5F246610"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(0.024)</w:t>
            </w:r>
          </w:p>
        </w:tc>
        <w:tc>
          <w:tcPr>
            <w:tcW w:w="1247" w:type="dxa"/>
          </w:tcPr>
          <w:p w14:paraId="126C6D0D"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(0.022)</w:t>
            </w:r>
          </w:p>
        </w:tc>
        <w:tc>
          <w:tcPr>
            <w:tcW w:w="1247" w:type="dxa"/>
          </w:tcPr>
          <w:p w14:paraId="64A03B26"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(0.021)</w:t>
            </w:r>
          </w:p>
        </w:tc>
      </w:tr>
      <w:tr w:rsidR="00D81A11" w:rsidRPr="0095351A" w14:paraId="36AE5553" w14:textId="77777777" w:rsidTr="0098662B">
        <w:tc>
          <w:tcPr>
            <w:tcW w:w="2410" w:type="dxa"/>
            <w:vAlign w:val="center"/>
          </w:tcPr>
          <w:p w14:paraId="09817CD3"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otherint</m:t>
                  </m:r>
                </m:sub>
              </m:sSub>
            </m:oMath>
          </w:p>
        </w:tc>
        <w:tc>
          <w:tcPr>
            <w:tcW w:w="1247" w:type="dxa"/>
          </w:tcPr>
          <w:p w14:paraId="479E64B9"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0.001</w:t>
            </w:r>
          </w:p>
        </w:tc>
        <w:tc>
          <w:tcPr>
            <w:tcW w:w="1247" w:type="dxa"/>
          </w:tcPr>
          <w:p w14:paraId="228ADE48"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447E382A"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-0.049***</w:t>
            </w:r>
          </w:p>
        </w:tc>
        <w:tc>
          <w:tcPr>
            <w:tcW w:w="1247" w:type="dxa"/>
          </w:tcPr>
          <w:p w14:paraId="393D6C17"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0468771D"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0.002</w:t>
            </w:r>
          </w:p>
        </w:tc>
      </w:tr>
      <w:tr w:rsidR="00D81A11" w:rsidRPr="0095351A" w14:paraId="1B5AD1D7" w14:textId="77777777" w:rsidTr="0098662B">
        <w:tc>
          <w:tcPr>
            <w:tcW w:w="2410" w:type="dxa"/>
            <w:vAlign w:val="center"/>
          </w:tcPr>
          <w:p w14:paraId="590C170F"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3FDD8659"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3077CD63"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7F0F2C9F"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042FD1EB"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3994C51E"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(0.006)</w:t>
            </w:r>
          </w:p>
        </w:tc>
      </w:tr>
      <w:tr w:rsidR="00D81A11" w:rsidRPr="0095351A" w14:paraId="417E3271" w14:textId="77777777" w:rsidTr="0098662B">
        <w:tc>
          <w:tcPr>
            <w:tcW w:w="2410" w:type="dxa"/>
            <w:vAlign w:val="center"/>
          </w:tcPr>
          <w:p w14:paraId="0630D297"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p>
        </w:tc>
        <w:tc>
          <w:tcPr>
            <w:tcW w:w="1247" w:type="dxa"/>
          </w:tcPr>
          <w:p w14:paraId="1A0BA826"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-0.438***</w:t>
            </w:r>
          </w:p>
        </w:tc>
        <w:tc>
          <w:tcPr>
            <w:tcW w:w="1247" w:type="dxa"/>
          </w:tcPr>
          <w:p w14:paraId="4C3E839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-0.425***</w:t>
            </w:r>
          </w:p>
        </w:tc>
        <w:tc>
          <w:tcPr>
            <w:tcW w:w="1247" w:type="dxa"/>
          </w:tcPr>
          <w:p w14:paraId="154BCE4B"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-0.398***</w:t>
            </w:r>
          </w:p>
        </w:tc>
        <w:tc>
          <w:tcPr>
            <w:tcW w:w="1247" w:type="dxa"/>
          </w:tcPr>
          <w:p w14:paraId="1835C5D3"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-0.440***</w:t>
            </w:r>
          </w:p>
        </w:tc>
        <w:tc>
          <w:tcPr>
            <w:tcW w:w="1247" w:type="dxa"/>
          </w:tcPr>
          <w:p w14:paraId="61F2FA6E"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-0.437***</w:t>
            </w:r>
          </w:p>
        </w:tc>
      </w:tr>
      <w:tr w:rsidR="00D81A11" w:rsidRPr="0095351A" w14:paraId="740A0931" w14:textId="77777777" w:rsidTr="0098662B">
        <w:tc>
          <w:tcPr>
            <w:tcW w:w="2410" w:type="dxa"/>
            <w:vAlign w:val="center"/>
          </w:tcPr>
          <w:p w14:paraId="2161E2C8"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4345E24E"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(0.022)</w:t>
            </w:r>
          </w:p>
        </w:tc>
        <w:tc>
          <w:tcPr>
            <w:tcW w:w="1247" w:type="dxa"/>
          </w:tcPr>
          <w:p w14:paraId="6B07A765"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(0.022)</w:t>
            </w:r>
          </w:p>
        </w:tc>
        <w:tc>
          <w:tcPr>
            <w:tcW w:w="1247" w:type="dxa"/>
          </w:tcPr>
          <w:p w14:paraId="1FADBE76"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(0.025)</w:t>
            </w:r>
          </w:p>
        </w:tc>
        <w:tc>
          <w:tcPr>
            <w:tcW w:w="1247" w:type="dxa"/>
          </w:tcPr>
          <w:p w14:paraId="67707694"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(0.023)</w:t>
            </w:r>
          </w:p>
        </w:tc>
        <w:tc>
          <w:tcPr>
            <w:tcW w:w="1247" w:type="dxa"/>
          </w:tcPr>
          <w:p w14:paraId="6081F111"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(0.022)</w:t>
            </w:r>
          </w:p>
        </w:tc>
      </w:tr>
      <w:tr w:rsidR="00D81A11" w:rsidRPr="0095351A" w14:paraId="71ABCFC8" w14:textId="77777777" w:rsidTr="0098662B">
        <w:tc>
          <w:tcPr>
            <w:tcW w:w="2410" w:type="dxa"/>
            <w:vAlign w:val="center"/>
          </w:tcPr>
          <w:p w14:paraId="400F8BD8"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otherint</m:t>
                  </m:r>
                </m:sub>
              </m:sSub>
            </m:oMath>
          </w:p>
        </w:tc>
        <w:tc>
          <w:tcPr>
            <w:tcW w:w="1247" w:type="dxa"/>
          </w:tcPr>
          <w:p w14:paraId="2F74BECD"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0.001</w:t>
            </w:r>
          </w:p>
        </w:tc>
        <w:tc>
          <w:tcPr>
            <w:tcW w:w="1247" w:type="dxa"/>
          </w:tcPr>
          <w:p w14:paraId="2CC89671"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264029F8"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-0.048***</w:t>
            </w:r>
          </w:p>
        </w:tc>
        <w:tc>
          <w:tcPr>
            <w:tcW w:w="1247" w:type="dxa"/>
          </w:tcPr>
          <w:p w14:paraId="0696DC6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6492E017"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0.003</w:t>
            </w:r>
          </w:p>
        </w:tc>
      </w:tr>
      <w:tr w:rsidR="00D81A11" w:rsidRPr="0095351A" w14:paraId="50A4D8E3" w14:textId="77777777" w:rsidTr="0098662B">
        <w:tc>
          <w:tcPr>
            <w:tcW w:w="2410" w:type="dxa"/>
            <w:vAlign w:val="center"/>
          </w:tcPr>
          <w:p w14:paraId="674F2E67"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63B42445"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10E058C4"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09BA07AF"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40C58C0E"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759AD9DD"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(0.006)</w:t>
            </w:r>
          </w:p>
        </w:tc>
      </w:tr>
      <w:tr w:rsidR="00D81A11" w:rsidRPr="0095351A" w14:paraId="0B5EEE1D" w14:textId="77777777" w:rsidTr="0098662B">
        <w:tc>
          <w:tcPr>
            <w:tcW w:w="2410" w:type="dxa"/>
            <w:vAlign w:val="center"/>
          </w:tcPr>
          <w:p w14:paraId="5F2161FE"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HHI</m:t>
              </m:r>
            </m:oMath>
          </w:p>
        </w:tc>
        <w:tc>
          <w:tcPr>
            <w:tcW w:w="1247" w:type="dxa"/>
          </w:tcPr>
          <w:p w14:paraId="1EB92BD6"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0.184***</w:t>
            </w:r>
          </w:p>
        </w:tc>
        <w:tc>
          <w:tcPr>
            <w:tcW w:w="1247" w:type="dxa"/>
          </w:tcPr>
          <w:p w14:paraId="40D36D0F"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0.181***</w:t>
            </w:r>
          </w:p>
        </w:tc>
        <w:tc>
          <w:tcPr>
            <w:tcW w:w="1247" w:type="dxa"/>
          </w:tcPr>
          <w:p w14:paraId="0A0BBAC2"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0.161***</w:t>
            </w:r>
          </w:p>
        </w:tc>
        <w:tc>
          <w:tcPr>
            <w:tcW w:w="1247" w:type="dxa"/>
          </w:tcPr>
          <w:p w14:paraId="7F0863F0"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0.201***</w:t>
            </w:r>
          </w:p>
        </w:tc>
        <w:tc>
          <w:tcPr>
            <w:tcW w:w="1247" w:type="dxa"/>
          </w:tcPr>
          <w:p w14:paraId="7FEEE89E"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0.171***</w:t>
            </w:r>
          </w:p>
        </w:tc>
      </w:tr>
      <w:tr w:rsidR="00D81A11" w:rsidRPr="0095351A" w14:paraId="367CECC1" w14:textId="77777777" w:rsidTr="0098662B">
        <w:tc>
          <w:tcPr>
            <w:tcW w:w="2410" w:type="dxa"/>
            <w:vAlign w:val="center"/>
          </w:tcPr>
          <w:p w14:paraId="53E173A0"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Pr>
          <w:p w14:paraId="0B1D9799"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094D6D3A"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7A63F6B9"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(0.012)</w:t>
            </w:r>
          </w:p>
        </w:tc>
        <w:tc>
          <w:tcPr>
            <w:tcW w:w="1247" w:type="dxa"/>
          </w:tcPr>
          <w:p w14:paraId="67FD214C"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74F357D1"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(0.011)</w:t>
            </w:r>
          </w:p>
        </w:tc>
      </w:tr>
      <w:tr w:rsidR="00D81A11" w:rsidRPr="0095351A" w14:paraId="44F99E8B" w14:textId="77777777" w:rsidTr="0098662B">
        <w:tc>
          <w:tcPr>
            <w:tcW w:w="2410" w:type="dxa"/>
            <w:vAlign w:val="center"/>
          </w:tcPr>
          <w:p w14:paraId="71937D74"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r>
              <w:t xml:space="preserve"> </w:t>
            </w:r>
            <m:oMath>
              <m:r>
                <m:rPr>
                  <m:sty m:val="p"/>
                </m:rPr>
                <w:rPr>
                  <w:rFonts w:ascii="Cambria Math" w:hAnsi="Cambria Math"/>
                </w:rPr>
                <m:t>Int</m:t>
              </m:r>
            </m:oMath>
          </w:p>
        </w:tc>
        <w:tc>
          <w:tcPr>
            <w:tcW w:w="1247" w:type="dxa"/>
          </w:tcPr>
          <w:p w14:paraId="4240C712" w14:textId="77777777" w:rsidR="00D81A11" w:rsidRDefault="00D81A11" w:rsidP="0098662B">
            <w:pPr>
              <w:widowControl w:val="0"/>
              <w:autoSpaceDE w:val="0"/>
              <w:autoSpaceDN w:val="0"/>
              <w:adjustRightInd w:val="0"/>
              <w:spacing w:line="240" w:lineRule="auto"/>
              <w:jc w:val="center"/>
              <w:rPr>
                <w:rFonts w:cs="Times New Roman"/>
                <w:szCs w:val="24"/>
              </w:rPr>
            </w:pPr>
          </w:p>
        </w:tc>
        <w:tc>
          <w:tcPr>
            <w:tcW w:w="1247" w:type="dxa"/>
          </w:tcPr>
          <w:p w14:paraId="4A21E829" w14:textId="77777777" w:rsidR="00D81A11" w:rsidRDefault="00D81A11" w:rsidP="0098662B">
            <w:pPr>
              <w:widowControl w:val="0"/>
              <w:autoSpaceDE w:val="0"/>
              <w:autoSpaceDN w:val="0"/>
              <w:adjustRightInd w:val="0"/>
              <w:spacing w:line="240" w:lineRule="auto"/>
              <w:jc w:val="center"/>
              <w:rPr>
                <w:rFonts w:cs="Times New Roman"/>
                <w:szCs w:val="24"/>
              </w:rPr>
            </w:pPr>
          </w:p>
        </w:tc>
        <w:tc>
          <w:tcPr>
            <w:tcW w:w="1247" w:type="dxa"/>
          </w:tcPr>
          <w:p w14:paraId="11D458F2" w14:textId="77777777" w:rsidR="00D81A11" w:rsidRDefault="00D81A11" w:rsidP="0098662B">
            <w:pPr>
              <w:widowControl w:val="0"/>
              <w:autoSpaceDE w:val="0"/>
              <w:autoSpaceDN w:val="0"/>
              <w:adjustRightInd w:val="0"/>
              <w:spacing w:line="240" w:lineRule="auto"/>
              <w:jc w:val="center"/>
              <w:rPr>
                <w:rFonts w:cs="Times New Roman"/>
                <w:szCs w:val="24"/>
              </w:rPr>
            </w:pPr>
          </w:p>
        </w:tc>
        <w:tc>
          <w:tcPr>
            <w:tcW w:w="1247" w:type="dxa"/>
          </w:tcPr>
          <w:p w14:paraId="1A64EC8C" w14:textId="77777777" w:rsidR="00D81A11" w:rsidRDefault="00D81A11" w:rsidP="0098662B">
            <w:pPr>
              <w:widowControl w:val="0"/>
              <w:autoSpaceDE w:val="0"/>
              <w:autoSpaceDN w:val="0"/>
              <w:adjustRightInd w:val="0"/>
              <w:spacing w:line="240" w:lineRule="auto"/>
              <w:jc w:val="center"/>
              <w:rPr>
                <w:rFonts w:cs="Times New Roman"/>
                <w:szCs w:val="24"/>
              </w:rPr>
            </w:pPr>
          </w:p>
        </w:tc>
        <w:tc>
          <w:tcPr>
            <w:tcW w:w="1247" w:type="dxa"/>
          </w:tcPr>
          <w:p w14:paraId="2CD365EA"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-0.144***</w:t>
            </w:r>
          </w:p>
        </w:tc>
      </w:tr>
      <w:tr w:rsidR="00D81A11" w:rsidRPr="0095351A" w14:paraId="45363E70" w14:textId="77777777" w:rsidTr="0098662B">
        <w:tc>
          <w:tcPr>
            <w:tcW w:w="2410" w:type="dxa"/>
            <w:tcBorders>
              <w:bottom w:val="single" w:sz="4" w:space="0" w:color="auto"/>
            </w:tcBorders>
            <w:vAlign w:val="center"/>
          </w:tcPr>
          <w:p w14:paraId="374420D9" w14:textId="77777777" w:rsidR="00D81A11" w:rsidRPr="0095351A" w:rsidRDefault="00D81A11" w:rsidP="0098662B">
            <w:pPr>
              <w:widowControl w:val="0"/>
              <w:autoSpaceDE w:val="0"/>
              <w:autoSpaceDN w:val="0"/>
              <w:adjustRightInd w:val="0"/>
              <w:spacing w:line="240" w:lineRule="auto"/>
              <w:jc w:val="left"/>
              <w:rPr>
                <w:rFonts w:cs="Times New Roman"/>
                <w:szCs w:val="24"/>
                <w:lang w:val="en-GB"/>
              </w:rPr>
            </w:pPr>
          </w:p>
        </w:tc>
        <w:tc>
          <w:tcPr>
            <w:tcW w:w="1247" w:type="dxa"/>
            <w:tcBorders>
              <w:bottom w:val="single" w:sz="4" w:space="0" w:color="auto"/>
            </w:tcBorders>
          </w:tcPr>
          <w:p w14:paraId="4BAD0351" w14:textId="77777777" w:rsidR="00D81A11" w:rsidRDefault="00D81A11" w:rsidP="0098662B">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47651623" w14:textId="77777777" w:rsidR="00D81A11" w:rsidRDefault="00D81A11" w:rsidP="0098662B">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0C0F2325" w14:textId="77777777" w:rsidR="00D81A11" w:rsidRDefault="00D81A11" w:rsidP="0098662B">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3BC40188" w14:textId="77777777" w:rsidR="00D81A11" w:rsidRDefault="00D81A11" w:rsidP="0098662B">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697B95FF"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(0.036)</w:t>
            </w:r>
          </w:p>
        </w:tc>
      </w:tr>
      <w:tr w:rsidR="00D81A11" w:rsidRPr="0095351A" w14:paraId="29540762" w14:textId="77777777" w:rsidTr="0098662B">
        <w:tc>
          <w:tcPr>
            <w:tcW w:w="2410" w:type="dxa"/>
            <w:tcBorders>
              <w:top w:val="single" w:sz="4" w:space="0" w:color="auto"/>
              <w:bottom w:val="nil"/>
            </w:tcBorders>
          </w:tcPr>
          <w:p w14:paraId="4D06309E" w14:textId="77777777" w:rsidR="00D81A11" w:rsidRPr="0095351A" w:rsidRDefault="00D81A11" w:rsidP="0098662B">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247" w:type="dxa"/>
            <w:tcBorders>
              <w:top w:val="single" w:sz="4" w:space="0" w:color="auto"/>
              <w:bottom w:val="nil"/>
            </w:tcBorders>
          </w:tcPr>
          <w:p w14:paraId="018406C0"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rPr>
              <w:t>51,871</w:t>
            </w:r>
          </w:p>
        </w:tc>
        <w:tc>
          <w:tcPr>
            <w:tcW w:w="1247" w:type="dxa"/>
            <w:tcBorders>
              <w:top w:val="single" w:sz="4" w:space="0" w:color="auto"/>
              <w:bottom w:val="nil"/>
            </w:tcBorders>
          </w:tcPr>
          <w:p w14:paraId="4103B610"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rPr>
              <w:t>53,724</w:t>
            </w:r>
          </w:p>
        </w:tc>
        <w:tc>
          <w:tcPr>
            <w:tcW w:w="1247" w:type="dxa"/>
            <w:tcBorders>
              <w:top w:val="single" w:sz="4" w:space="0" w:color="auto"/>
              <w:bottom w:val="nil"/>
            </w:tcBorders>
          </w:tcPr>
          <w:p w14:paraId="466C5423"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rPr>
              <w:t>51,947</w:t>
            </w:r>
          </w:p>
        </w:tc>
        <w:tc>
          <w:tcPr>
            <w:tcW w:w="1247" w:type="dxa"/>
            <w:tcBorders>
              <w:top w:val="single" w:sz="4" w:space="0" w:color="auto"/>
              <w:bottom w:val="nil"/>
            </w:tcBorders>
          </w:tcPr>
          <w:p w14:paraId="44E49D3A"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rPr>
              <w:t>51,871</w:t>
            </w:r>
          </w:p>
        </w:tc>
        <w:tc>
          <w:tcPr>
            <w:tcW w:w="1247" w:type="dxa"/>
            <w:tcBorders>
              <w:top w:val="single" w:sz="4" w:space="0" w:color="auto"/>
              <w:bottom w:val="nil"/>
            </w:tcBorders>
          </w:tcPr>
          <w:p w14:paraId="1170A419"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51,949</w:t>
            </w:r>
          </w:p>
        </w:tc>
      </w:tr>
      <w:tr w:rsidR="00D81A11" w:rsidRPr="0095351A" w14:paraId="140A262A" w14:textId="77777777" w:rsidTr="0098662B">
        <w:tc>
          <w:tcPr>
            <w:tcW w:w="2410" w:type="dxa"/>
          </w:tcPr>
          <w:p w14:paraId="17AC0C34" w14:textId="77777777" w:rsidR="00D81A11" w:rsidRPr="0095351A" w:rsidRDefault="00D81A11" w:rsidP="0098662B">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/LL</w:t>
            </w:r>
          </w:p>
        </w:tc>
        <w:tc>
          <w:tcPr>
            <w:tcW w:w="1247" w:type="dxa"/>
          </w:tcPr>
          <w:p w14:paraId="3E5CD2F3"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rPr>
              <w:t>0.0373</w:t>
            </w:r>
          </w:p>
        </w:tc>
        <w:tc>
          <w:tcPr>
            <w:tcW w:w="1247" w:type="dxa"/>
          </w:tcPr>
          <w:p w14:paraId="0A1586A1"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rPr>
              <w:t>0.0348</w:t>
            </w:r>
          </w:p>
        </w:tc>
        <w:tc>
          <w:tcPr>
            <w:tcW w:w="1247" w:type="dxa"/>
          </w:tcPr>
          <w:p w14:paraId="76DA7380"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rPr>
              <w:t>0.0270</w:t>
            </w:r>
          </w:p>
        </w:tc>
        <w:tc>
          <w:tcPr>
            <w:tcW w:w="1247" w:type="dxa"/>
          </w:tcPr>
          <w:p w14:paraId="358DEB5D" w14:textId="77777777" w:rsidR="00D81A11" w:rsidRPr="0095351A" w:rsidRDefault="00D81A11" w:rsidP="0098662B">
            <w:pPr>
              <w:widowControl w:val="0"/>
              <w:autoSpaceDE w:val="0"/>
              <w:autoSpaceDN w:val="0"/>
              <w:adjustRightInd w:val="0"/>
              <w:spacing w:line="240" w:lineRule="auto"/>
              <w:jc w:val="center"/>
              <w:rPr>
                <w:rFonts w:cs="Times New Roman"/>
                <w:szCs w:val="24"/>
                <w:lang w:val="en-GB"/>
              </w:rPr>
            </w:pPr>
            <w:r>
              <w:rPr>
                <w:rFonts w:cs="Times New Roman"/>
                <w:szCs w:val="24"/>
              </w:rPr>
              <w:t>0.0325</w:t>
            </w:r>
          </w:p>
        </w:tc>
        <w:tc>
          <w:tcPr>
            <w:tcW w:w="1247" w:type="dxa"/>
          </w:tcPr>
          <w:p w14:paraId="208B1DFD" w14:textId="77777777" w:rsidR="00D81A11" w:rsidRDefault="00D81A11" w:rsidP="0098662B">
            <w:pPr>
              <w:widowControl w:val="0"/>
              <w:autoSpaceDE w:val="0"/>
              <w:autoSpaceDN w:val="0"/>
              <w:adjustRightInd w:val="0"/>
              <w:spacing w:line="240" w:lineRule="auto"/>
              <w:jc w:val="center"/>
              <w:rPr>
                <w:rFonts w:cs="Times New Roman"/>
                <w:szCs w:val="24"/>
              </w:rPr>
            </w:pPr>
            <w:r>
              <w:rPr>
                <w:rFonts w:cs="Times New Roman"/>
                <w:szCs w:val="24"/>
              </w:rPr>
              <w:t>33437</w:t>
            </w:r>
          </w:p>
        </w:tc>
      </w:tr>
    </w:tbl>
    <w:p w14:paraId="6466D606" w14:textId="180A90DE" w:rsidR="00D81A11" w:rsidRDefault="00D81A11" w:rsidP="00D81A11">
      <w:pPr>
        <w:pStyle w:val="FlietextFolge"/>
        <w:ind w:left="284" w:firstLine="0"/>
      </w:pPr>
      <w:r w:rsidRPr="0095351A">
        <w:t>Standard errors in parentheses</w:t>
      </w:r>
      <w:r>
        <w:t xml:space="preserve">; </w:t>
      </w:r>
      <w:r w:rsidRPr="0095351A">
        <w:t>*** p&lt;0.01, ** p&lt;0.05, * p&lt;0.1</w:t>
      </w:r>
      <w:r>
        <w:t xml:space="preserve">; the four estimation models are defined in </w:t>
      </w:r>
      <w:r>
        <w:fldChar w:fldCharType="begin"/>
      </w:r>
      <w:r>
        <w:instrText xml:space="preserve"> REF _Ref447293539 \h </w:instrText>
      </w:r>
      <w:r>
        <w:fldChar w:fldCharType="separate"/>
      </w:r>
      <w:r w:rsidR="00886B31">
        <w:t xml:space="preserve">Table </w:t>
      </w:r>
      <w:r w:rsidR="00886B31">
        <w:rPr>
          <w:noProof/>
        </w:rPr>
        <w:t>1</w:t>
      </w:r>
      <w:r>
        <w:fldChar w:fldCharType="end"/>
      </w:r>
      <w:r>
        <w:t>.</w:t>
      </w:r>
    </w:p>
    <w:p w14:paraId="582D89EE" w14:textId="77777777" w:rsidR="00D81A11" w:rsidRDefault="00D81A11" w:rsidP="00D81A11">
      <w:pPr>
        <w:pStyle w:val="FlietextFolge"/>
        <w:spacing w:line="360" w:lineRule="auto"/>
        <w:ind w:firstLine="288"/>
      </w:pPr>
    </w:p>
    <w:p w14:paraId="12F9D1DA" w14:textId="65AB3B41" w:rsidR="00D81A11" w:rsidRDefault="001E438B" w:rsidP="00566DE0">
      <w:pPr>
        <w:pStyle w:val="FlietextFolge"/>
        <w:spacing w:line="360" w:lineRule="auto"/>
      </w:pPr>
      <w:r>
        <w:lastRenderedPageBreak/>
        <w:t xml:space="preserve">Proceeding with thinner markets, in </w:t>
      </w:r>
      <w:r w:rsidR="00886B31">
        <w:fldChar w:fldCharType="begin"/>
      </w:r>
      <w:r w:rsidR="00886B31">
        <w:instrText xml:space="preserve"> REF _Ref529871430 \h </w:instrText>
      </w:r>
      <w:r w:rsidR="00886B31">
        <w:fldChar w:fldCharType="separate"/>
      </w:r>
      <w:r w:rsidR="00886B31">
        <w:t xml:space="preserve">Table </w:t>
      </w:r>
      <w:r w:rsidR="00886B31">
        <w:rPr>
          <w:noProof/>
        </w:rPr>
        <w:t>4</w:t>
      </w:r>
      <w:r w:rsidR="00886B31">
        <w:fldChar w:fldCharType="end"/>
      </w:r>
      <w:r w:rsidR="00886B31">
        <w:t xml:space="preserve"> </w:t>
      </w:r>
      <w:r>
        <w:t>we present estimations for markets covering 75% of traffic to explore the impact of bankruptcy in the thickest markets. Those additional markets do no</w:t>
      </w:r>
      <w:r w:rsidR="000F3F80">
        <w:t>t</w:t>
      </w:r>
      <w:r>
        <w:t xml:space="preserve"> qualitatively change the insights derived in </w:t>
      </w:r>
      <w:r>
        <w:rPr>
          <w:rFonts w:cs="Times New Roman"/>
        </w:rPr>
        <w:t>§</w:t>
      </w:r>
      <w:r>
        <w:fldChar w:fldCharType="begin"/>
      </w:r>
      <w:r>
        <w:rPr>
          <w:rFonts w:cs="Times New Roman"/>
        </w:rPr>
        <w:instrText xml:space="preserve"> REF _Ref464498534 \r \h </w:instrText>
      </w:r>
      <w:r>
        <w:fldChar w:fldCharType="separate"/>
      </w:r>
      <w:r w:rsidR="00886B31">
        <w:rPr>
          <w:rFonts w:cs="Times New Roman"/>
          <w:cs/>
        </w:rPr>
        <w:t>‎</w:t>
      </w:r>
      <w:r w:rsidR="00886B31">
        <w:rPr>
          <w:rFonts w:cs="Times New Roman"/>
        </w:rPr>
        <w:t>5</w:t>
      </w:r>
      <w:r>
        <w:fldChar w:fldCharType="end"/>
      </w:r>
      <w:r>
        <w:t>.</w:t>
      </w:r>
    </w:p>
    <w:p w14:paraId="3C056E3F" w14:textId="77777777" w:rsidR="0009147E" w:rsidRDefault="0009147E" w:rsidP="0009147E">
      <w:pPr>
        <w:pStyle w:val="FlietextFolge"/>
        <w:spacing w:line="360" w:lineRule="auto"/>
      </w:pPr>
    </w:p>
    <w:p w14:paraId="2CEC0511" w14:textId="1F271102" w:rsidR="00886B31" w:rsidRDefault="00886B31" w:rsidP="00E52C8D">
      <w:pPr>
        <w:pStyle w:val="Caption"/>
        <w:keepNext/>
      </w:pPr>
      <w:bookmarkStart w:id="33" w:name="_Ref529871430"/>
      <w:r>
        <w:t xml:space="preserve">Table </w:t>
      </w:r>
      <w:r>
        <w:fldChar w:fldCharType="begin"/>
      </w:r>
      <w:r>
        <w:instrText xml:space="preserve"> SEQ Table \* ARABIC </w:instrText>
      </w:r>
      <w:r>
        <w:fldChar w:fldCharType="separate"/>
      </w:r>
      <w:r>
        <w:rPr>
          <w:noProof/>
        </w:rPr>
        <w:t>4</w:t>
      </w:r>
      <w:r>
        <w:fldChar w:fldCharType="end"/>
      </w:r>
      <w:bookmarkEnd w:id="33"/>
      <w:r>
        <w:t xml:space="preserve">. </w:t>
      </w:r>
      <w:r w:rsidRPr="00244B1B">
        <w:t xml:space="preserve">Effects of Chapter 11 filings on prices in US domestic and international markets (dependent variable ln </w:t>
      </w:r>
      <w:proofErr w:type="spellStart"/>
      <w:r w:rsidRPr="00244B1B">
        <w:t>P</w:t>
      </w:r>
      <w:r w:rsidRPr="00E52C8D">
        <w:rPr>
          <w:vertAlign w:val="subscript"/>
        </w:rPr>
        <w:t>crt</w:t>
      </w:r>
      <w:proofErr w:type="spellEnd"/>
      <w:r w:rsidRPr="00244B1B">
        <w:t>), routes covering 75% of total traffic</w:t>
      </w:r>
    </w:p>
    <w:tbl>
      <w:tblPr>
        <w:tblStyle w:val="HelleSchattierung-Akzent11"/>
        <w:tblW w:w="8645" w:type="dxa"/>
        <w:tblLayout w:type="fixed"/>
        <w:tblLook w:val="0600" w:firstRow="0" w:lastRow="0" w:firstColumn="0" w:lastColumn="0" w:noHBand="1" w:noVBand="1"/>
      </w:tblPr>
      <w:tblGrid>
        <w:gridCol w:w="2410"/>
        <w:gridCol w:w="1247"/>
        <w:gridCol w:w="1247"/>
        <w:gridCol w:w="1247"/>
        <w:gridCol w:w="1247"/>
        <w:gridCol w:w="1247"/>
      </w:tblGrid>
      <w:tr w:rsidR="0009147E" w:rsidRPr="0095351A" w14:paraId="13F94DC2" w14:textId="77777777" w:rsidTr="00A97061">
        <w:tc>
          <w:tcPr>
            <w:tcW w:w="2410" w:type="dxa"/>
            <w:tcBorders>
              <w:top w:val="single" w:sz="8" w:space="0" w:color="000000" w:themeColor="text1"/>
              <w:bottom w:val="single" w:sz="4" w:space="0" w:color="auto"/>
            </w:tcBorders>
          </w:tcPr>
          <w:p w14:paraId="73C5BE9E" w14:textId="77777777" w:rsidR="0009147E" w:rsidRPr="0095351A" w:rsidRDefault="0009147E" w:rsidP="00A97061">
            <w:pPr>
              <w:widowControl w:val="0"/>
              <w:autoSpaceDE w:val="0"/>
              <w:autoSpaceDN w:val="0"/>
              <w:adjustRightInd w:val="0"/>
              <w:spacing w:line="240" w:lineRule="auto"/>
              <w:rPr>
                <w:rFonts w:cs="Times New Roman"/>
                <w:szCs w:val="24"/>
                <w:lang w:val="en-GB"/>
              </w:rPr>
            </w:pPr>
          </w:p>
        </w:tc>
        <w:tc>
          <w:tcPr>
            <w:tcW w:w="1247" w:type="dxa"/>
            <w:tcBorders>
              <w:top w:val="single" w:sz="8" w:space="0" w:color="000000" w:themeColor="text1"/>
              <w:bottom w:val="single" w:sz="4" w:space="0" w:color="auto"/>
            </w:tcBorders>
          </w:tcPr>
          <w:p w14:paraId="042E9A21" w14:textId="77777777" w:rsidR="0009147E" w:rsidRPr="0095351A" w:rsidRDefault="0009147E" w:rsidP="00A97061">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247" w:type="dxa"/>
            <w:tcBorders>
              <w:top w:val="single" w:sz="8" w:space="0" w:color="000000" w:themeColor="text1"/>
              <w:bottom w:val="single" w:sz="4" w:space="0" w:color="auto"/>
            </w:tcBorders>
          </w:tcPr>
          <w:p w14:paraId="0ADB98AB" w14:textId="77777777" w:rsidR="0009147E" w:rsidRPr="0095351A" w:rsidRDefault="0009147E" w:rsidP="00A97061">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247" w:type="dxa"/>
            <w:tcBorders>
              <w:top w:val="single" w:sz="8" w:space="0" w:color="000000" w:themeColor="text1"/>
              <w:bottom w:val="single" w:sz="4" w:space="0" w:color="auto"/>
            </w:tcBorders>
          </w:tcPr>
          <w:p w14:paraId="257C7FD6" w14:textId="77777777" w:rsidR="0009147E" w:rsidRPr="0095351A" w:rsidRDefault="0009147E" w:rsidP="00A97061">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247" w:type="dxa"/>
            <w:tcBorders>
              <w:top w:val="single" w:sz="8" w:space="0" w:color="000000" w:themeColor="text1"/>
              <w:bottom w:val="single" w:sz="4" w:space="0" w:color="auto"/>
            </w:tcBorders>
          </w:tcPr>
          <w:p w14:paraId="3440F28F" w14:textId="77777777" w:rsidR="0009147E" w:rsidRPr="0095351A" w:rsidRDefault="0009147E" w:rsidP="00A97061">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247" w:type="dxa"/>
            <w:tcBorders>
              <w:top w:val="single" w:sz="8" w:space="0" w:color="000000" w:themeColor="text1"/>
              <w:bottom w:val="single" w:sz="4" w:space="0" w:color="auto"/>
            </w:tcBorders>
          </w:tcPr>
          <w:p w14:paraId="3AA62C2B" w14:textId="77777777" w:rsidR="0009147E" w:rsidRDefault="0009147E" w:rsidP="00A97061">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E20EB4" w:rsidRPr="0095351A" w14:paraId="1ADB9B85" w14:textId="77777777" w:rsidTr="00E52C8D">
        <w:tc>
          <w:tcPr>
            <w:tcW w:w="2410" w:type="dxa"/>
            <w:tcBorders>
              <w:top w:val="single" w:sz="4" w:space="0" w:color="auto"/>
            </w:tcBorders>
            <w:vAlign w:val="center"/>
          </w:tcPr>
          <w:p w14:paraId="5E28C0AD"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247" w:type="dxa"/>
            <w:tcBorders>
              <w:top w:val="single" w:sz="4" w:space="0" w:color="auto"/>
            </w:tcBorders>
          </w:tcPr>
          <w:p w14:paraId="5C748556" w14:textId="0F6F0C65"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-0.042***</w:t>
            </w:r>
          </w:p>
        </w:tc>
        <w:tc>
          <w:tcPr>
            <w:tcW w:w="1247" w:type="dxa"/>
            <w:tcBorders>
              <w:top w:val="single" w:sz="4" w:space="0" w:color="auto"/>
            </w:tcBorders>
          </w:tcPr>
          <w:p w14:paraId="7D2C21EF" w14:textId="323B2F79"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-0.042***</w:t>
            </w:r>
          </w:p>
        </w:tc>
        <w:tc>
          <w:tcPr>
            <w:tcW w:w="1247" w:type="dxa"/>
            <w:tcBorders>
              <w:top w:val="single" w:sz="4" w:space="0" w:color="auto"/>
            </w:tcBorders>
          </w:tcPr>
          <w:p w14:paraId="211ECB08" w14:textId="2398F1F3"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-0.049***</w:t>
            </w:r>
          </w:p>
        </w:tc>
        <w:tc>
          <w:tcPr>
            <w:tcW w:w="1247" w:type="dxa"/>
            <w:tcBorders>
              <w:top w:val="single" w:sz="4" w:space="0" w:color="auto"/>
            </w:tcBorders>
          </w:tcPr>
          <w:p w14:paraId="355FB977" w14:textId="3D86CB9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-0.042***</w:t>
            </w:r>
          </w:p>
        </w:tc>
        <w:tc>
          <w:tcPr>
            <w:tcW w:w="1247" w:type="dxa"/>
            <w:tcBorders>
              <w:top w:val="single" w:sz="4" w:space="0" w:color="auto"/>
            </w:tcBorders>
          </w:tcPr>
          <w:p w14:paraId="345ACF9D" w14:textId="773C8723"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-0.042***</w:t>
            </w:r>
          </w:p>
        </w:tc>
      </w:tr>
      <w:tr w:rsidR="00E20EB4" w:rsidRPr="0095351A" w14:paraId="0F780C2E" w14:textId="77777777" w:rsidTr="00E52C8D">
        <w:tc>
          <w:tcPr>
            <w:tcW w:w="2410" w:type="dxa"/>
            <w:vAlign w:val="center"/>
          </w:tcPr>
          <w:p w14:paraId="75E9FCDA"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2C963899" w14:textId="6819478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A0613BC" w14:textId="2CD9924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762FD814" w14:textId="31CCB8C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24816DBB" w14:textId="15D8A898"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45B5928" w14:textId="33C898F3"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r>
      <w:tr w:rsidR="00E20EB4" w:rsidRPr="0095351A" w14:paraId="372BFA44" w14:textId="77777777" w:rsidTr="00E52C8D">
        <w:tc>
          <w:tcPr>
            <w:tcW w:w="2410" w:type="dxa"/>
            <w:vAlign w:val="center"/>
          </w:tcPr>
          <w:p w14:paraId="0B78007A"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247" w:type="dxa"/>
          </w:tcPr>
          <w:p w14:paraId="15B711E7" w14:textId="31A071ED"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2B368CA2" w14:textId="733F6E28"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0.010***</w:t>
            </w:r>
          </w:p>
        </w:tc>
        <w:tc>
          <w:tcPr>
            <w:tcW w:w="1247" w:type="dxa"/>
          </w:tcPr>
          <w:p w14:paraId="66BDE1CA" w14:textId="6371E54C"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1D8BF267" w14:textId="23767CB0"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1CDF221A" w14:textId="139A2AE1"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0.011***</w:t>
            </w:r>
          </w:p>
        </w:tc>
      </w:tr>
      <w:tr w:rsidR="00E20EB4" w:rsidRPr="0095351A" w14:paraId="6E82214D" w14:textId="77777777" w:rsidTr="00E52C8D">
        <w:tc>
          <w:tcPr>
            <w:tcW w:w="2410" w:type="dxa"/>
            <w:vAlign w:val="center"/>
          </w:tcPr>
          <w:p w14:paraId="2D2CCCBC"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2AB70D75" w14:textId="1C6BC365"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(0.001)</w:t>
            </w:r>
          </w:p>
        </w:tc>
        <w:tc>
          <w:tcPr>
            <w:tcW w:w="1247" w:type="dxa"/>
          </w:tcPr>
          <w:p w14:paraId="4B8C0E15" w14:textId="6D33C25F"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(0.001)</w:t>
            </w:r>
          </w:p>
        </w:tc>
        <w:tc>
          <w:tcPr>
            <w:tcW w:w="1247" w:type="dxa"/>
          </w:tcPr>
          <w:p w14:paraId="57050788" w14:textId="75B497B1"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(0.001)</w:t>
            </w:r>
          </w:p>
        </w:tc>
        <w:tc>
          <w:tcPr>
            <w:tcW w:w="1247" w:type="dxa"/>
          </w:tcPr>
          <w:p w14:paraId="76FEC651" w14:textId="2C2C51C5"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(0.001)</w:t>
            </w:r>
          </w:p>
        </w:tc>
        <w:tc>
          <w:tcPr>
            <w:tcW w:w="1247" w:type="dxa"/>
          </w:tcPr>
          <w:p w14:paraId="270B106E" w14:textId="3B49BEC5"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(0.001)</w:t>
            </w:r>
          </w:p>
        </w:tc>
      </w:tr>
      <w:tr w:rsidR="00E20EB4" w:rsidRPr="0095351A" w14:paraId="48E788A6" w14:textId="77777777" w:rsidTr="00E52C8D">
        <w:tc>
          <w:tcPr>
            <w:tcW w:w="2410" w:type="dxa"/>
            <w:vAlign w:val="center"/>
          </w:tcPr>
          <w:p w14:paraId="114482E8"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247" w:type="dxa"/>
          </w:tcPr>
          <w:p w14:paraId="0C5EC28B" w14:textId="17285AF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-0.049***</w:t>
            </w:r>
          </w:p>
        </w:tc>
        <w:tc>
          <w:tcPr>
            <w:tcW w:w="1247" w:type="dxa"/>
          </w:tcPr>
          <w:p w14:paraId="2A5A142E" w14:textId="02378A6F"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-0.046***</w:t>
            </w:r>
          </w:p>
        </w:tc>
        <w:tc>
          <w:tcPr>
            <w:tcW w:w="1247" w:type="dxa"/>
          </w:tcPr>
          <w:p w14:paraId="5CC4FFB4" w14:textId="27C674BB"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-0.056***</w:t>
            </w:r>
          </w:p>
        </w:tc>
        <w:tc>
          <w:tcPr>
            <w:tcW w:w="1247" w:type="dxa"/>
          </w:tcPr>
          <w:p w14:paraId="0C9271D0" w14:textId="0378EA7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-0.035***</w:t>
            </w:r>
          </w:p>
        </w:tc>
        <w:tc>
          <w:tcPr>
            <w:tcW w:w="1247" w:type="dxa"/>
          </w:tcPr>
          <w:p w14:paraId="6924EEBC" w14:textId="50C71751"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-0.049***</w:t>
            </w:r>
          </w:p>
        </w:tc>
      </w:tr>
      <w:tr w:rsidR="00E20EB4" w:rsidRPr="0095351A" w14:paraId="67F8D74E" w14:textId="77777777" w:rsidTr="00E52C8D">
        <w:tc>
          <w:tcPr>
            <w:tcW w:w="2410" w:type="dxa"/>
            <w:vAlign w:val="center"/>
          </w:tcPr>
          <w:p w14:paraId="757226C9"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3746EF19" w14:textId="00D65A97"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74F5226" w14:textId="3A5E165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790F3AE4" w14:textId="468CE0E0"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58533AC8" w14:textId="259BD6A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0C02F189" w14:textId="66879ADD"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r>
      <w:tr w:rsidR="00E20EB4" w:rsidRPr="0095351A" w14:paraId="4CF2D11E" w14:textId="77777777" w:rsidTr="00E52C8D">
        <w:tc>
          <w:tcPr>
            <w:tcW w:w="2410" w:type="dxa"/>
            <w:vAlign w:val="center"/>
          </w:tcPr>
          <w:p w14:paraId="5068B090"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247" w:type="dxa"/>
          </w:tcPr>
          <w:p w14:paraId="5B4A6D5C" w14:textId="7B4CFF53"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51525596" w14:textId="53EC1AB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0.014***</w:t>
            </w:r>
          </w:p>
        </w:tc>
        <w:tc>
          <w:tcPr>
            <w:tcW w:w="1247" w:type="dxa"/>
          </w:tcPr>
          <w:p w14:paraId="5EAA3C4C" w14:textId="23C90F2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43D82386" w14:textId="7356577A"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0.025***</w:t>
            </w:r>
          </w:p>
        </w:tc>
        <w:tc>
          <w:tcPr>
            <w:tcW w:w="1247" w:type="dxa"/>
          </w:tcPr>
          <w:p w14:paraId="55D7A571" w14:textId="5266D223"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0.010***</w:t>
            </w:r>
          </w:p>
        </w:tc>
      </w:tr>
      <w:tr w:rsidR="00E20EB4" w:rsidRPr="0095351A" w14:paraId="6C322F45" w14:textId="77777777" w:rsidTr="00E52C8D">
        <w:tc>
          <w:tcPr>
            <w:tcW w:w="2410" w:type="dxa"/>
            <w:vAlign w:val="center"/>
          </w:tcPr>
          <w:p w14:paraId="1A4D4969"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22060EFF" w14:textId="4D987B6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5D7A1BE9" w14:textId="6DC4085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08D9A3A" w14:textId="1480181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43628214" w14:textId="11281BC5"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5251F65" w14:textId="4ABE1501"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(0.002)</w:t>
            </w:r>
          </w:p>
        </w:tc>
      </w:tr>
      <w:tr w:rsidR="00E20EB4" w:rsidRPr="0095351A" w14:paraId="6FCCC9E5" w14:textId="77777777" w:rsidTr="00E52C8D">
        <w:tc>
          <w:tcPr>
            <w:tcW w:w="2410" w:type="dxa"/>
            <w:vAlign w:val="center"/>
          </w:tcPr>
          <w:p w14:paraId="5C4C5224"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p>
        </w:tc>
        <w:tc>
          <w:tcPr>
            <w:tcW w:w="1247" w:type="dxa"/>
          </w:tcPr>
          <w:p w14:paraId="76F81474" w14:textId="7938A94B"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-0.486***</w:t>
            </w:r>
          </w:p>
        </w:tc>
        <w:tc>
          <w:tcPr>
            <w:tcW w:w="1247" w:type="dxa"/>
          </w:tcPr>
          <w:p w14:paraId="26359D21" w14:textId="0DC38B99"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-0.480***</w:t>
            </w:r>
          </w:p>
        </w:tc>
        <w:tc>
          <w:tcPr>
            <w:tcW w:w="1247" w:type="dxa"/>
          </w:tcPr>
          <w:p w14:paraId="71D9BF8C" w14:textId="21CF2F0C"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-0.427***</w:t>
            </w:r>
          </w:p>
        </w:tc>
        <w:tc>
          <w:tcPr>
            <w:tcW w:w="1247" w:type="dxa"/>
          </w:tcPr>
          <w:p w14:paraId="49963F6A" w14:textId="244C974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-0.486***</w:t>
            </w:r>
          </w:p>
        </w:tc>
        <w:tc>
          <w:tcPr>
            <w:tcW w:w="1247" w:type="dxa"/>
          </w:tcPr>
          <w:p w14:paraId="240BB288" w14:textId="295385C9"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-0.485***</w:t>
            </w:r>
          </w:p>
        </w:tc>
      </w:tr>
      <w:tr w:rsidR="00E20EB4" w:rsidRPr="0095351A" w14:paraId="3A0A2E29" w14:textId="77777777" w:rsidTr="00E52C8D">
        <w:tc>
          <w:tcPr>
            <w:tcW w:w="2410" w:type="dxa"/>
            <w:vAlign w:val="center"/>
          </w:tcPr>
          <w:p w14:paraId="1E6A42C4"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6D901452" w14:textId="04403C73"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(0.019)</w:t>
            </w:r>
          </w:p>
        </w:tc>
        <w:tc>
          <w:tcPr>
            <w:tcW w:w="1247" w:type="dxa"/>
          </w:tcPr>
          <w:p w14:paraId="4B6873B1" w14:textId="2F5BC5BF"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(0.019)</w:t>
            </w:r>
          </w:p>
        </w:tc>
        <w:tc>
          <w:tcPr>
            <w:tcW w:w="1247" w:type="dxa"/>
          </w:tcPr>
          <w:p w14:paraId="012B2858" w14:textId="6EBDEC2D"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(0.020)</w:t>
            </w:r>
          </w:p>
        </w:tc>
        <w:tc>
          <w:tcPr>
            <w:tcW w:w="1247" w:type="dxa"/>
          </w:tcPr>
          <w:p w14:paraId="6FB75FAE" w14:textId="071A789B"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(0.020)</w:t>
            </w:r>
          </w:p>
        </w:tc>
        <w:tc>
          <w:tcPr>
            <w:tcW w:w="1247" w:type="dxa"/>
          </w:tcPr>
          <w:p w14:paraId="68DE7A64" w14:textId="1D918856"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(0.019)</w:t>
            </w:r>
          </w:p>
        </w:tc>
      </w:tr>
      <w:tr w:rsidR="00E20EB4" w:rsidRPr="0095351A" w14:paraId="2C90C7C8" w14:textId="77777777" w:rsidTr="00E52C8D">
        <w:tc>
          <w:tcPr>
            <w:tcW w:w="2410" w:type="dxa"/>
            <w:vAlign w:val="center"/>
          </w:tcPr>
          <w:p w14:paraId="3399C0F3"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otherint</m:t>
                  </m:r>
                </m:sub>
              </m:sSub>
            </m:oMath>
          </w:p>
        </w:tc>
        <w:tc>
          <w:tcPr>
            <w:tcW w:w="1247" w:type="dxa"/>
          </w:tcPr>
          <w:p w14:paraId="2C8BECE4" w14:textId="7327FD4B"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-0.031***</w:t>
            </w:r>
          </w:p>
        </w:tc>
        <w:tc>
          <w:tcPr>
            <w:tcW w:w="1247" w:type="dxa"/>
          </w:tcPr>
          <w:p w14:paraId="0F0BACAA" w14:textId="602D0CF9"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-0.038***</w:t>
            </w:r>
          </w:p>
        </w:tc>
        <w:tc>
          <w:tcPr>
            <w:tcW w:w="1247" w:type="dxa"/>
          </w:tcPr>
          <w:p w14:paraId="4DEBB453" w14:textId="3B57877F"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-0.077***</w:t>
            </w:r>
          </w:p>
        </w:tc>
        <w:tc>
          <w:tcPr>
            <w:tcW w:w="1247" w:type="dxa"/>
          </w:tcPr>
          <w:p w14:paraId="6671A154" w14:textId="27F5E137"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3046F0CD" w14:textId="1ECDB8CC"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-0.031***</w:t>
            </w:r>
          </w:p>
        </w:tc>
      </w:tr>
      <w:tr w:rsidR="00E20EB4" w:rsidRPr="0095351A" w14:paraId="0D3F1D82" w14:textId="77777777" w:rsidTr="00E52C8D">
        <w:tc>
          <w:tcPr>
            <w:tcW w:w="2410" w:type="dxa"/>
            <w:vAlign w:val="center"/>
          </w:tcPr>
          <w:p w14:paraId="494D1F4B"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2EB65FB5" w14:textId="55373E5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258265F7" w14:textId="435EFCA6"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168E8BF3" w14:textId="2E0F47D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759BAD3C" w14:textId="1B44E82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7051CD55" w14:textId="3D8A7469"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(0.004)</w:t>
            </w:r>
          </w:p>
        </w:tc>
      </w:tr>
      <w:tr w:rsidR="00E20EB4" w:rsidRPr="0095351A" w14:paraId="284F4982" w14:textId="77777777" w:rsidTr="00E52C8D">
        <w:tc>
          <w:tcPr>
            <w:tcW w:w="2410" w:type="dxa"/>
            <w:vAlign w:val="center"/>
          </w:tcPr>
          <w:p w14:paraId="495BBFCB"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p>
        </w:tc>
        <w:tc>
          <w:tcPr>
            <w:tcW w:w="1247" w:type="dxa"/>
          </w:tcPr>
          <w:p w14:paraId="5FD9B818" w14:textId="03A0B6F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-0.362***</w:t>
            </w:r>
          </w:p>
        </w:tc>
        <w:tc>
          <w:tcPr>
            <w:tcW w:w="1247" w:type="dxa"/>
          </w:tcPr>
          <w:p w14:paraId="3E785965" w14:textId="4798CF6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-0.353***</w:t>
            </w:r>
          </w:p>
        </w:tc>
        <w:tc>
          <w:tcPr>
            <w:tcW w:w="1247" w:type="dxa"/>
          </w:tcPr>
          <w:p w14:paraId="2A0A4804" w14:textId="4C59141B"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-0.357***</w:t>
            </w:r>
          </w:p>
        </w:tc>
        <w:tc>
          <w:tcPr>
            <w:tcW w:w="1247" w:type="dxa"/>
          </w:tcPr>
          <w:p w14:paraId="67799080" w14:textId="1065356A"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-0.363***</w:t>
            </w:r>
          </w:p>
        </w:tc>
        <w:tc>
          <w:tcPr>
            <w:tcW w:w="1247" w:type="dxa"/>
          </w:tcPr>
          <w:p w14:paraId="3DA9708B" w14:textId="15BEE2AD"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-0.362***</w:t>
            </w:r>
          </w:p>
        </w:tc>
      </w:tr>
      <w:tr w:rsidR="00E20EB4" w:rsidRPr="0095351A" w14:paraId="1489ABD7" w14:textId="77777777" w:rsidTr="00E52C8D">
        <w:tc>
          <w:tcPr>
            <w:tcW w:w="2410" w:type="dxa"/>
            <w:vAlign w:val="center"/>
          </w:tcPr>
          <w:p w14:paraId="04C3BEDF"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647E1ECA" w14:textId="570ABF0B"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55702AE9" w14:textId="524FEBAD"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4B2B0C54" w14:textId="5F112E27"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4D84CAA1" w14:textId="312473FF"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7A5E73B4" w14:textId="5E82D1B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(0.017)</w:t>
            </w:r>
          </w:p>
        </w:tc>
      </w:tr>
      <w:tr w:rsidR="00E20EB4" w:rsidRPr="0095351A" w14:paraId="7778D26D" w14:textId="77777777" w:rsidTr="00E52C8D">
        <w:tc>
          <w:tcPr>
            <w:tcW w:w="2410" w:type="dxa"/>
            <w:vAlign w:val="center"/>
          </w:tcPr>
          <w:p w14:paraId="00921CDE"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otherint</m:t>
                  </m:r>
                </m:sub>
              </m:sSub>
            </m:oMath>
          </w:p>
        </w:tc>
        <w:tc>
          <w:tcPr>
            <w:tcW w:w="1247" w:type="dxa"/>
          </w:tcPr>
          <w:p w14:paraId="006A2840" w14:textId="5BB3DEF3"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-0.070***</w:t>
            </w:r>
          </w:p>
        </w:tc>
        <w:tc>
          <w:tcPr>
            <w:tcW w:w="1247" w:type="dxa"/>
          </w:tcPr>
          <w:p w14:paraId="0396CA30" w14:textId="1E7CF416"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-0.080***</w:t>
            </w:r>
          </w:p>
        </w:tc>
        <w:tc>
          <w:tcPr>
            <w:tcW w:w="1247" w:type="dxa"/>
          </w:tcPr>
          <w:p w14:paraId="4AD7557C" w14:textId="3AACA15F"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-0.115***</w:t>
            </w:r>
          </w:p>
        </w:tc>
        <w:tc>
          <w:tcPr>
            <w:tcW w:w="1247" w:type="dxa"/>
          </w:tcPr>
          <w:p w14:paraId="41F75088" w14:textId="0BB787E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-0.075***</w:t>
            </w:r>
          </w:p>
        </w:tc>
        <w:tc>
          <w:tcPr>
            <w:tcW w:w="1247" w:type="dxa"/>
          </w:tcPr>
          <w:p w14:paraId="47D95403" w14:textId="1AE4E928"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-0.068***</w:t>
            </w:r>
          </w:p>
        </w:tc>
      </w:tr>
      <w:tr w:rsidR="00E20EB4" w:rsidRPr="0095351A" w14:paraId="7C45F2C6" w14:textId="77777777" w:rsidTr="00E52C8D">
        <w:tc>
          <w:tcPr>
            <w:tcW w:w="2410" w:type="dxa"/>
            <w:vAlign w:val="center"/>
          </w:tcPr>
          <w:p w14:paraId="712D898B"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7B0293B3" w14:textId="5AD1674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2CE9441F" w14:textId="2E737D56"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0BE72A1D" w14:textId="1F9C19B8"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3E474DA3" w14:textId="42937AA4"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507A3B68" w14:textId="2ED4B467"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(0.004)</w:t>
            </w:r>
          </w:p>
        </w:tc>
      </w:tr>
      <w:tr w:rsidR="00E20EB4" w:rsidRPr="0095351A" w14:paraId="09BD78C0" w14:textId="77777777" w:rsidTr="00E52C8D">
        <w:tc>
          <w:tcPr>
            <w:tcW w:w="2410" w:type="dxa"/>
            <w:vAlign w:val="center"/>
          </w:tcPr>
          <w:p w14:paraId="227F88A6"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HHI</m:t>
              </m:r>
            </m:oMath>
          </w:p>
        </w:tc>
        <w:tc>
          <w:tcPr>
            <w:tcW w:w="1247" w:type="dxa"/>
          </w:tcPr>
          <w:p w14:paraId="11A9FF61" w14:textId="3119B08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0.086***</w:t>
            </w:r>
          </w:p>
        </w:tc>
        <w:tc>
          <w:tcPr>
            <w:tcW w:w="1247" w:type="dxa"/>
          </w:tcPr>
          <w:p w14:paraId="41B6F31F" w14:textId="419708F5"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0.085***</w:t>
            </w:r>
          </w:p>
        </w:tc>
        <w:tc>
          <w:tcPr>
            <w:tcW w:w="1247" w:type="dxa"/>
          </w:tcPr>
          <w:p w14:paraId="2299BFA9" w14:textId="5A3F82E2"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0.082***</w:t>
            </w:r>
          </w:p>
        </w:tc>
        <w:tc>
          <w:tcPr>
            <w:tcW w:w="1247" w:type="dxa"/>
          </w:tcPr>
          <w:p w14:paraId="7F5A703C" w14:textId="518CF6CF"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0.093***</w:t>
            </w:r>
          </w:p>
        </w:tc>
        <w:tc>
          <w:tcPr>
            <w:tcW w:w="1247" w:type="dxa"/>
          </w:tcPr>
          <w:p w14:paraId="4B90B6B1" w14:textId="27E553D1"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0.079***</w:t>
            </w:r>
          </w:p>
        </w:tc>
      </w:tr>
      <w:tr w:rsidR="00E20EB4" w:rsidRPr="0095351A" w14:paraId="59FFFFE5" w14:textId="77777777" w:rsidTr="00E52C8D">
        <w:tc>
          <w:tcPr>
            <w:tcW w:w="2410" w:type="dxa"/>
            <w:vAlign w:val="center"/>
          </w:tcPr>
          <w:p w14:paraId="44CE0610"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Pr>
          <w:p w14:paraId="2ECB6303" w14:textId="23CD52F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4BA243B4" w14:textId="16F59A7D"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2B0C3386" w14:textId="67347A6F"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0E215B13" w14:textId="6349EA09"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30AF8EA4" w14:textId="25A442D3"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(0.003)</w:t>
            </w:r>
          </w:p>
        </w:tc>
      </w:tr>
      <w:tr w:rsidR="00E20EB4" w:rsidRPr="0095351A" w14:paraId="4D9DBACC" w14:textId="77777777" w:rsidTr="00E52C8D">
        <w:tc>
          <w:tcPr>
            <w:tcW w:w="2410" w:type="dxa"/>
            <w:vAlign w:val="center"/>
          </w:tcPr>
          <w:p w14:paraId="4D08D79F"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r>
              <w:t xml:space="preserve"> </w:t>
            </w:r>
            <m:oMath>
              <m:r>
                <m:rPr>
                  <m:sty m:val="p"/>
                </m:rPr>
                <w:rPr>
                  <w:rFonts w:ascii="Cambria Math" w:hAnsi="Cambria Math"/>
                </w:rPr>
                <m:t>Int</m:t>
              </m:r>
            </m:oMath>
          </w:p>
        </w:tc>
        <w:tc>
          <w:tcPr>
            <w:tcW w:w="1247" w:type="dxa"/>
          </w:tcPr>
          <w:p w14:paraId="6744CA06" w14:textId="77777777" w:rsidR="00E20EB4" w:rsidRDefault="00E20EB4" w:rsidP="00E20EB4">
            <w:pPr>
              <w:widowControl w:val="0"/>
              <w:autoSpaceDE w:val="0"/>
              <w:autoSpaceDN w:val="0"/>
              <w:adjustRightInd w:val="0"/>
              <w:spacing w:line="240" w:lineRule="auto"/>
              <w:jc w:val="center"/>
              <w:rPr>
                <w:rFonts w:cs="Times New Roman"/>
                <w:szCs w:val="24"/>
              </w:rPr>
            </w:pPr>
          </w:p>
        </w:tc>
        <w:tc>
          <w:tcPr>
            <w:tcW w:w="1247" w:type="dxa"/>
          </w:tcPr>
          <w:p w14:paraId="55072B29" w14:textId="77777777" w:rsidR="00E20EB4" w:rsidRDefault="00E20EB4" w:rsidP="00E20EB4">
            <w:pPr>
              <w:widowControl w:val="0"/>
              <w:autoSpaceDE w:val="0"/>
              <w:autoSpaceDN w:val="0"/>
              <w:adjustRightInd w:val="0"/>
              <w:spacing w:line="240" w:lineRule="auto"/>
              <w:jc w:val="center"/>
              <w:rPr>
                <w:rFonts w:cs="Times New Roman"/>
                <w:szCs w:val="24"/>
              </w:rPr>
            </w:pPr>
          </w:p>
        </w:tc>
        <w:tc>
          <w:tcPr>
            <w:tcW w:w="1247" w:type="dxa"/>
          </w:tcPr>
          <w:p w14:paraId="0F0F9BB7" w14:textId="77777777" w:rsidR="00E20EB4" w:rsidRDefault="00E20EB4" w:rsidP="00E20EB4">
            <w:pPr>
              <w:widowControl w:val="0"/>
              <w:autoSpaceDE w:val="0"/>
              <w:autoSpaceDN w:val="0"/>
              <w:adjustRightInd w:val="0"/>
              <w:spacing w:line="240" w:lineRule="auto"/>
              <w:jc w:val="center"/>
              <w:rPr>
                <w:rFonts w:cs="Times New Roman"/>
                <w:szCs w:val="24"/>
              </w:rPr>
            </w:pPr>
          </w:p>
        </w:tc>
        <w:tc>
          <w:tcPr>
            <w:tcW w:w="1247" w:type="dxa"/>
          </w:tcPr>
          <w:p w14:paraId="64D56A75" w14:textId="77777777" w:rsidR="00E20EB4" w:rsidRDefault="00E20EB4" w:rsidP="00E20EB4">
            <w:pPr>
              <w:widowControl w:val="0"/>
              <w:autoSpaceDE w:val="0"/>
              <w:autoSpaceDN w:val="0"/>
              <w:adjustRightInd w:val="0"/>
              <w:spacing w:line="240" w:lineRule="auto"/>
              <w:jc w:val="center"/>
              <w:rPr>
                <w:rFonts w:cs="Times New Roman"/>
                <w:szCs w:val="24"/>
              </w:rPr>
            </w:pPr>
          </w:p>
        </w:tc>
        <w:tc>
          <w:tcPr>
            <w:tcW w:w="1247" w:type="dxa"/>
          </w:tcPr>
          <w:p w14:paraId="6A62066F" w14:textId="29A44D2E"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-0.371***</w:t>
            </w:r>
          </w:p>
        </w:tc>
      </w:tr>
      <w:tr w:rsidR="00E20EB4" w:rsidRPr="0095351A" w14:paraId="45FA0DC8" w14:textId="77777777" w:rsidTr="00E52C8D">
        <w:tc>
          <w:tcPr>
            <w:tcW w:w="2410" w:type="dxa"/>
            <w:tcBorders>
              <w:bottom w:val="single" w:sz="4" w:space="0" w:color="auto"/>
            </w:tcBorders>
            <w:vAlign w:val="center"/>
          </w:tcPr>
          <w:p w14:paraId="37140238" w14:textId="77777777" w:rsidR="00E20EB4" w:rsidRPr="0095351A" w:rsidRDefault="00E20EB4" w:rsidP="00E20EB4">
            <w:pPr>
              <w:widowControl w:val="0"/>
              <w:autoSpaceDE w:val="0"/>
              <w:autoSpaceDN w:val="0"/>
              <w:adjustRightInd w:val="0"/>
              <w:spacing w:line="240" w:lineRule="auto"/>
              <w:jc w:val="left"/>
              <w:rPr>
                <w:rFonts w:cs="Times New Roman"/>
                <w:szCs w:val="24"/>
                <w:lang w:val="en-GB"/>
              </w:rPr>
            </w:pPr>
          </w:p>
        </w:tc>
        <w:tc>
          <w:tcPr>
            <w:tcW w:w="1247" w:type="dxa"/>
            <w:tcBorders>
              <w:bottom w:val="single" w:sz="4" w:space="0" w:color="auto"/>
            </w:tcBorders>
          </w:tcPr>
          <w:p w14:paraId="15A5FD95" w14:textId="77777777" w:rsidR="00E20EB4" w:rsidRDefault="00E20EB4" w:rsidP="00E20EB4">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1BFDEB70" w14:textId="77777777" w:rsidR="00E20EB4" w:rsidRDefault="00E20EB4" w:rsidP="00E20EB4">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773DE4E7" w14:textId="77777777" w:rsidR="00E20EB4" w:rsidRDefault="00E20EB4" w:rsidP="00E20EB4">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1C835B1F" w14:textId="77777777" w:rsidR="00E20EB4" w:rsidRDefault="00E20EB4" w:rsidP="00E20EB4">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764B68A2" w14:textId="1F319DDA"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(0.016)</w:t>
            </w:r>
          </w:p>
        </w:tc>
      </w:tr>
      <w:tr w:rsidR="00E20EB4" w:rsidRPr="0095351A" w14:paraId="0137C02D" w14:textId="77777777" w:rsidTr="00E52C8D">
        <w:tc>
          <w:tcPr>
            <w:tcW w:w="2410" w:type="dxa"/>
            <w:tcBorders>
              <w:top w:val="single" w:sz="4" w:space="0" w:color="auto"/>
              <w:bottom w:val="nil"/>
            </w:tcBorders>
          </w:tcPr>
          <w:p w14:paraId="24EF801C" w14:textId="77777777" w:rsidR="00E20EB4" w:rsidRPr="0095351A" w:rsidRDefault="00E20EB4" w:rsidP="00E20EB4">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247" w:type="dxa"/>
            <w:tcBorders>
              <w:top w:val="single" w:sz="4" w:space="0" w:color="auto"/>
              <w:bottom w:val="nil"/>
            </w:tcBorders>
          </w:tcPr>
          <w:p w14:paraId="13126C78" w14:textId="7057C324" w:rsidR="00E20EB4" w:rsidRPr="0095351A" w:rsidRDefault="00E20EB4" w:rsidP="00E20EB4">
            <w:pPr>
              <w:widowControl w:val="0"/>
              <w:autoSpaceDE w:val="0"/>
              <w:autoSpaceDN w:val="0"/>
              <w:adjustRightInd w:val="0"/>
              <w:spacing w:line="240" w:lineRule="auto"/>
              <w:jc w:val="center"/>
              <w:rPr>
                <w:rFonts w:cs="Times New Roman"/>
                <w:szCs w:val="24"/>
                <w:lang w:val="en-GB"/>
              </w:rPr>
            </w:pPr>
            <w:r>
              <w:rPr>
                <w:rFonts w:cs="Times New Roman"/>
                <w:szCs w:val="24"/>
              </w:rPr>
              <w:t>281,889</w:t>
            </w:r>
          </w:p>
        </w:tc>
        <w:tc>
          <w:tcPr>
            <w:tcW w:w="1247" w:type="dxa"/>
            <w:tcBorders>
              <w:top w:val="single" w:sz="4" w:space="0" w:color="auto"/>
              <w:bottom w:val="nil"/>
            </w:tcBorders>
          </w:tcPr>
          <w:p w14:paraId="44D7F735" w14:textId="71E6421F" w:rsidR="00E20EB4" w:rsidRPr="0095351A" w:rsidRDefault="00E20EB4" w:rsidP="00E20EB4">
            <w:pPr>
              <w:widowControl w:val="0"/>
              <w:autoSpaceDE w:val="0"/>
              <w:autoSpaceDN w:val="0"/>
              <w:adjustRightInd w:val="0"/>
              <w:spacing w:line="240" w:lineRule="auto"/>
              <w:jc w:val="center"/>
              <w:rPr>
                <w:rFonts w:cs="Times New Roman"/>
                <w:szCs w:val="24"/>
                <w:lang w:val="en-GB"/>
              </w:rPr>
            </w:pPr>
            <w:r>
              <w:rPr>
                <w:rFonts w:cs="Times New Roman"/>
                <w:szCs w:val="24"/>
              </w:rPr>
              <w:t>292,616</w:t>
            </w:r>
          </w:p>
        </w:tc>
        <w:tc>
          <w:tcPr>
            <w:tcW w:w="1247" w:type="dxa"/>
            <w:tcBorders>
              <w:top w:val="single" w:sz="4" w:space="0" w:color="auto"/>
              <w:bottom w:val="nil"/>
            </w:tcBorders>
          </w:tcPr>
          <w:p w14:paraId="2C338E43" w14:textId="29839DD1" w:rsidR="00E20EB4" w:rsidRPr="0095351A" w:rsidRDefault="00E20EB4" w:rsidP="00E20EB4">
            <w:pPr>
              <w:widowControl w:val="0"/>
              <w:autoSpaceDE w:val="0"/>
              <w:autoSpaceDN w:val="0"/>
              <w:adjustRightInd w:val="0"/>
              <w:spacing w:line="240" w:lineRule="auto"/>
              <w:jc w:val="center"/>
              <w:rPr>
                <w:rFonts w:cs="Times New Roman"/>
                <w:szCs w:val="24"/>
                <w:lang w:val="en-GB"/>
              </w:rPr>
            </w:pPr>
            <w:r>
              <w:rPr>
                <w:rFonts w:cs="Times New Roman"/>
                <w:szCs w:val="24"/>
              </w:rPr>
              <w:t>282,475</w:t>
            </w:r>
          </w:p>
        </w:tc>
        <w:tc>
          <w:tcPr>
            <w:tcW w:w="1247" w:type="dxa"/>
            <w:tcBorders>
              <w:top w:val="single" w:sz="4" w:space="0" w:color="auto"/>
              <w:bottom w:val="nil"/>
            </w:tcBorders>
          </w:tcPr>
          <w:p w14:paraId="50E56A4B" w14:textId="394A2CD3" w:rsidR="00E20EB4" w:rsidRPr="0095351A" w:rsidRDefault="00E20EB4" w:rsidP="00E20EB4">
            <w:pPr>
              <w:widowControl w:val="0"/>
              <w:autoSpaceDE w:val="0"/>
              <w:autoSpaceDN w:val="0"/>
              <w:adjustRightInd w:val="0"/>
              <w:spacing w:line="240" w:lineRule="auto"/>
              <w:jc w:val="center"/>
              <w:rPr>
                <w:rFonts w:cs="Times New Roman"/>
                <w:szCs w:val="24"/>
                <w:lang w:val="en-GB"/>
              </w:rPr>
            </w:pPr>
            <w:r>
              <w:rPr>
                <w:rFonts w:cs="Times New Roman"/>
                <w:szCs w:val="24"/>
              </w:rPr>
              <w:t>281,889</w:t>
            </w:r>
          </w:p>
        </w:tc>
        <w:tc>
          <w:tcPr>
            <w:tcW w:w="1247" w:type="dxa"/>
            <w:tcBorders>
              <w:top w:val="single" w:sz="4" w:space="0" w:color="auto"/>
              <w:bottom w:val="nil"/>
            </w:tcBorders>
          </w:tcPr>
          <w:p w14:paraId="0C2BA3CE" w14:textId="6DA66295"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282,490</w:t>
            </w:r>
          </w:p>
        </w:tc>
      </w:tr>
      <w:tr w:rsidR="00E20EB4" w:rsidRPr="0095351A" w14:paraId="534BAFCE" w14:textId="77777777" w:rsidTr="00E52C8D">
        <w:tc>
          <w:tcPr>
            <w:tcW w:w="2410" w:type="dxa"/>
          </w:tcPr>
          <w:p w14:paraId="52D42383" w14:textId="77777777" w:rsidR="00E20EB4" w:rsidRPr="0095351A" w:rsidRDefault="00E20EB4" w:rsidP="00E20EB4">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/LL</w:t>
            </w:r>
          </w:p>
        </w:tc>
        <w:tc>
          <w:tcPr>
            <w:tcW w:w="1247" w:type="dxa"/>
          </w:tcPr>
          <w:p w14:paraId="2F633607" w14:textId="2320D65B" w:rsidR="00E20EB4" w:rsidRPr="0095351A" w:rsidRDefault="00E20EB4" w:rsidP="00E20EB4">
            <w:pPr>
              <w:widowControl w:val="0"/>
              <w:autoSpaceDE w:val="0"/>
              <w:autoSpaceDN w:val="0"/>
              <w:adjustRightInd w:val="0"/>
              <w:spacing w:line="240" w:lineRule="auto"/>
              <w:jc w:val="center"/>
              <w:rPr>
                <w:rFonts w:cs="Times New Roman"/>
                <w:szCs w:val="24"/>
                <w:lang w:val="en-GB"/>
              </w:rPr>
            </w:pPr>
            <w:r>
              <w:rPr>
                <w:rFonts w:cs="Times New Roman"/>
                <w:szCs w:val="24"/>
              </w:rPr>
              <w:t>0.0120</w:t>
            </w:r>
          </w:p>
        </w:tc>
        <w:tc>
          <w:tcPr>
            <w:tcW w:w="1247" w:type="dxa"/>
          </w:tcPr>
          <w:p w14:paraId="0C1C7CE5" w14:textId="3DCC2E03" w:rsidR="00E20EB4" w:rsidRPr="0095351A" w:rsidRDefault="00E20EB4" w:rsidP="00E20EB4">
            <w:pPr>
              <w:widowControl w:val="0"/>
              <w:autoSpaceDE w:val="0"/>
              <w:autoSpaceDN w:val="0"/>
              <w:adjustRightInd w:val="0"/>
              <w:spacing w:line="240" w:lineRule="auto"/>
              <w:jc w:val="center"/>
              <w:rPr>
                <w:rFonts w:cs="Times New Roman"/>
                <w:szCs w:val="24"/>
                <w:lang w:val="en-GB"/>
              </w:rPr>
            </w:pPr>
            <w:r>
              <w:rPr>
                <w:rFonts w:cs="Times New Roman"/>
                <w:szCs w:val="24"/>
              </w:rPr>
              <w:t>0.0115</w:t>
            </w:r>
          </w:p>
        </w:tc>
        <w:tc>
          <w:tcPr>
            <w:tcW w:w="1247" w:type="dxa"/>
          </w:tcPr>
          <w:p w14:paraId="3BF00235" w14:textId="5D0DF178" w:rsidR="00E20EB4" w:rsidRPr="0095351A" w:rsidRDefault="00E20EB4" w:rsidP="00E20EB4">
            <w:pPr>
              <w:widowControl w:val="0"/>
              <w:autoSpaceDE w:val="0"/>
              <w:autoSpaceDN w:val="0"/>
              <w:adjustRightInd w:val="0"/>
              <w:spacing w:line="240" w:lineRule="auto"/>
              <w:jc w:val="center"/>
              <w:rPr>
                <w:rFonts w:cs="Times New Roman"/>
                <w:szCs w:val="24"/>
                <w:lang w:val="en-GB"/>
              </w:rPr>
            </w:pPr>
            <w:r>
              <w:rPr>
                <w:rFonts w:cs="Times New Roman"/>
                <w:szCs w:val="24"/>
              </w:rPr>
              <w:t>0.0118</w:t>
            </w:r>
          </w:p>
        </w:tc>
        <w:tc>
          <w:tcPr>
            <w:tcW w:w="1247" w:type="dxa"/>
          </w:tcPr>
          <w:p w14:paraId="01917AC2" w14:textId="7AF57443" w:rsidR="00E20EB4" w:rsidRPr="0095351A" w:rsidRDefault="00E20EB4" w:rsidP="00E20EB4">
            <w:pPr>
              <w:widowControl w:val="0"/>
              <w:autoSpaceDE w:val="0"/>
              <w:autoSpaceDN w:val="0"/>
              <w:adjustRightInd w:val="0"/>
              <w:spacing w:line="240" w:lineRule="auto"/>
              <w:jc w:val="center"/>
              <w:rPr>
                <w:rFonts w:cs="Times New Roman"/>
                <w:szCs w:val="24"/>
                <w:lang w:val="en-GB"/>
              </w:rPr>
            </w:pPr>
            <w:r>
              <w:rPr>
                <w:rFonts w:cs="Times New Roman"/>
                <w:szCs w:val="24"/>
              </w:rPr>
              <w:t>0.0110</w:t>
            </w:r>
          </w:p>
        </w:tc>
        <w:tc>
          <w:tcPr>
            <w:tcW w:w="1247" w:type="dxa"/>
          </w:tcPr>
          <w:p w14:paraId="451F0D3D" w14:textId="2B723B01" w:rsidR="00E20EB4" w:rsidRDefault="00E20EB4" w:rsidP="00E20EB4">
            <w:pPr>
              <w:widowControl w:val="0"/>
              <w:autoSpaceDE w:val="0"/>
              <w:autoSpaceDN w:val="0"/>
              <w:adjustRightInd w:val="0"/>
              <w:spacing w:line="240" w:lineRule="auto"/>
              <w:jc w:val="center"/>
              <w:rPr>
                <w:rFonts w:cs="Times New Roman"/>
                <w:szCs w:val="24"/>
              </w:rPr>
            </w:pPr>
            <w:r>
              <w:rPr>
                <w:rFonts w:cs="Times New Roman"/>
                <w:szCs w:val="24"/>
              </w:rPr>
              <w:t>161300</w:t>
            </w:r>
          </w:p>
        </w:tc>
      </w:tr>
    </w:tbl>
    <w:p w14:paraId="19A4648E" w14:textId="3A84F72F" w:rsidR="0009147E" w:rsidRDefault="0009147E" w:rsidP="0009147E">
      <w:pPr>
        <w:pStyle w:val="FlietextFolge"/>
        <w:ind w:left="284" w:firstLine="0"/>
      </w:pPr>
      <w:r w:rsidRPr="0095351A">
        <w:t>Standard errors in parentheses</w:t>
      </w:r>
      <w:r>
        <w:t xml:space="preserve">; </w:t>
      </w:r>
      <w:r w:rsidRPr="0095351A">
        <w:t>*** p&lt;0.01, ** p&lt;0.05, * p&lt;0.1</w:t>
      </w:r>
      <w:r>
        <w:t xml:space="preserve">; the four estimation models are defined in </w:t>
      </w:r>
      <w:r>
        <w:fldChar w:fldCharType="begin"/>
      </w:r>
      <w:r>
        <w:instrText xml:space="preserve"> REF _Ref447293539 \h </w:instrText>
      </w:r>
      <w:r>
        <w:fldChar w:fldCharType="separate"/>
      </w:r>
      <w:r w:rsidR="00886B31">
        <w:t xml:space="preserve">Table </w:t>
      </w:r>
      <w:r w:rsidR="00886B31">
        <w:rPr>
          <w:noProof/>
        </w:rPr>
        <w:t>1</w:t>
      </w:r>
      <w:r>
        <w:fldChar w:fldCharType="end"/>
      </w:r>
      <w:r>
        <w:t>.</w:t>
      </w:r>
    </w:p>
    <w:p w14:paraId="62842796" w14:textId="77777777" w:rsidR="0009147E" w:rsidRDefault="0009147E" w:rsidP="00566DE0">
      <w:pPr>
        <w:pStyle w:val="FlietextFolge"/>
        <w:spacing w:line="360" w:lineRule="auto"/>
        <w:ind w:firstLine="288"/>
      </w:pPr>
    </w:p>
    <w:p w14:paraId="25363784" w14:textId="5383DF92" w:rsidR="00E20EB4" w:rsidRDefault="00E20EB4" w:rsidP="00566DE0">
      <w:pPr>
        <w:pStyle w:val="FlietextFolge"/>
        <w:spacing w:line="360" w:lineRule="auto"/>
        <w:ind w:firstLine="288"/>
      </w:pPr>
    </w:p>
    <w:p w14:paraId="282C5DBC" w14:textId="3016580F" w:rsidR="00925AF6" w:rsidRPr="0011694C" w:rsidRDefault="005F6015" w:rsidP="00D014D3">
      <w:pPr>
        <w:pStyle w:val="Heading2"/>
        <w:tabs>
          <w:tab w:val="clear" w:pos="1021"/>
        </w:tabs>
        <w:spacing w:before="120" w:after="120" w:line="360" w:lineRule="auto"/>
        <w:ind w:left="567" w:hanging="567"/>
      </w:pPr>
      <w:bookmarkStart w:id="34" w:name="_Ref521493707"/>
      <w:r w:rsidRPr="0011694C">
        <w:t>Different horizons</w:t>
      </w:r>
      <w:bookmarkEnd w:id="34"/>
    </w:p>
    <w:p w14:paraId="1EB98EAC" w14:textId="4CB813FB" w:rsidR="005F6015" w:rsidRDefault="005F6015" w:rsidP="005F6015">
      <w:pPr>
        <w:spacing w:line="360" w:lineRule="auto"/>
      </w:pPr>
      <w:r>
        <w:t xml:space="preserve">In this subsection we restrict our analysis to the duration of the bankruptcy of AA while incorporating only one year before and after the bankruptcy. That is, in this section we have truncated the horizon to include a time frame beginning one year before AA declared bankruptcy </w:t>
      </w:r>
      <w:r w:rsidR="00A903E4">
        <w:t xml:space="preserve">(November 2010) </w:t>
      </w:r>
      <w:r>
        <w:t xml:space="preserve">until one year after AA emerged from </w:t>
      </w:r>
      <w:r w:rsidRPr="005B7692">
        <w:t>Chapter 11</w:t>
      </w:r>
      <w:r w:rsidR="00A903E4">
        <w:t xml:space="preserve"> (October 2014)</w:t>
      </w:r>
      <w:r>
        <w:t xml:space="preserve">. This is done in order to limit the price effects to compare them with the immediate year prior to bankruptcy and avoid comparisons with long-term behavior of prices in domestic and international markets. </w:t>
      </w:r>
    </w:p>
    <w:p w14:paraId="17496C06" w14:textId="60C224EE" w:rsidR="005F6015" w:rsidRDefault="005F6015" w:rsidP="00DB60CE">
      <w:pPr>
        <w:pStyle w:val="FlietextFolge"/>
        <w:spacing w:line="360" w:lineRule="auto"/>
        <w:ind w:firstLine="288"/>
      </w:pPr>
      <w:r>
        <w:lastRenderedPageBreak/>
        <w:t xml:space="preserve">The results provided in </w:t>
      </w:r>
      <w:r w:rsidR="00886B31">
        <w:fldChar w:fldCharType="begin"/>
      </w:r>
      <w:r w:rsidR="00886B31">
        <w:instrText xml:space="preserve"> REF _Ref521504421 \h </w:instrText>
      </w:r>
      <w:r w:rsidR="00886B31">
        <w:fldChar w:fldCharType="separate"/>
      </w:r>
      <w:r w:rsidR="00886B31">
        <w:t xml:space="preserve">Table </w:t>
      </w:r>
      <w:r w:rsidR="00886B31">
        <w:rPr>
          <w:noProof/>
        </w:rPr>
        <w:t>5</w:t>
      </w:r>
      <w:r w:rsidR="00886B31">
        <w:fldChar w:fldCharType="end"/>
      </w:r>
      <w:r w:rsidR="00886B31">
        <w:t xml:space="preserve"> </w:t>
      </w:r>
      <w:r>
        <w:t xml:space="preserve">reveals a consistent </w:t>
      </w:r>
      <w:r w:rsidR="00757B22">
        <w:t xml:space="preserve">message. Qualitatively, the directional results are consistent, although the magnitude change is different. The most significant difference from earlier estimations is that in international markets the bankrupt carrier drops prices by about </w:t>
      </w:r>
      <w:r w:rsidR="003B0BAB" w:rsidRPr="003B0BAB">
        <w:t>17</w:t>
      </w:r>
      <w:r w:rsidR="00757B22" w:rsidRPr="00A97061">
        <w:t xml:space="preserve">% during bankruptcy whereas the competitors adjust their prices down by about </w:t>
      </w:r>
      <w:r w:rsidR="00A97061" w:rsidRPr="003B0BAB">
        <w:t>3</w:t>
      </w:r>
      <w:r w:rsidR="00757B22" w:rsidRPr="00A97061">
        <w:t>%.</w:t>
      </w:r>
      <w:r w:rsidR="00757B22">
        <w:t xml:space="preserve"> </w:t>
      </w:r>
      <w:r w:rsidR="00903A45">
        <w:t xml:space="preserve">This can be compared with the effect in domestic markets: 3% drop by the bankrupt carrier </w:t>
      </w:r>
      <w:r w:rsidR="00903A45" w:rsidRPr="00A97061">
        <w:t xml:space="preserve">during bankruptcy </w:t>
      </w:r>
      <w:r w:rsidR="00903A45">
        <w:t xml:space="preserve">(compared with 3% drop in domestic markets) and less than a half percent drop by </w:t>
      </w:r>
      <w:r w:rsidR="00903A45" w:rsidRPr="00A97061">
        <w:t xml:space="preserve">the competitors </w:t>
      </w:r>
    </w:p>
    <w:p w14:paraId="6A785414" w14:textId="21938217" w:rsidR="00A45B14" w:rsidRDefault="00A45B14" w:rsidP="00757B22">
      <w:pPr>
        <w:pStyle w:val="FlietextFolge"/>
        <w:spacing w:line="360" w:lineRule="auto"/>
        <w:ind w:firstLine="288"/>
      </w:pPr>
      <w:r>
        <w:t xml:space="preserve">This reveals that </w:t>
      </w:r>
      <w:r w:rsidR="000F3F80">
        <w:t xml:space="preserve">in </w:t>
      </w:r>
      <w:r>
        <w:t>international markets the effect is not merely due to the financial distress of the airline</w:t>
      </w:r>
      <w:r w:rsidR="00903A45">
        <w:t>, which begins much earlier than the bankruptcy declaration</w:t>
      </w:r>
      <w:r>
        <w:t xml:space="preserve">. Even when limiting the time frame, we observe that we still depict a significant </w:t>
      </w:r>
      <w:r w:rsidR="00903A45">
        <w:t xml:space="preserve">drop in international markets that by far exceeds that in domestic markets. </w:t>
      </w:r>
    </w:p>
    <w:p w14:paraId="57602653" w14:textId="1EAB1153" w:rsidR="005F6015" w:rsidRPr="003B0BAB" w:rsidRDefault="005F6015" w:rsidP="005F6015">
      <w:pPr>
        <w:spacing w:line="360" w:lineRule="auto"/>
        <w:jc w:val="left"/>
        <w:rPr>
          <w:lang w:val="en-GB"/>
        </w:rPr>
      </w:pPr>
    </w:p>
    <w:p w14:paraId="709EA385" w14:textId="130F9B60" w:rsidR="005F6015" w:rsidRDefault="005F6015" w:rsidP="005F6015">
      <w:pPr>
        <w:pStyle w:val="Caption"/>
        <w:keepNext/>
      </w:pPr>
      <w:bookmarkStart w:id="35" w:name="_Ref521504421"/>
      <w:r>
        <w:t xml:space="preserve">Table </w:t>
      </w:r>
      <w:r>
        <w:fldChar w:fldCharType="begin"/>
      </w:r>
      <w:r>
        <w:instrText xml:space="preserve"> SEQ Table \* ARABIC </w:instrText>
      </w:r>
      <w:r>
        <w:fldChar w:fldCharType="separate"/>
      </w:r>
      <w:r w:rsidR="00886B31">
        <w:rPr>
          <w:noProof/>
        </w:rPr>
        <w:t>5</w:t>
      </w:r>
      <w:r>
        <w:fldChar w:fldCharType="end"/>
      </w:r>
      <w:bookmarkEnd w:id="35"/>
      <w:r>
        <w:t xml:space="preserve">: Effects of Chapter 11 filings on prices in US domestic and international markets (dependent variable ln </w:t>
      </w:r>
      <m:oMath>
        <m:sSub>
          <m:sSubPr>
            <m:ctrlPr>
              <w:rPr>
                <w:rFonts w:ascii="Cambria Math" w:hAnsi="Cambria Math"/>
              </w:rPr>
            </m:ctrlPr>
          </m:sSubPr>
          <m:e>
            <m:r>
              <w:rPr>
                <w:rFonts w:ascii="Cambria Math" w:hAnsi="Cambria Math"/>
              </w:rPr>
              <m:t>P</m:t>
            </m:r>
          </m:e>
          <m:sub>
            <m:r>
              <w:rPr>
                <w:rFonts w:ascii="Cambria Math" w:hAnsi="Cambria Math"/>
              </w:rPr>
              <m:t>crt</m:t>
            </m:r>
          </m:sub>
        </m:sSub>
      </m:oMath>
      <w:r>
        <w:t>),</w:t>
      </w:r>
      <w:r w:rsidRPr="002B0AF4">
        <w:t xml:space="preserve"> </w:t>
      </w:r>
      <w:r>
        <w:t>routes covering 50% of total traffic</w:t>
      </w:r>
    </w:p>
    <w:tbl>
      <w:tblPr>
        <w:tblStyle w:val="HelleSchattierung-Akzent11"/>
        <w:tblW w:w="8645" w:type="dxa"/>
        <w:tblLayout w:type="fixed"/>
        <w:tblLook w:val="0600" w:firstRow="0" w:lastRow="0" w:firstColumn="0" w:lastColumn="0" w:noHBand="1" w:noVBand="1"/>
      </w:tblPr>
      <w:tblGrid>
        <w:gridCol w:w="2410"/>
        <w:gridCol w:w="1247"/>
        <w:gridCol w:w="1247"/>
        <w:gridCol w:w="1247"/>
        <w:gridCol w:w="1247"/>
        <w:gridCol w:w="1247"/>
      </w:tblGrid>
      <w:tr w:rsidR="00173049" w:rsidRPr="0095351A" w14:paraId="40719770" w14:textId="77777777" w:rsidTr="005510E8">
        <w:tc>
          <w:tcPr>
            <w:tcW w:w="2410" w:type="dxa"/>
            <w:tcBorders>
              <w:top w:val="single" w:sz="8" w:space="0" w:color="000000" w:themeColor="text1"/>
              <w:bottom w:val="single" w:sz="4" w:space="0" w:color="auto"/>
            </w:tcBorders>
          </w:tcPr>
          <w:p w14:paraId="2379B334" w14:textId="77777777" w:rsidR="00173049" w:rsidRPr="0095351A" w:rsidRDefault="00173049" w:rsidP="005510E8">
            <w:pPr>
              <w:widowControl w:val="0"/>
              <w:autoSpaceDE w:val="0"/>
              <w:autoSpaceDN w:val="0"/>
              <w:adjustRightInd w:val="0"/>
              <w:spacing w:line="240" w:lineRule="auto"/>
              <w:rPr>
                <w:rFonts w:cs="Times New Roman"/>
                <w:szCs w:val="24"/>
                <w:lang w:val="en-GB"/>
              </w:rPr>
            </w:pPr>
          </w:p>
        </w:tc>
        <w:tc>
          <w:tcPr>
            <w:tcW w:w="1247" w:type="dxa"/>
            <w:tcBorders>
              <w:top w:val="single" w:sz="8" w:space="0" w:color="000000" w:themeColor="text1"/>
              <w:bottom w:val="single" w:sz="4" w:space="0" w:color="auto"/>
            </w:tcBorders>
          </w:tcPr>
          <w:p w14:paraId="0EDC9375" w14:textId="77777777" w:rsidR="00173049" w:rsidRPr="0095351A" w:rsidRDefault="00173049"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247" w:type="dxa"/>
            <w:tcBorders>
              <w:top w:val="single" w:sz="8" w:space="0" w:color="000000" w:themeColor="text1"/>
              <w:bottom w:val="single" w:sz="4" w:space="0" w:color="auto"/>
            </w:tcBorders>
          </w:tcPr>
          <w:p w14:paraId="3F11A082" w14:textId="77777777" w:rsidR="00173049" w:rsidRPr="0095351A" w:rsidRDefault="00173049"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247" w:type="dxa"/>
            <w:tcBorders>
              <w:top w:val="single" w:sz="8" w:space="0" w:color="000000" w:themeColor="text1"/>
              <w:bottom w:val="single" w:sz="4" w:space="0" w:color="auto"/>
            </w:tcBorders>
          </w:tcPr>
          <w:p w14:paraId="22476D20" w14:textId="77777777" w:rsidR="00173049" w:rsidRPr="0095351A" w:rsidRDefault="00173049"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247" w:type="dxa"/>
            <w:tcBorders>
              <w:top w:val="single" w:sz="8" w:space="0" w:color="000000" w:themeColor="text1"/>
              <w:bottom w:val="single" w:sz="4" w:space="0" w:color="auto"/>
            </w:tcBorders>
          </w:tcPr>
          <w:p w14:paraId="29322C8F" w14:textId="77777777" w:rsidR="00173049" w:rsidRPr="0095351A" w:rsidRDefault="00173049" w:rsidP="005510E8">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247" w:type="dxa"/>
            <w:tcBorders>
              <w:top w:val="single" w:sz="8" w:space="0" w:color="000000" w:themeColor="text1"/>
              <w:bottom w:val="single" w:sz="4" w:space="0" w:color="auto"/>
            </w:tcBorders>
          </w:tcPr>
          <w:p w14:paraId="04E42BD1" w14:textId="77777777" w:rsidR="00173049" w:rsidRDefault="00173049" w:rsidP="005510E8">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173049" w:rsidRPr="0095351A" w14:paraId="1F795167" w14:textId="77777777" w:rsidTr="005510E8">
        <w:tc>
          <w:tcPr>
            <w:tcW w:w="2410" w:type="dxa"/>
            <w:tcBorders>
              <w:top w:val="single" w:sz="4" w:space="0" w:color="auto"/>
            </w:tcBorders>
            <w:vAlign w:val="center"/>
          </w:tcPr>
          <w:p w14:paraId="60CB8B76"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247" w:type="dxa"/>
            <w:tcBorders>
              <w:top w:val="single" w:sz="4" w:space="0" w:color="auto"/>
            </w:tcBorders>
          </w:tcPr>
          <w:p w14:paraId="7BB21DA8" w14:textId="2AF1984D"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-0.031***</w:t>
            </w:r>
          </w:p>
        </w:tc>
        <w:tc>
          <w:tcPr>
            <w:tcW w:w="1247" w:type="dxa"/>
            <w:tcBorders>
              <w:top w:val="single" w:sz="4" w:space="0" w:color="auto"/>
            </w:tcBorders>
          </w:tcPr>
          <w:p w14:paraId="7B28B688" w14:textId="116C90E0"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-0.032***</w:t>
            </w:r>
          </w:p>
        </w:tc>
        <w:tc>
          <w:tcPr>
            <w:tcW w:w="1247" w:type="dxa"/>
            <w:tcBorders>
              <w:top w:val="single" w:sz="4" w:space="0" w:color="auto"/>
            </w:tcBorders>
          </w:tcPr>
          <w:p w14:paraId="63EF6D06" w14:textId="0CFE9F1F"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-0.024***</w:t>
            </w:r>
          </w:p>
        </w:tc>
        <w:tc>
          <w:tcPr>
            <w:tcW w:w="1247" w:type="dxa"/>
            <w:tcBorders>
              <w:top w:val="single" w:sz="4" w:space="0" w:color="auto"/>
            </w:tcBorders>
          </w:tcPr>
          <w:p w14:paraId="7336757D" w14:textId="1F2B0F27"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-0.022***</w:t>
            </w:r>
          </w:p>
        </w:tc>
        <w:tc>
          <w:tcPr>
            <w:tcW w:w="1247" w:type="dxa"/>
            <w:tcBorders>
              <w:top w:val="single" w:sz="4" w:space="0" w:color="auto"/>
            </w:tcBorders>
          </w:tcPr>
          <w:p w14:paraId="0B463559" w14:textId="51F1090F"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-0.032***</w:t>
            </w:r>
          </w:p>
        </w:tc>
      </w:tr>
      <w:tr w:rsidR="00173049" w:rsidRPr="0095351A" w14:paraId="38DCA29F" w14:textId="77777777" w:rsidTr="005510E8">
        <w:tc>
          <w:tcPr>
            <w:tcW w:w="2410" w:type="dxa"/>
            <w:vAlign w:val="center"/>
          </w:tcPr>
          <w:p w14:paraId="0C34AD7E"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5BF082C7" w14:textId="26F55FA4"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34D5FB7D" w14:textId="2E62CC3A"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101DB32B" w14:textId="1F41A902"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5E6F3A68" w14:textId="34FD86B2"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C20940D" w14:textId="7D2533C0"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r>
      <w:tr w:rsidR="00173049" w:rsidRPr="0095351A" w14:paraId="166643D7" w14:textId="77777777" w:rsidTr="005510E8">
        <w:tc>
          <w:tcPr>
            <w:tcW w:w="2410" w:type="dxa"/>
            <w:vAlign w:val="center"/>
          </w:tcPr>
          <w:p w14:paraId="035776D2"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247" w:type="dxa"/>
          </w:tcPr>
          <w:p w14:paraId="4D760D96" w14:textId="173F4BD5"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44F40F48" w14:textId="724CE040"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61FB0430" w14:textId="0A43E81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75DC86C4" w14:textId="6A2BA979"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-0.000</w:t>
            </w:r>
          </w:p>
        </w:tc>
        <w:tc>
          <w:tcPr>
            <w:tcW w:w="1247" w:type="dxa"/>
          </w:tcPr>
          <w:p w14:paraId="282B0B89" w14:textId="28116F1C"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r>
      <w:tr w:rsidR="00173049" w:rsidRPr="0095351A" w14:paraId="0143B31B" w14:textId="77777777" w:rsidTr="005510E8">
        <w:tc>
          <w:tcPr>
            <w:tcW w:w="2410" w:type="dxa"/>
            <w:vAlign w:val="center"/>
          </w:tcPr>
          <w:p w14:paraId="6C454401"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384EBD58" w14:textId="3FE04B15"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FC2B0DC" w14:textId="1AAD2A2A"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2B07C43C" w14:textId="00375651"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400033E" w14:textId="65F718B9"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6F894C5E" w14:textId="537C4CFF"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(0.002)</w:t>
            </w:r>
          </w:p>
        </w:tc>
      </w:tr>
      <w:tr w:rsidR="00173049" w:rsidRPr="0095351A" w14:paraId="179CB19F" w14:textId="77777777" w:rsidTr="005510E8">
        <w:tc>
          <w:tcPr>
            <w:tcW w:w="2410" w:type="dxa"/>
            <w:vAlign w:val="center"/>
          </w:tcPr>
          <w:p w14:paraId="1D3AB727"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247" w:type="dxa"/>
          </w:tcPr>
          <w:p w14:paraId="70910A50" w14:textId="62A2A80E"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-0.060***</w:t>
            </w:r>
          </w:p>
        </w:tc>
        <w:tc>
          <w:tcPr>
            <w:tcW w:w="1247" w:type="dxa"/>
          </w:tcPr>
          <w:p w14:paraId="07459EC8" w14:textId="1515FDA0"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-0.059***</w:t>
            </w:r>
          </w:p>
        </w:tc>
        <w:tc>
          <w:tcPr>
            <w:tcW w:w="1247" w:type="dxa"/>
          </w:tcPr>
          <w:p w14:paraId="14E91655" w14:textId="07AFA31E"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-0.053***</w:t>
            </w:r>
          </w:p>
        </w:tc>
        <w:tc>
          <w:tcPr>
            <w:tcW w:w="1247" w:type="dxa"/>
          </w:tcPr>
          <w:p w14:paraId="4D0A6CC8" w14:textId="78116E04"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-0.049***</w:t>
            </w:r>
          </w:p>
        </w:tc>
        <w:tc>
          <w:tcPr>
            <w:tcW w:w="1247" w:type="dxa"/>
          </w:tcPr>
          <w:p w14:paraId="23FC0D73" w14:textId="4FB69187"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-0.061***</w:t>
            </w:r>
          </w:p>
        </w:tc>
      </w:tr>
      <w:tr w:rsidR="00173049" w:rsidRPr="0095351A" w14:paraId="5F2207BC" w14:textId="77777777" w:rsidTr="005510E8">
        <w:tc>
          <w:tcPr>
            <w:tcW w:w="2410" w:type="dxa"/>
            <w:vAlign w:val="center"/>
          </w:tcPr>
          <w:p w14:paraId="7156E71E"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2DED593E" w14:textId="29F9CE79"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0585765F" w14:textId="6F72B70B"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C1ABBA1" w14:textId="1EE51EF4"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589CF444" w14:textId="56E13727"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1853BA62" w14:textId="190DBC12"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(0.004)</w:t>
            </w:r>
          </w:p>
        </w:tc>
      </w:tr>
      <w:tr w:rsidR="00173049" w:rsidRPr="0095351A" w14:paraId="629C85D8" w14:textId="77777777" w:rsidTr="005510E8">
        <w:tc>
          <w:tcPr>
            <w:tcW w:w="2410" w:type="dxa"/>
            <w:vAlign w:val="center"/>
          </w:tcPr>
          <w:p w14:paraId="378F91BC"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247" w:type="dxa"/>
          </w:tcPr>
          <w:p w14:paraId="19D6BC5B" w14:textId="3EF4BD67"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5E04A77A" w14:textId="4E13017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7399EAE7" w14:textId="4A2C2565"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72D59C39" w14:textId="1AA37480"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07D71DBD" w14:textId="0BB9200E"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-0.002</w:t>
            </w:r>
          </w:p>
        </w:tc>
      </w:tr>
      <w:tr w:rsidR="00173049" w:rsidRPr="0095351A" w14:paraId="11DBF5D1" w14:textId="77777777" w:rsidTr="005510E8">
        <w:tc>
          <w:tcPr>
            <w:tcW w:w="2410" w:type="dxa"/>
            <w:vAlign w:val="center"/>
          </w:tcPr>
          <w:p w14:paraId="29C7936D"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686F7BE9" w14:textId="580F6C7C"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17F18625" w14:textId="62C1C21D"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27B3ED85" w14:textId="3E40B00C"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3CABC402" w14:textId="52AE8A36"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248B5F83" w14:textId="0CF908E5"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(0.003)</w:t>
            </w:r>
          </w:p>
        </w:tc>
      </w:tr>
      <w:tr w:rsidR="00173049" w:rsidRPr="0095351A" w14:paraId="51755046" w14:textId="77777777" w:rsidTr="005510E8">
        <w:tc>
          <w:tcPr>
            <w:tcW w:w="2410" w:type="dxa"/>
            <w:vAlign w:val="center"/>
          </w:tcPr>
          <w:p w14:paraId="3E720281"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p>
        </w:tc>
        <w:tc>
          <w:tcPr>
            <w:tcW w:w="1247" w:type="dxa"/>
          </w:tcPr>
          <w:p w14:paraId="36D6F5D1" w14:textId="48D6F369"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-0.154***</w:t>
            </w:r>
          </w:p>
        </w:tc>
        <w:tc>
          <w:tcPr>
            <w:tcW w:w="1247" w:type="dxa"/>
          </w:tcPr>
          <w:p w14:paraId="6FA11C6E" w14:textId="7944E227"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-0.127***</w:t>
            </w:r>
          </w:p>
        </w:tc>
        <w:tc>
          <w:tcPr>
            <w:tcW w:w="1247" w:type="dxa"/>
          </w:tcPr>
          <w:p w14:paraId="12CC8912" w14:textId="62A4D84B"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-0.287***</w:t>
            </w:r>
          </w:p>
        </w:tc>
        <w:tc>
          <w:tcPr>
            <w:tcW w:w="1247" w:type="dxa"/>
          </w:tcPr>
          <w:p w14:paraId="4BB33A99" w14:textId="690AA543"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-0.178***</w:t>
            </w:r>
          </w:p>
        </w:tc>
        <w:tc>
          <w:tcPr>
            <w:tcW w:w="1247" w:type="dxa"/>
          </w:tcPr>
          <w:p w14:paraId="35DBEF3A" w14:textId="5872EA62"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-0.159***</w:t>
            </w:r>
          </w:p>
        </w:tc>
      </w:tr>
      <w:tr w:rsidR="00173049" w:rsidRPr="0095351A" w14:paraId="28E6D897" w14:textId="77777777" w:rsidTr="005510E8">
        <w:tc>
          <w:tcPr>
            <w:tcW w:w="2410" w:type="dxa"/>
            <w:vAlign w:val="center"/>
          </w:tcPr>
          <w:p w14:paraId="1C955CDB"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291805B7" w14:textId="4B9692C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(0.019)</w:t>
            </w:r>
          </w:p>
        </w:tc>
        <w:tc>
          <w:tcPr>
            <w:tcW w:w="1247" w:type="dxa"/>
          </w:tcPr>
          <w:p w14:paraId="19A01440" w14:textId="6A89F30C"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2D359BC4" w14:textId="493DFEE2"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7CA570BC" w14:textId="6A67F0AD"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(0.020)</w:t>
            </w:r>
          </w:p>
        </w:tc>
        <w:tc>
          <w:tcPr>
            <w:tcW w:w="1247" w:type="dxa"/>
          </w:tcPr>
          <w:p w14:paraId="71E2E7E3" w14:textId="30890F1D"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(0.019)</w:t>
            </w:r>
          </w:p>
        </w:tc>
      </w:tr>
      <w:tr w:rsidR="00173049" w:rsidRPr="0095351A" w14:paraId="60DC9F79" w14:textId="77777777" w:rsidTr="005510E8">
        <w:tc>
          <w:tcPr>
            <w:tcW w:w="2410" w:type="dxa"/>
            <w:vAlign w:val="center"/>
          </w:tcPr>
          <w:p w14:paraId="3B0FECB3"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otherint</m:t>
                  </m:r>
                </m:sub>
              </m:sSub>
            </m:oMath>
          </w:p>
        </w:tc>
        <w:tc>
          <w:tcPr>
            <w:tcW w:w="1247" w:type="dxa"/>
          </w:tcPr>
          <w:p w14:paraId="6CF872AE" w14:textId="1515A574"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-0.030***</w:t>
            </w:r>
          </w:p>
        </w:tc>
        <w:tc>
          <w:tcPr>
            <w:tcW w:w="1247" w:type="dxa"/>
          </w:tcPr>
          <w:p w14:paraId="12546D62" w14:textId="7A79056A"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-0.048***</w:t>
            </w:r>
          </w:p>
        </w:tc>
        <w:tc>
          <w:tcPr>
            <w:tcW w:w="1247" w:type="dxa"/>
          </w:tcPr>
          <w:p w14:paraId="4BF4F8EE" w14:textId="0FD1AF25"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0FFEA25F" w14:textId="7A38C6D3"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-0.028***</w:t>
            </w:r>
          </w:p>
        </w:tc>
        <w:tc>
          <w:tcPr>
            <w:tcW w:w="1247" w:type="dxa"/>
          </w:tcPr>
          <w:p w14:paraId="36A7DD2C" w14:textId="6F30892E"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-0.031***</w:t>
            </w:r>
          </w:p>
        </w:tc>
      </w:tr>
      <w:tr w:rsidR="00173049" w:rsidRPr="0095351A" w14:paraId="18D910C9" w14:textId="77777777" w:rsidTr="005510E8">
        <w:tc>
          <w:tcPr>
            <w:tcW w:w="2410" w:type="dxa"/>
            <w:vAlign w:val="center"/>
          </w:tcPr>
          <w:p w14:paraId="0ADED188"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21190974" w14:textId="340BA5B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588C5FB6" w14:textId="3DE14EFF"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1C40A847" w14:textId="07A06D99"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7784797E" w14:textId="30993BB5"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3035BE7A" w14:textId="0194604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(0.006)</w:t>
            </w:r>
          </w:p>
        </w:tc>
      </w:tr>
      <w:tr w:rsidR="00173049" w:rsidRPr="0095351A" w14:paraId="7FD0C9A6" w14:textId="77777777" w:rsidTr="005510E8">
        <w:tc>
          <w:tcPr>
            <w:tcW w:w="2410" w:type="dxa"/>
            <w:vAlign w:val="center"/>
          </w:tcPr>
          <w:p w14:paraId="5A65A6EA"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p>
        </w:tc>
        <w:tc>
          <w:tcPr>
            <w:tcW w:w="1247" w:type="dxa"/>
          </w:tcPr>
          <w:p w14:paraId="08C14C2F" w14:textId="343E4F3F"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-0.110***</w:t>
            </w:r>
          </w:p>
        </w:tc>
        <w:tc>
          <w:tcPr>
            <w:tcW w:w="1247" w:type="dxa"/>
          </w:tcPr>
          <w:p w14:paraId="7A944D22" w14:textId="5572FA5B"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-0.082***</w:t>
            </w:r>
          </w:p>
        </w:tc>
        <w:tc>
          <w:tcPr>
            <w:tcW w:w="1247" w:type="dxa"/>
          </w:tcPr>
          <w:p w14:paraId="26601C0C" w14:textId="36FB4B90"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-0.232***</w:t>
            </w:r>
          </w:p>
        </w:tc>
        <w:tc>
          <w:tcPr>
            <w:tcW w:w="1247" w:type="dxa"/>
          </w:tcPr>
          <w:p w14:paraId="5020B43A" w14:textId="618EB504"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-0.140***</w:t>
            </w:r>
          </w:p>
        </w:tc>
        <w:tc>
          <w:tcPr>
            <w:tcW w:w="1247" w:type="dxa"/>
          </w:tcPr>
          <w:p w14:paraId="11AEF3EF" w14:textId="3AC35543"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-0.116***</w:t>
            </w:r>
          </w:p>
        </w:tc>
      </w:tr>
      <w:tr w:rsidR="00173049" w:rsidRPr="0095351A" w14:paraId="4CF4C16A" w14:textId="77777777" w:rsidTr="005510E8">
        <w:tc>
          <w:tcPr>
            <w:tcW w:w="2410" w:type="dxa"/>
            <w:vAlign w:val="center"/>
          </w:tcPr>
          <w:p w14:paraId="07D4DD7E"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0C41EBBD" w14:textId="72AABA03"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(0.023)</w:t>
            </w:r>
          </w:p>
        </w:tc>
        <w:tc>
          <w:tcPr>
            <w:tcW w:w="1247" w:type="dxa"/>
          </w:tcPr>
          <w:p w14:paraId="57FD77A4" w14:textId="1AAEFAA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(0.022)</w:t>
            </w:r>
          </w:p>
        </w:tc>
        <w:tc>
          <w:tcPr>
            <w:tcW w:w="1247" w:type="dxa"/>
          </w:tcPr>
          <w:p w14:paraId="31E3C172" w14:textId="45D2B25B"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(0.020)</w:t>
            </w:r>
          </w:p>
        </w:tc>
        <w:tc>
          <w:tcPr>
            <w:tcW w:w="1247" w:type="dxa"/>
          </w:tcPr>
          <w:p w14:paraId="0980F75A" w14:textId="3F11372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(0.024)</w:t>
            </w:r>
          </w:p>
        </w:tc>
        <w:tc>
          <w:tcPr>
            <w:tcW w:w="1247" w:type="dxa"/>
          </w:tcPr>
          <w:p w14:paraId="339DEF5E" w14:textId="127DDB2A"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(0.023)</w:t>
            </w:r>
          </w:p>
        </w:tc>
      </w:tr>
      <w:tr w:rsidR="00173049" w:rsidRPr="0095351A" w14:paraId="0D69EFA6" w14:textId="77777777" w:rsidTr="005510E8">
        <w:tc>
          <w:tcPr>
            <w:tcW w:w="2410" w:type="dxa"/>
            <w:vAlign w:val="center"/>
          </w:tcPr>
          <w:p w14:paraId="64ACD84C"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otherint</m:t>
                  </m:r>
                </m:sub>
              </m:sSub>
            </m:oMath>
          </w:p>
        </w:tc>
        <w:tc>
          <w:tcPr>
            <w:tcW w:w="1247" w:type="dxa"/>
          </w:tcPr>
          <w:p w14:paraId="55F2BED0" w14:textId="014DA7BD"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-0.043***</w:t>
            </w:r>
          </w:p>
        </w:tc>
        <w:tc>
          <w:tcPr>
            <w:tcW w:w="1247" w:type="dxa"/>
          </w:tcPr>
          <w:p w14:paraId="5C8F1E48" w14:textId="1B28AA1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-0.062***</w:t>
            </w:r>
          </w:p>
        </w:tc>
        <w:tc>
          <w:tcPr>
            <w:tcW w:w="1247" w:type="dxa"/>
          </w:tcPr>
          <w:p w14:paraId="79899F7F" w14:textId="0212298C"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-0.024***</w:t>
            </w:r>
          </w:p>
        </w:tc>
        <w:tc>
          <w:tcPr>
            <w:tcW w:w="1247" w:type="dxa"/>
          </w:tcPr>
          <w:p w14:paraId="2FB8C832" w14:textId="0DD0A223"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-0.053***</w:t>
            </w:r>
          </w:p>
        </w:tc>
        <w:tc>
          <w:tcPr>
            <w:tcW w:w="1247" w:type="dxa"/>
          </w:tcPr>
          <w:p w14:paraId="5EE4DFC8" w14:textId="17E8D261"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-0.044***</w:t>
            </w:r>
          </w:p>
        </w:tc>
      </w:tr>
      <w:tr w:rsidR="00173049" w:rsidRPr="0095351A" w14:paraId="075F9FFE" w14:textId="77777777" w:rsidTr="005510E8">
        <w:tc>
          <w:tcPr>
            <w:tcW w:w="2410" w:type="dxa"/>
            <w:vAlign w:val="center"/>
          </w:tcPr>
          <w:p w14:paraId="341B6DAD"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1B4B4C6F" w14:textId="59DB81CE"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32BFF5D9" w14:textId="550FA49F"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0947502A" w14:textId="542B55C1"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0FDB15EE" w14:textId="1D85BFD5"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62E5078D" w14:textId="2F1D0561"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(0.007)</w:t>
            </w:r>
          </w:p>
        </w:tc>
      </w:tr>
      <w:tr w:rsidR="00173049" w:rsidRPr="0095351A" w14:paraId="00F5AB7C" w14:textId="77777777" w:rsidTr="005510E8">
        <w:tc>
          <w:tcPr>
            <w:tcW w:w="2410" w:type="dxa"/>
            <w:vAlign w:val="center"/>
          </w:tcPr>
          <w:p w14:paraId="7A8978BC"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HHI</m:t>
              </m:r>
            </m:oMath>
          </w:p>
        </w:tc>
        <w:tc>
          <w:tcPr>
            <w:tcW w:w="1247" w:type="dxa"/>
          </w:tcPr>
          <w:p w14:paraId="06E9BD9C" w14:textId="07641A2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0.164***</w:t>
            </w:r>
          </w:p>
        </w:tc>
        <w:tc>
          <w:tcPr>
            <w:tcW w:w="1247" w:type="dxa"/>
          </w:tcPr>
          <w:p w14:paraId="501BC025" w14:textId="264C21B0"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0.157***</w:t>
            </w:r>
          </w:p>
        </w:tc>
        <w:tc>
          <w:tcPr>
            <w:tcW w:w="1247" w:type="dxa"/>
          </w:tcPr>
          <w:p w14:paraId="53A7274D" w14:textId="51B51668"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0.149***</w:t>
            </w:r>
          </w:p>
        </w:tc>
        <w:tc>
          <w:tcPr>
            <w:tcW w:w="1247" w:type="dxa"/>
          </w:tcPr>
          <w:p w14:paraId="4E9BA956" w14:textId="2B2979D6"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0.164***</w:t>
            </w:r>
          </w:p>
        </w:tc>
        <w:tc>
          <w:tcPr>
            <w:tcW w:w="1247" w:type="dxa"/>
          </w:tcPr>
          <w:p w14:paraId="44BC2574" w14:textId="7133C95A"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0.154***</w:t>
            </w:r>
          </w:p>
        </w:tc>
      </w:tr>
      <w:tr w:rsidR="00173049" w:rsidRPr="0095351A" w14:paraId="1521B6BB" w14:textId="77777777" w:rsidTr="005510E8">
        <w:tc>
          <w:tcPr>
            <w:tcW w:w="2410" w:type="dxa"/>
            <w:vAlign w:val="center"/>
          </w:tcPr>
          <w:p w14:paraId="6BC06D71"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Pr>
          <w:p w14:paraId="50336723" w14:textId="6AC06DE4"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5F087C0F" w14:textId="7344A8C1"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(0.007)</w:t>
            </w:r>
          </w:p>
        </w:tc>
        <w:tc>
          <w:tcPr>
            <w:tcW w:w="1247" w:type="dxa"/>
          </w:tcPr>
          <w:p w14:paraId="638C3D30" w14:textId="2C0AE7A7"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1614504D" w14:textId="3965CF1B"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24596919" w14:textId="11C705B2"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(0.007)</w:t>
            </w:r>
          </w:p>
        </w:tc>
      </w:tr>
      <w:tr w:rsidR="00173049" w:rsidRPr="0095351A" w14:paraId="09B6270B" w14:textId="77777777" w:rsidTr="005510E8">
        <w:tc>
          <w:tcPr>
            <w:tcW w:w="2410" w:type="dxa"/>
            <w:vAlign w:val="center"/>
          </w:tcPr>
          <w:p w14:paraId="496BE4D2"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r>
              <w:t xml:space="preserve"> </w:t>
            </w:r>
            <m:oMath>
              <m:r>
                <m:rPr>
                  <m:sty m:val="p"/>
                </m:rPr>
                <w:rPr>
                  <w:rFonts w:ascii="Cambria Math" w:hAnsi="Cambria Math"/>
                </w:rPr>
                <m:t>Int</m:t>
              </m:r>
            </m:oMath>
          </w:p>
        </w:tc>
        <w:tc>
          <w:tcPr>
            <w:tcW w:w="1247" w:type="dxa"/>
          </w:tcPr>
          <w:p w14:paraId="4B3631AB" w14:textId="77777777" w:rsidR="00173049" w:rsidRDefault="00173049" w:rsidP="00173049">
            <w:pPr>
              <w:widowControl w:val="0"/>
              <w:autoSpaceDE w:val="0"/>
              <w:autoSpaceDN w:val="0"/>
              <w:adjustRightInd w:val="0"/>
              <w:spacing w:line="240" w:lineRule="auto"/>
              <w:jc w:val="center"/>
              <w:rPr>
                <w:rFonts w:cs="Times New Roman"/>
                <w:szCs w:val="24"/>
              </w:rPr>
            </w:pPr>
          </w:p>
        </w:tc>
        <w:tc>
          <w:tcPr>
            <w:tcW w:w="1247" w:type="dxa"/>
          </w:tcPr>
          <w:p w14:paraId="791C3DBE" w14:textId="77777777" w:rsidR="00173049" w:rsidRDefault="00173049" w:rsidP="00173049">
            <w:pPr>
              <w:widowControl w:val="0"/>
              <w:autoSpaceDE w:val="0"/>
              <w:autoSpaceDN w:val="0"/>
              <w:adjustRightInd w:val="0"/>
              <w:spacing w:line="240" w:lineRule="auto"/>
              <w:jc w:val="center"/>
              <w:rPr>
                <w:rFonts w:cs="Times New Roman"/>
                <w:szCs w:val="24"/>
              </w:rPr>
            </w:pPr>
          </w:p>
        </w:tc>
        <w:tc>
          <w:tcPr>
            <w:tcW w:w="1247" w:type="dxa"/>
          </w:tcPr>
          <w:p w14:paraId="4B798CF2" w14:textId="77777777" w:rsidR="00173049" w:rsidRDefault="00173049" w:rsidP="00173049">
            <w:pPr>
              <w:widowControl w:val="0"/>
              <w:autoSpaceDE w:val="0"/>
              <w:autoSpaceDN w:val="0"/>
              <w:adjustRightInd w:val="0"/>
              <w:spacing w:line="240" w:lineRule="auto"/>
              <w:jc w:val="center"/>
              <w:rPr>
                <w:rFonts w:cs="Times New Roman"/>
                <w:szCs w:val="24"/>
              </w:rPr>
            </w:pPr>
          </w:p>
        </w:tc>
        <w:tc>
          <w:tcPr>
            <w:tcW w:w="1247" w:type="dxa"/>
          </w:tcPr>
          <w:p w14:paraId="1121018C" w14:textId="77777777" w:rsidR="00173049" w:rsidRDefault="00173049" w:rsidP="00173049">
            <w:pPr>
              <w:widowControl w:val="0"/>
              <w:autoSpaceDE w:val="0"/>
              <w:autoSpaceDN w:val="0"/>
              <w:adjustRightInd w:val="0"/>
              <w:spacing w:line="240" w:lineRule="auto"/>
              <w:jc w:val="center"/>
              <w:rPr>
                <w:rFonts w:cs="Times New Roman"/>
                <w:szCs w:val="24"/>
              </w:rPr>
            </w:pPr>
          </w:p>
        </w:tc>
        <w:tc>
          <w:tcPr>
            <w:tcW w:w="1247" w:type="dxa"/>
          </w:tcPr>
          <w:p w14:paraId="3A452556" w14:textId="1B322AB3"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-0.218***</w:t>
            </w:r>
          </w:p>
        </w:tc>
      </w:tr>
      <w:tr w:rsidR="00173049" w:rsidRPr="0095351A" w14:paraId="35D8F15C" w14:textId="77777777" w:rsidTr="005510E8">
        <w:tc>
          <w:tcPr>
            <w:tcW w:w="2410" w:type="dxa"/>
            <w:tcBorders>
              <w:bottom w:val="single" w:sz="4" w:space="0" w:color="auto"/>
            </w:tcBorders>
            <w:vAlign w:val="center"/>
          </w:tcPr>
          <w:p w14:paraId="2C047975" w14:textId="77777777" w:rsidR="00173049" w:rsidRPr="0095351A" w:rsidRDefault="00173049" w:rsidP="00173049">
            <w:pPr>
              <w:widowControl w:val="0"/>
              <w:autoSpaceDE w:val="0"/>
              <w:autoSpaceDN w:val="0"/>
              <w:adjustRightInd w:val="0"/>
              <w:spacing w:line="240" w:lineRule="auto"/>
              <w:jc w:val="left"/>
              <w:rPr>
                <w:rFonts w:cs="Times New Roman"/>
                <w:szCs w:val="24"/>
                <w:lang w:val="en-GB"/>
              </w:rPr>
            </w:pPr>
          </w:p>
        </w:tc>
        <w:tc>
          <w:tcPr>
            <w:tcW w:w="1247" w:type="dxa"/>
            <w:tcBorders>
              <w:bottom w:val="single" w:sz="4" w:space="0" w:color="auto"/>
            </w:tcBorders>
          </w:tcPr>
          <w:p w14:paraId="42B45AA4" w14:textId="77777777" w:rsidR="00173049" w:rsidRDefault="00173049" w:rsidP="00173049">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1C0616F4" w14:textId="77777777" w:rsidR="00173049" w:rsidRDefault="00173049" w:rsidP="00173049">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30AB4C28" w14:textId="77777777" w:rsidR="00173049" w:rsidRDefault="00173049" w:rsidP="00173049">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3695793E" w14:textId="77777777" w:rsidR="00173049" w:rsidRDefault="00173049" w:rsidP="00173049">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1F5909C8" w14:textId="6E9CCEDF"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(0.023)</w:t>
            </w:r>
          </w:p>
        </w:tc>
      </w:tr>
      <w:tr w:rsidR="00173049" w:rsidRPr="0095351A" w14:paraId="1B5479F7" w14:textId="77777777" w:rsidTr="005510E8">
        <w:tc>
          <w:tcPr>
            <w:tcW w:w="2410" w:type="dxa"/>
            <w:tcBorders>
              <w:top w:val="single" w:sz="4" w:space="0" w:color="auto"/>
              <w:bottom w:val="nil"/>
            </w:tcBorders>
          </w:tcPr>
          <w:p w14:paraId="5EB016A2" w14:textId="77777777" w:rsidR="00173049" w:rsidRPr="0095351A" w:rsidRDefault="00173049" w:rsidP="00173049">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247" w:type="dxa"/>
            <w:tcBorders>
              <w:top w:val="single" w:sz="4" w:space="0" w:color="auto"/>
              <w:bottom w:val="nil"/>
            </w:tcBorders>
          </w:tcPr>
          <w:p w14:paraId="2461383E" w14:textId="1277BCBC" w:rsidR="00173049" w:rsidRPr="0095351A" w:rsidRDefault="00173049" w:rsidP="00173049">
            <w:pPr>
              <w:widowControl w:val="0"/>
              <w:autoSpaceDE w:val="0"/>
              <w:autoSpaceDN w:val="0"/>
              <w:adjustRightInd w:val="0"/>
              <w:spacing w:line="240" w:lineRule="auto"/>
              <w:jc w:val="center"/>
              <w:rPr>
                <w:rFonts w:cs="Times New Roman"/>
                <w:szCs w:val="24"/>
                <w:lang w:val="en-GB"/>
              </w:rPr>
            </w:pPr>
            <w:r>
              <w:rPr>
                <w:rFonts w:cs="Times New Roman"/>
                <w:szCs w:val="24"/>
              </w:rPr>
              <w:t>68,430</w:t>
            </w:r>
          </w:p>
        </w:tc>
        <w:tc>
          <w:tcPr>
            <w:tcW w:w="1247" w:type="dxa"/>
            <w:tcBorders>
              <w:top w:val="single" w:sz="4" w:space="0" w:color="auto"/>
              <w:bottom w:val="nil"/>
            </w:tcBorders>
          </w:tcPr>
          <w:p w14:paraId="40B771DF" w14:textId="16904673" w:rsidR="00173049" w:rsidRPr="0095351A" w:rsidRDefault="00173049" w:rsidP="00173049">
            <w:pPr>
              <w:widowControl w:val="0"/>
              <w:autoSpaceDE w:val="0"/>
              <w:autoSpaceDN w:val="0"/>
              <w:adjustRightInd w:val="0"/>
              <w:spacing w:line="240" w:lineRule="auto"/>
              <w:jc w:val="center"/>
              <w:rPr>
                <w:rFonts w:cs="Times New Roman"/>
                <w:szCs w:val="24"/>
                <w:lang w:val="en-GB"/>
              </w:rPr>
            </w:pPr>
            <w:r>
              <w:rPr>
                <w:rFonts w:cs="Times New Roman"/>
                <w:szCs w:val="24"/>
              </w:rPr>
              <w:t>73,149</w:t>
            </w:r>
          </w:p>
        </w:tc>
        <w:tc>
          <w:tcPr>
            <w:tcW w:w="1247" w:type="dxa"/>
            <w:tcBorders>
              <w:top w:val="single" w:sz="4" w:space="0" w:color="auto"/>
              <w:bottom w:val="nil"/>
            </w:tcBorders>
          </w:tcPr>
          <w:p w14:paraId="58985F90" w14:textId="37EB6E90" w:rsidR="00173049" w:rsidRPr="0095351A" w:rsidRDefault="00173049" w:rsidP="00173049">
            <w:pPr>
              <w:widowControl w:val="0"/>
              <w:autoSpaceDE w:val="0"/>
              <w:autoSpaceDN w:val="0"/>
              <w:adjustRightInd w:val="0"/>
              <w:spacing w:line="240" w:lineRule="auto"/>
              <w:jc w:val="center"/>
              <w:rPr>
                <w:rFonts w:cs="Times New Roman"/>
                <w:szCs w:val="24"/>
                <w:lang w:val="en-GB"/>
              </w:rPr>
            </w:pPr>
            <w:r>
              <w:rPr>
                <w:rFonts w:cs="Times New Roman"/>
                <w:szCs w:val="24"/>
              </w:rPr>
              <w:t>68,610</w:t>
            </w:r>
          </w:p>
        </w:tc>
        <w:tc>
          <w:tcPr>
            <w:tcW w:w="1247" w:type="dxa"/>
            <w:tcBorders>
              <w:top w:val="single" w:sz="4" w:space="0" w:color="auto"/>
              <w:bottom w:val="nil"/>
            </w:tcBorders>
          </w:tcPr>
          <w:p w14:paraId="6896F233" w14:textId="5DFD5A69" w:rsidR="00173049" w:rsidRPr="0095351A" w:rsidRDefault="00173049" w:rsidP="00173049">
            <w:pPr>
              <w:widowControl w:val="0"/>
              <w:autoSpaceDE w:val="0"/>
              <w:autoSpaceDN w:val="0"/>
              <w:adjustRightInd w:val="0"/>
              <w:spacing w:line="240" w:lineRule="auto"/>
              <w:jc w:val="center"/>
              <w:rPr>
                <w:rFonts w:cs="Times New Roman"/>
                <w:szCs w:val="24"/>
                <w:lang w:val="en-GB"/>
              </w:rPr>
            </w:pPr>
            <w:r>
              <w:rPr>
                <w:rFonts w:cs="Times New Roman"/>
                <w:szCs w:val="24"/>
              </w:rPr>
              <w:t>68,430</w:t>
            </w:r>
          </w:p>
        </w:tc>
        <w:tc>
          <w:tcPr>
            <w:tcW w:w="1247" w:type="dxa"/>
            <w:tcBorders>
              <w:top w:val="single" w:sz="4" w:space="0" w:color="auto"/>
              <w:bottom w:val="nil"/>
            </w:tcBorders>
          </w:tcPr>
          <w:p w14:paraId="01D67509" w14:textId="5B824EA7"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68,621</w:t>
            </w:r>
          </w:p>
        </w:tc>
      </w:tr>
      <w:tr w:rsidR="00173049" w:rsidRPr="0095351A" w14:paraId="13E1F7DC" w14:textId="77777777" w:rsidTr="005510E8">
        <w:tc>
          <w:tcPr>
            <w:tcW w:w="2410" w:type="dxa"/>
          </w:tcPr>
          <w:p w14:paraId="12D7CC35" w14:textId="77777777" w:rsidR="00173049" w:rsidRPr="0095351A" w:rsidRDefault="00173049" w:rsidP="00173049">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/LL</w:t>
            </w:r>
          </w:p>
        </w:tc>
        <w:tc>
          <w:tcPr>
            <w:tcW w:w="1247" w:type="dxa"/>
          </w:tcPr>
          <w:p w14:paraId="7BC1BEB4" w14:textId="311034B6" w:rsidR="00173049" w:rsidRPr="0095351A" w:rsidRDefault="00173049" w:rsidP="00173049">
            <w:pPr>
              <w:widowControl w:val="0"/>
              <w:autoSpaceDE w:val="0"/>
              <w:autoSpaceDN w:val="0"/>
              <w:adjustRightInd w:val="0"/>
              <w:spacing w:line="240" w:lineRule="auto"/>
              <w:jc w:val="center"/>
              <w:rPr>
                <w:rFonts w:cs="Times New Roman"/>
                <w:szCs w:val="24"/>
                <w:lang w:val="en-GB"/>
              </w:rPr>
            </w:pPr>
            <w:r>
              <w:rPr>
                <w:rFonts w:cs="Times New Roman"/>
                <w:szCs w:val="24"/>
              </w:rPr>
              <w:t>0.0146</w:t>
            </w:r>
          </w:p>
        </w:tc>
        <w:tc>
          <w:tcPr>
            <w:tcW w:w="1247" w:type="dxa"/>
          </w:tcPr>
          <w:p w14:paraId="52BDFB19" w14:textId="55C2EE00" w:rsidR="00173049" w:rsidRPr="0095351A" w:rsidRDefault="00173049" w:rsidP="00173049">
            <w:pPr>
              <w:widowControl w:val="0"/>
              <w:autoSpaceDE w:val="0"/>
              <w:autoSpaceDN w:val="0"/>
              <w:adjustRightInd w:val="0"/>
              <w:spacing w:line="240" w:lineRule="auto"/>
              <w:jc w:val="center"/>
              <w:rPr>
                <w:rFonts w:cs="Times New Roman"/>
                <w:szCs w:val="24"/>
                <w:lang w:val="en-GB"/>
              </w:rPr>
            </w:pPr>
            <w:r>
              <w:rPr>
                <w:rFonts w:cs="Times New Roman"/>
                <w:szCs w:val="24"/>
              </w:rPr>
              <w:t>0.0149</w:t>
            </w:r>
          </w:p>
        </w:tc>
        <w:tc>
          <w:tcPr>
            <w:tcW w:w="1247" w:type="dxa"/>
          </w:tcPr>
          <w:p w14:paraId="5D56C3B9" w14:textId="32316592" w:rsidR="00173049" w:rsidRPr="0095351A" w:rsidRDefault="00173049" w:rsidP="00173049">
            <w:pPr>
              <w:widowControl w:val="0"/>
              <w:autoSpaceDE w:val="0"/>
              <w:autoSpaceDN w:val="0"/>
              <w:adjustRightInd w:val="0"/>
              <w:spacing w:line="240" w:lineRule="auto"/>
              <w:jc w:val="center"/>
              <w:rPr>
                <w:rFonts w:cs="Times New Roman"/>
                <w:szCs w:val="24"/>
                <w:lang w:val="en-GB"/>
              </w:rPr>
            </w:pPr>
            <w:r>
              <w:rPr>
                <w:rFonts w:cs="Times New Roman"/>
                <w:szCs w:val="24"/>
              </w:rPr>
              <w:t>0.0144</w:t>
            </w:r>
          </w:p>
        </w:tc>
        <w:tc>
          <w:tcPr>
            <w:tcW w:w="1247" w:type="dxa"/>
          </w:tcPr>
          <w:p w14:paraId="649F81A6" w14:textId="2C125746" w:rsidR="00173049" w:rsidRPr="0095351A" w:rsidRDefault="00173049" w:rsidP="00173049">
            <w:pPr>
              <w:widowControl w:val="0"/>
              <w:autoSpaceDE w:val="0"/>
              <w:autoSpaceDN w:val="0"/>
              <w:adjustRightInd w:val="0"/>
              <w:spacing w:line="240" w:lineRule="auto"/>
              <w:jc w:val="center"/>
              <w:rPr>
                <w:rFonts w:cs="Times New Roman"/>
                <w:szCs w:val="24"/>
                <w:lang w:val="en-GB"/>
              </w:rPr>
            </w:pPr>
            <w:r>
              <w:rPr>
                <w:rFonts w:cs="Times New Roman"/>
                <w:szCs w:val="24"/>
              </w:rPr>
              <w:t>0.0126</w:t>
            </w:r>
          </w:p>
        </w:tc>
        <w:tc>
          <w:tcPr>
            <w:tcW w:w="1247" w:type="dxa"/>
          </w:tcPr>
          <w:p w14:paraId="563D974B" w14:textId="762B9D99" w:rsidR="00173049" w:rsidRDefault="00173049" w:rsidP="00173049">
            <w:pPr>
              <w:widowControl w:val="0"/>
              <w:autoSpaceDE w:val="0"/>
              <w:autoSpaceDN w:val="0"/>
              <w:adjustRightInd w:val="0"/>
              <w:spacing w:line="240" w:lineRule="auto"/>
              <w:jc w:val="center"/>
              <w:rPr>
                <w:rFonts w:cs="Times New Roman"/>
                <w:szCs w:val="24"/>
              </w:rPr>
            </w:pPr>
            <w:r>
              <w:rPr>
                <w:rFonts w:cs="Times New Roman"/>
                <w:szCs w:val="24"/>
              </w:rPr>
              <w:t>53935</w:t>
            </w:r>
          </w:p>
        </w:tc>
      </w:tr>
    </w:tbl>
    <w:p w14:paraId="021B877D" w14:textId="11AE9A47" w:rsidR="005F6015" w:rsidRDefault="005F6015" w:rsidP="005F6015">
      <w:pPr>
        <w:pStyle w:val="FlietextFolge"/>
        <w:ind w:left="284" w:firstLine="0"/>
      </w:pPr>
      <w:r w:rsidRPr="0095351A">
        <w:t>Standard errors in parentheses</w:t>
      </w:r>
      <w:r>
        <w:t xml:space="preserve">; </w:t>
      </w:r>
      <w:r w:rsidRPr="0095351A">
        <w:t>*** p&lt;0.01, ** p&lt;0.05, * p&lt;0.1</w:t>
      </w:r>
      <w:r>
        <w:t xml:space="preserve">; the four estimation models are defined in </w:t>
      </w:r>
      <w:r>
        <w:fldChar w:fldCharType="begin"/>
      </w:r>
      <w:r>
        <w:instrText xml:space="preserve"> REF _Ref447293539 \h </w:instrText>
      </w:r>
      <w:r>
        <w:fldChar w:fldCharType="separate"/>
      </w:r>
      <w:r w:rsidR="00886B31">
        <w:t xml:space="preserve">Table </w:t>
      </w:r>
      <w:r w:rsidR="00886B31">
        <w:rPr>
          <w:noProof/>
        </w:rPr>
        <w:t>1</w:t>
      </w:r>
      <w:r>
        <w:fldChar w:fldCharType="end"/>
      </w:r>
      <w:r>
        <w:t>.</w:t>
      </w:r>
    </w:p>
    <w:p w14:paraId="75296B7F" w14:textId="77777777" w:rsidR="005F6015" w:rsidRDefault="005F6015" w:rsidP="005F6015">
      <w:pPr>
        <w:pStyle w:val="FlietextFolge"/>
      </w:pPr>
    </w:p>
    <w:p w14:paraId="23C46875" w14:textId="77777777" w:rsidR="005F6015" w:rsidRPr="00757B22" w:rsidRDefault="005F6015" w:rsidP="005F6015">
      <w:pPr>
        <w:spacing w:line="360" w:lineRule="auto"/>
        <w:jc w:val="left"/>
        <w:rPr>
          <w:lang w:val="en-GB"/>
        </w:rPr>
      </w:pPr>
    </w:p>
    <w:p w14:paraId="3B0CDD14" w14:textId="1201F40E" w:rsidR="00925AF6" w:rsidRPr="0011694C" w:rsidRDefault="005F6015" w:rsidP="00D014D3">
      <w:pPr>
        <w:pStyle w:val="Heading2"/>
        <w:tabs>
          <w:tab w:val="clear" w:pos="1021"/>
        </w:tabs>
        <w:spacing w:before="120" w:after="120" w:line="360" w:lineRule="auto"/>
        <w:ind w:left="567" w:hanging="567"/>
      </w:pPr>
      <w:r w:rsidRPr="0011694C">
        <w:lastRenderedPageBreak/>
        <w:t>Alternative formulations</w:t>
      </w:r>
    </w:p>
    <w:p w14:paraId="38CCFB31" w14:textId="3AF85AF0" w:rsidR="003F3100" w:rsidRDefault="003F3100" w:rsidP="003F3100">
      <w:pPr>
        <w:spacing w:line="360" w:lineRule="auto"/>
        <w:ind w:left="18"/>
        <w:jc w:val="left"/>
        <w:rPr>
          <w:rFonts w:cs="Times New Roman"/>
          <w:szCs w:val="24"/>
          <w:lang w:val="en-SG" w:bidi="he-IL"/>
        </w:rPr>
      </w:pPr>
      <w:proofErr w:type="gramStart"/>
      <w:r>
        <w:rPr>
          <w:rFonts w:cs="Times New Roman"/>
          <w:szCs w:val="24"/>
        </w:rPr>
        <w:t>Similar</w:t>
      </w:r>
      <w:r>
        <w:rPr>
          <w:rFonts w:cs="Times New Roman"/>
          <w:szCs w:val="24"/>
          <w:lang w:val="en-SG" w:bidi="he-IL"/>
        </w:rPr>
        <w:t xml:space="preserve"> to</w:t>
      </w:r>
      <w:proofErr w:type="gramEnd"/>
      <w:r>
        <w:rPr>
          <w:rFonts w:cs="Times New Roman"/>
          <w:szCs w:val="24"/>
          <w:lang w:val="en-SG" w:bidi="he-IL"/>
        </w:rPr>
        <w:t xml:space="preserve"> Zou et al. (2012), in this subsection we run reduced form equations without the variables that may be endogenously determined. Specifically, we execute the estimations without HHI and with </w:t>
      </w:r>
      <w:r w:rsidR="006C4ECD">
        <w:rPr>
          <w:rFonts w:cs="Times New Roman"/>
          <w:szCs w:val="24"/>
          <w:lang w:val="en-SG" w:bidi="he-IL"/>
        </w:rPr>
        <w:t xml:space="preserve">an </w:t>
      </w:r>
      <w:r>
        <w:rPr>
          <w:rFonts w:cs="Times New Roman"/>
          <w:szCs w:val="24"/>
          <w:lang w:val="en-SG" w:bidi="he-IL"/>
        </w:rPr>
        <w:t xml:space="preserve">alternative to HHI. </w:t>
      </w:r>
    </w:p>
    <w:p w14:paraId="45ED9136" w14:textId="6E391EB0" w:rsidR="003F3100" w:rsidRDefault="00137221" w:rsidP="006135EA">
      <w:pPr>
        <w:pStyle w:val="FlietextFolge"/>
        <w:spacing w:line="360" w:lineRule="auto"/>
        <w:ind w:firstLine="288"/>
        <w:rPr>
          <w:rFonts w:cs="Times New Roman"/>
          <w:szCs w:val="24"/>
        </w:rPr>
      </w:pPr>
      <w:r>
        <w:rPr>
          <w:rFonts w:cs="Times New Roman"/>
          <w:szCs w:val="24"/>
        </w:rPr>
        <w:t xml:space="preserve">We first report the estimations without HHI in </w:t>
      </w:r>
      <w:r>
        <w:rPr>
          <w:rFonts w:cs="Times New Roman"/>
          <w:szCs w:val="24"/>
        </w:rPr>
        <w:fldChar w:fldCharType="begin"/>
      </w:r>
      <w:r>
        <w:rPr>
          <w:rFonts w:cs="Times New Roman"/>
          <w:szCs w:val="24"/>
        </w:rPr>
        <w:instrText xml:space="preserve"> REF _Ref521495743 \h </w:instrText>
      </w:r>
      <w:r>
        <w:rPr>
          <w:rFonts w:cs="Times New Roman"/>
          <w:szCs w:val="24"/>
        </w:rPr>
      </w:r>
      <w:r>
        <w:rPr>
          <w:rFonts w:cs="Times New Roman"/>
          <w:szCs w:val="24"/>
        </w:rPr>
        <w:fldChar w:fldCharType="separate"/>
      </w:r>
      <w:r w:rsidR="00886B31">
        <w:t xml:space="preserve">Table </w:t>
      </w:r>
      <w:r w:rsidR="00886B31">
        <w:rPr>
          <w:noProof/>
        </w:rPr>
        <w:t>6</w:t>
      </w:r>
      <w:r>
        <w:rPr>
          <w:rFonts w:cs="Times New Roman"/>
          <w:szCs w:val="24"/>
        </w:rPr>
        <w:fldChar w:fldCharType="end"/>
      </w:r>
      <w:r>
        <w:rPr>
          <w:rFonts w:cs="Times New Roman"/>
          <w:szCs w:val="24"/>
        </w:rPr>
        <w:t xml:space="preserve">. These clearly reveal no significant difference from the results reported earlier in </w:t>
      </w:r>
      <w:r>
        <w:rPr>
          <w:rFonts w:cs="Times New Roman"/>
          <w:szCs w:val="24"/>
        </w:rPr>
        <w:fldChar w:fldCharType="begin"/>
      </w:r>
      <w:r>
        <w:rPr>
          <w:rFonts w:cs="Times New Roman"/>
          <w:szCs w:val="24"/>
        </w:rPr>
        <w:instrText xml:space="preserve"> REF _Ref451073687 \h </w:instrText>
      </w:r>
      <w:r>
        <w:rPr>
          <w:rFonts w:cs="Times New Roman"/>
          <w:szCs w:val="24"/>
        </w:rPr>
      </w:r>
      <w:r>
        <w:rPr>
          <w:rFonts w:cs="Times New Roman"/>
          <w:szCs w:val="24"/>
        </w:rPr>
        <w:fldChar w:fldCharType="separate"/>
      </w:r>
      <w:r w:rsidR="00886B31">
        <w:t xml:space="preserve">Table </w:t>
      </w:r>
      <w:r w:rsidR="00886B31">
        <w:rPr>
          <w:noProof/>
        </w:rPr>
        <w:t>2</w:t>
      </w:r>
      <w:r>
        <w:rPr>
          <w:rFonts w:cs="Times New Roman"/>
          <w:szCs w:val="24"/>
        </w:rPr>
        <w:fldChar w:fldCharType="end"/>
      </w:r>
      <w:r>
        <w:rPr>
          <w:rFonts w:cs="Times New Roman"/>
          <w:szCs w:val="24"/>
        </w:rPr>
        <w:t xml:space="preserve"> in §</w:t>
      </w:r>
      <w:r>
        <w:rPr>
          <w:rFonts w:cs="Times New Roman"/>
          <w:szCs w:val="24"/>
        </w:rPr>
        <w:fldChar w:fldCharType="begin"/>
      </w:r>
      <w:r>
        <w:rPr>
          <w:rFonts w:cs="Times New Roman"/>
          <w:szCs w:val="24"/>
        </w:rPr>
        <w:instrText xml:space="preserve"> REF _Ref464498534 \r \h </w:instrText>
      </w:r>
      <w:r>
        <w:rPr>
          <w:rFonts w:cs="Times New Roman"/>
          <w:szCs w:val="24"/>
        </w:rPr>
      </w:r>
      <w:r>
        <w:rPr>
          <w:rFonts w:cs="Times New Roman"/>
          <w:szCs w:val="24"/>
        </w:rPr>
        <w:fldChar w:fldCharType="separate"/>
      </w:r>
      <w:r w:rsidR="00886B31">
        <w:rPr>
          <w:rFonts w:cs="Times New Roman"/>
          <w:szCs w:val="24"/>
          <w:cs/>
        </w:rPr>
        <w:t>‎</w:t>
      </w:r>
      <w:r w:rsidR="00886B31">
        <w:rPr>
          <w:rFonts w:cs="Times New Roman"/>
          <w:szCs w:val="24"/>
        </w:rPr>
        <w:t>5</w:t>
      </w:r>
      <w:r>
        <w:rPr>
          <w:rFonts w:cs="Times New Roman"/>
          <w:szCs w:val="24"/>
        </w:rPr>
        <w:fldChar w:fldCharType="end"/>
      </w:r>
      <w:r>
        <w:rPr>
          <w:rFonts w:cs="Times New Roman"/>
          <w:szCs w:val="24"/>
        </w:rPr>
        <w:t>.</w:t>
      </w:r>
    </w:p>
    <w:p w14:paraId="09E56B3B" w14:textId="1466E05B" w:rsidR="003F3100" w:rsidRDefault="003F3100" w:rsidP="003F3100">
      <w:pPr>
        <w:spacing w:line="360" w:lineRule="auto"/>
        <w:ind w:left="18"/>
        <w:jc w:val="left"/>
        <w:rPr>
          <w:rFonts w:cs="Times New Roman"/>
          <w:szCs w:val="24"/>
        </w:rPr>
      </w:pPr>
    </w:p>
    <w:p w14:paraId="5AA2DE15" w14:textId="205B3775" w:rsidR="00137221" w:rsidRDefault="00137221" w:rsidP="00137221">
      <w:pPr>
        <w:pStyle w:val="Caption"/>
        <w:keepNext/>
      </w:pPr>
      <w:bookmarkStart w:id="36" w:name="_Ref521495743"/>
      <w:r>
        <w:t xml:space="preserve">Table </w:t>
      </w:r>
      <w:r>
        <w:fldChar w:fldCharType="begin"/>
      </w:r>
      <w:r>
        <w:instrText xml:space="preserve"> SEQ Table \* ARABIC </w:instrText>
      </w:r>
      <w:r>
        <w:fldChar w:fldCharType="separate"/>
      </w:r>
      <w:r w:rsidR="00886B31">
        <w:rPr>
          <w:noProof/>
        </w:rPr>
        <w:t>6</w:t>
      </w:r>
      <w:r>
        <w:fldChar w:fldCharType="end"/>
      </w:r>
      <w:bookmarkEnd w:id="36"/>
      <w:r>
        <w:t xml:space="preserve">: Effects of Chapter 11 filings on prices in US domestic and international markets (dependent variable ln </w:t>
      </w:r>
      <m:oMath>
        <m:sSub>
          <m:sSubPr>
            <m:ctrlPr>
              <w:rPr>
                <w:rFonts w:ascii="Cambria Math" w:hAnsi="Cambria Math"/>
              </w:rPr>
            </m:ctrlPr>
          </m:sSubPr>
          <m:e>
            <m:r>
              <w:rPr>
                <w:rFonts w:ascii="Cambria Math" w:hAnsi="Cambria Math"/>
              </w:rPr>
              <m:t>P</m:t>
            </m:r>
          </m:e>
          <m:sub>
            <m:r>
              <w:rPr>
                <w:rFonts w:ascii="Cambria Math" w:hAnsi="Cambria Math"/>
              </w:rPr>
              <m:t>crt</m:t>
            </m:r>
          </m:sub>
        </m:sSub>
      </m:oMath>
      <w:r>
        <w:t>),</w:t>
      </w:r>
      <w:r w:rsidRPr="002B0AF4">
        <w:t xml:space="preserve"> </w:t>
      </w:r>
      <w:r>
        <w:t>routes covering 50% of total traffic</w:t>
      </w:r>
    </w:p>
    <w:tbl>
      <w:tblPr>
        <w:tblStyle w:val="HelleSchattierung-Akzent11"/>
        <w:tblW w:w="8645" w:type="dxa"/>
        <w:tblLayout w:type="fixed"/>
        <w:tblLook w:val="0600" w:firstRow="0" w:lastRow="0" w:firstColumn="0" w:lastColumn="0" w:noHBand="1" w:noVBand="1"/>
      </w:tblPr>
      <w:tblGrid>
        <w:gridCol w:w="2410"/>
        <w:gridCol w:w="1247"/>
        <w:gridCol w:w="1247"/>
        <w:gridCol w:w="1247"/>
        <w:gridCol w:w="1247"/>
        <w:gridCol w:w="1247"/>
      </w:tblGrid>
      <w:tr w:rsidR="00137221" w:rsidRPr="0095351A" w14:paraId="571B913F" w14:textId="77777777" w:rsidTr="005510E8">
        <w:tc>
          <w:tcPr>
            <w:tcW w:w="2410" w:type="dxa"/>
            <w:tcBorders>
              <w:top w:val="single" w:sz="8" w:space="0" w:color="000000" w:themeColor="text1"/>
              <w:bottom w:val="single" w:sz="4" w:space="0" w:color="auto"/>
            </w:tcBorders>
          </w:tcPr>
          <w:p w14:paraId="352EB521" w14:textId="77777777" w:rsidR="00137221" w:rsidRPr="0095351A" w:rsidRDefault="00137221" w:rsidP="005510E8">
            <w:pPr>
              <w:widowControl w:val="0"/>
              <w:autoSpaceDE w:val="0"/>
              <w:autoSpaceDN w:val="0"/>
              <w:adjustRightInd w:val="0"/>
              <w:spacing w:line="240" w:lineRule="auto"/>
              <w:rPr>
                <w:rFonts w:cs="Times New Roman"/>
                <w:szCs w:val="24"/>
                <w:lang w:val="en-GB"/>
              </w:rPr>
            </w:pPr>
          </w:p>
        </w:tc>
        <w:tc>
          <w:tcPr>
            <w:tcW w:w="1247" w:type="dxa"/>
            <w:tcBorders>
              <w:top w:val="single" w:sz="8" w:space="0" w:color="000000" w:themeColor="text1"/>
              <w:bottom w:val="single" w:sz="4" w:space="0" w:color="auto"/>
            </w:tcBorders>
          </w:tcPr>
          <w:p w14:paraId="5BE7833C" w14:textId="77777777" w:rsidR="00137221" w:rsidRPr="0095351A" w:rsidRDefault="00137221"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247" w:type="dxa"/>
            <w:tcBorders>
              <w:top w:val="single" w:sz="8" w:space="0" w:color="000000" w:themeColor="text1"/>
              <w:bottom w:val="single" w:sz="4" w:space="0" w:color="auto"/>
            </w:tcBorders>
          </w:tcPr>
          <w:p w14:paraId="5BA2833D" w14:textId="77777777" w:rsidR="00137221" w:rsidRPr="0095351A" w:rsidRDefault="00137221"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247" w:type="dxa"/>
            <w:tcBorders>
              <w:top w:val="single" w:sz="8" w:space="0" w:color="000000" w:themeColor="text1"/>
              <w:bottom w:val="single" w:sz="4" w:space="0" w:color="auto"/>
            </w:tcBorders>
          </w:tcPr>
          <w:p w14:paraId="0491B153" w14:textId="77777777" w:rsidR="00137221" w:rsidRPr="0095351A" w:rsidRDefault="00137221"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247" w:type="dxa"/>
            <w:tcBorders>
              <w:top w:val="single" w:sz="8" w:space="0" w:color="000000" w:themeColor="text1"/>
              <w:bottom w:val="single" w:sz="4" w:space="0" w:color="auto"/>
            </w:tcBorders>
          </w:tcPr>
          <w:p w14:paraId="644C81C9" w14:textId="77777777" w:rsidR="00137221" w:rsidRPr="0095351A" w:rsidRDefault="00137221" w:rsidP="005510E8">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247" w:type="dxa"/>
            <w:tcBorders>
              <w:top w:val="single" w:sz="8" w:space="0" w:color="000000" w:themeColor="text1"/>
              <w:bottom w:val="single" w:sz="4" w:space="0" w:color="auto"/>
            </w:tcBorders>
          </w:tcPr>
          <w:p w14:paraId="661BE48B" w14:textId="77777777" w:rsidR="00137221" w:rsidRDefault="00137221" w:rsidP="005510E8">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137221" w:rsidRPr="0095351A" w14:paraId="469CB407" w14:textId="77777777" w:rsidTr="005510E8">
        <w:tc>
          <w:tcPr>
            <w:tcW w:w="2410" w:type="dxa"/>
            <w:tcBorders>
              <w:top w:val="single" w:sz="4" w:space="0" w:color="auto"/>
            </w:tcBorders>
            <w:vAlign w:val="center"/>
          </w:tcPr>
          <w:p w14:paraId="579FF52D"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247" w:type="dxa"/>
            <w:tcBorders>
              <w:top w:val="single" w:sz="4" w:space="0" w:color="auto"/>
            </w:tcBorders>
          </w:tcPr>
          <w:p w14:paraId="2E8DB0A4" w14:textId="0D85D810"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-0.052***</w:t>
            </w:r>
          </w:p>
        </w:tc>
        <w:tc>
          <w:tcPr>
            <w:tcW w:w="1247" w:type="dxa"/>
            <w:tcBorders>
              <w:top w:val="single" w:sz="4" w:space="0" w:color="auto"/>
            </w:tcBorders>
          </w:tcPr>
          <w:p w14:paraId="0CBE4FA2" w14:textId="62BEA0F2"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-0.051***</w:t>
            </w:r>
          </w:p>
        </w:tc>
        <w:tc>
          <w:tcPr>
            <w:tcW w:w="1247" w:type="dxa"/>
            <w:tcBorders>
              <w:top w:val="single" w:sz="4" w:space="0" w:color="auto"/>
            </w:tcBorders>
          </w:tcPr>
          <w:p w14:paraId="7C01BB56" w14:textId="46315A87"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-0.066***</w:t>
            </w:r>
          </w:p>
        </w:tc>
        <w:tc>
          <w:tcPr>
            <w:tcW w:w="1247" w:type="dxa"/>
            <w:tcBorders>
              <w:top w:val="single" w:sz="4" w:space="0" w:color="auto"/>
            </w:tcBorders>
          </w:tcPr>
          <w:p w14:paraId="697CC900" w14:textId="6E6AB51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-0.048***</w:t>
            </w:r>
          </w:p>
        </w:tc>
        <w:tc>
          <w:tcPr>
            <w:tcW w:w="1247" w:type="dxa"/>
            <w:tcBorders>
              <w:top w:val="single" w:sz="4" w:space="0" w:color="auto"/>
            </w:tcBorders>
          </w:tcPr>
          <w:p w14:paraId="73380174" w14:textId="0EB35C6D"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-0.052***</w:t>
            </w:r>
          </w:p>
        </w:tc>
      </w:tr>
      <w:tr w:rsidR="00137221" w:rsidRPr="0095351A" w14:paraId="04E55871" w14:textId="77777777" w:rsidTr="005510E8">
        <w:tc>
          <w:tcPr>
            <w:tcW w:w="2410" w:type="dxa"/>
            <w:vAlign w:val="center"/>
          </w:tcPr>
          <w:p w14:paraId="04B3582C"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6F4A4B7A" w14:textId="11ED864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103E69B4" w14:textId="60464DD4"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4569E4E6" w14:textId="0424A2A6"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0A7F227A" w14:textId="0C806B9C"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4A5A4A68" w14:textId="35AD0714"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r>
      <w:tr w:rsidR="00137221" w:rsidRPr="0095351A" w14:paraId="568F3C3B" w14:textId="77777777" w:rsidTr="005510E8">
        <w:tc>
          <w:tcPr>
            <w:tcW w:w="2410" w:type="dxa"/>
            <w:vAlign w:val="center"/>
          </w:tcPr>
          <w:p w14:paraId="6D7EA6AA"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247" w:type="dxa"/>
          </w:tcPr>
          <w:p w14:paraId="2ECCA9C4" w14:textId="49F56813"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7C998E27" w14:textId="66A68AA0"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0.015***</w:t>
            </w:r>
          </w:p>
        </w:tc>
        <w:tc>
          <w:tcPr>
            <w:tcW w:w="1247" w:type="dxa"/>
          </w:tcPr>
          <w:p w14:paraId="29EF7916" w14:textId="1E210148"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0.020***</w:t>
            </w:r>
          </w:p>
        </w:tc>
        <w:tc>
          <w:tcPr>
            <w:tcW w:w="1247" w:type="dxa"/>
          </w:tcPr>
          <w:p w14:paraId="630511D7" w14:textId="733AE2D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548A3E92" w14:textId="351E7C4C"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0.017***</w:t>
            </w:r>
          </w:p>
        </w:tc>
      </w:tr>
      <w:tr w:rsidR="00137221" w:rsidRPr="0095351A" w14:paraId="746A0DA1" w14:textId="77777777" w:rsidTr="005510E8">
        <w:tc>
          <w:tcPr>
            <w:tcW w:w="2410" w:type="dxa"/>
            <w:vAlign w:val="center"/>
          </w:tcPr>
          <w:p w14:paraId="5006916D"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2705F551" w14:textId="6D93500A"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2AA0DB6D" w14:textId="47728712"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780EA482" w14:textId="0FB485B3"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64CA0D1B" w14:textId="1B79D46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665A4A5" w14:textId="2BD766D7"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r>
      <w:tr w:rsidR="00137221" w:rsidRPr="0095351A" w14:paraId="08F3AD8F" w14:textId="77777777" w:rsidTr="005510E8">
        <w:tc>
          <w:tcPr>
            <w:tcW w:w="2410" w:type="dxa"/>
            <w:vAlign w:val="center"/>
          </w:tcPr>
          <w:p w14:paraId="2399C277"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247" w:type="dxa"/>
          </w:tcPr>
          <w:p w14:paraId="5CC61523" w14:textId="019108A5"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-0.073***</w:t>
            </w:r>
          </w:p>
        </w:tc>
        <w:tc>
          <w:tcPr>
            <w:tcW w:w="1247" w:type="dxa"/>
          </w:tcPr>
          <w:p w14:paraId="3625CB9D" w14:textId="340560C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-0.070***</w:t>
            </w:r>
          </w:p>
        </w:tc>
        <w:tc>
          <w:tcPr>
            <w:tcW w:w="1247" w:type="dxa"/>
          </w:tcPr>
          <w:p w14:paraId="63010F17" w14:textId="4D5FA7E3"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-0.085***</w:t>
            </w:r>
          </w:p>
        </w:tc>
        <w:tc>
          <w:tcPr>
            <w:tcW w:w="1247" w:type="dxa"/>
          </w:tcPr>
          <w:p w14:paraId="3AACC304" w14:textId="69B887C4"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-0.059***</w:t>
            </w:r>
          </w:p>
        </w:tc>
        <w:tc>
          <w:tcPr>
            <w:tcW w:w="1247" w:type="dxa"/>
          </w:tcPr>
          <w:p w14:paraId="10C24C3E" w14:textId="673D59B2"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-0.073***</w:t>
            </w:r>
          </w:p>
        </w:tc>
      </w:tr>
      <w:tr w:rsidR="00137221" w:rsidRPr="0095351A" w14:paraId="496FFC35" w14:textId="77777777" w:rsidTr="005510E8">
        <w:tc>
          <w:tcPr>
            <w:tcW w:w="2410" w:type="dxa"/>
            <w:vAlign w:val="center"/>
          </w:tcPr>
          <w:p w14:paraId="075601EC"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09946C57" w14:textId="37A6E64B"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1E0D0286" w14:textId="18DDA2EA"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74269C01" w14:textId="09BFB26B"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083BBD97" w14:textId="1A2C6A52"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76E4FAA1" w14:textId="34F78F27"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(0.003)</w:t>
            </w:r>
          </w:p>
        </w:tc>
      </w:tr>
      <w:tr w:rsidR="00137221" w:rsidRPr="0095351A" w14:paraId="5073FE9E" w14:textId="77777777" w:rsidTr="005510E8">
        <w:tc>
          <w:tcPr>
            <w:tcW w:w="2410" w:type="dxa"/>
            <w:vAlign w:val="center"/>
          </w:tcPr>
          <w:p w14:paraId="682B51B2"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247" w:type="dxa"/>
          </w:tcPr>
          <w:p w14:paraId="60EA0EB3" w14:textId="183B89F6"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0E42DE98" w14:textId="3F285E16"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36622078" w14:textId="0AAE42EB"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6D847EB9" w14:textId="5A49EB70"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0EFE64F7" w14:textId="60DA1F1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0.009***</w:t>
            </w:r>
          </w:p>
        </w:tc>
      </w:tr>
      <w:tr w:rsidR="00137221" w:rsidRPr="0095351A" w14:paraId="1820F8AD" w14:textId="77777777" w:rsidTr="005510E8">
        <w:tc>
          <w:tcPr>
            <w:tcW w:w="2410" w:type="dxa"/>
            <w:vAlign w:val="center"/>
          </w:tcPr>
          <w:p w14:paraId="0CFBD7A8"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348CFCDB" w14:textId="2AE8D6A2"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FCD3993" w14:textId="417ECDA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F2671FA" w14:textId="38A57B55"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20EF58CB" w14:textId="3F792DAB"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92E167A" w14:textId="26D9BF08"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(0.002)</w:t>
            </w:r>
          </w:p>
        </w:tc>
      </w:tr>
      <w:tr w:rsidR="00137221" w:rsidRPr="0095351A" w14:paraId="2DD25D2A" w14:textId="77777777" w:rsidTr="005510E8">
        <w:tc>
          <w:tcPr>
            <w:tcW w:w="2410" w:type="dxa"/>
            <w:vAlign w:val="center"/>
          </w:tcPr>
          <w:p w14:paraId="43F0BAB9"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p>
        </w:tc>
        <w:tc>
          <w:tcPr>
            <w:tcW w:w="1247" w:type="dxa"/>
          </w:tcPr>
          <w:p w14:paraId="053815B1" w14:textId="0A825B71"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-0.472***</w:t>
            </w:r>
          </w:p>
        </w:tc>
        <w:tc>
          <w:tcPr>
            <w:tcW w:w="1247" w:type="dxa"/>
          </w:tcPr>
          <w:p w14:paraId="53A4C98B" w14:textId="45FAC71B"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-0.459***</w:t>
            </w:r>
          </w:p>
        </w:tc>
        <w:tc>
          <w:tcPr>
            <w:tcW w:w="1247" w:type="dxa"/>
          </w:tcPr>
          <w:p w14:paraId="73D4B3B5" w14:textId="40B53478"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-0.410***</w:t>
            </w:r>
          </w:p>
        </w:tc>
        <w:tc>
          <w:tcPr>
            <w:tcW w:w="1247" w:type="dxa"/>
          </w:tcPr>
          <w:p w14:paraId="41FF1B45" w14:textId="02AABB63"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-0.473***</w:t>
            </w:r>
          </w:p>
        </w:tc>
        <w:tc>
          <w:tcPr>
            <w:tcW w:w="1247" w:type="dxa"/>
          </w:tcPr>
          <w:p w14:paraId="72C5EAEC" w14:textId="6AE365A2"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-0.472***</w:t>
            </w:r>
          </w:p>
        </w:tc>
      </w:tr>
      <w:tr w:rsidR="00137221" w:rsidRPr="0095351A" w14:paraId="1D409D31" w14:textId="77777777" w:rsidTr="005510E8">
        <w:tc>
          <w:tcPr>
            <w:tcW w:w="2410" w:type="dxa"/>
            <w:vAlign w:val="center"/>
          </w:tcPr>
          <w:p w14:paraId="7A4CF0CB"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74BE8218" w14:textId="30BED930"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4B91D7B7" w14:textId="249ECF0C"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350D7135" w14:textId="7B79B335"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5FBCBD0B" w14:textId="06DCECC5"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66AD3113" w14:textId="6474066C"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(0.016)</w:t>
            </w:r>
          </w:p>
        </w:tc>
      </w:tr>
      <w:tr w:rsidR="00137221" w:rsidRPr="0095351A" w14:paraId="2FB6C0C6" w14:textId="77777777" w:rsidTr="005510E8">
        <w:tc>
          <w:tcPr>
            <w:tcW w:w="2410" w:type="dxa"/>
            <w:vAlign w:val="center"/>
          </w:tcPr>
          <w:p w14:paraId="52DB1ADF"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otherint</m:t>
                  </m:r>
                </m:sub>
              </m:sSub>
            </m:oMath>
          </w:p>
        </w:tc>
        <w:tc>
          <w:tcPr>
            <w:tcW w:w="1247" w:type="dxa"/>
          </w:tcPr>
          <w:p w14:paraId="3AA2AE16" w14:textId="52275AAA"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-0.021***</w:t>
            </w:r>
          </w:p>
        </w:tc>
        <w:tc>
          <w:tcPr>
            <w:tcW w:w="1247" w:type="dxa"/>
          </w:tcPr>
          <w:p w14:paraId="0DFD4A00" w14:textId="4ACE0825"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-0.028***</w:t>
            </w:r>
          </w:p>
        </w:tc>
        <w:tc>
          <w:tcPr>
            <w:tcW w:w="1247" w:type="dxa"/>
          </w:tcPr>
          <w:p w14:paraId="490CAAD4" w14:textId="5D1B4BDB"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-0.071***</w:t>
            </w:r>
          </w:p>
        </w:tc>
        <w:tc>
          <w:tcPr>
            <w:tcW w:w="1247" w:type="dxa"/>
          </w:tcPr>
          <w:p w14:paraId="06027623" w14:textId="7B39F748"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-0.014***</w:t>
            </w:r>
          </w:p>
        </w:tc>
        <w:tc>
          <w:tcPr>
            <w:tcW w:w="1247" w:type="dxa"/>
          </w:tcPr>
          <w:p w14:paraId="277ADE81" w14:textId="79D0867B"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-0.022***</w:t>
            </w:r>
          </w:p>
        </w:tc>
      </w:tr>
      <w:tr w:rsidR="00137221" w:rsidRPr="0095351A" w14:paraId="4D8FE884" w14:textId="77777777" w:rsidTr="005510E8">
        <w:tc>
          <w:tcPr>
            <w:tcW w:w="2410" w:type="dxa"/>
            <w:vAlign w:val="center"/>
          </w:tcPr>
          <w:p w14:paraId="110E3177"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688C6B49" w14:textId="4FC40A4E"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6DFCAD2D" w14:textId="2ECC2249"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118C9980" w14:textId="684C1D17"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59E98A9B" w14:textId="4B04DBA3"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6F77449B" w14:textId="146AE5B8"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r>
      <w:tr w:rsidR="00137221" w:rsidRPr="0095351A" w14:paraId="6407E175" w14:textId="77777777" w:rsidTr="005510E8">
        <w:tc>
          <w:tcPr>
            <w:tcW w:w="2410" w:type="dxa"/>
            <w:vAlign w:val="center"/>
          </w:tcPr>
          <w:p w14:paraId="24D7F3AF"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p>
        </w:tc>
        <w:tc>
          <w:tcPr>
            <w:tcW w:w="1247" w:type="dxa"/>
          </w:tcPr>
          <w:p w14:paraId="0BAC515A" w14:textId="63FB6DBA"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-0.344***</w:t>
            </w:r>
          </w:p>
        </w:tc>
        <w:tc>
          <w:tcPr>
            <w:tcW w:w="1247" w:type="dxa"/>
          </w:tcPr>
          <w:p w14:paraId="6CB995D3" w14:textId="3FAD6704"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-0.330***</w:t>
            </w:r>
          </w:p>
        </w:tc>
        <w:tc>
          <w:tcPr>
            <w:tcW w:w="1247" w:type="dxa"/>
          </w:tcPr>
          <w:p w14:paraId="26B5BF55" w14:textId="7A55D440"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-0.332***</w:t>
            </w:r>
          </w:p>
        </w:tc>
        <w:tc>
          <w:tcPr>
            <w:tcW w:w="1247" w:type="dxa"/>
          </w:tcPr>
          <w:p w14:paraId="2579E723" w14:textId="49BC863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-0.344***</w:t>
            </w:r>
          </w:p>
        </w:tc>
        <w:tc>
          <w:tcPr>
            <w:tcW w:w="1247" w:type="dxa"/>
          </w:tcPr>
          <w:p w14:paraId="50A4F996" w14:textId="60770769"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-0.345***</w:t>
            </w:r>
          </w:p>
        </w:tc>
      </w:tr>
      <w:tr w:rsidR="00137221" w:rsidRPr="0095351A" w14:paraId="1532D783" w14:textId="77777777" w:rsidTr="005510E8">
        <w:tc>
          <w:tcPr>
            <w:tcW w:w="2410" w:type="dxa"/>
            <w:vAlign w:val="center"/>
          </w:tcPr>
          <w:p w14:paraId="1D6129E9"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33919268" w14:textId="51642FE5"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72AA738C" w14:textId="0B8E3B7D"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101FC4EA" w14:textId="6A8CCEF9"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2DD1ECA5" w14:textId="36ED18E0"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69705326" w14:textId="40E00ADD"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(0.016)</w:t>
            </w:r>
          </w:p>
        </w:tc>
      </w:tr>
      <w:tr w:rsidR="00137221" w:rsidRPr="0095351A" w14:paraId="3DDA161C" w14:textId="77777777" w:rsidTr="005510E8">
        <w:tc>
          <w:tcPr>
            <w:tcW w:w="2410" w:type="dxa"/>
            <w:vAlign w:val="center"/>
          </w:tcPr>
          <w:p w14:paraId="5A8275FC"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otherint</m:t>
                  </m:r>
                </m:sub>
              </m:sSub>
            </m:oMath>
          </w:p>
        </w:tc>
        <w:tc>
          <w:tcPr>
            <w:tcW w:w="1247" w:type="dxa"/>
          </w:tcPr>
          <w:p w14:paraId="59F523A1" w14:textId="6E0D90AE"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-0.043***</w:t>
            </w:r>
          </w:p>
        </w:tc>
        <w:tc>
          <w:tcPr>
            <w:tcW w:w="1247" w:type="dxa"/>
          </w:tcPr>
          <w:p w14:paraId="2C64C496" w14:textId="19745F98"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-0.051***</w:t>
            </w:r>
          </w:p>
        </w:tc>
        <w:tc>
          <w:tcPr>
            <w:tcW w:w="1247" w:type="dxa"/>
          </w:tcPr>
          <w:p w14:paraId="30D673F4" w14:textId="208411C7"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-0.094***</w:t>
            </w:r>
          </w:p>
        </w:tc>
        <w:tc>
          <w:tcPr>
            <w:tcW w:w="1247" w:type="dxa"/>
          </w:tcPr>
          <w:p w14:paraId="2E2B19BB" w14:textId="05AAC4AE"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-0.045***</w:t>
            </w:r>
          </w:p>
        </w:tc>
        <w:tc>
          <w:tcPr>
            <w:tcW w:w="1247" w:type="dxa"/>
          </w:tcPr>
          <w:p w14:paraId="4686D65A" w14:textId="03480255"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-0.043***</w:t>
            </w:r>
          </w:p>
        </w:tc>
      </w:tr>
      <w:tr w:rsidR="00137221" w:rsidRPr="0095351A" w14:paraId="278151F9" w14:textId="77777777" w:rsidTr="005510E8">
        <w:tc>
          <w:tcPr>
            <w:tcW w:w="2410" w:type="dxa"/>
            <w:vAlign w:val="center"/>
          </w:tcPr>
          <w:p w14:paraId="728EFAB9"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72358124" w14:textId="7C8E366A"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09A83EB0" w14:textId="76CA81E9"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16799C1D" w14:textId="51E6ACB9"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5266C486" w14:textId="197D1066"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4B8E272A" w14:textId="6DEACEB3"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(0.005)</w:t>
            </w:r>
          </w:p>
        </w:tc>
      </w:tr>
      <w:tr w:rsidR="00137221" w:rsidRPr="0095351A" w14:paraId="614E3967" w14:textId="77777777" w:rsidTr="005510E8">
        <w:tc>
          <w:tcPr>
            <w:tcW w:w="2410" w:type="dxa"/>
            <w:vAlign w:val="center"/>
          </w:tcPr>
          <w:p w14:paraId="27327D86" w14:textId="0ACE55EA" w:rsidR="00137221" w:rsidRPr="0095351A" w:rsidRDefault="00137221" w:rsidP="00137221">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Int</m:t>
              </m:r>
            </m:oMath>
          </w:p>
        </w:tc>
        <w:tc>
          <w:tcPr>
            <w:tcW w:w="1247" w:type="dxa"/>
          </w:tcPr>
          <w:p w14:paraId="57063CC5" w14:textId="0A5B9E7B" w:rsidR="00137221" w:rsidRDefault="00137221" w:rsidP="00137221">
            <w:pPr>
              <w:widowControl w:val="0"/>
              <w:autoSpaceDE w:val="0"/>
              <w:autoSpaceDN w:val="0"/>
              <w:adjustRightInd w:val="0"/>
              <w:spacing w:line="240" w:lineRule="auto"/>
              <w:jc w:val="center"/>
              <w:rPr>
                <w:rFonts w:cs="Times New Roman"/>
                <w:szCs w:val="24"/>
              </w:rPr>
            </w:pPr>
          </w:p>
        </w:tc>
        <w:tc>
          <w:tcPr>
            <w:tcW w:w="1247" w:type="dxa"/>
          </w:tcPr>
          <w:p w14:paraId="25562929" w14:textId="45EC03D3" w:rsidR="00137221" w:rsidRDefault="00137221" w:rsidP="00137221">
            <w:pPr>
              <w:widowControl w:val="0"/>
              <w:autoSpaceDE w:val="0"/>
              <w:autoSpaceDN w:val="0"/>
              <w:adjustRightInd w:val="0"/>
              <w:spacing w:line="240" w:lineRule="auto"/>
              <w:jc w:val="center"/>
              <w:rPr>
                <w:rFonts w:cs="Times New Roman"/>
                <w:szCs w:val="24"/>
              </w:rPr>
            </w:pPr>
          </w:p>
        </w:tc>
        <w:tc>
          <w:tcPr>
            <w:tcW w:w="1247" w:type="dxa"/>
          </w:tcPr>
          <w:p w14:paraId="7575CA54" w14:textId="7499A8C2" w:rsidR="00137221" w:rsidRDefault="00137221" w:rsidP="00137221">
            <w:pPr>
              <w:widowControl w:val="0"/>
              <w:autoSpaceDE w:val="0"/>
              <w:autoSpaceDN w:val="0"/>
              <w:adjustRightInd w:val="0"/>
              <w:spacing w:line="240" w:lineRule="auto"/>
              <w:jc w:val="center"/>
              <w:rPr>
                <w:rFonts w:cs="Times New Roman"/>
                <w:szCs w:val="24"/>
              </w:rPr>
            </w:pPr>
          </w:p>
        </w:tc>
        <w:tc>
          <w:tcPr>
            <w:tcW w:w="1247" w:type="dxa"/>
          </w:tcPr>
          <w:p w14:paraId="42E000CF" w14:textId="37B34CE4" w:rsidR="00137221" w:rsidRDefault="00137221" w:rsidP="00137221">
            <w:pPr>
              <w:widowControl w:val="0"/>
              <w:autoSpaceDE w:val="0"/>
              <w:autoSpaceDN w:val="0"/>
              <w:adjustRightInd w:val="0"/>
              <w:spacing w:line="240" w:lineRule="auto"/>
              <w:jc w:val="center"/>
              <w:rPr>
                <w:rFonts w:cs="Times New Roman"/>
                <w:szCs w:val="24"/>
              </w:rPr>
            </w:pPr>
          </w:p>
        </w:tc>
        <w:tc>
          <w:tcPr>
            <w:tcW w:w="1247" w:type="dxa"/>
          </w:tcPr>
          <w:p w14:paraId="268BEEA0" w14:textId="6408AB53"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-0.216***</w:t>
            </w:r>
          </w:p>
        </w:tc>
      </w:tr>
      <w:tr w:rsidR="00137221" w:rsidRPr="0095351A" w14:paraId="3C272FAA" w14:textId="77777777" w:rsidTr="005510E8">
        <w:tc>
          <w:tcPr>
            <w:tcW w:w="2410" w:type="dxa"/>
            <w:vAlign w:val="center"/>
          </w:tcPr>
          <w:p w14:paraId="10FD16FD" w14:textId="77777777" w:rsidR="00137221" w:rsidRPr="0095351A" w:rsidRDefault="00137221" w:rsidP="00137221">
            <w:pPr>
              <w:widowControl w:val="0"/>
              <w:autoSpaceDE w:val="0"/>
              <w:autoSpaceDN w:val="0"/>
              <w:adjustRightInd w:val="0"/>
              <w:spacing w:line="240" w:lineRule="auto"/>
              <w:jc w:val="left"/>
              <w:rPr>
                <w:rFonts w:cs="Times New Roman"/>
                <w:szCs w:val="24"/>
                <w:lang w:val="en-GB"/>
              </w:rPr>
            </w:pPr>
          </w:p>
        </w:tc>
        <w:tc>
          <w:tcPr>
            <w:tcW w:w="1247" w:type="dxa"/>
          </w:tcPr>
          <w:p w14:paraId="586790F8" w14:textId="354F03D5" w:rsidR="00137221" w:rsidRDefault="00137221" w:rsidP="00137221">
            <w:pPr>
              <w:widowControl w:val="0"/>
              <w:autoSpaceDE w:val="0"/>
              <w:autoSpaceDN w:val="0"/>
              <w:adjustRightInd w:val="0"/>
              <w:spacing w:line="240" w:lineRule="auto"/>
              <w:jc w:val="center"/>
              <w:rPr>
                <w:rFonts w:cs="Times New Roman"/>
                <w:szCs w:val="24"/>
              </w:rPr>
            </w:pPr>
          </w:p>
        </w:tc>
        <w:tc>
          <w:tcPr>
            <w:tcW w:w="1247" w:type="dxa"/>
          </w:tcPr>
          <w:p w14:paraId="1831689E" w14:textId="183B483D" w:rsidR="00137221" w:rsidRDefault="00137221" w:rsidP="00137221">
            <w:pPr>
              <w:widowControl w:val="0"/>
              <w:autoSpaceDE w:val="0"/>
              <w:autoSpaceDN w:val="0"/>
              <w:adjustRightInd w:val="0"/>
              <w:spacing w:line="240" w:lineRule="auto"/>
              <w:jc w:val="center"/>
              <w:rPr>
                <w:rFonts w:cs="Times New Roman"/>
                <w:szCs w:val="24"/>
              </w:rPr>
            </w:pPr>
          </w:p>
        </w:tc>
        <w:tc>
          <w:tcPr>
            <w:tcW w:w="1247" w:type="dxa"/>
          </w:tcPr>
          <w:p w14:paraId="3A8725CE" w14:textId="528A21B0" w:rsidR="00137221" w:rsidRDefault="00137221" w:rsidP="00137221">
            <w:pPr>
              <w:widowControl w:val="0"/>
              <w:autoSpaceDE w:val="0"/>
              <w:autoSpaceDN w:val="0"/>
              <w:adjustRightInd w:val="0"/>
              <w:spacing w:line="240" w:lineRule="auto"/>
              <w:jc w:val="center"/>
              <w:rPr>
                <w:rFonts w:cs="Times New Roman"/>
                <w:szCs w:val="24"/>
              </w:rPr>
            </w:pPr>
          </w:p>
        </w:tc>
        <w:tc>
          <w:tcPr>
            <w:tcW w:w="1247" w:type="dxa"/>
          </w:tcPr>
          <w:p w14:paraId="6DC21059" w14:textId="3CACF6F0" w:rsidR="00137221" w:rsidRDefault="00137221" w:rsidP="00137221">
            <w:pPr>
              <w:widowControl w:val="0"/>
              <w:autoSpaceDE w:val="0"/>
              <w:autoSpaceDN w:val="0"/>
              <w:adjustRightInd w:val="0"/>
              <w:spacing w:line="240" w:lineRule="auto"/>
              <w:jc w:val="center"/>
              <w:rPr>
                <w:rFonts w:cs="Times New Roman"/>
                <w:szCs w:val="24"/>
              </w:rPr>
            </w:pPr>
          </w:p>
        </w:tc>
        <w:tc>
          <w:tcPr>
            <w:tcW w:w="1247" w:type="dxa"/>
          </w:tcPr>
          <w:p w14:paraId="48FA0F3B" w14:textId="3BA18A8F"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(0.020)</w:t>
            </w:r>
          </w:p>
        </w:tc>
      </w:tr>
      <w:tr w:rsidR="00137221" w:rsidRPr="0095351A" w14:paraId="031196EA" w14:textId="77777777" w:rsidTr="005510E8">
        <w:tc>
          <w:tcPr>
            <w:tcW w:w="2410" w:type="dxa"/>
            <w:tcBorders>
              <w:top w:val="single" w:sz="4" w:space="0" w:color="auto"/>
              <w:bottom w:val="nil"/>
            </w:tcBorders>
          </w:tcPr>
          <w:p w14:paraId="549B6FCC" w14:textId="77777777" w:rsidR="00137221" w:rsidRPr="0095351A" w:rsidRDefault="00137221" w:rsidP="00137221">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247" w:type="dxa"/>
            <w:tcBorders>
              <w:top w:val="single" w:sz="4" w:space="0" w:color="auto"/>
              <w:bottom w:val="nil"/>
            </w:tcBorders>
          </w:tcPr>
          <w:p w14:paraId="6A1CBC66" w14:textId="2F656B0E" w:rsidR="00137221" w:rsidRPr="0095351A" w:rsidRDefault="00137221" w:rsidP="00137221">
            <w:pPr>
              <w:widowControl w:val="0"/>
              <w:autoSpaceDE w:val="0"/>
              <w:autoSpaceDN w:val="0"/>
              <w:adjustRightInd w:val="0"/>
              <w:spacing w:line="240" w:lineRule="auto"/>
              <w:jc w:val="center"/>
              <w:rPr>
                <w:rFonts w:cs="Times New Roman"/>
                <w:szCs w:val="24"/>
                <w:lang w:val="en-GB"/>
              </w:rPr>
            </w:pPr>
            <w:r>
              <w:rPr>
                <w:rFonts w:cs="Times New Roman"/>
                <w:szCs w:val="24"/>
              </w:rPr>
              <w:t>128,146</w:t>
            </w:r>
          </w:p>
        </w:tc>
        <w:tc>
          <w:tcPr>
            <w:tcW w:w="1247" w:type="dxa"/>
            <w:tcBorders>
              <w:top w:val="single" w:sz="4" w:space="0" w:color="auto"/>
              <w:bottom w:val="nil"/>
            </w:tcBorders>
          </w:tcPr>
          <w:p w14:paraId="6B748658" w14:textId="60C8B8BF" w:rsidR="00137221" w:rsidRPr="0095351A" w:rsidRDefault="00137221" w:rsidP="00137221">
            <w:pPr>
              <w:widowControl w:val="0"/>
              <w:autoSpaceDE w:val="0"/>
              <w:autoSpaceDN w:val="0"/>
              <w:adjustRightInd w:val="0"/>
              <w:spacing w:line="240" w:lineRule="auto"/>
              <w:jc w:val="center"/>
              <w:rPr>
                <w:rFonts w:cs="Times New Roman"/>
                <w:szCs w:val="24"/>
                <w:lang w:val="en-GB"/>
              </w:rPr>
            </w:pPr>
            <w:r>
              <w:rPr>
                <w:rFonts w:cs="Times New Roman"/>
                <w:szCs w:val="24"/>
              </w:rPr>
              <w:t>132,867</w:t>
            </w:r>
          </w:p>
        </w:tc>
        <w:tc>
          <w:tcPr>
            <w:tcW w:w="1247" w:type="dxa"/>
            <w:tcBorders>
              <w:top w:val="single" w:sz="4" w:space="0" w:color="auto"/>
              <w:bottom w:val="nil"/>
            </w:tcBorders>
          </w:tcPr>
          <w:p w14:paraId="7052D062" w14:textId="0F646E3A" w:rsidR="00137221" w:rsidRPr="0095351A" w:rsidRDefault="00137221" w:rsidP="00137221">
            <w:pPr>
              <w:widowControl w:val="0"/>
              <w:autoSpaceDE w:val="0"/>
              <w:autoSpaceDN w:val="0"/>
              <w:adjustRightInd w:val="0"/>
              <w:spacing w:line="240" w:lineRule="auto"/>
              <w:jc w:val="center"/>
              <w:rPr>
                <w:rFonts w:cs="Times New Roman"/>
                <w:szCs w:val="24"/>
                <w:lang w:val="en-GB"/>
              </w:rPr>
            </w:pPr>
            <w:r>
              <w:rPr>
                <w:rFonts w:cs="Times New Roman"/>
                <w:szCs w:val="24"/>
              </w:rPr>
              <w:t>128,350</w:t>
            </w:r>
          </w:p>
        </w:tc>
        <w:tc>
          <w:tcPr>
            <w:tcW w:w="1247" w:type="dxa"/>
            <w:tcBorders>
              <w:top w:val="single" w:sz="4" w:space="0" w:color="auto"/>
              <w:bottom w:val="nil"/>
            </w:tcBorders>
          </w:tcPr>
          <w:p w14:paraId="34112787" w14:textId="1AE55DB2" w:rsidR="00137221" w:rsidRPr="0095351A" w:rsidRDefault="00137221" w:rsidP="00137221">
            <w:pPr>
              <w:widowControl w:val="0"/>
              <w:autoSpaceDE w:val="0"/>
              <w:autoSpaceDN w:val="0"/>
              <w:adjustRightInd w:val="0"/>
              <w:spacing w:line="240" w:lineRule="auto"/>
              <w:jc w:val="center"/>
              <w:rPr>
                <w:rFonts w:cs="Times New Roman"/>
                <w:szCs w:val="24"/>
                <w:lang w:val="en-GB"/>
              </w:rPr>
            </w:pPr>
            <w:r>
              <w:rPr>
                <w:rFonts w:cs="Times New Roman"/>
                <w:szCs w:val="24"/>
              </w:rPr>
              <w:t>128,146</w:t>
            </w:r>
          </w:p>
        </w:tc>
        <w:tc>
          <w:tcPr>
            <w:tcW w:w="1247" w:type="dxa"/>
            <w:tcBorders>
              <w:top w:val="single" w:sz="4" w:space="0" w:color="auto"/>
              <w:bottom w:val="nil"/>
            </w:tcBorders>
          </w:tcPr>
          <w:p w14:paraId="11263D7D" w14:textId="6C483919"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128,357</w:t>
            </w:r>
          </w:p>
        </w:tc>
      </w:tr>
      <w:tr w:rsidR="00137221" w:rsidRPr="0095351A" w14:paraId="77D72E4E" w14:textId="77777777" w:rsidTr="005510E8">
        <w:tc>
          <w:tcPr>
            <w:tcW w:w="2410" w:type="dxa"/>
          </w:tcPr>
          <w:p w14:paraId="54D752D1" w14:textId="77777777" w:rsidR="00137221" w:rsidRPr="0095351A" w:rsidRDefault="00137221" w:rsidP="00137221">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/LL</w:t>
            </w:r>
          </w:p>
        </w:tc>
        <w:tc>
          <w:tcPr>
            <w:tcW w:w="1247" w:type="dxa"/>
          </w:tcPr>
          <w:p w14:paraId="63910487" w14:textId="29C36035" w:rsidR="00137221" w:rsidRPr="0095351A" w:rsidRDefault="00137221" w:rsidP="00137221">
            <w:pPr>
              <w:widowControl w:val="0"/>
              <w:autoSpaceDE w:val="0"/>
              <w:autoSpaceDN w:val="0"/>
              <w:adjustRightInd w:val="0"/>
              <w:spacing w:line="240" w:lineRule="auto"/>
              <w:jc w:val="center"/>
              <w:rPr>
                <w:rFonts w:cs="Times New Roman"/>
                <w:szCs w:val="24"/>
                <w:lang w:val="en-GB"/>
              </w:rPr>
            </w:pPr>
            <w:r>
              <w:rPr>
                <w:rFonts w:cs="Times New Roman"/>
                <w:szCs w:val="24"/>
              </w:rPr>
              <w:t>0.0193</w:t>
            </w:r>
          </w:p>
        </w:tc>
        <w:tc>
          <w:tcPr>
            <w:tcW w:w="1247" w:type="dxa"/>
          </w:tcPr>
          <w:p w14:paraId="4D678F66" w14:textId="474E88ED" w:rsidR="00137221" w:rsidRPr="0095351A" w:rsidRDefault="00137221" w:rsidP="00137221">
            <w:pPr>
              <w:widowControl w:val="0"/>
              <w:autoSpaceDE w:val="0"/>
              <w:autoSpaceDN w:val="0"/>
              <w:adjustRightInd w:val="0"/>
              <w:spacing w:line="240" w:lineRule="auto"/>
              <w:jc w:val="center"/>
              <w:rPr>
                <w:rFonts w:cs="Times New Roman"/>
                <w:szCs w:val="24"/>
                <w:lang w:val="en-GB"/>
              </w:rPr>
            </w:pPr>
            <w:r>
              <w:rPr>
                <w:rFonts w:cs="Times New Roman"/>
                <w:szCs w:val="24"/>
              </w:rPr>
              <w:t>0.0180</w:t>
            </w:r>
          </w:p>
        </w:tc>
        <w:tc>
          <w:tcPr>
            <w:tcW w:w="1247" w:type="dxa"/>
          </w:tcPr>
          <w:p w14:paraId="18F52C86" w14:textId="2AE7C45D" w:rsidR="00137221" w:rsidRPr="0095351A" w:rsidRDefault="00137221" w:rsidP="00137221">
            <w:pPr>
              <w:widowControl w:val="0"/>
              <w:autoSpaceDE w:val="0"/>
              <w:autoSpaceDN w:val="0"/>
              <w:adjustRightInd w:val="0"/>
              <w:spacing w:line="240" w:lineRule="auto"/>
              <w:jc w:val="center"/>
              <w:rPr>
                <w:rFonts w:cs="Times New Roman"/>
                <w:szCs w:val="24"/>
                <w:lang w:val="en-GB"/>
              </w:rPr>
            </w:pPr>
            <w:r>
              <w:rPr>
                <w:rFonts w:cs="Times New Roman"/>
                <w:szCs w:val="24"/>
              </w:rPr>
              <w:t>0.0182</w:t>
            </w:r>
          </w:p>
        </w:tc>
        <w:tc>
          <w:tcPr>
            <w:tcW w:w="1247" w:type="dxa"/>
          </w:tcPr>
          <w:p w14:paraId="10B9DCCF" w14:textId="1864FC94" w:rsidR="00137221" w:rsidRPr="0095351A" w:rsidRDefault="00137221" w:rsidP="00137221">
            <w:pPr>
              <w:widowControl w:val="0"/>
              <w:autoSpaceDE w:val="0"/>
              <w:autoSpaceDN w:val="0"/>
              <w:adjustRightInd w:val="0"/>
              <w:spacing w:line="240" w:lineRule="auto"/>
              <w:jc w:val="center"/>
              <w:rPr>
                <w:rFonts w:cs="Times New Roman"/>
                <w:szCs w:val="24"/>
                <w:lang w:val="en-GB"/>
              </w:rPr>
            </w:pPr>
            <w:r>
              <w:rPr>
                <w:rFonts w:cs="Times New Roman"/>
                <w:szCs w:val="24"/>
              </w:rPr>
              <w:t>0.0159</w:t>
            </w:r>
          </w:p>
        </w:tc>
        <w:tc>
          <w:tcPr>
            <w:tcW w:w="1247" w:type="dxa"/>
          </w:tcPr>
          <w:p w14:paraId="4558B9A8" w14:textId="0B8E5F6E" w:rsidR="00137221" w:rsidRDefault="00137221" w:rsidP="00137221">
            <w:pPr>
              <w:widowControl w:val="0"/>
              <w:autoSpaceDE w:val="0"/>
              <w:autoSpaceDN w:val="0"/>
              <w:adjustRightInd w:val="0"/>
              <w:spacing w:line="240" w:lineRule="auto"/>
              <w:jc w:val="center"/>
              <w:rPr>
                <w:rFonts w:cs="Times New Roman"/>
                <w:szCs w:val="24"/>
              </w:rPr>
            </w:pPr>
            <w:r>
              <w:rPr>
                <w:rFonts w:cs="Times New Roman"/>
                <w:szCs w:val="24"/>
              </w:rPr>
              <w:t>80742</w:t>
            </w:r>
          </w:p>
        </w:tc>
      </w:tr>
    </w:tbl>
    <w:p w14:paraId="15186318" w14:textId="64FC473A" w:rsidR="00137221" w:rsidRDefault="00137221" w:rsidP="00137221">
      <w:pPr>
        <w:pStyle w:val="FlietextFolge"/>
        <w:ind w:left="284" w:firstLine="0"/>
      </w:pPr>
      <w:r w:rsidRPr="0095351A">
        <w:t>Standard errors in parentheses</w:t>
      </w:r>
      <w:r>
        <w:t xml:space="preserve">; </w:t>
      </w:r>
      <w:r w:rsidRPr="0095351A">
        <w:t>*** p&lt;0.01, ** p&lt;0.05, * p&lt;0.1</w:t>
      </w:r>
      <w:r>
        <w:t xml:space="preserve">; the four estimation models are defined in </w:t>
      </w:r>
      <w:r>
        <w:fldChar w:fldCharType="begin"/>
      </w:r>
      <w:r>
        <w:instrText xml:space="preserve"> REF _Ref447293539 \h </w:instrText>
      </w:r>
      <w:r>
        <w:fldChar w:fldCharType="separate"/>
      </w:r>
      <w:r w:rsidR="00886B31">
        <w:t xml:space="preserve">Table </w:t>
      </w:r>
      <w:r w:rsidR="00886B31">
        <w:rPr>
          <w:noProof/>
        </w:rPr>
        <w:t>1</w:t>
      </w:r>
      <w:r>
        <w:fldChar w:fldCharType="end"/>
      </w:r>
      <w:r>
        <w:t>.</w:t>
      </w:r>
    </w:p>
    <w:p w14:paraId="49B9BA21" w14:textId="7526713B" w:rsidR="00137221" w:rsidRPr="006135EA" w:rsidRDefault="00137221" w:rsidP="003F3100">
      <w:pPr>
        <w:spacing w:line="360" w:lineRule="auto"/>
        <w:ind w:left="18"/>
        <w:jc w:val="left"/>
        <w:rPr>
          <w:rFonts w:cs="Times New Roman"/>
          <w:szCs w:val="24"/>
          <w:lang w:val="en-GB"/>
        </w:rPr>
      </w:pPr>
    </w:p>
    <w:p w14:paraId="40317837" w14:textId="3B3D0071" w:rsidR="005510E8" w:rsidRDefault="00017019" w:rsidP="005510E8">
      <w:pPr>
        <w:pStyle w:val="FlietextFolge"/>
        <w:spacing w:line="360" w:lineRule="auto"/>
        <w:ind w:firstLine="288"/>
        <w:rPr>
          <w:rFonts w:cs="Times New Roman"/>
          <w:szCs w:val="24"/>
        </w:rPr>
      </w:pPr>
      <w:r>
        <w:rPr>
          <w:rFonts w:cs="Times New Roman"/>
          <w:szCs w:val="24"/>
        </w:rPr>
        <w:t>Next, w</w:t>
      </w:r>
      <w:r w:rsidR="005510E8">
        <w:rPr>
          <w:rFonts w:cs="Times New Roman"/>
          <w:szCs w:val="24"/>
        </w:rPr>
        <w:t xml:space="preserve">e </w:t>
      </w:r>
      <w:r>
        <w:rPr>
          <w:rFonts w:cs="Times New Roman"/>
          <w:szCs w:val="24"/>
        </w:rPr>
        <w:t xml:space="preserve">carry out </w:t>
      </w:r>
      <w:r w:rsidR="005510E8">
        <w:rPr>
          <w:rFonts w:cs="Times New Roman"/>
          <w:szCs w:val="24"/>
        </w:rPr>
        <w:t xml:space="preserve">estimations </w:t>
      </w:r>
      <w:r>
        <w:rPr>
          <w:rFonts w:cs="Times New Roman"/>
          <w:szCs w:val="24"/>
        </w:rPr>
        <w:t xml:space="preserve">where we replace </w:t>
      </w:r>
      <w:r w:rsidR="005510E8">
        <w:rPr>
          <w:rFonts w:cs="Times New Roman"/>
          <w:szCs w:val="24"/>
        </w:rPr>
        <w:t xml:space="preserve">HHI </w:t>
      </w:r>
      <w:r>
        <w:rPr>
          <w:rFonts w:cs="Times New Roman"/>
          <w:szCs w:val="24"/>
        </w:rPr>
        <w:t xml:space="preserve">with the carrier’s market share in the corresponding market-month combination. These are reported </w:t>
      </w:r>
      <w:r w:rsidR="005510E8">
        <w:rPr>
          <w:rFonts w:cs="Times New Roman"/>
          <w:szCs w:val="24"/>
        </w:rPr>
        <w:t>in</w:t>
      </w:r>
      <w:r>
        <w:rPr>
          <w:rFonts w:cs="Times New Roman"/>
          <w:szCs w:val="24"/>
        </w:rPr>
        <w:t xml:space="preserve"> </w:t>
      </w:r>
      <w:r>
        <w:rPr>
          <w:rFonts w:cs="Times New Roman"/>
          <w:szCs w:val="24"/>
        </w:rPr>
        <w:fldChar w:fldCharType="begin"/>
      </w:r>
      <w:r>
        <w:rPr>
          <w:rFonts w:cs="Times New Roman"/>
          <w:szCs w:val="24"/>
        </w:rPr>
        <w:instrText xml:space="preserve"> REF _Ref521496688 \h </w:instrText>
      </w:r>
      <w:r>
        <w:rPr>
          <w:rFonts w:cs="Times New Roman"/>
          <w:szCs w:val="24"/>
        </w:rPr>
      </w:r>
      <w:r>
        <w:rPr>
          <w:rFonts w:cs="Times New Roman"/>
          <w:szCs w:val="24"/>
        </w:rPr>
        <w:fldChar w:fldCharType="separate"/>
      </w:r>
      <w:r w:rsidR="00886B31">
        <w:t xml:space="preserve">Table </w:t>
      </w:r>
      <w:r w:rsidR="00886B31">
        <w:rPr>
          <w:noProof/>
        </w:rPr>
        <w:t>7</w:t>
      </w:r>
      <w:r>
        <w:rPr>
          <w:rFonts w:cs="Times New Roman"/>
          <w:szCs w:val="24"/>
        </w:rPr>
        <w:fldChar w:fldCharType="end"/>
      </w:r>
      <w:r w:rsidR="005510E8">
        <w:rPr>
          <w:rFonts w:cs="Times New Roman"/>
          <w:szCs w:val="24"/>
        </w:rPr>
        <w:t xml:space="preserve">. </w:t>
      </w:r>
      <w:r>
        <w:rPr>
          <w:rFonts w:cs="Times New Roman"/>
          <w:szCs w:val="24"/>
        </w:rPr>
        <w:t>Again, t</w:t>
      </w:r>
      <w:r w:rsidR="005510E8">
        <w:rPr>
          <w:rFonts w:cs="Times New Roman"/>
          <w:szCs w:val="24"/>
        </w:rPr>
        <w:t xml:space="preserve">hese </w:t>
      </w:r>
      <w:r>
        <w:rPr>
          <w:rFonts w:cs="Times New Roman"/>
          <w:szCs w:val="24"/>
        </w:rPr>
        <w:t>estimations do not reveal any major departure from the insights derived thus far</w:t>
      </w:r>
      <w:r w:rsidR="005510E8">
        <w:rPr>
          <w:rFonts w:cs="Times New Roman"/>
          <w:szCs w:val="24"/>
        </w:rPr>
        <w:t>.</w:t>
      </w:r>
    </w:p>
    <w:p w14:paraId="44DDAC5F" w14:textId="77777777" w:rsidR="005510E8" w:rsidRPr="006135EA" w:rsidRDefault="005510E8" w:rsidP="005510E8">
      <w:pPr>
        <w:spacing w:line="360" w:lineRule="auto"/>
        <w:ind w:left="18"/>
        <w:jc w:val="left"/>
        <w:rPr>
          <w:rFonts w:cs="Times New Roman"/>
          <w:szCs w:val="24"/>
          <w:lang w:val="en-GB"/>
        </w:rPr>
      </w:pPr>
    </w:p>
    <w:p w14:paraId="072AA2EA" w14:textId="2E46BC74" w:rsidR="005510E8" w:rsidRDefault="005510E8" w:rsidP="005510E8">
      <w:pPr>
        <w:pStyle w:val="Caption"/>
        <w:keepNext/>
      </w:pPr>
      <w:bookmarkStart w:id="37" w:name="_Ref521496688"/>
      <w:r>
        <w:lastRenderedPageBreak/>
        <w:t xml:space="preserve">Table </w:t>
      </w:r>
      <w:r>
        <w:fldChar w:fldCharType="begin"/>
      </w:r>
      <w:r>
        <w:instrText xml:space="preserve"> SEQ Table \* ARABIC </w:instrText>
      </w:r>
      <w:r>
        <w:fldChar w:fldCharType="separate"/>
      </w:r>
      <w:r w:rsidR="00886B31">
        <w:rPr>
          <w:noProof/>
        </w:rPr>
        <w:t>7</w:t>
      </w:r>
      <w:r>
        <w:fldChar w:fldCharType="end"/>
      </w:r>
      <w:bookmarkEnd w:id="37"/>
      <w:r>
        <w:t xml:space="preserve">: Effects of Chapter 11 filings on prices in US domestic and international markets (dependent variable ln </w:t>
      </w:r>
      <m:oMath>
        <m:sSub>
          <m:sSubPr>
            <m:ctrlPr>
              <w:rPr>
                <w:rFonts w:ascii="Cambria Math" w:hAnsi="Cambria Math"/>
              </w:rPr>
            </m:ctrlPr>
          </m:sSubPr>
          <m:e>
            <m:r>
              <w:rPr>
                <w:rFonts w:ascii="Cambria Math" w:hAnsi="Cambria Math"/>
              </w:rPr>
              <m:t>P</m:t>
            </m:r>
          </m:e>
          <m:sub>
            <m:r>
              <w:rPr>
                <w:rFonts w:ascii="Cambria Math" w:hAnsi="Cambria Math"/>
              </w:rPr>
              <m:t>crt</m:t>
            </m:r>
          </m:sub>
        </m:sSub>
      </m:oMath>
      <w:r>
        <w:t>),</w:t>
      </w:r>
      <w:r w:rsidRPr="002B0AF4">
        <w:t xml:space="preserve"> </w:t>
      </w:r>
      <w:r>
        <w:t>routes covering 50% of total traffic</w:t>
      </w:r>
    </w:p>
    <w:tbl>
      <w:tblPr>
        <w:tblStyle w:val="HelleSchattierung-Akzent11"/>
        <w:tblW w:w="8645" w:type="dxa"/>
        <w:tblLayout w:type="fixed"/>
        <w:tblLook w:val="0600" w:firstRow="0" w:lastRow="0" w:firstColumn="0" w:lastColumn="0" w:noHBand="1" w:noVBand="1"/>
      </w:tblPr>
      <w:tblGrid>
        <w:gridCol w:w="2410"/>
        <w:gridCol w:w="1247"/>
        <w:gridCol w:w="1247"/>
        <w:gridCol w:w="1247"/>
        <w:gridCol w:w="1247"/>
        <w:gridCol w:w="1247"/>
      </w:tblGrid>
      <w:tr w:rsidR="005510E8" w:rsidRPr="0095351A" w14:paraId="77203CCB" w14:textId="77777777" w:rsidTr="005510E8">
        <w:tc>
          <w:tcPr>
            <w:tcW w:w="2410" w:type="dxa"/>
            <w:tcBorders>
              <w:top w:val="single" w:sz="8" w:space="0" w:color="000000" w:themeColor="text1"/>
              <w:bottom w:val="single" w:sz="4" w:space="0" w:color="auto"/>
            </w:tcBorders>
          </w:tcPr>
          <w:p w14:paraId="09B89BCA" w14:textId="77777777" w:rsidR="005510E8" w:rsidRPr="0095351A" w:rsidRDefault="005510E8" w:rsidP="005510E8">
            <w:pPr>
              <w:widowControl w:val="0"/>
              <w:autoSpaceDE w:val="0"/>
              <w:autoSpaceDN w:val="0"/>
              <w:adjustRightInd w:val="0"/>
              <w:spacing w:line="240" w:lineRule="auto"/>
              <w:rPr>
                <w:rFonts w:cs="Times New Roman"/>
                <w:szCs w:val="24"/>
                <w:lang w:val="en-GB"/>
              </w:rPr>
            </w:pPr>
          </w:p>
        </w:tc>
        <w:tc>
          <w:tcPr>
            <w:tcW w:w="1247" w:type="dxa"/>
            <w:tcBorders>
              <w:top w:val="single" w:sz="8" w:space="0" w:color="000000" w:themeColor="text1"/>
              <w:bottom w:val="single" w:sz="4" w:space="0" w:color="auto"/>
            </w:tcBorders>
          </w:tcPr>
          <w:p w14:paraId="0A3D5161" w14:textId="77777777" w:rsidR="005510E8" w:rsidRPr="0095351A" w:rsidRDefault="005510E8"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247" w:type="dxa"/>
            <w:tcBorders>
              <w:top w:val="single" w:sz="8" w:space="0" w:color="000000" w:themeColor="text1"/>
              <w:bottom w:val="single" w:sz="4" w:space="0" w:color="auto"/>
            </w:tcBorders>
          </w:tcPr>
          <w:p w14:paraId="6D67A42B" w14:textId="77777777" w:rsidR="005510E8" w:rsidRPr="0095351A" w:rsidRDefault="005510E8"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247" w:type="dxa"/>
            <w:tcBorders>
              <w:top w:val="single" w:sz="8" w:space="0" w:color="000000" w:themeColor="text1"/>
              <w:bottom w:val="single" w:sz="4" w:space="0" w:color="auto"/>
            </w:tcBorders>
          </w:tcPr>
          <w:p w14:paraId="3C11ECB9" w14:textId="77777777" w:rsidR="005510E8" w:rsidRPr="0095351A" w:rsidRDefault="005510E8" w:rsidP="005510E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247" w:type="dxa"/>
            <w:tcBorders>
              <w:top w:val="single" w:sz="8" w:space="0" w:color="000000" w:themeColor="text1"/>
              <w:bottom w:val="single" w:sz="4" w:space="0" w:color="auto"/>
            </w:tcBorders>
          </w:tcPr>
          <w:p w14:paraId="16B34CA7" w14:textId="77777777" w:rsidR="005510E8" w:rsidRPr="0095351A" w:rsidRDefault="005510E8" w:rsidP="005510E8">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247" w:type="dxa"/>
            <w:tcBorders>
              <w:top w:val="single" w:sz="8" w:space="0" w:color="000000" w:themeColor="text1"/>
              <w:bottom w:val="single" w:sz="4" w:space="0" w:color="auto"/>
            </w:tcBorders>
          </w:tcPr>
          <w:p w14:paraId="7790552B" w14:textId="77777777" w:rsidR="005510E8" w:rsidRDefault="005510E8" w:rsidP="005510E8">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DB60CE" w:rsidRPr="0095351A" w14:paraId="4535CAA8" w14:textId="77777777" w:rsidTr="005510E8">
        <w:tc>
          <w:tcPr>
            <w:tcW w:w="2410" w:type="dxa"/>
            <w:tcBorders>
              <w:top w:val="single" w:sz="4" w:space="0" w:color="auto"/>
            </w:tcBorders>
            <w:vAlign w:val="center"/>
          </w:tcPr>
          <w:p w14:paraId="2AC9206C"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247" w:type="dxa"/>
            <w:tcBorders>
              <w:top w:val="single" w:sz="4" w:space="0" w:color="auto"/>
            </w:tcBorders>
          </w:tcPr>
          <w:p w14:paraId="00ED9FA3" w14:textId="59D13C7B"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-0.051***</w:t>
            </w:r>
          </w:p>
        </w:tc>
        <w:tc>
          <w:tcPr>
            <w:tcW w:w="1247" w:type="dxa"/>
            <w:tcBorders>
              <w:top w:val="single" w:sz="4" w:space="0" w:color="auto"/>
            </w:tcBorders>
          </w:tcPr>
          <w:p w14:paraId="3711DFDF" w14:textId="4B0A33B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-0.050***</w:t>
            </w:r>
          </w:p>
        </w:tc>
        <w:tc>
          <w:tcPr>
            <w:tcW w:w="1247" w:type="dxa"/>
            <w:tcBorders>
              <w:top w:val="single" w:sz="4" w:space="0" w:color="auto"/>
            </w:tcBorders>
          </w:tcPr>
          <w:p w14:paraId="43C63592" w14:textId="616DF48D"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-0.066***</w:t>
            </w:r>
          </w:p>
        </w:tc>
        <w:tc>
          <w:tcPr>
            <w:tcW w:w="1247" w:type="dxa"/>
            <w:tcBorders>
              <w:top w:val="single" w:sz="4" w:space="0" w:color="auto"/>
            </w:tcBorders>
          </w:tcPr>
          <w:p w14:paraId="2601F2E3" w14:textId="524BAA9A"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-0.047***</w:t>
            </w:r>
          </w:p>
        </w:tc>
        <w:tc>
          <w:tcPr>
            <w:tcW w:w="1247" w:type="dxa"/>
            <w:tcBorders>
              <w:top w:val="single" w:sz="4" w:space="0" w:color="auto"/>
            </w:tcBorders>
          </w:tcPr>
          <w:p w14:paraId="33CFC7EE" w14:textId="3BDCA692"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-0.051***</w:t>
            </w:r>
          </w:p>
        </w:tc>
      </w:tr>
      <w:tr w:rsidR="00DB60CE" w:rsidRPr="0095351A" w14:paraId="7007107D" w14:textId="77777777" w:rsidTr="005510E8">
        <w:tc>
          <w:tcPr>
            <w:tcW w:w="2410" w:type="dxa"/>
            <w:vAlign w:val="center"/>
          </w:tcPr>
          <w:p w14:paraId="3BAC56AA"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5D85841C" w14:textId="1AEEF39A"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62A0388" w14:textId="5C041623"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74D65EAE" w14:textId="23D22996"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5EFB3717" w14:textId="5092366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67D4D30" w14:textId="143E289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r>
      <w:tr w:rsidR="00DB60CE" w:rsidRPr="0095351A" w14:paraId="38FD377E" w14:textId="77777777" w:rsidTr="005510E8">
        <w:tc>
          <w:tcPr>
            <w:tcW w:w="2410" w:type="dxa"/>
            <w:vAlign w:val="center"/>
          </w:tcPr>
          <w:p w14:paraId="5A107462"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247" w:type="dxa"/>
          </w:tcPr>
          <w:p w14:paraId="444DBFDF" w14:textId="2FA82FE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75C6B9E8" w14:textId="62418A5A"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63D6E8B3" w14:textId="076580B5"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0.024***</w:t>
            </w:r>
          </w:p>
        </w:tc>
        <w:tc>
          <w:tcPr>
            <w:tcW w:w="1247" w:type="dxa"/>
          </w:tcPr>
          <w:p w14:paraId="46A9F8C3" w14:textId="5C074358"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01B93399" w14:textId="1DAF6B86"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0.019***</w:t>
            </w:r>
          </w:p>
        </w:tc>
      </w:tr>
      <w:tr w:rsidR="00DB60CE" w:rsidRPr="0095351A" w14:paraId="4DD07A13" w14:textId="77777777" w:rsidTr="005510E8">
        <w:tc>
          <w:tcPr>
            <w:tcW w:w="2410" w:type="dxa"/>
            <w:vAlign w:val="center"/>
          </w:tcPr>
          <w:p w14:paraId="6546BE7B"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66066021" w14:textId="6DBCC460"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DA2BDF6" w14:textId="7DC688C3"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075E5665" w14:textId="4479A4A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492513DE" w14:textId="09ADEE8A"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2E7807D0" w14:textId="70A4D82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r>
      <w:tr w:rsidR="00DB60CE" w:rsidRPr="0095351A" w14:paraId="6ADC83C5" w14:textId="77777777" w:rsidTr="005510E8">
        <w:tc>
          <w:tcPr>
            <w:tcW w:w="2410" w:type="dxa"/>
            <w:vAlign w:val="center"/>
          </w:tcPr>
          <w:p w14:paraId="51E7F7A1"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247" w:type="dxa"/>
          </w:tcPr>
          <w:p w14:paraId="4B13B554" w14:textId="7F046C6F"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-0.071***</w:t>
            </w:r>
          </w:p>
        </w:tc>
        <w:tc>
          <w:tcPr>
            <w:tcW w:w="1247" w:type="dxa"/>
          </w:tcPr>
          <w:p w14:paraId="4E202930" w14:textId="67C0E7AA"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-0.068***</w:t>
            </w:r>
          </w:p>
        </w:tc>
        <w:tc>
          <w:tcPr>
            <w:tcW w:w="1247" w:type="dxa"/>
          </w:tcPr>
          <w:p w14:paraId="42D8EFD4" w14:textId="6E846302"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-0.084***</w:t>
            </w:r>
          </w:p>
        </w:tc>
        <w:tc>
          <w:tcPr>
            <w:tcW w:w="1247" w:type="dxa"/>
          </w:tcPr>
          <w:p w14:paraId="1775663E" w14:textId="67D74666"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-0.057***</w:t>
            </w:r>
          </w:p>
        </w:tc>
        <w:tc>
          <w:tcPr>
            <w:tcW w:w="1247" w:type="dxa"/>
          </w:tcPr>
          <w:p w14:paraId="0DE02448" w14:textId="48B4AEDD"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-0.071***</w:t>
            </w:r>
          </w:p>
        </w:tc>
      </w:tr>
      <w:tr w:rsidR="00DB60CE" w:rsidRPr="0095351A" w14:paraId="6A54B396" w14:textId="77777777" w:rsidTr="005510E8">
        <w:tc>
          <w:tcPr>
            <w:tcW w:w="2410" w:type="dxa"/>
            <w:vAlign w:val="center"/>
          </w:tcPr>
          <w:p w14:paraId="28B7FD73"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3582F95F" w14:textId="56A53F22"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7CA58E1F" w14:textId="1C73D5F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764A2894" w14:textId="22E3492E"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1603B692" w14:textId="047B4042"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277FBBCF" w14:textId="075CCF97"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(0.003)</w:t>
            </w:r>
          </w:p>
        </w:tc>
      </w:tr>
      <w:tr w:rsidR="00DB60CE" w:rsidRPr="0095351A" w14:paraId="5CDCB85F" w14:textId="77777777" w:rsidTr="005510E8">
        <w:tc>
          <w:tcPr>
            <w:tcW w:w="2410" w:type="dxa"/>
            <w:vAlign w:val="center"/>
          </w:tcPr>
          <w:p w14:paraId="4E7A74F5"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247" w:type="dxa"/>
          </w:tcPr>
          <w:p w14:paraId="4AE5B152" w14:textId="0E947C65"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0.010***</w:t>
            </w:r>
          </w:p>
        </w:tc>
        <w:tc>
          <w:tcPr>
            <w:tcW w:w="1247" w:type="dxa"/>
          </w:tcPr>
          <w:p w14:paraId="68D07A37" w14:textId="7174EC6E"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0.009***</w:t>
            </w:r>
          </w:p>
        </w:tc>
        <w:tc>
          <w:tcPr>
            <w:tcW w:w="1247" w:type="dxa"/>
          </w:tcPr>
          <w:p w14:paraId="20ED919C" w14:textId="2D9F2B9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0.022***</w:t>
            </w:r>
          </w:p>
        </w:tc>
        <w:tc>
          <w:tcPr>
            <w:tcW w:w="1247" w:type="dxa"/>
          </w:tcPr>
          <w:p w14:paraId="54F7CA4A" w14:textId="4E578ABB"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0.020***</w:t>
            </w:r>
          </w:p>
        </w:tc>
        <w:tc>
          <w:tcPr>
            <w:tcW w:w="1247" w:type="dxa"/>
          </w:tcPr>
          <w:p w14:paraId="411850B3" w14:textId="0F720A18"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0.010***</w:t>
            </w:r>
          </w:p>
        </w:tc>
      </w:tr>
      <w:tr w:rsidR="00DB60CE" w:rsidRPr="0095351A" w14:paraId="7BA7A63A" w14:textId="77777777" w:rsidTr="005510E8">
        <w:tc>
          <w:tcPr>
            <w:tcW w:w="2410" w:type="dxa"/>
            <w:vAlign w:val="center"/>
          </w:tcPr>
          <w:p w14:paraId="1A99EA15"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1DB5EBBE" w14:textId="24F9EC40"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67218FC5" w14:textId="22E90933"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0D9557CE" w14:textId="6112BAF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5562825" w14:textId="269BCD4F"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454ED0A8" w14:textId="422003ED"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r>
      <w:tr w:rsidR="00DB60CE" w:rsidRPr="0095351A" w14:paraId="40B21AD7" w14:textId="77777777" w:rsidTr="005510E8">
        <w:tc>
          <w:tcPr>
            <w:tcW w:w="2410" w:type="dxa"/>
            <w:vAlign w:val="center"/>
          </w:tcPr>
          <w:p w14:paraId="69A1002B"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p>
        </w:tc>
        <w:tc>
          <w:tcPr>
            <w:tcW w:w="1247" w:type="dxa"/>
          </w:tcPr>
          <w:p w14:paraId="6090709F" w14:textId="614365B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-0.469***</w:t>
            </w:r>
          </w:p>
        </w:tc>
        <w:tc>
          <w:tcPr>
            <w:tcW w:w="1247" w:type="dxa"/>
          </w:tcPr>
          <w:p w14:paraId="203D7F65" w14:textId="71A2671C"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-0.457***</w:t>
            </w:r>
          </w:p>
        </w:tc>
        <w:tc>
          <w:tcPr>
            <w:tcW w:w="1247" w:type="dxa"/>
          </w:tcPr>
          <w:p w14:paraId="724D144A" w14:textId="7E5A958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-0.401***</w:t>
            </w:r>
          </w:p>
        </w:tc>
        <w:tc>
          <w:tcPr>
            <w:tcW w:w="1247" w:type="dxa"/>
          </w:tcPr>
          <w:p w14:paraId="1210497B" w14:textId="74266B46"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-0.470***</w:t>
            </w:r>
          </w:p>
        </w:tc>
        <w:tc>
          <w:tcPr>
            <w:tcW w:w="1247" w:type="dxa"/>
          </w:tcPr>
          <w:p w14:paraId="15DFAB0F" w14:textId="00EE4E8D"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-0.469***</w:t>
            </w:r>
          </w:p>
        </w:tc>
      </w:tr>
      <w:tr w:rsidR="00DB60CE" w:rsidRPr="0095351A" w14:paraId="6BDD2AB2" w14:textId="77777777" w:rsidTr="005510E8">
        <w:tc>
          <w:tcPr>
            <w:tcW w:w="2410" w:type="dxa"/>
            <w:vAlign w:val="center"/>
          </w:tcPr>
          <w:p w14:paraId="0BBC9362"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5C6ED1F2" w14:textId="51481CE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2279055C" w14:textId="5689FE7F"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17CF6919" w14:textId="06F52A0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0AFFB349" w14:textId="0659100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0E8DAAC6" w14:textId="21C7AD37"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(0.016)</w:t>
            </w:r>
          </w:p>
        </w:tc>
      </w:tr>
      <w:tr w:rsidR="00DB60CE" w:rsidRPr="0095351A" w14:paraId="38C74B37" w14:textId="77777777" w:rsidTr="005510E8">
        <w:tc>
          <w:tcPr>
            <w:tcW w:w="2410" w:type="dxa"/>
            <w:vAlign w:val="center"/>
          </w:tcPr>
          <w:p w14:paraId="1EBBD46B"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otherint</m:t>
                  </m:r>
                </m:sub>
              </m:sSub>
            </m:oMath>
          </w:p>
        </w:tc>
        <w:tc>
          <w:tcPr>
            <w:tcW w:w="1247" w:type="dxa"/>
          </w:tcPr>
          <w:p w14:paraId="26D0DA20" w14:textId="044CC8F6"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-0.022***</w:t>
            </w:r>
          </w:p>
        </w:tc>
        <w:tc>
          <w:tcPr>
            <w:tcW w:w="1247" w:type="dxa"/>
          </w:tcPr>
          <w:p w14:paraId="354CBB84" w14:textId="10C63EC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-0.029***</w:t>
            </w:r>
          </w:p>
        </w:tc>
        <w:tc>
          <w:tcPr>
            <w:tcW w:w="1247" w:type="dxa"/>
          </w:tcPr>
          <w:p w14:paraId="5BC29224" w14:textId="20629DED"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-0.071***</w:t>
            </w:r>
          </w:p>
        </w:tc>
        <w:tc>
          <w:tcPr>
            <w:tcW w:w="1247" w:type="dxa"/>
          </w:tcPr>
          <w:p w14:paraId="526D4B17" w14:textId="025153D6"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-0.015***</w:t>
            </w:r>
          </w:p>
        </w:tc>
        <w:tc>
          <w:tcPr>
            <w:tcW w:w="1247" w:type="dxa"/>
          </w:tcPr>
          <w:p w14:paraId="45E68D4B" w14:textId="0509D7D7"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-0.023***</w:t>
            </w:r>
          </w:p>
        </w:tc>
      </w:tr>
      <w:tr w:rsidR="00DB60CE" w:rsidRPr="0095351A" w14:paraId="0605A136" w14:textId="77777777" w:rsidTr="005510E8">
        <w:tc>
          <w:tcPr>
            <w:tcW w:w="2410" w:type="dxa"/>
            <w:vAlign w:val="center"/>
          </w:tcPr>
          <w:p w14:paraId="509D5612"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3EFBC941" w14:textId="65AA153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5C649ED9" w14:textId="48FBF193"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1B2EDBAD" w14:textId="046F7DD5"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6FAE4473" w14:textId="443AF74C"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0B84F05C" w14:textId="252DEAD0"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r>
      <w:tr w:rsidR="00DB60CE" w:rsidRPr="0095351A" w14:paraId="2434F645" w14:textId="77777777" w:rsidTr="005510E8">
        <w:tc>
          <w:tcPr>
            <w:tcW w:w="2410" w:type="dxa"/>
            <w:vAlign w:val="center"/>
          </w:tcPr>
          <w:p w14:paraId="21065967"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p>
        </w:tc>
        <w:tc>
          <w:tcPr>
            <w:tcW w:w="1247" w:type="dxa"/>
          </w:tcPr>
          <w:p w14:paraId="0BA09485" w14:textId="6D95FCFC"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-0.345***</w:t>
            </w:r>
          </w:p>
        </w:tc>
        <w:tc>
          <w:tcPr>
            <w:tcW w:w="1247" w:type="dxa"/>
          </w:tcPr>
          <w:p w14:paraId="2A6E6C76" w14:textId="2E173E1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-0.330***</w:t>
            </w:r>
          </w:p>
        </w:tc>
        <w:tc>
          <w:tcPr>
            <w:tcW w:w="1247" w:type="dxa"/>
          </w:tcPr>
          <w:p w14:paraId="6943C2E8" w14:textId="4CB4E90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-0.333***</w:t>
            </w:r>
          </w:p>
        </w:tc>
        <w:tc>
          <w:tcPr>
            <w:tcW w:w="1247" w:type="dxa"/>
          </w:tcPr>
          <w:p w14:paraId="67992887" w14:textId="535C2C4C"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-0.344***</w:t>
            </w:r>
          </w:p>
        </w:tc>
        <w:tc>
          <w:tcPr>
            <w:tcW w:w="1247" w:type="dxa"/>
          </w:tcPr>
          <w:p w14:paraId="79B4B29C" w14:textId="121C446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-0.345***</w:t>
            </w:r>
          </w:p>
        </w:tc>
      </w:tr>
      <w:tr w:rsidR="00DB60CE" w:rsidRPr="0095351A" w14:paraId="621AC021" w14:textId="77777777" w:rsidTr="005510E8">
        <w:tc>
          <w:tcPr>
            <w:tcW w:w="2410" w:type="dxa"/>
            <w:vAlign w:val="center"/>
          </w:tcPr>
          <w:p w14:paraId="1ED8889D"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73FDB6D0" w14:textId="61786F9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675B4A36" w14:textId="645CF33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343AF52D" w14:textId="5CEAF073"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54DC86FA" w14:textId="3C174E75"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2B33178A" w14:textId="6529C0CF"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(0.016)</w:t>
            </w:r>
          </w:p>
        </w:tc>
      </w:tr>
      <w:tr w:rsidR="00DB60CE" w:rsidRPr="0095351A" w14:paraId="38368997" w14:textId="77777777" w:rsidTr="005510E8">
        <w:tc>
          <w:tcPr>
            <w:tcW w:w="2410" w:type="dxa"/>
            <w:vAlign w:val="center"/>
          </w:tcPr>
          <w:p w14:paraId="37499844"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otherint</m:t>
                  </m:r>
                </m:sub>
              </m:sSub>
            </m:oMath>
          </w:p>
        </w:tc>
        <w:tc>
          <w:tcPr>
            <w:tcW w:w="1247" w:type="dxa"/>
          </w:tcPr>
          <w:p w14:paraId="1D634039" w14:textId="0DD6AB08"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-0.043***</w:t>
            </w:r>
          </w:p>
        </w:tc>
        <w:tc>
          <w:tcPr>
            <w:tcW w:w="1247" w:type="dxa"/>
          </w:tcPr>
          <w:p w14:paraId="03A3842E" w14:textId="7F6BFF9C"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-0.051***</w:t>
            </w:r>
          </w:p>
        </w:tc>
        <w:tc>
          <w:tcPr>
            <w:tcW w:w="1247" w:type="dxa"/>
          </w:tcPr>
          <w:p w14:paraId="33129867" w14:textId="6D39FC3B"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-0.095***</w:t>
            </w:r>
          </w:p>
        </w:tc>
        <w:tc>
          <w:tcPr>
            <w:tcW w:w="1247" w:type="dxa"/>
          </w:tcPr>
          <w:p w14:paraId="6B6D6A07" w14:textId="648E4750"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-0.045***</w:t>
            </w:r>
          </w:p>
        </w:tc>
        <w:tc>
          <w:tcPr>
            <w:tcW w:w="1247" w:type="dxa"/>
          </w:tcPr>
          <w:p w14:paraId="5F897ABD" w14:textId="4152A6D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-0.043***</w:t>
            </w:r>
          </w:p>
        </w:tc>
      </w:tr>
      <w:tr w:rsidR="00DB60CE" w:rsidRPr="0095351A" w14:paraId="6C820686" w14:textId="77777777" w:rsidTr="005510E8">
        <w:tc>
          <w:tcPr>
            <w:tcW w:w="2410" w:type="dxa"/>
            <w:vAlign w:val="center"/>
          </w:tcPr>
          <w:p w14:paraId="1F493309"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56379731" w14:textId="1AD7A40F"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2DB0121C" w14:textId="5DBD8307"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56B397CF" w14:textId="4A588A7E"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42D3BFA8" w14:textId="41C5F3A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506C799B" w14:textId="6220BBAF"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r>
      <w:tr w:rsidR="00DB60CE" w:rsidRPr="0095351A" w14:paraId="0FAF4620" w14:textId="77777777" w:rsidTr="005510E8">
        <w:tc>
          <w:tcPr>
            <w:tcW w:w="2410" w:type="dxa"/>
            <w:vAlign w:val="center"/>
          </w:tcPr>
          <w:p w14:paraId="53412D01" w14:textId="730F17B4" w:rsidR="00DB60CE" w:rsidRPr="0095351A" w:rsidRDefault="00DB60CE" w:rsidP="00DB60CE">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Market Share</m:t>
              </m:r>
            </m:oMath>
          </w:p>
        </w:tc>
        <w:tc>
          <w:tcPr>
            <w:tcW w:w="1247" w:type="dxa"/>
          </w:tcPr>
          <w:p w14:paraId="06684F9E" w14:textId="1CCD1200"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0.073***</w:t>
            </w:r>
          </w:p>
        </w:tc>
        <w:tc>
          <w:tcPr>
            <w:tcW w:w="1247" w:type="dxa"/>
          </w:tcPr>
          <w:p w14:paraId="6AC3021D" w14:textId="0238534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0.071***</w:t>
            </w:r>
          </w:p>
        </w:tc>
        <w:tc>
          <w:tcPr>
            <w:tcW w:w="1247" w:type="dxa"/>
          </w:tcPr>
          <w:p w14:paraId="563508B2" w14:textId="45DFBD5C"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0.109***</w:t>
            </w:r>
          </w:p>
        </w:tc>
        <w:tc>
          <w:tcPr>
            <w:tcW w:w="1247" w:type="dxa"/>
          </w:tcPr>
          <w:p w14:paraId="4B9B7FA9" w14:textId="337041D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0.076***</w:t>
            </w:r>
          </w:p>
        </w:tc>
        <w:tc>
          <w:tcPr>
            <w:tcW w:w="1247" w:type="dxa"/>
          </w:tcPr>
          <w:p w14:paraId="277D5EEC" w14:textId="749B00FD"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0.068***</w:t>
            </w:r>
          </w:p>
        </w:tc>
      </w:tr>
      <w:tr w:rsidR="00DB60CE" w:rsidRPr="0095351A" w14:paraId="52D51ABC" w14:textId="77777777" w:rsidTr="005510E8">
        <w:tc>
          <w:tcPr>
            <w:tcW w:w="2410" w:type="dxa"/>
            <w:vAlign w:val="center"/>
          </w:tcPr>
          <w:p w14:paraId="5221EA8D"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Pr>
          <w:p w14:paraId="7A301483" w14:textId="7981DDF9"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218FD802" w14:textId="062D813D"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265E864A" w14:textId="1AC3A44E"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13529C41" w14:textId="5E82FF1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63411525" w14:textId="62808BB0"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(0.005)</w:t>
            </w:r>
          </w:p>
        </w:tc>
      </w:tr>
      <w:tr w:rsidR="00DB60CE" w:rsidRPr="0095351A" w14:paraId="1A115152" w14:textId="77777777" w:rsidTr="005510E8">
        <w:tc>
          <w:tcPr>
            <w:tcW w:w="2410" w:type="dxa"/>
            <w:vAlign w:val="center"/>
          </w:tcPr>
          <w:p w14:paraId="546F8685"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r>
              <w:t xml:space="preserve"> </w:t>
            </w:r>
            <m:oMath>
              <m:r>
                <m:rPr>
                  <m:sty m:val="p"/>
                </m:rPr>
                <w:rPr>
                  <w:rFonts w:ascii="Cambria Math" w:hAnsi="Cambria Math"/>
                </w:rPr>
                <m:t>Int</m:t>
              </m:r>
            </m:oMath>
          </w:p>
        </w:tc>
        <w:tc>
          <w:tcPr>
            <w:tcW w:w="1247" w:type="dxa"/>
          </w:tcPr>
          <w:p w14:paraId="55888F8E" w14:textId="1AC97B84" w:rsidR="00DB60CE" w:rsidRDefault="00DB60CE" w:rsidP="00DB60CE">
            <w:pPr>
              <w:widowControl w:val="0"/>
              <w:autoSpaceDE w:val="0"/>
              <w:autoSpaceDN w:val="0"/>
              <w:adjustRightInd w:val="0"/>
              <w:spacing w:line="240" w:lineRule="auto"/>
              <w:jc w:val="center"/>
              <w:rPr>
                <w:rFonts w:cs="Times New Roman"/>
                <w:szCs w:val="24"/>
              </w:rPr>
            </w:pPr>
          </w:p>
        </w:tc>
        <w:tc>
          <w:tcPr>
            <w:tcW w:w="1247" w:type="dxa"/>
          </w:tcPr>
          <w:p w14:paraId="72F8225C" w14:textId="36B36228" w:rsidR="00DB60CE" w:rsidRDefault="00DB60CE" w:rsidP="00DB60CE">
            <w:pPr>
              <w:widowControl w:val="0"/>
              <w:autoSpaceDE w:val="0"/>
              <w:autoSpaceDN w:val="0"/>
              <w:adjustRightInd w:val="0"/>
              <w:spacing w:line="240" w:lineRule="auto"/>
              <w:jc w:val="center"/>
              <w:rPr>
                <w:rFonts w:cs="Times New Roman"/>
                <w:szCs w:val="24"/>
              </w:rPr>
            </w:pPr>
          </w:p>
        </w:tc>
        <w:tc>
          <w:tcPr>
            <w:tcW w:w="1247" w:type="dxa"/>
          </w:tcPr>
          <w:p w14:paraId="344B1337" w14:textId="0717CA2A" w:rsidR="00DB60CE" w:rsidRDefault="00DB60CE" w:rsidP="00DB60CE">
            <w:pPr>
              <w:widowControl w:val="0"/>
              <w:autoSpaceDE w:val="0"/>
              <w:autoSpaceDN w:val="0"/>
              <w:adjustRightInd w:val="0"/>
              <w:spacing w:line="240" w:lineRule="auto"/>
              <w:jc w:val="center"/>
              <w:rPr>
                <w:rFonts w:cs="Times New Roman"/>
                <w:szCs w:val="24"/>
              </w:rPr>
            </w:pPr>
          </w:p>
        </w:tc>
        <w:tc>
          <w:tcPr>
            <w:tcW w:w="1247" w:type="dxa"/>
          </w:tcPr>
          <w:p w14:paraId="3F2CFF1F" w14:textId="3AF93FF7" w:rsidR="00DB60CE" w:rsidRDefault="00DB60CE" w:rsidP="00DB60CE">
            <w:pPr>
              <w:widowControl w:val="0"/>
              <w:autoSpaceDE w:val="0"/>
              <w:autoSpaceDN w:val="0"/>
              <w:adjustRightInd w:val="0"/>
              <w:spacing w:line="240" w:lineRule="auto"/>
              <w:jc w:val="center"/>
              <w:rPr>
                <w:rFonts w:cs="Times New Roman"/>
                <w:szCs w:val="24"/>
              </w:rPr>
            </w:pPr>
          </w:p>
        </w:tc>
        <w:tc>
          <w:tcPr>
            <w:tcW w:w="1247" w:type="dxa"/>
          </w:tcPr>
          <w:p w14:paraId="3C440F72" w14:textId="787BCE94"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-0.222***</w:t>
            </w:r>
          </w:p>
        </w:tc>
      </w:tr>
      <w:tr w:rsidR="00DB60CE" w:rsidRPr="0095351A" w14:paraId="2058A31E" w14:textId="77777777" w:rsidTr="005510E8">
        <w:tc>
          <w:tcPr>
            <w:tcW w:w="2410" w:type="dxa"/>
            <w:tcBorders>
              <w:bottom w:val="single" w:sz="4" w:space="0" w:color="auto"/>
            </w:tcBorders>
            <w:vAlign w:val="center"/>
          </w:tcPr>
          <w:p w14:paraId="25698684" w14:textId="77777777" w:rsidR="00DB60CE" w:rsidRPr="0095351A" w:rsidRDefault="00DB60CE" w:rsidP="00DB60CE">
            <w:pPr>
              <w:widowControl w:val="0"/>
              <w:autoSpaceDE w:val="0"/>
              <w:autoSpaceDN w:val="0"/>
              <w:adjustRightInd w:val="0"/>
              <w:spacing w:line="240" w:lineRule="auto"/>
              <w:jc w:val="left"/>
              <w:rPr>
                <w:rFonts w:cs="Times New Roman"/>
                <w:szCs w:val="24"/>
                <w:lang w:val="en-GB"/>
              </w:rPr>
            </w:pPr>
          </w:p>
        </w:tc>
        <w:tc>
          <w:tcPr>
            <w:tcW w:w="1247" w:type="dxa"/>
            <w:tcBorders>
              <w:bottom w:val="single" w:sz="4" w:space="0" w:color="auto"/>
            </w:tcBorders>
          </w:tcPr>
          <w:p w14:paraId="5C5A339E" w14:textId="76267D89" w:rsidR="00DB60CE" w:rsidRDefault="00DB60CE" w:rsidP="00DB60CE">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0B7B210C" w14:textId="17D58A47" w:rsidR="00DB60CE" w:rsidRDefault="00DB60CE" w:rsidP="00DB60CE">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0DAF8B60" w14:textId="0821E832" w:rsidR="00DB60CE" w:rsidRDefault="00DB60CE" w:rsidP="00DB60CE">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22829654" w14:textId="54DEF320" w:rsidR="00DB60CE" w:rsidRDefault="00DB60CE" w:rsidP="00DB60CE">
            <w:pPr>
              <w:widowControl w:val="0"/>
              <w:autoSpaceDE w:val="0"/>
              <w:autoSpaceDN w:val="0"/>
              <w:adjustRightInd w:val="0"/>
              <w:spacing w:line="240" w:lineRule="auto"/>
              <w:jc w:val="center"/>
              <w:rPr>
                <w:rFonts w:cs="Times New Roman"/>
                <w:szCs w:val="24"/>
              </w:rPr>
            </w:pPr>
          </w:p>
        </w:tc>
        <w:tc>
          <w:tcPr>
            <w:tcW w:w="1247" w:type="dxa"/>
            <w:tcBorders>
              <w:bottom w:val="single" w:sz="4" w:space="0" w:color="auto"/>
            </w:tcBorders>
          </w:tcPr>
          <w:p w14:paraId="06CDCDB1" w14:textId="40B0F655"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(0.020)</w:t>
            </w:r>
          </w:p>
        </w:tc>
      </w:tr>
      <w:tr w:rsidR="00DB60CE" w:rsidRPr="0095351A" w14:paraId="5E626401" w14:textId="77777777" w:rsidTr="005510E8">
        <w:tc>
          <w:tcPr>
            <w:tcW w:w="2410" w:type="dxa"/>
            <w:tcBorders>
              <w:top w:val="single" w:sz="4" w:space="0" w:color="auto"/>
              <w:bottom w:val="nil"/>
            </w:tcBorders>
          </w:tcPr>
          <w:p w14:paraId="037688FF" w14:textId="77777777" w:rsidR="00DB60CE" w:rsidRPr="0095351A" w:rsidRDefault="00DB60CE" w:rsidP="00DB60CE">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247" w:type="dxa"/>
            <w:tcBorders>
              <w:top w:val="single" w:sz="4" w:space="0" w:color="auto"/>
              <w:bottom w:val="nil"/>
            </w:tcBorders>
          </w:tcPr>
          <w:p w14:paraId="757262F8" w14:textId="51D167E3" w:rsidR="00DB60CE" w:rsidRPr="0095351A" w:rsidRDefault="00DB60CE" w:rsidP="00DB60CE">
            <w:pPr>
              <w:widowControl w:val="0"/>
              <w:autoSpaceDE w:val="0"/>
              <w:autoSpaceDN w:val="0"/>
              <w:adjustRightInd w:val="0"/>
              <w:spacing w:line="240" w:lineRule="auto"/>
              <w:jc w:val="center"/>
              <w:rPr>
                <w:rFonts w:cs="Times New Roman"/>
                <w:szCs w:val="24"/>
                <w:lang w:val="en-GB"/>
              </w:rPr>
            </w:pPr>
            <w:r>
              <w:rPr>
                <w:rFonts w:cs="Times New Roman"/>
                <w:szCs w:val="24"/>
              </w:rPr>
              <w:t>128,146</w:t>
            </w:r>
          </w:p>
        </w:tc>
        <w:tc>
          <w:tcPr>
            <w:tcW w:w="1247" w:type="dxa"/>
            <w:tcBorders>
              <w:top w:val="single" w:sz="4" w:space="0" w:color="auto"/>
              <w:bottom w:val="nil"/>
            </w:tcBorders>
          </w:tcPr>
          <w:p w14:paraId="404BB71C" w14:textId="698B54FE" w:rsidR="00DB60CE" w:rsidRPr="0095351A" w:rsidRDefault="00DB60CE" w:rsidP="00DB60CE">
            <w:pPr>
              <w:widowControl w:val="0"/>
              <w:autoSpaceDE w:val="0"/>
              <w:autoSpaceDN w:val="0"/>
              <w:adjustRightInd w:val="0"/>
              <w:spacing w:line="240" w:lineRule="auto"/>
              <w:jc w:val="center"/>
              <w:rPr>
                <w:rFonts w:cs="Times New Roman"/>
                <w:szCs w:val="24"/>
                <w:lang w:val="en-GB"/>
              </w:rPr>
            </w:pPr>
            <w:r>
              <w:rPr>
                <w:rFonts w:cs="Times New Roman"/>
                <w:szCs w:val="24"/>
              </w:rPr>
              <w:t>132,867</w:t>
            </w:r>
          </w:p>
        </w:tc>
        <w:tc>
          <w:tcPr>
            <w:tcW w:w="1247" w:type="dxa"/>
            <w:tcBorders>
              <w:top w:val="single" w:sz="4" w:space="0" w:color="auto"/>
              <w:bottom w:val="nil"/>
            </w:tcBorders>
          </w:tcPr>
          <w:p w14:paraId="33BC801E" w14:textId="214872D6" w:rsidR="00DB60CE" w:rsidRPr="0095351A" w:rsidRDefault="00DB60CE" w:rsidP="00DB60CE">
            <w:pPr>
              <w:widowControl w:val="0"/>
              <w:autoSpaceDE w:val="0"/>
              <w:autoSpaceDN w:val="0"/>
              <w:adjustRightInd w:val="0"/>
              <w:spacing w:line="240" w:lineRule="auto"/>
              <w:jc w:val="center"/>
              <w:rPr>
                <w:rFonts w:cs="Times New Roman"/>
                <w:szCs w:val="24"/>
                <w:lang w:val="en-GB"/>
              </w:rPr>
            </w:pPr>
            <w:r>
              <w:rPr>
                <w:rFonts w:cs="Times New Roman"/>
                <w:szCs w:val="24"/>
              </w:rPr>
              <w:t>128,350</w:t>
            </w:r>
          </w:p>
        </w:tc>
        <w:tc>
          <w:tcPr>
            <w:tcW w:w="1247" w:type="dxa"/>
            <w:tcBorders>
              <w:top w:val="single" w:sz="4" w:space="0" w:color="auto"/>
              <w:bottom w:val="nil"/>
            </w:tcBorders>
          </w:tcPr>
          <w:p w14:paraId="618BDBA8" w14:textId="736A380F" w:rsidR="00DB60CE" w:rsidRPr="0095351A" w:rsidRDefault="00DB60CE" w:rsidP="00DB60CE">
            <w:pPr>
              <w:widowControl w:val="0"/>
              <w:autoSpaceDE w:val="0"/>
              <w:autoSpaceDN w:val="0"/>
              <w:adjustRightInd w:val="0"/>
              <w:spacing w:line="240" w:lineRule="auto"/>
              <w:jc w:val="center"/>
              <w:rPr>
                <w:rFonts w:cs="Times New Roman"/>
                <w:szCs w:val="24"/>
                <w:lang w:val="en-GB"/>
              </w:rPr>
            </w:pPr>
            <w:r>
              <w:rPr>
                <w:rFonts w:cs="Times New Roman"/>
                <w:szCs w:val="24"/>
              </w:rPr>
              <w:t>128,146</w:t>
            </w:r>
          </w:p>
        </w:tc>
        <w:tc>
          <w:tcPr>
            <w:tcW w:w="1247" w:type="dxa"/>
            <w:tcBorders>
              <w:top w:val="single" w:sz="4" w:space="0" w:color="auto"/>
              <w:bottom w:val="nil"/>
            </w:tcBorders>
          </w:tcPr>
          <w:p w14:paraId="4D76B74A" w14:textId="4CF579C1"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128,357</w:t>
            </w:r>
          </w:p>
        </w:tc>
      </w:tr>
      <w:tr w:rsidR="00DB60CE" w:rsidRPr="0095351A" w14:paraId="4EB4363D" w14:textId="77777777" w:rsidTr="005510E8">
        <w:tc>
          <w:tcPr>
            <w:tcW w:w="2410" w:type="dxa"/>
          </w:tcPr>
          <w:p w14:paraId="7FA35732" w14:textId="77777777" w:rsidR="00DB60CE" w:rsidRPr="0095351A" w:rsidRDefault="00DB60CE" w:rsidP="00DB60CE">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/LL</w:t>
            </w:r>
          </w:p>
        </w:tc>
        <w:tc>
          <w:tcPr>
            <w:tcW w:w="1247" w:type="dxa"/>
          </w:tcPr>
          <w:p w14:paraId="38551B64" w14:textId="004CC6F2" w:rsidR="00DB60CE" w:rsidRPr="0095351A" w:rsidRDefault="00DB60CE" w:rsidP="00DB60CE">
            <w:pPr>
              <w:widowControl w:val="0"/>
              <w:autoSpaceDE w:val="0"/>
              <w:autoSpaceDN w:val="0"/>
              <w:adjustRightInd w:val="0"/>
              <w:spacing w:line="240" w:lineRule="auto"/>
              <w:jc w:val="center"/>
              <w:rPr>
                <w:rFonts w:cs="Times New Roman"/>
                <w:szCs w:val="24"/>
                <w:lang w:val="en-GB"/>
              </w:rPr>
            </w:pPr>
            <w:r>
              <w:rPr>
                <w:rFonts w:cs="Times New Roman"/>
                <w:szCs w:val="24"/>
              </w:rPr>
              <w:t>0.0212</w:t>
            </w:r>
          </w:p>
        </w:tc>
        <w:tc>
          <w:tcPr>
            <w:tcW w:w="1247" w:type="dxa"/>
          </w:tcPr>
          <w:p w14:paraId="3408997B" w14:textId="1C78DF9F" w:rsidR="00DB60CE" w:rsidRPr="0095351A" w:rsidRDefault="00DB60CE" w:rsidP="00DB60CE">
            <w:pPr>
              <w:widowControl w:val="0"/>
              <w:autoSpaceDE w:val="0"/>
              <w:autoSpaceDN w:val="0"/>
              <w:adjustRightInd w:val="0"/>
              <w:spacing w:line="240" w:lineRule="auto"/>
              <w:jc w:val="center"/>
              <w:rPr>
                <w:rFonts w:cs="Times New Roman"/>
                <w:szCs w:val="24"/>
                <w:lang w:val="en-GB"/>
              </w:rPr>
            </w:pPr>
            <w:r>
              <w:rPr>
                <w:rFonts w:cs="Times New Roman"/>
                <w:szCs w:val="24"/>
              </w:rPr>
              <w:t>0.0197</w:t>
            </w:r>
          </w:p>
        </w:tc>
        <w:tc>
          <w:tcPr>
            <w:tcW w:w="1247" w:type="dxa"/>
          </w:tcPr>
          <w:p w14:paraId="48F4C878" w14:textId="6427A8F5" w:rsidR="00DB60CE" w:rsidRPr="0095351A" w:rsidRDefault="00DB60CE" w:rsidP="00DB60CE">
            <w:pPr>
              <w:widowControl w:val="0"/>
              <w:autoSpaceDE w:val="0"/>
              <w:autoSpaceDN w:val="0"/>
              <w:adjustRightInd w:val="0"/>
              <w:spacing w:line="240" w:lineRule="auto"/>
              <w:jc w:val="center"/>
              <w:rPr>
                <w:rFonts w:cs="Times New Roman"/>
                <w:szCs w:val="24"/>
                <w:lang w:val="en-GB"/>
              </w:rPr>
            </w:pPr>
            <w:r>
              <w:rPr>
                <w:rFonts w:cs="Times New Roman"/>
                <w:szCs w:val="24"/>
              </w:rPr>
              <w:t>0.0348</w:t>
            </w:r>
          </w:p>
        </w:tc>
        <w:tc>
          <w:tcPr>
            <w:tcW w:w="1247" w:type="dxa"/>
          </w:tcPr>
          <w:p w14:paraId="71BB73B0" w14:textId="6089B131" w:rsidR="00DB60CE" w:rsidRPr="0095351A" w:rsidRDefault="00DB60CE" w:rsidP="00DB60CE">
            <w:pPr>
              <w:widowControl w:val="0"/>
              <w:autoSpaceDE w:val="0"/>
              <w:autoSpaceDN w:val="0"/>
              <w:adjustRightInd w:val="0"/>
              <w:spacing w:line="240" w:lineRule="auto"/>
              <w:jc w:val="center"/>
              <w:rPr>
                <w:rFonts w:cs="Times New Roman"/>
                <w:szCs w:val="24"/>
                <w:lang w:val="en-GB"/>
              </w:rPr>
            </w:pPr>
            <w:r>
              <w:rPr>
                <w:rFonts w:cs="Times New Roman"/>
                <w:szCs w:val="24"/>
              </w:rPr>
              <w:t>0.0177</w:t>
            </w:r>
          </w:p>
        </w:tc>
        <w:tc>
          <w:tcPr>
            <w:tcW w:w="1247" w:type="dxa"/>
          </w:tcPr>
          <w:p w14:paraId="3F522DCF" w14:textId="16CE4780" w:rsidR="00DB60CE" w:rsidRDefault="00DB60CE" w:rsidP="00DB60CE">
            <w:pPr>
              <w:widowControl w:val="0"/>
              <w:autoSpaceDE w:val="0"/>
              <w:autoSpaceDN w:val="0"/>
              <w:adjustRightInd w:val="0"/>
              <w:spacing w:line="240" w:lineRule="auto"/>
              <w:jc w:val="center"/>
              <w:rPr>
                <w:rFonts w:cs="Times New Roman"/>
                <w:szCs w:val="24"/>
              </w:rPr>
            </w:pPr>
            <w:r>
              <w:rPr>
                <w:rFonts w:cs="Times New Roman"/>
                <w:szCs w:val="24"/>
              </w:rPr>
              <w:t>80848</w:t>
            </w:r>
          </w:p>
        </w:tc>
      </w:tr>
    </w:tbl>
    <w:p w14:paraId="7291AC68" w14:textId="5B601F9C" w:rsidR="005510E8" w:rsidRDefault="005510E8" w:rsidP="005510E8">
      <w:pPr>
        <w:pStyle w:val="FlietextFolge"/>
        <w:ind w:left="284" w:firstLine="0"/>
      </w:pPr>
      <w:r w:rsidRPr="0095351A">
        <w:t>Standard errors in parentheses</w:t>
      </w:r>
      <w:r>
        <w:t xml:space="preserve">; </w:t>
      </w:r>
      <w:r w:rsidRPr="0095351A">
        <w:t>*** p&lt;0.01, ** p&lt;0.05, * p&lt;0.1</w:t>
      </w:r>
      <w:r>
        <w:t xml:space="preserve">; the four estimation models are defined in </w:t>
      </w:r>
      <w:r>
        <w:fldChar w:fldCharType="begin"/>
      </w:r>
      <w:r>
        <w:instrText xml:space="preserve"> REF _Ref447293539 \h </w:instrText>
      </w:r>
      <w:r>
        <w:fldChar w:fldCharType="separate"/>
      </w:r>
      <w:r w:rsidR="00886B31">
        <w:t xml:space="preserve">Table </w:t>
      </w:r>
      <w:r w:rsidR="00886B31">
        <w:rPr>
          <w:noProof/>
        </w:rPr>
        <w:t>1</w:t>
      </w:r>
      <w:r>
        <w:fldChar w:fldCharType="end"/>
      </w:r>
      <w:r>
        <w:t>.</w:t>
      </w:r>
    </w:p>
    <w:p w14:paraId="0C5A8679" w14:textId="77777777" w:rsidR="00F52EA0" w:rsidRPr="00757B22" w:rsidRDefault="00F52EA0" w:rsidP="003F3100">
      <w:pPr>
        <w:spacing w:line="360" w:lineRule="auto"/>
        <w:ind w:left="18"/>
        <w:jc w:val="left"/>
        <w:rPr>
          <w:rFonts w:cs="Times New Roman"/>
          <w:szCs w:val="24"/>
        </w:rPr>
      </w:pPr>
    </w:p>
    <w:p w14:paraId="4A4E6B0A" w14:textId="3E38F5A1" w:rsidR="005F6015" w:rsidRPr="0011694C" w:rsidRDefault="005F6015" w:rsidP="00D014D3">
      <w:pPr>
        <w:pStyle w:val="Heading2"/>
        <w:tabs>
          <w:tab w:val="clear" w:pos="1021"/>
        </w:tabs>
        <w:spacing w:before="120" w:after="120" w:line="360" w:lineRule="auto"/>
        <w:ind w:left="567" w:hanging="567"/>
      </w:pPr>
      <w:bookmarkStart w:id="38" w:name="_Ref520993623"/>
      <w:r w:rsidRPr="0011694C">
        <w:t>US-Japan market</w:t>
      </w:r>
      <w:bookmarkEnd w:id="38"/>
    </w:p>
    <w:p w14:paraId="0495033E" w14:textId="7A6C95B3" w:rsidR="00D40D60" w:rsidRDefault="001C25EF" w:rsidP="006C4ECD">
      <w:pPr>
        <w:spacing w:line="360" w:lineRule="auto"/>
        <w:ind w:left="18"/>
      </w:pPr>
      <w:r>
        <w:t>Japan Airlines bankruptcy covered the period between January 2010 and March 2011.</w:t>
      </w:r>
      <w:r w:rsidR="000635EA">
        <w:t xml:space="preserve"> This allows us to explore the robustness of our results in international markets. </w:t>
      </w:r>
      <w:r w:rsidR="00D40D60" w:rsidRPr="00D40D60">
        <w:t xml:space="preserve">Incorporating </w:t>
      </w:r>
      <w:r w:rsidR="00D40D60">
        <w:t xml:space="preserve">the US-Japan markets in our analysis revealed a combined fare decrease of </w:t>
      </w:r>
      <w:r w:rsidR="004B2F0D">
        <w:t>about</w:t>
      </w:r>
      <w:r w:rsidR="00D40D60">
        <w:t xml:space="preserve"> 20% in international markets by the bankrupt carrier, a drop which increase</w:t>
      </w:r>
      <w:r w:rsidR="004B2F0D">
        <w:t>s</w:t>
      </w:r>
      <w:r w:rsidR="00D40D60">
        <w:t xml:space="preserve"> to a cumulative of about </w:t>
      </w:r>
      <w:r w:rsidR="004B2F0D">
        <w:t>30</w:t>
      </w:r>
      <w:r w:rsidR="00D40D60">
        <w:t>% in post-bankruptcy period</w:t>
      </w:r>
      <w:r w:rsidR="00CA3628">
        <w:t xml:space="preserve"> (</w:t>
      </w:r>
      <w:r w:rsidR="00CA3628">
        <w:fldChar w:fldCharType="begin"/>
      </w:r>
      <w:r w:rsidR="00CA3628">
        <w:instrText xml:space="preserve"> REF _Ref529871484 \h </w:instrText>
      </w:r>
      <w:r w:rsidR="00CA3628">
        <w:fldChar w:fldCharType="separate"/>
      </w:r>
      <w:r w:rsidR="00CA3628">
        <w:t xml:space="preserve">Table </w:t>
      </w:r>
      <w:r w:rsidR="00CA3628">
        <w:rPr>
          <w:noProof/>
        </w:rPr>
        <w:t>8</w:t>
      </w:r>
      <w:r w:rsidR="00CA3628">
        <w:fldChar w:fldCharType="end"/>
      </w:r>
      <w:r w:rsidR="00CA3628">
        <w:t>)</w:t>
      </w:r>
      <w:r w:rsidR="00D40D60">
        <w:t xml:space="preserve">. The competing carriers in international markets drop their fares as well in both bankruptcy and post-bankruptcy periods. </w:t>
      </w:r>
    </w:p>
    <w:p w14:paraId="4A8D2B65" w14:textId="422BF20A" w:rsidR="00C83D74" w:rsidRDefault="00D40D60" w:rsidP="00481FDB">
      <w:pPr>
        <w:pStyle w:val="FlietextFolge"/>
        <w:spacing w:line="360" w:lineRule="auto"/>
        <w:ind w:firstLine="288"/>
      </w:pPr>
      <w:r>
        <w:t xml:space="preserve">The change in magnitude suggests different effects in US-EU and US-Japan markets. </w:t>
      </w:r>
      <w:r w:rsidR="00283448">
        <w:t>This necessitates a close</w:t>
      </w:r>
      <w:r w:rsidR="00E865E3">
        <w:t>r</w:t>
      </w:r>
      <w:r w:rsidR="00283448">
        <w:t xml:space="preserve"> look at those two different markets. </w:t>
      </w:r>
      <w:r w:rsidR="006B5C11">
        <w:t xml:space="preserve">To that end, we introduce a set of interaction terms between the bankruptcy variables and a dummy for US-Japan markets. The result of this estimation is provided in column 5. </w:t>
      </w:r>
      <w:r w:rsidR="00E865E3">
        <w:t xml:space="preserve">Indeed, in </w:t>
      </w:r>
      <w:r w:rsidR="00481FDB">
        <w:t xml:space="preserve">those two international </w:t>
      </w:r>
      <w:r w:rsidR="00E865E3">
        <w:t>market</w:t>
      </w:r>
      <w:r w:rsidR="00481FDB">
        <w:t xml:space="preserve"> types </w:t>
      </w:r>
      <w:r w:rsidR="00E865E3">
        <w:t xml:space="preserve">the magnitude </w:t>
      </w:r>
      <w:proofErr w:type="gramStart"/>
      <w:r w:rsidR="00E865E3">
        <w:t>drop</w:t>
      </w:r>
      <w:proofErr w:type="gramEnd"/>
      <w:r w:rsidR="00E865E3">
        <w:t xml:space="preserve"> in prices by the bankrupt and competing carriers differ quite a bit. </w:t>
      </w:r>
      <w:r w:rsidR="00481FDB">
        <w:t xml:space="preserve">Noticing that the coefficient of </w:t>
      </w:r>
      <m:oMath>
        <m:sSub>
          <m:sSubPr>
            <m:ctrlPr>
              <w:rPr>
                <w:rFonts w:ascii="Cambria Math" w:hAnsi="Cambria Math"/>
              </w:rPr>
            </m:ctrlPr>
          </m:sSubPr>
          <m:e>
            <m:r>
              <w:rPr>
                <w:rFonts w:ascii="Cambria Math" w:hAnsi="Cambria Math"/>
              </w:rPr>
              <m:t>α</m:t>
            </m:r>
          </m:e>
          <m:sub>
            <m:r>
              <w:rPr>
                <w:rFonts w:ascii="Cambria Math" w:hAnsi="Cambria Math"/>
              </w:rPr>
              <m:t>ownintjap</m:t>
            </m:r>
          </m:sub>
        </m:sSub>
      </m:oMath>
      <w:r w:rsidR="00481FDB">
        <w:t xml:space="preserve"> is 0.</w:t>
      </w:r>
      <w:r w:rsidR="00813224">
        <w:t>383</w:t>
      </w:r>
      <w:r w:rsidR="00481FDB">
        <w:t xml:space="preserve"> which almost </w:t>
      </w:r>
      <w:r w:rsidR="00481FDB">
        <w:lastRenderedPageBreak/>
        <w:t xml:space="preserve">eradicates the fare drop implied by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r w:rsidR="00481FDB">
        <w:t>, which equals -0.475. That is, while in US-EU markets the bankrupt carrier drops prices by about 40%, in US-Japan the drop shrinks to about 1</w:t>
      </w:r>
      <w:r w:rsidR="00813224">
        <w:t>3</w:t>
      </w:r>
      <w:r w:rsidR="00481FDB">
        <w:t>%</w:t>
      </w:r>
      <w:r w:rsidR="00813224">
        <w:t xml:space="preserve"> (=1-</w:t>
      </w:r>
      <w:proofErr w:type="gramStart"/>
      <w:r w:rsidR="00813224">
        <w:t>exp(</w:t>
      </w:r>
      <w:proofErr w:type="gramEnd"/>
      <w:r w:rsidR="00813224">
        <w:t>-0.050-0.475+0.383))</w:t>
      </w:r>
      <w:r w:rsidR="00481FDB">
        <w:t xml:space="preserve">. Interestingly, in US-Japan the competing carriers increase their fares (by about 5%). Overall, it suggests that different dynamics are in place for the different </w:t>
      </w:r>
      <w:r w:rsidR="00A97061">
        <w:t>international</w:t>
      </w:r>
      <w:r w:rsidR="00481FDB">
        <w:t xml:space="preserve"> markets. It could be driven by the fact that Japan offers a similar bankruptcy protection process or that in our specific timeframe this market has experienced </w:t>
      </w:r>
      <w:r w:rsidR="00565B1F">
        <w:t>consecutive bankruptcies by JAL and AA</w:t>
      </w:r>
      <w:r w:rsidR="006C4ECD" w:rsidRPr="006C4ECD">
        <w:t xml:space="preserve"> </w:t>
      </w:r>
      <w:r w:rsidR="006C4ECD">
        <w:t>or that both belong to the same alliance (</w:t>
      </w:r>
      <w:proofErr w:type="spellStart"/>
      <w:r w:rsidR="006C4ECD">
        <w:t>Oneworld</w:t>
      </w:r>
      <w:proofErr w:type="spellEnd"/>
      <w:r w:rsidR="006C4ECD">
        <w:t>)</w:t>
      </w:r>
      <w:r w:rsidR="00565B1F">
        <w:t xml:space="preserve">. </w:t>
      </w:r>
    </w:p>
    <w:p w14:paraId="33A60E96" w14:textId="77777777" w:rsidR="00D40D60" w:rsidRPr="00D40D60" w:rsidRDefault="00D40D60" w:rsidP="00D40D60">
      <w:pPr>
        <w:pStyle w:val="FlietextFolge"/>
        <w:spacing w:line="360" w:lineRule="auto"/>
        <w:ind w:firstLine="288"/>
      </w:pPr>
    </w:p>
    <w:p w14:paraId="5C428B5D" w14:textId="2AF14665" w:rsidR="007C4F1E" w:rsidRDefault="007C4F1E" w:rsidP="007C4F1E">
      <w:pPr>
        <w:pStyle w:val="Caption"/>
        <w:keepNext/>
      </w:pPr>
      <w:bookmarkStart w:id="39" w:name="_Ref529871484"/>
      <w:r>
        <w:lastRenderedPageBreak/>
        <w:t xml:space="preserve">Table </w:t>
      </w:r>
      <w:r>
        <w:fldChar w:fldCharType="begin"/>
      </w:r>
      <w:r>
        <w:instrText xml:space="preserve"> SEQ Table \* ARABIC </w:instrText>
      </w:r>
      <w:r>
        <w:fldChar w:fldCharType="separate"/>
      </w:r>
      <w:r w:rsidR="00886B31">
        <w:rPr>
          <w:noProof/>
        </w:rPr>
        <w:t>8</w:t>
      </w:r>
      <w:r>
        <w:fldChar w:fldCharType="end"/>
      </w:r>
      <w:bookmarkEnd w:id="39"/>
      <w:r>
        <w:t>: Effects of Chapter 11 filings on prices in US domestic</w:t>
      </w:r>
      <w:r w:rsidR="00D357A0">
        <w:t>,</w:t>
      </w:r>
      <w:r>
        <w:t xml:space="preserve"> </w:t>
      </w:r>
      <w:r w:rsidR="00D357A0">
        <w:t>US-EU and US-Japan</w:t>
      </w:r>
      <w:r>
        <w:t xml:space="preserve"> markets (dependent variable ln </w:t>
      </w:r>
      <m:oMath>
        <m:sSub>
          <m:sSubPr>
            <m:ctrlPr>
              <w:rPr>
                <w:rFonts w:ascii="Cambria Math" w:hAnsi="Cambria Math"/>
              </w:rPr>
            </m:ctrlPr>
          </m:sSubPr>
          <m:e>
            <m:r>
              <w:rPr>
                <w:rFonts w:ascii="Cambria Math" w:hAnsi="Cambria Math"/>
              </w:rPr>
              <m:t>P</m:t>
            </m:r>
          </m:e>
          <m:sub>
            <m:r>
              <w:rPr>
                <w:rFonts w:ascii="Cambria Math" w:hAnsi="Cambria Math"/>
              </w:rPr>
              <m:t>crt</m:t>
            </m:r>
          </m:sub>
        </m:sSub>
      </m:oMath>
      <w:r>
        <w:t>),</w:t>
      </w:r>
      <w:r w:rsidRPr="002B0AF4">
        <w:t xml:space="preserve"> </w:t>
      </w:r>
      <w:r>
        <w:t>routes covering 50% of total traffic</w:t>
      </w:r>
    </w:p>
    <w:tbl>
      <w:tblPr>
        <w:tblStyle w:val="HelleSchattierung-Akzent11"/>
        <w:tblW w:w="8596" w:type="dxa"/>
        <w:tblLayout w:type="fixed"/>
        <w:tblLook w:val="0600" w:firstRow="0" w:lastRow="0" w:firstColumn="0" w:lastColumn="0" w:noHBand="1" w:noVBand="1"/>
      </w:tblPr>
      <w:tblGrid>
        <w:gridCol w:w="1531"/>
        <w:gridCol w:w="1413"/>
        <w:gridCol w:w="1413"/>
        <w:gridCol w:w="1413"/>
        <w:gridCol w:w="1413"/>
        <w:gridCol w:w="1413"/>
      </w:tblGrid>
      <w:tr w:rsidR="006B5C11" w:rsidRPr="0095351A" w14:paraId="2F950146" w14:textId="3612A071" w:rsidTr="006135EA">
        <w:tc>
          <w:tcPr>
            <w:tcW w:w="1531" w:type="dxa"/>
            <w:tcBorders>
              <w:top w:val="single" w:sz="8" w:space="0" w:color="000000" w:themeColor="text1"/>
              <w:bottom w:val="single" w:sz="4" w:space="0" w:color="auto"/>
            </w:tcBorders>
          </w:tcPr>
          <w:p w14:paraId="7FE96132" w14:textId="77777777" w:rsidR="006B5C11" w:rsidRPr="0095351A" w:rsidRDefault="006B5C11" w:rsidP="00283448">
            <w:pPr>
              <w:widowControl w:val="0"/>
              <w:autoSpaceDE w:val="0"/>
              <w:autoSpaceDN w:val="0"/>
              <w:adjustRightInd w:val="0"/>
              <w:spacing w:line="240" w:lineRule="auto"/>
              <w:rPr>
                <w:rFonts w:cs="Times New Roman"/>
                <w:szCs w:val="24"/>
                <w:lang w:val="en-GB"/>
              </w:rPr>
            </w:pPr>
          </w:p>
        </w:tc>
        <w:tc>
          <w:tcPr>
            <w:tcW w:w="1413" w:type="dxa"/>
            <w:tcBorders>
              <w:top w:val="single" w:sz="8" w:space="0" w:color="000000" w:themeColor="text1"/>
              <w:bottom w:val="single" w:sz="4" w:space="0" w:color="auto"/>
            </w:tcBorders>
          </w:tcPr>
          <w:p w14:paraId="3742C961" w14:textId="77777777" w:rsidR="006B5C11" w:rsidRPr="0095351A" w:rsidRDefault="006B5C11" w:rsidP="0028344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413" w:type="dxa"/>
            <w:tcBorders>
              <w:top w:val="single" w:sz="8" w:space="0" w:color="000000" w:themeColor="text1"/>
              <w:bottom w:val="single" w:sz="4" w:space="0" w:color="auto"/>
            </w:tcBorders>
          </w:tcPr>
          <w:p w14:paraId="18345ECA" w14:textId="77777777" w:rsidR="006B5C11" w:rsidRPr="0095351A" w:rsidRDefault="006B5C11" w:rsidP="0028344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413" w:type="dxa"/>
            <w:tcBorders>
              <w:top w:val="single" w:sz="8" w:space="0" w:color="000000" w:themeColor="text1"/>
              <w:bottom w:val="single" w:sz="4" w:space="0" w:color="auto"/>
            </w:tcBorders>
          </w:tcPr>
          <w:p w14:paraId="2C2528FA" w14:textId="77777777" w:rsidR="006B5C11" w:rsidRPr="0095351A" w:rsidRDefault="006B5C11" w:rsidP="00283448">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413" w:type="dxa"/>
            <w:tcBorders>
              <w:top w:val="single" w:sz="8" w:space="0" w:color="000000" w:themeColor="text1"/>
              <w:bottom w:val="single" w:sz="4" w:space="0" w:color="auto"/>
            </w:tcBorders>
          </w:tcPr>
          <w:p w14:paraId="28A1BE23" w14:textId="77777777" w:rsidR="006B5C11" w:rsidRPr="0095351A" w:rsidRDefault="006B5C11" w:rsidP="00283448">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413" w:type="dxa"/>
            <w:tcBorders>
              <w:top w:val="single" w:sz="8" w:space="0" w:color="000000" w:themeColor="text1"/>
              <w:bottom w:val="single" w:sz="4" w:space="0" w:color="auto"/>
            </w:tcBorders>
          </w:tcPr>
          <w:p w14:paraId="60080AD9" w14:textId="77777777" w:rsidR="006B5C11" w:rsidRDefault="006B5C11" w:rsidP="00283448">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813224" w:rsidRPr="0095351A" w14:paraId="6E7DEC48" w14:textId="72990537" w:rsidTr="006135EA">
        <w:tc>
          <w:tcPr>
            <w:tcW w:w="1531" w:type="dxa"/>
            <w:tcBorders>
              <w:top w:val="single" w:sz="4" w:space="0" w:color="auto"/>
            </w:tcBorders>
            <w:vAlign w:val="center"/>
          </w:tcPr>
          <w:p w14:paraId="025E9720" w14:textId="349BF26C" w:rsidR="00813224" w:rsidRPr="0095351A" w:rsidRDefault="00813224" w:rsidP="0081322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413" w:type="dxa"/>
            <w:tcBorders>
              <w:top w:val="single" w:sz="4" w:space="0" w:color="auto"/>
            </w:tcBorders>
          </w:tcPr>
          <w:p w14:paraId="01D85F0D" w14:textId="1C9AC152"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-0.049***</w:t>
            </w:r>
          </w:p>
        </w:tc>
        <w:tc>
          <w:tcPr>
            <w:tcW w:w="1413" w:type="dxa"/>
            <w:tcBorders>
              <w:top w:val="single" w:sz="4" w:space="0" w:color="auto"/>
            </w:tcBorders>
          </w:tcPr>
          <w:p w14:paraId="64C32095" w14:textId="6112EDB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-0.048***</w:t>
            </w:r>
          </w:p>
        </w:tc>
        <w:tc>
          <w:tcPr>
            <w:tcW w:w="1413" w:type="dxa"/>
            <w:tcBorders>
              <w:top w:val="single" w:sz="4" w:space="0" w:color="auto"/>
            </w:tcBorders>
          </w:tcPr>
          <w:p w14:paraId="2CC5E112" w14:textId="6AB66B6C"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-0.062***</w:t>
            </w:r>
          </w:p>
        </w:tc>
        <w:tc>
          <w:tcPr>
            <w:tcW w:w="1413" w:type="dxa"/>
            <w:tcBorders>
              <w:top w:val="single" w:sz="4" w:space="0" w:color="auto"/>
            </w:tcBorders>
          </w:tcPr>
          <w:p w14:paraId="3E5845C8" w14:textId="155DAB3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-0.045***</w:t>
            </w:r>
          </w:p>
        </w:tc>
        <w:tc>
          <w:tcPr>
            <w:tcW w:w="1413" w:type="dxa"/>
            <w:tcBorders>
              <w:top w:val="single" w:sz="4" w:space="0" w:color="auto"/>
            </w:tcBorders>
          </w:tcPr>
          <w:p w14:paraId="5B79E61E" w14:textId="6C0B4BA3"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-0.050***</w:t>
            </w:r>
          </w:p>
        </w:tc>
      </w:tr>
      <w:tr w:rsidR="00813224" w:rsidRPr="0095351A" w14:paraId="21214197" w14:textId="47C9A4C1" w:rsidTr="006135EA">
        <w:tc>
          <w:tcPr>
            <w:tcW w:w="1531" w:type="dxa"/>
            <w:vAlign w:val="center"/>
          </w:tcPr>
          <w:p w14:paraId="6FDE68C2"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4265DC2D" w14:textId="24AAA76F"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c>
          <w:tcPr>
            <w:tcW w:w="1413" w:type="dxa"/>
          </w:tcPr>
          <w:p w14:paraId="58BC945F" w14:textId="307FE139"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c>
          <w:tcPr>
            <w:tcW w:w="1413" w:type="dxa"/>
          </w:tcPr>
          <w:p w14:paraId="5594DB2D" w14:textId="78D40597"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c>
          <w:tcPr>
            <w:tcW w:w="1413" w:type="dxa"/>
          </w:tcPr>
          <w:p w14:paraId="4AA91EF2" w14:textId="63C74755"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c>
          <w:tcPr>
            <w:tcW w:w="1413" w:type="dxa"/>
          </w:tcPr>
          <w:p w14:paraId="5514FC56" w14:textId="32C9FCCA"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r>
      <w:tr w:rsidR="00813224" w:rsidRPr="0095351A" w14:paraId="5ADF84B5" w14:textId="4332C0A0" w:rsidTr="006135EA">
        <w:tc>
          <w:tcPr>
            <w:tcW w:w="1531" w:type="dxa"/>
            <w:vAlign w:val="center"/>
          </w:tcPr>
          <w:p w14:paraId="13DE093D" w14:textId="7401F4C9" w:rsidR="00813224" w:rsidRPr="0095351A" w:rsidRDefault="00813224" w:rsidP="00813224">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413" w:type="dxa"/>
          </w:tcPr>
          <w:p w14:paraId="4815124C" w14:textId="61059D85"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0.021***</w:t>
            </w:r>
          </w:p>
        </w:tc>
        <w:tc>
          <w:tcPr>
            <w:tcW w:w="1413" w:type="dxa"/>
          </w:tcPr>
          <w:p w14:paraId="6B6BBCBB" w14:textId="4AFC662F"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0.020***</w:t>
            </w:r>
          </w:p>
        </w:tc>
        <w:tc>
          <w:tcPr>
            <w:tcW w:w="1413" w:type="dxa"/>
          </w:tcPr>
          <w:p w14:paraId="1F344AF2" w14:textId="35F8557A"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0.023***</w:t>
            </w:r>
          </w:p>
        </w:tc>
        <w:tc>
          <w:tcPr>
            <w:tcW w:w="1413" w:type="dxa"/>
          </w:tcPr>
          <w:p w14:paraId="342BE6E1" w14:textId="32197C62"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0.020***</w:t>
            </w:r>
          </w:p>
        </w:tc>
        <w:tc>
          <w:tcPr>
            <w:tcW w:w="1413" w:type="dxa"/>
          </w:tcPr>
          <w:p w14:paraId="13450BB9" w14:textId="344AEA0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0.021***</w:t>
            </w:r>
          </w:p>
        </w:tc>
      </w:tr>
      <w:tr w:rsidR="00813224" w:rsidRPr="0095351A" w14:paraId="7BB909F7" w14:textId="67E50EC4" w:rsidTr="006135EA">
        <w:tc>
          <w:tcPr>
            <w:tcW w:w="1531" w:type="dxa"/>
            <w:vAlign w:val="center"/>
          </w:tcPr>
          <w:p w14:paraId="4BF2FF0D"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442F73C2" w14:textId="49D861D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c>
          <w:tcPr>
            <w:tcW w:w="1413" w:type="dxa"/>
          </w:tcPr>
          <w:p w14:paraId="6B78B1BD" w14:textId="3643909B"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c>
          <w:tcPr>
            <w:tcW w:w="1413" w:type="dxa"/>
          </w:tcPr>
          <w:p w14:paraId="10479ED1" w14:textId="3ED81399"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c>
          <w:tcPr>
            <w:tcW w:w="1413" w:type="dxa"/>
          </w:tcPr>
          <w:p w14:paraId="26A474D8" w14:textId="4FFB466D"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c>
          <w:tcPr>
            <w:tcW w:w="1413" w:type="dxa"/>
          </w:tcPr>
          <w:p w14:paraId="0E234FCC" w14:textId="51F78261"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r>
      <w:tr w:rsidR="00813224" w:rsidRPr="0095351A" w14:paraId="7CD417C1" w14:textId="5F6D9AA1" w:rsidTr="006135EA">
        <w:tc>
          <w:tcPr>
            <w:tcW w:w="1531" w:type="dxa"/>
            <w:vAlign w:val="center"/>
          </w:tcPr>
          <w:p w14:paraId="04C0462A" w14:textId="401B3795" w:rsidR="00813224" w:rsidRPr="0095351A" w:rsidRDefault="00813224" w:rsidP="0081322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413" w:type="dxa"/>
          </w:tcPr>
          <w:p w14:paraId="5F506F6E" w14:textId="1B653E86"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-0.066***</w:t>
            </w:r>
          </w:p>
        </w:tc>
        <w:tc>
          <w:tcPr>
            <w:tcW w:w="1413" w:type="dxa"/>
          </w:tcPr>
          <w:p w14:paraId="2BCFB551" w14:textId="582B57FA"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-0.063***</w:t>
            </w:r>
          </w:p>
        </w:tc>
        <w:tc>
          <w:tcPr>
            <w:tcW w:w="1413" w:type="dxa"/>
          </w:tcPr>
          <w:p w14:paraId="5A6B9C8C" w14:textId="178C78B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-0.077***</w:t>
            </w:r>
          </w:p>
        </w:tc>
        <w:tc>
          <w:tcPr>
            <w:tcW w:w="1413" w:type="dxa"/>
          </w:tcPr>
          <w:p w14:paraId="6D618292" w14:textId="02166FC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-0.052***</w:t>
            </w:r>
          </w:p>
        </w:tc>
        <w:tc>
          <w:tcPr>
            <w:tcW w:w="1413" w:type="dxa"/>
          </w:tcPr>
          <w:p w14:paraId="50DB0177" w14:textId="231D533B"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-0.067***</w:t>
            </w:r>
          </w:p>
        </w:tc>
      </w:tr>
      <w:tr w:rsidR="00813224" w:rsidRPr="0095351A" w14:paraId="4A5B8616" w14:textId="363B37F5" w:rsidTr="006135EA">
        <w:tc>
          <w:tcPr>
            <w:tcW w:w="1531" w:type="dxa"/>
            <w:vAlign w:val="center"/>
          </w:tcPr>
          <w:p w14:paraId="6FA04C09"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7391D819" w14:textId="4A0E2657"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c>
          <w:tcPr>
            <w:tcW w:w="1413" w:type="dxa"/>
          </w:tcPr>
          <w:p w14:paraId="3D1C2766" w14:textId="3F5AF1D1"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c>
          <w:tcPr>
            <w:tcW w:w="1413" w:type="dxa"/>
          </w:tcPr>
          <w:p w14:paraId="7C2058AE" w14:textId="372BC89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7FF7093D" w14:textId="6AF435C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c>
          <w:tcPr>
            <w:tcW w:w="1413" w:type="dxa"/>
          </w:tcPr>
          <w:p w14:paraId="432A5715" w14:textId="776FEA87"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(0.003)</w:t>
            </w:r>
          </w:p>
        </w:tc>
      </w:tr>
      <w:tr w:rsidR="00813224" w:rsidRPr="0095351A" w14:paraId="6B7CE5E8" w14:textId="2E179E97" w:rsidTr="006135EA">
        <w:tc>
          <w:tcPr>
            <w:tcW w:w="1531" w:type="dxa"/>
            <w:vAlign w:val="center"/>
          </w:tcPr>
          <w:p w14:paraId="3433E271" w14:textId="62B90C3E" w:rsidR="00813224" w:rsidRPr="0095351A" w:rsidRDefault="00813224" w:rsidP="00813224">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413" w:type="dxa"/>
          </w:tcPr>
          <w:p w14:paraId="4582EAD5" w14:textId="5F272741"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0.017***</w:t>
            </w:r>
          </w:p>
        </w:tc>
        <w:tc>
          <w:tcPr>
            <w:tcW w:w="1413" w:type="dxa"/>
          </w:tcPr>
          <w:p w14:paraId="4A77C8CB" w14:textId="049BBE6D"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0.015***</w:t>
            </w:r>
          </w:p>
        </w:tc>
        <w:tc>
          <w:tcPr>
            <w:tcW w:w="1413" w:type="dxa"/>
          </w:tcPr>
          <w:p w14:paraId="705EDE4C" w14:textId="20B0CFDE"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0.025***</w:t>
            </w:r>
          </w:p>
        </w:tc>
        <w:tc>
          <w:tcPr>
            <w:tcW w:w="1413" w:type="dxa"/>
          </w:tcPr>
          <w:p w14:paraId="0282FF8D" w14:textId="75AF9476"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0.027***</w:t>
            </w:r>
          </w:p>
        </w:tc>
        <w:tc>
          <w:tcPr>
            <w:tcW w:w="1413" w:type="dxa"/>
          </w:tcPr>
          <w:p w14:paraId="76927419" w14:textId="75BE91C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0.016***</w:t>
            </w:r>
          </w:p>
        </w:tc>
      </w:tr>
      <w:tr w:rsidR="00813224" w:rsidRPr="0095351A" w14:paraId="2B547042" w14:textId="38F6D0C6" w:rsidTr="006135EA">
        <w:tc>
          <w:tcPr>
            <w:tcW w:w="1531" w:type="dxa"/>
            <w:vAlign w:val="center"/>
          </w:tcPr>
          <w:p w14:paraId="318CEBBE"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063CB89C" w14:textId="7CA82AA5"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c>
          <w:tcPr>
            <w:tcW w:w="1413" w:type="dxa"/>
          </w:tcPr>
          <w:p w14:paraId="6282F151" w14:textId="703134CE"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c>
          <w:tcPr>
            <w:tcW w:w="1413" w:type="dxa"/>
          </w:tcPr>
          <w:p w14:paraId="5470968D" w14:textId="33D3404F"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c>
          <w:tcPr>
            <w:tcW w:w="1413" w:type="dxa"/>
          </w:tcPr>
          <w:p w14:paraId="7E4C8F29" w14:textId="01F26B5B"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c>
          <w:tcPr>
            <w:tcW w:w="1413" w:type="dxa"/>
          </w:tcPr>
          <w:p w14:paraId="5A1D2655" w14:textId="310B031C"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(0.002)</w:t>
            </w:r>
          </w:p>
        </w:tc>
      </w:tr>
      <w:tr w:rsidR="00813224" w:rsidRPr="0095351A" w14:paraId="6E5F3EA8" w14:textId="6A077FFF" w:rsidTr="006135EA">
        <w:tc>
          <w:tcPr>
            <w:tcW w:w="1531" w:type="dxa"/>
            <w:vAlign w:val="center"/>
          </w:tcPr>
          <w:p w14:paraId="61636499"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p>
        </w:tc>
        <w:tc>
          <w:tcPr>
            <w:tcW w:w="1413" w:type="dxa"/>
          </w:tcPr>
          <w:p w14:paraId="3D172C81" w14:textId="56A6C9FD"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-0.215***</w:t>
            </w:r>
          </w:p>
        </w:tc>
        <w:tc>
          <w:tcPr>
            <w:tcW w:w="1413" w:type="dxa"/>
          </w:tcPr>
          <w:p w14:paraId="3D13326C" w14:textId="26C5CC5B"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-0.211***</w:t>
            </w:r>
          </w:p>
        </w:tc>
        <w:tc>
          <w:tcPr>
            <w:tcW w:w="1413" w:type="dxa"/>
          </w:tcPr>
          <w:p w14:paraId="24821FBE" w14:textId="0D92D31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-0.206***</w:t>
            </w:r>
          </w:p>
        </w:tc>
        <w:tc>
          <w:tcPr>
            <w:tcW w:w="1413" w:type="dxa"/>
          </w:tcPr>
          <w:p w14:paraId="2F0892F1" w14:textId="3E43AC1C"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-0.226***</w:t>
            </w:r>
          </w:p>
        </w:tc>
        <w:tc>
          <w:tcPr>
            <w:tcW w:w="1413" w:type="dxa"/>
          </w:tcPr>
          <w:p w14:paraId="76F9F5FF" w14:textId="26DF58D9"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-0.475***</w:t>
            </w:r>
          </w:p>
        </w:tc>
      </w:tr>
      <w:tr w:rsidR="00813224" w:rsidRPr="0095351A" w14:paraId="119D5643" w14:textId="1D358407" w:rsidTr="006135EA">
        <w:tc>
          <w:tcPr>
            <w:tcW w:w="1531" w:type="dxa"/>
            <w:vAlign w:val="center"/>
          </w:tcPr>
          <w:p w14:paraId="56F39928"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5A47838C" w14:textId="44B97AE3"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(0.009)</w:t>
            </w:r>
          </w:p>
        </w:tc>
        <w:tc>
          <w:tcPr>
            <w:tcW w:w="1413" w:type="dxa"/>
          </w:tcPr>
          <w:p w14:paraId="048E80E8" w14:textId="57E0535F"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(0.009)</w:t>
            </w:r>
          </w:p>
        </w:tc>
        <w:tc>
          <w:tcPr>
            <w:tcW w:w="1413" w:type="dxa"/>
          </w:tcPr>
          <w:p w14:paraId="69F3FF19" w14:textId="06A848D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(0.010)</w:t>
            </w:r>
          </w:p>
        </w:tc>
        <w:tc>
          <w:tcPr>
            <w:tcW w:w="1413" w:type="dxa"/>
          </w:tcPr>
          <w:p w14:paraId="508E5279" w14:textId="2E32875B"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(0.009)</w:t>
            </w:r>
          </w:p>
        </w:tc>
        <w:tc>
          <w:tcPr>
            <w:tcW w:w="1413" w:type="dxa"/>
          </w:tcPr>
          <w:p w14:paraId="7EFED77A" w14:textId="2C2BFB26"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(0.016)</w:t>
            </w:r>
          </w:p>
        </w:tc>
      </w:tr>
      <w:tr w:rsidR="00813224" w:rsidRPr="0095351A" w14:paraId="2A2EF299" w14:textId="6697BA67" w:rsidTr="006135EA">
        <w:tc>
          <w:tcPr>
            <w:tcW w:w="1531" w:type="dxa"/>
            <w:vAlign w:val="center"/>
          </w:tcPr>
          <w:p w14:paraId="5C031464"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otherint</m:t>
                  </m:r>
                </m:sub>
              </m:sSub>
            </m:oMath>
          </w:p>
        </w:tc>
        <w:tc>
          <w:tcPr>
            <w:tcW w:w="1413" w:type="dxa"/>
          </w:tcPr>
          <w:p w14:paraId="7D32282D" w14:textId="186D366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-0.009**</w:t>
            </w:r>
          </w:p>
        </w:tc>
        <w:tc>
          <w:tcPr>
            <w:tcW w:w="1413" w:type="dxa"/>
          </w:tcPr>
          <w:p w14:paraId="083C3D1D" w14:textId="29A93FCF"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-0.015***</w:t>
            </w:r>
          </w:p>
        </w:tc>
        <w:tc>
          <w:tcPr>
            <w:tcW w:w="1413" w:type="dxa"/>
          </w:tcPr>
          <w:p w14:paraId="0A013145" w14:textId="27192FD5"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-0.039***</w:t>
            </w:r>
          </w:p>
        </w:tc>
        <w:tc>
          <w:tcPr>
            <w:tcW w:w="1413" w:type="dxa"/>
          </w:tcPr>
          <w:p w14:paraId="6ACBCC3A" w14:textId="799CDEB2"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-0.008*</w:t>
            </w:r>
          </w:p>
        </w:tc>
        <w:tc>
          <w:tcPr>
            <w:tcW w:w="1413" w:type="dxa"/>
          </w:tcPr>
          <w:p w14:paraId="2766B4B3" w14:textId="494CCA89"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-0.026***</w:t>
            </w:r>
          </w:p>
        </w:tc>
      </w:tr>
      <w:tr w:rsidR="00813224" w:rsidRPr="0095351A" w14:paraId="5E442CAE" w14:textId="7F0DBFFD" w:rsidTr="006135EA">
        <w:tc>
          <w:tcPr>
            <w:tcW w:w="1531" w:type="dxa"/>
            <w:vAlign w:val="center"/>
          </w:tcPr>
          <w:p w14:paraId="661D9A91"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18BF955A" w14:textId="61D189EA"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08D16E06" w14:textId="54110EEB"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657684DD" w14:textId="2AAB1EB1"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0ED40454" w14:textId="08688185"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76B6CF86" w14:textId="4FF3A65E"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(0.005)</w:t>
            </w:r>
          </w:p>
        </w:tc>
      </w:tr>
      <w:tr w:rsidR="00813224" w:rsidRPr="0095351A" w14:paraId="6C0C9CCC" w14:textId="74CC5B43" w:rsidTr="006135EA">
        <w:tc>
          <w:tcPr>
            <w:tcW w:w="1531" w:type="dxa"/>
            <w:vAlign w:val="center"/>
          </w:tcPr>
          <w:p w14:paraId="787309B7"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p>
        </w:tc>
        <w:tc>
          <w:tcPr>
            <w:tcW w:w="1413" w:type="dxa"/>
          </w:tcPr>
          <w:p w14:paraId="7048B101" w14:textId="739D6822"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-0.234***</w:t>
            </w:r>
          </w:p>
        </w:tc>
        <w:tc>
          <w:tcPr>
            <w:tcW w:w="1413" w:type="dxa"/>
          </w:tcPr>
          <w:p w14:paraId="2FBB7990" w14:textId="35A06DF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-0.212***</w:t>
            </w:r>
          </w:p>
        </w:tc>
        <w:tc>
          <w:tcPr>
            <w:tcW w:w="1413" w:type="dxa"/>
          </w:tcPr>
          <w:p w14:paraId="46334914" w14:textId="2E9F69FB"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-0.234***</w:t>
            </w:r>
          </w:p>
        </w:tc>
        <w:tc>
          <w:tcPr>
            <w:tcW w:w="1413" w:type="dxa"/>
          </w:tcPr>
          <w:p w14:paraId="38874DD9" w14:textId="199C47CF"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-0.227***</w:t>
            </w:r>
          </w:p>
        </w:tc>
        <w:tc>
          <w:tcPr>
            <w:tcW w:w="1413" w:type="dxa"/>
          </w:tcPr>
          <w:p w14:paraId="39C23F8B" w14:textId="6B9CDF59"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-0.346***</w:t>
            </w:r>
          </w:p>
        </w:tc>
      </w:tr>
      <w:tr w:rsidR="00813224" w:rsidRPr="0095351A" w14:paraId="342EE002" w14:textId="53CD3BA1" w:rsidTr="006135EA">
        <w:tc>
          <w:tcPr>
            <w:tcW w:w="1531" w:type="dxa"/>
            <w:vAlign w:val="center"/>
          </w:tcPr>
          <w:p w14:paraId="3AE82E21"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783E70BE" w14:textId="076526A6"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(0.011)</w:t>
            </w:r>
          </w:p>
        </w:tc>
        <w:tc>
          <w:tcPr>
            <w:tcW w:w="1413" w:type="dxa"/>
          </w:tcPr>
          <w:p w14:paraId="0E78112D" w14:textId="5FEB5509"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(0.010)</w:t>
            </w:r>
          </w:p>
        </w:tc>
        <w:tc>
          <w:tcPr>
            <w:tcW w:w="1413" w:type="dxa"/>
          </w:tcPr>
          <w:p w14:paraId="2F37B168" w14:textId="057A2F0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(0.012)</w:t>
            </w:r>
          </w:p>
        </w:tc>
        <w:tc>
          <w:tcPr>
            <w:tcW w:w="1413" w:type="dxa"/>
          </w:tcPr>
          <w:p w14:paraId="069DB641" w14:textId="7D05A713"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(0.011)</w:t>
            </w:r>
          </w:p>
        </w:tc>
        <w:tc>
          <w:tcPr>
            <w:tcW w:w="1413" w:type="dxa"/>
          </w:tcPr>
          <w:p w14:paraId="6B659C6D" w14:textId="38CF510A"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(0.016)</w:t>
            </w:r>
          </w:p>
        </w:tc>
      </w:tr>
      <w:tr w:rsidR="00813224" w:rsidRPr="0095351A" w14:paraId="223BF20E" w14:textId="4A0EB06C" w:rsidTr="006135EA">
        <w:tc>
          <w:tcPr>
            <w:tcW w:w="1531" w:type="dxa"/>
            <w:vAlign w:val="center"/>
          </w:tcPr>
          <w:p w14:paraId="05548179"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otherint</m:t>
                  </m:r>
                </m:sub>
              </m:sSub>
            </m:oMath>
          </w:p>
        </w:tc>
        <w:tc>
          <w:tcPr>
            <w:tcW w:w="1413" w:type="dxa"/>
          </w:tcPr>
          <w:p w14:paraId="15F7C325" w14:textId="27A092D5"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-0.037***</w:t>
            </w:r>
          </w:p>
        </w:tc>
        <w:tc>
          <w:tcPr>
            <w:tcW w:w="1413" w:type="dxa"/>
          </w:tcPr>
          <w:p w14:paraId="5D062128" w14:textId="3248F8FF"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-0.039***</w:t>
            </w:r>
          </w:p>
        </w:tc>
        <w:tc>
          <w:tcPr>
            <w:tcW w:w="1413" w:type="dxa"/>
          </w:tcPr>
          <w:p w14:paraId="4F32D6A5" w14:textId="7285CC77"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-0.069***</w:t>
            </w:r>
          </w:p>
        </w:tc>
        <w:tc>
          <w:tcPr>
            <w:tcW w:w="1413" w:type="dxa"/>
          </w:tcPr>
          <w:p w14:paraId="6C614CFC" w14:textId="6DCEF58E"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-0.037***</w:t>
            </w:r>
          </w:p>
        </w:tc>
        <w:tc>
          <w:tcPr>
            <w:tcW w:w="1413" w:type="dxa"/>
          </w:tcPr>
          <w:p w14:paraId="6BD33F9A" w14:textId="5AECDAAD"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-0.049***</w:t>
            </w:r>
          </w:p>
        </w:tc>
      </w:tr>
      <w:tr w:rsidR="00813224" w:rsidRPr="0095351A" w14:paraId="6B4F8D83" w14:textId="0F8A152D" w:rsidTr="006135EA">
        <w:tc>
          <w:tcPr>
            <w:tcW w:w="1531" w:type="dxa"/>
            <w:vAlign w:val="center"/>
          </w:tcPr>
          <w:p w14:paraId="70C1C758"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55096704" w14:textId="23F1426D"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64C1DB98" w14:textId="5A9F8479"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7C123992" w14:textId="7B188076"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623790B2" w14:textId="3F2DDFD2"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(0.004)</w:t>
            </w:r>
          </w:p>
        </w:tc>
        <w:tc>
          <w:tcPr>
            <w:tcW w:w="1413" w:type="dxa"/>
          </w:tcPr>
          <w:p w14:paraId="08B6E3D8" w14:textId="697FD35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(0.005)</w:t>
            </w:r>
          </w:p>
        </w:tc>
      </w:tr>
      <w:tr w:rsidR="00813224" w:rsidRPr="0095351A" w14:paraId="1AB16AB1" w14:textId="77777777" w:rsidTr="006135EA">
        <w:tc>
          <w:tcPr>
            <w:tcW w:w="1531" w:type="dxa"/>
            <w:vAlign w:val="center"/>
          </w:tcPr>
          <w:p w14:paraId="0F76E44A" w14:textId="40C32155" w:rsidR="00813224" w:rsidRPr="0095351A" w:rsidRDefault="00813224" w:rsidP="0081322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ownintjap</m:t>
                  </m:r>
                </m:sub>
              </m:sSub>
            </m:oMath>
          </w:p>
        </w:tc>
        <w:tc>
          <w:tcPr>
            <w:tcW w:w="1413" w:type="dxa"/>
          </w:tcPr>
          <w:p w14:paraId="5F209464"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7FE9B24A"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4369CBA6"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4CB6886E"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119CB7BC" w14:textId="5E85A86A"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0.383***</w:t>
            </w:r>
          </w:p>
        </w:tc>
      </w:tr>
      <w:tr w:rsidR="00813224" w:rsidRPr="0095351A" w14:paraId="338F916C" w14:textId="77777777" w:rsidTr="006135EA">
        <w:tc>
          <w:tcPr>
            <w:tcW w:w="1531" w:type="dxa"/>
            <w:vAlign w:val="center"/>
          </w:tcPr>
          <w:p w14:paraId="2356B82F"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50E4992C"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6CD50C5E"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444854C1"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25E84B74"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5BA364B9" w14:textId="7654060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(0.019)</w:t>
            </w:r>
          </w:p>
        </w:tc>
      </w:tr>
      <w:tr w:rsidR="00813224" w:rsidRPr="0095351A" w14:paraId="2CC4AF5E" w14:textId="77777777" w:rsidTr="006135EA">
        <w:tc>
          <w:tcPr>
            <w:tcW w:w="1531" w:type="dxa"/>
            <w:vAlign w:val="center"/>
          </w:tcPr>
          <w:p w14:paraId="1E867134" w14:textId="7CC9FB8E" w:rsidR="00813224" w:rsidRPr="0095351A" w:rsidRDefault="00EC01D9" w:rsidP="00813224">
            <w:pPr>
              <w:widowControl w:val="0"/>
              <w:autoSpaceDE w:val="0"/>
              <w:autoSpaceDN w:val="0"/>
              <w:adjustRightInd w:val="0"/>
              <w:spacing w:line="240" w:lineRule="auto"/>
              <w:jc w:val="left"/>
              <w:rPr>
                <w:rFonts w:cs="Times New Roman"/>
                <w:szCs w:val="24"/>
                <w:lang w:val="en-GB"/>
              </w:rPr>
            </w:pPr>
            <m:oMathPara>
              <m:oMath>
                <m:sSub>
                  <m:sSubPr>
                    <m:ctrlPr>
                      <w:rPr>
                        <w:rFonts w:ascii="Cambria Math" w:hAnsi="Cambria Math"/>
                      </w:rPr>
                    </m:ctrlPr>
                  </m:sSubPr>
                  <m:e>
                    <m:r>
                      <w:rPr>
                        <w:rFonts w:ascii="Cambria Math" w:hAnsi="Cambria Math"/>
                      </w:rPr>
                      <m:t>α</m:t>
                    </m:r>
                  </m:e>
                  <m:sub>
                    <m:r>
                      <w:rPr>
                        <w:rFonts w:ascii="Cambria Math" w:hAnsi="Cambria Math"/>
                      </w:rPr>
                      <m:t>otherintjap</m:t>
                    </m:r>
                  </m:sub>
                </m:sSub>
              </m:oMath>
            </m:oMathPara>
          </w:p>
        </w:tc>
        <w:tc>
          <w:tcPr>
            <w:tcW w:w="1413" w:type="dxa"/>
          </w:tcPr>
          <w:p w14:paraId="26B1A033"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075B82DF"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5CB85D48"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27DF7CCF"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43C3C905" w14:textId="5CA0DBE2"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0.055***</w:t>
            </w:r>
          </w:p>
        </w:tc>
      </w:tr>
      <w:tr w:rsidR="00813224" w:rsidRPr="0095351A" w14:paraId="4EF95726" w14:textId="77777777" w:rsidTr="006135EA">
        <w:tc>
          <w:tcPr>
            <w:tcW w:w="1531" w:type="dxa"/>
            <w:vAlign w:val="center"/>
          </w:tcPr>
          <w:p w14:paraId="108866BE"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5BDA4656"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5FC93DBD"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46525619"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5FBDE023"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124C7D81" w14:textId="4C81EF62"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(0.007)</w:t>
            </w:r>
          </w:p>
        </w:tc>
      </w:tr>
      <w:tr w:rsidR="00813224" w:rsidRPr="0095351A" w14:paraId="27BB333D" w14:textId="77777777" w:rsidTr="006135EA">
        <w:tc>
          <w:tcPr>
            <w:tcW w:w="1531" w:type="dxa"/>
            <w:vAlign w:val="center"/>
          </w:tcPr>
          <w:p w14:paraId="25FC797C" w14:textId="7283B4FB" w:rsidR="00813224" w:rsidRPr="0095351A" w:rsidRDefault="00813224" w:rsidP="00813224">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ownintjap</m:t>
                  </m:r>
                </m:sub>
              </m:sSub>
            </m:oMath>
          </w:p>
        </w:tc>
        <w:tc>
          <w:tcPr>
            <w:tcW w:w="1413" w:type="dxa"/>
          </w:tcPr>
          <w:p w14:paraId="61CD60E3"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1F0AD250"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7D330579"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2965FEED"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48F18943" w14:textId="5DC36C00"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0.205***</w:t>
            </w:r>
          </w:p>
        </w:tc>
      </w:tr>
      <w:tr w:rsidR="00813224" w:rsidRPr="0095351A" w14:paraId="5B229F28" w14:textId="77777777" w:rsidTr="006135EA">
        <w:tc>
          <w:tcPr>
            <w:tcW w:w="1531" w:type="dxa"/>
            <w:vAlign w:val="center"/>
          </w:tcPr>
          <w:p w14:paraId="53A9672D"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24E81625"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76A65963"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66C023E6"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742E0EFC"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2601D0FC" w14:textId="54E2951B"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(0.021)</w:t>
            </w:r>
          </w:p>
        </w:tc>
      </w:tr>
      <w:tr w:rsidR="00813224" w:rsidRPr="0095351A" w14:paraId="256DF896" w14:textId="77777777" w:rsidTr="006135EA">
        <w:tc>
          <w:tcPr>
            <w:tcW w:w="1531" w:type="dxa"/>
            <w:vAlign w:val="center"/>
          </w:tcPr>
          <w:p w14:paraId="22F79D31" w14:textId="0F8858F9" w:rsidR="00813224" w:rsidRPr="0095351A" w:rsidRDefault="00EC01D9" w:rsidP="00813224">
            <w:pPr>
              <w:widowControl w:val="0"/>
              <w:autoSpaceDE w:val="0"/>
              <w:autoSpaceDN w:val="0"/>
              <w:adjustRightInd w:val="0"/>
              <w:spacing w:line="240" w:lineRule="auto"/>
              <w:jc w:val="left"/>
              <w:rPr>
                <w:rFonts w:cs="Times New Roman"/>
                <w:szCs w:val="24"/>
                <w:lang w:val="en-GB"/>
              </w:rPr>
            </w:pPr>
            <m:oMathPara>
              <m:oMath>
                <m:sSub>
                  <m:sSubPr>
                    <m:ctrlPr>
                      <w:rPr>
                        <w:rFonts w:ascii="Cambria Math" w:hAnsi="Cambria Math"/>
                      </w:rPr>
                    </m:ctrlPr>
                  </m:sSubPr>
                  <m:e>
                    <m:r>
                      <w:rPr>
                        <w:rFonts w:ascii="Cambria Math" w:hAnsi="Cambria Math"/>
                      </w:rPr>
                      <m:t>β</m:t>
                    </m:r>
                  </m:e>
                  <m:sub>
                    <m:r>
                      <w:rPr>
                        <w:rFonts w:ascii="Cambria Math" w:hAnsi="Cambria Math"/>
                      </w:rPr>
                      <m:t>otherintjap</m:t>
                    </m:r>
                  </m:sub>
                </m:sSub>
              </m:oMath>
            </m:oMathPara>
          </w:p>
        </w:tc>
        <w:tc>
          <w:tcPr>
            <w:tcW w:w="1413" w:type="dxa"/>
          </w:tcPr>
          <w:p w14:paraId="105616E7"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51B954F0"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4DFC5DCB"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65A71015"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5520DF94" w14:textId="0D87A4F3"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0.044***</w:t>
            </w:r>
          </w:p>
        </w:tc>
      </w:tr>
      <w:tr w:rsidR="00813224" w:rsidRPr="0095351A" w14:paraId="3DB05523" w14:textId="77777777" w:rsidTr="006135EA">
        <w:tc>
          <w:tcPr>
            <w:tcW w:w="1531" w:type="dxa"/>
            <w:vAlign w:val="center"/>
          </w:tcPr>
          <w:p w14:paraId="06E6648B"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4FABD800"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0E8A57FD"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6C5E2C2C"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73D174B7" w14:textId="77777777" w:rsidR="00813224" w:rsidRDefault="00813224" w:rsidP="00813224">
            <w:pPr>
              <w:widowControl w:val="0"/>
              <w:autoSpaceDE w:val="0"/>
              <w:autoSpaceDN w:val="0"/>
              <w:adjustRightInd w:val="0"/>
              <w:spacing w:line="240" w:lineRule="auto"/>
              <w:jc w:val="center"/>
              <w:rPr>
                <w:rFonts w:cs="Times New Roman"/>
                <w:szCs w:val="24"/>
              </w:rPr>
            </w:pPr>
          </w:p>
        </w:tc>
        <w:tc>
          <w:tcPr>
            <w:tcW w:w="1413" w:type="dxa"/>
          </w:tcPr>
          <w:p w14:paraId="45777D80" w14:textId="68F98738"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(0.007)</w:t>
            </w:r>
          </w:p>
        </w:tc>
      </w:tr>
      <w:tr w:rsidR="00813224" w:rsidRPr="0095351A" w14:paraId="1F742EE2" w14:textId="23839F1C" w:rsidTr="006135EA">
        <w:tc>
          <w:tcPr>
            <w:tcW w:w="1531" w:type="dxa"/>
            <w:vAlign w:val="center"/>
          </w:tcPr>
          <w:p w14:paraId="65F4D5B2"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HHI</m:t>
              </m:r>
            </m:oMath>
          </w:p>
        </w:tc>
        <w:tc>
          <w:tcPr>
            <w:tcW w:w="1413" w:type="dxa"/>
          </w:tcPr>
          <w:p w14:paraId="7CB6F849" w14:textId="7927A421"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0.161***</w:t>
            </w:r>
          </w:p>
        </w:tc>
        <w:tc>
          <w:tcPr>
            <w:tcW w:w="1413" w:type="dxa"/>
          </w:tcPr>
          <w:p w14:paraId="125FF492" w14:textId="5735201A"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0.160***</w:t>
            </w:r>
          </w:p>
        </w:tc>
        <w:tc>
          <w:tcPr>
            <w:tcW w:w="1413" w:type="dxa"/>
          </w:tcPr>
          <w:p w14:paraId="063635D2" w14:textId="7DB7F255"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0.143***</w:t>
            </w:r>
          </w:p>
        </w:tc>
        <w:tc>
          <w:tcPr>
            <w:tcW w:w="1413" w:type="dxa"/>
          </w:tcPr>
          <w:p w14:paraId="68BB7647" w14:textId="579156BC"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0.170***</w:t>
            </w:r>
          </w:p>
        </w:tc>
        <w:tc>
          <w:tcPr>
            <w:tcW w:w="1413" w:type="dxa"/>
          </w:tcPr>
          <w:p w14:paraId="7AB57C73" w14:textId="4A5A8326"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0.161***</w:t>
            </w:r>
          </w:p>
        </w:tc>
      </w:tr>
      <w:tr w:rsidR="00813224" w:rsidRPr="0095351A" w14:paraId="47B020A0" w14:textId="278ADA38" w:rsidTr="006135EA">
        <w:tc>
          <w:tcPr>
            <w:tcW w:w="1531" w:type="dxa"/>
            <w:vAlign w:val="center"/>
          </w:tcPr>
          <w:p w14:paraId="4737452E" w14:textId="77777777" w:rsidR="00813224" w:rsidRPr="0095351A" w:rsidRDefault="00813224" w:rsidP="00813224">
            <w:pPr>
              <w:widowControl w:val="0"/>
              <w:autoSpaceDE w:val="0"/>
              <w:autoSpaceDN w:val="0"/>
              <w:adjustRightInd w:val="0"/>
              <w:spacing w:line="240" w:lineRule="auto"/>
              <w:jc w:val="left"/>
              <w:rPr>
                <w:rFonts w:cs="Times New Roman"/>
                <w:szCs w:val="24"/>
                <w:lang w:val="en-GB"/>
              </w:rPr>
            </w:pPr>
          </w:p>
        </w:tc>
        <w:tc>
          <w:tcPr>
            <w:tcW w:w="1413" w:type="dxa"/>
          </w:tcPr>
          <w:p w14:paraId="2E65CE94" w14:textId="247F4C44"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(0.005)</w:t>
            </w:r>
          </w:p>
        </w:tc>
        <w:tc>
          <w:tcPr>
            <w:tcW w:w="1413" w:type="dxa"/>
          </w:tcPr>
          <w:p w14:paraId="12B2C794" w14:textId="34A93891"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(0.005)</w:t>
            </w:r>
          </w:p>
        </w:tc>
        <w:tc>
          <w:tcPr>
            <w:tcW w:w="1413" w:type="dxa"/>
          </w:tcPr>
          <w:p w14:paraId="6F9F3B00" w14:textId="25CC6D6C"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(0.005)</w:t>
            </w:r>
          </w:p>
        </w:tc>
        <w:tc>
          <w:tcPr>
            <w:tcW w:w="1413" w:type="dxa"/>
          </w:tcPr>
          <w:p w14:paraId="4AA75EB8" w14:textId="2F8254DF"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(0.005)</w:t>
            </w:r>
          </w:p>
        </w:tc>
        <w:tc>
          <w:tcPr>
            <w:tcW w:w="1413" w:type="dxa"/>
          </w:tcPr>
          <w:p w14:paraId="11E98C18" w14:textId="07AEC46D"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(0.005)</w:t>
            </w:r>
          </w:p>
        </w:tc>
      </w:tr>
      <w:tr w:rsidR="00813224" w:rsidRPr="0095351A" w14:paraId="1670D323" w14:textId="4E21AACE" w:rsidTr="006F2B39">
        <w:tc>
          <w:tcPr>
            <w:tcW w:w="1531" w:type="dxa"/>
            <w:tcBorders>
              <w:top w:val="single" w:sz="4" w:space="0" w:color="auto"/>
              <w:bottom w:val="nil"/>
            </w:tcBorders>
          </w:tcPr>
          <w:p w14:paraId="562B0956" w14:textId="77777777" w:rsidR="00813224" w:rsidRPr="0095351A" w:rsidRDefault="00813224" w:rsidP="00813224">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413" w:type="dxa"/>
            <w:tcBorders>
              <w:top w:val="single" w:sz="4" w:space="0" w:color="auto"/>
              <w:bottom w:val="nil"/>
            </w:tcBorders>
          </w:tcPr>
          <w:p w14:paraId="4C121B38" w14:textId="10030663" w:rsidR="00813224" w:rsidRPr="0095351A" w:rsidRDefault="00813224" w:rsidP="00813224">
            <w:pPr>
              <w:widowControl w:val="0"/>
              <w:autoSpaceDE w:val="0"/>
              <w:autoSpaceDN w:val="0"/>
              <w:adjustRightInd w:val="0"/>
              <w:spacing w:line="240" w:lineRule="auto"/>
              <w:jc w:val="center"/>
              <w:rPr>
                <w:rFonts w:cs="Times New Roman"/>
                <w:szCs w:val="24"/>
                <w:lang w:val="en-GB"/>
              </w:rPr>
            </w:pPr>
            <w:r>
              <w:rPr>
                <w:rFonts w:cs="Times New Roman"/>
                <w:szCs w:val="24"/>
              </w:rPr>
              <w:t>131,679</w:t>
            </w:r>
          </w:p>
        </w:tc>
        <w:tc>
          <w:tcPr>
            <w:tcW w:w="1413" w:type="dxa"/>
            <w:tcBorders>
              <w:top w:val="single" w:sz="4" w:space="0" w:color="auto"/>
              <w:bottom w:val="nil"/>
            </w:tcBorders>
          </w:tcPr>
          <w:p w14:paraId="6DAB15F2" w14:textId="527039A7" w:rsidR="00813224" w:rsidRPr="0095351A" w:rsidRDefault="00813224" w:rsidP="00813224">
            <w:pPr>
              <w:widowControl w:val="0"/>
              <w:autoSpaceDE w:val="0"/>
              <w:autoSpaceDN w:val="0"/>
              <w:adjustRightInd w:val="0"/>
              <w:spacing w:line="240" w:lineRule="auto"/>
              <w:jc w:val="center"/>
              <w:rPr>
                <w:rFonts w:cs="Times New Roman"/>
                <w:szCs w:val="24"/>
                <w:lang w:val="en-GB"/>
              </w:rPr>
            </w:pPr>
            <w:r>
              <w:rPr>
                <w:rFonts w:cs="Times New Roman"/>
                <w:szCs w:val="24"/>
              </w:rPr>
              <w:t>136,516</w:t>
            </w:r>
          </w:p>
        </w:tc>
        <w:tc>
          <w:tcPr>
            <w:tcW w:w="1413" w:type="dxa"/>
            <w:tcBorders>
              <w:top w:val="single" w:sz="4" w:space="0" w:color="auto"/>
              <w:bottom w:val="nil"/>
            </w:tcBorders>
          </w:tcPr>
          <w:p w14:paraId="5775E69D" w14:textId="33E11C0D" w:rsidR="00813224" w:rsidRPr="0095351A" w:rsidRDefault="00813224" w:rsidP="00813224">
            <w:pPr>
              <w:widowControl w:val="0"/>
              <w:autoSpaceDE w:val="0"/>
              <w:autoSpaceDN w:val="0"/>
              <w:adjustRightInd w:val="0"/>
              <w:spacing w:line="240" w:lineRule="auto"/>
              <w:jc w:val="center"/>
              <w:rPr>
                <w:rFonts w:cs="Times New Roman"/>
                <w:szCs w:val="24"/>
                <w:lang w:val="en-GB"/>
              </w:rPr>
            </w:pPr>
            <w:r>
              <w:rPr>
                <w:rFonts w:cs="Times New Roman"/>
                <w:szCs w:val="24"/>
              </w:rPr>
              <w:t>131,880</w:t>
            </w:r>
          </w:p>
        </w:tc>
        <w:tc>
          <w:tcPr>
            <w:tcW w:w="1413" w:type="dxa"/>
            <w:tcBorders>
              <w:top w:val="single" w:sz="4" w:space="0" w:color="auto"/>
              <w:bottom w:val="nil"/>
            </w:tcBorders>
          </w:tcPr>
          <w:p w14:paraId="611CFF0F" w14:textId="7426F31E" w:rsidR="00813224" w:rsidRPr="0095351A" w:rsidRDefault="00813224" w:rsidP="00813224">
            <w:pPr>
              <w:widowControl w:val="0"/>
              <w:autoSpaceDE w:val="0"/>
              <w:autoSpaceDN w:val="0"/>
              <w:adjustRightInd w:val="0"/>
              <w:spacing w:line="240" w:lineRule="auto"/>
              <w:jc w:val="center"/>
              <w:rPr>
                <w:rFonts w:cs="Times New Roman"/>
                <w:szCs w:val="24"/>
                <w:lang w:val="en-GB"/>
              </w:rPr>
            </w:pPr>
            <w:r>
              <w:rPr>
                <w:rFonts w:cs="Times New Roman"/>
                <w:szCs w:val="24"/>
              </w:rPr>
              <w:t>131,679</w:t>
            </w:r>
          </w:p>
        </w:tc>
        <w:tc>
          <w:tcPr>
            <w:tcW w:w="1413" w:type="dxa"/>
            <w:tcBorders>
              <w:top w:val="single" w:sz="4" w:space="0" w:color="auto"/>
              <w:bottom w:val="nil"/>
            </w:tcBorders>
          </w:tcPr>
          <w:p w14:paraId="3071BD1D" w14:textId="4A0DE785"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131,679</w:t>
            </w:r>
          </w:p>
        </w:tc>
      </w:tr>
      <w:tr w:rsidR="00813224" w:rsidRPr="0095351A" w14:paraId="5010BDF7" w14:textId="0273D790" w:rsidTr="006F2B39">
        <w:tc>
          <w:tcPr>
            <w:tcW w:w="1531" w:type="dxa"/>
          </w:tcPr>
          <w:p w14:paraId="016091C7" w14:textId="77777777" w:rsidR="00813224" w:rsidRPr="0095351A" w:rsidRDefault="00813224" w:rsidP="00813224">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/LL</w:t>
            </w:r>
          </w:p>
        </w:tc>
        <w:tc>
          <w:tcPr>
            <w:tcW w:w="1413" w:type="dxa"/>
          </w:tcPr>
          <w:p w14:paraId="70C52B46" w14:textId="15B9305A" w:rsidR="00813224" w:rsidRPr="0095351A" w:rsidRDefault="00813224" w:rsidP="00813224">
            <w:pPr>
              <w:widowControl w:val="0"/>
              <w:autoSpaceDE w:val="0"/>
              <w:autoSpaceDN w:val="0"/>
              <w:adjustRightInd w:val="0"/>
              <w:spacing w:line="240" w:lineRule="auto"/>
              <w:jc w:val="center"/>
              <w:rPr>
                <w:rFonts w:cs="Times New Roman"/>
                <w:szCs w:val="24"/>
                <w:lang w:val="en-GB"/>
              </w:rPr>
            </w:pPr>
            <w:r>
              <w:rPr>
                <w:rFonts w:cs="Times New Roman"/>
                <w:szCs w:val="24"/>
              </w:rPr>
              <w:t>0.0263</w:t>
            </w:r>
          </w:p>
        </w:tc>
        <w:tc>
          <w:tcPr>
            <w:tcW w:w="1413" w:type="dxa"/>
          </w:tcPr>
          <w:p w14:paraId="571A0E2C" w14:textId="6F3F9620" w:rsidR="00813224" w:rsidRPr="0095351A" w:rsidRDefault="00813224" w:rsidP="00813224">
            <w:pPr>
              <w:widowControl w:val="0"/>
              <w:autoSpaceDE w:val="0"/>
              <w:autoSpaceDN w:val="0"/>
              <w:adjustRightInd w:val="0"/>
              <w:spacing w:line="240" w:lineRule="auto"/>
              <w:jc w:val="center"/>
              <w:rPr>
                <w:rFonts w:cs="Times New Roman"/>
                <w:szCs w:val="24"/>
                <w:lang w:val="en-GB"/>
              </w:rPr>
            </w:pPr>
            <w:r>
              <w:rPr>
                <w:rFonts w:cs="Times New Roman"/>
                <w:szCs w:val="24"/>
              </w:rPr>
              <w:t>0.0246</w:t>
            </w:r>
          </w:p>
        </w:tc>
        <w:tc>
          <w:tcPr>
            <w:tcW w:w="1413" w:type="dxa"/>
          </w:tcPr>
          <w:p w14:paraId="1D9E8906" w14:textId="481CEB06" w:rsidR="00813224" w:rsidRPr="0095351A" w:rsidRDefault="00813224" w:rsidP="00813224">
            <w:pPr>
              <w:widowControl w:val="0"/>
              <w:autoSpaceDE w:val="0"/>
              <w:autoSpaceDN w:val="0"/>
              <w:adjustRightInd w:val="0"/>
              <w:spacing w:line="240" w:lineRule="auto"/>
              <w:jc w:val="center"/>
              <w:rPr>
                <w:rFonts w:cs="Times New Roman"/>
                <w:szCs w:val="24"/>
                <w:lang w:val="en-GB"/>
              </w:rPr>
            </w:pPr>
            <w:r>
              <w:rPr>
                <w:rFonts w:cs="Times New Roman"/>
                <w:szCs w:val="24"/>
              </w:rPr>
              <w:t>0.0224</w:t>
            </w:r>
          </w:p>
        </w:tc>
        <w:tc>
          <w:tcPr>
            <w:tcW w:w="1413" w:type="dxa"/>
          </w:tcPr>
          <w:p w14:paraId="65FB7941" w14:textId="45DF9E93" w:rsidR="00813224" w:rsidRPr="0095351A" w:rsidRDefault="00813224" w:rsidP="00813224">
            <w:pPr>
              <w:widowControl w:val="0"/>
              <w:autoSpaceDE w:val="0"/>
              <w:autoSpaceDN w:val="0"/>
              <w:adjustRightInd w:val="0"/>
              <w:spacing w:line="240" w:lineRule="auto"/>
              <w:jc w:val="center"/>
              <w:rPr>
                <w:rFonts w:cs="Times New Roman"/>
                <w:szCs w:val="24"/>
                <w:lang w:val="en-GB"/>
              </w:rPr>
            </w:pPr>
            <w:r>
              <w:rPr>
                <w:rFonts w:cs="Times New Roman"/>
                <w:szCs w:val="24"/>
              </w:rPr>
              <w:t>0.0233</w:t>
            </w:r>
          </w:p>
        </w:tc>
        <w:tc>
          <w:tcPr>
            <w:tcW w:w="1413" w:type="dxa"/>
          </w:tcPr>
          <w:p w14:paraId="7B6796CA" w14:textId="7C7D4EE1" w:rsidR="00813224" w:rsidRDefault="00813224" w:rsidP="00813224">
            <w:pPr>
              <w:widowControl w:val="0"/>
              <w:autoSpaceDE w:val="0"/>
              <w:autoSpaceDN w:val="0"/>
              <w:adjustRightInd w:val="0"/>
              <w:spacing w:line="240" w:lineRule="auto"/>
              <w:jc w:val="center"/>
              <w:rPr>
                <w:rFonts w:cs="Times New Roman"/>
                <w:szCs w:val="24"/>
              </w:rPr>
            </w:pPr>
            <w:r>
              <w:rPr>
                <w:rFonts w:cs="Times New Roman"/>
                <w:szCs w:val="24"/>
              </w:rPr>
              <w:t>0.0302</w:t>
            </w:r>
          </w:p>
        </w:tc>
      </w:tr>
    </w:tbl>
    <w:p w14:paraId="2D548CDD" w14:textId="05266597" w:rsidR="007C4F1E" w:rsidRDefault="007C4F1E" w:rsidP="007C4F1E">
      <w:pPr>
        <w:pStyle w:val="FlietextFolge"/>
        <w:ind w:left="284" w:firstLine="0"/>
      </w:pPr>
      <w:r w:rsidRPr="0095351A">
        <w:t>Standard errors in parentheses</w:t>
      </w:r>
      <w:r>
        <w:t xml:space="preserve">; </w:t>
      </w:r>
      <w:r w:rsidRPr="0095351A">
        <w:t>*** p&lt;0.01, ** p&lt;0.05, * p&lt;0.1</w:t>
      </w:r>
      <w:r>
        <w:t xml:space="preserve">; </w:t>
      </w:r>
      <w:r w:rsidR="00CD09BF">
        <w:t>E</w:t>
      </w:r>
      <w:r>
        <w:t xml:space="preserve">stimation models </w:t>
      </w:r>
      <w:r w:rsidR="00CD09BF">
        <w:t xml:space="preserve">1-4 </w:t>
      </w:r>
      <w:r>
        <w:t xml:space="preserve">are defined in </w:t>
      </w:r>
      <w:r>
        <w:fldChar w:fldCharType="begin"/>
      </w:r>
      <w:r>
        <w:instrText xml:space="preserve"> REF _Ref447293539 \h </w:instrText>
      </w:r>
      <w:r>
        <w:fldChar w:fldCharType="separate"/>
      </w:r>
      <w:r w:rsidR="00886B31">
        <w:t xml:space="preserve">Table </w:t>
      </w:r>
      <w:r w:rsidR="00886B31">
        <w:rPr>
          <w:noProof/>
        </w:rPr>
        <w:t>1</w:t>
      </w:r>
      <w:r>
        <w:fldChar w:fldCharType="end"/>
      </w:r>
      <w:r w:rsidR="00CD09BF">
        <w:t xml:space="preserve">, Estimation 5 is </w:t>
      </w:r>
      <w:proofErr w:type="gramStart"/>
      <w:r w:rsidR="00CA3628">
        <w:t>similar to</w:t>
      </w:r>
      <w:proofErr w:type="gramEnd"/>
      <w:r w:rsidR="00CA3628">
        <w:t xml:space="preserve"> Estimation 1</w:t>
      </w:r>
      <w:r w:rsidR="00415A8C">
        <w:t xml:space="preserve"> with the addition of the Japan variables</w:t>
      </w:r>
      <w:r w:rsidR="00CD09BF">
        <w:t>.</w:t>
      </w:r>
    </w:p>
    <w:p w14:paraId="1FACD5DA" w14:textId="77777777" w:rsidR="007C4F1E" w:rsidRDefault="007C4F1E" w:rsidP="007C4F1E">
      <w:pPr>
        <w:pStyle w:val="FlietextFolge"/>
      </w:pPr>
    </w:p>
    <w:p w14:paraId="25693B3F" w14:textId="77777777" w:rsidR="003B3C25" w:rsidRPr="00CA4FB7" w:rsidRDefault="003B3C25" w:rsidP="00757B22">
      <w:pPr>
        <w:spacing w:line="360" w:lineRule="auto"/>
        <w:ind w:left="18"/>
        <w:jc w:val="left"/>
        <w:rPr>
          <w:rFonts w:cs="Times New Roman"/>
          <w:b/>
          <w:bCs/>
          <w:szCs w:val="24"/>
          <w:lang w:val="en-GB"/>
        </w:rPr>
      </w:pPr>
    </w:p>
    <w:p w14:paraId="65D9238B" w14:textId="6D840924" w:rsidR="00EE0ECE" w:rsidRPr="0011694C" w:rsidRDefault="00EE0ECE" w:rsidP="00D014D3">
      <w:pPr>
        <w:pStyle w:val="Heading2"/>
        <w:tabs>
          <w:tab w:val="clear" w:pos="1021"/>
        </w:tabs>
        <w:spacing w:before="120" w:after="120" w:line="360" w:lineRule="auto"/>
        <w:ind w:left="567" w:hanging="567"/>
      </w:pPr>
      <w:bookmarkStart w:id="40" w:name="_Ref521501896"/>
      <w:r w:rsidRPr="0011694C">
        <w:t>Alliance membership</w:t>
      </w:r>
      <w:bookmarkEnd w:id="40"/>
    </w:p>
    <w:p w14:paraId="050E28DC" w14:textId="5C5F0036" w:rsidR="00AC3185" w:rsidDel="00174E31" w:rsidRDefault="009624EF" w:rsidP="001B7804">
      <w:pPr>
        <w:pStyle w:val="FlietextFolge"/>
        <w:spacing w:line="360" w:lineRule="auto"/>
        <w:ind w:firstLine="0"/>
      </w:pPr>
      <w:r w:rsidDel="00174E31">
        <w:t xml:space="preserve">In airline markets, primarily due to </w:t>
      </w:r>
      <w:r w:rsidR="00C20255" w:rsidDel="00174E31">
        <w:t xml:space="preserve">international </w:t>
      </w:r>
      <w:r w:rsidDel="00174E31">
        <w:t>ownership restrictions, airlines</w:t>
      </w:r>
      <w:r w:rsidR="00CF18DD" w:rsidDel="00174E31">
        <w:t xml:space="preserve"> often</w:t>
      </w:r>
      <w:r w:rsidDel="00174E31">
        <w:t xml:space="preserve"> sign horizontal agreements with other carriers to facilitate transfer of passengers between carriers to expand the reach </w:t>
      </w:r>
      <w:r w:rsidR="00CF18DD" w:rsidDel="00174E31">
        <w:t xml:space="preserve">and scope </w:t>
      </w:r>
      <w:r w:rsidDel="00174E31">
        <w:t>of their networks. While fundamentally these agreements are at the bilateral level, over time such agreements have evolved into multi-lateral arrangements, known as alliances</w:t>
      </w:r>
      <w:r w:rsidR="001D2F6D" w:rsidDel="00174E31">
        <w:t xml:space="preserve"> (see review by Douglas and Tan, 2017)</w:t>
      </w:r>
      <w:r w:rsidDel="00174E31">
        <w:t xml:space="preserve">. There are </w:t>
      </w:r>
      <w:r w:rsidDel="00174E31">
        <w:lastRenderedPageBreak/>
        <w:t>three primary alliances operated by full service carriers and often carriers within the same alliance will serve parallel routes. While</w:t>
      </w:r>
      <w:r w:rsidR="00CF18DD" w:rsidDel="00174E31">
        <w:t xml:space="preserve"> legally</w:t>
      </w:r>
      <w:r w:rsidDel="00174E31">
        <w:t xml:space="preserve"> those agreements cannot </w:t>
      </w:r>
      <w:r w:rsidR="00CF18DD" w:rsidDel="00174E31">
        <w:t xml:space="preserve">serve as an instrument to coordinate fares, the mere notion that carriers collaborate on certain operational aspects of the business, implicitly </w:t>
      </w:r>
      <w:r w:rsidR="005A60C0" w:rsidDel="00174E31">
        <w:t>diminishes</w:t>
      </w:r>
      <w:r w:rsidR="00CF18DD" w:rsidDel="00174E31">
        <w:t xml:space="preserve"> the degree of rivalry between them. </w:t>
      </w:r>
      <w:r w:rsidR="00AC3185" w:rsidDel="00174E31">
        <w:t xml:space="preserve">At the time of AA’s Chapter 11 </w:t>
      </w:r>
      <w:r w:rsidR="00877E41" w:rsidDel="00174E31">
        <w:t>bankruptcy</w:t>
      </w:r>
      <w:r w:rsidR="00AC3185" w:rsidDel="00174E31">
        <w:t>, it was in a joint venture with British Airways and Iberia (</w:t>
      </w:r>
      <w:proofErr w:type="spellStart"/>
      <w:r w:rsidR="00AC3185" w:rsidDel="00174E31">
        <w:t>Ustaomer</w:t>
      </w:r>
      <w:proofErr w:type="spellEnd"/>
      <w:r w:rsidR="00AC3185" w:rsidDel="00174E31">
        <w:t xml:space="preserve"> et al</w:t>
      </w:r>
      <w:r w:rsidR="001B7804" w:rsidDel="00174E31">
        <w:t>.</w:t>
      </w:r>
      <w:r w:rsidR="00AC3185" w:rsidDel="00174E31">
        <w:t>, 2015). This joint venture involved, amongst other aspects, revenue sharing</w:t>
      </w:r>
      <w:r w:rsidR="00EB0BAC" w:rsidDel="00174E31">
        <w:t xml:space="preserve">, which would </w:t>
      </w:r>
      <w:r w:rsidR="00971A43" w:rsidDel="00174E31">
        <w:t>have lessened the competitive rivalry between the partners</w:t>
      </w:r>
      <w:r w:rsidR="00AC3185" w:rsidDel="00174E31">
        <w:t xml:space="preserve">. </w:t>
      </w:r>
    </w:p>
    <w:p w14:paraId="18A321BB" w14:textId="36B5BD99" w:rsidR="004F18EE" w:rsidRDefault="00C20255" w:rsidP="006135EA">
      <w:pPr>
        <w:pStyle w:val="FlietextFolge"/>
        <w:spacing w:line="360" w:lineRule="auto"/>
        <w:ind w:firstLine="288"/>
      </w:pPr>
      <w:proofErr w:type="gramStart"/>
      <w:r w:rsidDel="00174E31">
        <w:t>Taking into account</w:t>
      </w:r>
      <w:proofErr w:type="gramEnd"/>
      <w:r w:rsidR="005A60C0" w:rsidDel="00174E31">
        <w:t xml:space="preserve"> </w:t>
      </w:r>
      <w:proofErr w:type="spellStart"/>
      <w:r w:rsidR="006C4ECD">
        <w:t>Oneworld</w:t>
      </w:r>
      <w:proofErr w:type="spellEnd"/>
      <w:r w:rsidR="006C4ECD">
        <w:t xml:space="preserve"> </w:t>
      </w:r>
      <w:r w:rsidR="00803272" w:rsidDel="00174E31">
        <w:t xml:space="preserve">alliance membership, the degree of concentration in the various </w:t>
      </w:r>
      <w:r w:rsidR="009A0854" w:rsidDel="00174E31">
        <w:t xml:space="preserve">international </w:t>
      </w:r>
      <w:r w:rsidR="00803272" w:rsidDel="00174E31">
        <w:t xml:space="preserve">markets increases. </w:t>
      </w:r>
      <w:r w:rsidR="009A0854" w:rsidDel="00174E31">
        <w:t>Accordingly, it worth exploring whether alliance membership affects price responses due to bankruptcy.</w:t>
      </w:r>
      <w:r w:rsidR="006C4ECD">
        <w:t xml:space="preserve"> Specifically, we ask whether alliance members adjust their prices differently than non-alliance competitors.</w:t>
      </w:r>
      <w:r w:rsidR="004F18EE">
        <w:t xml:space="preserve"> To that end, we reformulate</w:t>
      </w:r>
      <w:r w:rsidR="004F18EE" w:rsidDel="00174E31">
        <w:t xml:space="preserve"> (2) to capture </w:t>
      </w:r>
      <w:r w:rsidR="004F18EE" w:rsidRPr="00EE0ECE" w:rsidDel="00174E31">
        <w:t>the eff</w:t>
      </w:r>
      <w:r w:rsidR="004F18EE" w:rsidDel="00174E31">
        <w:t>ects of the alliance membership</w:t>
      </w:r>
      <w:r w:rsidR="004F18EE">
        <w:t>.</w:t>
      </w:r>
      <w:r w:rsidR="004F18EE" w:rsidDel="00174E31">
        <w:t xml:space="preserve"> </w:t>
      </w:r>
      <w:r w:rsidR="004F18EE">
        <w:t>S</w:t>
      </w:r>
      <w:r w:rsidR="004F18EE" w:rsidDel="00174E31">
        <w:t>eparat</w:t>
      </w:r>
      <w:r w:rsidR="004F18EE">
        <w:t>ing</w:t>
      </w:r>
      <w:r w:rsidR="004F18EE" w:rsidDel="00174E31">
        <w:t xml:space="preserve"> the responses by members of the same alliance, </w:t>
      </w:r>
      <m:oMath>
        <m:sSub>
          <m:sSubPr>
            <m:ctrlPr>
              <w:rPr>
                <w:rFonts w:ascii="Cambria Math" w:hAnsi="Cambria Math"/>
              </w:rPr>
            </m:ctrlPr>
          </m:sSubPr>
          <m:e>
            <m:r>
              <w:rPr>
                <w:rFonts w:ascii="Cambria Math" w:hAnsi="Cambria Math"/>
              </w:rPr>
              <m:t>α</m:t>
            </m:r>
          </m:e>
          <m:sub>
            <m:r>
              <w:rPr>
                <w:rFonts w:ascii="Cambria Math" w:hAnsi="Cambria Math"/>
              </w:rPr>
              <m:t>otherint OW</m:t>
            </m:r>
          </m:sub>
        </m:sSub>
      </m:oMath>
      <w:r w:rsidR="004F18EE" w:rsidDel="00174E31">
        <w:t xml:space="preserve"> and </w:t>
      </w:r>
      <m:oMath>
        <m:sSub>
          <m:sSubPr>
            <m:ctrlPr>
              <w:rPr>
                <w:rFonts w:ascii="Cambria Math" w:hAnsi="Cambria Math"/>
              </w:rPr>
            </m:ctrlPr>
          </m:sSubPr>
          <m:e>
            <m:r>
              <w:rPr>
                <w:rFonts w:ascii="Cambria Math" w:hAnsi="Cambria Math"/>
              </w:rPr>
              <m:t>β</m:t>
            </m:r>
          </m:e>
          <m:sub>
            <m:r>
              <w:rPr>
                <w:rFonts w:ascii="Cambria Math" w:hAnsi="Cambria Math"/>
              </w:rPr>
              <m:t>otherint OW</m:t>
            </m:r>
          </m:sub>
        </m:sSub>
      </m:oMath>
      <w:r w:rsidR="004F18EE" w:rsidDel="00174E31">
        <w:t xml:space="preserve">, from the responses of other carriers,  </w:t>
      </w:r>
      <m:oMath>
        <m:sSub>
          <m:sSubPr>
            <m:ctrlPr>
              <w:rPr>
                <w:rFonts w:ascii="Cambria Math" w:hAnsi="Cambria Math"/>
              </w:rPr>
            </m:ctrlPr>
          </m:sSubPr>
          <m:e>
            <m:r>
              <w:rPr>
                <w:rFonts w:ascii="Cambria Math" w:hAnsi="Cambria Math"/>
              </w:rPr>
              <m:t>α</m:t>
            </m:r>
          </m:e>
          <m:sub>
            <m:r>
              <w:rPr>
                <w:rFonts w:ascii="Cambria Math" w:hAnsi="Cambria Math"/>
              </w:rPr>
              <m:t>otherint non-OW</m:t>
            </m:r>
          </m:sub>
        </m:sSub>
      </m:oMath>
      <w:r w:rsidR="004F18EE" w:rsidDel="00174E31">
        <w:t xml:space="preserve"> and </w:t>
      </w:r>
      <m:oMath>
        <m:sSub>
          <m:sSubPr>
            <m:ctrlPr>
              <w:rPr>
                <w:rFonts w:ascii="Cambria Math" w:hAnsi="Cambria Math"/>
              </w:rPr>
            </m:ctrlPr>
          </m:sSubPr>
          <m:e>
            <m:r>
              <w:rPr>
                <w:rFonts w:ascii="Cambria Math" w:hAnsi="Cambria Math"/>
              </w:rPr>
              <m:t>β</m:t>
            </m:r>
          </m:e>
          <m:sub>
            <m:r>
              <w:rPr>
                <w:rFonts w:ascii="Cambria Math" w:hAnsi="Cambria Math"/>
              </w:rPr>
              <m:t>otherint non-OW</m:t>
            </m:r>
          </m:sub>
        </m:sSub>
      </m:oMath>
      <w:r w:rsidR="00866105">
        <w:t>,</w:t>
      </w:r>
      <w:r w:rsidR="004F18EE">
        <w:t>we consider the following specification:</w:t>
      </w:r>
    </w:p>
    <w:p w14:paraId="4551D20F" w14:textId="77777777" w:rsidR="004F18EE" w:rsidRPr="0089798F" w:rsidRDefault="004F18EE" w:rsidP="004F18EE">
      <w:pPr>
        <w:pStyle w:val="FlietextFolge"/>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881"/>
      </w:tblGrid>
      <w:tr w:rsidR="004F18EE" w14:paraId="0CD26EA0" w14:textId="77777777" w:rsidTr="0098662B">
        <w:tc>
          <w:tcPr>
            <w:tcW w:w="7763" w:type="dxa"/>
          </w:tcPr>
          <w:p w14:paraId="6EF45C18" w14:textId="2F605EC1" w:rsidR="004F18EE" w:rsidRDefault="00EC01D9" w:rsidP="0098662B">
            <w:pPr>
              <w:pStyle w:val="FlietextFolge"/>
              <w:spacing w:line="360" w:lineRule="auto"/>
              <w:ind w:firstLine="0"/>
              <w:jc w:val="left"/>
            </w:pPr>
            <m:oMathPara>
              <m:oMath>
                <m:func>
                  <m:funcPr>
                    <m:ctrlPr>
                      <w:rPr>
                        <w:rFonts w:ascii="Cambria Math" w:hAnsi="Cambria Math"/>
                      </w:rPr>
                    </m:ctrlPr>
                  </m:funcPr>
                  <m:fName>
                    <m:r>
                      <m:rPr>
                        <m:sty m:val="p"/>
                      </m:rPr>
                      <w:rPr>
                        <w:rFonts w:ascii="Cambria Math" w:hAnsi="Cambria Math"/>
                      </w:rPr>
                      <m:t>ln</m:t>
                    </m:r>
                  </m:fName>
                  <m:e>
                    <m:sSub>
                      <m:sSubPr>
                        <m:ctrlPr>
                          <w:rPr>
                            <w:rFonts w:ascii="Cambria Math" w:hAnsi="Cambria Math"/>
                          </w:rPr>
                        </m:ctrlPr>
                      </m:sSubPr>
                      <m:e>
                        <m:r>
                          <w:rPr>
                            <w:rFonts w:ascii="Cambria Math" w:hAnsi="Cambria Math"/>
                          </w:rPr>
                          <m:t>P</m:t>
                        </m:r>
                      </m:e>
                      <m:sub>
                        <m:r>
                          <w:rPr>
                            <w:rFonts w:ascii="Cambria Math" w:hAnsi="Cambria Math"/>
                          </w:rPr>
                          <m:t>crt</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own</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other</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own</m:t>
                        </m:r>
                      </m:sub>
                    </m:sSub>
                  </m:e>
                </m:func>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ownpast</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other</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ownint</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ownint</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otherint non-OW</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otherint non-OW</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otherint OW</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otherint OW</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ownint</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ownpastint</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otherint non-OW</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otherpastint non-OW</m:t>
                    </m:r>
                  </m:sup>
                </m:sSubSup>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otherint OW</m:t>
                    </m:r>
                  </m:sub>
                </m:sSub>
                <m:sSubSup>
                  <m:sSubSupPr>
                    <m:ctrlPr>
                      <w:rPr>
                        <w:rFonts w:ascii="Cambria Math" w:hAnsi="Cambria Math"/>
                      </w:rPr>
                    </m:ctrlPr>
                  </m:sSubSupPr>
                  <m:e>
                    <m:r>
                      <w:rPr>
                        <w:rFonts w:ascii="Cambria Math" w:hAnsi="Cambria Math"/>
                      </w:rPr>
                      <m:t>Bkt</m:t>
                    </m:r>
                  </m:e>
                  <m:sub>
                    <m:r>
                      <w:rPr>
                        <w:rFonts w:ascii="Cambria Math" w:hAnsi="Cambria Math"/>
                      </w:rPr>
                      <m:t>rt</m:t>
                    </m:r>
                  </m:sub>
                  <m:sup>
                    <m:r>
                      <w:rPr>
                        <w:rFonts w:ascii="Cambria Math" w:hAnsi="Cambria Math"/>
                      </w:rPr>
                      <m:t>otherpastint OW</m:t>
                    </m:r>
                  </m:sup>
                </m:sSubSup>
                <m:r>
                  <m:rPr>
                    <m:sty m:val="p"/>
                  </m:rPr>
                  <w:rPr>
                    <w:rFonts w:ascii="Cambria Math" w:hAnsi="Cambria Math"/>
                  </w:rPr>
                  <m:t>+γ</m:t>
                </m:r>
                <m:sSub>
                  <m:sSubPr>
                    <m:ctrlPr>
                      <w:rPr>
                        <w:rFonts w:ascii="Cambria Math" w:hAnsi="Cambria Math"/>
                      </w:rPr>
                    </m:ctrlPr>
                  </m:sSubPr>
                  <m:e>
                    <m:r>
                      <w:rPr>
                        <w:rFonts w:ascii="Cambria Math" w:hAnsi="Cambria Math"/>
                      </w:rPr>
                      <m:t>HHI</m:t>
                    </m:r>
                  </m:e>
                  <m:sub>
                    <m:r>
                      <w:rPr>
                        <w:rFonts w:ascii="Cambria Math" w:hAnsi="Cambria Math"/>
                      </w:rPr>
                      <m:t>rt</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cr</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crt</m:t>
                    </m:r>
                  </m:sub>
                </m:sSub>
              </m:oMath>
            </m:oMathPara>
          </w:p>
        </w:tc>
        <w:tc>
          <w:tcPr>
            <w:tcW w:w="881" w:type="dxa"/>
            <w:vAlign w:val="center"/>
          </w:tcPr>
          <w:p w14:paraId="2F7DEBF9" w14:textId="327015D3" w:rsidR="004F18EE" w:rsidRDefault="004F18EE" w:rsidP="0098662B">
            <w:pPr>
              <w:pStyle w:val="Caption"/>
              <w:spacing w:after="0" w:line="360" w:lineRule="auto"/>
              <w:jc w:val="center"/>
            </w:pPr>
            <w:r w:rsidRPr="00D122AA">
              <w:rPr>
                <w:sz w:val="24"/>
              </w:rPr>
              <w:t>(</w:t>
            </w:r>
            <w:r w:rsidRPr="00D122AA">
              <w:rPr>
                <w:sz w:val="24"/>
              </w:rPr>
              <w:fldChar w:fldCharType="begin"/>
            </w:r>
            <w:r w:rsidRPr="00D122AA">
              <w:rPr>
                <w:sz w:val="24"/>
              </w:rPr>
              <w:instrText xml:space="preserve"> SEQ Formel \* ARABIC </w:instrText>
            </w:r>
            <w:r w:rsidRPr="00D122AA">
              <w:rPr>
                <w:sz w:val="24"/>
              </w:rPr>
              <w:fldChar w:fldCharType="separate"/>
            </w:r>
            <w:r w:rsidR="00886B31">
              <w:rPr>
                <w:noProof/>
                <w:sz w:val="24"/>
              </w:rPr>
              <w:t>3</w:t>
            </w:r>
            <w:r w:rsidRPr="00D122AA">
              <w:rPr>
                <w:sz w:val="24"/>
              </w:rPr>
              <w:fldChar w:fldCharType="end"/>
            </w:r>
            <w:r w:rsidRPr="00D122AA">
              <w:rPr>
                <w:sz w:val="24"/>
              </w:rPr>
              <w:t>)</w:t>
            </w:r>
          </w:p>
        </w:tc>
      </w:tr>
    </w:tbl>
    <w:p w14:paraId="68DEE7E5" w14:textId="77777777" w:rsidR="004F18EE" w:rsidDel="00174E31" w:rsidRDefault="004F18EE" w:rsidP="00566DE0">
      <w:pPr>
        <w:pStyle w:val="FlietextFolge"/>
        <w:spacing w:line="360" w:lineRule="auto"/>
        <w:ind w:firstLine="288"/>
      </w:pPr>
    </w:p>
    <w:p w14:paraId="5CA5C56F" w14:textId="72F54CDE" w:rsidR="00EE0ECE" w:rsidRPr="00EE0ECE" w:rsidDel="00174E31" w:rsidRDefault="00EE0ECE" w:rsidP="00566DE0">
      <w:pPr>
        <w:pStyle w:val="FlietextFolge"/>
        <w:spacing w:line="360" w:lineRule="auto"/>
        <w:ind w:firstLine="288"/>
      </w:pPr>
      <w:r w:rsidRPr="00EE0ECE" w:rsidDel="00174E31">
        <w:t>I</w:t>
      </w:r>
      <w:r w:rsidR="009A0854" w:rsidDel="00174E31">
        <w:t xml:space="preserve">n </w:t>
      </w:r>
      <w:r w:rsidR="00866105">
        <w:fldChar w:fldCharType="begin"/>
      </w:r>
      <w:r w:rsidR="00866105">
        <w:instrText xml:space="preserve"> REF _Ref521502904 \h </w:instrText>
      </w:r>
      <w:r w:rsidR="00866105">
        <w:fldChar w:fldCharType="separate"/>
      </w:r>
      <w:r w:rsidR="00886B31">
        <w:t xml:space="preserve">Table </w:t>
      </w:r>
      <w:r w:rsidR="00886B31">
        <w:rPr>
          <w:noProof/>
        </w:rPr>
        <w:t>9</w:t>
      </w:r>
      <w:r w:rsidR="00866105">
        <w:fldChar w:fldCharType="end"/>
      </w:r>
      <w:r w:rsidR="00866105">
        <w:t xml:space="preserve"> </w:t>
      </w:r>
      <w:r w:rsidR="009A0854" w:rsidDel="00174E31">
        <w:t xml:space="preserve">we estimate </w:t>
      </w:r>
      <w:r w:rsidR="00866105">
        <w:t xml:space="preserve">(3) following the same variations as before. The key results persist. </w:t>
      </w:r>
      <w:r w:rsidR="005D70D8" w:rsidDel="00174E31">
        <w:t>The main difference that emerges, is that by separating the responses</w:t>
      </w:r>
      <w:r w:rsidR="00866105">
        <w:t xml:space="preserve"> of the alliance members from the non-alliance competitors</w:t>
      </w:r>
      <w:r w:rsidR="005D70D8" w:rsidDel="00174E31">
        <w:t xml:space="preserve">, we observe that </w:t>
      </w:r>
      <w:r w:rsidRPr="00EE0ECE" w:rsidDel="00174E31">
        <w:t xml:space="preserve">alliance members seem to be not </w:t>
      </w:r>
      <w:r w:rsidR="005D70D8" w:rsidDel="00174E31">
        <w:t>adjusting their fares</w:t>
      </w:r>
      <w:r w:rsidRPr="00EE0ECE" w:rsidDel="00174E31">
        <w:t xml:space="preserve"> </w:t>
      </w:r>
      <w:r w:rsidR="005D70D8" w:rsidDel="00174E31">
        <w:t>when their counterpart goes into bankruptcy, while upon emergence from bankruptcy their pricing behaviour is in line with the other competitors.</w:t>
      </w:r>
    </w:p>
    <w:p w14:paraId="7ABD2D34" w14:textId="202D2B9F" w:rsidR="00EE0ECE" w:rsidRDefault="00EE0ECE" w:rsidP="00EE0ECE">
      <w:pPr>
        <w:pStyle w:val="FlietextFolge"/>
      </w:pPr>
    </w:p>
    <w:p w14:paraId="4AFD5889" w14:textId="77777777" w:rsidR="003D486E" w:rsidRDefault="003D486E" w:rsidP="003D486E">
      <w:pPr>
        <w:spacing w:line="360" w:lineRule="auto"/>
        <w:ind w:left="18"/>
        <w:jc w:val="left"/>
        <w:rPr>
          <w:rFonts w:cs="Times New Roman"/>
          <w:szCs w:val="24"/>
        </w:rPr>
      </w:pPr>
    </w:p>
    <w:p w14:paraId="743A5EC7" w14:textId="4792E2E0" w:rsidR="003D486E" w:rsidRDefault="003D486E" w:rsidP="003D486E">
      <w:pPr>
        <w:pStyle w:val="Caption"/>
        <w:keepNext/>
      </w:pPr>
      <w:bookmarkStart w:id="41" w:name="_Ref521502904"/>
      <w:r>
        <w:lastRenderedPageBreak/>
        <w:t xml:space="preserve">Table </w:t>
      </w:r>
      <w:r>
        <w:fldChar w:fldCharType="begin"/>
      </w:r>
      <w:r>
        <w:instrText xml:space="preserve"> SEQ Table \* ARABIC </w:instrText>
      </w:r>
      <w:r>
        <w:fldChar w:fldCharType="separate"/>
      </w:r>
      <w:r w:rsidR="00886B31">
        <w:rPr>
          <w:noProof/>
        </w:rPr>
        <w:t>9</w:t>
      </w:r>
      <w:r>
        <w:fldChar w:fldCharType="end"/>
      </w:r>
      <w:bookmarkEnd w:id="41"/>
      <w:r>
        <w:t xml:space="preserve">: Effects of Chapter 11 filings on prices in US domestic and international markets (dependent variable ln </w:t>
      </w:r>
      <m:oMath>
        <m:sSub>
          <m:sSubPr>
            <m:ctrlPr>
              <w:rPr>
                <w:rFonts w:ascii="Cambria Math" w:hAnsi="Cambria Math"/>
              </w:rPr>
            </m:ctrlPr>
          </m:sSubPr>
          <m:e>
            <m:r>
              <w:rPr>
                <w:rFonts w:ascii="Cambria Math" w:hAnsi="Cambria Math"/>
              </w:rPr>
              <m:t>P</m:t>
            </m:r>
          </m:e>
          <m:sub>
            <m:r>
              <w:rPr>
                <w:rFonts w:ascii="Cambria Math" w:hAnsi="Cambria Math"/>
              </w:rPr>
              <m:t>crt</m:t>
            </m:r>
          </m:sub>
        </m:sSub>
      </m:oMath>
      <w:r>
        <w:t>),</w:t>
      </w:r>
      <w:r w:rsidRPr="002B0AF4">
        <w:t xml:space="preserve"> </w:t>
      </w:r>
      <w:r>
        <w:t>routes covering 50% of total traffic</w:t>
      </w:r>
    </w:p>
    <w:tbl>
      <w:tblPr>
        <w:tblStyle w:val="HelleSchattierung-Akzent11"/>
        <w:tblW w:w="8645" w:type="dxa"/>
        <w:tblLayout w:type="fixed"/>
        <w:tblLook w:val="0600" w:firstRow="0" w:lastRow="0" w:firstColumn="0" w:lastColumn="0" w:noHBand="1" w:noVBand="1"/>
      </w:tblPr>
      <w:tblGrid>
        <w:gridCol w:w="2410"/>
        <w:gridCol w:w="1247"/>
        <w:gridCol w:w="1247"/>
        <w:gridCol w:w="1247"/>
        <w:gridCol w:w="1247"/>
        <w:gridCol w:w="1247"/>
      </w:tblGrid>
      <w:tr w:rsidR="003D486E" w:rsidRPr="0095351A" w14:paraId="7776E746" w14:textId="77777777" w:rsidTr="003D486E">
        <w:tc>
          <w:tcPr>
            <w:tcW w:w="2410" w:type="dxa"/>
            <w:tcBorders>
              <w:top w:val="single" w:sz="8" w:space="0" w:color="000000" w:themeColor="text1"/>
              <w:bottom w:val="single" w:sz="4" w:space="0" w:color="auto"/>
            </w:tcBorders>
          </w:tcPr>
          <w:p w14:paraId="7E52F56B" w14:textId="77777777" w:rsidR="003D486E" w:rsidRPr="0095351A" w:rsidRDefault="003D486E" w:rsidP="003D486E">
            <w:pPr>
              <w:widowControl w:val="0"/>
              <w:autoSpaceDE w:val="0"/>
              <w:autoSpaceDN w:val="0"/>
              <w:adjustRightInd w:val="0"/>
              <w:spacing w:line="240" w:lineRule="auto"/>
              <w:rPr>
                <w:rFonts w:cs="Times New Roman"/>
                <w:szCs w:val="24"/>
                <w:lang w:val="en-GB"/>
              </w:rPr>
            </w:pPr>
          </w:p>
        </w:tc>
        <w:tc>
          <w:tcPr>
            <w:tcW w:w="1247" w:type="dxa"/>
            <w:tcBorders>
              <w:top w:val="single" w:sz="8" w:space="0" w:color="000000" w:themeColor="text1"/>
              <w:bottom w:val="single" w:sz="4" w:space="0" w:color="auto"/>
            </w:tcBorders>
          </w:tcPr>
          <w:p w14:paraId="4F9E1743"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(1)</w:t>
            </w:r>
          </w:p>
        </w:tc>
        <w:tc>
          <w:tcPr>
            <w:tcW w:w="1247" w:type="dxa"/>
            <w:tcBorders>
              <w:top w:val="single" w:sz="8" w:space="0" w:color="000000" w:themeColor="text1"/>
              <w:bottom w:val="single" w:sz="4" w:space="0" w:color="auto"/>
            </w:tcBorders>
          </w:tcPr>
          <w:p w14:paraId="7EEF35E2"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(2)</w:t>
            </w:r>
          </w:p>
        </w:tc>
        <w:tc>
          <w:tcPr>
            <w:tcW w:w="1247" w:type="dxa"/>
            <w:tcBorders>
              <w:top w:val="single" w:sz="8" w:space="0" w:color="000000" w:themeColor="text1"/>
              <w:bottom w:val="single" w:sz="4" w:space="0" w:color="auto"/>
            </w:tcBorders>
          </w:tcPr>
          <w:p w14:paraId="39F3296B"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sidRPr="0095351A">
              <w:rPr>
                <w:rFonts w:cs="Times New Roman"/>
                <w:szCs w:val="24"/>
                <w:lang w:val="en-GB"/>
              </w:rPr>
              <w:t>(3)</w:t>
            </w:r>
          </w:p>
        </w:tc>
        <w:tc>
          <w:tcPr>
            <w:tcW w:w="1247" w:type="dxa"/>
            <w:tcBorders>
              <w:top w:val="single" w:sz="8" w:space="0" w:color="000000" w:themeColor="text1"/>
              <w:bottom w:val="single" w:sz="4" w:space="0" w:color="auto"/>
            </w:tcBorders>
          </w:tcPr>
          <w:p w14:paraId="4088D3B3"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lang w:val="en-GB"/>
              </w:rPr>
              <w:t>(4</w:t>
            </w:r>
            <w:r w:rsidRPr="0095351A">
              <w:rPr>
                <w:rFonts w:cs="Times New Roman"/>
                <w:szCs w:val="24"/>
                <w:lang w:val="en-GB"/>
              </w:rPr>
              <w:t>)</w:t>
            </w:r>
          </w:p>
        </w:tc>
        <w:tc>
          <w:tcPr>
            <w:tcW w:w="1247" w:type="dxa"/>
            <w:tcBorders>
              <w:top w:val="single" w:sz="8" w:space="0" w:color="000000" w:themeColor="text1"/>
              <w:bottom w:val="single" w:sz="4" w:space="0" w:color="auto"/>
            </w:tcBorders>
          </w:tcPr>
          <w:p w14:paraId="5C2E4E18" w14:textId="77777777" w:rsidR="003D486E"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lang w:val="en-GB"/>
              </w:rPr>
              <w:t>(5)</w:t>
            </w:r>
          </w:p>
        </w:tc>
      </w:tr>
      <w:tr w:rsidR="003D486E" w:rsidRPr="0095351A" w14:paraId="342DB49C" w14:textId="77777777" w:rsidTr="003D486E">
        <w:tc>
          <w:tcPr>
            <w:tcW w:w="2410" w:type="dxa"/>
            <w:tcBorders>
              <w:top w:val="single" w:sz="4" w:space="0" w:color="auto"/>
            </w:tcBorders>
            <w:vAlign w:val="center"/>
          </w:tcPr>
          <w:p w14:paraId="27937299"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m:t>
                  </m:r>
                </m:sub>
              </m:sSub>
            </m:oMath>
          </w:p>
        </w:tc>
        <w:tc>
          <w:tcPr>
            <w:tcW w:w="1247" w:type="dxa"/>
            <w:tcBorders>
              <w:top w:val="single" w:sz="4" w:space="0" w:color="auto"/>
            </w:tcBorders>
          </w:tcPr>
          <w:p w14:paraId="5EA02F52"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-0.048***</w:t>
            </w:r>
          </w:p>
        </w:tc>
        <w:tc>
          <w:tcPr>
            <w:tcW w:w="1247" w:type="dxa"/>
            <w:tcBorders>
              <w:top w:val="single" w:sz="4" w:space="0" w:color="auto"/>
            </w:tcBorders>
          </w:tcPr>
          <w:p w14:paraId="4244518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-0.047***</w:t>
            </w:r>
          </w:p>
        </w:tc>
        <w:tc>
          <w:tcPr>
            <w:tcW w:w="1247" w:type="dxa"/>
            <w:tcBorders>
              <w:top w:val="single" w:sz="4" w:space="0" w:color="auto"/>
            </w:tcBorders>
          </w:tcPr>
          <w:p w14:paraId="51F881BB"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-0.063***</w:t>
            </w:r>
          </w:p>
        </w:tc>
        <w:tc>
          <w:tcPr>
            <w:tcW w:w="1247" w:type="dxa"/>
            <w:tcBorders>
              <w:top w:val="single" w:sz="4" w:space="0" w:color="auto"/>
            </w:tcBorders>
          </w:tcPr>
          <w:p w14:paraId="4595CD08"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-0.044***</w:t>
            </w:r>
          </w:p>
        </w:tc>
        <w:tc>
          <w:tcPr>
            <w:tcW w:w="1247" w:type="dxa"/>
            <w:tcBorders>
              <w:top w:val="single" w:sz="4" w:space="0" w:color="auto"/>
            </w:tcBorders>
          </w:tcPr>
          <w:p w14:paraId="1EE78D8A"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-0.032***</w:t>
            </w:r>
          </w:p>
        </w:tc>
      </w:tr>
      <w:tr w:rsidR="003D486E" w:rsidRPr="0095351A" w14:paraId="3CA36485" w14:textId="77777777" w:rsidTr="003D486E">
        <w:tc>
          <w:tcPr>
            <w:tcW w:w="2410" w:type="dxa"/>
            <w:vAlign w:val="center"/>
          </w:tcPr>
          <w:p w14:paraId="58769777"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589DA56B"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32DFD702"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50483919"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7DC357F5"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4A125714"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r>
      <w:tr w:rsidR="003D486E" w:rsidRPr="0095351A" w14:paraId="2A186FDC" w14:textId="77777777" w:rsidTr="003D486E">
        <w:tc>
          <w:tcPr>
            <w:tcW w:w="2410" w:type="dxa"/>
            <w:vAlign w:val="center"/>
          </w:tcPr>
          <w:p w14:paraId="63541C61"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m:t>
                  </m:r>
                </m:sub>
              </m:sSub>
            </m:oMath>
          </w:p>
        </w:tc>
        <w:tc>
          <w:tcPr>
            <w:tcW w:w="1247" w:type="dxa"/>
          </w:tcPr>
          <w:p w14:paraId="2CD19BD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0.022***</w:t>
            </w:r>
          </w:p>
        </w:tc>
        <w:tc>
          <w:tcPr>
            <w:tcW w:w="1247" w:type="dxa"/>
          </w:tcPr>
          <w:p w14:paraId="00536DF5"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0.020***</w:t>
            </w:r>
          </w:p>
        </w:tc>
        <w:tc>
          <w:tcPr>
            <w:tcW w:w="1247" w:type="dxa"/>
          </w:tcPr>
          <w:p w14:paraId="1BADF8F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0.025***</w:t>
            </w:r>
          </w:p>
        </w:tc>
        <w:tc>
          <w:tcPr>
            <w:tcW w:w="1247" w:type="dxa"/>
          </w:tcPr>
          <w:p w14:paraId="7C35E976"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0.021***</w:t>
            </w:r>
          </w:p>
        </w:tc>
        <w:tc>
          <w:tcPr>
            <w:tcW w:w="1247" w:type="dxa"/>
          </w:tcPr>
          <w:p w14:paraId="3B4A3D24"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r>
      <w:tr w:rsidR="003D486E" w:rsidRPr="0095351A" w14:paraId="02FFD289" w14:textId="77777777" w:rsidTr="003D486E">
        <w:tc>
          <w:tcPr>
            <w:tcW w:w="2410" w:type="dxa"/>
            <w:vAlign w:val="center"/>
          </w:tcPr>
          <w:p w14:paraId="06882657"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30337BC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422110AF"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0989DFA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095671A6"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5452AE9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r>
      <w:tr w:rsidR="003D486E" w:rsidRPr="0095351A" w14:paraId="40DA134A" w14:textId="77777777" w:rsidTr="003D486E">
        <w:tc>
          <w:tcPr>
            <w:tcW w:w="2410" w:type="dxa"/>
            <w:vAlign w:val="center"/>
          </w:tcPr>
          <w:p w14:paraId="2B3C8DCA"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m:t>
                  </m:r>
                </m:sub>
              </m:sSub>
            </m:oMath>
          </w:p>
        </w:tc>
        <w:tc>
          <w:tcPr>
            <w:tcW w:w="1247" w:type="dxa"/>
          </w:tcPr>
          <w:p w14:paraId="4D1844D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-0.066***</w:t>
            </w:r>
          </w:p>
        </w:tc>
        <w:tc>
          <w:tcPr>
            <w:tcW w:w="1247" w:type="dxa"/>
          </w:tcPr>
          <w:p w14:paraId="3714ECE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-0.064***</w:t>
            </w:r>
          </w:p>
        </w:tc>
        <w:tc>
          <w:tcPr>
            <w:tcW w:w="1247" w:type="dxa"/>
          </w:tcPr>
          <w:p w14:paraId="38D03D3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-0.080***</w:t>
            </w:r>
          </w:p>
        </w:tc>
        <w:tc>
          <w:tcPr>
            <w:tcW w:w="1247" w:type="dxa"/>
          </w:tcPr>
          <w:p w14:paraId="27CA54A2"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-0.052***</w:t>
            </w:r>
          </w:p>
        </w:tc>
        <w:tc>
          <w:tcPr>
            <w:tcW w:w="1247" w:type="dxa"/>
          </w:tcPr>
          <w:p w14:paraId="181D8DEA"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-0.061***</w:t>
            </w:r>
          </w:p>
        </w:tc>
      </w:tr>
      <w:tr w:rsidR="003D486E" w:rsidRPr="0095351A" w14:paraId="5DDCCD33" w14:textId="77777777" w:rsidTr="003D486E">
        <w:tc>
          <w:tcPr>
            <w:tcW w:w="2410" w:type="dxa"/>
            <w:vAlign w:val="center"/>
          </w:tcPr>
          <w:p w14:paraId="0922CA17"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16AF7D6B"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656B3A06"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5D9DF54F"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(0.004)</w:t>
            </w:r>
          </w:p>
        </w:tc>
        <w:tc>
          <w:tcPr>
            <w:tcW w:w="1247" w:type="dxa"/>
          </w:tcPr>
          <w:p w14:paraId="0FD8BE94"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0913F64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(0.004)</w:t>
            </w:r>
          </w:p>
        </w:tc>
      </w:tr>
      <w:tr w:rsidR="003D486E" w:rsidRPr="0095351A" w14:paraId="7CCAC725" w14:textId="77777777" w:rsidTr="003D486E">
        <w:tc>
          <w:tcPr>
            <w:tcW w:w="2410" w:type="dxa"/>
            <w:vAlign w:val="center"/>
          </w:tcPr>
          <w:p w14:paraId="7AB90693"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m:t>
                  </m:r>
                </m:sub>
              </m:sSub>
            </m:oMath>
          </w:p>
        </w:tc>
        <w:tc>
          <w:tcPr>
            <w:tcW w:w="1247" w:type="dxa"/>
          </w:tcPr>
          <w:p w14:paraId="273E2892"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0.015***</w:t>
            </w:r>
          </w:p>
        </w:tc>
        <w:tc>
          <w:tcPr>
            <w:tcW w:w="1247" w:type="dxa"/>
          </w:tcPr>
          <w:p w14:paraId="16A72390"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0.013***</w:t>
            </w:r>
          </w:p>
        </w:tc>
        <w:tc>
          <w:tcPr>
            <w:tcW w:w="1247" w:type="dxa"/>
          </w:tcPr>
          <w:p w14:paraId="250BF978"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0.025***</w:t>
            </w:r>
          </w:p>
        </w:tc>
        <w:tc>
          <w:tcPr>
            <w:tcW w:w="1247" w:type="dxa"/>
          </w:tcPr>
          <w:p w14:paraId="576E463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0.025***</w:t>
            </w:r>
          </w:p>
        </w:tc>
        <w:tc>
          <w:tcPr>
            <w:tcW w:w="1247" w:type="dxa"/>
          </w:tcPr>
          <w:p w14:paraId="3C895D3D"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r>
      <w:tr w:rsidR="003D486E" w:rsidRPr="0095351A" w14:paraId="401ADA41" w14:textId="77777777" w:rsidTr="003D486E">
        <w:tc>
          <w:tcPr>
            <w:tcW w:w="2410" w:type="dxa"/>
            <w:vAlign w:val="center"/>
          </w:tcPr>
          <w:p w14:paraId="0A46DC6B"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5B829FA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3D33BF02"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0533747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2206B5D2"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(0.002)</w:t>
            </w:r>
          </w:p>
        </w:tc>
        <w:tc>
          <w:tcPr>
            <w:tcW w:w="1247" w:type="dxa"/>
          </w:tcPr>
          <w:p w14:paraId="7679F78D"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r>
      <w:tr w:rsidR="003D486E" w:rsidRPr="0095351A" w14:paraId="070CCEE4" w14:textId="77777777" w:rsidTr="003D486E">
        <w:tc>
          <w:tcPr>
            <w:tcW w:w="2410" w:type="dxa"/>
            <w:vAlign w:val="center"/>
          </w:tcPr>
          <w:p w14:paraId="6133B72B"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α</m:t>
                  </m:r>
                </m:e>
                <m:sub>
                  <m:r>
                    <w:rPr>
                      <w:rFonts w:ascii="Cambria Math" w:hAnsi="Cambria Math"/>
                    </w:rPr>
                    <m:t>ownint</m:t>
                  </m:r>
                </m:sub>
              </m:sSub>
            </m:oMath>
          </w:p>
        </w:tc>
        <w:tc>
          <w:tcPr>
            <w:tcW w:w="1247" w:type="dxa"/>
          </w:tcPr>
          <w:p w14:paraId="1806D85F"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-0.476***</w:t>
            </w:r>
          </w:p>
        </w:tc>
        <w:tc>
          <w:tcPr>
            <w:tcW w:w="1247" w:type="dxa"/>
          </w:tcPr>
          <w:p w14:paraId="59A76FA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-0.463***</w:t>
            </w:r>
          </w:p>
        </w:tc>
        <w:tc>
          <w:tcPr>
            <w:tcW w:w="1247" w:type="dxa"/>
          </w:tcPr>
          <w:p w14:paraId="07725965"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-0.415***</w:t>
            </w:r>
          </w:p>
        </w:tc>
        <w:tc>
          <w:tcPr>
            <w:tcW w:w="1247" w:type="dxa"/>
          </w:tcPr>
          <w:p w14:paraId="48DC2C5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-0.477***</w:t>
            </w:r>
          </w:p>
        </w:tc>
        <w:tc>
          <w:tcPr>
            <w:tcW w:w="1247" w:type="dxa"/>
          </w:tcPr>
          <w:p w14:paraId="419EE039"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-0.159***</w:t>
            </w:r>
          </w:p>
        </w:tc>
      </w:tr>
      <w:tr w:rsidR="003D486E" w:rsidRPr="0095351A" w14:paraId="0716B85B" w14:textId="77777777" w:rsidTr="003D486E">
        <w:tc>
          <w:tcPr>
            <w:tcW w:w="2410" w:type="dxa"/>
            <w:vAlign w:val="center"/>
          </w:tcPr>
          <w:p w14:paraId="1169AEB0"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1E5F4FB6"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4981AE5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0F0931EB"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6ECCCBB3"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41AF8F3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(0.019)</w:t>
            </w:r>
          </w:p>
        </w:tc>
      </w:tr>
      <w:tr w:rsidR="003D486E" w:rsidRPr="0095351A" w14:paraId="58E6488A" w14:textId="77777777" w:rsidTr="003D486E">
        <w:tc>
          <w:tcPr>
            <w:tcW w:w="2410" w:type="dxa"/>
            <w:vAlign w:val="center"/>
          </w:tcPr>
          <w:p w14:paraId="0DAB4072"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α</m:t>
                  </m:r>
                </m:e>
                <m:sub>
                  <m:r>
                    <w:rPr>
                      <w:rFonts w:ascii="Cambria Math" w:hAnsi="Cambria Math"/>
                    </w:rPr>
                    <m:t>otherint non-OW</m:t>
                  </m:r>
                </m:sub>
              </m:sSub>
            </m:oMath>
          </w:p>
        </w:tc>
        <w:tc>
          <w:tcPr>
            <w:tcW w:w="1247" w:type="dxa"/>
          </w:tcPr>
          <w:p w14:paraId="7DD4108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-0.040***</w:t>
            </w:r>
          </w:p>
        </w:tc>
        <w:tc>
          <w:tcPr>
            <w:tcW w:w="1247" w:type="dxa"/>
          </w:tcPr>
          <w:p w14:paraId="4B8B174F"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-0.048***</w:t>
            </w:r>
          </w:p>
        </w:tc>
        <w:tc>
          <w:tcPr>
            <w:tcW w:w="1247" w:type="dxa"/>
          </w:tcPr>
          <w:p w14:paraId="320A0CBD"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-0.106***</w:t>
            </w:r>
          </w:p>
        </w:tc>
        <w:tc>
          <w:tcPr>
            <w:tcW w:w="1247" w:type="dxa"/>
          </w:tcPr>
          <w:p w14:paraId="46977CB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-0.033***</w:t>
            </w:r>
          </w:p>
        </w:tc>
        <w:tc>
          <w:tcPr>
            <w:tcW w:w="1247" w:type="dxa"/>
          </w:tcPr>
          <w:p w14:paraId="3C991C7A"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-0.054***</w:t>
            </w:r>
          </w:p>
        </w:tc>
      </w:tr>
      <w:tr w:rsidR="003D486E" w:rsidRPr="0095351A" w14:paraId="6227E4BD" w14:textId="77777777" w:rsidTr="003D486E">
        <w:tc>
          <w:tcPr>
            <w:tcW w:w="2410" w:type="dxa"/>
            <w:vAlign w:val="center"/>
          </w:tcPr>
          <w:p w14:paraId="1579B645"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79522A43"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602C4B3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1E4D8493"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1EE3B2DA"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2051188F"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(0.007)</w:t>
            </w:r>
          </w:p>
        </w:tc>
      </w:tr>
      <w:tr w:rsidR="003D486E" w:rsidRPr="0095351A" w14:paraId="250CA5BD" w14:textId="77777777" w:rsidTr="003D486E">
        <w:tc>
          <w:tcPr>
            <w:tcW w:w="2410" w:type="dxa"/>
            <w:vAlign w:val="center"/>
          </w:tcPr>
          <w:p w14:paraId="2F7F08BE" w14:textId="77777777" w:rsidR="003D486E" w:rsidRPr="00174E31" w:rsidRDefault="00EC01D9" w:rsidP="003D486E">
            <w:pPr>
              <w:widowControl w:val="0"/>
              <w:autoSpaceDE w:val="0"/>
              <w:autoSpaceDN w:val="0"/>
              <w:adjustRightInd w:val="0"/>
              <w:spacing w:line="240" w:lineRule="auto"/>
              <w:jc w:val="left"/>
              <w:rPr>
                <w:rFonts w:cs="Times New Roman"/>
                <w:szCs w:val="24"/>
                <w:lang w:val="en-GB"/>
              </w:rPr>
            </w:pPr>
            <m:oMathPara>
              <m:oMathParaPr>
                <m:jc m:val="left"/>
              </m:oMathParaPr>
              <m:oMath>
                <m:sSub>
                  <m:sSubPr>
                    <m:ctrlPr>
                      <w:rPr>
                        <w:rFonts w:ascii="Cambria Math" w:hAnsi="Cambria Math"/>
                      </w:rPr>
                    </m:ctrlPr>
                  </m:sSubPr>
                  <m:e>
                    <m:r>
                      <w:rPr>
                        <w:rFonts w:ascii="Cambria Math" w:hAnsi="Cambria Math"/>
                      </w:rPr>
                      <m:t>α</m:t>
                    </m:r>
                  </m:e>
                  <m:sub>
                    <m:r>
                      <w:rPr>
                        <w:rFonts w:ascii="Cambria Math" w:hAnsi="Cambria Math"/>
                      </w:rPr>
                      <m:t>otherint OW</m:t>
                    </m:r>
                  </m:sub>
                </m:sSub>
              </m:oMath>
            </m:oMathPara>
          </w:p>
        </w:tc>
        <w:tc>
          <w:tcPr>
            <w:tcW w:w="1247" w:type="dxa"/>
          </w:tcPr>
          <w:p w14:paraId="377F31F2"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0.010</w:t>
            </w:r>
          </w:p>
        </w:tc>
        <w:tc>
          <w:tcPr>
            <w:tcW w:w="1247" w:type="dxa"/>
          </w:tcPr>
          <w:p w14:paraId="25ABF159"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0.003</w:t>
            </w:r>
          </w:p>
        </w:tc>
        <w:tc>
          <w:tcPr>
            <w:tcW w:w="1247" w:type="dxa"/>
          </w:tcPr>
          <w:p w14:paraId="5056B46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0.011</w:t>
            </w:r>
          </w:p>
        </w:tc>
        <w:tc>
          <w:tcPr>
            <w:tcW w:w="1247" w:type="dxa"/>
          </w:tcPr>
          <w:p w14:paraId="2953C1CA"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0D3E2B3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0.024**</w:t>
            </w:r>
          </w:p>
        </w:tc>
      </w:tr>
      <w:tr w:rsidR="003D486E" w:rsidRPr="0095351A" w14:paraId="0810CF8A" w14:textId="77777777" w:rsidTr="003D486E">
        <w:tc>
          <w:tcPr>
            <w:tcW w:w="2410" w:type="dxa"/>
            <w:vAlign w:val="center"/>
          </w:tcPr>
          <w:p w14:paraId="713F0572"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19C0D2B0"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155F6F8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09471DE3"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(0.009)</w:t>
            </w:r>
          </w:p>
        </w:tc>
        <w:tc>
          <w:tcPr>
            <w:tcW w:w="1247" w:type="dxa"/>
          </w:tcPr>
          <w:p w14:paraId="085240A5"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(0.009)</w:t>
            </w:r>
          </w:p>
        </w:tc>
        <w:tc>
          <w:tcPr>
            <w:tcW w:w="1247" w:type="dxa"/>
          </w:tcPr>
          <w:p w14:paraId="5686AFBD"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(0.010)</w:t>
            </w:r>
          </w:p>
        </w:tc>
      </w:tr>
      <w:tr w:rsidR="003D486E" w:rsidRPr="0095351A" w14:paraId="2D82F074" w14:textId="77777777" w:rsidTr="003D486E">
        <w:tc>
          <w:tcPr>
            <w:tcW w:w="2410" w:type="dxa"/>
            <w:vAlign w:val="center"/>
          </w:tcPr>
          <w:p w14:paraId="07F68780"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rPr>
                <w:rFonts w:cs="Times New Roman"/>
              </w:rPr>
              <w:t xml:space="preserve"> </w:t>
            </w:r>
            <m:oMath>
              <m:sSub>
                <m:sSubPr>
                  <m:ctrlPr>
                    <w:rPr>
                      <w:rFonts w:ascii="Cambria Math" w:hAnsi="Cambria Math"/>
                    </w:rPr>
                  </m:ctrlPr>
                </m:sSubPr>
                <m:e>
                  <m:r>
                    <w:rPr>
                      <w:rFonts w:ascii="Cambria Math" w:hAnsi="Cambria Math"/>
                    </w:rPr>
                    <m:t>β</m:t>
                  </m:r>
                </m:e>
                <m:sub>
                  <m:r>
                    <w:rPr>
                      <w:rFonts w:ascii="Cambria Math" w:hAnsi="Cambria Math"/>
                    </w:rPr>
                    <m:t>ownint</m:t>
                  </m:r>
                </m:sub>
              </m:sSub>
            </m:oMath>
          </w:p>
        </w:tc>
        <w:tc>
          <w:tcPr>
            <w:tcW w:w="1247" w:type="dxa"/>
          </w:tcPr>
          <w:p w14:paraId="17B8ECFB"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-0.346***</w:t>
            </w:r>
          </w:p>
        </w:tc>
        <w:tc>
          <w:tcPr>
            <w:tcW w:w="1247" w:type="dxa"/>
          </w:tcPr>
          <w:p w14:paraId="2C68047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-0.332***</w:t>
            </w:r>
          </w:p>
        </w:tc>
        <w:tc>
          <w:tcPr>
            <w:tcW w:w="1247" w:type="dxa"/>
          </w:tcPr>
          <w:p w14:paraId="2D812F2A"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-0.338***</w:t>
            </w:r>
          </w:p>
        </w:tc>
        <w:tc>
          <w:tcPr>
            <w:tcW w:w="1247" w:type="dxa"/>
          </w:tcPr>
          <w:p w14:paraId="4FFB2C7B"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-0.346***</w:t>
            </w:r>
          </w:p>
        </w:tc>
        <w:tc>
          <w:tcPr>
            <w:tcW w:w="1247" w:type="dxa"/>
          </w:tcPr>
          <w:p w14:paraId="71E65CC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-0.116***</w:t>
            </w:r>
          </w:p>
        </w:tc>
      </w:tr>
      <w:tr w:rsidR="003D486E" w:rsidRPr="0095351A" w14:paraId="31FF4381" w14:textId="77777777" w:rsidTr="003D486E">
        <w:tc>
          <w:tcPr>
            <w:tcW w:w="2410" w:type="dxa"/>
            <w:vAlign w:val="center"/>
          </w:tcPr>
          <w:p w14:paraId="134F4CD0"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644283A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66C1916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(0.016)</w:t>
            </w:r>
          </w:p>
        </w:tc>
        <w:tc>
          <w:tcPr>
            <w:tcW w:w="1247" w:type="dxa"/>
          </w:tcPr>
          <w:p w14:paraId="2AF51B2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(0.018)</w:t>
            </w:r>
          </w:p>
        </w:tc>
        <w:tc>
          <w:tcPr>
            <w:tcW w:w="1247" w:type="dxa"/>
          </w:tcPr>
          <w:p w14:paraId="181F7A1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(0.017)</w:t>
            </w:r>
          </w:p>
        </w:tc>
        <w:tc>
          <w:tcPr>
            <w:tcW w:w="1247" w:type="dxa"/>
          </w:tcPr>
          <w:p w14:paraId="0A9C874D"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(0.023)</w:t>
            </w:r>
          </w:p>
        </w:tc>
      </w:tr>
      <w:tr w:rsidR="003D486E" w:rsidRPr="0095351A" w14:paraId="0FBCF19D" w14:textId="77777777" w:rsidTr="003D486E">
        <w:tc>
          <w:tcPr>
            <w:tcW w:w="2410" w:type="dxa"/>
            <w:vAlign w:val="center"/>
          </w:tcPr>
          <w:p w14:paraId="28CD7DFD"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t xml:space="preserve"> </w:t>
            </w:r>
            <m:oMath>
              <m:sSub>
                <m:sSubPr>
                  <m:ctrlPr>
                    <w:rPr>
                      <w:rFonts w:ascii="Cambria Math" w:hAnsi="Cambria Math"/>
                    </w:rPr>
                  </m:ctrlPr>
                </m:sSubPr>
                <m:e>
                  <m:r>
                    <w:rPr>
                      <w:rFonts w:ascii="Cambria Math" w:hAnsi="Cambria Math"/>
                    </w:rPr>
                    <m:t>β</m:t>
                  </m:r>
                </m:e>
                <m:sub>
                  <m:r>
                    <w:rPr>
                      <w:rFonts w:ascii="Cambria Math" w:hAnsi="Cambria Math"/>
                    </w:rPr>
                    <m:t>otherint non-OW</m:t>
                  </m:r>
                </m:sub>
              </m:sSub>
            </m:oMath>
          </w:p>
        </w:tc>
        <w:tc>
          <w:tcPr>
            <w:tcW w:w="1247" w:type="dxa"/>
          </w:tcPr>
          <w:p w14:paraId="6E67096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-0.051***</w:t>
            </w:r>
          </w:p>
        </w:tc>
        <w:tc>
          <w:tcPr>
            <w:tcW w:w="1247" w:type="dxa"/>
          </w:tcPr>
          <w:p w14:paraId="01DFD078"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-0.060***</w:t>
            </w:r>
          </w:p>
        </w:tc>
        <w:tc>
          <w:tcPr>
            <w:tcW w:w="1247" w:type="dxa"/>
          </w:tcPr>
          <w:p w14:paraId="024D3363"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-0.119***</w:t>
            </w:r>
          </w:p>
        </w:tc>
        <w:tc>
          <w:tcPr>
            <w:tcW w:w="1247" w:type="dxa"/>
          </w:tcPr>
          <w:p w14:paraId="66B8FB63"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-0.054***</w:t>
            </w:r>
          </w:p>
        </w:tc>
        <w:tc>
          <w:tcPr>
            <w:tcW w:w="1247" w:type="dxa"/>
          </w:tcPr>
          <w:p w14:paraId="6190EC0F"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-0.055***</w:t>
            </w:r>
          </w:p>
        </w:tc>
      </w:tr>
      <w:tr w:rsidR="003D486E" w:rsidRPr="0095351A" w14:paraId="7CD8B3B6" w14:textId="77777777" w:rsidTr="003D486E">
        <w:tc>
          <w:tcPr>
            <w:tcW w:w="2410" w:type="dxa"/>
            <w:vAlign w:val="center"/>
          </w:tcPr>
          <w:p w14:paraId="5E8DD8AB"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02BE00A6"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4E2BA2B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7B0D379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451AA426"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(0.006)</w:t>
            </w:r>
          </w:p>
        </w:tc>
        <w:tc>
          <w:tcPr>
            <w:tcW w:w="1247" w:type="dxa"/>
          </w:tcPr>
          <w:p w14:paraId="2A182F3B"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(0.008)</w:t>
            </w:r>
          </w:p>
        </w:tc>
      </w:tr>
      <w:tr w:rsidR="003D486E" w:rsidRPr="0095351A" w14:paraId="05F7470F" w14:textId="77777777" w:rsidTr="003D486E">
        <w:tc>
          <w:tcPr>
            <w:tcW w:w="2410" w:type="dxa"/>
            <w:vAlign w:val="center"/>
          </w:tcPr>
          <w:p w14:paraId="20733FAF" w14:textId="77777777" w:rsidR="003D486E" w:rsidRPr="00174E31" w:rsidRDefault="00EC01D9" w:rsidP="003D486E">
            <w:pPr>
              <w:widowControl w:val="0"/>
              <w:autoSpaceDE w:val="0"/>
              <w:autoSpaceDN w:val="0"/>
              <w:adjustRightInd w:val="0"/>
              <w:spacing w:line="240" w:lineRule="auto"/>
              <w:jc w:val="left"/>
              <w:rPr>
                <w:rFonts w:cs="Times New Roman"/>
                <w:szCs w:val="24"/>
                <w:lang w:val="en-GB"/>
              </w:rPr>
            </w:pPr>
            <m:oMathPara>
              <m:oMathParaPr>
                <m:jc m:val="left"/>
              </m:oMathParaPr>
              <m:oMath>
                <m:sSub>
                  <m:sSubPr>
                    <m:ctrlPr>
                      <w:rPr>
                        <w:rFonts w:ascii="Cambria Math" w:hAnsi="Cambria Math"/>
                      </w:rPr>
                    </m:ctrlPr>
                  </m:sSubPr>
                  <m:e>
                    <m:r>
                      <w:rPr>
                        <w:rFonts w:ascii="Cambria Math" w:hAnsi="Cambria Math"/>
                      </w:rPr>
                      <m:t>β</m:t>
                    </m:r>
                  </m:e>
                  <m:sub>
                    <m:r>
                      <w:rPr>
                        <w:rFonts w:ascii="Cambria Math" w:hAnsi="Cambria Math"/>
                      </w:rPr>
                      <m:t>otherint OW</m:t>
                    </m:r>
                  </m:sub>
                </m:sSub>
              </m:oMath>
            </m:oMathPara>
          </w:p>
        </w:tc>
        <w:tc>
          <w:tcPr>
            <w:tcW w:w="1247" w:type="dxa"/>
          </w:tcPr>
          <w:p w14:paraId="005EEC14"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-0.045***</w:t>
            </w:r>
          </w:p>
        </w:tc>
        <w:tc>
          <w:tcPr>
            <w:tcW w:w="1247" w:type="dxa"/>
          </w:tcPr>
          <w:p w14:paraId="5493640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-0.052***</w:t>
            </w:r>
          </w:p>
        </w:tc>
        <w:tc>
          <w:tcPr>
            <w:tcW w:w="1247" w:type="dxa"/>
          </w:tcPr>
          <w:p w14:paraId="35713331"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-0.042***</w:t>
            </w:r>
          </w:p>
        </w:tc>
        <w:tc>
          <w:tcPr>
            <w:tcW w:w="1247" w:type="dxa"/>
          </w:tcPr>
          <w:p w14:paraId="52C5AE13"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-0.048***</w:t>
            </w:r>
          </w:p>
        </w:tc>
        <w:tc>
          <w:tcPr>
            <w:tcW w:w="1247" w:type="dxa"/>
          </w:tcPr>
          <w:p w14:paraId="04B3EF7D"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-0.020*</w:t>
            </w:r>
          </w:p>
        </w:tc>
      </w:tr>
      <w:tr w:rsidR="003D486E" w:rsidRPr="0095351A" w14:paraId="1615C03E" w14:textId="77777777" w:rsidTr="003D486E">
        <w:tc>
          <w:tcPr>
            <w:tcW w:w="2410" w:type="dxa"/>
            <w:vAlign w:val="center"/>
          </w:tcPr>
          <w:p w14:paraId="7A6DCA36"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60F3698F"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75257B2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(0.008)</w:t>
            </w:r>
          </w:p>
        </w:tc>
        <w:tc>
          <w:tcPr>
            <w:tcW w:w="1247" w:type="dxa"/>
          </w:tcPr>
          <w:p w14:paraId="39F33A3A"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(0.009)</w:t>
            </w:r>
          </w:p>
        </w:tc>
        <w:tc>
          <w:tcPr>
            <w:tcW w:w="1247" w:type="dxa"/>
          </w:tcPr>
          <w:p w14:paraId="430D84A2"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(0.009)</w:t>
            </w:r>
          </w:p>
        </w:tc>
        <w:tc>
          <w:tcPr>
            <w:tcW w:w="1247" w:type="dxa"/>
          </w:tcPr>
          <w:p w14:paraId="78A6123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(0.012)</w:t>
            </w:r>
          </w:p>
        </w:tc>
      </w:tr>
      <w:tr w:rsidR="003D486E" w:rsidRPr="0095351A" w14:paraId="67974091" w14:textId="77777777" w:rsidTr="003D486E">
        <w:tc>
          <w:tcPr>
            <w:tcW w:w="2410" w:type="dxa"/>
            <w:vAlign w:val="center"/>
          </w:tcPr>
          <w:p w14:paraId="5B7CD287" w14:textId="77777777" w:rsidR="003D486E" w:rsidRPr="00174E31" w:rsidRDefault="003D486E" w:rsidP="003D486E">
            <w:pPr>
              <w:widowControl w:val="0"/>
              <w:autoSpaceDE w:val="0"/>
              <w:autoSpaceDN w:val="0"/>
              <w:adjustRightInd w:val="0"/>
              <w:spacing w:line="240" w:lineRule="auto"/>
              <w:jc w:val="left"/>
              <w:rPr>
                <w:rFonts w:cs="Times New Roman"/>
              </w:rPr>
            </w:pPr>
            <m:oMathPara>
              <m:oMathParaPr>
                <m:jc m:val="left"/>
              </m:oMathParaPr>
              <m:oMath>
                <m:r>
                  <m:rPr>
                    <m:sty m:val="p"/>
                  </m:rPr>
                  <w:rPr>
                    <w:rFonts w:ascii="Cambria Math" w:hAnsi="Cambria Math"/>
                  </w:rPr>
                  <m:t>HHI</m:t>
                </m:r>
              </m:oMath>
            </m:oMathPara>
          </w:p>
        </w:tc>
        <w:tc>
          <w:tcPr>
            <w:tcW w:w="1247" w:type="dxa"/>
          </w:tcPr>
          <w:p w14:paraId="5EA5743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0.161***</w:t>
            </w:r>
          </w:p>
        </w:tc>
        <w:tc>
          <w:tcPr>
            <w:tcW w:w="1247" w:type="dxa"/>
          </w:tcPr>
          <w:p w14:paraId="0C6910EB"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0.160***</w:t>
            </w:r>
          </w:p>
        </w:tc>
        <w:tc>
          <w:tcPr>
            <w:tcW w:w="1247" w:type="dxa"/>
          </w:tcPr>
          <w:p w14:paraId="35BAC929"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0.140***</w:t>
            </w:r>
          </w:p>
        </w:tc>
        <w:tc>
          <w:tcPr>
            <w:tcW w:w="1247" w:type="dxa"/>
          </w:tcPr>
          <w:p w14:paraId="59C3EFCD"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0.171***</w:t>
            </w:r>
          </w:p>
        </w:tc>
        <w:tc>
          <w:tcPr>
            <w:tcW w:w="1247" w:type="dxa"/>
          </w:tcPr>
          <w:p w14:paraId="4CD3775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0.154***</w:t>
            </w:r>
          </w:p>
        </w:tc>
      </w:tr>
      <w:tr w:rsidR="003D486E" w:rsidRPr="0095351A" w14:paraId="6303BAE7" w14:textId="77777777" w:rsidTr="003D486E">
        <w:tc>
          <w:tcPr>
            <w:tcW w:w="2410" w:type="dxa"/>
            <w:vAlign w:val="center"/>
          </w:tcPr>
          <w:p w14:paraId="3094D856" w14:textId="77777777" w:rsidR="003D486E" w:rsidRDefault="003D486E" w:rsidP="003D486E">
            <w:pPr>
              <w:widowControl w:val="0"/>
              <w:autoSpaceDE w:val="0"/>
              <w:autoSpaceDN w:val="0"/>
              <w:adjustRightInd w:val="0"/>
              <w:spacing w:line="240" w:lineRule="auto"/>
              <w:jc w:val="left"/>
              <w:rPr>
                <w:rFonts w:cs="Times New Roman"/>
              </w:rPr>
            </w:pPr>
          </w:p>
        </w:tc>
        <w:tc>
          <w:tcPr>
            <w:tcW w:w="1247" w:type="dxa"/>
          </w:tcPr>
          <w:p w14:paraId="593C3707"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7617F4EF"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101C7C86"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2FE1D25C"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(0.005)</w:t>
            </w:r>
          </w:p>
        </w:tc>
        <w:tc>
          <w:tcPr>
            <w:tcW w:w="1247" w:type="dxa"/>
          </w:tcPr>
          <w:p w14:paraId="054FD750"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(0.007)</w:t>
            </w:r>
          </w:p>
        </w:tc>
      </w:tr>
      <w:tr w:rsidR="003D486E" w:rsidRPr="0095351A" w14:paraId="6C7780CB" w14:textId="77777777" w:rsidTr="003D486E">
        <w:tc>
          <w:tcPr>
            <w:tcW w:w="2410" w:type="dxa"/>
            <w:vAlign w:val="center"/>
          </w:tcPr>
          <w:p w14:paraId="21261B84"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r>
              <w:rPr>
                <w:rFonts w:cs="Times New Roman"/>
              </w:rPr>
              <w:t xml:space="preserve"> </w:t>
            </w:r>
            <m:oMath>
              <m:r>
                <m:rPr>
                  <m:sty m:val="p"/>
                </m:rPr>
                <w:rPr>
                  <w:rFonts w:ascii="Cambria Math" w:hAnsi="Cambria Math"/>
                </w:rPr>
                <m:t>Int</m:t>
              </m:r>
            </m:oMath>
          </w:p>
        </w:tc>
        <w:tc>
          <w:tcPr>
            <w:tcW w:w="1247" w:type="dxa"/>
          </w:tcPr>
          <w:p w14:paraId="4DFA6A7F" w14:textId="77777777" w:rsidR="003D486E" w:rsidRDefault="003D486E" w:rsidP="003D486E">
            <w:pPr>
              <w:widowControl w:val="0"/>
              <w:autoSpaceDE w:val="0"/>
              <w:autoSpaceDN w:val="0"/>
              <w:adjustRightInd w:val="0"/>
              <w:spacing w:line="240" w:lineRule="auto"/>
              <w:jc w:val="center"/>
              <w:rPr>
                <w:rFonts w:cs="Times New Roman"/>
                <w:szCs w:val="24"/>
              </w:rPr>
            </w:pPr>
          </w:p>
        </w:tc>
        <w:tc>
          <w:tcPr>
            <w:tcW w:w="1247" w:type="dxa"/>
          </w:tcPr>
          <w:p w14:paraId="1AD47849" w14:textId="77777777" w:rsidR="003D486E" w:rsidRDefault="003D486E" w:rsidP="003D486E">
            <w:pPr>
              <w:widowControl w:val="0"/>
              <w:autoSpaceDE w:val="0"/>
              <w:autoSpaceDN w:val="0"/>
              <w:adjustRightInd w:val="0"/>
              <w:spacing w:line="240" w:lineRule="auto"/>
              <w:jc w:val="center"/>
              <w:rPr>
                <w:rFonts w:cs="Times New Roman"/>
                <w:szCs w:val="24"/>
              </w:rPr>
            </w:pPr>
          </w:p>
        </w:tc>
        <w:tc>
          <w:tcPr>
            <w:tcW w:w="1247" w:type="dxa"/>
          </w:tcPr>
          <w:p w14:paraId="64173C71" w14:textId="77777777" w:rsidR="003D486E" w:rsidRDefault="003D486E" w:rsidP="003D486E">
            <w:pPr>
              <w:widowControl w:val="0"/>
              <w:autoSpaceDE w:val="0"/>
              <w:autoSpaceDN w:val="0"/>
              <w:adjustRightInd w:val="0"/>
              <w:spacing w:line="240" w:lineRule="auto"/>
              <w:jc w:val="center"/>
              <w:rPr>
                <w:rFonts w:cs="Times New Roman"/>
                <w:szCs w:val="24"/>
              </w:rPr>
            </w:pPr>
          </w:p>
        </w:tc>
        <w:tc>
          <w:tcPr>
            <w:tcW w:w="1247" w:type="dxa"/>
          </w:tcPr>
          <w:p w14:paraId="6A76B688" w14:textId="77777777" w:rsidR="003D486E" w:rsidRDefault="003D486E" w:rsidP="003D486E">
            <w:pPr>
              <w:widowControl w:val="0"/>
              <w:autoSpaceDE w:val="0"/>
              <w:autoSpaceDN w:val="0"/>
              <w:adjustRightInd w:val="0"/>
              <w:spacing w:line="240" w:lineRule="auto"/>
              <w:jc w:val="center"/>
              <w:rPr>
                <w:rFonts w:cs="Times New Roman"/>
                <w:szCs w:val="24"/>
              </w:rPr>
            </w:pPr>
          </w:p>
        </w:tc>
        <w:tc>
          <w:tcPr>
            <w:tcW w:w="1247" w:type="dxa"/>
          </w:tcPr>
          <w:p w14:paraId="6745666E"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-0.216***</w:t>
            </w:r>
          </w:p>
        </w:tc>
      </w:tr>
      <w:tr w:rsidR="003D486E" w:rsidRPr="0095351A" w14:paraId="14204C5F" w14:textId="77777777" w:rsidTr="003D486E">
        <w:tc>
          <w:tcPr>
            <w:tcW w:w="2410" w:type="dxa"/>
            <w:vAlign w:val="center"/>
          </w:tcPr>
          <w:p w14:paraId="3F94EF19" w14:textId="77777777" w:rsidR="003D486E" w:rsidRPr="0095351A" w:rsidRDefault="003D486E" w:rsidP="003D486E">
            <w:pPr>
              <w:widowControl w:val="0"/>
              <w:autoSpaceDE w:val="0"/>
              <w:autoSpaceDN w:val="0"/>
              <w:adjustRightInd w:val="0"/>
              <w:spacing w:line="240" w:lineRule="auto"/>
              <w:jc w:val="left"/>
              <w:rPr>
                <w:rFonts w:cs="Times New Roman"/>
                <w:szCs w:val="24"/>
                <w:lang w:val="en-GB"/>
              </w:rPr>
            </w:pPr>
          </w:p>
        </w:tc>
        <w:tc>
          <w:tcPr>
            <w:tcW w:w="1247" w:type="dxa"/>
          </w:tcPr>
          <w:p w14:paraId="4FA55597" w14:textId="77777777" w:rsidR="003D486E" w:rsidRDefault="003D486E" w:rsidP="003D486E">
            <w:pPr>
              <w:widowControl w:val="0"/>
              <w:autoSpaceDE w:val="0"/>
              <w:autoSpaceDN w:val="0"/>
              <w:adjustRightInd w:val="0"/>
              <w:spacing w:line="240" w:lineRule="auto"/>
              <w:jc w:val="center"/>
              <w:rPr>
                <w:rFonts w:cs="Times New Roman"/>
                <w:szCs w:val="24"/>
              </w:rPr>
            </w:pPr>
          </w:p>
        </w:tc>
        <w:tc>
          <w:tcPr>
            <w:tcW w:w="1247" w:type="dxa"/>
          </w:tcPr>
          <w:p w14:paraId="14D174F3" w14:textId="77777777" w:rsidR="003D486E" w:rsidRDefault="003D486E" w:rsidP="003D486E">
            <w:pPr>
              <w:widowControl w:val="0"/>
              <w:autoSpaceDE w:val="0"/>
              <w:autoSpaceDN w:val="0"/>
              <w:adjustRightInd w:val="0"/>
              <w:spacing w:line="240" w:lineRule="auto"/>
              <w:jc w:val="center"/>
              <w:rPr>
                <w:rFonts w:cs="Times New Roman"/>
                <w:szCs w:val="24"/>
              </w:rPr>
            </w:pPr>
          </w:p>
        </w:tc>
        <w:tc>
          <w:tcPr>
            <w:tcW w:w="1247" w:type="dxa"/>
          </w:tcPr>
          <w:p w14:paraId="428041C1" w14:textId="77777777" w:rsidR="003D486E" w:rsidRDefault="003D486E" w:rsidP="003D486E">
            <w:pPr>
              <w:widowControl w:val="0"/>
              <w:autoSpaceDE w:val="0"/>
              <w:autoSpaceDN w:val="0"/>
              <w:adjustRightInd w:val="0"/>
              <w:spacing w:line="240" w:lineRule="auto"/>
              <w:jc w:val="center"/>
              <w:rPr>
                <w:rFonts w:cs="Times New Roman"/>
                <w:szCs w:val="24"/>
              </w:rPr>
            </w:pPr>
          </w:p>
        </w:tc>
        <w:tc>
          <w:tcPr>
            <w:tcW w:w="1247" w:type="dxa"/>
          </w:tcPr>
          <w:p w14:paraId="4D675AC9" w14:textId="77777777" w:rsidR="003D486E" w:rsidRDefault="003D486E" w:rsidP="003D486E">
            <w:pPr>
              <w:widowControl w:val="0"/>
              <w:autoSpaceDE w:val="0"/>
              <w:autoSpaceDN w:val="0"/>
              <w:adjustRightInd w:val="0"/>
              <w:spacing w:line="240" w:lineRule="auto"/>
              <w:jc w:val="center"/>
              <w:rPr>
                <w:rFonts w:cs="Times New Roman"/>
                <w:szCs w:val="24"/>
              </w:rPr>
            </w:pPr>
          </w:p>
        </w:tc>
        <w:tc>
          <w:tcPr>
            <w:tcW w:w="1247" w:type="dxa"/>
          </w:tcPr>
          <w:p w14:paraId="1112AA6A"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(0.023)</w:t>
            </w:r>
          </w:p>
        </w:tc>
      </w:tr>
      <w:tr w:rsidR="003D486E" w:rsidRPr="0095351A" w14:paraId="634075FF" w14:textId="77777777" w:rsidTr="003D486E">
        <w:tc>
          <w:tcPr>
            <w:tcW w:w="2410" w:type="dxa"/>
            <w:tcBorders>
              <w:top w:val="single" w:sz="4" w:space="0" w:color="auto"/>
              <w:bottom w:val="nil"/>
            </w:tcBorders>
          </w:tcPr>
          <w:p w14:paraId="361EA444" w14:textId="77777777" w:rsidR="003D486E" w:rsidRPr="0095351A" w:rsidRDefault="003D486E" w:rsidP="003D486E">
            <w:pPr>
              <w:widowControl w:val="0"/>
              <w:autoSpaceDE w:val="0"/>
              <w:autoSpaceDN w:val="0"/>
              <w:adjustRightInd w:val="0"/>
              <w:spacing w:line="240" w:lineRule="auto"/>
              <w:rPr>
                <w:rFonts w:cs="Times New Roman"/>
                <w:szCs w:val="24"/>
                <w:lang w:val="en-GB"/>
              </w:rPr>
            </w:pPr>
            <w:r w:rsidRPr="0095351A">
              <w:rPr>
                <w:rFonts w:cs="Times New Roman"/>
                <w:szCs w:val="24"/>
                <w:lang w:val="en-GB"/>
              </w:rPr>
              <w:t>Observations</w:t>
            </w:r>
          </w:p>
        </w:tc>
        <w:tc>
          <w:tcPr>
            <w:tcW w:w="1247" w:type="dxa"/>
            <w:tcBorders>
              <w:top w:val="single" w:sz="4" w:space="0" w:color="auto"/>
              <w:bottom w:val="nil"/>
            </w:tcBorders>
          </w:tcPr>
          <w:p w14:paraId="509090AE"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rPr>
              <w:t>128,146</w:t>
            </w:r>
          </w:p>
        </w:tc>
        <w:tc>
          <w:tcPr>
            <w:tcW w:w="1247" w:type="dxa"/>
            <w:tcBorders>
              <w:top w:val="single" w:sz="4" w:space="0" w:color="auto"/>
              <w:bottom w:val="nil"/>
            </w:tcBorders>
          </w:tcPr>
          <w:p w14:paraId="550B4418"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rPr>
              <w:t>132,867</w:t>
            </w:r>
          </w:p>
        </w:tc>
        <w:tc>
          <w:tcPr>
            <w:tcW w:w="1247" w:type="dxa"/>
            <w:tcBorders>
              <w:top w:val="single" w:sz="4" w:space="0" w:color="auto"/>
              <w:bottom w:val="nil"/>
            </w:tcBorders>
          </w:tcPr>
          <w:p w14:paraId="2C40213D"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rPr>
              <w:t>128,350</w:t>
            </w:r>
          </w:p>
        </w:tc>
        <w:tc>
          <w:tcPr>
            <w:tcW w:w="1247" w:type="dxa"/>
            <w:tcBorders>
              <w:top w:val="single" w:sz="4" w:space="0" w:color="auto"/>
              <w:bottom w:val="nil"/>
            </w:tcBorders>
          </w:tcPr>
          <w:p w14:paraId="3347F6CE"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rPr>
              <w:t>128,146</w:t>
            </w:r>
          </w:p>
        </w:tc>
        <w:tc>
          <w:tcPr>
            <w:tcW w:w="1247" w:type="dxa"/>
            <w:tcBorders>
              <w:top w:val="single" w:sz="4" w:space="0" w:color="auto"/>
              <w:bottom w:val="nil"/>
            </w:tcBorders>
          </w:tcPr>
          <w:p w14:paraId="6AD407E9"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68,621</w:t>
            </w:r>
          </w:p>
        </w:tc>
      </w:tr>
      <w:tr w:rsidR="003D486E" w:rsidRPr="0095351A" w14:paraId="214BE936" w14:textId="77777777" w:rsidTr="003D486E">
        <w:tc>
          <w:tcPr>
            <w:tcW w:w="2410" w:type="dxa"/>
          </w:tcPr>
          <w:p w14:paraId="3AFB9752" w14:textId="77777777" w:rsidR="003D486E" w:rsidRPr="0095351A" w:rsidRDefault="003D486E" w:rsidP="003D486E">
            <w:pPr>
              <w:widowControl w:val="0"/>
              <w:autoSpaceDE w:val="0"/>
              <w:autoSpaceDN w:val="0"/>
              <w:adjustRightInd w:val="0"/>
              <w:spacing w:line="240" w:lineRule="auto"/>
              <w:rPr>
                <w:rFonts w:cs="Times New Roman"/>
                <w:szCs w:val="24"/>
                <w:lang w:val="en-GB"/>
              </w:rPr>
            </w:pPr>
            <w:r w:rsidRPr="0095351A">
              <w:rPr>
                <w:rFonts w:cs="Times New Roman"/>
                <w:szCs w:val="24"/>
                <w:lang w:val="en-GB"/>
              </w:rPr>
              <w:t>Within R-squared</w:t>
            </w:r>
            <w:r>
              <w:rPr>
                <w:rFonts w:cs="Times New Roman"/>
                <w:szCs w:val="24"/>
                <w:lang w:val="en-GB"/>
              </w:rPr>
              <w:t>/LL</w:t>
            </w:r>
          </w:p>
        </w:tc>
        <w:tc>
          <w:tcPr>
            <w:tcW w:w="1247" w:type="dxa"/>
          </w:tcPr>
          <w:p w14:paraId="60E8FCE7"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rPr>
              <w:t>0.0273</w:t>
            </w:r>
          </w:p>
        </w:tc>
        <w:tc>
          <w:tcPr>
            <w:tcW w:w="1247" w:type="dxa"/>
          </w:tcPr>
          <w:p w14:paraId="653B1B22"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rPr>
              <w:t>0.0258</w:t>
            </w:r>
          </w:p>
        </w:tc>
        <w:tc>
          <w:tcPr>
            <w:tcW w:w="1247" w:type="dxa"/>
          </w:tcPr>
          <w:p w14:paraId="278CD2CD"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rPr>
              <w:t>0.0247</w:t>
            </w:r>
          </w:p>
        </w:tc>
        <w:tc>
          <w:tcPr>
            <w:tcW w:w="1247" w:type="dxa"/>
          </w:tcPr>
          <w:p w14:paraId="607FC814" w14:textId="77777777" w:rsidR="003D486E" w:rsidRPr="0095351A" w:rsidRDefault="003D486E" w:rsidP="003D486E">
            <w:pPr>
              <w:widowControl w:val="0"/>
              <w:autoSpaceDE w:val="0"/>
              <w:autoSpaceDN w:val="0"/>
              <w:adjustRightInd w:val="0"/>
              <w:spacing w:line="240" w:lineRule="auto"/>
              <w:jc w:val="center"/>
              <w:rPr>
                <w:rFonts w:cs="Times New Roman"/>
                <w:szCs w:val="24"/>
                <w:lang w:val="en-GB"/>
              </w:rPr>
            </w:pPr>
            <w:r>
              <w:rPr>
                <w:rFonts w:cs="Times New Roman"/>
                <w:szCs w:val="24"/>
              </w:rPr>
              <w:t>0.0240</w:t>
            </w:r>
          </w:p>
        </w:tc>
        <w:tc>
          <w:tcPr>
            <w:tcW w:w="1247" w:type="dxa"/>
          </w:tcPr>
          <w:p w14:paraId="212B9DA8" w14:textId="77777777" w:rsidR="003D486E" w:rsidRDefault="003D486E" w:rsidP="003D486E">
            <w:pPr>
              <w:widowControl w:val="0"/>
              <w:autoSpaceDE w:val="0"/>
              <w:autoSpaceDN w:val="0"/>
              <w:adjustRightInd w:val="0"/>
              <w:spacing w:line="240" w:lineRule="auto"/>
              <w:jc w:val="center"/>
              <w:rPr>
                <w:rFonts w:cs="Times New Roman"/>
                <w:szCs w:val="24"/>
              </w:rPr>
            </w:pPr>
            <w:r>
              <w:rPr>
                <w:rFonts w:cs="Times New Roman"/>
                <w:szCs w:val="24"/>
              </w:rPr>
              <w:t>53960</w:t>
            </w:r>
          </w:p>
        </w:tc>
      </w:tr>
    </w:tbl>
    <w:p w14:paraId="783E726A" w14:textId="4CFF0F5D" w:rsidR="003D486E" w:rsidRDefault="003D486E" w:rsidP="003D486E">
      <w:pPr>
        <w:pStyle w:val="FlietextFolge"/>
        <w:ind w:left="284" w:firstLine="0"/>
      </w:pPr>
      <w:r w:rsidRPr="0095351A">
        <w:t>Standard errors in parentheses</w:t>
      </w:r>
      <w:r>
        <w:t xml:space="preserve">; </w:t>
      </w:r>
      <w:r w:rsidRPr="0095351A">
        <w:t>*** p&lt;0.01, ** p&lt;0.05, * p&lt;0.1</w:t>
      </w:r>
      <w:r>
        <w:t xml:space="preserve">; the four estimation models are defined in </w:t>
      </w:r>
      <w:r>
        <w:fldChar w:fldCharType="begin"/>
      </w:r>
      <w:r>
        <w:instrText xml:space="preserve"> REF _Ref447293539 \h </w:instrText>
      </w:r>
      <w:r>
        <w:fldChar w:fldCharType="separate"/>
      </w:r>
      <w:r w:rsidR="00886B31">
        <w:t xml:space="preserve">Table </w:t>
      </w:r>
      <w:r w:rsidR="00886B31">
        <w:rPr>
          <w:noProof/>
        </w:rPr>
        <w:t>1</w:t>
      </w:r>
      <w:r>
        <w:fldChar w:fldCharType="end"/>
      </w:r>
      <w:r>
        <w:t>.</w:t>
      </w:r>
    </w:p>
    <w:p w14:paraId="7FEF2509" w14:textId="77777777" w:rsidR="003D486E" w:rsidRPr="004C5F32" w:rsidRDefault="003D486E" w:rsidP="00EE0ECE">
      <w:pPr>
        <w:pStyle w:val="FlietextFolge"/>
      </w:pPr>
    </w:p>
    <w:p w14:paraId="0A3A1703" w14:textId="77777777" w:rsidR="00CF18DD" w:rsidRPr="004C5F32" w:rsidRDefault="00CF18DD" w:rsidP="00EE0ECE">
      <w:pPr>
        <w:pStyle w:val="FlietextFolge"/>
      </w:pPr>
    </w:p>
    <w:p w14:paraId="4CB81AE5" w14:textId="77777777" w:rsidR="00EE0ECE" w:rsidRPr="00EE0ECE" w:rsidRDefault="00EE0ECE" w:rsidP="00EE0ECE">
      <w:pPr>
        <w:pStyle w:val="FlietextFolge"/>
      </w:pPr>
    </w:p>
    <w:p w14:paraId="70EA74F4" w14:textId="6308A00A" w:rsidR="00B72ACE" w:rsidRPr="0011694C" w:rsidRDefault="00B72ACE" w:rsidP="0011694C">
      <w:pPr>
        <w:pStyle w:val="Heading1"/>
        <w:tabs>
          <w:tab w:val="clear" w:pos="1021"/>
        </w:tabs>
        <w:spacing w:before="120" w:after="120" w:line="360" w:lineRule="auto"/>
        <w:ind w:left="567" w:hanging="567"/>
      </w:pPr>
      <w:bookmarkStart w:id="42" w:name="_Toc451769689"/>
      <w:r w:rsidRPr="0011694C">
        <w:t>Conclusion</w:t>
      </w:r>
      <w:bookmarkEnd w:id="42"/>
      <w:r w:rsidR="0038005F" w:rsidRPr="0011694C">
        <w:t>s</w:t>
      </w:r>
    </w:p>
    <w:p w14:paraId="00DF855E" w14:textId="77777777" w:rsidR="00DB3AD6" w:rsidRDefault="00DB3AD6" w:rsidP="00DB3AD6">
      <w:pPr>
        <w:pStyle w:val="FlietextAbstanddavor"/>
        <w:spacing w:before="0" w:line="360" w:lineRule="auto"/>
      </w:pPr>
      <w:r>
        <w:t>In this paper, we explore the question of whether the effect of Chapter 11 on airline price behaviour differs between domestic and international markets – to our knowledge this is the first analysis which goes beyond the effects in domestic markets. We examined the influence of Chapter 11 on prices in the Europe-US markets as well as in US domestic markets, thereby revealing potential differences in pricing between these two market types. In general, compared to US domestic markets, the impact of a Chapter 11</w:t>
      </w:r>
      <w:r>
        <w:rPr>
          <w:rStyle w:val="SubtleReference"/>
        </w:rPr>
        <w:t xml:space="preserve"> </w:t>
      </w:r>
      <w:r>
        <w:t xml:space="preserve">filing on prices seems to be more pronounced in international markets. This is indicated by larger magnitudes of the respective price changes. </w:t>
      </w:r>
    </w:p>
    <w:p w14:paraId="06603D5B" w14:textId="151AE785" w:rsidR="00DB3AD6" w:rsidRDefault="00DB3AD6" w:rsidP="00E52C8D">
      <w:pPr>
        <w:pStyle w:val="FlietextFolge"/>
        <w:spacing w:line="360" w:lineRule="auto"/>
      </w:pPr>
      <w:r>
        <w:lastRenderedPageBreak/>
        <w:t xml:space="preserve">The empirical investigation of the Chapter 11 effects on fares in international markets compared to US domestic markets </w:t>
      </w:r>
      <w:r w:rsidR="003758DD">
        <w:t xml:space="preserve">reveals several important </w:t>
      </w:r>
      <w:r>
        <w:t xml:space="preserve">results: </w:t>
      </w:r>
      <w:r w:rsidR="003758DD">
        <w:t>(</w:t>
      </w:r>
      <w:proofErr w:type="spellStart"/>
      <w:r w:rsidR="003758DD">
        <w:t>i</w:t>
      </w:r>
      <w:proofErr w:type="spellEnd"/>
      <w:r w:rsidR="003758DD">
        <w:t xml:space="preserve">) </w:t>
      </w:r>
      <w:r w:rsidR="004A0ACE">
        <w:t>we find that i</w:t>
      </w:r>
      <w:r>
        <w:t>n the Europe-US market a Chapter 11 filing leads to a significant price cut by the bankrupt carrier in the in-bankruptcy period followed by a price correction after emerging from Chapter 11, still resulting with a significantly lower fares prior to the bankruptcy period</w:t>
      </w:r>
      <w:r w:rsidR="004A0ACE">
        <w:t>;</w:t>
      </w:r>
      <w:r>
        <w:t xml:space="preserve"> </w:t>
      </w:r>
      <w:r w:rsidR="004A0ACE">
        <w:t>(ii) we also find that t</w:t>
      </w:r>
      <w:r>
        <w:t xml:space="preserve">he competitors’ prices increase in domestic markets during bankruptcy with no further change afterwards, whereas in international markets competitors drop their prices slightly during the bankruptcy period as well as in the post-bankruptcy period. </w:t>
      </w:r>
      <w:bookmarkStart w:id="43" w:name="_Hlk522170284"/>
    </w:p>
    <w:p w14:paraId="26E84547" w14:textId="6CCFEDAF" w:rsidR="00DB3AD6" w:rsidRDefault="00DB3AD6" w:rsidP="00680086">
      <w:pPr>
        <w:pStyle w:val="FlietextFolge"/>
        <w:spacing w:line="360" w:lineRule="auto"/>
      </w:pPr>
      <w:bookmarkStart w:id="44" w:name="_Hlk522170410"/>
      <w:r>
        <w:t>Existing studies (</w:t>
      </w:r>
      <w:proofErr w:type="spellStart"/>
      <w:r>
        <w:t>Ciliberto</w:t>
      </w:r>
      <w:proofErr w:type="spellEnd"/>
      <w:r>
        <w:t xml:space="preserve"> and </w:t>
      </w:r>
      <w:proofErr w:type="spellStart"/>
      <w:r>
        <w:t>Schenone</w:t>
      </w:r>
      <w:proofErr w:type="spellEnd"/>
      <w:r>
        <w:t xml:space="preserve">, 2012a; </w:t>
      </w:r>
      <w:proofErr w:type="spellStart"/>
      <w:r>
        <w:t>Barla</w:t>
      </w:r>
      <w:proofErr w:type="spellEnd"/>
      <w:r>
        <w:t xml:space="preserve"> and Koo, 1999; </w:t>
      </w:r>
      <w:r>
        <w:rPr>
          <w:noProof/>
          <w:lang w:val="en-CA"/>
        </w:rPr>
        <w:t>Borenstein and Rose, 1995</w:t>
      </w:r>
      <w:r>
        <w:t xml:space="preserve">) on US domestic markets are consistent with the directional results observed in this work. Yet, our analysis reveals the major difference in pricing between domestic and international markets induced by bankruptcies. </w:t>
      </w:r>
    </w:p>
    <w:bookmarkEnd w:id="43"/>
    <w:bookmarkEnd w:id="44"/>
    <w:p w14:paraId="260C54B6" w14:textId="44623DAA" w:rsidR="00DB3AD6" w:rsidRDefault="00DB3AD6" w:rsidP="00E52C8D">
      <w:pPr>
        <w:pStyle w:val="FlietextFolge"/>
        <w:spacing w:line="360" w:lineRule="auto"/>
      </w:pPr>
      <w:r>
        <w:rPr>
          <w:noProof/>
          <w:lang w:val="en-CA"/>
        </w:rPr>
        <w:t>There are key elements that relate to airline pricing decisions during and post bankruptcy protection</w:t>
      </w:r>
      <w:r>
        <w:rPr>
          <w:lang w:val="en-CA"/>
        </w:rPr>
        <w:t xml:space="preserve"> </w:t>
      </w:r>
      <w:r>
        <w:t xml:space="preserve">(see section </w:t>
      </w:r>
      <w:r>
        <w:fldChar w:fldCharType="begin"/>
      </w:r>
      <w:r>
        <w:instrText xml:space="preserve"> REF _Ref447630249 \r \h </w:instrText>
      </w:r>
      <w:r>
        <w:fldChar w:fldCharType="separate"/>
      </w:r>
      <w:r w:rsidR="00886B31">
        <w:rPr>
          <w:cs/>
        </w:rPr>
        <w:t>‎</w:t>
      </w:r>
      <w:r w:rsidR="00886B31">
        <w:t>2</w:t>
      </w:r>
      <w:r>
        <w:fldChar w:fldCharType="end"/>
      </w:r>
      <w:r>
        <w:t>): (1) Possible cost reductions; (2) A decline in demand; (3) A focus on short term profit maximization; and (4) Predation strategies by competitors. While we do not directly observe the carriers</w:t>
      </w:r>
      <w:r w:rsidR="000F3F80">
        <w:t>’</w:t>
      </w:r>
      <w:r>
        <w:t xml:space="preserve"> cost reductions, we can certainly add the following conclusion</w:t>
      </w:r>
      <w:r w:rsidR="004A0ACE">
        <w:t>s</w:t>
      </w:r>
      <w:r>
        <w:t>:</w:t>
      </w:r>
      <w:r w:rsidR="004A0ACE">
        <w:t xml:space="preserve"> (</w:t>
      </w:r>
      <w:proofErr w:type="spellStart"/>
      <w:r w:rsidR="004A0ACE">
        <w:t>i</w:t>
      </w:r>
      <w:proofErr w:type="spellEnd"/>
      <w:r w:rsidR="004A0ACE">
        <w:t>) with respect to p</w:t>
      </w:r>
      <w:r>
        <w:t>redation: There is no evidence indicating predation strategies by competitors either in domestic or in international markets</w:t>
      </w:r>
      <w:r w:rsidR="004A0ACE">
        <w:t xml:space="preserve">; (ii) a </w:t>
      </w:r>
      <w:r>
        <w:t xml:space="preserve">focus on short term profit maximization: This seems to exist in the pre-bankruptcy period, but only in international markets. International markets indicate slightly decreasing prices for the bankrupt airline in the three months prior to the bankruptcy filing. However, US domestic markets show even slightly increasing prices in the same period. Therefore, the expected pre-bankruptcy price drop because of a shifting focus on short term profit maximization is, if at all, only slightly present in international markets. Consequently, reversed causality is not a factor </w:t>
      </w:r>
      <w:proofErr w:type="gramStart"/>
      <w:r>
        <w:t>in regard to</w:t>
      </w:r>
      <w:proofErr w:type="gramEnd"/>
      <w:r>
        <w:t xml:space="preserve"> the pre-bankruptcy performance of the bankrupt carrier</w:t>
      </w:r>
      <w:r w:rsidR="004A0ACE">
        <w:t>; (iii) lastly, t</w:t>
      </w:r>
      <w:r>
        <w:t>he effects of declining demand and reduced unit costs cannot be identified separately because controlling for unit costs is not possible. However, the permanent price drop of bankrupt airlines in US domestic markets suggests that the bankrupt carrier effectively reduced its unit costs.</w:t>
      </w:r>
    </w:p>
    <w:p w14:paraId="5FBF3B23" w14:textId="77777777" w:rsidR="00680086" w:rsidRDefault="00DB3AD6" w:rsidP="00680086">
      <w:pPr>
        <w:pStyle w:val="FlietextFolge"/>
        <w:spacing w:line="360" w:lineRule="auto"/>
      </w:pPr>
      <w:r>
        <w:t xml:space="preserve">Our analysis was limited due to the scope of available data. For the main test, we analysed the effect of the bankruptcy of American Airlines, which filed for Chapter 11 protection in November 2011, and emerged from it in December 2013. We analysed its </w:t>
      </w:r>
      <w:r>
        <w:lastRenderedPageBreak/>
        <w:t xml:space="preserve">behaviour and that of its competitors in domestic and the North American-European market. As a control, we also analysed the effect of the bankruptcy of Japan Airlines, which covered January 2010 until March 2011 – Japan has similar bankruptcy provisions to those of Chapter 11. We found similar results to the North American - Europe case, though the price response was smaller. We also analysed the effect of membership of airline </w:t>
      </w:r>
      <w:proofErr w:type="gramStart"/>
      <w:r>
        <w:t>alliances, and</w:t>
      </w:r>
      <w:proofErr w:type="gramEnd"/>
      <w:r>
        <w:t xml:space="preserve"> note that the alliance members seem not to be adjusting their fares when their counterpart goes into bankruptcy. </w:t>
      </w:r>
    </w:p>
    <w:p w14:paraId="320CA36A" w14:textId="13D727A6" w:rsidR="00680086" w:rsidRDefault="00680086" w:rsidP="00680086">
      <w:pPr>
        <w:pStyle w:val="FlietextFolge"/>
        <w:spacing w:line="360" w:lineRule="auto"/>
      </w:pPr>
      <w:r>
        <w:t xml:space="preserve">In order to derive policy conclusion, the results of our study </w:t>
      </w:r>
      <w:proofErr w:type="gramStart"/>
      <w:r>
        <w:t>have to</w:t>
      </w:r>
      <w:proofErr w:type="gramEnd"/>
      <w:r>
        <w:t xml:space="preserve"> be carefully interpreted. The results certainly do not lead to demand a direct intervention in the market </w:t>
      </w:r>
      <w:r w:rsidR="000F3F80">
        <w:t xml:space="preserve">- </w:t>
      </w:r>
      <w:r>
        <w:t>for example in limiting the air fare decrease to a certain threshold to prevent competing European airlines from 'unfair' competition, because the reduction of airfares of both the Chapter 11 carrier and the EU- carrier</w:t>
      </w:r>
      <w:r w:rsidR="000F3F80">
        <w:t>s</w:t>
      </w:r>
      <w:r>
        <w:t xml:space="preserve"> increases consumer surplus. In order to create a more balanced level playing field European carriers might interpret the results to demand from policy something similar like a Chapter 11 in order to have the opportunity to restructure and react competitively to US carriers. However, such an interpretation neglects the long run effects of Chapter 11. While our results support the conclusion that in the short run competition is maintained, our results do not provide any evidence on the concern that in the longer run Chapter 11 may sustain chronic inefficiencies. </w:t>
      </w:r>
    </w:p>
    <w:p w14:paraId="0B4A801B" w14:textId="52E9EFA4" w:rsidR="00680086" w:rsidRPr="00680086" w:rsidRDefault="00680086" w:rsidP="00680086">
      <w:pPr>
        <w:pStyle w:val="FlietextFolge"/>
        <w:spacing w:line="360" w:lineRule="auto"/>
      </w:pPr>
      <w:r>
        <w:t xml:space="preserve">The presence of Chapter 11 makes it easier for the US carriers to compete on international markets. In this way, it may have a bearing on the “level playing field” issue. However, it is important to recognise that this does </w:t>
      </w:r>
      <w:r>
        <w:rPr>
          <w:i/>
        </w:rPr>
        <w:t>not</w:t>
      </w:r>
      <w:r>
        <w:t xml:space="preserve"> come about as a result of government subsidies – there are no mechanisms for the carrier to access government subsidies, even </w:t>
      </w:r>
      <w:proofErr w:type="spellStart"/>
      <w:r>
        <w:t>through</w:t>
      </w:r>
      <w:proofErr w:type="spellEnd"/>
      <w:r>
        <w:t xml:space="preserve"> the termination of pension plans (Bock et al, 2018). Chapter 11 makes it easier for the carrier to end contracts with private sector entities. While it does </w:t>
      </w:r>
      <w:proofErr w:type="gramStart"/>
      <w:r>
        <w:t>have an effect on</w:t>
      </w:r>
      <w:proofErr w:type="gramEnd"/>
      <w:r>
        <w:t xml:space="preserve"> the competitive balance, it is up to other countries to allow their airlines similar advantages. This is the case in Europe (and under certain situations, once off subsidies are permitted). </w:t>
      </w:r>
    </w:p>
    <w:p w14:paraId="0F8D0828" w14:textId="77777777" w:rsidR="00DB3AD6" w:rsidRDefault="00DB3AD6" w:rsidP="00DB3AD6">
      <w:pPr>
        <w:pStyle w:val="FlietextFolge"/>
        <w:spacing w:line="360" w:lineRule="auto"/>
      </w:pPr>
      <w:r>
        <w:t xml:space="preserve">In conclusion, there is evidence that carriers are affected more by Chapter 11 or equivalent bankruptcy provisions in international markets. There remain several questions for further research. One of these is why this is so- there are several ways in which international markets are different from domestic markets. The effects on cost is another. A further aspect is the effect on service levels. These issues have been explored in the </w:t>
      </w:r>
      <w:r>
        <w:lastRenderedPageBreak/>
        <w:t xml:space="preserve">analysis of domestic markets – future research could explore these effects in international markets as well. </w:t>
      </w:r>
    </w:p>
    <w:p w14:paraId="1174D493" w14:textId="61105FBD" w:rsidR="004C6FDB" w:rsidRDefault="00DB3AD6" w:rsidP="00566DE0">
      <w:pPr>
        <w:pStyle w:val="FlietextFolge"/>
        <w:spacing w:line="360" w:lineRule="auto"/>
      </w:pPr>
      <w:r w:rsidDel="00DB3AD6">
        <w:t xml:space="preserve"> </w:t>
      </w:r>
    </w:p>
    <w:p w14:paraId="386DF0F0" w14:textId="77777777" w:rsidR="00566DE0" w:rsidRDefault="00767B51" w:rsidP="0011694C">
      <w:pPr>
        <w:pStyle w:val="Heading1"/>
        <w:numPr>
          <w:ilvl w:val="0"/>
          <w:numId w:val="0"/>
        </w:numPr>
        <w:spacing w:before="120" w:after="120" w:line="360" w:lineRule="auto"/>
      </w:pPr>
      <w:bookmarkStart w:id="45" w:name="_Toc451769693"/>
      <w:bookmarkStart w:id="46" w:name="_Toc444674742"/>
      <w:bookmarkStart w:id="47" w:name="_Toc441511755"/>
      <w:bookmarkStart w:id="48" w:name="_Toc441511728"/>
      <w:bookmarkStart w:id="49" w:name="_Toc441511530"/>
      <w:r w:rsidRPr="00566DE0">
        <w:t>Acknowledgement</w:t>
      </w:r>
      <w:r w:rsidR="00566DE0" w:rsidRPr="00566DE0">
        <w:t>s</w:t>
      </w:r>
      <w:r w:rsidRPr="00566DE0">
        <w:t xml:space="preserve"> </w:t>
      </w:r>
    </w:p>
    <w:p w14:paraId="45208DBC" w14:textId="351AA52D" w:rsidR="00DB6F97" w:rsidRDefault="00767B51" w:rsidP="00566DE0">
      <w:pPr>
        <w:spacing w:line="360" w:lineRule="auto"/>
        <w:rPr>
          <w:lang w:val="en-GB"/>
        </w:rPr>
      </w:pPr>
      <w:r>
        <w:rPr>
          <w:lang w:val="en-GB"/>
        </w:rPr>
        <w:t xml:space="preserve">We thank Wolfgang </w:t>
      </w:r>
      <w:proofErr w:type="spellStart"/>
      <w:r>
        <w:rPr>
          <w:lang w:val="en-GB"/>
        </w:rPr>
        <w:t>Grimme</w:t>
      </w:r>
      <w:proofErr w:type="spellEnd"/>
      <w:r>
        <w:rPr>
          <w:lang w:val="en-GB"/>
        </w:rPr>
        <w:t xml:space="preserve"> for providing access to data. We thank</w:t>
      </w:r>
      <w:r w:rsidR="00824FAF">
        <w:rPr>
          <w:lang w:val="en-GB"/>
        </w:rPr>
        <w:t xml:space="preserve"> Martin Dresner, Claudio Noto and</w:t>
      </w:r>
      <w:r>
        <w:rPr>
          <w:lang w:val="en-GB"/>
        </w:rPr>
        <w:t xml:space="preserve"> Bernd </w:t>
      </w:r>
      <w:proofErr w:type="spellStart"/>
      <w:r>
        <w:rPr>
          <w:lang w:val="en-GB"/>
        </w:rPr>
        <w:t>Steckemetz</w:t>
      </w:r>
      <w:proofErr w:type="spellEnd"/>
      <w:r w:rsidR="00824FAF">
        <w:rPr>
          <w:lang w:val="en-GB"/>
        </w:rPr>
        <w:t xml:space="preserve"> </w:t>
      </w:r>
      <w:r>
        <w:rPr>
          <w:lang w:val="en-GB"/>
        </w:rPr>
        <w:t>for helpful comments.</w:t>
      </w:r>
      <w:r w:rsidR="003F3100">
        <w:rPr>
          <w:lang w:val="en-GB"/>
        </w:rPr>
        <w:t xml:space="preserve"> We thank the editors of the special issue and the reviewers for their constructive feedback that has significantly improved this manuscript.</w:t>
      </w:r>
    </w:p>
    <w:p w14:paraId="1255A98F" w14:textId="77777777" w:rsidR="00767B51" w:rsidRPr="004C5F32" w:rsidRDefault="00767B51" w:rsidP="00566DE0">
      <w:pPr>
        <w:spacing w:line="360" w:lineRule="auto"/>
        <w:jc w:val="left"/>
        <w:rPr>
          <w:lang w:val="en-GB"/>
        </w:rPr>
      </w:pPr>
    </w:p>
    <w:p w14:paraId="4DB00C07" w14:textId="48869DEB" w:rsidR="00DB6F97" w:rsidRPr="0011694C" w:rsidRDefault="0058408B" w:rsidP="0011694C">
      <w:pPr>
        <w:pStyle w:val="Heading1"/>
        <w:numPr>
          <w:ilvl w:val="0"/>
          <w:numId w:val="0"/>
        </w:numPr>
        <w:spacing w:before="120" w:after="120" w:line="360" w:lineRule="auto"/>
      </w:pPr>
      <w:r w:rsidRPr="004C5F32">
        <w:t>References</w:t>
      </w:r>
    </w:p>
    <w:p w14:paraId="2E3FB89D" w14:textId="5A56DF65" w:rsidR="0058408B" w:rsidRPr="00C0636D" w:rsidRDefault="00C0636D" w:rsidP="00566DE0">
      <w:pPr>
        <w:pStyle w:val="FlietextAbstanddavor"/>
        <w:spacing w:before="0" w:line="360" w:lineRule="auto"/>
        <w:ind w:firstLine="360"/>
      </w:pPr>
      <w:r>
        <w:t>Aviation Economics</w:t>
      </w:r>
      <w:r w:rsidR="0058408B">
        <w:t>. AMR: A Chapter 11 risk or one of the likeliest survivors</w:t>
      </w:r>
      <w:r w:rsidR="0058408B" w:rsidRPr="00C0636D">
        <w:t xml:space="preserve">? </w:t>
      </w:r>
      <w:r w:rsidR="0058408B" w:rsidRPr="001B7804">
        <w:rPr>
          <w:i/>
          <w:iCs/>
        </w:rPr>
        <w:t>Aviation Strategy</w:t>
      </w:r>
      <w:r w:rsidR="001B7804">
        <w:rPr>
          <w:iCs/>
        </w:rPr>
        <w:t>,</w:t>
      </w:r>
      <w:r w:rsidRPr="00C0636D">
        <w:rPr>
          <w:iCs/>
        </w:rPr>
        <w:t xml:space="preserve"> </w:t>
      </w:r>
      <w:r w:rsidRPr="00C0636D">
        <w:t>2008;</w:t>
      </w:r>
      <w:r w:rsidR="0058408B" w:rsidRPr="00C0636D">
        <w:t xml:space="preserve"> May</w:t>
      </w:r>
      <w:r w:rsidR="00870E6F">
        <w:t>;</w:t>
      </w:r>
      <w:r w:rsidR="006F520F">
        <w:t xml:space="preserve"> </w:t>
      </w:r>
      <w:r w:rsidR="0058408B" w:rsidRPr="00C0636D">
        <w:t>10-16.</w:t>
      </w:r>
    </w:p>
    <w:p w14:paraId="5D9A3BCB" w14:textId="149150CC" w:rsidR="0058408B" w:rsidRDefault="00C0636D" w:rsidP="00566DE0">
      <w:pPr>
        <w:pStyle w:val="FlietextAbstanddavor"/>
        <w:spacing w:before="0" w:line="360" w:lineRule="auto"/>
        <w:ind w:firstLine="360"/>
      </w:pPr>
      <w:proofErr w:type="spellStart"/>
      <w:r>
        <w:t>Barla</w:t>
      </w:r>
      <w:proofErr w:type="spellEnd"/>
      <w:r>
        <w:t xml:space="preserve"> P,</w:t>
      </w:r>
      <w:r w:rsidR="0058408B">
        <w:t xml:space="preserve"> </w:t>
      </w:r>
      <w:r>
        <w:t>Koo B</w:t>
      </w:r>
      <w:r w:rsidR="0058408B">
        <w:t xml:space="preserve">. Bankruptcy protection and pricing strategies in the US airline industry. </w:t>
      </w:r>
      <w:r w:rsidR="0058408B" w:rsidRPr="001B7804">
        <w:rPr>
          <w:i/>
          <w:iCs/>
        </w:rPr>
        <w:t>Transportation Research Part E</w:t>
      </w:r>
      <w:r w:rsidR="001B7804">
        <w:rPr>
          <w:iCs/>
        </w:rPr>
        <w:t>,</w:t>
      </w:r>
      <w:r>
        <w:rPr>
          <w:i/>
          <w:iCs/>
        </w:rPr>
        <w:t xml:space="preserve"> </w:t>
      </w:r>
      <w:r>
        <w:t>1999;</w:t>
      </w:r>
      <w:r w:rsidR="0058408B">
        <w:t xml:space="preserve"> 35</w:t>
      </w:r>
      <w:r w:rsidR="007A5BE9">
        <w:t>(2);</w:t>
      </w:r>
      <w:r w:rsidR="0058408B">
        <w:t xml:space="preserve"> 101-120.</w:t>
      </w:r>
    </w:p>
    <w:p w14:paraId="00F4D602" w14:textId="348349F7" w:rsidR="0058408B" w:rsidRDefault="008B1C3E" w:rsidP="00566DE0">
      <w:pPr>
        <w:pStyle w:val="FlietextAbstanddavor"/>
        <w:spacing w:before="0" w:line="360" w:lineRule="auto"/>
        <w:ind w:firstLine="360"/>
      </w:pPr>
      <w:proofErr w:type="spellStart"/>
      <w:r>
        <w:t>Baye</w:t>
      </w:r>
      <w:proofErr w:type="spellEnd"/>
      <w:r>
        <w:t xml:space="preserve"> M R</w:t>
      </w:r>
      <w:r w:rsidR="0058408B">
        <w:t>.</w:t>
      </w:r>
      <w:r w:rsidR="0058408B" w:rsidRPr="008B1C3E">
        <w:t xml:space="preserve"> </w:t>
      </w:r>
      <w:r w:rsidR="0058408B" w:rsidRPr="008B1C3E">
        <w:rPr>
          <w:iCs/>
        </w:rPr>
        <w:t>Managerial Economics &amp; Business Strategy</w:t>
      </w:r>
      <w:r w:rsidR="0058408B" w:rsidRPr="008B1C3E">
        <w:t>.</w:t>
      </w:r>
      <w:r w:rsidR="0058408B">
        <w:t xml:space="preserve"> 7</w:t>
      </w:r>
      <w:r w:rsidR="00603128" w:rsidRPr="00603128">
        <w:rPr>
          <w:vertAlign w:val="superscript"/>
        </w:rPr>
        <w:t>th</w:t>
      </w:r>
      <w:r w:rsidR="00603128">
        <w:t xml:space="preserve"> </w:t>
      </w:r>
      <w:r w:rsidR="0058408B">
        <w:t>ed.</w:t>
      </w:r>
      <w:r w:rsidR="00603128">
        <w:t xml:space="preserve"> </w:t>
      </w:r>
      <w:r w:rsidR="0058408B">
        <w:t>McGraw-Hill</w:t>
      </w:r>
      <w:r w:rsidR="00D0526B">
        <w:t>: London;</w:t>
      </w:r>
      <w:r w:rsidR="00D0526B" w:rsidRPr="00D0526B">
        <w:t xml:space="preserve"> </w:t>
      </w:r>
      <w:r w:rsidR="00D0526B">
        <w:t>2010.</w:t>
      </w:r>
    </w:p>
    <w:p w14:paraId="495E5DFB" w14:textId="52E8C718" w:rsidR="003D6199" w:rsidRPr="003D6199" w:rsidRDefault="00C0636D" w:rsidP="00566DE0">
      <w:pPr>
        <w:pStyle w:val="FlietextAbstanddavor"/>
        <w:spacing w:before="0" w:line="360" w:lineRule="auto"/>
        <w:ind w:firstLine="360"/>
      </w:pPr>
      <w:proofErr w:type="spellStart"/>
      <w:r w:rsidRPr="00C0636D">
        <w:t>Benmelech</w:t>
      </w:r>
      <w:proofErr w:type="spellEnd"/>
      <w:r w:rsidRPr="00C0636D">
        <w:t xml:space="preserve"> E, Bergman N K</w:t>
      </w:r>
      <w:r w:rsidR="003D6199" w:rsidRPr="00C0636D">
        <w:t xml:space="preserve">. </w:t>
      </w:r>
      <w:r w:rsidR="003D6199" w:rsidRPr="003D6199">
        <w:t>Bankruptcy and the collateral channel.</w:t>
      </w:r>
      <w:r w:rsidR="003D6199" w:rsidRPr="00C0636D">
        <w:t xml:space="preserve"> </w:t>
      </w:r>
      <w:r w:rsidR="003D6199" w:rsidRPr="001B7804">
        <w:rPr>
          <w:i/>
          <w:iCs/>
        </w:rPr>
        <w:t>The Journal of Finance</w:t>
      </w:r>
      <w:r w:rsidR="001B7804">
        <w:rPr>
          <w:iCs/>
        </w:rPr>
        <w:t>,</w:t>
      </w:r>
      <w:r w:rsidR="003D6199" w:rsidRPr="003D6199">
        <w:t xml:space="preserve"> </w:t>
      </w:r>
      <w:r w:rsidRPr="003D6199">
        <w:t>2011</w:t>
      </w:r>
      <w:r>
        <w:t xml:space="preserve">; </w:t>
      </w:r>
      <w:r w:rsidR="003D6199" w:rsidRPr="003D6199">
        <w:t>66(2)</w:t>
      </w:r>
      <w:r w:rsidR="007A5BE9">
        <w:t>;</w:t>
      </w:r>
      <w:r w:rsidR="003D6199" w:rsidRPr="003D6199">
        <w:t xml:space="preserve"> 337-378.</w:t>
      </w:r>
    </w:p>
    <w:p w14:paraId="4BC2B67C" w14:textId="007D7E6F" w:rsidR="0058408B" w:rsidRDefault="008B1C3E" w:rsidP="00566DE0">
      <w:pPr>
        <w:pStyle w:val="FlietextAbstanddavor"/>
        <w:spacing w:before="0" w:line="360" w:lineRule="auto"/>
        <w:ind w:firstLine="360"/>
      </w:pPr>
      <w:r>
        <w:t>Black</w:t>
      </w:r>
      <w:r w:rsidR="00D0526B">
        <w:t xml:space="preserve"> K</w:t>
      </w:r>
      <w:r w:rsidR="0058408B">
        <w:t xml:space="preserve">. Business Statistics </w:t>
      </w:r>
      <w:r w:rsidR="00E351BD">
        <w:t>f</w:t>
      </w:r>
      <w:r w:rsidR="0058408B">
        <w:t xml:space="preserve">or Contemporary Decision Making. </w:t>
      </w:r>
      <w:r w:rsidR="00603128">
        <w:t>John Wiley &amp; Sons</w:t>
      </w:r>
      <w:r w:rsidR="00767B51">
        <w:t>: Hoboken</w:t>
      </w:r>
      <w:r w:rsidR="00D0526B">
        <w:t>; 2011</w:t>
      </w:r>
      <w:r w:rsidR="00603128">
        <w:t>.</w:t>
      </w:r>
    </w:p>
    <w:p w14:paraId="710EBB1F" w14:textId="2522E4A2" w:rsidR="00144E1C" w:rsidRPr="00144E1C" w:rsidRDefault="00F613CC" w:rsidP="00C326EA">
      <w:pPr>
        <w:ind w:firstLine="360"/>
      </w:pPr>
      <w:r>
        <w:rPr>
          <w:rFonts w:eastAsiaTheme="majorEastAsia" w:cstheme="majorBidi"/>
          <w:bCs/>
          <w:szCs w:val="26"/>
          <w:lang w:val="en-GB"/>
        </w:rPr>
        <w:t>Bock S, Forsyth, P J, Niemeier</w:t>
      </w:r>
      <w:r w:rsidRPr="00F613CC">
        <w:rPr>
          <w:rFonts w:eastAsiaTheme="majorEastAsia" w:cstheme="majorBidi"/>
          <w:bCs/>
          <w:szCs w:val="26"/>
          <w:lang w:val="en-GB"/>
        </w:rPr>
        <w:t>,</w:t>
      </w:r>
      <w:r>
        <w:rPr>
          <w:rFonts w:eastAsiaTheme="majorEastAsia" w:cstheme="majorBidi"/>
          <w:bCs/>
          <w:szCs w:val="26"/>
          <w:lang w:val="en-GB"/>
        </w:rPr>
        <w:t xml:space="preserve"> H M, Mantin B,</w:t>
      </w:r>
      <w:r w:rsidRPr="00F613CC">
        <w:rPr>
          <w:rFonts w:eastAsiaTheme="majorEastAsia" w:cstheme="majorBidi"/>
          <w:bCs/>
          <w:szCs w:val="26"/>
          <w:lang w:val="en-GB"/>
        </w:rPr>
        <w:t xml:space="preserve"> </w:t>
      </w:r>
      <w:r w:rsidR="00144E1C" w:rsidRPr="00144E1C">
        <w:t>Chapter 11 and the Level Playing Field: Should Chapter 11 be considered as a subsidy?</w:t>
      </w:r>
      <w:r w:rsidR="00144E1C">
        <w:t xml:space="preserve"> </w:t>
      </w:r>
      <w:r w:rsidR="00144E1C" w:rsidRPr="001336E2">
        <w:rPr>
          <w:i/>
        </w:rPr>
        <w:t xml:space="preserve">Journal of Air </w:t>
      </w:r>
      <w:r w:rsidRPr="001336E2">
        <w:rPr>
          <w:i/>
        </w:rPr>
        <w:t>Transport Management</w:t>
      </w:r>
      <w:r>
        <w:t>, 201</w:t>
      </w:r>
      <w:r w:rsidR="00727107">
        <w:t>8</w:t>
      </w:r>
      <w:r>
        <w:t xml:space="preserve"> forthcoming.</w:t>
      </w:r>
    </w:p>
    <w:p w14:paraId="07DF8FE3" w14:textId="658B51F1" w:rsidR="0058408B" w:rsidRDefault="007A5BE9" w:rsidP="00566DE0">
      <w:pPr>
        <w:pStyle w:val="FlietextAbstanddavor"/>
        <w:spacing w:before="0" w:line="360" w:lineRule="auto"/>
        <w:ind w:firstLine="360"/>
      </w:pPr>
      <w:proofErr w:type="spellStart"/>
      <w:r>
        <w:t>Borenstein</w:t>
      </w:r>
      <w:proofErr w:type="spellEnd"/>
      <w:r>
        <w:t xml:space="preserve"> S,</w:t>
      </w:r>
      <w:r w:rsidR="0058408B">
        <w:t xml:space="preserve"> </w:t>
      </w:r>
      <w:r>
        <w:t>Rose N L</w:t>
      </w:r>
      <w:r w:rsidR="0058408B">
        <w:t xml:space="preserve">. Bankruptcy and pricing behaviour in the US airline markets. </w:t>
      </w:r>
      <w:r w:rsidR="0058408B" w:rsidRPr="001B7804">
        <w:rPr>
          <w:i/>
        </w:rPr>
        <w:t>American Economic Review</w:t>
      </w:r>
      <w:r w:rsidR="001B7804">
        <w:t>,</w:t>
      </w:r>
      <w:r>
        <w:t xml:space="preserve"> 1995;</w:t>
      </w:r>
      <w:r w:rsidR="0058408B">
        <w:t xml:space="preserve"> 85</w:t>
      </w:r>
      <w:r>
        <w:t>(2);</w:t>
      </w:r>
      <w:r w:rsidR="0058408B">
        <w:t xml:space="preserve"> 397-402.</w:t>
      </w:r>
    </w:p>
    <w:p w14:paraId="1A190BB0" w14:textId="5E9C467C" w:rsidR="001800E6" w:rsidRDefault="007A5BE9" w:rsidP="00566DE0">
      <w:pPr>
        <w:pStyle w:val="FlietextAbstanddavor"/>
        <w:spacing w:before="0" w:line="360" w:lineRule="auto"/>
        <w:ind w:firstLine="360"/>
      </w:pPr>
      <w:proofErr w:type="spellStart"/>
      <w:r>
        <w:t>Borenstein</w:t>
      </w:r>
      <w:proofErr w:type="spellEnd"/>
      <w:r w:rsidR="001800E6">
        <w:t xml:space="preserve"> </w:t>
      </w:r>
      <w:r>
        <w:t>S</w:t>
      </w:r>
      <w:r w:rsidR="001800E6">
        <w:t xml:space="preserve">, </w:t>
      </w:r>
      <w:r>
        <w:t>Rose</w:t>
      </w:r>
      <w:r w:rsidR="00C42C37">
        <w:t xml:space="preserve"> N</w:t>
      </w:r>
      <w:r w:rsidR="001800E6">
        <w:t xml:space="preserve"> L. </w:t>
      </w:r>
      <w:r w:rsidR="001800E6" w:rsidRPr="001800E6">
        <w:t xml:space="preserve">The impact of bankruptcy on airline service levels. </w:t>
      </w:r>
      <w:r w:rsidR="001800E6" w:rsidRPr="001800E6">
        <w:rPr>
          <w:i/>
          <w:iCs/>
        </w:rPr>
        <w:t>The American Economic Review</w:t>
      </w:r>
      <w:r w:rsidR="001B7804">
        <w:rPr>
          <w:iCs/>
        </w:rPr>
        <w:t>,</w:t>
      </w:r>
      <w:r>
        <w:rPr>
          <w:i/>
          <w:iCs/>
        </w:rPr>
        <w:t xml:space="preserve"> </w:t>
      </w:r>
      <w:r>
        <w:t>2003;</w:t>
      </w:r>
      <w:r w:rsidR="001800E6" w:rsidRPr="001800E6">
        <w:t xml:space="preserve"> 93(2)</w:t>
      </w:r>
      <w:r>
        <w:t>;</w:t>
      </w:r>
      <w:r w:rsidR="001800E6" w:rsidRPr="001800E6">
        <w:t xml:space="preserve"> 415-419.</w:t>
      </w:r>
    </w:p>
    <w:p w14:paraId="2C48F40A" w14:textId="307F45D8" w:rsidR="00A65A05" w:rsidRPr="00A65A05" w:rsidRDefault="00A65A05" w:rsidP="00E0231B">
      <w:pPr>
        <w:pStyle w:val="FlietextAbstanddavor"/>
        <w:spacing w:before="0" w:line="360" w:lineRule="auto"/>
        <w:ind w:firstLine="360"/>
      </w:pPr>
      <w:proofErr w:type="spellStart"/>
      <w:r w:rsidRPr="00062947">
        <w:rPr>
          <w:rFonts w:cs="Times New Roman"/>
          <w:szCs w:val="24"/>
          <w:lang w:val="en-SG" w:eastAsia="en-SG" w:bidi="he-IL"/>
        </w:rPr>
        <w:t>Busse</w:t>
      </w:r>
      <w:proofErr w:type="spellEnd"/>
      <w:r w:rsidRPr="00062947">
        <w:rPr>
          <w:rFonts w:cs="Times New Roman"/>
          <w:szCs w:val="24"/>
          <w:lang w:val="en-SG" w:eastAsia="en-SG" w:bidi="he-IL"/>
        </w:rPr>
        <w:t xml:space="preserve"> M. Firm financial condition and airline price wars. </w:t>
      </w:r>
      <w:r w:rsidRPr="00062947">
        <w:rPr>
          <w:rFonts w:cs="Times New Roman"/>
          <w:i/>
          <w:iCs/>
          <w:szCs w:val="24"/>
          <w:lang w:val="en-SG" w:eastAsia="en-SG" w:bidi="he-IL"/>
        </w:rPr>
        <w:t>RAND Journal of Economics</w:t>
      </w:r>
      <w:r>
        <w:rPr>
          <w:rFonts w:cs="Times New Roman"/>
          <w:szCs w:val="24"/>
          <w:lang w:val="en-SG" w:eastAsia="en-SG" w:bidi="he-IL"/>
        </w:rPr>
        <w:t>,</w:t>
      </w:r>
      <w:r w:rsidRPr="00062947">
        <w:rPr>
          <w:rFonts w:cs="Times New Roman"/>
          <w:szCs w:val="24"/>
          <w:lang w:val="en-SG" w:eastAsia="en-SG" w:bidi="he-IL"/>
        </w:rPr>
        <w:t xml:space="preserve"> 2002</w:t>
      </w:r>
      <w:r>
        <w:rPr>
          <w:rFonts w:cs="Times New Roman"/>
          <w:szCs w:val="24"/>
          <w:lang w:val="en-SG" w:eastAsia="en-SG" w:bidi="he-IL"/>
        </w:rPr>
        <w:t>; 33(2)</w:t>
      </w:r>
      <w:r w:rsidRPr="00062947">
        <w:rPr>
          <w:rFonts w:cs="Times New Roman"/>
          <w:szCs w:val="24"/>
          <w:lang w:val="en-SG" w:eastAsia="en-SG" w:bidi="he-IL"/>
        </w:rPr>
        <w:t>: 298-318.</w:t>
      </w:r>
    </w:p>
    <w:p w14:paraId="52B7256A" w14:textId="4479EB2D" w:rsidR="0058408B" w:rsidRDefault="007A5BE9" w:rsidP="00566DE0">
      <w:pPr>
        <w:pStyle w:val="FlietextAbstanddavor"/>
        <w:spacing w:before="0" w:line="360" w:lineRule="auto"/>
        <w:ind w:firstLine="360"/>
      </w:pPr>
      <w:proofErr w:type="gramStart"/>
      <w:r>
        <w:t>Carey S,</w:t>
      </w:r>
      <w:proofErr w:type="gramEnd"/>
      <w:r>
        <w:t xml:space="preserve"> </w:t>
      </w:r>
      <w:r w:rsidR="00627409">
        <w:t>Nicas J</w:t>
      </w:r>
      <w:r w:rsidR="0058408B">
        <w:t xml:space="preserve">. </w:t>
      </w:r>
      <w:r w:rsidR="004C6FDB">
        <w:t xml:space="preserve">AMR Seeks to Cut 15% of Jobs, </w:t>
      </w:r>
      <w:r w:rsidR="0058408B">
        <w:t>The Wall</w:t>
      </w:r>
      <w:r w:rsidR="004C6FDB">
        <w:t xml:space="preserve"> S</w:t>
      </w:r>
      <w:r w:rsidR="0058408B">
        <w:t>treet Journal</w:t>
      </w:r>
      <w:r w:rsidR="001B7804">
        <w:t>,</w:t>
      </w:r>
      <w:r w:rsidR="00627409">
        <w:t xml:space="preserve"> 2012;</w:t>
      </w:r>
      <w:r w:rsidR="004C6FDB">
        <w:t xml:space="preserve"> available at </w:t>
      </w:r>
      <w:r w:rsidR="0058408B">
        <w:lastRenderedPageBreak/>
        <w:t>http://www.wsj.com/articles/SB10001424052970204740904577197122405984872</w:t>
      </w:r>
      <w:r w:rsidR="004C6FDB">
        <w:t xml:space="preserve"> </w:t>
      </w:r>
      <w:r w:rsidR="0058408B">
        <w:t>[Accessed 30 May 2016].</w:t>
      </w:r>
    </w:p>
    <w:p w14:paraId="57233ECE" w14:textId="18968921" w:rsidR="0058408B" w:rsidRDefault="00627409" w:rsidP="00566DE0">
      <w:pPr>
        <w:pStyle w:val="FlietextAbstanddavor"/>
        <w:spacing w:before="0" w:line="360" w:lineRule="auto"/>
        <w:ind w:firstLine="360"/>
      </w:pPr>
      <w:proofErr w:type="spellStart"/>
      <w:r>
        <w:t>Ciliberto</w:t>
      </w:r>
      <w:proofErr w:type="spellEnd"/>
      <w:r>
        <w:t xml:space="preserve"> F, </w:t>
      </w:r>
      <w:proofErr w:type="spellStart"/>
      <w:r>
        <w:t>Schenone</w:t>
      </w:r>
      <w:proofErr w:type="spellEnd"/>
      <w:r>
        <w:t xml:space="preserve"> C</w:t>
      </w:r>
      <w:r w:rsidR="0058408B">
        <w:t xml:space="preserve">. Bankruptcy and product-market competition: Evidence from the airline industry. </w:t>
      </w:r>
      <w:r w:rsidR="0058408B" w:rsidRPr="001B7804">
        <w:rPr>
          <w:i/>
        </w:rPr>
        <w:t>International Journal of Industrial Organization</w:t>
      </w:r>
      <w:r w:rsidR="001B7804">
        <w:t>,</w:t>
      </w:r>
      <w:r>
        <w:t xml:space="preserve"> </w:t>
      </w:r>
      <w:r w:rsidRPr="00627409">
        <w:t>2012a</w:t>
      </w:r>
      <w:r>
        <w:t>;</w:t>
      </w:r>
      <w:r w:rsidR="0058408B">
        <w:t xml:space="preserve"> 30</w:t>
      </w:r>
      <w:r>
        <w:t>(6);</w:t>
      </w:r>
      <w:r w:rsidR="004C6FDB">
        <w:t xml:space="preserve"> </w:t>
      </w:r>
      <w:r w:rsidR="0058408B">
        <w:t>564-577.</w:t>
      </w:r>
    </w:p>
    <w:p w14:paraId="7E2D42DE" w14:textId="64807627" w:rsidR="0058408B" w:rsidRDefault="0058408B" w:rsidP="00566DE0">
      <w:pPr>
        <w:pStyle w:val="FlietextAbstanddavor"/>
        <w:spacing w:before="0" w:line="360" w:lineRule="auto"/>
        <w:ind w:firstLine="360"/>
      </w:pPr>
      <w:proofErr w:type="spellStart"/>
      <w:r>
        <w:t>Ciliberto</w:t>
      </w:r>
      <w:proofErr w:type="spellEnd"/>
      <w:r w:rsidR="00FC780B">
        <w:t xml:space="preserve"> F, </w:t>
      </w:r>
      <w:proofErr w:type="spellStart"/>
      <w:r w:rsidR="00FC780B">
        <w:t>Schenone</w:t>
      </w:r>
      <w:proofErr w:type="spellEnd"/>
      <w:r w:rsidR="00FC780B">
        <w:t xml:space="preserve"> C</w:t>
      </w:r>
      <w:r>
        <w:t xml:space="preserve">. Are the bankrupt skies the friendliest? </w:t>
      </w:r>
      <w:r w:rsidRPr="001B7804">
        <w:rPr>
          <w:i/>
        </w:rPr>
        <w:t>Journal of Corporate Finance</w:t>
      </w:r>
      <w:r w:rsidR="001B7804">
        <w:t>,</w:t>
      </w:r>
      <w:r w:rsidR="00FC780B">
        <w:t xml:space="preserve"> 2012b;</w:t>
      </w:r>
      <w:r>
        <w:t xml:space="preserve"> 18</w:t>
      </w:r>
      <w:r w:rsidR="00FC780B">
        <w:t>(5);</w:t>
      </w:r>
      <w:r>
        <w:t xml:space="preserve"> 1217-1231.</w:t>
      </w:r>
    </w:p>
    <w:p w14:paraId="2D9E8F17" w14:textId="7045C1E7" w:rsidR="00D847CB" w:rsidRPr="00D847CB" w:rsidRDefault="00D847CB" w:rsidP="00566DE0">
      <w:pPr>
        <w:pStyle w:val="FlietextAbstanddavor"/>
        <w:spacing w:before="0" w:line="360" w:lineRule="auto"/>
        <w:ind w:firstLine="360"/>
      </w:pPr>
      <w:proofErr w:type="spellStart"/>
      <w:r w:rsidRPr="00D847CB">
        <w:t>DePamphilis</w:t>
      </w:r>
      <w:proofErr w:type="spellEnd"/>
      <w:r w:rsidR="008B1C3E">
        <w:t xml:space="preserve"> D</w:t>
      </w:r>
      <w:r w:rsidR="00C42C37">
        <w:t>.</w:t>
      </w:r>
      <w:r>
        <w:t xml:space="preserve"> Mergers, Acquisitions, and Other Restructuring Activities, 8</w:t>
      </w:r>
      <w:r w:rsidRPr="00D847CB">
        <w:t>th</w:t>
      </w:r>
      <w:r>
        <w:t xml:space="preserve"> edition.</w:t>
      </w:r>
      <w:r w:rsidRPr="00D847CB">
        <w:t xml:space="preserve"> </w:t>
      </w:r>
      <w:r>
        <w:t>Academic Press</w:t>
      </w:r>
      <w:r w:rsidR="00767B51">
        <w:t>: London</w:t>
      </w:r>
      <w:r w:rsidR="008B1C3E">
        <w:t>; 2015</w:t>
      </w:r>
      <w:r w:rsidR="00767B51">
        <w:t>.</w:t>
      </w:r>
    </w:p>
    <w:p w14:paraId="296B3D47" w14:textId="1CB6EF59" w:rsidR="0058408B" w:rsidRDefault="008B1C3E" w:rsidP="00566DE0">
      <w:pPr>
        <w:pStyle w:val="FlietextAbstanddavor"/>
        <w:spacing w:before="0" w:line="360" w:lineRule="auto"/>
        <w:ind w:firstLine="360"/>
      </w:pPr>
      <w:proofErr w:type="spellStart"/>
      <w:r>
        <w:t>Doganis</w:t>
      </w:r>
      <w:proofErr w:type="spellEnd"/>
      <w:r>
        <w:t xml:space="preserve"> R.</w:t>
      </w:r>
      <w:r w:rsidR="0058408B">
        <w:t xml:space="preserve"> Flying off cour</w:t>
      </w:r>
      <w:r w:rsidR="00603128">
        <w:t xml:space="preserve">se - Fourth edition. </w:t>
      </w:r>
      <w:r w:rsidR="004C6FDB">
        <w:t>Routledge</w:t>
      </w:r>
      <w:r w:rsidR="00767B51">
        <w:t>:</w:t>
      </w:r>
      <w:r w:rsidR="004C6FDB">
        <w:t xml:space="preserve"> </w:t>
      </w:r>
      <w:r w:rsidR="00603128">
        <w:t>London</w:t>
      </w:r>
      <w:r>
        <w:t>; 2010</w:t>
      </w:r>
      <w:r w:rsidR="00760954">
        <w:t>.</w:t>
      </w:r>
    </w:p>
    <w:p w14:paraId="705302F8" w14:textId="57DCD081" w:rsidR="001D2F6D" w:rsidRPr="001D2F6D" w:rsidRDefault="001D2F6D" w:rsidP="001D2F6D">
      <w:pPr>
        <w:pStyle w:val="FlietextAbstanddavor"/>
        <w:spacing w:before="0" w:line="360" w:lineRule="auto"/>
        <w:ind w:firstLine="360"/>
      </w:pPr>
      <w:r w:rsidRPr="001D2F6D">
        <w:t xml:space="preserve">Douglas </w:t>
      </w:r>
      <w:proofErr w:type="spellStart"/>
      <w:proofErr w:type="gramStart"/>
      <w:r w:rsidRPr="001D2F6D">
        <w:t>I</w:t>
      </w:r>
      <w:r w:rsidR="004618EA">
        <w:t>,</w:t>
      </w:r>
      <w:r w:rsidRPr="001D2F6D">
        <w:t>Tan</w:t>
      </w:r>
      <w:proofErr w:type="spellEnd"/>
      <w:proofErr w:type="gramEnd"/>
      <w:r w:rsidR="004618EA">
        <w:t xml:space="preserve"> D</w:t>
      </w:r>
      <w:r w:rsidRPr="001D2F6D">
        <w:t xml:space="preserve">. Global airline alliances and profitability: A difference-in-difference analysis. </w:t>
      </w:r>
      <w:r w:rsidRPr="001D2F6D">
        <w:rPr>
          <w:i/>
          <w:iCs/>
        </w:rPr>
        <w:t>Transportation Research Part A: Policy and Practice</w:t>
      </w:r>
      <w:r>
        <w:t>,</w:t>
      </w:r>
      <w:r w:rsidRPr="001D2F6D">
        <w:t xml:space="preserve"> 2017</w:t>
      </w:r>
      <w:r>
        <w:t>; forthcoming</w:t>
      </w:r>
      <w:r w:rsidRPr="001D2F6D">
        <w:t>.</w:t>
      </w:r>
    </w:p>
    <w:p w14:paraId="28174122" w14:textId="3117D561" w:rsidR="00D87971" w:rsidRDefault="00D87971" w:rsidP="00566DE0">
      <w:pPr>
        <w:pStyle w:val="FlietextAbstanddavor"/>
        <w:spacing w:before="0" w:line="360" w:lineRule="auto"/>
        <w:ind w:firstLine="360"/>
      </w:pPr>
      <w:r>
        <w:t>Emirates</w:t>
      </w:r>
      <w:r w:rsidR="008B1C3E">
        <w:t>.</w:t>
      </w:r>
      <w:r>
        <w:t xml:space="preserve"> </w:t>
      </w:r>
      <w:r w:rsidRPr="008B1C3E">
        <w:rPr>
          <w:iCs/>
        </w:rPr>
        <w:t>Emirates’ Response to claims raised about state-owned airlines in Qatar and the United Arab Emirates</w:t>
      </w:r>
      <w:r w:rsidRPr="008B1C3E">
        <w:t>,</w:t>
      </w:r>
      <w:r>
        <w:t xml:space="preserve"> Emirates Airline, June 29</w:t>
      </w:r>
      <w:r w:rsidR="008B1C3E">
        <w:t>; 2015.</w:t>
      </w:r>
    </w:p>
    <w:p w14:paraId="121AA596" w14:textId="03997485" w:rsidR="0058408B" w:rsidRDefault="0058408B" w:rsidP="00566DE0">
      <w:pPr>
        <w:pStyle w:val="FlietextAbstanddavor"/>
        <w:spacing w:before="0" w:line="360" w:lineRule="auto"/>
        <w:ind w:firstLine="360"/>
      </w:pPr>
      <w:r w:rsidRPr="005A60C0">
        <w:t xml:space="preserve">European Commission </w:t>
      </w:r>
      <w:r w:rsidR="00C1436F" w:rsidRPr="005A60C0">
        <w:t>and</w:t>
      </w:r>
      <w:r w:rsidRPr="005A60C0">
        <w:t xml:space="preserve"> United States DOT, Transatlantic airline alliances: competitive issues and regulatory approach</w:t>
      </w:r>
      <w:r w:rsidR="008B1C3E" w:rsidRPr="005A60C0">
        <w:t>es;</w:t>
      </w:r>
      <w:r w:rsidR="004C6FDB" w:rsidRPr="005A60C0">
        <w:t xml:space="preserve"> </w:t>
      </w:r>
      <w:r w:rsidR="008B1C3E" w:rsidRPr="005A60C0">
        <w:t xml:space="preserve">2010; </w:t>
      </w:r>
      <w:r w:rsidR="004C6FDB" w:rsidRPr="005A60C0">
        <w:t>available at http://ec.europa.eu/competition/sectors/transport/reports/joint_alliance_report.pdf.</w:t>
      </w:r>
    </w:p>
    <w:p w14:paraId="234F2856" w14:textId="375442D0" w:rsidR="0058408B" w:rsidRPr="00F13433" w:rsidRDefault="00760954" w:rsidP="00566DE0">
      <w:pPr>
        <w:pStyle w:val="FlietextAbstanddavor"/>
        <w:spacing w:before="0" w:line="360" w:lineRule="auto"/>
        <w:ind w:firstLine="360"/>
      </w:pPr>
      <w:proofErr w:type="spellStart"/>
      <w:r>
        <w:t>Gerardi</w:t>
      </w:r>
      <w:proofErr w:type="spellEnd"/>
      <w:r>
        <w:t xml:space="preserve"> C, Shapiro A H.</w:t>
      </w:r>
      <w:r w:rsidR="0058408B" w:rsidRPr="00F13433">
        <w:t xml:space="preserve"> Does competition reduce price discrimination? New evidence </w:t>
      </w:r>
      <w:r>
        <w:t>from the airline industry,</w:t>
      </w:r>
      <w:r w:rsidR="0058408B" w:rsidRPr="00F13433">
        <w:t xml:space="preserve"> Federal Reserve Bank of Boston</w:t>
      </w:r>
      <w:r>
        <w:t xml:space="preserve">; </w:t>
      </w:r>
      <w:r w:rsidRPr="00F13433">
        <w:t>2007</w:t>
      </w:r>
      <w:r w:rsidR="0058408B" w:rsidRPr="00F13433">
        <w:t>.</w:t>
      </w:r>
    </w:p>
    <w:p w14:paraId="2ECB319A" w14:textId="44E30E01" w:rsidR="0058408B" w:rsidRDefault="007161B1" w:rsidP="00566DE0">
      <w:pPr>
        <w:pStyle w:val="FlietextAbstanddavor"/>
        <w:spacing w:before="0" w:line="360" w:lineRule="auto"/>
        <w:ind w:firstLine="360"/>
      </w:pPr>
      <w:r>
        <w:t>Gillen D,</w:t>
      </w:r>
      <w:r w:rsidR="0058408B">
        <w:t xml:space="preserve"> </w:t>
      </w:r>
      <w:r w:rsidR="00893159">
        <w:t>Mantin B</w:t>
      </w:r>
      <w:r w:rsidR="0058408B">
        <w:t xml:space="preserve">. Price volatility in the airline markets. </w:t>
      </w:r>
      <w:r w:rsidR="0058408B" w:rsidRPr="001B7804">
        <w:rPr>
          <w:i/>
        </w:rPr>
        <w:t>Transportation Research Part E</w:t>
      </w:r>
      <w:r w:rsidR="001B7804">
        <w:t>,</w:t>
      </w:r>
      <w:r>
        <w:rPr>
          <w:i/>
        </w:rPr>
        <w:t xml:space="preserve"> </w:t>
      </w:r>
      <w:r>
        <w:t>2009;</w:t>
      </w:r>
      <w:r w:rsidR="0058408B">
        <w:t xml:space="preserve"> </w:t>
      </w:r>
      <w:r>
        <w:t>45(5);</w:t>
      </w:r>
      <w:r w:rsidR="0058408B">
        <w:t xml:space="preserve"> 693-709.</w:t>
      </w:r>
    </w:p>
    <w:p w14:paraId="443AA9ED" w14:textId="70796E04" w:rsidR="0058408B" w:rsidRDefault="00760954" w:rsidP="00566DE0">
      <w:pPr>
        <w:pStyle w:val="FlietextAbstanddavor"/>
        <w:spacing w:before="0" w:line="360" w:lineRule="auto"/>
        <w:ind w:firstLine="360"/>
      </w:pPr>
      <w:r>
        <w:t>Holloway S</w:t>
      </w:r>
      <w:r w:rsidR="0058408B">
        <w:t>. Straight and Level: Practical Airline Economics. 3 ed. Ashgate</w:t>
      </w:r>
      <w:r w:rsidR="00767B51">
        <w:t>: Farnham</w:t>
      </w:r>
      <w:r>
        <w:t>;</w:t>
      </w:r>
      <w:r w:rsidRPr="00760954">
        <w:t xml:space="preserve"> </w:t>
      </w:r>
      <w:r>
        <w:t>2008.</w:t>
      </w:r>
    </w:p>
    <w:p w14:paraId="57C43A22" w14:textId="5DFAE7E7" w:rsidR="00B15B3E" w:rsidRPr="00B15B3E" w:rsidRDefault="00893159" w:rsidP="00566DE0">
      <w:pPr>
        <w:pStyle w:val="FlietextAbstanddavor"/>
        <w:spacing w:before="0" w:line="360" w:lineRule="auto"/>
        <w:ind w:firstLine="360"/>
        <w:rPr>
          <w:lang w:val="en-CA"/>
        </w:rPr>
      </w:pPr>
      <w:r>
        <w:t>Hotchkiss E.S</w:t>
      </w:r>
      <w:r w:rsidR="00B15B3E">
        <w:t xml:space="preserve">. </w:t>
      </w:r>
      <w:proofErr w:type="spellStart"/>
      <w:r w:rsidR="000B331A">
        <w:t>Postbankruptcy</w:t>
      </w:r>
      <w:proofErr w:type="spellEnd"/>
      <w:r w:rsidR="000B331A">
        <w:t xml:space="preserve"> Performance and Management Turnover</w:t>
      </w:r>
      <w:r w:rsidR="00B15B3E">
        <w:t>,</w:t>
      </w:r>
      <w:r w:rsidR="00B15B3E" w:rsidRPr="00B15B3E">
        <w:t xml:space="preserve"> </w:t>
      </w:r>
      <w:r w:rsidR="00B15B3E" w:rsidRPr="001B7804">
        <w:rPr>
          <w:i/>
          <w:iCs/>
        </w:rPr>
        <w:t>Journal of Finance</w:t>
      </w:r>
      <w:r w:rsidR="001B7804">
        <w:rPr>
          <w:iCs/>
        </w:rPr>
        <w:t>,</w:t>
      </w:r>
      <w:r w:rsidRPr="00893159">
        <w:rPr>
          <w:iCs/>
        </w:rPr>
        <w:t xml:space="preserve"> </w:t>
      </w:r>
      <w:r>
        <w:t>1995;</w:t>
      </w:r>
      <w:r w:rsidR="00B15B3E" w:rsidRPr="00B15B3E">
        <w:t xml:space="preserve"> </w:t>
      </w:r>
      <w:r w:rsidR="000B331A">
        <w:t>50</w:t>
      </w:r>
      <w:r w:rsidR="00B15B3E">
        <w:t>(</w:t>
      </w:r>
      <w:r w:rsidR="000B331A">
        <w:t>1</w:t>
      </w:r>
      <w:r w:rsidR="00B15B3E">
        <w:t>)</w:t>
      </w:r>
      <w:r>
        <w:t>;</w:t>
      </w:r>
      <w:r w:rsidR="00B15B3E" w:rsidRPr="00B15B3E">
        <w:t xml:space="preserve"> </w:t>
      </w:r>
      <w:r w:rsidR="000B331A">
        <w:t>3</w:t>
      </w:r>
      <w:r w:rsidR="00B15B3E" w:rsidRPr="00B15B3E">
        <w:t>-21.</w:t>
      </w:r>
    </w:p>
    <w:p w14:paraId="442A03C2" w14:textId="17B41B5A" w:rsidR="00B15B3E" w:rsidRDefault="00893159" w:rsidP="00566DE0">
      <w:pPr>
        <w:pStyle w:val="FlietextAbstanddavor"/>
        <w:spacing w:before="0" w:line="360" w:lineRule="auto"/>
        <w:ind w:firstLine="360"/>
      </w:pPr>
      <w:r>
        <w:t>Jensen</w:t>
      </w:r>
      <w:r w:rsidR="00B15B3E">
        <w:t xml:space="preserve"> </w:t>
      </w:r>
      <w:r w:rsidR="00B15B3E" w:rsidRPr="00B15B3E">
        <w:t>M.</w:t>
      </w:r>
      <w:r w:rsidR="00B15B3E">
        <w:t xml:space="preserve"> </w:t>
      </w:r>
      <w:r>
        <w:t>C.</w:t>
      </w:r>
      <w:r w:rsidR="00B15B3E" w:rsidRPr="00B15B3E">
        <w:t xml:space="preserve"> Corporate Control and the Politics of Finance</w:t>
      </w:r>
      <w:r w:rsidR="00B15B3E">
        <w:t>.</w:t>
      </w:r>
      <w:r w:rsidR="00B15B3E" w:rsidRPr="00B15B3E">
        <w:t xml:space="preserve"> </w:t>
      </w:r>
      <w:r w:rsidR="00B15B3E" w:rsidRPr="001B7804">
        <w:rPr>
          <w:i/>
          <w:iCs/>
        </w:rPr>
        <w:t>Journal of Applied Corporate Finance</w:t>
      </w:r>
      <w:r w:rsidR="001B7804">
        <w:rPr>
          <w:iCs/>
        </w:rPr>
        <w:t>,</w:t>
      </w:r>
      <w:r>
        <w:t xml:space="preserve"> </w:t>
      </w:r>
      <w:r w:rsidRPr="00B15B3E">
        <w:t>1991</w:t>
      </w:r>
      <w:r>
        <w:t xml:space="preserve">; </w:t>
      </w:r>
      <w:r w:rsidR="00B15B3E" w:rsidRPr="00B15B3E">
        <w:t>4</w:t>
      </w:r>
      <w:r>
        <w:t>(2);</w:t>
      </w:r>
      <w:r w:rsidR="00B15B3E" w:rsidRPr="00B15B3E">
        <w:t xml:space="preserve"> 13-33.</w:t>
      </w:r>
    </w:p>
    <w:p w14:paraId="1995BFCB" w14:textId="5753F365" w:rsidR="0058408B" w:rsidRDefault="00893159" w:rsidP="00566DE0">
      <w:pPr>
        <w:pStyle w:val="FlietextAbstanddavor"/>
        <w:spacing w:before="0" w:line="360" w:lineRule="auto"/>
        <w:ind w:firstLine="360"/>
      </w:pPr>
      <w:proofErr w:type="spellStart"/>
      <w:r>
        <w:t>Lynagh</w:t>
      </w:r>
      <w:proofErr w:type="spellEnd"/>
      <w:r>
        <w:t xml:space="preserve"> C, </w:t>
      </w:r>
      <w:proofErr w:type="spellStart"/>
      <w:r>
        <w:t>Pinkus</w:t>
      </w:r>
      <w:proofErr w:type="spellEnd"/>
      <w:r>
        <w:t xml:space="preserve"> D, Ralph A, Sutcliffe M.</w:t>
      </w:r>
      <w:r w:rsidR="0058408B">
        <w:t xml:space="preserve"> The American Airlines Bankruptcy,</w:t>
      </w:r>
      <w:r w:rsidR="00603128">
        <w:t xml:space="preserve"> New York University Stern</w:t>
      </w:r>
      <w:r>
        <w:t>; 2013;</w:t>
      </w:r>
      <w:r w:rsidR="00603128">
        <w:t xml:space="preserve"> available at </w:t>
      </w:r>
      <w:r w:rsidR="00603128" w:rsidRPr="00603128">
        <w:t>https://turnaround.org/cmaextras/Carl-Marks-Competition-American-Airlines.pdf</w:t>
      </w:r>
      <w:r w:rsidR="00603128">
        <w:t>.</w:t>
      </w:r>
    </w:p>
    <w:p w14:paraId="37B061C6" w14:textId="08FFEBA3" w:rsidR="0058408B" w:rsidRDefault="00893159" w:rsidP="00566DE0">
      <w:pPr>
        <w:pStyle w:val="FlietextAbstanddavor"/>
        <w:spacing w:before="0" w:line="360" w:lineRule="auto"/>
        <w:ind w:firstLine="360"/>
      </w:pPr>
      <w:r>
        <w:t>McGrath M</w:t>
      </w:r>
      <w:r w:rsidR="0058408B">
        <w:t xml:space="preserve">. </w:t>
      </w:r>
      <w:r w:rsidR="00603128">
        <w:t xml:space="preserve">American Airlines US Airways Merger Officially Cleared </w:t>
      </w:r>
      <w:proofErr w:type="gramStart"/>
      <w:r w:rsidR="00603128">
        <w:t>For</w:t>
      </w:r>
      <w:proofErr w:type="gramEnd"/>
      <w:r w:rsidR="00603128">
        <w:t xml:space="preserve"> </w:t>
      </w:r>
      <w:proofErr w:type="spellStart"/>
      <w:r w:rsidR="00603128">
        <w:t>Takeoff</w:t>
      </w:r>
      <w:proofErr w:type="spellEnd"/>
      <w:r w:rsidR="00603128">
        <w:t xml:space="preserve">, </w:t>
      </w:r>
      <w:r w:rsidR="0058408B">
        <w:t>Forbes</w:t>
      </w:r>
      <w:r>
        <w:t>; 2013;</w:t>
      </w:r>
      <w:r w:rsidR="00603128">
        <w:t xml:space="preserve"> a</w:t>
      </w:r>
      <w:r w:rsidR="0058408B">
        <w:t xml:space="preserve">vailable at </w:t>
      </w:r>
      <w:r w:rsidR="0058408B">
        <w:lastRenderedPageBreak/>
        <w:t>http://www.forbes.com/sites/maggiemcgrath/2013/11/27/american-airlines-us-airways-merger-officially-cleared-for-takeoff/#14723fc36d7c</w:t>
      </w:r>
      <w:r w:rsidR="00603128">
        <w:t xml:space="preserve"> </w:t>
      </w:r>
      <w:r w:rsidR="0058408B">
        <w:t>[Accessed 23 May 2016].</w:t>
      </w:r>
    </w:p>
    <w:p w14:paraId="2F1E8B32" w14:textId="0E6EC35A" w:rsidR="0058408B" w:rsidRDefault="00C42C37" w:rsidP="00566DE0">
      <w:pPr>
        <w:pStyle w:val="FlietextAbstanddavor"/>
        <w:spacing w:before="0" w:line="360" w:lineRule="auto"/>
        <w:ind w:firstLine="360"/>
      </w:pPr>
      <w:r>
        <w:t>Mouawad J</w:t>
      </w:r>
      <w:r w:rsidR="0058408B">
        <w:t>. American and US Airways Announce Deal for $11 Bil</w:t>
      </w:r>
      <w:r w:rsidR="00893159">
        <w:t>lion Merger, The New York Times;</w:t>
      </w:r>
      <w:r w:rsidR="0058408B">
        <w:t xml:space="preserve"> </w:t>
      </w:r>
      <w:r w:rsidR="00893159">
        <w:t xml:space="preserve">2013; </w:t>
      </w:r>
      <w:r w:rsidR="0058408B">
        <w:t xml:space="preserve">available at http://dealbook.nytimes.com/2013/02/13/american-and-us-airways-said-to-vote-for-merger/?_r=0 [Accessed 23 </w:t>
      </w:r>
      <w:proofErr w:type="gramStart"/>
      <w:r w:rsidR="0058408B">
        <w:t>May,</w:t>
      </w:r>
      <w:proofErr w:type="gramEnd"/>
      <w:r w:rsidR="0058408B">
        <w:t xml:space="preserve"> 2016].</w:t>
      </w:r>
    </w:p>
    <w:p w14:paraId="065B8283" w14:textId="78FA8E25" w:rsidR="00651903" w:rsidRPr="00651903" w:rsidRDefault="00651903" w:rsidP="00651903">
      <w:pPr>
        <w:pStyle w:val="FlietextAbstanddavor"/>
        <w:spacing w:before="0" w:line="360" w:lineRule="auto"/>
        <w:ind w:firstLine="360"/>
        <w:rPr>
          <w:lang w:val="en-SG"/>
        </w:rPr>
      </w:pPr>
      <w:r>
        <w:t xml:space="preserve">Nakata H. Corporate bankruptcy, the Japanese way, The Japan Times; 2009; available at </w:t>
      </w:r>
      <w:hyperlink r:id="rId12" w:anchor=".W2Mwz-d9jD4" w:history="1">
        <w:r w:rsidRPr="00810A98">
          <w:rPr>
            <w:rStyle w:val="Hyperlink"/>
          </w:rPr>
          <w:t>https://www.japantimes.co.jp/news/2009/04/28/reference/corporate-bankruptcy-the-japanese-way/#.W2Mwz-d9jD4</w:t>
        </w:r>
      </w:hyperlink>
      <w:r>
        <w:t xml:space="preserve"> [accessed 02 August 2018].</w:t>
      </w:r>
    </w:p>
    <w:p w14:paraId="7F08078D" w14:textId="3D9B3560" w:rsidR="00C1436F" w:rsidRPr="00C1436F" w:rsidRDefault="00893159" w:rsidP="00566DE0">
      <w:pPr>
        <w:pStyle w:val="FlietextAbstanddavor"/>
        <w:spacing w:before="0" w:line="360" w:lineRule="auto"/>
        <w:ind w:firstLine="360"/>
      </w:pPr>
      <w:r>
        <w:t>Phillips G</w:t>
      </w:r>
      <w:r w:rsidR="00C1436F" w:rsidRPr="00C1436F">
        <w:t xml:space="preserve">, </w:t>
      </w:r>
      <w:proofErr w:type="spellStart"/>
      <w:r>
        <w:t>Sertsios</w:t>
      </w:r>
      <w:proofErr w:type="spellEnd"/>
      <w:r>
        <w:t xml:space="preserve"> G</w:t>
      </w:r>
      <w:r w:rsidR="00C1436F" w:rsidRPr="00C1436F">
        <w:t xml:space="preserve">. How do firm financial conditions affect product quality and pricing? </w:t>
      </w:r>
      <w:r w:rsidR="00C1436F" w:rsidRPr="001B7804">
        <w:rPr>
          <w:i/>
          <w:iCs/>
        </w:rPr>
        <w:t>Management Science</w:t>
      </w:r>
      <w:r w:rsidR="001B7804">
        <w:rPr>
          <w:iCs/>
        </w:rPr>
        <w:t>,</w:t>
      </w:r>
      <w:r w:rsidRPr="00893159">
        <w:t xml:space="preserve"> </w:t>
      </w:r>
      <w:r w:rsidRPr="00C1436F">
        <w:t>2013</w:t>
      </w:r>
      <w:r>
        <w:t>;</w:t>
      </w:r>
      <w:r w:rsidR="00C1436F" w:rsidRPr="00C1436F">
        <w:t xml:space="preserve"> 59(8)</w:t>
      </w:r>
      <w:r>
        <w:t>;</w:t>
      </w:r>
      <w:r w:rsidR="00C1436F" w:rsidRPr="00C1436F">
        <w:t xml:space="preserve"> 1764-1782.</w:t>
      </w:r>
    </w:p>
    <w:p w14:paraId="41CEDC53" w14:textId="21177E22" w:rsidR="0058408B" w:rsidRDefault="00893159" w:rsidP="00566DE0">
      <w:pPr>
        <w:pStyle w:val="FlietextAbstanddavor"/>
        <w:spacing w:before="0" w:line="360" w:lineRule="auto"/>
        <w:ind w:firstLine="360"/>
      </w:pPr>
      <w:r>
        <w:t>Titman S,</w:t>
      </w:r>
      <w:r w:rsidR="00C1436F" w:rsidRPr="00C1436F">
        <w:t xml:space="preserve"> </w:t>
      </w:r>
      <w:proofErr w:type="spellStart"/>
      <w:r>
        <w:t>Maksimovic</w:t>
      </w:r>
      <w:proofErr w:type="spellEnd"/>
      <w:r>
        <w:t xml:space="preserve"> V</w:t>
      </w:r>
      <w:r w:rsidR="0058408B">
        <w:t xml:space="preserve">. Financial Policy and a Firm's Reputation for Product Quality. </w:t>
      </w:r>
      <w:r w:rsidR="0058408B" w:rsidRPr="001B7804">
        <w:rPr>
          <w:i/>
        </w:rPr>
        <w:t>Review of Financial Studies</w:t>
      </w:r>
      <w:r w:rsidR="001B7804">
        <w:t>,</w:t>
      </w:r>
      <w:r w:rsidRPr="00893159">
        <w:t xml:space="preserve"> </w:t>
      </w:r>
      <w:r>
        <w:t>1989</w:t>
      </w:r>
      <w:r w:rsidR="00D60BFD">
        <w:t>;</w:t>
      </w:r>
      <w:r w:rsidR="0058408B">
        <w:t xml:space="preserve"> 4 </w:t>
      </w:r>
      <w:r w:rsidR="00271235">
        <w:t>(</w:t>
      </w:r>
      <w:r w:rsidR="0058408B">
        <w:t>1</w:t>
      </w:r>
      <w:r w:rsidR="00271235">
        <w:t>)</w:t>
      </w:r>
      <w:r w:rsidR="00D60BFD">
        <w:t>;</w:t>
      </w:r>
      <w:r w:rsidR="0058408B">
        <w:t xml:space="preserve"> 175-200.</w:t>
      </w:r>
    </w:p>
    <w:p w14:paraId="37E729DB" w14:textId="6E5FAE8F" w:rsidR="0058408B" w:rsidRDefault="0058408B" w:rsidP="00566DE0">
      <w:pPr>
        <w:pStyle w:val="FlietextAbstanddavor"/>
        <w:spacing w:before="0" w:line="360" w:lineRule="auto"/>
        <w:ind w:firstLine="360"/>
      </w:pPr>
      <w:r>
        <w:t>U.S.-EU Joint Commi</w:t>
      </w:r>
      <w:r w:rsidR="00760954">
        <w:t>ttee.</w:t>
      </w:r>
      <w:r>
        <w:t xml:space="preserve"> Tenth meeting of the US-EU Joint Committ</w:t>
      </w:r>
      <w:r w:rsidR="00D60BFD">
        <w:t>ee Record of Meeting December 8;</w:t>
      </w:r>
      <w:r>
        <w:t xml:space="preserve"> </w:t>
      </w:r>
      <w:r w:rsidR="00D60BFD">
        <w:t xml:space="preserve">2011; </w:t>
      </w:r>
      <w:r>
        <w:t xml:space="preserve">available at </w:t>
      </w:r>
      <w:r w:rsidRPr="0058408B">
        <w:t>http://www.state.gov/e/eb/rls/othr/ata/e/eu/192096.htm</w:t>
      </w:r>
      <w:r w:rsidR="00760954">
        <w:t>.</w:t>
      </w:r>
    </w:p>
    <w:p w14:paraId="0D07C82B" w14:textId="4369A8F0" w:rsidR="0042202A" w:rsidRPr="0042202A" w:rsidRDefault="00D60BFD" w:rsidP="00566DE0">
      <w:pPr>
        <w:pStyle w:val="FlietextFolge"/>
        <w:spacing w:line="360" w:lineRule="auto"/>
        <w:ind w:firstLine="360"/>
      </w:pPr>
      <w:proofErr w:type="spellStart"/>
      <w:r w:rsidRPr="00C42C37">
        <w:t>Ustaomer</w:t>
      </w:r>
      <w:proofErr w:type="spellEnd"/>
      <w:r w:rsidRPr="00C42C37">
        <w:t xml:space="preserve"> T C, </w:t>
      </w:r>
      <w:proofErr w:type="spellStart"/>
      <w:r w:rsidRPr="00C42C37">
        <w:t>Durmaz</w:t>
      </w:r>
      <w:proofErr w:type="spellEnd"/>
      <w:r w:rsidRPr="00C42C37">
        <w:t xml:space="preserve"> V,</w:t>
      </w:r>
      <w:r w:rsidR="0042202A" w:rsidRPr="00C42C37">
        <w:t xml:space="preserve"> </w:t>
      </w:r>
      <w:proofErr w:type="spellStart"/>
      <w:r w:rsidR="0042202A" w:rsidRPr="00C42C37">
        <w:t>Lei</w:t>
      </w:r>
      <w:r w:rsidRPr="00C42C37">
        <w:t>m</w:t>
      </w:r>
      <w:proofErr w:type="spellEnd"/>
      <w:r w:rsidRPr="00C42C37">
        <w:t xml:space="preserve"> Z.</w:t>
      </w:r>
      <w:r w:rsidR="0042202A" w:rsidRPr="00C42C37">
        <w:t xml:space="preserve"> The effect of joint ventures on airline competition: the case of American airlines, British airw</w:t>
      </w:r>
      <w:r w:rsidRPr="00C42C37">
        <w:t>ays and Iberia joint business.</w:t>
      </w:r>
      <w:r w:rsidR="0042202A" w:rsidRPr="00C42C37">
        <w:t xml:space="preserve"> </w:t>
      </w:r>
      <w:r w:rsidR="0042202A" w:rsidRPr="001B7804">
        <w:rPr>
          <w:i/>
          <w:iCs/>
        </w:rPr>
        <w:t>Procedia- Social and Behavioural Sciences</w:t>
      </w:r>
      <w:r w:rsidR="001B7804">
        <w:rPr>
          <w:iCs/>
        </w:rPr>
        <w:t>,</w:t>
      </w:r>
      <w:r w:rsidRPr="00C42C37">
        <w:rPr>
          <w:iCs/>
        </w:rPr>
        <w:t xml:space="preserve"> </w:t>
      </w:r>
      <w:r w:rsidRPr="00C42C37">
        <w:t>2015;</w:t>
      </w:r>
      <w:r w:rsidR="0042202A" w:rsidRPr="00C42C37">
        <w:t xml:space="preserve"> 210</w:t>
      </w:r>
      <w:r w:rsidRPr="00C42C37">
        <w:t>;</w:t>
      </w:r>
      <w:r w:rsidR="0042202A" w:rsidRPr="00C42C37">
        <w:t xml:space="preserve"> 430-439</w:t>
      </w:r>
      <w:r w:rsidRPr="00C42C37">
        <w:t>.</w:t>
      </w:r>
    </w:p>
    <w:p w14:paraId="157C0618" w14:textId="77777777" w:rsidR="003F3100" w:rsidRDefault="00C42C37" w:rsidP="003F3100">
      <w:pPr>
        <w:pStyle w:val="FlietextAbstanddavor"/>
        <w:spacing w:before="0" w:line="360" w:lineRule="auto"/>
        <w:ind w:firstLine="360"/>
      </w:pPr>
      <w:r>
        <w:t>Zhang</w:t>
      </w:r>
      <w:r w:rsidR="00B15B3E">
        <w:t xml:space="preserve"> G. </w:t>
      </w:r>
      <w:r w:rsidR="00B15B3E" w:rsidRPr="00B15B3E">
        <w:t xml:space="preserve">Emerging from Chapter 11 bankruptcy: is </w:t>
      </w:r>
      <w:proofErr w:type="gramStart"/>
      <w:r w:rsidR="00B15B3E" w:rsidRPr="00B15B3E">
        <w:t>it</w:t>
      </w:r>
      <w:proofErr w:type="gramEnd"/>
      <w:r w:rsidR="00B15B3E" w:rsidRPr="00B15B3E">
        <w:t xml:space="preserve"> good news or bad news for industry competitors? </w:t>
      </w:r>
      <w:r w:rsidR="00B15B3E" w:rsidRPr="001B7804">
        <w:rPr>
          <w:i/>
          <w:iCs/>
        </w:rPr>
        <w:t>Financial Management</w:t>
      </w:r>
      <w:r w:rsidR="001B7804">
        <w:rPr>
          <w:iCs/>
        </w:rPr>
        <w:t>,</w:t>
      </w:r>
      <w:r w:rsidRPr="00C42C37">
        <w:rPr>
          <w:iCs/>
        </w:rPr>
        <w:t xml:space="preserve"> </w:t>
      </w:r>
      <w:r>
        <w:t>2010;</w:t>
      </w:r>
      <w:r w:rsidR="00B15B3E" w:rsidRPr="00B15B3E">
        <w:t xml:space="preserve"> </w:t>
      </w:r>
      <w:r>
        <w:t>39(4);</w:t>
      </w:r>
      <w:r w:rsidR="00B15B3E" w:rsidRPr="00B15B3E">
        <w:t xml:space="preserve"> 1719-1742.</w:t>
      </w:r>
      <w:bookmarkStart w:id="50" w:name="_Hlk517160208"/>
    </w:p>
    <w:p w14:paraId="697A6B59" w14:textId="314E76D9" w:rsidR="00CD5F45" w:rsidRPr="007E558C" w:rsidRDefault="003F3100" w:rsidP="007E558C">
      <w:pPr>
        <w:pStyle w:val="FlietextAbstanddavor"/>
        <w:spacing w:before="0" w:line="360" w:lineRule="auto"/>
        <w:ind w:firstLine="360"/>
      </w:pPr>
      <w:r w:rsidRPr="00C85659">
        <w:rPr>
          <w:rFonts w:eastAsia="Times New Roman" w:cs="Times New Roman"/>
          <w:szCs w:val="24"/>
          <w:lang w:val="en-SG" w:eastAsia="en-SG" w:bidi="he-IL"/>
        </w:rPr>
        <w:t xml:space="preserve">Zou L, Yu C, </w:t>
      </w:r>
      <w:r w:rsidR="00E0231B" w:rsidRPr="00C85659">
        <w:rPr>
          <w:rFonts w:eastAsia="Times New Roman" w:cs="Times New Roman"/>
          <w:szCs w:val="24"/>
          <w:lang w:val="en-SG" w:eastAsia="en-SG" w:bidi="he-IL"/>
        </w:rPr>
        <w:t>and</w:t>
      </w:r>
      <w:r w:rsidRPr="00C85659">
        <w:rPr>
          <w:rFonts w:eastAsia="Times New Roman" w:cs="Times New Roman"/>
          <w:szCs w:val="24"/>
          <w:lang w:val="en-SG" w:eastAsia="en-SG" w:bidi="he-IL"/>
        </w:rPr>
        <w:t xml:space="preserve"> Dresner M. </w:t>
      </w:r>
      <w:r w:rsidRPr="00A4029A">
        <w:rPr>
          <w:rFonts w:eastAsia="Times New Roman" w:cs="Times New Roman"/>
          <w:szCs w:val="24"/>
          <w:lang w:val="en-SG" w:eastAsia="en-SG" w:bidi="he-IL"/>
        </w:rPr>
        <w:t xml:space="preserve">Multimarket contact, alliance membership, and prices in international airline markets. </w:t>
      </w:r>
      <w:r w:rsidRPr="00A4029A">
        <w:rPr>
          <w:rFonts w:eastAsia="Times New Roman" w:cs="Times New Roman"/>
          <w:i/>
          <w:iCs/>
          <w:szCs w:val="24"/>
          <w:lang w:val="en-SG" w:eastAsia="en-SG" w:bidi="he-IL"/>
        </w:rPr>
        <w:t>Transportation Research Part E: Logistics and Transportation Review</w:t>
      </w:r>
      <w:r w:rsidRPr="00A4029A">
        <w:rPr>
          <w:rFonts w:eastAsia="Times New Roman" w:cs="Times New Roman"/>
          <w:szCs w:val="24"/>
          <w:lang w:val="en-SG" w:eastAsia="en-SG" w:bidi="he-IL"/>
        </w:rPr>
        <w:t xml:space="preserve">, </w:t>
      </w:r>
      <w:r w:rsidR="00E0231B">
        <w:rPr>
          <w:rFonts w:eastAsia="Times New Roman" w:cs="Times New Roman"/>
          <w:szCs w:val="24"/>
          <w:lang w:val="en-SG" w:eastAsia="en-SG" w:bidi="he-IL"/>
        </w:rPr>
        <w:t xml:space="preserve">2012; </w:t>
      </w:r>
      <w:r w:rsidRPr="00A4029A">
        <w:rPr>
          <w:rFonts w:eastAsia="Times New Roman" w:cs="Times New Roman"/>
          <w:i/>
          <w:iCs/>
          <w:szCs w:val="24"/>
          <w:lang w:val="en-SG" w:eastAsia="en-SG" w:bidi="he-IL"/>
        </w:rPr>
        <w:t>48</w:t>
      </w:r>
      <w:r w:rsidRPr="00A4029A">
        <w:rPr>
          <w:rFonts w:eastAsia="Times New Roman" w:cs="Times New Roman"/>
          <w:szCs w:val="24"/>
          <w:lang w:val="en-SG" w:eastAsia="en-SG" w:bidi="he-IL"/>
        </w:rPr>
        <w:t>(2), 555-565.</w:t>
      </w:r>
      <w:bookmarkEnd w:id="45"/>
      <w:bookmarkEnd w:id="46"/>
      <w:bookmarkEnd w:id="47"/>
      <w:bookmarkEnd w:id="48"/>
      <w:bookmarkEnd w:id="49"/>
      <w:bookmarkEnd w:id="50"/>
    </w:p>
    <w:sectPr w:rsidR="00CD5F45" w:rsidRPr="007E558C" w:rsidSect="0007433B">
      <w:headerReference w:type="default" r:id="rId13"/>
      <w:footerReference w:type="default" r:id="rId14"/>
      <w:pgSz w:w="11906" w:h="16838" w:code="9"/>
      <w:pgMar w:top="1418" w:right="1418" w:bottom="1418" w:left="1701" w:header="720" w:footer="720"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F889D" w14:textId="77777777" w:rsidR="00EC01D9" w:rsidRDefault="00EC01D9" w:rsidP="008A46BE">
      <w:r>
        <w:separator/>
      </w:r>
    </w:p>
  </w:endnote>
  <w:endnote w:type="continuationSeparator" w:id="0">
    <w:p w14:paraId="148C9727" w14:textId="77777777" w:rsidR="00EC01D9" w:rsidRDefault="00EC01D9" w:rsidP="008A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2BC6" w14:textId="0B2CB085" w:rsidR="006F2B39" w:rsidRPr="009E758B" w:rsidRDefault="006F2B39" w:rsidP="00EE0228">
    <w:pPr>
      <w:pStyle w:val="Footer"/>
      <w:jc w:val="center"/>
      <w:rPr>
        <w:rFonts w:ascii="Arial" w:hAnsi="Arial"/>
        <w:sz w:val="20"/>
        <w:szCs w:val="20"/>
        <w:lang w:val="en-US"/>
      </w:rPr>
    </w:pPr>
    <w:r>
      <w:fldChar w:fldCharType="begin"/>
    </w:r>
    <w:r>
      <w:instrText xml:space="preserve"> PAGE  \* Arabic  \* MERGEFORMAT </w:instrText>
    </w:r>
    <w:r>
      <w:fldChar w:fldCharType="separate"/>
    </w:r>
    <w:r w:rsidR="00843396">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BFDF" w14:textId="77777777" w:rsidR="00EC01D9" w:rsidRDefault="00EC01D9" w:rsidP="008A46BE">
      <w:r>
        <w:separator/>
      </w:r>
    </w:p>
  </w:footnote>
  <w:footnote w:type="continuationSeparator" w:id="0">
    <w:p w14:paraId="6F428581" w14:textId="77777777" w:rsidR="00EC01D9" w:rsidRDefault="00EC01D9" w:rsidP="008A46BE">
      <w:r>
        <w:continuationSeparator/>
      </w:r>
    </w:p>
  </w:footnote>
  <w:footnote w:id="1">
    <w:p w14:paraId="5F47B663" w14:textId="23FDC0CF" w:rsidR="006F2B39" w:rsidRPr="0058408B" w:rsidRDefault="006F2B39" w:rsidP="00E84E63">
      <w:pPr>
        <w:pStyle w:val="FootnoteText"/>
      </w:pPr>
      <w:r>
        <w:rPr>
          <w:rStyle w:val="FootnoteReference"/>
        </w:rPr>
        <w:footnoteRef/>
      </w:r>
      <w:r>
        <w:t xml:space="preserve"> Specifically, Item 19 of the </w:t>
      </w:r>
      <w:r w:rsidRPr="00C61C9A">
        <w:rPr>
          <w:noProof/>
          <w:lang w:val="en-CA"/>
        </w:rPr>
        <w:t>U.S.-EU Joint Committee (2011</w:t>
      </w:r>
      <w:r w:rsidRPr="00C61C9A">
        <w:t>)</w:t>
      </w:r>
      <w:r>
        <w:t xml:space="preserve"> states that “The European delegation raised American Airlines' recent filing for Chapter 11 bankruptcy and said that it viewed Chapter 11 as a government subsidy and was concerned about the competitive impact of bankruptcy on the trans-Atlantic aviation market. The U.S. delegation responded that it did not consider Chapter 11 bankruptcy to be a government subsidy or support, that no government funds were involved in Chapter 11, and that Chapter 11 had not been shown to distort competition.”</w:t>
      </w:r>
    </w:p>
  </w:footnote>
  <w:footnote w:id="2">
    <w:p w14:paraId="5542565E" w14:textId="4F87868A" w:rsidR="006F2B39" w:rsidRPr="005176A9" w:rsidRDefault="006F2B39">
      <w:pPr>
        <w:pStyle w:val="FootnoteText"/>
      </w:pPr>
      <w:r>
        <w:rPr>
          <w:rStyle w:val="FootnoteReference"/>
        </w:rPr>
        <w:footnoteRef/>
      </w:r>
      <w:r>
        <w:t xml:space="preserve"> In a robustness check we restrict the data to eliminate observations more than one year prior to bankruptcy. This results with more moderate fare drop due to bankruptcy. </w:t>
      </w:r>
    </w:p>
  </w:footnote>
  <w:footnote w:id="3">
    <w:p w14:paraId="26EE031A" w14:textId="6F5F8E3B" w:rsidR="006F2B39" w:rsidRPr="006F2B39" w:rsidRDefault="006F2B39">
      <w:pPr>
        <w:pStyle w:val="FootnoteText"/>
      </w:pPr>
      <w:r>
        <w:rPr>
          <w:rStyle w:val="FootnoteReference"/>
        </w:rPr>
        <w:footnoteRef/>
      </w:r>
      <w:r>
        <w:t xml:space="preserve"> In </w:t>
      </w:r>
      <w:r>
        <w:rPr>
          <w:rFonts w:cs="Times New Roman"/>
        </w:rPr>
        <w:t>§</w:t>
      </w:r>
      <w:r>
        <w:fldChar w:fldCharType="begin"/>
      </w:r>
      <w:r>
        <w:rPr>
          <w:rFonts w:cs="Times New Roman"/>
        </w:rPr>
        <w:instrText xml:space="preserve"> REF _Ref486852306 \r \h </w:instrText>
      </w:r>
      <w:r>
        <w:fldChar w:fldCharType="separate"/>
      </w:r>
      <w:r>
        <w:rPr>
          <w:rFonts w:cs="Times New Roman"/>
          <w:cs/>
        </w:rPr>
        <w:t>‎</w:t>
      </w:r>
      <w:r>
        <w:rPr>
          <w:rFonts w:cs="Times New Roman"/>
        </w:rPr>
        <w:t>6.1</w:t>
      </w:r>
      <w:r>
        <w:fldChar w:fldCharType="end"/>
      </w:r>
      <w:r>
        <w:t xml:space="preserve"> we provide statistics regarding market participation with the corresponding density cut-offs (i.e., of 25% and 75%).</w:t>
      </w:r>
    </w:p>
  </w:footnote>
  <w:footnote w:id="4">
    <w:p w14:paraId="41A1FD6B" w14:textId="77777777" w:rsidR="006F2B39" w:rsidRPr="005D3663" w:rsidRDefault="006F2B39" w:rsidP="00A32320">
      <w:pPr>
        <w:pStyle w:val="FootnoteText"/>
      </w:pPr>
      <w:r w:rsidRPr="005D3663">
        <w:rPr>
          <w:rStyle w:val="FootnoteReference"/>
        </w:rPr>
        <w:footnoteRef/>
      </w:r>
      <w:r w:rsidRPr="005D3663">
        <w:t xml:space="preserve"> </w:t>
      </w:r>
      <w:r>
        <w:t>The HHI as an explanatory variable raises some concerns about endogeneity because market share is a function of price. However, e</w:t>
      </w:r>
      <w:r w:rsidRPr="005D3663">
        <w:t>xcluding the HHI</w:t>
      </w:r>
      <w:r>
        <w:t xml:space="preserve"> from the regression does not significantly influence the results of the different scenarios.</w:t>
      </w:r>
      <w:r>
        <w:tab/>
      </w:r>
    </w:p>
  </w:footnote>
  <w:footnote w:id="5">
    <w:p w14:paraId="3F01DC73" w14:textId="2354B4DE" w:rsidR="006F2B39" w:rsidRPr="00527B8D" w:rsidRDefault="006F2B39" w:rsidP="00D54B3E">
      <w:pPr>
        <w:pStyle w:val="FootnoteText"/>
      </w:pPr>
      <w:r>
        <w:rPr>
          <w:rStyle w:val="FootnoteReference"/>
        </w:rPr>
        <w:footnoteRef/>
      </w:r>
      <w:r>
        <w:t xml:space="preserve"> The core analysis comparing the effects in domestic and international markets is carried out in the next section. In the appendix we also provide estimations where the domestic and international markets are estimated separately, thereby eliminating the variable INT.</w:t>
      </w:r>
    </w:p>
  </w:footnote>
  <w:footnote w:id="6">
    <w:p w14:paraId="3CCC3645" w14:textId="1D192E42" w:rsidR="006F2B39" w:rsidRPr="000C2950" w:rsidRDefault="006F2B39" w:rsidP="001623F0">
      <w:pPr>
        <w:pStyle w:val="FootnoteText"/>
        <w:rPr>
          <w:lang w:val="en-CA"/>
        </w:rPr>
      </w:pPr>
      <w:r>
        <w:rPr>
          <w:rStyle w:val="FootnoteReference"/>
        </w:rPr>
        <w:footnoteRef/>
      </w:r>
      <w:r>
        <w:t xml:space="preserve"> The percentage effect of a unit change of an explanatory variable </w:t>
      </w:r>
      <m:oMath>
        <m:r>
          <w:rPr>
            <w:rFonts w:ascii="Cambria Math" w:hAnsi="Cambria Math"/>
          </w:rPr>
          <m:t>α</m:t>
        </m:r>
      </m:oMath>
      <w:r>
        <w:t xml:space="preserve"> on </w:t>
      </w:r>
      <m:oMath>
        <m:sSub>
          <m:sSubPr>
            <m:ctrlPr>
              <w:rPr>
                <w:rFonts w:ascii="Cambria Math" w:hAnsi="Cambria Math"/>
              </w:rPr>
            </m:ctrlPr>
          </m:sSubPr>
          <m:e>
            <m:r>
              <w:rPr>
                <w:rFonts w:ascii="Cambria Math" w:hAnsi="Cambria Math"/>
              </w:rPr>
              <m:t>P</m:t>
            </m:r>
          </m:e>
          <m:sub>
            <m:r>
              <w:rPr>
                <w:rFonts w:ascii="Cambria Math" w:hAnsi="Cambria Math"/>
              </w:rPr>
              <m:t>crt</m:t>
            </m:r>
          </m:sub>
        </m:sSub>
      </m:oMath>
      <w:r>
        <w:t xml:space="preserve"> in a log-linear model is calculated as follows: 100*[</w:t>
      </w:r>
      <w:proofErr w:type="gramStart"/>
      <w:r>
        <w:t>exp(</w:t>
      </w:r>
      <w:proofErr w:type="gramEnd"/>
      <m:oMath>
        <m:r>
          <w:rPr>
            <w:rFonts w:ascii="Cambria Math" w:hAnsi="Cambria Math"/>
          </w:rPr>
          <m:t>α</m:t>
        </m:r>
      </m:oMath>
      <w:r>
        <w:t>)-1]. Hence, a coefficient of -0.06 implies a drop of 100*[</w:t>
      </w:r>
      <w:proofErr w:type="gramStart"/>
      <w:r>
        <w:t>exp(</w:t>
      </w:r>
      <w:proofErr w:type="gramEnd"/>
      <w:r>
        <w:t>-0.06)-1]=5.8%.</w:t>
      </w:r>
    </w:p>
  </w:footnote>
  <w:footnote w:id="7">
    <w:p w14:paraId="72AFB568" w14:textId="643B04CD" w:rsidR="006F2B39" w:rsidRPr="00672641" w:rsidRDefault="006F2B39">
      <w:pPr>
        <w:pStyle w:val="FootnoteText"/>
      </w:pPr>
      <w:r>
        <w:rPr>
          <w:rStyle w:val="FootnoteReference"/>
        </w:rPr>
        <w:footnoteRef/>
      </w:r>
      <w:r>
        <w:t xml:space="preserve"> We revisit this point in </w:t>
      </w:r>
      <w:r>
        <w:rPr>
          <w:rFonts w:cs="Times New Roman"/>
        </w:rPr>
        <w:t>§</w:t>
      </w:r>
      <w:r>
        <w:fldChar w:fldCharType="begin"/>
      </w:r>
      <w:r>
        <w:rPr>
          <w:rFonts w:cs="Times New Roman"/>
        </w:rPr>
        <w:instrText xml:space="preserve"> REF _Ref521493707 \r \h </w:instrText>
      </w:r>
      <w:r>
        <w:fldChar w:fldCharType="separate"/>
      </w:r>
      <w:r>
        <w:rPr>
          <w:rFonts w:cs="Times New Roman"/>
          <w:cs/>
        </w:rPr>
        <w:t>‎</w:t>
      </w:r>
      <w:r>
        <w:rPr>
          <w:rFonts w:cs="Times New Roman"/>
        </w:rPr>
        <w:t>6.2</w:t>
      </w:r>
      <w:r>
        <w:fldChar w:fldCharType="end"/>
      </w:r>
      <w:r>
        <w:t xml:space="preserve"> to verify that our analysis qualitatively holds also when restricted to the period between November 2010 (one year prior to bankruptcy) and October 2014 (one year past emergence). </w:t>
      </w:r>
    </w:p>
  </w:footnote>
  <w:footnote w:id="8">
    <w:p w14:paraId="70BAC4A9" w14:textId="127DD933" w:rsidR="006F2B39" w:rsidRPr="00240B77" w:rsidRDefault="006F2B39">
      <w:pPr>
        <w:pStyle w:val="FootnoteText"/>
        <w:rPr>
          <w:lang w:val="en-CA"/>
        </w:rPr>
      </w:pPr>
      <w:r>
        <w:rPr>
          <w:rStyle w:val="FootnoteReference"/>
        </w:rPr>
        <w:footnoteRef/>
      </w:r>
      <w:r>
        <w:t xml:space="preserve"> </w:t>
      </w:r>
      <w:r>
        <w:rPr>
          <w:lang w:val="en-CA"/>
        </w:rPr>
        <w:t>Those flights were operated in the summers of 2013-2015.</w:t>
      </w:r>
    </w:p>
  </w:footnote>
  <w:footnote w:id="9">
    <w:p w14:paraId="42095249" w14:textId="4BE6C9E9" w:rsidR="006F2B39" w:rsidRPr="00240B77" w:rsidRDefault="006F2B39">
      <w:pPr>
        <w:pStyle w:val="FootnoteText"/>
        <w:rPr>
          <w:lang w:val="en-CA"/>
        </w:rPr>
      </w:pPr>
      <w:r>
        <w:rPr>
          <w:rStyle w:val="FootnoteReference"/>
        </w:rPr>
        <w:footnoteRef/>
      </w:r>
      <w:r>
        <w:t xml:space="preserve"> </w:t>
      </w:r>
      <w:r>
        <w:rPr>
          <w:lang w:val="en-CA"/>
        </w:rPr>
        <w:t xml:space="preserve">We thank the anonymous referee for suggesting this mechanism for explaining the pricing difference between the two market types.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3D50" w14:textId="199DC916" w:rsidR="006F2B39" w:rsidRPr="00AE0805" w:rsidRDefault="006F2B39" w:rsidP="00AE0805">
    <w:pPr>
      <w:pStyle w:val="FlietextAbstanddavor"/>
      <w:rPr>
        <w:b/>
        <w:bCs w:val="0"/>
        <w:sz w:val="20"/>
        <w:szCs w:val="22"/>
      </w:rPr>
    </w:pPr>
    <w:r w:rsidRPr="00AE0805">
      <w:rPr>
        <w:b/>
        <w:bCs w:val="0"/>
        <w:sz w:val="20"/>
        <w:szCs w:val="22"/>
      </w:rPr>
      <w:t>Bock, Mantin, Niemeier, &amp; Forsyth: Bankruptcy in international vs domestic markets</w:t>
    </w:r>
  </w:p>
  <w:p w14:paraId="75A9D2F7" w14:textId="77777777" w:rsidR="006F2B39" w:rsidRPr="00AD72DC" w:rsidRDefault="006F2B39" w:rsidP="00345689">
    <w:pPr>
      <w:pStyle w:val="Header"/>
      <w:rPr>
        <w:lang w:val="en-GB"/>
      </w:rPr>
    </w:pPr>
    <w:r w:rsidRPr="00A7462E">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AD46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979AE"/>
    <w:multiLevelType w:val="hybridMultilevel"/>
    <w:tmpl w:val="0F52424A"/>
    <w:lvl w:ilvl="0" w:tplc="10090001">
      <w:start w:val="1"/>
      <w:numFmt w:val="bullet"/>
      <w:lvlText w:val=""/>
      <w:lvlJc w:val="left"/>
      <w:pPr>
        <w:ind w:left="1004" w:hanging="360"/>
      </w:pPr>
      <w:rPr>
        <w:rFonts w:ascii="Symbol" w:hAnsi="Symbol"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0A9B05AF"/>
    <w:multiLevelType w:val="hybridMultilevel"/>
    <w:tmpl w:val="561274D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 w15:restartNumberingAfterBreak="0">
    <w:nsid w:val="12784A19"/>
    <w:multiLevelType w:val="hybridMultilevel"/>
    <w:tmpl w:val="BF3C13D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9D2ADD"/>
    <w:multiLevelType w:val="multilevel"/>
    <w:tmpl w:val="73B42246"/>
    <w:lvl w:ilvl="0">
      <w:start w:val="1"/>
      <w:numFmt w:val="decimal"/>
      <w:pStyle w:val="Heading1"/>
      <w:lvlText w:val="%1"/>
      <w:lvlJc w:val="left"/>
      <w:pPr>
        <w:tabs>
          <w:tab w:val="num" w:pos="1021"/>
        </w:tabs>
        <w:ind w:left="1021" w:hanging="1021"/>
      </w:pPr>
      <w:rPr>
        <w:rFonts w:hint="default"/>
      </w:rPr>
    </w:lvl>
    <w:lvl w:ilvl="1">
      <w:start w:val="1"/>
      <w:numFmt w:val="decimal"/>
      <w:pStyle w:val="Heading2"/>
      <w:lvlText w:val="%1.%2"/>
      <w:lvlJc w:val="left"/>
      <w:pPr>
        <w:tabs>
          <w:tab w:val="num" w:pos="1021"/>
        </w:tabs>
        <w:ind w:left="1021" w:hanging="879"/>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74F6F48"/>
    <w:multiLevelType w:val="hybridMultilevel"/>
    <w:tmpl w:val="DD16342A"/>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1C621218"/>
    <w:multiLevelType w:val="hybridMultilevel"/>
    <w:tmpl w:val="0DDE827C"/>
    <w:lvl w:ilvl="0" w:tplc="BD60AD3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DD1D48"/>
    <w:multiLevelType w:val="hybridMultilevel"/>
    <w:tmpl w:val="383835D0"/>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8" w15:restartNumberingAfterBreak="0">
    <w:nsid w:val="27701CEE"/>
    <w:multiLevelType w:val="hybridMultilevel"/>
    <w:tmpl w:val="F6E0AB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ADD1BD0"/>
    <w:multiLevelType w:val="hybridMultilevel"/>
    <w:tmpl w:val="53ECEC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8B55D2"/>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547E5A"/>
    <w:multiLevelType w:val="hybridMultilevel"/>
    <w:tmpl w:val="1A50DE0A"/>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 w15:restartNumberingAfterBreak="0">
    <w:nsid w:val="344F7C48"/>
    <w:multiLevelType w:val="hybridMultilevel"/>
    <w:tmpl w:val="61D815C0"/>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3" w15:restartNumberingAfterBreak="0">
    <w:nsid w:val="34F143C5"/>
    <w:multiLevelType w:val="hybridMultilevel"/>
    <w:tmpl w:val="18642E16"/>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4" w15:restartNumberingAfterBreak="0">
    <w:nsid w:val="38E01C39"/>
    <w:multiLevelType w:val="hybridMultilevel"/>
    <w:tmpl w:val="718EF7A8"/>
    <w:lvl w:ilvl="0" w:tplc="53B239E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96B01ED"/>
    <w:multiLevelType w:val="hybridMultilevel"/>
    <w:tmpl w:val="561274D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0C66C2"/>
    <w:multiLevelType w:val="hybridMultilevel"/>
    <w:tmpl w:val="BE36A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DF5E2C"/>
    <w:multiLevelType w:val="hybridMultilevel"/>
    <w:tmpl w:val="F0467144"/>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8" w15:restartNumberingAfterBreak="0">
    <w:nsid w:val="4E7A74F3"/>
    <w:multiLevelType w:val="hybridMultilevel"/>
    <w:tmpl w:val="C53AD0C4"/>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9" w15:restartNumberingAfterBreak="0">
    <w:nsid w:val="59AF4DD4"/>
    <w:multiLevelType w:val="hybridMultilevel"/>
    <w:tmpl w:val="E6922DF8"/>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0" w15:restartNumberingAfterBreak="0">
    <w:nsid w:val="602D6445"/>
    <w:multiLevelType w:val="hybridMultilevel"/>
    <w:tmpl w:val="3A448C22"/>
    <w:lvl w:ilvl="0" w:tplc="0407001B">
      <w:start w:val="1"/>
      <w:numFmt w:val="lowerRoman"/>
      <w:lvlText w:val="%1."/>
      <w:lvlJc w:val="righ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1" w15:restartNumberingAfterBreak="0">
    <w:nsid w:val="631F7AD5"/>
    <w:multiLevelType w:val="hybridMultilevel"/>
    <w:tmpl w:val="814E133C"/>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2" w15:restartNumberingAfterBreak="0">
    <w:nsid w:val="64001C3B"/>
    <w:multiLevelType w:val="hybridMultilevel"/>
    <w:tmpl w:val="77709E56"/>
    <w:lvl w:ilvl="0" w:tplc="050CDB8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B76817"/>
    <w:multiLevelType w:val="hybridMultilevel"/>
    <w:tmpl w:val="1B60784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C316CCC"/>
    <w:multiLevelType w:val="hybridMultilevel"/>
    <w:tmpl w:val="86ACF704"/>
    <w:lvl w:ilvl="0" w:tplc="050CDB8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DFB167A"/>
    <w:multiLevelType w:val="hybridMultilevel"/>
    <w:tmpl w:val="61D815C0"/>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6" w15:restartNumberingAfterBreak="0">
    <w:nsid w:val="71231F0B"/>
    <w:multiLevelType w:val="hybridMultilevel"/>
    <w:tmpl w:val="B2CCCF74"/>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7" w15:restartNumberingAfterBreak="0">
    <w:nsid w:val="743B3E54"/>
    <w:multiLevelType w:val="hybridMultilevel"/>
    <w:tmpl w:val="9FC4CE2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9"/>
  </w:num>
  <w:num w:numId="3">
    <w:abstractNumId w:val="21"/>
  </w:num>
  <w:num w:numId="4">
    <w:abstractNumId w:val="17"/>
  </w:num>
  <w:num w:numId="5">
    <w:abstractNumId w:val="23"/>
  </w:num>
  <w:num w:numId="6">
    <w:abstractNumId w:val="20"/>
  </w:num>
  <w:num w:numId="7">
    <w:abstractNumId w:val="27"/>
  </w:num>
  <w:num w:numId="8">
    <w:abstractNumId w:val="3"/>
  </w:num>
  <w:num w:numId="9">
    <w:abstractNumId w:val="18"/>
  </w:num>
  <w:num w:numId="10">
    <w:abstractNumId w:val="5"/>
  </w:num>
  <w:num w:numId="11">
    <w:abstractNumId w:val="2"/>
  </w:num>
  <w:num w:numId="12">
    <w:abstractNumId w:val="12"/>
  </w:num>
  <w:num w:numId="13">
    <w:abstractNumId w:val="25"/>
  </w:num>
  <w:num w:numId="14">
    <w:abstractNumId w:val="7"/>
  </w:num>
  <w:num w:numId="15">
    <w:abstractNumId w:val="1"/>
  </w:num>
  <w:num w:numId="16">
    <w:abstractNumId w:val="15"/>
  </w:num>
  <w:num w:numId="17">
    <w:abstractNumId w:val="14"/>
  </w:num>
  <w:num w:numId="18">
    <w:abstractNumId w:val="9"/>
  </w:num>
  <w:num w:numId="19">
    <w:abstractNumId w:val="24"/>
  </w:num>
  <w:num w:numId="20">
    <w:abstractNumId w:val="26"/>
  </w:num>
  <w:num w:numId="21">
    <w:abstractNumId w:val="11"/>
  </w:num>
  <w:num w:numId="22">
    <w:abstractNumId w:val="22"/>
  </w:num>
  <w:num w:numId="23">
    <w:abstractNumId w:val="6"/>
  </w:num>
  <w:num w:numId="24">
    <w:abstractNumId w:val="0"/>
  </w:num>
  <w:num w:numId="25">
    <w:abstractNumId w:val="16"/>
  </w:num>
  <w:num w:numId="26">
    <w:abstractNumId w:val="8"/>
  </w:num>
  <w:num w:numId="27">
    <w:abstractNumId w:val="10"/>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13"/>
  </w:num>
  <w:num w:numId="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393"/>
    <w:rsid w:val="0000007C"/>
    <w:rsid w:val="00000486"/>
    <w:rsid w:val="00000588"/>
    <w:rsid w:val="00000597"/>
    <w:rsid w:val="00000838"/>
    <w:rsid w:val="00000C0B"/>
    <w:rsid w:val="00001344"/>
    <w:rsid w:val="0000152A"/>
    <w:rsid w:val="00001BA9"/>
    <w:rsid w:val="00001FC3"/>
    <w:rsid w:val="00002065"/>
    <w:rsid w:val="0000229C"/>
    <w:rsid w:val="000025A6"/>
    <w:rsid w:val="00002B85"/>
    <w:rsid w:val="00002E8A"/>
    <w:rsid w:val="00002F8F"/>
    <w:rsid w:val="000030AF"/>
    <w:rsid w:val="0000351F"/>
    <w:rsid w:val="00003563"/>
    <w:rsid w:val="000035B4"/>
    <w:rsid w:val="0000371E"/>
    <w:rsid w:val="0000386D"/>
    <w:rsid w:val="00003EEA"/>
    <w:rsid w:val="000040DB"/>
    <w:rsid w:val="000041DF"/>
    <w:rsid w:val="000048D3"/>
    <w:rsid w:val="0000508B"/>
    <w:rsid w:val="00005461"/>
    <w:rsid w:val="00005570"/>
    <w:rsid w:val="00005765"/>
    <w:rsid w:val="000057F1"/>
    <w:rsid w:val="00005839"/>
    <w:rsid w:val="00005961"/>
    <w:rsid w:val="000067C1"/>
    <w:rsid w:val="00006CE7"/>
    <w:rsid w:val="0000711B"/>
    <w:rsid w:val="00007414"/>
    <w:rsid w:val="000075B2"/>
    <w:rsid w:val="00007610"/>
    <w:rsid w:val="00007EDB"/>
    <w:rsid w:val="00010368"/>
    <w:rsid w:val="0001066D"/>
    <w:rsid w:val="00010938"/>
    <w:rsid w:val="00010A16"/>
    <w:rsid w:val="00010C1B"/>
    <w:rsid w:val="00010CA0"/>
    <w:rsid w:val="00010DDE"/>
    <w:rsid w:val="00011603"/>
    <w:rsid w:val="00012093"/>
    <w:rsid w:val="0001244E"/>
    <w:rsid w:val="00012866"/>
    <w:rsid w:val="00012FBE"/>
    <w:rsid w:val="0001340C"/>
    <w:rsid w:val="00013424"/>
    <w:rsid w:val="00013667"/>
    <w:rsid w:val="00013796"/>
    <w:rsid w:val="00013AEF"/>
    <w:rsid w:val="00013E2A"/>
    <w:rsid w:val="00013FBF"/>
    <w:rsid w:val="00014031"/>
    <w:rsid w:val="00014100"/>
    <w:rsid w:val="0001422F"/>
    <w:rsid w:val="000144A9"/>
    <w:rsid w:val="0001463D"/>
    <w:rsid w:val="00014A70"/>
    <w:rsid w:val="00014ED1"/>
    <w:rsid w:val="00015136"/>
    <w:rsid w:val="00015A77"/>
    <w:rsid w:val="00015B32"/>
    <w:rsid w:val="000161B3"/>
    <w:rsid w:val="000167C0"/>
    <w:rsid w:val="00016B6D"/>
    <w:rsid w:val="00016B95"/>
    <w:rsid w:val="00017019"/>
    <w:rsid w:val="0001716B"/>
    <w:rsid w:val="000172AD"/>
    <w:rsid w:val="0001786F"/>
    <w:rsid w:val="00020003"/>
    <w:rsid w:val="000205D7"/>
    <w:rsid w:val="000208A0"/>
    <w:rsid w:val="00020E94"/>
    <w:rsid w:val="00021248"/>
    <w:rsid w:val="0002145F"/>
    <w:rsid w:val="00021E8C"/>
    <w:rsid w:val="00022DB1"/>
    <w:rsid w:val="00023372"/>
    <w:rsid w:val="00023651"/>
    <w:rsid w:val="000238C8"/>
    <w:rsid w:val="00023A71"/>
    <w:rsid w:val="00023ACC"/>
    <w:rsid w:val="00024277"/>
    <w:rsid w:val="0002446E"/>
    <w:rsid w:val="0002514C"/>
    <w:rsid w:val="00025532"/>
    <w:rsid w:val="00025CBA"/>
    <w:rsid w:val="000262FD"/>
    <w:rsid w:val="000267F5"/>
    <w:rsid w:val="00026873"/>
    <w:rsid w:val="00026A84"/>
    <w:rsid w:val="00026B55"/>
    <w:rsid w:val="00026C01"/>
    <w:rsid w:val="00026CCD"/>
    <w:rsid w:val="00026CF2"/>
    <w:rsid w:val="0002720A"/>
    <w:rsid w:val="00027731"/>
    <w:rsid w:val="000279B5"/>
    <w:rsid w:val="0003036A"/>
    <w:rsid w:val="000306B8"/>
    <w:rsid w:val="00030AFA"/>
    <w:rsid w:val="00031399"/>
    <w:rsid w:val="000317F5"/>
    <w:rsid w:val="00031937"/>
    <w:rsid w:val="000326E2"/>
    <w:rsid w:val="00033095"/>
    <w:rsid w:val="000330A0"/>
    <w:rsid w:val="00033AFF"/>
    <w:rsid w:val="00033E0E"/>
    <w:rsid w:val="00033E2D"/>
    <w:rsid w:val="00034399"/>
    <w:rsid w:val="00034535"/>
    <w:rsid w:val="0003469B"/>
    <w:rsid w:val="000346A8"/>
    <w:rsid w:val="000348AF"/>
    <w:rsid w:val="00034992"/>
    <w:rsid w:val="00034C33"/>
    <w:rsid w:val="00035BCE"/>
    <w:rsid w:val="00036FD9"/>
    <w:rsid w:val="00037948"/>
    <w:rsid w:val="00037AD5"/>
    <w:rsid w:val="00037CCB"/>
    <w:rsid w:val="00037D5B"/>
    <w:rsid w:val="00037F33"/>
    <w:rsid w:val="000401C7"/>
    <w:rsid w:val="000409DF"/>
    <w:rsid w:val="000411B8"/>
    <w:rsid w:val="000422FA"/>
    <w:rsid w:val="00042716"/>
    <w:rsid w:val="00042718"/>
    <w:rsid w:val="00042769"/>
    <w:rsid w:val="0004288C"/>
    <w:rsid w:val="00042F71"/>
    <w:rsid w:val="0004330D"/>
    <w:rsid w:val="0004361E"/>
    <w:rsid w:val="000438EA"/>
    <w:rsid w:val="00043CA0"/>
    <w:rsid w:val="00043D92"/>
    <w:rsid w:val="00043FBC"/>
    <w:rsid w:val="0004482A"/>
    <w:rsid w:val="00044915"/>
    <w:rsid w:val="00044C3A"/>
    <w:rsid w:val="00044F87"/>
    <w:rsid w:val="000450D9"/>
    <w:rsid w:val="000450FB"/>
    <w:rsid w:val="00045131"/>
    <w:rsid w:val="0004530D"/>
    <w:rsid w:val="000454CD"/>
    <w:rsid w:val="00045546"/>
    <w:rsid w:val="00045AC0"/>
    <w:rsid w:val="00045D08"/>
    <w:rsid w:val="00046374"/>
    <w:rsid w:val="0004665F"/>
    <w:rsid w:val="00046B35"/>
    <w:rsid w:val="00046D50"/>
    <w:rsid w:val="00046DCB"/>
    <w:rsid w:val="00046FA3"/>
    <w:rsid w:val="00047336"/>
    <w:rsid w:val="00047811"/>
    <w:rsid w:val="000479AA"/>
    <w:rsid w:val="00047AEB"/>
    <w:rsid w:val="00047F69"/>
    <w:rsid w:val="00047FD0"/>
    <w:rsid w:val="00050431"/>
    <w:rsid w:val="000506D3"/>
    <w:rsid w:val="00050FFF"/>
    <w:rsid w:val="000510DE"/>
    <w:rsid w:val="00052146"/>
    <w:rsid w:val="00052C73"/>
    <w:rsid w:val="0005312C"/>
    <w:rsid w:val="00053964"/>
    <w:rsid w:val="00053C99"/>
    <w:rsid w:val="00054089"/>
    <w:rsid w:val="0005456B"/>
    <w:rsid w:val="0005488F"/>
    <w:rsid w:val="00054B29"/>
    <w:rsid w:val="00054C4A"/>
    <w:rsid w:val="00054DED"/>
    <w:rsid w:val="0005521D"/>
    <w:rsid w:val="000557E8"/>
    <w:rsid w:val="00055939"/>
    <w:rsid w:val="00055992"/>
    <w:rsid w:val="000559FA"/>
    <w:rsid w:val="0005637C"/>
    <w:rsid w:val="000564E4"/>
    <w:rsid w:val="0005654F"/>
    <w:rsid w:val="00056BDD"/>
    <w:rsid w:val="0005736D"/>
    <w:rsid w:val="00057573"/>
    <w:rsid w:val="000575B6"/>
    <w:rsid w:val="00057B9A"/>
    <w:rsid w:val="000609A0"/>
    <w:rsid w:val="000609E9"/>
    <w:rsid w:val="00060C5C"/>
    <w:rsid w:val="00060CD7"/>
    <w:rsid w:val="00061491"/>
    <w:rsid w:val="00061C58"/>
    <w:rsid w:val="00061F5F"/>
    <w:rsid w:val="00061FDA"/>
    <w:rsid w:val="0006231A"/>
    <w:rsid w:val="0006234D"/>
    <w:rsid w:val="00062635"/>
    <w:rsid w:val="00062795"/>
    <w:rsid w:val="000628D7"/>
    <w:rsid w:val="000628DE"/>
    <w:rsid w:val="00062947"/>
    <w:rsid w:val="00062B97"/>
    <w:rsid w:val="00062C4F"/>
    <w:rsid w:val="0006324B"/>
    <w:rsid w:val="0006332F"/>
    <w:rsid w:val="0006345E"/>
    <w:rsid w:val="000635EA"/>
    <w:rsid w:val="00063955"/>
    <w:rsid w:val="00063BA9"/>
    <w:rsid w:val="00063BC2"/>
    <w:rsid w:val="00064D24"/>
    <w:rsid w:val="000650E1"/>
    <w:rsid w:val="000652AA"/>
    <w:rsid w:val="000654C5"/>
    <w:rsid w:val="00065BB0"/>
    <w:rsid w:val="00065C55"/>
    <w:rsid w:val="00065E62"/>
    <w:rsid w:val="000661AE"/>
    <w:rsid w:val="00066270"/>
    <w:rsid w:val="0006629C"/>
    <w:rsid w:val="000667D5"/>
    <w:rsid w:val="00066812"/>
    <w:rsid w:val="000669B8"/>
    <w:rsid w:val="000672FF"/>
    <w:rsid w:val="0006764D"/>
    <w:rsid w:val="00067B67"/>
    <w:rsid w:val="00067F79"/>
    <w:rsid w:val="00070377"/>
    <w:rsid w:val="00070A7A"/>
    <w:rsid w:val="00070CAC"/>
    <w:rsid w:val="00070E75"/>
    <w:rsid w:val="000714C2"/>
    <w:rsid w:val="0007174D"/>
    <w:rsid w:val="00071820"/>
    <w:rsid w:val="00071AA2"/>
    <w:rsid w:val="00071E23"/>
    <w:rsid w:val="00071E47"/>
    <w:rsid w:val="00072A80"/>
    <w:rsid w:val="00072FCD"/>
    <w:rsid w:val="00073E60"/>
    <w:rsid w:val="00074123"/>
    <w:rsid w:val="0007433B"/>
    <w:rsid w:val="000756EC"/>
    <w:rsid w:val="000757FB"/>
    <w:rsid w:val="00075B0E"/>
    <w:rsid w:val="00075D3B"/>
    <w:rsid w:val="00076258"/>
    <w:rsid w:val="0007673E"/>
    <w:rsid w:val="000767D0"/>
    <w:rsid w:val="000768B1"/>
    <w:rsid w:val="000769AB"/>
    <w:rsid w:val="00076C0A"/>
    <w:rsid w:val="0007700E"/>
    <w:rsid w:val="00077981"/>
    <w:rsid w:val="00077AF9"/>
    <w:rsid w:val="00077DD5"/>
    <w:rsid w:val="00080259"/>
    <w:rsid w:val="000804F9"/>
    <w:rsid w:val="00080875"/>
    <w:rsid w:val="00080B6A"/>
    <w:rsid w:val="00080BAF"/>
    <w:rsid w:val="00080CEE"/>
    <w:rsid w:val="00081EA4"/>
    <w:rsid w:val="000820FB"/>
    <w:rsid w:val="00082938"/>
    <w:rsid w:val="00082987"/>
    <w:rsid w:val="00082BDC"/>
    <w:rsid w:val="00082C21"/>
    <w:rsid w:val="00082E96"/>
    <w:rsid w:val="0008303F"/>
    <w:rsid w:val="000831DA"/>
    <w:rsid w:val="00083957"/>
    <w:rsid w:val="00084055"/>
    <w:rsid w:val="0008450D"/>
    <w:rsid w:val="0008477D"/>
    <w:rsid w:val="000847F2"/>
    <w:rsid w:val="00084C0F"/>
    <w:rsid w:val="00084F3E"/>
    <w:rsid w:val="00085140"/>
    <w:rsid w:val="000859E9"/>
    <w:rsid w:val="00085DBA"/>
    <w:rsid w:val="00085DD2"/>
    <w:rsid w:val="00086769"/>
    <w:rsid w:val="0008680A"/>
    <w:rsid w:val="0008708C"/>
    <w:rsid w:val="00087310"/>
    <w:rsid w:val="00087C87"/>
    <w:rsid w:val="00087E0E"/>
    <w:rsid w:val="00087FCE"/>
    <w:rsid w:val="0009004F"/>
    <w:rsid w:val="00090210"/>
    <w:rsid w:val="00090752"/>
    <w:rsid w:val="000910F5"/>
    <w:rsid w:val="0009114E"/>
    <w:rsid w:val="000911E1"/>
    <w:rsid w:val="00091216"/>
    <w:rsid w:val="0009147E"/>
    <w:rsid w:val="00091518"/>
    <w:rsid w:val="00091767"/>
    <w:rsid w:val="000917FC"/>
    <w:rsid w:val="000919EC"/>
    <w:rsid w:val="00091C3F"/>
    <w:rsid w:val="00091F06"/>
    <w:rsid w:val="00091FBD"/>
    <w:rsid w:val="0009209A"/>
    <w:rsid w:val="000920AE"/>
    <w:rsid w:val="0009214A"/>
    <w:rsid w:val="00092392"/>
    <w:rsid w:val="00092534"/>
    <w:rsid w:val="00092997"/>
    <w:rsid w:val="0009322D"/>
    <w:rsid w:val="000938F8"/>
    <w:rsid w:val="000949DA"/>
    <w:rsid w:val="00094BA9"/>
    <w:rsid w:val="00094E76"/>
    <w:rsid w:val="000950ED"/>
    <w:rsid w:val="00095153"/>
    <w:rsid w:val="0009559A"/>
    <w:rsid w:val="00095753"/>
    <w:rsid w:val="00095837"/>
    <w:rsid w:val="00095D21"/>
    <w:rsid w:val="00095E16"/>
    <w:rsid w:val="000961EE"/>
    <w:rsid w:val="00096E21"/>
    <w:rsid w:val="00096E9E"/>
    <w:rsid w:val="00096F20"/>
    <w:rsid w:val="000973D8"/>
    <w:rsid w:val="00097438"/>
    <w:rsid w:val="000974F0"/>
    <w:rsid w:val="000976EE"/>
    <w:rsid w:val="000979DA"/>
    <w:rsid w:val="00097C5E"/>
    <w:rsid w:val="000A01F1"/>
    <w:rsid w:val="000A030B"/>
    <w:rsid w:val="000A1933"/>
    <w:rsid w:val="000A1C6E"/>
    <w:rsid w:val="000A1F39"/>
    <w:rsid w:val="000A20FA"/>
    <w:rsid w:val="000A221A"/>
    <w:rsid w:val="000A26C3"/>
    <w:rsid w:val="000A27D4"/>
    <w:rsid w:val="000A2991"/>
    <w:rsid w:val="000A2ACF"/>
    <w:rsid w:val="000A36BB"/>
    <w:rsid w:val="000A36FB"/>
    <w:rsid w:val="000A39DE"/>
    <w:rsid w:val="000A3ACB"/>
    <w:rsid w:val="000A48CA"/>
    <w:rsid w:val="000A4C6F"/>
    <w:rsid w:val="000A4D6D"/>
    <w:rsid w:val="000A5082"/>
    <w:rsid w:val="000A5983"/>
    <w:rsid w:val="000A5EBF"/>
    <w:rsid w:val="000A604E"/>
    <w:rsid w:val="000A6B65"/>
    <w:rsid w:val="000A6D19"/>
    <w:rsid w:val="000A6EBE"/>
    <w:rsid w:val="000A6F06"/>
    <w:rsid w:val="000A6F46"/>
    <w:rsid w:val="000A7070"/>
    <w:rsid w:val="000A753A"/>
    <w:rsid w:val="000A7593"/>
    <w:rsid w:val="000B0077"/>
    <w:rsid w:val="000B030E"/>
    <w:rsid w:val="000B0B5B"/>
    <w:rsid w:val="000B0ECF"/>
    <w:rsid w:val="000B0F2F"/>
    <w:rsid w:val="000B1009"/>
    <w:rsid w:val="000B1119"/>
    <w:rsid w:val="000B1318"/>
    <w:rsid w:val="000B1554"/>
    <w:rsid w:val="000B19B1"/>
    <w:rsid w:val="000B1ABA"/>
    <w:rsid w:val="000B1B6F"/>
    <w:rsid w:val="000B1BF5"/>
    <w:rsid w:val="000B1DBC"/>
    <w:rsid w:val="000B20F7"/>
    <w:rsid w:val="000B218B"/>
    <w:rsid w:val="000B224C"/>
    <w:rsid w:val="000B2503"/>
    <w:rsid w:val="000B2911"/>
    <w:rsid w:val="000B2C9E"/>
    <w:rsid w:val="000B2CAD"/>
    <w:rsid w:val="000B3047"/>
    <w:rsid w:val="000B331A"/>
    <w:rsid w:val="000B351D"/>
    <w:rsid w:val="000B3999"/>
    <w:rsid w:val="000B3C95"/>
    <w:rsid w:val="000B3CE3"/>
    <w:rsid w:val="000B3F93"/>
    <w:rsid w:val="000B409D"/>
    <w:rsid w:val="000B44A0"/>
    <w:rsid w:val="000B45B8"/>
    <w:rsid w:val="000B4D16"/>
    <w:rsid w:val="000B4DC6"/>
    <w:rsid w:val="000B4E3D"/>
    <w:rsid w:val="000B5331"/>
    <w:rsid w:val="000B561E"/>
    <w:rsid w:val="000B5812"/>
    <w:rsid w:val="000B58DE"/>
    <w:rsid w:val="000B5B76"/>
    <w:rsid w:val="000B5C62"/>
    <w:rsid w:val="000B5D18"/>
    <w:rsid w:val="000B5D60"/>
    <w:rsid w:val="000B5F89"/>
    <w:rsid w:val="000B61B3"/>
    <w:rsid w:val="000B7148"/>
    <w:rsid w:val="000B7C37"/>
    <w:rsid w:val="000B7CD6"/>
    <w:rsid w:val="000B7F22"/>
    <w:rsid w:val="000C0050"/>
    <w:rsid w:val="000C026D"/>
    <w:rsid w:val="000C060B"/>
    <w:rsid w:val="000C0CFC"/>
    <w:rsid w:val="000C0F05"/>
    <w:rsid w:val="000C10B3"/>
    <w:rsid w:val="000C1C62"/>
    <w:rsid w:val="000C271F"/>
    <w:rsid w:val="000C2765"/>
    <w:rsid w:val="000C27ED"/>
    <w:rsid w:val="000C2914"/>
    <w:rsid w:val="000C2950"/>
    <w:rsid w:val="000C3045"/>
    <w:rsid w:val="000C3371"/>
    <w:rsid w:val="000C3424"/>
    <w:rsid w:val="000C4931"/>
    <w:rsid w:val="000C50AC"/>
    <w:rsid w:val="000C5319"/>
    <w:rsid w:val="000C5736"/>
    <w:rsid w:val="000C5B0D"/>
    <w:rsid w:val="000C5E6B"/>
    <w:rsid w:val="000C5F9A"/>
    <w:rsid w:val="000C61D1"/>
    <w:rsid w:val="000C6429"/>
    <w:rsid w:val="000C66AB"/>
    <w:rsid w:val="000C7089"/>
    <w:rsid w:val="000C7746"/>
    <w:rsid w:val="000C7BCF"/>
    <w:rsid w:val="000D05EB"/>
    <w:rsid w:val="000D085C"/>
    <w:rsid w:val="000D0C79"/>
    <w:rsid w:val="000D0D71"/>
    <w:rsid w:val="000D119F"/>
    <w:rsid w:val="000D1EF2"/>
    <w:rsid w:val="000D22D5"/>
    <w:rsid w:val="000D29A5"/>
    <w:rsid w:val="000D3785"/>
    <w:rsid w:val="000D3DEA"/>
    <w:rsid w:val="000D4066"/>
    <w:rsid w:val="000D4991"/>
    <w:rsid w:val="000D5394"/>
    <w:rsid w:val="000D5494"/>
    <w:rsid w:val="000D5DA0"/>
    <w:rsid w:val="000D5E3A"/>
    <w:rsid w:val="000D622F"/>
    <w:rsid w:val="000D6338"/>
    <w:rsid w:val="000D645A"/>
    <w:rsid w:val="000D6ACC"/>
    <w:rsid w:val="000D6B8A"/>
    <w:rsid w:val="000D718B"/>
    <w:rsid w:val="000D719C"/>
    <w:rsid w:val="000D727B"/>
    <w:rsid w:val="000D7882"/>
    <w:rsid w:val="000D7CEC"/>
    <w:rsid w:val="000D7F4D"/>
    <w:rsid w:val="000E054C"/>
    <w:rsid w:val="000E0626"/>
    <w:rsid w:val="000E0940"/>
    <w:rsid w:val="000E0AF2"/>
    <w:rsid w:val="000E0DB4"/>
    <w:rsid w:val="000E14BC"/>
    <w:rsid w:val="000E20E9"/>
    <w:rsid w:val="000E2233"/>
    <w:rsid w:val="000E23C3"/>
    <w:rsid w:val="000E27A1"/>
    <w:rsid w:val="000E297A"/>
    <w:rsid w:val="000E31AD"/>
    <w:rsid w:val="000E33FF"/>
    <w:rsid w:val="000E3CAC"/>
    <w:rsid w:val="000E3D6C"/>
    <w:rsid w:val="000E3D7C"/>
    <w:rsid w:val="000E3DBF"/>
    <w:rsid w:val="000E3EF8"/>
    <w:rsid w:val="000E427B"/>
    <w:rsid w:val="000E4425"/>
    <w:rsid w:val="000E4838"/>
    <w:rsid w:val="000E48AF"/>
    <w:rsid w:val="000E4E69"/>
    <w:rsid w:val="000E5313"/>
    <w:rsid w:val="000E554C"/>
    <w:rsid w:val="000E5940"/>
    <w:rsid w:val="000E5A8F"/>
    <w:rsid w:val="000E5F84"/>
    <w:rsid w:val="000E5FC3"/>
    <w:rsid w:val="000E6127"/>
    <w:rsid w:val="000E6C96"/>
    <w:rsid w:val="000E7245"/>
    <w:rsid w:val="000E76B2"/>
    <w:rsid w:val="000E7BFB"/>
    <w:rsid w:val="000E7CD0"/>
    <w:rsid w:val="000E7DCD"/>
    <w:rsid w:val="000F030C"/>
    <w:rsid w:val="000F09EE"/>
    <w:rsid w:val="000F1006"/>
    <w:rsid w:val="000F1808"/>
    <w:rsid w:val="000F1BDA"/>
    <w:rsid w:val="000F1CE9"/>
    <w:rsid w:val="000F1DEC"/>
    <w:rsid w:val="000F242F"/>
    <w:rsid w:val="000F256D"/>
    <w:rsid w:val="000F2DE2"/>
    <w:rsid w:val="000F3B55"/>
    <w:rsid w:val="000F3C18"/>
    <w:rsid w:val="000F3C2F"/>
    <w:rsid w:val="000F3CB7"/>
    <w:rsid w:val="000F3F80"/>
    <w:rsid w:val="000F3FD1"/>
    <w:rsid w:val="000F400E"/>
    <w:rsid w:val="000F441B"/>
    <w:rsid w:val="000F458A"/>
    <w:rsid w:val="000F45FB"/>
    <w:rsid w:val="000F495B"/>
    <w:rsid w:val="000F4E22"/>
    <w:rsid w:val="000F4F8A"/>
    <w:rsid w:val="000F5077"/>
    <w:rsid w:val="000F5C03"/>
    <w:rsid w:val="000F68A2"/>
    <w:rsid w:val="000F6B4E"/>
    <w:rsid w:val="000F6B54"/>
    <w:rsid w:val="000F6B82"/>
    <w:rsid w:val="000F6DAC"/>
    <w:rsid w:val="000F6E82"/>
    <w:rsid w:val="000F716B"/>
    <w:rsid w:val="000F7964"/>
    <w:rsid w:val="000F79A6"/>
    <w:rsid w:val="001006B6"/>
    <w:rsid w:val="00100F7F"/>
    <w:rsid w:val="00101120"/>
    <w:rsid w:val="00101CEF"/>
    <w:rsid w:val="001023E8"/>
    <w:rsid w:val="0010245B"/>
    <w:rsid w:val="00102621"/>
    <w:rsid w:val="00103352"/>
    <w:rsid w:val="001037A6"/>
    <w:rsid w:val="0010385F"/>
    <w:rsid w:val="001038A8"/>
    <w:rsid w:val="00103956"/>
    <w:rsid w:val="001039DA"/>
    <w:rsid w:val="00103A02"/>
    <w:rsid w:val="00103A05"/>
    <w:rsid w:val="0010435F"/>
    <w:rsid w:val="0010442D"/>
    <w:rsid w:val="001045B7"/>
    <w:rsid w:val="00104A64"/>
    <w:rsid w:val="00104E4C"/>
    <w:rsid w:val="00105B2B"/>
    <w:rsid w:val="00105F3B"/>
    <w:rsid w:val="00105FA3"/>
    <w:rsid w:val="001062BF"/>
    <w:rsid w:val="001064F3"/>
    <w:rsid w:val="00106DC5"/>
    <w:rsid w:val="00106EF8"/>
    <w:rsid w:val="001072C0"/>
    <w:rsid w:val="001072FB"/>
    <w:rsid w:val="00107C1B"/>
    <w:rsid w:val="00107C59"/>
    <w:rsid w:val="00107F01"/>
    <w:rsid w:val="00110149"/>
    <w:rsid w:val="001104A9"/>
    <w:rsid w:val="001105EC"/>
    <w:rsid w:val="00110707"/>
    <w:rsid w:val="001107E7"/>
    <w:rsid w:val="00111510"/>
    <w:rsid w:val="001115A3"/>
    <w:rsid w:val="001116B3"/>
    <w:rsid w:val="001118A8"/>
    <w:rsid w:val="00111A50"/>
    <w:rsid w:val="00111B68"/>
    <w:rsid w:val="00111E23"/>
    <w:rsid w:val="00112281"/>
    <w:rsid w:val="00112320"/>
    <w:rsid w:val="00112572"/>
    <w:rsid w:val="00112C8F"/>
    <w:rsid w:val="00112F40"/>
    <w:rsid w:val="001132D9"/>
    <w:rsid w:val="0011389E"/>
    <w:rsid w:val="00113901"/>
    <w:rsid w:val="00113911"/>
    <w:rsid w:val="00114219"/>
    <w:rsid w:val="001144BA"/>
    <w:rsid w:val="001144F4"/>
    <w:rsid w:val="00114852"/>
    <w:rsid w:val="0011498D"/>
    <w:rsid w:val="001158C9"/>
    <w:rsid w:val="00115BD2"/>
    <w:rsid w:val="001167DF"/>
    <w:rsid w:val="00116925"/>
    <w:rsid w:val="0011694C"/>
    <w:rsid w:val="001169D0"/>
    <w:rsid w:val="00116DC1"/>
    <w:rsid w:val="00116EAD"/>
    <w:rsid w:val="0011724F"/>
    <w:rsid w:val="001175D8"/>
    <w:rsid w:val="00117680"/>
    <w:rsid w:val="001177B2"/>
    <w:rsid w:val="001178DE"/>
    <w:rsid w:val="00117A41"/>
    <w:rsid w:val="00117A7C"/>
    <w:rsid w:val="00117B2D"/>
    <w:rsid w:val="00117CC1"/>
    <w:rsid w:val="00117F50"/>
    <w:rsid w:val="00117F86"/>
    <w:rsid w:val="00120B34"/>
    <w:rsid w:val="001216CB"/>
    <w:rsid w:val="00121C2C"/>
    <w:rsid w:val="00122606"/>
    <w:rsid w:val="00122A0B"/>
    <w:rsid w:val="00122A1D"/>
    <w:rsid w:val="00122B34"/>
    <w:rsid w:val="00122B48"/>
    <w:rsid w:val="001232F3"/>
    <w:rsid w:val="00123AFC"/>
    <w:rsid w:val="00124754"/>
    <w:rsid w:val="001250D3"/>
    <w:rsid w:val="00125658"/>
    <w:rsid w:val="00125927"/>
    <w:rsid w:val="00125A09"/>
    <w:rsid w:val="00125F99"/>
    <w:rsid w:val="0012628A"/>
    <w:rsid w:val="001262A1"/>
    <w:rsid w:val="00126700"/>
    <w:rsid w:val="00126960"/>
    <w:rsid w:val="00126E67"/>
    <w:rsid w:val="0012728D"/>
    <w:rsid w:val="001275A0"/>
    <w:rsid w:val="00127719"/>
    <w:rsid w:val="00127C08"/>
    <w:rsid w:val="00127E6E"/>
    <w:rsid w:val="00130421"/>
    <w:rsid w:val="001309AD"/>
    <w:rsid w:val="00130E67"/>
    <w:rsid w:val="001310BE"/>
    <w:rsid w:val="00131307"/>
    <w:rsid w:val="0013137B"/>
    <w:rsid w:val="00131CCE"/>
    <w:rsid w:val="0013202E"/>
    <w:rsid w:val="001323D2"/>
    <w:rsid w:val="001323F5"/>
    <w:rsid w:val="00132571"/>
    <w:rsid w:val="0013284C"/>
    <w:rsid w:val="001328BA"/>
    <w:rsid w:val="00132A05"/>
    <w:rsid w:val="00133250"/>
    <w:rsid w:val="001336E2"/>
    <w:rsid w:val="00133B0D"/>
    <w:rsid w:val="00133DD4"/>
    <w:rsid w:val="00133E36"/>
    <w:rsid w:val="00133E3F"/>
    <w:rsid w:val="00134262"/>
    <w:rsid w:val="001342C4"/>
    <w:rsid w:val="001342EE"/>
    <w:rsid w:val="00134925"/>
    <w:rsid w:val="00134BF7"/>
    <w:rsid w:val="00134F49"/>
    <w:rsid w:val="00135111"/>
    <w:rsid w:val="0013558F"/>
    <w:rsid w:val="00135778"/>
    <w:rsid w:val="00135B1B"/>
    <w:rsid w:val="00135DE9"/>
    <w:rsid w:val="001362B2"/>
    <w:rsid w:val="0013636E"/>
    <w:rsid w:val="00136623"/>
    <w:rsid w:val="001368FF"/>
    <w:rsid w:val="00136B54"/>
    <w:rsid w:val="00137198"/>
    <w:rsid w:val="0013719B"/>
    <w:rsid w:val="00137221"/>
    <w:rsid w:val="00137324"/>
    <w:rsid w:val="001374A8"/>
    <w:rsid w:val="00137543"/>
    <w:rsid w:val="00137632"/>
    <w:rsid w:val="001377A6"/>
    <w:rsid w:val="0014014E"/>
    <w:rsid w:val="001408C4"/>
    <w:rsid w:val="001416A7"/>
    <w:rsid w:val="00141A49"/>
    <w:rsid w:val="00141E3A"/>
    <w:rsid w:val="00142162"/>
    <w:rsid w:val="001422BA"/>
    <w:rsid w:val="00142C98"/>
    <w:rsid w:val="001430E5"/>
    <w:rsid w:val="001432C4"/>
    <w:rsid w:val="001435C1"/>
    <w:rsid w:val="00143ED0"/>
    <w:rsid w:val="0014402B"/>
    <w:rsid w:val="00144043"/>
    <w:rsid w:val="0014431A"/>
    <w:rsid w:val="00144470"/>
    <w:rsid w:val="00144E1C"/>
    <w:rsid w:val="001452AC"/>
    <w:rsid w:val="00145310"/>
    <w:rsid w:val="0014549D"/>
    <w:rsid w:val="0014637A"/>
    <w:rsid w:val="0014698A"/>
    <w:rsid w:val="00146C32"/>
    <w:rsid w:val="00146E14"/>
    <w:rsid w:val="001470C9"/>
    <w:rsid w:val="00147451"/>
    <w:rsid w:val="00147605"/>
    <w:rsid w:val="00147996"/>
    <w:rsid w:val="001479C4"/>
    <w:rsid w:val="00151A8A"/>
    <w:rsid w:val="001523AC"/>
    <w:rsid w:val="001525A3"/>
    <w:rsid w:val="00152723"/>
    <w:rsid w:val="00152772"/>
    <w:rsid w:val="00152A05"/>
    <w:rsid w:val="00152A1C"/>
    <w:rsid w:val="00152B40"/>
    <w:rsid w:val="00152B8B"/>
    <w:rsid w:val="001533D8"/>
    <w:rsid w:val="00153865"/>
    <w:rsid w:val="00153890"/>
    <w:rsid w:val="00153BA8"/>
    <w:rsid w:val="00153F3A"/>
    <w:rsid w:val="00154224"/>
    <w:rsid w:val="001543C5"/>
    <w:rsid w:val="0015476A"/>
    <w:rsid w:val="00154CD6"/>
    <w:rsid w:val="00154F84"/>
    <w:rsid w:val="001554C6"/>
    <w:rsid w:val="001559A9"/>
    <w:rsid w:val="001559FD"/>
    <w:rsid w:val="00156828"/>
    <w:rsid w:val="00156AAC"/>
    <w:rsid w:val="00156C86"/>
    <w:rsid w:val="00156D8F"/>
    <w:rsid w:val="00156F97"/>
    <w:rsid w:val="00157266"/>
    <w:rsid w:val="0015738D"/>
    <w:rsid w:val="0015778C"/>
    <w:rsid w:val="001577A0"/>
    <w:rsid w:val="00157825"/>
    <w:rsid w:val="00157AC5"/>
    <w:rsid w:val="00160213"/>
    <w:rsid w:val="00160554"/>
    <w:rsid w:val="00160673"/>
    <w:rsid w:val="0016081B"/>
    <w:rsid w:val="0016096D"/>
    <w:rsid w:val="0016098E"/>
    <w:rsid w:val="00160A3B"/>
    <w:rsid w:val="00161049"/>
    <w:rsid w:val="001616F6"/>
    <w:rsid w:val="00161BF9"/>
    <w:rsid w:val="00161CF6"/>
    <w:rsid w:val="00162261"/>
    <w:rsid w:val="001623F0"/>
    <w:rsid w:val="001626DD"/>
    <w:rsid w:val="00162891"/>
    <w:rsid w:val="00162945"/>
    <w:rsid w:val="0016299F"/>
    <w:rsid w:val="001629BE"/>
    <w:rsid w:val="00162BD6"/>
    <w:rsid w:val="00163649"/>
    <w:rsid w:val="00163CC3"/>
    <w:rsid w:val="00163F8D"/>
    <w:rsid w:val="0016410E"/>
    <w:rsid w:val="0016461A"/>
    <w:rsid w:val="001659B5"/>
    <w:rsid w:val="00165E90"/>
    <w:rsid w:val="001665A7"/>
    <w:rsid w:val="001665D0"/>
    <w:rsid w:val="00166A14"/>
    <w:rsid w:val="00166DBA"/>
    <w:rsid w:val="00166EBE"/>
    <w:rsid w:val="00166ECA"/>
    <w:rsid w:val="001676CE"/>
    <w:rsid w:val="00167C6C"/>
    <w:rsid w:val="00167EF2"/>
    <w:rsid w:val="00170105"/>
    <w:rsid w:val="001701F7"/>
    <w:rsid w:val="001702C5"/>
    <w:rsid w:val="001702F0"/>
    <w:rsid w:val="00170785"/>
    <w:rsid w:val="00170975"/>
    <w:rsid w:val="00171721"/>
    <w:rsid w:val="00171D3E"/>
    <w:rsid w:val="001722CC"/>
    <w:rsid w:val="00172817"/>
    <w:rsid w:val="00172A5B"/>
    <w:rsid w:val="00173049"/>
    <w:rsid w:val="0017307C"/>
    <w:rsid w:val="001733BB"/>
    <w:rsid w:val="001737B9"/>
    <w:rsid w:val="001737CF"/>
    <w:rsid w:val="00173802"/>
    <w:rsid w:val="00173FCE"/>
    <w:rsid w:val="0017476D"/>
    <w:rsid w:val="001747D3"/>
    <w:rsid w:val="001748E1"/>
    <w:rsid w:val="001749E0"/>
    <w:rsid w:val="00174E31"/>
    <w:rsid w:val="0017529F"/>
    <w:rsid w:val="00175582"/>
    <w:rsid w:val="00175A4D"/>
    <w:rsid w:val="00175B5D"/>
    <w:rsid w:val="00175F0C"/>
    <w:rsid w:val="00176046"/>
    <w:rsid w:val="0017614D"/>
    <w:rsid w:val="00176199"/>
    <w:rsid w:val="001762F4"/>
    <w:rsid w:val="00176C0D"/>
    <w:rsid w:val="00176DD7"/>
    <w:rsid w:val="0017714B"/>
    <w:rsid w:val="001800E6"/>
    <w:rsid w:val="001807DC"/>
    <w:rsid w:val="00180835"/>
    <w:rsid w:val="00180895"/>
    <w:rsid w:val="0018091E"/>
    <w:rsid w:val="00180C8D"/>
    <w:rsid w:val="00180D84"/>
    <w:rsid w:val="0018105A"/>
    <w:rsid w:val="001813C6"/>
    <w:rsid w:val="00181403"/>
    <w:rsid w:val="00181490"/>
    <w:rsid w:val="001814A8"/>
    <w:rsid w:val="00181705"/>
    <w:rsid w:val="00181879"/>
    <w:rsid w:val="001818F5"/>
    <w:rsid w:val="001819CF"/>
    <w:rsid w:val="00181DEB"/>
    <w:rsid w:val="00181FA5"/>
    <w:rsid w:val="001821EF"/>
    <w:rsid w:val="001823A6"/>
    <w:rsid w:val="0018254A"/>
    <w:rsid w:val="0018267B"/>
    <w:rsid w:val="00182988"/>
    <w:rsid w:val="00182BDB"/>
    <w:rsid w:val="00183174"/>
    <w:rsid w:val="00183230"/>
    <w:rsid w:val="0018340A"/>
    <w:rsid w:val="00183D64"/>
    <w:rsid w:val="00183E4C"/>
    <w:rsid w:val="00184010"/>
    <w:rsid w:val="001843D5"/>
    <w:rsid w:val="00184629"/>
    <w:rsid w:val="0018477B"/>
    <w:rsid w:val="00184B29"/>
    <w:rsid w:val="001850FA"/>
    <w:rsid w:val="001859A8"/>
    <w:rsid w:val="001864E0"/>
    <w:rsid w:val="00186C32"/>
    <w:rsid w:val="00186F59"/>
    <w:rsid w:val="001870A7"/>
    <w:rsid w:val="001872C2"/>
    <w:rsid w:val="001874A7"/>
    <w:rsid w:val="00187C21"/>
    <w:rsid w:val="00187C90"/>
    <w:rsid w:val="00190288"/>
    <w:rsid w:val="001904A3"/>
    <w:rsid w:val="0019051D"/>
    <w:rsid w:val="00190635"/>
    <w:rsid w:val="00190AAA"/>
    <w:rsid w:val="001910F7"/>
    <w:rsid w:val="001911B0"/>
    <w:rsid w:val="001912A8"/>
    <w:rsid w:val="001913A0"/>
    <w:rsid w:val="00191513"/>
    <w:rsid w:val="0019174E"/>
    <w:rsid w:val="00191E0C"/>
    <w:rsid w:val="001927CD"/>
    <w:rsid w:val="00192E9C"/>
    <w:rsid w:val="001936C0"/>
    <w:rsid w:val="00193AD5"/>
    <w:rsid w:val="00193BDE"/>
    <w:rsid w:val="00193CB6"/>
    <w:rsid w:val="00194132"/>
    <w:rsid w:val="0019456F"/>
    <w:rsid w:val="0019460B"/>
    <w:rsid w:val="00194E26"/>
    <w:rsid w:val="00195468"/>
    <w:rsid w:val="00195586"/>
    <w:rsid w:val="00195C1F"/>
    <w:rsid w:val="00195F7C"/>
    <w:rsid w:val="001960FD"/>
    <w:rsid w:val="00196391"/>
    <w:rsid w:val="00196AB3"/>
    <w:rsid w:val="00196AF3"/>
    <w:rsid w:val="00196C39"/>
    <w:rsid w:val="00196EF8"/>
    <w:rsid w:val="00197587"/>
    <w:rsid w:val="00197641"/>
    <w:rsid w:val="00197821"/>
    <w:rsid w:val="001A001F"/>
    <w:rsid w:val="001A028D"/>
    <w:rsid w:val="001A0620"/>
    <w:rsid w:val="001A0981"/>
    <w:rsid w:val="001A0D4D"/>
    <w:rsid w:val="001A0F43"/>
    <w:rsid w:val="001A11E3"/>
    <w:rsid w:val="001A12DC"/>
    <w:rsid w:val="001A17DA"/>
    <w:rsid w:val="001A1DD9"/>
    <w:rsid w:val="001A20DD"/>
    <w:rsid w:val="001A23B1"/>
    <w:rsid w:val="001A258D"/>
    <w:rsid w:val="001A292E"/>
    <w:rsid w:val="001A2C41"/>
    <w:rsid w:val="001A373D"/>
    <w:rsid w:val="001A377D"/>
    <w:rsid w:val="001A37C4"/>
    <w:rsid w:val="001A3A06"/>
    <w:rsid w:val="001A3E8B"/>
    <w:rsid w:val="001A41AA"/>
    <w:rsid w:val="001A49CA"/>
    <w:rsid w:val="001A4AD7"/>
    <w:rsid w:val="001A4DF4"/>
    <w:rsid w:val="001A4EBA"/>
    <w:rsid w:val="001A5014"/>
    <w:rsid w:val="001A501F"/>
    <w:rsid w:val="001A5054"/>
    <w:rsid w:val="001A5079"/>
    <w:rsid w:val="001A525A"/>
    <w:rsid w:val="001A52B4"/>
    <w:rsid w:val="001A5368"/>
    <w:rsid w:val="001A5435"/>
    <w:rsid w:val="001A5EBF"/>
    <w:rsid w:val="001A66F4"/>
    <w:rsid w:val="001A6746"/>
    <w:rsid w:val="001A70FB"/>
    <w:rsid w:val="001A74E6"/>
    <w:rsid w:val="001A7EC2"/>
    <w:rsid w:val="001B02CA"/>
    <w:rsid w:val="001B0456"/>
    <w:rsid w:val="001B125B"/>
    <w:rsid w:val="001B12C8"/>
    <w:rsid w:val="001B1333"/>
    <w:rsid w:val="001B15B1"/>
    <w:rsid w:val="001B1C5B"/>
    <w:rsid w:val="001B1DA6"/>
    <w:rsid w:val="001B1F39"/>
    <w:rsid w:val="001B2956"/>
    <w:rsid w:val="001B2CD3"/>
    <w:rsid w:val="001B310E"/>
    <w:rsid w:val="001B31DA"/>
    <w:rsid w:val="001B321C"/>
    <w:rsid w:val="001B3404"/>
    <w:rsid w:val="001B3436"/>
    <w:rsid w:val="001B376E"/>
    <w:rsid w:val="001B3C05"/>
    <w:rsid w:val="001B3EC7"/>
    <w:rsid w:val="001B4119"/>
    <w:rsid w:val="001B45F3"/>
    <w:rsid w:val="001B463A"/>
    <w:rsid w:val="001B4663"/>
    <w:rsid w:val="001B5320"/>
    <w:rsid w:val="001B55A3"/>
    <w:rsid w:val="001B576E"/>
    <w:rsid w:val="001B5818"/>
    <w:rsid w:val="001B58A9"/>
    <w:rsid w:val="001B5DF1"/>
    <w:rsid w:val="001B6237"/>
    <w:rsid w:val="001B6983"/>
    <w:rsid w:val="001B6B7B"/>
    <w:rsid w:val="001B6EB4"/>
    <w:rsid w:val="001B729E"/>
    <w:rsid w:val="001B74F4"/>
    <w:rsid w:val="001B774E"/>
    <w:rsid w:val="001B7804"/>
    <w:rsid w:val="001B78D9"/>
    <w:rsid w:val="001C0133"/>
    <w:rsid w:val="001C02EC"/>
    <w:rsid w:val="001C032B"/>
    <w:rsid w:val="001C0A8D"/>
    <w:rsid w:val="001C0C6C"/>
    <w:rsid w:val="001C0FAC"/>
    <w:rsid w:val="001C12C7"/>
    <w:rsid w:val="001C1797"/>
    <w:rsid w:val="001C18E2"/>
    <w:rsid w:val="001C21F7"/>
    <w:rsid w:val="001C25EF"/>
    <w:rsid w:val="001C2B5D"/>
    <w:rsid w:val="001C3157"/>
    <w:rsid w:val="001C3345"/>
    <w:rsid w:val="001C33A8"/>
    <w:rsid w:val="001C370E"/>
    <w:rsid w:val="001C3FAB"/>
    <w:rsid w:val="001C43FD"/>
    <w:rsid w:val="001C4758"/>
    <w:rsid w:val="001C53AB"/>
    <w:rsid w:val="001C541E"/>
    <w:rsid w:val="001C57BD"/>
    <w:rsid w:val="001C59CA"/>
    <w:rsid w:val="001C5BF1"/>
    <w:rsid w:val="001C5CE4"/>
    <w:rsid w:val="001C600E"/>
    <w:rsid w:val="001C6942"/>
    <w:rsid w:val="001C6C74"/>
    <w:rsid w:val="001C6F43"/>
    <w:rsid w:val="001C7428"/>
    <w:rsid w:val="001C772F"/>
    <w:rsid w:val="001C7EC1"/>
    <w:rsid w:val="001D0338"/>
    <w:rsid w:val="001D05BD"/>
    <w:rsid w:val="001D05EE"/>
    <w:rsid w:val="001D0C33"/>
    <w:rsid w:val="001D1019"/>
    <w:rsid w:val="001D1084"/>
    <w:rsid w:val="001D13FF"/>
    <w:rsid w:val="001D14F3"/>
    <w:rsid w:val="001D1B41"/>
    <w:rsid w:val="001D1B56"/>
    <w:rsid w:val="001D1F21"/>
    <w:rsid w:val="001D267C"/>
    <w:rsid w:val="001D27DB"/>
    <w:rsid w:val="001D27E5"/>
    <w:rsid w:val="001D2873"/>
    <w:rsid w:val="001D293B"/>
    <w:rsid w:val="001D2C3E"/>
    <w:rsid w:val="001D2CC4"/>
    <w:rsid w:val="001D2F6D"/>
    <w:rsid w:val="001D3139"/>
    <w:rsid w:val="001D3251"/>
    <w:rsid w:val="001D33C9"/>
    <w:rsid w:val="001D3DA8"/>
    <w:rsid w:val="001D3FD8"/>
    <w:rsid w:val="001D453B"/>
    <w:rsid w:val="001D46AA"/>
    <w:rsid w:val="001D4742"/>
    <w:rsid w:val="001D483E"/>
    <w:rsid w:val="001D4A7D"/>
    <w:rsid w:val="001D500F"/>
    <w:rsid w:val="001D50E8"/>
    <w:rsid w:val="001D5219"/>
    <w:rsid w:val="001D5447"/>
    <w:rsid w:val="001D54FA"/>
    <w:rsid w:val="001D59A0"/>
    <w:rsid w:val="001D5FFD"/>
    <w:rsid w:val="001D67C9"/>
    <w:rsid w:val="001D7407"/>
    <w:rsid w:val="001D76D6"/>
    <w:rsid w:val="001E0639"/>
    <w:rsid w:val="001E0669"/>
    <w:rsid w:val="001E0F12"/>
    <w:rsid w:val="001E12EE"/>
    <w:rsid w:val="001E1393"/>
    <w:rsid w:val="001E16E4"/>
    <w:rsid w:val="001E1727"/>
    <w:rsid w:val="001E19EB"/>
    <w:rsid w:val="001E1DD8"/>
    <w:rsid w:val="001E246E"/>
    <w:rsid w:val="001E2B14"/>
    <w:rsid w:val="001E30F2"/>
    <w:rsid w:val="001E3376"/>
    <w:rsid w:val="001E3393"/>
    <w:rsid w:val="001E3687"/>
    <w:rsid w:val="001E3710"/>
    <w:rsid w:val="001E398D"/>
    <w:rsid w:val="001E3ADB"/>
    <w:rsid w:val="001E405F"/>
    <w:rsid w:val="001E4314"/>
    <w:rsid w:val="001E438B"/>
    <w:rsid w:val="001E43DF"/>
    <w:rsid w:val="001E4660"/>
    <w:rsid w:val="001E4B71"/>
    <w:rsid w:val="001E4DD6"/>
    <w:rsid w:val="001E5213"/>
    <w:rsid w:val="001E545B"/>
    <w:rsid w:val="001E5656"/>
    <w:rsid w:val="001E5892"/>
    <w:rsid w:val="001E5F59"/>
    <w:rsid w:val="001E604D"/>
    <w:rsid w:val="001E6109"/>
    <w:rsid w:val="001E6199"/>
    <w:rsid w:val="001E6D07"/>
    <w:rsid w:val="001E6D0C"/>
    <w:rsid w:val="001E7098"/>
    <w:rsid w:val="001E713B"/>
    <w:rsid w:val="001E7162"/>
    <w:rsid w:val="001E734D"/>
    <w:rsid w:val="001E7B58"/>
    <w:rsid w:val="001E7EC6"/>
    <w:rsid w:val="001E7F3D"/>
    <w:rsid w:val="001F0052"/>
    <w:rsid w:val="001F00B4"/>
    <w:rsid w:val="001F07FE"/>
    <w:rsid w:val="001F0969"/>
    <w:rsid w:val="001F0DFF"/>
    <w:rsid w:val="001F150E"/>
    <w:rsid w:val="001F1607"/>
    <w:rsid w:val="001F174F"/>
    <w:rsid w:val="001F1E9C"/>
    <w:rsid w:val="001F238F"/>
    <w:rsid w:val="001F2723"/>
    <w:rsid w:val="001F2C88"/>
    <w:rsid w:val="001F2D00"/>
    <w:rsid w:val="001F2E7C"/>
    <w:rsid w:val="001F3044"/>
    <w:rsid w:val="001F338E"/>
    <w:rsid w:val="001F39B7"/>
    <w:rsid w:val="001F42EC"/>
    <w:rsid w:val="001F488C"/>
    <w:rsid w:val="001F497B"/>
    <w:rsid w:val="001F4D53"/>
    <w:rsid w:val="001F51DE"/>
    <w:rsid w:val="001F5825"/>
    <w:rsid w:val="001F5B63"/>
    <w:rsid w:val="001F5CDD"/>
    <w:rsid w:val="001F645D"/>
    <w:rsid w:val="001F6559"/>
    <w:rsid w:val="001F6941"/>
    <w:rsid w:val="001F6CC3"/>
    <w:rsid w:val="001F74EA"/>
    <w:rsid w:val="001F7B96"/>
    <w:rsid w:val="002004B5"/>
    <w:rsid w:val="002005EA"/>
    <w:rsid w:val="0020064A"/>
    <w:rsid w:val="00200751"/>
    <w:rsid w:val="002007EB"/>
    <w:rsid w:val="00200BAB"/>
    <w:rsid w:val="00200BD9"/>
    <w:rsid w:val="00200E2E"/>
    <w:rsid w:val="00201178"/>
    <w:rsid w:val="002011FD"/>
    <w:rsid w:val="00201440"/>
    <w:rsid w:val="002014F8"/>
    <w:rsid w:val="00201633"/>
    <w:rsid w:val="0020225E"/>
    <w:rsid w:val="002022BD"/>
    <w:rsid w:val="00202780"/>
    <w:rsid w:val="002028BB"/>
    <w:rsid w:val="00202EA0"/>
    <w:rsid w:val="00202EFA"/>
    <w:rsid w:val="002030F5"/>
    <w:rsid w:val="0020315C"/>
    <w:rsid w:val="00203372"/>
    <w:rsid w:val="002037A7"/>
    <w:rsid w:val="00203928"/>
    <w:rsid w:val="00203E5A"/>
    <w:rsid w:val="0020441F"/>
    <w:rsid w:val="002049EF"/>
    <w:rsid w:val="00204F38"/>
    <w:rsid w:val="00205036"/>
    <w:rsid w:val="00205229"/>
    <w:rsid w:val="00205630"/>
    <w:rsid w:val="0020569F"/>
    <w:rsid w:val="00205AD9"/>
    <w:rsid w:val="00206690"/>
    <w:rsid w:val="002067CB"/>
    <w:rsid w:val="0020692B"/>
    <w:rsid w:val="002069C7"/>
    <w:rsid w:val="00206C74"/>
    <w:rsid w:val="00207C44"/>
    <w:rsid w:val="00207E38"/>
    <w:rsid w:val="00207FCD"/>
    <w:rsid w:val="0021029F"/>
    <w:rsid w:val="00210C6D"/>
    <w:rsid w:val="00210FBC"/>
    <w:rsid w:val="0021129D"/>
    <w:rsid w:val="002112A1"/>
    <w:rsid w:val="00211748"/>
    <w:rsid w:val="002119C6"/>
    <w:rsid w:val="00211F93"/>
    <w:rsid w:val="0021295F"/>
    <w:rsid w:val="00212A6F"/>
    <w:rsid w:val="00212C11"/>
    <w:rsid w:val="00212D09"/>
    <w:rsid w:val="002131A6"/>
    <w:rsid w:val="00213432"/>
    <w:rsid w:val="0021349D"/>
    <w:rsid w:val="00213857"/>
    <w:rsid w:val="00213A64"/>
    <w:rsid w:val="00213B22"/>
    <w:rsid w:val="00213CF6"/>
    <w:rsid w:val="00213D36"/>
    <w:rsid w:val="00213DE9"/>
    <w:rsid w:val="00214007"/>
    <w:rsid w:val="00214071"/>
    <w:rsid w:val="00214530"/>
    <w:rsid w:val="00214A08"/>
    <w:rsid w:val="00215189"/>
    <w:rsid w:val="00215369"/>
    <w:rsid w:val="002153C0"/>
    <w:rsid w:val="002153D4"/>
    <w:rsid w:val="002157CB"/>
    <w:rsid w:val="00215A72"/>
    <w:rsid w:val="00215E09"/>
    <w:rsid w:val="00216053"/>
    <w:rsid w:val="0021643C"/>
    <w:rsid w:val="002164C2"/>
    <w:rsid w:val="00216C5D"/>
    <w:rsid w:val="00216E22"/>
    <w:rsid w:val="002170F9"/>
    <w:rsid w:val="00217461"/>
    <w:rsid w:val="00220066"/>
    <w:rsid w:val="0022071B"/>
    <w:rsid w:val="00220EEA"/>
    <w:rsid w:val="002212BF"/>
    <w:rsid w:val="002215A6"/>
    <w:rsid w:val="0022203A"/>
    <w:rsid w:val="00222258"/>
    <w:rsid w:val="0022234F"/>
    <w:rsid w:val="0022279F"/>
    <w:rsid w:val="00222AFF"/>
    <w:rsid w:val="00222DBD"/>
    <w:rsid w:val="00223018"/>
    <w:rsid w:val="002234BA"/>
    <w:rsid w:val="00223B89"/>
    <w:rsid w:val="00223E32"/>
    <w:rsid w:val="00224416"/>
    <w:rsid w:val="00224989"/>
    <w:rsid w:val="00224A62"/>
    <w:rsid w:val="0022530A"/>
    <w:rsid w:val="002257DD"/>
    <w:rsid w:val="00225CDB"/>
    <w:rsid w:val="00225D72"/>
    <w:rsid w:val="00226070"/>
    <w:rsid w:val="0022625F"/>
    <w:rsid w:val="00226470"/>
    <w:rsid w:val="00226CDB"/>
    <w:rsid w:val="00226EAD"/>
    <w:rsid w:val="00226F35"/>
    <w:rsid w:val="00226F57"/>
    <w:rsid w:val="00227223"/>
    <w:rsid w:val="00227258"/>
    <w:rsid w:val="002277E0"/>
    <w:rsid w:val="0022780C"/>
    <w:rsid w:val="00227903"/>
    <w:rsid w:val="00230159"/>
    <w:rsid w:val="002305F8"/>
    <w:rsid w:val="00230711"/>
    <w:rsid w:val="002308B4"/>
    <w:rsid w:val="002308D7"/>
    <w:rsid w:val="00231869"/>
    <w:rsid w:val="00231997"/>
    <w:rsid w:val="002321CE"/>
    <w:rsid w:val="00232899"/>
    <w:rsid w:val="00233821"/>
    <w:rsid w:val="00233D94"/>
    <w:rsid w:val="00233ECD"/>
    <w:rsid w:val="002345AA"/>
    <w:rsid w:val="00234F42"/>
    <w:rsid w:val="00234F75"/>
    <w:rsid w:val="00235433"/>
    <w:rsid w:val="00235A32"/>
    <w:rsid w:val="00235DCA"/>
    <w:rsid w:val="00235FDD"/>
    <w:rsid w:val="0023668E"/>
    <w:rsid w:val="00236852"/>
    <w:rsid w:val="002368DF"/>
    <w:rsid w:val="00236D0E"/>
    <w:rsid w:val="00236DB2"/>
    <w:rsid w:val="00237481"/>
    <w:rsid w:val="0023757E"/>
    <w:rsid w:val="00237E5D"/>
    <w:rsid w:val="0024006B"/>
    <w:rsid w:val="002404A2"/>
    <w:rsid w:val="002405C6"/>
    <w:rsid w:val="00240B77"/>
    <w:rsid w:val="00240FB4"/>
    <w:rsid w:val="002414C0"/>
    <w:rsid w:val="0024226E"/>
    <w:rsid w:val="00242576"/>
    <w:rsid w:val="00242D36"/>
    <w:rsid w:val="002439DB"/>
    <w:rsid w:val="00244144"/>
    <w:rsid w:val="002447B5"/>
    <w:rsid w:val="00246129"/>
    <w:rsid w:val="00246853"/>
    <w:rsid w:val="002469EE"/>
    <w:rsid w:val="00247787"/>
    <w:rsid w:val="002478BF"/>
    <w:rsid w:val="00247B26"/>
    <w:rsid w:val="00247C51"/>
    <w:rsid w:val="0025049E"/>
    <w:rsid w:val="002512D7"/>
    <w:rsid w:val="00251FFF"/>
    <w:rsid w:val="002520A6"/>
    <w:rsid w:val="00252443"/>
    <w:rsid w:val="00252547"/>
    <w:rsid w:val="00252B1F"/>
    <w:rsid w:val="00253499"/>
    <w:rsid w:val="00253655"/>
    <w:rsid w:val="0025395F"/>
    <w:rsid w:val="00253AE9"/>
    <w:rsid w:val="00253EFF"/>
    <w:rsid w:val="00254354"/>
    <w:rsid w:val="002543FC"/>
    <w:rsid w:val="002544F1"/>
    <w:rsid w:val="00254528"/>
    <w:rsid w:val="00254C87"/>
    <w:rsid w:val="00254F36"/>
    <w:rsid w:val="00254F67"/>
    <w:rsid w:val="002558CE"/>
    <w:rsid w:val="00255BA3"/>
    <w:rsid w:val="00255E44"/>
    <w:rsid w:val="00255F08"/>
    <w:rsid w:val="00256433"/>
    <w:rsid w:val="002564BD"/>
    <w:rsid w:val="002564D4"/>
    <w:rsid w:val="002569FF"/>
    <w:rsid w:val="00257007"/>
    <w:rsid w:val="00257596"/>
    <w:rsid w:val="00257C61"/>
    <w:rsid w:val="00257F25"/>
    <w:rsid w:val="00257F5B"/>
    <w:rsid w:val="00260448"/>
    <w:rsid w:val="002607B0"/>
    <w:rsid w:val="0026114D"/>
    <w:rsid w:val="00261165"/>
    <w:rsid w:val="0026120F"/>
    <w:rsid w:val="0026121D"/>
    <w:rsid w:val="00261363"/>
    <w:rsid w:val="002614D7"/>
    <w:rsid w:val="0026152B"/>
    <w:rsid w:val="00261539"/>
    <w:rsid w:val="0026156B"/>
    <w:rsid w:val="002618A0"/>
    <w:rsid w:val="00261DD8"/>
    <w:rsid w:val="00262111"/>
    <w:rsid w:val="00262376"/>
    <w:rsid w:val="00262447"/>
    <w:rsid w:val="00262603"/>
    <w:rsid w:val="00262613"/>
    <w:rsid w:val="002629D1"/>
    <w:rsid w:val="002643A9"/>
    <w:rsid w:val="00264543"/>
    <w:rsid w:val="002645E2"/>
    <w:rsid w:val="0026467B"/>
    <w:rsid w:val="00264F10"/>
    <w:rsid w:val="00265029"/>
    <w:rsid w:val="0026592A"/>
    <w:rsid w:val="00265ABC"/>
    <w:rsid w:val="00265B8B"/>
    <w:rsid w:val="00265D1B"/>
    <w:rsid w:val="00265D3B"/>
    <w:rsid w:val="00265DF3"/>
    <w:rsid w:val="00265FE3"/>
    <w:rsid w:val="00266C40"/>
    <w:rsid w:val="002670EF"/>
    <w:rsid w:val="00267679"/>
    <w:rsid w:val="002676BD"/>
    <w:rsid w:val="00267847"/>
    <w:rsid w:val="00267AAE"/>
    <w:rsid w:val="0027002F"/>
    <w:rsid w:val="00270791"/>
    <w:rsid w:val="00270A21"/>
    <w:rsid w:val="00270B11"/>
    <w:rsid w:val="00270C7E"/>
    <w:rsid w:val="00270CA2"/>
    <w:rsid w:val="00270EE9"/>
    <w:rsid w:val="0027110C"/>
    <w:rsid w:val="00271235"/>
    <w:rsid w:val="00271376"/>
    <w:rsid w:val="00271E0D"/>
    <w:rsid w:val="00271E23"/>
    <w:rsid w:val="00272498"/>
    <w:rsid w:val="002726BA"/>
    <w:rsid w:val="002727E4"/>
    <w:rsid w:val="002730DD"/>
    <w:rsid w:val="00273320"/>
    <w:rsid w:val="00273A03"/>
    <w:rsid w:val="00273A9B"/>
    <w:rsid w:val="00273FBA"/>
    <w:rsid w:val="00273FCB"/>
    <w:rsid w:val="00273FF6"/>
    <w:rsid w:val="0027418A"/>
    <w:rsid w:val="002744CE"/>
    <w:rsid w:val="0027463A"/>
    <w:rsid w:val="0027494D"/>
    <w:rsid w:val="00275229"/>
    <w:rsid w:val="0027524B"/>
    <w:rsid w:val="00275477"/>
    <w:rsid w:val="00275B6F"/>
    <w:rsid w:val="00275B86"/>
    <w:rsid w:val="002766C3"/>
    <w:rsid w:val="00276D47"/>
    <w:rsid w:val="0027774A"/>
    <w:rsid w:val="00277CDF"/>
    <w:rsid w:val="002804E5"/>
    <w:rsid w:val="002806C7"/>
    <w:rsid w:val="0028077A"/>
    <w:rsid w:val="0028092B"/>
    <w:rsid w:val="00280D90"/>
    <w:rsid w:val="00280FC3"/>
    <w:rsid w:val="00281321"/>
    <w:rsid w:val="0028171B"/>
    <w:rsid w:val="00281778"/>
    <w:rsid w:val="0028188A"/>
    <w:rsid w:val="002819D3"/>
    <w:rsid w:val="002821DA"/>
    <w:rsid w:val="0028263A"/>
    <w:rsid w:val="002827BE"/>
    <w:rsid w:val="00282E2E"/>
    <w:rsid w:val="00282FAC"/>
    <w:rsid w:val="00282FB9"/>
    <w:rsid w:val="00283195"/>
    <w:rsid w:val="00283448"/>
    <w:rsid w:val="0028352D"/>
    <w:rsid w:val="0028370A"/>
    <w:rsid w:val="0028375B"/>
    <w:rsid w:val="002838DD"/>
    <w:rsid w:val="00283FFB"/>
    <w:rsid w:val="002843CB"/>
    <w:rsid w:val="002849C8"/>
    <w:rsid w:val="00284E86"/>
    <w:rsid w:val="00284F78"/>
    <w:rsid w:val="00285081"/>
    <w:rsid w:val="00286221"/>
    <w:rsid w:val="002867E6"/>
    <w:rsid w:val="00286BF7"/>
    <w:rsid w:val="00286C2C"/>
    <w:rsid w:val="00286DF9"/>
    <w:rsid w:val="00286F58"/>
    <w:rsid w:val="0028726D"/>
    <w:rsid w:val="00287428"/>
    <w:rsid w:val="0028795C"/>
    <w:rsid w:val="00287B18"/>
    <w:rsid w:val="00287D79"/>
    <w:rsid w:val="00287DEB"/>
    <w:rsid w:val="0029096A"/>
    <w:rsid w:val="00290A5F"/>
    <w:rsid w:val="00290FD3"/>
    <w:rsid w:val="002912F9"/>
    <w:rsid w:val="002916F9"/>
    <w:rsid w:val="00291791"/>
    <w:rsid w:val="00291A99"/>
    <w:rsid w:val="00291C67"/>
    <w:rsid w:val="00291DA9"/>
    <w:rsid w:val="00292119"/>
    <w:rsid w:val="00292AD6"/>
    <w:rsid w:val="0029324D"/>
    <w:rsid w:val="00293B22"/>
    <w:rsid w:val="00293F30"/>
    <w:rsid w:val="002944E5"/>
    <w:rsid w:val="00294585"/>
    <w:rsid w:val="002947D2"/>
    <w:rsid w:val="002949D9"/>
    <w:rsid w:val="00294C3E"/>
    <w:rsid w:val="00294CB0"/>
    <w:rsid w:val="00294D22"/>
    <w:rsid w:val="00294F0D"/>
    <w:rsid w:val="002953D9"/>
    <w:rsid w:val="002959A2"/>
    <w:rsid w:val="00296108"/>
    <w:rsid w:val="00296681"/>
    <w:rsid w:val="00296C03"/>
    <w:rsid w:val="00296CB5"/>
    <w:rsid w:val="00296F1E"/>
    <w:rsid w:val="0029702A"/>
    <w:rsid w:val="00297145"/>
    <w:rsid w:val="00297BE1"/>
    <w:rsid w:val="002A07AA"/>
    <w:rsid w:val="002A10B1"/>
    <w:rsid w:val="002A1341"/>
    <w:rsid w:val="002A1417"/>
    <w:rsid w:val="002A1CE5"/>
    <w:rsid w:val="002A2A83"/>
    <w:rsid w:val="002A2CA4"/>
    <w:rsid w:val="002A3AAA"/>
    <w:rsid w:val="002A3C2B"/>
    <w:rsid w:val="002A3F3A"/>
    <w:rsid w:val="002A463A"/>
    <w:rsid w:val="002A4765"/>
    <w:rsid w:val="002A57CA"/>
    <w:rsid w:val="002A5F93"/>
    <w:rsid w:val="002A6134"/>
    <w:rsid w:val="002A672F"/>
    <w:rsid w:val="002A682F"/>
    <w:rsid w:val="002A6B71"/>
    <w:rsid w:val="002A6C39"/>
    <w:rsid w:val="002A6E55"/>
    <w:rsid w:val="002A7106"/>
    <w:rsid w:val="002A72BF"/>
    <w:rsid w:val="002A75EE"/>
    <w:rsid w:val="002A7BE0"/>
    <w:rsid w:val="002A7C83"/>
    <w:rsid w:val="002B0457"/>
    <w:rsid w:val="002B0AF4"/>
    <w:rsid w:val="002B0CE6"/>
    <w:rsid w:val="002B0D31"/>
    <w:rsid w:val="002B0DBF"/>
    <w:rsid w:val="002B0E94"/>
    <w:rsid w:val="002B1562"/>
    <w:rsid w:val="002B1739"/>
    <w:rsid w:val="002B17DA"/>
    <w:rsid w:val="002B1AE1"/>
    <w:rsid w:val="002B1B6B"/>
    <w:rsid w:val="002B1D72"/>
    <w:rsid w:val="002B1F37"/>
    <w:rsid w:val="002B204F"/>
    <w:rsid w:val="002B20AD"/>
    <w:rsid w:val="002B2653"/>
    <w:rsid w:val="002B27AE"/>
    <w:rsid w:val="002B295F"/>
    <w:rsid w:val="002B35B8"/>
    <w:rsid w:val="002B36EE"/>
    <w:rsid w:val="002B3DEB"/>
    <w:rsid w:val="002B4164"/>
    <w:rsid w:val="002B4470"/>
    <w:rsid w:val="002B46A2"/>
    <w:rsid w:val="002B4BFD"/>
    <w:rsid w:val="002B4DD6"/>
    <w:rsid w:val="002B4E4C"/>
    <w:rsid w:val="002B54F7"/>
    <w:rsid w:val="002B57EC"/>
    <w:rsid w:val="002B5A1D"/>
    <w:rsid w:val="002B5D04"/>
    <w:rsid w:val="002B66D6"/>
    <w:rsid w:val="002B765A"/>
    <w:rsid w:val="002B77E2"/>
    <w:rsid w:val="002B7CDF"/>
    <w:rsid w:val="002B7D4D"/>
    <w:rsid w:val="002B7FC5"/>
    <w:rsid w:val="002C129E"/>
    <w:rsid w:val="002C2030"/>
    <w:rsid w:val="002C2123"/>
    <w:rsid w:val="002C2388"/>
    <w:rsid w:val="002C294A"/>
    <w:rsid w:val="002C3495"/>
    <w:rsid w:val="002C34F2"/>
    <w:rsid w:val="002C388F"/>
    <w:rsid w:val="002C38DB"/>
    <w:rsid w:val="002C39CF"/>
    <w:rsid w:val="002C3CE5"/>
    <w:rsid w:val="002C3DEE"/>
    <w:rsid w:val="002C3F58"/>
    <w:rsid w:val="002C4035"/>
    <w:rsid w:val="002C42EB"/>
    <w:rsid w:val="002C4330"/>
    <w:rsid w:val="002C457A"/>
    <w:rsid w:val="002C498E"/>
    <w:rsid w:val="002C49DC"/>
    <w:rsid w:val="002C4ED2"/>
    <w:rsid w:val="002C52A3"/>
    <w:rsid w:val="002C5353"/>
    <w:rsid w:val="002C566E"/>
    <w:rsid w:val="002C5743"/>
    <w:rsid w:val="002C5D59"/>
    <w:rsid w:val="002C5EBA"/>
    <w:rsid w:val="002C6012"/>
    <w:rsid w:val="002C627A"/>
    <w:rsid w:val="002C65D5"/>
    <w:rsid w:val="002C6825"/>
    <w:rsid w:val="002C6C97"/>
    <w:rsid w:val="002C6F52"/>
    <w:rsid w:val="002C7058"/>
    <w:rsid w:val="002C7230"/>
    <w:rsid w:val="002C76B3"/>
    <w:rsid w:val="002C7D6D"/>
    <w:rsid w:val="002C7FB1"/>
    <w:rsid w:val="002D0287"/>
    <w:rsid w:val="002D02C4"/>
    <w:rsid w:val="002D0592"/>
    <w:rsid w:val="002D0957"/>
    <w:rsid w:val="002D0EE6"/>
    <w:rsid w:val="002D111F"/>
    <w:rsid w:val="002D15E0"/>
    <w:rsid w:val="002D1820"/>
    <w:rsid w:val="002D21BC"/>
    <w:rsid w:val="002D22E6"/>
    <w:rsid w:val="002D25F5"/>
    <w:rsid w:val="002D271D"/>
    <w:rsid w:val="002D2808"/>
    <w:rsid w:val="002D2905"/>
    <w:rsid w:val="002D2C23"/>
    <w:rsid w:val="002D2D6C"/>
    <w:rsid w:val="002D2DB9"/>
    <w:rsid w:val="002D3093"/>
    <w:rsid w:val="002D318F"/>
    <w:rsid w:val="002D32A0"/>
    <w:rsid w:val="002D3761"/>
    <w:rsid w:val="002D3913"/>
    <w:rsid w:val="002D3A1C"/>
    <w:rsid w:val="002D4131"/>
    <w:rsid w:val="002D41D5"/>
    <w:rsid w:val="002D4977"/>
    <w:rsid w:val="002D4BDE"/>
    <w:rsid w:val="002D4F65"/>
    <w:rsid w:val="002D4F75"/>
    <w:rsid w:val="002D500B"/>
    <w:rsid w:val="002D50E6"/>
    <w:rsid w:val="002D5152"/>
    <w:rsid w:val="002D5489"/>
    <w:rsid w:val="002D6026"/>
    <w:rsid w:val="002D6116"/>
    <w:rsid w:val="002D6A90"/>
    <w:rsid w:val="002D78CA"/>
    <w:rsid w:val="002D7BB9"/>
    <w:rsid w:val="002E015C"/>
    <w:rsid w:val="002E0368"/>
    <w:rsid w:val="002E050C"/>
    <w:rsid w:val="002E0520"/>
    <w:rsid w:val="002E0E73"/>
    <w:rsid w:val="002E0F16"/>
    <w:rsid w:val="002E11CB"/>
    <w:rsid w:val="002E1963"/>
    <w:rsid w:val="002E1CA5"/>
    <w:rsid w:val="002E1D7E"/>
    <w:rsid w:val="002E2239"/>
    <w:rsid w:val="002E22BE"/>
    <w:rsid w:val="002E22DE"/>
    <w:rsid w:val="002E2303"/>
    <w:rsid w:val="002E25C1"/>
    <w:rsid w:val="002E25DE"/>
    <w:rsid w:val="002E269B"/>
    <w:rsid w:val="002E2A54"/>
    <w:rsid w:val="002E2CC2"/>
    <w:rsid w:val="002E30CE"/>
    <w:rsid w:val="002E3534"/>
    <w:rsid w:val="002E376D"/>
    <w:rsid w:val="002E3D65"/>
    <w:rsid w:val="002E40D4"/>
    <w:rsid w:val="002E434F"/>
    <w:rsid w:val="002E43CA"/>
    <w:rsid w:val="002E43E2"/>
    <w:rsid w:val="002E4C5C"/>
    <w:rsid w:val="002E5011"/>
    <w:rsid w:val="002E50D5"/>
    <w:rsid w:val="002E56E6"/>
    <w:rsid w:val="002E57A5"/>
    <w:rsid w:val="002E57FB"/>
    <w:rsid w:val="002E5832"/>
    <w:rsid w:val="002E5F8D"/>
    <w:rsid w:val="002E6082"/>
    <w:rsid w:val="002E6313"/>
    <w:rsid w:val="002E646D"/>
    <w:rsid w:val="002E672F"/>
    <w:rsid w:val="002E6AD5"/>
    <w:rsid w:val="002E6D2F"/>
    <w:rsid w:val="002E721A"/>
    <w:rsid w:val="002E74A9"/>
    <w:rsid w:val="002E74B3"/>
    <w:rsid w:val="002E7556"/>
    <w:rsid w:val="002E7AF8"/>
    <w:rsid w:val="002F047D"/>
    <w:rsid w:val="002F0774"/>
    <w:rsid w:val="002F0D2E"/>
    <w:rsid w:val="002F109C"/>
    <w:rsid w:val="002F112B"/>
    <w:rsid w:val="002F2A8D"/>
    <w:rsid w:val="002F2C3C"/>
    <w:rsid w:val="002F2ED4"/>
    <w:rsid w:val="002F36D5"/>
    <w:rsid w:val="002F3CD0"/>
    <w:rsid w:val="002F3F88"/>
    <w:rsid w:val="002F417E"/>
    <w:rsid w:val="002F42DD"/>
    <w:rsid w:val="002F4346"/>
    <w:rsid w:val="002F4408"/>
    <w:rsid w:val="002F4FC2"/>
    <w:rsid w:val="002F50A0"/>
    <w:rsid w:val="002F525B"/>
    <w:rsid w:val="002F5C35"/>
    <w:rsid w:val="002F5E1E"/>
    <w:rsid w:val="002F6007"/>
    <w:rsid w:val="002F637E"/>
    <w:rsid w:val="002F6A8E"/>
    <w:rsid w:val="002F70A3"/>
    <w:rsid w:val="002F73AE"/>
    <w:rsid w:val="002F755D"/>
    <w:rsid w:val="002F75A2"/>
    <w:rsid w:val="0030016B"/>
    <w:rsid w:val="003003C1"/>
    <w:rsid w:val="00300455"/>
    <w:rsid w:val="0030067B"/>
    <w:rsid w:val="003010C7"/>
    <w:rsid w:val="00301B36"/>
    <w:rsid w:val="00301BF6"/>
    <w:rsid w:val="00302638"/>
    <w:rsid w:val="00302BDD"/>
    <w:rsid w:val="003030BF"/>
    <w:rsid w:val="00303380"/>
    <w:rsid w:val="00303389"/>
    <w:rsid w:val="00303835"/>
    <w:rsid w:val="00303A2A"/>
    <w:rsid w:val="00303ACE"/>
    <w:rsid w:val="00303E17"/>
    <w:rsid w:val="00304310"/>
    <w:rsid w:val="0030439B"/>
    <w:rsid w:val="003044BA"/>
    <w:rsid w:val="0030489C"/>
    <w:rsid w:val="00304E18"/>
    <w:rsid w:val="00304F24"/>
    <w:rsid w:val="00305538"/>
    <w:rsid w:val="00305B9C"/>
    <w:rsid w:val="00305C69"/>
    <w:rsid w:val="00305CB3"/>
    <w:rsid w:val="0030605F"/>
    <w:rsid w:val="00306545"/>
    <w:rsid w:val="00306AAB"/>
    <w:rsid w:val="00306FA6"/>
    <w:rsid w:val="0030735B"/>
    <w:rsid w:val="00307883"/>
    <w:rsid w:val="003079BB"/>
    <w:rsid w:val="00310167"/>
    <w:rsid w:val="00310528"/>
    <w:rsid w:val="0031096E"/>
    <w:rsid w:val="00310BC0"/>
    <w:rsid w:val="00310BCA"/>
    <w:rsid w:val="0031134C"/>
    <w:rsid w:val="00311549"/>
    <w:rsid w:val="003118A0"/>
    <w:rsid w:val="00311BA4"/>
    <w:rsid w:val="00311C04"/>
    <w:rsid w:val="00311E0B"/>
    <w:rsid w:val="003122AF"/>
    <w:rsid w:val="003122EC"/>
    <w:rsid w:val="003124E0"/>
    <w:rsid w:val="00312529"/>
    <w:rsid w:val="003125F8"/>
    <w:rsid w:val="00312AE7"/>
    <w:rsid w:val="00312ED2"/>
    <w:rsid w:val="0031328C"/>
    <w:rsid w:val="00313575"/>
    <w:rsid w:val="00313595"/>
    <w:rsid w:val="003138F9"/>
    <w:rsid w:val="00313A03"/>
    <w:rsid w:val="00313D13"/>
    <w:rsid w:val="00313FEF"/>
    <w:rsid w:val="003140DC"/>
    <w:rsid w:val="00314719"/>
    <w:rsid w:val="00314923"/>
    <w:rsid w:val="0031508F"/>
    <w:rsid w:val="00315574"/>
    <w:rsid w:val="00315678"/>
    <w:rsid w:val="003157DA"/>
    <w:rsid w:val="00315896"/>
    <w:rsid w:val="00315A82"/>
    <w:rsid w:val="00315B0F"/>
    <w:rsid w:val="0031652F"/>
    <w:rsid w:val="00316A5C"/>
    <w:rsid w:val="00316D92"/>
    <w:rsid w:val="00317111"/>
    <w:rsid w:val="00317140"/>
    <w:rsid w:val="0031718D"/>
    <w:rsid w:val="0031740C"/>
    <w:rsid w:val="00317600"/>
    <w:rsid w:val="00317ED6"/>
    <w:rsid w:val="00317FEA"/>
    <w:rsid w:val="003200A5"/>
    <w:rsid w:val="00320158"/>
    <w:rsid w:val="00320493"/>
    <w:rsid w:val="003207AA"/>
    <w:rsid w:val="00320B33"/>
    <w:rsid w:val="003211E0"/>
    <w:rsid w:val="00321234"/>
    <w:rsid w:val="00321737"/>
    <w:rsid w:val="00321C05"/>
    <w:rsid w:val="00321D39"/>
    <w:rsid w:val="00321FAF"/>
    <w:rsid w:val="00322669"/>
    <w:rsid w:val="003229D7"/>
    <w:rsid w:val="00322A0D"/>
    <w:rsid w:val="003237B8"/>
    <w:rsid w:val="00323919"/>
    <w:rsid w:val="00323B1B"/>
    <w:rsid w:val="00323E45"/>
    <w:rsid w:val="00324003"/>
    <w:rsid w:val="003240B8"/>
    <w:rsid w:val="003243D0"/>
    <w:rsid w:val="0032446E"/>
    <w:rsid w:val="00324AFC"/>
    <w:rsid w:val="00325029"/>
    <w:rsid w:val="0032521C"/>
    <w:rsid w:val="00325811"/>
    <w:rsid w:val="003258C4"/>
    <w:rsid w:val="003264DB"/>
    <w:rsid w:val="00326531"/>
    <w:rsid w:val="003265CC"/>
    <w:rsid w:val="00326940"/>
    <w:rsid w:val="0032715A"/>
    <w:rsid w:val="003271F4"/>
    <w:rsid w:val="0032788C"/>
    <w:rsid w:val="00327931"/>
    <w:rsid w:val="00327F48"/>
    <w:rsid w:val="00330052"/>
    <w:rsid w:val="00330129"/>
    <w:rsid w:val="003308FB"/>
    <w:rsid w:val="00330924"/>
    <w:rsid w:val="00330AB4"/>
    <w:rsid w:val="003313C4"/>
    <w:rsid w:val="00331A59"/>
    <w:rsid w:val="00331B98"/>
    <w:rsid w:val="00331CDE"/>
    <w:rsid w:val="00332F0A"/>
    <w:rsid w:val="00332F62"/>
    <w:rsid w:val="0033345A"/>
    <w:rsid w:val="003337BC"/>
    <w:rsid w:val="003337F8"/>
    <w:rsid w:val="003339E5"/>
    <w:rsid w:val="00334455"/>
    <w:rsid w:val="00334587"/>
    <w:rsid w:val="00334CEC"/>
    <w:rsid w:val="0033507A"/>
    <w:rsid w:val="00335204"/>
    <w:rsid w:val="00335448"/>
    <w:rsid w:val="003354AB"/>
    <w:rsid w:val="00336404"/>
    <w:rsid w:val="0033663A"/>
    <w:rsid w:val="00336BD6"/>
    <w:rsid w:val="00336D8D"/>
    <w:rsid w:val="00337053"/>
    <w:rsid w:val="00337EF3"/>
    <w:rsid w:val="00337FA1"/>
    <w:rsid w:val="0034021E"/>
    <w:rsid w:val="00340A7F"/>
    <w:rsid w:val="00340AD5"/>
    <w:rsid w:val="00340C32"/>
    <w:rsid w:val="003415C9"/>
    <w:rsid w:val="00341931"/>
    <w:rsid w:val="00341E17"/>
    <w:rsid w:val="00341EBD"/>
    <w:rsid w:val="00341F77"/>
    <w:rsid w:val="003425AA"/>
    <w:rsid w:val="003425DF"/>
    <w:rsid w:val="00342AF7"/>
    <w:rsid w:val="00342C6D"/>
    <w:rsid w:val="00343059"/>
    <w:rsid w:val="003431C0"/>
    <w:rsid w:val="00343614"/>
    <w:rsid w:val="00343E77"/>
    <w:rsid w:val="00343F40"/>
    <w:rsid w:val="00344125"/>
    <w:rsid w:val="003442BA"/>
    <w:rsid w:val="00344463"/>
    <w:rsid w:val="003446E4"/>
    <w:rsid w:val="00344866"/>
    <w:rsid w:val="0034498C"/>
    <w:rsid w:val="00344E81"/>
    <w:rsid w:val="00344EDA"/>
    <w:rsid w:val="00345461"/>
    <w:rsid w:val="003454E9"/>
    <w:rsid w:val="00345689"/>
    <w:rsid w:val="00345AAC"/>
    <w:rsid w:val="00345F6C"/>
    <w:rsid w:val="00346028"/>
    <w:rsid w:val="00346A3C"/>
    <w:rsid w:val="00346E4B"/>
    <w:rsid w:val="0034791A"/>
    <w:rsid w:val="00347923"/>
    <w:rsid w:val="00347A84"/>
    <w:rsid w:val="00347C8A"/>
    <w:rsid w:val="003500B5"/>
    <w:rsid w:val="00350546"/>
    <w:rsid w:val="00350644"/>
    <w:rsid w:val="003506A4"/>
    <w:rsid w:val="003506D4"/>
    <w:rsid w:val="0035072D"/>
    <w:rsid w:val="0035086E"/>
    <w:rsid w:val="0035132C"/>
    <w:rsid w:val="00351B0D"/>
    <w:rsid w:val="00351EF6"/>
    <w:rsid w:val="00351FC4"/>
    <w:rsid w:val="003523A4"/>
    <w:rsid w:val="003528DF"/>
    <w:rsid w:val="00352DFD"/>
    <w:rsid w:val="003530FB"/>
    <w:rsid w:val="003533F7"/>
    <w:rsid w:val="0035365F"/>
    <w:rsid w:val="00353C9D"/>
    <w:rsid w:val="00353FB4"/>
    <w:rsid w:val="00354152"/>
    <w:rsid w:val="003542B5"/>
    <w:rsid w:val="00354359"/>
    <w:rsid w:val="00354BBB"/>
    <w:rsid w:val="00354EF3"/>
    <w:rsid w:val="003550E8"/>
    <w:rsid w:val="0035512F"/>
    <w:rsid w:val="003553A6"/>
    <w:rsid w:val="0035550C"/>
    <w:rsid w:val="0035570D"/>
    <w:rsid w:val="00355803"/>
    <w:rsid w:val="00355F68"/>
    <w:rsid w:val="0035667E"/>
    <w:rsid w:val="00356C4D"/>
    <w:rsid w:val="0035718E"/>
    <w:rsid w:val="003574EE"/>
    <w:rsid w:val="003577C5"/>
    <w:rsid w:val="00357990"/>
    <w:rsid w:val="003579BF"/>
    <w:rsid w:val="00357AC7"/>
    <w:rsid w:val="00357B76"/>
    <w:rsid w:val="00357D29"/>
    <w:rsid w:val="00357D75"/>
    <w:rsid w:val="00357E38"/>
    <w:rsid w:val="00357FB5"/>
    <w:rsid w:val="003602AB"/>
    <w:rsid w:val="00360307"/>
    <w:rsid w:val="00360A97"/>
    <w:rsid w:val="00360B20"/>
    <w:rsid w:val="00360ED7"/>
    <w:rsid w:val="00361011"/>
    <w:rsid w:val="003612B5"/>
    <w:rsid w:val="003613DF"/>
    <w:rsid w:val="0036161A"/>
    <w:rsid w:val="00361962"/>
    <w:rsid w:val="00362013"/>
    <w:rsid w:val="003621EB"/>
    <w:rsid w:val="0036223C"/>
    <w:rsid w:val="003622AE"/>
    <w:rsid w:val="0036281D"/>
    <w:rsid w:val="003632E6"/>
    <w:rsid w:val="00363A7D"/>
    <w:rsid w:val="00363E4D"/>
    <w:rsid w:val="003641E8"/>
    <w:rsid w:val="003649E1"/>
    <w:rsid w:val="00365C61"/>
    <w:rsid w:val="00365EF5"/>
    <w:rsid w:val="003665B7"/>
    <w:rsid w:val="00366940"/>
    <w:rsid w:val="0036716F"/>
    <w:rsid w:val="003673EF"/>
    <w:rsid w:val="0036745D"/>
    <w:rsid w:val="0036760E"/>
    <w:rsid w:val="00367927"/>
    <w:rsid w:val="00367E1B"/>
    <w:rsid w:val="00367F29"/>
    <w:rsid w:val="00370273"/>
    <w:rsid w:val="00370399"/>
    <w:rsid w:val="003704C2"/>
    <w:rsid w:val="00370556"/>
    <w:rsid w:val="00370D47"/>
    <w:rsid w:val="00371015"/>
    <w:rsid w:val="003710D1"/>
    <w:rsid w:val="003717B3"/>
    <w:rsid w:val="00371867"/>
    <w:rsid w:val="00371E61"/>
    <w:rsid w:val="00371F36"/>
    <w:rsid w:val="0037200B"/>
    <w:rsid w:val="00373546"/>
    <w:rsid w:val="003737FA"/>
    <w:rsid w:val="003739A2"/>
    <w:rsid w:val="00373C07"/>
    <w:rsid w:val="00373F74"/>
    <w:rsid w:val="00374079"/>
    <w:rsid w:val="00374367"/>
    <w:rsid w:val="00375051"/>
    <w:rsid w:val="003758DD"/>
    <w:rsid w:val="00375CBD"/>
    <w:rsid w:val="00376612"/>
    <w:rsid w:val="003766F6"/>
    <w:rsid w:val="003766FC"/>
    <w:rsid w:val="0037694F"/>
    <w:rsid w:val="00376A81"/>
    <w:rsid w:val="003774F8"/>
    <w:rsid w:val="0037775F"/>
    <w:rsid w:val="00377A6C"/>
    <w:rsid w:val="00377CA4"/>
    <w:rsid w:val="00377F43"/>
    <w:rsid w:val="0038005F"/>
    <w:rsid w:val="00380197"/>
    <w:rsid w:val="003803C4"/>
    <w:rsid w:val="00380509"/>
    <w:rsid w:val="003806FF"/>
    <w:rsid w:val="00380A08"/>
    <w:rsid w:val="00381508"/>
    <w:rsid w:val="003815F1"/>
    <w:rsid w:val="0038160C"/>
    <w:rsid w:val="00381716"/>
    <w:rsid w:val="003818A0"/>
    <w:rsid w:val="00381ED9"/>
    <w:rsid w:val="00382282"/>
    <w:rsid w:val="00382307"/>
    <w:rsid w:val="003826A6"/>
    <w:rsid w:val="00382C9A"/>
    <w:rsid w:val="00382FFF"/>
    <w:rsid w:val="003831B4"/>
    <w:rsid w:val="00383248"/>
    <w:rsid w:val="00383714"/>
    <w:rsid w:val="00383A2B"/>
    <w:rsid w:val="00383DD8"/>
    <w:rsid w:val="003840A0"/>
    <w:rsid w:val="00384E63"/>
    <w:rsid w:val="00384EB6"/>
    <w:rsid w:val="00384FB1"/>
    <w:rsid w:val="003850DA"/>
    <w:rsid w:val="003855E2"/>
    <w:rsid w:val="0038581E"/>
    <w:rsid w:val="00385952"/>
    <w:rsid w:val="00385B35"/>
    <w:rsid w:val="00386297"/>
    <w:rsid w:val="00386E20"/>
    <w:rsid w:val="00386EB5"/>
    <w:rsid w:val="00386F90"/>
    <w:rsid w:val="00387578"/>
    <w:rsid w:val="00387672"/>
    <w:rsid w:val="00387674"/>
    <w:rsid w:val="00387DF9"/>
    <w:rsid w:val="0039026B"/>
    <w:rsid w:val="0039031B"/>
    <w:rsid w:val="00390E83"/>
    <w:rsid w:val="00390EC0"/>
    <w:rsid w:val="00391A47"/>
    <w:rsid w:val="00391B62"/>
    <w:rsid w:val="003924F4"/>
    <w:rsid w:val="0039260C"/>
    <w:rsid w:val="003929DE"/>
    <w:rsid w:val="00392DF7"/>
    <w:rsid w:val="00392E96"/>
    <w:rsid w:val="0039314C"/>
    <w:rsid w:val="00393533"/>
    <w:rsid w:val="00393948"/>
    <w:rsid w:val="003941C9"/>
    <w:rsid w:val="003946AA"/>
    <w:rsid w:val="00394CB9"/>
    <w:rsid w:val="003954D7"/>
    <w:rsid w:val="00395E46"/>
    <w:rsid w:val="00396029"/>
    <w:rsid w:val="00396244"/>
    <w:rsid w:val="00396A57"/>
    <w:rsid w:val="00396DEB"/>
    <w:rsid w:val="00396F6A"/>
    <w:rsid w:val="00396F9C"/>
    <w:rsid w:val="0039733D"/>
    <w:rsid w:val="0039778B"/>
    <w:rsid w:val="0039784C"/>
    <w:rsid w:val="00397C65"/>
    <w:rsid w:val="003A0002"/>
    <w:rsid w:val="003A01ED"/>
    <w:rsid w:val="003A0215"/>
    <w:rsid w:val="003A0C10"/>
    <w:rsid w:val="003A0C1C"/>
    <w:rsid w:val="003A0EB2"/>
    <w:rsid w:val="003A0FB3"/>
    <w:rsid w:val="003A1169"/>
    <w:rsid w:val="003A13CE"/>
    <w:rsid w:val="003A1789"/>
    <w:rsid w:val="003A1B47"/>
    <w:rsid w:val="003A1E49"/>
    <w:rsid w:val="003A1FE1"/>
    <w:rsid w:val="003A2004"/>
    <w:rsid w:val="003A27EB"/>
    <w:rsid w:val="003A2D40"/>
    <w:rsid w:val="003A2D74"/>
    <w:rsid w:val="003A3719"/>
    <w:rsid w:val="003A3A03"/>
    <w:rsid w:val="003A3C80"/>
    <w:rsid w:val="003A3DAD"/>
    <w:rsid w:val="003A4131"/>
    <w:rsid w:val="003A4402"/>
    <w:rsid w:val="003A4AD7"/>
    <w:rsid w:val="003A4BC6"/>
    <w:rsid w:val="003A5080"/>
    <w:rsid w:val="003A5813"/>
    <w:rsid w:val="003A5ADF"/>
    <w:rsid w:val="003A5D6C"/>
    <w:rsid w:val="003A5ECB"/>
    <w:rsid w:val="003A5F91"/>
    <w:rsid w:val="003A61CF"/>
    <w:rsid w:val="003A63B2"/>
    <w:rsid w:val="003A6409"/>
    <w:rsid w:val="003A6E0A"/>
    <w:rsid w:val="003A7666"/>
    <w:rsid w:val="003A7803"/>
    <w:rsid w:val="003A79AC"/>
    <w:rsid w:val="003A7F7F"/>
    <w:rsid w:val="003B01AD"/>
    <w:rsid w:val="003B03B6"/>
    <w:rsid w:val="003B03BF"/>
    <w:rsid w:val="003B0BAB"/>
    <w:rsid w:val="003B0C81"/>
    <w:rsid w:val="003B0CF8"/>
    <w:rsid w:val="003B0E66"/>
    <w:rsid w:val="003B122A"/>
    <w:rsid w:val="003B1585"/>
    <w:rsid w:val="003B16E3"/>
    <w:rsid w:val="003B180F"/>
    <w:rsid w:val="003B1D56"/>
    <w:rsid w:val="003B215E"/>
    <w:rsid w:val="003B2482"/>
    <w:rsid w:val="003B24A5"/>
    <w:rsid w:val="003B265B"/>
    <w:rsid w:val="003B2680"/>
    <w:rsid w:val="003B2BDE"/>
    <w:rsid w:val="003B3096"/>
    <w:rsid w:val="003B3367"/>
    <w:rsid w:val="003B3A7C"/>
    <w:rsid w:val="003B3C19"/>
    <w:rsid w:val="003B3C25"/>
    <w:rsid w:val="003B3CDC"/>
    <w:rsid w:val="003B3D4E"/>
    <w:rsid w:val="003B3E2C"/>
    <w:rsid w:val="003B4538"/>
    <w:rsid w:val="003B45C6"/>
    <w:rsid w:val="003B4987"/>
    <w:rsid w:val="003B51DF"/>
    <w:rsid w:val="003B52A8"/>
    <w:rsid w:val="003B5459"/>
    <w:rsid w:val="003B55AC"/>
    <w:rsid w:val="003B5F89"/>
    <w:rsid w:val="003B5FF8"/>
    <w:rsid w:val="003B61D2"/>
    <w:rsid w:val="003B6399"/>
    <w:rsid w:val="003B63BB"/>
    <w:rsid w:val="003B6A13"/>
    <w:rsid w:val="003B6B51"/>
    <w:rsid w:val="003B7735"/>
    <w:rsid w:val="003B7CD9"/>
    <w:rsid w:val="003B7D10"/>
    <w:rsid w:val="003C07C6"/>
    <w:rsid w:val="003C0E29"/>
    <w:rsid w:val="003C158A"/>
    <w:rsid w:val="003C2267"/>
    <w:rsid w:val="003C22BB"/>
    <w:rsid w:val="003C24CC"/>
    <w:rsid w:val="003C26C1"/>
    <w:rsid w:val="003C2965"/>
    <w:rsid w:val="003C2D6C"/>
    <w:rsid w:val="003C2D88"/>
    <w:rsid w:val="003C2DB1"/>
    <w:rsid w:val="003C38FB"/>
    <w:rsid w:val="003C3B1E"/>
    <w:rsid w:val="003C3F55"/>
    <w:rsid w:val="003C46AA"/>
    <w:rsid w:val="003C47E0"/>
    <w:rsid w:val="003C4A1C"/>
    <w:rsid w:val="003C4AC9"/>
    <w:rsid w:val="003C4CD8"/>
    <w:rsid w:val="003C4E72"/>
    <w:rsid w:val="003C4FBF"/>
    <w:rsid w:val="003C5B0F"/>
    <w:rsid w:val="003C5B75"/>
    <w:rsid w:val="003C648D"/>
    <w:rsid w:val="003C69FD"/>
    <w:rsid w:val="003C6A2E"/>
    <w:rsid w:val="003C6CEA"/>
    <w:rsid w:val="003C74F4"/>
    <w:rsid w:val="003C789B"/>
    <w:rsid w:val="003C7952"/>
    <w:rsid w:val="003C7C19"/>
    <w:rsid w:val="003C7E36"/>
    <w:rsid w:val="003D03B2"/>
    <w:rsid w:val="003D03EA"/>
    <w:rsid w:val="003D05C0"/>
    <w:rsid w:val="003D0898"/>
    <w:rsid w:val="003D0999"/>
    <w:rsid w:val="003D0DAB"/>
    <w:rsid w:val="003D1064"/>
    <w:rsid w:val="003D1915"/>
    <w:rsid w:val="003D19C1"/>
    <w:rsid w:val="003D1EEA"/>
    <w:rsid w:val="003D2130"/>
    <w:rsid w:val="003D2B6C"/>
    <w:rsid w:val="003D2B87"/>
    <w:rsid w:val="003D2E29"/>
    <w:rsid w:val="003D2E79"/>
    <w:rsid w:val="003D2E86"/>
    <w:rsid w:val="003D33EC"/>
    <w:rsid w:val="003D3EC7"/>
    <w:rsid w:val="003D3FDB"/>
    <w:rsid w:val="003D441C"/>
    <w:rsid w:val="003D47C2"/>
    <w:rsid w:val="003D486E"/>
    <w:rsid w:val="003D4D43"/>
    <w:rsid w:val="003D4D4C"/>
    <w:rsid w:val="003D4DA3"/>
    <w:rsid w:val="003D5004"/>
    <w:rsid w:val="003D54FE"/>
    <w:rsid w:val="003D56E7"/>
    <w:rsid w:val="003D5EA5"/>
    <w:rsid w:val="003D6187"/>
    <w:rsid w:val="003D6199"/>
    <w:rsid w:val="003D6429"/>
    <w:rsid w:val="003D7179"/>
    <w:rsid w:val="003D7189"/>
    <w:rsid w:val="003D7425"/>
    <w:rsid w:val="003D7730"/>
    <w:rsid w:val="003E0049"/>
    <w:rsid w:val="003E08CC"/>
    <w:rsid w:val="003E09F5"/>
    <w:rsid w:val="003E0A42"/>
    <w:rsid w:val="003E0E1E"/>
    <w:rsid w:val="003E0E4A"/>
    <w:rsid w:val="003E115E"/>
    <w:rsid w:val="003E1226"/>
    <w:rsid w:val="003E17CA"/>
    <w:rsid w:val="003E1EF4"/>
    <w:rsid w:val="003E2586"/>
    <w:rsid w:val="003E2B4F"/>
    <w:rsid w:val="003E2C1B"/>
    <w:rsid w:val="003E2C3E"/>
    <w:rsid w:val="003E2CA3"/>
    <w:rsid w:val="003E2F1F"/>
    <w:rsid w:val="003E38A1"/>
    <w:rsid w:val="003E39D2"/>
    <w:rsid w:val="003E3A3E"/>
    <w:rsid w:val="003E3CF3"/>
    <w:rsid w:val="003E43E2"/>
    <w:rsid w:val="003E46B9"/>
    <w:rsid w:val="003E4BAB"/>
    <w:rsid w:val="003E4FFF"/>
    <w:rsid w:val="003E510F"/>
    <w:rsid w:val="003E525E"/>
    <w:rsid w:val="003E52CD"/>
    <w:rsid w:val="003E54A7"/>
    <w:rsid w:val="003E572C"/>
    <w:rsid w:val="003E5EF4"/>
    <w:rsid w:val="003E5F03"/>
    <w:rsid w:val="003E6463"/>
    <w:rsid w:val="003E688B"/>
    <w:rsid w:val="003E6B56"/>
    <w:rsid w:val="003E6D4E"/>
    <w:rsid w:val="003E6DBC"/>
    <w:rsid w:val="003E7012"/>
    <w:rsid w:val="003E7416"/>
    <w:rsid w:val="003E7552"/>
    <w:rsid w:val="003E7884"/>
    <w:rsid w:val="003E7923"/>
    <w:rsid w:val="003E7CD8"/>
    <w:rsid w:val="003E7DA4"/>
    <w:rsid w:val="003F032B"/>
    <w:rsid w:val="003F068A"/>
    <w:rsid w:val="003F1DB9"/>
    <w:rsid w:val="003F1E4C"/>
    <w:rsid w:val="003F1FE2"/>
    <w:rsid w:val="003F21A3"/>
    <w:rsid w:val="003F2A85"/>
    <w:rsid w:val="003F2F6D"/>
    <w:rsid w:val="003F3100"/>
    <w:rsid w:val="003F5525"/>
    <w:rsid w:val="003F55FF"/>
    <w:rsid w:val="003F5CD3"/>
    <w:rsid w:val="003F5D3B"/>
    <w:rsid w:val="003F60FA"/>
    <w:rsid w:val="003F644C"/>
    <w:rsid w:val="003F6975"/>
    <w:rsid w:val="003F6FE9"/>
    <w:rsid w:val="003F73B6"/>
    <w:rsid w:val="003F76C3"/>
    <w:rsid w:val="003F7930"/>
    <w:rsid w:val="003F7B53"/>
    <w:rsid w:val="003F7D74"/>
    <w:rsid w:val="0040006F"/>
    <w:rsid w:val="004000FF"/>
    <w:rsid w:val="0040024A"/>
    <w:rsid w:val="0040050B"/>
    <w:rsid w:val="00400A21"/>
    <w:rsid w:val="00400DED"/>
    <w:rsid w:val="00400DEF"/>
    <w:rsid w:val="0040129F"/>
    <w:rsid w:val="0040189B"/>
    <w:rsid w:val="004020A2"/>
    <w:rsid w:val="004021DD"/>
    <w:rsid w:val="004023A9"/>
    <w:rsid w:val="00402702"/>
    <w:rsid w:val="004033D9"/>
    <w:rsid w:val="004037D1"/>
    <w:rsid w:val="004040CB"/>
    <w:rsid w:val="004043B3"/>
    <w:rsid w:val="0040447C"/>
    <w:rsid w:val="00404781"/>
    <w:rsid w:val="00404D4B"/>
    <w:rsid w:val="00404DA2"/>
    <w:rsid w:val="00405315"/>
    <w:rsid w:val="0040533F"/>
    <w:rsid w:val="00405578"/>
    <w:rsid w:val="00405611"/>
    <w:rsid w:val="004058A0"/>
    <w:rsid w:val="00405F71"/>
    <w:rsid w:val="00406248"/>
    <w:rsid w:val="004062A5"/>
    <w:rsid w:val="0040690B"/>
    <w:rsid w:val="004069E4"/>
    <w:rsid w:val="00406D84"/>
    <w:rsid w:val="00407293"/>
    <w:rsid w:val="0040774B"/>
    <w:rsid w:val="0040776A"/>
    <w:rsid w:val="004077CF"/>
    <w:rsid w:val="00407BD8"/>
    <w:rsid w:val="004100BE"/>
    <w:rsid w:val="00410173"/>
    <w:rsid w:val="004104F9"/>
    <w:rsid w:val="004106B9"/>
    <w:rsid w:val="0041095A"/>
    <w:rsid w:val="00410BE0"/>
    <w:rsid w:val="00410DCD"/>
    <w:rsid w:val="004114E7"/>
    <w:rsid w:val="004119EA"/>
    <w:rsid w:val="00412028"/>
    <w:rsid w:val="0041267D"/>
    <w:rsid w:val="00412925"/>
    <w:rsid w:val="00412A4E"/>
    <w:rsid w:val="00413A13"/>
    <w:rsid w:val="00413CB5"/>
    <w:rsid w:val="004144A1"/>
    <w:rsid w:val="00414517"/>
    <w:rsid w:val="00414AAA"/>
    <w:rsid w:val="00414E1F"/>
    <w:rsid w:val="00414FE9"/>
    <w:rsid w:val="00415518"/>
    <w:rsid w:val="004156CC"/>
    <w:rsid w:val="004157DC"/>
    <w:rsid w:val="00415A8C"/>
    <w:rsid w:val="0041643A"/>
    <w:rsid w:val="004165D9"/>
    <w:rsid w:val="00416788"/>
    <w:rsid w:val="00417696"/>
    <w:rsid w:val="00417B18"/>
    <w:rsid w:val="00420790"/>
    <w:rsid w:val="0042083E"/>
    <w:rsid w:val="00420A7B"/>
    <w:rsid w:val="0042119B"/>
    <w:rsid w:val="004213C7"/>
    <w:rsid w:val="004214A2"/>
    <w:rsid w:val="00421BF2"/>
    <w:rsid w:val="00421E80"/>
    <w:rsid w:val="0042202A"/>
    <w:rsid w:val="00422C9A"/>
    <w:rsid w:val="00422F21"/>
    <w:rsid w:val="004230FA"/>
    <w:rsid w:val="00423278"/>
    <w:rsid w:val="00423651"/>
    <w:rsid w:val="00423C3F"/>
    <w:rsid w:val="00423C9A"/>
    <w:rsid w:val="00423DFD"/>
    <w:rsid w:val="00423F72"/>
    <w:rsid w:val="004244CE"/>
    <w:rsid w:val="00424713"/>
    <w:rsid w:val="00424844"/>
    <w:rsid w:val="00424863"/>
    <w:rsid w:val="004253FB"/>
    <w:rsid w:val="00425E95"/>
    <w:rsid w:val="00425F75"/>
    <w:rsid w:val="004260BF"/>
    <w:rsid w:val="0042666F"/>
    <w:rsid w:val="004267DA"/>
    <w:rsid w:val="0042693F"/>
    <w:rsid w:val="0042698F"/>
    <w:rsid w:val="00426C9B"/>
    <w:rsid w:val="00427C8A"/>
    <w:rsid w:val="00427D4A"/>
    <w:rsid w:val="00427DCF"/>
    <w:rsid w:val="00427F6C"/>
    <w:rsid w:val="0043000B"/>
    <w:rsid w:val="0043079E"/>
    <w:rsid w:val="00430CA9"/>
    <w:rsid w:val="00430CC6"/>
    <w:rsid w:val="0043103D"/>
    <w:rsid w:val="00431138"/>
    <w:rsid w:val="0043118A"/>
    <w:rsid w:val="004311BD"/>
    <w:rsid w:val="004311C9"/>
    <w:rsid w:val="0043136D"/>
    <w:rsid w:val="004313C0"/>
    <w:rsid w:val="0043160D"/>
    <w:rsid w:val="0043176D"/>
    <w:rsid w:val="00432010"/>
    <w:rsid w:val="004327F5"/>
    <w:rsid w:val="00432AAC"/>
    <w:rsid w:val="004332AB"/>
    <w:rsid w:val="00433499"/>
    <w:rsid w:val="0043385E"/>
    <w:rsid w:val="00433BBC"/>
    <w:rsid w:val="00433ECB"/>
    <w:rsid w:val="004341EE"/>
    <w:rsid w:val="00434225"/>
    <w:rsid w:val="00434246"/>
    <w:rsid w:val="00434278"/>
    <w:rsid w:val="0043427E"/>
    <w:rsid w:val="004344A6"/>
    <w:rsid w:val="00434AE5"/>
    <w:rsid w:val="00434C56"/>
    <w:rsid w:val="00434C67"/>
    <w:rsid w:val="00435493"/>
    <w:rsid w:val="004357A8"/>
    <w:rsid w:val="00435935"/>
    <w:rsid w:val="00436DC6"/>
    <w:rsid w:val="00437242"/>
    <w:rsid w:val="00437673"/>
    <w:rsid w:val="004377A4"/>
    <w:rsid w:val="00437EBE"/>
    <w:rsid w:val="00440577"/>
    <w:rsid w:val="00440867"/>
    <w:rsid w:val="004409D7"/>
    <w:rsid w:val="00440AAE"/>
    <w:rsid w:val="004413B6"/>
    <w:rsid w:val="004416BB"/>
    <w:rsid w:val="004416EE"/>
    <w:rsid w:val="00441888"/>
    <w:rsid w:val="0044208D"/>
    <w:rsid w:val="004423F1"/>
    <w:rsid w:val="0044302B"/>
    <w:rsid w:val="0044356A"/>
    <w:rsid w:val="00443D25"/>
    <w:rsid w:val="00443D7C"/>
    <w:rsid w:val="0044427F"/>
    <w:rsid w:val="004444D5"/>
    <w:rsid w:val="004445DA"/>
    <w:rsid w:val="00444665"/>
    <w:rsid w:val="00444714"/>
    <w:rsid w:val="00444728"/>
    <w:rsid w:val="00444C99"/>
    <w:rsid w:val="00444F3A"/>
    <w:rsid w:val="004455D7"/>
    <w:rsid w:val="0044578F"/>
    <w:rsid w:val="00445A47"/>
    <w:rsid w:val="00445A89"/>
    <w:rsid w:val="00446E03"/>
    <w:rsid w:val="00450494"/>
    <w:rsid w:val="0045076A"/>
    <w:rsid w:val="00450C76"/>
    <w:rsid w:val="00451563"/>
    <w:rsid w:val="00451819"/>
    <w:rsid w:val="00451B40"/>
    <w:rsid w:val="00451BBC"/>
    <w:rsid w:val="00451D68"/>
    <w:rsid w:val="00452F0C"/>
    <w:rsid w:val="004530E5"/>
    <w:rsid w:val="00453157"/>
    <w:rsid w:val="004532DD"/>
    <w:rsid w:val="004536E7"/>
    <w:rsid w:val="0045392C"/>
    <w:rsid w:val="00453A52"/>
    <w:rsid w:val="0045454D"/>
    <w:rsid w:val="00454941"/>
    <w:rsid w:val="00454B77"/>
    <w:rsid w:val="00454DAE"/>
    <w:rsid w:val="00455514"/>
    <w:rsid w:val="0045586F"/>
    <w:rsid w:val="00455A22"/>
    <w:rsid w:val="00456AAB"/>
    <w:rsid w:val="00456CCD"/>
    <w:rsid w:val="00456D2E"/>
    <w:rsid w:val="00456F04"/>
    <w:rsid w:val="00456FF3"/>
    <w:rsid w:val="004577A7"/>
    <w:rsid w:val="00457B7A"/>
    <w:rsid w:val="00457EFA"/>
    <w:rsid w:val="00460037"/>
    <w:rsid w:val="00460EAE"/>
    <w:rsid w:val="00460FF9"/>
    <w:rsid w:val="0046138B"/>
    <w:rsid w:val="004615CD"/>
    <w:rsid w:val="00461616"/>
    <w:rsid w:val="004618BA"/>
    <w:rsid w:val="004618D1"/>
    <w:rsid w:val="004618EA"/>
    <w:rsid w:val="004619D0"/>
    <w:rsid w:val="00461BCB"/>
    <w:rsid w:val="00461E0E"/>
    <w:rsid w:val="00461F99"/>
    <w:rsid w:val="00462085"/>
    <w:rsid w:val="0046251A"/>
    <w:rsid w:val="0046356E"/>
    <w:rsid w:val="0046365B"/>
    <w:rsid w:val="0046372A"/>
    <w:rsid w:val="00463DAC"/>
    <w:rsid w:val="00463E38"/>
    <w:rsid w:val="00464291"/>
    <w:rsid w:val="0046429A"/>
    <w:rsid w:val="004642EC"/>
    <w:rsid w:val="0046434A"/>
    <w:rsid w:val="004646A9"/>
    <w:rsid w:val="0046484E"/>
    <w:rsid w:val="00464A15"/>
    <w:rsid w:val="00464B74"/>
    <w:rsid w:val="00464F84"/>
    <w:rsid w:val="004657F1"/>
    <w:rsid w:val="00465996"/>
    <w:rsid w:val="004663EA"/>
    <w:rsid w:val="0046664B"/>
    <w:rsid w:val="004666CF"/>
    <w:rsid w:val="00466A14"/>
    <w:rsid w:val="00466D89"/>
    <w:rsid w:val="00466EC6"/>
    <w:rsid w:val="00466F08"/>
    <w:rsid w:val="00466FC5"/>
    <w:rsid w:val="004670A0"/>
    <w:rsid w:val="00467100"/>
    <w:rsid w:val="00467D07"/>
    <w:rsid w:val="00467DF7"/>
    <w:rsid w:val="004700EC"/>
    <w:rsid w:val="00470433"/>
    <w:rsid w:val="004704F0"/>
    <w:rsid w:val="00470826"/>
    <w:rsid w:val="00470E9F"/>
    <w:rsid w:val="004711C1"/>
    <w:rsid w:val="004713B3"/>
    <w:rsid w:val="00472095"/>
    <w:rsid w:val="004725F3"/>
    <w:rsid w:val="004728AD"/>
    <w:rsid w:val="004728C9"/>
    <w:rsid w:val="00472988"/>
    <w:rsid w:val="00473018"/>
    <w:rsid w:val="00473965"/>
    <w:rsid w:val="00473990"/>
    <w:rsid w:val="00473B7F"/>
    <w:rsid w:val="00474076"/>
    <w:rsid w:val="00474633"/>
    <w:rsid w:val="004746C7"/>
    <w:rsid w:val="004747FD"/>
    <w:rsid w:val="00475119"/>
    <w:rsid w:val="00475144"/>
    <w:rsid w:val="004752A9"/>
    <w:rsid w:val="0047530A"/>
    <w:rsid w:val="0047572B"/>
    <w:rsid w:val="0047597B"/>
    <w:rsid w:val="004763DC"/>
    <w:rsid w:val="00476472"/>
    <w:rsid w:val="00476F13"/>
    <w:rsid w:val="00477115"/>
    <w:rsid w:val="00477315"/>
    <w:rsid w:val="00477FEB"/>
    <w:rsid w:val="0048004A"/>
    <w:rsid w:val="004800CE"/>
    <w:rsid w:val="00480116"/>
    <w:rsid w:val="004801C7"/>
    <w:rsid w:val="00480552"/>
    <w:rsid w:val="00480794"/>
    <w:rsid w:val="00480A3E"/>
    <w:rsid w:val="00480AB0"/>
    <w:rsid w:val="00480ECA"/>
    <w:rsid w:val="00481606"/>
    <w:rsid w:val="00481FDB"/>
    <w:rsid w:val="00482301"/>
    <w:rsid w:val="004824CD"/>
    <w:rsid w:val="0048252F"/>
    <w:rsid w:val="00482546"/>
    <w:rsid w:val="004832C1"/>
    <w:rsid w:val="00483A8C"/>
    <w:rsid w:val="00483DFD"/>
    <w:rsid w:val="00483F90"/>
    <w:rsid w:val="00484BE7"/>
    <w:rsid w:val="00484C3C"/>
    <w:rsid w:val="00484E7B"/>
    <w:rsid w:val="00484E91"/>
    <w:rsid w:val="00485043"/>
    <w:rsid w:val="004853A3"/>
    <w:rsid w:val="0048550C"/>
    <w:rsid w:val="00485B35"/>
    <w:rsid w:val="00486354"/>
    <w:rsid w:val="0048657B"/>
    <w:rsid w:val="004868BC"/>
    <w:rsid w:val="004869BA"/>
    <w:rsid w:val="00486E50"/>
    <w:rsid w:val="00487AAF"/>
    <w:rsid w:val="00490169"/>
    <w:rsid w:val="00490EC0"/>
    <w:rsid w:val="0049139B"/>
    <w:rsid w:val="00491994"/>
    <w:rsid w:val="00491C62"/>
    <w:rsid w:val="00491C85"/>
    <w:rsid w:val="00491F60"/>
    <w:rsid w:val="00492BCF"/>
    <w:rsid w:val="00492C70"/>
    <w:rsid w:val="00492D11"/>
    <w:rsid w:val="00493261"/>
    <w:rsid w:val="00494D68"/>
    <w:rsid w:val="00494D80"/>
    <w:rsid w:val="00494E37"/>
    <w:rsid w:val="00494FF2"/>
    <w:rsid w:val="00495009"/>
    <w:rsid w:val="00495043"/>
    <w:rsid w:val="004950A0"/>
    <w:rsid w:val="00495237"/>
    <w:rsid w:val="00495415"/>
    <w:rsid w:val="00495567"/>
    <w:rsid w:val="004960A4"/>
    <w:rsid w:val="004966A8"/>
    <w:rsid w:val="004966E0"/>
    <w:rsid w:val="004968B1"/>
    <w:rsid w:val="00496C2F"/>
    <w:rsid w:val="0049756D"/>
    <w:rsid w:val="004978D0"/>
    <w:rsid w:val="00497C4A"/>
    <w:rsid w:val="004A0AC0"/>
    <w:rsid w:val="004A0ACE"/>
    <w:rsid w:val="004A0E19"/>
    <w:rsid w:val="004A0EBD"/>
    <w:rsid w:val="004A155D"/>
    <w:rsid w:val="004A1D9B"/>
    <w:rsid w:val="004A1D9E"/>
    <w:rsid w:val="004A200F"/>
    <w:rsid w:val="004A3095"/>
    <w:rsid w:val="004A32E4"/>
    <w:rsid w:val="004A3379"/>
    <w:rsid w:val="004A33B0"/>
    <w:rsid w:val="004A39D5"/>
    <w:rsid w:val="004A3A4D"/>
    <w:rsid w:val="004A3B87"/>
    <w:rsid w:val="004A3BCA"/>
    <w:rsid w:val="004A3BD8"/>
    <w:rsid w:val="004A4709"/>
    <w:rsid w:val="004A4750"/>
    <w:rsid w:val="004A4F8E"/>
    <w:rsid w:val="004A51C0"/>
    <w:rsid w:val="004A54B4"/>
    <w:rsid w:val="004A5693"/>
    <w:rsid w:val="004A5944"/>
    <w:rsid w:val="004A5BED"/>
    <w:rsid w:val="004A5F06"/>
    <w:rsid w:val="004A61EA"/>
    <w:rsid w:val="004A6626"/>
    <w:rsid w:val="004A6AE7"/>
    <w:rsid w:val="004A6D26"/>
    <w:rsid w:val="004A6D97"/>
    <w:rsid w:val="004A7003"/>
    <w:rsid w:val="004A7653"/>
    <w:rsid w:val="004A7711"/>
    <w:rsid w:val="004A771C"/>
    <w:rsid w:val="004A7B92"/>
    <w:rsid w:val="004A7C7F"/>
    <w:rsid w:val="004B00EC"/>
    <w:rsid w:val="004B014B"/>
    <w:rsid w:val="004B0206"/>
    <w:rsid w:val="004B07CD"/>
    <w:rsid w:val="004B0873"/>
    <w:rsid w:val="004B0E69"/>
    <w:rsid w:val="004B123B"/>
    <w:rsid w:val="004B1370"/>
    <w:rsid w:val="004B1698"/>
    <w:rsid w:val="004B19FE"/>
    <w:rsid w:val="004B1DFA"/>
    <w:rsid w:val="004B292F"/>
    <w:rsid w:val="004B2F0D"/>
    <w:rsid w:val="004B331B"/>
    <w:rsid w:val="004B3440"/>
    <w:rsid w:val="004B3602"/>
    <w:rsid w:val="004B37E0"/>
    <w:rsid w:val="004B39BC"/>
    <w:rsid w:val="004B3B62"/>
    <w:rsid w:val="004B3B97"/>
    <w:rsid w:val="004B3E33"/>
    <w:rsid w:val="004B4115"/>
    <w:rsid w:val="004B4542"/>
    <w:rsid w:val="004B46E0"/>
    <w:rsid w:val="004B4737"/>
    <w:rsid w:val="004B4792"/>
    <w:rsid w:val="004B4839"/>
    <w:rsid w:val="004B4871"/>
    <w:rsid w:val="004B4C54"/>
    <w:rsid w:val="004B53AE"/>
    <w:rsid w:val="004B5B50"/>
    <w:rsid w:val="004B5C41"/>
    <w:rsid w:val="004B5DBD"/>
    <w:rsid w:val="004B65EA"/>
    <w:rsid w:val="004B6650"/>
    <w:rsid w:val="004B690E"/>
    <w:rsid w:val="004B6E8C"/>
    <w:rsid w:val="004B7162"/>
    <w:rsid w:val="004B7175"/>
    <w:rsid w:val="004B739B"/>
    <w:rsid w:val="004B76B7"/>
    <w:rsid w:val="004B773B"/>
    <w:rsid w:val="004B7748"/>
    <w:rsid w:val="004B7E09"/>
    <w:rsid w:val="004C01AF"/>
    <w:rsid w:val="004C07E8"/>
    <w:rsid w:val="004C08A9"/>
    <w:rsid w:val="004C08BF"/>
    <w:rsid w:val="004C0B4D"/>
    <w:rsid w:val="004C10D7"/>
    <w:rsid w:val="004C10EB"/>
    <w:rsid w:val="004C12A8"/>
    <w:rsid w:val="004C1709"/>
    <w:rsid w:val="004C1A46"/>
    <w:rsid w:val="004C2176"/>
    <w:rsid w:val="004C21AE"/>
    <w:rsid w:val="004C243A"/>
    <w:rsid w:val="004C2756"/>
    <w:rsid w:val="004C27B8"/>
    <w:rsid w:val="004C27BE"/>
    <w:rsid w:val="004C29DC"/>
    <w:rsid w:val="004C2E49"/>
    <w:rsid w:val="004C3289"/>
    <w:rsid w:val="004C33D5"/>
    <w:rsid w:val="004C3ED1"/>
    <w:rsid w:val="004C43B4"/>
    <w:rsid w:val="004C4567"/>
    <w:rsid w:val="004C4F91"/>
    <w:rsid w:val="004C51D8"/>
    <w:rsid w:val="004C5388"/>
    <w:rsid w:val="004C57ED"/>
    <w:rsid w:val="004C598F"/>
    <w:rsid w:val="004C5A12"/>
    <w:rsid w:val="004C5ECD"/>
    <w:rsid w:val="004C5F32"/>
    <w:rsid w:val="004C64AD"/>
    <w:rsid w:val="004C6589"/>
    <w:rsid w:val="004C6B26"/>
    <w:rsid w:val="004C6BE0"/>
    <w:rsid w:val="004C6F1D"/>
    <w:rsid w:val="004C6F37"/>
    <w:rsid w:val="004C6FDB"/>
    <w:rsid w:val="004C7669"/>
    <w:rsid w:val="004C79E7"/>
    <w:rsid w:val="004C7C4A"/>
    <w:rsid w:val="004D00D2"/>
    <w:rsid w:val="004D06BD"/>
    <w:rsid w:val="004D0A0B"/>
    <w:rsid w:val="004D1815"/>
    <w:rsid w:val="004D2414"/>
    <w:rsid w:val="004D254B"/>
    <w:rsid w:val="004D2AB0"/>
    <w:rsid w:val="004D2AB2"/>
    <w:rsid w:val="004D2EEA"/>
    <w:rsid w:val="004D371D"/>
    <w:rsid w:val="004D4B19"/>
    <w:rsid w:val="004D4EC6"/>
    <w:rsid w:val="004D5151"/>
    <w:rsid w:val="004D532C"/>
    <w:rsid w:val="004D5641"/>
    <w:rsid w:val="004D56B3"/>
    <w:rsid w:val="004D58AD"/>
    <w:rsid w:val="004D5A7E"/>
    <w:rsid w:val="004D5BD3"/>
    <w:rsid w:val="004D6028"/>
    <w:rsid w:val="004D60B0"/>
    <w:rsid w:val="004D6597"/>
    <w:rsid w:val="004D682A"/>
    <w:rsid w:val="004D6A37"/>
    <w:rsid w:val="004D6D99"/>
    <w:rsid w:val="004D6DE5"/>
    <w:rsid w:val="004D721A"/>
    <w:rsid w:val="004D78D1"/>
    <w:rsid w:val="004D78E0"/>
    <w:rsid w:val="004D7E75"/>
    <w:rsid w:val="004E051E"/>
    <w:rsid w:val="004E0C78"/>
    <w:rsid w:val="004E13E5"/>
    <w:rsid w:val="004E1C1A"/>
    <w:rsid w:val="004E2035"/>
    <w:rsid w:val="004E216D"/>
    <w:rsid w:val="004E24B9"/>
    <w:rsid w:val="004E2E55"/>
    <w:rsid w:val="004E2EA9"/>
    <w:rsid w:val="004E2FC5"/>
    <w:rsid w:val="004E3137"/>
    <w:rsid w:val="004E398F"/>
    <w:rsid w:val="004E45C7"/>
    <w:rsid w:val="004E4767"/>
    <w:rsid w:val="004E4856"/>
    <w:rsid w:val="004E49A1"/>
    <w:rsid w:val="004E580D"/>
    <w:rsid w:val="004E5F99"/>
    <w:rsid w:val="004E62E1"/>
    <w:rsid w:val="004E6412"/>
    <w:rsid w:val="004E6777"/>
    <w:rsid w:val="004E680A"/>
    <w:rsid w:val="004E6CC7"/>
    <w:rsid w:val="004E6D63"/>
    <w:rsid w:val="004E6E27"/>
    <w:rsid w:val="004E71A1"/>
    <w:rsid w:val="004E7B44"/>
    <w:rsid w:val="004E7E02"/>
    <w:rsid w:val="004F0055"/>
    <w:rsid w:val="004F0447"/>
    <w:rsid w:val="004F0A31"/>
    <w:rsid w:val="004F136E"/>
    <w:rsid w:val="004F1593"/>
    <w:rsid w:val="004F18EE"/>
    <w:rsid w:val="004F1A0E"/>
    <w:rsid w:val="004F1BE3"/>
    <w:rsid w:val="004F1F24"/>
    <w:rsid w:val="004F246E"/>
    <w:rsid w:val="004F2A10"/>
    <w:rsid w:val="004F2A46"/>
    <w:rsid w:val="004F32D9"/>
    <w:rsid w:val="004F3411"/>
    <w:rsid w:val="004F349A"/>
    <w:rsid w:val="004F350D"/>
    <w:rsid w:val="004F3AB9"/>
    <w:rsid w:val="004F3DD0"/>
    <w:rsid w:val="004F3FFA"/>
    <w:rsid w:val="004F4306"/>
    <w:rsid w:val="004F43F3"/>
    <w:rsid w:val="004F4421"/>
    <w:rsid w:val="004F44C3"/>
    <w:rsid w:val="004F4B75"/>
    <w:rsid w:val="004F5606"/>
    <w:rsid w:val="004F5622"/>
    <w:rsid w:val="004F5F87"/>
    <w:rsid w:val="004F5F92"/>
    <w:rsid w:val="004F64C2"/>
    <w:rsid w:val="004F6637"/>
    <w:rsid w:val="004F74AD"/>
    <w:rsid w:val="004F7B19"/>
    <w:rsid w:val="004F7EEC"/>
    <w:rsid w:val="00500036"/>
    <w:rsid w:val="00500173"/>
    <w:rsid w:val="00500A6C"/>
    <w:rsid w:val="00500DD2"/>
    <w:rsid w:val="00500DDC"/>
    <w:rsid w:val="005010B1"/>
    <w:rsid w:val="005010E5"/>
    <w:rsid w:val="00502593"/>
    <w:rsid w:val="00502A09"/>
    <w:rsid w:val="00502CF3"/>
    <w:rsid w:val="005032AB"/>
    <w:rsid w:val="00503768"/>
    <w:rsid w:val="00503843"/>
    <w:rsid w:val="00503C0A"/>
    <w:rsid w:val="00503CCE"/>
    <w:rsid w:val="00503E82"/>
    <w:rsid w:val="00503F15"/>
    <w:rsid w:val="00503FA3"/>
    <w:rsid w:val="00504679"/>
    <w:rsid w:val="00504AC3"/>
    <w:rsid w:val="00504F5C"/>
    <w:rsid w:val="005056A3"/>
    <w:rsid w:val="0050588E"/>
    <w:rsid w:val="00505CA5"/>
    <w:rsid w:val="00506310"/>
    <w:rsid w:val="0050691B"/>
    <w:rsid w:val="00506B60"/>
    <w:rsid w:val="005070DA"/>
    <w:rsid w:val="00507294"/>
    <w:rsid w:val="0050757E"/>
    <w:rsid w:val="00507916"/>
    <w:rsid w:val="00507998"/>
    <w:rsid w:val="00507A1C"/>
    <w:rsid w:val="00507F4D"/>
    <w:rsid w:val="00510844"/>
    <w:rsid w:val="00510B6A"/>
    <w:rsid w:val="00510CF6"/>
    <w:rsid w:val="00511444"/>
    <w:rsid w:val="005118A3"/>
    <w:rsid w:val="00512589"/>
    <w:rsid w:val="00512754"/>
    <w:rsid w:val="00512A30"/>
    <w:rsid w:val="00513009"/>
    <w:rsid w:val="005132FA"/>
    <w:rsid w:val="00513CF2"/>
    <w:rsid w:val="00513ECB"/>
    <w:rsid w:val="00513F02"/>
    <w:rsid w:val="005143F9"/>
    <w:rsid w:val="005144C1"/>
    <w:rsid w:val="00514E81"/>
    <w:rsid w:val="005153C5"/>
    <w:rsid w:val="0051586A"/>
    <w:rsid w:val="00515A82"/>
    <w:rsid w:val="00515B36"/>
    <w:rsid w:val="00515B4E"/>
    <w:rsid w:val="00515CCC"/>
    <w:rsid w:val="00516080"/>
    <w:rsid w:val="005165A7"/>
    <w:rsid w:val="0051660F"/>
    <w:rsid w:val="0051670E"/>
    <w:rsid w:val="00516EF5"/>
    <w:rsid w:val="00517103"/>
    <w:rsid w:val="005172EC"/>
    <w:rsid w:val="005175D7"/>
    <w:rsid w:val="005176A9"/>
    <w:rsid w:val="00517A54"/>
    <w:rsid w:val="00517C34"/>
    <w:rsid w:val="00517CE8"/>
    <w:rsid w:val="00517FB4"/>
    <w:rsid w:val="00520037"/>
    <w:rsid w:val="005206B9"/>
    <w:rsid w:val="00520716"/>
    <w:rsid w:val="00520E5A"/>
    <w:rsid w:val="00520E8E"/>
    <w:rsid w:val="00520EEE"/>
    <w:rsid w:val="00521C00"/>
    <w:rsid w:val="00521CE1"/>
    <w:rsid w:val="00522315"/>
    <w:rsid w:val="00522316"/>
    <w:rsid w:val="00522635"/>
    <w:rsid w:val="00522B84"/>
    <w:rsid w:val="005231B7"/>
    <w:rsid w:val="00523F2F"/>
    <w:rsid w:val="005241A9"/>
    <w:rsid w:val="00524587"/>
    <w:rsid w:val="0052472D"/>
    <w:rsid w:val="00524B4C"/>
    <w:rsid w:val="00524E7C"/>
    <w:rsid w:val="0052512C"/>
    <w:rsid w:val="0052516F"/>
    <w:rsid w:val="00525199"/>
    <w:rsid w:val="0052536C"/>
    <w:rsid w:val="005255CE"/>
    <w:rsid w:val="005255DD"/>
    <w:rsid w:val="005256C4"/>
    <w:rsid w:val="00525740"/>
    <w:rsid w:val="005258EF"/>
    <w:rsid w:val="00526719"/>
    <w:rsid w:val="005269E3"/>
    <w:rsid w:val="00526BDA"/>
    <w:rsid w:val="00526F72"/>
    <w:rsid w:val="00527137"/>
    <w:rsid w:val="0052734B"/>
    <w:rsid w:val="005277C8"/>
    <w:rsid w:val="005278D2"/>
    <w:rsid w:val="00527B8D"/>
    <w:rsid w:val="00527B91"/>
    <w:rsid w:val="00530543"/>
    <w:rsid w:val="005306CE"/>
    <w:rsid w:val="00531064"/>
    <w:rsid w:val="0053152D"/>
    <w:rsid w:val="00531A54"/>
    <w:rsid w:val="00531BD3"/>
    <w:rsid w:val="00531C3A"/>
    <w:rsid w:val="00531CF6"/>
    <w:rsid w:val="00531F97"/>
    <w:rsid w:val="00532443"/>
    <w:rsid w:val="005324A0"/>
    <w:rsid w:val="005329DD"/>
    <w:rsid w:val="00532C09"/>
    <w:rsid w:val="00532DFB"/>
    <w:rsid w:val="00532EE2"/>
    <w:rsid w:val="00532F7D"/>
    <w:rsid w:val="00533388"/>
    <w:rsid w:val="005339E1"/>
    <w:rsid w:val="00533A35"/>
    <w:rsid w:val="00533C68"/>
    <w:rsid w:val="00533D3D"/>
    <w:rsid w:val="00533E77"/>
    <w:rsid w:val="00533F04"/>
    <w:rsid w:val="00534174"/>
    <w:rsid w:val="0053453D"/>
    <w:rsid w:val="00534A61"/>
    <w:rsid w:val="00535240"/>
    <w:rsid w:val="005354B6"/>
    <w:rsid w:val="0053564F"/>
    <w:rsid w:val="00535671"/>
    <w:rsid w:val="00535764"/>
    <w:rsid w:val="00535AF2"/>
    <w:rsid w:val="00535BBF"/>
    <w:rsid w:val="00535C52"/>
    <w:rsid w:val="00535E90"/>
    <w:rsid w:val="00536F55"/>
    <w:rsid w:val="00537A15"/>
    <w:rsid w:val="005403EF"/>
    <w:rsid w:val="00540B3C"/>
    <w:rsid w:val="00540CD1"/>
    <w:rsid w:val="00540FC2"/>
    <w:rsid w:val="0054104E"/>
    <w:rsid w:val="005417F2"/>
    <w:rsid w:val="00541EFB"/>
    <w:rsid w:val="00543017"/>
    <w:rsid w:val="005434B7"/>
    <w:rsid w:val="00543662"/>
    <w:rsid w:val="00543B1D"/>
    <w:rsid w:val="00543CE7"/>
    <w:rsid w:val="00544138"/>
    <w:rsid w:val="005441E3"/>
    <w:rsid w:val="0054473A"/>
    <w:rsid w:val="00544F4F"/>
    <w:rsid w:val="005455F2"/>
    <w:rsid w:val="005456AF"/>
    <w:rsid w:val="005457C6"/>
    <w:rsid w:val="00545D07"/>
    <w:rsid w:val="00545D3E"/>
    <w:rsid w:val="00545F05"/>
    <w:rsid w:val="00546108"/>
    <w:rsid w:val="00546882"/>
    <w:rsid w:val="00546A2F"/>
    <w:rsid w:val="00547026"/>
    <w:rsid w:val="005475EB"/>
    <w:rsid w:val="0054772B"/>
    <w:rsid w:val="00547F3B"/>
    <w:rsid w:val="0055052A"/>
    <w:rsid w:val="005506EC"/>
    <w:rsid w:val="00550A66"/>
    <w:rsid w:val="005510E8"/>
    <w:rsid w:val="0055157B"/>
    <w:rsid w:val="00551870"/>
    <w:rsid w:val="005519E4"/>
    <w:rsid w:val="00552731"/>
    <w:rsid w:val="00552F46"/>
    <w:rsid w:val="00552F8F"/>
    <w:rsid w:val="005533C5"/>
    <w:rsid w:val="0055342A"/>
    <w:rsid w:val="00553465"/>
    <w:rsid w:val="00553B6A"/>
    <w:rsid w:val="00554043"/>
    <w:rsid w:val="0055407C"/>
    <w:rsid w:val="0055477E"/>
    <w:rsid w:val="00554FF5"/>
    <w:rsid w:val="0055506D"/>
    <w:rsid w:val="005553C0"/>
    <w:rsid w:val="0055619C"/>
    <w:rsid w:val="005566F3"/>
    <w:rsid w:val="005568F3"/>
    <w:rsid w:val="00556E20"/>
    <w:rsid w:val="0055764F"/>
    <w:rsid w:val="00557707"/>
    <w:rsid w:val="005579AD"/>
    <w:rsid w:val="00557AF3"/>
    <w:rsid w:val="00557F93"/>
    <w:rsid w:val="00557FAE"/>
    <w:rsid w:val="00560542"/>
    <w:rsid w:val="005605A6"/>
    <w:rsid w:val="0056075D"/>
    <w:rsid w:val="005607FB"/>
    <w:rsid w:val="005609A3"/>
    <w:rsid w:val="005609E3"/>
    <w:rsid w:val="00560DF4"/>
    <w:rsid w:val="00561011"/>
    <w:rsid w:val="0056101F"/>
    <w:rsid w:val="0056115E"/>
    <w:rsid w:val="00561652"/>
    <w:rsid w:val="0056199A"/>
    <w:rsid w:val="00561FB0"/>
    <w:rsid w:val="00562226"/>
    <w:rsid w:val="005622C2"/>
    <w:rsid w:val="005626B6"/>
    <w:rsid w:val="005628D1"/>
    <w:rsid w:val="00563333"/>
    <w:rsid w:val="005635E1"/>
    <w:rsid w:val="005637EE"/>
    <w:rsid w:val="00563B57"/>
    <w:rsid w:val="00563BDB"/>
    <w:rsid w:val="00563D7D"/>
    <w:rsid w:val="00563E2D"/>
    <w:rsid w:val="00563EC5"/>
    <w:rsid w:val="00563F60"/>
    <w:rsid w:val="0056408E"/>
    <w:rsid w:val="005641C4"/>
    <w:rsid w:val="005644FD"/>
    <w:rsid w:val="00564542"/>
    <w:rsid w:val="00564778"/>
    <w:rsid w:val="00564BCF"/>
    <w:rsid w:val="00564D49"/>
    <w:rsid w:val="0056522D"/>
    <w:rsid w:val="00565392"/>
    <w:rsid w:val="005654E1"/>
    <w:rsid w:val="0056555F"/>
    <w:rsid w:val="00565B1F"/>
    <w:rsid w:val="005661C8"/>
    <w:rsid w:val="00566DE0"/>
    <w:rsid w:val="0056757B"/>
    <w:rsid w:val="00567A3D"/>
    <w:rsid w:val="00567E39"/>
    <w:rsid w:val="005701C7"/>
    <w:rsid w:val="00570437"/>
    <w:rsid w:val="00570489"/>
    <w:rsid w:val="005705FE"/>
    <w:rsid w:val="00571409"/>
    <w:rsid w:val="00571565"/>
    <w:rsid w:val="005716B7"/>
    <w:rsid w:val="00571C32"/>
    <w:rsid w:val="00571E17"/>
    <w:rsid w:val="00571EE1"/>
    <w:rsid w:val="00571FF9"/>
    <w:rsid w:val="00572379"/>
    <w:rsid w:val="00572808"/>
    <w:rsid w:val="00572849"/>
    <w:rsid w:val="00572D5A"/>
    <w:rsid w:val="00572F47"/>
    <w:rsid w:val="00573405"/>
    <w:rsid w:val="0057407F"/>
    <w:rsid w:val="00574957"/>
    <w:rsid w:val="00574CEA"/>
    <w:rsid w:val="00574F32"/>
    <w:rsid w:val="00575096"/>
    <w:rsid w:val="00575243"/>
    <w:rsid w:val="00575574"/>
    <w:rsid w:val="0057558C"/>
    <w:rsid w:val="00575E9B"/>
    <w:rsid w:val="005761F4"/>
    <w:rsid w:val="00576367"/>
    <w:rsid w:val="00576677"/>
    <w:rsid w:val="00576A2C"/>
    <w:rsid w:val="00576BB2"/>
    <w:rsid w:val="00576DBF"/>
    <w:rsid w:val="005772B1"/>
    <w:rsid w:val="00577389"/>
    <w:rsid w:val="00577392"/>
    <w:rsid w:val="005778C2"/>
    <w:rsid w:val="00577942"/>
    <w:rsid w:val="00577C0C"/>
    <w:rsid w:val="00577CC1"/>
    <w:rsid w:val="00577FA4"/>
    <w:rsid w:val="00577FC0"/>
    <w:rsid w:val="005801A6"/>
    <w:rsid w:val="005804E5"/>
    <w:rsid w:val="00580AA0"/>
    <w:rsid w:val="00581161"/>
    <w:rsid w:val="00581C3F"/>
    <w:rsid w:val="0058209E"/>
    <w:rsid w:val="00582255"/>
    <w:rsid w:val="00582445"/>
    <w:rsid w:val="00582534"/>
    <w:rsid w:val="00582558"/>
    <w:rsid w:val="00582AE0"/>
    <w:rsid w:val="00582D90"/>
    <w:rsid w:val="00582F8D"/>
    <w:rsid w:val="005832DA"/>
    <w:rsid w:val="005837CC"/>
    <w:rsid w:val="00583958"/>
    <w:rsid w:val="00583D56"/>
    <w:rsid w:val="0058408B"/>
    <w:rsid w:val="00584828"/>
    <w:rsid w:val="00584A91"/>
    <w:rsid w:val="00584A97"/>
    <w:rsid w:val="00584AD4"/>
    <w:rsid w:val="00584C59"/>
    <w:rsid w:val="00584D65"/>
    <w:rsid w:val="00584DA4"/>
    <w:rsid w:val="00584DED"/>
    <w:rsid w:val="0058534C"/>
    <w:rsid w:val="00585911"/>
    <w:rsid w:val="00585CE5"/>
    <w:rsid w:val="005862D7"/>
    <w:rsid w:val="00586597"/>
    <w:rsid w:val="00586DFC"/>
    <w:rsid w:val="00586E35"/>
    <w:rsid w:val="005870B8"/>
    <w:rsid w:val="0058744A"/>
    <w:rsid w:val="00587705"/>
    <w:rsid w:val="00590829"/>
    <w:rsid w:val="00590916"/>
    <w:rsid w:val="00590A4B"/>
    <w:rsid w:val="00590B6A"/>
    <w:rsid w:val="005914AF"/>
    <w:rsid w:val="005919CD"/>
    <w:rsid w:val="00591A5B"/>
    <w:rsid w:val="00591F95"/>
    <w:rsid w:val="005920FF"/>
    <w:rsid w:val="005921A1"/>
    <w:rsid w:val="005922FA"/>
    <w:rsid w:val="00592382"/>
    <w:rsid w:val="00592DAD"/>
    <w:rsid w:val="00592E2F"/>
    <w:rsid w:val="005931B8"/>
    <w:rsid w:val="005934F6"/>
    <w:rsid w:val="005939C8"/>
    <w:rsid w:val="00593BED"/>
    <w:rsid w:val="00593BEF"/>
    <w:rsid w:val="005949A4"/>
    <w:rsid w:val="00594B63"/>
    <w:rsid w:val="00594E1C"/>
    <w:rsid w:val="00595286"/>
    <w:rsid w:val="00595293"/>
    <w:rsid w:val="005953E9"/>
    <w:rsid w:val="0059565E"/>
    <w:rsid w:val="00595D3B"/>
    <w:rsid w:val="005960DD"/>
    <w:rsid w:val="0059649A"/>
    <w:rsid w:val="0059655D"/>
    <w:rsid w:val="005966F5"/>
    <w:rsid w:val="0059685A"/>
    <w:rsid w:val="00596A68"/>
    <w:rsid w:val="00596BF4"/>
    <w:rsid w:val="00596EB0"/>
    <w:rsid w:val="00597366"/>
    <w:rsid w:val="005974EC"/>
    <w:rsid w:val="005977E7"/>
    <w:rsid w:val="005A0377"/>
    <w:rsid w:val="005A0432"/>
    <w:rsid w:val="005A04DA"/>
    <w:rsid w:val="005A076C"/>
    <w:rsid w:val="005A09A5"/>
    <w:rsid w:val="005A0A85"/>
    <w:rsid w:val="005A0E58"/>
    <w:rsid w:val="005A19E4"/>
    <w:rsid w:val="005A1B89"/>
    <w:rsid w:val="005A2058"/>
    <w:rsid w:val="005A2179"/>
    <w:rsid w:val="005A2AB2"/>
    <w:rsid w:val="005A2D61"/>
    <w:rsid w:val="005A2EBA"/>
    <w:rsid w:val="005A3591"/>
    <w:rsid w:val="005A37A3"/>
    <w:rsid w:val="005A3C94"/>
    <w:rsid w:val="005A410D"/>
    <w:rsid w:val="005A49BB"/>
    <w:rsid w:val="005A5002"/>
    <w:rsid w:val="005A52CC"/>
    <w:rsid w:val="005A5A63"/>
    <w:rsid w:val="005A60C0"/>
    <w:rsid w:val="005A625C"/>
    <w:rsid w:val="005A62B5"/>
    <w:rsid w:val="005A63D7"/>
    <w:rsid w:val="005A6424"/>
    <w:rsid w:val="005A6642"/>
    <w:rsid w:val="005A68BE"/>
    <w:rsid w:val="005A723E"/>
    <w:rsid w:val="005A788D"/>
    <w:rsid w:val="005A7A5E"/>
    <w:rsid w:val="005A7C24"/>
    <w:rsid w:val="005A7ED8"/>
    <w:rsid w:val="005B04AC"/>
    <w:rsid w:val="005B05D1"/>
    <w:rsid w:val="005B060A"/>
    <w:rsid w:val="005B085A"/>
    <w:rsid w:val="005B09E4"/>
    <w:rsid w:val="005B10CF"/>
    <w:rsid w:val="005B112F"/>
    <w:rsid w:val="005B1266"/>
    <w:rsid w:val="005B1405"/>
    <w:rsid w:val="005B1935"/>
    <w:rsid w:val="005B2016"/>
    <w:rsid w:val="005B2709"/>
    <w:rsid w:val="005B2771"/>
    <w:rsid w:val="005B278B"/>
    <w:rsid w:val="005B2A34"/>
    <w:rsid w:val="005B2A66"/>
    <w:rsid w:val="005B2A7F"/>
    <w:rsid w:val="005B2AD3"/>
    <w:rsid w:val="005B2B1A"/>
    <w:rsid w:val="005B2D05"/>
    <w:rsid w:val="005B2D15"/>
    <w:rsid w:val="005B2D7C"/>
    <w:rsid w:val="005B316D"/>
    <w:rsid w:val="005B323D"/>
    <w:rsid w:val="005B3255"/>
    <w:rsid w:val="005B33D9"/>
    <w:rsid w:val="005B342D"/>
    <w:rsid w:val="005B3D35"/>
    <w:rsid w:val="005B4225"/>
    <w:rsid w:val="005B4421"/>
    <w:rsid w:val="005B4745"/>
    <w:rsid w:val="005B474C"/>
    <w:rsid w:val="005B480A"/>
    <w:rsid w:val="005B4814"/>
    <w:rsid w:val="005B49B6"/>
    <w:rsid w:val="005B51BD"/>
    <w:rsid w:val="005B560E"/>
    <w:rsid w:val="005B564A"/>
    <w:rsid w:val="005B5738"/>
    <w:rsid w:val="005B6781"/>
    <w:rsid w:val="005B68C3"/>
    <w:rsid w:val="005B6AD3"/>
    <w:rsid w:val="005B6C1C"/>
    <w:rsid w:val="005B6E7E"/>
    <w:rsid w:val="005B70C0"/>
    <w:rsid w:val="005B73A3"/>
    <w:rsid w:val="005B7692"/>
    <w:rsid w:val="005B7C00"/>
    <w:rsid w:val="005B7CC4"/>
    <w:rsid w:val="005B7E10"/>
    <w:rsid w:val="005B7E43"/>
    <w:rsid w:val="005C07F9"/>
    <w:rsid w:val="005C0AA3"/>
    <w:rsid w:val="005C0B30"/>
    <w:rsid w:val="005C0BDC"/>
    <w:rsid w:val="005C128E"/>
    <w:rsid w:val="005C16DE"/>
    <w:rsid w:val="005C1E41"/>
    <w:rsid w:val="005C218E"/>
    <w:rsid w:val="005C23DA"/>
    <w:rsid w:val="005C26B5"/>
    <w:rsid w:val="005C2D14"/>
    <w:rsid w:val="005C38AB"/>
    <w:rsid w:val="005C43E0"/>
    <w:rsid w:val="005C4674"/>
    <w:rsid w:val="005C516A"/>
    <w:rsid w:val="005C53EA"/>
    <w:rsid w:val="005C5456"/>
    <w:rsid w:val="005C5477"/>
    <w:rsid w:val="005C556C"/>
    <w:rsid w:val="005C56A2"/>
    <w:rsid w:val="005C5798"/>
    <w:rsid w:val="005C587D"/>
    <w:rsid w:val="005C59A4"/>
    <w:rsid w:val="005C6472"/>
    <w:rsid w:val="005C6516"/>
    <w:rsid w:val="005C6A30"/>
    <w:rsid w:val="005C7021"/>
    <w:rsid w:val="005C749A"/>
    <w:rsid w:val="005C74BB"/>
    <w:rsid w:val="005C782C"/>
    <w:rsid w:val="005D075A"/>
    <w:rsid w:val="005D0C50"/>
    <w:rsid w:val="005D0C77"/>
    <w:rsid w:val="005D1598"/>
    <w:rsid w:val="005D15F3"/>
    <w:rsid w:val="005D1DE2"/>
    <w:rsid w:val="005D2398"/>
    <w:rsid w:val="005D2A89"/>
    <w:rsid w:val="005D2C58"/>
    <w:rsid w:val="005D2DA4"/>
    <w:rsid w:val="005D329D"/>
    <w:rsid w:val="005D3663"/>
    <w:rsid w:val="005D3731"/>
    <w:rsid w:val="005D3C6B"/>
    <w:rsid w:val="005D42EB"/>
    <w:rsid w:val="005D432A"/>
    <w:rsid w:val="005D440B"/>
    <w:rsid w:val="005D4875"/>
    <w:rsid w:val="005D49DE"/>
    <w:rsid w:val="005D4F2D"/>
    <w:rsid w:val="005D565E"/>
    <w:rsid w:val="005D57BC"/>
    <w:rsid w:val="005D5900"/>
    <w:rsid w:val="005D5A7C"/>
    <w:rsid w:val="005D5B63"/>
    <w:rsid w:val="005D5F98"/>
    <w:rsid w:val="005D6062"/>
    <w:rsid w:val="005D6130"/>
    <w:rsid w:val="005D67BA"/>
    <w:rsid w:val="005D6ABB"/>
    <w:rsid w:val="005D6FB5"/>
    <w:rsid w:val="005D70D8"/>
    <w:rsid w:val="005D72A0"/>
    <w:rsid w:val="005D7CE6"/>
    <w:rsid w:val="005E04C1"/>
    <w:rsid w:val="005E0B44"/>
    <w:rsid w:val="005E0C44"/>
    <w:rsid w:val="005E11EE"/>
    <w:rsid w:val="005E167C"/>
    <w:rsid w:val="005E1AD8"/>
    <w:rsid w:val="005E21FC"/>
    <w:rsid w:val="005E22C1"/>
    <w:rsid w:val="005E2346"/>
    <w:rsid w:val="005E26FD"/>
    <w:rsid w:val="005E293E"/>
    <w:rsid w:val="005E2ACB"/>
    <w:rsid w:val="005E2F0B"/>
    <w:rsid w:val="005E2FB9"/>
    <w:rsid w:val="005E31FD"/>
    <w:rsid w:val="005E3588"/>
    <w:rsid w:val="005E3B88"/>
    <w:rsid w:val="005E3D1B"/>
    <w:rsid w:val="005E3D60"/>
    <w:rsid w:val="005E46FE"/>
    <w:rsid w:val="005E4731"/>
    <w:rsid w:val="005E479D"/>
    <w:rsid w:val="005E494A"/>
    <w:rsid w:val="005E4E43"/>
    <w:rsid w:val="005E50A5"/>
    <w:rsid w:val="005E5191"/>
    <w:rsid w:val="005E55C4"/>
    <w:rsid w:val="005E5A0E"/>
    <w:rsid w:val="005E5CC3"/>
    <w:rsid w:val="005E5FAB"/>
    <w:rsid w:val="005E6554"/>
    <w:rsid w:val="005E67C6"/>
    <w:rsid w:val="005E67FC"/>
    <w:rsid w:val="005E6CD7"/>
    <w:rsid w:val="005E7177"/>
    <w:rsid w:val="005E7564"/>
    <w:rsid w:val="005E78E1"/>
    <w:rsid w:val="005E7C39"/>
    <w:rsid w:val="005F022B"/>
    <w:rsid w:val="005F0BCE"/>
    <w:rsid w:val="005F0CBA"/>
    <w:rsid w:val="005F108F"/>
    <w:rsid w:val="005F1229"/>
    <w:rsid w:val="005F1494"/>
    <w:rsid w:val="005F1570"/>
    <w:rsid w:val="005F187D"/>
    <w:rsid w:val="005F1915"/>
    <w:rsid w:val="005F1A33"/>
    <w:rsid w:val="005F1F32"/>
    <w:rsid w:val="005F1F86"/>
    <w:rsid w:val="005F22FF"/>
    <w:rsid w:val="005F2318"/>
    <w:rsid w:val="005F2706"/>
    <w:rsid w:val="005F2767"/>
    <w:rsid w:val="005F2B73"/>
    <w:rsid w:val="005F2B89"/>
    <w:rsid w:val="005F2BDA"/>
    <w:rsid w:val="005F32C0"/>
    <w:rsid w:val="005F3517"/>
    <w:rsid w:val="005F3B3D"/>
    <w:rsid w:val="005F3BC8"/>
    <w:rsid w:val="005F40D8"/>
    <w:rsid w:val="005F440D"/>
    <w:rsid w:val="005F447E"/>
    <w:rsid w:val="005F4768"/>
    <w:rsid w:val="005F4BF7"/>
    <w:rsid w:val="005F5010"/>
    <w:rsid w:val="005F50E1"/>
    <w:rsid w:val="005F5151"/>
    <w:rsid w:val="005F5391"/>
    <w:rsid w:val="005F5A18"/>
    <w:rsid w:val="005F5BBB"/>
    <w:rsid w:val="005F5EDE"/>
    <w:rsid w:val="005F6015"/>
    <w:rsid w:val="005F627A"/>
    <w:rsid w:val="005F6386"/>
    <w:rsid w:val="005F6402"/>
    <w:rsid w:val="005F683F"/>
    <w:rsid w:val="005F72CD"/>
    <w:rsid w:val="005F7977"/>
    <w:rsid w:val="005F7CF2"/>
    <w:rsid w:val="005F7E75"/>
    <w:rsid w:val="00600260"/>
    <w:rsid w:val="00600BA5"/>
    <w:rsid w:val="00600E7E"/>
    <w:rsid w:val="00600FC5"/>
    <w:rsid w:val="0060115F"/>
    <w:rsid w:val="00601A12"/>
    <w:rsid w:val="00601F0D"/>
    <w:rsid w:val="00602585"/>
    <w:rsid w:val="006029B2"/>
    <w:rsid w:val="00602C66"/>
    <w:rsid w:val="00602F16"/>
    <w:rsid w:val="00602FC3"/>
    <w:rsid w:val="00603128"/>
    <w:rsid w:val="006036CC"/>
    <w:rsid w:val="006047EB"/>
    <w:rsid w:val="006049F6"/>
    <w:rsid w:val="00604C80"/>
    <w:rsid w:val="00604FD1"/>
    <w:rsid w:val="00605095"/>
    <w:rsid w:val="0060512E"/>
    <w:rsid w:val="006051CC"/>
    <w:rsid w:val="00605B28"/>
    <w:rsid w:val="00605C0A"/>
    <w:rsid w:val="0060628E"/>
    <w:rsid w:val="0060641D"/>
    <w:rsid w:val="006064DC"/>
    <w:rsid w:val="00606537"/>
    <w:rsid w:val="00606710"/>
    <w:rsid w:val="006069CA"/>
    <w:rsid w:val="00606B9B"/>
    <w:rsid w:val="00606DE1"/>
    <w:rsid w:val="0060772E"/>
    <w:rsid w:val="0061016D"/>
    <w:rsid w:val="006105AA"/>
    <w:rsid w:val="00610882"/>
    <w:rsid w:val="00610956"/>
    <w:rsid w:val="00610CA2"/>
    <w:rsid w:val="00610D7B"/>
    <w:rsid w:val="00611031"/>
    <w:rsid w:val="0061171B"/>
    <w:rsid w:val="00611785"/>
    <w:rsid w:val="0061195C"/>
    <w:rsid w:val="00611B63"/>
    <w:rsid w:val="00612289"/>
    <w:rsid w:val="00612488"/>
    <w:rsid w:val="0061256F"/>
    <w:rsid w:val="00612959"/>
    <w:rsid w:val="006135EA"/>
    <w:rsid w:val="00613760"/>
    <w:rsid w:val="006137D4"/>
    <w:rsid w:val="00614207"/>
    <w:rsid w:val="006151E8"/>
    <w:rsid w:val="00615D6C"/>
    <w:rsid w:val="00615EEB"/>
    <w:rsid w:val="00616257"/>
    <w:rsid w:val="0061649A"/>
    <w:rsid w:val="00616521"/>
    <w:rsid w:val="006166F7"/>
    <w:rsid w:val="006170B5"/>
    <w:rsid w:val="00617150"/>
    <w:rsid w:val="006173DA"/>
    <w:rsid w:val="00617442"/>
    <w:rsid w:val="0061746C"/>
    <w:rsid w:val="006179D7"/>
    <w:rsid w:val="00617A97"/>
    <w:rsid w:val="00620125"/>
    <w:rsid w:val="0062028B"/>
    <w:rsid w:val="00620B4B"/>
    <w:rsid w:val="006211D4"/>
    <w:rsid w:val="006212FD"/>
    <w:rsid w:val="006214FF"/>
    <w:rsid w:val="00621CDD"/>
    <w:rsid w:val="006224A8"/>
    <w:rsid w:val="00622959"/>
    <w:rsid w:val="00622B1E"/>
    <w:rsid w:val="00622F01"/>
    <w:rsid w:val="0062381D"/>
    <w:rsid w:val="00623861"/>
    <w:rsid w:val="00623D60"/>
    <w:rsid w:val="00623FE3"/>
    <w:rsid w:val="00624177"/>
    <w:rsid w:val="006244FE"/>
    <w:rsid w:val="0062499B"/>
    <w:rsid w:val="00624A67"/>
    <w:rsid w:val="00624EE0"/>
    <w:rsid w:val="006250FD"/>
    <w:rsid w:val="00625AB0"/>
    <w:rsid w:val="00625ACA"/>
    <w:rsid w:val="00625F83"/>
    <w:rsid w:val="00626C15"/>
    <w:rsid w:val="00626FA8"/>
    <w:rsid w:val="0062718E"/>
    <w:rsid w:val="00627324"/>
    <w:rsid w:val="00627396"/>
    <w:rsid w:val="00627409"/>
    <w:rsid w:val="0062756E"/>
    <w:rsid w:val="00627B1F"/>
    <w:rsid w:val="00630397"/>
    <w:rsid w:val="006309B6"/>
    <w:rsid w:val="006312BD"/>
    <w:rsid w:val="00631430"/>
    <w:rsid w:val="00631464"/>
    <w:rsid w:val="00631BDC"/>
    <w:rsid w:val="006320F5"/>
    <w:rsid w:val="00632519"/>
    <w:rsid w:val="0063258E"/>
    <w:rsid w:val="006334F7"/>
    <w:rsid w:val="00633545"/>
    <w:rsid w:val="006336FD"/>
    <w:rsid w:val="006337BB"/>
    <w:rsid w:val="00633B38"/>
    <w:rsid w:val="006347C7"/>
    <w:rsid w:val="00634B56"/>
    <w:rsid w:val="006351DA"/>
    <w:rsid w:val="006355AB"/>
    <w:rsid w:val="006355B4"/>
    <w:rsid w:val="00635BA4"/>
    <w:rsid w:val="00635FFF"/>
    <w:rsid w:val="00636978"/>
    <w:rsid w:val="00636B1B"/>
    <w:rsid w:val="00636D0B"/>
    <w:rsid w:val="00637295"/>
    <w:rsid w:val="006374AE"/>
    <w:rsid w:val="0063791B"/>
    <w:rsid w:val="00637BFC"/>
    <w:rsid w:val="00640874"/>
    <w:rsid w:val="0064097C"/>
    <w:rsid w:val="0064098E"/>
    <w:rsid w:val="006409A1"/>
    <w:rsid w:val="00640B1E"/>
    <w:rsid w:val="00640D9B"/>
    <w:rsid w:val="00640DAC"/>
    <w:rsid w:val="00641461"/>
    <w:rsid w:val="00641576"/>
    <w:rsid w:val="0064172B"/>
    <w:rsid w:val="006419EB"/>
    <w:rsid w:val="00642078"/>
    <w:rsid w:val="00642159"/>
    <w:rsid w:val="00642296"/>
    <w:rsid w:val="00642314"/>
    <w:rsid w:val="00642DCF"/>
    <w:rsid w:val="00642FF7"/>
    <w:rsid w:val="006431DB"/>
    <w:rsid w:val="00643C0F"/>
    <w:rsid w:val="00643D5E"/>
    <w:rsid w:val="0064431D"/>
    <w:rsid w:val="0064505F"/>
    <w:rsid w:val="00645097"/>
    <w:rsid w:val="00645244"/>
    <w:rsid w:val="0064529E"/>
    <w:rsid w:val="006459C5"/>
    <w:rsid w:val="00645C2B"/>
    <w:rsid w:val="0064603C"/>
    <w:rsid w:val="006461A5"/>
    <w:rsid w:val="0064630D"/>
    <w:rsid w:val="00646DC4"/>
    <w:rsid w:val="00646FA3"/>
    <w:rsid w:val="00647603"/>
    <w:rsid w:val="00647705"/>
    <w:rsid w:val="00647DE7"/>
    <w:rsid w:val="00647E36"/>
    <w:rsid w:val="00650515"/>
    <w:rsid w:val="006507F2"/>
    <w:rsid w:val="006508AA"/>
    <w:rsid w:val="00650C1D"/>
    <w:rsid w:val="00651162"/>
    <w:rsid w:val="00651772"/>
    <w:rsid w:val="00651903"/>
    <w:rsid w:val="00651DA9"/>
    <w:rsid w:val="00651E54"/>
    <w:rsid w:val="00652102"/>
    <w:rsid w:val="00652641"/>
    <w:rsid w:val="0065298F"/>
    <w:rsid w:val="00652B7B"/>
    <w:rsid w:val="00652F8A"/>
    <w:rsid w:val="0065346A"/>
    <w:rsid w:val="00653969"/>
    <w:rsid w:val="00653A8B"/>
    <w:rsid w:val="0065415D"/>
    <w:rsid w:val="00654D9C"/>
    <w:rsid w:val="006553A2"/>
    <w:rsid w:val="0065543D"/>
    <w:rsid w:val="00655E38"/>
    <w:rsid w:val="00655E46"/>
    <w:rsid w:val="00655E84"/>
    <w:rsid w:val="00656215"/>
    <w:rsid w:val="00656271"/>
    <w:rsid w:val="00656328"/>
    <w:rsid w:val="00656A07"/>
    <w:rsid w:val="00656B7B"/>
    <w:rsid w:val="00656C0F"/>
    <w:rsid w:val="00656FB5"/>
    <w:rsid w:val="00656FD9"/>
    <w:rsid w:val="00657014"/>
    <w:rsid w:val="0065746C"/>
    <w:rsid w:val="00657651"/>
    <w:rsid w:val="0065771A"/>
    <w:rsid w:val="0066016C"/>
    <w:rsid w:val="00660C1F"/>
    <w:rsid w:val="00660D93"/>
    <w:rsid w:val="0066123F"/>
    <w:rsid w:val="006615C7"/>
    <w:rsid w:val="00661DF0"/>
    <w:rsid w:val="00661F10"/>
    <w:rsid w:val="00662292"/>
    <w:rsid w:val="00662AAE"/>
    <w:rsid w:val="00662E7A"/>
    <w:rsid w:val="00663149"/>
    <w:rsid w:val="00663E26"/>
    <w:rsid w:val="00664147"/>
    <w:rsid w:val="00664586"/>
    <w:rsid w:val="00664DE2"/>
    <w:rsid w:val="00664EE8"/>
    <w:rsid w:val="00665D05"/>
    <w:rsid w:val="00665FA7"/>
    <w:rsid w:val="00666297"/>
    <w:rsid w:val="006662AC"/>
    <w:rsid w:val="006669E1"/>
    <w:rsid w:val="00667152"/>
    <w:rsid w:val="00667207"/>
    <w:rsid w:val="0066726F"/>
    <w:rsid w:val="0066790B"/>
    <w:rsid w:val="006702E1"/>
    <w:rsid w:val="006705D5"/>
    <w:rsid w:val="006708A3"/>
    <w:rsid w:val="006708B7"/>
    <w:rsid w:val="00670A4F"/>
    <w:rsid w:val="00670C54"/>
    <w:rsid w:val="00670C8F"/>
    <w:rsid w:val="00670D15"/>
    <w:rsid w:val="00670DB8"/>
    <w:rsid w:val="00670E0D"/>
    <w:rsid w:val="00670FB3"/>
    <w:rsid w:val="006712A1"/>
    <w:rsid w:val="00671634"/>
    <w:rsid w:val="0067164F"/>
    <w:rsid w:val="00671707"/>
    <w:rsid w:val="006717F2"/>
    <w:rsid w:val="00671942"/>
    <w:rsid w:val="00671B2F"/>
    <w:rsid w:val="00671B5B"/>
    <w:rsid w:val="00671D3C"/>
    <w:rsid w:val="00671DB1"/>
    <w:rsid w:val="00671DFC"/>
    <w:rsid w:val="0067245E"/>
    <w:rsid w:val="00672641"/>
    <w:rsid w:val="006728D8"/>
    <w:rsid w:val="00672912"/>
    <w:rsid w:val="00672973"/>
    <w:rsid w:val="00673258"/>
    <w:rsid w:val="0067354F"/>
    <w:rsid w:val="0067366E"/>
    <w:rsid w:val="006737F9"/>
    <w:rsid w:val="00673EF8"/>
    <w:rsid w:val="00673F20"/>
    <w:rsid w:val="00673FD4"/>
    <w:rsid w:val="00674690"/>
    <w:rsid w:val="0067475F"/>
    <w:rsid w:val="006747EC"/>
    <w:rsid w:val="00674841"/>
    <w:rsid w:val="006750FB"/>
    <w:rsid w:val="0067531E"/>
    <w:rsid w:val="00675FE2"/>
    <w:rsid w:val="0067629F"/>
    <w:rsid w:val="00676648"/>
    <w:rsid w:val="0067682D"/>
    <w:rsid w:val="00677045"/>
    <w:rsid w:val="00677211"/>
    <w:rsid w:val="00677277"/>
    <w:rsid w:val="0067731A"/>
    <w:rsid w:val="00677E16"/>
    <w:rsid w:val="00680086"/>
    <w:rsid w:val="00680CCC"/>
    <w:rsid w:val="00680E9F"/>
    <w:rsid w:val="00680EF8"/>
    <w:rsid w:val="0068190C"/>
    <w:rsid w:val="0068192B"/>
    <w:rsid w:val="00681CEC"/>
    <w:rsid w:val="00682085"/>
    <w:rsid w:val="00682546"/>
    <w:rsid w:val="00682867"/>
    <w:rsid w:val="006829EB"/>
    <w:rsid w:val="00683477"/>
    <w:rsid w:val="0068385F"/>
    <w:rsid w:val="00683E7C"/>
    <w:rsid w:val="0068429E"/>
    <w:rsid w:val="006842EB"/>
    <w:rsid w:val="006843E9"/>
    <w:rsid w:val="0068447D"/>
    <w:rsid w:val="006845DD"/>
    <w:rsid w:val="006847FD"/>
    <w:rsid w:val="00684812"/>
    <w:rsid w:val="00684D84"/>
    <w:rsid w:val="00685289"/>
    <w:rsid w:val="0068545F"/>
    <w:rsid w:val="00685A71"/>
    <w:rsid w:val="00685AC2"/>
    <w:rsid w:val="00685EAC"/>
    <w:rsid w:val="00685EBB"/>
    <w:rsid w:val="0068607B"/>
    <w:rsid w:val="0068608C"/>
    <w:rsid w:val="0068648A"/>
    <w:rsid w:val="006865C2"/>
    <w:rsid w:val="00686757"/>
    <w:rsid w:val="00686FCB"/>
    <w:rsid w:val="00687262"/>
    <w:rsid w:val="00687492"/>
    <w:rsid w:val="00687C13"/>
    <w:rsid w:val="0069015F"/>
    <w:rsid w:val="00690FD3"/>
    <w:rsid w:val="00691313"/>
    <w:rsid w:val="0069169C"/>
    <w:rsid w:val="00691B00"/>
    <w:rsid w:val="00691C7B"/>
    <w:rsid w:val="00692077"/>
    <w:rsid w:val="006922C1"/>
    <w:rsid w:val="006923A3"/>
    <w:rsid w:val="006924CF"/>
    <w:rsid w:val="006928F9"/>
    <w:rsid w:val="00692CF3"/>
    <w:rsid w:val="0069326E"/>
    <w:rsid w:val="0069376F"/>
    <w:rsid w:val="00693D56"/>
    <w:rsid w:val="00693F58"/>
    <w:rsid w:val="0069419D"/>
    <w:rsid w:val="00694763"/>
    <w:rsid w:val="00694A24"/>
    <w:rsid w:val="00694C49"/>
    <w:rsid w:val="006951B3"/>
    <w:rsid w:val="006951E9"/>
    <w:rsid w:val="0069548D"/>
    <w:rsid w:val="0069569B"/>
    <w:rsid w:val="00695973"/>
    <w:rsid w:val="00695C80"/>
    <w:rsid w:val="00695EF6"/>
    <w:rsid w:val="00696809"/>
    <w:rsid w:val="0069696E"/>
    <w:rsid w:val="00696B0D"/>
    <w:rsid w:val="00696B9D"/>
    <w:rsid w:val="00696D05"/>
    <w:rsid w:val="00696F07"/>
    <w:rsid w:val="00697557"/>
    <w:rsid w:val="00697746"/>
    <w:rsid w:val="00697822"/>
    <w:rsid w:val="006A019B"/>
    <w:rsid w:val="006A092F"/>
    <w:rsid w:val="006A0A07"/>
    <w:rsid w:val="006A0D44"/>
    <w:rsid w:val="006A0F15"/>
    <w:rsid w:val="006A17BA"/>
    <w:rsid w:val="006A19A9"/>
    <w:rsid w:val="006A24B6"/>
    <w:rsid w:val="006A264E"/>
    <w:rsid w:val="006A2A38"/>
    <w:rsid w:val="006A2C45"/>
    <w:rsid w:val="006A31BA"/>
    <w:rsid w:val="006A41A5"/>
    <w:rsid w:val="006A4317"/>
    <w:rsid w:val="006A4388"/>
    <w:rsid w:val="006A43CF"/>
    <w:rsid w:val="006A4D5C"/>
    <w:rsid w:val="006A5090"/>
    <w:rsid w:val="006A5475"/>
    <w:rsid w:val="006A5D28"/>
    <w:rsid w:val="006A5ECC"/>
    <w:rsid w:val="006A5EFD"/>
    <w:rsid w:val="006A6AA2"/>
    <w:rsid w:val="006A7415"/>
    <w:rsid w:val="006A76F6"/>
    <w:rsid w:val="006A7732"/>
    <w:rsid w:val="006A79E8"/>
    <w:rsid w:val="006A7D78"/>
    <w:rsid w:val="006B03B0"/>
    <w:rsid w:val="006B0448"/>
    <w:rsid w:val="006B0B72"/>
    <w:rsid w:val="006B0C75"/>
    <w:rsid w:val="006B0CEC"/>
    <w:rsid w:val="006B0D54"/>
    <w:rsid w:val="006B0EBE"/>
    <w:rsid w:val="006B146D"/>
    <w:rsid w:val="006B1A55"/>
    <w:rsid w:val="006B1AA7"/>
    <w:rsid w:val="006B1D7E"/>
    <w:rsid w:val="006B1E96"/>
    <w:rsid w:val="006B1F06"/>
    <w:rsid w:val="006B232D"/>
    <w:rsid w:val="006B24EE"/>
    <w:rsid w:val="006B3100"/>
    <w:rsid w:val="006B3130"/>
    <w:rsid w:val="006B364C"/>
    <w:rsid w:val="006B375D"/>
    <w:rsid w:val="006B3797"/>
    <w:rsid w:val="006B3A31"/>
    <w:rsid w:val="006B3B19"/>
    <w:rsid w:val="006B3CFE"/>
    <w:rsid w:val="006B417E"/>
    <w:rsid w:val="006B4220"/>
    <w:rsid w:val="006B4599"/>
    <w:rsid w:val="006B46CB"/>
    <w:rsid w:val="006B4964"/>
    <w:rsid w:val="006B49E7"/>
    <w:rsid w:val="006B4E7F"/>
    <w:rsid w:val="006B4FA5"/>
    <w:rsid w:val="006B5480"/>
    <w:rsid w:val="006B54DE"/>
    <w:rsid w:val="006B5C11"/>
    <w:rsid w:val="006B5E38"/>
    <w:rsid w:val="006B621E"/>
    <w:rsid w:val="006B68C3"/>
    <w:rsid w:val="006B6BCF"/>
    <w:rsid w:val="006B6DAF"/>
    <w:rsid w:val="006B6F3E"/>
    <w:rsid w:val="006B72AA"/>
    <w:rsid w:val="006B75EC"/>
    <w:rsid w:val="006B7BBA"/>
    <w:rsid w:val="006C030B"/>
    <w:rsid w:val="006C0545"/>
    <w:rsid w:val="006C0EA1"/>
    <w:rsid w:val="006C0FFA"/>
    <w:rsid w:val="006C13E3"/>
    <w:rsid w:val="006C167A"/>
    <w:rsid w:val="006C17B8"/>
    <w:rsid w:val="006C1BD2"/>
    <w:rsid w:val="006C1DA0"/>
    <w:rsid w:val="006C1EE3"/>
    <w:rsid w:val="006C1FF3"/>
    <w:rsid w:val="006C20B7"/>
    <w:rsid w:val="006C2107"/>
    <w:rsid w:val="006C2296"/>
    <w:rsid w:val="006C25DC"/>
    <w:rsid w:val="006C2A93"/>
    <w:rsid w:val="006C2D70"/>
    <w:rsid w:val="006C33FD"/>
    <w:rsid w:val="006C3447"/>
    <w:rsid w:val="006C3578"/>
    <w:rsid w:val="006C4CB5"/>
    <w:rsid w:val="006C4ECD"/>
    <w:rsid w:val="006C5644"/>
    <w:rsid w:val="006C5E94"/>
    <w:rsid w:val="006C607F"/>
    <w:rsid w:val="006C6457"/>
    <w:rsid w:val="006C697F"/>
    <w:rsid w:val="006C70F6"/>
    <w:rsid w:val="006C7DBC"/>
    <w:rsid w:val="006D008A"/>
    <w:rsid w:val="006D00DD"/>
    <w:rsid w:val="006D0290"/>
    <w:rsid w:val="006D05B7"/>
    <w:rsid w:val="006D148F"/>
    <w:rsid w:val="006D1B9F"/>
    <w:rsid w:val="006D1E9E"/>
    <w:rsid w:val="006D1FD7"/>
    <w:rsid w:val="006D200E"/>
    <w:rsid w:val="006D248C"/>
    <w:rsid w:val="006D2592"/>
    <w:rsid w:val="006D2713"/>
    <w:rsid w:val="006D27AC"/>
    <w:rsid w:val="006D289E"/>
    <w:rsid w:val="006D2E35"/>
    <w:rsid w:val="006D311A"/>
    <w:rsid w:val="006D31B0"/>
    <w:rsid w:val="006D321F"/>
    <w:rsid w:val="006D3946"/>
    <w:rsid w:val="006D4107"/>
    <w:rsid w:val="006D474E"/>
    <w:rsid w:val="006D4759"/>
    <w:rsid w:val="006D4B4B"/>
    <w:rsid w:val="006D4C76"/>
    <w:rsid w:val="006D5335"/>
    <w:rsid w:val="006D63B7"/>
    <w:rsid w:val="006D6429"/>
    <w:rsid w:val="006D6618"/>
    <w:rsid w:val="006D666D"/>
    <w:rsid w:val="006D7FFB"/>
    <w:rsid w:val="006E0338"/>
    <w:rsid w:val="006E046F"/>
    <w:rsid w:val="006E0851"/>
    <w:rsid w:val="006E0A5B"/>
    <w:rsid w:val="006E1337"/>
    <w:rsid w:val="006E16FD"/>
    <w:rsid w:val="006E1BA6"/>
    <w:rsid w:val="006E204E"/>
    <w:rsid w:val="006E252E"/>
    <w:rsid w:val="006E271B"/>
    <w:rsid w:val="006E2B8C"/>
    <w:rsid w:val="006E2CEA"/>
    <w:rsid w:val="006E2D68"/>
    <w:rsid w:val="006E3588"/>
    <w:rsid w:val="006E35E1"/>
    <w:rsid w:val="006E3D45"/>
    <w:rsid w:val="006E4180"/>
    <w:rsid w:val="006E4BF9"/>
    <w:rsid w:val="006E4C33"/>
    <w:rsid w:val="006E4E38"/>
    <w:rsid w:val="006E5975"/>
    <w:rsid w:val="006E5A37"/>
    <w:rsid w:val="006E5B3A"/>
    <w:rsid w:val="006E5E08"/>
    <w:rsid w:val="006E615B"/>
    <w:rsid w:val="006E7CD9"/>
    <w:rsid w:val="006F001D"/>
    <w:rsid w:val="006F04D5"/>
    <w:rsid w:val="006F06AF"/>
    <w:rsid w:val="006F094A"/>
    <w:rsid w:val="006F1220"/>
    <w:rsid w:val="006F12FF"/>
    <w:rsid w:val="006F174F"/>
    <w:rsid w:val="006F1C20"/>
    <w:rsid w:val="006F22A5"/>
    <w:rsid w:val="006F24F8"/>
    <w:rsid w:val="006F2B39"/>
    <w:rsid w:val="006F2F2E"/>
    <w:rsid w:val="006F30B6"/>
    <w:rsid w:val="006F335F"/>
    <w:rsid w:val="006F3457"/>
    <w:rsid w:val="006F3CA7"/>
    <w:rsid w:val="006F3D8E"/>
    <w:rsid w:val="006F4663"/>
    <w:rsid w:val="006F51F2"/>
    <w:rsid w:val="006F520F"/>
    <w:rsid w:val="006F5409"/>
    <w:rsid w:val="006F542F"/>
    <w:rsid w:val="006F5AAD"/>
    <w:rsid w:val="006F5C67"/>
    <w:rsid w:val="006F5EDF"/>
    <w:rsid w:val="006F5FB7"/>
    <w:rsid w:val="006F61EB"/>
    <w:rsid w:val="006F6363"/>
    <w:rsid w:val="006F64DF"/>
    <w:rsid w:val="006F6853"/>
    <w:rsid w:val="006F6C6B"/>
    <w:rsid w:val="006F6F43"/>
    <w:rsid w:val="006F71AB"/>
    <w:rsid w:val="006F76F8"/>
    <w:rsid w:val="006F773A"/>
    <w:rsid w:val="006F78AB"/>
    <w:rsid w:val="006F7D07"/>
    <w:rsid w:val="006F7D3E"/>
    <w:rsid w:val="00700006"/>
    <w:rsid w:val="0070014E"/>
    <w:rsid w:val="0070063F"/>
    <w:rsid w:val="00700829"/>
    <w:rsid w:val="0070082D"/>
    <w:rsid w:val="00700F67"/>
    <w:rsid w:val="00701086"/>
    <w:rsid w:val="0070121D"/>
    <w:rsid w:val="007015CC"/>
    <w:rsid w:val="00702CE6"/>
    <w:rsid w:val="00702E7E"/>
    <w:rsid w:val="00703125"/>
    <w:rsid w:val="0070315B"/>
    <w:rsid w:val="00703BE6"/>
    <w:rsid w:val="00703C54"/>
    <w:rsid w:val="0070401B"/>
    <w:rsid w:val="007049D5"/>
    <w:rsid w:val="00704AB0"/>
    <w:rsid w:val="00704DB2"/>
    <w:rsid w:val="00704DE1"/>
    <w:rsid w:val="00704EFE"/>
    <w:rsid w:val="0070511F"/>
    <w:rsid w:val="007051A7"/>
    <w:rsid w:val="007053DC"/>
    <w:rsid w:val="007057B4"/>
    <w:rsid w:val="007065EB"/>
    <w:rsid w:val="00706697"/>
    <w:rsid w:val="00706C5F"/>
    <w:rsid w:val="00706E86"/>
    <w:rsid w:val="00707099"/>
    <w:rsid w:val="00707380"/>
    <w:rsid w:val="00707510"/>
    <w:rsid w:val="00707927"/>
    <w:rsid w:val="00707A77"/>
    <w:rsid w:val="0071035C"/>
    <w:rsid w:val="007107F8"/>
    <w:rsid w:val="00710825"/>
    <w:rsid w:val="00710B66"/>
    <w:rsid w:val="00710BDE"/>
    <w:rsid w:val="00711032"/>
    <w:rsid w:val="00711396"/>
    <w:rsid w:val="007119CE"/>
    <w:rsid w:val="00711A26"/>
    <w:rsid w:val="00711CA8"/>
    <w:rsid w:val="007121B4"/>
    <w:rsid w:val="0071241E"/>
    <w:rsid w:val="00712AAE"/>
    <w:rsid w:val="00712F8A"/>
    <w:rsid w:val="00713553"/>
    <w:rsid w:val="00713A53"/>
    <w:rsid w:val="00713AF8"/>
    <w:rsid w:val="007142E2"/>
    <w:rsid w:val="0071440D"/>
    <w:rsid w:val="0071446A"/>
    <w:rsid w:val="0071486B"/>
    <w:rsid w:val="00714C8F"/>
    <w:rsid w:val="00714CB4"/>
    <w:rsid w:val="00714FEC"/>
    <w:rsid w:val="0071522F"/>
    <w:rsid w:val="00715410"/>
    <w:rsid w:val="00715764"/>
    <w:rsid w:val="00715787"/>
    <w:rsid w:val="00715F34"/>
    <w:rsid w:val="0071606C"/>
    <w:rsid w:val="007161B1"/>
    <w:rsid w:val="00716590"/>
    <w:rsid w:val="0071660E"/>
    <w:rsid w:val="00716922"/>
    <w:rsid w:val="00716F4C"/>
    <w:rsid w:val="0071727D"/>
    <w:rsid w:val="007172CC"/>
    <w:rsid w:val="00717461"/>
    <w:rsid w:val="007174B7"/>
    <w:rsid w:val="007178AA"/>
    <w:rsid w:val="00717FAB"/>
    <w:rsid w:val="00720309"/>
    <w:rsid w:val="0072036B"/>
    <w:rsid w:val="00720DDF"/>
    <w:rsid w:val="00721054"/>
    <w:rsid w:val="007214D1"/>
    <w:rsid w:val="00721693"/>
    <w:rsid w:val="007219E3"/>
    <w:rsid w:val="00721EE1"/>
    <w:rsid w:val="00722564"/>
    <w:rsid w:val="00722B96"/>
    <w:rsid w:val="00723025"/>
    <w:rsid w:val="00723C75"/>
    <w:rsid w:val="00723E91"/>
    <w:rsid w:val="00724410"/>
    <w:rsid w:val="007245C4"/>
    <w:rsid w:val="00724824"/>
    <w:rsid w:val="007249BD"/>
    <w:rsid w:val="00725829"/>
    <w:rsid w:val="00725857"/>
    <w:rsid w:val="007262CD"/>
    <w:rsid w:val="00726759"/>
    <w:rsid w:val="00726BE5"/>
    <w:rsid w:val="00727107"/>
    <w:rsid w:val="00727432"/>
    <w:rsid w:val="00727779"/>
    <w:rsid w:val="0072793E"/>
    <w:rsid w:val="00727CBE"/>
    <w:rsid w:val="00730182"/>
    <w:rsid w:val="00730597"/>
    <w:rsid w:val="007306C8"/>
    <w:rsid w:val="00730935"/>
    <w:rsid w:val="00730A39"/>
    <w:rsid w:val="00730B73"/>
    <w:rsid w:val="0073135C"/>
    <w:rsid w:val="007316DA"/>
    <w:rsid w:val="00731766"/>
    <w:rsid w:val="0073191D"/>
    <w:rsid w:val="00731DA7"/>
    <w:rsid w:val="007325FC"/>
    <w:rsid w:val="0073260C"/>
    <w:rsid w:val="007327B3"/>
    <w:rsid w:val="007331D7"/>
    <w:rsid w:val="007338C4"/>
    <w:rsid w:val="00733BFA"/>
    <w:rsid w:val="007342C6"/>
    <w:rsid w:val="00734936"/>
    <w:rsid w:val="007349AE"/>
    <w:rsid w:val="00735483"/>
    <w:rsid w:val="00735D13"/>
    <w:rsid w:val="007360A0"/>
    <w:rsid w:val="007363ED"/>
    <w:rsid w:val="00736C4D"/>
    <w:rsid w:val="00736FB3"/>
    <w:rsid w:val="00737744"/>
    <w:rsid w:val="00737B2E"/>
    <w:rsid w:val="00737E4D"/>
    <w:rsid w:val="007402F4"/>
    <w:rsid w:val="00740441"/>
    <w:rsid w:val="0074050B"/>
    <w:rsid w:val="00740CB0"/>
    <w:rsid w:val="00740CBD"/>
    <w:rsid w:val="00740E50"/>
    <w:rsid w:val="0074102C"/>
    <w:rsid w:val="007411CE"/>
    <w:rsid w:val="00741CB2"/>
    <w:rsid w:val="00742782"/>
    <w:rsid w:val="00742ACC"/>
    <w:rsid w:val="00742D20"/>
    <w:rsid w:val="00743195"/>
    <w:rsid w:val="00743346"/>
    <w:rsid w:val="0074363F"/>
    <w:rsid w:val="0074368E"/>
    <w:rsid w:val="00743826"/>
    <w:rsid w:val="007439AE"/>
    <w:rsid w:val="00743A5B"/>
    <w:rsid w:val="00743BB6"/>
    <w:rsid w:val="00743F43"/>
    <w:rsid w:val="007440CB"/>
    <w:rsid w:val="007446CF"/>
    <w:rsid w:val="007448E9"/>
    <w:rsid w:val="007451EC"/>
    <w:rsid w:val="007454AF"/>
    <w:rsid w:val="00745750"/>
    <w:rsid w:val="007459E7"/>
    <w:rsid w:val="00745E2D"/>
    <w:rsid w:val="00746024"/>
    <w:rsid w:val="007467BF"/>
    <w:rsid w:val="00746992"/>
    <w:rsid w:val="00746C0F"/>
    <w:rsid w:val="00746D72"/>
    <w:rsid w:val="00746DB0"/>
    <w:rsid w:val="00747154"/>
    <w:rsid w:val="007471AF"/>
    <w:rsid w:val="007479AE"/>
    <w:rsid w:val="00747E7D"/>
    <w:rsid w:val="00747EF6"/>
    <w:rsid w:val="007501A7"/>
    <w:rsid w:val="007501AB"/>
    <w:rsid w:val="0075071D"/>
    <w:rsid w:val="00750838"/>
    <w:rsid w:val="00750B30"/>
    <w:rsid w:val="00750E72"/>
    <w:rsid w:val="00751200"/>
    <w:rsid w:val="007514F6"/>
    <w:rsid w:val="007519BA"/>
    <w:rsid w:val="007519C6"/>
    <w:rsid w:val="00751A13"/>
    <w:rsid w:val="00751B97"/>
    <w:rsid w:val="00752112"/>
    <w:rsid w:val="00752308"/>
    <w:rsid w:val="0075254C"/>
    <w:rsid w:val="00752641"/>
    <w:rsid w:val="0075272D"/>
    <w:rsid w:val="00752C27"/>
    <w:rsid w:val="00752FAD"/>
    <w:rsid w:val="007531BE"/>
    <w:rsid w:val="007532CF"/>
    <w:rsid w:val="007542BE"/>
    <w:rsid w:val="00754641"/>
    <w:rsid w:val="007548DC"/>
    <w:rsid w:val="00755834"/>
    <w:rsid w:val="00755857"/>
    <w:rsid w:val="00755C29"/>
    <w:rsid w:val="00756ACB"/>
    <w:rsid w:val="00756CF7"/>
    <w:rsid w:val="00756D03"/>
    <w:rsid w:val="00757B22"/>
    <w:rsid w:val="00757CB4"/>
    <w:rsid w:val="00757DE3"/>
    <w:rsid w:val="00757FD6"/>
    <w:rsid w:val="0076047B"/>
    <w:rsid w:val="007604DD"/>
    <w:rsid w:val="00760954"/>
    <w:rsid w:val="00760D62"/>
    <w:rsid w:val="007612ED"/>
    <w:rsid w:val="007616AE"/>
    <w:rsid w:val="00761857"/>
    <w:rsid w:val="00761901"/>
    <w:rsid w:val="00761AE0"/>
    <w:rsid w:val="00761D3A"/>
    <w:rsid w:val="00761DF9"/>
    <w:rsid w:val="00761EFD"/>
    <w:rsid w:val="00762025"/>
    <w:rsid w:val="00762354"/>
    <w:rsid w:val="00762790"/>
    <w:rsid w:val="00762CF5"/>
    <w:rsid w:val="00763532"/>
    <w:rsid w:val="007636F2"/>
    <w:rsid w:val="00763C47"/>
    <w:rsid w:val="007647C8"/>
    <w:rsid w:val="007650B2"/>
    <w:rsid w:val="0076552C"/>
    <w:rsid w:val="00765ACF"/>
    <w:rsid w:val="00765CD9"/>
    <w:rsid w:val="00766020"/>
    <w:rsid w:val="0076613A"/>
    <w:rsid w:val="00766177"/>
    <w:rsid w:val="0076639A"/>
    <w:rsid w:val="0076670D"/>
    <w:rsid w:val="007674E8"/>
    <w:rsid w:val="007679FD"/>
    <w:rsid w:val="00767B51"/>
    <w:rsid w:val="00767D76"/>
    <w:rsid w:val="00767EF8"/>
    <w:rsid w:val="00770194"/>
    <w:rsid w:val="0077089B"/>
    <w:rsid w:val="00770B0A"/>
    <w:rsid w:val="0077160F"/>
    <w:rsid w:val="00771820"/>
    <w:rsid w:val="0077183C"/>
    <w:rsid w:val="007728AF"/>
    <w:rsid w:val="00772903"/>
    <w:rsid w:val="00773015"/>
    <w:rsid w:val="00773D3B"/>
    <w:rsid w:val="00773D3D"/>
    <w:rsid w:val="007743FE"/>
    <w:rsid w:val="0077441F"/>
    <w:rsid w:val="007745F1"/>
    <w:rsid w:val="00774BC8"/>
    <w:rsid w:val="00774F9A"/>
    <w:rsid w:val="0077501B"/>
    <w:rsid w:val="007751F2"/>
    <w:rsid w:val="00775609"/>
    <w:rsid w:val="007756A4"/>
    <w:rsid w:val="007758D5"/>
    <w:rsid w:val="00775AA6"/>
    <w:rsid w:val="00776437"/>
    <w:rsid w:val="00776483"/>
    <w:rsid w:val="00776D85"/>
    <w:rsid w:val="00776ED6"/>
    <w:rsid w:val="0077739A"/>
    <w:rsid w:val="00780AF1"/>
    <w:rsid w:val="00780CB1"/>
    <w:rsid w:val="00780FB2"/>
    <w:rsid w:val="00781013"/>
    <w:rsid w:val="007810DC"/>
    <w:rsid w:val="007815FA"/>
    <w:rsid w:val="007818F3"/>
    <w:rsid w:val="007820F7"/>
    <w:rsid w:val="007822B6"/>
    <w:rsid w:val="00782388"/>
    <w:rsid w:val="007827D8"/>
    <w:rsid w:val="00782940"/>
    <w:rsid w:val="00783672"/>
    <w:rsid w:val="00783F46"/>
    <w:rsid w:val="0078481F"/>
    <w:rsid w:val="007848DC"/>
    <w:rsid w:val="007849BC"/>
    <w:rsid w:val="0078508D"/>
    <w:rsid w:val="00785230"/>
    <w:rsid w:val="0078538E"/>
    <w:rsid w:val="00785564"/>
    <w:rsid w:val="00785598"/>
    <w:rsid w:val="00785B42"/>
    <w:rsid w:val="00785C56"/>
    <w:rsid w:val="007862EF"/>
    <w:rsid w:val="00786806"/>
    <w:rsid w:val="00786B06"/>
    <w:rsid w:val="00786B56"/>
    <w:rsid w:val="00787375"/>
    <w:rsid w:val="00787621"/>
    <w:rsid w:val="00787774"/>
    <w:rsid w:val="00787C97"/>
    <w:rsid w:val="00787CAD"/>
    <w:rsid w:val="00790970"/>
    <w:rsid w:val="00790BC2"/>
    <w:rsid w:val="007918AF"/>
    <w:rsid w:val="00791C97"/>
    <w:rsid w:val="00791D88"/>
    <w:rsid w:val="0079218A"/>
    <w:rsid w:val="007926D3"/>
    <w:rsid w:val="00792A76"/>
    <w:rsid w:val="00793A10"/>
    <w:rsid w:val="00793E39"/>
    <w:rsid w:val="007941D8"/>
    <w:rsid w:val="00794228"/>
    <w:rsid w:val="007947AC"/>
    <w:rsid w:val="00794E17"/>
    <w:rsid w:val="007953BA"/>
    <w:rsid w:val="00795A7B"/>
    <w:rsid w:val="00795BFE"/>
    <w:rsid w:val="00796091"/>
    <w:rsid w:val="00796A1E"/>
    <w:rsid w:val="00797011"/>
    <w:rsid w:val="00797A05"/>
    <w:rsid w:val="00797ACC"/>
    <w:rsid w:val="007A0367"/>
    <w:rsid w:val="007A041D"/>
    <w:rsid w:val="007A0573"/>
    <w:rsid w:val="007A0708"/>
    <w:rsid w:val="007A19BB"/>
    <w:rsid w:val="007A287D"/>
    <w:rsid w:val="007A31B7"/>
    <w:rsid w:val="007A3213"/>
    <w:rsid w:val="007A3599"/>
    <w:rsid w:val="007A3610"/>
    <w:rsid w:val="007A3623"/>
    <w:rsid w:val="007A3925"/>
    <w:rsid w:val="007A3C46"/>
    <w:rsid w:val="007A4671"/>
    <w:rsid w:val="007A4D7D"/>
    <w:rsid w:val="007A4E82"/>
    <w:rsid w:val="007A5585"/>
    <w:rsid w:val="007A57FE"/>
    <w:rsid w:val="007A59C1"/>
    <w:rsid w:val="007A5BE9"/>
    <w:rsid w:val="007A5BFB"/>
    <w:rsid w:val="007A5DF0"/>
    <w:rsid w:val="007A5FFE"/>
    <w:rsid w:val="007A61C1"/>
    <w:rsid w:val="007A6572"/>
    <w:rsid w:val="007A6735"/>
    <w:rsid w:val="007A6B24"/>
    <w:rsid w:val="007A6D61"/>
    <w:rsid w:val="007A7C43"/>
    <w:rsid w:val="007B0095"/>
    <w:rsid w:val="007B00A4"/>
    <w:rsid w:val="007B00E9"/>
    <w:rsid w:val="007B0665"/>
    <w:rsid w:val="007B06EE"/>
    <w:rsid w:val="007B0AB9"/>
    <w:rsid w:val="007B0AED"/>
    <w:rsid w:val="007B0C0B"/>
    <w:rsid w:val="007B0D2A"/>
    <w:rsid w:val="007B0E70"/>
    <w:rsid w:val="007B0FF0"/>
    <w:rsid w:val="007B187E"/>
    <w:rsid w:val="007B1AAF"/>
    <w:rsid w:val="007B2196"/>
    <w:rsid w:val="007B28E7"/>
    <w:rsid w:val="007B2F89"/>
    <w:rsid w:val="007B33B8"/>
    <w:rsid w:val="007B34CC"/>
    <w:rsid w:val="007B3C28"/>
    <w:rsid w:val="007B4313"/>
    <w:rsid w:val="007B4A9F"/>
    <w:rsid w:val="007B4C64"/>
    <w:rsid w:val="007B4DA4"/>
    <w:rsid w:val="007B5001"/>
    <w:rsid w:val="007B512A"/>
    <w:rsid w:val="007B5133"/>
    <w:rsid w:val="007B5279"/>
    <w:rsid w:val="007B52EA"/>
    <w:rsid w:val="007B5303"/>
    <w:rsid w:val="007B58DF"/>
    <w:rsid w:val="007B5C4E"/>
    <w:rsid w:val="007B5E3A"/>
    <w:rsid w:val="007B61D7"/>
    <w:rsid w:val="007B6204"/>
    <w:rsid w:val="007B66F3"/>
    <w:rsid w:val="007B6EA9"/>
    <w:rsid w:val="007B70A6"/>
    <w:rsid w:val="007B71D8"/>
    <w:rsid w:val="007B7353"/>
    <w:rsid w:val="007B79A9"/>
    <w:rsid w:val="007C0015"/>
    <w:rsid w:val="007C0162"/>
    <w:rsid w:val="007C037B"/>
    <w:rsid w:val="007C04D4"/>
    <w:rsid w:val="007C09A4"/>
    <w:rsid w:val="007C0A56"/>
    <w:rsid w:val="007C0AF0"/>
    <w:rsid w:val="007C0BC5"/>
    <w:rsid w:val="007C0C67"/>
    <w:rsid w:val="007C12E2"/>
    <w:rsid w:val="007C1381"/>
    <w:rsid w:val="007C18E8"/>
    <w:rsid w:val="007C2447"/>
    <w:rsid w:val="007C24FA"/>
    <w:rsid w:val="007C2756"/>
    <w:rsid w:val="007C2950"/>
    <w:rsid w:val="007C29E9"/>
    <w:rsid w:val="007C2C6E"/>
    <w:rsid w:val="007C2E1F"/>
    <w:rsid w:val="007C30B5"/>
    <w:rsid w:val="007C33C4"/>
    <w:rsid w:val="007C368F"/>
    <w:rsid w:val="007C38B7"/>
    <w:rsid w:val="007C38BD"/>
    <w:rsid w:val="007C38FF"/>
    <w:rsid w:val="007C3D81"/>
    <w:rsid w:val="007C3E05"/>
    <w:rsid w:val="007C3F09"/>
    <w:rsid w:val="007C3F96"/>
    <w:rsid w:val="007C43CA"/>
    <w:rsid w:val="007C43EA"/>
    <w:rsid w:val="007C49B8"/>
    <w:rsid w:val="007C4C90"/>
    <w:rsid w:val="007C4D46"/>
    <w:rsid w:val="007C4D82"/>
    <w:rsid w:val="007C4F1E"/>
    <w:rsid w:val="007C5449"/>
    <w:rsid w:val="007C5481"/>
    <w:rsid w:val="007C5AE5"/>
    <w:rsid w:val="007C5F84"/>
    <w:rsid w:val="007C6207"/>
    <w:rsid w:val="007C6714"/>
    <w:rsid w:val="007C70C2"/>
    <w:rsid w:val="007C72EA"/>
    <w:rsid w:val="007C73F9"/>
    <w:rsid w:val="007C74D2"/>
    <w:rsid w:val="007C780E"/>
    <w:rsid w:val="007C79B3"/>
    <w:rsid w:val="007C7A0A"/>
    <w:rsid w:val="007C7C99"/>
    <w:rsid w:val="007D010C"/>
    <w:rsid w:val="007D025B"/>
    <w:rsid w:val="007D0526"/>
    <w:rsid w:val="007D05A1"/>
    <w:rsid w:val="007D09F6"/>
    <w:rsid w:val="007D0A7F"/>
    <w:rsid w:val="007D0B94"/>
    <w:rsid w:val="007D12D3"/>
    <w:rsid w:val="007D1B73"/>
    <w:rsid w:val="007D1D79"/>
    <w:rsid w:val="007D20E8"/>
    <w:rsid w:val="007D2222"/>
    <w:rsid w:val="007D2293"/>
    <w:rsid w:val="007D2428"/>
    <w:rsid w:val="007D2784"/>
    <w:rsid w:val="007D28C9"/>
    <w:rsid w:val="007D2C22"/>
    <w:rsid w:val="007D2F62"/>
    <w:rsid w:val="007D32EE"/>
    <w:rsid w:val="007D333B"/>
    <w:rsid w:val="007D36C5"/>
    <w:rsid w:val="007D4142"/>
    <w:rsid w:val="007D45B1"/>
    <w:rsid w:val="007D4B79"/>
    <w:rsid w:val="007D4C7D"/>
    <w:rsid w:val="007D4D9A"/>
    <w:rsid w:val="007D4F3E"/>
    <w:rsid w:val="007D55A3"/>
    <w:rsid w:val="007D572B"/>
    <w:rsid w:val="007D5A58"/>
    <w:rsid w:val="007D60B4"/>
    <w:rsid w:val="007D654D"/>
    <w:rsid w:val="007D6FA5"/>
    <w:rsid w:val="007D7701"/>
    <w:rsid w:val="007D7CD3"/>
    <w:rsid w:val="007E011D"/>
    <w:rsid w:val="007E0252"/>
    <w:rsid w:val="007E02BC"/>
    <w:rsid w:val="007E100A"/>
    <w:rsid w:val="007E1029"/>
    <w:rsid w:val="007E10B5"/>
    <w:rsid w:val="007E139D"/>
    <w:rsid w:val="007E174E"/>
    <w:rsid w:val="007E1BFB"/>
    <w:rsid w:val="007E2083"/>
    <w:rsid w:val="007E22FD"/>
    <w:rsid w:val="007E251E"/>
    <w:rsid w:val="007E2C92"/>
    <w:rsid w:val="007E3111"/>
    <w:rsid w:val="007E319D"/>
    <w:rsid w:val="007E32C4"/>
    <w:rsid w:val="007E3D72"/>
    <w:rsid w:val="007E4894"/>
    <w:rsid w:val="007E509D"/>
    <w:rsid w:val="007E558C"/>
    <w:rsid w:val="007E5597"/>
    <w:rsid w:val="007E59E9"/>
    <w:rsid w:val="007E670E"/>
    <w:rsid w:val="007E6764"/>
    <w:rsid w:val="007E689D"/>
    <w:rsid w:val="007E6EFB"/>
    <w:rsid w:val="007E7761"/>
    <w:rsid w:val="007E7934"/>
    <w:rsid w:val="007E7D02"/>
    <w:rsid w:val="007E7E0B"/>
    <w:rsid w:val="007F00BA"/>
    <w:rsid w:val="007F07CE"/>
    <w:rsid w:val="007F0E5C"/>
    <w:rsid w:val="007F0FFA"/>
    <w:rsid w:val="007F22C3"/>
    <w:rsid w:val="007F259F"/>
    <w:rsid w:val="007F2E4F"/>
    <w:rsid w:val="007F30A5"/>
    <w:rsid w:val="007F32B3"/>
    <w:rsid w:val="007F3937"/>
    <w:rsid w:val="007F3C72"/>
    <w:rsid w:val="007F406B"/>
    <w:rsid w:val="007F44DD"/>
    <w:rsid w:val="007F486C"/>
    <w:rsid w:val="007F5730"/>
    <w:rsid w:val="007F57CA"/>
    <w:rsid w:val="007F5897"/>
    <w:rsid w:val="007F58DB"/>
    <w:rsid w:val="007F595D"/>
    <w:rsid w:val="007F5EF7"/>
    <w:rsid w:val="007F5F69"/>
    <w:rsid w:val="007F658F"/>
    <w:rsid w:val="007F66BA"/>
    <w:rsid w:val="007F67E6"/>
    <w:rsid w:val="007F6CC9"/>
    <w:rsid w:val="007F6DBD"/>
    <w:rsid w:val="007F7076"/>
    <w:rsid w:val="007F7340"/>
    <w:rsid w:val="007F7559"/>
    <w:rsid w:val="007F78D1"/>
    <w:rsid w:val="007F7CA4"/>
    <w:rsid w:val="007F7EF0"/>
    <w:rsid w:val="007F7FE7"/>
    <w:rsid w:val="008006CB"/>
    <w:rsid w:val="008008F0"/>
    <w:rsid w:val="00801138"/>
    <w:rsid w:val="008017F9"/>
    <w:rsid w:val="00801C20"/>
    <w:rsid w:val="00801D5C"/>
    <w:rsid w:val="00801FE9"/>
    <w:rsid w:val="008021D1"/>
    <w:rsid w:val="008021E4"/>
    <w:rsid w:val="00802551"/>
    <w:rsid w:val="0080298F"/>
    <w:rsid w:val="00802994"/>
    <w:rsid w:val="00802AC6"/>
    <w:rsid w:val="008030B1"/>
    <w:rsid w:val="00803272"/>
    <w:rsid w:val="00803382"/>
    <w:rsid w:val="008033CD"/>
    <w:rsid w:val="00803646"/>
    <w:rsid w:val="00803861"/>
    <w:rsid w:val="00803A28"/>
    <w:rsid w:val="0080424C"/>
    <w:rsid w:val="00804399"/>
    <w:rsid w:val="0080442A"/>
    <w:rsid w:val="00804AF0"/>
    <w:rsid w:val="00804D0C"/>
    <w:rsid w:val="00804DF7"/>
    <w:rsid w:val="00804E07"/>
    <w:rsid w:val="00805737"/>
    <w:rsid w:val="0080591E"/>
    <w:rsid w:val="00805D3B"/>
    <w:rsid w:val="0080609F"/>
    <w:rsid w:val="00806FEF"/>
    <w:rsid w:val="008070F2"/>
    <w:rsid w:val="00807194"/>
    <w:rsid w:val="0080722E"/>
    <w:rsid w:val="008072E5"/>
    <w:rsid w:val="00807B8E"/>
    <w:rsid w:val="00807C51"/>
    <w:rsid w:val="00807F25"/>
    <w:rsid w:val="00810645"/>
    <w:rsid w:val="008107DA"/>
    <w:rsid w:val="00810A57"/>
    <w:rsid w:val="008116E9"/>
    <w:rsid w:val="00811850"/>
    <w:rsid w:val="0081186B"/>
    <w:rsid w:val="00811A93"/>
    <w:rsid w:val="00812111"/>
    <w:rsid w:val="008121FB"/>
    <w:rsid w:val="00812585"/>
    <w:rsid w:val="00812A49"/>
    <w:rsid w:val="00812BB6"/>
    <w:rsid w:val="00812D2D"/>
    <w:rsid w:val="0081306B"/>
    <w:rsid w:val="00813224"/>
    <w:rsid w:val="00813B62"/>
    <w:rsid w:val="0081490E"/>
    <w:rsid w:val="00815180"/>
    <w:rsid w:val="00815B84"/>
    <w:rsid w:val="00815E56"/>
    <w:rsid w:val="008164B8"/>
    <w:rsid w:val="008165BD"/>
    <w:rsid w:val="00816AF7"/>
    <w:rsid w:val="00816D59"/>
    <w:rsid w:val="00816F26"/>
    <w:rsid w:val="00816F64"/>
    <w:rsid w:val="00817055"/>
    <w:rsid w:val="008174C9"/>
    <w:rsid w:val="00820576"/>
    <w:rsid w:val="008207E4"/>
    <w:rsid w:val="008209CA"/>
    <w:rsid w:val="00820CF5"/>
    <w:rsid w:val="00821234"/>
    <w:rsid w:val="0082133E"/>
    <w:rsid w:val="00821657"/>
    <w:rsid w:val="008217B4"/>
    <w:rsid w:val="00822468"/>
    <w:rsid w:val="008225F9"/>
    <w:rsid w:val="00822876"/>
    <w:rsid w:val="00822956"/>
    <w:rsid w:val="00822A0A"/>
    <w:rsid w:val="00822D66"/>
    <w:rsid w:val="008237C8"/>
    <w:rsid w:val="00823887"/>
    <w:rsid w:val="008238E6"/>
    <w:rsid w:val="00823BF0"/>
    <w:rsid w:val="00823D32"/>
    <w:rsid w:val="00823DF2"/>
    <w:rsid w:val="008241C2"/>
    <w:rsid w:val="00824305"/>
    <w:rsid w:val="00824C53"/>
    <w:rsid w:val="00824FAF"/>
    <w:rsid w:val="0082526F"/>
    <w:rsid w:val="008254D6"/>
    <w:rsid w:val="0082692A"/>
    <w:rsid w:val="00826B13"/>
    <w:rsid w:val="00827015"/>
    <w:rsid w:val="008275C9"/>
    <w:rsid w:val="00827E40"/>
    <w:rsid w:val="00827ECA"/>
    <w:rsid w:val="0083080F"/>
    <w:rsid w:val="00830BAD"/>
    <w:rsid w:val="00830DC7"/>
    <w:rsid w:val="00830F1E"/>
    <w:rsid w:val="00831079"/>
    <w:rsid w:val="00831479"/>
    <w:rsid w:val="00831909"/>
    <w:rsid w:val="00831B39"/>
    <w:rsid w:val="00831E90"/>
    <w:rsid w:val="00832451"/>
    <w:rsid w:val="00832732"/>
    <w:rsid w:val="00832A73"/>
    <w:rsid w:val="00832E6D"/>
    <w:rsid w:val="00833110"/>
    <w:rsid w:val="00834AC2"/>
    <w:rsid w:val="00834B46"/>
    <w:rsid w:val="00834B90"/>
    <w:rsid w:val="00834BA8"/>
    <w:rsid w:val="00835011"/>
    <w:rsid w:val="00835426"/>
    <w:rsid w:val="00835496"/>
    <w:rsid w:val="00835968"/>
    <w:rsid w:val="00835AC3"/>
    <w:rsid w:val="00835E67"/>
    <w:rsid w:val="00835FEE"/>
    <w:rsid w:val="00836533"/>
    <w:rsid w:val="008366B4"/>
    <w:rsid w:val="00836955"/>
    <w:rsid w:val="00837C67"/>
    <w:rsid w:val="00837FE5"/>
    <w:rsid w:val="008401BA"/>
    <w:rsid w:val="008407CF"/>
    <w:rsid w:val="00840EDD"/>
    <w:rsid w:val="00841741"/>
    <w:rsid w:val="00842170"/>
    <w:rsid w:val="00842CDF"/>
    <w:rsid w:val="00842FCF"/>
    <w:rsid w:val="00843000"/>
    <w:rsid w:val="00843296"/>
    <w:rsid w:val="00843308"/>
    <w:rsid w:val="00843396"/>
    <w:rsid w:val="00843BB4"/>
    <w:rsid w:val="00844469"/>
    <w:rsid w:val="00844653"/>
    <w:rsid w:val="008447E4"/>
    <w:rsid w:val="00844877"/>
    <w:rsid w:val="00844B00"/>
    <w:rsid w:val="00844C6C"/>
    <w:rsid w:val="00844F4B"/>
    <w:rsid w:val="0084508F"/>
    <w:rsid w:val="0084514A"/>
    <w:rsid w:val="008453E0"/>
    <w:rsid w:val="00845C5F"/>
    <w:rsid w:val="00845CA3"/>
    <w:rsid w:val="00845FEE"/>
    <w:rsid w:val="0084696A"/>
    <w:rsid w:val="00846A1F"/>
    <w:rsid w:val="00846C68"/>
    <w:rsid w:val="00846D28"/>
    <w:rsid w:val="00846F6E"/>
    <w:rsid w:val="00847160"/>
    <w:rsid w:val="00847DEB"/>
    <w:rsid w:val="00847FE5"/>
    <w:rsid w:val="00850383"/>
    <w:rsid w:val="00850900"/>
    <w:rsid w:val="00850A99"/>
    <w:rsid w:val="00850B0B"/>
    <w:rsid w:val="008512D3"/>
    <w:rsid w:val="0085186B"/>
    <w:rsid w:val="008518D4"/>
    <w:rsid w:val="00851900"/>
    <w:rsid w:val="00851BAB"/>
    <w:rsid w:val="00851C39"/>
    <w:rsid w:val="00851DC7"/>
    <w:rsid w:val="008522FB"/>
    <w:rsid w:val="00852363"/>
    <w:rsid w:val="00852950"/>
    <w:rsid w:val="00852AB6"/>
    <w:rsid w:val="00852E03"/>
    <w:rsid w:val="00853334"/>
    <w:rsid w:val="00853FBD"/>
    <w:rsid w:val="00854335"/>
    <w:rsid w:val="008549EB"/>
    <w:rsid w:val="008552BE"/>
    <w:rsid w:val="00855B25"/>
    <w:rsid w:val="0085605C"/>
    <w:rsid w:val="00856301"/>
    <w:rsid w:val="008564B8"/>
    <w:rsid w:val="00856570"/>
    <w:rsid w:val="008569AA"/>
    <w:rsid w:val="00856EB8"/>
    <w:rsid w:val="00857161"/>
    <w:rsid w:val="008571AD"/>
    <w:rsid w:val="0085729D"/>
    <w:rsid w:val="008576A9"/>
    <w:rsid w:val="00857AC3"/>
    <w:rsid w:val="00857D92"/>
    <w:rsid w:val="00857EA1"/>
    <w:rsid w:val="00860585"/>
    <w:rsid w:val="00860643"/>
    <w:rsid w:val="0086097E"/>
    <w:rsid w:val="008609EC"/>
    <w:rsid w:val="00860A49"/>
    <w:rsid w:val="00860B68"/>
    <w:rsid w:val="00860F28"/>
    <w:rsid w:val="008611CE"/>
    <w:rsid w:val="00861751"/>
    <w:rsid w:val="00861790"/>
    <w:rsid w:val="00861815"/>
    <w:rsid w:val="0086215E"/>
    <w:rsid w:val="008623D2"/>
    <w:rsid w:val="008628DF"/>
    <w:rsid w:val="00863222"/>
    <w:rsid w:val="00863AF2"/>
    <w:rsid w:val="00863D86"/>
    <w:rsid w:val="00863ED8"/>
    <w:rsid w:val="00864325"/>
    <w:rsid w:val="00864344"/>
    <w:rsid w:val="00864E2D"/>
    <w:rsid w:val="0086521B"/>
    <w:rsid w:val="00865871"/>
    <w:rsid w:val="00865A30"/>
    <w:rsid w:val="00865C52"/>
    <w:rsid w:val="00866105"/>
    <w:rsid w:val="0086658B"/>
    <w:rsid w:val="00866E7E"/>
    <w:rsid w:val="00866F85"/>
    <w:rsid w:val="00867060"/>
    <w:rsid w:val="00867225"/>
    <w:rsid w:val="0086757F"/>
    <w:rsid w:val="00867622"/>
    <w:rsid w:val="00867652"/>
    <w:rsid w:val="00867AB9"/>
    <w:rsid w:val="0087019F"/>
    <w:rsid w:val="00870385"/>
    <w:rsid w:val="00870E6F"/>
    <w:rsid w:val="00870F5E"/>
    <w:rsid w:val="00870FFD"/>
    <w:rsid w:val="008710EA"/>
    <w:rsid w:val="00871322"/>
    <w:rsid w:val="00871344"/>
    <w:rsid w:val="00871F99"/>
    <w:rsid w:val="008720E8"/>
    <w:rsid w:val="0087255A"/>
    <w:rsid w:val="008728D6"/>
    <w:rsid w:val="00872A5E"/>
    <w:rsid w:val="00872CC9"/>
    <w:rsid w:val="0087305E"/>
    <w:rsid w:val="008738DF"/>
    <w:rsid w:val="00873E9D"/>
    <w:rsid w:val="00874050"/>
    <w:rsid w:val="008740BE"/>
    <w:rsid w:val="008742F5"/>
    <w:rsid w:val="008744CE"/>
    <w:rsid w:val="008745EE"/>
    <w:rsid w:val="00874A36"/>
    <w:rsid w:val="008750AC"/>
    <w:rsid w:val="00875784"/>
    <w:rsid w:val="008757F1"/>
    <w:rsid w:val="00875872"/>
    <w:rsid w:val="00875875"/>
    <w:rsid w:val="008759AC"/>
    <w:rsid w:val="00875A81"/>
    <w:rsid w:val="00875C87"/>
    <w:rsid w:val="00875F1C"/>
    <w:rsid w:val="00876053"/>
    <w:rsid w:val="00876064"/>
    <w:rsid w:val="00876468"/>
    <w:rsid w:val="00876698"/>
    <w:rsid w:val="008773C4"/>
    <w:rsid w:val="008773E1"/>
    <w:rsid w:val="008774A4"/>
    <w:rsid w:val="008779A6"/>
    <w:rsid w:val="00877BBC"/>
    <w:rsid w:val="00877C70"/>
    <w:rsid w:val="00877E41"/>
    <w:rsid w:val="0088058B"/>
    <w:rsid w:val="00880908"/>
    <w:rsid w:val="00880A0C"/>
    <w:rsid w:val="00880C28"/>
    <w:rsid w:val="00880CAD"/>
    <w:rsid w:val="00880D1D"/>
    <w:rsid w:val="0088124E"/>
    <w:rsid w:val="00881561"/>
    <w:rsid w:val="00881739"/>
    <w:rsid w:val="008817FC"/>
    <w:rsid w:val="00881A02"/>
    <w:rsid w:val="00881A5B"/>
    <w:rsid w:val="00881F1B"/>
    <w:rsid w:val="00881FF4"/>
    <w:rsid w:val="0088214E"/>
    <w:rsid w:val="00882152"/>
    <w:rsid w:val="008824B0"/>
    <w:rsid w:val="008825A5"/>
    <w:rsid w:val="008826AE"/>
    <w:rsid w:val="00882ACE"/>
    <w:rsid w:val="00882B78"/>
    <w:rsid w:val="00882B85"/>
    <w:rsid w:val="00883008"/>
    <w:rsid w:val="00883606"/>
    <w:rsid w:val="00883B04"/>
    <w:rsid w:val="00883C68"/>
    <w:rsid w:val="00883CFE"/>
    <w:rsid w:val="00883D83"/>
    <w:rsid w:val="00883FB5"/>
    <w:rsid w:val="008840C2"/>
    <w:rsid w:val="008842D9"/>
    <w:rsid w:val="00884628"/>
    <w:rsid w:val="00884A84"/>
    <w:rsid w:val="00884C54"/>
    <w:rsid w:val="00884D37"/>
    <w:rsid w:val="00884EBC"/>
    <w:rsid w:val="00885AFF"/>
    <w:rsid w:val="00885C4D"/>
    <w:rsid w:val="00885C5F"/>
    <w:rsid w:val="00885E79"/>
    <w:rsid w:val="00886B01"/>
    <w:rsid w:val="00886B31"/>
    <w:rsid w:val="00886B41"/>
    <w:rsid w:val="00886C5E"/>
    <w:rsid w:val="00886E14"/>
    <w:rsid w:val="00886F6D"/>
    <w:rsid w:val="00887768"/>
    <w:rsid w:val="008900CF"/>
    <w:rsid w:val="008904AE"/>
    <w:rsid w:val="00890C62"/>
    <w:rsid w:val="00891133"/>
    <w:rsid w:val="00891237"/>
    <w:rsid w:val="00891BC2"/>
    <w:rsid w:val="00891E48"/>
    <w:rsid w:val="008921DF"/>
    <w:rsid w:val="00892844"/>
    <w:rsid w:val="00893159"/>
    <w:rsid w:val="00893248"/>
    <w:rsid w:val="008936AE"/>
    <w:rsid w:val="00893AFD"/>
    <w:rsid w:val="00893E15"/>
    <w:rsid w:val="00894BE9"/>
    <w:rsid w:val="00895023"/>
    <w:rsid w:val="008950A8"/>
    <w:rsid w:val="008950E6"/>
    <w:rsid w:val="008954D3"/>
    <w:rsid w:val="00896000"/>
    <w:rsid w:val="008962A9"/>
    <w:rsid w:val="008965A3"/>
    <w:rsid w:val="008966F4"/>
    <w:rsid w:val="00896C2C"/>
    <w:rsid w:val="00896D26"/>
    <w:rsid w:val="00896FDA"/>
    <w:rsid w:val="0089728B"/>
    <w:rsid w:val="008974A0"/>
    <w:rsid w:val="0089798F"/>
    <w:rsid w:val="008A0928"/>
    <w:rsid w:val="008A1198"/>
    <w:rsid w:val="008A12EA"/>
    <w:rsid w:val="008A1554"/>
    <w:rsid w:val="008A18E4"/>
    <w:rsid w:val="008A2182"/>
    <w:rsid w:val="008A2263"/>
    <w:rsid w:val="008A301E"/>
    <w:rsid w:val="008A303C"/>
    <w:rsid w:val="008A3179"/>
    <w:rsid w:val="008A37D5"/>
    <w:rsid w:val="008A38EB"/>
    <w:rsid w:val="008A3AE7"/>
    <w:rsid w:val="008A44C6"/>
    <w:rsid w:val="008A46BE"/>
    <w:rsid w:val="008A4703"/>
    <w:rsid w:val="008A4A63"/>
    <w:rsid w:val="008A4C74"/>
    <w:rsid w:val="008A4DA4"/>
    <w:rsid w:val="008A4EFF"/>
    <w:rsid w:val="008A4F4F"/>
    <w:rsid w:val="008A54CB"/>
    <w:rsid w:val="008A552B"/>
    <w:rsid w:val="008A5601"/>
    <w:rsid w:val="008A572D"/>
    <w:rsid w:val="008A5A5B"/>
    <w:rsid w:val="008A65D9"/>
    <w:rsid w:val="008A67F0"/>
    <w:rsid w:val="008A6A0B"/>
    <w:rsid w:val="008A6B20"/>
    <w:rsid w:val="008A7D47"/>
    <w:rsid w:val="008A7DE4"/>
    <w:rsid w:val="008B00AD"/>
    <w:rsid w:val="008B050F"/>
    <w:rsid w:val="008B08AA"/>
    <w:rsid w:val="008B0EFA"/>
    <w:rsid w:val="008B1094"/>
    <w:rsid w:val="008B13FD"/>
    <w:rsid w:val="008B1C3E"/>
    <w:rsid w:val="008B1D5B"/>
    <w:rsid w:val="008B264A"/>
    <w:rsid w:val="008B278A"/>
    <w:rsid w:val="008B2B75"/>
    <w:rsid w:val="008B2FAA"/>
    <w:rsid w:val="008B3247"/>
    <w:rsid w:val="008B3548"/>
    <w:rsid w:val="008B371B"/>
    <w:rsid w:val="008B37C8"/>
    <w:rsid w:val="008B3B3F"/>
    <w:rsid w:val="008B3F0F"/>
    <w:rsid w:val="008B4E10"/>
    <w:rsid w:val="008B5737"/>
    <w:rsid w:val="008B5ACF"/>
    <w:rsid w:val="008B5EB0"/>
    <w:rsid w:val="008B6660"/>
    <w:rsid w:val="008B6F1F"/>
    <w:rsid w:val="008B755E"/>
    <w:rsid w:val="008B77B9"/>
    <w:rsid w:val="008B7987"/>
    <w:rsid w:val="008B7A48"/>
    <w:rsid w:val="008B7B32"/>
    <w:rsid w:val="008B7BAD"/>
    <w:rsid w:val="008B7D53"/>
    <w:rsid w:val="008C01F8"/>
    <w:rsid w:val="008C06A8"/>
    <w:rsid w:val="008C0796"/>
    <w:rsid w:val="008C07DA"/>
    <w:rsid w:val="008C0AF4"/>
    <w:rsid w:val="008C0CD0"/>
    <w:rsid w:val="008C0DB4"/>
    <w:rsid w:val="008C11A5"/>
    <w:rsid w:val="008C13AC"/>
    <w:rsid w:val="008C1756"/>
    <w:rsid w:val="008C17FD"/>
    <w:rsid w:val="008C1969"/>
    <w:rsid w:val="008C1C6B"/>
    <w:rsid w:val="008C1DF5"/>
    <w:rsid w:val="008C2463"/>
    <w:rsid w:val="008C2661"/>
    <w:rsid w:val="008C2F51"/>
    <w:rsid w:val="008C31E8"/>
    <w:rsid w:val="008C3B0D"/>
    <w:rsid w:val="008C3F9A"/>
    <w:rsid w:val="008C40DB"/>
    <w:rsid w:val="008C40EE"/>
    <w:rsid w:val="008C4427"/>
    <w:rsid w:val="008C4477"/>
    <w:rsid w:val="008C499C"/>
    <w:rsid w:val="008C5358"/>
    <w:rsid w:val="008C5C7C"/>
    <w:rsid w:val="008C5D5E"/>
    <w:rsid w:val="008C6052"/>
    <w:rsid w:val="008C6A66"/>
    <w:rsid w:val="008C6D8E"/>
    <w:rsid w:val="008C6F4D"/>
    <w:rsid w:val="008C734B"/>
    <w:rsid w:val="008D00D3"/>
    <w:rsid w:val="008D03C6"/>
    <w:rsid w:val="008D05B7"/>
    <w:rsid w:val="008D08EA"/>
    <w:rsid w:val="008D0B66"/>
    <w:rsid w:val="008D0DE0"/>
    <w:rsid w:val="008D0EE2"/>
    <w:rsid w:val="008D1790"/>
    <w:rsid w:val="008D17E7"/>
    <w:rsid w:val="008D1BEB"/>
    <w:rsid w:val="008D24A5"/>
    <w:rsid w:val="008D293B"/>
    <w:rsid w:val="008D2A52"/>
    <w:rsid w:val="008D2D46"/>
    <w:rsid w:val="008D3018"/>
    <w:rsid w:val="008D3041"/>
    <w:rsid w:val="008D3770"/>
    <w:rsid w:val="008D380A"/>
    <w:rsid w:val="008D3DFD"/>
    <w:rsid w:val="008D41CE"/>
    <w:rsid w:val="008D4597"/>
    <w:rsid w:val="008D4653"/>
    <w:rsid w:val="008D4AA5"/>
    <w:rsid w:val="008D4C7D"/>
    <w:rsid w:val="008D5424"/>
    <w:rsid w:val="008D57CB"/>
    <w:rsid w:val="008D589C"/>
    <w:rsid w:val="008D5AF0"/>
    <w:rsid w:val="008D63F3"/>
    <w:rsid w:val="008D6641"/>
    <w:rsid w:val="008D6A7A"/>
    <w:rsid w:val="008D6BBC"/>
    <w:rsid w:val="008D7409"/>
    <w:rsid w:val="008D75EA"/>
    <w:rsid w:val="008D78D0"/>
    <w:rsid w:val="008E0301"/>
    <w:rsid w:val="008E05C1"/>
    <w:rsid w:val="008E069E"/>
    <w:rsid w:val="008E0ADE"/>
    <w:rsid w:val="008E0CFA"/>
    <w:rsid w:val="008E0E29"/>
    <w:rsid w:val="008E11C0"/>
    <w:rsid w:val="008E1310"/>
    <w:rsid w:val="008E1D7D"/>
    <w:rsid w:val="008E22F9"/>
    <w:rsid w:val="008E28EA"/>
    <w:rsid w:val="008E2938"/>
    <w:rsid w:val="008E2A56"/>
    <w:rsid w:val="008E2E60"/>
    <w:rsid w:val="008E2F2B"/>
    <w:rsid w:val="008E2FA1"/>
    <w:rsid w:val="008E3038"/>
    <w:rsid w:val="008E317F"/>
    <w:rsid w:val="008E31EA"/>
    <w:rsid w:val="008E3369"/>
    <w:rsid w:val="008E35AB"/>
    <w:rsid w:val="008E36B9"/>
    <w:rsid w:val="008E37BF"/>
    <w:rsid w:val="008E38B0"/>
    <w:rsid w:val="008E3A54"/>
    <w:rsid w:val="008E3F80"/>
    <w:rsid w:val="008E41F1"/>
    <w:rsid w:val="008E4522"/>
    <w:rsid w:val="008E4665"/>
    <w:rsid w:val="008E4D8D"/>
    <w:rsid w:val="008E4E8F"/>
    <w:rsid w:val="008E4FB5"/>
    <w:rsid w:val="008E5140"/>
    <w:rsid w:val="008E57E5"/>
    <w:rsid w:val="008E5ACB"/>
    <w:rsid w:val="008E7796"/>
    <w:rsid w:val="008F0007"/>
    <w:rsid w:val="008F011F"/>
    <w:rsid w:val="008F0209"/>
    <w:rsid w:val="008F0570"/>
    <w:rsid w:val="008F05FA"/>
    <w:rsid w:val="008F070E"/>
    <w:rsid w:val="008F16B9"/>
    <w:rsid w:val="008F1F49"/>
    <w:rsid w:val="008F2487"/>
    <w:rsid w:val="008F2723"/>
    <w:rsid w:val="008F2988"/>
    <w:rsid w:val="008F2C27"/>
    <w:rsid w:val="008F3B7F"/>
    <w:rsid w:val="008F3C9A"/>
    <w:rsid w:val="008F3CE6"/>
    <w:rsid w:val="008F42D9"/>
    <w:rsid w:val="008F4596"/>
    <w:rsid w:val="008F489A"/>
    <w:rsid w:val="008F4E02"/>
    <w:rsid w:val="008F544D"/>
    <w:rsid w:val="008F5689"/>
    <w:rsid w:val="008F57CA"/>
    <w:rsid w:val="008F5CBF"/>
    <w:rsid w:val="008F5D3B"/>
    <w:rsid w:val="008F6140"/>
    <w:rsid w:val="008F7289"/>
    <w:rsid w:val="008F75B7"/>
    <w:rsid w:val="008F7BED"/>
    <w:rsid w:val="008F7C12"/>
    <w:rsid w:val="008F7CB3"/>
    <w:rsid w:val="009002DA"/>
    <w:rsid w:val="00900340"/>
    <w:rsid w:val="0090084C"/>
    <w:rsid w:val="00900958"/>
    <w:rsid w:val="00900D7E"/>
    <w:rsid w:val="00900E14"/>
    <w:rsid w:val="0090102D"/>
    <w:rsid w:val="009011C2"/>
    <w:rsid w:val="009014C6"/>
    <w:rsid w:val="009019CF"/>
    <w:rsid w:val="00901ABB"/>
    <w:rsid w:val="009021A6"/>
    <w:rsid w:val="0090248E"/>
    <w:rsid w:val="00902547"/>
    <w:rsid w:val="00902CE7"/>
    <w:rsid w:val="00903224"/>
    <w:rsid w:val="0090355E"/>
    <w:rsid w:val="00903851"/>
    <w:rsid w:val="00903A45"/>
    <w:rsid w:val="00903AC8"/>
    <w:rsid w:val="00904277"/>
    <w:rsid w:val="009042BC"/>
    <w:rsid w:val="0090443B"/>
    <w:rsid w:val="009049E7"/>
    <w:rsid w:val="00904BB1"/>
    <w:rsid w:val="00904EDF"/>
    <w:rsid w:val="009056D9"/>
    <w:rsid w:val="0090571C"/>
    <w:rsid w:val="00905BC8"/>
    <w:rsid w:val="009063B4"/>
    <w:rsid w:val="00906404"/>
    <w:rsid w:val="009065A3"/>
    <w:rsid w:val="0090662F"/>
    <w:rsid w:val="00906748"/>
    <w:rsid w:val="00906986"/>
    <w:rsid w:val="00907003"/>
    <w:rsid w:val="00907494"/>
    <w:rsid w:val="0090799F"/>
    <w:rsid w:val="0091002E"/>
    <w:rsid w:val="00910267"/>
    <w:rsid w:val="0091041E"/>
    <w:rsid w:val="009106A8"/>
    <w:rsid w:val="009107E9"/>
    <w:rsid w:val="009108F1"/>
    <w:rsid w:val="00910B08"/>
    <w:rsid w:val="00910CA0"/>
    <w:rsid w:val="00910F53"/>
    <w:rsid w:val="00911547"/>
    <w:rsid w:val="009119C6"/>
    <w:rsid w:val="00911AB9"/>
    <w:rsid w:val="0091202E"/>
    <w:rsid w:val="009120F0"/>
    <w:rsid w:val="00912323"/>
    <w:rsid w:val="0091235A"/>
    <w:rsid w:val="009123D4"/>
    <w:rsid w:val="00912644"/>
    <w:rsid w:val="009126A6"/>
    <w:rsid w:val="00912C19"/>
    <w:rsid w:val="00912D7B"/>
    <w:rsid w:val="00912EB0"/>
    <w:rsid w:val="00913040"/>
    <w:rsid w:val="009132A0"/>
    <w:rsid w:val="00913A39"/>
    <w:rsid w:val="00913DA6"/>
    <w:rsid w:val="00913E37"/>
    <w:rsid w:val="0091441C"/>
    <w:rsid w:val="00914538"/>
    <w:rsid w:val="009148CC"/>
    <w:rsid w:val="00914B88"/>
    <w:rsid w:val="00915214"/>
    <w:rsid w:val="0091544F"/>
    <w:rsid w:val="009154BA"/>
    <w:rsid w:val="00915D04"/>
    <w:rsid w:val="00915E1D"/>
    <w:rsid w:val="00916301"/>
    <w:rsid w:val="0091646E"/>
    <w:rsid w:val="00917037"/>
    <w:rsid w:val="009174FA"/>
    <w:rsid w:val="00917A07"/>
    <w:rsid w:val="00917A80"/>
    <w:rsid w:val="00917B30"/>
    <w:rsid w:val="00917CB4"/>
    <w:rsid w:val="00917D83"/>
    <w:rsid w:val="009202D9"/>
    <w:rsid w:val="009208D7"/>
    <w:rsid w:val="00920BBD"/>
    <w:rsid w:val="00921075"/>
    <w:rsid w:val="00921507"/>
    <w:rsid w:val="009219AE"/>
    <w:rsid w:val="00921E2E"/>
    <w:rsid w:val="00921E76"/>
    <w:rsid w:val="0092245C"/>
    <w:rsid w:val="009225E8"/>
    <w:rsid w:val="0092274E"/>
    <w:rsid w:val="009227DE"/>
    <w:rsid w:val="0092280B"/>
    <w:rsid w:val="009230E5"/>
    <w:rsid w:val="0092313E"/>
    <w:rsid w:val="00923463"/>
    <w:rsid w:val="00923C3F"/>
    <w:rsid w:val="00923C69"/>
    <w:rsid w:val="00923DEF"/>
    <w:rsid w:val="00924275"/>
    <w:rsid w:val="0092449C"/>
    <w:rsid w:val="009244A8"/>
    <w:rsid w:val="00924703"/>
    <w:rsid w:val="0092498D"/>
    <w:rsid w:val="00924AB4"/>
    <w:rsid w:val="00924F5C"/>
    <w:rsid w:val="009252D1"/>
    <w:rsid w:val="00925564"/>
    <w:rsid w:val="0092572E"/>
    <w:rsid w:val="00925AA6"/>
    <w:rsid w:val="00925AF6"/>
    <w:rsid w:val="00925BB9"/>
    <w:rsid w:val="00925E11"/>
    <w:rsid w:val="00925E9A"/>
    <w:rsid w:val="00926415"/>
    <w:rsid w:val="009264DC"/>
    <w:rsid w:val="00926DED"/>
    <w:rsid w:val="0092727D"/>
    <w:rsid w:val="00927386"/>
    <w:rsid w:val="009275B6"/>
    <w:rsid w:val="0092772D"/>
    <w:rsid w:val="009300FC"/>
    <w:rsid w:val="00930197"/>
    <w:rsid w:val="00930C0E"/>
    <w:rsid w:val="00930D1C"/>
    <w:rsid w:val="00930D33"/>
    <w:rsid w:val="00930FDC"/>
    <w:rsid w:val="00931B01"/>
    <w:rsid w:val="00931D7C"/>
    <w:rsid w:val="0093232C"/>
    <w:rsid w:val="00932481"/>
    <w:rsid w:val="00932BB2"/>
    <w:rsid w:val="00932EC8"/>
    <w:rsid w:val="009330A1"/>
    <w:rsid w:val="00933187"/>
    <w:rsid w:val="009331B7"/>
    <w:rsid w:val="00933373"/>
    <w:rsid w:val="00933D8D"/>
    <w:rsid w:val="0093400D"/>
    <w:rsid w:val="00934409"/>
    <w:rsid w:val="0093492B"/>
    <w:rsid w:val="00935171"/>
    <w:rsid w:val="0093597F"/>
    <w:rsid w:val="00936317"/>
    <w:rsid w:val="009365B7"/>
    <w:rsid w:val="00936808"/>
    <w:rsid w:val="00936A56"/>
    <w:rsid w:val="00937042"/>
    <w:rsid w:val="0093762D"/>
    <w:rsid w:val="00937C00"/>
    <w:rsid w:val="00937F57"/>
    <w:rsid w:val="0094026A"/>
    <w:rsid w:val="00940DCD"/>
    <w:rsid w:val="009412B1"/>
    <w:rsid w:val="00941323"/>
    <w:rsid w:val="00941652"/>
    <w:rsid w:val="00941CCF"/>
    <w:rsid w:val="00941D11"/>
    <w:rsid w:val="00941DEC"/>
    <w:rsid w:val="009420B8"/>
    <w:rsid w:val="009422A3"/>
    <w:rsid w:val="00942474"/>
    <w:rsid w:val="00942891"/>
    <w:rsid w:val="00943295"/>
    <w:rsid w:val="009435FE"/>
    <w:rsid w:val="00943DEE"/>
    <w:rsid w:val="00944128"/>
    <w:rsid w:val="00944685"/>
    <w:rsid w:val="00944DF1"/>
    <w:rsid w:val="00945373"/>
    <w:rsid w:val="00945534"/>
    <w:rsid w:val="009458F5"/>
    <w:rsid w:val="00945BF2"/>
    <w:rsid w:val="00946478"/>
    <w:rsid w:val="009465C0"/>
    <w:rsid w:val="00946913"/>
    <w:rsid w:val="00946A2F"/>
    <w:rsid w:val="00946DA7"/>
    <w:rsid w:val="0094711F"/>
    <w:rsid w:val="00947BC7"/>
    <w:rsid w:val="00947F20"/>
    <w:rsid w:val="00950036"/>
    <w:rsid w:val="00950195"/>
    <w:rsid w:val="009504BD"/>
    <w:rsid w:val="009507FF"/>
    <w:rsid w:val="00950C90"/>
    <w:rsid w:val="0095152F"/>
    <w:rsid w:val="009518AD"/>
    <w:rsid w:val="00952541"/>
    <w:rsid w:val="009527CB"/>
    <w:rsid w:val="00952EC2"/>
    <w:rsid w:val="009531DB"/>
    <w:rsid w:val="00953396"/>
    <w:rsid w:val="0095351A"/>
    <w:rsid w:val="0095382D"/>
    <w:rsid w:val="00953C1C"/>
    <w:rsid w:val="00953F4D"/>
    <w:rsid w:val="00953F69"/>
    <w:rsid w:val="00954057"/>
    <w:rsid w:val="009542E1"/>
    <w:rsid w:val="00954C0C"/>
    <w:rsid w:val="00954CB1"/>
    <w:rsid w:val="009555B9"/>
    <w:rsid w:val="00955F8B"/>
    <w:rsid w:val="00956331"/>
    <w:rsid w:val="0095659E"/>
    <w:rsid w:val="009565F3"/>
    <w:rsid w:val="00956917"/>
    <w:rsid w:val="00956BAA"/>
    <w:rsid w:val="0095702A"/>
    <w:rsid w:val="0095719A"/>
    <w:rsid w:val="009571EC"/>
    <w:rsid w:val="00957457"/>
    <w:rsid w:val="00957470"/>
    <w:rsid w:val="0095750E"/>
    <w:rsid w:val="0095759E"/>
    <w:rsid w:val="00957733"/>
    <w:rsid w:val="009577A1"/>
    <w:rsid w:val="00957829"/>
    <w:rsid w:val="00957D9A"/>
    <w:rsid w:val="0096007B"/>
    <w:rsid w:val="009600CD"/>
    <w:rsid w:val="009624EF"/>
    <w:rsid w:val="00962505"/>
    <w:rsid w:val="00962622"/>
    <w:rsid w:val="0096275F"/>
    <w:rsid w:val="009629D2"/>
    <w:rsid w:val="00962A10"/>
    <w:rsid w:val="00962ACC"/>
    <w:rsid w:val="00962C93"/>
    <w:rsid w:val="00962E4E"/>
    <w:rsid w:val="00962FD6"/>
    <w:rsid w:val="00963130"/>
    <w:rsid w:val="00963703"/>
    <w:rsid w:val="00963AF6"/>
    <w:rsid w:val="00963DC4"/>
    <w:rsid w:val="00964A61"/>
    <w:rsid w:val="00964EC1"/>
    <w:rsid w:val="00965289"/>
    <w:rsid w:val="00965333"/>
    <w:rsid w:val="009653D2"/>
    <w:rsid w:val="00965458"/>
    <w:rsid w:val="0096629B"/>
    <w:rsid w:val="009669DC"/>
    <w:rsid w:val="00966A3B"/>
    <w:rsid w:val="009670B6"/>
    <w:rsid w:val="00967228"/>
    <w:rsid w:val="00967493"/>
    <w:rsid w:val="00967634"/>
    <w:rsid w:val="00970846"/>
    <w:rsid w:val="009709C7"/>
    <w:rsid w:val="00970C78"/>
    <w:rsid w:val="00970EA1"/>
    <w:rsid w:val="009712C0"/>
    <w:rsid w:val="009716A0"/>
    <w:rsid w:val="009719E9"/>
    <w:rsid w:val="00971A43"/>
    <w:rsid w:val="00972003"/>
    <w:rsid w:val="00972058"/>
    <w:rsid w:val="009727D3"/>
    <w:rsid w:val="00972885"/>
    <w:rsid w:val="00972B1F"/>
    <w:rsid w:val="00972ED0"/>
    <w:rsid w:val="00972EDA"/>
    <w:rsid w:val="00972FD6"/>
    <w:rsid w:val="00973264"/>
    <w:rsid w:val="00973280"/>
    <w:rsid w:val="0097335C"/>
    <w:rsid w:val="009740D7"/>
    <w:rsid w:val="00974106"/>
    <w:rsid w:val="00974AEF"/>
    <w:rsid w:val="00975A87"/>
    <w:rsid w:val="00975E1E"/>
    <w:rsid w:val="00976075"/>
    <w:rsid w:val="00976560"/>
    <w:rsid w:val="009765C9"/>
    <w:rsid w:val="009767A9"/>
    <w:rsid w:val="0097694A"/>
    <w:rsid w:val="00976C47"/>
    <w:rsid w:val="009772FD"/>
    <w:rsid w:val="0097739A"/>
    <w:rsid w:val="009774F8"/>
    <w:rsid w:val="009779FD"/>
    <w:rsid w:val="00977A60"/>
    <w:rsid w:val="00977B63"/>
    <w:rsid w:val="0098021A"/>
    <w:rsid w:val="00980716"/>
    <w:rsid w:val="009815F6"/>
    <w:rsid w:val="00981606"/>
    <w:rsid w:val="00981803"/>
    <w:rsid w:val="00981832"/>
    <w:rsid w:val="009818D9"/>
    <w:rsid w:val="00981E21"/>
    <w:rsid w:val="009827BC"/>
    <w:rsid w:val="0098284E"/>
    <w:rsid w:val="00982A44"/>
    <w:rsid w:val="009830DF"/>
    <w:rsid w:val="009833C3"/>
    <w:rsid w:val="009835E6"/>
    <w:rsid w:val="00983C4E"/>
    <w:rsid w:val="00983CD3"/>
    <w:rsid w:val="00983F87"/>
    <w:rsid w:val="00984079"/>
    <w:rsid w:val="009844D5"/>
    <w:rsid w:val="0098461A"/>
    <w:rsid w:val="0098466E"/>
    <w:rsid w:val="00984695"/>
    <w:rsid w:val="00984B0C"/>
    <w:rsid w:val="00985021"/>
    <w:rsid w:val="009853AF"/>
    <w:rsid w:val="0098556E"/>
    <w:rsid w:val="009859D0"/>
    <w:rsid w:val="00985A90"/>
    <w:rsid w:val="00985E46"/>
    <w:rsid w:val="00985EC8"/>
    <w:rsid w:val="0098631C"/>
    <w:rsid w:val="0098662B"/>
    <w:rsid w:val="00986951"/>
    <w:rsid w:val="00986DC9"/>
    <w:rsid w:val="00986FCB"/>
    <w:rsid w:val="0098715E"/>
    <w:rsid w:val="009871E2"/>
    <w:rsid w:val="009873F9"/>
    <w:rsid w:val="00987B33"/>
    <w:rsid w:val="00987BD0"/>
    <w:rsid w:val="00987FAC"/>
    <w:rsid w:val="00990229"/>
    <w:rsid w:val="00990577"/>
    <w:rsid w:val="009906F6"/>
    <w:rsid w:val="00990897"/>
    <w:rsid w:val="009908CC"/>
    <w:rsid w:val="00990BC5"/>
    <w:rsid w:val="00991644"/>
    <w:rsid w:val="00991973"/>
    <w:rsid w:val="00991AF3"/>
    <w:rsid w:val="00991CB1"/>
    <w:rsid w:val="00991D29"/>
    <w:rsid w:val="00991D44"/>
    <w:rsid w:val="0099256E"/>
    <w:rsid w:val="009926E3"/>
    <w:rsid w:val="00992748"/>
    <w:rsid w:val="00992F30"/>
    <w:rsid w:val="009931AF"/>
    <w:rsid w:val="00993824"/>
    <w:rsid w:val="00994027"/>
    <w:rsid w:val="0099418E"/>
    <w:rsid w:val="009941F0"/>
    <w:rsid w:val="009942F6"/>
    <w:rsid w:val="0099453F"/>
    <w:rsid w:val="009946CC"/>
    <w:rsid w:val="00994B25"/>
    <w:rsid w:val="00994C8F"/>
    <w:rsid w:val="00994CC3"/>
    <w:rsid w:val="00994E91"/>
    <w:rsid w:val="009952DA"/>
    <w:rsid w:val="009958D0"/>
    <w:rsid w:val="00995B17"/>
    <w:rsid w:val="00995B97"/>
    <w:rsid w:val="009960B4"/>
    <w:rsid w:val="009961F3"/>
    <w:rsid w:val="00996458"/>
    <w:rsid w:val="00996568"/>
    <w:rsid w:val="00996593"/>
    <w:rsid w:val="0099688D"/>
    <w:rsid w:val="00996D97"/>
    <w:rsid w:val="009975EB"/>
    <w:rsid w:val="009976AC"/>
    <w:rsid w:val="0099786B"/>
    <w:rsid w:val="0099792D"/>
    <w:rsid w:val="00997EDA"/>
    <w:rsid w:val="00997FB0"/>
    <w:rsid w:val="009A0854"/>
    <w:rsid w:val="009A0A1A"/>
    <w:rsid w:val="009A0E02"/>
    <w:rsid w:val="009A111D"/>
    <w:rsid w:val="009A11C0"/>
    <w:rsid w:val="009A14D0"/>
    <w:rsid w:val="009A165D"/>
    <w:rsid w:val="009A18C4"/>
    <w:rsid w:val="009A1937"/>
    <w:rsid w:val="009A1CF0"/>
    <w:rsid w:val="009A2298"/>
    <w:rsid w:val="009A2799"/>
    <w:rsid w:val="009A3141"/>
    <w:rsid w:val="009A31DD"/>
    <w:rsid w:val="009A340E"/>
    <w:rsid w:val="009A37D4"/>
    <w:rsid w:val="009A3B13"/>
    <w:rsid w:val="009A3B1A"/>
    <w:rsid w:val="009A4497"/>
    <w:rsid w:val="009A44FB"/>
    <w:rsid w:val="009A45C2"/>
    <w:rsid w:val="009A4680"/>
    <w:rsid w:val="009A494D"/>
    <w:rsid w:val="009A4B45"/>
    <w:rsid w:val="009A4D41"/>
    <w:rsid w:val="009A4FD3"/>
    <w:rsid w:val="009A53FB"/>
    <w:rsid w:val="009A5892"/>
    <w:rsid w:val="009A5B4A"/>
    <w:rsid w:val="009A6152"/>
    <w:rsid w:val="009A6928"/>
    <w:rsid w:val="009A708A"/>
    <w:rsid w:val="009A720C"/>
    <w:rsid w:val="009A76D3"/>
    <w:rsid w:val="009A77CF"/>
    <w:rsid w:val="009A77E5"/>
    <w:rsid w:val="009A798A"/>
    <w:rsid w:val="009B02A3"/>
    <w:rsid w:val="009B08E3"/>
    <w:rsid w:val="009B0DC3"/>
    <w:rsid w:val="009B1041"/>
    <w:rsid w:val="009B1629"/>
    <w:rsid w:val="009B1F4B"/>
    <w:rsid w:val="009B226E"/>
    <w:rsid w:val="009B2498"/>
    <w:rsid w:val="009B2826"/>
    <w:rsid w:val="009B301A"/>
    <w:rsid w:val="009B3103"/>
    <w:rsid w:val="009B3221"/>
    <w:rsid w:val="009B38EA"/>
    <w:rsid w:val="009B38FE"/>
    <w:rsid w:val="009B44A3"/>
    <w:rsid w:val="009B489B"/>
    <w:rsid w:val="009B4C38"/>
    <w:rsid w:val="009B4EA1"/>
    <w:rsid w:val="009B5243"/>
    <w:rsid w:val="009B5D7B"/>
    <w:rsid w:val="009B5F13"/>
    <w:rsid w:val="009B60CF"/>
    <w:rsid w:val="009B6214"/>
    <w:rsid w:val="009B6381"/>
    <w:rsid w:val="009B6568"/>
    <w:rsid w:val="009B66AA"/>
    <w:rsid w:val="009B6C05"/>
    <w:rsid w:val="009B6F7A"/>
    <w:rsid w:val="009B71CE"/>
    <w:rsid w:val="009B7CF6"/>
    <w:rsid w:val="009C0041"/>
    <w:rsid w:val="009C00D8"/>
    <w:rsid w:val="009C01A4"/>
    <w:rsid w:val="009C04A7"/>
    <w:rsid w:val="009C05AF"/>
    <w:rsid w:val="009C07E5"/>
    <w:rsid w:val="009C0AA6"/>
    <w:rsid w:val="009C0B79"/>
    <w:rsid w:val="009C0B8A"/>
    <w:rsid w:val="009C0F38"/>
    <w:rsid w:val="009C19FF"/>
    <w:rsid w:val="009C1AAB"/>
    <w:rsid w:val="009C22C7"/>
    <w:rsid w:val="009C25D9"/>
    <w:rsid w:val="009C2609"/>
    <w:rsid w:val="009C2AEC"/>
    <w:rsid w:val="009C2BCE"/>
    <w:rsid w:val="009C3BA2"/>
    <w:rsid w:val="009C3C60"/>
    <w:rsid w:val="009C3C90"/>
    <w:rsid w:val="009C466C"/>
    <w:rsid w:val="009C4832"/>
    <w:rsid w:val="009C4A3E"/>
    <w:rsid w:val="009C4B93"/>
    <w:rsid w:val="009C5C56"/>
    <w:rsid w:val="009C5F5C"/>
    <w:rsid w:val="009C61F8"/>
    <w:rsid w:val="009C658F"/>
    <w:rsid w:val="009C6700"/>
    <w:rsid w:val="009C6950"/>
    <w:rsid w:val="009C697E"/>
    <w:rsid w:val="009C6D2C"/>
    <w:rsid w:val="009C7169"/>
    <w:rsid w:val="009C7607"/>
    <w:rsid w:val="009C7B24"/>
    <w:rsid w:val="009C7BAD"/>
    <w:rsid w:val="009D068F"/>
    <w:rsid w:val="009D0C91"/>
    <w:rsid w:val="009D10B6"/>
    <w:rsid w:val="009D13EB"/>
    <w:rsid w:val="009D15A8"/>
    <w:rsid w:val="009D1A38"/>
    <w:rsid w:val="009D1DCE"/>
    <w:rsid w:val="009D1F1C"/>
    <w:rsid w:val="009D1F6C"/>
    <w:rsid w:val="009D2185"/>
    <w:rsid w:val="009D2923"/>
    <w:rsid w:val="009D2AE6"/>
    <w:rsid w:val="009D2CAA"/>
    <w:rsid w:val="009D3C17"/>
    <w:rsid w:val="009D450B"/>
    <w:rsid w:val="009D4C7E"/>
    <w:rsid w:val="009D5BE1"/>
    <w:rsid w:val="009D5C32"/>
    <w:rsid w:val="009D6520"/>
    <w:rsid w:val="009D6ADE"/>
    <w:rsid w:val="009D7103"/>
    <w:rsid w:val="009E01DA"/>
    <w:rsid w:val="009E04DD"/>
    <w:rsid w:val="009E0C94"/>
    <w:rsid w:val="009E141F"/>
    <w:rsid w:val="009E1492"/>
    <w:rsid w:val="009E156E"/>
    <w:rsid w:val="009E1656"/>
    <w:rsid w:val="009E16BB"/>
    <w:rsid w:val="009E1A55"/>
    <w:rsid w:val="009E1C7E"/>
    <w:rsid w:val="009E1D30"/>
    <w:rsid w:val="009E2063"/>
    <w:rsid w:val="009E2225"/>
    <w:rsid w:val="009E2564"/>
    <w:rsid w:val="009E2869"/>
    <w:rsid w:val="009E289A"/>
    <w:rsid w:val="009E28D8"/>
    <w:rsid w:val="009E2DDE"/>
    <w:rsid w:val="009E2E9A"/>
    <w:rsid w:val="009E3241"/>
    <w:rsid w:val="009E3551"/>
    <w:rsid w:val="009E42E8"/>
    <w:rsid w:val="009E510B"/>
    <w:rsid w:val="009E5268"/>
    <w:rsid w:val="009E5529"/>
    <w:rsid w:val="009E5E38"/>
    <w:rsid w:val="009E5E52"/>
    <w:rsid w:val="009E603B"/>
    <w:rsid w:val="009E608E"/>
    <w:rsid w:val="009E6714"/>
    <w:rsid w:val="009E67B9"/>
    <w:rsid w:val="009E758B"/>
    <w:rsid w:val="009E7762"/>
    <w:rsid w:val="009E7A19"/>
    <w:rsid w:val="009E7F07"/>
    <w:rsid w:val="009F0571"/>
    <w:rsid w:val="009F0C7C"/>
    <w:rsid w:val="009F0D57"/>
    <w:rsid w:val="009F0FBE"/>
    <w:rsid w:val="009F10B5"/>
    <w:rsid w:val="009F1398"/>
    <w:rsid w:val="009F1A0E"/>
    <w:rsid w:val="009F1EDC"/>
    <w:rsid w:val="009F20A8"/>
    <w:rsid w:val="009F27EC"/>
    <w:rsid w:val="009F296C"/>
    <w:rsid w:val="009F296F"/>
    <w:rsid w:val="009F2A94"/>
    <w:rsid w:val="009F2C14"/>
    <w:rsid w:val="009F2D67"/>
    <w:rsid w:val="009F34B7"/>
    <w:rsid w:val="009F3737"/>
    <w:rsid w:val="009F38DA"/>
    <w:rsid w:val="009F460C"/>
    <w:rsid w:val="009F4761"/>
    <w:rsid w:val="009F4C3B"/>
    <w:rsid w:val="009F5262"/>
    <w:rsid w:val="009F52DC"/>
    <w:rsid w:val="009F52EE"/>
    <w:rsid w:val="009F54A0"/>
    <w:rsid w:val="009F5B65"/>
    <w:rsid w:val="009F5B95"/>
    <w:rsid w:val="009F5E00"/>
    <w:rsid w:val="009F600F"/>
    <w:rsid w:val="009F6011"/>
    <w:rsid w:val="009F6040"/>
    <w:rsid w:val="009F635F"/>
    <w:rsid w:val="009F63BB"/>
    <w:rsid w:val="009F6627"/>
    <w:rsid w:val="009F6831"/>
    <w:rsid w:val="009F6BF7"/>
    <w:rsid w:val="009F6C50"/>
    <w:rsid w:val="009F6D22"/>
    <w:rsid w:val="009F6D81"/>
    <w:rsid w:val="009F7138"/>
    <w:rsid w:val="009F738B"/>
    <w:rsid w:val="009F7D8C"/>
    <w:rsid w:val="009F7E3D"/>
    <w:rsid w:val="00A00122"/>
    <w:rsid w:val="00A005C2"/>
    <w:rsid w:val="00A00BB4"/>
    <w:rsid w:val="00A00F9A"/>
    <w:rsid w:val="00A0104B"/>
    <w:rsid w:val="00A0106D"/>
    <w:rsid w:val="00A01594"/>
    <w:rsid w:val="00A01D74"/>
    <w:rsid w:val="00A01E2C"/>
    <w:rsid w:val="00A02714"/>
    <w:rsid w:val="00A02ED7"/>
    <w:rsid w:val="00A0349F"/>
    <w:rsid w:val="00A036E6"/>
    <w:rsid w:val="00A038D9"/>
    <w:rsid w:val="00A0399D"/>
    <w:rsid w:val="00A03BA4"/>
    <w:rsid w:val="00A04526"/>
    <w:rsid w:val="00A04612"/>
    <w:rsid w:val="00A04A79"/>
    <w:rsid w:val="00A051BC"/>
    <w:rsid w:val="00A053F9"/>
    <w:rsid w:val="00A054D3"/>
    <w:rsid w:val="00A05FAD"/>
    <w:rsid w:val="00A06077"/>
    <w:rsid w:val="00A0628B"/>
    <w:rsid w:val="00A06A11"/>
    <w:rsid w:val="00A0714F"/>
    <w:rsid w:val="00A076B8"/>
    <w:rsid w:val="00A079C2"/>
    <w:rsid w:val="00A10141"/>
    <w:rsid w:val="00A10378"/>
    <w:rsid w:val="00A10C1F"/>
    <w:rsid w:val="00A10D52"/>
    <w:rsid w:val="00A10F9E"/>
    <w:rsid w:val="00A11BCC"/>
    <w:rsid w:val="00A11F0C"/>
    <w:rsid w:val="00A11F19"/>
    <w:rsid w:val="00A12169"/>
    <w:rsid w:val="00A123D7"/>
    <w:rsid w:val="00A12953"/>
    <w:rsid w:val="00A12E63"/>
    <w:rsid w:val="00A12F08"/>
    <w:rsid w:val="00A13583"/>
    <w:rsid w:val="00A136CF"/>
    <w:rsid w:val="00A1381C"/>
    <w:rsid w:val="00A13821"/>
    <w:rsid w:val="00A14844"/>
    <w:rsid w:val="00A148A1"/>
    <w:rsid w:val="00A14B5D"/>
    <w:rsid w:val="00A14D02"/>
    <w:rsid w:val="00A14E3A"/>
    <w:rsid w:val="00A14EB0"/>
    <w:rsid w:val="00A14FEB"/>
    <w:rsid w:val="00A15396"/>
    <w:rsid w:val="00A155BF"/>
    <w:rsid w:val="00A15691"/>
    <w:rsid w:val="00A15705"/>
    <w:rsid w:val="00A15CC3"/>
    <w:rsid w:val="00A15D68"/>
    <w:rsid w:val="00A15E2C"/>
    <w:rsid w:val="00A16273"/>
    <w:rsid w:val="00A16C2A"/>
    <w:rsid w:val="00A16CCB"/>
    <w:rsid w:val="00A16D2B"/>
    <w:rsid w:val="00A16D6D"/>
    <w:rsid w:val="00A17069"/>
    <w:rsid w:val="00A171B6"/>
    <w:rsid w:val="00A1733F"/>
    <w:rsid w:val="00A174E7"/>
    <w:rsid w:val="00A179C9"/>
    <w:rsid w:val="00A17B2E"/>
    <w:rsid w:val="00A17B54"/>
    <w:rsid w:val="00A20157"/>
    <w:rsid w:val="00A204D9"/>
    <w:rsid w:val="00A207DE"/>
    <w:rsid w:val="00A20C0D"/>
    <w:rsid w:val="00A20EB4"/>
    <w:rsid w:val="00A210C7"/>
    <w:rsid w:val="00A21232"/>
    <w:rsid w:val="00A2145E"/>
    <w:rsid w:val="00A214BF"/>
    <w:rsid w:val="00A214E4"/>
    <w:rsid w:val="00A21DF7"/>
    <w:rsid w:val="00A2247F"/>
    <w:rsid w:val="00A22987"/>
    <w:rsid w:val="00A22EC6"/>
    <w:rsid w:val="00A22F23"/>
    <w:rsid w:val="00A23251"/>
    <w:rsid w:val="00A23A08"/>
    <w:rsid w:val="00A23CFE"/>
    <w:rsid w:val="00A23D49"/>
    <w:rsid w:val="00A23FA4"/>
    <w:rsid w:val="00A245F4"/>
    <w:rsid w:val="00A25542"/>
    <w:rsid w:val="00A26164"/>
    <w:rsid w:val="00A266B8"/>
    <w:rsid w:val="00A266D8"/>
    <w:rsid w:val="00A2680C"/>
    <w:rsid w:val="00A26812"/>
    <w:rsid w:val="00A26FD4"/>
    <w:rsid w:val="00A26FDD"/>
    <w:rsid w:val="00A27005"/>
    <w:rsid w:val="00A2711B"/>
    <w:rsid w:val="00A2765F"/>
    <w:rsid w:val="00A2795F"/>
    <w:rsid w:val="00A27A91"/>
    <w:rsid w:val="00A27E6B"/>
    <w:rsid w:val="00A306DD"/>
    <w:rsid w:val="00A309FF"/>
    <w:rsid w:val="00A30AFF"/>
    <w:rsid w:val="00A30C1F"/>
    <w:rsid w:val="00A30C8F"/>
    <w:rsid w:val="00A3112F"/>
    <w:rsid w:val="00A3124C"/>
    <w:rsid w:val="00A3151D"/>
    <w:rsid w:val="00A31636"/>
    <w:rsid w:val="00A31FD9"/>
    <w:rsid w:val="00A32320"/>
    <w:rsid w:val="00A32667"/>
    <w:rsid w:val="00A32FE7"/>
    <w:rsid w:val="00A335A4"/>
    <w:rsid w:val="00A335B1"/>
    <w:rsid w:val="00A33B8A"/>
    <w:rsid w:val="00A33BC5"/>
    <w:rsid w:val="00A33BD0"/>
    <w:rsid w:val="00A34344"/>
    <w:rsid w:val="00A34A8A"/>
    <w:rsid w:val="00A34AC5"/>
    <w:rsid w:val="00A3599D"/>
    <w:rsid w:val="00A36548"/>
    <w:rsid w:val="00A366CE"/>
    <w:rsid w:val="00A366DE"/>
    <w:rsid w:val="00A3697B"/>
    <w:rsid w:val="00A36AD8"/>
    <w:rsid w:val="00A37441"/>
    <w:rsid w:val="00A374DD"/>
    <w:rsid w:val="00A3768C"/>
    <w:rsid w:val="00A37808"/>
    <w:rsid w:val="00A37F0A"/>
    <w:rsid w:val="00A37F88"/>
    <w:rsid w:val="00A40067"/>
    <w:rsid w:val="00A408C6"/>
    <w:rsid w:val="00A4091E"/>
    <w:rsid w:val="00A40EEA"/>
    <w:rsid w:val="00A41149"/>
    <w:rsid w:val="00A41171"/>
    <w:rsid w:val="00A4172E"/>
    <w:rsid w:val="00A41D28"/>
    <w:rsid w:val="00A4261E"/>
    <w:rsid w:val="00A431B5"/>
    <w:rsid w:val="00A434AB"/>
    <w:rsid w:val="00A4370D"/>
    <w:rsid w:val="00A4374F"/>
    <w:rsid w:val="00A43BAC"/>
    <w:rsid w:val="00A43E09"/>
    <w:rsid w:val="00A443C9"/>
    <w:rsid w:val="00A444CB"/>
    <w:rsid w:val="00A447B0"/>
    <w:rsid w:val="00A44AA7"/>
    <w:rsid w:val="00A44C80"/>
    <w:rsid w:val="00A44E2E"/>
    <w:rsid w:val="00A44E73"/>
    <w:rsid w:val="00A4520B"/>
    <w:rsid w:val="00A45B14"/>
    <w:rsid w:val="00A45FFD"/>
    <w:rsid w:val="00A46202"/>
    <w:rsid w:val="00A46787"/>
    <w:rsid w:val="00A46795"/>
    <w:rsid w:val="00A468FE"/>
    <w:rsid w:val="00A46C17"/>
    <w:rsid w:val="00A46E58"/>
    <w:rsid w:val="00A47212"/>
    <w:rsid w:val="00A475AF"/>
    <w:rsid w:val="00A4788A"/>
    <w:rsid w:val="00A478DE"/>
    <w:rsid w:val="00A47CB7"/>
    <w:rsid w:val="00A47F44"/>
    <w:rsid w:val="00A50897"/>
    <w:rsid w:val="00A508F4"/>
    <w:rsid w:val="00A50BA7"/>
    <w:rsid w:val="00A50BEC"/>
    <w:rsid w:val="00A50DBC"/>
    <w:rsid w:val="00A50E1D"/>
    <w:rsid w:val="00A50FB5"/>
    <w:rsid w:val="00A51140"/>
    <w:rsid w:val="00A516AC"/>
    <w:rsid w:val="00A51917"/>
    <w:rsid w:val="00A51DA4"/>
    <w:rsid w:val="00A533E4"/>
    <w:rsid w:val="00A53444"/>
    <w:rsid w:val="00A534C0"/>
    <w:rsid w:val="00A5356A"/>
    <w:rsid w:val="00A539F5"/>
    <w:rsid w:val="00A53E59"/>
    <w:rsid w:val="00A54038"/>
    <w:rsid w:val="00A546C8"/>
    <w:rsid w:val="00A55069"/>
    <w:rsid w:val="00A553C2"/>
    <w:rsid w:val="00A5551F"/>
    <w:rsid w:val="00A56868"/>
    <w:rsid w:val="00A56CBE"/>
    <w:rsid w:val="00A56DDF"/>
    <w:rsid w:val="00A57B1D"/>
    <w:rsid w:val="00A60E30"/>
    <w:rsid w:val="00A6117A"/>
    <w:rsid w:val="00A612AC"/>
    <w:rsid w:val="00A618B1"/>
    <w:rsid w:val="00A61E50"/>
    <w:rsid w:val="00A62821"/>
    <w:rsid w:val="00A62DE8"/>
    <w:rsid w:val="00A636D1"/>
    <w:rsid w:val="00A63EB1"/>
    <w:rsid w:val="00A647C1"/>
    <w:rsid w:val="00A649C3"/>
    <w:rsid w:val="00A65065"/>
    <w:rsid w:val="00A65500"/>
    <w:rsid w:val="00A65834"/>
    <w:rsid w:val="00A65A05"/>
    <w:rsid w:val="00A6647E"/>
    <w:rsid w:val="00A667A9"/>
    <w:rsid w:val="00A667D3"/>
    <w:rsid w:val="00A66B23"/>
    <w:rsid w:val="00A67010"/>
    <w:rsid w:val="00A67059"/>
    <w:rsid w:val="00A6716A"/>
    <w:rsid w:val="00A67362"/>
    <w:rsid w:val="00A679B4"/>
    <w:rsid w:val="00A67D0D"/>
    <w:rsid w:val="00A67DBD"/>
    <w:rsid w:val="00A67FED"/>
    <w:rsid w:val="00A70A30"/>
    <w:rsid w:val="00A70DAB"/>
    <w:rsid w:val="00A713EF"/>
    <w:rsid w:val="00A71470"/>
    <w:rsid w:val="00A714EC"/>
    <w:rsid w:val="00A71B7B"/>
    <w:rsid w:val="00A71CE1"/>
    <w:rsid w:val="00A71D8B"/>
    <w:rsid w:val="00A72122"/>
    <w:rsid w:val="00A725E8"/>
    <w:rsid w:val="00A72854"/>
    <w:rsid w:val="00A72D4E"/>
    <w:rsid w:val="00A72F3C"/>
    <w:rsid w:val="00A72FCC"/>
    <w:rsid w:val="00A7322F"/>
    <w:rsid w:val="00A73283"/>
    <w:rsid w:val="00A7345B"/>
    <w:rsid w:val="00A73803"/>
    <w:rsid w:val="00A7408B"/>
    <w:rsid w:val="00A7414C"/>
    <w:rsid w:val="00A741D6"/>
    <w:rsid w:val="00A7462E"/>
    <w:rsid w:val="00A74759"/>
    <w:rsid w:val="00A74AC1"/>
    <w:rsid w:val="00A75401"/>
    <w:rsid w:val="00A75699"/>
    <w:rsid w:val="00A75FBF"/>
    <w:rsid w:val="00A7626C"/>
    <w:rsid w:val="00A76321"/>
    <w:rsid w:val="00A765F9"/>
    <w:rsid w:val="00A768AB"/>
    <w:rsid w:val="00A76E11"/>
    <w:rsid w:val="00A773E8"/>
    <w:rsid w:val="00A77765"/>
    <w:rsid w:val="00A77A74"/>
    <w:rsid w:val="00A801FF"/>
    <w:rsid w:val="00A8032E"/>
    <w:rsid w:val="00A80B70"/>
    <w:rsid w:val="00A80B82"/>
    <w:rsid w:val="00A80C00"/>
    <w:rsid w:val="00A80EC7"/>
    <w:rsid w:val="00A810BE"/>
    <w:rsid w:val="00A811AC"/>
    <w:rsid w:val="00A81A4F"/>
    <w:rsid w:val="00A81FC1"/>
    <w:rsid w:val="00A82191"/>
    <w:rsid w:val="00A82704"/>
    <w:rsid w:val="00A82A8F"/>
    <w:rsid w:val="00A82CF5"/>
    <w:rsid w:val="00A831B3"/>
    <w:rsid w:val="00A83784"/>
    <w:rsid w:val="00A844EC"/>
    <w:rsid w:val="00A84894"/>
    <w:rsid w:val="00A84EF1"/>
    <w:rsid w:val="00A850B7"/>
    <w:rsid w:val="00A854CB"/>
    <w:rsid w:val="00A855F3"/>
    <w:rsid w:val="00A8570A"/>
    <w:rsid w:val="00A8582C"/>
    <w:rsid w:val="00A8584D"/>
    <w:rsid w:val="00A85A65"/>
    <w:rsid w:val="00A86090"/>
    <w:rsid w:val="00A869D3"/>
    <w:rsid w:val="00A86AE4"/>
    <w:rsid w:val="00A87B50"/>
    <w:rsid w:val="00A87CEA"/>
    <w:rsid w:val="00A87E17"/>
    <w:rsid w:val="00A900DA"/>
    <w:rsid w:val="00A90161"/>
    <w:rsid w:val="00A90240"/>
    <w:rsid w:val="00A903E4"/>
    <w:rsid w:val="00A9062E"/>
    <w:rsid w:val="00A90E85"/>
    <w:rsid w:val="00A913A8"/>
    <w:rsid w:val="00A9147C"/>
    <w:rsid w:val="00A91714"/>
    <w:rsid w:val="00A917A2"/>
    <w:rsid w:val="00A919D2"/>
    <w:rsid w:val="00A91AA4"/>
    <w:rsid w:val="00A92887"/>
    <w:rsid w:val="00A928C0"/>
    <w:rsid w:val="00A9385D"/>
    <w:rsid w:val="00A94174"/>
    <w:rsid w:val="00A94227"/>
    <w:rsid w:val="00A94A9D"/>
    <w:rsid w:val="00A94F43"/>
    <w:rsid w:val="00A95765"/>
    <w:rsid w:val="00A95AE8"/>
    <w:rsid w:val="00A95E80"/>
    <w:rsid w:val="00A9608F"/>
    <w:rsid w:val="00A965EA"/>
    <w:rsid w:val="00A9661D"/>
    <w:rsid w:val="00A96911"/>
    <w:rsid w:val="00A969D0"/>
    <w:rsid w:val="00A97061"/>
    <w:rsid w:val="00A97107"/>
    <w:rsid w:val="00A97363"/>
    <w:rsid w:val="00A97492"/>
    <w:rsid w:val="00A97ACD"/>
    <w:rsid w:val="00AA0361"/>
    <w:rsid w:val="00AA0840"/>
    <w:rsid w:val="00AA10F7"/>
    <w:rsid w:val="00AA1BD9"/>
    <w:rsid w:val="00AA20AA"/>
    <w:rsid w:val="00AA2AA8"/>
    <w:rsid w:val="00AA2F8E"/>
    <w:rsid w:val="00AA324D"/>
    <w:rsid w:val="00AA342B"/>
    <w:rsid w:val="00AA352D"/>
    <w:rsid w:val="00AA396A"/>
    <w:rsid w:val="00AA3CEA"/>
    <w:rsid w:val="00AA3D71"/>
    <w:rsid w:val="00AA3E90"/>
    <w:rsid w:val="00AA4433"/>
    <w:rsid w:val="00AA45FF"/>
    <w:rsid w:val="00AA49B2"/>
    <w:rsid w:val="00AA4EA0"/>
    <w:rsid w:val="00AA52B5"/>
    <w:rsid w:val="00AA535E"/>
    <w:rsid w:val="00AA53E0"/>
    <w:rsid w:val="00AA5578"/>
    <w:rsid w:val="00AA5662"/>
    <w:rsid w:val="00AA56BA"/>
    <w:rsid w:val="00AA57CB"/>
    <w:rsid w:val="00AA596A"/>
    <w:rsid w:val="00AA5F15"/>
    <w:rsid w:val="00AA6349"/>
    <w:rsid w:val="00AA636A"/>
    <w:rsid w:val="00AA6467"/>
    <w:rsid w:val="00AA6479"/>
    <w:rsid w:val="00AA6944"/>
    <w:rsid w:val="00AA6978"/>
    <w:rsid w:val="00AA6A74"/>
    <w:rsid w:val="00AA6BC2"/>
    <w:rsid w:val="00AA7189"/>
    <w:rsid w:val="00AA71F8"/>
    <w:rsid w:val="00AA74CB"/>
    <w:rsid w:val="00AA75C9"/>
    <w:rsid w:val="00AA75FF"/>
    <w:rsid w:val="00AA7E96"/>
    <w:rsid w:val="00AB0275"/>
    <w:rsid w:val="00AB0B92"/>
    <w:rsid w:val="00AB0E5F"/>
    <w:rsid w:val="00AB102A"/>
    <w:rsid w:val="00AB2249"/>
    <w:rsid w:val="00AB2455"/>
    <w:rsid w:val="00AB25EE"/>
    <w:rsid w:val="00AB2625"/>
    <w:rsid w:val="00AB26C8"/>
    <w:rsid w:val="00AB282C"/>
    <w:rsid w:val="00AB2902"/>
    <w:rsid w:val="00AB290B"/>
    <w:rsid w:val="00AB2936"/>
    <w:rsid w:val="00AB2DA3"/>
    <w:rsid w:val="00AB3DC1"/>
    <w:rsid w:val="00AB4BA0"/>
    <w:rsid w:val="00AB4C4E"/>
    <w:rsid w:val="00AB4CDC"/>
    <w:rsid w:val="00AB4D5E"/>
    <w:rsid w:val="00AB5449"/>
    <w:rsid w:val="00AB54CB"/>
    <w:rsid w:val="00AB5C7D"/>
    <w:rsid w:val="00AB5DCF"/>
    <w:rsid w:val="00AB615F"/>
    <w:rsid w:val="00AB6598"/>
    <w:rsid w:val="00AB6864"/>
    <w:rsid w:val="00AB6A81"/>
    <w:rsid w:val="00AB6B6D"/>
    <w:rsid w:val="00AB6E51"/>
    <w:rsid w:val="00AB75C1"/>
    <w:rsid w:val="00AB7AAF"/>
    <w:rsid w:val="00AB7AC8"/>
    <w:rsid w:val="00AB7E61"/>
    <w:rsid w:val="00AC0AA3"/>
    <w:rsid w:val="00AC0BB3"/>
    <w:rsid w:val="00AC0FCC"/>
    <w:rsid w:val="00AC114A"/>
    <w:rsid w:val="00AC1414"/>
    <w:rsid w:val="00AC18CB"/>
    <w:rsid w:val="00AC1D9D"/>
    <w:rsid w:val="00AC1E34"/>
    <w:rsid w:val="00AC26B8"/>
    <w:rsid w:val="00AC26E9"/>
    <w:rsid w:val="00AC2A3A"/>
    <w:rsid w:val="00AC2D42"/>
    <w:rsid w:val="00AC2DF8"/>
    <w:rsid w:val="00AC30D8"/>
    <w:rsid w:val="00AC3185"/>
    <w:rsid w:val="00AC3355"/>
    <w:rsid w:val="00AC46FB"/>
    <w:rsid w:val="00AC477A"/>
    <w:rsid w:val="00AC4B10"/>
    <w:rsid w:val="00AC4B9E"/>
    <w:rsid w:val="00AC537B"/>
    <w:rsid w:val="00AC53AF"/>
    <w:rsid w:val="00AC5DAC"/>
    <w:rsid w:val="00AC5E78"/>
    <w:rsid w:val="00AC65C1"/>
    <w:rsid w:val="00AC6924"/>
    <w:rsid w:val="00AC69D1"/>
    <w:rsid w:val="00AC6B3A"/>
    <w:rsid w:val="00AC6D8C"/>
    <w:rsid w:val="00AC6FD5"/>
    <w:rsid w:val="00AC7163"/>
    <w:rsid w:val="00AC723F"/>
    <w:rsid w:val="00AC75AE"/>
    <w:rsid w:val="00AC7A17"/>
    <w:rsid w:val="00AC7FF1"/>
    <w:rsid w:val="00AD0542"/>
    <w:rsid w:val="00AD0849"/>
    <w:rsid w:val="00AD0852"/>
    <w:rsid w:val="00AD0C25"/>
    <w:rsid w:val="00AD0CE9"/>
    <w:rsid w:val="00AD0E94"/>
    <w:rsid w:val="00AD10E0"/>
    <w:rsid w:val="00AD11C1"/>
    <w:rsid w:val="00AD152F"/>
    <w:rsid w:val="00AD164F"/>
    <w:rsid w:val="00AD19E9"/>
    <w:rsid w:val="00AD1A7C"/>
    <w:rsid w:val="00AD1DFE"/>
    <w:rsid w:val="00AD2881"/>
    <w:rsid w:val="00AD2B70"/>
    <w:rsid w:val="00AD2C2B"/>
    <w:rsid w:val="00AD2D85"/>
    <w:rsid w:val="00AD3187"/>
    <w:rsid w:val="00AD32C3"/>
    <w:rsid w:val="00AD348C"/>
    <w:rsid w:val="00AD39D5"/>
    <w:rsid w:val="00AD44B2"/>
    <w:rsid w:val="00AD4567"/>
    <w:rsid w:val="00AD45D3"/>
    <w:rsid w:val="00AD4636"/>
    <w:rsid w:val="00AD4C5D"/>
    <w:rsid w:val="00AD4DB5"/>
    <w:rsid w:val="00AD5B2C"/>
    <w:rsid w:val="00AD66DD"/>
    <w:rsid w:val="00AD673C"/>
    <w:rsid w:val="00AD6763"/>
    <w:rsid w:val="00AD68B6"/>
    <w:rsid w:val="00AD68CC"/>
    <w:rsid w:val="00AD695B"/>
    <w:rsid w:val="00AD6B51"/>
    <w:rsid w:val="00AD72D3"/>
    <w:rsid w:val="00AD72DC"/>
    <w:rsid w:val="00AD7385"/>
    <w:rsid w:val="00AD78A6"/>
    <w:rsid w:val="00AE057C"/>
    <w:rsid w:val="00AE0805"/>
    <w:rsid w:val="00AE0991"/>
    <w:rsid w:val="00AE09F0"/>
    <w:rsid w:val="00AE0CBB"/>
    <w:rsid w:val="00AE16A2"/>
    <w:rsid w:val="00AE16D7"/>
    <w:rsid w:val="00AE1840"/>
    <w:rsid w:val="00AE1A56"/>
    <w:rsid w:val="00AE1C2A"/>
    <w:rsid w:val="00AE1DAE"/>
    <w:rsid w:val="00AE2138"/>
    <w:rsid w:val="00AE27D4"/>
    <w:rsid w:val="00AE28F9"/>
    <w:rsid w:val="00AE31B9"/>
    <w:rsid w:val="00AE3257"/>
    <w:rsid w:val="00AE32CB"/>
    <w:rsid w:val="00AE3623"/>
    <w:rsid w:val="00AE3956"/>
    <w:rsid w:val="00AE3C8F"/>
    <w:rsid w:val="00AE41C5"/>
    <w:rsid w:val="00AE4981"/>
    <w:rsid w:val="00AE4D7F"/>
    <w:rsid w:val="00AE5F32"/>
    <w:rsid w:val="00AE61F7"/>
    <w:rsid w:val="00AE6734"/>
    <w:rsid w:val="00AE74E9"/>
    <w:rsid w:val="00AE78CC"/>
    <w:rsid w:val="00AF0BD0"/>
    <w:rsid w:val="00AF1128"/>
    <w:rsid w:val="00AF1521"/>
    <w:rsid w:val="00AF1A86"/>
    <w:rsid w:val="00AF1A90"/>
    <w:rsid w:val="00AF1E78"/>
    <w:rsid w:val="00AF216E"/>
    <w:rsid w:val="00AF21EB"/>
    <w:rsid w:val="00AF230B"/>
    <w:rsid w:val="00AF23AC"/>
    <w:rsid w:val="00AF2781"/>
    <w:rsid w:val="00AF283E"/>
    <w:rsid w:val="00AF2BED"/>
    <w:rsid w:val="00AF2D32"/>
    <w:rsid w:val="00AF351F"/>
    <w:rsid w:val="00AF3769"/>
    <w:rsid w:val="00AF3943"/>
    <w:rsid w:val="00AF3BB0"/>
    <w:rsid w:val="00AF3BE3"/>
    <w:rsid w:val="00AF44A7"/>
    <w:rsid w:val="00AF4559"/>
    <w:rsid w:val="00AF5277"/>
    <w:rsid w:val="00AF5549"/>
    <w:rsid w:val="00AF5612"/>
    <w:rsid w:val="00AF5EDD"/>
    <w:rsid w:val="00AF6639"/>
    <w:rsid w:val="00AF670C"/>
    <w:rsid w:val="00AF69DD"/>
    <w:rsid w:val="00AF6B61"/>
    <w:rsid w:val="00AF6BC6"/>
    <w:rsid w:val="00AF6D98"/>
    <w:rsid w:val="00AF74F5"/>
    <w:rsid w:val="00AF79E4"/>
    <w:rsid w:val="00AF7EBF"/>
    <w:rsid w:val="00B006DC"/>
    <w:rsid w:val="00B0077C"/>
    <w:rsid w:val="00B00AB0"/>
    <w:rsid w:val="00B01039"/>
    <w:rsid w:val="00B010A6"/>
    <w:rsid w:val="00B0128C"/>
    <w:rsid w:val="00B01511"/>
    <w:rsid w:val="00B024F7"/>
    <w:rsid w:val="00B02743"/>
    <w:rsid w:val="00B036DE"/>
    <w:rsid w:val="00B03744"/>
    <w:rsid w:val="00B03A20"/>
    <w:rsid w:val="00B03C96"/>
    <w:rsid w:val="00B03ECF"/>
    <w:rsid w:val="00B04371"/>
    <w:rsid w:val="00B04522"/>
    <w:rsid w:val="00B0469E"/>
    <w:rsid w:val="00B047F8"/>
    <w:rsid w:val="00B04908"/>
    <w:rsid w:val="00B04F40"/>
    <w:rsid w:val="00B0519E"/>
    <w:rsid w:val="00B0548F"/>
    <w:rsid w:val="00B05C1D"/>
    <w:rsid w:val="00B06085"/>
    <w:rsid w:val="00B06A45"/>
    <w:rsid w:val="00B06B05"/>
    <w:rsid w:val="00B06B07"/>
    <w:rsid w:val="00B06B21"/>
    <w:rsid w:val="00B06D41"/>
    <w:rsid w:val="00B06E15"/>
    <w:rsid w:val="00B073C1"/>
    <w:rsid w:val="00B0791D"/>
    <w:rsid w:val="00B0797E"/>
    <w:rsid w:val="00B07CF0"/>
    <w:rsid w:val="00B07D1E"/>
    <w:rsid w:val="00B109B4"/>
    <w:rsid w:val="00B10A54"/>
    <w:rsid w:val="00B10EC1"/>
    <w:rsid w:val="00B10F34"/>
    <w:rsid w:val="00B1123A"/>
    <w:rsid w:val="00B113BA"/>
    <w:rsid w:val="00B11568"/>
    <w:rsid w:val="00B119BB"/>
    <w:rsid w:val="00B11A24"/>
    <w:rsid w:val="00B11EF3"/>
    <w:rsid w:val="00B1206A"/>
    <w:rsid w:val="00B1220A"/>
    <w:rsid w:val="00B12239"/>
    <w:rsid w:val="00B12A8F"/>
    <w:rsid w:val="00B12F2F"/>
    <w:rsid w:val="00B13578"/>
    <w:rsid w:val="00B13C36"/>
    <w:rsid w:val="00B13D2E"/>
    <w:rsid w:val="00B14008"/>
    <w:rsid w:val="00B1417C"/>
    <w:rsid w:val="00B14CF3"/>
    <w:rsid w:val="00B1552C"/>
    <w:rsid w:val="00B1571F"/>
    <w:rsid w:val="00B15B3E"/>
    <w:rsid w:val="00B15B58"/>
    <w:rsid w:val="00B15DDC"/>
    <w:rsid w:val="00B15FA2"/>
    <w:rsid w:val="00B16E7E"/>
    <w:rsid w:val="00B172E2"/>
    <w:rsid w:val="00B17532"/>
    <w:rsid w:val="00B17576"/>
    <w:rsid w:val="00B17747"/>
    <w:rsid w:val="00B177E6"/>
    <w:rsid w:val="00B2031B"/>
    <w:rsid w:val="00B20674"/>
    <w:rsid w:val="00B20CFE"/>
    <w:rsid w:val="00B21160"/>
    <w:rsid w:val="00B2189D"/>
    <w:rsid w:val="00B21F6A"/>
    <w:rsid w:val="00B220E4"/>
    <w:rsid w:val="00B226DE"/>
    <w:rsid w:val="00B22742"/>
    <w:rsid w:val="00B2306C"/>
    <w:rsid w:val="00B2314F"/>
    <w:rsid w:val="00B239F9"/>
    <w:rsid w:val="00B23F1E"/>
    <w:rsid w:val="00B23FA6"/>
    <w:rsid w:val="00B23FB7"/>
    <w:rsid w:val="00B242C0"/>
    <w:rsid w:val="00B243C4"/>
    <w:rsid w:val="00B24908"/>
    <w:rsid w:val="00B24BD1"/>
    <w:rsid w:val="00B24D55"/>
    <w:rsid w:val="00B250FF"/>
    <w:rsid w:val="00B25208"/>
    <w:rsid w:val="00B2547B"/>
    <w:rsid w:val="00B2643E"/>
    <w:rsid w:val="00B26621"/>
    <w:rsid w:val="00B27101"/>
    <w:rsid w:val="00B27265"/>
    <w:rsid w:val="00B275CC"/>
    <w:rsid w:val="00B278BB"/>
    <w:rsid w:val="00B2796E"/>
    <w:rsid w:val="00B27D1B"/>
    <w:rsid w:val="00B27EC9"/>
    <w:rsid w:val="00B30B16"/>
    <w:rsid w:val="00B30B31"/>
    <w:rsid w:val="00B30C0F"/>
    <w:rsid w:val="00B30FFB"/>
    <w:rsid w:val="00B310D6"/>
    <w:rsid w:val="00B31B79"/>
    <w:rsid w:val="00B32668"/>
    <w:rsid w:val="00B327D9"/>
    <w:rsid w:val="00B32E55"/>
    <w:rsid w:val="00B32F6F"/>
    <w:rsid w:val="00B335E4"/>
    <w:rsid w:val="00B33986"/>
    <w:rsid w:val="00B33E8A"/>
    <w:rsid w:val="00B33F28"/>
    <w:rsid w:val="00B34243"/>
    <w:rsid w:val="00B342CF"/>
    <w:rsid w:val="00B346E5"/>
    <w:rsid w:val="00B353C2"/>
    <w:rsid w:val="00B354B2"/>
    <w:rsid w:val="00B35B8B"/>
    <w:rsid w:val="00B35CE0"/>
    <w:rsid w:val="00B3616C"/>
    <w:rsid w:val="00B36224"/>
    <w:rsid w:val="00B3691D"/>
    <w:rsid w:val="00B36CB0"/>
    <w:rsid w:val="00B37619"/>
    <w:rsid w:val="00B37743"/>
    <w:rsid w:val="00B37ED4"/>
    <w:rsid w:val="00B37F55"/>
    <w:rsid w:val="00B40AB0"/>
    <w:rsid w:val="00B40D46"/>
    <w:rsid w:val="00B40E72"/>
    <w:rsid w:val="00B411B9"/>
    <w:rsid w:val="00B411E1"/>
    <w:rsid w:val="00B41EDF"/>
    <w:rsid w:val="00B41FBF"/>
    <w:rsid w:val="00B42032"/>
    <w:rsid w:val="00B4259D"/>
    <w:rsid w:val="00B4299E"/>
    <w:rsid w:val="00B42C75"/>
    <w:rsid w:val="00B42F3F"/>
    <w:rsid w:val="00B4322A"/>
    <w:rsid w:val="00B43251"/>
    <w:rsid w:val="00B432DB"/>
    <w:rsid w:val="00B434AC"/>
    <w:rsid w:val="00B436A9"/>
    <w:rsid w:val="00B43A06"/>
    <w:rsid w:val="00B43BA3"/>
    <w:rsid w:val="00B43D07"/>
    <w:rsid w:val="00B43D2D"/>
    <w:rsid w:val="00B44FEC"/>
    <w:rsid w:val="00B4503B"/>
    <w:rsid w:val="00B459B9"/>
    <w:rsid w:val="00B459BE"/>
    <w:rsid w:val="00B45B9F"/>
    <w:rsid w:val="00B45BF1"/>
    <w:rsid w:val="00B45C9E"/>
    <w:rsid w:val="00B463B4"/>
    <w:rsid w:val="00B464E3"/>
    <w:rsid w:val="00B46557"/>
    <w:rsid w:val="00B46C30"/>
    <w:rsid w:val="00B470D5"/>
    <w:rsid w:val="00B4744A"/>
    <w:rsid w:val="00B47693"/>
    <w:rsid w:val="00B5023E"/>
    <w:rsid w:val="00B502AE"/>
    <w:rsid w:val="00B5038F"/>
    <w:rsid w:val="00B5061A"/>
    <w:rsid w:val="00B50732"/>
    <w:rsid w:val="00B50B52"/>
    <w:rsid w:val="00B50C45"/>
    <w:rsid w:val="00B51242"/>
    <w:rsid w:val="00B514B6"/>
    <w:rsid w:val="00B519FA"/>
    <w:rsid w:val="00B51A0E"/>
    <w:rsid w:val="00B51D16"/>
    <w:rsid w:val="00B52176"/>
    <w:rsid w:val="00B5235F"/>
    <w:rsid w:val="00B5239A"/>
    <w:rsid w:val="00B523A5"/>
    <w:rsid w:val="00B52E07"/>
    <w:rsid w:val="00B537F1"/>
    <w:rsid w:val="00B53AF4"/>
    <w:rsid w:val="00B53C03"/>
    <w:rsid w:val="00B541B4"/>
    <w:rsid w:val="00B545EB"/>
    <w:rsid w:val="00B54736"/>
    <w:rsid w:val="00B54D2F"/>
    <w:rsid w:val="00B55DDE"/>
    <w:rsid w:val="00B5601B"/>
    <w:rsid w:val="00B566DA"/>
    <w:rsid w:val="00B567FF"/>
    <w:rsid w:val="00B56C10"/>
    <w:rsid w:val="00B56FBA"/>
    <w:rsid w:val="00B5705D"/>
    <w:rsid w:val="00B57281"/>
    <w:rsid w:val="00B572F1"/>
    <w:rsid w:val="00B573E9"/>
    <w:rsid w:val="00B575F6"/>
    <w:rsid w:val="00B5768B"/>
    <w:rsid w:val="00B57867"/>
    <w:rsid w:val="00B57A6B"/>
    <w:rsid w:val="00B57A7F"/>
    <w:rsid w:val="00B600EE"/>
    <w:rsid w:val="00B601C9"/>
    <w:rsid w:val="00B60AEB"/>
    <w:rsid w:val="00B60BD2"/>
    <w:rsid w:val="00B60CA0"/>
    <w:rsid w:val="00B60D3A"/>
    <w:rsid w:val="00B60F01"/>
    <w:rsid w:val="00B61020"/>
    <w:rsid w:val="00B61346"/>
    <w:rsid w:val="00B61550"/>
    <w:rsid w:val="00B6183D"/>
    <w:rsid w:val="00B61929"/>
    <w:rsid w:val="00B61F3F"/>
    <w:rsid w:val="00B62121"/>
    <w:rsid w:val="00B6238D"/>
    <w:rsid w:val="00B623B7"/>
    <w:rsid w:val="00B62E8A"/>
    <w:rsid w:val="00B632F9"/>
    <w:rsid w:val="00B63989"/>
    <w:rsid w:val="00B64044"/>
    <w:rsid w:val="00B642C2"/>
    <w:rsid w:val="00B6440F"/>
    <w:rsid w:val="00B6487B"/>
    <w:rsid w:val="00B64D34"/>
    <w:rsid w:val="00B64F7C"/>
    <w:rsid w:val="00B654CC"/>
    <w:rsid w:val="00B654D7"/>
    <w:rsid w:val="00B65BF9"/>
    <w:rsid w:val="00B661D8"/>
    <w:rsid w:val="00B665C6"/>
    <w:rsid w:val="00B675FE"/>
    <w:rsid w:val="00B67EAC"/>
    <w:rsid w:val="00B70660"/>
    <w:rsid w:val="00B70845"/>
    <w:rsid w:val="00B70F78"/>
    <w:rsid w:val="00B7137C"/>
    <w:rsid w:val="00B715B2"/>
    <w:rsid w:val="00B71997"/>
    <w:rsid w:val="00B71C2F"/>
    <w:rsid w:val="00B71CD7"/>
    <w:rsid w:val="00B71DF0"/>
    <w:rsid w:val="00B72119"/>
    <w:rsid w:val="00B7228F"/>
    <w:rsid w:val="00B7244E"/>
    <w:rsid w:val="00B7265C"/>
    <w:rsid w:val="00B72ACE"/>
    <w:rsid w:val="00B73669"/>
    <w:rsid w:val="00B73AAA"/>
    <w:rsid w:val="00B73E18"/>
    <w:rsid w:val="00B7430A"/>
    <w:rsid w:val="00B7489E"/>
    <w:rsid w:val="00B74A29"/>
    <w:rsid w:val="00B74CBA"/>
    <w:rsid w:val="00B75029"/>
    <w:rsid w:val="00B75B2E"/>
    <w:rsid w:val="00B75EFF"/>
    <w:rsid w:val="00B767D7"/>
    <w:rsid w:val="00B767F3"/>
    <w:rsid w:val="00B76C4C"/>
    <w:rsid w:val="00B76F04"/>
    <w:rsid w:val="00B76F3A"/>
    <w:rsid w:val="00B770A0"/>
    <w:rsid w:val="00B7710A"/>
    <w:rsid w:val="00B773EB"/>
    <w:rsid w:val="00B77979"/>
    <w:rsid w:val="00B77BFF"/>
    <w:rsid w:val="00B77E1B"/>
    <w:rsid w:val="00B77ED3"/>
    <w:rsid w:val="00B77F4D"/>
    <w:rsid w:val="00B803DF"/>
    <w:rsid w:val="00B80690"/>
    <w:rsid w:val="00B812F0"/>
    <w:rsid w:val="00B81884"/>
    <w:rsid w:val="00B81A4A"/>
    <w:rsid w:val="00B821A7"/>
    <w:rsid w:val="00B8255D"/>
    <w:rsid w:val="00B8324D"/>
    <w:rsid w:val="00B8325B"/>
    <w:rsid w:val="00B83C1C"/>
    <w:rsid w:val="00B83EE7"/>
    <w:rsid w:val="00B8413B"/>
    <w:rsid w:val="00B84634"/>
    <w:rsid w:val="00B84726"/>
    <w:rsid w:val="00B84784"/>
    <w:rsid w:val="00B84826"/>
    <w:rsid w:val="00B849AD"/>
    <w:rsid w:val="00B84F6B"/>
    <w:rsid w:val="00B85013"/>
    <w:rsid w:val="00B850BF"/>
    <w:rsid w:val="00B854BF"/>
    <w:rsid w:val="00B855BE"/>
    <w:rsid w:val="00B85A34"/>
    <w:rsid w:val="00B8609C"/>
    <w:rsid w:val="00B860F2"/>
    <w:rsid w:val="00B86181"/>
    <w:rsid w:val="00B867D3"/>
    <w:rsid w:val="00B86C86"/>
    <w:rsid w:val="00B86D33"/>
    <w:rsid w:val="00B87641"/>
    <w:rsid w:val="00B87849"/>
    <w:rsid w:val="00B87B48"/>
    <w:rsid w:val="00B904BB"/>
    <w:rsid w:val="00B90859"/>
    <w:rsid w:val="00B91389"/>
    <w:rsid w:val="00B91552"/>
    <w:rsid w:val="00B9155C"/>
    <w:rsid w:val="00B9164A"/>
    <w:rsid w:val="00B9191F"/>
    <w:rsid w:val="00B91944"/>
    <w:rsid w:val="00B91B2A"/>
    <w:rsid w:val="00B91D69"/>
    <w:rsid w:val="00B91F06"/>
    <w:rsid w:val="00B91F51"/>
    <w:rsid w:val="00B92D8C"/>
    <w:rsid w:val="00B92D9B"/>
    <w:rsid w:val="00B931BB"/>
    <w:rsid w:val="00B93541"/>
    <w:rsid w:val="00B939CB"/>
    <w:rsid w:val="00B93D06"/>
    <w:rsid w:val="00B9445B"/>
    <w:rsid w:val="00B94556"/>
    <w:rsid w:val="00B94C4E"/>
    <w:rsid w:val="00B94D70"/>
    <w:rsid w:val="00B95397"/>
    <w:rsid w:val="00B9568C"/>
    <w:rsid w:val="00B9570B"/>
    <w:rsid w:val="00B95762"/>
    <w:rsid w:val="00B961A1"/>
    <w:rsid w:val="00B96385"/>
    <w:rsid w:val="00B96819"/>
    <w:rsid w:val="00B96CCD"/>
    <w:rsid w:val="00B96D0E"/>
    <w:rsid w:val="00B9749E"/>
    <w:rsid w:val="00B97A6C"/>
    <w:rsid w:val="00B97F90"/>
    <w:rsid w:val="00BA0020"/>
    <w:rsid w:val="00BA0235"/>
    <w:rsid w:val="00BA028D"/>
    <w:rsid w:val="00BA0400"/>
    <w:rsid w:val="00BA0B4F"/>
    <w:rsid w:val="00BA154C"/>
    <w:rsid w:val="00BA17AF"/>
    <w:rsid w:val="00BA189B"/>
    <w:rsid w:val="00BA1A4C"/>
    <w:rsid w:val="00BA1CBD"/>
    <w:rsid w:val="00BA24A2"/>
    <w:rsid w:val="00BA24A4"/>
    <w:rsid w:val="00BA2508"/>
    <w:rsid w:val="00BA2CBD"/>
    <w:rsid w:val="00BA2E6A"/>
    <w:rsid w:val="00BA32CA"/>
    <w:rsid w:val="00BA38EA"/>
    <w:rsid w:val="00BA3B08"/>
    <w:rsid w:val="00BA4108"/>
    <w:rsid w:val="00BA4A9B"/>
    <w:rsid w:val="00BA4D62"/>
    <w:rsid w:val="00BA4E5C"/>
    <w:rsid w:val="00BA4F12"/>
    <w:rsid w:val="00BA507D"/>
    <w:rsid w:val="00BA56F3"/>
    <w:rsid w:val="00BA5AB8"/>
    <w:rsid w:val="00BA5BD4"/>
    <w:rsid w:val="00BA60A3"/>
    <w:rsid w:val="00BA6318"/>
    <w:rsid w:val="00BA68C7"/>
    <w:rsid w:val="00BA6BB1"/>
    <w:rsid w:val="00BA6BCC"/>
    <w:rsid w:val="00BA6FCD"/>
    <w:rsid w:val="00BA772C"/>
    <w:rsid w:val="00BA7977"/>
    <w:rsid w:val="00BA7AB5"/>
    <w:rsid w:val="00BA7CAF"/>
    <w:rsid w:val="00BA7D1E"/>
    <w:rsid w:val="00BA7E6A"/>
    <w:rsid w:val="00BA7FCA"/>
    <w:rsid w:val="00BB02A6"/>
    <w:rsid w:val="00BB03EA"/>
    <w:rsid w:val="00BB1A28"/>
    <w:rsid w:val="00BB1BC5"/>
    <w:rsid w:val="00BB1C32"/>
    <w:rsid w:val="00BB1D46"/>
    <w:rsid w:val="00BB2559"/>
    <w:rsid w:val="00BB2829"/>
    <w:rsid w:val="00BB298A"/>
    <w:rsid w:val="00BB29BC"/>
    <w:rsid w:val="00BB2A4C"/>
    <w:rsid w:val="00BB2FCB"/>
    <w:rsid w:val="00BB32FC"/>
    <w:rsid w:val="00BB3400"/>
    <w:rsid w:val="00BB34F3"/>
    <w:rsid w:val="00BB3564"/>
    <w:rsid w:val="00BB3928"/>
    <w:rsid w:val="00BB3F53"/>
    <w:rsid w:val="00BB423B"/>
    <w:rsid w:val="00BB4455"/>
    <w:rsid w:val="00BB44D7"/>
    <w:rsid w:val="00BB4759"/>
    <w:rsid w:val="00BB4B34"/>
    <w:rsid w:val="00BB4F8E"/>
    <w:rsid w:val="00BB51E8"/>
    <w:rsid w:val="00BB5247"/>
    <w:rsid w:val="00BB66E2"/>
    <w:rsid w:val="00BB67C9"/>
    <w:rsid w:val="00BB6CA9"/>
    <w:rsid w:val="00BB72C7"/>
    <w:rsid w:val="00BB7E1F"/>
    <w:rsid w:val="00BB7E9A"/>
    <w:rsid w:val="00BC02C3"/>
    <w:rsid w:val="00BC0562"/>
    <w:rsid w:val="00BC066E"/>
    <w:rsid w:val="00BC07E3"/>
    <w:rsid w:val="00BC0E86"/>
    <w:rsid w:val="00BC0FD9"/>
    <w:rsid w:val="00BC11A0"/>
    <w:rsid w:val="00BC16C7"/>
    <w:rsid w:val="00BC1F1E"/>
    <w:rsid w:val="00BC203D"/>
    <w:rsid w:val="00BC211D"/>
    <w:rsid w:val="00BC213D"/>
    <w:rsid w:val="00BC2175"/>
    <w:rsid w:val="00BC2942"/>
    <w:rsid w:val="00BC2BB5"/>
    <w:rsid w:val="00BC2BF7"/>
    <w:rsid w:val="00BC3076"/>
    <w:rsid w:val="00BC3E56"/>
    <w:rsid w:val="00BC3FE9"/>
    <w:rsid w:val="00BC4255"/>
    <w:rsid w:val="00BC4C81"/>
    <w:rsid w:val="00BC511A"/>
    <w:rsid w:val="00BC5395"/>
    <w:rsid w:val="00BC541C"/>
    <w:rsid w:val="00BC5468"/>
    <w:rsid w:val="00BC570C"/>
    <w:rsid w:val="00BC5A45"/>
    <w:rsid w:val="00BC5E18"/>
    <w:rsid w:val="00BC639F"/>
    <w:rsid w:val="00BC6EF9"/>
    <w:rsid w:val="00BC6FA6"/>
    <w:rsid w:val="00BC6FAC"/>
    <w:rsid w:val="00BC7171"/>
    <w:rsid w:val="00BC72B4"/>
    <w:rsid w:val="00BC7516"/>
    <w:rsid w:val="00BC76F7"/>
    <w:rsid w:val="00BC7857"/>
    <w:rsid w:val="00BC79EA"/>
    <w:rsid w:val="00BC7E08"/>
    <w:rsid w:val="00BC7EBA"/>
    <w:rsid w:val="00BD007C"/>
    <w:rsid w:val="00BD02E7"/>
    <w:rsid w:val="00BD0940"/>
    <w:rsid w:val="00BD0D00"/>
    <w:rsid w:val="00BD1064"/>
    <w:rsid w:val="00BD148D"/>
    <w:rsid w:val="00BD1539"/>
    <w:rsid w:val="00BD1D7B"/>
    <w:rsid w:val="00BD2564"/>
    <w:rsid w:val="00BD27D2"/>
    <w:rsid w:val="00BD3247"/>
    <w:rsid w:val="00BD3249"/>
    <w:rsid w:val="00BD3918"/>
    <w:rsid w:val="00BD3986"/>
    <w:rsid w:val="00BD44A4"/>
    <w:rsid w:val="00BD4530"/>
    <w:rsid w:val="00BD4E91"/>
    <w:rsid w:val="00BD50BE"/>
    <w:rsid w:val="00BD54CE"/>
    <w:rsid w:val="00BD5C82"/>
    <w:rsid w:val="00BD5EE3"/>
    <w:rsid w:val="00BD60A8"/>
    <w:rsid w:val="00BD6596"/>
    <w:rsid w:val="00BD6907"/>
    <w:rsid w:val="00BD6F50"/>
    <w:rsid w:val="00BD7079"/>
    <w:rsid w:val="00BD7F2F"/>
    <w:rsid w:val="00BD7FCC"/>
    <w:rsid w:val="00BE0253"/>
    <w:rsid w:val="00BE0678"/>
    <w:rsid w:val="00BE0D44"/>
    <w:rsid w:val="00BE1210"/>
    <w:rsid w:val="00BE12EB"/>
    <w:rsid w:val="00BE1FA7"/>
    <w:rsid w:val="00BE25D9"/>
    <w:rsid w:val="00BE2904"/>
    <w:rsid w:val="00BE3BAC"/>
    <w:rsid w:val="00BE3BD9"/>
    <w:rsid w:val="00BE3F21"/>
    <w:rsid w:val="00BE3FAA"/>
    <w:rsid w:val="00BE4095"/>
    <w:rsid w:val="00BE5229"/>
    <w:rsid w:val="00BE539B"/>
    <w:rsid w:val="00BE61FA"/>
    <w:rsid w:val="00BE64BB"/>
    <w:rsid w:val="00BE64C1"/>
    <w:rsid w:val="00BE681A"/>
    <w:rsid w:val="00BE6E7E"/>
    <w:rsid w:val="00BE76A6"/>
    <w:rsid w:val="00BE7753"/>
    <w:rsid w:val="00BE7A08"/>
    <w:rsid w:val="00BE7A1D"/>
    <w:rsid w:val="00BF028B"/>
    <w:rsid w:val="00BF03EA"/>
    <w:rsid w:val="00BF0465"/>
    <w:rsid w:val="00BF0743"/>
    <w:rsid w:val="00BF0858"/>
    <w:rsid w:val="00BF0BBD"/>
    <w:rsid w:val="00BF0FE6"/>
    <w:rsid w:val="00BF1019"/>
    <w:rsid w:val="00BF11EF"/>
    <w:rsid w:val="00BF1625"/>
    <w:rsid w:val="00BF162D"/>
    <w:rsid w:val="00BF1BE4"/>
    <w:rsid w:val="00BF1D37"/>
    <w:rsid w:val="00BF2A34"/>
    <w:rsid w:val="00BF320B"/>
    <w:rsid w:val="00BF336C"/>
    <w:rsid w:val="00BF33AE"/>
    <w:rsid w:val="00BF37ED"/>
    <w:rsid w:val="00BF3CD1"/>
    <w:rsid w:val="00BF3E02"/>
    <w:rsid w:val="00BF41ED"/>
    <w:rsid w:val="00BF46EF"/>
    <w:rsid w:val="00BF47E6"/>
    <w:rsid w:val="00BF4C68"/>
    <w:rsid w:val="00BF4D31"/>
    <w:rsid w:val="00BF5052"/>
    <w:rsid w:val="00BF52E4"/>
    <w:rsid w:val="00BF58F8"/>
    <w:rsid w:val="00BF5ECE"/>
    <w:rsid w:val="00BF5F4F"/>
    <w:rsid w:val="00BF680D"/>
    <w:rsid w:val="00BF6B34"/>
    <w:rsid w:val="00BF6E42"/>
    <w:rsid w:val="00BF76DE"/>
    <w:rsid w:val="00BF7C58"/>
    <w:rsid w:val="00C00285"/>
    <w:rsid w:val="00C0035B"/>
    <w:rsid w:val="00C0051B"/>
    <w:rsid w:val="00C00C90"/>
    <w:rsid w:val="00C00D44"/>
    <w:rsid w:val="00C00E9A"/>
    <w:rsid w:val="00C00FE3"/>
    <w:rsid w:val="00C0153A"/>
    <w:rsid w:val="00C016CE"/>
    <w:rsid w:val="00C01787"/>
    <w:rsid w:val="00C01BA1"/>
    <w:rsid w:val="00C01C57"/>
    <w:rsid w:val="00C01CBA"/>
    <w:rsid w:val="00C01DA5"/>
    <w:rsid w:val="00C01E80"/>
    <w:rsid w:val="00C02394"/>
    <w:rsid w:val="00C024E6"/>
    <w:rsid w:val="00C026DD"/>
    <w:rsid w:val="00C027F1"/>
    <w:rsid w:val="00C02BBF"/>
    <w:rsid w:val="00C02FDE"/>
    <w:rsid w:val="00C032BB"/>
    <w:rsid w:val="00C0330A"/>
    <w:rsid w:val="00C039BB"/>
    <w:rsid w:val="00C03D9F"/>
    <w:rsid w:val="00C041E1"/>
    <w:rsid w:val="00C04349"/>
    <w:rsid w:val="00C0526E"/>
    <w:rsid w:val="00C057EF"/>
    <w:rsid w:val="00C060B9"/>
    <w:rsid w:val="00C062FA"/>
    <w:rsid w:val="00C0636D"/>
    <w:rsid w:val="00C063C5"/>
    <w:rsid w:val="00C06D7A"/>
    <w:rsid w:val="00C06DA3"/>
    <w:rsid w:val="00C06DA8"/>
    <w:rsid w:val="00C10314"/>
    <w:rsid w:val="00C1044C"/>
    <w:rsid w:val="00C106D8"/>
    <w:rsid w:val="00C10CE6"/>
    <w:rsid w:val="00C114E8"/>
    <w:rsid w:val="00C11634"/>
    <w:rsid w:val="00C11A2C"/>
    <w:rsid w:val="00C11B8B"/>
    <w:rsid w:val="00C11BE1"/>
    <w:rsid w:val="00C11C82"/>
    <w:rsid w:val="00C11EFE"/>
    <w:rsid w:val="00C11F17"/>
    <w:rsid w:val="00C125A4"/>
    <w:rsid w:val="00C12DAD"/>
    <w:rsid w:val="00C13243"/>
    <w:rsid w:val="00C132AB"/>
    <w:rsid w:val="00C135DA"/>
    <w:rsid w:val="00C13659"/>
    <w:rsid w:val="00C1389E"/>
    <w:rsid w:val="00C1405C"/>
    <w:rsid w:val="00C141B8"/>
    <w:rsid w:val="00C14288"/>
    <w:rsid w:val="00C1433C"/>
    <w:rsid w:val="00C1436F"/>
    <w:rsid w:val="00C1456C"/>
    <w:rsid w:val="00C14C57"/>
    <w:rsid w:val="00C14D32"/>
    <w:rsid w:val="00C150A7"/>
    <w:rsid w:val="00C155C7"/>
    <w:rsid w:val="00C15C2B"/>
    <w:rsid w:val="00C16253"/>
    <w:rsid w:val="00C1632F"/>
    <w:rsid w:val="00C16484"/>
    <w:rsid w:val="00C167FA"/>
    <w:rsid w:val="00C16CAF"/>
    <w:rsid w:val="00C17809"/>
    <w:rsid w:val="00C178CB"/>
    <w:rsid w:val="00C17DD0"/>
    <w:rsid w:val="00C17E9B"/>
    <w:rsid w:val="00C17FA3"/>
    <w:rsid w:val="00C20255"/>
    <w:rsid w:val="00C20635"/>
    <w:rsid w:val="00C206AA"/>
    <w:rsid w:val="00C21053"/>
    <w:rsid w:val="00C2163C"/>
    <w:rsid w:val="00C216CE"/>
    <w:rsid w:val="00C218FD"/>
    <w:rsid w:val="00C2192D"/>
    <w:rsid w:val="00C21BE0"/>
    <w:rsid w:val="00C21F72"/>
    <w:rsid w:val="00C21FDC"/>
    <w:rsid w:val="00C223EC"/>
    <w:rsid w:val="00C223F3"/>
    <w:rsid w:val="00C225F5"/>
    <w:rsid w:val="00C22687"/>
    <w:rsid w:val="00C228ED"/>
    <w:rsid w:val="00C22A88"/>
    <w:rsid w:val="00C22D2D"/>
    <w:rsid w:val="00C22F8A"/>
    <w:rsid w:val="00C23CFD"/>
    <w:rsid w:val="00C23D1C"/>
    <w:rsid w:val="00C23D47"/>
    <w:rsid w:val="00C23E61"/>
    <w:rsid w:val="00C24B05"/>
    <w:rsid w:val="00C24CE2"/>
    <w:rsid w:val="00C25F21"/>
    <w:rsid w:val="00C2603C"/>
    <w:rsid w:val="00C26794"/>
    <w:rsid w:val="00C267AD"/>
    <w:rsid w:val="00C2693C"/>
    <w:rsid w:val="00C26993"/>
    <w:rsid w:val="00C26E18"/>
    <w:rsid w:val="00C27EBF"/>
    <w:rsid w:val="00C30750"/>
    <w:rsid w:val="00C307FE"/>
    <w:rsid w:val="00C30974"/>
    <w:rsid w:val="00C30CA3"/>
    <w:rsid w:val="00C30DA5"/>
    <w:rsid w:val="00C30E54"/>
    <w:rsid w:val="00C30F86"/>
    <w:rsid w:val="00C31100"/>
    <w:rsid w:val="00C3155F"/>
    <w:rsid w:val="00C316CA"/>
    <w:rsid w:val="00C3174D"/>
    <w:rsid w:val="00C31D82"/>
    <w:rsid w:val="00C31F8C"/>
    <w:rsid w:val="00C325CC"/>
    <w:rsid w:val="00C326E7"/>
    <w:rsid w:val="00C326E9"/>
    <w:rsid w:val="00C326EA"/>
    <w:rsid w:val="00C32740"/>
    <w:rsid w:val="00C327EC"/>
    <w:rsid w:val="00C32AA5"/>
    <w:rsid w:val="00C32C7E"/>
    <w:rsid w:val="00C32E16"/>
    <w:rsid w:val="00C3331D"/>
    <w:rsid w:val="00C33473"/>
    <w:rsid w:val="00C3378B"/>
    <w:rsid w:val="00C338CD"/>
    <w:rsid w:val="00C33B2E"/>
    <w:rsid w:val="00C33B50"/>
    <w:rsid w:val="00C33C3D"/>
    <w:rsid w:val="00C34263"/>
    <w:rsid w:val="00C34296"/>
    <w:rsid w:val="00C34B34"/>
    <w:rsid w:val="00C34D60"/>
    <w:rsid w:val="00C34F1B"/>
    <w:rsid w:val="00C3506E"/>
    <w:rsid w:val="00C35099"/>
    <w:rsid w:val="00C359DA"/>
    <w:rsid w:val="00C35A48"/>
    <w:rsid w:val="00C36275"/>
    <w:rsid w:val="00C3629D"/>
    <w:rsid w:val="00C366F4"/>
    <w:rsid w:val="00C36962"/>
    <w:rsid w:val="00C36E4B"/>
    <w:rsid w:val="00C37C42"/>
    <w:rsid w:val="00C37D69"/>
    <w:rsid w:val="00C40077"/>
    <w:rsid w:val="00C4036C"/>
    <w:rsid w:val="00C40B0A"/>
    <w:rsid w:val="00C40C76"/>
    <w:rsid w:val="00C40F86"/>
    <w:rsid w:val="00C41511"/>
    <w:rsid w:val="00C41B84"/>
    <w:rsid w:val="00C42072"/>
    <w:rsid w:val="00C42A4A"/>
    <w:rsid w:val="00C42C37"/>
    <w:rsid w:val="00C42EA5"/>
    <w:rsid w:val="00C42ED0"/>
    <w:rsid w:val="00C4313F"/>
    <w:rsid w:val="00C432D4"/>
    <w:rsid w:val="00C4336D"/>
    <w:rsid w:val="00C43657"/>
    <w:rsid w:val="00C4372B"/>
    <w:rsid w:val="00C43A51"/>
    <w:rsid w:val="00C43E18"/>
    <w:rsid w:val="00C441A7"/>
    <w:rsid w:val="00C442B5"/>
    <w:rsid w:val="00C442BC"/>
    <w:rsid w:val="00C4430C"/>
    <w:rsid w:val="00C449ED"/>
    <w:rsid w:val="00C44B4B"/>
    <w:rsid w:val="00C44FF1"/>
    <w:rsid w:val="00C4509C"/>
    <w:rsid w:val="00C45112"/>
    <w:rsid w:val="00C4531A"/>
    <w:rsid w:val="00C459E4"/>
    <w:rsid w:val="00C467C4"/>
    <w:rsid w:val="00C46A9C"/>
    <w:rsid w:val="00C47148"/>
    <w:rsid w:val="00C471F6"/>
    <w:rsid w:val="00C47B40"/>
    <w:rsid w:val="00C47D2A"/>
    <w:rsid w:val="00C47E58"/>
    <w:rsid w:val="00C47FAA"/>
    <w:rsid w:val="00C47FC3"/>
    <w:rsid w:val="00C5005F"/>
    <w:rsid w:val="00C5039E"/>
    <w:rsid w:val="00C503CD"/>
    <w:rsid w:val="00C503EE"/>
    <w:rsid w:val="00C50A3D"/>
    <w:rsid w:val="00C50AB3"/>
    <w:rsid w:val="00C51111"/>
    <w:rsid w:val="00C51163"/>
    <w:rsid w:val="00C51259"/>
    <w:rsid w:val="00C51369"/>
    <w:rsid w:val="00C5185F"/>
    <w:rsid w:val="00C51A53"/>
    <w:rsid w:val="00C52A32"/>
    <w:rsid w:val="00C532AE"/>
    <w:rsid w:val="00C5343F"/>
    <w:rsid w:val="00C53542"/>
    <w:rsid w:val="00C53AD7"/>
    <w:rsid w:val="00C53B82"/>
    <w:rsid w:val="00C53FBC"/>
    <w:rsid w:val="00C5485A"/>
    <w:rsid w:val="00C54BBA"/>
    <w:rsid w:val="00C54E47"/>
    <w:rsid w:val="00C55615"/>
    <w:rsid w:val="00C55B98"/>
    <w:rsid w:val="00C55F69"/>
    <w:rsid w:val="00C55FAB"/>
    <w:rsid w:val="00C56489"/>
    <w:rsid w:val="00C5660D"/>
    <w:rsid w:val="00C568A3"/>
    <w:rsid w:val="00C56A41"/>
    <w:rsid w:val="00C56C7F"/>
    <w:rsid w:val="00C575E6"/>
    <w:rsid w:val="00C57632"/>
    <w:rsid w:val="00C577C8"/>
    <w:rsid w:val="00C5797C"/>
    <w:rsid w:val="00C57A70"/>
    <w:rsid w:val="00C57B59"/>
    <w:rsid w:val="00C57B77"/>
    <w:rsid w:val="00C57C4E"/>
    <w:rsid w:val="00C57C70"/>
    <w:rsid w:val="00C57C8D"/>
    <w:rsid w:val="00C57DBF"/>
    <w:rsid w:val="00C60055"/>
    <w:rsid w:val="00C604D3"/>
    <w:rsid w:val="00C60640"/>
    <w:rsid w:val="00C61C65"/>
    <w:rsid w:val="00C61C9A"/>
    <w:rsid w:val="00C61D31"/>
    <w:rsid w:val="00C61F39"/>
    <w:rsid w:val="00C62A67"/>
    <w:rsid w:val="00C62BEF"/>
    <w:rsid w:val="00C636E5"/>
    <w:rsid w:val="00C647E9"/>
    <w:rsid w:val="00C649E3"/>
    <w:rsid w:val="00C64FE4"/>
    <w:rsid w:val="00C65070"/>
    <w:rsid w:val="00C6509E"/>
    <w:rsid w:val="00C65184"/>
    <w:rsid w:val="00C653CA"/>
    <w:rsid w:val="00C65693"/>
    <w:rsid w:val="00C65756"/>
    <w:rsid w:val="00C65B3B"/>
    <w:rsid w:val="00C65C43"/>
    <w:rsid w:val="00C65D39"/>
    <w:rsid w:val="00C65F0A"/>
    <w:rsid w:val="00C6634F"/>
    <w:rsid w:val="00C66367"/>
    <w:rsid w:val="00C66800"/>
    <w:rsid w:val="00C6685A"/>
    <w:rsid w:val="00C66F1C"/>
    <w:rsid w:val="00C66FAA"/>
    <w:rsid w:val="00C671DE"/>
    <w:rsid w:val="00C6730C"/>
    <w:rsid w:val="00C67F85"/>
    <w:rsid w:val="00C70072"/>
    <w:rsid w:val="00C70476"/>
    <w:rsid w:val="00C704F3"/>
    <w:rsid w:val="00C708F1"/>
    <w:rsid w:val="00C70CDD"/>
    <w:rsid w:val="00C71557"/>
    <w:rsid w:val="00C71958"/>
    <w:rsid w:val="00C71EB8"/>
    <w:rsid w:val="00C71EE5"/>
    <w:rsid w:val="00C71FE7"/>
    <w:rsid w:val="00C72618"/>
    <w:rsid w:val="00C72ADD"/>
    <w:rsid w:val="00C72CC6"/>
    <w:rsid w:val="00C72F20"/>
    <w:rsid w:val="00C73247"/>
    <w:rsid w:val="00C738EF"/>
    <w:rsid w:val="00C73ACA"/>
    <w:rsid w:val="00C74041"/>
    <w:rsid w:val="00C747C2"/>
    <w:rsid w:val="00C74C47"/>
    <w:rsid w:val="00C750FA"/>
    <w:rsid w:val="00C75174"/>
    <w:rsid w:val="00C751B8"/>
    <w:rsid w:val="00C75286"/>
    <w:rsid w:val="00C753F0"/>
    <w:rsid w:val="00C7611D"/>
    <w:rsid w:val="00C763A5"/>
    <w:rsid w:val="00C766C5"/>
    <w:rsid w:val="00C766D0"/>
    <w:rsid w:val="00C767F8"/>
    <w:rsid w:val="00C76C69"/>
    <w:rsid w:val="00C77160"/>
    <w:rsid w:val="00C77255"/>
    <w:rsid w:val="00C7743C"/>
    <w:rsid w:val="00C7759E"/>
    <w:rsid w:val="00C77B5D"/>
    <w:rsid w:val="00C8068C"/>
    <w:rsid w:val="00C80885"/>
    <w:rsid w:val="00C809DE"/>
    <w:rsid w:val="00C80CE9"/>
    <w:rsid w:val="00C813DE"/>
    <w:rsid w:val="00C81D13"/>
    <w:rsid w:val="00C820FB"/>
    <w:rsid w:val="00C8219C"/>
    <w:rsid w:val="00C821F2"/>
    <w:rsid w:val="00C82342"/>
    <w:rsid w:val="00C826A2"/>
    <w:rsid w:val="00C8273D"/>
    <w:rsid w:val="00C82A56"/>
    <w:rsid w:val="00C82D1C"/>
    <w:rsid w:val="00C82F97"/>
    <w:rsid w:val="00C83090"/>
    <w:rsid w:val="00C830D3"/>
    <w:rsid w:val="00C83C84"/>
    <w:rsid w:val="00C83CC1"/>
    <w:rsid w:val="00C83D74"/>
    <w:rsid w:val="00C83FBF"/>
    <w:rsid w:val="00C8432C"/>
    <w:rsid w:val="00C84356"/>
    <w:rsid w:val="00C844A3"/>
    <w:rsid w:val="00C847FE"/>
    <w:rsid w:val="00C84B93"/>
    <w:rsid w:val="00C84EC2"/>
    <w:rsid w:val="00C850D0"/>
    <w:rsid w:val="00C85659"/>
    <w:rsid w:val="00C85CAE"/>
    <w:rsid w:val="00C85EE4"/>
    <w:rsid w:val="00C860AD"/>
    <w:rsid w:val="00C869FE"/>
    <w:rsid w:val="00C86DE6"/>
    <w:rsid w:val="00C87405"/>
    <w:rsid w:val="00C87D75"/>
    <w:rsid w:val="00C87F83"/>
    <w:rsid w:val="00C901F9"/>
    <w:rsid w:val="00C9029B"/>
    <w:rsid w:val="00C9047D"/>
    <w:rsid w:val="00C904DB"/>
    <w:rsid w:val="00C90640"/>
    <w:rsid w:val="00C9095D"/>
    <w:rsid w:val="00C91AC8"/>
    <w:rsid w:val="00C91C19"/>
    <w:rsid w:val="00C91C3F"/>
    <w:rsid w:val="00C9247A"/>
    <w:rsid w:val="00C926DB"/>
    <w:rsid w:val="00C93990"/>
    <w:rsid w:val="00C93B27"/>
    <w:rsid w:val="00C93EEB"/>
    <w:rsid w:val="00C93FA1"/>
    <w:rsid w:val="00C941C6"/>
    <w:rsid w:val="00C9427A"/>
    <w:rsid w:val="00C94616"/>
    <w:rsid w:val="00C948F1"/>
    <w:rsid w:val="00C94972"/>
    <w:rsid w:val="00C94B42"/>
    <w:rsid w:val="00C950DD"/>
    <w:rsid w:val="00C9569F"/>
    <w:rsid w:val="00C9571A"/>
    <w:rsid w:val="00C957FB"/>
    <w:rsid w:val="00C95E68"/>
    <w:rsid w:val="00C9601C"/>
    <w:rsid w:val="00C96484"/>
    <w:rsid w:val="00C966C0"/>
    <w:rsid w:val="00C96985"/>
    <w:rsid w:val="00C96C41"/>
    <w:rsid w:val="00C9743F"/>
    <w:rsid w:val="00C976AE"/>
    <w:rsid w:val="00C9772C"/>
    <w:rsid w:val="00C97C05"/>
    <w:rsid w:val="00CA0933"/>
    <w:rsid w:val="00CA098D"/>
    <w:rsid w:val="00CA139C"/>
    <w:rsid w:val="00CA189C"/>
    <w:rsid w:val="00CA197C"/>
    <w:rsid w:val="00CA1CEB"/>
    <w:rsid w:val="00CA29CA"/>
    <w:rsid w:val="00CA2D1A"/>
    <w:rsid w:val="00CA3104"/>
    <w:rsid w:val="00CA34C3"/>
    <w:rsid w:val="00CA3628"/>
    <w:rsid w:val="00CA3CB7"/>
    <w:rsid w:val="00CA3F51"/>
    <w:rsid w:val="00CA4101"/>
    <w:rsid w:val="00CA416F"/>
    <w:rsid w:val="00CA44AD"/>
    <w:rsid w:val="00CA4604"/>
    <w:rsid w:val="00CA46C4"/>
    <w:rsid w:val="00CA4FB7"/>
    <w:rsid w:val="00CA57F6"/>
    <w:rsid w:val="00CA5DB1"/>
    <w:rsid w:val="00CA5DB5"/>
    <w:rsid w:val="00CA61ED"/>
    <w:rsid w:val="00CA669A"/>
    <w:rsid w:val="00CA66A3"/>
    <w:rsid w:val="00CA689B"/>
    <w:rsid w:val="00CA6C32"/>
    <w:rsid w:val="00CA71FC"/>
    <w:rsid w:val="00CA7797"/>
    <w:rsid w:val="00CA77F1"/>
    <w:rsid w:val="00CA784E"/>
    <w:rsid w:val="00CA7D4A"/>
    <w:rsid w:val="00CA7D91"/>
    <w:rsid w:val="00CB07A2"/>
    <w:rsid w:val="00CB08C9"/>
    <w:rsid w:val="00CB1006"/>
    <w:rsid w:val="00CB10E2"/>
    <w:rsid w:val="00CB126D"/>
    <w:rsid w:val="00CB1884"/>
    <w:rsid w:val="00CB1D49"/>
    <w:rsid w:val="00CB1E7F"/>
    <w:rsid w:val="00CB1FCE"/>
    <w:rsid w:val="00CB2224"/>
    <w:rsid w:val="00CB2845"/>
    <w:rsid w:val="00CB305F"/>
    <w:rsid w:val="00CB32C3"/>
    <w:rsid w:val="00CB3303"/>
    <w:rsid w:val="00CB33A4"/>
    <w:rsid w:val="00CB35B8"/>
    <w:rsid w:val="00CB35F3"/>
    <w:rsid w:val="00CB3B01"/>
    <w:rsid w:val="00CB41C7"/>
    <w:rsid w:val="00CB420C"/>
    <w:rsid w:val="00CB4252"/>
    <w:rsid w:val="00CB4347"/>
    <w:rsid w:val="00CB4356"/>
    <w:rsid w:val="00CB486C"/>
    <w:rsid w:val="00CB4D83"/>
    <w:rsid w:val="00CB5416"/>
    <w:rsid w:val="00CB576A"/>
    <w:rsid w:val="00CB5CFB"/>
    <w:rsid w:val="00CB5F7A"/>
    <w:rsid w:val="00CB63EF"/>
    <w:rsid w:val="00CB64AE"/>
    <w:rsid w:val="00CB6544"/>
    <w:rsid w:val="00CB69FF"/>
    <w:rsid w:val="00CB6F08"/>
    <w:rsid w:val="00CB77C6"/>
    <w:rsid w:val="00CB7848"/>
    <w:rsid w:val="00CB7D4E"/>
    <w:rsid w:val="00CC010C"/>
    <w:rsid w:val="00CC01CD"/>
    <w:rsid w:val="00CC07A6"/>
    <w:rsid w:val="00CC07FB"/>
    <w:rsid w:val="00CC0BD3"/>
    <w:rsid w:val="00CC0D41"/>
    <w:rsid w:val="00CC178D"/>
    <w:rsid w:val="00CC1DAF"/>
    <w:rsid w:val="00CC210F"/>
    <w:rsid w:val="00CC21DE"/>
    <w:rsid w:val="00CC240E"/>
    <w:rsid w:val="00CC33AD"/>
    <w:rsid w:val="00CC3534"/>
    <w:rsid w:val="00CC36D6"/>
    <w:rsid w:val="00CC374C"/>
    <w:rsid w:val="00CC378B"/>
    <w:rsid w:val="00CC40C3"/>
    <w:rsid w:val="00CC4293"/>
    <w:rsid w:val="00CC42A5"/>
    <w:rsid w:val="00CC444B"/>
    <w:rsid w:val="00CC4B19"/>
    <w:rsid w:val="00CC4C8B"/>
    <w:rsid w:val="00CC4D5F"/>
    <w:rsid w:val="00CC4D9F"/>
    <w:rsid w:val="00CC4EC0"/>
    <w:rsid w:val="00CC5CE8"/>
    <w:rsid w:val="00CC5FBD"/>
    <w:rsid w:val="00CC605E"/>
    <w:rsid w:val="00CC6230"/>
    <w:rsid w:val="00CC6374"/>
    <w:rsid w:val="00CC648C"/>
    <w:rsid w:val="00CC6AF0"/>
    <w:rsid w:val="00CC726B"/>
    <w:rsid w:val="00CC736D"/>
    <w:rsid w:val="00CC73AD"/>
    <w:rsid w:val="00CC7A49"/>
    <w:rsid w:val="00CC7F1D"/>
    <w:rsid w:val="00CD0371"/>
    <w:rsid w:val="00CD09BF"/>
    <w:rsid w:val="00CD0C6A"/>
    <w:rsid w:val="00CD0DB3"/>
    <w:rsid w:val="00CD0F15"/>
    <w:rsid w:val="00CD1393"/>
    <w:rsid w:val="00CD1460"/>
    <w:rsid w:val="00CD19C4"/>
    <w:rsid w:val="00CD1A9C"/>
    <w:rsid w:val="00CD1DB6"/>
    <w:rsid w:val="00CD1DFB"/>
    <w:rsid w:val="00CD1EBB"/>
    <w:rsid w:val="00CD2122"/>
    <w:rsid w:val="00CD2262"/>
    <w:rsid w:val="00CD2775"/>
    <w:rsid w:val="00CD27E9"/>
    <w:rsid w:val="00CD2928"/>
    <w:rsid w:val="00CD2FBB"/>
    <w:rsid w:val="00CD2FCC"/>
    <w:rsid w:val="00CD3BD8"/>
    <w:rsid w:val="00CD4223"/>
    <w:rsid w:val="00CD43B3"/>
    <w:rsid w:val="00CD4D61"/>
    <w:rsid w:val="00CD5041"/>
    <w:rsid w:val="00CD5599"/>
    <w:rsid w:val="00CD5842"/>
    <w:rsid w:val="00CD5F45"/>
    <w:rsid w:val="00CD62A1"/>
    <w:rsid w:val="00CD62DC"/>
    <w:rsid w:val="00CD65B4"/>
    <w:rsid w:val="00CD66A8"/>
    <w:rsid w:val="00CD6C33"/>
    <w:rsid w:val="00CD78AF"/>
    <w:rsid w:val="00CE08C4"/>
    <w:rsid w:val="00CE0D05"/>
    <w:rsid w:val="00CE0D5D"/>
    <w:rsid w:val="00CE1248"/>
    <w:rsid w:val="00CE1606"/>
    <w:rsid w:val="00CE190F"/>
    <w:rsid w:val="00CE1990"/>
    <w:rsid w:val="00CE1CA8"/>
    <w:rsid w:val="00CE2062"/>
    <w:rsid w:val="00CE20D0"/>
    <w:rsid w:val="00CE27AC"/>
    <w:rsid w:val="00CE2800"/>
    <w:rsid w:val="00CE2B35"/>
    <w:rsid w:val="00CE3449"/>
    <w:rsid w:val="00CE378C"/>
    <w:rsid w:val="00CE3BCB"/>
    <w:rsid w:val="00CE3C39"/>
    <w:rsid w:val="00CE421A"/>
    <w:rsid w:val="00CE4510"/>
    <w:rsid w:val="00CE4937"/>
    <w:rsid w:val="00CE4C89"/>
    <w:rsid w:val="00CE50A6"/>
    <w:rsid w:val="00CE5102"/>
    <w:rsid w:val="00CE55C2"/>
    <w:rsid w:val="00CE5977"/>
    <w:rsid w:val="00CE5BC1"/>
    <w:rsid w:val="00CE5BF7"/>
    <w:rsid w:val="00CE5F33"/>
    <w:rsid w:val="00CE690B"/>
    <w:rsid w:val="00CE6D03"/>
    <w:rsid w:val="00CE71C1"/>
    <w:rsid w:val="00CE7223"/>
    <w:rsid w:val="00CE79BA"/>
    <w:rsid w:val="00CE79F6"/>
    <w:rsid w:val="00CE7BC1"/>
    <w:rsid w:val="00CE7F9E"/>
    <w:rsid w:val="00CF0076"/>
    <w:rsid w:val="00CF081C"/>
    <w:rsid w:val="00CF0A16"/>
    <w:rsid w:val="00CF165A"/>
    <w:rsid w:val="00CF18DD"/>
    <w:rsid w:val="00CF194A"/>
    <w:rsid w:val="00CF1A5A"/>
    <w:rsid w:val="00CF1CFD"/>
    <w:rsid w:val="00CF1FC1"/>
    <w:rsid w:val="00CF25E8"/>
    <w:rsid w:val="00CF3069"/>
    <w:rsid w:val="00CF39A6"/>
    <w:rsid w:val="00CF410F"/>
    <w:rsid w:val="00CF4117"/>
    <w:rsid w:val="00CF43B4"/>
    <w:rsid w:val="00CF46E8"/>
    <w:rsid w:val="00CF4FD3"/>
    <w:rsid w:val="00CF58AF"/>
    <w:rsid w:val="00CF5B5D"/>
    <w:rsid w:val="00CF5FA2"/>
    <w:rsid w:val="00CF5FFB"/>
    <w:rsid w:val="00CF6499"/>
    <w:rsid w:val="00CF6A28"/>
    <w:rsid w:val="00CF6DA2"/>
    <w:rsid w:val="00CF721A"/>
    <w:rsid w:val="00CF74DF"/>
    <w:rsid w:val="00CF75EB"/>
    <w:rsid w:val="00CF7B19"/>
    <w:rsid w:val="00D002B6"/>
    <w:rsid w:val="00D005A8"/>
    <w:rsid w:val="00D0070A"/>
    <w:rsid w:val="00D008BC"/>
    <w:rsid w:val="00D00ADE"/>
    <w:rsid w:val="00D00BF1"/>
    <w:rsid w:val="00D00C80"/>
    <w:rsid w:val="00D010EE"/>
    <w:rsid w:val="00D013F5"/>
    <w:rsid w:val="00D014D3"/>
    <w:rsid w:val="00D0157E"/>
    <w:rsid w:val="00D01719"/>
    <w:rsid w:val="00D0176A"/>
    <w:rsid w:val="00D019A6"/>
    <w:rsid w:val="00D020DF"/>
    <w:rsid w:val="00D0236B"/>
    <w:rsid w:val="00D02913"/>
    <w:rsid w:val="00D02A20"/>
    <w:rsid w:val="00D02A30"/>
    <w:rsid w:val="00D03064"/>
    <w:rsid w:val="00D03081"/>
    <w:rsid w:val="00D031D9"/>
    <w:rsid w:val="00D0379E"/>
    <w:rsid w:val="00D038CF"/>
    <w:rsid w:val="00D03DB5"/>
    <w:rsid w:val="00D046CC"/>
    <w:rsid w:val="00D04E15"/>
    <w:rsid w:val="00D04E35"/>
    <w:rsid w:val="00D0526B"/>
    <w:rsid w:val="00D0549C"/>
    <w:rsid w:val="00D05900"/>
    <w:rsid w:val="00D05FD9"/>
    <w:rsid w:val="00D0627D"/>
    <w:rsid w:val="00D06F10"/>
    <w:rsid w:val="00D06F58"/>
    <w:rsid w:val="00D07275"/>
    <w:rsid w:val="00D07339"/>
    <w:rsid w:val="00D07468"/>
    <w:rsid w:val="00D0763D"/>
    <w:rsid w:val="00D07778"/>
    <w:rsid w:val="00D079AE"/>
    <w:rsid w:val="00D07AFD"/>
    <w:rsid w:val="00D07EBE"/>
    <w:rsid w:val="00D10172"/>
    <w:rsid w:val="00D102A0"/>
    <w:rsid w:val="00D1079C"/>
    <w:rsid w:val="00D109E5"/>
    <w:rsid w:val="00D10B33"/>
    <w:rsid w:val="00D10BF2"/>
    <w:rsid w:val="00D115A5"/>
    <w:rsid w:val="00D117BC"/>
    <w:rsid w:val="00D1197C"/>
    <w:rsid w:val="00D119B5"/>
    <w:rsid w:val="00D11C1B"/>
    <w:rsid w:val="00D11C2F"/>
    <w:rsid w:val="00D11D68"/>
    <w:rsid w:val="00D122AA"/>
    <w:rsid w:val="00D126EA"/>
    <w:rsid w:val="00D12808"/>
    <w:rsid w:val="00D12831"/>
    <w:rsid w:val="00D12E65"/>
    <w:rsid w:val="00D133FF"/>
    <w:rsid w:val="00D13577"/>
    <w:rsid w:val="00D136B5"/>
    <w:rsid w:val="00D1382F"/>
    <w:rsid w:val="00D13B18"/>
    <w:rsid w:val="00D13B7E"/>
    <w:rsid w:val="00D13E4A"/>
    <w:rsid w:val="00D140B9"/>
    <w:rsid w:val="00D146C0"/>
    <w:rsid w:val="00D14BA6"/>
    <w:rsid w:val="00D14C38"/>
    <w:rsid w:val="00D14FA6"/>
    <w:rsid w:val="00D14FFB"/>
    <w:rsid w:val="00D153DA"/>
    <w:rsid w:val="00D15499"/>
    <w:rsid w:val="00D15D2A"/>
    <w:rsid w:val="00D16433"/>
    <w:rsid w:val="00D1660C"/>
    <w:rsid w:val="00D1665F"/>
    <w:rsid w:val="00D16D19"/>
    <w:rsid w:val="00D1779F"/>
    <w:rsid w:val="00D177EF"/>
    <w:rsid w:val="00D17CE5"/>
    <w:rsid w:val="00D17FE7"/>
    <w:rsid w:val="00D20299"/>
    <w:rsid w:val="00D2053F"/>
    <w:rsid w:val="00D2057F"/>
    <w:rsid w:val="00D20878"/>
    <w:rsid w:val="00D2090C"/>
    <w:rsid w:val="00D20EB9"/>
    <w:rsid w:val="00D2141F"/>
    <w:rsid w:val="00D21592"/>
    <w:rsid w:val="00D21758"/>
    <w:rsid w:val="00D21A22"/>
    <w:rsid w:val="00D21F58"/>
    <w:rsid w:val="00D21F98"/>
    <w:rsid w:val="00D221A3"/>
    <w:rsid w:val="00D2226C"/>
    <w:rsid w:val="00D22322"/>
    <w:rsid w:val="00D2233D"/>
    <w:rsid w:val="00D22398"/>
    <w:rsid w:val="00D224C2"/>
    <w:rsid w:val="00D22751"/>
    <w:rsid w:val="00D2275F"/>
    <w:rsid w:val="00D22A46"/>
    <w:rsid w:val="00D23016"/>
    <w:rsid w:val="00D2369E"/>
    <w:rsid w:val="00D238C4"/>
    <w:rsid w:val="00D2396F"/>
    <w:rsid w:val="00D24052"/>
    <w:rsid w:val="00D24110"/>
    <w:rsid w:val="00D2455E"/>
    <w:rsid w:val="00D24589"/>
    <w:rsid w:val="00D253A9"/>
    <w:rsid w:val="00D256D5"/>
    <w:rsid w:val="00D257D2"/>
    <w:rsid w:val="00D25AC7"/>
    <w:rsid w:val="00D25DCC"/>
    <w:rsid w:val="00D265F8"/>
    <w:rsid w:val="00D26FB7"/>
    <w:rsid w:val="00D271B0"/>
    <w:rsid w:val="00D27358"/>
    <w:rsid w:val="00D273F7"/>
    <w:rsid w:val="00D275DA"/>
    <w:rsid w:val="00D275F8"/>
    <w:rsid w:val="00D277AA"/>
    <w:rsid w:val="00D30919"/>
    <w:rsid w:val="00D30EA0"/>
    <w:rsid w:val="00D31691"/>
    <w:rsid w:val="00D31A90"/>
    <w:rsid w:val="00D31DE9"/>
    <w:rsid w:val="00D31F5C"/>
    <w:rsid w:val="00D32125"/>
    <w:rsid w:val="00D329D8"/>
    <w:rsid w:val="00D32BEC"/>
    <w:rsid w:val="00D32D6D"/>
    <w:rsid w:val="00D32DB8"/>
    <w:rsid w:val="00D33633"/>
    <w:rsid w:val="00D336BE"/>
    <w:rsid w:val="00D33C57"/>
    <w:rsid w:val="00D34426"/>
    <w:rsid w:val="00D34740"/>
    <w:rsid w:val="00D34EE6"/>
    <w:rsid w:val="00D35131"/>
    <w:rsid w:val="00D355F6"/>
    <w:rsid w:val="00D357A0"/>
    <w:rsid w:val="00D35D60"/>
    <w:rsid w:val="00D36049"/>
    <w:rsid w:val="00D36636"/>
    <w:rsid w:val="00D3664B"/>
    <w:rsid w:val="00D36A4F"/>
    <w:rsid w:val="00D36CCD"/>
    <w:rsid w:val="00D36CF2"/>
    <w:rsid w:val="00D37130"/>
    <w:rsid w:val="00D37322"/>
    <w:rsid w:val="00D37788"/>
    <w:rsid w:val="00D37C9B"/>
    <w:rsid w:val="00D40012"/>
    <w:rsid w:val="00D40D60"/>
    <w:rsid w:val="00D40DD5"/>
    <w:rsid w:val="00D411BD"/>
    <w:rsid w:val="00D41256"/>
    <w:rsid w:val="00D412AD"/>
    <w:rsid w:val="00D41594"/>
    <w:rsid w:val="00D4186D"/>
    <w:rsid w:val="00D41D1A"/>
    <w:rsid w:val="00D423B7"/>
    <w:rsid w:val="00D42708"/>
    <w:rsid w:val="00D42786"/>
    <w:rsid w:val="00D4297D"/>
    <w:rsid w:val="00D42C6C"/>
    <w:rsid w:val="00D42F1F"/>
    <w:rsid w:val="00D43200"/>
    <w:rsid w:val="00D43624"/>
    <w:rsid w:val="00D436CB"/>
    <w:rsid w:val="00D44217"/>
    <w:rsid w:val="00D45034"/>
    <w:rsid w:val="00D4513C"/>
    <w:rsid w:val="00D451A1"/>
    <w:rsid w:val="00D45D4D"/>
    <w:rsid w:val="00D45E5C"/>
    <w:rsid w:val="00D4610A"/>
    <w:rsid w:val="00D46958"/>
    <w:rsid w:val="00D46F5E"/>
    <w:rsid w:val="00D4708B"/>
    <w:rsid w:val="00D4726E"/>
    <w:rsid w:val="00D473C3"/>
    <w:rsid w:val="00D47823"/>
    <w:rsid w:val="00D478D3"/>
    <w:rsid w:val="00D47C19"/>
    <w:rsid w:val="00D47C35"/>
    <w:rsid w:val="00D50005"/>
    <w:rsid w:val="00D5050A"/>
    <w:rsid w:val="00D51440"/>
    <w:rsid w:val="00D51459"/>
    <w:rsid w:val="00D518E5"/>
    <w:rsid w:val="00D51FDC"/>
    <w:rsid w:val="00D5215E"/>
    <w:rsid w:val="00D52411"/>
    <w:rsid w:val="00D5260A"/>
    <w:rsid w:val="00D52B7E"/>
    <w:rsid w:val="00D52C1B"/>
    <w:rsid w:val="00D53207"/>
    <w:rsid w:val="00D532F2"/>
    <w:rsid w:val="00D5367F"/>
    <w:rsid w:val="00D536E5"/>
    <w:rsid w:val="00D53976"/>
    <w:rsid w:val="00D53A59"/>
    <w:rsid w:val="00D53B98"/>
    <w:rsid w:val="00D53EAD"/>
    <w:rsid w:val="00D5402C"/>
    <w:rsid w:val="00D542B8"/>
    <w:rsid w:val="00D544BB"/>
    <w:rsid w:val="00D54503"/>
    <w:rsid w:val="00D5470E"/>
    <w:rsid w:val="00D54A97"/>
    <w:rsid w:val="00D54B19"/>
    <w:rsid w:val="00D54B3E"/>
    <w:rsid w:val="00D54B72"/>
    <w:rsid w:val="00D54C17"/>
    <w:rsid w:val="00D54E88"/>
    <w:rsid w:val="00D553B0"/>
    <w:rsid w:val="00D55637"/>
    <w:rsid w:val="00D557B9"/>
    <w:rsid w:val="00D55F7F"/>
    <w:rsid w:val="00D55FED"/>
    <w:rsid w:val="00D56300"/>
    <w:rsid w:val="00D56AC2"/>
    <w:rsid w:val="00D56D3C"/>
    <w:rsid w:val="00D575AF"/>
    <w:rsid w:val="00D5787A"/>
    <w:rsid w:val="00D57AC9"/>
    <w:rsid w:val="00D60130"/>
    <w:rsid w:val="00D60284"/>
    <w:rsid w:val="00D60661"/>
    <w:rsid w:val="00D608DA"/>
    <w:rsid w:val="00D60B37"/>
    <w:rsid w:val="00D60BFD"/>
    <w:rsid w:val="00D61261"/>
    <w:rsid w:val="00D616EF"/>
    <w:rsid w:val="00D61965"/>
    <w:rsid w:val="00D61ED4"/>
    <w:rsid w:val="00D6264D"/>
    <w:rsid w:val="00D62DA5"/>
    <w:rsid w:val="00D6304C"/>
    <w:rsid w:val="00D6305D"/>
    <w:rsid w:val="00D6339F"/>
    <w:rsid w:val="00D63C0B"/>
    <w:rsid w:val="00D647EB"/>
    <w:rsid w:val="00D64A09"/>
    <w:rsid w:val="00D64F40"/>
    <w:rsid w:val="00D64F5A"/>
    <w:rsid w:val="00D65663"/>
    <w:rsid w:val="00D65A56"/>
    <w:rsid w:val="00D65CA7"/>
    <w:rsid w:val="00D65FA8"/>
    <w:rsid w:val="00D661E0"/>
    <w:rsid w:val="00D664AD"/>
    <w:rsid w:val="00D6664C"/>
    <w:rsid w:val="00D66963"/>
    <w:rsid w:val="00D66D16"/>
    <w:rsid w:val="00D66F91"/>
    <w:rsid w:val="00D675AA"/>
    <w:rsid w:val="00D6765B"/>
    <w:rsid w:val="00D679D3"/>
    <w:rsid w:val="00D67A09"/>
    <w:rsid w:val="00D70171"/>
    <w:rsid w:val="00D7066C"/>
    <w:rsid w:val="00D70AC2"/>
    <w:rsid w:val="00D70C8D"/>
    <w:rsid w:val="00D70CC4"/>
    <w:rsid w:val="00D70CCE"/>
    <w:rsid w:val="00D70FDC"/>
    <w:rsid w:val="00D7122C"/>
    <w:rsid w:val="00D7122E"/>
    <w:rsid w:val="00D7171F"/>
    <w:rsid w:val="00D71853"/>
    <w:rsid w:val="00D71858"/>
    <w:rsid w:val="00D71A6C"/>
    <w:rsid w:val="00D71AD5"/>
    <w:rsid w:val="00D72010"/>
    <w:rsid w:val="00D7216B"/>
    <w:rsid w:val="00D722C1"/>
    <w:rsid w:val="00D724DE"/>
    <w:rsid w:val="00D72778"/>
    <w:rsid w:val="00D728C8"/>
    <w:rsid w:val="00D72B6E"/>
    <w:rsid w:val="00D72F88"/>
    <w:rsid w:val="00D7326F"/>
    <w:rsid w:val="00D733AA"/>
    <w:rsid w:val="00D7385D"/>
    <w:rsid w:val="00D73E8B"/>
    <w:rsid w:val="00D74215"/>
    <w:rsid w:val="00D742C3"/>
    <w:rsid w:val="00D74608"/>
    <w:rsid w:val="00D74AC2"/>
    <w:rsid w:val="00D74D37"/>
    <w:rsid w:val="00D75133"/>
    <w:rsid w:val="00D759A0"/>
    <w:rsid w:val="00D75E0F"/>
    <w:rsid w:val="00D75FC4"/>
    <w:rsid w:val="00D76EAB"/>
    <w:rsid w:val="00D77221"/>
    <w:rsid w:val="00D7741C"/>
    <w:rsid w:val="00D776FF"/>
    <w:rsid w:val="00D777DB"/>
    <w:rsid w:val="00D77BA4"/>
    <w:rsid w:val="00D80380"/>
    <w:rsid w:val="00D8038E"/>
    <w:rsid w:val="00D806C8"/>
    <w:rsid w:val="00D80754"/>
    <w:rsid w:val="00D80BA9"/>
    <w:rsid w:val="00D81245"/>
    <w:rsid w:val="00D8142A"/>
    <w:rsid w:val="00D8170C"/>
    <w:rsid w:val="00D81A11"/>
    <w:rsid w:val="00D81FA4"/>
    <w:rsid w:val="00D82436"/>
    <w:rsid w:val="00D8248C"/>
    <w:rsid w:val="00D828CE"/>
    <w:rsid w:val="00D82B03"/>
    <w:rsid w:val="00D83356"/>
    <w:rsid w:val="00D834B9"/>
    <w:rsid w:val="00D8364D"/>
    <w:rsid w:val="00D8392F"/>
    <w:rsid w:val="00D83E13"/>
    <w:rsid w:val="00D83E23"/>
    <w:rsid w:val="00D8424C"/>
    <w:rsid w:val="00D847CB"/>
    <w:rsid w:val="00D8495B"/>
    <w:rsid w:val="00D84ADF"/>
    <w:rsid w:val="00D84CE5"/>
    <w:rsid w:val="00D84DA5"/>
    <w:rsid w:val="00D84F88"/>
    <w:rsid w:val="00D85A0A"/>
    <w:rsid w:val="00D85B34"/>
    <w:rsid w:val="00D85FE3"/>
    <w:rsid w:val="00D864ED"/>
    <w:rsid w:val="00D86798"/>
    <w:rsid w:val="00D86C1C"/>
    <w:rsid w:val="00D86DCD"/>
    <w:rsid w:val="00D86E2F"/>
    <w:rsid w:val="00D87453"/>
    <w:rsid w:val="00D875EC"/>
    <w:rsid w:val="00D87971"/>
    <w:rsid w:val="00D87B0B"/>
    <w:rsid w:val="00D87B8A"/>
    <w:rsid w:val="00D903E4"/>
    <w:rsid w:val="00D90433"/>
    <w:rsid w:val="00D9059A"/>
    <w:rsid w:val="00D90B16"/>
    <w:rsid w:val="00D90B8A"/>
    <w:rsid w:val="00D9102C"/>
    <w:rsid w:val="00D911BF"/>
    <w:rsid w:val="00D91741"/>
    <w:rsid w:val="00D91BFB"/>
    <w:rsid w:val="00D92551"/>
    <w:rsid w:val="00D92696"/>
    <w:rsid w:val="00D926E9"/>
    <w:rsid w:val="00D927F8"/>
    <w:rsid w:val="00D928CE"/>
    <w:rsid w:val="00D93181"/>
    <w:rsid w:val="00D936DE"/>
    <w:rsid w:val="00D93762"/>
    <w:rsid w:val="00D942C4"/>
    <w:rsid w:val="00D944F6"/>
    <w:rsid w:val="00D94559"/>
    <w:rsid w:val="00D94922"/>
    <w:rsid w:val="00D94B8A"/>
    <w:rsid w:val="00D94E45"/>
    <w:rsid w:val="00D94E4A"/>
    <w:rsid w:val="00D94E85"/>
    <w:rsid w:val="00D952A5"/>
    <w:rsid w:val="00D95576"/>
    <w:rsid w:val="00D95770"/>
    <w:rsid w:val="00D96099"/>
    <w:rsid w:val="00D962E7"/>
    <w:rsid w:val="00D96B83"/>
    <w:rsid w:val="00D97166"/>
    <w:rsid w:val="00D9768F"/>
    <w:rsid w:val="00D97B2D"/>
    <w:rsid w:val="00D97B58"/>
    <w:rsid w:val="00D97D0F"/>
    <w:rsid w:val="00D97F73"/>
    <w:rsid w:val="00DA014C"/>
    <w:rsid w:val="00DA017F"/>
    <w:rsid w:val="00DA0BBB"/>
    <w:rsid w:val="00DA0CD5"/>
    <w:rsid w:val="00DA0E86"/>
    <w:rsid w:val="00DA10D9"/>
    <w:rsid w:val="00DA129B"/>
    <w:rsid w:val="00DA1313"/>
    <w:rsid w:val="00DA1605"/>
    <w:rsid w:val="00DA1B1F"/>
    <w:rsid w:val="00DA2146"/>
    <w:rsid w:val="00DA2298"/>
    <w:rsid w:val="00DA2494"/>
    <w:rsid w:val="00DA2D4F"/>
    <w:rsid w:val="00DA3295"/>
    <w:rsid w:val="00DA3472"/>
    <w:rsid w:val="00DA3C81"/>
    <w:rsid w:val="00DA3F29"/>
    <w:rsid w:val="00DA4221"/>
    <w:rsid w:val="00DA4438"/>
    <w:rsid w:val="00DA4C12"/>
    <w:rsid w:val="00DA4ED9"/>
    <w:rsid w:val="00DA5180"/>
    <w:rsid w:val="00DA540A"/>
    <w:rsid w:val="00DA60F6"/>
    <w:rsid w:val="00DA6340"/>
    <w:rsid w:val="00DA643E"/>
    <w:rsid w:val="00DA68C3"/>
    <w:rsid w:val="00DA6953"/>
    <w:rsid w:val="00DA6A29"/>
    <w:rsid w:val="00DA6F67"/>
    <w:rsid w:val="00DA70A4"/>
    <w:rsid w:val="00DA7D7D"/>
    <w:rsid w:val="00DB01C8"/>
    <w:rsid w:val="00DB06DB"/>
    <w:rsid w:val="00DB0AA1"/>
    <w:rsid w:val="00DB0D0C"/>
    <w:rsid w:val="00DB140A"/>
    <w:rsid w:val="00DB1446"/>
    <w:rsid w:val="00DB1671"/>
    <w:rsid w:val="00DB18AB"/>
    <w:rsid w:val="00DB1DA9"/>
    <w:rsid w:val="00DB208B"/>
    <w:rsid w:val="00DB20F4"/>
    <w:rsid w:val="00DB28C8"/>
    <w:rsid w:val="00DB28E9"/>
    <w:rsid w:val="00DB2EEA"/>
    <w:rsid w:val="00DB35F3"/>
    <w:rsid w:val="00DB3631"/>
    <w:rsid w:val="00DB39F2"/>
    <w:rsid w:val="00DB3AD6"/>
    <w:rsid w:val="00DB3ADB"/>
    <w:rsid w:val="00DB3EAB"/>
    <w:rsid w:val="00DB3FE6"/>
    <w:rsid w:val="00DB41B7"/>
    <w:rsid w:val="00DB45B2"/>
    <w:rsid w:val="00DB46C3"/>
    <w:rsid w:val="00DB47B1"/>
    <w:rsid w:val="00DB49CE"/>
    <w:rsid w:val="00DB4BBF"/>
    <w:rsid w:val="00DB4E03"/>
    <w:rsid w:val="00DB51FA"/>
    <w:rsid w:val="00DB5409"/>
    <w:rsid w:val="00DB560C"/>
    <w:rsid w:val="00DB60CE"/>
    <w:rsid w:val="00DB6249"/>
    <w:rsid w:val="00DB6588"/>
    <w:rsid w:val="00DB65EC"/>
    <w:rsid w:val="00DB68BB"/>
    <w:rsid w:val="00DB694B"/>
    <w:rsid w:val="00DB6BF0"/>
    <w:rsid w:val="00DB6D7E"/>
    <w:rsid w:val="00DB6E10"/>
    <w:rsid w:val="00DB6F0C"/>
    <w:rsid w:val="00DB6F55"/>
    <w:rsid w:val="00DB6F97"/>
    <w:rsid w:val="00DB702C"/>
    <w:rsid w:val="00DB73F1"/>
    <w:rsid w:val="00DB74F3"/>
    <w:rsid w:val="00DB7673"/>
    <w:rsid w:val="00DB7A93"/>
    <w:rsid w:val="00DB7B32"/>
    <w:rsid w:val="00DB7F0B"/>
    <w:rsid w:val="00DB7F82"/>
    <w:rsid w:val="00DC029F"/>
    <w:rsid w:val="00DC0A99"/>
    <w:rsid w:val="00DC0D9D"/>
    <w:rsid w:val="00DC178B"/>
    <w:rsid w:val="00DC23BA"/>
    <w:rsid w:val="00DC26FF"/>
    <w:rsid w:val="00DC27B0"/>
    <w:rsid w:val="00DC2A07"/>
    <w:rsid w:val="00DC2A24"/>
    <w:rsid w:val="00DC2E5D"/>
    <w:rsid w:val="00DC341D"/>
    <w:rsid w:val="00DC391C"/>
    <w:rsid w:val="00DC3CA5"/>
    <w:rsid w:val="00DC4139"/>
    <w:rsid w:val="00DC49F8"/>
    <w:rsid w:val="00DC4C3A"/>
    <w:rsid w:val="00DC5053"/>
    <w:rsid w:val="00DC5862"/>
    <w:rsid w:val="00DC5A43"/>
    <w:rsid w:val="00DC5BE7"/>
    <w:rsid w:val="00DC5DC5"/>
    <w:rsid w:val="00DC622E"/>
    <w:rsid w:val="00DC629C"/>
    <w:rsid w:val="00DC6788"/>
    <w:rsid w:val="00DC6D45"/>
    <w:rsid w:val="00DC736B"/>
    <w:rsid w:val="00DC77D6"/>
    <w:rsid w:val="00DC7CA6"/>
    <w:rsid w:val="00DC7D05"/>
    <w:rsid w:val="00DD0821"/>
    <w:rsid w:val="00DD09A5"/>
    <w:rsid w:val="00DD0AC7"/>
    <w:rsid w:val="00DD0C2C"/>
    <w:rsid w:val="00DD0E93"/>
    <w:rsid w:val="00DD0F02"/>
    <w:rsid w:val="00DD13D6"/>
    <w:rsid w:val="00DD16AF"/>
    <w:rsid w:val="00DD1749"/>
    <w:rsid w:val="00DD17E3"/>
    <w:rsid w:val="00DD1A9A"/>
    <w:rsid w:val="00DD29C1"/>
    <w:rsid w:val="00DD29DB"/>
    <w:rsid w:val="00DD2ABC"/>
    <w:rsid w:val="00DD2E36"/>
    <w:rsid w:val="00DD3699"/>
    <w:rsid w:val="00DD3C03"/>
    <w:rsid w:val="00DD4034"/>
    <w:rsid w:val="00DD40CD"/>
    <w:rsid w:val="00DD4148"/>
    <w:rsid w:val="00DD42B7"/>
    <w:rsid w:val="00DD42C1"/>
    <w:rsid w:val="00DD4691"/>
    <w:rsid w:val="00DD4969"/>
    <w:rsid w:val="00DD4B15"/>
    <w:rsid w:val="00DD4DAF"/>
    <w:rsid w:val="00DD51A6"/>
    <w:rsid w:val="00DD5C5E"/>
    <w:rsid w:val="00DD5EA7"/>
    <w:rsid w:val="00DD5EB6"/>
    <w:rsid w:val="00DD640E"/>
    <w:rsid w:val="00DD6411"/>
    <w:rsid w:val="00DD6456"/>
    <w:rsid w:val="00DD6861"/>
    <w:rsid w:val="00DD687F"/>
    <w:rsid w:val="00DD6D35"/>
    <w:rsid w:val="00DD71A4"/>
    <w:rsid w:val="00DD725E"/>
    <w:rsid w:val="00DD7410"/>
    <w:rsid w:val="00DD7512"/>
    <w:rsid w:val="00DD7681"/>
    <w:rsid w:val="00DD79BE"/>
    <w:rsid w:val="00DD7B61"/>
    <w:rsid w:val="00DD7D74"/>
    <w:rsid w:val="00DD7E83"/>
    <w:rsid w:val="00DD7F59"/>
    <w:rsid w:val="00DE0380"/>
    <w:rsid w:val="00DE093D"/>
    <w:rsid w:val="00DE0C8B"/>
    <w:rsid w:val="00DE0E37"/>
    <w:rsid w:val="00DE110A"/>
    <w:rsid w:val="00DE1671"/>
    <w:rsid w:val="00DE1859"/>
    <w:rsid w:val="00DE187C"/>
    <w:rsid w:val="00DE1CB3"/>
    <w:rsid w:val="00DE1FB3"/>
    <w:rsid w:val="00DE21B0"/>
    <w:rsid w:val="00DE2513"/>
    <w:rsid w:val="00DE26AB"/>
    <w:rsid w:val="00DE31B0"/>
    <w:rsid w:val="00DE3576"/>
    <w:rsid w:val="00DE3CF7"/>
    <w:rsid w:val="00DE4087"/>
    <w:rsid w:val="00DE4140"/>
    <w:rsid w:val="00DE4689"/>
    <w:rsid w:val="00DE4D27"/>
    <w:rsid w:val="00DE534A"/>
    <w:rsid w:val="00DE5441"/>
    <w:rsid w:val="00DE54B0"/>
    <w:rsid w:val="00DE575F"/>
    <w:rsid w:val="00DE5792"/>
    <w:rsid w:val="00DE5D6E"/>
    <w:rsid w:val="00DE64A1"/>
    <w:rsid w:val="00DE650E"/>
    <w:rsid w:val="00DE66F9"/>
    <w:rsid w:val="00DE6AB6"/>
    <w:rsid w:val="00DE6F20"/>
    <w:rsid w:val="00DE7241"/>
    <w:rsid w:val="00DE751B"/>
    <w:rsid w:val="00DE77BB"/>
    <w:rsid w:val="00DE7D51"/>
    <w:rsid w:val="00DE7DC2"/>
    <w:rsid w:val="00DF018D"/>
    <w:rsid w:val="00DF02E1"/>
    <w:rsid w:val="00DF0488"/>
    <w:rsid w:val="00DF06DD"/>
    <w:rsid w:val="00DF0F54"/>
    <w:rsid w:val="00DF126D"/>
    <w:rsid w:val="00DF1434"/>
    <w:rsid w:val="00DF21D9"/>
    <w:rsid w:val="00DF253F"/>
    <w:rsid w:val="00DF2A7B"/>
    <w:rsid w:val="00DF2ECC"/>
    <w:rsid w:val="00DF312F"/>
    <w:rsid w:val="00DF3196"/>
    <w:rsid w:val="00DF3392"/>
    <w:rsid w:val="00DF33B0"/>
    <w:rsid w:val="00DF35D0"/>
    <w:rsid w:val="00DF37FF"/>
    <w:rsid w:val="00DF3986"/>
    <w:rsid w:val="00DF3A48"/>
    <w:rsid w:val="00DF3E57"/>
    <w:rsid w:val="00DF42F0"/>
    <w:rsid w:val="00DF446E"/>
    <w:rsid w:val="00DF44CB"/>
    <w:rsid w:val="00DF499B"/>
    <w:rsid w:val="00DF4D5B"/>
    <w:rsid w:val="00DF4EE3"/>
    <w:rsid w:val="00DF5393"/>
    <w:rsid w:val="00DF53DF"/>
    <w:rsid w:val="00DF559B"/>
    <w:rsid w:val="00DF55E5"/>
    <w:rsid w:val="00DF56D6"/>
    <w:rsid w:val="00DF579B"/>
    <w:rsid w:val="00DF5E05"/>
    <w:rsid w:val="00DF5E78"/>
    <w:rsid w:val="00DF6708"/>
    <w:rsid w:val="00DF6AC0"/>
    <w:rsid w:val="00DF7163"/>
    <w:rsid w:val="00DF75EE"/>
    <w:rsid w:val="00DF76BB"/>
    <w:rsid w:val="00DF775C"/>
    <w:rsid w:val="00DF785F"/>
    <w:rsid w:val="00DF7C8F"/>
    <w:rsid w:val="00E002D2"/>
    <w:rsid w:val="00E0044D"/>
    <w:rsid w:val="00E0046B"/>
    <w:rsid w:val="00E008B3"/>
    <w:rsid w:val="00E00AEC"/>
    <w:rsid w:val="00E00CB1"/>
    <w:rsid w:val="00E00D76"/>
    <w:rsid w:val="00E00ED5"/>
    <w:rsid w:val="00E01425"/>
    <w:rsid w:val="00E014E3"/>
    <w:rsid w:val="00E0184C"/>
    <w:rsid w:val="00E01B8E"/>
    <w:rsid w:val="00E0231B"/>
    <w:rsid w:val="00E023B1"/>
    <w:rsid w:val="00E02EEC"/>
    <w:rsid w:val="00E030D9"/>
    <w:rsid w:val="00E03636"/>
    <w:rsid w:val="00E03A61"/>
    <w:rsid w:val="00E03B64"/>
    <w:rsid w:val="00E03BAB"/>
    <w:rsid w:val="00E03BF5"/>
    <w:rsid w:val="00E040D0"/>
    <w:rsid w:val="00E04198"/>
    <w:rsid w:val="00E04406"/>
    <w:rsid w:val="00E04416"/>
    <w:rsid w:val="00E04442"/>
    <w:rsid w:val="00E044C9"/>
    <w:rsid w:val="00E0481D"/>
    <w:rsid w:val="00E04C45"/>
    <w:rsid w:val="00E04C73"/>
    <w:rsid w:val="00E05095"/>
    <w:rsid w:val="00E05FCA"/>
    <w:rsid w:val="00E06033"/>
    <w:rsid w:val="00E060BF"/>
    <w:rsid w:val="00E06115"/>
    <w:rsid w:val="00E063B6"/>
    <w:rsid w:val="00E06AC7"/>
    <w:rsid w:val="00E06D79"/>
    <w:rsid w:val="00E06E2E"/>
    <w:rsid w:val="00E06FA6"/>
    <w:rsid w:val="00E071E7"/>
    <w:rsid w:val="00E0731E"/>
    <w:rsid w:val="00E07E6B"/>
    <w:rsid w:val="00E103A3"/>
    <w:rsid w:val="00E10BED"/>
    <w:rsid w:val="00E10C08"/>
    <w:rsid w:val="00E11047"/>
    <w:rsid w:val="00E110DE"/>
    <w:rsid w:val="00E118A7"/>
    <w:rsid w:val="00E11B57"/>
    <w:rsid w:val="00E11E5E"/>
    <w:rsid w:val="00E12333"/>
    <w:rsid w:val="00E1259D"/>
    <w:rsid w:val="00E12ECD"/>
    <w:rsid w:val="00E12F30"/>
    <w:rsid w:val="00E1313C"/>
    <w:rsid w:val="00E13941"/>
    <w:rsid w:val="00E139A0"/>
    <w:rsid w:val="00E13A58"/>
    <w:rsid w:val="00E1426D"/>
    <w:rsid w:val="00E143B7"/>
    <w:rsid w:val="00E1440D"/>
    <w:rsid w:val="00E144D1"/>
    <w:rsid w:val="00E149C4"/>
    <w:rsid w:val="00E14A40"/>
    <w:rsid w:val="00E14B84"/>
    <w:rsid w:val="00E14E50"/>
    <w:rsid w:val="00E1502B"/>
    <w:rsid w:val="00E1569D"/>
    <w:rsid w:val="00E15911"/>
    <w:rsid w:val="00E15965"/>
    <w:rsid w:val="00E15C41"/>
    <w:rsid w:val="00E15D99"/>
    <w:rsid w:val="00E15FD1"/>
    <w:rsid w:val="00E161FE"/>
    <w:rsid w:val="00E16BF7"/>
    <w:rsid w:val="00E16C08"/>
    <w:rsid w:val="00E16FC4"/>
    <w:rsid w:val="00E1773C"/>
    <w:rsid w:val="00E17753"/>
    <w:rsid w:val="00E17A6F"/>
    <w:rsid w:val="00E17EAD"/>
    <w:rsid w:val="00E17F73"/>
    <w:rsid w:val="00E202F1"/>
    <w:rsid w:val="00E2093B"/>
    <w:rsid w:val="00E20C6C"/>
    <w:rsid w:val="00E20D16"/>
    <w:rsid w:val="00E20EB4"/>
    <w:rsid w:val="00E211A8"/>
    <w:rsid w:val="00E216F5"/>
    <w:rsid w:val="00E21A5C"/>
    <w:rsid w:val="00E21F88"/>
    <w:rsid w:val="00E2205A"/>
    <w:rsid w:val="00E2226F"/>
    <w:rsid w:val="00E224B5"/>
    <w:rsid w:val="00E22937"/>
    <w:rsid w:val="00E231EC"/>
    <w:rsid w:val="00E23262"/>
    <w:rsid w:val="00E23CD3"/>
    <w:rsid w:val="00E242CE"/>
    <w:rsid w:val="00E249FE"/>
    <w:rsid w:val="00E24E9A"/>
    <w:rsid w:val="00E24ECF"/>
    <w:rsid w:val="00E24F0D"/>
    <w:rsid w:val="00E25012"/>
    <w:rsid w:val="00E250EA"/>
    <w:rsid w:val="00E25287"/>
    <w:rsid w:val="00E2557B"/>
    <w:rsid w:val="00E25AEB"/>
    <w:rsid w:val="00E25B35"/>
    <w:rsid w:val="00E2606C"/>
    <w:rsid w:val="00E26423"/>
    <w:rsid w:val="00E264BB"/>
    <w:rsid w:val="00E26CD8"/>
    <w:rsid w:val="00E2756A"/>
    <w:rsid w:val="00E2797E"/>
    <w:rsid w:val="00E300F4"/>
    <w:rsid w:val="00E30814"/>
    <w:rsid w:val="00E30CF2"/>
    <w:rsid w:val="00E312C0"/>
    <w:rsid w:val="00E31689"/>
    <w:rsid w:val="00E31DAE"/>
    <w:rsid w:val="00E31E78"/>
    <w:rsid w:val="00E31ED3"/>
    <w:rsid w:val="00E32C53"/>
    <w:rsid w:val="00E32C56"/>
    <w:rsid w:val="00E334A4"/>
    <w:rsid w:val="00E33DEE"/>
    <w:rsid w:val="00E34784"/>
    <w:rsid w:val="00E347CB"/>
    <w:rsid w:val="00E34ACC"/>
    <w:rsid w:val="00E351BD"/>
    <w:rsid w:val="00E359F4"/>
    <w:rsid w:val="00E35B67"/>
    <w:rsid w:val="00E35F98"/>
    <w:rsid w:val="00E3682C"/>
    <w:rsid w:val="00E36A25"/>
    <w:rsid w:val="00E36A9B"/>
    <w:rsid w:val="00E36C45"/>
    <w:rsid w:val="00E36D60"/>
    <w:rsid w:val="00E36F7E"/>
    <w:rsid w:val="00E36FAC"/>
    <w:rsid w:val="00E372CD"/>
    <w:rsid w:val="00E37958"/>
    <w:rsid w:val="00E37DB6"/>
    <w:rsid w:val="00E4058D"/>
    <w:rsid w:val="00E4091B"/>
    <w:rsid w:val="00E41112"/>
    <w:rsid w:val="00E412AC"/>
    <w:rsid w:val="00E413CC"/>
    <w:rsid w:val="00E41436"/>
    <w:rsid w:val="00E41581"/>
    <w:rsid w:val="00E4164C"/>
    <w:rsid w:val="00E41746"/>
    <w:rsid w:val="00E42A77"/>
    <w:rsid w:val="00E42BFE"/>
    <w:rsid w:val="00E42C8E"/>
    <w:rsid w:val="00E42D87"/>
    <w:rsid w:val="00E4354B"/>
    <w:rsid w:val="00E436BB"/>
    <w:rsid w:val="00E4380A"/>
    <w:rsid w:val="00E439C8"/>
    <w:rsid w:val="00E43A38"/>
    <w:rsid w:val="00E43B32"/>
    <w:rsid w:val="00E442C9"/>
    <w:rsid w:val="00E44965"/>
    <w:rsid w:val="00E44A6C"/>
    <w:rsid w:val="00E44BFD"/>
    <w:rsid w:val="00E44D42"/>
    <w:rsid w:val="00E44F9D"/>
    <w:rsid w:val="00E45132"/>
    <w:rsid w:val="00E4531F"/>
    <w:rsid w:val="00E454EF"/>
    <w:rsid w:val="00E4571F"/>
    <w:rsid w:val="00E45F79"/>
    <w:rsid w:val="00E463F0"/>
    <w:rsid w:val="00E470B2"/>
    <w:rsid w:val="00E47A23"/>
    <w:rsid w:val="00E5049A"/>
    <w:rsid w:val="00E509E3"/>
    <w:rsid w:val="00E5104F"/>
    <w:rsid w:val="00E5123D"/>
    <w:rsid w:val="00E51440"/>
    <w:rsid w:val="00E51D67"/>
    <w:rsid w:val="00E52015"/>
    <w:rsid w:val="00E521C4"/>
    <w:rsid w:val="00E52BD1"/>
    <w:rsid w:val="00E52C8D"/>
    <w:rsid w:val="00E539DD"/>
    <w:rsid w:val="00E53C41"/>
    <w:rsid w:val="00E54449"/>
    <w:rsid w:val="00E54910"/>
    <w:rsid w:val="00E54D90"/>
    <w:rsid w:val="00E54EEF"/>
    <w:rsid w:val="00E550F4"/>
    <w:rsid w:val="00E55161"/>
    <w:rsid w:val="00E5575E"/>
    <w:rsid w:val="00E557DB"/>
    <w:rsid w:val="00E56056"/>
    <w:rsid w:val="00E562E4"/>
    <w:rsid w:val="00E5660A"/>
    <w:rsid w:val="00E56DA7"/>
    <w:rsid w:val="00E56DCA"/>
    <w:rsid w:val="00E5729D"/>
    <w:rsid w:val="00E57428"/>
    <w:rsid w:val="00E57BDD"/>
    <w:rsid w:val="00E60014"/>
    <w:rsid w:val="00E605D4"/>
    <w:rsid w:val="00E60707"/>
    <w:rsid w:val="00E6098D"/>
    <w:rsid w:val="00E609A3"/>
    <w:rsid w:val="00E60D81"/>
    <w:rsid w:val="00E60E50"/>
    <w:rsid w:val="00E61052"/>
    <w:rsid w:val="00E61553"/>
    <w:rsid w:val="00E61649"/>
    <w:rsid w:val="00E6180B"/>
    <w:rsid w:val="00E6295E"/>
    <w:rsid w:val="00E63348"/>
    <w:rsid w:val="00E638A8"/>
    <w:rsid w:val="00E63A56"/>
    <w:rsid w:val="00E643E0"/>
    <w:rsid w:val="00E6457C"/>
    <w:rsid w:val="00E64D4C"/>
    <w:rsid w:val="00E64FC1"/>
    <w:rsid w:val="00E658BE"/>
    <w:rsid w:val="00E65A52"/>
    <w:rsid w:val="00E65E80"/>
    <w:rsid w:val="00E666A3"/>
    <w:rsid w:val="00E666A8"/>
    <w:rsid w:val="00E6682A"/>
    <w:rsid w:val="00E66A3B"/>
    <w:rsid w:val="00E6702E"/>
    <w:rsid w:val="00E6727C"/>
    <w:rsid w:val="00E67C10"/>
    <w:rsid w:val="00E67FE7"/>
    <w:rsid w:val="00E70381"/>
    <w:rsid w:val="00E704EA"/>
    <w:rsid w:val="00E70588"/>
    <w:rsid w:val="00E70631"/>
    <w:rsid w:val="00E7075B"/>
    <w:rsid w:val="00E70BD0"/>
    <w:rsid w:val="00E711A6"/>
    <w:rsid w:val="00E71426"/>
    <w:rsid w:val="00E715EC"/>
    <w:rsid w:val="00E716B1"/>
    <w:rsid w:val="00E71BEE"/>
    <w:rsid w:val="00E71C94"/>
    <w:rsid w:val="00E722BC"/>
    <w:rsid w:val="00E728EA"/>
    <w:rsid w:val="00E729B9"/>
    <w:rsid w:val="00E72BD5"/>
    <w:rsid w:val="00E72F04"/>
    <w:rsid w:val="00E73400"/>
    <w:rsid w:val="00E73503"/>
    <w:rsid w:val="00E73665"/>
    <w:rsid w:val="00E73979"/>
    <w:rsid w:val="00E73AC3"/>
    <w:rsid w:val="00E73EC1"/>
    <w:rsid w:val="00E73FBF"/>
    <w:rsid w:val="00E74E79"/>
    <w:rsid w:val="00E76509"/>
    <w:rsid w:val="00E7744F"/>
    <w:rsid w:val="00E777D7"/>
    <w:rsid w:val="00E778ED"/>
    <w:rsid w:val="00E77A14"/>
    <w:rsid w:val="00E77C48"/>
    <w:rsid w:val="00E8049D"/>
    <w:rsid w:val="00E806DE"/>
    <w:rsid w:val="00E80BAB"/>
    <w:rsid w:val="00E80CCF"/>
    <w:rsid w:val="00E80E60"/>
    <w:rsid w:val="00E80FBD"/>
    <w:rsid w:val="00E8102F"/>
    <w:rsid w:val="00E81338"/>
    <w:rsid w:val="00E81707"/>
    <w:rsid w:val="00E818B5"/>
    <w:rsid w:val="00E81AA5"/>
    <w:rsid w:val="00E81DAC"/>
    <w:rsid w:val="00E81FC6"/>
    <w:rsid w:val="00E8212E"/>
    <w:rsid w:val="00E82464"/>
    <w:rsid w:val="00E824F0"/>
    <w:rsid w:val="00E82FD2"/>
    <w:rsid w:val="00E830F3"/>
    <w:rsid w:val="00E8339C"/>
    <w:rsid w:val="00E8344C"/>
    <w:rsid w:val="00E83C78"/>
    <w:rsid w:val="00E83E41"/>
    <w:rsid w:val="00E84393"/>
    <w:rsid w:val="00E846AB"/>
    <w:rsid w:val="00E84AE2"/>
    <w:rsid w:val="00E84E63"/>
    <w:rsid w:val="00E85050"/>
    <w:rsid w:val="00E8589A"/>
    <w:rsid w:val="00E859D6"/>
    <w:rsid w:val="00E85CF7"/>
    <w:rsid w:val="00E85E14"/>
    <w:rsid w:val="00E85EE8"/>
    <w:rsid w:val="00E865E3"/>
    <w:rsid w:val="00E8680E"/>
    <w:rsid w:val="00E86B9B"/>
    <w:rsid w:val="00E86E9C"/>
    <w:rsid w:val="00E8746E"/>
    <w:rsid w:val="00E87D99"/>
    <w:rsid w:val="00E90C6E"/>
    <w:rsid w:val="00E916A8"/>
    <w:rsid w:val="00E91DD0"/>
    <w:rsid w:val="00E91F00"/>
    <w:rsid w:val="00E9212E"/>
    <w:rsid w:val="00E923C5"/>
    <w:rsid w:val="00E923FB"/>
    <w:rsid w:val="00E92833"/>
    <w:rsid w:val="00E930BF"/>
    <w:rsid w:val="00E93698"/>
    <w:rsid w:val="00E93D83"/>
    <w:rsid w:val="00E93EA9"/>
    <w:rsid w:val="00E93F29"/>
    <w:rsid w:val="00E93FA4"/>
    <w:rsid w:val="00E93FB6"/>
    <w:rsid w:val="00E94D7C"/>
    <w:rsid w:val="00E95436"/>
    <w:rsid w:val="00E95506"/>
    <w:rsid w:val="00E95650"/>
    <w:rsid w:val="00E95B6C"/>
    <w:rsid w:val="00E95E1B"/>
    <w:rsid w:val="00E95EAE"/>
    <w:rsid w:val="00E96730"/>
    <w:rsid w:val="00E96B4E"/>
    <w:rsid w:val="00E96DA2"/>
    <w:rsid w:val="00E971E3"/>
    <w:rsid w:val="00E97B06"/>
    <w:rsid w:val="00EA01FF"/>
    <w:rsid w:val="00EA045C"/>
    <w:rsid w:val="00EA0987"/>
    <w:rsid w:val="00EA0A7C"/>
    <w:rsid w:val="00EA0B53"/>
    <w:rsid w:val="00EA0DBC"/>
    <w:rsid w:val="00EA0E0F"/>
    <w:rsid w:val="00EA1E3B"/>
    <w:rsid w:val="00EA1EB0"/>
    <w:rsid w:val="00EA1F51"/>
    <w:rsid w:val="00EA20C9"/>
    <w:rsid w:val="00EA2124"/>
    <w:rsid w:val="00EA3E13"/>
    <w:rsid w:val="00EA40DC"/>
    <w:rsid w:val="00EA41F8"/>
    <w:rsid w:val="00EA4756"/>
    <w:rsid w:val="00EA4996"/>
    <w:rsid w:val="00EA502D"/>
    <w:rsid w:val="00EA504A"/>
    <w:rsid w:val="00EA5232"/>
    <w:rsid w:val="00EA5354"/>
    <w:rsid w:val="00EA5935"/>
    <w:rsid w:val="00EA5CEF"/>
    <w:rsid w:val="00EA607D"/>
    <w:rsid w:val="00EA60CE"/>
    <w:rsid w:val="00EA61CC"/>
    <w:rsid w:val="00EA68BE"/>
    <w:rsid w:val="00EA69E6"/>
    <w:rsid w:val="00EA702E"/>
    <w:rsid w:val="00EA74D7"/>
    <w:rsid w:val="00EA74F3"/>
    <w:rsid w:val="00EA77CD"/>
    <w:rsid w:val="00EA7911"/>
    <w:rsid w:val="00EA7D4F"/>
    <w:rsid w:val="00EA7F0B"/>
    <w:rsid w:val="00EB01B2"/>
    <w:rsid w:val="00EB02C7"/>
    <w:rsid w:val="00EB03C2"/>
    <w:rsid w:val="00EB042E"/>
    <w:rsid w:val="00EB0BAC"/>
    <w:rsid w:val="00EB1346"/>
    <w:rsid w:val="00EB1582"/>
    <w:rsid w:val="00EB1C20"/>
    <w:rsid w:val="00EB272D"/>
    <w:rsid w:val="00EB27E9"/>
    <w:rsid w:val="00EB38D6"/>
    <w:rsid w:val="00EB3E5B"/>
    <w:rsid w:val="00EB4014"/>
    <w:rsid w:val="00EB426C"/>
    <w:rsid w:val="00EB4D1E"/>
    <w:rsid w:val="00EB52AB"/>
    <w:rsid w:val="00EB5A57"/>
    <w:rsid w:val="00EB5AFD"/>
    <w:rsid w:val="00EB6701"/>
    <w:rsid w:val="00EB6C3A"/>
    <w:rsid w:val="00EB705C"/>
    <w:rsid w:val="00EB709A"/>
    <w:rsid w:val="00EB725A"/>
    <w:rsid w:val="00EB7478"/>
    <w:rsid w:val="00EB7AE0"/>
    <w:rsid w:val="00EB7AE1"/>
    <w:rsid w:val="00EB7C4A"/>
    <w:rsid w:val="00EC01D9"/>
    <w:rsid w:val="00EC02C0"/>
    <w:rsid w:val="00EC039B"/>
    <w:rsid w:val="00EC091C"/>
    <w:rsid w:val="00EC099E"/>
    <w:rsid w:val="00EC0E24"/>
    <w:rsid w:val="00EC0FB2"/>
    <w:rsid w:val="00EC1061"/>
    <w:rsid w:val="00EC1270"/>
    <w:rsid w:val="00EC1399"/>
    <w:rsid w:val="00EC13FB"/>
    <w:rsid w:val="00EC1B48"/>
    <w:rsid w:val="00EC1FE3"/>
    <w:rsid w:val="00EC2098"/>
    <w:rsid w:val="00EC221B"/>
    <w:rsid w:val="00EC222D"/>
    <w:rsid w:val="00EC28B0"/>
    <w:rsid w:val="00EC2980"/>
    <w:rsid w:val="00EC2A01"/>
    <w:rsid w:val="00EC2B39"/>
    <w:rsid w:val="00EC30A9"/>
    <w:rsid w:val="00EC3333"/>
    <w:rsid w:val="00EC35D9"/>
    <w:rsid w:val="00EC3863"/>
    <w:rsid w:val="00EC38A4"/>
    <w:rsid w:val="00EC3ABA"/>
    <w:rsid w:val="00EC3B1A"/>
    <w:rsid w:val="00EC3C17"/>
    <w:rsid w:val="00EC3CA0"/>
    <w:rsid w:val="00EC40A8"/>
    <w:rsid w:val="00EC4275"/>
    <w:rsid w:val="00EC4980"/>
    <w:rsid w:val="00EC49EB"/>
    <w:rsid w:val="00EC4BEC"/>
    <w:rsid w:val="00EC4C25"/>
    <w:rsid w:val="00EC4C9B"/>
    <w:rsid w:val="00EC5121"/>
    <w:rsid w:val="00EC527B"/>
    <w:rsid w:val="00EC534E"/>
    <w:rsid w:val="00EC559A"/>
    <w:rsid w:val="00EC576C"/>
    <w:rsid w:val="00EC57DE"/>
    <w:rsid w:val="00EC5A36"/>
    <w:rsid w:val="00EC61B9"/>
    <w:rsid w:val="00EC61E6"/>
    <w:rsid w:val="00EC6249"/>
    <w:rsid w:val="00EC634B"/>
    <w:rsid w:val="00EC692C"/>
    <w:rsid w:val="00EC6A0A"/>
    <w:rsid w:val="00EC6EA1"/>
    <w:rsid w:val="00EC7712"/>
    <w:rsid w:val="00EC7D1E"/>
    <w:rsid w:val="00EC7E87"/>
    <w:rsid w:val="00ED002C"/>
    <w:rsid w:val="00ED058A"/>
    <w:rsid w:val="00ED0CAC"/>
    <w:rsid w:val="00ED10D6"/>
    <w:rsid w:val="00ED13CF"/>
    <w:rsid w:val="00ED178D"/>
    <w:rsid w:val="00ED185A"/>
    <w:rsid w:val="00ED256B"/>
    <w:rsid w:val="00ED28A4"/>
    <w:rsid w:val="00ED29B1"/>
    <w:rsid w:val="00ED2C46"/>
    <w:rsid w:val="00ED3009"/>
    <w:rsid w:val="00ED3576"/>
    <w:rsid w:val="00ED39A0"/>
    <w:rsid w:val="00ED4495"/>
    <w:rsid w:val="00ED4B11"/>
    <w:rsid w:val="00ED532D"/>
    <w:rsid w:val="00ED552C"/>
    <w:rsid w:val="00ED6CC4"/>
    <w:rsid w:val="00ED712E"/>
    <w:rsid w:val="00ED777F"/>
    <w:rsid w:val="00ED79DC"/>
    <w:rsid w:val="00ED7A73"/>
    <w:rsid w:val="00ED7CB3"/>
    <w:rsid w:val="00ED7CF8"/>
    <w:rsid w:val="00EE0228"/>
    <w:rsid w:val="00EE02B1"/>
    <w:rsid w:val="00EE0350"/>
    <w:rsid w:val="00EE070F"/>
    <w:rsid w:val="00EE08EA"/>
    <w:rsid w:val="00EE0A8F"/>
    <w:rsid w:val="00EE0ECE"/>
    <w:rsid w:val="00EE0F65"/>
    <w:rsid w:val="00EE1155"/>
    <w:rsid w:val="00EE14BF"/>
    <w:rsid w:val="00EE1566"/>
    <w:rsid w:val="00EE17C3"/>
    <w:rsid w:val="00EE1C87"/>
    <w:rsid w:val="00EE1D16"/>
    <w:rsid w:val="00EE1E93"/>
    <w:rsid w:val="00EE1F0B"/>
    <w:rsid w:val="00EE1F4C"/>
    <w:rsid w:val="00EE29F5"/>
    <w:rsid w:val="00EE2A46"/>
    <w:rsid w:val="00EE2B92"/>
    <w:rsid w:val="00EE2D76"/>
    <w:rsid w:val="00EE2F22"/>
    <w:rsid w:val="00EE2FC9"/>
    <w:rsid w:val="00EE34A3"/>
    <w:rsid w:val="00EE35B9"/>
    <w:rsid w:val="00EE3909"/>
    <w:rsid w:val="00EE3F08"/>
    <w:rsid w:val="00EE3FC7"/>
    <w:rsid w:val="00EE4193"/>
    <w:rsid w:val="00EE41A1"/>
    <w:rsid w:val="00EE41C3"/>
    <w:rsid w:val="00EE4477"/>
    <w:rsid w:val="00EE481E"/>
    <w:rsid w:val="00EE4C4B"/>
    <w:rsid w:val="00EE4D48"/>
    <w:rsid w:val="00EE4D8D"/>
    <w:rsid w:val="00EE5306"/>
    <w:rsid w:val="00EE552A"/>
    <w:rsid w:val="00EE5ADB"/>
    <w:rsid w:val="00EE5C0E"/>
    <w:rsid w:val="00EE5D58"/>
    <w:rsid w:val="00EE5E1D"/>
    <w:rsid w:val="00EE5EED"/>
    <w:rsid w:val="00EE5FA9"/>
    <w:rsid w:val="00EE6199"/>
    <w:rsid w:val="00EE61A2"/>
    <w:rsid w:val="00EE62FF"/>
    <w:rsid w:val="00EE63CA"/>
    <w:rsid w:val="00EE65F7"/>
    <w:rsid w:val="00EE69B5"/>
    <w:rsid w:val="00EE6C8F"/>
    <w:rsid w:val="00EE6CEC"/>
    <w:rsid w:val="00EE6F95"/>
    <w:rsid w:val="00EE7097"/>
    <w:rsid w:val="00EE7A3B"/>
    <w:rsid w:val="00EF013E"/>
    <w:rsid w:val="00EF033B"/>
    <w:rsid w:val="00EF0C4B"/>
    <w:rsid w:val="00EF13D6"/>
    <w:rsid w:val="00EF1B63"/>
    <w:rsid w:val="00EF1C10"/>
    <w:rsid w:val="00EF1C6B"/>
    <w:rsid w:val="00EF2176"/>
    <w:rsid w:val="00EF23AD"/>
    <w:rsid w:val="00EF28B6"/>
    <w:rsid w:val="00EF2A7C"/>
    <w:rsid w:val="00EF2ECA"/>
    <w:rsid w:val="00EF2EEB"/>
    <w:rsid w:val="00EF3112"/>
    <w:rsid w:val="00EF34FD"/>
    <w:rsid w:val="00EF3861"/>
    <w:rsid w:val="00EF3882"/>
    <w:rsid w:val="00EF4606"/>
    <w:rsid w:val="00EF4619"/>
    <w:rsid w:val="00EF494C"/>
    <w:rsid w:val="00EF4A35"/>
    <w:rsid w:val="00EF4C9D"/>
    <w:rsid w:val="00EF52ED"/>
    <w:rsid w:val="00EF5ABC"/>
    <w:rsid w:val="00EF5DFE"/>
    <w:rsid w:val="00EF5E76"/>
    <w:rsid w:val="00EF5FDA"/>
    <w:rsid w:val="00EF6008"/>
    <w:rsid w:val="00EF64E3"/>
    <w:rsid w:val="00EF6601"/>
    <w:rsid w:val="00EF68C2"/>
    <w:rsid w:val="00EF6BFC"/>
    <w:rsid w:val="00EF6DD8"/>
    <w:rsid w:val="00EF72A7"/>
    <w:rsid w:val="00EF7384"/>
    <w:rsid w:val="00EF7590"/>
    <w:rsid w:val="00EF76D5"/>
    <w:rsid w:val="00EF7BB8"/>
    <w:rsid w:val="00F0067B"/>
    <w:rsid w:val="00F00A5D"/>
    <w:rsid w:val="00F00DB5"/>
    <w:rsid w:val="00F00FBE"/>
    <w:rsid w:val="00F0102D"/>
    <w:rsid w:val="00F0137B"/>
    <w:rsid w:val="00F01397"/>
    <w:rsid w:val="00F0152B"/>
    <w:rsid w:val="00F01682"/>
    <w:rsid w:val="00F01C77"/>
    <w:rsid w:val="00F01DD2"/>
    <w:rsid w:val="00F025A5"/>
    <w:rsid w:val="00F02BA9"/>
    <w:rsid w:val="00F030BD"/>
    <w:rsid w:val="00F037A6"/>
    <w:rsid w:val="00F0386A"/>
    <w:rsid w:val="00F038BB"/>
    <w:rsid w:val="00F03952"/>
    <w:rsid w:val="00F03CE6"/>
    <w:rsid w:val="00F04396"/>
    <w:rsid w:val="00F04636"/>
    <w:rsid w:val="00F04D3C"/>
    <w:rsid w:val="00F04D44"/>
    <w:rsid w:val="00F04F85"/>
    <w:rsid w:val="00F057E0"/>
    <w:rsid w:val="00F058A1"/>
    <w:rsid w:val="00F05BBB"/>
    <w:rsid w:val="00F06106"/>
    <w:rsid w:val="00F066ED"/>
    <w:rsid w:val="00F06B04"/>
    <w:rsid w:val="00F06F84"/>
    <w:rsid w:val="00F07042"/>
    <w:rsid w:val="00F0792D"/>
    <w:rsid w:val="00F07D41"/>
    <w:rsid w:val="00F10062"/>
    <w:rsid w:val="00F1008E"/>
    <w:rsid w:val="00F10243"/>
    <w:rsid w:val="00F10A90"/>
    <w:rsid w:val="00F10E53"/>
    <w:rsid w:val="00F1148A"/>
    <w:rsid w:val="00F118C6"/>
    <w:rsid w:val="00F119CD"/>
    <w:rsid w:val="00F12702"/>
    <w:rsid w:val="00F129A7"/>
    <w:rsid w:val="00F12A04"/>
    <w:rsid w:val="00F12CD0"/>
    <w:rsid w:val="00F12CFD"/>
    <w:rsid w:val="00F13433"/>
    <w:rsid w:val="00F13D68"/>
    <w:rsid w:val="00F140C8"/>
    <w:rsid w:val="00F14726"/>
    <w:rsid w:val="00F147F7"/>
    <w:rsid w:val="00F14C9F"/>
    <w:rsid w:val="00F1511D"/>
    <w:rsid w:val="00F1566E"/>
    <w:rsid w:val="00F15BF2"/>
    <w:rsid w:val="00F15F58"/>
    <w:rsid w:val="00F15FDD"/>
    <w:rsid w:val="00F164B0"/>
    <w:rsid w:val="00F164B7"/>
    <w:rsid w:val="00F16691"/>
    <w:rsid w:val="00F16AB1"/>
    <w:rsid w:val="00F16D48"/>
    <w:rsid w:val="00F17445"/>
    <w:rsid w:val="00F17494"/>
    <w:rsid w:val="00F174A9"/>
    <w:rsid w:val="00F17611"/>
    <w:rsid w:val="00F17A82"/>
    <w:rsid w:val="00F20675"/>
    <w:rsid w:val="00F209FA"/>
    <w:rsid w:val="00F20D89"/>
    <w:rsid w:val="00F20F62"/>
    <w:rsid w:val="00F210F6"/>
    <w:rsid w:val="00F215A6"/>
    <w:rsid w:val="00F21881"/>
    <w:rsid w:val="00F21A63"/>
    <w:rsid w:val="00F222D4"/>
    <w:rsid w:val="00F223FB"/>
    <w:rsid w:val="00F2256A"/>
    <w:rsid w:val="00F2268B"/>
    <w:rsid w:val="00F22692"/>
    <w:rsid w:val="00F22A1B"/>
    <w:rsid w:val="00F22EC2"/>
    <w:rsid w:val="00F22FCF"/>
    <w:rsid w:val="00F230BB"/>
    <w:rsid w:val="00F2341C"/>
    <w:rsid w:val="00F23A62"/>
    <w:rsid w:val="00F23D59"/>
    <w:rsid w:val="00F23DC5"/>
    <w:rsid w:val="00F24F27"/>
    <w:rsid w:val="00F25105"/>
    <w:rsid w:val="00F251C6"/>
    <w:rsid w:val="00F251F7"/>
    <w:rsid w:val="00F253DC"/>
    <w:rsid w:val="00F254E9"/>
    <w:rsid w:val="00F2583D"/>
    <w:rsid w:val="00F258ED"/>
    <w:rsid w:val="00F25CEF"/>
    <w:rsid w:val="00F25D7D"/>
    <w:rsid w:val="00F26BD5"/>
    <w:rsid w:val="00F26F08"/>
    <w:rsid w:val="00F27544"/>
    <w:rsid w:val="00F279E4"/>
    <w:rsid w:val="00F27B82"/>
    <w:rsid w:val="00F27C54"/>
    <w:rsid w:val="00F27C8F"/>
    <w:rsid w:val="00F27DE8"/>
    <w:rsid w:val="00F306D7"/>
    <w:rsid w:val="00F30941"/>
    <w:rsid w:val="00F310A8"/>
    <w:rsid w:val="00F3118C"/>
    <w:rsid w:val="00F3121F"/>
    <w:rsid w:val="00F31475"/>
    <w:rsid w:val="00F31481"/>
    <w:rsid w:val="00F318EF"/>
    <w:rsid w:val="00F31C08"/>
    <w:rsid w:val="00F31CDC"/>
    <w:rsid w:val="00F32C1D"/>
    <w:rsid w:val="00F3340B"/>
    <w:rsid w:val="00F334BD"/>
    <w:rsid w:val="00F335A8"/>
    <w:rsid w:val="00F3373E"/>
    <w:rsid w:val="00F33AC2"/>
    <w:rsid w:val="00F33D95"/>
    <w:rsid w:val="00F33E35"/>
    <w:rsid w:val="00F34106"/>
    <w:rsid w:val="00F3474E"/>
    <w:rsid w:val="00F34775"/>
    <w:rsid w:val="00F34BC8"/>
    <w:rsid w:val="00F351DE"/>
    <w:rsid w:val="00F3564F"/>
    <w:rsid w:val="00F35824"/>
    <w:rsid w:val="00F35ECD"/>
    <w:rsid w:val="00F363F5"/>
    <w:rsid w:val="00F36950"/>
    <w:rsid w:val="00F36974"/>
    <w:rsid w:val="00F36C18"/>
    <w:rsid w:val="00F370E4"/>
    <w:rsid w:val="00F371DF"/>
    <w:rsid w:val="00F37278"/>
    <w:rsid w:val="00F375FB"/>
    <w:rsid w:val="00F3787B"/>
    <w:rsid w:val="00F37A62"/>
    <w:rsid w:val="00F37A64"/>
    <w:rsid w:val="00F37F3E"/>
    <w:rsid w:val="00F40084"/>
    <w:rsid w:val="00F400F7"/>
    <w:rsid w:val="00F40119"/>
    <w:rsid w:val="00F40E0E"/>
    <w:rsid w:val="00F40F52"/>
    <w:rsid w:val="00F4107E"/>
    <w:rsid w:val="00F4137A"/>
    <w:rsid w:val="00F418AA"/>
    <w:rsid w:val="00F418F4"/>
    <w:rsid w:val="00F41B02"/>
    <w:rsid w:val="00F41DE0"/>
    <w:rsid w:val="00F421A1"/>
    <w:rsid w:val="00F422E5"/>
    <w:rsid w:val="00F4233B"/>
    <w:rsid w:val="00F423BA"/>
    <w:rsid w:val="00F4262A"/>
    <w:rsid w:val="00F42A13"/>
    <w:rsid w:val="00F42D21"/>
    <w:rsid w:val="00F43392"/>
    <w:rsid w:val="00F43A9D"/>
    <w:rsid w:val="00F43B7F"/>
    <w:rsid w:val="00F4426A"/>
    <w:rsid w:val="00F44532"/>
    <w:rsid w:val="00F44630"/>
    <w:rsid w:val="00F450E8"/>
    <w:rsid w:val="00F4516F"/>
    <w:rsid w:val="00F4519E"/>
    <w:rsid w:val="00F45234"/>
    <w:rsid w:val="00F459FE"/>
    <w:rsid w:val="00F45C75"/>
    <w:rsid w:val="00F462A8"/>
    <w:rsid w:val="00F46BBD"/>
    <w:rsid w:val="00F46F65"/>
    <w:rsid w:val="00F470BE"/>
    <w:rsid w:val="00F47547"/>
    <w:rsid w:val="00F47814"/>
    <w:rsid w:val="00F47F23"/>
    <w:rsid w:val="00F506B2"/>
    <w:rsid w:val="00F50FE4"/>
    <w:rsid w:val="00F5137C"/>
    <w:rsid w:val="00F515E2"/>
    <w:rsid w:val="00F51B71"/>
    <w:rsid w:val="00F523BD"/>
    <w:rsid w:val="00F524EA"/>
    <w:rsid w:val="00F5261A"/>
    <w:rsid w:val="00F52B4D"/>
    <w:rsid w:val="00F52EA0"/>
    <w:rsid w:val="00F542E0"/>
    <w:rsid w:val="00F54562"/>
    <w:rsid w:val="00F54B64"/>
    <w:rsid w:val="00F54D17"/>
    <w:rsid w:val="00F54E90"/>
    <w:rsid w:val="00F54F32"/>
    <w:rsid w:val="00F54FD9"/>
    <w:rsid w:val="00F55133"/>
    <w:rsid w:val="00F552A2"/>
    <w:rsid w:val="00F5570F"/>
    <w:rsid w:val="00F56340"/>
    <w:rsid w:val="00F5657A"/>
    <w:rsid w:val="00F56905"/>
    <w:rsid w:val="00F56D82"/>
    <w:rsid w:val="00F571E5"/>
    <w:rsid w:val="00F5726F"/>
    <w:rsid w:val="00F57529"/>
    <w:rsid w:val="00F57641"/>
    <w:rsid w:val="00F578B7"/>
    <w:rsid w:val="00F57DE9"/>
    <w:rsid w:val="00F57FE4"/>
    <w:rsid w:val="00F60328"/>
    <w:rsid w:val="00F6059C"/>
    <w:rsid w:val="00F6064C"/>
    <w:rsid w:val="00F613CC"/>
    <w:rsid w:val="00F614C4"/>
    <w:rsid w:val="00F6174E"/>
    <w:rsid w:val="00F622C2"/>
    <w:rsid w:val="00F62C6C"/>
    <w:rsid w:val="00F62E45"/>
    <w:rsid w:val="00F6336C"/>
    <w:rsid w:val="00F63419"/>
    <w:rsid w:val="00F637DD"/>
    <w:rsid w:val="00F63BDC"/>
    <w:rsid w:val="00F6497C"/>
    <w:rsid w:val="00F64BA2"/>
    <w:rsid w:val="00F657A2"/>
    <w:rsid w:val="00F65B61"/>
    <w:rsid w:val="00F65CE6"/>
    <w:rsid w:val="00F65EE1"/>
    <w:rsid w:val="00F666F7"/>
    <w:rsid w:val="00F66F4B"/>
    <w:rsid w:val="00F671CD"/>
    <w:rsid w:val="00F67785"/>
    <w:rsid w:val="00F67858"/>
    <w:rsid w:val="00F67A0A"/>
    <w:rsid w:val="00F67D99"/>
    <w:rsid w:val="00F67E18"/>
    <w:rsid w:val="00F67E9A"/>
    <w:rsid w:val="00F7069B"/>
    <w:rsid w:val="00F70B13"/>
    <w:rsid w:val="00F70D84"/>
    <w:rsid w:val="00F7139B"/>
    <w:rsid w:val="00F71432"/>
    <w:rsid w:val="00F71AFD"/>
    <w:rsid w:val="00F71B5C"/>
    <w:rsid w:val="00F71BF4"/>
    <w:rsid w:val="00F71EC4"/>
    <w:rsid w:val="00F72644"/>
    <w:rsid w:val="00F7299B"/>
    <w:rsid w:val="00F7312D"/>
    <w:rsid w:val="00F73257"/>
    <w:rsid w:val="00F73338"/>
    <w:rsid w:val="00F73722"/>
    <w:rsid w:val="00F737FB"/>
    <w:rsid w:val="00F7460D"/>
    <w:rsid w:val="00F7497F"/>
    <w:rsid w:val="00F74C4A"/>
    <w:rsid w:val="00F7594F"/>
    <w:rsid w:val="00F75F2D"/>
    <w:rsid w:val="00F762BA"/>
    <w:rsid w:val="00F76704"/>
    <w:rsid w:val="00F76C6A"/>
    <w:rsid w:val="00F76CFC"/>
    <w:rsid w:val="00F77D01"/>
    <w:rsid w:val="00F77D07"/>
    <w:rsid w:val="00F77D0C"/>
    <w:rsid w:val="00F77ED6"/>
    <w:rsid w:val="00F77FEF"/>
    <w:rsid w:val="00F800BB"/>
    <w:rsid w:val="00F80116"/>
    <w:rsid w:val="00F8018A"/>
    <w:rsid w:val="00F80661"/>
    <w:rsid w:val="00F808E3"/>
    <w:rsid w:val="00F80AD0"/>
    <w:rsid w:val="00F81A96"/>
    <w:rsid w:val="00F81ADA"/>
    <w:rsid w:val="00F81D88"/>
    <w:rsid w:val="00F81EFB"/>
    <w:rsid w:val="00F81F22"/>
    <w:rsid w:val="00F82661"/>
    <w:rsid w:val="00F82768"/>
    <w:rsid w:val="00F8365E"/>
    <w:rsid w:val="00F839CD"/>
    <w:rsid w:val="00F83A91"/>
    <w:rsid w:val="00F84377"/>
    <w:rsid w:val="00F847F8"/>
    <w:rsid w:val="00F84FAB"/>
    <w:rsid w:val="00F8546A"/>
    <w:rsid w:val="00F85773"/>
    <w:rsid w:val="00F8588E"/>
    <w:rsid w:val="00F85C59"/>
    <w:rsid w:val="00F85C9D"/>
    <w:rsid w:val="00F86038"/>
    <w:rsid w:val="00F8603A"/>
    <w:rsid w:val="00F86291"/>
    <w:rsid w:val="00F864D6"/>
    <w:rsid w:val="00F86A25"/>
    <w:rsid w:val="00F86B94"/>
    <w:rsid w:val="00F86C2F"/>
    <w:rsid w:val="00F87658"/>
    <w:rsid w:val="00F8782C"/>
    <w:rsid w:val="00F87B5B"/>
    <w:rsid w:val="00F90136"/>
    <w:rsid w:val="00F9037F"/>
    <w:rsid w:val="00F90B28"/>
    <w:rsid w:val="00F90C65"/>
    <w:rsid w:val="00F90ED2"/>
    <w:rsid w:val="00F914C8"/>
    <w:rsid w:val="00F914DB"/>
    <w:rsid w:val="00F916A4"/>
    <w:rsid w:val="00F91D52"/>
    <w:rsid w:val="00F91DAE"/>
    <w:rsid w:val="00F91F81"/>
    <w:rsid w:val="00F92634"/>
    <w:rsid w:val="00F93134"/>
    <w:rsid w:val="00F93ABD"/>
    <w:rsid w:val="00F9429A"/>
    <w:rsid w:val="00F944EC"/>
    <w:rsid w:val="00F9477C"/>
    <w:rsid w:val="00F94E10"/>
    <w:rsid w:val="00F94E3C"/>
    <w:rsid w:val="00F953E0"/>
    <w:rsid w:val="00F957E9"/>
    <w:rsid w:val="00F95938"/>
    <w:rsid w:val="00F95A32"/>
    <w:rsid w:val="00F95D18"/>
    <w:rsid w:val="00F9646E"/>
    <w:rsid w:val="00F96AE9"/>
    <w:rsid w:val="00F96C62"/>
    <w:rsid w:val="00F96C69"/>
    <w:rsid w:val="00F96D83"/>
    <w:rsid w:val="00F97349"/>
    <w:rsid w:val="00F976D5"/>
    <w:rsid w:val="00F97D7C"/>
    <w:rsid w:val="00FA0340"/>
    <w:rsid w:val="00FA0B5D"/>
    <w:rsid w:val="00FA1282"/>
    <w:rsid w:val="00FA1B13"/>
    <w:rsid w:val="00FA1FAE"/>
    <w:rsid w:val="00FA2021"/>
    <w:rsid w:val="00FA2127"/>
    <w:rsid w:val="00FA2281"/>
    <w:rsid w:val="00FA236F"/>
    <w:rsid w:val="00FA2620"/>
    <w:rsid w:val="00FA270E"/>
    <w:rsid w:val="00FA289A"/>
    <w:rsid w:val="00FA29A4"/>
    <w:rsid w:val="00FA35BF"/>
    <w:rsid w:val="00FA3919"/>
    <w:rsid w:val="00FA394C"/>
    <w:rsid w:val="00FA3981"/>
    <w:rsid w:val="00FA3C81"/>
    <w:rsid w:val="00FA3D40"/>
    <w:rsid w:val="00FA4C35"/>
    <w:rsid w:val="00FA4D15"/>
    <w:rsid w:val="00FA4DAE"/>
    <w:rsid w:val="00FA4F56"/>
    <w:rsid w:val="00FA52F5"/>
    <w:rsid w:val="00FA539E"/>
    <w:rsid w:val="00FA54E4"/>
    <w:rsid w:val="00FA5993"/>
    <w:rsid w:val="00FA5A64"/>
    <w:rsid w:val="00FA5ABE"/>
    <w:rsid w:val="00FA6440"/>
    <w:rsid w:val="00FA700B"/>
    <w:rsid w:val="00FA724C"/>
    <w:rsid w:val="00FA739D"/>
    <w:rsid w:val="00FA74B5"/>
    <w:rsid w:val="00FB0B68"/>
    <w:rsid w:val="00FB0C2F"/>
    <w:rsid w:val="00FB0EAB"/>
    <w:rsid w:val="00FB11AF"/>
    <w:rsid w:val="00FB129E"/>
    <w:rsid w:val="00FB12F2"/>
    <w:rsid w:val="00FB17A4"/>
    <w:rsid w:val="00FB17F6"/>
    <w:rsid w:val="00FB1C91"/>
    <w:rsid w:val="00FB20D4"/>
    <w:rsid w:val="00FB2103"/>
    <w:rsid w:val="00FB32D0"/>
    <w:rsid w:val="00FB3300"/>
    <w:rsid w:val="00FB34A6"/>
    <w:rsid w:val="00FB34EA"/>
    <w:rsid w:val="00FB3709"/>
    <w:rsid w:val="00FB3733"/>
    <w:rsid w:val="00FB3860"/>
    <w:rsid w:val="00FB3DFB"/>
    <w:rsid w:val="00FB43A5"/>
    <w:rsid w:val="00FB4401"/>
    <w:rsid w:val="00FB471E"/>
    <w:rsid w:val="00FB5285"/>
    <w:rsid w:val="00FB5A92"/>
    <w:rsid w:val="00FB5D9C"/>
    <w:rsid w:val="00FB6091"/>
    <w:rsid w:val="00FB65C5"/>
    <w:rsid w:val="00FB6694"/>
    <w:rsid w:val="00FB6BD1"/>
    <w:rsid w:val="00FB7739"/>
    <w:rsid w:val="00FB7A77"/>
    <w:rsid w:val="00FB7C8E"/>
    <w:rsid w:val="00FB7DD4"/>
    <w:rsid w:val="00FB7FFE"/>
    <w:rsid w:val="00FC02B4"/>
    <w:rsid w:val="00FC03E5"/>
    <w:rsid w:val="00FC10C9"/>
    <w:rsid w:val="00FC1167"/>
    <w:rsid w:val="00FC120C"/>
    <w:rsid w:val="00FC1547"/>
    <w:rsid w:val="00FC17B0"/>
    <w:rsid w:val="00FC2028"/>
    <w:rsid w:val="00FC21C2"/>
    <w:rsid w:val="00FC25C9"/>
    <w:rsid w:val="00FC2646"/>
    <w:rsid w:val="00FC2FE5"/>
    <w:rsid w:val="00FC30C8"/>
    <w:rsid w:val="00FC33E7"/>
    <w:rsid w:val="00FC3445"/>
    <w:rsid w:val="00FC3BED"/>
    <w:rsid w:val="00FC415A"/>
    <w:rsid w:val="00FC43A2"/>
    <w:rsid w:val="00FC47F3"/>
    <w:rsid w:val="00FC4977"/>
    <w:rsid w:val="00FC498B"/>
    <w:rsid w:val="00FC4F58"/>
    <w:rsid w:val="00FC524A"/>
    <w:rsid w:val="00FC5548"/>
    <w:rsid w:val="00FC5FBF"/>
    <w:rsid w:val="00FC697B"/>
    <w:rsid w:val="00FC6FC6"/>
    <w:rsid w:val="00FC7609"/>
    <w:rsid w:val="00FC766E"/>
    <w:rsid w:val="00FC77A9"/>
    <w:rsid w:val="00FC780B"/>
    <w:rsid w:val="00FC7ABC"/>
    <w:rsid w:val="00FC7FB5"/>
    <w:rsid w:val="00FD0319"/>
    <w:rsid w:val="00FD0CA8"/>
    <w:rsid w:val="00FD0D7E"/>
    <w:rsid w:val="00FD1025"/>
    <w:rsid w:val="00FD1555"/>
    <w:rsid w:val="00FD1A6D"/>
    <w:rsid w:val="00FD1ACA"/>
    <w:rsid w:val="00FD1E32"/>
    <w:rsid w:val="00FD20AD"/>
    <w:rsid w:val="00FD239F"/>
    <w:rsid w:val="00FD255B"/>
    <w:rsid w:val="00FD2984"/>
    <w:rsid w:val="00FD298C"/>
    <w:rsid w:val="00FD2A9A"/>
    <w:rsid w:val="00FD3080"/>
    <w:rsid w:val="00FD373E"/>
    <w:rsid w:val="00FD413C"/>
    <w:rsid w:val="00FD473E"/>
    <w:rsid w:val="00FD480A"/>
    <w:rsid w:val="00FD4B47"/>
    <w:rsid w:val="00FD5240"/>
    <w:rsid w:val="00FD5406"/>
    <w:rsid w:val="00FD5EEF"/>
    <w:rsid w:val="00FD5F9A"/>
    <w:rsid w:val="00FD5FBA"/>
    <w:rsid w:val="00FD671B"/>
    <w:rsid w:val="00FD6732"/>
    <w:rsid w:val="00FD6B2C"/>
    <w:rsid w:val="00FD6FFB"/>
    <w:rsid w:val="00FD7733"/>
    <w:rsid w:val="00FD7FB7"/>
    <w:rsid w:val="00FE01BC"/>
    <w:rsid w:val="00FE0EBF"/>
    <w:rsid w:val="00FE11E1"/>
    <w:rsid w:val="00FE132C"/>
    <w:rsid w:val="00FE13EC"/>
    <w:rsid w:val="00FE15C3"/>
    <w:rsid w:val="00FE1DAA"/>
    <w:rsid w:val="00FE2683"/>
    <w:rsid w:val="00FE278C"/>
    <w:rsid w:val="00FE27B5"/>
    <w:rsid w:val="00FE2D41"/>
    <w:rsid w:val="00FE2E8E"/>
    <w:rsid w:val="00FE37E1"/>
    <w:rsid w:val="00FE3933"/>
    <w:rsid w:val="00FE3B38"/>
    <w:rsid w:val="00FE3F5D"/>
    <w:rsid w:val="00FE420E"/>
    <w:rsid w:val="00FE430B"/>
    <w:rsid w:val="00FE44F2"/>
    <w:rsid w:val="00FE45EC"/>
    <w:rsid w:val="00FE4878"/>
    <w:rsid w:val="00FE5619"/>
    <w:rsid w:val="00FE5789"/>
    <w:rsid w:val="00FE58C8"/>
    <w:rsid w:val="00FE5A16"/>
    <w:rsid w:val="00FE5BDC"/>
    <w:rsid w:val="00FE5F95"/>
    <w:rsid w:val="00FE690F"/>
    <w:rsid w:val="00FE6C55"/>
    <w:rsid w:val="00FE72E5"/>
    <w:rsid w:val="00FE7BC6"/>
    <w:rsid w:val="00FE7C3C"/>
    <w:rsid w:val="00FE7F44"/>
    <w:rsid w:val="00FF0334"/>
    <w:rsid w:val="00FF060C"/>
    <w:rsid w:val="00FF0F95"/>
    <w:rsid w:val="00FF1095"/>
    <w:rsid w:val="00FF1150"/>
    <w:rsid w:val="00FF11A7"/>
    <w:rsid w:val="00FF1516"/>
    <w:rsid w:val="00FF1CAA"/>
    <w:rsid w:val="00FF217E"/>
    <w:rsid w:val="00FF260F"/>
    <w:rsid w:val="00FF27E7"/>
    <w:rsid w:val="00FF352C"/>
    <w:rsid w:val="00FF3624"/>
    <w:rsid w:val="00FF3E42"/>
    <w:rsid w:val="00FF3FF3"/>
    <w:rsid w:val="00FF4282"/>
    <w:rsid w:val="00FF44A1"/>
    <w:rsid w:val="00FF4ED0"/>
    <w:rsid w:val="00FF51F2"/>
    <w:rsid w:val="00FF5377"/>
    <w:rsid w:val="00FF53B3"/>
    <w:rsid w:val="00FF5C1A"/>
    <w:rsid w:val="00FF63A7"/>
    <w:rsid w:val="00FF644C"/>
    <w:rsid w:val="00FF6595"/>
    <w:rsid w:val="00FF67E7"/>
    <w:rsid w:val="00FF6E0B"/>
    <w:rsid w:val="00FF6E0F"/>
    <w:rsid w:val="00FF7BBA"/>
    <w:rsid w:val="00FF7C20"/>
    <w:rsid w:val="00FF7E1E"/>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BCD3A"/>
  <w15:docId w15:val="{A67C52E4-6E0D-4192-8D93-73BBDF6C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E4D"/>
    <w:pPr>
      <w:spacing w:after="0" w:line="420" w:lineRule="exact"/>
      <w:jc w:val="both"/>
    </w:pPr>
    <w:rPr>
      <w:rFonts w:ascii="Times New Roman" w:eastAsia="Times New Roman" w:hAnsi="Times New Roman" w:cs="Arial"/>
      <w:sz w:val="24"/>
      <w:lang w:val="en-CA"/>
    </w:rPr>
  </w:style>
  <w:style w:type="paragraph" w:styleId="Heading1">
    <w:name w:val="heading 1"/>
    <w:basedOn w:val="Flietext"/>
    <w:next w:val="Flietext"/>
    <w:link w:val="Heading1Char"/>
    <w:qFormat/>
    <w:rsid w:val="00E45132"/>
    <w:pPr>
      <w:keepNext/>
      <w:numPr>
        <w:numId w:val="1"/>
      </w:numPr>
      <w:spacing w:before="240"/>
      <w:outlineLvl w:val="0"/>
    </w:pPr>
    <w:rPr>
      <w:b/>
      <w:spacing w:val="10"/>
    </w:rPr>
  </w:style>
  <w:style w:type="paragraph" w:styleId="Heading2">
    <w:name w:val="heading 2"/>
    <w:basedOn w:val="Flietext"/>
    <w:next w:val="Flietext"/>
    <w:link w:val="Heading2Char"/>
    <w:uiPriority w:val="9"/>
    <w:unhideWhenUsed/>
    <w:qFormat/>
    <w:rsid w:val="00E45132"/>
    <w:pPr>
      <w:keepNext/>
      <w:keepLines/>
      <w:numPr>
        <w:ilvl w:val="1"/>
        <w:numId w:val="1"/>
      </w:numPr>
      <w:spacing w:before="240"/>
      <w:outlineLvl w:val="1"/>
    </w:pPr>
    <w:rPr>
      <w:b/>
      <w:bCs w:val="0"/>
    </w:rPr>
  </w:style>
  <w:style w:type="paragraph" w:styleId="Heading3">
    <w:name w:val="heading 3"/>
    <w:basedOn w:val="Flietext"/>
    <w:next w:val="Flietext"/>
    <w:link w:val="Heading3Char"/>
    <w:uiPriority w:val="9"/>
    <w:unhideWhenUsed/>
    <w:qFormat/>
    <w:rsid w:val="0027418A"/>
    <w:pPr>
      <w:keepNext/>
      <w:keepLines/>
      <w:numPr>
        <w:ilvl w:val="2"/>
        <w:numId w:val="1"/>
      </w:numPr>
      <w:spacing w:before="280" w:after="240"/>
      <w:ind w:left="879" w:hanging="879"/>
      <w:outlineLvl w:val="2"/>
    </w:pPr>
    <w:rPr>
      <w:b/>
      <w:bCs w:val="0"/>
    </w:rPr>
  </w:style>
  <w:style w:type="paragraph" w:styleId="Heading4">
    <w:name w:val="heading 4"/>
    <w:basedOn w:val="Flietext"/>
    <w:next w:val="Flietext"/>
    <w:link w:val="Heading4Char"/>
    <w:uiPriority w:val="9"/>
    <w:unhideWhenUsed/>
    <w:qFormat/>
    <w:rsid w:val="0027418A"/>
    <w:pPr>
      <w:keepNext/>
      <w:keepLines/>
      <w:numPr>
        <w:ilvl w:val="3"/>
        <w:numId w:val="1"/>
      </w:numPr>
      <w:tabs>
        <w:tab w:val="left" w:pos="1021"/>
      </w:tabs>
      <w:spacing w:before="280" w:after="240"/>
      <w:ind w:left="879" w:hanging="879"/>
      <w:outlineLvl w:val="3"/>
    </w:pPr>
    <w:rPr>
      <w:b/>
      <w:bCs w:val="0"/>
      <w:iCs/>
    </w:rPr>
  </w:style>
  <w:style w:type="paragraph" w:styleId="Heading5">
    <w:name w:val="heading 5"/>
    <w:basedOn w:val="Flietext"/>
    <w:next w:val="Flietext"/>
    <w:link w:val="Heading5Char"/>
    <w:uiPriority w:val="9"/>
    <w:unhideWhenUsed/>
    <w:qFormat/>
    <w:rsid w:val="009A77CF"/>
    <w:pPr>
      <w:keepNext/>
      <w:keepLines/>
      <w:numPr>
        <w:ilvl w:val="4"/>
        <w:numId w:val="1"/>
      </w:numPr>
      <w:spacing w:before="280" w:after="240"/>
      <w:ind w:left="1009" w:hanging="1009"/>
      <w:outlineLvl w:val="4"/>
    </w:pPr>
    <w:rPr>
      <w:b/>
    </w:rPr>
  </w:style>
  <w:style w:type="paragraph" w:styleId="Heading6">
    <w:name w:val="heading 6"/>
    <w:basedOn w:val="Normal"/>
    <w:next w:val="Normal"/>
    <w:link w:val="Heading6Char"/>
    <w:uiPriority w:val="9"/>
    <w:semiHidden/>
    <w:unhideWhenUsed/>
    <w:qFormat/>
    <w:rsid w:val="00670E0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0E0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0E0D"/>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70E0D"/>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132"/>
    <w:rPr>
      <w:rFonts w:ascii="Times New Roman" w:eastAsiaTheme="majorEastAsia" w:hAnsi="Times New Roman" w:cstheme="majorBidi"/>
      <w:b/>
      <w:bCs/>
      <w:spacing w:val="10"/>
      <w:sz w:val="24"/>
      <w:szCs w:val="26"/>
      <w:lang w:val="en-GB"/>
    </w:rPr>
  </w:style>
  <w:style w:type="paragraph" w:styleId="BodyText">
    <w:name w:val="Body Text"/>
    <w:basedOn w:val="Normal"/>
    <w:link w:val="BodyTextChar"/>
    <w:rsid w:val="00E84393"/>
    <w:pPr>
      <w:jc w:val="center"/>
    </w:pPr>
    <w:rPr>
      <w:sz w:val="52"/>
    </w:rPr>
  </w:style>
  <w:style w:type="character" w:customStyle="1" w:styleId="BodyTextChar">
    <w:name w:val="Body Text Char"/>
    <w:basedOn w:val="DefaultParagraphFont"/>
    <w:link w:val="BodyText"/>
    <w:rsid w:val="00E84393"/>
    <w:rPr>
      <w:rFonts w:ascii="Times New Roman" w:eastAsia="Times New Roman" w:hAnsi="Times New Roman" w:cs="Times New Roman"/>
      <w:sz w:val="52"/>
      <w:szCs w:val="20"/>
      <w:lang w:eastAsia="de-DE"/>
    </w:rPr>
  </w:style>
  <w:style w:type="table" w:styleId="TableGrid">
    <w:name w:val="Table Grid"/>
    <w:basedOn w:val="TableNormal"/>
    <w:rsid w:val="00E8439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BBB"/>
    <w:pPr>
      <w:ind w:left="720"/>
      <w:contextualSpacing/>
    </w:pPr>
  </w:style>
  <w:style w:type="character" w:customStyle="1" w:styleId="Heading2Char">
    <w:name w:val="Heading 2 Char"/>
    <w:basedOn w:val="DefaultParagraphFont"/>
    <w:link w:val="Heading2"/>
    <w:uiPriority w:val="9"/>
    <w:rsid w:val="00E45132"/>
    <w:rPr>
      <w:rFonts w:ascii="Times New Roman" w:eastAsiaTheme="majorEastAsia" w:hAnsi="Times New Roman" w:cstheme="majorBidi"/>
      <w:b/>
      <w:sz w:val="24"/>
      <w:szCs w:val="26"/>
      <w:lang w:val="en-GB"/>
    </w:rPr>
  </w:style>
  <w:style w:type="paragraph" w:styleId="TOC2">
    <w:name w:val="toc 2"/>
    <w:basedOn w:val="Normal"/>
    <w:next w:val="Normal"/>
    <w:autoRedefine/>
    <w:uiPriority w:val="39"/>
    <w:unhideWhenUsed/>
    <w:rsid w:val="00DA0BBB"/>
    <w:pPr>
      <w:ind w:left="240"/>
      <w:jc w:val="left"/>
    </w:pPr>
    <w:rPr>
      <w:rFonts w:cstheme="minorHAnsi"/>
      <w:smallCaps/>
      <w:sz w:val="20"/>
      <w:szCs w:val="20"/>
    </w:rPr>
  </w:style>
  <w:style w:type="paragraph" w:styleId="TOC1">
    <w:name w:val="toc 1"/>
    <w:basedOn w:val="Normal"/>
    <w:next w:val="Normal"/>
    <w:autoRedefine/>
    <w:uiPriority w:val="39"/>
    <w:unhideWhenUsed/>
    <w:rsid w:val="00A00122"/>
    <w:pPr>
      <w:spacing w:before="120" w:after="120"/>
      <w:jc w:val="left"/>
    </w:pPr>
    <w:rPr>
      <w:rFonts w:cstheme="minorHAnsi"/>
      <w:b/>
      <w:bCs/>
      <w:caps/>
      <w:sz w:val="20"/>
      <w:szCs w:val="20"/>
    </w:rPr>
  </w:style>
  <w:style w:type="character" w:styleId="Hyperlink">
    <w:name w:val="Hyperlink"/>
    <w:basedOn w:val="DefaultParagraphFont"/>
    <w:uiPriority w:val="99"/>
    <w:unhideWhenUsed/>
    <w:rsid w:val="00DA0BBB"/>
    <w:rPr>
      <w:color w:val="0000FF" w:themeColor="hyperlink"/>
      <w:u w:val="single"/>
    </w:rPr>
  </w:style>
  <w:style w:type="character" w:customStyle="1" w:styleId="Heading3Char">
    <w:name w:val="Heading 3 Char"/>
    <w:basedOn w:val="DefaultParagraphFont"/>
    <w:link w:val="Heading3"/>
    <w:uiPriority w:val="9"/>
    <w:rsid w:val="0027418A"/>
    <w:rPr>
      <w:rFonts w:ascii="Times New Roman" w:eastAsiaTheme="majorEastAsia" w:hAnsi="Times New Roman" w:cstheme="majorBidi"/>
      <w:b/>
      <w:sz w:val="24"/>
      <w:szCs w:val="26"/>
      <w:lang w:val="en-GB"/>
    </w:rPr>
  </w:style>
  <w:style w:type="paragraph" w:styleId="TOC3">
    <w:name w:val="toc 3"/>
    <w:basedOn w:val="Normal"/>
    <w:next w:val="Normal"/>
    <w:autoRedefine/>
    <w:uiPriority w:val="39"/>
    <w:unhideWhenUsed/>
    <w:rsid w:val="009E1656"/>
    <w:pPr>
      <w:ind w:left="480"/>
      <w:jc w:val="left"/>
    </w:pPr>
    <w:rPr>
      <w:rFonts w:cstheme="minorHAnsi"/>
      <w:i/>
      <w:iCs/>
      <w:sz w:val="20"/>
      <w:szCs w:val="20"/>
    </w:rPr>
  </w:style>
  <w:style w:type="character" w:customStyle="1" w:styleId="Heading4Char">
    <w:name w:val="Heading 4 Char"/>
    <w:basedOn w:val="DefaultParagraphFont"/>
    <w:link w:val="Heading4"/>
    <w:uiPriority w:val="9"/>
    <w:rsid w:val="0027418A"/>
    <w:rPr>
      <w:rFonts w:ascii="Times New Roman" w:eastAsiaTheme="majorEastAsia" w:hAnsi="Times New Roman" w:cstheme="majorBidi"/>
      <w:b/>
      <w:iCs/>
      <w:sz w:val="24"/>
      <w:szCs w:val="26"/>
      <w:lang w:val="en-GB"/>
    </w:rPr>
  </w:style>
  <w:style w:type="character" w:customStyle="1" w:styleId="Heading5Char">
    <w:name w:val="Heading 5 Char"/>
    <w:basedOn w:val="DefaultParagraphFont"/>
    <w:link w:val="Heading5"/>
    <w:uiPriority w:val="9"/>
    <w:rsid w:val="009A77CF"/>
    <w:rPr>
      <w:rFonts w:ascii="Times New Roman" w:eastAsiaTheme="majorEastAsia" w:hAnsi="Times New Roman" w:cstheme="majorBidi"/>
      <w:b/>
      <w:bCs/>
      <w:sz w:val="24"/>
      <w:szCs w:val="26"/>
      <w:lang w:val="en-GB"/>
    </w:rPr>
  </w:style>
  <w:style w:type="character" w:customStyle="1" w:styleId="Heading6Char">
    <w:name w:val="Heading 6 Char"/>
    <w:basedOn w:val="DefaultParagraphFont"/>
    <w:link w:val="Heading6"/>
    <w:uiPriority w:val="9"/>
    <w:semiHidden/>
    <w:rsid w:val="00670E0D"/>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70E0D"/>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70E0D"/>
    <w:rPr>
      <w:rFonts w:asciiTheme="majorHAnsi" w:eastAsiaTheme="majorEastAsia" w:hAnsiTheme="majorHAnsi" w:cstheme="majorBidi"/>
      <w:color w:val="404040" w:themeColor="text1" w:themeTint="BF"/>
      <w:sz w:val="24"/>
    </w:rPr>
  </w:style>
  <w:style w:type="character" w:customStyle="1" w:styleId="Heading9Char">
    <w:name w:val="Heading 9 Char"/>
    <w:basedOn w:val="DefaultParagraphFont"/>
    <w:link w:val="Heading9"/>
    <w:uiPriority w:val="9"/>
    <w:semiHidden/>
    <w:rsid w:val="00670E0D"/>
    <w:rPr>
      <w:rFonts w:asciiTheme="majorHAnsi" w:eastAsiaTheme="majorEastAsia" w:hAnsiTheme="majorHAnsi" w:cstheme="majorBidi"/>
      <w:i/>
      <w:iCs/>
      <w:color w:val="404040" w:themeColor="text1" w:themeTint="BF"/>
      <w:sz w:val="24"/>
    </w:rPr>
  </w:style>
  <w:style w:type="paragraph" w:styleId="Header">
    <w:name w:val="header"/>
    <w:basedOn w:val="Normal"/>
    <w:link w:val="HeaderChar"/>
    <w:uiPriority w:val="99"/>
    <w:unhideWhenUsed/>
    <w:rsid w:val="007941D8"/>
    <w:pPr>
      <w:tabs>
        <w:tab w:val="right" w:pos="9072"/>
        <w:tab w:val="right" w:pos="9923"/>
      </w:tabs>
    </w:pPr>
    <w:rPr>
      <w:color w:val="404040" w:themeColor="text1" w:themeTint="BF"/>
      <w:sz w:val="20"/>
    </w:rPr>
  </w:style>
  <w:style w:type="character" w:customStyle="1" w:styleId="HeaderChar">
    <w:name w:val="Header Char"/>
    <w:basedOn w:val="DefaultParagraphFont"/>
    <w:link w:val="Header"/>
    <w:uiPriority w:val="99"/>
    <w:rsid w:val="007941D8"/>
    <w:rPr>
      <w:rFonts w:eastAsia="Times New Roman" w:cs="Arial"/>
      <w:color w:val="404040" w:themeColor="text1" w:themeTint="BF"/>
      <w:sz w:val="20"/>
    </w:rPr>
  </w:style>
  <w:style w:type="paragraph" w:styleId="Footer">
    <w:name w:val="footer"/>
    <w:basedOn w:val="Normal"/>
    <w:link w:val="FooterChar"/>
    <w:uiPriority w:val="99"/>
    <w:unhideWhenUsed/>
    <w:rsid w:val="001870A7"/>
    <w:pPr>
      <w:tabs>
        <w:tab w:val="center" w:pos="4536"/>
        <w:tab w:val="right" w:pos="9072"/>
      </w:tabs>
    </w:pPr>
  </w:style>
  <w:style w:type="character" w:customStyle="1" w:styleId="FooterChar">
    <w:name w:val="Footer Char"/>
    <w:basedOn w:val="DefaultParagraphFont"/>
    <w:link w:val="Footer"/>
    <w:uiPriority w:val="99"/>
    <w:rsid w:val="001870A7"/>
    <w:rPr>
      <w:rFonts w:ascii="Times New Roman" w:eastAsia="Times New Roman" w:hAnsi="Times New Roman" w:cs="Times New Roman"/>
      <w:sz w:val="20"/>
      <w:szCs w:val="20"/>
      <w:lang w:eastAsia="de-DE"/>
    </w:rPr>
  </w:style>
  <w:style w:type="paragraph" w:styleId="BalloonText">
    <w:name w:val="Balloon Text"/>
    <w:basedOn w:val="Normal"/>
    <w:link w:val="BalloonTextChar"/>
    <w:uiPriority w:val="99"/>
    <w:semiHidden/>
    <w:unhideWhenUsed/>
    <w:rsid w:val="001870A7"/>
    <w:rPr>
      <w:rFonts w:ascii="Tahoma" w:hAnsi="Tahoma" w:cs="Tahoma"/>
      <w:sz w:val="16"/>
      <w:szCs w:val="16"/>
    </w:rPr>
  </w:style>
  <w:style w:type="character" w:customStyle="1" w:styleId="BalloonTextChar">
    <w:name w:val="Balloon Text Char"/>
    <w:basedOn w:val="DefaultParagraphFont"/>
    <w:link w:val="BalloonText"/>
    <w:uiPriority w:val="99"/>
    <w:semiHidden/>
    <w:rsid w:val="001870A7"/>
    <w:rPr>
      <w:rFonts w:ascii="Tahoma" w:eastAsia="Times New Roman" w:hAnsi="Tahoma" w:cs="Tahoma"/>
      <w:sz w:val="16"/>
      <w:szCs w:val="16"/>
      <w:lang w:eastAsia="de-DE"/>
    </w:rPr>
  </w:style>
  <w:style w:type="character" w:styleId="PlaceholderText">
    <w:name w:val="Placeholder Text"/>
    <w:basedOn w:val="DefaultParagraphFont"/>
    <w:uiPriority w:val="99"/>
    <w:semiHidden/>
    <w:rsid w:val="001870A7"/>
    <w:rPr>
      <w:color w:val="808080"/>
    </w:rPr>
  </w:style>
  <w:style w:type="paragraph" w:styleId="Caption">
    <w:name w:val="caption"/>
    <w:next w:val="FlietextFolge"/>
    <w:uiPriority w:val="35"/>
    <w:unhideWhenUsed/>
    <w:qFormat/>
    <w:rsid w:val="00D1197C"/>
    <w:pPr>
      <w:spacing w:after="280"/>
      <w:ind w:left="284"/>
    </w:pPr>
    <w:rPr>
      <w:rFonts w:ascii="Times New Roman" w:eastAsia="Times New Roman" w:hAnsi="Times New Roman" w:cs="Arial"/>
      <w:i/>
      <w:szCs w:val="18"/>
      <w:lang w:val="en-GB"/>
    </w:rPr>
  </w:style>
  <w:style w:type="paragraph" w:styleId="FootnoteText">
    <w:name w:val="footnote text"/>
    <w:basedOn w:val="Flietext"/>
    <w:link w:val="FootnoteTextChar"/>
    <w:unhideWhenUsed/>
    <w:rsid w:val="00D451A1"/>
    <w:rPr>
      <w:sz w:val="22"/>
    </w:rPr>
  </w:style>
  <w:style w:type="character" w:customStyle="1" w:styleId="FootnoteTextChar">
    <w:name w:val="Footnote Text Char"/>
    <w:basedOn w:val="DefaultParagraphFont"/>
    <w:link w:val="FootnoteText"/>
    <w:rsid w:val="00D451A1"/>
    <w:rPr>
      <w:rFonts w:ascii="Times New Roman" w:eastAsiaTheme="majorEastAsia" w:hAnsi="Times New Roman" w:cstheme="majorBidi"/>
      <w:bCs/>
      <w:szCs w:val="26"/>
      <w:lang w:val="en-GB"/>
    </w:rPr>
  </w:style>
  <w:style w:type="character" w:styleId="FootnoteReference">
    <w:name w:val="footnote reference"/>
    <w:basedOn w:val="DefaultParagraphFont"/>
    <w:unhideWhenUsed/>
    <w:rsid w:val="00BC7171"/>
    <w:rPr>
      <w:vertAlign w:val="superscript"/>
    </w:rPr>
  </w:style>
  <w:style w:type="paragraph" w:styleId="Quote">
    <w:name w:val="Quote"/>
    <w:basedOn w:val="Flietext"/>
    <w:next w:val="Normal"/>
    <w:link w:val="QuoteChar"/>
    <w:uiPriority w:val="29"/>
    <w:qFormat/>
    <w:rsid w:val="0048252F"/>
    <w:rPr>
      <w:i/>
      <w:iCs/>
      <w:color w:val="000000" w:themeColor="text1"/>
    </w:rPr>
  </w:style>
  <w:style w:type="character" w:customStyle="1" w:styleId="QuoteChar">
    <w:name w:val="Quote Char"/>
    <w:basedOn w:val="DefaultParagraphFont"/>
    <w:link w:val="Quote"/>
    <w:uiPriority w:val="29"/>
    <w:rsid w:val="00C91C3F"/>
    <w:rPr>
      <w:rFonts w:ascii="Times New Roman" w:eastAsiaTheme="majorEastAsia" w:hAnsi="Times New Roman" w:cstheme="majorBidi"/>
      <w:bCs/>
      <w:i/>
      <w:iCs/>
      <w:color w:val="000000" w:themeColor="text1"/>
      <w:sz w:val="24"/>
      <w:szCs w:val="26"/>
      <w:lang w:val="en-GB"/>
    </w:rPr>
  </w:style>
  <w:style w:type="paragraph" w:styleId="TOC4">
    <w:name w:val="toc 4"/>
    <w:basedOn w:val="Normal"/>
    <w:next w:val="Normal"/>
    <w:autoRedefine/>
    <w:uiPriority w:val="39"/>
    <w:unhideWhenUsed/>
    <w:rsid w:val="00E778ED"/>
    <w:pPr>
      <w:ind w:left="720"/>
      <w:jc w:val="left"/>
    </w:pPr>
    <w:rPr>
      <w:rFonts w:cstheme="minorHAnsi"/>
      <w:sz w:val="18"/>
      <w:szCs w:val="18"/>
    </w:rPr>
  </w:style>
  <w:style w:type="paragraph" w:styleId="TOC5">
    <w:name w:val="toc 5"/>
    <w:basedOn w:val="Normal"/>
    <w:next w:val="Normal"/>
    <w:autoRedefine/>
    <w:uiPriority w:val="39"/>
    <w:unhideWhenUsed/>
    <w:rsid w:val="00B11A24"/>
    <w:pPr>
      <w:ind w:left="960"/>
      <w:jc w:val="left"/>
    </w:pPr>
    <w:rPr>
      <w:rFonts w:cstheme="minorHAnsi"/>
      <w:sz w:val="18"/>
      <w:szCs w:val="18"/>
    </w:rPr>
  </w:style>
  <w:style w:type="paragraph" w:customStyle="1" w:styleId="Default">
    <w:name w:val="Default"/>
    <w:rsid w:val="000B5331"/>
    <w:pPr>
      <w:autoSpaceDE w:val="0"/>
      <w:autoSpaceDN w:val="0"/>
      <w:adjustRightInd w:val="0"/>
      <w:spacing w:after="0" w:line="240" w:lineRule="auto"/>
    </w:pPr>
    <w:rPr>
      <w:rFonts w:ascii="Calibri" w:hAnsi="Calibri" w:cs="Calibri"/>
      <w:color w:val="000000"/>
      <w:sz w:val="24"/>
      <w:szCs w:val="24"/>
    </w:rPr>
  </w:style>
  <w:style w:type="table" w:customStyle="1" w:styleId="HelleSchattierung-Akzent11">
    <w:name w:val="Helle Schattierung - Akzent 11"/>
    <w:basedOn w:val="TableNormal"/>
    <w:uiPriority w:val="60"/>
    <w:rsid w:val="003E115E"/>
    <w:pPr>
      <w:keepNext/>
      <w:spacing w:after="0" w:line="240" w:lineRule="auto"/>
    </w:pPr>
    <w:rPr>
      <w:rFonts w:ascii="Times New Roman" w:hAnsi="Times New Roman"/>
      <w:sz w:val="24"/>
    </w:rPr>
    <w:tblPr>
      <w:tblStyleRowBandSize w:val="1"/>
      <w:tblStyleColBandSize w:val="1"/>
      <w:tblInd w:w="284" w:type="dxa"/>
      <w:tblBorders>
        <w:top w:val="single" w:sz="8" w:space="0" w:color="000000" w:themeColor="text1"/>
        <w:bottom w:val="single" w:sz="8" w:space="0" w:color="000000" w:themeColor="text1"/>
      </w:tblBorders>
    </w:tblPr>
    <w:trPr>
      <w:cantSplit/>
    </w:trPr>
    <w:tblStylePr w:type="firstRow">
      <w:pPr>
        <w:spacing w:before="0" w:after="0" w:line="240" w:lineRule="auto"/>
      </w:pPr>
      <w:rPr>
        <w:b w:val="0"/>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uiPriority w:val="99"/>
    <w:unhideWhenUsed/>
    <w:rsid w:val="00683477"/>
    <w:pPr>
      <w:jc w:val="left"/>
    </w:pPr>
    <w:rPr>
      <w:rFonts w:cstheme="minorHAnsi"/>
      <w:i/>
      <w:iCs/>
      <w:sz w:val="20"/>
      <w:szCs w:val="20"/>
    </w:rPr>
  </w:style>
  <w:style w:type="paragraph" w:styleId="Bibliography">
    <w:name w:val="Bibliography"/>
    <w:basedOn w:val="Normal"/>
    <w:next w:val="Normal"/>
    <w:uiPriority w:val="37"/>
    <w:unhideWhenUsed/>
    <w:rsid w:val="00BC16C7"/>
  </w:style>
  <w:style w:type="table" w:styleId="LightShading-Accent1">
    <w:name w:val="Light Shading Accent 1"/>
    <w:basedOn w:val="TableNormal"/>
    <w:uiPriority w:val="60"/>
    <w:rsid w:val="00574F3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39314C"/>
  </w:style>
  <w:style w:type="paragraph" w:styleId="TOC6">
    <w:name w:val="toc 6"/>
    <w:basedOn w:val="Normal"/>
    <w:next w:val="Normal"/>
    <w:autoRedefine/>
    <w:uiPriority w:val="39"/>
    <w:unhideWhenUsed/>
    <w:rsid w:val="00BC7516"/>
    <w:pPr>
      <w:ind w:left="1200"/>
      <w:jc w:val="left"/>
    </w:pPr>
    <w:rPr>
      <w:rFonts w:cstheme="minorHAnsi"/>
      <w:sz w:val="18"/>
      <w:szCs w:val="18"/>
    </w:rPr>
  </w:style>
  <w:style w:type="paragraph" w:styleId="TOC7">
    <w:name w:val="toc 7"/>
    <w:basedOn w:val="Normal"/>
    <w:next w:val="Normal"/>
    <w:autoRedefine/>
    <w:uiPriority w:val="39"/>
    <w:unhideWhenUsed/>
    <w:rsid w:val="00BC7516"/>
    <w:pPr>
      <w:ind w:left="1440"/>
      <w:jc w:val="left"/>
    </w:pPr>
    <w:rPr>
      <w:rFonts w:cstheme="minorHAnsi"/>
      <w:sz w:val="18"/>
      <w:szCs w:val="18"/>
    </w:rPr>
  </w:style>
  <w:style w:type="paragraph" w:styleId="TOC8">
    <w:name w:val="toc 8"/>
    <w:basedOn w:val="Normal"/>
    <w:next w:val="Normal"/>
    <w:autoRedefine/>
    <w:uiPriority w:val="39"/>
    <w:unhideWhenUsed/>
    <w:rsid w:val="00BC7516"/>
    <w:pPr>
      <w:ind w:left="1680"/>
      <w:jc w:val="left"/>
    </w:pPr>
    <w:rPr>
      <w:rFonts w:cstheme="minorHAnsi"/>
      <w:sz w:val="18"/>
      <w:szCs w:val="18"/>
    </w:rPr>
  </w:style>
  <w:style w:type="paragraph" w:styleId="TOC9">
    <w:name w:val="toc 9"/>
    <w:basedOn w:val="Normal"/>
    <w:next w:val="Normal"/>
    <w:autoRedefine/>
    <w:uiPriority w:val="39"/>
    <w:unhideWhenUsed/>
    <w:rsid w:val="00BC7516"/>
    <w:pPr>
      <w:ind w:left="1920"/>
      <w:jc w:val="left"/>
    </w:pPr>
    <w:rPr>
      <w:rFonts w:cstheme="minorHAnsi"/>
      <w:sz w:val="18"/>
      <w:szCs w:val="18"/>
    </w:rPr>
  </w:style>
  <w:style w:type="paragraph" w:styleId="Index1">
    <w:name w:val="index 1"/>
    <w:basedOn w:val="Normal"/>
    <w:next w:val="Normal"/>
    <w:autoRedefine/>
    <w:uiPriority w:val="99"/>
    <w:unhideWhenUsed/>
    <w:rsid w:val="00F84377"/>
    <w:pPr>
      <w:ind w:left="240" w:hanging="240"/>
      <w:jc w:val="left"/>
    </w:pPr>
    <w:rPr>
      <w:rFonts w:asciiTheme="minorHAnsi" w:hAnsiTheme="minorHAnsi" w:cstheme="minorHAnsi"/>
      <w:sz w:val="20"/>
      <w:szCs w:val="20"/>
    </w:rPr>
  </w:style>
  <w:style w:type="paragraph" w:styleId="Index2">
    <w:name w:val="index 2"/>
    <w:basedOn w:val="Normal"/>
    <w:next w:val="Normal"/>
    <w:autoRedefine/>
    <w:uiPriority w:val="99"/>
    <w:unhideWhenUsed/>
    <w:rsid w:val="00F84377"/>
    <w:pPr>
      <w:ind w:left="480" w:hanging="240"/>
      <w:jc w:val="left"/>
    </w:pPr>
    <w:rPr>
      <w:rFonts w:asciiTheme="minorHAnsi" w:hAnsiTheme="minorHAnsi" w:cstheme="minorHAnsi"/>
      <w:sz w:val="20"/>
      <w:szCs w:val="20"/>
    </w:rPr>
  </w:style>
  <w:style w:type="paragraph" w:styleId="Index3">
    <w:name w:val="index 3"/>
    <w:basedOn w:val="Normal"/>
    <w:next w:val="Normal"/>
    <w:autoRedefine/>
    <w:uiPriority w:val="99"/>
    <w:unhideWhenUsed/>
    <w:rsid w:val="00F84377"/>
    <w:pPr>
      <w:ind w:left="720" w:hanging="240"/>
      <w:jc w:val="left"/>
    </w:pPr>
    <w:rPr>
      <w:rFonts w:asciiTheme="minorHAnsi" w:hAnsiTheme="minorHAnsi" w:cstheme="minorHAnsi"/>
      <w:sz w:val="20"/>
      <w:szCs w:val="20"/>
    </w:rPr>
  </w:style>
  <w:style w:type="paragraph" w:styleId="Index4">
    <w:name w:val="index 4"/>
    <w:basedOn w:val="Normal"/>
    <w:next w:val="Normal"/>
    <w:autoRedefine/>
    <w:uiPriority w:val="99"/>
    <w:unhideWhenUsed/>
    <w:rsid w:val="00F84377"/>
    <w:pPr>
      <w:ind w:left="960" w:hanging="240"/>
      <w:jc w:val="left"/>
    </w:pPr>
    <w:rPr>
      <w:rFonts w:asciiTheme="minorHAnsi" w:hAnsiTheme="minorHAnsi" w:cstheme="minorHAnsi"/>
      <w:sz w:val="20"/>
      <w:szCs w:val="20"/>
    </w:rPr>
  </w:style>
  <w:style w:type="paragraph" w:styleId="Index5">
    <w:name w:val="index 5"/>
    <w:basedOn w:val="Normal"/>
    <w:next w:val="Normal"/>
    <w:autoRedefine/>
    <w:uiPriority w:val="99"/>
    <w:unhideWhenUsed/>
    <w:rsid w:val="00F84377"/>
    <w:pPr>
      <w:ind w:left="1200" w:hanging="240"/>
      <w:jc w:val="left"/>
    </w:pPr>
    <w:rPr>
      <w:rFonts w:asciiTheme="minorHAnsi" w:hAnsiTheme="minorHAnsi" w:cstheme="minorHAnsi"/>
      <w:sz w:val="20"/>
      <w:szCs w:val="20"/>
    </w:rPr>
  </w:style>
  <w:style w:type="paragraph" w:styleId="Index6">
    <w:name w:val="index 6"/>
    <w:basedOn w:val="Normal"/>
    <w:next w:val="Normal"/>
    <w:autoRedefine/>
    <w:uiPriority w:val="99"/>
    <w:unhideWhenUsed/>
    <w:rsid w:val="00F84377"/>
    <w:pPr>
      <w:ind w:left="1440" w:hanging="240"/>
      <w:jc w:val="left"/>
    </w:pPr>
    <w:rPr>
      <w:rFonts w:asciiTheme="minorHAnsi" w:hAnsiTheme="minorHAnsi" w:cstheme="minorHAnsi"/>
      <w:sz w:val="20"/>
      <w:szCs w:val="20"/>
    </w:rPr>
  </w:style>
  <w:style w:type="paragraph" w:styleId="Index7">
    <w:name w:val="index 7"/>
    <w:basedOn w:val="Normal"/>
    <w:next w:val="Normal"/>
    <w:autoRedefine/>
    <w:uiPriority w:val="99"/>
    <w:unhideWhenUsed/>
    <w:rsid w:val="00F84377"/>
    <w:pPr>
      <w:ind w:left="1680" w:hanging="240"/>
      <w:jc w:val="left"/>
    </w:pPr>
    <w:rPr>
      <w:rFonts w:asciiTheme="minorHAnsi" w:hAnsiTheme="minorHAnsi" w:cstheme="minorHAnsi"/>
      <w:sz w:val="20"/>
      <w:szCs w:val="20"/>
    </w:rPr>
  </w:style>
  <w:style w:type="paragraph" w:styleId="Index8">
    <w:name w:val="index 8"/>
    <w:basedOn w:val="Normal"/>
    <w:next w:val="Normal"/>
    <w:autoRedefine/>
    <w:uiPriority w:val="99"/>
    <w:unhideWhenUsed/>
    <w:rsid w:val="00F84377"/>
    <w:pPr>
      <w:ind w:left="1920" w:hanging="240"/>
      <w:jc w:val="left"/>
    </w:pPr>
    <w:rPr>
      <w:rFonts w:asciiTheme="minorHAnsi" w:hAnsiTheme="minorHAnsi" w:cstheme="minorHAnsi"/>
      <w:sz w:val="20"/>
      <w:szCs w:val="20"/>
    </w:rPr>
  </w:style>
  <w:style w:type="paragraph" w:styleId="Index9">
    <w:name w:val="index 9"/>
    <w:basedOn w:val="Normal"/>
    <w:next w:val="Normal"/>
    <w:autoRedefine/>
    <w:uiPriority w:val="99"/>
    <w:unhideWhenUsed/>
    <w:rsid w:val="00F84377"/>
    <w:pPr>
      <w:ind w:left="2160" w:hanging="240"/>
      <w:jc w:val="left"/>
    </w:pPr>
    <w:rPr>
      <w:rFonts w:asciiTheme="minorHAnsi" w:hAnsiTheme="minorHAnsi" w:cstheme="minorHAnsi"/>
      <w:sz w:val="20"/>
      <w:szCs w:val="20"/>
    </w:rPr>
  </w:style>
  <w:style w:type="paragraph" w:styleId="IndexHeading">
    <w:name w:val="index heading"/>
    <w:basedOn w:val="Normal"/>
    <w:next w:val="Index1"/>
    <w:uiPriority w:val="99"/>
    <w:unhideWhenUsed/>
    <w:rsid w:val="00F84377"/>
    <w:pPr>
      <w:spacing w:before="120" w:after="120"/>
      <w:jc w:val="left"/>
    </w:pPr>
    <w:rPr>
      <w:rFonts w:asciiTheme="minorHAnsi" w:hAnsiTheme="minorHAnsi" w:cstheme="minorHAnsi"/>
      <w:b/>
      <w:bCs/>
      <w:i/>
      <w:iCs/>
      <w:sz w:val="20"/>
      <w:szCs w:val="20"/>
    </w:rPr>
  </w:style>
  <w:style w:type="table" w:styleId="LightList">
    <w:name w:val="Light List"/>
    <w:basedOn w:val="TableNormal"/>
    <w:uiPriority w:val="61"/>
    <w:rsid w:val="0008514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2119C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FE5A16"/>
    <w:rPr>
      <w:sz w:val="16"/>
      <w:szCs w:val="16"/>
    </w:rPr>
  </w:style>
  <w:style w:type="paragraph" w:styleId="CommentText">
    <w:name w:val="annotation text"/>
    <w:basedOn w:val="Normal"/>
    <w:link w:val="CommentTextChar"/>
    <w:uiPriority w:val="99"/>
    <w:semiHidden/>
    <w:unhideWhenUsed/>
    <w:rsid w:val="00FE5A16"/>
    <w:pPr>
      <w:spacing w:line="240" w:lineRule="auto"/>
    </w:pPr>
    <w:rPr>
      <w:sz w:val="20"/>
      <w:szCs w:val="20"/>
    </w:rPr>
  </w:style>
  <w:style w:type="character" w:customStyle="1" w:styleId="CommentTextChar">
    <w:name w:val="Comment Text Char"/>
    <w:basedOn w:val="DefaultParagraphFont"/>
    <w:link w:val="CommentText"/>
    <w:uiPriority w:val="99"/>
    <w:semiHidden/>
    <w:rsid w:val="00FE5A16"/>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FE5A16"/>
    <w:rPr>
      <w:b/>
      <w:bCs/>
    </w:rPr>
  </w:style>
  <w:style w:type="character" w:customStyle="1" w:styleId="CommentSubjectChar">
    <w:name w:val="Comment Subject Char"/>
    <w:basedOn w:val="CommentTextChar"/>
    <w:link w:val="CommentSubject"/>
    <w:uiPriority w:val="99"/>
    <w:semiHidden/>
    <w:rsid w:val="00FE5A16"/>
    <w:rPr>
      <w:rFonts w:eastAsia="Times New Roman" w:cs="Arial"/>
      <w:b/>
      <w:bCs/>
      <w:sz w:val="20"/>
      <w:szCs w:val="20"/>
    </w:rPr>
  </w:style>
  <w:style w:type="paragraph" w:customStyle="1" w:styleId="Flietext">
    <w:name w:val="Fließtext"/>
    <w:next w:val="FlietextFolge"/>
    <w:qFormat/>
    <w:rsid w:val="0052516F"/>
    <w:pPr>
      <w:spacing w:after="0" w:line="240" w:lineRule="auto"/>
      <w:jc w:val="both"/>
    </w:pPr>
    <w:rPr>
      <w:rFonts w:ascii="Times New Roman" w:eastAsiaTheme="majorEastAsia" w:hAnsi="Times New Roman" w:cstheme="majorBidi"/>
      <w:bCs/>
      <w:sz w:val="24"/>
      <w:szCs w:val="26"/>
      <w:lang w:val="en-GB"/>
    </w:rPr>
  </w:style>
  <w:style w:type="paragraph" w:customStyle="1" w:styleId="FlietextFolge">
    <w:name w:val="Fließtext Folge"/>
    <w:basedOn w:val="Flietext"/>
    <w:qFormat/>
    <w:rsid w:val="00E45132"/>
    <w:pPr>
      <w:ind w:firstLine="284"/>
    </w:pPr>
  </w:style>
  <w:style w:type="paragraph" w:customStyle="1" w:styleId="FlietextAbstanddavor">
    <w:name w:val="Fließtext Abstand davor"/>
    <w:basedOn w:val="Flietext"/>
    <w:next w:val="FlietextFolge"/>
    <w:qFormat/>
    <w:rsid w:val="00E45132"/>
    <w:pPr>
      <w:spacing w:before="200"/>
    </w:pPr>
  </w:style>
  <w:style w:type="paragraph" w:customStyle="1" w:styleId="Objekte">
    <w:name w:val="Objekte"/>
    <w:basedOn w:val="FlietextFolge"/>
    <w:next w:val="Caption"/>
    <w:qFormat/>
    <w:rsid w:val="00E77C48"/>
    <w:pPr>
      <w:keepNext/>
      <w:spacing w:before="280"/>
    </w:pPr>
    <w:rPr>
      <w:noProof/>
      <w:lang w:val="de-DE" w:eastAsia="de-DE"/>
    </w:rPr>
  </w:style>
  <w:style w:type="table" w:customStyle="1" w:styleId="Formatvorlage1">
    <w:name w:val="Formatvorlage1"/>
    <w:basedOn w:val="TableNormal"/>
    <w:uiPriority w:val="99"/>
    <w:rsid w:val="00344866"/>
    <w:pPr>
      <w:spacing w:after="0" w:line="240" w:lineRule="auto"/>
      <w:ind w:left="284"/>
    </w:pPr>
    <w:tblPr/>
  </w:style>
  <w:style w:type="paragraph" w:customStyle="1" w:styleId="BeschriftungTabelle">
    <w:name w:val="Beschriftung Tabelle"/>
    <w:basedOn w:val="Caption"/>
    <w:qFormat/>
    <w:rsid w:val="00C91C3F"/>
    <w:pPr>
      <w:keepNext/>
      <w:spacing w:before="280"/>
    </w:pPr>
  </w:style>
  <w:style w:type="character" w:styleId="SubtleReference">
    <w:name w:val="Subtle Reference"/>
    <w:basedOn w:val="DefaultParagraphFont"/>
    <w:uiPriority w:val="31"/>
    <w:qFormat/>
    <w:rsid w:val="004E1C1A"/>
    <w:rPr>
      <w:i/>
      <w:caps w:val="0"/>
      <w:smallCaps w:val="0"/>
      <w:color w:val="auto"/>
      <w:u w:val="none"/>
    </w:rPr>
  </w:style>
  <w:style w:type="character" w:styleId="SubtleEmphasis">
    <w:name w:val="Subtle Emphasis"/>
    <w:basedOn w:val="DefaultParagraphFont"/>
    <w:uiPriority w:val="19"/>
    <w:qFormat/>
    <w:rsid w:val="004E1C1A"/>
    <w:rPr>
      <w:i/>
      <w:iCs/>
      <w:color w:val="808080" w:themeColor="text1" w:themeTint="7F"/>
    </w:rPr>
  </w:style>
  <w:style w:type="character" w:styleId="IntenseReference">
    <w:name w:val="Intense Reference"/>
    <w:basedOn w:val="DefaultParagraphFont"/>
    <w:uiPriority w:val="32"/>
    <w:qFormat/>
    <w:rsid w:val="00856EB8"/>
    <w:rPr>
      <w:b/>
      <w:bCs/>
      <w:smallCaps/>
      <w:color w:val="C0504D" w:themeColor="accent2"/>
      <w:spacing w:val="5"/>
      <w:u w:val="single"/>
    </w:rPr>
  </w:style>
  <w:style w:type="paragraph" w:styleId="HTMLPreformatted">
    <w:name w:val="HTML Preformatted"/>
    <w:basedOn w:val="Normal"/>
    <w:link w:val="HTMLPreformattedChar"/>
    <w:uiPriority w:val="99"/>
    <w:semiHidden/>
    <w:unhideWhenUsed/>
    <w:rsid w:val="00087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087E0E"/>
    <w:rPr>
      <w:rFonts w:ascii="Courier New" w:eastAsia="Times New Roman" w:hAnsi="Courier New" w:cs="Courier New"/>
      <w:sz w:val="20"/>
      <w:szCs w:val="20"/>
      <w:lang w:eastAsia="de-DE"/>
    </w:rPr>
  </w:style>
  <w:style w:type="paragraph" w:styleId="Revision">
    <w:name w:val="Revision"/>
    <w:hidden/>
    <w:uiPriority w:val="99"/>
    <w:semiHidden/>
    <w:rsid w:val="00B32F6F"/>
    <w:pPr>
      <w:spacing w:after="0" w:line="240" w:lineRule="auto"/>
    </w:pPr>
    <w:rPr>
      <w:rFonts w:ascii="Times New Roman" w:eastAsia="Times New Roman" w:hAnsi="Times New Roman" w:cs="Arial"/>
      <w:sz w:val="24"/>
    </w:rPr>
  </w:style>
  <w:style w:type="character" w:styleId="FollowedHyperlink">
    <w:name w:val="FollowedHyperlink"/>
    <w:basedOn w:val="DefaultParagraphFont"/>
    <w:uiPriority w:val="99"/>
    <w:semiHidden/>
    <w:unhideWhenUsed/>
    <w:rsid w:val="00C72F20"/>
    <w:rPr>
      <w:color w:val="800080" w:themeColor="followedHyperlink"/>
      <w:u w:val="single"/>
    </w:rPr>
  </w:style>
  <w:style w:type="paragraph" w:styleId="ListBullet">
    <w:name w:val="List Bullet"/>
    <w:basedOn w:val="Normal"/>
    <w:uiPriority w:val="99"/>
    <w:unhideWhenUsed/>
    <w:rsid w:val="00B20674"/>
    <w:pPr>
      <w:numPr>
        <w:numId w:val="24"/>
      </w:numPr>
      <w:contextualSpacing/>
    </w:pPr>
  </w:style>
  <w:style w:type="character" w:customStyle="1" w:styleId="UnresolvedMention1">
    <w:name w:val="Unresolved Mention1"/>
    <w:basedOn w:val="DefaultParagraphFont"/>
    <w:uiPriority w:val="99"/>
    <w:semiHidden/>
    <w:unhideWhenUsed/>
    <w:rsid w:val="00651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3210">
      <w:bodyDiv w:val="1"/>
      <w:marLeft w:val="0"/>
      <w:marRight w:val="0"/>
      <w:marTop w:val="0"/>
      <w:marBottom w:val="0"/>
      <w:divBdr>
        <w:top w:val="none" w:sz="0" w:space="0" w:color="auto"/>
        <w:left w:val="none" w:sz="0" w:space="0" w:color="auto"/>
        <w:bottom w:val="none" w:sz="0" w:space="0" w:color="auto"/>
        <w:right w:val="none" w:sz="0" w:space="0" w:color="auto"/>
      </w:divBdr>
      <w:divsChild>
        <w:div w:id="124934294">
          <w:marLeft w:val="0"/>
          <w:marRight w:val="0"/>
          <w:marTop w:val="0"/>
          <w:marBottom w:val="0"/>
          <w:divBdr>
            <w:top w:val="none" w:sz="0" w:space="0" w:color="auto"/>
            <w:left w:val="none" w:sz="0" w:space="0" w:color="auto"/>
            <w:bottom w:val="none" w:sz="0" w:space="0" w:color="auto"/>
            <w:right w:val="none" w:sz="0" w:space="0" w:color="auto"/>
          </w:divBdr>
        </w:div>
      </w:divsChild>
    </w:div>
    <w:div w:id="218178108">
      <w:bodyDiv w:val="1"/>
      <w:marLeft w:val="0"/>
      <w:marRight w:val="0"/>
      <w:marTop w:val="0"/>
      <w:marBottom w:val="0"/>
      <w:divBdr>
        <w:top w:val="none" w:sz="0" w:space="0" w:color="auto"/>
        <w:left w:val="none" w:sz="0" w:space="0" w:color="auto"/>
        <w:bottom w:val="none" w:sz="0" w:space="0" w:color="auto"/>
        <w:right w:val="none" w:sz="0" w:space="0" w:color="auto"/>
      </w:divBdr>
    </w:div>
    <w:div w:id="253786533">
      <w:bodyDiv w:val="1"/>
      <w:marLeft w:val="0"/>
      <w:marRight w:val="0"/>
      <w:marTop w:val="0"/>
      <w:marBottom w:val="0"/>
      <w:divBdr>
        <w:top w:val="none" w:sz="0" w:space="0" w:color="auto"/>
        <w:left w:val="none" w:sz="0" w:space="0" w:color="auto"/>
        <w:bottom w:val="none" w:sz="0" w:space="0" w:color="auto"/>
        <w:right w:val="none" w:sz="0" w:space="0" w:color="auto"/>
      </w:divBdr>
    </w:div>
    <w:div w:id="309336075">
      <w:bodyDiv w:val="1"/>
      <w:marLeft w:val="0"/>
      <w:marRight w:val="0"/>
      <w:marTop w:val="0"/>
      <w:marBottom w:val="0"/>
      <w:divBdr>
        <w:top w:val="none" w:sz="0" w:space="0" w:color="auto"/>
        <w:left w:val="none" w:sz="0" w:space="0" w:color="auto"/>
        <w:bottom w:val="none" w:sz="0" w:space="0" w:color="auto"/>
        <w:right w:val="none" w:sz="0" w:space="0" w:color="auto"/>
      </w:divBdr>
    </w:div>
    <w:div w:id="321783383">
      <w:bodyDiv w:val="1"/>
      <w:marLeft w:val="0"/>
      <w:marRight w:val="0"/>
      <w:marTop w:val="0"/>
      <w:marBottom w:val="0"/>
      <w:divBdr>
        <w:top w:val="none" w:sz="0" w:space="0" w:color="auto"/>
        <w:left w:val="none" w:sz="0" w:space="0" w:color="auto"/>
        <w:bottom w:val="none" w:sz="0" w:space="0" w:color="auto"/>
        <w:right w:val="none" w:sz="0" w:space="0" w:color="auto"/>
      </w:divBdr>
    </w:div>
    <w:div w:id="327366134">
      <w:bodyDiv w:val="1"/>
      <w:marLeft w:val="0"/>
      <w:marRight w:val="0"/>
      <w:marTop w:val="0"/>
      <w:marBottom w:val="0"/>
      <w:divBdr>
        <w:top w:val="none" w:sz="0" w:space="0" w:color="auto"/>
        <w:left w:val="none" w:sz="0" w:space="0" w:color="auto"/>
        <w:bottom w:val="none" w:sz="0" w:space="0" w:color="auto"/>
        <w:right w:val="none" w:sz="0" w:space="0" w:color="auto"/>
      </w:divBdr>
    </w:div>
    <w:div w:id="348795852">
      <w:bodyDiv w:val="1"/>
      <w:marLeft w:val="0"/>
      <w:marRight w:val="0"/>
      <w:marTop w:val="0"/>
      <w:marBottom w:val="0"/>
      <w:divBdr>
        <w:top w:val="none" w:sz="0" w:space="0" w:color="auto"/>
        <w:left w:val="none" w:sz="0" w:space="0" w:color="auto"/>
        <w:bottom w:val="none" w:sz="0" w:space="0" w:color="auto"/>
        <w:right w:val="none" w:sz="0" w:space="0" w:color="auto"/>
      </w:divBdr>
    </w:div>
    <w:div w:id="349373576">
      <w:bodyDiv w:val="1"/>
      <w:marLeft w:val="0"/>
      <w:marRight w:val="0"/>
      <w:marTop w:val="0"/>
      <w:marBottom w:val="0"/>
      <w:divBdr>
        <w:top w:val="none" w:sz="0" w:space="0" w:color="auto"/>
        <w:left w:val="none" w:sz="0" w:space="0" w:color="auto"/>
        <w:bottom w:val="none" w:sz="0" w:space="0" w:color="auto"/>
        <w:right w:val="none" w:sz="0" w:space="0" w:color="auto"/>
      </w:divBdr>
    </w:div>
    <w:div w:id="396056908">
      <w:bodyDiv w:val="1"/>
      <w:marLeft w:val="0"/>
      <w:marRight w:val="0"/>
      <w:marTop w:val="0"/>
      <w:marBottom w:val="0"/>
      <w:divBdr>
        <w:top w:val="none" w:sz="0" w:space="0" w:color="auto"/>
        <w:left w:val="none" w:sz="0" w:space="0" w:color="auto"/>
        <w:bottom w:val="none" w:sz="0" w:space="0" w:color="auto"/>
        <w:right w:val="none" w:sz="0" w:space="0" w:color="auto"/>
      </w:divBdr>
      <w:divsChild>
        <w:div w:id="652639358">
          <w:marLeft w:val="0"/>
          <w:marRight w:val="0"/>
          <w:marTop w:val="0"/>
          <w:marBottom w:val="0"/>
          <w:divBdr>
            <w:top w:val="none" w:sz="0" w:space="0" w:color="auto"/>
            <w:left w:val="none" w:sz="0" w:space="0" w:color="auto"/>
            <w:bottom w:val="none" w:sz="0" w:space="0" w:color="auto"/>
            <w:right w:val="none" w:sz="0" w:space="0" w:color="auto"/>
          </w:divBdr>
        </w:div>
      </w:divsChild>
    </w:div>
    <w:div w:id="399640369">
      <w:bodyDiv w:val="1"/>
      <w:marLeft w:val="0"/>
      <w:marRight w:val="0"/>
      <w:marTop w:val="0"/>
      <w:marBottom w:val="0"/>
      <w:divBdr>
        <w:top w:val="none" w:sz="0" w:space="0" w:color="auto"/>
        <w:left w:val="none" w:sz="0" w:space="0" w:color="auto"/>
        <w:bottom w:val="none" w:sz="0" w:space="0" w:color="auto"/>
        <w:right w:val="none" w:sz="0" w:space="0" w:color="auto"/>
      </w:divBdr>
    </w:div>
    <w:div w:id="407921120">
      <w:bodyDiv w:val="1"/>
      <w:marLeft w:val="0"/>
      <w:marRight w:val="0"/>
      <w:marTop w:val="0"/>
      <w:marBottom w:val="0"/>
      <w:divBdr>
        <w:top w:val="none" w:sz="0" w:space="0" w:color="auto"/>
        <w:left w:val="none" w:sz="0" w:space="0" w:color="auto"/>
        <w:bottom w:val="none" w:sz="0" w:space="0" w:color="auto"/>
        <w:right w:val="none" w:sz="0" w:space="0" w:color="auto"/>
      </w:divBdr>
    </w:div>
    <w:div w:id="510754274">
      <w:bodyDiv w:val="1"/>
      <w:marLeft w:val="0"/>
      <w:marRight w:val="0"/>
      <w:marTop w:val="0"/>
      <w:marBottom w:val="0"/>
      <w:divBdr>
        <w:top w:val="none" w:sz="0" w:space="0" w:color="auto"/>
        <w:left w:val="none" w:sz="0" w:space="0" w:color="auto"/>
        <w:bottom w:val="none" w:sz="0" w:space="0" w:color="auto"/>
        <w:right w:val="none" w:sz="0" w:space="0" w:color="auto"/>
      </w:divBdr>
      <w:divsChild>
        <w:div w:id="730152848">
          <w:marLeft w:val="0"/>
          <w:marRight w:val="0"/>
          <w:marTop w:val="0"/>
          <w:marBottom w:val="0"/>
          <w:divBdr>
            <w:top w:val="none" w:sz="0" w:space="0" w:color="auto"/>
            <w:left w:val="none" w:sz="0" w:space="0" w:color="auto"/>
            <w:bottom w:val="none" w:sz="0" w:space="0" w:color="auto"/>
            <w:right w:val="none" w:sz="0" w:space="0" w:color="auto"/>
          </w:divBdr>
        </w:div>
      </w:divsChild>
    </w:div>
    <w:div w:id="520899707">
      <w:bodyDiv w:val="1"/>
      <w:marLeft w:val="0"/>
      <w:marRight w:val="0"/>
      <w:marTop w:val="0"/>
      <w:marBottom w:val="0"/>
      <w:divBdr>
        <w:top w:val="none" w:sz="0" w:space="0" w:color="auto"/>
        <w:left w:val="none" w:sz="0" w:space="0" w:color="auto"/>
        <w:bottom w:val="none" w:sz="0" w:space="0" w:color="auto"/>
        <w:right w:val="none" w:sz="0" w:space="0" w:color="auto"/>
      </w:divBdr>
    </w:div>
    <w:div w:id="616332526">
      <w:bodyDiv w:val="1"/>
      <w:marLeft w:val="0"/>
      <w:marRight w:val="0"/>
      <w:marTop w:val="0"/>
      <w:marBottom w:val="0"/>
      <w:divBdr>
        <w:top w:val="none" w:sz="0" w:space="0" w:color="auto"/>
        <w:left w:val="none" w:sz="0" w:space="0" w:color="auto"/>
        <w:bottom w:val="none" w:sz="0" w:space="0" w:color="auto"/>
        <w:right w:val="none" w:sz="0" w:space="0" w:color="auto"/>
      </w:divBdr>
    </w:div>
    <w:div w:id="709304072">
      <w:bodyDiv w:val="1"/>
      <w:marLeft w:val="0"/>
      <w:marRight w:val="0"/>
      <w:marTop w:val="0"/>
      <w:marBottom w:val="0"/>
      <w:divBdr>
        <w:top w:val="none" w:sz="0" w:space="0" w:color="auto"/>
        <w:left w:val="none" w:sz="0" w:space="0" w:color="auto"/>
        <w:bottom w:val="none" w:sz="0" w:space="0" w:color="auto"/>
        <w:right w:val="none" w:sz="0" w:space="0" w:color="auto"/>
      </w:divBdr>
    </w:div>
    <w:div w:id="813257194">
      <w:bodyDiv w:val="1"/>
      <w:marLeft w:val="0"/>
      <w:marRight w:val="0"/>
      <w:marTop w:val="0"/>
      <w:marBottom w:val="0"/>
      <w:divBdr>
        <w:top w:val="none" w:sz="0" w:space="0" w:color="auto"/>
        <w:left w:val="none" w:sz="0" w:space="0" w:color="auto"/>
        <w:bottom w:val="none" w:sz="0" w:space="0" w:color="auto"/>
        <w:right w:val="none" w:sz="0" w:space="0" w:color="auto"/>
      </w:divBdr>
    </w:div>
    <w:div w:id="902831291">
      <w:bodyDiv w:val="1"/>
      <w:marLeft w:val="0"/>
      <w:marRight w:val="0"/>
      <w:marTop w:val="0"/>
      <w:marBottom w:val="0"/>
      <w:divBdr>
        <w:top w:val="none" w:sz="0" w:space="0" w:color="auto"/>
        <w:left w:val="none" w:sz="0" w:space="0" w:color="auto"/>
        <w:bottom w:val="none" w:sz="0" w:space="0" w:color="auto"/>
        <w:right w:val="none" w:sz="0" w:space="0" w:color="auto"/>
      </w:divBdr>
    </w:div>
    <w:div w:id="967932948">
      <w:bodyDiv w:val="1"/>
      <w:marLeft w:val="0"/>
      <w:marRight w:val="0"/>
      <w:marTop w:val="0"/>
      <w:marBottom w:val="0"/>
      <w:divBdr>
        <w:top w:val="none" w:sz="0" w:space="0" w:color="auto"/>
        <w:left w:val="none" w:sz="0" w:space="0" w:color="auto"/>
        <w:bottom w:val="none" w:sz="0" w:space="0" w:color="auto"/>
        <w:right w:val="none" w:sz="0" w:space="0" w:color="auto"/>
      </w:divBdr>
    </w:div>
    <w:div w:id="1070497379">
      <w:bodyDiv w:val="1"/>
      <w:marLeft w:val="0"/>
      <w:marRight w:val="0"/>
      <w:marTop w:val="0"/>
      <w:marBottom w:val="0"/>
      <w:divBdr>
        <w:top w:val="none" w:sz="0" w:space="0" w:color="auto"/>
        <w:left w:val="none" w:sz="0" w:space="0" w:color="auto"/>
        <w:bottom w:val="none" w:sz="0" w:space="0" w:color="auto"/>
        <w:right w:val="none" w:sz="0" w:space="0" w:color="auto"/>
      </w:divBdr>
      <w:divsChild>
        <w:div w:id="1596789553">
          <w:marLeft w:val="0"/>
          <w:marRight w:val="0"/>
          <w:marTop w:val="0"/>
          <w:marBottom w:val="0"/>
          <w:divBdr>
            <w:top w:val="none" w:sz="0" w:space="0" w:color="auto"/>
            <w:left w:val="none" w:sz="0" w:space="0" w:color="auto"/>
            <w:bottom w:val="none" w:sz="0" w:space="0" w:color="auto"/>
            <w:right w:val="none" w:sz="0" w:space="0" w:color="auto"/>
          </w:divBdr>
        </w:div>
      </w:divsChild>
    </w:div>
    <w:div w:id="1083994757">
      <w:bodyDiv w:val="1"/>
      <w:marLeft w:val="0"/>
      <w:marRight w:val="0"/>
      <w:marTop w:val="0"/>
      <w:marBottom w:val="0"/>
      <w:divBdr>
        <w:top w:val="none" w:sz="0" w:space="0" w:color="auto"/>
        <w:left w:val="none" w:sz="0" w:space="0" w:color="auto"/>
        <w:bottom w:val="none" w:sz="0" w:space="0" w:color="auto"/>
        <w:right w:val="none" w:sz="0" w:space="0" w:color="auto"/>
      </w:divBdr>
      <w:divsChild>
        <w:div w:id="104352751">
          <w:marLeft w:val="0"/>
          <w:marRight w:val="0"/>
          <w:marTop w:val="0"/>
          <w:marBottom w:val="0"/>
          <w:divBdr>
            <w:top w:val="none" w:sz="0" w:space="0" w:color="auto"/>
            <w:left w:val="none" w:sz="0" w:space="0" w:color="auto"/>
            <w:bottom w:val="none" w:sz="0" w:space="0" w:color="auto"/>
            <w:right w:val="none" w:sz="0" w:space="0" w:color="auto"/>
          </w:divBdr>
        </w:div>
      </w:divsChild>
    </w:div>
    <w:div w:id="1103189252">
      <w:bodyDiv w:val="1"/>
      <w:marLeft w:val="0"/>
      <w:marRight w:val="0"/>
      <w:marTop w:val="0"/>
      <w:marBottom w:val="0"/>
      <w:divBdr>
        <w:top w:val="none" w:sz="0" w:space="0" w:color="auto"/>
        <w:left w:val="none" w:sz="0" w:space="0" w:color="auto"/>
        <w:bottom w:val="none" w:sz="0" w:space="0" w:color="auto"/>
        <w:right w:val="none" w:sz="0" w:space="0" w:color="auto"/>
      </w:divBdr>
    </w:div>
    <w:div w:id="1123693207">
      <w:bodyDiv w:val="1"/>
      <w:marLeft w:val="0"/>
      <w:marRight w:val="0"/>
      <w:marTop w:val="0"/>
      <w:marBottom w:val="0"/>
      <w:divBdr>
        <w:top w:val="none" w:sz="0" w:space="0" w:color="auto"/>
        <w:left w:val="none" w:sz="0" w:space="0" w:color="auto"/>
        <w:bottom w:val="none" w:sz="0" w:space="0" w:color="auto"/>
        <w:right w:val="none" w:sz="0" w:space="0" w:color="auto"/>
      </w:divBdr>
      <w:divsChild>
        <w:div w:id="660082143">
          <w:marLeft w:val="0"/>
          <w:marRight w:val="0"/>
          <w:marTop w:val="0"/>
          <w:marBottom w:val="0"/>
          <w:divBdr>
            <w:top w:val="none" w:sz="0" w:space="0" w:color="auto"/>
            <w:left w:val="none" w:sz="0" w:space="0" w:color="auto"/>
            <w:bottom w:val="none" w:sz="0" w:space="0" w:color="auto"/>
            <w:right w:val="none" w:sz="0" w:space="0" w:color="auto"/>
          </w:divBdr>
        </w:div>
      </w:divsChild>
    </w:div>
    <w:div w:id="1194002084">
      <w:bodyDiv w:val="1"/>
      <w:marLeft w:val="0"/>
      <w:marRight w:val="0"/>
      <w:marTop w:val="0"/>
      <w:marBottom w:val="0"/>
      <w:divBdr>
        <w:top w:val="none" w:sz="0" w:space="0" w:color="auto"/>
        <w:left w:val="none" w:sz="0" w:space="0" w:color="auto"/>
        <w:bottom w:val="none" w:sz="0" w:space="0" w:color="auto"/>
        <w:right w:val="none" w:sz="0" w:space="0" w:color="auto"/>
      </w:divBdr>
    </w:div>
    <w:div w:id="1259213450">
      <w:bodyDiv w:val="1"/>
      <w:marLeft w:val="0"/>
      <w:marRight w:val="0"/>
      <w:marTop w:val="0"/>
      <w:marBottom w:val="0"/>
      <w:divBdr>
        <w:top w:val="none" w:sz="0" w:space="0" w:color="auto"/>
        <w:left w:val="none" w:sz="0" w:space="0" w:color="auto"/>
        <w:bottom w:val="none" w:sz="0" w:space="0" w:color="auto"/>
        <w:right w:val="none" w:sz="0" w:space="0" w:color="auto"/>
      </w:divBdr>
      <w:divsChild>
        <w:div w:id="512233275">
          <w:marLeft w:val="0"/>
          <w:marRight w:val="0"/>
          <w:marTop w:val="0"/>
          <w:marBottom w:val="0"/>
          <w:divBdr>
            <w:top w:val="none" w:sz="0" w:space="0" w:color="auto"/>
            <w:left w:val="none" w:sz="0" w:space="0" w:color="auto"/>
            <w:bottom w:val="none" w:sz="0" w:space="0" w:color="auto"/>
            <w:right w:val="none" w:sz="0" w:space="0" w:color="auto"/>
          </w:divBdr>
        </w:div>
      </w:divsChild>
    </w:div>
    <w:div w:id="1311514839">
      <w:bodyDiv w:val="1"/>
      <w:marLeft w:val="0"/>
      <w:marRight w:val="0"/>
      <w:marTop w:val="0"/>
      <w:marBottom w:val="0"/>
      <w:divBdr>
        <w:top w:val="none" w:sz="0" w:space="0" w:color="auto"/>
        <w:left w:val="none" w:sz="0" w:space="0" w:color="auto"/>
        <w:bottom w:val="none" w:sz="0" w:space="0" w:color="auto"/>
        <w:right w:val="none" w:sz="0" w:space="0" w:color="auto"/>
      </w:divBdr>
    </w:div>
    <w:div w:id="1455293293">
      <w:bodyDiv w:val="1"/>
      <w:marLeft w:val="0"/>
      <w:marRight w:val="0"/>
      <w:marTop w:val="0"/>
      <w:marBottom w:val="0"/>
      <w:divBdr>
        <w:top w:val="none" w:sz="0" w:space="0" w:color="auto"/>
        <w:left w:val="none" w:sz="0" w:space="0" w:color="auto"/>
        <w:bottom w:val="none" w:sz="0" w:space="0" w:color="auto"/>
        <w:right w:val="none" w:sz="0" w:space="0" w:color="auto"/>
      </w:divBdr>
      <w:divsChild>
        <w:div w:id="1457945874">
          <w:marLeft w:val="0"/>
          <w:marRight w:val="0"/>
          <w:marTop w:val="0"/>
          <w:marBottom w:val="0"/>
          <w:divBdr>
            <w:top w:val="none" w:sz="0" w:space="0" w:color="auto"/>
            <w:left w:val="none" w:sz="0" w:space="0" w:color="auto"/>
            <w:bottom w:val="none" w:sz="0" w:space="0" w:color="auto"/>
            <w:right w:val="none" w:sz="0" w:space="0" w:color="auto"/>
          </w:divBdr>
        </w:div>
      </w:divsChild>
    </w:div>
    <w:div w:id="1599097267">
      <w:bodyDiv w:val="1"/>
      <w:marLeft w:val="0"/>
      <w:marRight w:val="0"/>
      <w:marTop w:val="0"/>
      <w:marBottom w:val="0"/>
      <w:divBdr>
        <w:top w:val="none" w:sz="0" w:space="0" w:color="auto"/>
        <w:left w:val="none" w:sz="0" w:space="0" w:color="auto"/>
        <w:bottom w:val="none" w:sz="0" w:space="0" w:color="auto"/>
        <w:right w:val="none" w:sz="0" w:space="0" w:color="auto"/>
      </w:divBdr>
    </w:div>
    <w:div w:id="1689411085">
      <w:bodyDiv w:val="1"/>
      <w:marLeft w:val="0"/>
      <w:marRight w:val="0"/>
      <w:marTop w:val="0"/>
      <w:marBottom w:val="0"/>
      <w:divBdr>
        <w:top w:val="none" w:sz="0" w:space="0" w:color="auto"/>
        <w:left w:val="none" w:sz="0" w:space="0" w:color="auto"/>
        <w:bottom w:val="none" w:sz="0" w:space="0" w:color="auto"/>
        <w:right w:val="none" w:sz="0" w:space="0" w:color="auto"/>
      </w:divBdr>
    </w:div>
    <w:div w:id="1779518371">
      <w:bodyDiv w:val="1"/>
      <w:marLeft w:val="0"/>
      <w:marRight w:val="0"/>
      <w:marTop w:val="0"/>
      <w:marBottom w:val="0"/>
      <w:divBdr>
        <w:top w:val="none" w:sz="0" w:space="0" w:color="auto"/>
        <w:left w:val="none" w:sz="0" w:space="0" w:color="auto"/>
        <w:bottom w:val="none" w:sz="0" w:space="0" w:color="auto"/>
        <w:right w:val="none" w:sz="0" w:space="0" w:color="auto"/>
      </w:divBdr>
    </w:div>
    <w:div w:id="1898323648">
      <w:bodyDiv w:val="1"/>
      <w:marLeft w:val="0"/>
      <w:marRight w:val="0"/>
      <w:marTop w:val="0"/>
      <w:marBottom w:val="0"/>
      <w:divBdr>
        <w:top w:val="none" w:sz="0" w:space="0" w:color="auto"/>
        <w:left w:val="none" w:sz="0" w:space="0" w:color="auto"/>
        <w:bottom w:val="none" w:sz="0" w:space="0" w:color="auto"/>
        <w:right w:val="none" w:sz="0" w:space="0" w:color="auto"/>
      </w:divBdr>
    </w:div>
    <w:div w:id="1909262376">
      <w:bodyDiv w:val="1"/>
      <w:marLeft w:val="0"/>
      <w:marRight w:val="0"/>
      <w:marTop w:val="0"/>
      <w:marBottom w:val="0"/>
      <w:divBdr>
        <w:top w:val="none" w:sz="0" w:space="0" w:color="auto"/>
        <w:left w:val="none" w:sz="0" w:space="0" w:color="auto"/>
        <w:bottom w:val="none" w:sz="0" w:space="0" w:color="auto"/>
        <w:right w:val="none" w:sz="0" w:space="0" w:color="auto"/>
      </w:divBdr>
    </w:div>
    <w:div w:id="1912543167">
      <w:bodyDiv w:val="1"/>
      <w:marLeft w:val="0"/>
      <w:marRight w:val="0"/>
      <w:marTop w:val="0"/>
      <w:marBottom w:val="0"/>
      <w:divBdr>
        <w:top w:val="none" w:sz="0" w:space="0" w:color="auto"/>
        <w:left w:val="none" w:sz="0" w:space="0" w:color="auto"/>
        <w:bottom w:val="none" w:sz="0" w:space="0" w:color="auto"/>
        <w:right w:val="none" w:sz="0" w:space="0" w:color="auto"/>
      </w:divBdr>
    </w:div>
    <w:div w:id="1931162091">
      <w:bodyDiv w:val="1"/>
      <w:marLeft w:val="0"/>
      <w:marRight w:val="0"/>
      <w:marTop w:val="0"/>
      <w:marBottom w:val="0"/>
      <w:divBdr>
        <w:top w:val="none" w:sz="0" w:space="0" w:color="auto"/>
        <w:left w:val="none" w:sz="0" w:space="0" w:color="auto"/>
        <w:bottom w:val="none" w:sz="0" w:space="0" w:color="auto"/>
        <w:right w:val="none" w:sz="0" w:space="0" w:color="auto"/>
      </w:divBdr>
    </w:div>
    <w:div w:id="1965041411">
      <w:bodyDiv w:val="1"/>
      <w:marLeft w:val="0"/>
      <w:marRight w:val="0"/>
      <w:marTop w:val="0"/>
      <w:marBottom w:val="0"/>
      <w:divBdr>
        <w:top w:val="none" w:sz="0" w:space="0" w:color="auto"/>
        <w:left w:val="none" w:sz="0" w:space="0" w:color="auto"/>
        <w:bottom w:val="none" w:sz="0" w:space="0" w:color="auto"/>
        <w:right w:val="none" w:sz="0" w:space="0" w:color="auto"/>
      </w:divBdr>
    </w:div>
    <w:div w:id="1973291421">
      <w:bodyDiv w:val="1"/>
      <w:marLeft w:val="0"/>
      <w:marRight w:val="0"/>
      <w:marTop w:val="0"/>
      <w:marBottom w:val="0"/>
      <w:divBdr>
        <w:top w:val="none" w:sz="0" w:space="0" w:color="auto"/>
        <w:left w:val="none" w:sz="0" w:space="0" w:color="auto"/>
        <w:bottom w:val="none" w:sz="0" w:space="0" w:color="auto"/>
        <w:right w:val="none" w:sz="0" w:space="0" w:color="auto"/>
      </w:divBdr>
    </w:div>
    <w:div w:id="2075084038">
      <w:bodyDiv w:val="1"/>
      <w:marLeft w:val="0"/>
      <w:marRight w:val="0"/>
      <w:marTop w:val="0"/>
      <w:marBottom w:val="0"/>
      <w:divBdr>
        <w:top w:val="none" w:sz="0" w:space="0" w:color="auto"/>
        <w:left w:val="none" w:sz="0" w:space="0" w:color="auto"/>
        <w:bottom w:val="none" w:sz="0" w:space="0" w:color="auto"/>
        <w:right w:val="none" w:sz="0" w:space="0" w:color="auto"/>
      </w:divBdr>
    </w:div>
    <w:div w:id="20761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ct.cc/englisch-deutsch/exogenou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apantimes.co.jp/news/2009/04/28/reference/corporate-bankruptcy-the-japanese-wa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Eur10</b:Tag>
    <b:SourceType>Report</b:SourceType>
    <b:Guid>{F69D3EE6-5AF6-494E-B2F2-308805854AAC}</b:Guid>
    <b:Title>TRANSATLANTIC AIRLINE ALLIANCES: COMPETITIVE ISSUES AND REGULATORY APPROACHES</b:Title>
    <b:Year>2010</b:Year>
    <b:Author>
      <b:Author>
        <b:Corporate>European Commission &amp; United States DOT</b:Corporate>
      </b:Author>
    </b:Author>
    <b:Publisher>European Commission and the United States Department of Transportation</b:Publisher>
    <b:RefOrder>3</b:RefOrder>
  </b:Source>
  <b:Source>
    <b:Tag>Tit89</b:Tag>
    <b:SourceType>ArticleInAPeriodical</b:SourceType>
    <b:Guid>{1404DBAB-9910-4954-8EA8-09C5C8021128}</b:Guid>
    <b:Title>Financial Policy and a Firm's Reputation for Product Quality</b:Title>
    <b:PeriodicalTitle>Review of Financial Studies Volume 4, Issue 1</b:PeriodicalTitle>
    <b:Year>1989</b:Year>
    <b:Pages>175-200</b:Pages>
    <b:Author>
      <b:Author>
        <b:NameList>
          <b:Person>
            <b:Last>Titman</b:Last>
            <b:First>Sheridan</b:First>
          </b:Person>
          <b:Person>
            <b:Last>Maksimovic</b:Last>
            <b:First>Vojislav</b:First>
          </b:Person>
        </b:NameList>
      </b:Author>
    </b:Author>
    <b:RefOrder>4</b:RefOrder>
  </b:Source>
  <b:Source>
    <b:Tag>Dog10</b:Tag>
    <b:SourceType>Book</b:SourceType>
    <b:Guid>{93AF5031-2169-447D-9BF5-0FC1014AC862}</b:Guid>
    <b:Title>Flying off course -  Fourth edition</b:Title>
    <b:Year>2010</b:Year>
    <b:Author>
      <b:Author>
        <b:NameList>
          <b:Person>
            <b:Last>Doganis</b:Last>
            <b:First>Rigas</b:First>
          </b:Person>
        </b:NameList>
      </b:Author>
    </b:Author>
    <b:City>London</b:City>
    <b:RefOrder>5</b:RefOrder>
  </b:Source>
  <b:Source>
    <b:Tag>Bor</b:Tag>
    <b:SourceType>ArticleInAPeriodical</b:SourceType>
    <b:Guid>{083B2777-D5B1-4E75-8966-B81CFD6C047D}</b:Guid>
    <b:Title>Bankruptcy and pricing behaviour in the US airline markets</b:Title>
    <b:PeriodicalTitle>American Economic Review Papers and Proceedings 85</b:PeriodicalTitle>
    <b:Month>May</b:Month>
    <b:Pages>397-402</b:Pages>
    <b:Author>
      <b:Author>
        <b:NameList>
          <b:Person>
            <b:Last>Borenstein</b:Last>
            <b:First>Severin</b:First>
          </b:Person>
          <b:Person>
            <b:Last>Rose</b:Last>
            <b:Middle>L.</b:Middle>
            <b:First>Nancy</b:First>
          </b:Person>
        </b:NameList>
      </b:Author>
    </b:Author>
    <b:Year>1995</b:Year>
    <b:LCID>en-GB</b:LCID>
    <b:RefOrder>6</b:RefOrder>
  </b:Source>
  <b:Source>
    <b:Tag>Bar99</b:Tag>
    <b:SourceType>ArticleInAPeriodical</b:SourceType>
    <b:Guid>{E405F850-43F6-4F09-BF3E-BB2794E7C1B4}</b:Guid>
    <b:Author>
      <b:Author>
        <b:NameList>
          <b:Person>
            <b:Last>Barla</b:Last>
            <b:First>Philippe</b:First>
          </b:Person>
          <b:Person>
            <b:Last>Koo</b:Last>
            <b:First>Bonchun</b:First>
          </b:Person>
        </b:NameList>
      </b:Author>
    </b:Author>
    <b:Title>Bankruptcy protection and pricing strategies in the US airline industry</b:Title>
    <b:PeriodicalTitle>Transportation Research Part E 35</b:PeriodicalTitle>
    <b:Year>1999</b:Year>
    <b:Pages>101-120</b:Pages>
    <b:LCID>en-GB</b:LCID>
    <b:RefOrder>1</b:RefOrder>
  </b:Source>
  <b:Source>
    <b:Tag>Ger07</b:Tag>
    <b:SourceType>Report</b:SourceType>
    <b:Guid>{64A0CF80-31A0-4132-85D1-D09BD1221576}</b:Guid>
    <b:Title>Does competition reduce price discrimination? New evidence from the airline industry</b:Title>
    <b:Year>2007</b:Year>
    <b:Publisher>Federal Reserve Bank of Boston</b:Publisher>
    <b:Author>
      <b:Author>
        <b:NameList>
          <b:Person>
            <b:Last>Gerardi</b:Last>
            <b:First>Christopher</b:First>
          </b:Person>
          <b:Person>
            <b:Last>Shapiro</b:Last>
            <b:Middle>Hale</b:Middle>
            <b:First>Adam</b:First>
          </b:Person>
        </b:NameList>
      </b:Author>
    </b:Author>
    <b:LCID>en-GB</b:LCID>
    <b:RefOrder>7</b:RefOrder>
  </b:Source>
  <b:Source>
    <b:Tag>Avi08</b:Tag>
    <b:SourceType>ArticleInAPeriodical</b:SourceType>
    <b:Guid>{AAE1F8B2-31D9-4A19-959C-E766FDB118A9}</b:Guid>
    <b:Title>AMR: A Chapter 11 risk or one of the likeliest survivors?</b:Title>
    <b:Year>2008</b:Year>
    <b:Author>
      <b:Author>
        <b:Corporate>Aviation Economics</b:Corporate>
      </b:Author>
    </b:Author>
    <b:PeriodicalTitle>Aviation Strategy</b:PeriodicalTitle>
    <b:Month>May</b:Month>
    <b:Pages>10-16</b:Pages>
    <b:LCID>en-GB</b:LCID>
    <b:RefOrder>8</b:RefOrder>
  </b:Source>
  <b:Source>
    <b:Tag>Hol08</b:Tag>
    <b:SourceType>Book</b:SourceType>
    <b:Guid>{294FB796-2793-4E91-AF82-C1122D22D2CB}</b:Guid>
    <b:Title>Straight and Level: Practical Airline Economics</b:Title>
    <b:Year>2008</b:Year>
    <b:Publisher>Ashgate</b:Publisher>
    <b:Edition>3</b:Edition>
    <b:Author>
      <b:Author>
        <b:NameList>
          <b:Person>
            <b:Last>Holloway</b:Last>
            <b:First>Stephen</b:First>
          </b:Person>
        </b:NameList>
      </b:Author>
    </b:Author>
    <b:LCID>en-GB</b:LCID>
    <b:RefOrder>9</b:RefOrder>
  </b:Source>
  <b:Source>
    <b:Tag>Gil09</b:Tag>
    <b:SourceType>ArticleInAPeriodical</b:SourceType>
    <b:Guid>{6B115045-211F-4099-A879-ECF9E8FD0275}</b:Guid>
    <b:Title>Price volatility in the airline markets</b:Title>
    <b:PeriodicalTitle>Transportation Research Part E</b:PeriodicalTitle>
    <b:Year>2009</b:Year>
    <b:Month>April</b:Month>
    <b:Pages>693-709</b:Pages>
    <b:Author>
      <b:Author>
        <b:NameList>
          <b:Person>
            <b:Last>Gillen</b:Last>
            <b:First>David</b:First>
          </b:Person>
          <b:Person>
            <b:Last>Mantin</b:Last>
            <b:First>Benny</b:First>
          </b:Person>
        </b:NameList>
      </b:Author>
    </b:Author>
    <b:LCID>en-GB</b:LCID>
    <b:RefOrder>10</b:RefOrder>
  </b:Source>
  <b:Source>
    <b:Tag>Bay10</b:Tag>
    <b:SourceType>Book</b:SourceType>
    <b:Guid>{ABDE80AE-1EE5-437A-B36F-2C547C1CF855}</b:Guid>
    <b:Title>Managerial Economics &amp; Business Strategy</b:Title>
    <b:Year>2010</b:Year>
    <b:Publisher>McGraw-Hill</b:Publisher>
    <b:Edition>7.</b:Edition>
    <b:Author>
      <b:Author>
        <b:NameList>
          <b:Person>
            <b:Last>Baye</b:Last>
            <b:Middle>R.</b:Middle>
            <b:First>Michael</b:First>
          </b:Person>
        </b:NameList>
      </b:Author>
    </b:Author>
    <b:LCID>en-GB</b:LCID>
    <b:RefOrder>11</b:RefOrder>
  </b:Source>
  <b:Source>
    <b:Tag>Bla11</b:Tag>
    <b:SourceType>Book</b:SourceType>
    <b:Guid>{33259531-6813-4ECA-844A-8C1E6F7E625C}</b:Guid>
    <b:Title>Business Statistics For Contemporary Decision Making</b:Title>
    <b:Year>2011</b:Year>
    <b:Edition>7th</b:Edition>
    <b:Author>
      <b:Author>
        <b:NameList>
          <b:Person>
            <b:Last>Black</b:Last>
            <b:First>Ken</b:First>
          </b:Person>
        </b:NameList>
      </b:Author>
    </b:Author>
    <b:LCID>en-GB</b:LCID>
    <b:RefOrder>12</b:RefOrder>
  </b:Source>
  <b:Source>
    <b:Tag>USE11</b:Tag>
    <b:SourceType>ConferenceProceedings</b:SourceType>
    <b:Guid>{03AEFEA4-FA40-4270-82E3-EBF8610D05F3}</b:Guid>
    <b:Title>US-EU Joint Committee Record of Meeting December 8</b:Title>
    <b:Year>2011</b:Year>
    <b:Author>
      <b:Author>
        <b:Corporate>US-EU Joint Committee</b:Corporate>
      </b:Author>
    </b:Author>
    <b:LCID>en-GB</b:LCID>
    <b:RefOrder>13</b:RefOrder>
  </b:Source>
  <b:Source>
    <b:Tag>Isi12</b:Tag>
    <b:SourceType>InternetSite</b:SourceType>
    <b:Guid>{BAA58D72-2BFB-4860-A4DF-76C6C05A80B4}</b:Guid>
    <b:Title>The Wallstreet Journal</b:Title>
    <b:Year>2012</b:Year>
    <b:YearAccessed>2016</b:YearAccessed>
    <b:MonthAccessed>May</b:MonthAccessed>
    <b:DayAccessed>30</b:DayAccessed>
    <b:URL>http://www.wsj.com/articles/SB10001424052970204740904577197122405984872</b:URL>
    <b:Author>
      <b:Author>
        <b:NameList>
          <b:Person>
            <b:Last>Carey</b:Last>
            <b:First>Susan</b:First>
          </b:Person>
          <b:Person>
            <b:Last>Nicas</b:Last>
            <b:First>Jack</b:First>
          </b:Person>
        </b:NameList>
      </b:Author>
    </b:Author>
    <b:LCID>en-GB</b:LCID>
    <b:RefOrder>14</b:RefOrder>
  </b:Source>
  <b:Source>
    <b:Tag>Cil12</b:Tag>
    <b:SourceType>ArticleInAPeriodical</b:SourceType>
    <b:Guid>{0A932015-6181-495F-A01F-E0B213C2160B}</b:Guid>
    <b:Title>Bankruptcy and product-market competition: Evidence from the airline industry</b:Title>
    <b:Year>2012a</b:Year>
    <b:PeriodicalTitle>International Journal of Industrial Organization 30</b:PeriodicalTitle>
    <b:Pages>564-577</b:Pages>
    <b:Author>
      <b:Author>
        <b:NameList>
          <b:Person>
            <b:Last>Ciliberto</b:Last>
            <b:First>Federico</b:First>
          </b:Person>
          <b:Person>
            <b:Last>Schenone</b:Last>
            <b:First>Carola</b:First>
          </b:Person>
        </b:NameList>
      </b:Author>
    </b:Author>
    <b:LCID>en-GB</b:LCID>
    <b:RefOrder>2</b:RefOrder>
  </b:Source>
  <b:Source>
    <b:Tag>Are</b:Tag>
    <b:SourceType>ArticleInAPeriodical</b:SourceType>
    <b:Guid>{248EC574-A46C-46E4-8113-72306C30D290}</b:Guid>
    <b:Title>Are the bankrupt skies the friendliest?</b:Title>
    <b:Author>
      <b:Author>
        <b:NameList>
          <b:Person>
            <b:Last>Ciliberto</b:Last>
            <b:First>Federico</b:First>
          </b:Person>
          <b:Person>
            <b:Last>Schenone</b:Last>
            <b:First>Carola</b:First>
          </b:Person>
        </b:NameList>
      </b:Author>
    </b:Author>
    <b:PeriodicalTitle>Journal of Corporate Finance 18</b:PeriodicalTitle>
    <b:Year>2012b</b:Year>
    <b:Pages>1217-1231</b:Pages>
    <b:LCID>en-GB</b:LCID>
    <b:RefOrder>15</b:RefOrder>
  </b:Source>
  <b:Source>
    <b:Tag>McG13</b:Tag>
    <b:SourceType>InternetSite</b:SourceType>
    <b:Guid>{BD216BE5-90B9-4B4A-8D61-3F2FBCF5B280}</b:Guid>
    <b:Title>Forbes</b:Title>
    <b:Year>2013</b:Year>
    <b:YearAccessed>2016</b:YearAccessed>
    <b:MonthAccessed>May</b:MonthAccessed>
    <b:DayAccessed>23</b:DayAccessed>
    <b:URL>http://www.forbes.com/sites/maggiemcgrath/2013/11/27/american-airlines-us-airways-merger-officially-cleared-for-takeoff/#14723fc36d7c</b:URL>
    <b:Author>
      <b:Author>
        <b:NameList>
          <b:Person>
            <b:Last>McGrath</b:Last>
            <b:First>Maggie</b:First>
          </b:Person>
        </b:NameList>
      </b:Author>
    </b:Author>
    <b:ShortTitle>American Airlines US Airways Merger Officially Cleared For Takeoff</b:ShortTitle>
    <b:LCID>en-GB</b:LCID>
    <b:RefOrder>16</b:RefOrder>
  </b:Source>
  <b:Source>
    <b:Tag>Lyn13</b:Tag>
    <b:SourceType>Report</b:SourceType>
    <b:Guid>{D8422048-F06A-466C-BA3A-E12081D7E309}</b:Guid>
    <b:Title>The American Airlines Bankruptcy</b:Title>
    <b:Year>2013</b:Year>
    <b:Publisher>New York University Stern</b:Publisher>
    <b:Author>
      <b:Author>
        <b:NameList>
          <b:Person>
            <b:Last>Lynagh</b:Last>
            <b:First>Connor</b:First>
          </b:Person>
          <b:Person>
            <b:Last>Pinkus</b:Last>
            <b:First>Darryl</b:First>
          </b:Person>
          <b:Person>
            <b:Last>Ralph</b:Last>
            <b:First>Andrew</b:First>
          </b:Person>
          <b:Person>
            <b:Last>Sutcliffe</b:Last>
            <b:First>Michael</b:First>
          </b:Person>
        </b:NameList>
      </b:Author>
    </b:Author>
    <b:LCID>en-GB</b:LCID>
    <b:RefOrder>17</b:RefOrder>
  </b:Source>
  <b:Source>
    <b:Tag>Mou13</b:Tag>
    <b:SourceType>InternetSite</b:SourceType>
    <b:Guid>{A2664A67-EE90-4345-BE38-DA4917A96B70}</b:Guid>
    <b:Title>The New York Times</b:Title>
    <b:Year>2013</b:Year>
    <b:YearAccessed>2016</b:YearAccessed>
    <b:MonthAccessed>May</b:MonthAccessed>
    <b:DayAccessed>23</b:DayAccessed>
    <b:URL>http://dealbook.nytimes.com/2013/02/13/american-and-us-airways-said-to-vote-for-merger/?_r=0</b:URL>
    <b:Author>
      <b:Author>
        <b:NameList>
          <b:Person>
            <b:Last>Mouawad</b:Last>
            <b:First>Jad</b:First>
          </b:Person>
        </b:NameList>
      </b:Author>
    </b:Author>
    <b:LCID>en-GB</b:LCID>
    <b:RefOrder>18</b:RefOrder>
  </b:Source>
</b:Sources>
</file>

<file path=customXml/itemProps1.xml><?xml version="1.0" encoding="utf-8"?>
<ds:datastoreItem xmlns:ds="http://schemas.openxmlformats.org/officeDocument/2006/customXml" ds:itemID="{81076FE8-2CA7-46AB-AE80-67CA80FE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12067</Words>
  <Characters>68788</Characters>
  <Application>Microsoft Office Word</Application>
  <DocSecurity>0</DocSecurity>
  <Lines>573</Lines>
  <Paragraphs>161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Monash University</Company>
  <LinksUpToDate>false</LinksUpToDate>
  <CharactersWithSpaces>80694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Benny MANTIN</cp:lastModifiedBy>
  <cp:revision>4</cp:revision>
  <cp:lastPrinted>2016-06-24T14:39:00Z</cp:lastPrinted>
  <dcterms:created xsi:type="dcterms:W3CDTF">2018-11-25T13:32:00Z</dcterms:created>
  <dcterms:modified xsi:type="dcterms:W3CDTF">2018-11-25T13:43:00Z</dcterms:modified>
</cp:coreProperties>
</file>