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2D5" w:rsidRPr="00BB2D2B" w:rsidRDefault="00863433" w:rsidP="00996947">
      <w:pPr>
        <w:jc w:val="center"/>
        <w:rPr>
          <w:rFonts w:ascii="Times New Roman" w:hAnsi="Times New Roman" w:cs="Times New Roman"/>
        </w:rPr>
      </w:pPr>
      <w:bookmarkStart w:id="0" w:name="_GoBack"/>
      <w:bookmarkEnd w:id="0"/>
      <w:r>
        <w:rPr>
          <w:rFonts w:ascii="Times New Roman" w:hAnsi="Times New Roman" w:cs="Times New Roman"/>
        </w:rPr>
        <w:t>Le texte, le discours et la pratique</w:t>
      </w:r>
    </w:p>
    <w:p w:rsidR="000A02D5" w:rsidRPr="00BB2D2B" w:rsidRDefault="000A02D5" w:rsidP="00996947">
      <w:pPr>
        <w:jc w:val="center"/>
        <w:rPr>
          <w:rFonts w:ascii="Times New Roman" w:hAnsi="Times New Roman" w:cs="Times New Roman"/>
        </w:rPr>
      </w:pPr>
      <w:r w:rsidRPr="00BB2D2B">
        <w:rPr>
          <w:rFonts w:ascii="Times New Roman" w:hAnsi="Times New Roman" w:cs="Times New Roman"/>
        </w:rPr>
        <w:t>Sémiotique, linguistique textuelle et analyse du discours</w:t>
      </w:r>
    </w:p>
    <w:p w:rsidR="000A02D5" w:rsidRDefault="000A02D5" w:rsidP="00996947">
      <w:pPr>
        <w:rPr>
          <w:rFonts w:ascii="Times New Roman" w:hAnsi="Times New Roman" w:cs="Times New Roman"/>
        </w:rPr>
      </w:pPr>
    </w:p>
    <w:p w:rsidR="00A56CB0" w:rsidRDefault="00A56CB0" w:rsidP="00996947">
      <w:pPr>
        <w:jc w:val="center"/>
        <w:rPr>
          <w:rFonts w:ascii="Times New Roman" w:hAnsi="Times New Roman" w:cs="Times New Roman"/>
        </w:rPr>
      </w:pPr>
      <w:r>
        <w:rPr>
          <w:rFonts w:ascii="Times New Roman" w:hAnsi="Times New Roman" w:cs="Times New Roman"/>
        </w:rPr>
        <w:t>Marion Colas-Blaise</w:t>
      </w:r>
    </w:p>
    <w:p w:rsidR="00A56CB0" w:rsidRDefault="00A56CB0" w:rsidP="00996947">
      <w:pPr>
        <w:jc w:val="center"/>
        <w:rPr>
          <w:rFonts w:ascii="Times New Roman" w:hAnsi="Times New Roman" w:cs="Times New Roman"/>
        </w:rPr>
      </w:pPr>
      <w:r>
        <w:rPr>
          <w:rFonts w:ascii="Times New Roman" w:hAnsi="Times New Roman" w:cs="Times New Roman"/>
        </w:rPr>
        <w:t xml:space="preserve">Université du Luxembourg </w:t>
      </w:r>
    </w:p>
    <w:p w:rsidR="00A56CB0" w:rsidRDefault="00A56CB0" w:rsidP="00996947">
      <w:pPr>
        <w:jc w:val="center"/>
        <w:rPr>
          <w:rFonts w:ascii="Times New Roman" w:hAnsi="Times New Roman" w:cs="Times New Roman"/>
        </w:rPr>
      </w:pPr>
      <w:r>
        <w:rPr>
          <w:rFonts w:ascii="Times New Roman" w:hAnsi="Times New Roman" w:cs="Times New Roman"/>
        </w:rPr>
        <w:t>Associée au CREM (Université de Lorraine)</w:t>
      </w:r>
    </w:p>
    <w:p w:rsidR="00A56CB0" w:rsidRPr="00BB2D2B" w:rsidRDefault="00A56CB0" w:rsidP="00996947">
      <w:pPr>
        <w:rPr>
          <w:rFonts w:ascii="Times New Roman" w:hAnsi="Times New Roman" w:cs="Times New Roman"/>
        </w:rPr>
      </w:pPr>
    </w:p>
    <w:p w:rsidR="000A02D5" w:rsidRDefault="000A02D5" w:rsidP="00996947">
      <w:pPr>
        <w:jc w:val="both"/>
        <w:rPr>
          <w:rFonts w:ascii="Times New Roman" w:hAnsi="Times New Roman" w:cs="Times New Roman"/>
        </w:rPr>
      </w:pPr>
      <w:r w:rsidRPr="00BB2D2B">
        <w:rPr>
          <w:rFonts w:ascii="Times New Roman" w:hAnsi="Times New Roman" w:cs="Times New Roman"/>
        </w:rPr>
        <w:t xml:space="preserve">Comment la sémiotique </w:t>
      </w:r>
      <w:r w:rsidR="00863433">
        <w:rPr>
          <w:rFonts w:ascii="Times New Roman" w:hAnsi="Times New Roman" w:cs="Times New Roman"/>
        </w:rPr>
        <w:t>(post</w:t>
      </w:r>
      <w:r w:rsidR="009D7031">
        <w:rPr>
          <w:rFonts w:ascii="Times New Roman" w:hAnsi="Times New Roman" w:cs="Times New Roman"/>
        </w:rPr>
        <w:t>-</w:t>
      </w:r>
      <w:r w:rsidR="00863433">
        <w:rPr>
          <w:rFonts w:ascii="Times New Roman" w:hAnsi="Times New Roman" w:cs="Times New Roman"/>
        </w:rPr>
        <w:t>)</w:t>
      </w:r>
      <w:r w:rsidRPr="00BB2D2B">
        <w:rPr>
          <w:rFonts w:ascii="Times New Roman" w:hAnsi="Times New Roman" w:cs="Times New Roman"/>
        </w:rPr>
        <w:t xml:space="preserve">greimassienne, mais aussi l’analyse du discours française, dont Maingueneau est une figure de proue, la </w:t>
      </w:r>
      <w:r w:rsidRPr="00BB2D2B">
        <w:rPr>
          <w:rFonts w:ascii="Times New Roman" w:hAnsi="Times New Roman" w:cs="Times New Roman"/>
          <w:i/>
        </w:rPr>
        <w:t>Kritische Diskursanalyse</w:t>
      </w:r>
      <w:r w:rsidRPr="00BB2D2B">
        <w:rPr>
          <w:rFonts w:ascii="Times New Roman" w:hAnsi="Times New Roman" w:cs="Times New Roman"/>
        </w:rPr>
        <w:t xml:space="preserve"> de Jäger, les linguistiques de l’énonciation et la linguistique textuelle du discours développée par Adam concourent-elles à penser l’articulation du texte et du discours ? </w:t>
      </w:r>
      <w:r w:rsidRPr="006770C4">
        <w:rPr>
          <w:rFonts w:ascii="Times New Roman" w:hAnsi="Times New Roman" w:cs="Times New Roman"/>
        </w:rPr>
        <w:t>Quelles sont les lignes de dive</w:t>
      </w:r>
      <w:r w:rsidR="00863433">
        <w:rPr>
          <w:rFonts w:ascii="Times New Roman" w:hAnsi="Times New Roman" w:cs="Times New Roman"/>
        </w:rPr>
        <w:t xml:space="preserve">rgence, mais aussi </w:t>
      </w:r>
      <w:r w:rsidRPr="006770C4">
        <w:rPr>
          <w:rFonts w:ascii="Times New Roman" w:hAnsi="Times New Roman" w:cs="Times New Roman"/>
        </w:rPr>
        <w:t xml:space="preserve">de convergence ? </w:t>
      </w:r>
      <w:r>
        <w:rPr>
          <w:rFonts w:ascii="Times New Roman" w:hAnsi="Times New Roman" w:cs="Times New Roman"/>
        </w:rPr>
        <w:t xml:space="preserve">Notre objectif est de faire dialoguer </w:t>
      </w:r>
      <w:r w:rsidRPr="00BB2D2B">
        <w:rPr>
          <w:rFonts w:ascii="Times New Roman" w:hAnsi="Times New Roman" w:cs="Times New Roman"/>
        </w:rPr>
        <w:t>des disciplines qui peuvent souffrir d’un cloisonn</w:t>
      </w:r>
      <w:r>
        <w:rPr>
          <w:rFonts w:ascii="Times New Roman" w:hAnsi="Times New Roman" w:cs="Times New Roman"/>
        </w:rPr>
        <w:t>ement, même si</w:t>
      </w:r>
      <w:r w:rsidRPr="00BB2D2B">
        <w:rPr>
          <w:rFonts w:ascii="Times New Roman" w:hAnsi="Times New Roman" w:cs="Times New Roman"/>
        </w:rPr>
        <w:t xml:space="preserve"> les questionnements épistémologiques de base sont, dans une large mesure, communs</w:t>
      </w:r>
      <w:r>
        <w:rPr>
          <w:rFonts w:ascii="Times New Roman" w:hAnsi="Times New Roman" w:cs="Times New Roman"/>
        </w:rPr>
        <w:t>. La mise en résonance des disciplines convoquées ne visera pas une redéfinition unitaire des termes « texte » et « discours »</w:t>
      </w:r>
      <w:r w:rsidRPr="00E15973">
        <w:rPr>
          <w:rStyle w:val="Appelnotedebasdep"/>
          <w:rFonts w:ascii="Times New Roman" w:hAnsi="Times New Roman" w:cs="Times New Roman"/>
        </w:rPr>
        <w:footnoteReference w:id="1"/>
      </w:r>
      <w:r w:rsidRPr="00E15973">
        <w:rPr>
          <w:rFonts w:ascii="Times New Roman" w:hAnsi="Times New Roman" w:cs="Times New Roman"/>
        </w:rPr>
        <w:t>.</w:t>
      </w:r>
      <w:r>
        <w:rPr>
          <w:rFonts w:ascii="Times New Roman" w:hAnsi="Times New Roman" w:cs="Times New Roman"/>
        </w:rPr>
        <w:t xml:space="preserve"> </w:t>
      </w:r>
      <w:r w:rsidR="00863433">
        <w:rPr>
          <w:rFonts w:ascii="Times New Roman" w:hAnsi="Times New Roman" w:cs="Times New Roman"/>
        </w:rPr>
        <w:t>Il s’agira</w:t>
      </w:r>
      <w:r>
        <w:rPr>
          <w:rFonts w:ascii="Times New Roman" w:hAnsi="Times New Roman" w:cs="Times New Roman"/>
        </w:rPr>
        <w:t xml:space="preserve">, plutôt, </w:t>
      </w:r>
      <w:r w:rsidR="00863433">
        <w:rPr>
          <w:rFonts w:ascii="Times New Roman" w:hAnsi="Times New Roman" w:cs="Times New Roman"/>
        </w:rPr>
        <w:t>de</w:t>
      </w:r>
      <w:r>
        <w:rPr>
          <w:rFonts w:ascii="Times New Roman" w:hAnsi="Times New Roman" w:cs="Times New Roman"/>
        </w:rPr>
        <w:t xml:space="preserve"> montrer en quoi </w:t>
      </w:r>
      <w:r w:rsidR="00863433">
        <w:rPr>
          <w:rFonts w:ascii="Times New Roman" w:hAnsi="Times New Roman" w:cs="Times New Roman"/>
        </w:rPr>
        <w:t>le dialogue</w:t>
      </w:r>
      <w:r>
        <w:rPr>
          <w:rFonts w:ascii="Times New Roman" w:hAnsi="Times New Roman" w:cs="Times New Roman"/>
        </w:rPr>
        <w:t xml:space="preserve"> peut donner lieu à un renouvellement épistémologique. </w:t>
      </w:r>
    </w:p>
    <w:p w:rsidR="007D4664" w:rsidRDefault="000A02D5" w:rsidP="00996947">
      <w:pPr>
        <w:jc w:val="both"/>
        <w:rPr>
          <w:rFonts w:ascii="Times New Roman" w:hAnsi="Times New Roman" w:cs="Times New Roman"/>
        </w:rPr>
      </w:pPr>
      <w:r>
        <w:rPr>
          <w:rFonts w:ascii="Times New Roman" w:hAnsi="Times New Roman" w:cs="Times New Roman"/>
        </w:rPr>
        <w:t>À cet effet, la</w:t>
      </w:r>
      <w:r w:rsidRPr="00BB2D2B">
        <w:rPr>
          <w:rFonts w:ascii="Times New Roman" w:hAnsi="Times New Roman" w:cs="Times New Roman"/>
        </w:rPr>
        <w:t xml:space="preserve"> réflexion </w:t>
      </w:r>
      <w:r>
        <w:rPr>
          <w:rFonts w:ascii="Times New Roman" w:hAnsi="Times New Roman" w:cs="Times New Roman"/>
        </w:rPr>
        <w:t xml:space="preserve">se cristallisera </w:t>
      </w:r>
      <w:r w:rsidRPr="00BB2D2B">
        <w:rPr>
          <w:rFonts w:ascii="Times New Roman" w:hAnsi="Times New Roman" w:cs="Times New Roman"/>
        </w:rPr>
        <w:t xml:space="preserve">autour de </w:t>
      </w:r>
      <w:r>
        <w:rPr>
          <w:rFonts w:ascii="Times New Roman" w:hAnsi="Times New Roman" w:cs="Times New Roman"/>
        </w:rPr>
        <w:t>trois</w:t>
      </w:r>
      <w:r w:rsidRPr="00BB2D2B">
        <w:rPr>
          <w:rFonts w:ascii="Times New Roman" w:hAnsi="Times New Roman" w:cs="Times New Roman"/>
        </w:rPr>
        <w:t xml:space="preserve"> notions qui</w:t>
      </w:r>
      <w:r w:rsidR="007D4664">
        <w:rPr>
          <w:rFonts w:ascii="Times New Roman" w:hAnsi="Times New Roman" w:cs="Times New Roman"/>
        </w:rPr>
        <w:t>, sans être inédites,</w:t>
      </w:r>
      <w:r w:rsidRPr="00BB2D2B">
        <w:rPr>
          <w:rFonts w:ascii="Times New Roman" w:hAnsi="Times New Roman" w:cs="Times New Roman"/>
        </w:rPr>
        <w:t xml:space="preserve"> peuvent faire émerger des problématiques </w:t>
      </w:r>
      <w:r w:rsidR="00863433">
        <w:rPr>
          <w:rFonts w:ascii="Times New Roman" w:hAnsi="Times New Roman" w:cs="Times New Roman"/>
        </w:rPr>
        <w:t>apportant</w:t>
      </w:r>
      <w:r w:rsidRPr="00BB2D2B">
        <w:rPr>
          <w:rFonts w:ascii="Times New Roman" w:hAnsi="Times New Roman" w:cs="Times New Roman"/>
        </w:rPr>
        <w:t xml:space="preserve"> des inflexions </w:t>
      </w:r>
      <w:r w:rsidR="007D4664">
        <w:rPr>
          <w:rFonts w:ascii="Times New Roman" w:hAnsi="Times New Roman" w:cs="Times New Roman"/>
        </w:rPr>
        <w:t xml:space="preserve">théoriques et </w:t>
      </w:r>
      <w:r w:rsidRPr="00BB2D2B">
        <w:rPr>
          <w:rFonts w:ascii="Times New Roman" w:hAnsi="Times New Roman" w:cs="Times New Roman"/>
        </w:rPr>
        <w:t xml:space="preserve">méthodologiques innovantes. </w:t>
      </w:r>
      <w:r w:rsidR="007D4664">
        <w:rPr>
          <w:rFonts w:ascii="Times New Roman" w:hAnsi="Times New Roman" w:cs="Times New Roman"/>
        </w:rPr>
        <w:t>D’abord</w:t>
      </w:r>
      <w:r>
        <w:rPr>
          <w:rFonts w:ascii="Times New Roman" w:hAnsi="Times New Roman" w:cs="Times New Roman"/>
        </w:rPr>
        <w:t xml:space="preserve">, il s’agira de confronter les définitions du texte et du discours en sémiotique, en analyse textuelle du discours et en analyse du discours à partir de la notion, controversée, de contexte. </w:t>
      </w:r>
      <w:r w:rsidR="007D4664">
        <w:rPr>
          <w:rFonts w:ascii="Times New Roman" w:hAnsi="Times New Roman" w:cs="Times New Roman"/>
        </w:rPr>
        <w:t>Ensuite</w:t>
      </w:r>
      <w:r>
        <w:rPr>
          <w:rFonts w:ascii="Times New Roman" w:hAnsi="Times New Roman" w:cs="Times New Roman"/>
        </w:rPr>
        <w:t xml:space="preserve">, l’attention se focalisera sur la notion de dispositif, dans le sillage de la </w:t>
      </w:r>
      <w:r w:rsidRPr="00BB2D2B">
        <w:rPr>
          <w:rFonts w:ascii="Times New Roman" w:hAnsi="Times New Roman" w:cs="Times New Roman"/>
          <w:i/>
        </w:rPr>
        <w:t>Kritische Diskursanalyse</w:t>
      </w:r>
      <w:r w:rsidRPr="00BB2D2B">
        <w:rPr>
          <w:rFonts w:ascii="Times New Roman" w:hAnsi="Times New Roman" w:cs="Times New Roman"/>
        </w:rPr>
        <w:t xml:space="preserve"> de Jäger</w:t>
      </w:r>
      <w:r w:rsidR="007D4664">
        <w:rPr>
          <w:rFonts w:ascii="Times New Roman" w:hAnsi="Times New Roman" w:cs="Times New Roman"/>
        </w:rPr>
        <w:t>. Enfin</w:t>
      </w:r>
      <w:r>
        <w:rPr>
          <w:rFonts w:ascii="Times New Roman" w:hAnsi="Times New Roman" w:cs="Times New Roman"/>
        </w:rPr>
        <w:t xml:space="preserve">, la notion de médiation permettra de réinterroger les processus de la </w:t>
      </w:r>
      <w:r w:rsidR="00863433">
        <w:rPr>
          <w:rFonts w:ascii="Times New Roman" w:hAnsi="Times New Roman" w:cs="Times New Roman"/>
        </w:rPr>
        <w:t xml:space="preserve">discursivisation et de la </w:t>
      </w:r>
      <w:r>
        <w:rPr>
          <w:rFonts w:ascii="Times New Roman" w:hAnsi="Times New Roman" w:cs="Times New Roman"/>
        </w:rPr>
        <w:t>tex</w:t>
      </w:r>
      <w:r w:rsidR="00863433">
        <w:rPr>
          <w:rFonts w:ascii="Times New Roman" w:hAnsi="Times New Roman" w:cs="Times New Roman"/>
        </w:rPr>
        <w:t>t</w:t>
      </w:r>
      <w:r>
        <w:rPr>
          <w:rFonts w:ascii="Times New Roman" w:hAnsi="Times New Roman" w:cs="Times New Roman"/>
        </w:rPr>
        <w:t xml:space="preserve">ualisation, tels qu’ils sont à même de redynamiser la production du sens. </w:t>
      </w:r>
    </w:p>
    <w:p w:rsidR="00CF7F5B" w:rsidRDefault="00CF7F5B" w:rsidP="00996947">
      <w:pPr>
        <w:jc w:val="both"/>
        <w:rPr>
          <w:rFonts w:ascii="Times New Roman" w:hAnsi="Times New Roman" w:cs="Times New Roman"/>
        </w:rPr>
      </w:pPr>
    </w:p>
    <w:p w:rsidR="000A02D5" w:rsidRPr="00BB2D2B" w:rsidRDefault="000A02D5" w:rsidP="00996947">
      <w:pPr>
        <w:jc w:val="both"/>
        <w:rPr>
          <w:rFonts w:ascii="Times New Roman" w:hAnsi="Times New Roman" w:cs="Times New Roman"/>
        </w:rPr>
      </w:pPr>
      <w:r w:rsidRPr="00BB2D2B">
        <w:rPr>
          <w:rFonts w:ascii="Times New Roman" w:hAnsi="Times New Roman" w:cs="Times New Roman"/>
        </w:rPr>
        <w:t>1.</w:t>
      </w:r>
      <w:r>
        <w:rPr>
          <w:rFonts w:ascii="Times New Roman" w:hAnsi="Times New Roman" w:cs="Times New Roman"/>
        </w:rPr>
        <w:t xml:space="preserve"> Le contexte en questions </w:t>
      </w:r>
    </w:p>
    <w:p w:rsidR="00CF7F5B" w:rsidRDefault="00CF7F5B" w:rsidP="00996947">
      <w:pPr>
        <w:jc w:val="both"/>
        <w:rPr>
          <w:rFonts w:ascii="Times New Roman" w:hAnsi="Times New Roman" w:cs="Times New Roman"/>
        </w:rPr>
      </w:pPr>
    </w:p>
    <w:p w:rsidR="00197A73" w:rsidRDefault="000A02D5" w:rsidP="00996947">
      <w:pPr>
        <w:jc w:val="both"/>
        <w:rPr>
          <w:rFonts w:ascii="Times New Roman" w:hAnsi="Times New Roman" w:cs="Times New Roman"/>
        </w:rPr>
      </w:pPr>
      <w:r>
        <w:rPr>
          <w:rFonts w:ascii="Times New Roman" w:hAnsi="Times New Roman" w:cs="Times New Roman"/>
        </w:rPr>
        <w:t xml:space="preserve">Force est de constater, d’entrée, que les définitions du texte et du discours en sémiotique, </w:t>
      </w:r>
      <w:r w:rsidR="00542C19">
        <w:rPr>
          <w:rFonts w:ascii="Times New Roman" w:hAnsi="Times New Roman" w:cs="Times New Roman"/>
        </w:rPr>
        <w:t xml:space="preserve">d’une part, </w:t>
      </w:r>
      <w:r>
        <w:rPr>
          <w:rFonts w:ascii="Times New Roman" w:hAnsi="Times New Roman" w:cs="Times New Roman"/>
        </w:rPr>
        <w:t>en analyse du discours et en linguistique textuelle du discours</w:t>
      </w:r>
      <w:r w:rsidR="00542C19">
        <w:rPr>
          <w:rFonts w:ascii="Times New Roman" w:hAnsi="Times New Roman" w:cs="Times New Roman"/>
        </w:rPr>
        <w:t>, d’autre part,</w:t>
      </w:r>
      <w:r>
        <w:rPr>
          <w:rFonts w:ascii="Times New Roman" w:hAnsi="Times New Roman" w:cs="Times New Roman"/>
        </w:rPr>
        <w:t xml:space="preserve"> ne se recouvrent qu’imparfaitement. En vertu d’</w:t>
      </w:r>
      <w:r w:rsidRPr="00BB2D2B">
        <w:rPr>
          <w:rFonts w:ascii="Times New Roman" w:hAnsi="Times New Roman" w:cs="Times New Roman"/>
        </w:rPr>
        <w:t>une définition restrictive, le texte caractérise</w:t>
      </w:r>
      <w:r>
        <w:rPr>
          <w:rFonts w:ascii="Times New Roman" w:hAnsi="Times New Roman" w:cs="Times New Roman"/>
        </w:rPr>
        <w:t>, en sémiotique,</w:t>
      </w:r>
      <w:r w:rsidRPr="00BB2D2B">
        <w:rPr>
          <w:rFonts w:ascii="Times New Roman" w:hAnsi="Times New Roman" w:cs="Times New Roman"/>
        </w:rPr>
        <w:t xml:space="preserve"> des constantes du plan de l’expression, le discours gérant la complexification des contenus, au gré des paliers superposés</w:t>
      </w:r>
      <w:r>
        <w:rPr>
          <w:rFonts w:ascii="Times New Roman" w:hAnsi="Times New Roman" w:cs="Times New Roman"/>
        </w:rPr>
        <w:t xml:space="preserve"> du parcours génératif de la signification et des composantes catégorielles et syntaxiques (tensivo-phorique, thymique, sensible et perceptive, modale, actantielle, passionnelle…) qu’ils accueillent. Si la cohérence est le propre du plan de l’expressio</w:t>
      </w:r>
      <w:r w:rsidR="00197A73">
        <w:rPr>
          <w:rFonts w:ascii="Times New Roman" w:hAnsi="Times New Roman" w:cs="Times New Roman"/>
        </w:rPr>
        <w:t xml:space="preserve">n, la congruence caractérise les </w:t>
      </w:r>
      <w:r>
        <w:rPr>
          <w:rFonts w:ascii="Times New Roman" w:hAnsi="Times New Roman" w:cs="Times New Roman"/>
        </w:rPr>
        <w:t>sélection</w:t>
      </w:r>
      <w:r w:rsidR="00197A73">
        <w:rPr>
          <w:rFonts w:ascii="Times New Roman" w:hAnsi="Times New Roman" w:cs="Times New Roman"/>
        </w:rPr>
        <w:t>s</w:t>
      </w:r>
      <w:r>
        <w:rPr>
          <w:rFonts w:ascii="Times New Roman" w:hAnsi="Times New Roman" w:cs="Times New Roman"/>
        </w:rPr>
        <w:t xml:space="preserve"> </w:t>
      </w:r>
      <w:r w:rsidR="00197A73">
        <w:rPr>
          <w:rFonts w:ascii="Times New Roman" w:hAnsi="Times New Roman" w:cs="Times New Roman"/>
        </w:rPr>
        <w:t xml:space="preserve">opérées </w:t>
      </w:r>
      <w:r>
        <w:rPr>
          <w:rFonts w:ascii="Times New Roman" w:hAnsi="Times New Roman" w:cs="Times New Roman"/>
        </w:rPr>
        <w:t>depuis les oppositions sémantiques élémentaires jusqu’aux organisations narratives et aux manifestations thématiques et figuratives. Plus largement, l</w:t>
      </w:r>
      <w:r w:rsidRPr="00BB2D2B">
        <w:rPr>
          <w:rFonts w:ascii="Times New Roman" w:hAnsi="Times New Roman" w:cs="Times New Roman"/>
        </w:rPr>
        <w:t xml:space="preserve">e texte est </w:t>
      </w:r>
      <w:r>
        <w:rPr>
          <w:rFonts w:ascii="Times New Roman" w:hAnsi="Times New Roman" w:cs="Times New Roman"/>
        </w:rPr>
        <w:t>obtenu par la procédure de</w:t>
      </w:r>
      <w:r w:rsidRPr="00BB2D2B">
        <w:rPr>
          <w:rFonts w:ascii="Times New Roman" w:hAnsi="Times New Roman" w:cs="Times New Roman"/>
        </w:rPr>
        <w:t xml:space="preserve"> la textualisation</w:t>
      </w:r>
      <w:r w:rsidR="00197A73">
        <w:rPr>
          <w:rFonts w:ascii="Times New Roman" w:hAnsi="Times New Roman" w:cs="Times New Roman"/>
        </w:rPr>
        <w:t xml:space="preserve"> que Greimas et Courtés (1979 : </w:t>
      </w:r>
      <w:r>
        <w:rPr>
          <w:rFonts w:ascii="Times New Roman" w:hAnsi="Times New Roman" w:cs="Times New Roman"/>
        </w:rPr>
        <w:t xml:space="preserve">391, 219) définissent comme un « arrêt » du parcours génératif, un « moment quelconque du processus, et sa déviation vers la manifestation », </w:t>
      </w:r>
      <w:r w:rsidRPr="00495626">
        <w:rPr>
          <w:rFonts w:ascii="Times New Roman" w:hAnsi="Times New Roman" w:cs="Times New Roman"/>
        </w:rPr>
        <w:t>c’est-à-dire vers la « présentification de la forme dans la substance »</w:t>
      </w:r>
      <w:r w:rsidR="00197A73">
        <w:rPr>
          <w:rFonts w:ascii="Times New Roman" w:hAnsi="Times New Roman" w:cs="Times New Roman"/>
        </w:rPr>
        <w:t>.</w:t>
      </w:r>
    </w:p>
    <w:p w:rsidR="000A02D5" w:rsidRDefault="000A02D5" w:rsidP="00996947">
      <w:pPr>
        <w:jc w:val="both"/>
        <w:rPr>
          <w:rFonts w:ascii="Times New Roman" w:hAnsi="Times New Roman" w:cs="Times New Roman"/>
        </w:rPr>
      </w:pPr>
      <w:r w:rsidRPr="00BB2D2B">
        <w:rPr>
          <w:rFonts w:ascii="Times New Roman" w:hAnsi="Times New Roman" w:cs="Times New Roman"/>
        </w:rPr>
        <w:t>Le texte et le discours correspondent</w:t>
      </w:r>
      <w:r>
        <w:rPr>
          <w:rFonts w:ascii="Times New Roman" w:hAnsi="Times New Roman" w:cs="Times New Roman"/>
        </w:rPr>
        <w:t xml:space="preserve"> ainsi</w:t>
      </w:r>
      <w:r w:rsidRPr="00BB2D2B">
        <w:rPr>
          <w:rFonts w:ascii="Times New Roman" w:hAnsi="Times New Roman" w:cs="Times New Roman"/>
        </w:rPr>
        <w:t>, fondamentalement, à deux « points de vue sur la signification » (Fontanille 2003</w:t>
      </w:r>
      <w:r>
        <w:rPr>
          <w:rFonts w:ascii="Times New Roman" w:hAnsi="Times New Roman" w:cs="Times New Roman"/>
        </w:rPr>
        <w:t xml:space="preserve"> [1998]</w:t>
      </w:r>
      <w:r w:rsidR="00197A73">
        <w:rPr>
          <w:rFonts w:ascii="Times New Roman" w:hAnsi="Times New Roman" w:cs="Times New Roman"/>
        </w:rPr>
        <w:t xml:space="preserve"> : </w:t>
      </w:r>
      <w:r w:rsidRPr="00BB2D2B">
        <w:rPr>
          <w:rFonts w:ascii="Times New Roman" w:hAnsi="Times New Roman" w:cs="Times New Roman"/>
        </w:rPr>
        <w:t xml:space="preserve">88), qui impliquent deux approches différentes du contexte. </w:t>
      </w:r>
      <w:r>
        <w:rPr>
          <w:rFonts w:ascii="Times New Roman" w:hAnsi="Times New Roman" w:cs="Times New Roman"/>
        </w:rPr>
        <w:t>Critiquant</w:t>
      </w:r>
      <w:r w:rsidRPr="00BB2D2B">
        <w:rPr>
          <w:rFonts w:ascii="Times New Roman" w:hAnsi="Times New Roman" w:cs="Times New Roman"/>
        </w:rPr>
        <w:t xml:space="preserve"> la double équation « Discours = Texte + Contexte » et « Texte = Discours sans Contexte » établie par Adam</w:t>
      </w:r>
      <w:r>
        <w:rPr>
          <w:rStyle w:val="Appelnotedebasdep"/>
          <w:rFonts w:ascii="Times New Roman" w:hAnsi="Times New Roman" w:cs="Times New Roman"/>
        </w:rPr>
        <w:footnoteReference w:id="2"/>
      </w:r>
      <w:r w:rsidRPr="00BB2D2B">
        <w:rPr>
          <w:rFonts w:ascii="Times New Roman" w:hAnsi="Times New Roman" w:cs="Times New Roman"/>
        </w:rPr>
        <w:t xml:space="preserve">, </w:t>
      </w:r>
      <w:r>
        <w:rPr>
          <w:rFonts w:ascii="Times New Roman" w:hAnsi="Times New Roman" w:cs="Times New Roman"/>
        </w:rPr>
        <w:t>Fontanille (</w:t>
      </w:r>
      <w:r w:rsidRPr="00495626">
        <w:rPr>
          <w:rFonts w:ascii="Times New Roman" w:hAnsi="Times New Roman" w:cs="Times New Roman"/>
          <w:i/>
        </w:rPr>
        <w:t>ibid.</w:t>
      </w:r>
      <w:r w:rsidR="00197A73">
        <w:rPr>
          <w:rFonts w:ascii="Times New Roman" w:hAnsi="Times New Roman" w:cs="Times New Roman"/>
        </w:rPr>
        <w:t xml:space="preserve"> : </w:t>
      </w:r>
      <w:r>
        <w:rPr>
          <w:rFonts w:ascii="Times New Roman" w:hAnsi="Times New Roman" w:cs="Times New Roman"/>
        </w:rPr>
        <w:t xml:space="preserve">91-93) considère la </w:t>
      </w:r>
      <w:r w:rsidRPr="00BB2D2B">
        <w:rPr>
          <w:rFonts w:ascii="Times New Roman" w:hAnsi="Times New Roman" w:cs="Times New Roman"/>
        </w:rPr>
        <w:t xml:space="preserve">notion de contexte </w:t>
      </w:r>
      <w:r>
        <w:rPr>
          <w:rFonts w:ascii="Times New Roman" w:hAnsi="Times New Roman" w:cs="Times New Roman"/>
        </w:rPr>
        <w:t>comme</w:t>
      </w:r>
      <w:r w:rsidRPr="00BB2D2B">
        <w:rPr>
          <w:rFonts w:ascii="Times New Roman" w:hAnsi="Times New Roman" w:cs="Times New Roman"/>
        </w:rPr>
        <w:t xml:space="preserve"> une </w:t>
      </w:r>
      <w:r>
        <w:rPr>
          <w:rFonts w:ascii="Times New Roman" w:hAnsi="Times New Roman" w:cs="Times New Roman"/>
        </w:rPr>
        <w:t>« </w:t>
      </w:r>
      <w:r w:rsidRPr="00BB2D2B">
        <w:rPr>
          <w:rFonts w:ascii="Times New Roman" w:hAnsi="Times New Roman" w:cs="Times New Roman"/>
        </w:rPr>
        <w:t xml:space="preserve">invention qui n’est nécessaire que quand on </w:t>
      </w:r>
      <w:r>
        <w:rPr>
          <w:rFonts w:ascii="Times New Roman" w:hAnsi="Times New Roman" w:cs="Times New Roman"/>
        </w:rPr>
        <w:t>ado</w:t>
      </w:r>
      <w:r w:rsidR="00197A73">
        <w:rPr>
          <w:rFonts w:ascii="Times New Roman" w:hAnsi="Times New Roman" w:cs="Times New Roman"/>
        </w:rPr>
        <w:t>pte le point de vue du texte ».</w:t>
      </w:r>
      <w:r w:rsidRPr="00BB2D2B">
        <w:rPr>
          <w:rFonts w:ascii="Times New Roman" w:hAnsi="Times New Roman" w:cs="Times New Roman"/>
        </w:rPr>
        <w:t xml:space="preserve"> </w:t>
      </w:r>
      <w:r>
        <w:rPr>
          <w:rFonts w:ascii="Times New Roman" w:hAnsi="Times New Roman" w:cs="Times New Roman"/>
        </w:rPr>
        <w:lastRenderedPageBreak/>
        <w:t xml:space="preserve">Dans ce cas, </w:t>
      </w:r>
      <w:r w:rsidR="00C47C85">
        <w:rPr>
          <w:rFonts w:ascii="Times New Roman" w:hAnsi="Times New Roman" w:cs="Times New Roman"/>
        </w:rPr>
        <w:t xml:space="preserve">écrit-il, </w:t>
      </w:r>
      <w:r>
        <w:rPr>
          <w:rFonts w:ascii="Times New Roman" w:hAnsi="Times New Roman" w:cs="Times New Roman"/>
        </w:rPr>
        <w:t>la signification exige qu</w:t>
      </w:r>
      <w:r w:rsidR="00197A73">
        <w:rPr>
          <w:rFonts w:ascii="Times New Roman" w:hAnsi="Times New Roman" w:cs="Times New Roman"/>
        </w:rPr>
        <w:t xml:space="preserve">e soient pris en considération, outre le tableau lui-même, </w:t>
      </w:r>
      <w:r>
        <w:rPr>
          <w:rFonts w:ascii="Times New Roman" w:hAnsi="Times New Roman" w:cs="Times New Roman"/>
        </w:rPr>
        <w:t>la série des tableaux dans laquelle il s’insère, voire</w:t>
      </w:r>
      <w:r w:rsidRPr="00EE1323">
        <w:rPr>
          <w:rFonts w:ascii="Times New Roman" w:hAnsi="Times New Roman" w:cs="Times New Roman"/>
        </w:rPr>
        <w:t xml:space="preserve"> l’ensemble </w:t>
      </w:r>
      <w:r>
        <w:rPr>
          <w:rFonts w:ascii="Times New Roman" w:hAnsi="Times New Roman" w:cs="Times New Roman"/>
        </w:rPr>
        <w:t>de la production d’un artiste, jusqu’au cadre et à l’</w:t>
      </w:r>
      <w:r w:rsidRPr="00EE1323">
        <w:rPr>
          <w:rFonts w:ascii="Times New Roman" w:hAnsi="Times New Roman" w:cs="Times New Roman"/>
        </w:rPr>
        <w:t xml:space="preserve">accrochage </w:t>
      </w:r>
      <w:r>
        <w:rPr>
          <w:rFonts w:ascii="Times New Roman" w:hAnsi="Times New Roman" w:cs="Times New Roman"/>
        </w:rPr>
        <w:t>dans un</w:t>
      </w:r>
      <w:r w:rsidRPr="00EE1323">
        <w:rPr>
          <w:rFonts w:ascii="Times New Roman" w:hAnsi="Times New Roman" w:cs="Times New Roman"/>
        </w:rPr>
        <w:t xml:space="preserve"> lieu muséal</w:t>
      </w:r>
      <w:r>
        <w:rPr>
          <w:rFonts w:ascii="Times New Roman" w:hAnsi="Times New Roman" w:cs="Times New Roman"/>
        </w:rPr>
        <w:t xml:space="preserve">. </w:t>
      </w:r>
    </w:p>
    <w:p w:rsidR="000A02D5" w:rsidRPr="001C6783" w:rsidRDefault="000A02D5" w:rsidP="00996947">
      <w:pPr>
        <w:jc w:val="both"/>
        <w:rPr>
          <w:rFonts w:ascii="Times New Roman" w:hAnsi="Times New Roman" w:cs="Times New Roman"/>
          <w:sz w:val="20"/>
          <w:szCs w:val="20"/>
        </w:rPr>
      </w:pPr>
      <w:r>
        <w:rPr>
          <w:rFonts w:ascii="Times New Roman" w:hAnsi="Times New Roman" w:cs="Times New Roman"/>
        </w:rPr>
        <w:t>On trouve ici les prémisses de la « sémiotisation du contexte » qui culminera dans la sémiotique des pratiques et des formes de vie (Fontanille 2008, 2015</w:t>
      </w:r>
      <w:r w:rsidR="00197A73">
        <w:rPr>
          <w:rFonts w:ascii="Times New Roman" w:hAnsi="Times New Roman" w:cs="Times New Roman"/>
        </w:rPr>
        <w:t>a</w:t>
      </w:r>
      <w:r>
        <w:rPr>
          <w:rFonts w:ascii="Times New Roman" w:hAnsi="Times New Roman" w:cs="Times New Roman"/>
        </w:rPr>
        <w:t xml:space="preserve">). Le parcours de l’expression prévoit </w:t>
      </w:r>
      <w:r w:rsidR="007D4664">
        <w:rPr>
          <w:rFonts w:ascii="Times New Roman" w:hAnsi="Times New Roman" w:cs="Times New Roman"/>
        </w:rPr>
        <w:t>différents</w:t>
      </w:r>
      <w:r>
        <w:rPr>
          <w:rFonts w:ascii="Times New Roman" w:hAnsi="Times New Roman" w:cs="Times New Roman"/>
        </w:rPr>
        <w:t xml:space="preserve"> niveaux pertinents de l’expérience et </w:t>
      </w:r>
      <w:r w:rsidR="007D4664">
        <w:rPr>
          <w:rFonts w:ascii="Times New Roman" w:hAnsi="Times New Roman" w:cs="Times New Roman"/>
        </w:rPr>
        <w:t>autant d’</w:t>
      </w:r>
      <w:r>
        <w:rPr>
          <w:rFonts w:ascii="Times New Roman" w:hAnsi="Times New Roman" w:cs="Times New Roman"/>
        </w:rPr>
        <w:t>instances formelles : les signes, les textes-énoncés</w:t>
      </w:r>
      <w:r w:rsidR="00C47C85">
        <w:rPr>
          <w:rFonts w:ascii="Times New Roman" w:hAnsi="Times New Roman" w:cs="Times New Roman"/>
        </w:rPr>
        <w:t xml:space="preserve"> (verbaux et non verbaux)</w:t>
      </w:r>
      <w:r>
        <w:rPr>
          <w:rFonts w:ascii="Times New Roman" w:hAnsi="Times New Roman" w:cs="Times New Roman"/>
        </w:rPr>
        <w:t xml:space="preserve">, les </w:t>
      </w:r>
      <w:r w:rsidR="007D4664">
        <w:rPr>
          <w:rFonts w:ascii="Times New Roman" w:hAnsi="Times New Roman" w:cs="Times New Roman"/>
        </w:rPr>
        <w:t>objets, les scènes pratiques</w:t>
      </w:r>
      <w:r w:rsidR="00C615E5">
        <w:rPr>
          <w:rStyle w:val="Appelnotedebasdep"/>
          <w:rFonts w:ascii="Times New Roman" w:hAnsi="Times New Roman" w:cs="Times New Roman"/>
        </w:rPr>
        <w:footnoteReference w:id="3"/>
      </w:r>
      <w:r w:rsidR="007D4664">
        <w:rPr>
          <w:rFonts w:ascii="Times New Roman" w:hAnsi="Times New Roman" w:cs="Times New Roman"/>
        </w:rPr>
        <w:t xml:space="preserve"> </w:t>
      </w:r>
      <w:r>
        <w:rPr>
          <w:rFonts w:ascii="Times New Roman" w:hAnsi="Times New Roman" w:cs="Times New Roman"/>
        </w:rPr>
        <w:t>et les formes de vie</w:t>
      </w:r>
      <w:r w:rsidR="003F2AA7">
        <w:rPr>
          <w:rStyle w:val="Appelnotedebasdep"/>
          <w:rFonts w:ascii="Times New Roman" w:hAnsi="Times New Roman" w:cs="Times New Roman"/>
        </w:rPr>
        <w:footnoteReference w:id="4"/>
      </w:r>
      <w:r>
        <w:rPr>
          <w:rFonts w:ascii="Times New Roman" w:hAnsi="Times New Roman" w:cs="Times New Roman"/>
        </w:rPr>
        <w:t>, les passages entre les strates s’opérant selon le principe de l’intégration ascendante (par exemple, les objets intègrent les textes, les pratiques intègrent les objets, etc.) ou descendante (un texte peut manifester une pratique,</w:t>
      </w:r>
      <w:r w:rsidR="00E37F66">
        <w:rPr>
          <w:rFonts w:ascii="Times New Roman" w:hAnsi="Times New Roman" w:cs="Times New Roman"/>
        </w:rPr>
        <w:t xml:space="preserve"> voire une forme de v</w:t>
      </w:r>
      <w:r w:rsidR="00197A73">
        <w:rPr>
          <w:rFonts w:ascii="Times New Roman" w:hAnsi="Times New Roman" w:cs="Times New Roman"/>
        </w:rPr>
        <w:t xml:space="preserve">ie) (2008 : </w:t>
      </w:r>
      <w:r>
        <w:rPr>
          <w:rFonts w:ascii="Times New Roman" w:hAnsi="Times New Roman" w:cs="Times New Roman"/>
        </w:rPr>
        <w:t>59). La notion de contexte est désormais vouée à prendre en charge</w:t>
      </w:r>
      <w:r w:rsidRPr="00CE53FD">
        <w:rPr>
          <w:rFonts w:ascii="Times New Roman" w:hAnsi="Times New Roman" w:cs="Times New Roman"/>
        </w:rPr>
        <w:t xml:space="preserve"> les éléments « accessoires » </w:t>
      </w:r>
      <w:r>
        <w:rPr>
          <w:rFonts w:ascii="Times New Roman" w:hAnsi="Times New Roman" w:cs="Times New Roman"/>
        </w:rPr>
        <w:t>échappa</w:t>
      </w:r>
      <w:r w:rsidRPr="00CE53FD">
        <w:rPr>
          <w:rFonts w:ascii="Times New Roman" w:hAnsi="Times New Roman" w:cs="Times New Roman"/>
        </w:rPr>
        <w:t>nt au principe de pertinence</w:t>
      </w:r>
      <w:r>
        <w:rPr>
          <w:rFonts w:ascii="Times New Roman" w:hAnsi="Times New Roman" w:cs="Times New Roman"/>
        </w:rPr>
        <w:t>. Elle est concurrencée par celle de situation sémiotique</w:t>
      </w:r>
      <w:r w:rsidR="007D4664">
        <w:rPr>
          <w:rFonts w:ascii="Times New Roman" w:hAnsi="Times New Roman" w:cs="Times New Roman"/>
        </w:rPr>
        <w:t>, qu’il s’agisse de l’expérience de l’interaction avec un texte</w:t>
      </w:r>
      <w:r w:rsidR="009D7031">
        <w:rPr>
          <w:rFonts w:ascii="Times New Roman" w:hAnsi="Times New Roman" w:cs="Times New Roman"/>
        </w:rPr>
        <w:t>,</w:t>
      </w:r>
      <w:r w:rsidR="007D4664">
        <w:rPr>
          <w:rFonts w:ascii="Times New Roman" w:hAnsi="Times New Roman" w:cs="Times New Roman"/>
        </w:rPr>
        <w:t xml:space="preserve"> par le biais de ses supports matériels</w:t>
      </w:r>
      <w:r w:rsidR="009D7031">
        <w:rPr>
          <w:rFonts w:ascii="Times New Roman" w:hAnsi="Times New Roman" w:cs="Times New Roman"/>
        </w:rPr>
        <w:t>, par exemple,</w:t>
      </w:r>
      <w:r w:rsidR="007D4664">
        <w:rPr>
          <w:rFonts w:ascii="Times New Roman" w:hAnsi="Times New Roman" w:cs="Times New Roman"/>
        </w:rPr>
        <w:t xml:space="preserve"> ou de l’ajustement entre plusieurs interactions, plusieurs </w:t>
      </w:r>
      <w:r w:rsidR="00197A73">
        <w:rPr>
          <w:rFonts w:ascii="Times New Roman" w:hAnsi="Times New Roman" w:cs="Times New Roman"/>
        </w:rPr>
        <w:t>pratiques, concurrentes</w:t>
      </w:r>
      <w:r w:rsidR="008E5603">
        <w:rPr>
          <w:rFonts w:ascii="Times New Roman" w:hAnsi="Times New Roman" w:cs="Times New Roman"/>
        </w:rPr>
        <w:t>.</w:t>
      </w:r>
    </w:p>
    <w:p w:rsidR="009D7031" w:rsidRDefault="000A02D5" w:rsidP="00996947">
      <w:pPr>
        <w:jc w:val="both"/>
        <w:rPr>
          <w:rFonts w:ascii="Times New Roman" w:hAnsi="Times New Roman" w:cs="Times New Roman"/>
        </w:rPr>
      </w:pPr>
      <w:r>
        <w:rPr>
          <w:rFonts w:ascii="Times New Roman" w:hAnsi="Times New Roman" w:cs="Times New Roman"/>
        </w:rPr>
        <w:t>Faut-il déceler dans le discrédit jeté sur la notion de contexte</w:t>
      </w:r>
      <w:r w:rsidR="009D7031">
        <w:rPr>
          <w:rFonts w:ascii="Times New Roman" w:hAnsi="Times New Roman" w:cs="Times New Roman"/>
        </w:rPr>
        <w:t xml:space="preserve"> </w:t>
      </w:r>
      <w:r>
        <w:rPr>
          <w:rFonts w:ascii="Times New Roman" w:hAnsi="Times New Roman" w:cs="Times New Roman"/>
        </w:rPr>
        <w:t>ou</w:t>
      </w:r>
      <w:r w:rsidR="009D7031">
        <w:rPr>
          <w:rFonts w:ascii="Times New Roman" w:hAnsi="Times New Roman" w:cs="Times New Roman"/>
        </w:rPr>
        <w:t>,</w:t>
      </w:r>
      <w:r>
        <w:rPr>
          <w:rFonts w:ascii="Times New Roman" w:hAnsi="Times New Roman" w:cs="Times New Roman"/>
        </w:rPr>
        <w:t xml:space="preserve"> du moins</w:t>
      </w:r>
      <w:r w:rsidR="009D7031">
        <w:rPr>
          <w:rFonts w:ascii="Times New Roman" w:hAnsi="Times New Roman" w:cs="Times New Roman"/>
        </w:rPr>
        <w:t>,</w:t>
      </w:r>
      <w:r>
        <w:rPr>
          <w:rFonts w:ascii="Times New Roman" w:hAnsi="Times New Roman" w:cs="Times New Roman"/>
        </w:rPr>
        <w:t xml:space="preserve"> dans </w:t>
      </w:r>
      <w:r w:rsidR="009D7031">
        <w:rPr>
          <w:rFonts w:ascii="Times New Roman" w:hAnsi="Times New Roman" w:cs="Times New Roman"/>
        </w:rPr>
        <w:t>l’obligation de la réinterroger</w:t>
      </w:r>
      <w:r>
        <w:rPr>
          <w:rFonts w:ascii="Times New Roman" w:hAnsi="Times New Roman" w:cs="Times New Roman"/>
        </w:rPr>
        <w:t xml:space="preserve"> et, conjointement, dans la mise en avant de celle de situation la source de divergences de fond entre la sémiotique, la linguistique textuelle du di</w:t>
      </w:r>
      <w:r w:rsidR="009D7031">
        <w:rPr>
          <w:rFonts w:ascii="Times New Roman" w:hAnsi="Times New Roman" w:cs="Times New Roman"/>
        </w:rPr>
        <w:t xml:space="preserve">scours et l’analyse du discours ? On sait </w:t>
      </w:r>
      <w:r>
        <w:rPr>
          <w:rFonts w:ascii="Times New Roman" w:hAnsi="Times New Roman" w:cs="Times New Roman"/>
        </w:rPr>
        <w:t xml:space="preserve">que </w:t>
      </w:r>
      <w:r w:rsidR="009D7031">
        <w:rPr>
          <w:rFonts w:ascii="Times New Roman" w:hAnsi="Times New Roman" w:cs="Times New Roman"/>
        </w:rPr>
        <w:t xml:space="preserve">la question du contexte est centrale en </w:t>
      </w:r>
      <w:r>
        <w:rPr>
          <w:rFonts w:ascii="Times New Roman" w:hAnsi="Times New Roman" w:cs="Times New Roman"/>
        </w:rPr>
        <w:t xml:space="preserve">linguistique textuelle du discours et </w:t>
      </w:r>
      <w:r w:rsidR="009D7031">
        <w:rPr>
          <w:rFonts w:ascii="Times New Roman" w:hAnsi="Times New Roman" w:cs="Times New Roman"/>
        </w:rPr>
        <w:t>en analyse du discours.</w:t>
      </w:r>
    </w:p>
    <w:p w:rsidR="000A02D5" w:rsidRDefault="009D7031" w:rsidP="00996947">
      <w:pPr>
        <w:jc w:val="both"/>
        <w:rPr>
          <w:rFonts w:ascii="Times New Roman" w:hAnsi="Times New Roman" w:cs="Times New Roman"/>
        </w:rPr>
      </w:pPr>
      <w:r>
        <w:rPr>
          <w:rFonts w:ascii="Times New Roman" w:hAnsi="Times New Roman" w:cs="Times New Roman"/>
        </w:rPr>
        <w:t>Elle</w:t>
      </w:r>
      <w:r w:rsidR="000A02D5">
        <w:rPr>
          <w:rFonts w:ascii="Times New Roman" w:hAnsi="Times New Roman" w:cs="Times New Roman"/>
        </w:rPr>
        <w:t xml:space="preserve"> oblige</w:t>
      </w:r>
      <w:r>
        <w:rPr>
          <w:rFonts w:ascii="Times New Roman" w:hAnsi="Times New Roman" w:cs="Times New Roman"/>
        </w:rPr>
        <w:t>,</w:t>
      </w:r>
      <w:r w:rsidR="000A02D5">
        <w:rPr>
          <w:rFonts w:ascii="Times New Roman" w:hAnsi="Times New Roman" w:cs="Times New Roman"/>
        </w:rPr>
        <w:t xml:space="preserve"> en effet</w:t>
      </w:r>
      <w:r>
        <w:rPr>
          <w:rFonts w:ascii="Times New Roman" w:hAnsi="Times New Roman" w:cs="Times New Roman"/>
        </w:rPr>
        <w:t>,</w:t>
      </w:r>
      <w:r w:rsidR="000A02D5">
        <w:rPr>
          <w:rFonts w:ascii="Times New Roman" w:hAnsi="Times New Roman" w:cs="Times New Roman"/>
        </w:rPr>
        <w:t xml:space="preserve"> à des positionnements disciplinaires dès le tournant énonciatif des années soixante-dix et quatre-vingt : les distinctions que Kerbrat-Orecchioni introduit entre la </w:t>
      </w:r>
      <w:r w:rsidR="000A02D5" w:rsidRPr="00A37251">
        <w:rPr>
          <w:rFonts w:ascii="Times New Roman" w:hAnsi="Times New Roman" w:cs="Times New Roman"/>
        </w:rPr>
        <w:t xml:space="preserve">linguistique de l’énonciation « restreinte » </w:t>
      </w:r>
      <w:r w:rsidR="000A02D5">
        <w:rPr>
          <w:rFonts w:ascii="Times New Roman" w:hAnsi="Times New Roman" w:cs="Times New Roman"/>
        </w:rPr>
        <w:t>et</w:t>
      </w:r>
      <w:r w:rsidR="000A02D5" w:rsidRPr="00A37251">
        <w:rPr>
          <w:rFonts w:ascii="Times New Roman" w:hAnsi="Times New Roman" w:cs="Times New Roman"/>
        </w:rPr>
        <w:t xml:space="preserve"> </w:t>
      </w:r>
      <w:r w:rsidR="001D2980">
        <w:rPr>
          <w:rFonts w:ascii="Times New Roman" w:hAnsi="Times New Roman" w:cs="Times New Roman"/>
        </w:rPr>
        <w:t xml:space="preserve">celle </w:t>
      </w:r>
      <w:r w:rsidR="000A02D5">
        <w:rPr>
          <w:rFonts w:ascii="Times New Roman" w:hAnsi="Times New Roman" w:cs="Times New Roman"/>
        </w:rPr>
        <w:t xml:space="preserve">de </w:t>
      </w:r>
      <w:r w:rsidR="000A02D5" w:rsidRPr="00A37251">
        <w:rPr>
          <w:rFonts w:ascii="Times New Roman" w:hAnsi="Times New Roman" w:cs="Times New Roman"/>
        </w:rPr>
        <w:t xml:space="preserve">l’énonciation « étendue » </w:t>
      </w:r>
      <w:r w:rsidR="000A02D5">
        <w:rPr>
          <w:rFonts w:ascii="Times New Roman" w:hAnsi="Times New Roman" w:cs="Times New Roman"/>
        </w:rPr>
        <w:t>(1980), entre les contextes linguistique et non linguistiqu</w:t>
      </w:r>
      <w:r w:rsidR="00E37F66">
        <w:rPr>
          <w:rFonts w:ascii="Times New Roman" w:hAnsi="Times New Roman" w:cs="Times New Roman"/>
        </w:rPr>
        <w:t>e, étroit ou large (2002</w:t>
      </w:r>
      <w:r w:rsidR="00197A73">
        <w:rPr>
          <w:rFonts w:ascii="Times New Roman" w:hAnsi="Times New Roman" w:cs="Times New Roman"/>
        </w:rPr>
        <w:t> :</w:t>
      </w:r>
      <w:r w:rsidR="008C7340">
        <w:rPr>
          <w:rFonts w:ascii="Times New Roman" w:hAnsi="Times New Roman" w:cs="Times New Roman"/>
        </w:rPr>
        <w:t>135)</w:t>
      </w:r>
      <w:r w:rsidR="00C47C85">
        <w:rPr>
          <w:rFonts w:ascii="Times New Roman" w:hAnsi="Times New Roman" w:cs="Times New Roman"/>
        </w:rPr>
        <w:t>,</w:t>
      </w:r>
      <w:r w:rsidR="000A02D5">
        <w:rPr>
          <w:rFonts w:ascii="Times New Roman" w:hAnsi="Times New Roman" w:cs="Times New Roman"/>
        </w:rPr>
        <w:t xml:space="preserve"> résument </w:t>
      </w:r>
      <w:r>
        <w:rPr>
          <w:rFonts w:ascii="Times New Roman" w:hAnsi="Times New Roman" w:cs="Times New Roman"/>
        </w:rPr>
        <w:t>la</w:t>
      </w:r>
      <w:r w:rsidR="000A02D5">
        <w:rPr>
          <w:rFonts w:ascii="Times New Roman" w:hAnsi="Times New Roman" w:cs="Times New Roman"/>
        </w:rPr>
        <w:t xml:space="preserve"> volonté de  rendre compte, par élargissements successifs, des </w:t>
      </w:r>
      <w:r w:rsidR="000A02D5" w:rsidRPr="00A37251">
        <w:rPr>
          <w:rFonts w:ascii="Times New Roman" w:hAnsi="Times New Roman" w:cs="Times New Roman"/>
        </w:rPr>
        <w:t>éléments constitutifs du cadre énonciatif</w:t>
      </w:r>
      <w:r w:rsidR="000A02D5">
        <w:rPr>
          <w:rFonts w:ascii="Times New Roman" w:hAnsi="Times New Roman" w:cs="Times New Roman"/>
        </w:rPr>
        <w:t xml:space="preserve">, de la situation sociale de l’échange communicatif ainsi que du cadre institutionnel, sinon physique. </w:t>
      </w:r>
      <w:r>
        <w:rPr>
          <w:rFonts w:ascii="Times New Roman" w:hAnsi="Times New Roman" w:cs="Times New Roman"/>
        </w:rPr>
        <w:t>Angermuller</w:t>
      </w:r>
      <w:r w:rsidR="005F5D4B">
        <w:rPr>
          <w:rFonts w:ascii="Times New Roman" w:hAnsi="Times New Roman" w:cs="Times New Roman"/>
        </w:rPr>
        <w:t xml:space="preserve"> (2007)</w:t>
      </w:r>
      <w:r>
        <w:rPr>
          <w:rFonts w:ascii="Times New Roman" w:hAnsi="Times New Roman" w:cs="Times New Roman"/>
        </w:rPr>
        <w:t xml:space="preserve"> rappelle q</w:t>
      </w:r>
      <w:r w:rsidR="000A02D5">
        <w:rPr>
          <w:rFonts w:ascii="Times New Roman" w:hAnsi="Times New Roman" w:cs="Times New Roman"/>
        </w:rPr>
        <w:t xml:space="preserve">ue le discours et le contexte </w:t>
      </w:r>
      <w:r>
        <w:rPr>
          <w:rFonts w:ascii="Times New Roman" w:hAnsi="Times New Roman" w:cs="Times New Roman"/>
        </w:rPr>
        <w:t xml:space="preserve">sont indissociables : quelles que soient les </w:t>
      </w:r>
      <w:r w:rsidR="000A02D5">
        <w:rPr>
          <w:rFonts w:ascii="Times New Roman" w:hAnsi="Times New Roman" w:cs="Times New Roman"/>
        </w:rPr>
        <w:t>traditions disciplin</w:t>
      </w:r>
      <w:r>
        <w:rPr>
          <w:rFonts w:ascii="Times New Roman" w:hAnsi="Times New Roman" w:cs="Times New Roman"/>
        </w:rPr>
        <w:t>air</w:t>
      </w:r>
      <w:r w:rsidR="000A02D5">
        <w:rPr>
          <w:rFonts w:ascii="Times New Roman" w:hAnsi="Times New Roman" w:cs="Times New Roman"/>
        </w:rPr>
        <w:t xml:space="preserve">es, le discours est approché le plus souvent sous l’angle de l’« espace où se déploie l’usage des signes, mots et textes dans un contexte ». </w:t>
      </w:r>
    </w:p>
    <w:p w:rsidR="000A02D5" w:rsidRPr="00054CF3" w:rsidRDefault="000A02D5" w:rsidP="00996947">
      <w:pPr>
        <w:jc w:val="both"/>
        <w:rPr>
          <w:sz w:val="20"/>
        </w:rPr>
      </w:pPr>
      <w:r>
        <w:rPr>
          <w:rFonts w:ascii="Times New Roman" w:hAnsi="Times New Roman" w:cs="Times New Roman"/>
        </w:rPr>
        <w:t xml:space="preserve">Quant à la notion de situation, elle revêt sous la plume de Maingueneau (not. </w:t>
      </w:r>
      <w:r w:rsidR="0005335C">
        <w:rPr>
          <w:rFonts w:ascii="Times New Roman" w:hAnsi="Times New Roman" w:cs="Times New Roman"/>
        </w:rPr>
        <w:t>2004</w:t>
      </w:r>
      <w:r>
        <w:rPr>
          <w:rFonts w:ascii="Times New Roman" w:hAnsi="Times New Roman" w:cs="Times New Roman"/>
        </w:rPr>
        <w:t>) une triple significatio</w:t>
      </w:r>
      <w:r w:rsidR="00197A73">
        <w:rPr>
          <w:rFonts w:ascii="Times New Roman" w:hAnsi="Times New Roman" w:cs="Times New Roman"/>
        </w:rPr>
        <w:t>n, que l’on confrontera</w:t>
      </w:r>
      <w:r>
        <w:rPr>
          <w:rFonts w:ascii="Times New Roman" w:hAnsi="Times New Roman" w:cs="Times New Roman"/>
        </w:rPr>
        <w:t xml:space="preserve"> avec la définition </w:t>
      </w:r>
      <w:r w:rsidR="009D7031">
        <w:rPr>
          <w:rFonts w:ascii="Times New Roman" w:hAnsi="Times New Roman" w:cs="Times New Roman"/>
        </w:rPr>
        <w:t>de</w:t>
      </w:r>
      <w:r>
        <w:rPr>
          <w:rFonts w:ascii="Times New Roman" w:hAnsi="Times New Roman" w:cs="Times New Roman"/>
        </w:rPr>
        <w:t xml:space="preserve"> Fontanille</w:t>
      </w:r>
      <w:r w:rsidR="009D7031">
        <w:rPr>
          <w:rFonts w:ascii="Times New Roman" w:hAnsi="Times New Roman" w:cs="Times New Roman"/>
        </w:rPr>
        <w:t> </w:t>
      </w:r>
      <w:r>
        <w:rPr>
          <w:rFonts w:ascii="Times New Roman" w:hAnsi="Times New Roman" w:cs="Times New Roman"/>
        </w:rPr>
        <w:t xml:space="preserve">: </w:t>
      </w:r>
      <w:r w:rsidRPr="005B0297">
        <w:rPr>
          <w:rFonts w:ascii="Times New Roman" w:hAnsi="Times New Roman" w:cs="Times New Roman"/>
        </w:rPr>
        <w:t>la situation d’énonciation</w:t>
      </w:r>
      <w:r>
        <w:rPr>
          <w:rFonts w:ascii="Times New Roman" w:hAnsi="Times New Roman" w:cs="Times New Roman"/>
        </w:rPr>
        <w:t xml:space="preserve"> (les coordonnées énonciatives) est distinguée de </w:t>
      </w:r>
      <w:r w:rsidRPr="005B0297">
        <w:rPr>
          <w:rFonts w:ascii="Times New Roman" w:hAnsi="Times New Roman" w:cs="Times New Roman"/>
        </w:rPr>
        <w:t xml:space="preserve">la situation de locution (les rôles de locuteur, d’allocutaire et de délocuté) et </w:t>
      </w:r>
      <w:r>
        <w:rPr>
          <w:rFonts w:ascii="Times New Roman" w:hAnsi="Times New Roman" w:cs="Times New Roman"/>
        </w:rPr>
        <w:t xml:space="preserve">de </w:t>
      </w:r>
      <w:r w:rsidRPr="005B0297">
        <w:rPr>
          <w:rFonts w:ascii="Times New Roman" w:hAnsi="Times New Roman" w:cs="Times New Roman"/>
        </w:rPr>
        <w:t>la situation de communication</w:t>
      </w:r>
      <w:r>
        <w:rPr>
          <w:rFonts w:ascii="Times New Roman" w:hAnsi="Times New Roman" w:cs="Times New Roman"/>
        </w:rPr>
        <w:t xml:space="preserve">. </w:t>
      </w:r>
    </w:p>
    <w:p w:rsidR="000A02D5" w:rsidRDefault="000A02D5" w:rsidP="00996947">
      <w:pPr>
        <w:jc w:val="both"/>
        <w:rPr>
          <w:rFonts w:ascii="Times New Roman" w:hAnsi="Times New Roman" w:cs="Times New Roman"/>
        </w:rPr>
      </w:pPr>
      <w:r>
        <w:rPr>
          <w:rFonts w:ascii="Times New Roman" w:hAnsi="Times New Roman" w:cs="Times New Roman"/>
        </w:rPr>
        <w:t xml:space="preserve">Les notions de texte et de discours, de contexte et de situation deviennent-elles ainsi des révélateurs privilégiés de choix épistémologiques et heuristiques </w:t>
      </w:r>
      <w:r w:rsidR="00AC2DE2">
        <w:rPr>
          <w:rFonts w:ascii="Times New Roman" w:hAnsi="Times New Roman" w:cs="Times New Roman"/>
        </w:rPr>
        <w:t xml:space="preserve">divergents </w:t>
      </w:r>
      <w:r w:rsidR="009D7031">
        <w:rPr>
          <w:rFonts w:ascii="Times New Roman" w:hAnsi="Times New Roman" w:cs="Times New Roman"/>
        </w:rPr>
        <w:t xml:space="preserve">? </w:t>
      </w:r>
      <w:r>
        <w:rPr>
          <w:rFonts w:ascii="Times New Roman" w:hAnsi="Times New Roman" w:cs="Times New Roman"/>
        </w:rPr>
        <w:t xml:space="preserve">On peut déceler </w:t>
      </w:r>
      <w:r w:rsidR="00AC2DE2">
        <w:rPr>
          <w:rFonts w:ascii="Times New Roman" w:hAnsi="Times New Roman" w:cs="Times New Roman"/>
        </w:rPr>
        <w:t xml:space="preserve">au moins un point de convergence : </w:t>
      </w:r>
      <w:r>
        <w:rPr>
          <w:rFonts w:ascii="Times New Roman" w:hAnsi="Times New Roman" w:cs="Times New Roman"/>
        </w:rPr>
        <w:t xml:space="preserve">l’analyse immanente du texte qui s’appuyait sur la séparation entre le texte et le hors-texte de nature socio-historique perd de son intérêt au vu d’une reconception des problématiques contemporaines du texte et du discours. </w:t>
      </w:r>
      <w:r w:rsidR="003A6ACB">
        <w:rPr>
          <w:rFonts w:ascii="Times New Roman" w:hAnsi="Times New Roman" w:cs="Times New Roman"/>
        </w:rPr>
        <w:t>On le constate d</w:t>
      </w:r>
      <w:r>
        <w:rPr>
          <w:rFonts w:ascii="Times New Roman" w:hAnsi="Times New Roman" w:cs="Times New Roman"/>
        </w:rPr>
        <w:t xml:space="preserve">’abord en analyse du discours, </w:t>
      </w:r>
      <w:r w:rsidRPr="00AE0F18">
        <w:rPr>
          <w:rFonts w:ascii="Times New Roman" w:hAnsi="Times New Roman" w:cs="Times New Roman"/>
        </w:rPr>
        <w:t xml:space="preserve">où </w:t>
      </w:r>
      <w:r>
        <w:rPr>
          <w:rFonts w:ascii="Times New Roman" w:hAnsi="Times New Roman" w:cs="Times New Roman"/>
        </w:rPr>
        <w:t>les problématiques du discours</w:t>
      </w:r>
      <w:r w:rsidRPr="00AE0F18">
        <w:rPr>
          <w:rFonts w:ascii="Times New Roman" w:hAnsi="Times New Roman" w:cs="Times New Roman"/>
        </w:rPr>
        <w:t xml:space="preserve"> « se refusent à dissocier l’étude des formes et des “comportements” », récusant l’« opposition même entre un intérieur et un extérieur des textes, considérés comme des structures closes » (Maingueneau 2012).</w:t>
      </w:r>
      <w:r>
        <w:rPr>
          <w:rFonts w:ascii="Times New Roman" w:hAnsi="Times New Roman" w:cs="Times New Roman"/>
        </w:rPr>
        <w:t xml:space="preserve"> </w:t>
      </w:r>
      <w:r w:rsidR="003A6ACB">
        <w:rPr>
          <w:rFonts w:ascii="Times New Roman" w:hAnsi="Times New Roman" w:cs="Times New Roman"/>
        </w:rPr>
        <w:t>On le note également e</w:t>
      </w:r>
      <w:r>
        <w:rPr>
          <w:rFonts w:ascii="Times New Roman" w:hAnsi="Times New Roman" w:cs="Times New Roman"/>
        </w:rPr>
        <w:t>n linguistique textuelle du discours, l</w:t>
      </w:r>
      <w:r w:rsidRPr="00BB2D2B">
        <w:rPr>
          <w:rFonts w:ascii="Times New Roman" w:hAnsi="Times New Roman" w:cs="Times New Roman"/>
        </w:rPr>
        <w:t>’intérêt de la notion de textualité</w:t>
      </w:r>
      <w:r>
        <w:rPr>
          <w:rFonts w:ascii="Times New Roman" w:hAnsi="Times New Roman" w:cs="Times New Roman"/>
        </w:rPr>
        <w:t xml:space="preserve"> selon Adam résidant</w:t>
      </w:r>
      <w:r w:rsidRPr="00BB2D2B">
        <w:rPr>
          <w:rFonts w:ascii="Times New Roman" w:hAnsi="Times New Roman" w:cs="Times New Roman"/>
        </w:rPr>
        <w:t>, précisément, dans s</w:t>
      </w:r>
      <w:r>
        <w:rPr>
          <w:rFonts w:ascii="Times New Roman" w:hAnsi="Times New Roman" w:cs="Times New Roman"/>
        </w:rPr>
        <w:t>a capacité à prendre en compte </w:t>
      </w:r>
      <w:r w:rsidRPr="00BB2D2B">
        <w:rPr>
          <w:rFonts w:ascii="Times New Roman" w:hAnsi="Times New Roman" w:cs="Times New Roman"/>
        </w:rPr>
        <w:t>l’interactio</w:t>
      </w:r>
      <w:r w:rsidR="00AC2DE2">
        <w:rPr>
          <w:rFonts w:ascii="Times New Roman" w:hAnsi="Times New Roman" w:cs="Times New Roman"/>
        </w:rPr>
        <w:t>n entre différentes composantes : </w:t>
      </w:r>
      <w:r w:rsidRPr="00BB2D2B">
        <w:rPr>
          <w:rFonts w:ascii="Times New Roman" w:hAnsi="Times New Roman" w:cs="Times New Roman"/>
        </w:rPr>
        <w:t xml:space="preserve">morphosyntaxique, </w:t>
      </w:r>
      <w:r>
        <w:rPr>
          <w:rFonts w:ascii="Times New Roman" w:hAnsi="Times New Roman" w:cs="Times New Roman"/>
        </w:rPr>
        <w:t>sémantique</w:t>
      </w:r>
      <w:r w:rsidRPr="00BB2D2B">
        <w:rPr>
          <w:rFonts w:ascii="Times New Roman" w:hAnsi="Times New Roman" w:cs="Times New Roman"/>
        </w:rPr>
        <w:t xml:space="preserve">, énonciative, </w:t>
      </w:r>
      <w:r>
        <w:rPr>
          <w:rFonts w:ascii="Times New Roman" w:hAnsi="Times New Roman" w:cs="Times New Roman"/>
        </w:rPr>
        <w:t xml:space="preserve">stylistique, </w:t>
      </w:r>
      <w:r w:rsidR="00AC2DE2">
        <w:rPr>
          <w:rFonts w:ascii="Times New Roman" w:hAnsi="Times New Roman" w:cs="Times New Roman"/>
        </w:rPr>
        <w:t xml:space="preserve">mais aussi </w:t>
      </w:r>
      <w:r w:rsidRPr="00BB2D2B">
        <w:rPr>
          <w:rFonts w:ascii="Times New Roman" w:hAnsi="Times New Roman" w:cs="Times New Roman"/>
        </w:rPr>
        <w:t>cotextuel</w:t>
      </w:r>
      <w:r>
        <w:rPr>
          <w:rFonts w:ascii="Times New Roman" w:hAnsi="Times New Roman" w:cs="Times New Roman"/>
        </w:rPr>
        <w:t>le</w:t>
      </w:r>
      <w:r w:rsidRPr="00BB2D2B">
        <w:rPr>
          <w:rFonts w:ascii="Times New Roman" w:hAnsi="Times New Roman" w:cs="Times New Roman"/>
        </w:rPr>
        <w:t>, péritextuel</w:t>
      </w:r>
      <w:r>
        <w:rPr>
          <w:rFonts w:ascii="Times New Roman" w:hAnsi="Times New Roman" w:cs="Times New Roman"/>
        </w:rPr>
        <w:t>le</w:t>
      </w:r>
      <w:r w:rsidRPr="00BB2D2B">
        <w:rPr>
          <w:rFonts w:ascii="Times New Roman" w:hAnsi="Times New Roman" w:cs="Times New Roman"/>
        </w:rPr>
        <w:t>, intertextuel</w:t>
      </w:r>
      <w:r w:rsidR="00AC2DE2">
        <w:rPr>
          <w:rFonts w:ascii="Times New Roman" w:hAnsi="Times New Roman" w:cs="Times New Roman"/>
        </w:rPr>
        <w:t>le, métatextuelle</w:t>
      </w:r>
      <w:r>
        <w:rPr>
          <w:rFonts w:ascii="Times New Roman" w:hAnsi="Times New Roman" w:cs="Times New Roman"/>
        </w:rPr>
        <w:t xml:space="preserve"> </w:t>
      </w:r>
      <w:r w:rsidR="00AC2DE2">
        <w:rPr>
          <w:rFonts w:ascii="Times New Roman" w:hAnsi="Times New Roman" w:cs="Times New Roman"/>
        </w:rPr>
        <w:t>et</w:t>
      </w:r>
      <w:r>
        <w:rPr>
          <w:rFonts w:ascii="Times New Roman" w:hAnsi="Times New Roman" w:cs="Times New Roman"/>
        </w:rPr>
        <w:t xml:space="preserve"> générique,</w:t>
      </w:r>
      <w:r w:rsidRPr="00BB2D2B">
        <w:rPr>
          <w:rFonts w:ascii="Times New Roman" w:hAnsi="Times New Roman" w:cs="Times New Roman"/>
        </w:rPr>
        <w:t xml:space="preserve"> dans l’espace discursif et </w:t>
      </w:r>
      <w:r w:rsidRPr="00BB2D2B">
        <w:rPr>
          <w:rFonts w:ascii="Times New Roman" w:hAnsi="Times New Roman" w:cs="Times New Roman"/>
        </w:rPr>
        <w:lastRenderedPageBreak/>
        <w:t xml:space="preserve">interdiscursif. </w:t>
      </w:r>
      <w:r>
        <w:rPr>
          <w:rFonts w:ascii="Times New Roman" w:hAnsi="Times New Roman" w:cs="Times New Roman"/>
        </w:rPr>
        <w:t xml:space="preserve">Adam promeut une conception intégrative qui dénie au contexte sa position d’extériorité : </w:t>
      </w:r>
      <w:r w:rsidRPr="00AE0F18">
        <w:rPr>
          <w:rFonts w:ascii="Times New Roman" w:hAnsi="Times New Roman" w:cs="Times New Roman"/>
        </w:rPr>
        <w:t>« Tous mes travaux ont pour but de penser les relations entre composantes micro-linguistiques de bas niveau (mots et phrases) et ancrage des énoncés dans la textualité et dans une discursivité englo</w:t>
      </w:r>
      <w:r w:rsidR="00E37F66">
        <w:rPr>
          <w:rFonts w:ascii="Times New Roman" w:hAnsi="Times New Roman" w:cs="Times New Roman"/>
        </w:rPr>
        <w:t>bante » (2012</w:t>
      </w:r>
      <w:r w:rsidR="00197A73">
        <w:rPr>
          <w:rFonts w:ascii="Times New Roman" w:hAnsi="Times New Roman" w:cs="Times New Roman"/>
        </w:rPr>
        <w:t> :</w:t>
      </w:r>
      <w:r w:rsidRPr="00AE0F18">
        <w:rPr>
          <w:rFonts w:ascii="Times New Roman" w:hAnsi="Times New Roman" w:cs="Times New Roman"/>
        </w:rPr>
        <w:t>10)</w:t>
      </w:r>
      <w:r>
        <w:rPr>
          <w:rFonts w:ascii="Times New Roman" w:hAnsi="Times New Roman" w:cs="Times New Roman"/>
        </w:rPr>
        <w:t xml:space="preserve">. </w:t>
      </w:r>
      <w:r w:rsidR="00913A4C">
        <w:rPr>
          <w:rFonts w:ascii="Times New Roman" w:hAnsi="Times New Roman" w:cs="Times New Roman"/>
        </w:rPr>
        <w:t xml:space="preserve">L’articulation du texte au discours est alors assurée </w:t>
      </w:r>
      <w:r w:rsidR="005D79CB">
        <w:rPr>
          <w:rFonts w:ascii="Times New Roman" w:hAnsi="Times New Roman" w:cs="Times New Roman"/>
        </w:rPr>
        <w:t>entre autres</w:t>
      </w:r>
      <w:r w:rsidR="00197A73">
        <w:rPr>
          <w:rFonts w:ascii="Times New Roman" w:hAnsi="Times New Roman" w:cs="Times New Roman"/>
        </w:rPr>
        <w:t xml:space="preserve"> </w:t>
      </w:r>
      <w:r w:rsidR="001D2980">
        <w:rPr>
          <w:rFonts w:ascii="Times New Roman" w:hAnsi="Times New Roman" w:cs="Times New Roman"/>
        </w:rPr>
        <w:t xml:space="preserve">par le biais </w:t>
      </w:r>
      <w:r w:rsidR="00913A4C">
        <w:rPr>
          <w:rFonts w:ascii="Times New Roman" w:hAnsi="Times New Roman" w:cs="Times New Roman"/>
        </w:rPr>
        <w:t>des variati</w:t>
      </w:r>
      <w:r w:rsidR="00197A73">
        <w:rPr>
          <w:rFonts w:ascii="Times New Roman" w:hAnsi="Times New Roman" w:cs="Times New Roman"/>
        </w:rPr>
        <w:t>ons historiques de ses éditions</w:t>
      </w:r>
      <w:r w:rsidR="00913A4C">
        <w:rPr>
          <w:rFonts w:ascii="Times New Roman" w:hAnsi="Times New Roman" w:cs="Times New Roman"/>
        </w:rPr>
        <w:t xml:space="preserve"> </w:t>
      </w:r>
      <w:r w:rsidR="00197A73">
        <w:rPr>
          <w:rFonts w:ascii="Times New Roman" w:hAnsi="Times New Roman" w:cs="Times New Roman"/>
        </w:rPr>
        <w:t xml:space="preserve">(2006 : </w:t>
      </w:r>
      <w:r w:rsidR="00913A4C">
        <w:rPr>
          <w:rFonts w:ascii="Times New Roman" w:hAnsi="Times New Roman" w:cs="Times New Roman"/>
        </w:rPr>
        <w:t xml:space="preserve">12-13). </w:t>
      </w:r>
      <w:r>
        <w:rPr>
          <w:rFonts w:ascii="Times New Roman" w:hAnsi="Times New Roman" w:cs="Times New Roman"/>
        </w:rPr>
        <w:t>En</w:t>
      </w:r>
      <w:r w:rsidR="003A6ACB">
        <w:rPr>
          <w:rFonts w:ascii="Times New Roman" w:hAnsi="Times New Roman" w:cs="Times New Roman"/>
        </w:rPr>
        <w:t>fin, la sémiotique pousse</w:t>
      </w:r>
      <w:r>
        <w:rPr>
          <w:rFonts w:ascii="Times New Roman" w:hAnsi="Times New Roman" w:cs="Times New Roman"/>
        </w:rPr>
        <w:t xml:space="preserve"> plus avant l’idée de la co-variance entre les différentes strates d’un parcours de l’expression. Plus que jamais, il s’agit d’étudier l’entre-jeu des plans d’immanence ordonnés du point de vue hiérarchique. Ainsi, p</w:t>
      </w:r>
      <w:r w:rsidRPr="00BB2D2B">
        <w:rPr>
          <w:rFonts w:ascii="Times New Roman" w:hAnsi="Times New Roman" w:cs="Times New Roman"/>
        </w:rPr>
        <w:t xml:space="preserve">lutôt que de dire que le point de vue du texte « oblige à </w:t>
      </w:r>
      <w:r w:rsidRPr="00BB2D2B">
        <w:rPr>
          <w:rFonts w:ascii="Times New Roman" w:hAnsi="Times New Roman" w:cs="Times New Roman"/>
          <w:i/>
        </w:rPr>
        <w:t>ajouter</w:t>
      </w:r>
      <w:r w:rsidRPr="00BB2D2B">
        <w:rPr>
          <w:rFonts w:ascii="Times New Roman" w:hAnsi="Times New Roman" w:cs="Times New Roman"/>
        </w:rPr>
        <w:t xml:space="preserve"> des éléments </w:t>
      </w:r>
      <w:r w:rsidR="00197A73">
        <w:rPr>
          <w:rFonts w:ascii="Times New Roman" w:hAnsi="Times New Roman" w:cs="Times New Roman"/>
        </w:rPr>
        <w:t xml:space="preserve">contextuels » (Fontanille 2003 [1998] : </w:t>
      </w:r>
      <w:r w:rsidRPr="00BB2D2B">
        <w:rPr>
          <w:rFonts w:ascii="Times New Roman" w:hAnsi="Times New Roman" w:cs="Times New Roman"/>
        </w:rPr>
        <w:t xml:space="preserve">91), </w:t>
      </w:r>
      <w:r>
        <w:rPr>
          <w:rFonts w:ascii="Times New Roman" w:hAnsi="Times New Roman" w:cs="Times New Roman"/>
        </w:rPr>
        <w:t xml:space="preserve">on peut demander à </w:t>
      </w:r>
      <w:r w:rsidRPr="00BB2D2B">
        <w:rPr>
          <w:rFonts w:ascii="Times New Roman" w:hAnsi="Times New Roman" w:cs="Times New Roman"/>
        </w:rPr>
        <w:t>la sémiotique des pratiques</w:t>
      </w:r>
      <w:r>
        <w:rPr>
          <w:rFonts w:ascii="Times New Roman" w:hAnsi="Times New Roman" w:cs="Times New Roman"/>
        </w:rPr>
        <w:t xml:space="preserve"> </w:t>
      </w:r>
      <w:r w:rsidRPr="00AE0F18">
        <w:rPr>
          <w:rFonts w:ascii="Times New Roman" w:hAnsi="Times New Roman" w:cs="Times New Roman"/>
        </w:rPr>
        <w:t>numériques de rendre compte des marques laissées dans le texte</w:t>
      </w:r>
      <w:r>
        <w:rPr>
          <w:rFonts w:ascii="Times New Roman" w:hAnsi="Times New Roman" w:cs="Times New Roman"/>
        </w:rPr>
        <w:t xml:space="preserve"> (principe de l’intégration descendante)</w:t>
      </w:r>
      <w:r w:rsidRPr="00AE0F18">
        <w:rPr>
          <w:rFonts w:ascii="Times New Roman" w:hAnsi="Times New Roman" w:cs="Times New Roman"/>
        </w:rPr>
        <w:t xml:space="preserve">. </w:t>
      </w:r>
      <w:r>
        <w:rPr>
          <w:rFonts w:ascii="Times New Roman" w:hAnsi="Times New Roman" w:cs="Times New Roman"/>
        </w:rPr>
        <w:t>En particulier,</w:t>
      </w:r>
      <w:r w:rsidRPr="00AE0F18">
        <w:rPr>
          <w:rFonts w:ascii="Times New Roman" w:hAnsi="Times New Roman" w:cs="Times New Roman"/>
        </w:rPr>
        <w:t xml:space="preserve"> la pratique numérique influe sur la forme (du contenu et de l’expression) du texte en le redistribuant conformément aux arborescences et conventions hypertextuelles. </w:t>
      </w:r>
      <w:r w:rsidR="00DC2290">
        <w:rPr>
          <w:rFonts w:ascii="Times New Roman" w:hAnsi="Times New Roman" w:cs="Times New Roman"/>
        </w:rPr>
        <w:t>Elle oriente</w:t>
      </w:r>
      <w:r w:rsidRPr="00AE0F18">
        <w:rPr>
          <w:rFonts w:ascii="Times New Roman" w:hAnsi="Times New Roman" w:cs="Times New Roman"/>
        </w:rPr>
        <w:t xml:space="preserve"> les agencements textuels, les choix thématiques et figuratifs, morphosyntaxiques et énonciatifs, les types de </w:t>
      </w:r>
      <w:r>
        <w:rPr>
          <w:rFonts w:ascii="Times New Roman" w:hAnsi="Times New Roman" w:cs="Times New Roman"/>
        </w:rPr>
        <w:t>composition et de structuration</w:t>
      </w:r>
      <w:r w:rsidR="00913A4C">
        <w:rPr>
          <w:rStyle w:val="Appelnotedebasdep"/>
          <w:rFonts w:ascii="Times New Roman" w:hAnsi="Times New Roman" w:cs="Times New Roman"/>
        </w:rPr>
        <w:footnoteReference w:id="5"/>
      </w:r>
      <w:r>
        <w:rPr>
          <w:rFonts w:ascii="Times New Roman" w:hAnsi="Times New Roman" w:cs="Times New Roman"/>
        </w:rPr>
        <w:t xml:space="preserve">. </w:t>
      </w:r>
    </w:p>
    <w:p w:rsidR="003F2AA7" w:rsidRDefault="00197A73" w:rsidP="00996947">
      <w:pPr>
        <w:jc w:val="both"/>
        <w:rPr>
          <w:rFonts w:ascii="Times New Roman" w:hAnsi="Times New Roman" w:cs="Times New Roman"/>
        </w:rPr>
      </w:pPr>
      <w:r>
        <w:rPr>
          <w:rFonts w:ascii="Times New Roman" w:hAnsi="Times New Roman" w:cs="Times New Roman"/>
        </w:rPr>
        <w:t xml:space="preserve">On peut ainsi dégager un espace d’échanges entre les trois disciplines. Ici et là, la composante sociohistorique et culturelle est primordiale. </w:t>
      </w:r>
      <w:r w:rsidR="006D2E68">
        <w:rPr>
          <w:rFonts w:ascii="Times New Roman" w:hAnsi="Times New Roman" w:cs="Times New Roman"/>
        </w:rPr>
        <w:t>L</w:t>
      </w:r>
      <w:r w:rsidR="000A02D5">
        <w:rPr>
          <w:rFonts w:ascii="Times New Roman" w:hAnsi="Times New Roman" w:cs="Times New Roman"/>
        </w:rPr>
        <w:t xml:space="preserve">’analyse du discours </w:t>
      </w:r>
      <w:r w:rsidR="006D2E68">
        <w:rPr>
          <w:rFonts w:ascii="Times New Roman" w:hAnsi="Times New Roman" w:cs="Times New Roman"/>
        </w:rPr>
        <w:t>examine «</w:t>
      </w:r>
      <w:r w:rsidR="000A02D5">
        <w:rPr>
          <w:rFonts w:ascii="Times New Roman" w:hAnsi="Times New Roman" w:cs="Times New Roman"/>
        </w:rPr>
        <w:t xml:space="preserve"> les règles sous-jacentes qui organisent la production, la circulation et l’utilisation des signes, de préférence en vue de leurs inscriptions sociales et historiques »</w:t>
      </w:r>
      <w:r w:rsidR="000A02D5" w:rsidRPr="003419A5">
        <w:rPr>
          <w:rFonts w:ascii="Times New Roman" w:hAnsi="Times New Roman" w:cs="Times New Roman"/>
        </w:rPr>
        <w:t xml:space="preserve"> </w:t>
      </w:r>
      <w:r w:rsidR="000A02D5">
        <w:rPr>
          <w:rFonts w:ascii="Times New Roman" w:hAnsi="Times New Roman" w:cs="Times New Roman"/>
        </w:rPr>
        <w:t>(</w:t>
      </w:r>
      <w:r w:rsidR="00DC2290">
        <w:rPr>
          <w:rFonts w:ascii="Times New Roman" w:hAnsi="Times New Roman" w:cs="Times New Roman"/>
        </w:rPr>
        <w:t xml:space="preserve">Angermuller </w:t>
      </w:r>
      <w:r w:rsidR="00E37F66">
        <w:rPr>
          <w:rFonts w:ascii="Times New Roman" w:hAnsi="Times New Roman" w:cs="Times New Roman"/>
        </w:rPr>
        <w:t>2007</w:t>
      </w:r>
      <w:r>
        <w:rPr>
          <w:rFonts w:ascii="Times New Roman" w:hAnsi="Times New Roman" w:cs="Times New Roman"/>
        </w:rPr>
        <w:t> : </w:t>
      </w:r>
      <w:r w:rsidR="000A02D5">
        <w:rPr>
          <w:rFonts w:ascii="Times New Roman" w:hAnsi="Times New Roman" w:cs="Times New Roman"/>
        </w:rPr>
        <w:t xml:space="preserve">5). Au sujet de la « polarité » discours et texte, Maingueneau note que la « parole se présente à la fois comme une activité </w:t>
      </w:r>
      <w:r w:rsidR="000A02D5" w:rsidRPr="001533C2">
        <w:rPr>
          <w:rFonts w:ascii="Times New Roman" w:hAnsi="Times New Roman" w:cs="Times New Roman"/>
          <w:i/>
        </w:rPr>
        <w:t>et</w:t>
      </w:r>
      <w:r w:rsidR="000A02D5">
        <w:rPr>
          <w:rFonts w:ascii="Times New Roman" w:hAnsi="Times New Roman" w:cs="Times New Roman"/>
        </w:rPr>
        <w:t xml:space="preserve"> comme une configuration de signes à analyser. </w:t>
      </w:r>
      <w:r w:rsidR="000A02D5" w:rsidRPr="00421269">
        <w:rPr>
          <w:rFonts w:ascii="Times New Roman" w:hAnsi="Times New Roman" w:cs="Times New Roman"/>
        </w:rPr>
        <w:t>Il suffit de transformations idéologiques ou d’innovations technologiques (les deux sont en général liées) pour modifier en profondeur les conditions de la textualité, et par conséquent la relation en</w:t>
      </w:r>
      <w:r>
        <w:rPr>
          <w:rFonts w:ascii="Times New Roman" w:hAnsi="Times New Roman" w:cs="Times New Roman"/>
        </w:rPr>
        <w:t xml:space="preserve">tre texte et discours » (2014 : </w:t>
      </w:r>
      <w:r w:rsidR="000A02D5" w:rsidRPr="00421269">
        <w:rPr>
          <w:rFonts w:ascii="Times New Roman" w:hAnsi="Times New Roman" w:cs="Times New Roman"/>
        </w:rPr>
        <w:t>38).</w:t>
      </w:r>
      <w:r w:rsidR="000A02D5">
        <w:rPr>
          <w:rFonts w:ascii="Times New Roman" w:hAnsi="Times New Roman" w:cs="Times New Roman"/>
        </w:rPr>
        <w:t xml:space="preserve"> Si trois axes organisent les approches du texte comme « texte-structure », comme « texte-produit » (comme « trace d’une activité discursive ») et comme « texte-archive » (</w:t>
      </w:r>
      <w:r w:rsidR="000A02D5" w:rsidRPr="00947A59">
        <w:rPr>
          <w:rFonts w:ascii="Times New Roman" w:hAnsi="Times New Roman" w:cs="Times New Roman"/>
          <w:i/>
        </w:rPr>
        <w:t>ibid</w:t>
      </w:r>
      <w:r>
        <w:rPr>
          <w:rFonts w:ascii="Times New Roman" w:hAnsi="Times New Roman" w:cs="Times New Roman"/>
        </w:rPr>
        <w:t xml:space="preserve">. : </w:t>
      </w:r>
      <w:r w:rsidR="000A02D5">
        <w:rPr>
          <w:rFonts w:ascii="Times New Roman" w:hAnsi="Times New Roman" w:cs="Times New Roman"/>
        </w:rPr>
        <w:t xml:space="preserve">33-34), c’est essentiellement aux types et genres de discours ainsi qu’aux formations discursives qu’il renvient de gérer l’ancrage du texte dans un lieu social, dans un complexe institutionnel. </w:t>
      </w:r>
      <w:r w:rsidR="00913A4C">
        <w:rPr>
          <w:rFonts w:ascii="Times New Roman" w:hAnsi="Times New Roman" w:cs="Times New Roman"/>
        </w:rPr>
        <w:t>Plus que jamais, selon la formule percutante de Maingueneau (</w:t>
      </w:r>
      <w:r w:rsidR="00913A4C" w:rsidRPr="00913A4C">
        <w:rPr>
          <w:rFonts w:ascii="Times New Roman" w:hAnsi="Times New Roman" w:cs="Times New Roman"/>
          <w:i/>
        </w:rPr>
        <w:t>ibid</w:t>
      </w:r>
      <w:r>
        <w:rPr>
          <w:rFonts w:ascii="Times New Roman" w:hAnsi="Times New Roman" w:cs="Times New Roman"/>
        </w:rPr>
        <w:t xml:space="preserve">. : </w:t>
      </w:r>
      <w:r w:rsidR="00913A4C">
        <w:rPr>
          <w:rFonts w:ascii="Times New Roman" w:hAnsi="Times New Roman" w:cs="Times New Roman"/>
        </w:rPr>
        <w:t xml:space="preserve">77), le « texte est la gestion même de son contexte ». </w:t>
      </w:r>
      <w:r w:rsidR="000A02D5">
        <w:rPr>
          <w:rFonts w:ascii="Times New Roman" w:hAnsi="Times New Roman" w:cs="Times New Roman"/>
        </w:rPr>
        <w:t xml:space="preserve">Adam confirme l’intrication de deux perspectives d’analyse qui mettent en avant, l’une, le tissage textuel (empan du texte), l’autre, l’ancrage </w:t>
      </w:r>
      <w:r>
        <w:rPr>
          <w:rFonts w:ascii="Times New Roman" w:hAnsi="Times New Roman" w:cs="Times New Roman"/>
        </w:rPr>
        <w:t>dans l’espace discursif</w:t>
      </w:r>
      <w:r w:rsidR="000A02D5">
        <w:rPr>
          <w:rFonts w:ascii="Times New Roman" w:hAnsi="Times New Roman" w:cs="Times New Roman"/>
        </w:rPr>
        <w:t xml:space="preserve"> (empan du discours). </w:t>
      </w:r>
    </w:p>
    <w:p w:rsidR="000A02D5" w:rsidRDefault="000A02D5" w:rsidP="00996947">
      <w:pPr>
        <w:jc w:val="both"/>
        <w:rPr>
          <w:rFonts w:ascii="Times New Roman" w:hAnsi="Times New Roman" w:cs="Times New Roman"/>
        </w:rPr>
      </w:pPr>
      <w:r>
        <w:rPr>
          <w:rFonts w:ascii="Times New Roman" w:hAnsi="Times New Roman" w:cs="Times New Roman"/>
        </w:rPr>
        <w:t xml:space="preserve">On constate ainsi que, sans viser le transfert de concepts qui ne ferait qu’affaiblir le corps </w:t>
      </w:r>
      <w:r w:rsidR="003F2AA7">
        <w:rPr>
          <w:rFonts w:ascii="Times New Roman" w:hAnsi="Times New Roman" w:cs="Times New Roman"/>
        </w:rPr>
        <w:t>disciplinaire</w:t>
      </w:r>
      <w:r>
        <w:rPr>
          <w:rFonts w:ascii="Times New Roman" w:hAnsi="Times New Roman" w:cs="Times New Roman"/>
        </w:rPr>
        <w:t xml:space="preserve">, le dialogue entre les trois disciplines </w:t>
      </w:r>
      <w:r w:rsidR="00CE1F7D">
        <w:rPr>
          <w:rFonts w:ascii="Times New Roman" w:hAnsi="Times New Roman" w:cs="Times New Roman"/>
        </w:rPr>
        <w:t>souligne la complémentarité des points de vue</w:t>
      </w:r>
      <w:r w:rsidR="001D2980">
        <w:rPr>
          <w:rStyle w:val="Appelnotedebasdep"/>
          <w:rFonts w:ascii="Times New Roman" w:hAnsi="Times New Roman" w:cs="Times New Roman"/>
        </w:rPr>
        <w:footnoteReference w:id="6"/>
      </w:r>
      <w:r w:rsidR="00CE1F7D">
        <w:rPr>
          <w:rFonts w:ascii="Times New Roman" w:hAnsi="Times New Roman" w:cs="Times New Roman"/>
        </w:rPr>
        <w:t xml:space="preserve"> : l’importance, également pour la sémiotique, </w:t>
      </w:r>
      <w:r>
        <w:rPr>
          <w:rFonts w:ascii="Times New Roman" w:hAnsi="Times New Roman" w:cs="Times New Roman"/>
        </w:rPr>
        <w:t xml:space="preserve">des analyses linguistiques </w:t>
      </w:r>
      <w:r w:rsidR="006468E1">
        <w:rPr>
          <w:rFonts w:ascii="Times New Roman" w:hAnsi="Times New Roman" w:cs="Times New Roman"/>
        </w:rPr>
        <w:t>micro-,</w:t>
      </w:r>
      <w:r>
        <w:rPr>
          <w:rFonts w:ascii="Times New Roman" w:hAnsi="Times New Roman" w:cs="Times New Roman"/>
        </w:rPr>
        <w:t xml:space="preserve"> méso-</w:t>
      </w:r>
      <w:r w:rsidR="006468E1">
        <w:rPr>
          <w:rFonts w:ascii="Times New Roman" w:hAnsi="Times New Roman" w:cs="Times New Roman"/>
        </w:rPr>
        <w:t xml:space="preserve"> et macro-</w:t>
      </w:r>
      <w:r>
        <w:rPr>
          <w:rFonts w:ascii="Times New Roman" w:hAnsi="Times New Roman" w:cs="Times New Roman"/>
        </w:rPr>
        <w:t>textuel</w:t>
      </w:r>
      <w:r w:rsidR="003F2AA7">
        <w:rPr>
          <w:rFonts w:ascii="Times New Roman" w:hAnsi="Times New Roman" w:cs="Times New Roman"/>
        </w:rPr>
        <w:t>le</w:t>
      </w:r>
      <w:r>
        <w:rPr>
          <w:rFonts w:ascii="Times New Roman" w:hAnsi="Times New Roman" w:cs="Times New Roman"/>
        </w:rPr>
        <w:t xml:space="preserve">s </w:t>
      </w:r>
      <w:r w:rsidR="003F2AA7">
        <w:rPr>
          <w:rFonts w:ascii="Times New Roman" w:hAnsi="Times New Roman" w:cs="Times New Roman"/>
        </w:rPr>
        <w:t>(</w:t>
      </w:r>
      <w:r w:rsidR="00CE1F7D">
        <w:rPr>
          <w:rFonts w:ascii="Times New Roman" w:hAnsi="Times New Roman" w:cs="Times New Roman"/>
        </w:rPr>
        <w:t xml:space="preserve">cf. not. </w:t>
      </w:r>
      <w:r w:rsidR="003F2AA7">
        <w:rPr>
          <w:rFonts w:ascii="Times New Roman" w:hAnsi="Times New Roman" w:cs="Times New Roman"/>
        </w:rPr>
        <w:t>Adam</w:t>
      </w:r>
      <w:r w:rsidR="00D7262C">
        <w:rPr>
          <w:rFonts w:ascii="Times New Roman" w:hAnsi="Times New Roman" w:cs="Times New Roman"/>
        </w:rPr>
        <w:t xml:space="preserve"> 2015</w:t>
      </w:r>
      <w:r w:rsidR="001D2980">
        <w:rPr>
          <w:rFonts w:ascii="Times New Roman" w:hAnsi="Times New Roman" w:cs="Times New Roman"/>
        </w:rPr>
        <w:t>a</w:t>
      </w:r>
      <w:r w:rsidR="003F2AA7">
        <w:rPr>
          <w:rFonts w:ascii="Times New Roman" w:hAnsi="Times New Roman" w:cs="Times New Roman"/>
        </w:rPr>
        <w:t>)</w:t>
      </w:r>
      <w:r w:rsidR="00CE1F7D">
        <w:rPr>
          <w:rFonts w:ascii="Times New Roman" w:hAnsi="Times New Roman" w:cs="Times New Roman"/>
        </w:rPr>
        <w:t xml:space="preserve"> ; l’intérêt, pour l’analyse du discours et la linguistique textuelle du discours, de la prise en charge </w:t>
      </w:r>
      <w:r>
        <w:rPr>
          <w:rFonts w:ascii="Times New Roman" w:hAnsi="Times New Roman" w:cs="Times New Roman"/>
        </w:rPr>
        <w:t>des grands complexes institutionnels</w:t>
      </w:r>
      <w:r w:rsidR="003F2AA7">
        <w:rPr>
          <w:rFonts w:ascii="Times New Roman" w:hAnsi="Times New Roman" w:cs="Times New Roman"/>
        </w:rPr>
        <w:t>, des pratiques</w:t>
      </w:r>
      <w:r w:rsidR="00CE1F7D">
        <w:rPr>
          <w:rFonts w:ascii="Times New Roman" w:hAnsi="Times New Roman" w:cs="Times New Roman"/>
        </w:rPr>
        <w:t xml:space="preserve"> également non verbales, voire</w:t>
      </w:r>
      <w:r>
        <w:rPr>
          <w:rFonts w:ascii="Times New Roman" w:hAnsi="Times New Roman" w:cs="Times New Roman"/>
        </w:rPr>
        <w:t xml:space="preserve"> des formes de vie</w:t>
      </w:r>
      <w:r w:rsidR="00CE1F7D">
        <w:rPr>
          <w:rFonts w:ascii="Times New Roman" w:hAnsi="Times New Roman" w:cs="Times New Roman"/>
        </w:rPr>
        <w:t>.</w:t>
      </w:r>
      <w:r>
        <w:rPr>
          <w:rFonts w:ascii="Times New Roman" w:hAnsi="Times New Roman" w:cs="Times New Roman"/>
        </w:rPr>
        <w:t xml:space="preserve"> </w:t>
      </w:r>
    </w:p>
    <w:p w:rsidR="006D2E68" w:rsidRDefault="00CE1F7D" w:rsidP="00996947">
      <w:pPr>
        <w:jc w:val="both"/>
        <w:rPr>
          <w:rFonts w:ascii="Times New Roman" w:hAnsi="Times New Roman" w:cs="Times New Roman"/>
        </w:rPr>
      </w:pPr>
      <w:r>
        <w:rPr>
          <w:rFonts w:ascii="Times New Roman" w:hAnsi="Times New Roman" w:cs="Times New Roman"/>
        </w:rPr>
        <w:t>E</w:t>
      </w:r>
      <w:r w:rsidR="006D2E68">
        <w:rPr>
          <w:rFonts w:ascii="Times New Roman" w:hAnsi="Times New Roman" w:cs="Times New Roman"/>
        </w:rPr>
        <w:t xml:space="preserve">n mettant en avant la notion foucaldienne de dispositif, </w:t>
      </w:r>
      <w:r w:rsidR="000A02D5">
        <w:rPr>
          <w:rFonts w:ascii="Times New Roman" w:hAnsi="Times New Roman" w:cs="Times New Roman"/>
        </w:rPr>
        <w:t xml:space="preserve">la </w:t>
      </w:r>
      <w:r w:rsidR="000A02D5" w:rsidRPr="00764540">
        <w:rPr>
          <w:rFonts w:ascii="Times New Roman" w:hAnsi="Times New Roman" w:cs="Times New Roman"/>
          <w:i/>
        </w:rPr>
        <w:t>Kritische Diskursanalyse</w:t>
      </w:r>
      <w:r w:rsidR="006D2E68">
        <w:rPr>
          <w:rFonts w:ascii="Times New Roman" w:hAnsi="Times New Roman" w:cs="Times New Roman"/>
        </w:rPr>
        <w:t xml:space="preserve"> de Jäger </w:t>
      </w:r>
      <w:r w:rsidR="00197A73">
        <w:rPr>
          <w:rFonts w:ascii="Times New Roman" w:hAnsi="Times New Roman" w:cs="Times New Roman"/>
        </w:rPr>
        <w:t>permet de</w:t>
      </w:r>
      <w:r w:rsidR="006D2E68">
        <w:rPr>
          <w:rFonts w:ascii="Times New Roman" w:hAnsi="Times New Roman" w:cs="Times New Roman"/>
        </w:rPr>
        <w:t xml:space="preserve"> franchir un pas. </w:t>
      </w:r>
    </w:p>
    <w:p w:rsidR="00CF7F5B" w:rsidRDefault="00CF7F5B" w:rsidP="00996947">
      <w:pPr>
        <w:jc w:val="both"/>
        <w:rPr>
          <w:rFonts w:ascii="Times New Roman" w:hAnsi="Times New Roman" w:cs="Times New Roman"/>
        </w:rPr>
      </w:pPr>
    </w:p>
    <w:p w:rsidR="000A02D5" w:rsidRDefault="000A02D5" w:rsidP="00996947">
      <w:pPr>
        <w:jc w:val="both"/>
        <w:rPr>
          <w:rFonts w:ascii="Times New Roman" w:hAnsi="Times New Roman" w:cs="Times New Roman"/>
        </w:rPr>
      </w:pPr>
      <w:r>
        <w:rPr>
          <w:rFonts w:ascii="Times New Roman" w:hAnsi="Times New Roman" w:cs="Times New Roman"/>
        </w:rPr>
        <w:t>2. La notion de dispositif</w:t>
      </w:r>
    </w:p>
    <w:p w:rsidR="00CF7F5B" w:rsidRDefault="00CF7F5B" w:rsidP="00996947">
      <w:pPr>
        <w:jc w:val="both"/>
        <w:rPr>
          <w:rFonts w:ascii="Times New Roman" w:hAnsi="Times New Roman" w:cs="Times New Roman"/>
        </w:rPr>
      </w:pPr>
    </w:p>
    <w:p w:rsidR="000A02D5" w:rsidRDefault="000A02D5" w:rsidP="00996947">
      <w:pPr>
        <w:jc w:val="both"/>
        <w:rPr>
          <w:rFonts w:ascii="Times New Roman" w:hAnsi="Times New Roman" w:cs="Times New Roman"/>
        </w:rPr>
      </w:pPr>
      <w:r>
        <w:rPr>
          <w:rFonts w:ascii="Times New Roman" w:hAnsi="Times New Roman" w:cs="Times New Roman"/>
        </w:rPr>
        <w:t xml:space="preserve">La notion de dispositif n’est pas absente des travaux de Maingueneau qui, l’adossant à l’énonciation, met </w:t>
      </w:r>
      <w:r w:rsidR="006468E1">
        <w:rPr>
          <w:rFonts w:ascii="Times New Roman" w:hAnsi="Times New Roman" w:cs="Times New Roman"/>
        </w:rPr>
        <w:t>l’accent sur</w:t>
      </w:r>
      <w:r>
        <w:rPr>
          <w:rFonts w:ascii="Times New Roman" w:hAnsi="Times New Roman" w:cs="Times New Roman"/>
        </w:rPr>
        <w:t xml:space="preserve"> le dispositif de parole ou de communication. L’objet de l’anal</w:t>
      </w:r>
      <w:r w:rsidR="006468E1">
        <w:rPr>
          <w:rFonts w:ascii="Times New Roman" w:hAnsi="Times New Roman" w:cs="Times New Roman"/>
        </w:rPr>
        <w:t>y</w:t>
      </w:r>
      <w:r>
        <w:rPr>
          <w:rFonts w:ascii="Times New Roman" w:hAnsi="Times New Roman" w:cs="Times New Roman"/>
        </w:rPr>
        <w:t xml:space="preserve">se du discours est défini en ces termes : </w:t>
      </w:r>
      <w:r w:rsidR="006468E1">
        <w:rPr>
          <w:rFonts w:ascii="Times New Roman" w:hAnsi="Times New Roman" w:cs="Times New Roman"/>
        </w:rPr>
        <w:t>« </w:t>
      </w:r>
      <w:r>
        <w:rPr>
          <w:rFonts w:ascii="Times New Roman" w:hAnsi="Times New Roman" w:cs="Times New Roman"/>
        </w:rPr>
        <w:t>Son objet n’est ni l’organisation textuelle ni la situation de communication, mais ce qui les noue à travers un certain dispositif d’énonciation</w:t>
      </w:r>
      <w:r w:rsidR="006468E1">
        <w:rPr>
          <w:rFonts w:ascii="Times New Roman" w:hAnsi="Times New Roman" w:cs="Times New Roman"/>
        </w:rPr>
        <w:t xml:space="preserve"> » </w:t>
      </w:r>
      <w:r>
        <w:rPr>
          <w:rFonts w:ascii="Times New Roman" w:hAnsi="Times New Roman" w:cs="Times New Roman"/>
        </w:rPr>
        <w:t xml:space="preserve">(2012). </w:t>
      </w:r>
      <w:r w:rsidR="006468E1">
        <w:rPr>
          <w:rFonts w:ascii="Times New Roman" w:hAnsi="Times New Roman" w:cs="Times New Roman"/>
        </w:rPr>
        <w:t>Si</w:t>
      </w:r>
      <w:r>
        <w:rPr>
          <w:rFonts w:ascii="Times New Roman" w:hAnsi="Times New Roman" w:cs="Times New Roman"/>
        </w:rPr>
        <w:t xml:space="preserve"> le discours littéraire </w:t>
      </w:r>
      <w:r w:rsidR="006468E1">
        <w:rPr>
          <w:rFonts w:ascii="Times New Roman" w:hAnsi="Times New Roman" w:cs="Times New Roman"/>
        </w:rPr>
        <w:t xml:space="preserve">est </w:t>
      </w:r>
      <w:r>
        <w:rPr>
          <w:rFonts w:ascii="Times New Roman" w:hAnsi="Times New Roman" w:cs="Times New Roman"/>
        </w:rPr>
        <w:t xml:space="preserve">un « processus qui déstabilise la distinction </w:t>
      </w:r>
      <w:r>
        <w:rPr>
          <w:rFonts w:ascii="Times New Roman" w:hAnsi="Times New Roman" w:cs="Times New Roman"/>
        </w:rPr>
        <w:lastRenderedPageBreak/>
        <w:t>spontanée entre</w:t>
      </w:r>
      <w:r w:rsidR="006468E1">
        <w:rPr>
          <w:rFonts w:ascii="Times New Roman" w:hAnsi="Times New Roman" w:cs="Times New Roman"/>
        </w:rPr>
        <w:t xml:space="preserve"> “texte” et “contexte” » (2000), i</w:t>
      </w:r>
      <w:r>
        <w:rPr>
          <w:rFonts w:ascii="Times New Roman" w:hAnsi="Times New Roman" w:cs="Times New Roman"/>
        </w:rPr>
        <w:t xml:space="preserve">l incombe au dispositif d’être un élément charnière entre le texte et les formations sociales et historiques, en particulier l’institution littéraire. </w:t>
      </w:r>
    </w:p>
    <w:p w:rsidR="000A02D5" w:rsidRDefault="000A02D5" w:rsidP="00996947">
      <w:pPr>
        <w:jc w:val="both"/>
        <w:rPr>
          <w:rFonts w:ascii="Times New Roman" w:hAnsi="Times New Roman" w:cs="Times New Roman"/>
        </w:rPr>
      </w:pPr>
      <w:r>
        <w:rPr>
          <w:rFonts w:ascii="Times New Roman" w:hAnsi="Times New Roman" w:cs="Times New Roman"/>
        </w:rPr>
        <w:t>La notion de dispositif n’est pas davant</w:t>
      </w:r>
      <w:r w:rsidR="006468E1">
        <w:rPr>
          <w:rFonts w:ascii="Times New Roman" w:hAnsi="Times New Roman" w:cs="Times New Roman"/>
        </w:rPr>
        <w:t>age absente des écrits d’Adam</w:t>
      </w:r>
      <w:r w:rsidR="005D79CB">
        <w:rPr>
          <w:rFonts w:ascii="Times New Roman" w:hAnsi="Times New Roman" w:cs="Times New Roman"/>
        </w:rPr>
        <w:t>,</w:t>
      </w:r>
      <w:r w:rsidR="006468E1">
        <w:rPr>
          <w:rFonts w:ascii="Times New Roman" w:hAnsi="Times New Roman" w:cs="Times New Roman"/>
        </w:rPr>
        <w:t>  qui invite « </w:t>
      </w:r>
      <w:r w:rsidRPr="00006623">
        <w:rPr>
          <w:rFonts w:ascii="Times New Roman" w:hAnsi="Times New Roman" w:cs="Times New Roman"/>
        </w:rPr>
        <w:t>à penser la fonction sémantique des éléments non verbaux et les relations historiques et sociales inscrites dans les dispositifs formels des différentes éditions (histoire du livre et de la lecture)</w:t>
      </w:r>
      <w:r w:rsidR="0043379E">
        <w:rPr>
          <w:rFonts w:ascii="Times New Roman" w:hAnsi="Times New Roman" w:cs="Times New Roman"/>
        </w:rPr>
        <w:t> »</w:t>
      </w:r>
      <w:r w:rsidR="001D2980">
        <w:rPr>
          <w:rFonts w:ascii="Times New Roman" w:hAnsi="Times New Roman" w:cs="Times New Roman"/>
        </w:rPr>
        <w:t xml:space="preserve"> (2015a</w:t>
      </w:r>
      <w:r w:rsidRPr="00006623">
        <w:rPr>
          <w:rFonts w:ascii="Times New Roman" w:hAnsi="Times New Roman" w:cs="Times New Roman"/>
        </w:rPr>
        <w:t> : 26).</w:t>
      </w:r>
    </w:p>
    <w:p w:rsidR="000A02D5" w:rsidRDefault="000A02D5" w:rsidP="00996947">
      <w:pPr>
        <w:jc w:val="both"/>
        <w:rPr>
          <w:rFonts w:ascii="Times New Roman" w:hAnsi="Times New Roman" w:cs="Times New Roman"/>
        </w:rPr>
      </w:pPr>
      <w:r>
        <w:rPr>
          <w:rFonts w:ascii="Times New Roman" w:hAnsi="Times New Roman" w:cs="Times New Roman"/>
        </w:rPr>
        <w:t xml:space="preserve">Si, en vertu d’un glissement, le dispositif devient ainsi indissociable de la prise en considération de pratiques non verbales, Jäger (2000, 2012) est un de ceux qui, dans sa </w:t>
      </w:r>
      <w:r w:rsidRPr="004810FB">
        <w:rPr>
          <w:rFonts w:ascii="Times New Roman" w:hAnsi="Times New Roman" w:cs="Times New Roman"/>
          <w:i/>
        </w:rPr>
        <w:t>Kritische Diskursanalyse</w:t>
      </w:r>
      <w:r>
        <w:rPr>
          <w:rFonts w:ascii="Times New Roman" w:hAnsi="Times New Roman" w:cs="Times New Roman"/>
        </w:rPr>
        <w:t>, pousse le plus loin la réflexion sur l’articulation des prati</w:t>
      </w:r>
      <w:r w:rsidR="00197A73">
        <w:rPr>
          <w:rFonts w:ascii="Times New Roman" w:hAnsi="Times New Roman" w:cs="Times New Roman"/>
        </w:rPr>
        <w:t xml:space="preserve">ques discursives non verbales, ou </w:t>
      </w:r>
      <w:r>
        <w:rPr>
          <w:rFonts w:ascii="Times New Roman" w:hAnsi="Times New Roman" w:cs="Times New Roman"/>
        </w:rPr>
        <w:t>des pratiques non discursives, avec les pratiques discursives verbales. Il prend appui sur la définition foucaldienne du dispositif </w:t>
      </w:r>
      <w:r w:rsidR="0043379E">
        <w:rPr>
          <w:rFonts w:ascii="Times New Roman" w:hAnsi="Times New Roman" w:cs="Times New Roman"/>
        </w:rPr>
        <w:t>composé de « dit » aussi bien que de « non-dit »</w:t>
      </w:r>
      <w:r w:rsidR="0043379E" w:rsidRPr="004810FB">
        <w:rPr>
          <w:rFonts w:ascii="Times New Roman" w:hAnsi="Times New Roman" w:cs="Times New Roman"/>
        </w:rPr>
        <w:t xml:space="preserve"> </w:t>
      </w:r>
      <w:r w:rsidRPr="004810FB">
        <w:rPr>
          <w:rFonts w:ascii="Times New Roman" w:hAnsi="Times New Roman" w:cs="Times New Roman"/>
        </w:rPr>
        <w:t>(</w:t>
      </w:r>
      <w:r>
        <w:rPr>
          <w:rFonts w:ascii="Times New Roman" w:hAnsi="Times New Roman" w:cs="Times New Roman"/>
        </w:rPr>
        <w:t xml:space="preserve">Foucault </w:t>
      </w:r>
      <w:r w:rsidR="00197A73">
        <w:rPr>
          <w:rFonts w:ascii="Times New Roman" w:hAnsi="Times New Roman" w:cs="Times New Roman"/>
        </w:rPr>
        <w:t xml:space="preserve">1977 : </w:t>
      </w:r>
      <w:r w:rsidRPr="004810FB">
        <w:rPr>
          <w:rFonts w:ascii="Times New Roman" w:hAnsi="Times New Roman" w:cs="Times New Roman"/>
        </w:rPr>
        <w:t xml:space="preserve">299). </w:t>
      </w:r>
    </w:p>
    <w:p w:rsidR="000A02D5" w:rsidRDefault="000A02D5" w:rsidP="00996947">
      <w:pPr>
        <w:jc w:val="both"/>
        <w:rPr>
          <w:rFonts w:ascii="Times New Roman" w:hAnsi="Times New Roman" w:cs="Times New Roman"/>
        </w:rPr>
      </w:pPr>
      <w:r>
        <w:rPr>
          <w:rFonts w:ascii="Times New Roman" w:hAnsi="Times New Roman" w:cs="Times New Roman"/>
        </w:rPr>
        <w:t xml:space="preserve">Le défi consiste alors à dépasser le « dualisme » foucaldien entre le discours et la réalité au </w:t>
      </w:r>
      <w:r w:rsidRPr="00192AD2">
        <w:rPr>
          <w:rFonts w:ascii="Times New Roman" w:hAnsi="Times New Roman" w:cs="Times New Roman"/>
        </w:rPr>
        <w:t xml:space="preserve">profit de l’interdépendance des discours, des pratiques non discursives et du monde des matérialités ou de la réalité. Dans la perspective de la </w:t>
      </w:r>
      <w:r w:rsidRPr="00192AD2">
        <w:rPr>
          <w:rFonts w:ascii="Times New Roman" w:hAnsi="Times New Roman" w:cs="Times New Roman"/>
          <w:i/>
        </w:rPr>
        <w:t>Kritische Diskursanalyse</w:t>
      </w:r>
      <w:r w:rsidRPr="00192AD2">
        <w:rPr>
          <w:rFonts w:ascii="Times New Roman" w:hAnsi="Times New Roman" w:cs="Times New Roman"/>
        </w:rPr>
        <w:t>, le dispositif constitue dès lors non seulement l’espace où ces différents éléments sont amenés à interagir, mais le processus même de la mise en relation de pratiques discursives transpo</w:t>
      </w:r>
      <w:r>
        <w:rPr>
          <w:rFonts w:ascii="Times New Roman" w:hAnsi="Times New Roman" w:cs="Times New Roman"/>
        </w:rPr>
        <w:t>rtant des savoirs (</w:t>
      </w:r>
      <w:r w:rsidRPr="00192AD2">
        <w:rPr>
          <w:rFonts w:ascii="Times New Roman" w:hAnsi="Times New Roman" w:cs="Times New Roman"/>
          <w:i/>
        </w:rPr>
        <w:t>Diskursive Praxen</w:t>
      </w:r>
      <w:r w:rsidRPr="00192AD2">
        <w:rPr>
          <w:rFonts w:ascii="Times New Roman" w:hAnsi="Times New Roman" w:cs="Times New Roman"/>
        </w:rPr>
        <w:t>, parler et penser sur la base de savoirs), d’actions con</w:t>
      </w:r>
      <w:r>
        <w:rPr>
          <w:rFonts w:ascii="Times New Roman" w:hAnsi="Times New Roman" w:cs="Times New Roman"/>
        </w:rPr>
        <w:t>çues comme des pratiques discur</w:t>
      </w:r>
      <w:r w:rsidRPr="00192AD2">
        <w:rPr>
          <w:rFonts w:ascii="Times New Roman" w:hAnsi="Times New Roman" w:cs="Times New Roman"/>
        </w:rPr>
        <w:t>s</w:t>
      </w:r>
      <w:r>
        <w:rPr>
          <w:rFonts w:ascii="Times New Roman" w:hAnsi="Times New Roman" w:cs="Times New Roman"/>
        </w:rPr>
        <w:t>i</w:t>
      </w:r>
      <w:r w:rsidRPr="00192AD2">
        <w:rPr>
          <w:rFonts w:ascii="Times New Roman" w:hAnsi="Times New Roman" w:cs="Times New Roman"/>
        </w:rPr>
        <w:t>ves non verbales ou d</w:t>
      </w:r>
      <w:r>
        <w:rPr>
          <w:rFonts w:ascii="Times New Roman" w:hAnsi="Times New Roman" w:cs="Times New Roman"/>
        </w:rPr>
        <w:t>es pratiques non discursives (</w:t>
      </w:r>
      <w:r w:rsidRPr="00192AD2">
        <w:rPr>
          <w:rFonts w:ascii="Times New Roman" w:hAnsi="Times New Roman" w:cs="Times New Roman"/>
          <w:i/>
        </w:rPr>
        <w:t>Nicht-diskursive</w:t>
      </w:r>
      <w:r w:rsidRPr="00192AD2">
        <w:rPr>
          <w:rFonts w:ascii="Times New Roman" w:hAnsi="Times New Roman" w:cs="Times New Roman"/>
        </w:rPr>
        <w:t xml:space="preserve"> </w:t>
      </w:r>
      <w:r w:rsidRPr="00192AD2">
        <w:rPr>
          <w:rFonts w:ascii="Times New Roman" w:hAnsi="Times New Roman" w:cs="Times New Roman"/>
          <w:i/>
        </w:rPr>
        <w:t>Praxen</w:t>
      </w:r>
      <w:r w:rsidRPr="00192AD2">
        <w:rPr>
          <w:rFonts w:ascii="Times New Roman" w:hAnsi="Times New Roman" w:cs="Times New Roman"/>
        </w:rPr>
        <w:t>, agir sur la base de savoirs),</w:t>
      </w:r>
      <w:r>
        <w:rPr>
          <w:rFonts w:ascii="Times New Roman" w:hAnsi="Times New Roman" w:cs="Times New Roman"/>
        </w:rPr>
        <w:t xml:space="preserve"> de</w:t>
      </w:r>
      <w:r w:rsidRPr="00192AD2">
        <w:rPr>
          <w:rFonts w:ascii="Times New Roman" w:hAnsi="Times New Roman" w:cs="Times New Roman"/>
        </w:rPr>
        <w:t xml:space="preserve"> matérialité</w:t>
      </w:r>
      <w:r>
        <w:rPr>
          <w:rFonts w:ascii="Times New Roman" w:hAnsi="Times New Roman" w:cs="Times New Roman"/>
        </w:rPr>
        <w:t>s ou produits (</w:t>
      </w:r>
      <w:r w:rsidRPr="00192AD2">
        <w:rPr>
          <w:rFonts w:ascii="Times New Roman" w:hAnsi="Times New Roman" w:cs="Times New Roman"/>
          <w:i/>
        </w:rPr>
        <w:t>Sichtbarkeiten</w:t>
      </w:r>
      <w:r>
        <w:rPr>
          <w:rFonts w:ascii="Times New Roman" w:hAnsi="Times New Roman" w:cs="Times New Roman"/>
        </w:rPr>
        <w:t xml:space="preserve">), </w:t>
      </w:r>
      <w:r w:rsidRPr="00192AD2">
        <w:rPr>
          <w:rFonts w:ascii="Times New Roman" w:hAnsi="Times New Roman" w:cs="Times New Roman"/>
        </w:rPr>
        <w:t>d</w:t>
      </w:r>
      <w:r>
        <w:rPr>
          <w:rFonts w:ascii="Times New Roman" w:hAnsi="Times New Roman" w:cs="Times New Roman"/>
        </w:rPr>
        <w:t>’</w:t>
      </w:r>
      <w:r w:rsidRPr="00192AD2">
        <w:rPr>
          <w:rFonts w:ascii="Times New Roman" w:hAnsi="Times New Roman" w:cs="Times New Roman"/>
        </w:rPr>
        <w:t>objets (</w:t>
      </w:r>
      <w:r w:rsidRPr="00192AD2">
        <w:rPr>
          <w:rFonts w:ascii="Times New Roman" w:hAnsi="Times New Roman" w:cs="Times New Roman"/>
          <w:i/>
        </w:rPr>
        <w:t>Gegenstände</w:t>
      </w:r>
      <w:r w:rsidRPr="00192AD2">
        <w:rPr>
          <w:rFonts w:ascii="Times New Roman" w:hAnsi="Times New Roman" w:cs="Times New Roman"/>
        </w:rPr>
        <w:t>)</w:t>
      </w:r>
      <w:r>
        <w:rPr>
          <w:rFonts w:ascii="Times New Roman" w:hAnsi="Times New Roman" w:cs="Times New Roman"/>
        </w:rPr>
        <w:t xml:space="preserve"> ou encore de m</w:t>
      </w:r>
      <w:r w:rsidRPr="00192AD2">
        <w:rPr>
          <w:rFonts w:ascii="Times New Roman" w:hAnsi="Times New Roman" w:cs="Times New Roman"/>
        </w:rPr>
        <w:t>a</w:t>
      </w:r>
      <w:r>
        <w:rPr>
          <w:rFonts w:ascii="Times New Roman" w:hAnsi="Times New Roman" w:cs="Times New Roman"/>
        </w:rPr>
        <w:t>nifestations visibles (</w:t>
      </w:r>
      <w:r w:rsidRPr="00192AD2">
        <w:rPr>
          <w:rFonts w:ascii="Times New Roman" w:hAnsi="Times New Roman" w:cs="Times New Roman"/>
          <w:i/>
        </w:rPr>
        <w:t>Vergegenständlichkeiten</w:t>
      </w:r>
      <w:r w:rsidRPr="00192AD2">
        <w:rPr>
          <w:rFonts w:ascii="Times New Roman" w:hAnsi="Times New Roman" w:cs="Times New Roman"/>
        </w:rPr>
        <w:t>)</w:t>
      </w:r>
      <w:r>
        <w:rPr>
          <w:rFonts w:ascii="Times New Roman" w:hAnsi="Times New Roman" w:cs="Times New Roman"/>
        </w:rPr>
        <w:t xml:space="preserve"> de savoirs (discours)</w:t>
      </w:r>
      <w:r w:rsidRPr="00192AD2">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Comme le note Jäger (2000), on ne saurait se contenter de la coexistence ou présence simultanée des discours et de la réalité (plu</w:t>
      </w:r>
      <w:r w:rsidR="0043379E">
        <w:rPr>
          <w:rFonts w:ascii="Times New Roman" w:hAnsi="Times New Roman" w:cs="Times New Roman"/>
        </w:rPr>
        <w:t xml:space="preserve">s particulièrement des objets). </w:t>
      </w:r>
      <w:r>
        <w:rPr>
          <w:rFonts w:ascii="Times New Roman" w:hAnsi="Times New Roman" w:cs="Times New Roman"/>
        </w:rPr>
        <w:t>Il faut rendre compte de leur rapport très concret,  « empirique »</w:t>
      </w:r>
      <w:r w:rsidR="00B41452">
        <w:rPr>
          <w:rStyle w:val="Appelnotedebasdep"/>
          <w:rFonts w:ascii="Times New Roman" w:hAnsi="Times New Roman" w:cs="Times New Roman"/>
        </w:rPr>
        <w:footnoteReference w:id="7"/>
      </w:r>
      <w:r>
        <w:rPr>
          <w:rFonts w:ascii="Times New Roman" w:hAnsi="Times New Roman" w:cs="Times New Roman"/>
        </w:rPr>
        <w:t>. L</w:t>
      </w:r>
      <w:r w:rsidRPr="0028775C">
        <w:rPr>
          <w:rFonts w:ascii="Times New Roman" w:hAnsi="Times New Roman" w:cs="Times New Roman"/>
        </w:rPr>
        <w:t xml:space="preserve">e rendement du dispositif dépend de notre capacité à comprendre les matérialités (produits, objets) comme des manifestations </w:t>
      </w:r>
      <w:r>
        <w:rPr>
          <w:rFonts w:ascii="Times New Roman" w:hAnsi="Times New Roman" w:cs="Times New Roman"/>
        </w:rPr>
        <w:t>de</w:t>
      </w:r>
      <w:r w:rsidR="00197A73">
        <w:rPr>
          <w:rFonts w:ascii="Times New Roman" w:hAnsi="Times New Roman" w:cs="Times New Roman"/>
        </w:rPr>
        <w:t>s</w:t>
      </w:r>
      <w:r>
        <w:rPr>
          <w:rFonts w:ascii="Times New Roman" w:hAnsi="Times New Roman" w:cs="Times New Roman"/>
        </w:rPr>
        <w:t xml:space="preserve"> savoirs </w:t>
      </w:r>
      <w:r w:rsidRPr="0028775C">
        <w:rPr>
          <w:rFonts w:ascii="Times New Roman" w:hAnsi="Times New Roman" w:cs="Times New Roman"/>
        </w:rPr>
        <w:t xml:space="preserve">et des activités </w:t>
      </w:r>
      <w:r>
        <w:rPr>
          <w:rFonts w:ascii="Times New Roman" w:hAnsi="Times New Roman" w:cs="Times New Roman"/>
        </w:rPr>
        <w:t>liées à</w:t>
      </w:r>
      <w:r w:rsidRPr="0028775C">
        <w:rPr>
          <w:rFonts w:ascii="Times New Roman" w:hAnsi="Times New Roman" w:cs="Times New Roman"/>
        </w:rPr>
        <w:t xml:space="preserve"> </w:t>
      </w:r>
      <w:r>
        <w:rPr>
          <w:rFonts w:ascii="Times New Roman" w:hAnsi="Times New Roman" w:cs="Times New Roman"/>
        </w:rPr>
        <w:t>leur</w:t>
      </w:r>
      <w:r w:rsidRPr="0028775C">
        <w:rPr>
          <w:rFonts w:ascii="Times New Roman" w:hAnsi="Times New Roman" w:cs="Times New Roman"/>
        </w:rPr>
        <w:t xml:space="preserve"> transmission.</w:t>
      </w:r>
      <w:r>
        <w:rPr>
          <w:rFonts w:ascii="Times New Roman" w:hAnsi="Times New Roman" w:cs="Times New Roman"/>
        </w:rPr>
        <w:t xml:space="preserve"> Les dispositifs sont ainsi pris dans des « lut</w:t>
      </w:r>
      <w:r w:rsidR="005B252F">
        <w:rPr>
          <w:rFonts w:ascii="Times New Roman" w:hAnsi="Times New Roman" w:cs="Times New Roman"/>
        </w:rPr>
        <w:t>tes » incessantes (Jäger 2012 :</w:t>
      </w:r>
      <w:r w:rsidR="00E37F66">
        <w:rPr>
          <w:rFonts w:ascii="Times New Roman" w:hAnsi="Times New Roman" w:cs="Times New Roman"/>
        </w:rPr>
        <w:t xml:space="preserve"> </w:t>
      </w:r>
      <w:r>
        <w:rPr>
          <w:rFonts w:ascii="Times New Roman" w:hAnsi="Times New Roman" w:cs="Times New Roman"/>
        </w:rPr>
        <w:t xml:space="preserve">116) ; ils se modifient au gré de leur devenir historique. </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Quel peut être l’intérêt théorique et méthodologique de la notion de dispositif pour la sémiotique ? Dans quelle mesure enrichit-elle les débats entre cette dernière, l’analyse du discours et la linguistique textuelle du discours ? </w:t>
      </w:r>
      <w:r w:rsidR="00AC2DE2">
        <w:rPr>
          <w:rFonts w:ascii="Times New Roman" w:hAnsi="Times New Roman" w:cs="Times New Roman"/>
        </w:rPr>
        <w:t xml:space="preserve">Les développements récents de la sémiotique post-greimassienne pourvoient le chercheur du bagage conceptuel nécessaire pour scruter les pratiques et les interactions sociales, pour </w:t>
      </w:r>
      <w:r w:rsidR="00AC2DE2" w:rsidRPr="00907F24">
        <w:rPr>
          <w:rFonts w:ascii="Times New Roman" w:hAnsi="Times New Roman" w:cs="Times New Roman"/>
        </w:rPr>
        <w:t xml:space="preserve">comprendre les changements sociétaux voulus par les choix technologiques, économiques et culturels de ce début du XXIe siècle (Fontanille 2015b). Il incombe </w:t>
      </w:r>
      <w:r w:rsidR="00AC2DE2">
        <w:rPr>
          <w:rFonts w:ascii="Times New Roman" w:hAnsi="Times New Roman" w:cs="Times New Roman"/>
        </w:rPr>
        <w:t xml:space="preserve">non seulement aux genres, mais </w:t>
      </w:r>
      <w:r w:rsidR="00AC2DE2" w:rsidRPr="00907F24">
        <w:rPr>
          <w:rFonts w:ascii="Times New Roman" w:hAnsi="Times New Roman" w:cs="Times New Roman"/>
        </w:rPr>
        <w:t xml:space="preserve">aux pratiques </w:t>
      </w:r>
      <w:r w:rsidR="00AC2DE2">
        <w:rPr>
          <w:rFonts w:ascii="Times New Roman" w:hAnsi="Times New Roman" w:cs="Times New Roman"/>
        </w:rPr>
        <w:t xml:space="preserve">également non verbales </w:t>
      </w:r>
      <w:r w:rsidR="00AC2DE2" w:rsidRPr="00907F24">
        <w:rPr>
          <w:rFonts w:ascii="Times New Roman" w:hAnsi="Times New Roman" w:cs="Times New Roman"/>
        </w:rPr>
        <w:t>et, surtout, aux formes de vie</w:t>
      </w:r>
      <w:r w:rsidR="0043379E">
        <w:rPr>
          <w:rFonts w:ascii="Times New Roman" w:hAnsi="Times New Roman" w:cs="Times New Roman"/>
        </w:rPr>
        <w:t xml:space="preserve"> </w:t>
      </w:r>
      <w:r w:rsidR="00AC2DE2">
        <w:rPr>
          <w:rFonts w:ascii="Times New Roman" w:hAnsi="Times New Roman" w:cs="Times New Roman"/>
        </w:rPr>
        <w:t xml:space="preserve">de rendre compte des modes d’existence sociaux, des régimes de croyance et d’identification. </w:t>
      </w:r>
      <w:r w:rsidR="0043379E">
        <w:rPr>
          <w:rFonts w:ascii="Times New Roman" w:hAnsi="Times New Roman" w:cs="Times New Roman"/>
        </w:rPr>
        <w:t xml:space="preserve">Plus concrètement, </w:t>
      </w:r>
      <w:r w:rsidR="00197A73">
        <w:rPr>
          <w:rFonts w:ascii="Times New Roman" w:hAnsi="Times New Roman" w:cs="Times New Roman"/>
        </w:rPr>
        <w:t>si les sémiotiques-objets véhicule</w:t>
      </w:r>
      <w:r>
        <w:rPr>
          <w:rFonts w:ascii="Times New Roman" w:hAnsi="Times New Roman" w:cs="Times New Roman"/>
        </w:rPr>
        <w:t>nt des savoirs, des valeurs, des passions… dont la forme, jamais stabilisée, est appelée à être constamment renégociée et transformée, la notion de dispositif peut donner plus de plasticité à celle d’interface. En eff</w:t>
      </w:r>
      <w:r w:rsidR="00E37F66">
        <w:rPr>
          <w:rFonts w:ascii="Times New Roman" w:hAnsi="Times New Roman" w:cs="Times New Roman"/>
        </w:rPr>
        <w:t>et, si, s</w:t>
      </w:r>
      <w:r w:rsidR="00197A73">
        <w:rPr>
          <w:rFonts w:ascii="Times New Roman" w:hAnsi="Times New Roman" w:cs="Times New Roman"/>
        </w:rPr>
        <w:t>elon Fontanille (2008 :</w:t>
      </w:r>
      <w:r>
        <w:rPr>
          <w:rFonts w:ascii="Times New Roman" w:hAnsi="Times New Roman" w:cs="Times New Roman"/>
        </w:rPr>
        <w:t xml:space="preserve"> 34), l’interface met en relation les instances formelles, dont les textes-énoncés, avec des expériences, la notion de dispositif prépare le terrain à un élargissement de la notion de sémiose</w:t>
      </w:r>
      <w:r>
        <w:rPr>
          <w:rStyle w:val="Appelnotedebasdep"/>
          <w:rFonts w:ascii="Times New Roman" w:hAnsi="Times New Roman" w:cs="Times New Roman"/>
        </w:rPr>
        <w:footnoteReference w:id="8"/>
      </w:r>
      <w:r>
        <w:rPr>
          <w:rFonts w:ascii="Times New Roman" w:hAnsi="Times New Roman" w:cs="Times New Roman"/>
        </w:rPr>
        <w:t xml:space="preserve">, qui ne s’applique pas seulement aux signes, aux textes-énoncés, aux pratiques (également non verbales) ou aux formes de vie, mais à tout ce pan institutionnel qui les englobe et les fait signifier. À travers la distinction, proposée par Fontanille (2015), entre des sémioses « englobantes » (par exemple, le cinéma) et des sémioses « encapsulées » (par exemple, un film), il devient possible de </w:t>
      </w:r>
      <w:r>
        <w:rPr>
          <w:rFonts w:ascii="Times New Roman" w:hAnsi="Times New Roman" w:cs="Times New Roman"/>
        </w:rPr>
        <w:lastRenderedPageBreak/>
        <w:t>penser davantage les préliminaires du processus de la transmission : « Œuvre, institution, supports médias, objet dynamique, patrimoine, mémoire : autant de sémioses qui intègrent d’autres sémioses (textes, signes, objets, pratiques, etc.) pour les rendre transmissibles »</w:t>
      </w:r>
      <w:r>
        <w:rPr>
          <w:rStyle w:val="Appelnotedebasdep"/>
          <w:rFonts w:ascii="Times New Roman" w:hAnsi="Times New Roman" w:cs="Times New Roman"/>
        </w:rPr>
        <w:footnoteReference w:id="9"/>
      </w:r>
      <w:r>
        <w:rPr>
          <w:rFonts w:ascii="Times New Roman" w:hAnsi="Times New Roman" w:cs="Times New Roman"/>
        </w:rPr>
        <w:t xml:space="preserve">. </w:t>
      </w:r>
      <w:r w:rsidR="002B5955">
        <w:rPr>
          <w:rFonts w:ascii="Times New Roman" w:hAnsi="Times New Roman" w:cs="Times New Roman"/>
        </w:rPr>
        <w:t>S</w:t>
      </w:r>
      <w:r>
        <w:rPr>
          <w:rFonts w:ascii="Times New Roman" w:hAnsi="Times New Roman" w:cs="Times New Roman"/>
        </w:rPr>
        <w:t xml:space="preserve">i l’œuvre participe d’un dispositif « englobant » des textes littéraires, c’est dans l’exacte mesure où elle est liée à une institution de la parole littéraire, nécessairement inscrite dans un contexte sociohistorique, culturel et économique, et validée par rapport à des canons, surtout esthétiques, mais aussi éthiques, </w:t>
      </w:r>
      <w:r w:rsidR="00197A73">
        <w:rPr>
          <w:rFonts w:ascii="Times New Roman" w:hAnsi="Times New Roman" w:cs="Times New Roman"/>
        </w:rPr>
        <w:t xml:space="preserve">qui sont </w:t>
      </w:r>
      <w:r>
        <w:rPr>
          <w:rFonts w:ascii="Times New Roman" w:hAnsi="Times New Roman" w:cs="Times New Roman"/>
        </w:rPr>
        <w:t xml:space="preserve">donnés en partage dans un lieu et à un moment donnés. Ainsi, la réédition des </w:t>
      </w:r>
      <w:r w:rsidRPr="00524828">
        <w:rPr>
          <w:rFonts w:ascii="Times New Roman" w:hAnsi="Times New Roman" w:cs="Times New Roman"/>
          <w:i/>
        </w:rPr>
        <w:t>Années</w:t>
      </w:r>
      <w:r>
        <w:rPr>
          <w:rFonts w:ascii="Times New Roman" w:hAnsi="Times New Roman" w:cs="Times New Roman"/>
        </w:rPr>
        <w:t xml:space="preserve"> d’Annie Ernaux sous le titre </w:t>
      </w:r>
      <w:r w:rsidRPr="00D94DFF">
        <w:rPr>
          <w:rFonts w:ascii="Times New Roman" w:hAnsi="Times New Roman" w:cs="Times New Roman"/>
          <w:i/>
        </w:rPr>
        <w:t>Écrire la vie</w:t>
      </w:r>
      <w:r>
        <w:rPr>
          <w:rFonts w:ascii="Times New Roman" w:hAnsi="Times New Roman" w:cs="Times New Roman"/>
        </w:rPr>
        <w:t> (2011), dans un ouvrage qui s’apparente à l’intégrale rétrospective, se charge du poids symbolique d’une économie éditoriale (la collection Quarto Gallimard, qui se situe nécessairement par rapport à la Pléiade</w:t>
      </w:r>
      <w:r>
        <w:rPr>
          <w:rStyle w:val="Appelnotedebasdep"/>
          <w:rFonts w:ascii="Times New Roman" w:hAnsi="Times New Roman" w:cs="Times New Roman"/>
        </w:rPr>
        <w:footnoteReference w:id="10"/>
      </w:r>
      <w:r>
        <w:rPr>
          <w:rFonts w:ascii="Times New Roman" w:hAnsi="Times New Roman" w:cs="Times New Roman"/>
        </w:rPr>
        <w:t xml:space="preserve">), voire de protocoles communicationnels qui, à travers le photojournal proposé en ouverture, appuient un projet de signification visant un renouvellement du récit autobiographique. </w:t>
      </w:r>
    </w:p>
    <w:p w:rsidR="000A02D5" w:rsidRDefault="000A02D5" w:rsidP="00996947">
      <w:pPr>
        <w:jc w:val="both"/>
        <w:rPr>
          <w:rFonts w:ascii="Times New Roman" w:hAnsi="Times New Roman" w:cs="Times New Roman"/>
        </w:rPr>
      </w:pPr>
      <w:r>
        <w:rPr>
          <w:rFonts w:ascii="Times New Roman" w:hAnsi="Times New Roman" w:cs="Times New Roman"/>
        </w:rPr>
        <w:t>On voit ici à quel point la prise en compte de l’institution, que ce soit par le biais du dispositif et des enjeux d</w:t>
      </w:r>
      <w:r w:rsidR="00B916B6">
        <w:rPr>
          <w:rFonts w:ascii="Times New Roman" w:hAnsi="Times New Roman" w:cs="Times New Roman"/>
        </w:rPr>
        <w:t>e pouvoir qui y sont liés ou</w:t>
      </w:r>
      <w:r>
        <w:rPr>
          <w:rFonts w:ascii="Times New Roman" w:hAnsi="Times New Roman" w:cs="Times New Roman"/>
        </w:rPr>
        <w:t xml:space="preserve"> de la distinction entre sémioses englobantes et sémioses englobées, nourrit la réflexion sur l’articulation des textes avec les discours au delà même des unités topiques et non topiques, des genres et types de discours, des unités transverses et des unités construites (Maingueneau 2012), jusqu’aux institutions (discursives, académiques…). Est-ce privilégier la troisième attitude que Maingueneau (</w:t>
      </w:r>
      <w:r w:rsidRPr="006E673E">
        <w:rPr>
          <w:rFonts w:ascii="Times New Roman" w:hAnsi="Times New Roman" w:cs="Times New Roman"/>
          <w:i/>
        </w:rPr>
        <w:t>ibid.</w:t>
      </w:r>
      <w:r>
        <w:rPr>
          <w:rFonts w:ascii="Times New Roman" w:hAnsi="Times New Roman" w:cs="Times New Roman"/>
        </w:rPr>
        <w:t>) décèle dans la recherche contemporaine en analyse du discours : celle qui, dans le sillage de Foucault, « s’éloigne des sciences du langage pour embrasser de vastes configurations où se mêlent textes, institutions, comportements » ? Un des défis à relever concerne la conjugaison de cette attitude avec la première qui, dans le droit fil des travaux de Dubois, s’inscrit dans les sciences du langage et focalise son attention sur les pratiques discursives de la société</w:t>
      </w:r>
      <w:r>
        <w:rPr>
          <w:rStyle w:val="Appelnotedebasdep"/>
          <w:rFonts w:ascii="Times New Roman" w:hAnsi="Times New Roman" w:cs="Times New Roman"/>
        </w:rPr>
        <w:footnoteReference w:id="11"/>
      </w:r>
      <w:r>
        <w:rPr>
          <w:rFonts w:ascii="Times New Roman" w:hAnsi="Times New Roman" w:cs="Times New Roman"/>
        </w:rPr>
        <w:t>. Pour les penser ensemble, nous proposons de mettre l’accent, dans la dernière partie, sur le processus de la discursivisation et de la textualisation</w:t>
      </w:r>
      <w:r>
        <w:rPr>
          <w:rStyle w:val="Appelnotedebasdep"/>
          <w:rFonts w:ascii="Times New Roman" w:hAnsi="Times New Roman" w:cs="Times New Roman"/>
        </w:rPr>
        <w:footnoteReference w:id="12"/>
      </w:r>
      <w:r w:rsidR="00642E54">
        <w:rPr>
          <w:rFonts w:ascii="Times New Roman" w:hAnsi="Times New Roman" w:cs="Times New Roman"/>
        </w:rPr>
        <w:t>.</w:t>
      </w:r>
      <w:r>
        <w:rPr>
          <w:rFonts w:ascii="Times New Roman" w:hAnsi="Times New Roman" w:cs="Times New Roman"/>
        </w:rPr>
        <w:t xml:space="preserve"> </w:t>
      </w:r>
    </w:p>
    <w:p w:rsidR="000A02D5" w:rsidRDefault="000A02D5" w:rsidP="00996947">
      <w:pPr>
        <w:spacing w:before="100" w:beforeAutospacing="1"/>
        <w:jc w:val="both"/>
        <w:rPr>
          <w:rFonts w:ascii="Times New Roman" w:hAnsi="Times New Roman" w:cs="Times New Roman"/>
          <w:lang w:val="fr-LU"/>
        </w:rPr>
      </w:pPr>
      <w:r>
        <w:rPr>
          <w:rFonts w:ascii="Times New Roman" w:hAnsi="Times New Roman" w:cs="Times New Roman"/>
        </w:rPr>
        <w:t xml:space="preserve">3. </w:t>
      </w:r>
      <w:r>
        <w:rPr>
          <w:rFonts w:ascii="Times New Roman" w:hAnsi="Times New Roman" w:cs="Times New Roman"/>
          <w:lang w:val="fr-LU"/>
        </w:rPr>
        <w:t>La notion de médiation : de la discursiv</w:t>
      </w:r>
      <w:r w:rsidR="00C47C85">
        <w:rPr>
          <w:rFonts w:ascii="Times New Roman" w:hAnsi="Times New Roman" w:cs="Times New Roman"/>
          <w:lang w:val="fr-LU"/>
        </w:rPr>
        <w:t>i</w:t>
      </w:r>
      <w:r>
        <w:rPr>
          <w:rFonts w:ascii="Times New Roman" w:hAnsi="Times New Roman" w:cs="Times New Roman"/>
          <w:lang w:val="fr-LU"/>
        </w:rPr>
        <w:t>sation à la textualisation</w:t>
      </w:r>
    </w:p>
    <w:p w:rsidR="00CF7F5B" w:rsidRDefault="00CF7F5B" w:rsidP="00996947">
      <w:pPr>
        <w:pStyle w:val="Notedebasdepage"/>
        <w:jc w:val="both"/>
        <w:rPr>
          <w:rFonts w:ascii="Times New Roman" w:hAnsi="Times New Roman" w:cs="Times New Roman"/>
          <w:lang w:val="fr-LU"/>
        </w:rPr>
      </w:pPr>
    </w:p>
    <w:p w:rsidR="000A02D5" w:rsidRDefault="000A02D5" w:rsidP="00996947">
      <w:pPr>
        <w:pStyle w:val="Notedebasdepage"/>
        <w:jc w:val="both"/>
        <w:rPr>
          <w:rFonts w:ascii="Times New Roman" w:hAnsi="Times New Roman" w:cs="Times New Roman"/>
        </w:rPr>
      </w:pPr>
      <w:r>
        <w:rPr>
          <w:rFonts w:ascii="Times New Roman" w:hAnsi="Times New Roman" w:cs="Times New Roman"/>
          <w:lang w:val="fr-LU"/>
        </w:rPr>
        <w:t xml:space="preserve">Cependant, en mettant le dispositif en relation avec la structure d’englobement en sémiotique, nous avons adopté un point de vue essentiellement topologique. Il reste, maintenant, à accentuer le volet processuel selon Jäger, en relation avec la pratique. Nous souhaitons capter une dynamique à travers le déploiement d’un ensemble de déterminations contextuelles qui s’exercent sur le devenir du texte et </w:t>
      </w:r>
      <w:r w:rsidR="00642E54">
        <w:rPr>
          <w:rFonts w:ascii="Times New Roman" w:hAnsi="Times New Roman" w:cs="Times New Roman"/>
          <w:lang w:val="fr-LU"/>
        </w:rPr>
        <w:t>articulent ce dernier</w:t>
      </w:r>
      <w:r>
        <w:rPr>
          <w:rFonts w:ascii="Times New Roman" w:hAnsi="Times New Roman" w:cs="Times New Roman"/>
          <w:lang w:val="fr-LU"/>
        </w:rPr>
        <w:t xml:space="preserve"> avec le discours</w:t>
      </w:r>
      <w:r w:rsidR="00C615E5">
        <w:rPr>
          <w:rStyle w:val="Appelnotedebasdep"/>
          <w:rFonts w:ascii="Times New Roman" w:hAnsi="Times New Roman" w:cs="Times New Roman"/>
        </w:rPr>
        <w:footnoteReference w:id="13"/>
      </w:r>
      <w:r>
        <w:rPr>
          <w:rFonts w:ascii="Times New Roman" w:hAnsi="Times New Roman" w:cs="Times New Roman"/>
          <w:lang w:val="fr-LU"/>
        </w:rPr>
        <w:t xml:space="preserve">. D’une part, il s’agit de ne pas céder à </w:t>
      </w:r>
      <w:r w:rsidR="00E37F66">
        <w:rPr>
          <w:rFonts w:ascii="Times New Roman" w:hAnsi="Times New Roman" w:cs="Times New Roman"/>
          <w:lang w:val="fr-LU"/>
        </w:rPr>
        <w:t xml:space="preserve">une </w:t>
      </w:r>
      <w:r>
        <w:rPr>
          <w:rFonts w:ascii="Times New Roman" w:hAnsi="Times New Roman" w:cs="Times New Roman"/>
          <w:lang w:val="fr-LU"/>
        </w:rPr>
        <w:t>visée déterministe</w:t>
      </w:r>
      <w:r w:rsidR="00B916B6">
        <w:rPr>
          <w:rFonts w:ascii="Times New Roman" w:hAnsi="Times New Roman" w:cs="Times New Roman"/>
          <w:lang w:val="fr-LU"/>
        </w:rPr>
        <w:t>.</w:t>
      </w:r>
      <w:r>
        <w:rPr>
          <w:rFonts w:ascii="Times New Roman" w:hAnsi="Times New Roman" w:cs="Times New Roman"/>
          <w:lang w:val="fr-LU"/>
        </w:rPr>
        <w:t xml:space="preserve"> D’autre part, il importe de </w:t>
      </w:r>
      <w:r w:rsidR="00996947">
        <w:rPr>
          <w:rFonts w:ascii="Times New Roman" w:hAnsi="Times New Roman" w:cs="Times New Roman"/>
          <w:lang w:val="fr-LU"/>
        </w:rPr>
        <w:t>faire</w:t>
      </w:r>
      <w:r>
        <w:rPr>
          <w:rFonts w:ascii="Times New Roman" w:hAnsi="Times New Roman" w:cs="Times New Roman"/>
          <w:lang w:val="fr-LU"/>
        </w:rPr>
        <w:t xml:space="preserve"> échec </w:t>
      </w:r>
      <w:r w:rsidR="00996947">
        <w:rPr>
          <w:rFonts w:ascii="Times New Roman" w:hAnsi="Times New Roman" w:cs="Times New Roman"/>
          <w:lang w:val="fr-LU"/>
        </w:rPr>
        <w:t xml:space="preserve">à </w:t>
      </w:r>
      <w:r>
        <w:rPr>
          <w:rFonts w:ascii="Times New Roman" w:hAnsi="Times New Roman" w:cs="Times New Roman"/>
          <w:lang w:val="fr-LU"/>
        </w:rPr>
        <w:t>la partition entre un extérieur et un intérieur des textes</w:t>
      </w:r>
      <w:r w:rsidR="00642E54">
        <w:rPr>
          <w:rStyle w:val="Appelnotedebasdep"/>
          <w:rFonts w:ascii="Times New Roman" w:hAnsi="Times New Roman" w:cs="Times New Roman"/>
          <w:lang w:val="fr-LU"/>
        </w:rPr>
        <w:footnoteReference w:id="14"/>
      </w:r>
      <w:r>
        <w:rPr>
          <w:rFonts w:ascii="Times New Roman" w:hAnsi="Times New Roman" w:cs="Times New Roman"/>
          <w:lang w:val="fr-LU"/>
        </w:rPr>
        <w:t xml:space="preserve">. C’est cette double exigence qui semble sous-tendre la réflexion sur l’action du contexte </w:t>
      </w:r>
      <w:r w:rsidR="00E37F66">
        <w:rPr>
          <w:rFonts w:ascii="Times New Roman" w:hAnsi="Times New Roman" w:cs="Times New Roman"/>
          <w:lang w:val="fr-LU"/>
        </w:rPr>
        <w:t>dont Maingueneau (2014</w:t>
      </w:r>
      <w:r w:rsidR="00197A73">
        <w:rPr>
          <w:rFonts w:ascii="Times New Roman" w:hAnsi="Times New Roman" w:cs="Times New Roman"/>
          <w:lang w:val="fr-LU"/>
        </w:rPr>
        <w:t xml:space="preserve"> : </w:t>
      </w:r>
      <w:r w:rsidRPr="00A27538">
        <w:rPr>
          <w:rFonts w:ascii="Times New Roman" w:hAnsi="Times New Roman" w:cs="Times New Roman"/>
          <w:lang w:val="fr-LU"/>
        </w:rPr>
        <w:t xml:space="preserve">21) souligne l’importance : </w:t>
      </w:r>
      <w:r w:rsidR="00996947">
        <w:rPr>
          <w:rFonts w:ascii="Times New Roman" w:hAnsi="Times New Roman" w:cs="Times New Roman"/>
        </w:rPr>
        <w:t>« O</w:t>
      </w:r>
      <w:r w:rsidRPr="00A27538">
        <w:rPr>
          <w:rFonts w:ascii="Times New Roman" w:hAnsi="Times New Roman" w:cs="Times New Roman"/>
        </w:rPr>
        <w:t xml:space="preserve">n ne peut pas dire que le discours intervient </w:t>
      </w:r>
      <w:r w:rsidRPr="00A27538">
        <w:rPr>
          <w:rFonts w:ascii="Times New Roman" w:hAnsi="Times New Roman" w:cs="Times New Roman"/>
          <w:i/>
        </w:rPr>
        <w:t xml:space="preserve">dans </w:t>
      </w:r>
      <w:r w:rsidRPr="00A27538">
        <w:rPr>
          <w:rFonts w:ascii="Times New Roman" w:hAnsi="Times New Roman" w:cs="Times New Roman"/>
        </w:rPr>
        <w:t xml:space="preserve">un contexte, comme si le contexte n’était qu’un décor ». </w:t>
      </w:r>
      <w:r>
        <w:rPr>
          <w:rFonts w:ascii="Times New Roman" w:hAnsi="Times New Roman" w:cs="Times New Roman"/>
        </w:rPr>
        <w:t xml:space="preserve">Les influences croisées du contexte sur le discours et du discours sur le contexte permettent à leur tour de déjouer les logiques déterministes : ainsi, </w:t>
      </w:r>
      <w:r>
        <w:rPr>
          <w:rFonts w:ascii="Times New Roman" w:hAnsi="Times New Roman" w:cs="Times New Roman"/>
        </w:rPr>
        <w:lastRenderedPageBreak/>
        <w:t xml:space="preserve">selon </w:t>
      </w:r>
      <w:r w:rsidRPr="00A27538">
        <w:rPr>
          <w:rFonts w:ascii="Times New Roman" w:hAnsi="Times New Roman" w:cs="Times New Roman"/>
        </w:rPr>
        <w:t xml:space="preserve">Angermuller et </w:t>
      </w:r>
      <w:r w:rsidR="00E37F66">
        <w:rPr>
          <w:rFonts w:ascii="Times New Roman" w:hAnsi="Times New Roman" w:cs="Times New Roman"/>
        </w:rPr>
        <w:t>Philippe (2015</w:t>
      </w:r>
      <w:r w:rsidR="00197A73">
        <w:rPr>
          <w:rFonts w:ascii="Times New Roman" w:hAnsi="Times New Roman" w:cs="Times New Roman"/>
        </w:rPr>
        <w:t xml:space="preserve"> : </w:t>
      </w:r>
      <w:r>
        <w:rPr>
          <w:rFonts w:ascii="Times New Roman" w:hAnsi="Times New Roman" w:cs="Times New Roman"/>
        </w:rPr>
        <w:t>11),</w:t>
      </w:r>
      <w:r w:rsidRPr="00A27538">
        <w:rPr>
          <w:rFonts w:ascii="Times New Roman" w:hAnsi="Times New Roman" w:cs="Times New Roman"/>
        </w:rPr>
        <w:t xml:space="preserve"> </w:t>
      </w:r>
      <w:r>
        <w:rPr>
          <w:rFonts w:ascii="Times New Roman" w:hAnsi="Times New Roman" w:cs="Times New Roman"/>
        </w:rPr>
        <w:t>« </w:t>
      </w:r>
      <w:r w:rsidRPr="00A27538">
        <w:rPr>
          <w:rFonts w:ascii="Times New Roman" w:hAnsi="Times New Roman" w:cs="Times New Roman"/>
        </w:rPr>
        <w:t>[…] le discours se dote d’un contexte autant qu’il est donné par u</w:t>
      </w:r>
      <w:r>
        <w:rPr>
          <w:rFonts w:ascii="Times New Roman" w:hAnsi="Times New Roman" w:cs="Times New Roman"/>
        </w:rPr>
        <w:t>n</w:t>
      </w:r>
      <w:r w:rsidRPr="00A27538">
        <w:rPr>
          <w:rFonts w:ascii="Times New Roman" w:hAnsi="Times New Roman" w:cs="Times New Roman"/>
        </w:rPr>
        <w:t xml:space="preserve"> contexte, l’énonciation consistant à présupposer et à valider cette contextualisation rétrospective, selon les tendances et les règles spécifiques d’un genre, d’une institution et d’une société ». </w:t>
      </w:r>
      <w:r>
        <w:rPr>
          <w:rFonts w:ascii="Times New Roman" w:hAnsi="Times New Roman" w:cs="Times New Roman"/>
        </w:rPr>
        <w:t>C’est bien une telle réciprocité de l’action que mettent aussi en évidence les Critical Discourse Analysis/Studies (CDA/CDS) : comme le notent Angermuller, Mainguenea</w:t>
      </w:r>
      <w:r w:rsidR="00197A73">
        <w:rPr>
          <w:rFonts w:ascii="Times New Roman" w:hAnsi="Times New Roman" w:cs="Times New Roman"/>
        </w:rPr>
        <w:t xml:space="preserve">u et Wodak (2014 : </w:t>
      </w:r>
      <w:r>
        <w:rPr>
          <w:rFonts w:ascii="Times New Roman" w:hAnsi="Times New Roman" w:cs="Times New Roman"/>
        </w:rPr>
        <w:t>361-362</w:t>
      </w:r>
      <w:r w:rsidR="00C615E5">
        <w:rPr>
          <w:rFonts w:ascii="Times New Roman" w:hAnsi="Times New Roman" w:cs="Times New Roman"/>
        </w:rPr>
        <w:t>), </w:t>
      </w:r>
      <w:r>
        <w:rPr>
          <w:rFonts w:ascii="Times New Roman" w:hAnsi="Times New Roman" w:cs="Times New Roman"/>
        </w:rPr>
        <w:t xml:space="preserve">« décrire le discours comme une pratique sociale implique une relation dialectique entre un événement discursif particulier et la ou les situation(s), la ou les institution(s) et la ou les </w:t>
      </w:r>
      <w:proofErr w:type="gramStart"/>
      <w:r>
        <w:rPr>
          <w:rFonts w:ascii="Times New Roman" w:hAnsi="Times New Roman" w:cs="Times New Roman"/>
        </w:rPr>
        <w:t>structure(</w:t>
      </w:r>
      <w:proofErr w:type="gramEnd"/>
      <w:r>
        <w:rPr>
          <w:rFonts w:ascii="Times New Roman" w:hAnsi="Times New Roman" w:cs="Times New Roman"/>
        </w:rPr>
        <w:t>s ) sociale(s) qui l’encadrent. L’événement discursif est façonné par elles, mais il les façonne aussi »</w:t>
      </w:r>
      <w:r w:rsidR="00197A73">
        <w:rPr>
          <w:rFonts w:ascii="Times New Roman" w:hAnsi="Times New Roman" w:cs="Times New Roman"/>
        </w:rPr>
        <w:t xml:space="preserve"> (nous traduisons)</w:t>
      </w:r>
      <w:r>
        <w:rPr>
          <w:rFonts w:ascii="Times New Roman" w:hAnsi="Times New Roman" w:cs="Times New Roman"/>
        </w:rPr>
        <w:t xml:space="preserve">. </w:t>
      </w:r>
    </w:p>
    <w:p w:rsidR="000A02D5" w:rsidRDefault="000A02D5" w:rsidP="00996947">
      <w:pPr>
        <w:jc w:val="both"/>
        <w:rPr>
          <w:rFonts w:ascii="Times New Roman" w:hAnsi="Times New Roman" w:cs="Times New Roman"/>
        </w:rPr>
      </w:pPr>
      <w:r>
        <w:rPr>
          <w:rFonts w:ascii="Times New Roman" w:hAnsi="Times New Roman" w:cs="Times New Roman"/>
        </w:rPr>
        <w:t xml:space="preserve">Mais comment rendre compte des conditions et des modalités mêmes du processus de détermination contextuelle responsable de la mise en discours et en texte ? Ou encore, en termes sémiotiques, comment opère le processus de l’intégration descendante à travers le passage d’un niveau d’immanence du parcours de l’expression à un autre (par exemple, de la pratique et de l’objet-support au texte) ou d’une sémiose englobante à une sémiose englobée ? L’intérêt de la notion de médiation est au moins double. </w:t>
      </w:r>
    </w:p>
    <w:p w:rsidR="000A02D5" w:rsidRDefault="000A02D5" w:rsidP="00996947">
      <w:pPr>
        <w:jc w:val="both"/>
        <w:rPr>
          <w:rFonts w:ascii="Times New Roman" w:hAnsi="Times New Roman" w:cs="Times New Roman"/>
        </w:rPr>
      </w:pPr>
      <w:r>
        <w:rPr>
          <w:rFonts w:ascii="Times New Roman" w:hAnsi="Times New Roman" w:cs="Times New Roman"/>
        </w:rPr>
        <w:t>D’une part, l</w:t>
      </w:r>
      <w:r w:rsidRPr="00F005A6">
        <w:rPr>
          <w:rFonts w:ascii="Times New Roman" w:hAnsi="Times New Roman" w:cs="Times New Roman"/>
        </w:rPr>
        <w:t>es médiations s’exercent à tous les niveaux de pertinence</w:t>
      </w:r>
      <w:r>
        <w:rPr>
          <w:rFonts w:ascii="Times New Roman" w:hAnsi="Times New Roman" w:cs="Times New Roman"/>
        </w:rPr>
        <w:t xml:space="preserve">, mais aussi entre </w:t>
      </w:r>
      <w:r w:rsidR="00C615E5">
        <w:rPr>
          <w:rFonts w:ascii="Times New Roman" w:hAnsi="Times New Roman" w:cs="Times New Roman"/>
        </w:rPr>
        <w:t>eux</w:t>
      </w:r>
      <w:r w:rsidRPr="00F005A6">
        <w:rPr>
          <w:rFonts w:ascii="Times New Roman" w:hAnsi="Times New Roman" w:cs="Times New Roman"/>
        </w:rPr>
        <w:t>. Elles sont au cœur des dispositifs comme processualités.</w:t>
      </w:r>
      <w:r>
        <w:rPr>
          <w:rFonts w:ascii="Times New Roman" w:hAnsi="Times New Roman" w:cs="Times New Roman"/>
        </w:rPr>
        <w:t xml:space="preserve"> </w:t>
      </w:r>
      <w:r w:rsidRPr="00F005A6">
        <w:rPr>
          <w:rFonts w:ascii="Times New Roman" w:hAnsi="Times New Roman" w:cs="Times New Roman"/>
        </w:rPr>
        <w:t>Adam</w:t>
      </w:r>
      <w:r w:rsidRPr="00814216">
        <w:rPr>
          <w:rFonts w:ascii="Times New Roman" w:hAnsi="Times New Roman" w:cs="Times New Roman"/>
          <w:i/>
        </w:rPr>
        <w:t xml:space="preserve"> </w:t>
      </w:r>
      <w:r>
        <w:rPr>
          <w:rFonts w:ascii="Times New Roman" w:hAnsi="Times New Roman" w:cs="Times New Roman"/>
        </w:rPr>
        <w:t xml:space="preserve">écrit ainsi : </w:t>
      </w:r>
    </w:p>
    <w:p w:rsidR="000A02D5" w:rsidRPr="00F005A6" w:rsidRDefault="000A02D5" w:rsidP="00996947">
      <w:pPr>
        <w:ind w:left="567"/>
        <w:jc w:val="both"/>
        <w:rPr>
          <w:rFonts w:ascii="Times New Roman" w:hAnsi="Times New Roman" w:cs="Times New Roman"/>
        </w:rPr>
      </w:pPr>
      <w:r w:rsidRPr="00F005A6">
        <w:rPr>
          <w:rFonts w:ascii="Times New Roman" w:hAnsi="Times New Roman" w:cs="Times New Roman"/>
        </w:rPr>
        <w:t>[…] les textes ne sont pas des données, mais des constructions issues de procédures médiatrices qui vont de la rature et de la récriture par les auteurs ou les copistes jusqu’aux variations éditoriales, en passant par les traductions.</w:t>
      </w:r>
    </w:p>
    <w:p w:rsidR="000A02D5" w:rsidRPr="00F005A6" w:rsidRDefault="000A02D5" w:rsidP="00996947">
      <w:pPr>
        <w:ind w:left="567"/>
        <w:jc w:val="both"/>
        <w:rPr>
          <w:rFonts w:ascii="Times New Roman" w:hAnsi="Times New Roman" w:cs="Times New Roman"/>
        </w:rPr>
      </w:pPr>
      <w:r w:rsidRPr="00F005A6">
        <w:rPr>
          <w:rFonts w:ascii="Times New Roman" w:hAnsi="Times New Roman" w:cs="Times New Roman"/>
        </w:rPr>
        <w:t>Impossible de faire comme si les textes existaient en eux-mêmes, en dehors des médiations qui assurent leur circulation, conditionnent l’analyse et participent à la construction de leur signification</w:t>
      </w:r>
      <w:r>
        <w:rPr>
          <w:rFonts w:ascii="Times New Roman" w:hAnsi="Times New Roman" w:cs="Times New Roman"/>
        </w:rPr>
        <w:t xml:space="preserve"> </w:t>
      </w:r>
      <w:r w:rsidR="001D2980">
        <w:rPr>
          <w:rFonts w:ascii="Times New Roman" w:hAnsi="Times New Roman" w:cs="Times New Roman"/>
        </w:rPr>
        <w:t>(2015a</w:t>
      </w:r>
      <w:r w:rsidR="00197A73">
        <w:rPr>
          <w:rFonts w:ascii="Times New Roman" w:hAnsi="Times New Roman" w:cs="Times New Roman"/>
        </w:rPr>
        <w:t> :</w:t>
      </w:r>
      <w:r w:rsidRPr="00F005A6">
        <w:rPr>
          <w:rFonts w:ascii="Times New Roman" w:hAnsi="Times New Roman" w:cs="Times New Roman"/>
        </w:rPr>
        <w:t xml:space="preserve"> 26). </w:t>
      </w:r>
    </w:p>
    <w:p w:rsidR="000A02D5" w:rsidRDefault="000A02D5" w:rsidP="00996947">
      <w:pPr>
        <w:jc w:val="both"/>
        <w:rPr>
          <w:rFonts w:ascii="Times New Roman" w:hAnsi="Times New Roman" w:cs="Times New Roman"/>
        </w:rPr>
      </w:pPr>
      <w:r>
        <w:rPr>
          <w:rFonts w:ascii="Times New Roman" w:hAnsi="Times New Roman" w:cs="Times New Roman"/>
        </w:rPr>
        <w:t xml:space="preserve">Les médiations opèrent à tous les niveaux micro-, méso- et macrotextuels </w:t>
      </w:r>
      <w:r w:rsidRPr="00F005A6">
        <w:rPr>
          <w:rFonts w:ascii="Times New Roman" w:hAnsi="Times New Roman" w:cs="Times New Roman"/>
        </w:rPr>
        <w:t>ainsi qu’à l’intérieur de l’espace discursif et interdiscursif</w:t>
      </w:r>
      <w:r>
        <w:rPr>
          <w:rFonts w:ascii="Times New Roman" w:hAnsi="Times New Roman" w:cs="Times New Roman"/>
        </w:rPr>
        <w:t xml:space="preserve">, voire institutionnel. </w:t>
      </w:r>
    </w:p>
    <w:p w:rsidR="00197A73" w:rsidRDefault="000A02D5" w:rsidP="00996947">
      <w:pPr>
        <w:jc w:val="both"/>
        <w:rPr>
          <w:rFonts w:ascii="Times New Roman" w:hAnsi="Times New Roman" w:cs="Times New Roman"/>
        </w:rPr>
      </w:pPr>
      <w:r>
        <w:rPr>
          <w:rFonts w:ascii="Times New Roman" w:hAnsi="Times New Roman" w:cs="Times New Roman"/>
        </w:rPr>
        <w:t>D’autre part, il est urgent de prévoir une instance médiationnelle qui veille à l’ajustement des éléments médiationnels, garant, à terme, de la cohésion et de la cohérence textuelles. Cette instance n’est autre que l’instance énonçante, qui n’accède au rang de sujet d’énoncia</w:t>
      </w:r>
      <w:r w:rsidR="00197A73">
        <w:rPr>
          <w:rFonts w:ascii="Times New Roman" w:hAnsi="Times New Roman" w:cs="Times New Roman"/>
        </w:rPr>
        <w:t>tion qu’au terme de, et grâce à</w:t>
      </w:r>
      <w:r>
        <w:rPr>
          <w:rFonts w:ascii="Times New Roman" w:hAnsi="Times New Roman" w:cs="Times New Roman"/>
        </w:rPr>
        <w:t xml:space="preserve"> la mise en texte (Fontanille 2014). </w:t>
      </w:r>
    </w:p>
    <w:p w:rsidR="000A02D5" w:rsidRDefault="000A02D5" w:rsidP="00996947">
      <w:pPr>
        <w:jc w:val="both"/>
        <w:rPr>
          <w:rFonts w:ascii="Times New Roman" w:hAnsi="Times New Roman" w:cs="Times New Roman"/>
        </w:rPr>
      </w:pPr>
      <w:r>
        <w:rPr>
          <w:rFonts w:ascii="Times New Roman" w:hAnsi="Times New Roman" w:cs="Times New Roman"/>
        </w:rPr>
        <w:t>Or, d</w:t>
      </w:r>
      <w:r w:rsidRPr="00A808DD">
        <w:rPr>
          <w:rFonts w:ascii="Times New Roman" w:hAnsi="Times New Roman" w:cs="Times New Roman"/>
        </w:rPr>
        <w:t xml:space="preserve">epuis le tournant phénoménologique de la fin des années 80, on considère </w:t>
      </w:r>
      <w:r w:rsidRPr="00F21DDC">
        <w:rPr>
          <w:rFonts w:ascii="Times New Roman" w:hAnsi="Times New Roman" w:cs="Times New Roman"/>
        </w:rPr>
        <w:t>en sémiotique</w:t>
      </w:r>
      <w:r>
        <w:rPr>
          <w:rFonts w:ascii="Times New Roman" w:hAnsi="Times New Roman" w:cs="Times New Roman"/>
        </w:rPr>
        <w:t xml:space="preserve"> </w:t>
      </w:r>
      <w:r w:rsidR="00EA596B">
        <w:rPr>
          <w:rFonts w:ascii="Times New Roman" w:hAnsi="Times New Roman" w:cs="Times New Roman"/>
        </w:rPr>
        <w:t xml:space="preserve">que l’instance de médiation </w:t>
      </w:r>
      <w:r w:rsidRPr="00F005A6">
        <w:rPr>
          <w:rFonts w:ascii="Times New Roman" w:hAnsi="Times New Roman" w:cs="Times New Roman"/>
        </w:rPr>
        <w:t>n’est pas virtuelle ni hypothétique ; elle est pourvue d’une corporalité qui opère la médiation entre l’extéroceptivité (mondaine) et l’intéroce</w:t>
      </w:r>
      <w:r>
        <w:rPr>
          <w:rFonts w:ascii="Times New Roman" w:hAnsi="Times New Roman" w:cs="Times New Roman"/>
        </w:rPr>
        <w:t xml:space="preserve">ptivité (affective, cognitive), entre </w:t>
      </w:r>
      <w:r w:rsidRPr="00F005A6">
        <w:rPr>
          <w:rFonts w:ascii="Times New Roman" w:hAnsi="Times New Roman" w:cs="Times New Roman"/>
        </w:rPr>
        <w:t xml:space="preserve">les sensations et figures du monde </w:t>
      </w:r>
      <w:r>
        <w:rPr>
          <w:rFonts w:ascii="Times New Roman" w:hAnsi="Times New Roman" w:cs="Times New Roman"/>
        </w:rPr>
        <w:t>et</w:t>
      </w:r>
      <w:r w:rsidRPr="00F005A6">
        <w:rPr>
          <w:rFonts w:ascii="Times New Roman" w:hAnsi="Times New Roman" w:cs="Times New Roman"/>
        </w:rPr>
        <w:t xml:space="preserve"> les impressions </w:t>
      </w:r>
      <w:r>
        <w:rPr>
          <w:rFonts w:ascii="Times New Roman" w:hAnsi="Times New Roman" w:cs="Times New Roman"/>
        </w:rPr>
        <w:t>ou</w:t>
      </w:r>
      <w:r w:rsidRPr="00F005A6">
        <w:rPr>
          <w:rFonts w:ascii="Times New Roman" w:hAnsi="Times New Roman" w:cs="Times New Roman"/>
        </w:rPr>
        <w:t xml:space="preserve"> concepts régissant notre perception du monde intérieur, bref, </w:t>
      </w:r>
      <w:r>
        <w:rPr>
          <w:rFonts w:ascii="Times New Roman" w:hAnsi="Times New Roman" w:cs="Times New Roman"/>
        </w:rPr>
        <w:t xml:space="preserve">entre </w:t>
      </w:r>
      <w:r w:rsidRPr="00F005A6">
        <w:rPr>
          <w:rFonts w:ascii="Times New Roman" w:hAnsi="Times New Roman" w:cs="Times New Roman"/>
        </w:rPr>
        <w:t xml:space="preserve">les « états de choses » </w:t>
      </w:r>
      <w:r>
        <w:rPr>
          <w:rFonts w:ascii="Times New Roman" w:hAnsi="Times New Roman" w:cs="Times New Roman"/>
        </w:rPr>
        <w:t>et</w:t>
      </w:r>
      <w:r w:rsidRPr="00F005A6">
        <w:rPr>
          <w:rFonts w:ascii="Times New Roman" w:hAnsi="Times New Roman" w:cs="Times New Roman"/>
        </w:rPr>
        <w:t xml:space="preserve"> les « états mentaux »</w:t>
      </w:r>
      <w:r w:rsidR="00EA596B">
        <w:rPr>
          <w:rFonts w:ascii="Times New Roman" w:hAnsi="Times New Roman" w:cs="Times New Roman"/>
        </w:rPr>
        <w:t>/les « états d’âme », </w:t>
      </w:r>
      <w:r w:rsidRPr="00F005A6">
        <w:rPr>
          <w:rFonts w:ascii="Times New Roman" w:hAnsi="Times New Roman" w:cs="Times New Roman"/>
        </w:rPr>
        <w:t>les deux s’entrelaçant intimement dans un même acte proprioceptif</w:t>
      </w:r>
      <w:r>
        <w:rPr>
          <w:rFonts w:ascii="Times New Roman" w:hAnsi="Times New Roman" w:cs="Times New Roman"/>
        </w:rPr>
        <w:t xml:space="preserve"> (corporel)</w:t>
      </w:r>
      <w:r w:rsidRPr="00C76C53">
        <w:rPr>
          <w:rFonts w:ascii="Times New Roman" w:hAnsi="Times New Roman" w:cs="Times New Roman"/>
          <w:i/>
        </w:rPr>
        <w:t xml:space="preserve">. </w:t>
      </w:r>
      <w:r>
        <w:rPr>
          <w:rFonts w:ascii="Times New Roman" w:hAnsi="Times New Roman" w:cs="Times New Roman"/>
        </w:rPr>
        <w:t>La pensée du dispositif</w:t>
      </w:r>
      <w:r w:rsidR="00197A73">
        <w:rPr>
          <w:rFonts w:ascii="Times New Roman" w:hAnsi="Times New Roman" w:cs="Times New Roman"/>
        </w:rPr>
        <w:t xml:space="preserve"> selon Jäger</w:t>
      </w:r>
      <w:r>
        <w:rPr>
          <w:rFonts w:ascii="Times New Roman" w:hAnsi="Times New Roman" w:cs="Times New Roman"/>
        </w:rPr>
        <w:t xml:space="preserve">, de l’entrejeu des pratiques verbales et non verbales, ainsi que des « matérialités » ou manifestations visibles </w:t>
      </w:r>
      <w:r w:rsidRPr="00F005A6">
        <w:rPr>
          <w:rFonts w:ascii="Times New Roman" w:hAnsi="Times New Roman" w:cs="Times New Roman"/>
        </w:rPr>
        <w:t>auxquelles ces dernières donnent lieu, doit</w:t>
      </w:r>
      <w:r>
        <w:rPr>
          <w:rFonts w:ascii="Times New Roman" w:hAnsi="Times New Roman" w:cs="Times New Roman"/>
        </w:rPr>
        <w:t xml:space="preserve"> ainsi s’enrichir de la dimension sensible. Si celle-ci est présente chez Jäger, elle </w:t>
      </w:r>
      <w:r w:rsidR="00EA596B">
        <w:rPr>
          <w:rFonts w:ascii="Times New Roman" w:hAnsi="Times New Roman" w:cs="Times New Roman"/>
        </w:rPr>
        <w:t>ne semble pas avoir</w:t>
      </w:r>
      <w:r>
        <w:rPr>
          <w:rFonts w:ascii="Times New Roman" w:hAnsi="Times New Roman" w:cs="Times New Roman"/>
        </w:rPr>
        <w:t xml:space="preserve"> reçu, dans le cadre de sa théorie, de vrai développement. </w:t>
      </w:r>
    </w:p>
    <w:p w:rsidR="000A02D5" w:rsidRDefault="000A02D5" w:rsidP="00996947">
      <w:pPr>
        <w:jc w:val="both"/>
        <w:rPr>
          <w:rFonts w:ascii="Times New Roman" w:hAnsi="Times New Roman" w:cs="Times New Roman"/>
        </w:rPr>
      </w:pPr>
      <w:r>
        <w:rPr>
          <w:rFonts w:ascii="Times New Roman" w:hAnsi="Times New Roman" w:cs="Times New Roman"/>
        </w:rPr>
        <w:t xml:space="preserve">On peut à présent esquisser les étapes d’un parcours qu’on </w:t>
      </w:r>
      <w:r w:rsidR="008C062E">
        <w:rPr>
          <w:rFonts w:ascii="Times New Roman" w:hAnsi="Times New Roman" w:cs="Times New Roman"/>
        </w:rPr>
        <w:t>fait</w:t>
      </w:r>
      <w:r>
        <w:rPr>
          <w:rFonts w:ascii="Times New Roman" w:hAnsi="Times New Roman" w:cs="Times New Roman"/>
        </w:rPr>
        <w:t xml:space="preserve"> correspondre à l’énonciation conçue comme une pratique ancrée dans un contexte sociohistorique et culturel, ou au discours, c’est-à-dire à « l’usage du langage à l’oral et à l’écrit », comme « pratique sociale » (Angermuller, Maingueneau</w:t>
      </w:r>
      <w:r w:rsidR="00E37F66">
        <w:rPr>
          <w:rFonts w:ascii="Times New Roman" w:hAnsi="Times New Roman" w:cs="Times New Roman"/>
        </w:rPr>
        <w:t xml:space="preserve"> et Wodak 2014</w:t>
      </w:r>
      <w:r w:rsidR="00197A73">
        <w:rPr>
          <w:rFonts w:ascii="Times New Roman" w:hAnsi="Times New Roman" w:cs="Times New Roman"/>
        </w:rPr>
        <w:t> :</w:t>
      </w:r>
      <w:r>
        <w:rPr>
          <w:rFonts w:ascii="Times New Roman" w:hAnsi="Times New Roman" w:cs="Times New Roman"/>
        </w:rPr>
        <w:t xml:space="preserve"> 361). </w:t>
      </w:r>
    </w:p>
    <w:p w:rsidR="000A02D5" w:rsidRPr="00197A73" w:rsidRDefault="000A02D5" w:rsidP="00996947">
      <w:pPr>
        <w:jc w:val="both"/>
        <w:rPr>
          <w:rFonts w:ascii="Times New Roman" w:hAnsi="Times New Roman" w:cs="Times New Roman"/>
          <w:lang w:val="fr-LU"/>
        </w:rPr>
      </w:pPr>
      <w:r>
        <w:rPr>
          <w:rFonts w:ascii="Times New Roman" w:hAnsi="Times New Roman" w:cs="Times New Roman"/>
        </w:rPr>
        <w:t xml:space="preserve">Du point de vue sémiotique, il importe de montrer comment </w:t>
      </w:r>
      <w:r>
        <w:rPr>
          <w:rFonts w:ascii="Times New Roman" w:hAnsi="Times New Roman" w:cs="Times New Roman"/>
          <w:lang w:val="fr-LU"/>
        </w:rPr>
        <w:t xml:space="preserve">un projet d’expression singulier, qui instaure une instance d’énonciation d’abord diffuse et impersonnelle en sujet d’énonciation </w:t>
      </w:r>
      <w:r w:rsidRPr="00BB32EB">
        <w:rPr>
          <w:rFonts w:ascii="Times New Roman" w:hAnsi="Times New Roman" w:cs="Times New Roman"/>
          <w:i/>
          <w:lang w:val="fr-LU"/>
        </w:rPr>
        <w:t>a posteriori</w:t>
      </w:r>
      <w:r>
        <w:rPr>
          <w:rFonts w:ascii="Times New Roman" w:hAnsi="Times New Roman" w:cs="Times New Roman"/>
          <w:lang w:val="fr-LU"/>
        </w:rPr>
        <w:t xml:space="preserve"> (Fontanille 2014), se négocie au confluen</w:t>
      </w:r>
      <w:r w:rsidR="00996947">
        <w:rPr>
          <w:rFonts w:ascii="Times New Roman" w:hAnsi="Times New Roman" w:cs="Times New Roman"/>
          <w:lang w:val="fr-LU"/>
        </w:rPr>
        <w:t>t</w:t>
      </w:r>
      <w:r w:rsidR="00197A73">
        <w:rPr>
          <w:rFonts w:ascii="Times New Roman" w:hAnsi="Times New Roman" w:cs="Times New Roman"/>
          <w:lang w:val="fr-LU"/>
        </w:rPr>
        <w:t>, d’une part,</w:t>
      </w:r>
      <w:r>
        <w:rPr>
          <w:rFonts w:ascii="Times New Roman" w:hAnsi="Times New Roman" w:cs="Times New Roman"/>
          <w:lang w:val="fr-LU"/>
        </w:rPr>
        <w:t xml:space="preserve"> des contraintes exercées par les formes de vie collectives, par les institutions, par les pratiques discursives et non discursives et</w:t>
      </w:r>
      <w:r w:rsidR="00197A73">
        <w:rPr>
          <w:rFonts w:ascii="Times New Roman" w:hAnsi="Times New Roman" w:cs="Times New Roman"/>
          <w:lang w:val="fr-LU"/>
        </w:rPr>
        <w:t>, d’autre part,</w:t>
      </w:r>
      <w:r>
        <w:rPr>
          <w:rFonts w:ascii="Times New Roman" w:hAnsi="Times New Roman" w:cs="Times New Roman"/>
          <w:lang w:val="fr-LU"/>
        </w:rPr>
        <w:t xml:space="preserve"> des visées personnelles. Plus précisément, il incombe à l’instance d’énonciation d’opérer la « conversion » (à travers l’expérience et la </w:t>
      </w:r>
      <w:r>
        <w:rPr>
          <w:rFonts w:ascii="Times New Roman" w:hAnsi="Times New Roman" w:cs="Times New Roman"/>
          <w:lang w:val="fr-LU"/>
        </w:rPr>
        <w:lastRenderedPageBreak/>
        <w:t>réflexivité) et de marquer le texte en devenir d’une empreinte qui est encore largement impersonnelle et collective. Le projet de signification mobilise ainsi différents « styles »</w:t>
      </w:r>
      <w:r>
        <w:rPr>
          <w:rStyle w:val="Appelnotedebasdep"/>
          <w:rFonts w:ascii="Times New Roman" w:hAnsi="Times New Roman" w:cs="Times New Roman"/>
          <w:lang w:val="fr-LU"/>
        </w:rPr>
        <w:footnoteReference w:id="15"/>
      </w:r>
      <w:r>
        <w:rPr>
          <w:rFonts w:ascii="Times New Roman" w:hAnsi="Times New Roman" w:cs="Times New Roman"/>
          <w:lang w:val="fr-LU"/>
        </w:rPr>
        <w:t>. Le « style expérientiel » gère les variations de la présence sensible : les médiations esthésiques, sensorielles, qui témoignent de la somatisation de l’univers des perceptions et des réactions affectives, pathémiques, suscitées. Le « style praxique » prend en considération la praxis énonciative qui englobe les genres et les types de discours, les pratiques discursives et non discursives, l’ensemble des sémioses, jusqu’aux formes de vie</w:t>
      </w:r>
      <w:r w:rsidR="00197A73">
        <w:rPr>
          <w:rFonts w:ascii="Times New Roman" w:hAnsi="Times New Roman" w:cs="Times New Roman"/>
          <w:lang w:val="fr-LU"/>
        </w:rPr>
        <w:t xml:space="preserve"> (Fontanille 2015a)</w:t>
      </w:r>
      <w:r>
        <w:rPr>
          <w:rFonts w:ascii="Times New Roman" w:hAnsi="Times New Roman" w:cs="Times New Roman"/>
          <w:lang w:val="fr-LU"/>
        </w:rPr>
        <w:t>. Enfin, le « style pratique » (qui intègre les « styles expérientiel</w:t>
      </w:r>
      <w:r w:rsidR="00BA740C">
        <w:rPr>
          <w:rFonts w:ascii="Times New Roman" w:hAnsi="Times New Roman" w:cs="Times New Roman"/>
          <w:lang w:val="fr-LU"/>
        </w:rPr>
        <w:t> »</w:t>
      </w:r>
      <w:r>
        <w:rPr>
          <w:rFonts w:ascii="Times New Roman" w:hAnsi="Times New Roman" w:cs="Times New Roman"/>
          <w:lang w:val="fr-LU"/>
        </w:rPr>
        <w:t xml:space="preserve"> et </w:t>
      </w:r>
      <w:r w:rsidR="00BA740C">
        <w:rPr>
          <w:rFonts w:ascii="Times New Roman" w:hAnsi="Times New Roman" w:cs="Times New Roman"/>
          <w:lang w:val="fr-LU"/>
        </w:rPr>
        <w:t>« </w:t>
      </w:r>
      <w:r>
        <w:rPr>
          <w:rFonts w:ascii="Times New Roman" w:hAnsi="Times New Roman" w:cs="Times New Roman"/>
          <w:lang w:val="fr-LU"/>
        </w:rPr>
        <w:t>praxique ») concerne jusqu’au détail de la textualisation, jusqu’</w:t>
      </w:r>
      <w:r w:rsidR="003A6ACB">
        <w:rPr>
          <w:rFonts w:ascii="Times New Roman" w:hAnsi="Times New Roman" w:cs="Times New Roman"/>
          <w:lang w:val="fr-LU"/>
        </w:rPr>
        <w:t xml:space="preserve">aux opérations de liage micro-, </w:t>
      </w:r>
      <w:r>
        <w:rPr>
          <w:rFonts w:ascii="Times New Roman" w:hAnsi="Times New Roman" w:cs="Times New Roman"/>
          <w:lang w:val="fr-LU"/>
        </w:rPr>
        <w:t>méso- et macro-textuelles étudiées par Adam.</w:t>
      </w:r>
    </w:p>
    <w:p w:rsidR="00CF7F5B" w:rsidRDefault="00CF7F5B" w:rsidP="00996947">
      <w:pPr>
        <w:jc w:val="both"/>
        <w:rPr>
          <w:rFonts w:ascii="Times New Roman" w:hAnsi="Times New Roman" w:cs="Times New Roman"/>
          <w:lang w:val="fr-LU"/>
        </w:rPr>
      </w:pPr>
    </w:p>
    <w:p w:rsidR="000A02D5" w:rsidRDefault="000A02D5" w:rsidP="00996947">
      <w:pPr>
        <w:jc w:val="both"/>
        <w:rPr>
          <w:rFonts w:ascii="Times New Roman" w:hAnsi="Times New Roman" w:cs="Times New Roman"/>
          <w:lang w:val="fr-LU"/>
        </w:rPr>
      </w:pPr>
      <w:r>
        <w:rPr>
          <w:rFonts w:ascii="Times New Roman" w:hAnsi="Times New Roman" w:cs="Times New Roman"/>
          <w:lang w:val="fr-LU"/>
        </w:rPr>
        <w:t xml:space="preserve">Conclusion </w:t>
      </w:r>
    </w:p>
    <w:p w:rsidR="00CF7F5B" w:rsidRDefault="00CF7F5B" w:rsidP="00996947">
      <w:pPr>
        <w:jc w:val="both"/>
        <w:rPr>
          <w:rFonts w:ascii="Times New Roman" w:hAnsi="Times New Roman" w:cs="Times New Roman"/>
          <w:lang w:val="fr-LU"/>
        </w:rPr>
      </w:pPr>
    </w:p>
    <w:p w:rsidR="000A02D5" w:rsidRDefault="000A02D5" w:rsidP="00996947">
      <w:pPr>
        <w:jc w:val="both"/>
        <w:rPr>
          <w:rFonts w:ascii="Times New Roman" w:hAnsi="Times New Roman" w:cs="Times New Roman"/>
          <w:lang w:val="fr-LU"/>
        </w:rPr>
      </w:pPr>
      <w:r>
        <w:rPr>
          <w:rFonts w:ascii="Times New Roman" w:hAnsi="Times New Roman" w:cs="Times New Roman"/>
          <w:lang w:val="fr-LU"/>
        </w:rPr>
        <w:t>Comment le texte s’articule-t-il au discours ? Nous avons abordé ces polarités à nouveaux frais en montrant que la sé</w:t>
      </w:r>
      <w:r w:rsidR="00197A73">
        <w:rPr>
          <w:rFonts w:ascii="Times New Roman" w:hAnsi="Times New Roman" w:cs="Times New Roman"/>
          <w:lang w:val="fr-LU"/>
        </w:rPr>
        <w:t xml:space="preserve">miotique, l’analyse du discours selon Maingueneau, </w:t>
      </w:r>
      <w:r>
        <w:rPr>
          <w:rFonts w:ascii="Times New Roman" w:hAnsi="Times New Roman" w:cs="Times New Roman"/>
          <w:lang w:val="fr-LU"/>
        </w:rPr>
        <w:t xml:space="preserve">la </w:t>
      </w:r>
      <w:r w:rsidRPr="00D60EE5">
        <w:rPr>
          <w:rFonts w:ascii="Times New Roman" w:hAnsi="Times New Roman" w:cs="Times New Roman"/>
          <w:i/>
          <w:lang w:val="fr-LU"/>
        </w:rPr>
        <w:t xml:space="preserve">Kritische Diskursanalyse </w:t>
      </w:r>
      <w:r w:rsidR="00197A73">
        <w:rPr>
          <w:rFonts w:ascii="Times New Roman" w:hAnsi="Times New Roman" w:cs="Times New Roman"/>
          <w:lang w:val="fr-LU"/>
        </w:rPr>
        <w:t xml:space="preserve">de Jäger </w:t>
      </w:r>
      <w:r>
        <w:rPr>
          <w:rFonts w:ascii="Times New Roman" w:hAnsi="Times New Roman" w:cs="Times New Roman"/>
          <w:lang w:val="fr-LU"/>
        </w:rPr>
        <w:t xml:space="preserve">ainsi que la linguistique textuelle du discours </w:t>
      </w:r>
      <w:r w:rsidR="00197A73">
        <w:rPr>
          <w:rFonts w:ascii="Times New Roman" w:hAnsi="Times New Roman" w:cs="Times New Roman"/>
          <w:lang w:val="fr-LU"/>
        </w:rPr>
        <w:t xml:space="preserve">définie par Adam </w:t>
      </w:r>
      <w:r>
        <w:rPr>
          <w:rFonts w:ascii="Times New Roman" w:hAnsi="Times New Roman" w:cs="Times New Roman"/>
          <w:lang w:val="fr-LU"/>
        </w:rPr>
        <w:t xml:space="preserve">apportent des réponses à chaque fois spécifiques à un même questionnement de base. Ainsi, la sémiotisation du contexte permet de penser le dépassement de la scission entre un intérieur et un extérieur des textes, souhaité </w:t>
      </w:r>
      <w:r w:rsidR="00EB4CB5">
        <w:rPr>
          <w:rFonts w:ascii="Times New Roman" w:hAnsi="Times New Roman" w:cs="Times New Roman"/>
          <w:lang w:val="fr-LU"/>
        </w:rPr>
        <w:t xml:space="preserve">également </w:t>
      </w:r>
      <w:r>
        <w:rPr>
          <w:rFonts w:ascii="Times New Roman" w:hAnsi="Times New Roman" w:cs="Times New Roman"/>
          <w:lang w:val="fr-LU"/>
        </w:rPr>
        <w:t>par les problématiques du « discours » contemporaines. Ensuite, la notion de dispositif comme processualité liant ensemble les pratiques discursives et non discursives, les matérialités et leurs manifestations comme vecteurs de savoirs nous donne les moyens de prendre en considération jusqu’aux institutions et, pour ce qui est de la sémiotique, jusqu’à l’interface entre l’expérience d’un sujet sensible et cognitif et des sémioses englobantes et englobées. Enfin, la notion de médiation peut contribuer à éclairer d’un jour nouveau le pouvoir d’intervention du contexte – dont les disciplines convoquées cherchent à cerner les modalités – dans le processus de la textualisation.</w:t>
      </w:r>
    </w:p>
    <w:p w:rsidR="000A02D5" w:rsidRPr="00C62E5F" w:rsidRDefault="000A02D5" w:rsidP="00996947">
      <w:pPr>
        <w:widowControl w:val="0"/>
        <w:autoSpaceDE w:val="0"/>
        <w:autoSpaceDN w:val="0"/>
        <w:adjustRightInd w:val="0"/>
        <w:jc w:val="both"/>
        <w:rPr>
          <w:rFonts w:ascii="Times New Roman" w:hAnsi="Times New Roman" w:cs="Times New Roman"/>
          <w:b/>
          <w:bCs/>
          <w:color w:val="2C2C2C"/>
        </w:rPr>
      </w:pPr>
      <w:r>
        <w:rPr>
          <w:rFonts w:ascii="Times New Roman" w:hAnsi="Times New Roman" w:cs="Times New Roman"/>
          <w:lang w:val="fr-LU"/>
        </w:rPr>
        <w:t xml:space="preserve">Il apparaît ainsi que les notions </w:t>
      </w:r>
      <w:r w:rsidR="00EB4CB5">
        <w:rPr>
          <w:rFonts w:ascii="Times New Roman" w:hAnsi="Times New Roman" w:cs="Times New Roman"/>
          <w:lang w:val="fr-LU"/>
        </w:rPr>
        <w:t>mobilisées</w:t>
      </w:r>
      <w:r>
        <w:rPr>
          <w:rFonts w:ascii="Times New Roman" w:hAnsi="Times New Roman" w:cs="Times New Roman"/>
          <w:lang w:val="fr-LU"/>
        </w:rPr>
        <w:t xml:space="preserve"> projettent un espace de dialogue et d’échange au niveau européen. Quelles seraient les conséquences, pour </w:t>
      </w:r>
      <w:r w:rsidR="00EB4CB5">
        <w:rPr>
          <w:rFonts w:ascii="Times New Roman" w:hAnsi="Times New Roman" w:cs="Times New Roman"/>
          <w:lang w:val="fr-LU"/>
        </w:rPr>
        <w:t>les disciplines concernées</w:t>
      </w:r>
      <w:r>
        <w:rPr>
          <w:rFonts w:ascii="Times New Roman" w:hAnsi="Times New Roman" w:cs="Times New Roman"/>
          <w:lang w:val="fr-LU"/>
        </w:rPr>
        <w:t>, d’une démarche s’apparentant à la « </w:t>
      </w:r>
      <w:r>
        <w:rPr>
          <w:rFonts w:ascii="Times New Roman" w:hAnsi="Times New Roman" w:cs="Times New Roman"/>
          <w:color w:val="2C2C2C"/>
        </w:rPr>
        <w:t>démarche conjoncturelle de récupération et d’intégration-articulation œcuménique » à l’œu</w:t>
      </w:r>
      <w:r w:rsidR="00197A73">
        <w:rPr>
          <w:rFonts w:ascii="Times New Roman" w:hAnsi="Times New Roman" w:cs="Times New Roman"/>
          <w:color w:val="2C2C2C"/>
        </w:rPr>
        <w:t xml:space="preserve">vre en stylistique (Adam, 2002 : </w:t>
      </w:r>
      <w:r>
        <w:rPr>
          <w:rFonts w:ascii="Times New Roman" w:hAnsi="Times New Roman" w:cs="Times New Roman"/>
          <w:color w:val="2C2C2C"/>
        </w:rPr>
        <w:t xml:space="preserve">72) ? </w:t>
      </w:r>
      <w:r w:rsidR="00197A73">
        <w:rPr>
          <w:rFonts w:ascii="Times New Roman" w:hAnsi="Times New Roman" w:cs="Times New Roman"/>
          <w:bCs/>
          <w:color w:val="2C2C2C"/>
        </w:rPr>
        <w:t>Nous avons choisi</w:t>
      </w:r>
      <w:r w:rsidRPr="00FA24C6">
        <w:rPr>
          <w:rFonts w:ascii="Times New Roman" w:hAnsi="Times New Roman" w:cs="Times New Roman"/>
          <w:bCs/>
          <w:color w:val="2C2C2C"/>
        </w:rPr>
        <w:t xml:space="preserve"> de rehausser </w:t>
      </w:r>
      <w:r w:rsidRPr="00FA24C6">
        <w:rPr>
          <w:rFonts w:ascii="Times New Roman" w:hAnsi="Times New Roman" w:cs="Times New Roman"/>
          <w:lang w:val="fr-LU"/>
        </w:rPr>
        <w:t>les points de convergence et d’en</w:t>
      </w:r>
      <w:r>
        <w:rPr>
          <w:rFonts w:ascii="Times New Roman" w:hAnsi="Times New Roman" w:cs="Times New Roman"/>
          <w:lang w:val="fr-LU"/>
        </w:rPr>
        <w:t xml:space="preserve">richissement mutuel, mais aussi de divergence et de débat. Le renouvellement épistémologique </w:t>
      </w:r>
      <w:r w:rsidR="00197A73">
        <w:rPr>
          <w:rFonts w:ascii="Times New Roman" w:hAnsi="Times New Roman" w:cs="Times New Roman"/>
          <w:lang w:val="fr-LU"/>
        </w:rPr>
        <w:t>est à ce prix.</w:t>
      </w:r>
      <w:r>
        <w:rPr>
          <w:rFonts w:ascii="Times New Roman" w:hAnsi="Times New Roman" w:cs="Times New Roman"/>
          <w:lang w:val="fr-LU"/>
        </w:rPr>
        <w:t xml:space="preserve"> </w:t>
      </w:r>
    </w:p>
    <w:p w:rsidR="00CF7F5B" w:rsidRDefault="00CF7F5B" w:rsidP="00996947">
      <w:pPr>
        <w:pStyle w:val="Paragraphedeliste"/>
        <w:ind w:left="0"/>
        <w:contextualSpacing w:val="0"/>
        <w:jc w:val="both"/>
        <w:rPr>
          <w:rFonts w:ascii="Times New Roman" w:hAnsi="Times New Roman" w:cs="Times New Roman"/>
        </w:rPr>
      </w:pP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Bibliographie</w:t>
      </w:r>
    </w:p>
    <w:p w:rsidR="00CF7F5B" w:rsidRDefault="00CF7F5B" w:rsidP="00996947">
      <w:pPr>
        <w:pStyle w:val="Paragraphedeliste"/>
        <w:ind w:left="0"/>
        <w:contextualSpacing w:val="0"/>
        <w:jc w:val="both"/>
        <w:rPr>
          <w:rFonts w:ascii="Times New Roman" w:hAnsi="Times New Roman" w:cs="Times New Roman"/>
        </w:rPr>
      </w:pP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Ablali, D</w:t>
      </w:r>
      <w:r w:rsidR="00846D99">
        <w:rPr>
          <w:rFonts w:ascii="Times New Roman" w:hAnsi="Times New Roman" w:cs="Times New Roman"/>
        </w:rPr>
        <w:t>.</w:t>
      </w:r>
      <w:r>
        <w:rPr>
          <w:rFonts w:ascii="Times New Roman" w:hAnsi="Times New Roman" w:cs="Times New Roman"/>
        </w:rPr>
        <w:t xml:space="preserve">, « Types, genres et généricité en débat avec Jean-Michel Adam », </w:t>
      </w:r>
      <w:r w:rsidRPr="00801588">
        <w:rPr>
          <w:rFonts w:ascii="Times New Roman" w:hAnsi="Times New Roman" w:cs="Times New Roman"/>
          <w:i/>
        </w:rPr>
        <w:t>Pratiques</w:t>
      </w:r>
      <w:r>
        <w:rPr>
          <w:rFonts w:ascii="Times New Roman" w:hAnsi="Times New Roman" w:cs="Times New Roman"/>
        </w:rPr>
        <w:t>, n</w:t>
      </w:r>
      <w:r w:rsidRPr="00801588">
        <w:rPr>
          <w:rFonts w:ascii="Times New Roman" w:hAnsi="Times New Roman" w:cs="Times New Roman"/>
          <w:vertAlign w:val="superscript"/>
        </w:rPr>
        <w:t>o</w:t>
      </w:r>
      <w:r w:rsidR="00846D99">
        <w:rPr>
          <w:rFonts w:ascii="Times New Roman" w:hAnsi="Times New Roman" w:cs="Times New Roman"/>
          <w:vertAlign w:val="superscript"/>
        </w:rPr>
        <w:t xml:space="preserve">  </w:t>
      </w:r>
      <w:r>
        <w:rPr>
          <w:rFonts w:ascii="Times New Roman" w:hAnsi="Times New Roman" w:cs="Times New Roman"/>
        </w:rPr>
        <w:t xml:space="preserve">157/158, </w:t>
      </w:r>
      <w:r w:rsidR="00846D99">
        <w:rPr>
          <w:rFonts w:ascii="Times New Roman" w:hAnsi="Times New Roman" w:cs="Times New Roman"/>
        </w:rPr>
        <w:t xml:space="preserve">2013, </w:t>
      </w:r>
      <w:r>
        <w:rPr>
          <w:rFonts w:ascii="Times New Roman" w:hAnsi="Times New Roman" w:cs="Times New Roman"/>
        </w:rPr>
        <w:t>p</w:t>
      </w:r>
      <w:r w:rsidR="00846D99">
        <w:rPr>
          <w:rFonts w:ascii="Times New Roman" w:hAnsi="Times New Roman" w:cs="Times New Roman"/>
        </w:rPr>
        <w:t>p</w:t>
      </w:r>
      <w:r>
        <w:rPr>
          <w:rFonts w:ascii="Times New Roman" w:hAnsi="Times New Roman" w:cs="Times New Roman"/>
        </w:rPr>
        <w:t xml:space="preserve">. 1-19. </w:t>
      </w:r>
    </w:p>
    <w:p w:rsidR="000A02D5" w:rsidRPr="002111ED" w:rsidRDefault="00846D99" w:rsidP="00996947">
      <w:pPr>
        <w:widowControl w:val="0"/>
        <w:autoSpaceDE w:val="0"/>
        <w:autoSpaceDN w:val="0"/>
        <w:adjustRightInd w:val="0"/>
        <w:jc w:val="both"/>
        <w:rPr>
          <w:rFonts w:ascii="Times New Roman" w:hAnsi="Times New Roman" w:cs="Times New Roman"/>
          <w:color w:val="2C2C2C"/>
        </w:rPr>
      </w:pPr>
      <w:r>
        <w:rPr>
          <w:rFonts w:ascii="Times New Roman" w:hAnsi="Times New Roman" w:cs="Times New Roman"/>
          <w:color w:val="2C2C2C"/>
        </w:rPr>
        <w:t>Adam</w:t>
      </w:r>
      <w:r w:rsidR="000A02D5" w:rsidRPr="00130A3E">
        <w:rPr>
          <w:rFonts w:ascii="Times New Roman" w:hAnsi="Times New Roman" w:cs="Times New Roman"/>
          <w:color w:val="2C2C2C"/>
        </w:rPr>
        <w:t xml:space="preserve">, </w:t>
      </w:r>
      <w:r>
        <w:rPr>
          <w:rFonts w:ascii="Times New Roman" w:hAnsi="Times New Roman" w:cs="Times New Roman"/>
          <w:color w:val="2C2C2C"/>
        </w:rPr>
        <w:t>J.-M.,</w:t>
      </w:r>
      <w:r w:rsidR="000A02D5" w:rsidRPr="00130A3E">
        <w:rPr>
          <w:rFonts w:ascii="Times New Roman" w:hAnsi="Times New Roman" w:cs="Times New Roman"/>
          <w:color w:val="2C2C2C"/>
        </w:rPr>
        <w:t xml:space="preserve"> </w:t>
      </w:r>
      <w:r w:rsidR="000A02D5">
        <w:rPr>
          <w:rFonts w:ascii="Times New Roman" w:hAnsi="Times New Roman" w:cs="Times New Roman"/>
          <w:color w:val="2C2C2C"/>
        </w:rPr>
        <w:t>« Le style dans la langue et dans les textes </w:t>
      </w:r>
      <w:r w:rsidR="000A02D5" w:rsidRPr="006A7C20">
        <w:rPr>
          <w:rFonts w:ascii="Times New Roman" w:hAnsi="Times New Roman" w:cs="Times New Roman"/>
          <w:i/>
          <w:color w:val="2C2C2C"/>
        </w:rPr>
        <w:t>», Langue française</w:t>
      </w:r>
      <w:r>
        <w:rPr>
          <w:rFonts w:ascii="Times New Roman" w:hAnsi="Times New Roman" w:cs="Times New Roman"/>
          <w:color w:val="2C2C2C"/>
        </w:rPr>
        <w:t xml:space="preserve">, n° </w:t>
      </w:r>
      <w:r w:rsidR="000A02D5">
        <w:rPr>
          <w:rFonts w:ascii="Times New Roman" w:hAnsi="Times New Roman" w:cs="Times New Roman"/>
          <w:color w:val="2C2C2C"/>
        </w:rPr>
        <w:t xml:space="preserve">135, </w:t>
      </w:r>
      <w:r>
        <w:rPr>
          <w:rFonts w:ascii="Times New Roman" w:hAnsi="Times New Roman" w:cs="Times New Roman"/>
          <w:color w:val="2C2C2C"/>
        </w:rPr>
        <w:t xml:space="preserve">2002, </w:t>
      </w:r>
      <w:r w:rsidR="000A02D5">
        <w:rPr>
          <w:rFonts w:ascii="Times New Roman" w:hAnsi="Times New Roman" w:cs="Times New Roman"/>
          <w:color w:val="2C2C2C"/>
        </w:rPr>
        <w:t xml:space="preserve">pp. 71-94. </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Adam, </w:t>
      </w:r>
      <w:r w:rsidR="00846D99">
        <w:rPr>
          <w:rFonts w:ascii="Times New Roman" w:hAnsi="Times New Roman" w:cs="Times New Roman"/>
        </w:rPr>
        <w:t>J.-M.</w:t>
      </w:r>
      <w:r w:rsidR="00996947">
        <w:rPr>
          <w:rFonts w:ascii="Times New Roman" w:hAnsi="Times New Roman" w:cs="Times New Roman"/>
        </w:rPr>
        <w:t>, </w:t>
      </w:r>
      <w:r>
        <w:rPr>
          <w:rFonts w:ascii="Times New Roman" w:hAnsi="Times New Roman" w:cs="Times New Roman"/>
        </w:rPr>
        <w:t>« </w:t>
      </w:r>
      <w:r w:rsidRPr="00801588">
        <w:rPr>
          <w:rFonts w:ascii="Times New Roman" w:hAnsi="Times New Roman" w:cs="Times New Roman"/>
          <w:i/>
        </w:rPr>
        <w:t>Texte, contexte et discours</w:t>
      </w:r>
      <w:r>
        <w:rPr>
          <w:rFonts w:ascii="Times New Roman" w:hAnsi="Times New Roman" w:cs="Times New Roman"/>
        </w:rPr>
        <w:t xml:space="preserve"> en questions », </w:t>
      </w:r>
      <w:r w:rsidRPr="00801588">
        <w:rPr>
          <w:rFonts w:ascii="Times New Roman" w:hAnsi="Times New Roman" w:cs="Times New Roman"/>
          <w:i/>
        </w:rPr>
        <w:t>Pratiques</w:t>
      </w:r>
      <w:r>
        <w:rPr>
          <w:rFonts w:ascii="Times New Roman" w:hAnsi="Times New Roman" w:cs="Times New Roman"/>
        </w:rPr>
        <w:t>, n</w:t>
      </w:r>
      <w:r w:rsidRPr="00801588">
        <w:rPr>
          <w:rFonts w:ascii="Times New Roman" w:hAnsi="Times New Roman" w:cs="Times New Roman"/>
          <w:vertAlign w:val="superscript"/>
        </w:rPr>
        <w:t xml:space="preserve">o </w:t>
      </w:r>
      <w:r>
        <w:rPr>
          <w:rFonts w:ascii="Times New Roman" w:hAnsi="Times New Roman" w:cs="Times New Roman"/>
        </w:rPr>
        <w:t xml:space="preserve">129-130, </w:t>
      </w:r>
      <w:r w:rsidR="00846D99">
        <w:rPr>
          <w:rFonts w:ascii="Times New Roman" w:hAnsi="Times New Roman" w:cs="Times New Roman"/>
        </w:rPr>
        <w:t xml:space="preserve">2006,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21-34.</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Adam, </w:t>
      </w:r>
      <w:r w:rsidR="00B210CE">
        <w:rPr>
          <w:rFonts w:ascii="Times New Roman" w:hAnsi="Times New Roman" w:cs="Times New Roman"/>
        </w:rPr>
        <w:t>J.-M.</w:t>
      </w:r>
      <w:r>
        <w:rPr>
          <w:rFonts w:ascii="Times New Roman" w:hAnsi="Times New Roman" w:cs="Times New Roman"/>
        </w:rPr>
        <w:t xml:space="preserve">, « Discursivité, généricité et textualité », </w:t>
      </w:r>
      <w:r w:rsidRPr="00801588">
        <w:rPr>
          <w:rFonts w:ascii="Times New Roman" w:hAnsi="Times New Roman" w:cs="Times New Roman"/>
          <w:i/>
        </w:rPr>
        <w:t>Recherches</w:t>
      </w:r>
      <w:r>
        <w:rPr>
          <w:rFonts w:ascii="Times New Roman" w:hAnsi="Times New Roman" w:cs="Times New Roman"/>
        </w:rPr>
        <w:t>, n</w:t>
      </w:r>
      <w:r w:rsidRPr="00801588">
        <w:rPr>
          <w:rFonts w:ascii="Times New Roman" w:hAnsi="Times New Roman" w:cs="Times New Roman"/>
          <w:vertAlign w:val="superscript"/>
        </w:rPr>
        <w:t>o</w:t>
      </w:r>
      <w:r>
        <w:rPr>
          <w:rFonts w:ascii="Times New Roman" w:hAnsi="Times New Roman" w:cs="Times New Roman"/>
        </w:rPr>
        <w:t xml:space="preserve"> 56, </w:t>
      </w:r>
      <w:r w:rsidR="00B210CE">
        <w:rPr>
          <w:rFonts w:ascii="Times New Roman" w:hAnsi="Times New Roman" w:cs="Times New Roman"/>
        </w:rPr>
        <w:t xml:space="preserve">2012-1,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9-27.</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Adam, </w:t>
      </w:r>
      <w:r w:rsidR="00B210CE">
        <w:rPr>
          <w:rFonts w:ascii="Times New Roman" w:hAnsi="Times New Roman" w:cs="Times New Roman"/>
        </w:rPr>
        <w:t>J.-M.</w:t>
      </w:r>
      <w:r>
        <w:rPr>
          <w:rFonts w:ascii="Times New Roman" w:hAnsi="Times New Roman" w:cs="Times New Roman"/>
        </w:rPr>
        <w:t xml:space="preserve">, « Introduction aux problèmes du texte », </w:t>
      </w:r>
      <w:r w:rsidRPr="00801588">
        <w:rPr>
          <w:rFonts w:ascii="Times New Roman" w:hAnsi="Times New Roman" w:cs="Times New Roman"/>
          <w:i/>
        </w:rPr>
        <w:t xml:space="preserve">in </w:t>
      </w:r>
      <w:r>
        <w:rPr>
          <w:rFonts w:ascii="Times New Roman" w:hAnsi="Times New Roman" w:cs="Times New Roman"/>
        </w:rPr>
        <w:t xml:space="preserve">Adam (éd.), </w:t>
      </w:r>
      <w:r w:rsidRPr="00E93BBB">
        <w:rPr>
          <w:rFonts w:ascii="Times New Roman" w:hAnsi="Times New Roman" w:cs="Times New Roman"/>
          <w:i/>
        </w:rPr>
        <w:t>Faire texte. Frontières textuelles et opérations de textualisation</w:t>
      </w:r>
      <w:r>
        <w:rPr>
          <w:rFonts w:ascii="Times New Roman" w:hAnsi="Times New Roman" w:cs="Times New Roman"/>
        </w:rPr>
        <w:t xml:space="preserve">, Presses universitaires de Franche-Comté, </w:t>
      </w:r>
      <w:r w:rsidR="00996947">
        <w:rPr>
          <w:rFonts w:ascii="Times New Roman" w:hAnsi="Times New Roman" w:cs="Times New Roman"/>
        </w:rPr>
        <w:t>2015a</w:t>
      </w:r>
      <w:r w:rsidR="00B210CE">
        <w:rPr>
          <w:rFonts w:ascii="Times New Roman" w:hAnsi="Times New Roman" w:cs="Times New Roman"/>
        </w:rPr>
        <w:t xml:space="preserve">,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11-33.</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lastRenderedPageBreak/>
        <w:t xml:space="preserve">Adam, </w:t>
      </w:r>
      <w:r w:rsidR="00B210CE">
        <w:rPr>
          <w:rFonts w:ascii="Times New Roman" w:hAnsi="Times New Roman" w:cs="Times New Roman"/>
        </w:rPr>
        <w:t>J.-M.</w:t>
      </w:r>
      <w:r>
        <w:rPr>
          <w:rFonts w:ascii="Times New Roman" w:hAnsi="Times New Roman" w:cs="Times New Roman"/>
        </w:rPr>
        <w:t xml:space="preserve">, « Le problème du texte dans l’analyse du discours développée par Dominique Maingueneau (1976-2014) », </w:t>
      </w:r>
      <w:r w:rsidRPr="00C64C66">
        <w:rPr>
          <w:rFonts w:ascii="Times New Roman" w:hAnsi="Times New Roman" w:cs="Times New Roman"/>
          <w:i/>
        </w:rPr>
        <w:t>in</w:t>
      </w:r>
      <w:r>
        <w:rPr>
          <w:rFonts w:ascii="Times New Roman" w:hAnsi="Times New Roman" w:cs="Times New Roman"/>
        </w:rPr>
        <w:t xml:space="preserve"> Angermuller &amp; Philippe (éds), </w:t>
      </w:r>
      <w:r w:rsidRPr="00C64C66">
        <w:rPr>
          <w:rFonts w:ascii="Times New Roman" w:hAnsi="Times New Roman" w:cs="Times New Roman"/>
          <w:i/>
        </w:rPr>
        <w:t>Analyse du discours et dispositifs d’énonciation</w:t>
      </w:r>
      <w:r>
        <w:rPr>
          <w:rFonts w:ascii="Times New Roman" w:hAnsi="Times New Roman" w:cs="Times New Roman"/>
        </w:rPr>
        <w:t xml:space="preserve">, Lambert-Lucas, </w:t>
      </w:r>
      <w:r w:rsidR="00B210CE">
        <w:rPr>
          <w:rFonts w:ascii="Times New Roman" w:hAnsi="Times New Roman" w:cs="Times New Roman"/>
        </w:rPr>
        <w:t>2015</w:t>
      </w:r>
      <w:r w:rsidR="00996947">
        <w:rPr>
          <w:rFonts w:ascii="Times New Roman" w:hAnsi="Times New Roman" w:cs="Times New Roman"/>
        </w:rPr>
        <w:t>b</w:t>
      </w:r>
      <w:r w:rsidR="00B210CE">
        <w:rPr>
          <w:rFonts w:ascii="Times New Roman" w:hAnsi="Times New Roman" w:cs="Times New Roman"/>
        </w:rPr>
        <w:t xml:space="preserve">,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xml:space="preserve">. 41-50. </w:t>
      </w:r>
    </w:p>
    <w:p w:rsidR="000A02D5" w:rsidRPr="00801588"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Adam, </w:t>
      </w:r>
      <w:r w:rsidR="00B210CE">
        <w:rPr>
          <w:rFonts w:ascii="Times New Roman" w:hAnsi="Times New Roman" w:cs="Times New Roman"/>
        </w:rPr>
        <w:t>J.-M.</w:t>
      </w:r>
      <w:r>
        <w:rPr>
          <w:rFonts w:ascii="Times New Roman" w:hAnsi="Times New Roman" w:cs="Times New Roman"/>
        </w:rPr>
        <w:t xml:space="preserve">, Philippe, </w:t>
      </w:r>
      <w:r w:rsidR="00B210CE">
        <w:rPr>
          <w:rFonts w:ascii="Times New Roman" w:hAnsi="Times New Roman" w:cs="Times New Roman"/>
        </w:rPr>
        <w:t>G.</w:t>
      </w:r>
      <w:r>
        <w:rPr>
          <w:rFonts w:ascii="Times New Roman" w:hAnsi="Times New Roman" w:cs="Times New Roman"/>
        </w:rPr>
        <w:t xml:space="preserve">, « Continuité et textualité », </w:t>
      </w:r>
      <w:r w:rsidRPr="00801588">
        <w:rPr>
          <w:rFonts w:ascii="Times New Roman" w:hAnsi="Times New Roman" w:cs="Times New Roman"/>
          <w:i/>
        </w:rPr>
        <w:t xml:space="preserve">in </w:t>
      </w:r>
      <w:r>
        <w:rPr>
          <w:rFonts w:ascii="Times New Roman" w:hAnsi="Times New Roman" w:cs="Times New Roman"/>
        </w:rPr>
        <w:t xml:space="preserve">Adam (éd.), </w:t>
      </w:r>
      <w:r w:rsidRPr="00D7262C">
        <w:rPr>
          <w:rFonts w:ascii="Times New Roman" w:hAnsi="Times New Roman" w:cs="Times New Roman"/>
          <w:i/>
        </w:rPr>
        <w:t>Faire texte. Frontières textuelles e</w:t>
      </w:r>
      <w:r w:rsidR="00E93BBB" w:rsidRPr="00D7262C">
        <w:rPr>
          <w:rFonts w:ascii="Times New Roman" w:hAnsi="Times New Roman" w:cs="Times New Roman"/>
          <w:i/>
        </w:rPr>
        <w:t>t opérations de textualisation</w:t>
      </w:r>
      <w:r w:rsidR="00E93BBB">
        <w:rPr>
          <w:rFonts w:ascii="Times New Roman" w:hAnsi="Times New Roman" w:cs="Times New Roman"/>
        </w:rPr>
        <w:t>,</w:t>
      </w:r>
      <w:r>
        <w:rPr>
          <w:rFonts w:ascii="Times New Roman" w:hAnsi="Times New Roman" w:cs="Times New Roman"/>
        </w:rPr>
        <w:t xml:space="preserve"> Presses universitaires de Franche-Comté, </w:t>
      </w:r>
      <w:r w:rsidR="00D7262C">
        <w:rPr>
          <w:rFonts w:ascii="Times New Roman" w:hAnsi="Times New Roman" w:cs="Times New Roman"/>
        </w:rPr>
        <w:t>2015</w:t>
      </w:r>
      <w:r w:rsidR="00B210CE">
        <w:rPr>
          <w:rFonts w:ascii="Times New Roman" w:hAnsi="Times New Roman" w:cs="Times New Roman"/>
        </w:rPr>
        <w:t xml:space="preserve">,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xml:space="preserve">. 35-80. </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Angermuller, </w:t>
      </w:r>
      <w:r w:rsidR="00B210CE">
        <w:rPr>
          <w:rFonts w:ascii="Times New Roman" w:hAnsi="Times New Roman" w:cs="Times New Roman"/>
        </w:rPr>
        <w:t>J.,</w:t>
      </w:r>
      <w:r>
        <w:rPr>
          <w:rFonts w:ascii="Times New Roman" w:hAnsi="Times New Roman" w:cs="Times New Roman"/>
        </w:rPr>
        <w:t xml:space="preserve"> « Introduction. L’analyse du discours en Allemagne et en France. Croisements nationaux et limites disciplinaires », </w:t>
      </w:r>
      <w:r w:rsidRPr="00801588">
        <w:rPr>
          <w:rFonts w:ascii="Times New Roman" w:hAnsi="Times New Roman" w:cs="Times New Roman"/>
          <w:i/>
        </w:rPr>
        <w:t>Langage et société</w:t>
      </w:r>
      <w:r>
        <w:rPr>
          <w:rFonts w:ascii="Times New Roman" w:hAnsi="Times New Roman" w:cs="Times New Roman"/>
        </w:rPr>
        <w:t>, n</w:t>
      </w:r>
      <w:r w:rsidRPr="00801588">
        <w:rPr>
          <w:rFonts w:ascii="Times New Roman" w:hAnsi="Times New Roman" w:cs="Times New Roman"/>
          <w:vertAlign w:val="superscript"/>
        </w:rPr>
        <w:t xml:space="preserve">o </w:t>
      </w:r>
      <w:r>
        <w:rPr>
          <w:rFonts w:ascii="Times New Roman" w:hAnsi="Times New Roman" w:cs="Times New Roman"/>
        </w:rPr>
        <w:t xml:space="preserve">120, </w:t>
      </w:r>
      <w:r w:rsidR="00B210CE">
        <w:rPr>
          <w:rFonts w:ascii="Times New Roman" w:hAnsi="Times New Roman" w:cs="Times New Roman"/>
        </w:rPr>
        <w:t xml:space="preserve">2007,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5-16.</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Angermuller, J</w:t>
      </w:r>
      <w:r w:rsidR="00B210CE">
        <w:rPr>
          <w:rFonts w:ascii="Times New Roman" w:hAnsi="Times New Roman" w:cs="Times New Roman"/>
        </w:rPr>
        <w:t>.</w:t>
      </w:r>
      <w:r>
        <w:rPr>
          <w:rFonts w:ascii="Times New Roman" w:hAnsi="Times New Roman" w:cs="Times New Roman"/>
        </w:rPr>
        <w:t>, Maingueneau, D</w:t>
      </w:r>
      <w:r w:rsidR="00B210CE">
        <w:rPr>
          <w:rFonts w:ascii="Times New Roman" w:hAnsi="Times New Roman" w:cs="Times New Roman"/>
        </w:rPr>
        <w:t xml:space="preserve">., </w:t>
      </w:r>
      <w:r>
        <w:rPr>
          <w:rFonts w:ascii="Times New Roman" w:hAnsi="Times New Roman" w:cs="Times New Roman"/>
        </w:rPr>
        <w:t>Wodak, R</w:t>
      </w:r>
      <w:r w:rsidR="006A61E8">
        <w:rPr>
          <w:rFonts w:ascii="Times New Roman" w:hAnsi="Times New Roman" w:cs="Times New Roman"/>
        </w:rPr>
        <w:t>.</w:t>
      </w:r>
      <w:r>
        <w:rPr>
          <w:rFonts w:ascii="Times New Roman" w:hAnsi="Times New Roman" w:cs="Times New Roman"/>
        </w:rPr>
        <w:t xml:space="preserve">, </w:t>
      </w:r>
      <w:r w:rsidRPr="006C5554">
        <w:rPr>
          <w:rFonts w:ascii="Times New Roman" w:hAnsi="Times New Roman" w:cs="Times New Roman"/>
          <w:i/>
        </w:rPr>
        <w:t>The Discourse Studies Reader. Main currents in theory and analysis,</w:t>
      </w:r>
      <w:r>
        <w:rPr>
          <w:rFonts w:ascii="Times New Roman" w:hAnsi="Times New Roman" w:cs="Times New Roman"/>
        </w:rPr>
        <w:t xml:space="preserve"> Jo</w:t>
      </w:r>
      <w:r w:rsidR="00B210CE">
        <w:rPr>
          <w:rFonts w:ascii="Times New Roman" w:hAnsi="Times New Roman" w:cs="Times New Roman"/>
        </w:rPr>
        <w:t>hn Benjamins Publishing Company, 2014.</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Angermuller, </w:t>
      </w:r>
      <w:r w:rsidR="00B210CE">
        <w:rPr>
          <w:rFonts w:ascii="Times New Roman" w:hAnsi="Times New Roman" w:cs="Times New Roman"/>
        </w:rPr>
        <w:t>J.,</w:t>
      </w:r>
      <w:r>
        <w:rPr>
          <w:rFonts w:ascii="Times New Roman" w:hAnsi="Times New Roman" w:cs="Times New Roman"/>
        </w:rPr>
        <w:t xml:space="preserve"> Philippe, G</w:t>
      </w:r>
      <w:r w:rsidR="00B210CE">
        <w:rPr>
          <w:rFonts w:ascii="Times New Roman" w:hAnsi="Times New Roman" w:cs="Times New Roman"/>
        </w:rPr>
        <w:t>.</w:t>
      </w:r>
      <w:r>
        <w:rPr>
          <w:rFonts w:ascii="Times New Roman" w:hAnsi="Times New Roman" w:cs="Times New Roman"/>
        </w:rPr>
        <w:t xml:space="preserve">, « Dominique Maingueneau : l’analyse du discours et le tournant pragmatico-discursif des sciences du langage », </w:t>
      </w:r>
      <w:r w:rsidRPr="00C64C66">
        <w:rPr>
          <w:rFonts w:ascii="Times New Roman" w:hAnsi="Times New Roman" w:cs="Times New Roman"/>
          <w:i/>
        </w:rPr>
        <w:t>in</w:t>
      </w:r>
      <w:r>
        <w:rPr>
          <w:rFonts w:ascii="Times New Roman" w:hAnsi="Times New Roman" w:cs="Times New Roman"/>
        </w:rPr>
        <w:t xml:space="preserve"> </w:t>
      </w:r>
      <w:r w:rsidR="00B210CE">
        <w:rPr>
          <w:rFonts w:ascii="Times New Roman" w:hAnsi="Times New Roman" w:cs="Times New Roman"/>
        </w:rPr>
        <w:t>Angermuller,</w:t>
      </w:r>
      <w:r>
        <w:rPr>
          <w:rFonts w:ascii="Times New Roman" w:hAnsi="Times New Roman" w:cs="Times New Roman"/>
        </w:rPr>
        <w:t xml:space="preserve"> Philippe (éds), </w:t>
      </w:r>
      <w:r w:rsidRPr="00C64C66">
        <w:rPr>
          <w:rFonts w:ascii="Times New Roman" w:hAnsi="Times New Roman" w:cs="Times New Roman"/>
          <w:i/>
        </w:rPr>
        <w:t>Analyse du discours et dispositifs d’énonciation</w:t>
      </w:r>
      <w:r>
        <w:rPr>
          <w:rFonts w:ascii="Times New Roman" w:hAnsi="Times New Roman" w:cs="Times New Roman"/>
        </w:rPr>
        <w:t xml:space="preserve">, Lambert-Lucas, </w:t>
      </w:r>
      <w:r w:rsidR="00B210CE">
        <w:rPr>
          <w:rFonts w:ascii="Times New Roman" w:hAnsi="Times New Roman" w:cs="Times New Roman"/>
        </w:rPr>
        <w:t xml:space="preserve">2015,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7-15.</w:t>
      </w:r>
    </w:p>
    <w:p w:rsidR="000A02D5" w:rsidRDefault="000A02D5" w:rsidP="00996947">
      <w:pPr>
        <w:widowControl w:val="0"/>
        <w:autoSpaceDE w:val="0"/>
        <w:autoSpaceDN w:val="0"/>
        <w:adjustRightInd w:val="0"/>
        <w:jc w:val="both"/>
        <w:rPr>
          <w:rFonts w:ascii="Times New Roman" w:hAnsi="Times New Roman" w:cs="Times New Roman"/>
        </w:rPr>
      </w:pPr>
      <w:r w:rsidRPr="00A25E10">
        <w:rPr>
          <w:rFonts w:ascii="Times New Roman" w:hAnsi="Times New Roman" w:cs="Times New Roman"/>
        </w:rPr>
        <w:t>Colas-Blaise, M</w:t>
      </w:r>
      <w:r w:rsidR="00B210CE">
        <w:rPr>
          <w:rFonts w:ascii="Times New Roman" w:hAnsi="Times New Roman" w:cs="Times New Roman"/>
        </w:rPr>
        <w:t>.</w:t>
      </w:r>
      <w:r w:rsidRPr="00A25E10">
        <w:rPr>
          <w:rFonts w:ascii="Times New Roman" w:hAnsi="Times New Roman" w:cs="Times New Roman"/>
        </w:rPr>
        <w:t xml:space="preserve">, «Forme de vie et formes de vie», </w:t>
      </w:r>
      <w:r w:rsidRPr="00A25E10">
        <w:rPr>
          <w:rFonts w:ascii="Times New Roman" w:hAnsi="Times New Roman" w:cs="Times New Roman"/>
          <w:i/>
        </w:rPr>
        <w:t>Actes sémiotiques</w:t>
      </w:r>
      <w:r>
        <w:rPr>
          <w:rFonts w:ascii="Times New Roman" w:hAnsi="Times New Roman" w:cs="Times New Roman"/>
        </w:rPr>
        <w:t>,</w:t>
      </w:r>
      <w:r w:rsidRPr="00A25E10">
        <w:rPr>
          <w:rFonts w:ascii="Times New Roman" w:hAnsi="Times New Roman" w:cs="Times New Roman"/>
        </w:rPr>
        <w:t xml:space="preserve"> </w:t>
      </w:r>
      <w:r>
        <w:rPr>
          <w:rFonts w:ascii="Times New Roman" w:hAnsi="Times New Roman" w:cs="Times New Roman"/>
        </w:rPr>
        <w:t xml:space="preserve">n° 115, </w:t>
      </w:r>
      <w:r w:rsidR="00B210CE" w:rsidRPr="00A25E10">
        <w:rPr>
          <w:rFonts w:ascii="Times New Roman" w:hAnsi="Times New Roman" w:cs="Times New Roman"/>
        </w:rPr>
        <w:t>2012,</w:t>
      </w:r>
      <w:r w:rsidR="00B210CE">
        <w:rPr>
          <w:rFonts w:ascii="Times New Roman" w:hAnsi="Times New Roman" w:cs="Times New Roman"/>
        </w:rPr>
        <w:t xml:space="preserve"> </w:t>
      </w:r>
      <w:r>
        <w:rPr>
          <w:rFonts w:ascii="Times New Roman" w:hAnsi="Times New Roman" w:cs="Times New Roman"/>
        </w:rPr>
        <w:t>p</w:t>
      </w:r>
      <w:r w:rsidR="00B210CE">
        <w:rPr>
          <w:rFonts w:ascii="Times New Roman" w:hAnsi="Times New Roman" w:cs="Times New Roman"/>
        </w:rPr>
        <w:t>p</w:t>
      </w:r>
      <w:r>
        <w:rPr>
          <w:rFonts w:ascii="Times New Roman" w:hAnsi="Times New Roman" w:cs="Times New Roman"/>
        </w:rPr>
        <w:t>. 99-123.</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Fontanille, J</w:t>
      </w:r>
      <w:r w:rsidR="00E93BBB">
        <w:rPr>
          <w:rFonts w:ascii="Times New Roman" w:hAnsi="Times New Roman" w:cs="Times New Roman"/>
        </w:rPr>
        <w:t>.</w:t>
      </w:r>
      <w:r>
        <w:rPr>
          <w:rFonts w:ascii="Times New Roman" w:hAnsi="Times New Roman" w:cs="Times New Roman"/>
        </w:rPr>
        <w:t xml:space="preserve">, </w:t>
      </w:r>
      <w:r w:rsidRPr="006C5554">
        <w:rPr>
          <w:rFonts w:ascii="Times New Roman" w:hAnsi="Times New Roman" w:cs="Times New Roman"/>
          <w:i/>
        </w:rPr>
        <w:t>Sémiotique du discours</w:t>
      </w:r>
      <w:r>
        <w:rPr>
          <w:rFonts w:ascii="Times New Roman" w:hAnsi="Times New Roman" w:cs="Times New Roman"/>
        </w:rPr>
        <w:t xml:space="preserve">, Limoges, </w:t>
      </w:r>
      <w:r w:rsidR="00E93BBB">
        <w:rPr>
          <w:rFonts w:ascii="Times New Roman" w:hAnsi="Times New Roman" w:cs="Times New Roman"/>
        </w:rPr>
        <w:t>Pulim, 2003 [1998].</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Fontanille, J</w:t>
      </w:r>
      <w:r w:rsidR="00E93BBB">
        <w:rPr>
          <w:rFonts w:ascii="Times New Roman" w:hAnsi="Times New Roman" w:cs="Times New Roman"/>
        </w:rPr>
        <w:t>.</w:t>
      </w:r>
      <w:r>
        <w:rPr>
          <w:rFonts w:ascii="Times New Roman" w:hAnsi="Times New Roman" w:cs="Times New Roman"/>
        </w:rPr>
        <w:t xml:space="preserve">, </w:t>
      </w:r>
      <w:r w:rsidRPr="006C5554">
        <w:rPr>
          <w:rFonts w:ascii="Times New Roman" w:hAnsi="Times New Roman" w:cs="Times New Roman"/>
          <w:i/>
        </w:rPr>
        <w:t>Pratiques sémiotiques</w:t>
      </w:r>
      <w:r w:rsidR="00E93BBB">
        <w:rPr>
          <w:rFonts w:ascii="Times New Roman" w:hAnsi="Times New Roman" w:cs="Times New Roman"/>
        </w:rPr>
        <w:t>, PUF, 2008.</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Fontanille, J</w:t>
      </w:r>
      <w:r w:rsidR="00E93BBB">
        <w:rPr>
          <w:rFonts w:ascii="Times New Roman" w:hAnsi="Times New Roman" w:cs="Times New Roman"/>
        </w:rPr>
        <w:t>.</w:t>
      </w:r>
      <w:r>
        <w:rPr>
          <w:rFonts w:ascii="Times New Roman" w:hAnsi="Times New Roman" w:cs="Times New Roman"/>
        </w:rPr>
        <w:t xml:space="preserve">, « L’énonciation pratique : exploration, schématisation et transposition », </w:t>
      </w:r>
      <w:r w:rsidRPr="00E93BBB">
        <w:rPr>
          <w:rFonts w:ascii="Times New Roman" w:hAnsi="Times New Roman" w:cs="Times New Roman"/>
          <w:i/>
        </w:rPr>
        <w:t>in</w:t>
      </w:r>
      <w:r>
        <w:rPr>
          <w:rFonts w:ascii="Times New Roman" w:hAnsi="Times New Roman" w:cs="Times New Roman"/>
        </w:rPr>
        <w:t xml:space="preserve"> Le consortium ARC COMMON (éd.), </w:t>
      </w:r>
      <w:r w:rsidRPr="00AE27DC">
        <w:rPr>
          <w:rFonts w:ascii="Times New Roman" w:hAnsi="Times New Roman" w:cs="Times New Roman"/>
          <w:i/>
        </w:rPr>
        <w:t>Common 14, Communication multimodale et collaboration instrumentée</w:t>
      </w:r>
      <w:r>
        <w:rPr>
          <w:rFonts w:ascii="Times New Roman" w:hAnsi="Times New Roman" w:cs="Times New Roman"/>
        </w:rPr>
        <w:t xml:space="preserve">, </w:t>
      </w:r>
      <w:r w:rsidR="00E93BBB">
        <w:rPr>
          <w:rFonts w:ascii="Times New Roman" w:hAnsi="Times New Roman" w:cs="Times New Roman"/>
        </w:rPr>
        <w:t xml:space="preserve">2014, </w:t>
      </w:r>
      <w:r>
        <w:rPr>
          <w:rFonts w:ascii="Times New Roman" w:hAnsi="Times New Roman" w:cs="Times New Roman"/>
        </w:rPr>
        <w:t>p</w:t>
      </w:r>
      <w:r w:rsidR="00E93BBB">
        <w:rPr>
          <w:rFonts w:ascii="Times New Roman" w:hAnsi="Times New Roman" w:cs="Times New Roman"/>
        </w:rPr>
        <w:t>p</w:t>
      </w:r>
      <w:r>
        <w:rPr>
          <w:rFonts w:ascii="Times New Roman" w:hAnsi="Times New Roman" w:cs="Times New Roman"/>
        </w:rPr>
        <w:t>. 25-28 </w:t>
      </w:r>
      <w:r w:rsidR="00996947">
        <w:rPr>
          <w:rFonts w:ascii="Times New Roman" w:hAnsi="Times New Roman" w:cs="Times New Roman"/>
        </w:rPr>
        <w:t>(consulté le 01/03/2016). </w:t>
      </w:r>
      <w:r w:rsidR="00CF7F5B">
        <w:rPr>
          <w:rFonts w:ascii="Times New Roman" w:hAnsi="Times New Roman" w:cs="Times New Roman"/>
        </w:rPr>
        <w:t>D</w:t>
      </w:r>
      <w:r>
        <w:rPr>
          <w:rFonts w:ascii="Times New Roman" w:hAnsi="Times New Roman" w:cs="Times New Roman"/>
        </w:rPr>
        <w:t>isponible sur : &lt;</w:t>
      </w:r>
      <w:hyperlink r:id="rId7" w:history="1">
        <w:r w:rsidRPr="002523A1">
          <w:rPr>
            <w:rStyle w:val="Lienhypertexte"/>
            <w:rFonts w:ascii="Times New Roman" w:hAnsi="Times New Roman" w:cs="Times New Roman"/>
          </w:rPr>
          <w:t>www.lucid.ulg.ac.be/conferences/common14/download,php</w:t>
        </w:r>
      </w:hyperlink>
      <w:r>
        <w:rPr>
          <w:rFonts w:ascii="Times New Roman" w:hAnsi="Times New Roman" w:cs="Times New Roman"/>
        </w:rPr>
        <w:t xml:space="preserve">&gt;. </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Fontanille, J</w:t>
      </w:r>
      <w:r w:rsidR="00E93BBB">
        <w:rPr>
          <w:rFonts w:ascii="Times New Roman" w:hAnsi="Times New Roman" w:cs="Times New Roman"/>
        </w:rPr>
        <w:t>.</w:t>
      </w:r>
      <w:r>
        <w:rPr>
          <w:rFonts w:ascii="Times New Roman" w:hAnsi="Times New Roman" w:cs="Times New Roman"/>
        </w:rPr>
        <w:t xml:space="preserve">, </w:t>
      </w:r>
      <w:r w:rsidRPr="006C5554">
        <w:rPr>
          <w:rFonts w:ascii="Times New Roman" w:hAnsi="Times New Roman" w:cs="Times New Roman"/>
          <w:i/>
        </w:rPr>
        <w:t>Formes de vie</w:t>
      </w:r>
      <w:r>
        <w:rPr>
          <w:rFonts w:ascii="Times New Roman" w:hAnsi="Times New Roman" w:cs="Times New Roman"/>
        </w:rPr>
        <w:t>, P</w:t>
      </w:r>
      <w:r w:rsidR="00E93BBB">
        <w:rPr>
          <w:rFonts w:ascii="Times New Roman" w:hAnsi="Times New Roman" w:cs="Times New Roman"/>
        </w:rPr>
        <w:t>resses universitaires de Liège, 2015</w:t>
      </w:r>
      <w:r w:rsidR="00FC6937">
        <w:rPr>
          <w:rFonts w:ascii="Times New Roman" w:hAnsi="Times New Roman" w:cs="Times New Roman"/>
        </w:rPr>
        <w:t>a</w:t>
      </w:r>
      <w:r w:rsidR="00E93BBB">
        <w:rPr>
          <w:rFonts w:ascii="Times New Roman" w:hAnsi="Times New Roman" w:cs="Times New Roman"/>
        </w:rPr>
        <w:t>.</w:t>
      </w:r>
    </w:p>
    <w:p w:rsidR="00FC6937" w:rsidRPr="00C923C3" w:rsidRDefault="00FC6937" w:rsidP="00996947">
      <w:pPr>
        <w:tabs>
          <w:tab w:val="left" w:pos="1000"/>
        </w:tabs>
        <w:jc w:val="both"/>
        <w:rPr>
          <w:rFonts w:ascii="Times New Roman" w:hAnsi="Times New Roman" w:cs="Times New Roman"/>
        </w:rPr>
      </w:pPr>
      <w:r>
        <w:rPr>
          <w:rFonts w:ascii="Times New Roman" w:hAnsi="Times New Roman" w:cs="Times New Roman"/>
        </w:rPr>
        <w:t>F</w:t>
      </w:r>
      <w:r w:rsidRPr="00C923C3">
        <w:rPr>
          <w:rFonts w:ascii="Times New Roman" w:hAnsi="Times New Roman" w:cs="Times New Roman"/>
        </w:rPr>
        <w:t xml:space="preserve">ontanille, </w:t>
      </w:r>
      <w:r>
        <w:rPr>
          <w:rFonts w:ascii="Times New Roman" w:hAnsi="Times New Roman" w:cs="Times New Roman"/>
        </w:rPr>
        <w:t>J., « La sémiotiqu</w:t>
      </w:r>
      <w:r w:rsidRPr="00C923C3">
        <w:rPr>
          <w:rFonts w:ascii="Times New Roman" w:hAnsi="Times New Roman" w:cs="Times New Roman"/>
        </w:rPr>
        <w:t>e face aux grands défis sociétaux du XXI</w:t>
      </w:r>
      <w:r w:rsidRPr="00C923C3">
        <w:rPr>
          <w:rFonts w:ascii="Times New Roman" w:hAnsi="Times New Roman" w:cs="Times New Roman"/>
          <w:position w:val="4"/>
          <w:vertAlign w:val="superscript"/>
        </w:rPr>
        <w:t xml:space="preserve"> e</w:t>
      </w:r>
      <w:r w:rsidRPr="00C923C3">
        <w:rPr>
          <w:rFonts w:ascii="Times New Roman" w:hAnsi="Times New Roman" w:cs="Times New Roman"/>
        </w:rPr>
        <w:t xml:space="preserve"> siècle », </w:t>
      </w:r>
      <w:r w:rsidRPr="00C923C3">
        <w:rPr>
          <w:rFonts w:ascii="Times New Roman" w:hAnsi="Times New Roman" w:cs="Times New Roman"/>
          <w:i/>
          <w:iCs/>
        </w:rPr>
        <w:t xml:space="preserve">Actes sémiotiques, </w:t>
      </w:r>
      <w:r w:rsidRPr="00C923C3">
        <w:rPr>
          <w:rFonts w:ascii="Times New Roman" w:hAnsi="Times New Roman" w:cs="Times New Roman"/>
        </w:rPr>
        <w:t>n° 118</w:t>
      </w:r>
      <w:r>
        <w:rPr>
          <w:rFonts w:ascii="Times New Roman" w:hAnsi="Times New Roman" w:cs="Times New Roman"/>
        </w:rPr>
        <w:t>, 2015b</w:t>
      </w:r>
      <w:r w:rsidR="00CF7F5B">
        <w:rPr>
          <w:rFonts w:ascii="Times New Roman" w:hAnsi="Times New Roman" w:cs="Times New Roman"/>
          <w:i/>
          <w:iCs/>
        </w:rPr>
        <w:t xml:space="preserve"> </w:t>
      </w:r>
      <w:r w:rsidR="00CF7F5B" w:rsidRPr="00C923C3">
        <w:rPr>
          <w:rFonts w:ascii="Times New Roman" w:hAnsi="Times New Roman" w:cs="Times New Roman"/>
        </w:rPr>
        <w:t xml:space="preserve">(consulté </w:t>
      </w:r>
      <w:r w:rsidR="00CF7F5B">
        <w:rPr>
          <w:rFonts w:ascii="Times New Roman" w:hAnsi="Times New Roman" w:cs="Times New Roman"/>
        </w:rPr>
        <w:t>le 01/03</w:t>
      </w:r>
      <w:r w:rsidR="00CF7F5B" w:rsidRPr="00C923C3">
        <w:rPr>
          <w:rFonts w:ascii="Times New Roman" w:hAnsi="Times New Roman" w:cs="Times New Roman"/>
        </w:rPr>
        <w:t>/2016).</w:t>
      </w:r>
      <w:r w:rsidR="00CF7F5B">
        <w:rPr>
          <w:rFonts w:ascii="Times New Roman" w:hAnsi="Times New Roman" w:cs="Times New Roman"/>
          <w:i/>
          <w:iCs/>
        </w:rPr>
        <w:t xml:space="preserve"> </w:t>
      </w:r>
      <w:r w:rsidRPr="00C923C3">
        <w:rPr>
          <w:rFonts w:ascii="Times New Roman" w:hAnsi="Times New Roman" w:cs="Times New Roman"/>
        </w:rPr>
        <w:t xml:space="preserve">Disponible sur : </w:t>
      </w:r>
      <w:r w:rsidR="00CF7F5B">
        <w:rPr>
          <w:rFonts w:ascii="Times New Roman" w:hAnsi="Times New Roman" w:cs="Times New Roman"/>
        </w:rPr>
        <w:t>&lt;</w:t>
      </w:r>
      <w:hyperlink r:id="rId8" w:history="1">
        <w:r w:rsidR="00CF7F5B" w:rsidRPr="00B50808">
          <w:rPr>
            <w:rStyle w:val="Lienhypertexte"/>
            <w:rFonts w:ascii="Times New Roman" w:hAnsi="Times New Roman" w:cs="Times New Roman"/>
          </w:rPr>
          <w:t>http://epublications.unilim.fr/revues/as/5320</w:t>
        </w:r>
      </w:hyperlink>
      <w:r w:rsidR="00CF7F5B">
        <w:rPr>
          <w:rFonts w:ascii="Times New Roman" w:hAnsi="Times New Roman" w:cs="Times New Roman"/>
        </w:rPr>
        <w:t>&gt;.</w:t>
      </w:r>
      <w:r w:rsidRPr="00C923C3">
        <w:rPr>
          <w:rFonts w:ascii="Times New Roman" w:hAnsi="Times New Roman" w:cs="Times New Roman"/>
        </w:rPr>
        <w:t xml:space="preserve"> </w:t>
      </w:r>
    </w:p>
    <w:p w:rsidR="000A02D5" w:rsidRDefault="000A02D5" w:rsidP="00996947">
      <w:pPr>
        <w:jc w:val="both"/>
        <w:rPr>
          <w:rFonts w:ascii="Times New Roman" w:hAnsi="Times New Roman" w:cs="Times New Roman"/>
          <w:color w:val="343434"/>
        </w:rPr>
      </w:pPr>
      <w:r>
        <w:rPr>
          <w:rFonts w:ascii="Times New Roman" w:hAnsi="Times New Roman" w:cs="Times New Roman"/>
        </w:rPr>
        <w:t>Foucault, M</w:t>
      </w:r>
      <w:r w:rsidR="00E93BBB">
        <w:rPr>
          <w:rFonts w:ascii="Times New Roman" w:hAnsi="Times New Roman" w:cs="Times New Roman"/>
        </w:rPr>
        <w:t>.</w:t>
      </w:r>
      <w:r>
        <w:rPr>
          <w:rFonts w:ascii="Times New Roman" w:hAnsi="Times New Roman" w:cs="Times New Roman"/>
        </w:rPr>
        <w:t xml:space="preserve">, « Le jeu de Michel Foucault », entretien </w:t>
      </w:r>
      <w:r>
        <w:rPr>
          <w:rFonts w:ascii="Times New Roman" w:hAnsi="Times New Roman" w:cs="Times New Roman"/>
          <w:color w:val="343434"/>
        </w:rPr>
        <w:t xml:space="preserve">avec </w:t>
      </w:r>
      <w:r w:rsidRPr="00922B15">
        <w:rPr>
          <w:rFonts w:ascii="Times New Roman" w:hAnsi="Times New Roman" w:cs="Times New Roman"/>
          <w:color w:val="343434"/>
        </w:rPr>
        <w:t>Colas,</w:t>
      </w:r>
      <w:r>
        <w:rPr>
          <w:rFonts w:ascii="Times New Roman" w:hAnsi="Times New Roman" w:cs="Times New Roman"/>
          <w:color w:val="343434"/>
        </w:rPr>
        <w:t> Grosrichard,</w:t>
      </w:r>
      <w:r w:rsidRPr="00922B15">
        <w:rPr>
          <w:rFonts w:ascii="Times New Roman" w:hAnsi="Times New Roman" w:cs="Times New Roman"/>
          <w:color w:val="343434"/>
        </w:rPr>
        <w:t> Le Gaufey,</w:t>
      </w:r>
      <w:r>
        <w:rPr>
          <w:rFonts w:ascii="Times New Roman" w:hAnsi="Times New Roman" w:cs="Times New Roman"/>
          <w:color w:val="343434"/>
        </w:rPr>
        <w:t xml:space="preserve">  Livi, </w:t>
      </w:r>
      <w:r w:rsidRPr="00922B15">
        <w:rPr>
          <w:rFonts w:ascii="Times New Roman" w:hAnsi="Times New Roman" w:cs="Times New Roman"/>
          <w:color w:val="343434"/>
        </w:rPr>
        <w:t>Miller,</w:t>
      </w:r>
      <w:r>
        <w:rPr>
          <w:rFonts w:ascii="Times New Roman" w:hAnsi="Times New Roman" w:cs="Times New Roman"/>
          <w:color w:val="343434"/>
        </w:rPr>
        <w:t> Miller, Miller,</w:t>
      </w:r>
      <w:r w:rsidR="00EA539E">
        <w:rPr>
          <w:rFonts w:ascii="Times New Roman" w:hAnsi="Times New Roman" w:cs="Times New Roman"/>
          <w:color w:val="343434"/>
        </w:rPr>
        <w:t> Millot, Wajeman,</w:t>
      </w:r>
      <w:r w:rsidRPr="00922B15">
        <w:rPr>
          <w:rFonts w:ascii="Times New Roman" w:hAnsi="Times New Roman" w:cs="Times New Roman"/>
          <w:color w:val="343434"/>
        </w:rPr>
        <w:t xml:space="preserve"> </w:t>
      </w:r>
      <w:r>
        <w:rPr>
          <w:rFonts w:ascii="Times New Roman" w:hAnsi="Times New Roman" w:cs="Times New Roman"/>
          <w:i/>
          <w:iCs/>
          <w:color w:val="343434"/>
        </w:rPr>
        <w:t>Ornicar,</w:t>
      </w:r>
      <w:r w:rsidRPr="00922B15">
        <w:rPr>
          <w:rFonts w:ascii="Times New Roman" w:hAnsi="Times New Roman" w:cs="Times New Roman"/>
          <w:i/>
          <w:iCs/>
          <w:color w:val="343434"/>
        </w:rPr>
        <w:t xml:space="preserve"> Bulletin périodique du champ freudien</w:t>
      </w:r>
      <w:r w:rsidR="00CF7F5B">
        <w:rPr>
          <w:rFonts w:ascii="Times New Roman" w:hAnsi="Times New Roman" w:cs="Times New Roman"/>
          <w:iCs/>
          <w:color w:val="343434"/>
        </w:rPr>
        <w:t>,</w:t>
      </w:r>
      <w:r>
        <w:rPr>
          <w:rFonts w:ascii="Times New Roman" w:hAnsi="Times New Roman" w:cs="Times New Roman"/>
          <w:color w:val="343434"/>
        </w:rPr>
        <w:t xml:space="preserve"> </w:t>
      </w:r>
      <w:r w:rsidR="00E93BBB">
        <w:rPr>
          <w:rFonts w:ascii="Times New Roman" w:hAnsi="Times New Roman" w:cs="Times New Roman"/>
          <w:color w:val="343434"/>
        </w:rPr>
        <w:t>n</w:t>
      </w:r>
      <w:r w:rsidR="00E93BBB" w:rsidRPr="00E93BBB">
        <w:rPr>
          <w:rFonts w:ascii="Times New Roman" w:hAnsi="Times New Roman" w:cs="Times New Roman"/>
          <w:color w:val="343434"/>
          <w:vertAlign w:val="superscript"/>
        </w:rPr>
        <w:t>o</w:t>
      </w:r>
      <w:r w:rsidR="00E93BBB">
        <w:rPr>
          <w:rFonts w:ascii="Times New Roman" w:hAnsi="Times New Roman" w:cs="Times New Roman"/>
          <w:color w:val="343434"/>
        </w:rPr>
        <w:t xml:space="preserve"> </w:t>
      </w:r>
      <w:r>
        <w:rPr>
          <w:rFonts w:ascii="Times New Roman" w:hAnsi="Times New Roman" w:cs="Times New Roman"/>
          <w:color w:val="343434"/>
        </w:rPr>
        <w:t>10,  </w:t>
      </w:r>
      <w:r w:rsidR="00E93BBB">
        <w:rPr>
          <w:rFonts w:ascii="Times New Roman" w:hAnsi="Times New Roman" w:cs="Times New Roman"/>
        </w:rPr>
        <w:t xml:space="preserve">1977, pp. </w:t>
      </w:r>
      <w:r>
        <w:rPr>
          <w:rFonts w:ascii="Times New Roman" w:hAnsi="Times New Roman" w:cs="Times New Roman"/>
          <w:color w:val="343434"/>
        </w:rPr>
        <w:t>62-93 (r</w:t>
      </w:r>
      <w:r w:rsidRPr="00922B15">
        <w:rPr>
          <w:rFonts w:ascii="Times New Roman" w:hAnsi="Times New Roman" w:cs="Times New Roman"/>
          <w:color w:val="343434"/>
        </w:rPr>
        <w:t xml:space="preserve">epris </w:t>
      </w:r>
      <w:r w:rsidRPr="00F17C7E">
        <w:rPr>
          <w:rFonts w:ascii="Times New Roman" w:hAnsi="Times New Roman" w:cs="Times New Roman"/>
          <w:i/>
          <w:color w:val="343434"/>
        </w:rPr>
        <w:t>in </w:t>
      </w:r>
      <w:r w:rsidRPr="00922B15">
        <w:rPr>
          <w:rFonts w:ascii="Times New Roman" w:hAnsi="Times New Roman" w:cs="Times New Roman"/>
          <w:i/>
          <w:iCs/>
          <w:color w:val="343434"/>
        </w:rPr>
        <w:t>Dits et Écrits</w:t>
      </w:r>
      <w:r w:rsidRPr="00922B15">
        <w:rPr>
          <w:rFonts w:ascii="Times New Roman" w:hAnsi="Times New Roman" w:cs="Times New Roman"/>
          <w:color w:val="343434"/>
        </w:rPr>
        <w:t> </w:t>
      </w:r>
      <w:r>
        <w:rPr>
          <w:rFonts w:ascii="Times New Roman" w:hAnsi="Times New Roman" w:cs="Times New Roman"/>
          <w:iCs/>
          <w:color w:val="343434"/>
        </w:rPr>
        <w:t>II,</w:t>
      </w:r>
      <w:r w:rsidRPr="00922B15">
        <w:rPr>
          <w:rFonts w:ascii="Times New Roman" w:hAnsi="Times New Roman" w:cs="Times New Roman"/>
          <w:iCs/>
          <w:color w:val="343434"/>
        </w:rPr>
        <w:t xml:space="preserve"> 1976-</w:t>
      </w:r>
      <w:r>
        <w:rPr>
          <w:rFonts w:ascii="Times New Roman" w:hAnsi="Times New Roman" w:cs="Times New Roman"/>
          <w:color w:val="343434"/>
        </w:rPr>
        <w:t xml:space="preserve">1988, </w:t>
      </w:r>
      <w:r w:rsidRPr="00922B15">
        <w:rPr>
          <w:rFonts w:ascii="Times New Roman" w:hAnsi="Times New Roman" w:cs="Times New Roman"/>
          <w:color w:val="343434"/>
        </w:rPr>
        <w:t>Ga</w:t>
      </w:r>
      <w:r>
        <w:rPr>
          <w:rFonts w:ascii="Times New Roman" w:hAnsi="Times New Roman" w:cs="Times New Roman"/>
          <w:color w:val="343434"/>
        </w:rPr>
        <w:t xml:space="preserve">llimard, 2001). </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Greimas, </w:t>
      </w:r>
      <w:r w:rsidRPr="00801588">
        <w:rPr>
          <w:rFonts w:ascii="Times New Roman" w:hAnsi="Times New Roman" w:cs="Times New Roman"/>
        </w:rPr>
        <w:t>A</w:t>
      </w:r>
      <w:r w:rsidR="00E93BBB">
        <w:rPr>
          <w:rFonts w:ascii="Times New Roman" w:hAnsi="Times New Roman" w:cs="Times New Roman"/>
        </w:rPr>
        <w:t xml:space="preserve">. J., </w:t>
      </w:r>
      <w:r w:rsidRPr="00801588">
        <w:rPr>
          <w:rFonts w:ascii="Times New Roman" w:hAnsi="Times New Roman" w:cs="Times New Roman"/>
        </w:rPr>
        <w:t>Courtés, J</w:t>
      </w:r>
      <w:r w:rsidR="00E93BBB">
        <w:rPr>
          <w:rFonts w:ascii="Times New Roman" w:hAnsi="Times New Roman" w:cs="Times New Roman"/>
        </w:rPr>
        <w:t>.</w:t>
      </w:r>
      <w:r w:rsidRPr="00801588">
        <w:rPr>
          <w:rFonts w:ascii="Times New Roman" w:hAnsi="Times New Roman" w:cs="Times New Roman"/>
        </w:rPr>
        <w:t xml:space="preserve">, </w:t>
      </w:r>
      <w:r w:rsidRPr="00F24854">
        <w:rPr>
          <w:rFonts w:ascii="Times New Roman" w:hAnsi="Times New Roman" w:cs="Times New Roman"/>
          <w:i/>
        </w:rPr>
        <w:t>Sémiotique</w:t>
      </w:r>
      <w:r>
        <w:rPr>
          <w:rFonts w:ascii="Times New Roman" w:hAnsi="Times New Roman" w:cs="Times New Roman"/>
        </w:rPr>
        <w:t xml:space="preserve">. </w:t>
      </w:r>
      <w:r w:rsidRPr="00801588">
        <w:rPr>
          <w:rFonts w:ascii="Times New Roman" w:hAnsi="Times New Roman" w:cs="Times New Roman"/>
          <w:i/>
        </w:rPr>
        <w:t>Dictionnaire raisonné de la théorie du langage</w:t>
      </w:r>
      <w:r>
        <w:rPr>
          <w:rFonts w:ascii="Times New Roman" w:hAnsi="Times New Roman" w:cs="Times New Roman"/>
        </w:rPr>
        <w:t>, Hachette</w:t>
      </w:r>
      <w:r w:rsidR="00E93BBB">
        <w:rPr>
          <w:rFonts w:ascii="Times New Roman" w:hAnsi="Times New Roman" w:cs="Times New Roman"/>
        </w:rPr>
        <w:t xml:space="preserve">, </w:t>
      </w:r>
      <w:r w:rsidR="00E93BBB" w:rsidRPr="00801588">
        <w:rPr>
          <w:rFonts w:ascii="Times New Roman" w:hAnsi="Times New Roman" w:cs="Times New Roman"/>
        </w:rPr>
        <w:t>1979</w:t>
      </w:r>
      <w:r>
        <w:rPr>
          <w:rFonts w:ascii="Times New Roman" w:hAnsi="Times New Roman" w:cs="Times New Roman"/>
        </w:rPr>
        <w:t xml:space="preserve">. </w:t>
      </w:r>
    </w:p>
    <w:p w:rsidR="00CF7F5B" w:rsidRPr="005174CE" w:rsidRDefault="00CF7F5B" w:rsidP="00996947">
      <w:pPr>
        <w:jc w:val="both"/>
        <w:rPr>
          <w:rFonts w:ascii="Times New Roman" w:hAnsi="Times New Roman" w:cs="Times New Roman"/>
        </w:rPr>
      </w:pPr>
      <w:r>
        <w:rPr>
          <w:rFonts w:ascii="Times New Roman" w:hAnsi="Times New Roman" w:cs="Times New Roman"/>
        </w:rPr>
        <w:t>Ernaux, A.</w:t>
      </w:r>
      <w:r w:rsidRPr="005174CE">
        <w:rPr>
          <w:rFonts w:ascii="Times New Roman" w:hAnsi="Times New Roman" w:cs="Times New Roman"/>
        </w:rPr>
        <w:t xml:space="preserve">, </w:t>
      </w:r>
      <w:r w:rsidRPr="005174CE">
        <w:rPr>
          <w:rFonts w:ascii="Times New Roman" w:hAnsi="Times New Roman" w:cs="Times New Roman"/>
          <w:i/>
        </w:rPr>
        <w:t>Les Années</w:t>
      </w:r>
      <w:r w:rsidRPr="005174CE">
        <w:rPr>
          <w:rFonts w:ascii="Times New Roman" w:hAnsi="Times New Roman" w:cs="Times New Roman"/>
        </w:rPr>
        <w:t xml:space="preserve">, in </w:t>
      </w:r>
      <w:r w:rsidRPr="005174CE">
        <w:rPr>
          <w:rFonts w:ascii="Times New Roman" w:hAnsi="Times New Roman" w:cs="Times New Roman"/>
          <w:i/>
        </w:rPr>
        <w:t>Écrire la vie</w:t>
      </w:r>
      <w:r w:rsidRPr="005174CE">
        <w:rPr>
          <w:rFonts w:ascii="Times New Roman" w:hAnsi="Times New Roman" w:cs="Times New Roman"/>
        </w:rPr>
        <w:t>, Gallimard</w:t>
      </w:r>
      <w:r>
        <w:rPr>
          <w:rFonts w:ascii="Times New Roman" w:hAnsi="Times New Roman" w:cs="Times New Roman"/>
        </w:rPr>
        <w:t>, 2011 [2008]</w:t>
      </w:r>
      <w:r w:rsidRPr="005174CE">
        <w:rPr>
          <w:rFonts w:ascii="Times New Roman" w:hAnsi="Times New Roman" w:cs="Times New Roman"/>
        </w:rPr>
        <w:t>.</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Jäger, S</w:t>
      </w:r>
      <w:r w:rsidR="00E93BBB">
        <w:rPr>
          <w:rFonts w:ascii="Times New Roman" w:hAnsi="Times New Roman" w:cs="Times New Roman"/>
        </w:rPr>
        <w:t>.</w:t>
      </w:r>
      <w:r>
        <w:rPr>
          <w:rFonts w:ascii="Times New Roman" w:hAnsi="Times New Roman" w:cs="Times New Roman"/>
        </w:rPr>
        <w:t xml:space="preserve">, « Theoretische und methodische Aspekte einer Kritischen Diskurs- und Diapositivanalyse », </w:t>
      </w:r>
      <w:r w:rsidRPr="00E93BBB">
        <w:rPr>
          <w:rFonts w:ascii="Times New Roman" w:hAnsi="Times New Roman" w:cs="Times New Roman"/>
          <w:i/>
        </w:rPr>
        <w:t>in</w:t>
      </w:r>
      <w:r>
        <w:rPr>
          <w:rFonts w:ascii="Times New Roman" w:hAnsi="Times New Roman" w:cs="Times New Roman"/>
        </w:rPr>
        <w:t xml:space="preserve"> Keller, Hirseland, </w:t>
      </w:r>
      <w:r w:rsidR="00E93BBB">
        <w:rPr>
          <w:rFonts w:ascii="Times New Roman" w:hAnsi="Times New Roman" w:cs="Times New Roman"/>
        </w:rPr>
        <w:t xml:space="preserve">Schneider, </w:t>
      </w:r>
      <w:r>
        <w:rPr>
          <w:rFonts w:ascii="Times New Roman" w:hAnsi="Times New Roman" w:cs="Times New Roman"/>
        </w:rPr>
        <w:t xml:space="preserve">Viehöver (éds), </w:t>
      </w:r>
      <w:r w:rsidRPr="00801588">
        <w:rPr>
          <w:rFonts w:ascii="Times New Roman" w:hAnsi="Times New Roman" w:cs="Times New Roman"/>
          <w:i/>
        </w:rPr>
        <w:t>Handbuch Sozialwissensch</w:t>
      </w:r>
      <w:r>
        <w:rPr>
          <w:rFonts w:ascii="Times New Roman" w:hAnsi="Times New Roman" w:cs="Times New Roman"/>
          <w:i/>
        </w:rPr>
        <w:t>a</w:t>
      </w:r>
      <w:r w:rsidRPr="00801588">
        <w:rPr>
          <w:rFonts w:ascii="Times New Roman" w:hAnsi="Times New Roman" w:cs="Times New Roman"/>
          <w:i/>
        </w:rPr>
        <w:t>ftliche Diskursanalyse,</w:t>
      </w:r>
      <w:r>
        <w:rPr>
          <w:rFonts w:ascii="Times New Roman" w:hAnsi="Times New Roman" w:cs="Times New Roman"/>
        </w:rPr>
        <w:t xml:space="preserve"> Band 1 : </w:t>
      </w:r>
      <w:r w:rsidRPr="00801588">
        <w:rPr>
          <w:rFonts w:ascii="Times New Roman" w:hAnsi="Times New Roman" w:cs="Times New Roman"/>
          <w:i/>
        </w:rPr>
        <w:t>Theorien und Methoden</w:t>
      </w:r>
      <w:r>
        <w:rPr>
          <w:rFonts w:ascii="Times New Roman" w:hAnsi="Times New Roman" w:cs="Times New Roman"/>
        </w:rPr>
        <w:t xml:space="preserve">, Opladen, Leske + Budrich, </w:t>
      </w:r>
      <w:r w:rsidR="00E93BBB">
        <w:rPr>
          <w:rFonts w:ascii="Times New Roman" w:hAnsi="Times New Roman" w:cs="Times New Roman"/>
        </w:rPr>
        <w:t>2000, p</w:t>
      </w:r>
      <w:r>
        <w:rPr>
          <w:rFonts w:ascii="Times New Roman" w:hAnsi="Times New Roman" w:cs="Times New Roman"/>
        </w:rPr>
        <w:t xml:space="preserve">p. 81-112. </w:t>
      </w:r>
    </w:p>
    <w:p w:rsidR="000A02D5" w:rsidRDefault="008E5603" w:rsidP="00996947">
      <w:pPr>
        <w:pStyle w:val="Paragraphedeliste"/>
        <w:ind w:left="0"/>
        <w:contextualSpacing w:val="0"/>
        <w:jc w:val="both"/>
        <w:rPr>
          <w:rFonts w:ascii="Times New Roman" w:hAnsi="Times New Roman" w:cs="Times New Roman"/>
        </w:rPr>
      </w:pPr>
      <w:r>
        <w:rPr>
          <w:rFonts w:ascii="Times New Roman" w:hAnsi="Times New Roman" w:cs="Times New Roman"/>
        </w:rPr>
        <w:t>Jäger, S</w:t>
      </w:r>
      <w:r w:rsidR="00E93BBB">
        <w:rPr>
          <w:rFonts w:ascii="Times New Roman" w:hAnsi="Times New Roman" w:cs="Times New Roman"/>
        </w:rPr>
        <w:t>.</w:t>
      </w:r>
      <w:r w:rsidR="000A02D5">
        <w:rPr>
          <w:rFonts w:ascii="Times New Roman" w:hAnsi="Times New Roman" w:cs="Times New Roman"/>
        </w:rPr>
        <w:t xml:space="preserve">, </w:t>
      </w:r>
      <w:r w:rsidR="000A02D5" w:rsidRPr="00801588">
        <w:rPr>
          <w:rFonts w:ascii="Times New Roman" w:hAnsi="Times New Roman" w:cs="Times New Roman"/>
          <w:i/>
        </w:rPr>
        <w:t>Kritische Diskursanalyse. Eine Einführung</w:t>
      </w:r>
      <w:r w:rsidR="000A02D5">
        <w:rPr>
          <w:rFonts w:ascii="Times New Roman" w:hAnsi="Times New Roman" w:cs="Times New Roman"/>
        </w:rPr>
        <w:t xml:space="preserve">, Münster, </w:t>
      </w:r>
      <w:r w:rsidR="000A02D5" w:rsidRPr="00801588">
        <w:rPr>
          <w:rFonts w:ascii="Times New Roman" w:hAnsi="Times New Roman" w:cs="Times New Roman"/>
          <w:i/>
        </w:rPr>
        <w:t>UNRAST</w:t>
      </w:r>
      <w:r w:rsidR="000A02D5">
        <w:rPr>
          <w:rFonts w:ascii="Times New Roman" w:hAnsi="Times New Roman" w:cs="Times New Roman"/>
        </w:rPr>
        <w:t xml:space="preserve"> Verlag</w:t>
      </w:r>
      <w:r w:rsidR="00E93BBB">
        <w:rPr>
          <w:rFonts w:ascii="Times New Roman" w:hAnsi="Times New Roman" w:cs="Times New Roman"/>
        </w:rPr>
        <w:t>, 2012</w:t>
      </w:r>
      <w:r w:rsidR="000A02D5">
        <w:rPr>
          <w:rFonts w:ascii="Times New Roman" w:hAnsi="Times New Roman" w:cs="Times New Roman"/>
        </w:rPr>
        <w:t xml:space="preserve">. </w:t>
      </w:r>
    </w:p>
    <w:p w:rsidR="008E5603" w:rsidRDefault="008E5603" w:rsidP="00996947">
      <w:pPr>
        <w:pStyle w:val="Paragraphedeliste"/>
        <w:ind w:left="0"/>
        <w:contextualSpacing w:val="0"/>
        <w:jc w:val="both"/>
        <w:rPr>
          <w:rFonts w:ascii="Times New Roman" w:hAnsi="Times New Roman" w:cs="Times New Roman"/>
        </w:rPr>
      </w:pPr>
      <w:r>
        <w:rPr>
          <w:rFonts w:ascii="Times New Roman" w:hAnsi="Times New Roman" w:cs="Times New Roman"/>
        </w:rPr>
        <w:t xml:space="preserve">Kerbrat-Orecchioni, C., </w:t>
      </w:r>
      <w:r w:rsidRPr="008E5603">
        <w:rPr>
          <w:rFonts w:ascii="Times New Roman" w:hAnsi="Times New Roman" w:cs="Times New Roman"/>
          <w:i/>
        </w:rPr>
        <w:t>L’énonciation. De la subjectivité dans le langage</w:t>
      </w:r>
      <w:r>
        <w:rPr>
          <w:rFonts w:ascii="Times New Roman" w:hAnsi="Times New Roman" w:cs="Times New Roman"/>
        </w:rPr>
        <w:t>, A. Colin</w:t>
      </w:r>
      <w:r w:rsidR="00FC6937">
        <w:rPr>
          <w:rFonts w:ascii="Times New Roman" w:hAnsi="Times New Roman" w:cs="Times New Roman"/>
        </w:rPr>
        <w:t>, 1980</w:t>
      </w:r>
      <w:r>
        <w:rPr>
          <w:rFonts w:ascii="Times New Roman" w:hAnsi="Times New Roman" w:cs="Times New Roman"/>
        </w:rPr>
        <w:t xml:space="preserve">. </w:t>
      </w:r>
    </w:p>
    <w:p w:rsidR="00FC6937" w:rsidRDefault="00FC6937" w:rsidP="00996947">
      <w:pPr>
        <w:tabs>
          <w:tab w:val="left" w:pos="1000"/>
        </w:tabs>
        <w:jc w:val="both"/>
        <w:rPr>
          <w:rFonts w:ascii="Times New Roman" w:hAnsi="Times New Roman" w:cs="Times New Roman"/>
        </w:rPr>
      </w:pPr>
      <w:r>
        <w:rPr>
          <w:rFonts w:ascii="Times New Roman" w:hAnsi="Times New Roman" w:cs="Times New Roman"/>
        </w:rPr>
        <w:t xml:space="preserve">Kerbrat-Orecchioni, C., « Contexte », </w:t>
      </w:r>
      <w:r w:rsidRPr="00FC6937">
        <w:rPr>
          <w:rFonts w:ascii="Times New Roman" w:hAnsi="Times New Roman" w:cs="Times New Roman"/>
          <w:i/>
        </w:rPr>
        <w:t>in</w:t>
      </w:r>
      <w:r>
        <w:rPr>
          <w:rFonts w:ascii="Times New Roman" w:hAnsi="Times New Roman" w:cs="Times New Roman"/>
        </w:rPr>
        <w:t xml:space="preserve"> Charaudeau, Maingueneau (éds), </w:t>
      </w:r>
      <w:r w:rsidRPr="004E4257">
        <w:rPr>
          <w:rFonts w:ascii="Times New Roman" w:hAnsi="Times New Roman" w:cs="Times New Roman"/>
          <w:i/>
        </w:rPr>
        <w:t>Dictionnaire d’analyse du discours</w:t>
      </w:r>
      <w:r>
        <w:rPr>
          <w:rFonts w:ascii="Times New Roman" w:hAnsi="Times New Roman" w:cs="Times New Roman"/>
        </w:rPr>
        <w:t>, Seuil, 2002, pp. 134-136.</w:t>
      </w:r>
    </w:p>
    <w:p w:rsidR="00996947" w:rsidRDefault="000A02D5" w:rsidP="00996947">
      <w:pPr>
        <w:pStyle w:val="Paragraphedeliste"/>
        <w:ind w:left="0"/>
        <w:contextualSpacing w:val="0"/>
        <w:jc w:val="both"/>
        <w:rPr>
          <w:rFonts w:ascii="Times New Roman" w:hAnsi="Times New Roman" w:cs="Times New Roman"/>
        </w:rPr>
      </w:pPr>
      <w:r w:rsidRPr="00801588">
        <w:rPr>
          <w:rFonts w:ascii="Times New Roman" w:hAnsi="Times New Roman" w:cs="Times New Roman"/>
        </w:rPr>
        <w:t>Maingueneau, D</w:t>
      </w:r>
      <w:r w:rsidR="00EA539E">
        <w:rPr>
          <w:rFonts w:ascii="Times New Roman" w:hAnsi="Times New Roman" w:cs="Times New Roman"/>
        </w:rPr>
        <w:t>.</w:t>
      </w:r>
      <w:r w:rsidRPr="00801588">
        <w:rPr>
          <w:rFonts w:ascii="Times New Roman" w:hAnsi="Times New Roman" w:cs="Times New Roman"/>
        </w:rPr>
        <w:t xml:space="preserve">, « Linguistique et littérature : le tournant discursif », </w:t>
      </w:r>
      <w:r w:rsidRPr="00801588">
        <w:rPr>
          <w:rFonts w:ascii="Times New Roman" w:hAnsi="Times New Roman" w:cs="Times New Roman"/>
          <w:i/>
        </w:rPr>
        <w:t>Vox poetica</w:t>
      </w:r>
      <w:r w:rsidR="00EA539E">
        <w:rPr>
          <w:rFonts w:ascii="Times New Roman" w:hAnsi="Times New Roman" w:cs="Times New Roman"/>
          <w:i/>
        </w:rPr>
        <w:t xml:space="preserve">, </w:t>
      </w:r>
      <w:r w:rsidR="00EA539E">
        <w:rPr>
          <w:rFonts w:ascii="Times New Roman" w:hAnsi="Times New Roman" w:cs="Times New Roman"/>
        </w:rPr>
        <w:t>2000</w:t>
      </w:r>
      <w:r w:rsidR="00CF7F5B">
        <w:rPr>
          <w:rFonts w:ascii="Times New Roman" w:hAnsi="Times New Roman" w:cs="Times New Roman"/>
        </w:rPr>
        <w:t xml:space="preserve"> (consulté le 01/03/2016).</w:t>
      </w:r>
      <w:r w:rsidR="00EA539E">
        <w:rPr>
          <w:rFonts w:ascii="Times New Roman" w:hAnsi="Times New Roman" w:cs="Times New Roman"/>
        </w:rPr>
        <w:t xml:space="preserve"> </w:t>
      </w:r>
      <w:r>
        <w:rPr>
          <w:rFonts w:ascii="Times New Roman" w:hAnsi="Times New Roman" w:cs="Times New Roman"/>
        </w:rPr>
        <w:t>Disponible sur : </w:t>
      </w:r>
      <w:r w:rsidR="00CF7F5B">
        <w:rPr>
          <w:rFonts w:ascii="Times New Roman" w:hAnsi="Times New Roman" w:cs="Times New Roman"/>
        </w:rPr>
        <w:t>&lt;</w:t>
      </w:r>
      <w:hyperlink r:id="rId9" w:history="1">
        <w:r w:rsidRPr="002523A1">
          <w:rPr>
            <w:rStyle w:val="Lienhypertexte"/>
            <w:rFonts w:ascii="Times New Roman" w:hAnsi="Times New Roman" w:cs="Times New Roman"/>
          </w:rPr>
          <w:t>www.vox-poetica.org/t/articles/maingueneau.html</w:t>
        </w:r>
      </w:hyperlink>
      <w:r w:rsidR="00CF7F5B">
        <w:rPr>
          <w:rStyle w:val="Lienhypertexte"/>
          <w:rFonts w:ascii="Times New Roman" w:hAnsi="Times New Roman" w:cs="Times New Roman"/>
        </w:rPr>
        <w:t>&gt;.</w:t>
      </w:r>
      <w:r>
        <w:rPr>
          <w:rFonts w:ascii="Times New Roman" w:hAnsi="Times New Roman" w:cs="Times New Roman"/>
        </w:rPr>
        <w:t xml:space="preserve"> </w:t>
      </w:r>
    </w:p>
    <w:p w:rsidR="00996947" w:rsidRDefault="0005335C" w:rsidP="00996947">
      <w:pPr>
        <w:pStyle w:val="Paragraphedeliste"/>
        <w:ind w:left="0"/>
        <w:contextualSpacing w:val="0"/>
        <w:jc w:val="both"/>
        <w:rPr>
          <w:rFonts w:ascii="Times New Roman" w:hAnsi="Times New Roman"/>
        </w:rPr>
      </w:pPr>
      <w:r w:rsidRPr="0005335C">
        <w:rPr>
          <w:rFonts w:ascii="Times New Roman" w:hAnsi="Times New Roman"/>
        </w:rPr>
        <w:t xml:space="preserve">Maingueneau, D., « La situation d’énonciation entre langue et discours », </w:t>
      </w:r>
      <w:r w:rsidRPr="006A61E8">
        <w:rPr>
          <w:rFonts w:ascii="Times New Roman" w:hAnsi="Times New Roman"/>
          <w:i/>
        </w:rPr>
        <w:t>in</w:t>
      </w:r>
      <w:r w:rsidRPr="0005335C">
        <w:rPr>
          <w:rFonts w:ascii="Times New Roman" w:hAnsi="Times New Roman"/>
        </w:rPr>
        <w:t xml:space="preserve"> </w:t>
      </w:r>
      <w:r w:rsidRPr="0005335C">
        <w:rPr>
          <w:rFonts w:ascii="Times New Roman" w:hAnsi="Times New Roman"/>
          <w:i/>
        </w:rPr>
        <w:t>Dix ans de S.D.U</w:t>
      </w:r>
      <w:r w:rsidRPr="0005335C">
        <w:rPr>
          <w:rFonts w:ascii="Times New Roman" w:hAnsi="Times New Roman"/>
        </w:rPr>
        <w:t xml:space="preserve">., Craiova, Editura Universitaria Craiova (Roumanie), 2004, pp.197-210. </w:t>
      </w:r>
    </w:p>
    <w:p w:rsidR="0005335C" w:rsidRPr="00996947" w:rsidRDefault="0005335C" w:rsidP="00996947">
      <w:pPr>
        <w:pStyle w:val="Paragraphedeliste"/>
        <w:ind w:left="0"/>
        <w:contextualSpacing w:val="0"/>
        <w:jc w:val="both"/>
        <w:rPr>
          <w:rFonts w:ascii="Times New Roman" w:hAnsi="Times New Roman" w:cs="Times New Roman"/>
        </w:rPr>
      </w:pPr>
      <w:r w:rsidRPr="0005335C">
        <w:rPr>
          <w:rFonts w:ascii="Times New Roman" w:hAnsi="Times New Roman"/>
        </w:rPr>
        <w:t>Maingueneau, D., « Que cherchent les analystes du discours ? »</w:t>
      </w:r>
      <w:proofErr w:type="gramStart"/>
      <w:r w:rsidRPr="0005335C">
        <w:rPr>
          <w:rFonts w:ascii="Times New Roman" w:hAnsi="Times New Roman"/>
        </w:rPr>
        <w:t>, ,</w:t>
      </w:r>
      <w:proofErr w:type="gramEnd"/>
      <w:r w:rsidRPr="0005335C">
        <w:rPr>
          <w:rFonts w:ascii="Times New Roman" w:hAnsi="Times New Roman"/>
        </w:rPr>
        <w:t xml:space="preserve"> </w:t>
      </w:r>
      <w:r w:rsidRPr="0005335C">
        <w:rPr>
          <w:rFonts w:ascii="Times New Roman" w:hAnsi="Times New Roman"/>
          <w:i/>
          <w:iCs/>
        </w:rPr>
        <w:t>Argumentation et Analyse du Discours</w:t>
      </w:r>
      <w:r w:rsidRPr="0005335C">
        <w:rPr>
          <w:rFonts w:ascii="Times New Roman" w:hAnsi="Times New Roman"/>
        </w:rPr>
        <w:t xml:space="preserve"> [En ligne], n</w:t>
      </w:r>
      <w:r w:rsidRPr="0005335C">
        <w:rPr>
          <w:rFonts w:ascii="Times New Roman" w:hAnsi="Times New Roman"/>
          <w:vertAlign w:val="superscript"/>
        </w:rPr>
        <w:t>o</w:t>
      </w:r>
      <w:r w:rsidRPr="0005335C">
        <w:rPr>
          <w:rFonts w:ascii="Times New Roman" w:hAnsi="Times New Roman"/>
        </w:rPr>
        <w:t xml:space="preserve"> 9, 2012</w:t>
      </w:r>
      <w:r w:rsidR="00CF7F5B">
        <w:rPr>
          <w:rFonts w:ascii="Times New Roman" w:hAnsi="Times New Roman"/>
        </w:rPr>
        <w:t xml:space="preserve"> </w:t>
      </w:r>
      <w:r w:rsidR="00CF7F5B" w:rsidRPr="0005335C">
        <w:rPr>
          <w:rFonts w:ascii="Times New Roman" w:hAnsi="Times New Roman"/>
        </w:rPr>
        <w:t>(consulté le 01/03/2016)</w:t>
      </w:r>
      <w:r w:rsidRPr="0005335C">
        <w:rPr>
          <w:rFonts w:ascii="Times New Roman" w:hAnsi="Times New Roman"/>
        </w:rPr>
        <w:t xml:space="preserve">. Disponible sur : </w:t>
      </w:r>
      <w:hyperlink r:id="rId10" w:history="1">
        <w:r w:rsidR="00CF7F5B" w:rsidRPr="00B50808">
          <w:rPr>
            <w:rStyle w:val="Lienhypertexte"/>
            <w:rFonts w:ascii="Times New Roman" w:hAnsi="Times New Roman"/>
          </w:rPr>
          <w:t>http://aad.revues.org/1354</w:t>
        </w:r>
      </w:hyperlink>
      <w:r w:rsidR="00CF7F5B">
        <w:rPr>
          <w:rFonts w:ascii="Times New Roman" w:hAnsi="Times New Roman"/>
        </w:rPr>
        <w:t>.</w:t>
      </w:r>
      <w:r w:rsidRPr="0005335C">
        <w:rPr>
          <w:rFonts w:ascii="Times New Roman" w:hAnsi="Times New Roman"/>
        </w:rPr>
        <w:t xml:space="preserve"> </w:t>
      </w:r>
    </w:p>
    <w:p w:rsidR="000A02D5" w:rsidRDefault="000A02D5" w:rsidP="00996947">
      <w:pPr>
        <w:pStyle w:val="Paragraphedeliste"/>
        <w:ind w:left="0"/>
        <w:contextualSpacing w:val="0"/>
        <w:jc w:val="both"/>
        <w:rPr>
          <w:rFonts w:ascii="Times New Roman" w:hAnsi="Times New Roman" w:cs="Times New Roman"/>
        </w:rPr>
      </w:pPr>
      <w:r>
        <w:rPr>
          <w:rFonts w:ascii="Times New Roman" w:hAnsi="Times New Roman" w:cs="Times New Roman"/>
        </w:rPr>
        <w:t>Maingueneau, D</w:t>
      </w:r>
      <w:r w:rsidR="00EA539E">
        <w:rPr>
          <w:rFonts w:ascii="Times New Roman" w:hAnsi="Times New Roman" w:cs="Times New Roman"/>
        </w:rPr>
        <w:t>.</w:t>
      </w:r>
      <w:r>
        <w:rPr>
          <w:rFonts w:ascii="Times New Roman" w:hAnsi="Times New Roman" w:cs="Times New Roman"/>
        </w:rPr>
        <w:t xml:space="preserve">, </w:t>
      </w:r>
      <w:r w:rsidRPr="006C5554">
        <w:rPr>
          <w:rFonts w:ascii="Times New Roman" w:hAnsi="Times New Roman" w:cs="Times New Roman"/>
          <w:i/>
        </w:rPr>
        <w:t>Discours et analyse du discours. Introduction</w:t>
      </w:r>
      <w:r>
        <w:rPr>
          <w:rFonts w:ascii="Times New Roman" w:hAnsi="Times New Roman" w:cs="Times New Roman"/>
        </w:rPr>
        <w:t>, A</w:t>
      </w:r>
      <w:r w:rsidR="00CF7F5B">
        <w:rPr>
          <w:rFonts w:ascii="Times New Roman" w:hAnsi="Times New Roman" w:cs="Times New Roman"/>
        </w:rPr>
        <w:t>.</w:t>
      </w:r>
      <w:r>
        <w:rPr>
          <w:rFonts w:ascii="Times New Roman" w:hAnsi="Times New Roman" w:cs="Times New Roman"/>
        </w:rPr>
        <w:t xml:space="preserve"> Colin</w:t>
      </w:r>
      <w:r w:rsidR="00EA539E">
        <w:rPr>
          <w:rFonts w:ascii="Times New Roman" w:hAnsi="Times New Roman" w:cs="Times New Roman"/>
        </w:rPr>
        <w:t>, 2014</w:t>
      </w:r>
      <w:r>
        <w:rPr>
          <w:rFonts w:ascii="Times New Roman" w:hAnsi="Times New Roman" w:cs="Times New Roman"/>
        </w:rPr>
        <w:t xml:space="preserve">. </w:t>
      </w:r>
    </w:p>
    <w:p w:rsidR="00EF3684" w:rsidRDefault="006A61E8" w:rsidP="005E3CB3">
      <w:pPr>
        <w:tabs>
          <w:tab w:val="left" w:pos="1000"/>
        </w:tabs>
        <w:jc w:val="both"/>
        <w:rPr>
          <w:rFonts w:ascii="Times New Roman" w:hAnsi="Times New Roman" w:cs="Times New Roman"/>
        </w:rPr>
      </w:pPr>
      <w:r>
        <w:rPr>
          <w:rFonts w:ascii="Times New Roman" w:hAnsi="Times New Roman" w:cs="Times New Roman"/>
        </w:rPr>
        <w:lastRenderedPageBreak/>
        <w:t xml:space="preserve">Maingueneau, D., </w:t>
      </w:r>
      <w:r w:rsidR="00EF3684">
        <w:rPr>
          <w:rFonts w:ascii="Times New Roman" w:hAnsi="Times New Roman" w:cs="Times New Roman"/>
        </w:rPr>
        <w:t xml:space="preserve">« L’énonciation, entre énoncé, texte et aphorisation », </w:t>
      </w:r>
      <w:r w:rsidR="00EF3684" w:rsidRPr="00EF3684">
        <w:rPr>
          <w:rFonts w:ascii="Times New Roman" w:hAnsi="Times New Roman" w:cs="Times New Roman"/>
          <w:i/>
        </w:rPr>
        <w:t>in</w:t>
      </w:r>
      <w:r w:rsidR="00EF3684">
        <w:rPr>
          <w:rFonts w:ascii="Times New Roman" w:hAnsi="Times New Roman" w:cs="Times New Roman"/>
        </w:rPr>
        <w:t xml:space="preserve"> Colas-Blaise, Perrin, Tore (éds), </w:t>
      </w:r>
      <w:r w:rsidR="00EF3684">
        <w:rPr>
          <w:rFonts w:ascii="Times New Roman" w:hAnsi="Times New Roman" w:cs="Times New Roman"/>
          <w:i/>
        </w:rPr>
        <w:t>L’énonciation aujourd’hui. U</w:t>
      </w:r>
      <w:r w:rsidR="00EF3684" w:rsidRPr="00F80F99">
        <w:rPr>
          <w:rFonts w:ascii="Times New Roman" w:hAnsi="Times New Roman" w:cs="Times New Roman"/>
          <w:i/>
        </w:rPr>
        <w:t>n concept clef des sciences du langage</w:t>
      </w:r>
      <w:r w:rsidR="00EF3684">
        <w:rPr>
          <w:rFonts w:ascii="Times New Roman" w:hAnsi="Times New Roman" w:cs="Times New Roman"/>
        </w:rPr>
        <w:t>, Lambert-Lucas, 2016, pp. 214-224.</w:t>
      </w:r>
    </w:p>
    <w:p w:rsidR="005E3CB3" w:rsidRPr="00EF3684" w:rsidRDefault="005E3CB3" w:rsidP="005E3CB3">
      <w:pPr>
        <w:tabs>
          <w:tab w:val="left" w:pos="1000"/>
        </w:tabs>
        <w:jc w:val="both"/>
        <w:rPr>
          <w:rFonts w:ascii="Times New Roman" w:hAnsi="Times New Roman" w:cs="Times New Roman"/>
        </w:rPr>
      </w:pPr>
      <w:r>
        <w:rPr>
          <w:rFonts w:ascii="Times New Roman" w:hAnsi="Times New Roman" w:cs="Times New Roman"/>
        </w:rPr>
        <w:t xml:space="preserve">Sarfati, G.-E., « Décrire les états du discours : pour une phénoménologie discursive du sens commun », </w:t>
      </w:r>
      <w:r w:rsidRPr="00EF3684">
        <w:rPr>
          <w:rFonts w:ascii="Times New Roman" w:hAnsi="Times New Roman" w:cs="Times New Roman"/>
          <w:i/>
        </w:rPr>
        <w:t>in</w:t>
      </w:r>
      <w:r>
        <w:rPr>
          <w:rFonts w:ascii="Times New Roman" w:hAnsi="Times New Roman" w:cs="Times New Roman"/>
        </w:rPr>
        <w:t xml:space="preserve"> Colas-Blaise, Perrin, Tore (éds), </w:t>
      </w:r>
      <w:r>
        <w:rPr>
          <w:rFonts w:ascii="Times New Roman" w:hAnsi="Times New Roman" w:cs="Times New Roman"/>
          <w:i/>
        </w:rPr>
        <w:t>L’énonciation aujourd’hui. U</w:t>
      </w:r>
      <w:r w:rsidRPr="00F80F99">
        <w:rPr>
          <w:rFonts w:ascii="Times New Roman" w:hAnsi="Times New Roman" w:cs="Times New Roman"/>
          <w:i/>
        </w:rPr>
        <w:t>n concept clef des sciences du langage</w:t>
      </w:r>
      <w:r>
        <w:rPr>
          <w:rFonts w:ascii="Times New Roman" w:hAnsi="Times New Roman" w:cs="Times New Roman"/>
        </w:rPr>
        <w:t>, Lambert-Lucas, 2016, pp. 354-373.</w:t>
      </w:r>
    </w:p>
    <w:p w:rsidR="006A61E8" w:rsidRDefault="006A61E8" w:rsidP="00996947">
      <w:pPr>
        <w:pStyle w:val="Paragraphedeliste"/>
        <w:ind w:left="0"/>
        <w:contextualSpacing w:val="0"/>
        <w:jc w:val="both"/>
        <w:rPr>
          <w:rFonts w:ascii="Times New Roman" w:hAnsi="Times New Roman" w:cs="Times New Roman"/>
        </w:rPr>
      </w:pPr>
    </w:p>
    <w:p w:rsidR="00320A3C" w:rsidRDefault="00320A3C" w:rsidP="00996947"/>
    <w:sectPr w:rsidR="00320A3C" w:rsidSect="006E22E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959" w:rsidRDefault="00625959" w:rsidP="000A02D5">
      <w:r>
        <w:separator/>
      </w:r>
    </w:p>
  </w:endnote>
  <w:endnote w:type="continuationSeparator" w:id="0">
    <w:p w:rsidR="00625959" w:rsidRDefault="00625959" w:rsidP="000A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959" w:rsidRDefault="00625959" w:rsidP="000A02D5">
      <w:r>
        <w:separator/>
      </w:r>
    </w:p>
  </w:footnote>
  <w:footnote w:type="continuationSeparator" w:id="0">
    <w:p w:rsidR="00625959" w:rsidRDefault="00625959" w:rsidP="000A02D5">
      <w:r>
        <w:continuationSeparator/>
      </w:r>
    </w:p>
  </w:footnote>
  <w:footnote w:id="1">
    <w:p w:rsidR="00EF3684" w:rsidRPr="000E65AE" w:rsidRDefault="00EF3684" w:rsidP="000A02D5">
      <w:pPr>
        <w:pStyle w:val="Notedebasdepage"/>
        <w:jc w:val="both"/>
        <w:rPr>
          <w:rFonts w:ascii="Times New Roman" w:hAnsi="Times New Roman" w:cs="Times New Roman"/>
          <w:sz w:val="20"/>
          <w:szCs w:val="20"/>
        </w:rPr>
      </w:pPr>
      <w:r w:rsidRPr="000E65AE">
        <w:rPr>
          <w:rStyle w:val="Appelnotedebasdep"/>
          <w:rFonts w:ascii="Times New Roman" w:hAnsi="Times New Roman" w:cs="Times New Roman"/>
          <w:sz w:val="20"/>
          <w:szCs w:val="20"/>
        </w:rPr>
        <w:footnoteRef/>
      </w:r>
      <w:r w:rsidRPr="000E65AE">
        <w:rPr>
          <w:rFonts w:ascii="Times New Roman" w:hAnsi="Times New Roman" w:cs="Times New Roman"/>
          <w:sz w:val="20"/>
          <w:szCs w:val="20"/>
        </w:rPr>
        <w:t xml:space="preserve"> </w:t>
      </w:r>
      <w:r>
        <w:rPr>
          <w:rFonts w:ascii="Times New Roman" w:hAnsi="Times New Roman" w:cs="Times New Roman"/>
          <w:sz w:val="20"/>
          <w:szCs w:val="20"/>
        </w:rPr>
        <w:t>Cf. Maingueneau au sujet d’une pluralité de définitions du discours apparemment irréductible : « </w:t>
      </w:r>
      <w:r w:rsidRPr="000E65AE">
        <w:rPr>
          <w:rFonts w:ascii="Times New Roman" w:hAnsi="Times New Roman" w:cs="Times New Roman"/>
          <w:sz w:val="20"/>
          <w:szCs w:val="20"/>
        </w:rPr>
        <w:t xml:space="preserve">La notion de discours constitue </w:t>
      </w:r>
      <w:r>
        <w:rPr>
          <w:rFonts w:ascii="Times New Roman" w:hAnsi="Times New Roman" w:cs="Times New Roman"/>
          <w:sz w:val="20"/>
          <w:szCs w:val="20"/>
        </w:rPr>
        <w:t xml:space="preserve">[…] </w:t>
      </w:r>
      <w:r w:rsidRPr="000E65AE">
        <w:rPr>
          <w:rFonts w:ascii="Times New Roman" w:hAnsi="Times New Roman" w:cs="Times New Roman"/>
          <w:sz w:val="20"/>
          <w:szCs w:val="20"/>
        </w:rPr>
        <w:t>une sorte d’enveloppe commune pour des positions parfois fortement divergentes. On e</w:t>
      </w:r>
      <w:r>
        <w:rPr>
          <w:rFonts w:ascii="Times New Roman" w:hAnsi="Times New Roman" w:cs="Times New Roman"/>
          <w:sz w:val="20"/>
          <w:szCs w:val="20"/>
        </w:rPr>
        <w:t>st plutôt dans une logique de “l’air de famille”</w:t>
      </w:r>
      <w:r w:rsidRPr="000E65AE">
        <w:rPr>
          <w:rFonts w:ascii="Times New Roman" w:hAnsi="Times New Roman" w:cs="Times New Roman"/>
          <w:sz w:val="20"/>
          <w:szCs w:val="20"/>
        </w:rPr>
        <w:t xml:space="preserve"> que dans celle d’un noyau de sens qui serait commun à tous les emplois » (2014 : 23). </w:t>
      </w:r>
    </w:p>
  </w:footnote>
  <w:footnote w:id="2">
    <w:p w:rsidR="00EF3684" w:rsidRPr="00913A4C" w:rsidRDefault="00EF3684" w:rsidP="000A02D5">
      <w:pPr>
        <w:pStyle w:val="Notedebasdepage"/>
        <w:rPr>
          <w:rFonts w:ascii="Times New Roman" w:hAnsi="Times New Roman" w:cs="Times New Roman"/>
          <w:sz w:val="20"/>
          <w:szCs w:val="20"/>
        </w:rPr>
      </w:pPr>
      <w:r w:rsidRPr="00913A4C">
        <w:rPr>
          <w:rStyle w:val="Appelnotedebasdep"/>
          <w:rFonts w:ascii="Times New Roman" w:hAnsi="Times New Roman" w:cs="Times New Roman"/>
          <w:sz w:val="20"/>
          <w:szCs w:val="20"/>
        </w:rPr>
        <w:footnoteRef/>
      </w:r>
      <w:r w:rsidRPr="00913A4C">
        <w:rPr>
          <w:rFonts w:ascii="Times New Roman" w:hAnsi="Times New Roman" w:cs="Times New Roman"/>
          <w:sz w:val="20"/>
          <w:szCs w:val="20"/>
        </w:rPr>
        <w:t xml:space="preserve"> Cf. Adam (2006) pour une discussion de cette équation. </w:t>
      </w:r>
    </w:p>
  </w:footnote>
  <w:footnote w:id="3">
    <w:p w:rsidR="00EF3684" w:rsidRPr="001D2980" w:rsidRDefault="00EF3684">
      <w:pPr>
        <w:pStyle w:val="Notedebasdepage"/>
        <w:rPr>
          <w:rFonts w:ascii="Times New Roman" w:hAnsi="Times New Roman" w:cs="Times New Roman"/>
          <w:sz w:val="20"/>
          <w:szCs w:val="20"/>
        </w:rPr>
      </w:pPr>
      <w:r w:rsidRPr="001D2980">
        <w:rPr>
          <w:rStyle w:val="Appelnotedebasdep"/>
          <w:rFonts w:ascii="Times New Roman" w:hAnsi="Times New Roman" w:cs="Times New Roman"/>
          <w:sz w:val="20"/>
          <w:szCs w:val="20"/>
        </w:rPr>
        <w:footnoteRef/>
      </w:r>
      <w:r w:rsidRPr="001D2980">
        <w:rPr>
          <w:rFonts w:ascii="Times New Roman" w:hAnsi="Times New Roman" w:cs="Times New Roman"/>
          <w:sz w:val="20"/>
          <w:szCs w:val="20"/>
        </w:rPr>
        <w:t xml:space="preserve"> </w:t>
      </w:r>
      <w:r w:rsidRPr="001D2980">
        <w:rPr>
          <w:rFonts w:ascii="Times New Roman" w:hAnsi="Times New Roman" w:cs="Times New Roman"/>
          <w:sz w:val="20"/>
          <w:szCs w:val="20"/>
          <w:lang w:val="fr-LU"/>
        </w:rPr>
        <w:t xml:space="preserve">Cf. Fontanille (2011) au sujet de la pratique comme « cours d’action ouvert » et négociable. </w:t>
      </w:r>
    </w:p>
  </w:footnote>
  <w:footnote w:id="4">
    <w:p w:rsidR="00EF3684" w:rsidRPr="006D2E68" w:rsidRDefault="00EF3684" w:rsidP="006D2E68">
      <w:pPr>
        <w:pStyle w:val="Notedebasdepage"/>
        <w:jc w:val="both"/>
        <w:rPr>
          <w:rFonts w:ascii="Times New Roman" w:hAnsi="Times New Roman" w:cs="Times New Roman"/>
          <w:sz w:val="20"/>
          <w:szCs w:val="20"/>
        </w:rPr>
      </w:pPr>
      <w:r w:rsidRPr="001D2980">
        <w:rPr>
          <w:rStyle w:val="Appelnotedebasdep"/>
          <w:rFonts w:ascii="Times New Roman" w:hAnsi="Times New Roman" w:cs="Times New Roman"/>
          <w:sz w:val="20"/>
          <w:szCs w:val="20"/>
        </w:rPr>
        <w:footnoteRef/>
      </w:r>
      <w:r w:rsidRPr="001D2980">
        <w:rPr>
          <w:rFonts w:ascii="Times New Roman" w:hAnsi="Times New Roman" w:cs="Times New Roman"/>
          <w:sz w:val="20"/>
          <w:szCs w:val="20"/>
        </w:rPr>
        <w:t xml:space="preserve"> Ces « sémiotiques-objets » naissent de la solidarisation d’un plan de l’expression – d’agencements</w:t>
      </w:r>
      <w:r w:rsidRPr="00907F24">
        <w:rPr>
          <w:rFonts w:ascii="Times New Roman" w:hAnsi="Times New Roman" w:cs="Times New Roman"/>
          <w:sz w:val="20"/>
          <w:szCs w:val="20"/>
        </w:rPr>
        <w:t xml:space="preserve"> syntagmatiques cohérents du cours de vie (</w:t>
      </w:r>
      <w:r>
        <w:rPr>
          <w:rFonts w:ascii="Times New Roman" w:hAnsi="Times New Roman" w:cs="Times New Roman"/>
          <w:sz w:val="20"/>
          <w:szCs w:val="20"/>
        </w:rPr>
        <w:t>Fontanille 2015a : 214) –</w:t>
      </w:r>
      <w:r w:rsidRPr="00907F24">
        <w:rPr>
          <w:rFonts w:ascii="Times New Roman" w:hAnsi="Times New Roman" w:cs="Times New Roman"/>
          <w:sz w:val="20"/>
          <w:szCs w:val="20"/>
        </w:rPr>
        <w:t xml:space="preserve"> et d’un plan du contenu </w:t>
      </w:r>
      <w:r>
        <w:rPr>
          <w:rFonts w:ascii="Times New Roman" w:hAnsi="Times New Roman" w:cs="Times New Roman"/>
          <w:sz w:val="20"/>
          <w:szCs w:val="20"/>
        </w:rPr>
        <w:t xml:space="preserve">(choix opérés </w:t>
      </w:r>
      <w:r w:rsidRPr="00907F24">
        <w:rPr>
          <w:rFonts w:ascii="Times New Roman" w:hAnsi="Times New Roman" w:cs="Times New Roman"/>
          <w:sz w:val="20"/>
          <w:szCs w:val="20"/>
        </w:rPr>
        <w:t>aux différents paliers du parcours génératif de la signification</w:t>
      </w:r>
      <w:r>
        <w:rPr>
          <w:rFonts w:ascii="Times New Roman" w:hAnsi="Times New Roman" w:cs="Times New Roman"/>
          <w:sz w:val="20"/>
          <w:szCs w:val="20"/>
        </w:rPr>
        <w:t>).</w:t>
      </w:r>
    </w:p>
  </w:footnote>
  <w:footnote w:id="5">
    <w:p w:rsidR="00EF3684" w:rsidRPr="00764540" w:rsidRDefault="00EF3684" w:rsidP="00913A4C">
      <w:pPr>
        <w:pStyle w:val="Notedebasdepage"/>
        <w:jc w:val="both"/>
        <w:rPr>
          <w:rFonts w:ascii="Times New Roman" w:hAnsi="Times New Roman" w:cs="Times New Roman"/>
          <w:sz w:val="20"/>
          <w:szCs w:val="20"/>
        </w:rPr>
      </w:pPr>
      <w:r w:rsidRPr="00764540">
        <w:rPr>
          <w:rStyle w:val="Appelnotedebasdep"/>
          <w:rFonts w:ascii="Times New Roman" w:hAnsi="Times New Roman" w:cs="Times New Roman"/>
          <w:sz w:val="20"/>
          <w:szCs w:val="20"/>
        </w:rPr>
        <w:footnoteRef/>
      </w:r>
      <w:r w:rsidRPr="00764540">
        <w:rPr>
          <w:rFonts w:ascii="Times New Roman" w:hAnsi="Times New Roman" w:cs="Times New Roman"/>
          <w:sz w:val="20"/>
          <w:szCs w:val="20"/>
        </w:rPr>
        <w:t xml:space="preserve"> </w:t>
      </w:r>
      <w:r>
        <w:rPr>
          <w:rFonts w:ascii="Times New Roman" w:hAnsi="Times New Roman" w:cs="Times New Roman"/>
          <w:sz w:val="20"/>
          <w:szCs w:val="20"/>
        </w:rPr>
        <w:t>C</w:t>
      </w:r>
      <w:r w:rsidRPr="00764540">
        <w:rPr>
          <w:rFonts w:ascii="Times New Roman" w:hAnsi="Times New Roman" w:cs="Times New Roman"/>
          <w:sz w:val="20"/>
          <w:szCs w:val="20"/>
        </w:rPr>
        <w:t xml:space="preserve">f. Sarfati (2016) au sujet du </w:t>
      </w:r>
      <w:r>
        <w:rPr>
          <w:rFonts w:ascii="Times New Roman" w:hAnsi="Times New Roman" w:cs="Times New Roman"/>
          <w:sz w:val="20"/>
          <w:szCs w:val="20"/>
        </w:rPr>
        <w:t>passage, pensé en pragmatique,</w:t>
      </w:r>
      <w:r w:rsidRPr="00764540">
        <w:rPr>
          <w:rFonts w:ascii="Times New Roman" w:hAnsi="Times New Roman" w:cs="Times New Roman"/>
          <w:sz w:val="20"/>
          <w:szCs w:val="20"/>
        </w:rPr>
        <w:t xml:space="preserve"> de la topique sociale à la topique configurationnelle</w:t>
      </w:r>
      <w:r>
        <w:rPr>
          <w:rFonts w:ascii="Times New Roman" w:hAnsi="Times New Roman" w:cs="Times New Roman"/>
          <w:sz w:val="20"/>
          <w:szCs w:val="20"/>
        </w:rPr>
        <w:t xml:space="preserve"> ainsi qu’</w:t>
      </w:r>
      <w:r w:rsidRPr="00764540">
        <w:rPr>
          <w:rFonts w:ascii="Times New Roman" w:hAnsi="Times New Roman" w:cs="Times New Roman"/>
          <w:sz w:val="20"/>
          <w:szCs w:val="20"/>
        </w:rPr>
        <w:t xml:space="preserve">aux topiques discursive, générique et textuelle. </w:t>
      </w:r>
    </w:p>
  </w:footnote>
  <w:footnote w:id="6">
    <w:p w:rsidR="00EF3684" w:rsidRPr="001D2980" w:rsidRDefault="00EF3684">
      <w:pPr>
        <w:pStyle w:val="Notedebasdepage"/>
        <w:rPr>
          <w:rFonts w:ascii="Times New Roman" w:hAnsi="Times New Roman" w:cs="Times New Roman"/>
          <w:sz w:val="20"/>
          <w:szCs w:val="20"/>
        </w:rPr>
      </w:pPr>
      <w:r w:rsidRPr="001D2980">
        <w:rPr>
          <w:rStyle w:val="Appelnotedebasdep"/>
          <w:rFonts w:ascii="Times New Roman" w:hAnsi="Times New Roman" w:cs="Times New Roman"/>
          <w:sz w:val="20"/>
          <w:szCs w:val="20"/>
        </w:rPr>
        <w:footnoteRef/>
      </w:r>
      <w:r w:rsidRPr="001D2980">
        <w:rPr>
          <w:rFonts w:ascii="Times New Roman" w:hAnsi="Times New Roman" w:cs="Times New Roman"/>
          <w:sz w:val="20"/>
          <w:szCs w:val="20"/>
        </w:rPr>
        <w:t xml:space="preserve"> Au sujet de la complémentarité des apports disciplinaires, cf. aussi Adam (2015b). </w:t>
      </w:r>
    </w:p>
  </w:footnote>
  <w:footnote w:id="7">
    <w:p w:rsidR="00EF3684" w:rsidRPr="00B916B6" w:rsidRDefault="00EF3684" w:rsidP="00B916B6">
      <w:pPr>
        <w:pStyle w:val="Paragraphedeliste"/>
        <w:ind w:left="0"/>
        <w:contextualSpacing w:val="0"/>
        <w:jc w:val="both"/>
        <w:rPr>
          <w:rFonts w:ascii="Times New Roman" w:hAnsi="Times New Roman" w:cs="Times New Roman"/>
          <w:sz w:val="20"/>
          <w:szCs w:val="20"/>
        </w:rPr>
      </w:pPr>
      <w:r w:rsidRPr="00B916B6">
        <w:rPr>
          <w:rStyle w:val="Appelnotedebasdep"/>
          <w:rFonts w:ascii="Times New Roman" w:hAnsi="Times New Roman" w:cs="Times New Roman"/>
          <w:sz w:val="20"/>
          <w:szCs w:val="20"/>
        </w:rPr>
        <w:footnoteRef/>
      </w:r>
      <w:r w:rsidRPr="00B916B6">
        <w:rPr>
          <w:rFonts w:ascii="Times New Roman" w:hAnsi="Times New Roman" w:cs="Times New Roman"/>
          <w:sz w:val="20"/>
          <w:szCs w:val="20"/>
        </w:rPr>
        <w:t xml:space="preserve"> </w:t>
      </w:r>
      <w:r w:rsidRPr="00B916B6">
        <w:rPr>
          <w:rFonts w:ascii="Times New Roman" w:hAnsi="Times New Roman" w:cs="Times New Roman"/>
          <w:sz w:val="20"/>
          <w:szCs w:val="20"/>
          <w:lang w:val="fr-LU"/>
        </w:rPr>
        <w:t>Cf. la dimension critique inhérente à l’analyse du discours</w:t>
      </w:r>
      <w:r>
        <w:rPr>
          <w:rFonts w:ascii="Times New Roman" w:hAnsi="Times New Roman" w:cs="Times New Roman"/>
          <w:sz w:val="20"/>
          <w:szCs w:val="20"/>
          <w:lang w:val="fr-LU"/>
        </w:rPr>
        <w:t> </w:t>
      </w:r>
      <w:r w:rsidRPr="00B916B6">
        <w:rPr>
          <w:rFonts w:ascii="Times New Roman" w:hAnsi="Times New Roman" w:cs="Times New Roman"/>
          <w:sz w:val="20"/>
          <w:szCs w:val="20"/>
          <w:lang w:val="fr-LU"/>
        </w:rPr>
        <w:t>: le discours</w:t>
      </w:r>
      <w:r>
        <w:rPr>
          <w:rFonts w:ascii="Times New Roman" w:hAnsi="Times New Roman" w:cs="Times New Roman"/>
          <w:sz w:val="20"/>
          <w:szCs w:val="20"/>
          <w:lang w:val="fr-LU"/>
        </w:rPr>
        <w:t xml:space="preserve"> –</w:t>
      </w:r>
      <w:r w:rsidRPr="00B916B6">
        <w:rPr>
          <w:rFonts w:ascii="Times New Roman" w:hAnsi="Times New Roman" w:cs="Times New Roman"/>
          <w:sz w:val="20"/>
          <w:szCs w:val="20"/>
          <w:lang w:val="fr-LU"/>
        </w:rPr>
        <w:t xml:space="preserve"> </w:t>
      </w:r>
      <w:r>
        <w:rPr>
          <w:rFonts w:ascii="Times New Roman" w:hAnsi="Times New Roman" w:cs="Times New Roman"/>
          <w:sz w:val="20"/>
          <w:szCs w:val="20"/>
          <w:lang w:val="fr-LU"/>
        </w:rPr>
        <w:t xml:space="preserve">ce </w:t>
      </w:r>
      <w:r w:rsidRPr="00B916B6">
        <w:rPr>
          <w:rFonts w:ascii="Times New Roman" w:hAnsi="Times New Roman" w:cs="Times New Roman"/>
          <w:sz w:val="20"/>
          <w:szCs w:val="20"/>
          <w:lang w:val="fr-LU"/>
        </w:rPr>
        <w:t>« flot » ou «</w:t>
      </w:r>
      <w:r>
        <w:rPr>
          <w:rFonts w:ascii="Times New Roman" w:hAnsi="Times New Roman" w:cs="Times New Roman"/>
          <w:sz w:val="20"/>
          <w:szCs w:val="20"/>
          <w:lang w:val="fr-LU"/>
        </w:rPr>
        <w:t xml:space="preserve"> réservoir » de savoirs sociaux – </w:t>
      </w:r>
      <w:r w:rsidRPr="00B916B6">
        <w:rPr>
          <w:rFonts w:ascii="Times New Roman" w:hAnsi="Times New Roman" w:cs="Times New Roman"/>
          <w:sz w:val="20"/>
          <w:szCs w:val="20"/>
          <w:lang w:val="fr-LU"/>
        </w:rPr>
        <w:t>est impliqué dans l’exerci</w:t>
      </w:r>
      <w:r>
        <w:rPr>
          <w:rFonts w:ascii="Times New Roman" w:hAnsi="Times New Roman" w:cs="Times New Roman"/>
          <w:sz w:val="20"/>
          <w:szCs w:val="20"/>
          <w:lang w:val="fr-LU"/>
        </w:rPr>
        <w:t>ce du pouvoir.</w:t>
      </w:r>
    </w:p>
  </w:footnote>
  <w:footnote w:id="8">
    <w:p w:rsidR="00EF3684" w:rsidRPr="00C61382" w:rsidRDefault="00EF3684" w:rsidP="00B916B6">
      <w:pPr>
        <w:pStyle w:val="Notedebasdepage"/>
        <w:jc w:val="both"/>
        <w:rPr>
          <w:rFonts w:ascii="Times New Roman" w:hAnsi="Times New Roman" w:cs="Times New Roman"/>
          <w:sz w:val="20"/>
          <w:szCs w:val="20"/>
        </w:rPr>
      </w:pPr>
      <w:r w:rsidRPr="00C61382">
        <w:rPr>
          <w:rStyle w:val="Appelnotedebasdep"/>
          <w:rFonts w:ascii="Times New Roman" w:hAnsi="Times New Roman" w:cs="Times New Roman"/>
          <w:sz w:val="20"/>
          <w:szCs w:val="20"/>
        </w:rPr>
        <w:footnoteRef/>
      </w:r>
      <w:r w:rsidRPr="00C61382">
        <w:rPr>
          <w:rFonts w:ascii="Times New Roman" w:hAnsi="Times New Roman" w:cs="Times New Roman"/>
          <w:sz w:val="20"/>
          <w:szCs w:val="20"/>
        </w:rPr>
        <w:t xml:space="preserve"> On définira la sémiose au moins par la solidarisation d’un plan du contenu et d’un plan de l’expression. </w:t>
      </w:r>
    </w:p>
  </w:footnote>
  <w:footnote w:id="9">
    <w:p w:rsidR="00EF3684" w:rsidRPr="002B5955" w:rsidRDefault="00EF3684" w:rsidP="000A02D5">
      <w:pPr>
        <w:pStyle w:val="Notedebasdepage"/>
        <w:jc w:val="both"/>
        <w:rPr>
          <w:rFonts w:ascii="Times New Roman" w:hAnsi="Times New Roman" w:cs="Times New Roman"/>
          <w:sz w:val="20"/>
          <w:szCs w:val="20"/>
        </w:rPr>
      </w:pPr>
      <w:r w:rsidRPr="002B5955">
        <w:rPr>
          <w:rStyle w:val="Appelnotedebasdep"/>
          <w:rFonts w:ascii="Times New Roman" w:hAnsi="Times New Roman" w:cs="Times New Roman"/>
          <w:sz w:val="20"/>
          <w:szCs w:val="20"/>
        </w:rPr>
        <w:footnoteRef/>
      </w:r>
      <w:r w:rsidRPr="002B5955">
        <w:rPr>
          <w:rFonts w:ascii="Times New Roman" w:hAnsi="Times New Roman" w:cs="Times New Roman"/>
          <w:sz w:val="20"/>
          <w:szCs w:val="20"/>
        </w:rPr>
        <w:t xml:space="preserve"> Cf. les conclusions du Séminaire de Sémiotique de Paris (03/06/2015). Le texte n’a pas encore été publié. </w:t>
      </w:r>
    </w:p>
  </w:footnote>
  <w:footnote w:id="10">
    <w:p w:rsidR="00EF3684" w:rsidRPr="002B5955" w:rsidRDefault="00EF3684" w:rsidP="000A02D5">
      <w:pPr>
        <w:pStyle w:val="Notedebasdepage"/>
        <w:jc w:val="both"/>
        <w:rPr>
          <w:rFonts w:ascii="Times New Roman" w:hAnsi="Times New Roman" w:cs="Times New Roman"/>
          <w:sz w:val="20"/>
          <w:szCs w:val="20"/>
        </w:rPr>
      </w:pPr>
      <w:r w:rsidRPr="002B5955">
        <w:rPr>
          <w:rStyle w:val="Appelnotedebasdep"/>
          <w:rFonts w:ascii="Times New Roman" w:hAnsi="Times New Roman" w:cs="Times New Roman"/>
          <w:sz w:val="20"/>
          <w:szCs w:val="20"/>
        </w:rPr>
        <w:footnoteRef/>
      </w:r>
      <w:r w:rsidRPr="002B5955">
        <w:rPr>
          <w:rFonts w:ascii="Times New Roman" w:hAnsi="Times New Roman" w:cs="Times New Roman"/>
          <w:sz w:val="20"/>
          <w:szCs w:val="20"/>
        </w:rPr>
        <w:t xml:space="preserve"> «  </w:t>
      </w:r>
      <w:r w:rsidRPr="002B5955">
        <w:rPr>
          <w:rFonts w:ascii="Times New Roman" w:hAnsi="Times New Roman" w:cs="Times New Roman"/>
          <w:color w:val="052726"/>
          <w:sz w:val="20"/>
          <w:szCs w:val="20"/>
        </w:rPr>
        <w:t xml:space="preserve">La volumineuse et accueillante collection d’intégrales [ou presque] de Gallimard » veut être un « réceptacle enthousiaste des inédits ou surplus que n’a pas pu intégrer la Pléiade » (présentation en ligne).  </w:t>
      </w:r>
    </w:p>
  </w:footnote>
  <w:footnote w:id="11">
    <w:p w:rsidR="00EF3684" w:rsidRPr="0096408A" w:rsidRDefault="00EF3684" w:rsidP="000A02D5">
      <w:pPr>
        <w:pStyle w:val="Notedebasdepage"/>
        <w:jc w:val="both"/>
        <w:rPr>
          <w:rFonts w:ascii="Times New Roman" w:hAnsi="Times New Roman" w:cs="Times New Roman"/>
          <w:sz w:val="20"/>
          <w:szCs w:val="20"/>
        </w:rPr>
      </w:pPr>
      <w:r w:rsidRPr="0096408A">
        <w:rPr>
          <w:rStyle w:val="Appelnotedebasdep"/>
          <w:rFonts w:ascii="Times New Roman" w:hAnsi="Times New Roman" w:cs="Times New Roman"/>
          <w:sz w:val="20"/>
          <w:szCs w:val="20"/>
        </w:rPr>
        <w:footnoteRef/>
      </w:r>
      <w:r w:rsidRPr="0096408A">
        <w:rPr>
          <w:rFonts w:ascii="Times New Roman" w:hAnsi="Times New Roman" w:cs="Times New Roman"/>
          <w:sz w:val="20"/>
          <w:szCs w:val="20"/>
        </w:rPr>
        <w:t xml:space="preserve"> La deuxième attitude, inspirée par Pêcheux, prend appui sur la linguistique « au nom d’une visée critique d’ordre à la fois philosophique et politique » (Maingueneau 2012). </w:t>
      </w:r>
    </w:p>
  </w:footnote>
  <w:footnote w:id="12">
    <w:p w:rsidR="00EF3684" w:rsidRPr="00642E54" w:rsidRDefault="00EF3684" w:rsidP="00642E54">
      <w:pPr>
        <w:spacing w:line="276" w:lineRule="auto"/>
        <w:jc w:val="both"/>
        <w:rPr>
          <w:rFonts w:ascii="Times New Roman" w:hAnsi="Times New Roman" w:cs="Times New Roman"/>
          <w:sz w:val="20"/>
          <w:szCs w:val="20"/>
        </w:rPr>
      </w:pPr>
      <w:r w:rsidRPr="00C62E5F">
        <w:rPr>
          <w:rStyle w:val="Appelnotedebasdep"/>
          <w:rFonts w:ascii="Times New Roman" w:hAnsi="Times New Roman" w:cs="Times New Roman"/>
          <w:sz w:val="20"/>
          <w:szCs w:val="20"/>
        </w:rPr>
        <w:footnoteRef/>
      </w:r>
      <w:r w:rsidRPr="00C62E5F">
        <w:rPr>
          <w:rFonts w:ascii="Times New Roman" w:hAnsi="Times New Roman" w:cs="Times New Roman"/>
          <w:sz w:val="20"/>
          <w:szCs w:val="20"/>
        </w:rPr>
        <w:t xml:space="preserve"> Nous entendons</w:t>
      </w:r>
      <w:r>
        <w:rPr>
          <w:rFonts w:ascii="Times New Roman" w:hAnsi="Times New Roman" w:cs="Times New Roman"/>
          <w:sz w:val="20"/>
          <w:szCs w:val="20"/>
        </w:rPr>
        <w:t xml:space="preserve"> ici</w:t>
      </w:r>
      <w:r w:rsidRPr="00C62E5F">
        <w:rPr>
          <w:rFonts w:ascii="Times New Roman" w:hAnsi="Times New Roman" w:cs="Times New Roman"/>
          <w:sz w:val="20"/>
          <w:szCs w:val="20"/>
        </w:rPr>
        <w:t xml:space="preserve"> par « textualisation » le « devenir texte », c’est-à-dire le </w:t>
      </w:r>
      <w:r>
        <w:rPr>
          <w:rFonts w:ascii="Times New Roman" w:hAnsi="Times New Roman" w:cs="Times New Roman"/>
          <w:sz w:val="20"/>
          <w:szCs w:val="20"/>
        </w:rPr>
        <w:t xml:space="preserve">fait de </w:t>
      </w:r>
      <w:r w:rsidRPr="00C62E5F">
        <w:rPr>
          <w:rFonts w:ascii="Times New Roman" w:hAnsi="Times New Roman" w:cs="Times New Roman"/>
          <w:sz w:val="20"/>
          <w:szCs w:val="20"/>
        </w:rPr>
        <w:t xml:space="preserve">devenir un tout de sens cohésif et cohérent stabilisé. </w:t>
      </w:r>
    </w:p>
  </w:footnote>
  <w:footnote w:id="13">
    <w:p w:rsidR="00EF3684" w:rsidRPr="00F93264" w:rsidRDefault="00EF3684" w:rsidP="00C615E5">
      <w:pPr>
        <w:pStyle w:val="Notedebasdepage"/>
        <w:jc w:val="both"/>
        <w:rPr>
          <w:rFonts w:ascii="Times New Roman" w:hAnsi="Times New Roman" w:cs="Times New Roman"/>
          <w:sz w:val="20"/>
          <w:szCs w:val="20"/>
        </w:rPr>
      </w:pPr>
      <w:r w:rsidRPr="00F93264">
        <w:rPr>
          <w:rStyle w:val="Appelnotedebasdep"/>
          <w:rFonts w:ascii="Times New Roman" w:hAnsi="Times New Roman" w:cs="Times New Roman"/>
          <w:sz w:val="20"/>
          <w:szCs w:val="20"/>
        </w:rPr>
        <w:footnoteRef/>
      </w:r>
      <w:r w:rsidRPr="00F93264">
        <w:rPr>
          <w:rFonts w:ascii="Times New Roman" w:hAnsi="Times New Roman" w:cs="Times New Roman"/>
          <w:sz w:val="20"/>
          <w:szCs w:val="20"/>
        </w:rPr>
        <w:t xml:space="preserve"> Ablali (2013 : 11) parle de conditionnement par la praxis : « […] puisque les genres sont structurés aussi bien par des normes langagières que sociocognitives, comment la praxis à laquelle les genres appartiennent conditionne-t-elle la mise en discours des faits de langue ? ».</w:t>
      </w:r>
    </w:p>
  </w:footnote>
  <w:footnote w:id="14">
    <w:p w:rsidR="00EF3684" w:rsidRPr="00642E54" w:rsidRDefault="00EF3684">
      <w:pPr>
        <w:pStyle w:val="Notedebasdepage"/>
        <w:rPr>
          <w:rFonts w:ascii="Times New Roman" w:hAnsi="Times New Roman" w:cs="Times New Roman"/>
          <w:sz w:val="20"/>
          <w:szCs w:val="20"/>
        </w:rPr>
      </w:pPr>
      <w:r w:rsidRPr="00642E54">
        <w:rPr>
          <w:rStyle w:val="Appelnotedebasdep"/>
          <w:rFonts w:ascii="Times New Roman" w:hAnsi="Times New Roman" w:cs="Times New Roman"/>
          <w:sz w:val="20"/>
          <w:szCs w:val="20"/>
        </w:rPr>
        <w:footnoteRef/>
      </w:r>
      <w:r w:rsidRPr="00642E54">
        <w:rPr>
          <w:rFonts w:ascii="Times New Roman" w:hAnsi="Times New Roman" w:cs="Times New Roman"/>
          <w:sz w:val="20"/>
          <w:szCs w:val="20"/>
        </w:rPr>
        <w:t xml:space="preserve"> Cf. </w:t>
      </w:r>
      <w:r w:rsidRPr="00C615E5">
        <w:rPr>
          <w:rFonts w:ascii="Times New Roman" w:hAnsi="Times New Roman" w:cs="Times New Roman"/>
          <w:i/>
          <w:sz w:val="20"/>
          <w:szCs w:val="20"/>
        </w:rPr>
        <w:t>supra</w:t>
      </w:r>
      <w:r w:rsidRPr="00642E54">
        <w:rPr>
          <w:rFonts w:ascii="Times New Roman" w:hAnsi="Times New Roman" w:cs="Times New Roman"/>
          <w:sz w:val="20"/>
          <w:szCs w:val="20"/>
        </w:rPr>
        <w:t xml:space="preserve">. </w:t>
      </w:r>
    </w:p>
  </w:footnote>
  <w:footnote w:id="15">
    <w:p w:rsidR="00EF3684" w:rsidRPr="006E673E" w:rsidRDefault="00EF3684" w:rsidP="000A02D5">
      <w:pPr>
        <w:pStyle w:val="Notedebasdepage"/>
        <w:jc w:val="both"/>
        <w:rPr>
          <w:rFonts w:ascii="Times New Roman" w:hAnsi="Times New Roman" w:cs="Times New Roman"/>
          <w:sz w:val="20"/>
          <w:szCs w:val="20"/>
        </w:rPr>
      </w:pPr>
      <w:r w:rsidRPr="006E673E">
        <w:rPr>
          <w:rStyle w:val="Appelnotedebasdep"/>
          <w:rFonts w:ascii="Times New Roman" w:hAnsi="Times New Roman" w:cs="Times New Roman"/>
          <w:sz w:val="20"/>
          <w:szCs w:val="20"/>
        </w:rPr>
        <w:footnoteRef/>
      </w:r>
      <w:r w:rsidRPr="006E673E">
        <w:rPr>
          <w:rFonts w:ascii="Times New Roman" w:hAnsi="Times New Roman" w:cs="Times New Roman"/>
          <w:sz w:val="20"/>
          <w:szCs w:val="20"/>
        </w:rPr>
        <w:t xml:space="preserve"> Au sujet </w:t>
      </w:r>
      <w:r>
        <w:rPr>
          <w:rFonts w:ascii="Times New Roman" w:hAnsi="Times New Roman" w:cs="Times New Roman"/>
          <w:sz w:val="20"/>
          <w:szCs w:val="20"/>
        </w:rPr>
        <w:t>du</w:t>
      </w:r>
      <w:r w:rsidRPr="006E673E">
        <w:rPr>
          <w:rFonts w:ascii="Times New Roman" w:hAnsi="Times New Roman" w:cs="Times New Roman"/>
          <w:sz w:val="20"/>
          <w:szCs w:val="20"/>
        </w:rPr>
        <w:t xml:space="preserve"> style comme manière d’</w:t>
      </w:r>
      <w:r>
        <w:rPr>
          <w:rFonts w:ascii="Times New Roman" w:hAnsi="Times New Roman" w:cs="Times New Roman"/>
          <w:sz w:val="20"/>
          <w:szCs w:val="20"/>
        </w:rPr>
        <w:t xml:space="preserve">être (encore largement impersonnelle) </w:t>
      </w:r>
      <w:r w:rsidRPr="006E673E">
        <w:rPr>
          <w:rFonts w:ascii="Times New Roman" w:hAnsi="Times New Roman" w:cs="Times New Roman"/>
          <w:sz w:val="20"/>
          <w:szCs w:val="20"/>
        </w:rPr>
        <w:t>en énonçant, cf. Colas-Blaise (</w:t>
      </w:r>
      <w:r>
        <w:rPr>
          <w:rFonts w:ascii="Times New Roman" w:hAnsi="Times New Roman" w:cs="Times New Roman"/>
          <w:sz w:val="20"/>
          <w:szCs w:val="20"/>
        </w:rPr>
        <w:t>2012</w:t>
      </w:r>
      <w:r w:rsidRPr="006E673E">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2D9"/>
    <w:multiLevelType w:val="hybridMultilevel"/>
    <w:tmpl w:val="90049690"/>
    <w:lvl w:ilvl="0" w:tplc="8446E29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353C2A"/>
    <w:multiLevelType w:val="hybridMultilevel"/>
    <w:tmpl w:val="2A72BC14"/>
    <w:lvl w:ilvl="0" w:tplc="FAB82380">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18494A"/>
    <w:multiLevelType w:val="hybridMultilevel"/>
    <w:tmpl w:val="88A48C9A"/>
    <w:lvl w:ilvl="0" w:tplc="AD94B8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2D5"/>
    <w:rsid w:val="0005335C"/>
    <w:rsid w:val="000A02D5"/>
    <w:rsid w:val="000C3997"/>
    <w:rsid w:val="00197A73"/>
    <w:rsid w:val="001D2980"/>
    <w:rsid w:val="002111ED"/>
    <w:rsid w:val="00271B9E"/>
    <w:rsid w:val="002B5955"/>
    <w:rsid w:val="00320A3C"/>
    <w:rsid w:val="003A6ACB"/>
    <w:rsid w:val="003F2AA7"/>
    <w:rsid w:val="0043379E"/>
    <w:rsid w:val="00542C19"/>
    <w:rsid w:val="005B252F"/>
    <w:rsid w:val="005D79CB"/>
    <w:rsid w:val="005E3CB3"/>
    <w:rsid w:val="005F17E6"/>
    <w:rsid w:val="005F5D4B"/>
    <w:rsid w:val="0060530E"/>
    <w:rsid w:val="00625959"/>
    <w:rsid w:val="00630671"/>
    <w:rsid w:val="00642E54"/>
    <w:rsid w:val="006468E1"/>
    <w:rsid w:val="006A61E8"/>
    <w:rsid w:val="006D2E68"/>
    <w:rsid w:val="006E22E8"/>
    <w:rsid w:val="00744BA0"/>
    <w:rsid w:val="00764BDC"/>
    <w:rsid w:val="007D4664"/>
    <w:rsid w:val="007D69D8"/>
    <w:rsid w:val="008266D8"/>
    <w:rsid w:val="00846D99"/>
    <w:rsid w:val="00863433"/>
    <w:rsid w:val="008C062E"/>
    <w:rsid w:val="008C7340"/>
    <w:rsid w:val="008E5603"/>
    <w:rsid w:val="00913A4C"/>
    <w:rsid w:val="00996947"/>
    <w:rsid w:val="009D7031"/>
    <w:rsid w:val="00A26402"/>
    <w:rsid w:val="00A56CB0"/>
    <w:rsid w:val="00AC2DE2"/>
    <w:rsid w:val="00B210CE"/>
    <w:rsid w:val="00B41452"/>
    <w:rsid w:val="00B916B6"/>
    <w:rsid w:val="00BA740C"/>
    <w:rsid w:val="00C47C85"/>
    <w:rsid w:val="00C615E5"/>
    <w:rsid w:val="00CE1F7D"/>
    <w:rsid w:val="00CF7F5B"/>
    <w:rsid w:val="00D7262C"/>
    <w:rsid w:val="00DB062A"/>
    <w:rsid w:val="00DC2290"/>
    <w:rsid w:val="00E37F66"/>
    <w:rsid w:val="00E93BBB"/>
    <w:rsid w:val="00EA539E"/>
    <w:rsid w:val="00EA596B"/>
    <w:rsid w:val="00EB4CB5"/>
    <w:rsid w:val="00EF3684"/>
    <w:rsid w:val="00FC69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71FB075-AAAC-884A-A31E-CA100412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2D5"/>
  </w:style>
  <w:style w:type="paragraph" w:styleId="Titre2">
    <w:name w:val="heading 2"/>
    <w:basedOn w:val="Normal"/>
    <w:next w:val="Normal"/>
    <w:link w:val="Titre2Car"/>
    <w:uiPriority w:val="9"/>
    <w:unhideWhenUsed/>
    <w:qFormat/>
    <w:rsid w:val="000A02D5"/>
    <w:pPr>
      <w:keepNext/>
      <w:autoSpaceDE w:val="0"/>
      <w:autoSpaceDN w:val="0"/>
      <w:adjustRightInd w:val="0"/>
      <w:spacing w:before="240" w:after="60"/>
      <w:ind w:firstLine="709"/>
      <w:jc w:val="both"/>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character" w:customStyle="1" w:styleId="Titre2Car">
    <w:name w:val="Titre 2 Car"/>
    <w:basedOn w:val="Policepardfaut"/>
    <w:link w:val="Titre2"/>
    <w:uiPriority w:val="9"/>
    <w:rsid w:val="000A02D5"/>
    <w:rPr>
      <w:rFonts w:ascii="Cambria" w:eastAsia="Times New Roman" w:hAnsi="Cambria" w:cs="Times New Roman"/>
      <w:b/>
      <w:bCs/>
      <w:i/>
      <w:iCs/>
      <w:sz w:val="28"/>
      <w:szCs w:val="28"/>
    </w:rPr>
  </w:style>
  <w:style w:type="paragraph" w:styleId="Paragraphedeliste">
    <w:name w:val="List Paragraph"/>
    <w:basedOn w:val="Normal"/>
    <w:uiPriority w:val="34"/>
    <w:qFormat/>
    <w:rsid w:val="000A02D5"/>
    <w:pPr>
      <w:ind w:left="720"/>
      <w:contextualSpacing/>
    </w:pPr>
  </w:style>
  <w:style w:type="character" w:styleId="Lienhypertexte">
    <w:name w:val="Hyperlink"/>
    <w:basedOn w:val="Policepardfaut"/>
    <w:uiPriority w:val="99"/>
    <w:unhideWhenUsed/>
    <w:rsid w:val="000A02D5"/>
    <w:rPr>
      <w:color w:val="0000FF" w:themeColor="hyperlink"/>
      <w:u w:val="single"/>
    </w:rPr>
  </w:style>
  <w:style w:type="paragraph" w:styleId="Notedebasdepage">
    <w:name w:val="footnote text"/>
    <w:basedOn w:val="Normal"/>
    <w:link w:val="NotedebasdepageCar"/>
    <w:unhideWhenUsed/>
    <w:qFormat/>
    <w:rsid w:val="000A02D5"/>
  </w:style>
  <w:style w:type="character" w:customStyle="1" w:styleId="NotedebasdepageCar">
    <w:name w:val="Note de bas de page Car"/>
    <w:basedOn w:val="Policepardfaut"/>
    <w:link w:val="Notedebasdepage"/>
    <w:rsid w:val="000A02D5"/>
  </w:style>
  <w:style w:type="character" w:styleId="Appelnotedebasdep">
    <w:name w:val="footnote reference"/>
    <w:basedOn w:val="Policepardfaut"/>
    <w:uiPriority w:val="99"/>
    <w:unhideWhenUsed/>
    <w:rsid w:val="000A02D5"/>
    <w:rPr>
      <w:vertAlign w:val="superscript"/>
    </w:rPr>
  </w:style>
  <w:style w:type="paragraph" w:styleId="NormalWeb">
    <w:name w:val="Normal (Web)"/>
    <w:basedOn w:val="Normal"/>
    <w:uiPriority w:val="99"/>
    <w:unhideWhenUsed/>
    <w:rsid w:val="000A02D5"/>
    <w:pPr>
      <w:spacing w:before="100" w:beforeAutospacing="1" w:after="100" w:afterAutospacing="1"/>
    </w:pPr>
    <w:rPr>
      <w:rFonts w:ascii="Times" w:hAnsi="Times" w:cs="Times New Roman"/>
      <w:sz w:val="20"/>
      <w:szCs w:val="20"/>
      <w:lang w:val="fr-LU"/>
    </w:rPr>
  </w:style>
  <w:style w:type="paragraph" w:customStyle="1" w:styleId="Paragrapheavecretraitapr4">
    <w:name w:val="Paragraphe avec retrait apr. 4"/>
    <w:basedOn w:val="Normal"/>
    <w:uiPriority w:val="99"/>
    <w:rsid w:val="000A02D5"/>
    <w:pPr>
      <w:overflowPunct w:val="0"/>
      <w:autoSpaceDE w:val="0"/>
      <w:autoSpaceDN w:val="0"/>
      <w:adjustRightInd w:val="0"/>
      <w:spacing w:after="80"/>
      <w:ind w:firstLine="567"/>
      <w:jc w:val="both"/>
      <w:textAlignment w:val="baseline"/>
    </w:pPr>
    <w:rPr>
      <w:rFonts w:ascii="Times New Roman" w:eastAsia="Times New Roman" w:hAnsi="Times New Roman" w:cs="Times New Roman"/>
      <w:sz w:val="22"/>
      <w:szCs w:val="20"/>
    </w:rPr>
  </w:style>
  <w:style w:type="character" w:styleId="Marquedecommentaire">
    <w:name w:val="annotation reference"/>
    <w:basedOn w:val="Policepardfaut"/>
    <w:uiPriority w:val="99"/>
    <w:semiHidden/>
    <w:unhideWhenUsed/>
    <w:rsid w:val="000A02D5"/>
    <w:rPr>
      <w:sz w:val="16"/>
      <w:szCs w:val="16"/>
    </w:rPr>
  </w:style>
  <w:style w:type="paragraph" w:styleId="Commentaire">
    <w:name w:val="annotation text"/>
    <w:basedOn w:val="Normal"/>
    <w:link w:val="CommentaireCar"/>
    <w:uiPriority w:val="99"/>
    <w:semiHidden/>
    <w:unhideWhenUsed/>
    <w:rsid w:val="000A02D5"/>
    <w:rPr>
      <w:sz w:val="20"/>
      <w:szCs w:val="20"/>
    </w:rPr>
  </w:style>
  <w:style w:type="character" w:customStyle="1" w:styleId="CommentaireCar">
    <w:name w:val="Commentaire Car"/>
    <w:basedOn w:val="Policepardfaut"/>
    <w:link w:val="Commentaire"/>
    <w:uiPriority w:val="99"/>
    <w:semiHidden/>
    <w:rsid w:val="000A02D5"/>
    <w:rPr>
      <w:sz w:val="20"/>
      <w:szCs w:val="20"/>
    </w:rPr>
  </w:style>
  <w:style w:type="table" w:styleId="Grilledutableau">
    <w:name w:val="Table Grid"/>
    <w:basedOn w:val="TableauNormal"/>
    <w:uiPriority w:val="39"/>
    <w:rsid w:val="000A02D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F7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3607">
      <w:bodyDiv w:val="1"/>
      <w:marLeft w:val="0"/>
      <w:marRight w:val="0"/>
      <w:marTop w:val="0"/>
      <w:marBottom w:val="0"/>
      <w:divBdr>
        <w:top w:val="none" w:sz="0" w:space="0" w:color="auto"/>
        <w:left w:val="none" w:sz="0" w:space="0" w:color="auto"/>
        <w:bottom w:val="none" w:sz="0" w:space="0" w:color="auto"/>
        <w:right w:val="none" w:sz="0" w:space="0" w:color="auto"/>
      </w:divBdr>
      <w:divsChild>
        <w:div w:id="204803714">
          <w:marLeft w:val="0"/>
          <w:marRight w:val="0"/>
          <w:marTop w:val="0"/>
          <w:marBottom w:val="0"/>
          <w:divBdr>
            <w:top w:val="none" w:sz="0" w:space="0" w:color="auto"/>
            <w:left w:val="none" w:sz="0" w:space="0" w:color="auto"/>
            <w:bottom w:val="none" w:sz="0" w:space="0" w:color="auto"/>
            <w:right w:val="none" w:sz="0" w:space="0" w:color="auto"/>
          </w:divBdr>
          <w:divsChild>
            <w:div w:id="586502624">
              <w:marLeft w:val="0"/>
              <w:marRight w:val="0"/>
              <w:marTop w:val="0"/>
              <w:marBottom w:val="0"/>
              <w:divBdr>
                <w:top w:val="none" w:sz="0" w:space="0" w:color="auto"/>
                <w:left w:val="none" w:sz="0" w:space="0" w:color="auto"/>
                <w:bottom w:val="none" w:sz="0" w:space="0" w:color="auto"/>
                <w:right w:val="none" w:sz="0" w:space="0" w:color="auto"/>
              </w:divBdr>
              <w:divsChild>
                <w:div w:id="2038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publications.unilim.fr/revues/as/5320" TargetMode="External"/><Relationship Id="rId3" Type="http://schemas.openxmlformats.org/officeDocument/2006/relationships/settings" Target="settings.xml"/><Relationship Id="rId7" Type="http://schemas.openxmlformats.org/officeDocument/2006/relationships/hyperlink" Target="http://www.lucid.ulg.ac.be/conferences/common14/download,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ad.revues.org/1354" TargetMode="External"/><Relationship Id="rId4" Type="http://schemas.openxmlformats.org/officeDocument/2006/relationships/webSettings" Target="webSettings.xml"/><Relationship Id="rId9" Type="http://schemas.openxmlformats.org/officeDocument/2006/relationships/hyperlink" Target="http://www.vox-poetica.org/t/articles/maingueneau.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4576</Words>
  <Characters>25855</Characters>
  <Application>Microsoft Office Word</Application>
  <DocSecurity>0</DocSecurity>
  <Lines>380</Lines>
  <Paragraphs>89</Paragraphs>
  <ScaleCrop>false</ScaleCrop>
  <Company>Colas</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dc:creator>
  <cp:keywords/>
  <dc:description/>
  <cp:lastModifiedBy>Marion</cp:lastModifiedBy>
  <cp:revision>2</cp:revision>
  <cp:lastPrinted>2016-05-21T14:03:00Z</cp:lastPrinted>
  <dcterms:created xsi:type="dcterms:W3CDTF">2019-01-18T14:35:00Z</dcterms:created>
  <dcterms:modified xsi:type="dcterms:W3CDTF">2019-01-18T14:35:00Z</dcterms:modified>
</cp:coreProperties>
</file>