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spacing w:line="480" w:lineRule="auto"/>
        <w:jc w:val="both"/>
        <w:rPr>
          <w:rFonts w:ascii="Times New Roman" w:cs="Times New Roman" w:eastAsia="Times New Roman" w:hAnsi="Times New Roman"/>
          <w:b w:val="1"/>
          <w:sz w:val="24"/>
          <w:szCs w:val="24"/>
        </w:rPr>
      </w:pPr>
      <w:bookmarkStart w:colFirst="0" w:colLast="0" w:name="_zdgdaofge1xf" w:id="0"/>
      <w:bookmarkEnd w:id="0"/>
      <w:r w:rsidDel="00000000" w:rsidR="00000000" w:rsidRPr="00000000">
        <w:rPr>
          <w:rFonts w:ascii="Times New Roman" w:cs="Times New Roman" w:eastAsia="Times New Roman" w:hAnsi="Times New Roman"/>
          <w:b w:val="1"/>
          <w:sz w:val="24"/>
          <w:szCs w:val="24"/>
          <w:rtl w:val="0"/>
        </w:rPr>
        <w:t xml:space="preserve">Le temps long des réseaux sociaux numériques, une introduction</w:t>
      </w:r>
    </w:p>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Frédéric Clavert, Martin Grandjean et </w:t>
      </w:r>
      <w:r w:rsidDel="00000000" w:rsidR="00000000" w:rsidRPr="00000000">
        <w:rPr>
          <w:rFonts w:ascii="Times New Roman" w:cs="Times New Roman" w:eastAsia="Times New Roman" w:hAnsi="Times New Roman"/>
          <w:sz w:val="24"/>
          <w:szCs w:val="24"/>
          <w:rtl w:val="0"/>
        </w:rPr>
        <w:t xml:space="preserve">Cécile Méadel </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15 janvier 2009, un avion de l’</w:t>
      </w:r>
      <w:r w:rsidDel="00000000" w:rsidR="00000000" w:rsidRPr="00000000">
        <w:rPr>
          <w:rFonts w:ascii="Times New Roman" w:cs="Times New Roman" w:eastAsia="Times New Roman" w:hAnsi="Times New Roman"/>
          <w:i w:val="1"/>
          <w:sz w:val="24"/>
          <w:szCs w:val="24"/>
          <w:rtl w:val="0"/>
        </w:rPr>
        <w:t xml:space="preserve">US Airways</w:t>
      </w:r>
      <w:r w:rsidDel="00000000" w:rsidR="00000000" w:rsidRPr="00000000">
        <w:rPr>
          <w:rFonts w:ascii="Times New Roman" w:cs="Times New Roman" w:eastAsia="Times New Roman" w:hAnsi="Times New Roman"/>
          <w:sz w:val="24"/>
          <w:szCs w:val="24"/>
          <w:rtl w:val="0"/>
        </w:rPr>
        <w:t xml:space="preserve"> amerrit en urgence sur le fleuve Hudson à proximité de New York. Depuis les radeaux de secours, certains passagers et membres de l’équipe de bord, tous sains et saufs, publient dans les minutes qui suivent leurs photographies sur </w:t>
      </w:r>
      <w:r w:rsidDel="00000000" w:rsidR="00000000" w:rsidRPr="00000000">
        <w:rPr>
          <w:rFonts w:ascii="Times New Roman" w:cs="Times New Roman" w:eastAsia="Times New Roman" w:hAnsi="Times New Roman"/>
          <w:i w:val="1"/>
          <w:sz w:val="24"/>
          <w:szCs w:val="24"/>
          <w:rtl w:val="0"/>
        </w:rPr>
        <w:t xml:space="preserve">Twitter</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sz w:val="24"/>
          <w:szCs w:val="24"/>
          <w:rtl w:val="0"/>
        </w:rPr>
        <w:t xml:space="preserve">Flickr</w:t>
      </w:r>
      <w:r w:rsidDel="00000000" w:rsidR="00000000" w:rsidRPr="00000000">
        <w:rPr>
          <w:rFonts w:ascii="Times New Roman" w:cs="Times New Roman" w:eastAsia="Times New Roman" w:hAnsi="Times New Roman"/>
          <w:sz w:val="24"/>
          <w:szCs w:val="24"/>
          <w:rtl w:val="0"/>
        </w:rPr>
        <w:t xml:space="preserve"> : les utilisateurs de ces plateformes « sociales » en ligne sont ainsi informés de l’événement avant que presse et télévision ne puissent le relater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anecdote semble désormais banale : quelques mois plus tard, la nouvelle du décès du chanteur Michael Jackson suit un schéma similaire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L’une comme l’autre renvoient au statut et aux fonctions de ce que l’on appelle aujourd’hui les réseaux sociaux numériques. L</w:t>
      </w:r>
      <w:r w:rsidDel="00000000" w:rsidR="00000000" w:rsidRPr="00000000">
        <w:rPr>
          <w:rFonts w:ascii="Times New Roman" w:cs="Times New Roman" w:eastAsia="Times New Roman" w:hAnsi="Times New Roman"/>
          <w:sz w:val="24"/>
          <w:szCs w:val="24"/>
          <w:rtl w:val="0"/>
        </w:rPr>
        <w:t xml:space="preserve">e rôle de ces derniers dans </w:t>
      </w:r>
      <w:r w:rsidDel="00000000" w:rsidR="00000000" w:rsidRPr="00000000">
        <w:rPr>
          <w:rFonts w:ascii="Times New Roman" w:cs="Times New Roman" w:eastAsia="Times New Roman" w:hAnsi="Times New Roman"/>
          <w:sz w:val="24"/>
          <w:szCs w:val="24"/>
          <w:rtl w:val="0"/>
        </w:rPr>
        <w:t xml:space="preserve">la diffusion d’informations (« vraies » ou « fausses »</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peut être analysé comme de véritables médias, avec leurs moyens et infrastructures techniques qui permettent à leurs membres de participer non seulement à la diffusion mais également à la création et à la mise en forme d’une information parfois tirée de leur expérience vécue.</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rôle donne souvent lieu à des discours de la rupture radicale, du « révolutionnaire », entravant la réflexion sur ces dynamiques collectives, sur les ruptures effectivement introduites mais aussi sur certaines formes de continuités, et, au-delà de cette alternative chère aux historien.ne.s, sur leur généalogie. L’intention de ce dossier du </w:t>
      </w:r>
      <w:r w:rsidDel="00000000" w:rsidR="00000000" w:rsidRPr="00000000">
        <w:rPr>
          <w:rFonts w:ascii="Times New Roman" w:cs="Times New Roman" w:eastAsia="Times New Roman" w:hAnsi="Times New Roman"/>
          <w:i w:val="1"/>
          <w:sz w:val="24"/>
          <w:szCs w:val="24"/>
          <w:rtl w:val="0"/>
        </w:rPr>
        <w:t xml:space="preserve">Temps des médias</w:t>
      </w:r>
      <w:r w:rsidDel="00000000" w:rsidR="00000000" w:rsidRPr="00000000">
        <w:rPr>
          <w:rFonts w:ascii="Times New Roman" w:cs="Times New Roman" w:eastAsia="Times New Roman" w:hAnsi="Times New Roman"/>
          <w:sz w:val="24"/>
          <w:szCs w:val="24"/>
          <w:rtl w:val="0"/>
        </w:rPr>
        <w:t xml:space="preserve"> est ainsi de réintroduire l’histoire dans les analyses des réseaux sociaux numériques, de les réinsérer dans le temps long - expression braudélienne paradoxalement remise au goût du jour à l’ère des traces massives laissées par, notamment, ces mêmes réseaux sociaux numériques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 en se penchant à la fois sur d’autres périodes et d’autres médias et en interrogeant l’interaction entre technologies, information et acteurs.</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 dossier n’avance pas tout-à-fait en terrain vierge. </w:t>
      </w:r>
      <w:r w:rsidDel="00000000" w:rsidR="00000000" w:rsidRPr="00000000">
        <w:rPr>
          <w:rFonts w:ascii="Times New Roman" w:cs="Times New Roman" w:eastAsia="Times New Roman" w:hAnsi="Times New Roman"/>
          <w:i w:val="1"/>
          <w:sz w:val="24"/>
          <w:szCs w:val="24"/>
          <w:rtl w:val="0"/>
        </w:rPr>
        <w:t xml:space="preserve">Le Temps des Médias</w:t>
      </w:r>
      <w:r w:rsidDel="00000000" w:rsidR="00000000" w:rsidRPr="00000000">
        <w:rPr>
          <w:rFonts w:ascii="Times New Roman" w:cs="Times New Roman" w:eastAsia="Times New Roman" w:hAnsi="Times New Roman"/>
          <w:sz w:val="24"/>
          <w:szCs w:val="24"/>
          <w:rtl w:val="0"/>
        </w:rPr>
        <w:t xml:space="preserve"> a, par exemple, consacré un dossier sur les </w:t>
      </w:r>
      <w:r w:rsidDel="00000000" w:rsidR="00000000" w:rsidRPr="00000000">
        <w:rPr>
          <w:rFonts w:ascii="Times New Roman" w:cs="Times New Roman" w:eastAsia="Times New Roman" w:hAnsi="Times New Roman"/>
          <w:i w:val="1"/>
          <w:sz w:val="24"/>
          <w:szCs w:val="24"/>
          <w:rtl w:val="0"/>
        </w:rPr>
        <w:t xml:space="preserve">fake news</w:t>
      </w:r>
      <w:r w:rsidDel="00000000" w:rsidR="00000000" w:rsidRPr="00000000">
        <w:rPr>
          <w:rFonts w:ascii="Times New Roman" w:cs="Times New Roman" w:eastAsia="Times New Roman" w:hAnsi="Times New Roman"/>
          <w:sz w:val="24"/>
          <w:szCs w:val="24"/>
          <w:rtl w:val="0"/>
        </w:rPr>
        <w:t xml:space="preserve"> (n° 30), sujet fortement relié à celui des réseaux sociaux numériques, et un autre à l’histoire d’Internet (n° 18). Mais nous pensons également, même s’ils n’ont naturellement pas été rédigés pour l’étude des réseaux sociaux numériques, aux travaux de Stéphane Haffemayer sur </w:t>
      </w:r>
      <w:r w:rsidDel="00000000" w:rsidR="00000000" w:rsidRPr="00000000">
        <w:rPr>
          <w:rFonts w:ascii="Times New Roman" w:cs="Times New Roman" w:eastAsia="Times New Roman" w:hAnsi="Times New Roman"/>
          <w:i w:val="1"/>
          <w:sz w:val="24"/>
          <w:szCs w:val="24"/>
          <w:rtl w:val="0"/>
        </w:rPr>
        <w:t xml:space="preserve">La Gazette</w:t>
      </w:r>
      <w:r w:rsidDel="00000000" w:rsidR="00000000" w:rsidRPr="00000000">
        <w:rPr>
          <w:rFonts w:ascii="Times New Roman" w:cs="Times New Roman" w:eastAsia="Times New Roman" w:hAnsi="Times New Roman"/>
          <w:sz w:val="24"/>
          <w:szCs w:val="24"/>
          <w:rtl w:val="0"/>
        </w:rPr>
        <w:t xml:space="preserve"> de Renaudot au XVIIe siècle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qui abordent déjà l’importance des réseaux de correspondants et la question des espaces et des modalités de circulation de l’information, aux nombreuses publications de Robert Darnton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ou encore à ceux, cités dans plusieurs articles de ce présent dossier, d’Elizabeth L. Eisenstein qui a longuement décrit la révolution de l’imprimé</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Cette dernière est d’ailleurs régulièrement utilisée comme point de comparaison pour notre période actuelle comme le rappelle Dominique Boullier dans l’entretien retranscrit dans ces pages. L’engouement que connaît la recherche autour de la presse du XIX</w:t>
      </w:r>
      <w:r w:rsidDel="00000000" w:rsidR="00000000" w:rsidRPr="00000000">
        <w:rPr>
          <w:rFonts w:ascii="Times New Roman" w:cs="Times New Roman" w:eastAsia="Times New Roman" w:hAnsi="Times New Roman"/>
          <w:sz w:val="24"/>
          <w:szCs w:val="24"/>
          <w:vertAlign w:val="superscript"/>
          <w:rtl w:val="0"/>
        </w:rPr>
        <w:t xml:space="preserve">e</w:t>
      </w:r>
      <w:r w:rsidDel="00000000" w:rsidR="00000000" w:rsidRPr="00000000">
        <w:rPr>
          <w:rFonts w:ascii="Times New Roman" w:cs="Times New Roman" w:eastAsia="Times New Roman" w:hAnsi="Times New Roman"/>
          <w:sz w:val="24"/>
          <w:szCs w:val="24"/>
          <w:rtl w:val="0"/>
        </w:rPr>
        <w:t xml:space="preserve"> siècle et du début du XX</w:t>
      </w:r>
      <w:r w:rsidDel="00000000" w:rsidR="00000000" w:rsidRPr="00000000">
        <w:rPr>
          <w:rFonts w:ascii="Times New Roman" w:cs="Times New Roman" w:eastAsia="Times New Roman" w:hAnsi="Times New Roman"/>
          <w:sz w:val="24"/>
          <w:szCs w:val="24"/>
          <w:vertAlign w:val="superscript"/>
          <w:rtl w:val="0"/>
        </w:rPr>
        <w:t xml:space="preserve">e</w:t>
      </w:r>
      <w:r w:rsidDel="00000000" w:rsidR="00000000" w:rsidRPr="00000000">
        <w:rPr>
          <w:rFonts w:ascii="Times New Roman" w:cs="Times New Roman" w:eastAsia="Times New Roman" w:hAnsi="Times New Roman"/>
          <w:sz w:val="24"/>
          <w:szCs w:val="24"/>
          <w:rtl w:val="0"/>
        </w:rPr>
        <w:t xml:space="preserve"> est un autre exemple : de </w:t>
      </w:r>
      <w:r w:rsidDel="00000000" w:rsidR="00000000" w:rsidRPr="00000000">
        <w:rPr>
          <w:rFonts w:ascii="Times New Roman" w:cs="Times New Roman" w:eastAsia="Times New Roman" w:hAnsi="Times New Roman"/>
          <w:i w:val="1"/>
          <w:sz w:val="24"/>
          <w:szCs w:val="24"/>
          <w:rtl w:val="0"/>
        </w:rPr>
        <w:t xml:space="preserve">1836, l’an 1 de l’ère médiatique</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aux travaux autour de la viralité de la circulation de l’information dans cette même presse de Ryan Cordell</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pour le monde anglo-saxon ou Guillaume Pinson</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pour le cas francophone, ces recherches ont abordé de nombreuses thématiques nous rapprochant des réseaux sociaux numériques. Les travaux de Jacques Perriault</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ont depuis longtemps pointé ce qu’il appelle « effet diligence » du développement technique : les nouvelles technologies ne naissent pas </w:t>
      </w:r>
      <w:r w:rsidDel="00000000" w:rsidR="00000000" w:rsidRPr="00000000">
        <w:rPr>
          <w:rFonts w:ascii="Times New Roman" w:cs="Times New Roman" w:eastAsia="Times New Roman" w:hAnsi="Times New Roman"/>
          <w:i w:val="1"/>
          <w:sz w:val="24"/>
          <w:szCs w:val="24"/>
          <w:rtl w:val="0"/>
        </w:rPr>
        <w:t xml:space="preserve">ex nihilo</w:t>
      </w:r>
      <w:r w:rsidDel="00000000" w:rsidR="00000000" w:rsidRPr="00000000">
        <w:rPr>
          <w:rFonts w:ascii="Times New Roman" w:cs="Times New Roman" w:eastAsia="Times New Roman" w:hAnsi="Times New Roman"/>
          <w:sz w:val="24"/>
          <w:szCs w:val="24"/>
          <w:rtl w:val="0"/>
        </w:rPr>
        <w:t xml:space="preserve"> mais sont façonnées au moins pour partie par l’organisation et la forme physique de certains outils. On en verra une étude de cas dans le texte de Valérie Schafer dans la manière dont sont conçus les </w:t>
      </w:r>
      <w:r w:rsidDel="00000000" w:rsidR="00000000" w:rsidRPr="00000000">
        <w:rPr>
          <w:rFonts w:ascii="Times New Roman" w:cs="Times New Roman" w:eastAsia="Times New Roman" w:hAnsi="Times New Roman"/>
          <w:i w:val="1"/>
          <w:color w:val="1f242d"/>
          <w:sz w:val="24"/>
          <w:szCs w:val="24"/>
          <w:rtl w:val="0"/>
        </w:rPr>
        <w:t xml:space="preserve">Bulletin Board Systems</w:t>
      </w:r>
      <w:r w:rsidDel="00000000" w:rsidR="00000000" w:rsidRPr="00000000">
        <w:rPr>
          <w:rFonts w:ascii="Times New Roman" w:cs="Times New Roman" w:eastAsia="Times New Roman" w:hAnsi="Times New Roman"/>
          <w:sz w:val="24"/>
          <w:szCs w:val="24"/>
          <w:rtl w:val="0"/>
        </w:rPr>
        <w:t xml:space="preserve"> en s’inspirant des panneaux d’affichage des petites annonces, ou encore dans les formes d’interactions conventionnelles de la « culture américaine d’élite, scientiste et technophile » (C. Paloque-Bergès) qui définissent les formats des échanges sur les listes de discussion et forums en s’inspirant des moyens ordinaires d’échanges de ces communautés : échanges épistolaires, modalités de production et de circulation des ouvrages et journaux scientifiques. </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Toutefois, ce dossier se structure, de manière spécifique, autour de trois grands axes. Le premier est effectivement celui du temps long : d’autres moments d’accélération de la circulation de l’information, de participation des lecteurs et correspondants de presse, par exemple, à l’élaboration et la diffusion de l’information ont existé dans l’histoire, y compris récente. Le second est celui d’un temps plus proche : la généalogie des réseaux sociaux numériques actuels s’ancre dans l’histoire des technologies de l’information et de la communication. Le troisième renverse la question que nous avons à l’origine posée : interroger les réseaux sociaux numériques dans le temps long revient également à interroger le devenir du temps long sur les réseaux sociaux numériques.</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Plusieurs aspects témoignent des permanences de notre problématique dans le temps long : les réseaux sociaux numériques </w:t>
      </w:r>
      <w:r w:rsidDel="00000000" w:rsidR="00000000" w:rsidRPr="00000000">
        <w:rPr>
          <w:rFonts w:ascii="Times New Roman" w:cs="Times New Roman" w:eastAsia="Times New Roman" w:hAnsi="Times New Roman"/>
          <w:sz w:val="24"/>
          <w:szCs w:val="24"/>
          <w:rtl w:val="0"/>
        </w:rPr>
        <w:t xml:space="preserve">réactivent et reformulent des problèmes qui ne leur sont en rien propres et que les moyens de communication à distance ont ouvert dès leur origine.</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insistera tout particulièrement sur</w:t>
      </w:r>
      <w:r w:rsidDel="00000000" w:rsidR="00000000" w:rsidRPr="00000000">
        <w:rPr>
          <w:rFonts w:ascii="Times New Roman" w:cs="Times New Roman" w:eastAsia="Times New Roman" w:hAnsi="Times New Roman"/>
          <w:sz w:val="24"/>
          <w:szCs w:val="24"/>
          <w:rtl w:val="0"/>
        </w:rPr>
        <w:t xml:space="preserve"> la place du public et la continuité entre producteur et consommateur d’information. On verra en effet dans ce dossier que celui-ci</w:t>
      </w:r>
      <w:r w:rsidDel="00000000" w:rsidR="00000000" w:rsidRPr="00000000">
        <w:rPr>
          <w:rFonts w:ascii="Times New Roman" w:cs="Times New Roman" w:eastAsia="Times New Roman" w:hAnsi="Times New Roman"/>
          <w:sz w:val="24"/>
          <w:szCs w:val="24"/>
          <w:rtl w:val="0"/>
        </w:rPr>
        <w:t xml:space="preserve"> est un acteur direct ou indirect mais toujours présent du procès collectif de diffusion des informations. Il peut intervenir directement comme le montre l’analyse par Franck Bousquet des deux mille correspondants que compte </w:t>
      </w:r>
      <w:r w:rsidDel="00000000" w:rsidR="00000000" w:rsidRPr="00000000">
        <w:rPr>
          <w:rFonts w:ascii="Times New Roman" w:cs="Times New Roman" w:eastAsia="Times New Roman" w:hAnsi="Times New Roman"/>
          <w:i w:val="1"/>
          <w:sz w:val="24"/>
          <w:szCs w:val="24"/>
          <w:rtl w:val="0"/>
        </w:rPr>
        <w:t xml:space="preserve">la Dépêche de Toulouse</w:t>
      </w:r>
      <w:r w:rsidDel="00000000" w:rsidR="00000000" w:rsidRPr="00000000">
        <w:rPr>
          <w:rFonts w:ascii="Times New Roman" w:cs="Times New Roman" w:eastAsia="Times New Roman" w:hAnsi="Times New Roman"/>
          <w:sz w:val="24"/>
          <w:szCs w:val="24"/>
          <w:rtl w:val="0"/>
        </w:rPr>
        <w:t xml:space="preserve"> avant la Première Guerre mondiale : ni vraiment journalistes, ni simples lecteurs, ils interviennent dans le journal pour faire avancer la cause républicaine et pour animer le réseau radical, à la fois relais des politiques dans les villes et villages de la région, mais aussi relais des villageois et citadins auprès des politiques locaux. Même caractère hybride chez les lecteurs-programmateurs-rédacteurs des revues de micro-informatique des années 1980 (B. Thierry). Le public est aussi présent dans le procès de communication de manière plus indirecte, en particulier à travers le rôle déterminant des </w:t>
      </w:r>
      <w:r w:rsidDel="00000000" w:rsidR="00000000" w:rsidRPr="00000000">
        <w:rPr>
          <w:rFonts w:ascii="Times New Roman" w:cs="Times New Roman" w:eastAsia="Times New Roman" w:hAnsi="Times New Roman"/>
          <w:i w:val="1"/>
          <w:sz w:val="24"/>
          <w:szCs w:val="24"/>
          <w:rtl w:val="0"/>
        </w:rPr>
        <w:t xml:space="preserve">first users</w:t>
      </w:r>
      <w:r w:rsidDel="00000000" w:rsidR="00000000" w:rsidRPr="00000000">
        <w:rPr>
          <w:rFonts w:ascii="Times New Roman" w:cs="Times New Roman" w:eastAsia="Times New Roman" w:hAnsi="Times New Roman"/>
          <w:sz w:val="24"/>
          <w:szCs w:val="24"/>
          <w:rtl w:val="0"/>
        </w:rPr>
        <w:t xml:space="preserve"> dont l’histoire de l’innovation</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explique qu’ils ont durablement marqué la configuration sociale des techniques en général et du réseau en particulier. On a souvent insisté sur leur rôle dans la genèse du web et la manière dont ils se sont constitués dans un entre-soi rassurant ; toutefois Valérie Schafer montre les tentatives d’ouverture à travers l’expérience de </w:t>
      </w:r>
      <w:r w:rsidDel="00000000" w:rsidR="00000000" w:rsidRPr="00000000">
        <w:rPr>
          <w:rFonts w:ascii="Times New Roman" w:cs="Times New Roman" w:eastAsia="Times New Roman" w:hAnsi="Times New Roman"/>
          <w:i w:val="1"/>
          <w:sz w:val="24"/>
          <w:szCs w:val="24"/>
          <w:rtl w:val="0"/>
        </w:rPr>
        <w:t xml:space="preserve">De Digitale Stad</w:t>
      </w:r>
      <w:r w:rsidDel="00000000" w:rsidR="00000000" w:rsidRPr="00000000">
        <w:rPr>
          <w:rFonts w:ascii="Times New Roman" w:cs="Times New Roman" w:eastAsia="Times New Roman" w:hAnsi="Times New Roman"/>
          <w:sz w:val="24"/>
          <w:szCs w:val="24"/>
          <w:rtl w:val="0"/>
        </w:rPr>
        <w:t xml:space="preserve">, réseau de démocratie locale développé à Amsterdam dans les années 1990.</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question de la </w:t>
      </w:r>
      <w:r w:rsidDel="00000000" w:rsidR="00000000" w:rsidRPr="00000000">
        <w:rPr>
          <w:rFonts w:ascii="Times New Roman" w:cs="Times New Roman" w:eastAsia="Times New Roman" w:hAnsi="Times New Roman"/>
          <w:i w:val="1"/>
          <w:sz w:val="24"/>
          <w:szCs w:val="24"/>
          <w:rtl w:val="0"/>
        </w:rPr>
        <w:t xml:space="preserve">privacy</w:t>
      </w:r>
      <w:r w:rsidDel="00000000" w:rsidR="00000000" w:rsidRPr="00000000">
        <w:rPr>
          <w:rFonts w:ascii="Times New Roman" w:cs="Times New Roman" w:eastAsia="Times New Roman" w:hAnsi="Times New Roman"/>
          <w:sz w:val="24"/>
          <w:szCs w:val="24"/>
          <w:rtl w:val="0"/>
        </w:rPr>
        <w:t xml:space="preserve"> est elle aussi interrogée tout comme la fragile ligne de séparation entre privé et public : les réseaux sociaux questionnent à leur manière l’opposition entre public et privé, individuel et collectif. Cet antagonisme n’a jamais été radical, bien au contraire. Quand Jérôme Bourdon nous montre comment la lettre, média qui pourrait sembler éminemment privé, pouvait se faire représentation publique dans les salons littéraires, on voit bien que le caractère ambivalent des échanges numériques, ni tout à fait privés, ni tout à fait publics, s’inscrit dans une longue continuité. De même, les listes électroniques ou des forums (C. Paloque-Bergès) se sont construits autour d’une « communication privée en public » dont l’ambivalence a posé question dès les premiers échanges où il s’agissait autant d’échanger des informations que de lier des relations ou d’héberger des débats. </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pourrait évoquer bien d’autres questions mais, que </w:t>
      </w:r>
      <w:r w:rsidDel="00000000" w:rsidR="00000000" w:rsidRPr="00000000">
        <w:rPr>
          <w:rFonts w:ascii="Times New Roman" w:cs="Times New Roman" w:eastAsia="Times New Roman" w:hAnsi="Times New Roman"/>
          <w:sz w:val="24"/>
          <w:szCs w:val="24"/>
          <w:rtl w:val="0"/>
        </w:rPr>
        <w:t xml:space="preserve">l’on envisage notre</w:t>
      </w:r>
      <w:r w:rsidDel="00000000" w:rsidR="00000000" w:rsidRPr="00000000">
        <w:rPr>
          <w:rFonts w:ascii="Times New Roman" w:cs="Times New Roman" w:eastAsia="Times New Roman" w:hAnsi="Times New Roman"/>
          <w:sz w:val="24"/>
          <w:szCs w:val="24"/>
          <w:rtl w:val="0"/>
        </w:rPr>
        <w:t xml:space="preserve"> problématique dans le temps long, par le biais de l’analyse d’une communauté, ou plutôt de l’ensemble de communautés qu’est la franc-maçonnerie depuis sa fondation au XVIII</w:t>
      </w:r>
      <w:r w:rsidDel="00000000" w:rsidR="00000000" w:rsidRPr="00000000">
        <w:rPr>
          <w:rFonts w:ascii="Times New Roman" w:cs="Times New Roman" w:eastAsia="Times New Roman" w:hAnsi="Times New Roman"/>
          <w:sz w:val="24"/>
          <w:szCs w:val="24"/>
          <w:vertAlign w:val="superscript"/>
          <w:rtl w:val="0"/>
        </w:rPr>
        <w:t xml:space="preserve">e</w:t>
      </w:r>
      <w:r w:rsidDel="00000000" w:rsidR="00000000" w:rsidRPr="00000000">
        <w:rPr>
          <w:rFonts w:ascii="Times New Roman" w:cs="Times New Roman" w:eastAsia="Times New Roman" w:hAnsi="Times New Roman"/>
          <w:sz w:val="24"/>
          <w:szCs w:val="24"/>
          <w:rtl w:val="0"/>
        </w:rPr>
        <w:t xml:space="preserve"> siècle et de son rapport aux médias et à l’information (Bryon-Portet), par les réseaux de lecteurs et des correspondants locaux parfois issus de leur rang, </w:t>
      </w:r>
      <w:r w:rsidDel="00000000" w:rsidR="00000000" w:rsidRPr="00000000">
        <w:rPr>
          <w:rFonts w:ascii="Times New Roman" w:cs="Times New Roman" w:eastAsia="Times New Roman" w:hAnsi="Times New Roman"/>
          <w:sz w:val="24"/>
          <w:szCs w:val="24"/>
          <w:rtl w:val="0"/>
        </w:rPr>
        <w:t xml:space="preserve">et leur participation à l’élaboration</w:t>
      </w:r>
      <w:r w:rsidDel="00000000" w:rsidR="00000000" w:rsidRPr="00000000">
        <w:rPr>
          <w:rFonts w:ascii="Times New Roman" w:cs="Times New Roman" w:eastAsia="Times New Roman" w:hAnsi="Times New Roman"/>
          <w:sz w:val="24"/>
          <w:szCs w:val="24"/>
          <w:rtl w:val="0"/>
        </w:rPr>
        <w:t xml:space="preserve"> de l’information (Thierry et Bousquet) ou par les évolutions techniques facilitant et modifiant la diffusion de l’information (Rigaudière), de fortes convergences apparaissent au fil du temps. </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changements engendrés provoquent toutefois des moments où les possibles sont nombreux, que ce soit à la Renaissance avec l’imprimé ou aujourd’hui avec les données massives - fortement liées aux réseaux sociaux numériques - et leur pendant quantitatif, l’apprentissage machine (voir l’entretien avec Dominique Boullier).</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L’ère numérique a aussi vu, depuis ses « débuts » (si tant est que l’on peut y donner un début de manière claire), une succession de bouleversements, à tel point que l’on en a inventé un terme, « disruption ». Ces bouleversements se retrouvent à différents niveaux, en différents milieux. Par exemple, les rédactions de presse doivent s’adapter (Salles). L’interaction entre ruptures et continuités peut se trouver dans la patiente généalogie de la téléprésence (ou comment l’on parle à un absent) écrite par J. Bourdon : si la notion de téléprésence existe bien depuis longtemps, les notions d’« instantanéité », l’absence de la présence et les manières d’y suppléer ne sont pas perçues de la même manière en raison de l’interaction entre technologie et contexte historique et culturel. On retrouve toutefois la même ambivalence : le média, qu’il s’agisse d’une correspondance ou d’une vidéo sur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est à la fois un moyen de combler l’absence mais aussi une façon de la faire exister et donc d’en jouir. Émerge également, depuis les années 1980, la notion de communauté en ligne : si cette dernière a déjà été évoquée plus haut, on constate que la configuration technique récente lui donne un sens plus particulier, plus proche de ce que nous connaissons aujourd’hui (V. Schafer, Lallet et Delmas). La notion de protocole utilisée par C. Paloque-Bergès le montre bien, car, fruit du contexte technique et social qui émerge depuis les années 1970, elle est déterminante pour comprendre Internet, le web et les réseaux sociaux numériques que nous connaissons aujourd’hui. </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Enfin, il existe aussi un temps long sur les réseaux sociaux numériques : celui de l’histoire et de la mémoire. Les pratiques mémorielles sont modifiées par l’accélération de la circulation de l’information, par le participatif, comme le montre l’interview de Jean-Michel Gilot, acteur clé du Centenaire de la Grande Guerre. L’exemple de cette dernière (Clavert), telle qu’elle apparaît sur Twitter, interroge sur les relations entre histoire et mémoire, entre passé, présent et futur, c’est-à-dire questionne notre régime d’historicité. Comment le temps long peut-il s’exprimer sur les réseaux sociaux numériques quand ces derniers entraînent d’abord un effondrement du contexte (selon les travaux de danah </w:t>
      </w:r>
      <w:r w:rsidDel="00000000" w:rsidR="00000000" w:rsidRPr="00000000">
        <w:rPr>
          <w:rFonts w:ascii="Times New Roman" w:cs="Times New Roman" w:eastAsia="Times New Roman" w:hAnsi="Times New Roman"/>
          <w:sz w:val="24"/>
          <w:szCs w:val="24"/>
          <w:rtl w:val="0"/>
        </w:rPr>
        <w:t xml:space="preserve">boyd</w:t>
      </w:r>
      <w:r w:rsidDel="00000000" w:rsidR="00000000" w:rsidRPr="00000000">
        <w:rPr>
          <w:rFonts w:ascii="Times New Roman" w:cs="Times New Roman" w:eastAsia="Times New Roman" w:hAnsi="Times New Roman"/>
          <w:sz w:val="24"/>
          <w:szCs w:val="24"/>
          <w:rtl w:val="0"/>
        </w:rPr>
        <w:t xml:space="preserve"> évoqués par Lallet et Delias) et une immédiateté qui favorisent une réappropriation simpliste des contenus historiques (Grandjean) ?</w:t>
      </w: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l’on revient sur le triptyque généalogie</w:t>
      </w:r>
      <w:r w:rsidDel="00000000" w:rsidR="00000000" w:rsidRPr="00000000">
        <w:rPr>
          <w:rFonts w:ascii="Times New Roman" w:cs="Times New Roman" w:eastAsia="Times New Roman" w:hAnsi="Times New Roman"/>
          <w:sz w:val="24"/>
          <w:szCs w:val="24"/>
          <w:rtl w:val="0"/>
        </w:rPr>
        <w:t xml:space="preserve"> / rupture / continuité, on s’aperçoit de ce qui peut être considéré comme une rupture : si la participation des lecteurs / utilisateurs n’est pas chose nouvelle, la montée en puissance du participatif et du collaboratif est néanmoins à voir sous un jour nouveau et central. La question, primordiale, de la vitesse de circulation de l’information et, en conséquence, celle des temporalités, sont à remettre en contexte pour chaque époque. Si les grandes « vibrations » ou « répliques », ces moments brefs mais très intenses de circulation de l’information, peuvent être ressenties comme nouvelles, c’est aussi car nous sommes capables, aujourd’hui de les analyser. De grands projets en cours autour de la presse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pourront donner peut-être plus d’informations sur ces phénomènes vus du XIX</w:t>
      </w:r>
      <w:r w:rsidDel="00000000" w:rsidR="00000000" w:rsidRPr="00000000">
        <w:rPr>
          <w:rFonts w:ascii="Times New Roman" w:cs="Times New Roman" w:eastAsia="Times New Roman" w:hAnsi="Times New Roman"/>
          <w:sz w:val="24"/>
          <w:szCs w:val="24"/>
          <w:vertAlign w:val="superscript"/>
          <w:rtl w:val="0"/>
        </w:rPr>
        <w:t xml:space="preserve">e</w:t>
      </w:r>
      <w:r w:rsidDel="00000000" w:rsidR="00000000" w:rsidRPr="00000000">
        <w:rPr>
          <w:rFonts w:ascii="Times New Roman" w:cs="Times New Roman" w:eastAsia="Times New Roman" w:hAnsi="Times New Roman"/>
          <w:sz w:val="24"/>
          <w:szCs w:val="24"/>
          <w:rtl w:val="0"/>
        </w:rPr>
        <w:t xml:space="preserve"> siècle.</w:t>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question de l’étude des réseaux sociaux numériques et de leurs relations avec le temps long n’est aujourd’hui pas close. Ce dossier, nous l’espérons, marque néanmoins un pas supplémentaire dans le débat, constant, autour de ces plateformes.</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 New York plane crash: Twitter breaks the news, again », </w:t>
      </w:r>
      <w:r w:rsidDel="00000000" w:rsidR="00000000" w:rsidRPr="00000000">
        <w:rPr>
          <w:rFonts w:ascii="Times New Roman" w:cs="Times New Roman" w:eastAsia="Times New Roman" w:hAnsi="Times New Roman"/>
          <w:i w:val="1"/>
          <w:sz w:val="20"/>
          <w:szCs w:val="20"/>
          <w:rtl w:val="0"/>
        </w:rPr>
        <w:t xml:space="preserve">The Telegraph</w:t>
      </w:r>
      <w:r w:rsidDel="00000000" w:rsidR="00000000" w:rsidRPr="00000000">
        <w:rPr>
          <w:rFonts w:ascii="Times New Roman" w:cs="Times New Roman" w:eastAsia="Times New Roman" w:hAnsi="Times New Roman"/>
          <w:sz w:val="20"/>
          <w:szCs w:val="20"/>
          <w:rtl w:val="0"/>
        </w:rPr>
        <w:t xml:space="preserve">, 16.01.2009. En ligne : &lt;</w:t>
      </w:r>
      <w:hyperlink r:id="rId1">
        <w:r w:rsidDel="00000000" w:rsidR="00000000" w:rsidRPr="00000000">
          <w:rPr>
            <w:rFonts w:ascii="Times New Roman" w:cs="Times New Roman" w:eastAsia="Times New Roman" w:hAnsi="Times New Roman"/>
            <w:color w:val="1155cc"/>
            <w:sz w:val="20"/>
            <w:szCs w:val="20"/>
            <w:u w:val="single"/>
            <w:rtl w:val="0"/>
          </w:rPr>
          <w:t xml:space="preserve">https://www.telegraph.co.uk/technology/twitter/4269765/New-York-plane-crash-Twitter-breaks-the-news-again.html</w:t>
        </w:r>
      </w:hyperlink>
      <w:r w:rsidDel="00000000" w:rsidR="00000000" w:rsidRPr="00000000">
        <w:rPr>
          <w:rFonts w:ascii="Times New Roman" w:cs="Times New Roman" w:eastAsia="Times New Roman" w:hAnsi="Times New Roman"/>
          <w:sz w:val="20"/>
          <w:szCs w:val="20"/>
          <w:rtl w:val="0"/>
        </w:rPr>
        <w:t xml:space="preserve">&gt;, consulté le 25.06.2018.</w:t>
      </w:r>
    </w:p>
  </w:footnote>
  <w:footnote w:id="1">
    <w:p w:rsidR="00000000" w:rsidDel="00000000" w:rsidP="00000000" w:rsidRDefault="00000000" w:rsidRPr="00000000" w14:paraId="0000001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 TMZ Was Far Ahead in Reporting Jackson’s Death », </w:t>
      </w:r>
      <w:r w:rsidDel="00000000" w:rsidR="00000000" w:rsidRPr="00000000">
        <w:rPr>
          <w:rFonts w:ascii="Times New Roman" w:cs="Times New Roman" w:eastAsia="Times New Roman" w:hAnsi="Times New Roman"/>
          <w:i w:val="1"/>
          <w:sz w:val="20"/>
          <w:szCs w:val="20"/>
          <w:rtl w:val="0"/>
        </w:rPr>
        <w:t xml:space="preserve">The New York Times</w:t>
      </w:r>
      <w:r w:rsidDel="00000000" w:rsidR="00000000" w:rsidRPr="00000000">
        <w:rPr>
          <w:rFonts w:ascii="Times New Roman" w:cs="Times New Roman" w:eastAsia="Times New Roman" w:hAnsi="Times New Roman"/>
          <w:sz w:val="20"/>
          <w:szCs w:val="20"/>
          <w:rtl w:val="0"/>
        </w:rPr>
        <w:t xml:space="preserve">, 26.06.2009. En ligne: &lt;</w:t>
      </w:r>
      <w:hyperlink r:id="rId2">
        <w:r w:rsidDel="00000000" w:rsidR="00000000" w:rsidRPr="00000000">
          <w:rPr>
            <w:rFonts w:ascii="Times New Roman" w:cs="Times New Roman" w:eastAsia="Times New Roman" w:hAnsi="Times New Roman"/>
            <w:color w:val="1155cc"/>
            <w:sz w:val="20"/>
            <w:szCs w:val="20"/>
            <w:u w:val="single"/>
            <w:rtl w:val="0"/>
          </w:rPr>
          <w:t xml:space="preserve">https://www.nytimes.com/2009/06/27/business/media/27media.html</w:t>
        </w:r>
      </w:hyperlink>
      <w:r w:rsidDel="00000000" w:rsidR="00000000" w:rsidRPr="00000000">
        <w:rPr>
          <w:rFonts w:ascii="Times New Roman" w:cs="Times New Roman" w:eastAsia="Times New Roman" w:hAnsi="Times New Roman"/>
          <w:sz w:val="20"/>
          <w:szCs w:val="20"/>
          <w:rtl w:val="0"/>
        </w:rPr>
        <w:t xml:space="preserve">&gt;, consulté le 25.06.2018. L’annonce du décès du chanteur est partie du site web du journal TMZ puis s’est répandue sur Twitter avant d’être communiquée par les grands journaux nationaux et internationaux.</w:t>
      </w:r>
    </w:p>
  </w:footnote>
  <w:footnote w:id="4">
    <w:p w:rsidR="00000000" w:rsidDel="00000000" w:rsidP="00000000" w:rsidRDefault="00000000" w:rsidRPr="00000000" w14:paraId="0000001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 Haffemayer, </w:t>
      </w:r>
      <w:r w:rsidDel="00000000" w:rsidR="00000000" w:rsidRPr="00000000">
        <w:rPr>
          <w:rFonts w:ascii="Times New Roman" w:cs="Times New Roman" w:eastAsia="Times New Roman" w:hAnsi="Times New Roman"/>
          <w:i w:val="1"/>
          <w:sz w:val="20"/>
          <w:szCs w:val="20"/>
          <w:rtl w:val="0"/>
        </w:rPr>
        <w:t xml:space="preserve">L’information dans la France du XVIIe siècle. La « gazette » de Renaudot de 1647 à 1663</w:t>
      </w:r>
      <w:r w:rsidDel="00000000" w:rsidR="00000000" w:rsidRPr="00000000">
        <w:rPr>
          <w:rFonts w:ascii="Times New Roman" w:cs="Times New Roman" w:eastAsia="Times New Roman" w:hAnsi="Times New Roman"/>
          <w:sz w:val="20"/>
          <w:szCs w:val="20"/>
          <w:rtl w:val="0"/>
        </w:rPr>
        <w:t xml:space="preserve">, Paris, Honoré Champion, 2004.</w:t>
      </w:r>
    </w:p>
  </w:footnote>
  <w:footnote w:id="6">
    <w:p w:rsidR="00000000" w:rsidDel="00000000" w:rsidP="00000000" w:rsidRDefault="00000000" w:rsidRPr="00000000" w14:paraId="00000016">
      <w:pPr>
        <w:spacing w:line="240" w:lineRule="auto"/>
        <w:rPr>
          <w:rFonts w:ascii="Times New Roman" w:cs="Times New Roman" w:eastAsia="Times New Roman" w:hAnsi="Times New Roman"/>
          <w:i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 L. </w:t>
      </w:r>
      <w:r w:rsidDel="00000000" w:rsidR="00000000" w:rsidRPr="00000000">
        <w:rPr>
          <w:rFonts w:ascii="Times New Roman" w:cs="Times New Roman" w:eastAsia="Times New Roman" w:hAnsi="Times New Roman"/>
          <w:sz w:val="20"/>
          <w:szCs w:val="20"/>
          <w:rtl w:val="0"/>
        </w:rPr>
        <w:t xml:space="preserve">Eisenstein, </w:t>
      </w:r>
      <w:r w:rsidDel="00000000" w:rsidR="00000000" w:rsidRPr="00000000">
        <w:rPr>
          <w:rFonts w:ascii="Times New Roman" w:cs="Times New Roman" w:eastAsia="Times New Roman" w:hAnsi="Times New Roman"/>
          <w:i w:val="1"/>
          <w:sz w:val="20"/>
          <w:szCs w:val="20"/>
          <w:rtl w:val="0"/>
        </w:rPr>
        <w:t xml:space="preserve">The printing press as an agent of change: communications and cultural transformations in early-modern Europe. Volumes I and II Volumes I and II</w:t>
      </w:r>
      <w:r w:rsidDel="00000000" w:rsidR="00000000" w:rsidRPr="00000000">
        <w:rPr>
          <w:rFonts w:ascii="Times New Roman" w:cs="Times New Roman" w:eastAsia="Times New Roman" w:hAnsi="Times New Roman"/>
          <w:sz w:val="20"/>
          <w:szCs w:val="20"/>
          <w:rtl w:val="0"/>
        </w:rPr>
        <w:t xml:space="preserve">, New York, Cambridge, Cambridge University Press, 2009. En ligne: &lt;</w:t>
      </w:r>
      <w:hyperlink r:id="rId3">
        <w:r w:rsidDel="00000000" w:rsidR="00000000" w:rsidRPr="00000000">
          <w:rPr>
            <w:rFonts w:ascii="Times New Roman" w:cs="Times New Roman" w:eastAsia="Times New Roman" w:hAnsi="Times New Roman"/>
            <w:color w:val="1155cc"/>
            <w:sz w:val="20"/>
            <w:szCs w:val="20"/>
            <w:u w:val="single"/>
            <w:rtl w:val="0"/>
          </w:rPr>
          <w:t xml:space="preserve">http://www.myilibrary.com?id=513315</w:t>
        </w:r>
      </w:hyperlink>
      <w:r w:rsidDel="00000000" w:rsidR="00000000" w:rsidRPr="00000000">
        <w:rPr>
          <w:rFonts w:ascii="Times New Roman" w:cs="Times New Roman" w:eastAsia="Times New Roman" w:hAnsi="Times New Roman"/>
          <w:sz w:val="20"/>
          <w:szCs w:val="20"/>
          <w:rtl w:val="0"/>
        </w:rPr>
        <w:t xml:space="preserve">&gt;, consulté le 25.06.2018.</w:t>
      </w:r>
      <w:r w:rsidDel="00000000" w:rsidR="00000000" w:rsidRPr="00000000">
        <w:rPr>
          <w:rtl w:val="0"/>
        </w:rPr>
      </w:r>
    </w:p>
  </w:footnote>
  <w:footnote w:id="3">
    <w:p w:rsidR="00000000" w:rsidDel="00000000" w:rsidP="00000000" w:rsidRDefault="00000000" w:rsidRPr="00000000" w14:paraId="0000001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 Guldi et D. Armitage, </w:t>
      </w:r>
      <w:r w:rsidDel="00000000" w:rsidR="00000000" w:rsidRPr="00000000">
        <w:rPr>
          <w:rFonts w:ascii="Times New Roman" w:cs="Times New Roman" w:eastAsia="Times New Roman" w:hAnsi="Times New Roman"/>
          <w:i w:val="1"/>
          <w:sz w:val="20"/>
          <w:szCs w:val="20"/>
          <w:rtl w:val="0"/>
        </w:rPr>
        <w:t xml:space="preserve">The History Manifesto</w:t>
      </w:r>
      <w:r w:rsidDel="00000000" w:rsidR="00000000" w:rsidRPr="00000000">
        <w:rPr>
          <w:rFonts w:ascii="Times New Roman" w:cs="Times New Roman" w:eastAsia="Times New Roman" w:hAnsi="Times New Roman"/>
          <w:sz w:val="20"/>
          <w:szCs w:val="20"/>
          <w:rtl w:val="0"/>
        </w:rPr>
        <w:t xml:space="preserve">, Cambridge, United Kingdom, Cambridge University Press, 2014. Les </w:t>
      </w:r>
      <w:r w:rsidDel="00000000" w:rsidR="00000000" w:rsidRPr="00000000">
        <w:rPr>
          <w:rFonts w:ascii="Times New Roman" w:cs="Times New Roman" w:eastAsia="Times New Roman" w:hAnsi="Times New Roman"/>
          <w:i w:val="1"/>
          <w:sz w:val="20"/>
          <w:szCs w:val="20"/>
          <w:rtl w:val="0"/>
        </w:rPr>
        <w:t xml:space="preserve">Annales HSS </w:t>
      </w:r>
      <w:r w:rsidDel="00000000" w:rsidR="00000000" w:rsidRPr="00000000">
        <w:rPr>
          <w:rFonts w:ascii="Times New Roman" w:cs="Times New Roman" w:eastAsia="Times New Roman" w:hAnsi="Times New Roman"/>
          <w:sz w:val="20"/>
          <w:szCs w:val="20"/>
          <w:rtl w:val="0"/>
        </w:rPr>
        <w:t xml:space="preserve"> y ont consacré un numéro en 2015: « La longue durée en débat », </w:t>
      </w:r>
      <w:r w:rsidDel="00000000" w:rsidR="00000000" w:rsidRPr="00000000">
        <w:rPr>
          <w:rFonts w:ascii="Times New Roman" w:cs="Times New Roman" w:eastAsia="Times New Roman" w:hAnsi="Times New Roman"/>
          <w:i w:val="1"/>
          <w:sz w:val="20"/>
          <w:szCs w:val="20"/>
          <w:rtl w:val="0"/>
        </w:rPr>
        <w:t xml:space="preserve">Annales. Histoire, Sciences Sociales</w:t>
      </w:r>
      <w:r w:rsidDel="00000000" w:rsidR="00000000" w:rsidRPr="00000000">
        <w:rPr>
          <w:rFonts w:ascii="Times New Roman" w:cs="Times New Roman" w:eastAsia="Times New Roman" w:hAnsi="Times New Roman"/>
          <w:sz w:val="20"/>
          <w:szCs w:val="20"/>
          <w:rtl w:val="0"/>
        </w:rPr>
        <w:t xml:space="preserve"> 70e année (2), 27.07.2015, p. 285‑287. En ligne: &lt;</w:t>
      </w:r>
      <w:hyperlink r:id="rId4">
        <w:r w:rsidDel="00000000" w:rsidR="00000000" w:rsidRPr="00000000">
          <w:rPr>
            <w:rFonts w:ascii="Times New Roman" w:cs="Times New Roman" w:eastAsia="Times New Roman" w:hAnsi="Times New Roman"/>
            <w:color w:val="1155cc"/>
            <w:sz w:val="20"/>
            <w:szCs w:val="20"/>
            <w:u w:val="single"/>
            <w:rtl w:val="0"/>
          </w:rPr>
          <w:t xml:space="preserve">http://www.cairn.info/revue-annales-2015-2-page-285.htm</w:t>
        </w:r>
      </w:hyperlink>
      <w:r w:rsidDel="00000000" w:rsidR="00000000" w:rsidRPr="00000000">
        <w:rPr>
          <w:rFonts w:ascii="Times New Roman" w:cs="Times New Roman" w:eastAsia="Times New Roman" w:hAnsi="Times New Roman"/>
          <w:sz w:val="20"/>
          <w:szCs w:val="20"/>
          <w:rtl w:val="0"/>
        </w:rPr>
        <w:t xml:space="preserve">&gt;, consulté le 25.06.2018.</w:t>
      </w:r>
    </w:p>
  </w:footnote>
  <w:footnote w:id="12">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rtl w:val="0"/>
        </w:rPr>
        <w:t xml:space="preserve">Numapresse</w:t>
      </w:r>
      <w:r w:rsidDel="00000000" w:rsidR="00000000" w:rsidRPr="00000000">
        <w:rPr>
          <w:rFonts w:ascii="Times New Roman" w:cs="Times New Roman" w:eastAsia="Times New Roman" w:hAnsi="Times New Roman"/>
          <w:rtl w:val="0"/>
        </w:rPr>
        <w:t xml:space="preserve"> en France &lt;</w:t>
      </w:r>
      <w:hyperlink r:id="rId5">
        <w:r w:rsidDel="00000000" w:rsidR="00000000" w:rsidRPr="00000000">
          <w:rPr>
            <w:rFonts w:ascii="Times New Roman" w:cs="Times New Roman" w:eastAsia="Times New Roman" w:hAnsi="Times New Roman"/>
            <w:color w:val="1155cc"/>
            <w:u w:val="single"/>
            <w:rtl w:val="0"/>
          </w:rPr>
          <w:t xml:space="preserve">https://numapresse.hypotheses.org/</w:t>
        </w:r>
      </w:hyperlink>
      <w:r w:rsidDel="00000000" w:rsidR="00000000" w:rsidRPr="00000000">
        <w:rPr>
          <w:rFonts w:ascii="Times New Roman" w:cs="Times New Roman" w:eastAsia="Times New Roman" w:hAnsi="Times New Roman"/>
          <w:rtl w:val="0"/>
        </w:rPr>
        <w:t xml:space="preserve">&gt; ou </w:t>
      </w:r>
      <w:r w:rsidDel="00000000" w:rsidR="00000000" w:rsidRPr="00000000">
        <w:rPr>
          <w:rFonts w:ascii="Times New Roman" w:cs="Times New Roman" w:eastAsia="Times New Roman" w:hAnsi="Times New Roman"/>
          <w:i w:val="1"/>
          <w:rtl w:val="0"/>
        </w:rPr>
        <w:t xml:space="preserve">Impresso </w:t>
      </w:r>
      <w:r w:rsidDel="00000000" w:rsidR="00000000" w:rsidRPr="00000000">
        <w:rPr>
          <w:rFonts w:ascii="Times New Roman" w:cs="Times New Roman" w:eastAsia="Times New Roman" w:hAnsi="Times New Roman"/>
          <w:rtl w:val="0"/>
        </w:rPr>
        <w:t xml:space="preserve">en Suisse et au Luxembourg &lt;https://impresso-project.ch/&gt;.</w:t>
      </w:r>
      <w:r w:rsidDel="00000000" w:rsidR="00000000" w:rsidRPr="00000000">
        <w:rPr>
          <w:rtl w:val="0"/>
        </w:rPr>
      </w:r>
    </w:p>
  </w:footnote>
  <w:footnote w:id="5">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 exemple : R.  Darnton, « An early information society: news and the media in eighteenth-century Paris », </w:t>
      </w:r>
      <w:r w:rsidDel="00000000" w:rsidR="00000000" w:rsidRPr="00000000">
        <w:rPr>
          <w:rFonts w:ascii="Times New Roman" w:cs="Times New Roman" w:eastAsia="Times New Roman" w:hAnsi="Times New Roman"/>
          <w:i w:val="1"/>
          <w:sz w:val="20"/>
          <w:szCs w:val="20"/>
          <w:rtl w:val="0"/>
        </w:rPr>
        <w:t xml:space="preserve">American historical review : a quarterly</w:t>
      </w:r>
      <w:r w:rsidDel="00000000" w:rsidR="00000000" w:rsidRPr="00000000">
        <w:rPr>
          <w:rFonts w:ascii="Times New Roman" w:cs="Times New Roman" w:eastAsia="Times New Roman" w:hAnsi="Times New Roman"/>
          <w:sz w:val="20"/>
          <w:szCs w:val="20"/>
          <w:rtl w:val="0"/>
        </w:rPr>
        <w:t xml:space="preserve">, 2000.</w:t>
      </w:r>
    </w:p>
  </w:footnote>
  <w:footnote w:id="10">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 </w:t>
      </w:r>
      <w:r w:rsidDel="00000000" w:rsidR="00000000" w:rsidRPr="00000000">
        <w:rPr>
          <w:rFonts w:ascii="Times New Roman" w:cs="Times New Roman" w:eastAsia="Times New Roman" w:hAnsi="Times New Roman"/>
          <w:sz w:val="21"/>
          <w:szCs w:val="21"/>
          <w:rtl w:val="0"/>
        </w:rPr>
        <w:t xml:space="preserve">Perriault, </w:t>
      </w:r>
      <w:r w:rsidDel="00000000" w:rsidR="00000000" w:rsidRPr="00000000">
        <w:rPr>
          <w:rFonts w:ascii="Times New Roman" w:cs="Times New Roman" w:eastAsia="Times New Roman" w:hAnsi="Times New Roman"/>
          <w:i w:val="1"/>
          <w:sz w:val="21"/>
          <w:szCs w:val="21"/>
          <w:rtl w:val="0"/>
        </w:rPr>
        <w:t xml:space="preserve">L’accès au savoir en ligne</w:t>
      </w:r>
      <w:r w:rsidDel="00000000" w:rsidR="00000000" w:rsidRPr="00000000">
        <w:rPr>
          <w:rFonts w:ascii="Times New Roman" w:cs="Times New Roman" w:eastAsia="Times New Roman" w:hAnsi="Times New Roman"/>
          <w:sz w:val="21"/>
          <w:szCs w:val="21"/>
          <w:rtl w:val="0"/>
        </w:rPr>
        <w:t xml:space="preserve">. Paris, Odile Jacob, 2002.</w:t>
      </w:r>
      <w:r w:rsidDel="00000000" w:rsidR="00000000" w:rsidRPr="00000000">
        <w:rPr>
          <w:rtl w:val="0"/>
        </w:rPr>
      </w:r>
    </w:p>
  </w:footnote>
  <w:footnote w:id="11">
    <w:p w:rsidR="00000000" w:rsidDel="00000000" w:rsidP="00000000" w:rsidRDefault="00000000" w:rsidRPr="00000000" w14:paraId="0000001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 Flichy, </w:t>
      </w:r>
      <w:r w:rsidDel="00000000" w:rsidR="00000000" w:rsidRPr="00000000">
        <w:rPr>
          <w:rFonts w:ascii="Times New Roman" w:cs="Times New Roman" w:eastAsia="Times New Roman" w:hAnsi="Times New Roman"/>
          <w:i w:val="1"/>
          <w:sz w:val="20"/>
          <w:szCs w:val="20"/>
          <w:rtl w:val="0"/>
        </w:rPr>
        <w:t xml:space="preserve">L’innovation technique. Récents développements en sciences sociales. Vers une nouvelle théorie de l’innovation</w:t>
      </w:r>
      <w:r w:rsidDel="00000000" w:rsidR="00000000" w:rsidRPr="00000000">
        <w:rPr>
          <w:rFonts w:ascii="Times New Roman" w:cs="Times New Roman" w:eastAsia="Times New Roman" w:hAnsi="Times New Roman"/>
          <w:sz w:val="20"/>
          <w:szCs w:val="20"/>
          <w:rtl w:val="0"/>
        </w:rPr>
        <w:t xml:space="preserve">, Paris, Odile Jacob, 2017.</w:t>
      </w:r>
    </w:p>
  </w:footnote>
  <w:footnote w:id="7">
    <w:p w:rsidR="00000000" w:rsidDel="00000000" w:rsidP="00000000" w:rsidRDefault="00000000" w:rsidRPr="00000000" w14:paraId="0000001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M.-È. Thérenty et A. Vaillant, </w:t>
      </w:r>
      <w:r w:rsidDel="00000000" w:rsidR="00000000" w:rsidRPr="00000000">
        <w:rPr>
          <w:rFonts w:ascii="Times New Roman" w:cs="Times New Roman" w:eastAsia="Times New Roman" w:hAnsi="Times New Roman"/>
          <w:i w:val="1"/>
          <w:sz w:val="20"/>
          <w:szCs w:val="20"/>
          <w:rtl w:val="0"/>
        </w:rPr>
        <w:t xml:space="preserve">1836, l’An 1 de l’ère médiatique</w:t>
      </w:r>
      <w:r w:rsidDel="00000000" w:rsidR="00000000" w:rsidRPr="00000000">
        <w:rPr>
          <w:rFonts w:ascii="Times New Roman" w:cs="Times New Roman" w:eastAsia="Times New Roman" w:hAnsi="Times New Roman"/>
          <w:sz w:val="20"/>
          <w:szCs w:val="20"/>
          <w:rtl w:val="0"/>
        </w:rPr>
        <w:t xml:space="preserve">, Nouveau Monde éditions, 2014.</w:t>
      </w:r>
    </w:p>
  </w:footnote>
  <w:footnote w:id="9">
    <w:p w:rsidR="00000000" w:rsidDel="00000000" w:rsidP="00000000" w:rsidRDefault="00000000" w:rsidRPr="00000000" w14:paraId="0000001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 Pinson, </w:t>
      </w:r>
      <w:r w:rsidDel="00000000" w:rsidR="00000000" w:rsidRPr="00000000">
        <w:rPr>
          <w:rFonts w:ascii="Times New Roman" w:cs="Times New Roman" w:eastAsia="Times New Roman" w:hAnsi="Times New Roman"/>
          <w:i w:val="1"/>
          <w:sz w:val="20"/>
          <w:szCs w:val="20"/>
          <w:rtl w:val="0"/>
        </w:rPr>
        <w:t xml:space="preserve">La culture médiatique francophone, Europe-Amérique du Nord 1760-1930</w:t>
      </w:r>
      <w:r w:rsidDel="00000000" w:rsidR="00000000" w:rsidRPr="00000000">
        <w:rPr>
          <w:rFonts w:ascii="Times New Roman" w:cs="Times New Roman" w:eastAsia="Times New Roman" w:hAnsi="Times New Roman"/>
          <w:sz w:val="20"/>
          <w:szCs w:val="20"/>
          <w:rtl w:val="0"/>
        </w:rPr>
        <w:t xml:space="preserve">, Québec, Presses de l'Université Laval, 2016.</w:t>
      </w:r>
    </w:p>
  </w:footnote>
  <w:footnote w:id="8">
    <w:p w:rsidR="00000000" w:rsidDel="00000000" w:rsidP="00000000" w:rsidRDefault="00000000" w:rsidRPr="00000000" w14:paraId="0000001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 Cordell et D. Smith, </w:t>
      </w:r>
      <w:r w:rsidDel="00000000" w:rsidR="00000000" w:rsidRPr="00000000">
        <w:rPr>
          <w:rFonts w:ascii="Times New Roman" w:cs="Times New Roman" w:eastAsia="Times New Roman" w:hAnsi="Times New Roman"/>
          <w:i w:val="1"/>
          <w:sz w:val="20"/>
          <w:szCs w:val="20"/>
          <w:rtl w:val="0"/>
        </w:rPr>
        <w:t xml:space="preserve">Viral Texts: Mapping Networks of Reprinting in 19th-Century Newspapers and Magazines</w:t>
      </w:r>
      <w:r w:rsidDel="00000000" w:rsidR="00000000" w:rsidRPr="00000000">
        <w:rPr>
          <w:rFonts w:ascii="Times New Roman" w:cs="Times New Roman" w:eastAsia="Times New Roman" w:hAnsi="Times New Roman"/>
          <w:sz w:val="20"/>
          <w:szCs w:val="20"/>
          <w:rtl w:val="0"/>
        </w:rPr>
        <w:t xml:space="preserve"> (2017),</w:t>
      </w:r>
      <w:hyperlink r:id="rId6">
        <w:r w:rsidDel="00000000" w:rsidR="00000000" w:rsidRPr="00000000">
          <w:rPr>
            <w:rFonts w:ascii="Times New Roman" w:cs="Times New Roman" w:eastAsia="Times New Roman" w:hAnsi="Times New Roman"/>
            <w:sz w:val="20"/>
            <w:szCs w:val="20"/>
            <w:rtl w:val="0"/>
          </w:rPr>
          <w:t xml:space="preserve"> </w:t>
        </w:r>
      </w:hyperlink>
      <w:hyperlink r:id="rId7">
        <w:r w:rsidDel="00000000" w:rsidR="00000000" w:rsidRPr="00000000">
          <w:rPr>
            <w:rFonts w:ascii="Times New Roman" w:cs="Times New Roman" w:eastAsia="Times New Roman" w:hAnsi="Times New Roman"/>
            <w:color w:val="1155cc"/>
            <w:sz w:val="20"/>
            <w:szCs w:val="20"/>
            <w:u w:val="single"/>
            <w:rtl w:val="0"/>
          </w:rPr>
          <w:t xml:space="preserve">http://viraltexts.org</w:t>
        </w:r>
      </w:hyperlink>
      <w:r w:rsidDel="00000000" w:rsidR="00000000" w:rsidRPr="00000000">
        <w:rPr>
          <w:rFonts w:ascii="Times New Roman" w:cs="Times New Roman" w:eastAsia="Times New Roman" w:hAnsi="Times New Roman"/>
          <w:sz w:val="20"/>
          <w:szCs w:val="20"/>
          <w:rtl w:val="0"/>
        </w:rPr>
        <w:t xml:space="preserve">.</w:t>
      </w:r>
    </w:p>
  </w:footnote>
  <w:footnote w:id="2">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Voir le précédent dossier du </w:t>
      </w:r>
      <w:r w:rsidDel="00000000" w:rsidR="00000000" w:rsidRPr="00000000">
        <w:rPr>
          <w:rFonts w:ascii="Times New Roman" w:cs="Times New Roman" w:eastAsia="Times New Roman" w:hAnsi="Times New Roman"/>
          <w:i w:val="1"/>
          <w:sz w:val="20"/>
          <w:szCs w:val="20"/>
          <w:rtl w:val="0"/>
        </w:rPr>
        <w:t xml:space="preserve">Temps des Médias</w:t>
      </w:r>
      <w:r w:rsidDel="00000000" w:rsidR="00000000" w:rsidRPr="00000000">
        <w:rPr>
          <w:rFonts w:ascii="Times New Roman" w:cs="Times New Roman" w:eastAsia="Times New Roman" w:hAnsi="Times New Roman"/>
          <w:sz w:val="20"/>
          <w:szCs w:val="20"/>
          <w:rtl w:val="0"/>
        </w:rPr>
        <w:t xml:space="preserve">, “La fausse information, de La Gazette à Twitter”, coordonné par </w:t>
      </w:r>
      <w:r w:rsidDel="00000000" w:rsidR="00000000" w:rsidRPr="00000000">
        <w:rPr>
          <w:rFonts w:ascii="Times New Roman" w:cs="Times New Roman" w:eastAsia="Times New Roman" w:hAnsi="Times New Roman"/>
          <w:sz w:val="20"/>
          <w:szCs w:val="20"/>
          <w:rtl w:val="0"/>
        </w:rPr>
        <w:t xml:space="preserve">Evelyne Cohen et Marion Brétéché, printemps 2018.</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ph.co.uk/technology/twitter/4269765/New-York-plane-crash-Twitter-breaks-the-news-again.html" TargetMode="External"/><Relationship Id="rId2" Type="http://schemas.openxmlformats.org/officeDocument/2006/relationships/hyperlink" Target="https://www.nytimes.com/2009/06/27/business/media/27media.html" TargetMode="External"/><Relationship Id="rId3" Type="http://schemas.openxmlformats.org/officeDocument/2006/relationships/hyperlink" Target="http://www.myilibrary.com?id=513315" TargetMode="External"/><Relationship Id="rId4" Type="http://schemas.openxmlformats.org/officeDocument/2006/relationships/hyperlink" Target="http://www.cairn.info/revue-annales-2015-2-page-285.htm" TargetMode="External"/><Relationship Id="rId5" Type="http://schemas.openxmlformats.org/officeDocument/2006/relationships/hyperlink" Target="https://numapresse.hypotheses.org/" TargetMode="External"/><Relationship Id="rId6" Type="http://schemas.openxmlformats.org/officeDocument/2006/relationships/hyperlink" Target="http://viraltexts.org" TargetMode="External"/><Relationship Id="rId7" Type="http://schemas.openxmlformats.org/officeDocument/2006/relationships/hyperlink" Target="http://viral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