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3A" w:rsidRPr="00A25B3A" w:rsidRDefault="00F3737D" w:rsidP="00A25B3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cs-CZ"/>
        </w:rPr>
        <w:t xml:space="preserve">Is it Vertical Flow Constructed Wetland a suitable polishing treatment for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cs-CZ"/>
        </w:rPr>
        <w:t>micropollutant</w:t>
      </w:r>
      <w:proofErr w:type="spellEnd"/>
      <w:r w:rsidR="000B5936">
        <w:rPr>
          <w:rFonts w:ascii="Times New Roman" w:eastAsia="Times New Roman" w:hAnsi="Times New Roman" w:cs="Times New Roman"/>
          <w:b/>
          <w:sz w:val="28"/>
          <w:szCs w:val="28"/>
          <w:lang w:val="en-US" w:eastAsia="cs-CZ"/>
        </w:rPr>
        <w:t xml:space="preserve"> removal in medium-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cs-CZ"/>
        </w:rPr>
        <w:t>size</w:t>
      </w:r>
      <w:r w:rsidR="000B5936">
        <w:rPr>
          <w:rFonts w:ascii="Times New Roman" w:eastAsia="Times New Roman" w:hAnsi="Times New Roman" w:cs="Times New Roman"/>
          <w:b/>
          <w:sz w:val="28"/>
          <w:szCs w:val="28"/>
          <w:lang w:val="en-US" w:eastAsia="cs-CZ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cs-CZ"/>
        </w:rPr>
        <w:t xml:space="preserve"> WWTPs? </w:t>
      </w:r>
      <w:r w:rsidR="00C43959">
        <w:rPr>
          <w:rFonts w:ascii="Times New Roman" w:eastAsia="Times New Roman" w:hAnsi="Times New Roman" w:cs="Times New Roman"/>
          <w:b/>
          <w:sz w:val="28"/>
          <w:szCs w:val="28"/>
          <w:lang w:val="en-US" w:eastAsia="cs-CZ"/>
        </w:rPr>
        <w:t>A case of study</w:t>
      </w:r>
    </w:p>
    <w:p w:rsidR="00F3737D" w:rsidRDefault="00F3737D" w:rsidP="00A25B3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</w:pPr>
    </w:p>
    <w:p w:rsidR="00A25B3A" w:rsidRPr="00A25B3A" w:rsidRDefault="00F3737D" w:rsidP="00A25B3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  <w:t>S.Venditti</w:t>
      </w:r>
      <w:r w:rsidRPr="00F3737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  <w:t>, J. Hansen</w:t>
      </w:r>
      <w:r w:rsidRPr="00F3737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cs-CZ"/>
        </w:rPr>
        <w:t>1</w:t>
      </w:r>
      <w:r w:rsidR="00A25B3A" w:rsidRPr="00F3737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 w:eastAsia="cs-CZ"/>
        </w:rPr>
        <w:t xml:space="preserve"> </w:t>
      </w:r>
    </w:p>
    <w:p w:rsidR="00A25B3A" w:rsidRPr="00A25B3A" w:rsidRDefault="00A25B3A" w:rsidP="00A25B3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cs-CZ"/>
        </w:rPr>
      </w:pPr>
    </w:p>
    <w:p w:rsidR="00F3737D" w:rsidRPr="00F3737D" w:rsidRDefault="00F3737D" w:rsidP="00F3737D">
      <w:pPr>
        <w:pStyle w:val="IWAAuthoraddress"/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3737D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F3737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737D">
        <w:rPr>
          <w:rFonts w:ascii="Times New Roman" w:hAnsi="Times New Roman" w:cs="Times New Roman"/>
          <w:i/>
          <w:sz w:val="24"/>
          <w:szCs w:val="24"/>
          <w:lang w:val="en-US" w:eastAsia="cs-CZ"/>
        </w:rPr>
        <w:t xml:space="preserve">Campus </w:t>
      </w:r>
      <w:proofErr w:type="spellStart"/>
      <w:r w:rsidRPr="00F3737D">
        <w:rPr>
          <w:rFonts w:ascii="Times New Roman" w:hAnsi="Times New Roman" w:cs="Times New Roman"/>
          <w:i/>
          <w:sz w:val="24"/>
          <w:szCs w:val="24"/>
          <w:lang w:val="en-US" w:eastAsia="cs-CZ"/>
        </w:rPr>
        <w:t>Kirchberg</w:t>
      </w:r>
      <w:proofErr w:type="spellEnd"/>
      <w:r w:rsidRPr="00F3737D">
        <w:rPr>
          <w:rFonts w:ascii="Times New Roman" w:hAnsi="Times New Roman" w:cs="Times New Roman"/>
          <w:i/>
          <w:sz w:val="24"/>
          <w:szCs w:val="24"/>
          <w:lang w:val="en-US" w:eastAsia="cs-CZ"/>
        </w:rPr>
        <w:t xml:space="preserve">-University of Luxembourg - 6, rue </w:t>
      </w:r>
      <w:proofErr w:type="spellStart"/>
      <w:r w:rsidRPr="00F3737D">
        <w:rPr>
          <w:rFonts w:ascii="Times New Roman" w:hAnsi="Times New Roman" w:cs="Times New Roman"/>
          <w:i/>
          <w:sz w:val="24"/>
          <w:szCs w:val="24"/>
          <w:lang w:val="en-US" w:eastAsia="cs-CZ"/>
        </w:rPr>
        <w:t>Coudenhove-Kalergi</w:t>
      </w:r>
      <w:proofErr w:type="spellEnd"/>
      <w:r w:rsidRPr="00F3737D">
        <w:rPr>
          <w:rFonts w:ascii="Times New Roman" w:hAnsi="Times New Roman" w:cs="Times New Roman"/>
          <w:i/>
          <w:sz w:val="24"/>
          <w:szCs w:val="24"/>
          <w:lang w:val="en-US" w:eastAsia="cs-CZ"/>
        </w:rPr>
        <w:t xml:space="preserve"> - L-1359 Luxembourg,</w:t>
      </w:r>
    </w:p>
    <w:p w:rsidR="00F3737D" w:rsidRPr="00F3737D" w:rsidRDefault="00F3737D" w:rsidP="00F3737D">
      <w:pPr>
        <w:pStyle w:val="IWAKeyword"/>
        <w:spacing w:before="0"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fr-LU"/>
        </w:rPr>
      </w:pPr>
      <w:r w:rsidRPr="00F3737D">
        <w:rPr>
          <w:rFonts w:ascii="Times New Roman" w:hAnsi="Times New Roman" w:cs="Times New Roman"/>
          <w:i/>
          <w:sz w:val="20"/>
          <w:szCs w:val="20"/>
          <w:vertAlign w:val="superscript"/>
          <w:lang w:val="fr-LU"/>
        </w:rPr>
        <w:t xml:space="preserve">* ~ </w:t>
      </w:r>
      <w:r w:rsidRPr="00F3737D">
        <w:rPr>
          <w:rFonts w:ascii="Times New Roman" w:hAnsi="Times New Roman" w:cs="Times New Roman"/>
          <w:i/>
          <w:sz w:val="24"/>
          <w:szCs w:val="24"/>
          <w:lang w:val="fr-LU" w:eastAsia="cs-CZ"/>
        </w:rPr>
        <w:t>silvia</w:t>
      </w:r>
      <w:r w:rsidRPr="00F3737D">
        <w:rPr>
          <w:rFonts w:ascii="Times New Roman" w:hAnsi="Times New Roman" w:cs="Times New Roman"/>
          <w:i/>
          <w:sz w:val="24"/>
          <w:szCs w:val="24"/>
          <w:lang w:val="fr-LU" w:eastAsia="cs-CZ"/>
        </w:rPr>
        <w:t>.</w:t>
      </w:r>
      <w:r w:rsidRPr="00F3737D">
        <w:rPr>
          <w:rFonts w:ascii="Times New Roman" w:hAnsi="Times New Roman" w:cs="Times New Roman"/>
          <w:i/>
          <w:sz w:val="24"/>
          <w:szCs w:val="24"/>
          <w:lang w:val="fr-LU" w:eastAsia="cs-CZ"/>
        </w:rPr>
        <w:t>venditti</w:t>
      </w:r>
      <w:r w:rsidRPr="00F3737D">
        <w:rPr>
          <w:rFonts w:ascii="Times New Roman" w:hAnsi="Times New Roman" w:cs="Times New Roman"/>
          <w:i/>
          <w:sz w:val="24"/>
          <w:szCs w:val="24"/>
          <w:lang w:val="fr-LU" w:eastAsia="cs-CZ"/>
        </w:rPr>
        <w:t>@uni.lu</w:t>
      </w:r>
    </w:p>
    <w:p w:rsidR="00A25B3A" w:rsidRPr="00F3737D" w:rsidRDefault="00A25B3A" w:rsidP="00A25B3A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val="fr-LU" w:eastAsia="cs-CZ"/>
        </w:rPr>
      </w:pPr>
    </w:p>
    <w:p w:rsidR="00A25B3A" w:rsidRPr="00F3737D" w:rsidRDefault="00A25B3A" w:rsidP="00A25B3A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val="fr-LU" w:eastAsia="cs-CZ"/>
        </w:rPr>
      </w:pPr>
    </w:p>
    <w:p w:rsidR="00A25B3A" w:rsidRPr="00F3737D" w:rsidRDefault="00A25B3A" w:rsidP="00A25B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fr-LU" w:eastAsia="cs-CZ"/>
        </w:rPr>
      </w:pPr>
    </w:p>
    <w:p w:rsidR="00A25B3A" w:rsidRPr="00A25B3A" w:rsidRDefault="00A25B3A" w:rsidP="00A25B3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cs-CZ"/>
        </w:rPr>
      </w:pPr>
      <w:r w:rsidRPr="00A25B3A">
        <w:rPr>
          <w:rFonts w:ascii="Times New Roman" w:eastAsia="Times New Roman" w:hAnsi="Times New Roman" w:cs="Times New Roman"/>
          <w:b/>
          <w:sz w:val="28"/>
          <w:szCs w:val="28"/>
          <w:lang w:val="en-US" w:eastAsia="cs-CZ"/>
        </w:rPr>
        <w:t>Abstract</w:t>
      </w:r>
    </w:p>
    <w:p w:rsidR="00A25B3A" w:rsidRPr="00A25B3A" w:rsidRDefault="00A25B3A" w:rsidP="00A25B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:rsidR="00C43959" w:rsidRDefault="000B5936" w:rsidP="002B7E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0B5936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The present study focus in the development of soil-filter installations namely Constructed Wetlands as tertiary treatment for </w:t>
      </w:r>
      <w:proofErr w:type="spellStart"/>
      <w:r w:rsidRPr="000B5936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micropollutant</w:t>
      </w:r>
      <w:proofErr w:type="spellEnd"/>
      <w:r w:rsidRPr="000B5936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removal in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medium</w:t>
      </w:r>
      <w:r w:rsidRPr="000B5936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-sized WWT</w:t>
      </w:r>
      <w:r w:rsidR="00FB2B71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Ps (i.e. less than 100 000 PE).</w:t>
      </w:r>
      <w:r w:rsidR="002A5A6E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 w:rsidR="00FB2B71" w:rsidRPr="00AA757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The investigation is part of a multidisciplinary project that coordinates the activities of multiple researchers, expert in different areas, into a multi-pronged approach to the topic. </w:t>
      </w:r>
    </w:p>
    <w:p w:rsidR="00C43959" w:rsidRDefault="00C43959" w:rsidP="002B7E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C43959" w:rsidRDefault="00FB2B71" w:rsidP="002B7E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Being geographically the border between Luxembourg and Germany, the Sure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river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is here considered as case of study and possible </w:t>
      </w:r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scenarios to mitigate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urban </w:t>
      </w:r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emission are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evaluated. </w:t>
      </w:r>
    </w:p>
    <w:p w:rsidR="00000000" w:rsidRPr="00FB2B71" w:rsidRDefault="00FB2B71" w:rsidP="002B7E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For this, </w:t>
      </w:r>
      <w:r w:rsidR="002B7E2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27 compounds have been selected taking into account </w:t>
      </w:r>
      <w:r w:rsidR="00A14F39" w:rsidRPr="002B7E2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those known to be excreted in the highest amount (i</w:t>
      </w:r>
      <w:r w:rsidR="002B7E2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n the case of pharmaceuticals</w:t>
      </w:r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: antibiotics, </w:t>
      </w:r>
      <w:proofErr w:type="gramStart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beta blocker</w:t>
      </w:r>
      <w:proofErr w:type="gramEnd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</w:t>
      </w:r>
      <w:proofErr w:type="spellStart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cytostatics</w:t>
      </w:r>
      <w:proofErr w:type="spellEnd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etc</w:t>
      </w:r>
      <w:proofErr w:type="spellEnd"/>
      <w:r w:rsidR="002B7E2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), </w:t>
      </w:r>
      <w:r w:rsidR="00A14F39" w:rsidRPr="002B7E2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those know</w:t>
      </w:r>
      <w:r w:rsidR="002B7E2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n with the highest eco-toxicity</w:t>
      </w:r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(i.e. </w:t>
      </w:r>
      <w:proofErr w:type="spellStart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cytostatics</w:t>
      </w:r>
      <w:proofErr w:type="spellEnd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)</w:t>
      </w:r>
      <w:r w:rsidR="002B7E2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</w:t>
      </w:r>
      <w:r w:rsidR="00A14F39" w:rsidRPr="002B7E2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thos</w:t>
      </w:r>
      <w:r w:rsidR="002B7E2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 known to be under observation</w:t>
      </w:r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(i.e. Glyphosate, Erythromycin) </w:t>
      </w:r>
      <w:r w:rsidR="002B7E2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or with legal obligations</w:t>
      </w:r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(i.e.</w:t>
      </w:r>
      <w:r w:rsidR="002A5A6E" w:rsidRP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Diclofenac, </w:t>
      </w:r>
      <w:proofErr w:type="spellStart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Isoproturon</w:t>
      </w:r>
      <w:proofErr w:type="spellEnd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, </w:t>
      </w:r>
      <w:proofErr w:type="spellStart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Diuron</w:t>
      </w:r>
      <w:proofErr w:type="spellEnd"/>
      <w:r w:rsidR="002A5A6E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)</w:t>
      </w:r>
      <w:r w:rsidR="002B7E2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. </w:t>
      </w:r>
    </w:p>
    <w:p w:rsidR="000B5936" w:rsidRPr="00FB2B71" w:rsidRDefault="000B5936" w:rsidP="000B59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FB2B71" w:rsidRDefault="000B5936" w:rsidP="00A87B0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  <w:r w:rsidRPr="000B5936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The investigation </w:t>
      </w:r>
      <w:proofErr w:type="gramStart"/>
      <w:r w:rsidRPr="000B5936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is </w:t>
      </w:r>
      <w:r w:rsidR="002B7E2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developed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in two </w:t>
      </w:r>
      <w:r w:rsidR="00AA757E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phases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. An attempt has been made to initially select a suitable substrate among traditional granulates (i.e. sand and zeolite) and more innovative material such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biochar</w:t>
      </w:r>
      <w:proofErr w:type="spellEnd"/>
      <w:r w:rsidR="002B7E2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(activated and not)</w:t>
      </w:r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. Six </w:t>
      </w:r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planted (i.e. </w:t>
      </w:r>
      <w:proofErr w:type="spellStart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</w:t>
      </w:r>
      <w:r w:rsidR="00A87B00" w:rsidRP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hragmites</w:t>
      </w:r>
      <w:proofErr w:type="spellEnd"/>
      <w:r w:rsidR="00A87B00" w:rsidRP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A87B00" w:rsidRP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australis</w:t>
      </w:r>
      <w:proofErr w:type="spellEnd"/>
      <w:r w:rsidR="00A87B00" w:rsidRP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and I</w:t>
      </w:r>
      <w:r w:rsidR="00A87B00" w:rsidRP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ris </w:t>
      </w:r>
      <w:proofErr w:type="spellStart"/>
      <w:r w:rsidR="00A87B00" w:rsidRP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pseudacorus</w:t>
      </w:r>
      <w:proofErr w:type="spellEnd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)</w:t>
      </w:r>
      <w:r w:rsidR="00A87B00" w:rsidRP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proofErr w:type="spellStart"/>
      <w:r w:rsidR="002A5A6E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lysimeters</w:t>
      </w:r>
      <w:proofErr w:type="spellEnd"/>
      <w:r w:rsidR="002A5A6E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have been fed with synthetic wastewater </w:t>
      </w:r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three times a day with a relaxation time of 7.5 </w:t>
      </w:r>
      <w:proofErr w:type="spellStart"/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hrs</w:t>
      </w:r>
      <w:proofErr w:type="spellEnd"/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, resulting in an hydraulic load of 100 L/m</w:t>
      </w:r>
      <w:r w:rsidR="00754D5D" w:rsidRPr="00C4395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cs-CZ"/>
        </w:rPr>
        <w:t>2</w:t>
      </w:r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d. 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After reaching steady-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state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conditions, t</w:t>
      </w:r>
      <w:r w:rsidR="002A5A6E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he downward wetlands </w:t>
      </w:r>
      <w:proofErr w:type="gramStart"/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were spiked</w:t>
      </w:r>
      <w:proofErr w:type="gramEnd"/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with target </w:t>
      </w:r>
      <w:proofErr w:type="spellStart"/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micropollutants</w:t>
      </w:r>
      <w:proofErr w:type="spellEnd"/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over five months.</w:t>
      </w:r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Influent and Effluent samples were regularly taken, 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c</w:t>
      </w:r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oncentrated using Solid-Phase Extraction (SPE) and then 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analyzed</w:t>
      </w:r>
      <w:r w:rsidR="00754D5D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with Liquid Chromatography coupled with Mass Spectrometry (LC/MS). </w:t>
      </w:r>
      <w:r w:rsidR="002B7E2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Removal rates of the individual compounds </w:t>
      </w:r>
      <w:proofErr w:type="gramStart"/>
      <w:r w:rsidR="002B7E2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have been evaluated</w:t>
      </w:r>
      <w:proofErr w:type="gramEnd"/>
      <w:r w:rsidR="002B7E22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with respect to substrate and its physical parameters</w:t>
      </w:r>
      <w:r w:rsidR="00AA757E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, together with operational conditions (i.e. hydraulic load, time of operation and treated wastewater)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. The </w:t>
      </w:r>
      <w:r w:rsidR="00AA757E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established nitrification process and the acclimatization of bacteria 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has been observed by the measurement of </w:t>
      </w:r>
      <w:proofErr w:type="spellStart"/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macropollutants</w:t>
      </w:r>
      <w:proofErr w:type="spellEnd"/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(i.e. NH</w:t>
      </w:r>
      <w:r w:rsidR="00C43959" w:rsidRPr="00C4395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cs-CZ"/>
        </w:rPr>
        <w:t>4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, TN, </w:t>
      </w:r>
      <w:proofErr w:type="gramStart"/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NO</w:t>
      </w:r>
      <w:r w:rsidR="00C43959" w:rsidRPr="00C4395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cs-CZ"/>
        </w:rPr>
        <w:t>3</w:t>
      </w:r>
      <w:proofErr w:type="gramEnd"/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) and consumed dissolve oxygen</w:t>
      </w:r>
      <w:r w:rsidR="00AA757E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.</w:t>
      </w:r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Most favorable mechanism of removal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s</w:t>
      </w:r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of individual compounds were</w:t>
      </w:r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hypothesized: as example</w:t>
      </w:r>
      <w:proofErr w:type="gramStart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,  </w:t>
      </w:r>
      <w:proofErr w:type="spellStart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Propanolol</w:t>
      </w:r>
      <w:proofErr w:type="spellEnd"/>
      <w:proofErr w:type="gramEnd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appeared to be predestinated towards </w:t>
      </w:r>
      <w:proofErr w:type="spellStart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Pho</w:t>
      </w:r>
      <w:r w:rsidR="00FB2B71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todegradation</w:t>
      </w:r>
      <w:proofErr w:type="spellEnd"/>
      <w:r w:rsidR="00FB2B71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by UV light while </w:t>
      </w:r>
      <w:proofErr w:type="spellStart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Carbendazin</w:t>
      </w:r>
      <w:proofErr w:type="spellEnd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towards </w:t>
      </w:r>
      <w:proofErr w:type="spellStart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Phytodegradation</w:t>
      </w:r>
      <w:proofErr w:type="spellEnd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by plant uptake. Those assumptions </w:t>
      </w:r>
      <w:proofErr w:type="gramStart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w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ill be</w:t>
      </w:r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then validated</w:t>
      </w:r>
      <w:proofErr w:type="gramEnd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with experimental data. Once 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selected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</w:t>
      </w:r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the most promising adsorbing material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, an intermediate test </w:t>
      </w:r>
      <w:proofErr w:type="gramStart"/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will be</w:t>
      </w:r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performed</w:t>
      </w:r>
      <w:proofErr w:type="gramEnd"/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 in </w:t>
      </w:r>
      <w:r w:rsidR="00FB2B71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the </w:t>
      </w:r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treatment plant </w:t>
      </w:r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of </w:t>
      </w:r>
      <w:proofErr w:type="spellStart"/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Reisdorf</w:t>
      </w:r>
      <w:proofErr w:type="spellEnd"/>
      <w:r w:rsidR="00C43959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, Luxembourg </w:t>
      </w:r>
      <w:r w:rsidR="00FB2B71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(i.e. 4000 PE) </w:t>
      </w:r>
      <w:r w:rsidR="00A87B00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 xml:space="preserve">in order to see the effect of real matrix. </w:t>
      </w:r>
    </w:p>
    <w:p w:rsidR="002845C8" w:rsidRPr="00E35A12" w:rsidRDefault="00FB2B71" w:rsidP="00E35A12">
      <w:pPr>
        <w:pStyle w:val="IWAFirstparagraph"/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960AB6">
        <w:rPr>
          <w:rFonts w:ascii="Times New Roman" w:hAnsi="Times New Roman" w:cs="Times New Roman"/>
          <w:sz w:val="24"/>
          <w:szCs w:val="24"/>
          <w:lang w:val="en"/>
        </w:rPr>
        <w:t xml:space="preserve">The knowledge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gained </w:t>
      </w:r>
      <w:r w:rsidRPr="00960AB6">
        <w:rPr>
          <w:rFonts w:ascii="Times New Roman" w:hAnsi="Times New Roman" w:cs="Times New Roman"/>
          <w:sz w:val="24"/>
          <w:szCs w:val="24"/>
          <w:lang w:val="en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these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lab scale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studies together </w:t>
      </w:r>
      <w:r w:rsidRPr="00960AB6">
        <w:rPr>
          <w:rFonts w:ascii="Times New Roman" w:hAnsi="Times New Roman" w:cs="Times New Roman"/>
          <w:sz w:val="24"/>
          <w:szCs w:val="24"/>
          <w:lang w:val="en"/>
        </w:rPr>
        <w:t xml:space="preserve">will be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then </w:t>
      </w:r>
      <w:r w:rsidRPr="00960AB6">
        <w:rPr>
          <w:rFonts w:ascii="Times New Roman" w:hAnsi="Times New Roman" w:cs="Times New Roman"/>
          <w:sz w:val="24"/>
          <w:szCs w:val="24"/>
          <w:lang w:val="en"/>
        </w:rPr>
        <w:t xml:space="preserve">used to design and dimension a </w:t>
      </w:r>
      <w:proofErr w:type="gramStart"/>
      <w:r w:rsidR="002A5A6E">
        <w:rPr>
          <w:rFonts w:ascii="Times New Roman" w:hAnsi="Times New Roman" w:cs="Times New Roman"/>
          <w:sz w:val="24"/>
          <w:szCs w:val="24"/>
          <w:lang w:val="en"/>
        </w:rPr>
        <w:t>full scale</w:t>
      </w:r>
      <w:proofErr w:type="gramEnd"/>
      <w:r w:rsidR="002A5A6E">
        <w:rPr>
          <w:rFonts w:ascii="Times New Roman" w:hAnsi="Times New Roman" w:cs="Times New Roman"/>
          <w:sz w:val="24"/>
          <w:szCs w:val="24"/>
          <w:lang w:val="en"/>
        </w:rPr>
        <w:t xml:space="preserve"> wetland to be installed in the WWTP of </w:t>
      </w:r>
      <w:proofErr w:type="spellStart"/>
      <w:r w:rsidR="002A5A6E">
        <w:rPr>
          <w:rFonts w:ascii="Times New Roman" w:hAnsi="Times New Roman" w:cs="Times New Roman"/>
          <w:sz w:val="24"/>
          <w:szCs w:val="24"/>
          <w:lang w:val="en"/>
        </w:rPr>
        <w:t>Eschternach</w:t>
      </w:r>
      <w:proofErr w:type="spellEnd"/>
      <w:r w:rsidR="00E35A12">
        <w:rPr>
          <w:rFonts w:ascii="Times New Roman" w:hAnsi="Times New Roman" w:cs="Times New Roman"/>
          <w:sz w:val="24"/>
          <w:szCs w:val="24"/>
          <w:lang w:val="en"/>
        </w:rPr>
        <w:t>, Luxembourg</w:t>
      </w:r>
      <w:r w:rsidR="002A5A6E">
        <w:rPr>
          <w:rFonts w:ascii="Times New Roman" w:hAnsi="Times New Roman" w:cs="Times New Roman"/>
          <w:sz w:val="24"/>
          <w:szCs w:val="24"/>
          <w:lang w:val="en"/>
        </w:rPr>
        <w:t xml:space="preserve"> (i.e. 20000 PE) </w:t>
      </w:r>
      <w:r w:rsidRPr="00960AB6">
        <w:rPr>
          <w:rFonts w:ascii="Times New Roman" w:hAnsi="Times New Roman" w:cs="Times New Roman"/>
          <w:sz w:val="24"/>
          <w:szCs w:val="24"/>
          <w:lang w:val="en"/>
        </w:rPr>
        <w:t>and subsequent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ly </w:t>
      </w:r>
      <w:r w:rsidR="00C43959">
        <w:rPr>
          <w:rFonts w:ascii="Times New Roman" w:hAnsi="Times New Roman" w:cs="Times New Roman"/>
          <w:sz w:val="24"/>
          <w:szCs w:val="24"/>
          <w:lang w:val="en"/>
        </w:rPr>
        <w:t>for decision policy support in the Greater Region.</w:t>
      </w:r>
      <w:bookmarkStart w:id="0" w:name="_GoBack"/>
      <w:bookmarkEnd w:id="0"/>
    </w:p>
    <w:sectPr w:rsidR="002845C8" w:rsidRPr="00E35A12" w:rsidSect="00F065DA">
      <w:headerReference w:type="default" r:id="rId8"/>
      <w:headerReference w:type="first" r:id="rId9"/>
      <w:footerReference w:type="first" r:id="rId10"/>
      <w:pgSz w:w="11906" w:h="16838" w:code="9"/>
      <w:pgMar w:top="1418" w:right="851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39" w:rsidRDefault="00A14F39" w:rsidP="00207059">
      <w:pPr>
        <w:spacing w:after="0"/>
      </w:pPr>
      <w:r>
        <w:separator/>
      </w:r>
    </w:p>
  </w:endnote>
  <w:endnote w:type="continuationSeparator" w:id="0">
    <w:p w:rsidR="00A14F39" w:rsidRDefault="00A14F39" w:rsidP="00207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0A" w:rsidRPr="0057309B" w:rsidRDefault="00EF350A">
    <w:pPr>
      <w:rPr>
        <w:sz w:val="2"/>
        <w:szCs w:val="2"/>
      </w:rPr>
    </w:pPr>
  </w:p>
  <w:p w:rsidR="002A604B" w:rsidRPr="00E909C4" w:rsidRDefault="002A604B" w:rsidP="00E909C4">
    <w:pPr>
      <w:spacing w:after="0"/>
      <w:rPr>
        <w:sz w:val="6"/>
        <w:szCs w:val="6"/>
      </w:rPr>
    </w:pPr>
  </w:p>
  <w:p w:rsidR="00EF350A" w:rsidRDefault="00EF3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39" w:rsidRDefault="00A14F39" w:rsidP="00207059">
      <w:pPr>
        <w:spacing w:after="0"/>
      </w:pPr>
      <w:r>
        <w:separator/>
      </w:r>
    </w:p>
  </w:footnote>
  <w:footnote w:type="continuationSeparator" w:id="0">
    <w:p w:rsidR="00A14F39" w:rsidRDefault="00A14F39" w:rsidP="00207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"/>
      <w:gridCol w:w="993"/>
      <w:gridCol w:w="3402"/>
      <w:gridCol w:w="4253"/>
      <w:gridCol w:w="2268"/>
    </w:tblGrid>
    <w:tr w:rsidR="00F065DA" w:rsidTr="004E7C4B">
      <w:trPr>
        <w:trHeight w:val="256"/>
      </w:trPr>
      <w:tc>
        <w:tcPr>
          <w:tcW w:w="141" w:type="dxa"/>
          <w:shd w:val="clear" w:color="auto" w:fill="414646" w:themeFill="text2"/>
        </w:tcPr>
        <w:p w:rsidR="00F065DA" w:rsidRPr="00125234" w:rsidRDefault="00F065DA" w:rsidP="004E7C4B">
          <w:pPr>
            <w:pStyle w:val="Header"/>
            <w:rPr>
              <w:color w:val="414646" w:themeColor="text2"/>
            </w:rPr>
          </w:pPr>
        </w:p>
      </w:tc>
      <w:tc>
        <w:tcPr>
          <w:tcW w:w="993" w:type="dxa"/>
        </w:tcPr>
        <w:p w:rsidR="00F065DA" w:rsidRPr="00125234" w:rsidRDefault="00F065DA" w:rsidP="004E7C4B">
          <w:pPr>
            <w:pStyle w:val="Header"/>
            <w:rPr>
              <w:color w:val="414646" w:themeColor="text2"/>
            </w:rPr>
          </w:pPr>
        </w:p>
      </w:tc>
      <w:tc>
        <w:tcPr>
          <w:tcW w:w="3402" w:type="dxa"/>
          <w:vAlign w:val="bottom"/>
        </w:tcPr>
        <w:p w:rsidR="00F065DA" w:rsidRPr="006B7B80" w:rsidRDefault="00F065DA" w:rsidP="004E7C4B">
          <w:pPr>
            <w:pStyle w:val="Header"/>
            <w:rPr>
              <w:rFonts w:ascii="Arial" w:hAnsi="Arial"/>
              <w:color w:val="8A9292" w:themeColor="text2" w:themeTint="99"/>
            </w:rPr>
          </w:pPr>
          <w:r w:rsidRPr="006B7B80">
            <w:rPr>
              <w:rFonts w:ascii="Arial" w:hAnsi="Arial"/>
              <w:color w:val="8A9292" w:themeColor="text2" w:themeTint="99"/>
            </w:rPr>
            <w:t>IWA Specialist Conference on</w:t>
          </w:r>
        </w:p>
      </w:tc>
      <w:tc>
        <w:tcPr>
          <w:tcW w:w="4253" w:type="dxa"/>
          <w:vMerge w:val="restart"/>
        </w:tcPr>
        <w:p w:rsidR="00F065DA" w:rsidRDefault="00F065DA" w:rsidP="004E7C4B">
          <w:pPr>
            <w:pStyle w:val="Header"/>
            <w:jc w:val="right"/>
          </w:pPr>
        </w:p>
      </w:tc>
      <w:tc>
        <w:tcPr>
          <w:tcW w:w="2268" w:type="dxa"/>
          <w:vMerge w:val="restart"/>
        </w:tcPr>
        <w:p w:rsidR="00F065DA" w:rsidRDefault="00F065DA" w:rsidP="004E7C4B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069695" cy="764640"/>
                <wp:effectExtent l="1905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work\IWA\ICWS2016\listownik\IWA_LOGO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695" cy="76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65DA" w:rsidTr="004E7C4B">
      <w:trPr>
        <w:trHeight w:val="430"/>
      </w:trPr>
      <w:tc>
        <w:tcPr>
          <w:tcW w:w="141" w:type="dxa"/>
          <w:shd w:val="clear" w:color="auto" w:fill="414646" w:themeFill="text2"/>
        </w:tcPr>
        <w:p w:rsidR="00F065DA" w:rsidRPr="00125234" w:rsidRDefault="00F065DA" w:rsidP="004E7C4B">
          <w:pPr>
            <w:pStyle w:val="Header"/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</w:pPr>
        </w:p>
      </w:tc>
      <w:tc>
        <w:tcPr>
          <w:tcW w:w="993" w:type="dxa"/>
        </w:tcPr>
        <w:p w:rsidR="00F065DA" w:rsidRPr="00125234" w:rsidRDefault="00F065DA" w:rsidP="004E7C4B">
          <w:pPr>
            <w:pStyle w:val="Header"/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</w:pPr>
        </w:p>
      </w:tc>
      <w:tc>
        <w:tcPr>
          <w:tcW w:w="3402" w:type="dxa"/>
          <w:tcBorders>
            <w:bottom w:val="single" w:sz="4" w:space="0" w:color="00AEEF" w:themeColor="background2"/>
          </w:tcBorders>
          <w:vAlign w:val="center"/>
        </w:tcPr>
        <w:p w:rsidR="00F065DA" w:rsidRPr="002049EA" w:rsidRDefault="008C5BC7" w:rsidP="004E7C4B">
          <w:pPr>
            <w:pStyle w:val="Header"/>
            <w:spacing w:after="60"/>
            <w:rPr>
              <w:rFonts w:ascii="Arial" w:hAnsi="Arial"/>
              <w:color w:val="00AEEF" w:themeColor="background2"/>
              <w:w w:val="80"/>
            </w:rPr>
          </w:pPr>
          <w:r w:rsidRPr="003B18F3"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  <w:lang w:val="en-US"/>
            </w:rPr>
            <w:t>Wetland Systems for</w:t>
          </w:r>
          <w:r w:rsidRPr="003B18F3"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  <w:lang w:val="en-US"/>
            </w:rPr>
            <w:br/>
            <w:t>Water Pollution Control</w:t>
          </w:r>
        </w:p>
      </w:tc>
      <w:tc>
        <w:tcPr>
          <w:tcW w:w="4253" w:type="dxa"/>
          <w:vMerge/>
        </w:tcPr>
        <w:p w:rsidR="00F065DA" w:rsidRDefault="00F065DA" w:rsidP="004E7C4B">
          <w:pPr>
            <w:pStyle w:val="Header"/>
            <w:jc w:val="right"/>
            <w:rPr>
              <w:noProof/>
              <w:lang w:bidi="my-MM"/>
            </w:rPr>
          </w:pPr>
        </w:p>
      </w:tc>
      <w:tc>
        <w:tcPr>
          <w:tcW w:w="2268" w:type="dxa"/>
          <w:vMerge/>
        </w:tcPr>
        <w:p w:rsidR="00F065DA" w:rsidRDefault="00F065DA" w:rsidP="004E7C4B">
          <w:pPr>
            <w:pStyle w:val="Header"/>
            <w:jc w:val="right"/>
            <w:rPr>
              <w:noProof/>
              <w:lang w:bidi="my-MM"/>
            </w:rPr>
          </w:pPr>
        </w:p>
      </w:tc>
    </w:tr>
    <w:tr w:rsidR="00F065DA" w:rsidTr="004E7C4B">
      <w:tc>
        <w:tcPr>
          <w:tcW w:w="141" w:type="dxa"/>
          <w:shd w:val="clear" w:color="auto" w:fill="auto"/>
        </w:tcPr>
        <w:p w:rsidR="00F065DA" w:rsidRPr="00125234" w:rsidRDefault="00F065DA" w:rsidP="004E7C4B">
          <w:pPr>
            <w:pStyle w:val="Header"/>
            <w:rPr>
              <w:b/>
              <w:bCs/>
              <w:color w:val="414646" w:themeColor="text2"/>
              <w:sz w:val="16"/>
              <w:szCs w:val="16"/>
            </w:rPr>
          </w:pPr>
        </w:p>
      </w:tc>
      <w:tc>
        <w:tcPr>
          <w:tcW w:w="993" w:type="dxa"/>
        </w:tcPr>
        <w:p w:rsidR="00F065DA" w:rsidRPr="00125234" w:rsidRDefault="00F065DA" w:rsidP="004E7C4B">
          <w:pPr>
            <w:pStyle w:val="Header"/>
            <w:rPr>
              <w:b/>
              <w:bCs/>
              <w:color w:val="414646" w:themeColor="text2"/>
              <w:sz w:val="16"/>
              <w:szCs w:val="16"/>
            </w:rPr>
          </w:pPr>
        </w:p>
      </w:tc>
      <w:tc>
        <w:tcPr>
          <w:tcW w:w="3402" w:type="dxa"/>
          <w:tcBorders>
            <w:top w:val="single" w:sz="4" w:space="0" w:color="00AEEF" w:themeColor="background2"/>
          </w:tcBorders>
          <w:vAlign w:val="bottom"/>
        </w:tcPr>
        <w:p w:rsidR="00F065DA" w:rsidRPr="006B7B80" w:rsidRDefault="00BE20A3" w:rsidP="00BE20A3">
          <w:pPr>
            <w:pStyle w:val="Header"/>
            <w:rPr>
              <w:rFonts w:ascii="Arial" w:hAnsi="Arial"/>
              <w:b/>
              <w:bCs/>
              <w:color w:val="414646" w:themeColor="text2"/>
            </w:rPr>
          </w:pPr>
          <w:r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>30</w:t>
          </w:r>
          <w:r w:rsidR="00F065DA" w:rsidRPr="006B7B80"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 xml:space="preserve"> September</w:t>
          </w:r>
          <w:r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 xml:space="preserve"> – 4 October</w:t>
          </w:r>
          <w:r w:rsidR="00F065DA" w:rsidRPr="006B7B80"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 xml:space="preserve"> 201</w:t>
          </w:r>
          <w:r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>8</w:t>
          </w:r>
          <w:r w:rsidR="00F065DA" w:rsidRPr="006B7B80"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 xml:space="preserve">, </w:t>
          </w:r>
          <w:r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>UPV</w:t>
          </w:r>
          <w:r w:rsidR="00F065DA" w:rsidRPr="006B7B80"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 xml:space="preserve">, </w:t>
          </w:r>
          <w:r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>Valencia</w:t>
          </w:r>
          <w:r w:rsidR="00F065DA" w:rsidRPr="006B7B80"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 xml:space="preserve">, </w:t>
          </w:r>
          <w:r>
            <w:rPr>
              <w:rFonts w:ascii="Arial" w:hAnsi="Arial"/>
              <w:b/>
              <w:bCs/>
              <w:color w:val="414646" w:themeColor="text2"/>
              <w:sz w:val="16"/>
              <w:szCs w:val="16"/>
            </w:rPr>
            <w:t>Spain</w:t>
          </w:r>
        </w:p>
      </w:tc>
      <w:tc>
        <w:tcPr>
          <w:tcW w:w="4253" w:type="dxa"/>
        </w:tcPr>
        <w:p w:rsidR="00F065DA" w:rsidRDefault="00F065DA" w:rsidP="004E7C4B">
          <w:pPr>
            <w:pStyle w:val="Header"/>
          </w:pPr>
        </w:p>
      </w:tc>
      <w:tc>
        <w:tcPr>
          <w:tcW w:w="2268" w:type="dxa"/>
        </w:tcPr>
        <w:p w:rsidR="00F065DA" w:rsidRDefault="00F065DA" w:rsidP="004E7C4B">
          <w:pPr>
            <w:pStyle w:val="Header"/>
          </w:pPr>
        </w:p>
      </w:tc>
    </w:tr>
  </w:tbl>
  <w:p w:rsidR="00C65280" w:rsidRDefault="00BE20A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3001010</wp:posOffset>
          </wp:positionH>
          <wp:positionV relativeFrom="paragraph">
            <wp:posOffset>-1454785</wp:posOffset>
          </wp:positionV>
          <wp:extent cx="1998000" cy="1548000"/>
          <wp:effectExtent l="0" t="0" r="2540" b="0"/>
          <wp:wrapNone/>
          <wp:docPr id="1" name="Imagen 1" descr="http://icws2018.webs.upv.es/wp-content/uploads/2017/07/cropped-logo-copi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cws2018.webs.upv.es/wp-content/uploads/2017/07/cropped-logo-copia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000" cy="15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"/>
      <w:gridCol w:w="993"/>
      <w:gridCol w:w="3402"/>
      <w:gridCol w:w="4253"/>
      <w:gridCol w:w="2268"/>
    </w:tblGrid>
    <w:tr w:rsidR="00D414B1" w:rsidTr="009D5B6F">
      <w:trPr>
        <w:trHeight w:val="256"/>
      </w:trPr>
      <w:tc>
        <w:tcPr>
          <w:tcW w:w="141" w:type="dxa"/>
          <w:shd w:val="clear" w:color="auto" w:fill="414646" w:themeFill="text2"/>
        </w:tcPr>
        <w:p w:rsidR="00D414B1" w:rsidRPr="00125234" w:rsidRDefault="00D414B1" w:rsidP="00D721F4">
          <w:pPr>
            <w:pStyle w:val="Header"/>
            <w:rPr>
              <w:color w:val="414646" w:themeColor="text2"/>
            </w:rPr>
          </w:pPr>
        </w:p>
      </w:tc>
      <w:tc>
        <w:tcPr>
          <w:tcW w:w="993" w:type="dxa"/>
        </w:tcPr>
        <w:p w:rsidR="00D414B1" w:rsidRPr="00125234" w:rsidRDefault="00D414B1" w:rsidP="00D721F4">
          <w:pPr>
            <w:pStyle w:val="Header"/>
            <w:rPr>
              <w:color w:val="414646" w:themeColor="text2"/>
            </w:rPr>
          </w:pPr>
        </w:p>
      </w:tc>
      <w:tc>
        <w:tcPr>
          <w:tcW w:w="3402" w:type="dxa"/>
          <w:vAlign w:val="bottom"/>
        </w:tcPr>
        <w:p w:rsidR="00D414B1" w:rsidRPr="000836B8" w:rsidRDefault="00D414B1" w:rsidP="009D5B6F">
          <w:pPr>
            <w:pStyle w:val="Header"/>
            <w:rPr>
              <w:color w:val="8A9292" w:themeColor="text2" w:themeTint="99"/>
            </w:rPr>
          </w:pPr>
          <w:r w:rsidRPr="000836B8">
            <w:rPr>
              <w:color w:val="8A9292" w:themeColor="text2" w:themeTint="99"/>
            </w:rPr>
            <w:t>IWA Specialist Conference on</w:t>
          </w:r>
        </w:p>
      </w:tc>
      <w:tc>
        <w:tcPr>
          <w:tcW w:w="4253" w:type="dxa"/>
          <w:vMerge w:val="restart"/>
        </w:tcPr>
        <w:p w:rsidR="00D414B1" w:rsidRDefault="00D414B1" w:rsidP="00E57F5B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616706" cy="773280"/>
                <wp:effectExtent l="19050" t="0" r="2544" b="0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work\IWA\ICWS2016\listownik\logo_ICWS20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706" cy="77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Merge w:val="restart"/>
        </w:tcPr>
        <w:p w:rsidR="00D414B1" w:rsidRDefault="00D414B1" w:rsidP="005644A2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069695" cy="764640"/>
                <wp:effectExtent l="19050" t="0" r="0" b="0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work\IWA\ICWS2016\listownik\IWA_LOGO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695" cy="76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14B1" w:rsidTr="00727D09">
      <w:trPr>
        <w:trHeight w:val="430"/>
      </w:trPr>
      <w:tc>
        <w:tcPr>
          <w:tcW w:w="141" w:type="dxa"/>
          <w:shd w:val="clear" w:color="auto" w:fill="414646" w:themeFill="text2"/>
        </w:tcPr>
        <w:p w:rsidR="00D414B1" w:rsidRPr="00125234" w:rsidRDefault="00D414B1" w:rsidP="0036443D">
          <w:pPr>
            <w:pStyle w:val="Header"/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</w:pPr>
        </w:p>
      </w:tc>
      <w:tc>
        <w:tcPr>
          <w:tcW w:w="993" w:type="dxa"/>
        </w:tcPr>
        <w:p w:rsidR="00D414B1" w:rsidRPr="00125234" w:rsidRDefault="00D414B1" w:rsidP="0036443D">
          <w:pPr>
            <w:pStyle w:val="Header"/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</w:pPr>
        </w:p>
      </w:tc>
      <w:tc>
        <w:tcPr>
          <w:tcW w:w="3402" w:type="dxa"/>
          <w:tcBorders>
            <w:bottom w:val="single" w:sz="4" w:space="0" w:color="00AEEF" w:themeColor="background2"/>
          </w:tcBorders>
          <w:vAlign w:val="center"/>
        </w:tcPr>
        <w:p w:rsidR="00D414B1" w:rsidRPr="00125234" w:rsidRDefault="00D414B1" w:rsidP="00CC69FC">
          <w:pPr>
            <w:pStyle w:val="Header"/>
            <w:spacing w:after="60"/>
            <w:rPr>
              <w:color w:val="00AEEF" w:themeColor="background2"/>
            </w:rPr>
          </w:pPr>
          <w:r w:rsidRPr="00125234"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  <w:t>Wetland Systems for</w:t>
          </w:r>
          <w:r w:rsidR="00727D09"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  <w:br/>
          </w:r>
          <w:r w:rsidRPr="00125234"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  <w:t>Water</w:t>
          </w:r>
          <w:r w:rsidR="00727D09"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  <w:t xml:space="preserve"> </w:t>
          </w:r>
          <w:r w:rsidRPr="00125234"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  <w:t>Pollution</w:t>
          </w:r>
          <w:r w:rsidR="00727D09"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  <w:t xml:space="preserve"> </w:t>
          </w:r>
          <w:r w:rsidRPr="00125234">
            <w:rPr>
              <w:rFonts w:ascii="Arial Narrow" w:hAnsi="Arial Narrow"/>
              <w:b/>
              <w:bCs/>
              <w:color w:val="00AEEF" w:themeColor="background2"/>
              <w:sz w:val="36"/>
              <w:szCs w:val="36"/>
            </w:rPr>
            <w:t>Control</w:t>
          </w:r>
        </w:p>
      </w:tc>
      <w:tc>
        <w:tcPr>
          <w:tcW w:w="4253" w:type="dxa"/>
          <w:vMerge/>
        </w:tcPr>
        <w:p w:rsidR="00D414B1" w:rsidRDefault="00D414B1" w:rsidP="00E57F5B">
          <w:pPr>
            <w:pStyle w:val="Header"/>
            <w:jc w:val="right"/>
            <w:rPr>
              <w:noProof/>
              <w:lang w:bidi="my-MM"/>
            </w:rPr>
          </w:pPr>
        </w:p>
      </w:tc>
      <w:tc>
        <w:tcPr>
          <w:tcW w:w="2268" w:type="dxa"/>
          <w:vMerge/>
        </w:tcPr>
        <w:p w:rsidR="00D414B1" w:rsidRDefault="00D414B1" w:rsidP="005644A2">
          <w:pPr>
            <w:pStyle w:val="Header"/>
            <w:jc w:val="right"/>
            <w:rPr>
              <w:noProof/>
              <w:lang w:bidi="my-MM"/>
            </w:rPr>
          </w:pPr>
        </w:p>
      </w:tc>
    </w:tr>
    <w:tr w:rsidR="00D414B1" w:rsidTr="00AF3930">
      <w:tc>
        <w:tcPr>
          <w:tcW w:w="141" w:type="dxa"/>
          <w:shd w:val="clear" w:color="auto" w:fill="auto"/>
        </w:tcPr>
        <w:p w:rsidR="00D414B1" w:rsidRPr="00125234" w:rsidRDefault="00D414B1" w:rsidP="00125234">
          <w:pPr>
            <w:pStyle w:val="Header"/>
            <w:rPr>
              <w:b/>
              <w:bCs/>
              <w:color w:val="414646" w:themeColor="text2"/>
              <w:sz w:val="16"/>
              <w:szCs w:val="16"/>
            </w:rPr>
          </w:pPr>
        </w:p>
      </w:tc>
      <w:tc>
        <w:tcPr>
          <w:tcW w:w="993" w:type="dxa"/>
        </w:tcPr>
        <w:p w:rsidR="00D414B1" w:rsidRPr="00125234" w:rsidRDefault="00D414B1" w:rsidP="00125234">
          <w:pPr>
            <w:pStyle w:val="Header"/>
            <w:rPr>
              <w:b/>
              <w:bCs/>
              <w:color w:val="414646" w:themeColor="text2"/>
              <w:sz w:val="16"/>
              <w:szCs w:val="16"/>
            </w:rPr>
          </w:pPr>
        </w:p>
      </w:tc>
      <w:tc>
        <w:tcPr>
          <w:tcW w:w="3402" w:type="dxa"/>
          <w:tcBorders>
            <w:top w:val="single" w:sz="4" w:space="0" w:color="00AEEF" w:themeColor="background2"/>
          </w:tcBorders>
          <w:vAlign w:val="bottom"/>
        </w:tcPr>
        <w:p w:rsidR="00D414B1" w:rsidRPr="00125234" w:rsidRDefault="00D414B1" w:rsidP="00727D09">
          <w:pPr>
            <w:pStyle w:val="Header"/>
            <w:rPr>
              <w:b/>
              <w:bCs/>
              <w:color w:val="414646" w:themeColor="text2"/>
            </w:rPr>
          </w:pPr>
          <w:r w:rsidRPr="00125234">
            <w:rPr>
              <w:b/>
              <w:bCs/>
              <w:color w:val="414646" w:themeColor="text2"/>
              <w:sz w:val="16"/>
              <w:szCs w:val="16"/>
            </w:rPr>
            <w:t>4–9 September 2016, ECS, Gdańsk, Poland</w:t>
          </w:r>
        </w:p>
      </w:tc>
      <w:tc>
        <w:tcPr>
          <w:tcW w:w="4253" w:type="dxa"/>
        </w:tcPr>
        <w:p w:rsidR="00D414B1" w:rsidRDefault="00D414B1">
          <w:pPr>
            <w:pStyle w:val="Header"/>
          </w:pPr>
        </w:p>
      </w:tc>
      <w:tc>
        <w:tcPr>
          <w:tcW w:w="2268" w:type="dxa"/>
        </w:tcPr>
        <w:p w:rsidR="00D414B1" w:rsidRDefault="00D414B1">
          <w:pPr>
            <w:pStyle w:val="Header"/>
          </w:pPr>
        </w:p>
      </w:tc>
    </w:tr>
  </w:tbl>
  <w:p w:rsidR="00207059" w:rsidRDefault="00207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17EB8"/>
    <w:multiLevelType w:val="hybridMultilevel"/>
    <w:tmpl w:val="598E1FD4"/>
    <w:lvl w:ilvl="0" w:tplc="8F60F0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C4C1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4E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EE7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88CB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E64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C1C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87D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5A0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DD"/>
    <w:rsid w:val="00003D75"/>
    <w:rsid w:val="00013563"/>
    <w:rsid w:val="00057EAD"/>
    <w:rsid w:val="000716A8"/>
    <w:rsid w:val="00077E68"/>
    <w:rsid w:val="000836B8"/>
    <w:rsid w:val="000A2A38"/>
    <w:rsid w:val="000A3DD3"/>
    <w:rsid w:val="000B09FF"/>
    <w:rsid w:val="000B5936"/>
    <w:rsid w:val="000B62BE"/>
    <w:rsid w:val="000C1728"/>
    <w:rsid w:val="001111BD"/>
    <w:rsid w:val="00125234"/>
    <w:rsid w:val="0012535C"/>
    <w:rsid w:val="00145751"/>
    <w:rsid w:val="001461B5"/>
    <w:rsid w:val="00150503"/>
    <w:rsid w:val="001632CA"/>
    <w:rsid w:val="001C15D2"/>
    <w:rsid w:val="002049EA"/>
    <w:rsid w:val="00207059"/>
    <w:rsid w:val="002158F0"/>
    <w:rsid w:val="00234CBA"/>
    <w:rsid w:val="002845C8"/>
    <w:rsid w:val="002A2536"/>
    <w:rsid w:val="002A5A6E"/>
    <w:rsid w:val="002A604B"/>
    <w:rsid w:val="002B3E10"/>
    <w:rsid w:val="002B7E22"/>
    <w:rsid w:val="002E17D8"/>
    <w:rsid w:val="002E784A"/>
    <w:rsid w:val="003233C4"/>
    <w:rsid w:val="00343E51"/>
    <w:rsid w:val="0036443D"/>
    <w:rsid w:val="003724A4"/>
    <w:rsid w:val="00390051"/>
    <w:rsid w:val="00396E69"/>
    <w:rsid w:val="003A1EEB"/>
    <w:rsid w:val="003D5026"/>
    <w:rsid w:val="00415A0F"/>
    <w:rsid w:val="00432D4D"/>
    <w:rsid w:val="004B3AE5"/>
    <w:rsid w:val="004D388A"/>
    <w:rsid w:val="004F2673"/>
    <w:rsid w:val="004F48C1"/>
    <w:rsid w:val="005002AC"/>
    <w:rsid w:val="00506EFD"/>
    <w:rsid w:val="00530986"/>
    <w:rsid w:val="0054188D"/>
    <w:rsid w:val="00563766"/>
    <w:rsid w:val="00563B89"/>
    <w:rsid w:val="005644A2"/>
    <w:rsid w:val="005700B4"/>
    <w:rsid w:val="00570D5D"/>
    <w:rsid w:val="0057309B"/>
    <w:rsid w:val="00592DE8"/>
    <w:rsid w:val="005C7621"/>
    <w:rsid w:val="005E6633"/>
    <w:rsid w:val="0066204E"/>
    <w:rsid w:val="00666EF3"/>
    <w:rsid w:val="00673037"/>
    <w:rsid w:val="006A11A4"/>
    <w:rsid w:val="006A22C7"/>
    <w:rsid w:val="006B7B80"/>
    <w:rsid w:val="006C6D65"/>
    <w:rsid w:val="006D2982"/>
    <w:rsid w:val="006D6F6D"/>
    <w:rsid w:val="006E3915"/>
    <w:rsid w:val="007168E1"/>
    <w:rsid w:val="00727D09"/>
    <w:rsid w:val="007406B1"/>
    <w:rsid w:val="00750C08"/>
    <w:rsid w:val="00754D5D"/>
    <w:rsid w:val="00765F9D"/>
    <w:rsid w:val="007842D1"/>
    <w:rsid w:val="007A4A22"/>
    <w:rsid w:val="007B40A9"/>
    <w:rsid w:val="007B435A"/>
    <w:rsid w:val="007B5709"/>
    <w:rsid w:val="007B6751"/>
    <w:rsid w:val="008451DA"/>
    <w:rsid w:val="00873543"/>
    <w:rsid w:val="00893DDA"/>
    <w:rsid w:val="008A7D34"/>
    <w:rsid w:val="008B0024"/>
    <w:rsid w:val="008C3976"/>
    <w:rsid w:val="008C5BC7"/>
    <w:rsid w:val="008D0F20"/>
    <w:rsid w:val="008F5AE2"/>
    <w:rsid w:val="009032AC"/>
    <w:rsid w:val="00934987"/>
    <w:rsid w:val="009A438B"/>
    <w:rsid w:val="009C5C3F"/>
    <w:rsid w:val="009D0355"/>
    <w:rsid w:val="009D5B6F"/>
    <w:rsid w:val="00A00A39"/>
    <w:rsid w:val="00A14F39"/>
    <w:rsid w:val="00A20162"/>
    <w:rsid w:val="00A20322"/>
    <w:rsid w:val="00A234D6"/>
    <w:rsid w:val="00A25B3A"/>
    <w:rsid w:val="00A443F9"/>
    <w:rsid w:val="00A472DF"/>
    <w:rsid w:val="00A87B00"/>
    <w:rsid w:val="00A9779D"/>
    <w:rsid w:val="00AA757E"/>
    <w:rsid w:val="00AC5EDD"/>
    <w:rsid w:val="00AE2B31"/>
    <w:rsid w:val="00AF3930"/>
    <w:rsid w:val="00AF6D2B"/>
    <w:rsid w:val="00B32C97"/>
    <w:rsid w:val="00B60081"/>
    <w:rsid w:val="00BA6830"/>
    <w:rsid w:val="00BE20A3"/>
    <w:rsid w:val="00BE67D9"/>
    <w:rsid w:val="00C3615B"/>
    <w:rsid w:val="00C43959"/>
    <w:rsid w:val="00C65280"/>
    <w:rsid w:val="00CA08E8"/>
    <w:rsid w:val="00CC69FC"/>
    <w:rsid w:val="00CE276A"/>
    <w:rsid w:val="00D077E5"/>
    <w:rsid w:val="00D414B1"/>
    <w:rsid w:val="00D448C4"/>
    <w:rsid w:val="00D50C02"/>
    <w:rsid w:val="00D61504"/>
    <w:rsid w:val="00D666A2"/>
    <w:rsid w:val="00D721F4"/>
    <w:rsid w:val="00D86279"/>
    <w:rsid w:val="00D96F45"/>
    <w:rsid w:val="00DA1EB5"/>
    <w:rsid w:val="00DA4510"/>
    <w:rsid w:val="00DC6BB8"/>
    <w:rsid w:val="00DD2F49"/>
    <w:rsid w:val="00E35A12"/>
    <w:rsid w:val="00E465AA"/>
    <w:rsid w:val="00E57F5B"/>
    <w:rsid w:val="00E9049D"/>
    <w:rsid w:val="00E909C4"/>
    <w:rsid w:val="00EF350A"/>
    <w:rsid w:val="00F065DA"/>
    <w:rsid w:val="00F3737D"/>
    <w:rsid w:val="00FA63B1"/>
    <w:rsid w:val="00FB266E"/>
    <w:rsid w:val="00FB2B71"/>
    <w:rsid w:val="00FD11FF"/>
    <w:rsid w:val="00FD457B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4B2C2"/>
  <w15:docId w15:val="{06A8DF16-EC2F-4BD3-86A6-C749F99B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zh-CN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751"/>
  </w:style>
  <w:style w:type="paragraph" w:styleId="Heading1">
    <w:name w:val="heading 1"/>
    <w:basedOn w:val="Normal"/>
    <w:next w:val="Normal"/>
    <w:link w:val="Heading1Char"/>
    <w:uiPriority w:val="9"/>
    <w:qFormat/>
    <w:rsid w:val="00F373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8F5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C02"/>
    <w:pPr>
      <w:spacing w:after="0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cantSplit/>
    </w:trPr>
  </w:style>
  <w:style w:type="paragraph" w:styleId="Header">
    <w:name w:val="header"/>
    <w:basedOn w:val="Normal"/>
    <w:link w:val="HeaderChar"/>
    <w:uiPriority w:val="99"/>
    <w:unhideWhenUsed/>
    <w:rsid w:val="0020705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059"/>
  </w:style>
  <w:style w:type="paragraph" w:styleId="Footer">
    <w:name w:val="footer"/>
    <w:basedOn w:val="Normal"/>
    <w:link w:val="FooterChar"/>
    <w:uiPriority w:val="99"/>
    <w:unhideWhenUsed/>
    <w:rsid w:val="0020705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059"/>
  </w:style>
  <w:style w:type="paragraph" w:styleId="BalloonText">
    <w:name w:val="Balloon Text"/>
    <w:basedOn w:val="Normal"/>
    <w:link w:val="BalloonTextChar"/>
    <w:uiPriority w:val="99"/>
    <w:semiHidden/>
    <w:unhideWhenUsed/>
    <w:rsid w:val="005644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4A2"/>
    <w:rPr>
      <w:rFonts w:ascii="Tahoma" w:hAnsi="Tahoma" w:cs="Tahoma"/>
      <w:sz w:val="16"/>
      <w:szCs w:val="16"/>
    </w:rPr>
  </w:style>
  <w:style w:type="paragraph" w:customStyle="1" w:styleId="IWAAuthoraddress">
    <w:name w:val="(IWA) Author address"/>
    <w:basedOn w:val="Normal"/>
    <w:next w:val="IWAKeyword"/>
    <w:rsid w:val="00F3737D"/>
    <w:pPr>
      <w:suppressLineNumbers/>
      <w:suppressAutoHyphens/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eastAsia="Times New Roman" w:hAnsi="Arial" w:cs="Arial"/>
      <w:sz w:val="18"/>
      <w:szCs w:val="18"/>
      <w:lang w:val="en-GB" w:eastAsia="en-US"/>
    </w:rPr>
  </w:style>
  <w:style w:type="paragraph" w:customStyle="1" w:styleId="IWAKeyword">
    <w:name w:val="(IWA) Keyword"/>
    <w:basedOn w:val="Normal"/>
    <w:next w:val="Heading1"/>
    <w:link w:val="IWAKeywordZchn"/>
    <w:rsid w:val="00F3737D"/>
    <w:pPr>
      <w:suppressLineNumbers/>
      <w:suppressAutoHyphens/>
      <w:overflowPunct w:val="0"/>
      <w:autoSpaceDE w:val="0"/>
      <w:autoSpaceDN w:val="0"/>
      <w:adjustRightInd w:val="0"/>
      <w:spacing w:before="360" w:after="120" w:line="220" w:lineRule="atLeast"/>
      <w:textAlignment w:val="baseline"/>
    </w:pPr>
    <w:rPr>
      <w:rFonts w:ascii="Arial" w:eastAsia="Times New Roman" w:hAnsi="Arial" w:cs="Arial"/>
      <w:sz w:val="18"/>
      <w:szCs w:val="18"/>
      <w:lang w:val="en-GB" w:eastAsia="en-US"/>
    </w:rPr>
  </w:style>
  <w:style w:type="character" w:customStyle="1" w:styleId="IWAKeywordZchn">
    <w:name w:val="(IWA) Keyword Zchn"/>
    <w:link w:val="IWAKeyword"/>
    <w:rsid w:val="00F3737D"/>
    <w:rPr>
      <w:rFonts w:ascii="Arial" w:eastAsia="Times New Roman" w:hAnsi="Arial" w:cs="Arial"/>
      <w:sz w:val="18"/>
      <w:szCs w:val="18"/>
      <w:lang w:val="en-GB" w:eastAsia="en-US"/>
    </w:rPr>
  </w:style>
  <w:style w:type="paragraph" w:customStyle="1" w:styleId="IWAAuthornames">
    <w:name w:val="(IWA) Author name(s)"/>
    <w:basedOn w:val="Normal"/>
    <w:next w:val="IWAKeyword"/>
    <w:rsid w:val="00F3737D"/>
    <w:pPr>
      <w:suppressLineNumbers/>
      <w:suppressAutoHyphens/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rFonts w:ascii="Arial" w:eastAsia="Times New Roman" w:hAnsi="Arial" w:cs="Arial"/>
      <w:b/>
      <w:sz w:val="20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3737D"/>
    <w:rPr>
      <w:rFonts w:asciiTheme="majorHAnsi" w:eastAsiaTheme="majorEastAsia" w:hAnsiTheme="majorHAnsi" w:cstheme="majorBidi"/>
      <w:color w:val="378F5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B59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IWAFirstparagraph">
    <w:name w:val="(IWA) First paragraph"/>
    <w:basedOn w:val="Normal"/>
    <w:next w:val="Normal"/>
    <w:rsid w:val="00FB2B71"/>
    <w:pPr>
      <w:suppressLineNumbers/>
      <w:overflowPunct w:val="0"/>
      <w:autoSpaceDE w:val="0"/>
      <w:autoSpaceDN w:val="0"/>
      <w:adjustRightInd w:val="0"/>
      <w:spacing w:after="120" w:line="240" w:lineRule="atLeast"/>
      <w:jc w:val="both"/>
      <w:textAlignment w:val="baseline"/>
    </w:pPr>
    <w:rPr>
      <w:rFonts w:ascii="Arial" w:eastAsia="Times New Roman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22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69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13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43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60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01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381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IWA ICWS2016">
      <a:dk1>
        <a:sysClr val="windowText" lastClr="000000"/>
      </a:dk1>
      <a:lt1>
        <a:sysClr val="window" lastClr="FFFFFF"/>
      </a:lt1>
      <a:dk2>
        <a:srgbClr val="414646"/>
      </a:dk2>
      <a:lt2>
        <a:srgbClr val="00AEEF"/>
      </a:lt2>
      <a:accent1>
        <a:srgbClr val="4FBB74"/>
      </a:accent1>
      <a:accent2>
        <a:srgbClr val="14325A"/>
      </a:accent2>
      <a:accent3>
        <a:srgbClr val="9561A8"/>
      </a:accent3>
      <a:accent4>
        <a:srgbClr val="FFD478"/>
      </a:accent4>
      <a:accent5>
        <a:srgbClr val="4FBB74"/>
      </a:accent5>
      <a:accent6>
        <a:srgbClr val="FFEEBB"/>
      </a:accent6>
      <a:hlink>
        <a:srgbClr val="9561A8"/>
      </a:hlink>
      <a:folHlink>
        <a:srgbClr val="4FBB74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F4757-6A14-48A0-857C-BAE4C84C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Silvia VENDITTI</cp:lastModifiedBy>
  <cp:revision>2</cp:revision>
  <dcterms:created xsi:type="dcterms:W3CDTF">2018-02-22T22:09:00Z</dcterms:created>
  <dcterms:modified xsi:type="dcterms:W3CDTF">2018-02-22T22:09:00Z</dcterms:modified>
</cp:coreProperties>
</file>