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ECE1F" w14:textId="42A8AC85" w:rsidR="00CE2AF6" w:rsidRPr="00CE2AF6" w:rsidRDefault="00CE2AF6" w:rsidP="00CE2AF6">
      <w:pPr>
        <w:pStyle w:val="TITRE"/>
        <w:rPr>
          <w:lang w:val="fr-FR"/>
        </w:rPr>
      </w:pPr>
      <w:r w:rsidRPr="00CE2AF6">
        <w:rPr>
          <w:lang w:val="fr-FR"/>
        </w:rPr>
        <w:t xml:space="preserve">Mathématiques et Langage : Le </w:t>
      </w:r>
      <w:r w:rsidR="006E7BDC">
        <w:rPr>
          <w:lang w:val="fr-FR"/>
        </w:rPr>
        <w:t>cas des classes multilingues, UN</w:t>
      </w:r>
      <w:r w:rsidRPr="00CE2AF6">
        <w:rPr>
          <w:lang w:val="fr-FR"/>
        </w:rPr>
        <w:t xml:space="preserve"> </w:t>
      </w:r>
      <w:r w:rsidR="006E7BDC">
        <w:rPr>
          <w:lang w:val="fr-FR"/>
        </w:rPr>
        <w:t>défi POUR l’enseignement</w:t>
      </w:r>
      <w:r w:rsidRPr="00CE2AF6">
        <w:rPr>
          <w:lang w:val="fr-FR"/>
        </w:rPr>
        <w:t xml:space="preserve"> luxembourgeois</w:t>
      </w:r>
    </w:p>
    <w:p w14:paraId="31D7EB00" w14:textId="77777777" w:rsidR="00000E15" w:rsidRDefault="00CE2AF6" w:rsidP="002F3D24">
      <w:pPr>
        <w:pStyle w:val="Auteur"/>
        <w:rPr>
          <w:lang w:val="fr-FR"/>
        </w:rPr>
      </w:pPr>
      <w:r>
        <w:rPr>
          <w:lang w:val="fr-FR"/>
        </w:rPr>
        <w:t>VLASSIS</w:t>
      </w:r>
      <w:r w:rsidR="00000E15" w:rsidRPr="001200B0">
        <w:rPr>
          <w:rStyle w:val="Appelnotedebasdep"/>
          <w:lang w:val="fr-FR"/>
        </w:rPr>
        <w:footnoteReference w:customMarkFollows="1" w:id="1"/>
        <w:t>*</w:t>
      </w:r>
      <w:r w:rsidR="00000E15" w:rsidRPr="001200B0">
        <w:rPr>
          <w:lang w:val="fr-FR"/>
        </w:rPr>
        <w:t xml:space="preserve"> </w:t>
      </w:r>
      <w:r>
        <w:rPr>
          <w:lang w:val="fr-FR"/>
        </w:rPr>
        <w:t>Joëlle</w:t>
      </w:r>
      <w:r w:rsidR="00000E15" w:rsidRPr="001200B0">
        <w:rPr>
          <w:lang w:val="fr-FR"/>
        </w:rPr>
        <w:t xml:space="preserve"> </w:t>
      </w:r>
    </w:p>
    <w:p w14:paraId="35317781" w14:textId="44A95554" w:rsidR="00000E15" w:rsidRDefault="00000E15" w:rsidP="00BE5DF2">
      <w:pPr>
        <w:pStyle w:val="Resume"/>
        <w:rPr>
          <w:lang w:val="fr-FR"/>
        </w:rPr>
      </w:pPr>
      <w:r>
        <w:rPr>
          <w:b/>
          <w:lang w:val="fr-FR"/>
        </w:rPr>
        <w:t>Résumé –</w:t>
      </w:r>
      <w:r w:rsidR="00B476B4">
        <w:rPr>
          <w:lang w:val="fr-FR"/>
        </w:rPr>
        <w:t xml:space="preserve"> </w:t>
      </w:r>
      <w:r w:rsidR="000369FF">
        <w:rPr>
          <w:lang w:val="fr-FR"/>
        </w:rPr>
        <w:t xml:space="preserve">Cet article propose une réflexion théorique sur les défis des enseignants luxembourgeois de mathématiques confrontés à des classes multilingues. En éducation mathématique, de nombreux chercheurs soulignent le </w:t>
      </w:r>
      <w:r w:rsidR="008C4E6C">
        <w:rPr>
          <w:lang w:val="fr-FR"/>
        </w:rPr>
        <w:t xml:space="preserve">rôle </w:t>
      </w:r>
      <w:r w:rsidR="000369FF">
        <w:rPr>
          <w:lang w:val="fr-FR"/>
        </w:rPr>
        <w:t xml:space="preserve">crucial </w:t>
      </w:r>
      <w:r w:rsidR="008C4E6C">
        <w:rPr>
          <w:lang w:val="fr-FR"/>
        </w:rPr>
        <w:t xml:space="preserve">du langage </w:t>
      </w:r>
      <w:r w:rsidR="000369FF">
        <w:rPr>
          <w:lang w:val="fr-FR"/>
        </w:rPr>
        <w:t>dans les apprentissages. Ce principe rend complexe</w:t>
      </w:r>
      <w:r w:rsidR="008C4E6C">
        <w:rPr>
          <w:lang w:val="fr-FR"/>
        </w:rPr>
        <w:t xml:space="preserve"> </w:t>
      </w:r>
      <w:r w:rsidR="000369FF">
        <w:rPr>
          <w:lang w:val="fr-FR"/>
        </w:rPr>
        <w:t xml:space="preserve">leur enseignement dans les classes multilingues où il s’agit de viser à la fois des objectifs de langue et de contenu. </w:t>
      </w:r>
      <w:r w:rsidR="008C4E6C">
        <w:rPr>
          <w:lang w:val="fr-FR"/>
        </w:rPr>
        <w:t xml:space="preserve">Le </w:t>
      </w:r>
      <w:proofErr w:type="spellStart"/>
      <w:r w:rsidR="008C4E6C">
        <w:rPr>
          <w:lang w:val="fr-FR"/>
        </w:rPr>
        <w:t>translanguaging</w:t>
      </w:r>
      <w:proofErr w:type="spellEnd"/>
      <w:r w:rsidR="008C4E6C">
        <w:rPr>
          <w:lang w:val="fr-FR"/>
        </w:rPr>
        <w:t xml:space="preserve"> semble constituer un paradigme prometteur pour cadrer des pra</w:t>
      </w:r>
      <w:r w:rsidR="000369FF">
        <w:rPr>
          <w:lang w:val="fr-FR"/>
        </w:rPr>
        <w:t>tiques d’enseignement adaptée</w:t>
      </w:r>
      <w:r w:rsidR="003870AE">
        <w:rPr>
          <w:lang w:val="fr-FR"/>
        </w:rPr>
        <w:t>s</w:t>
      </w:r>
      <w:r w:rsidR="000369FF">
        <w:rPr>
          <w:lang w:val="fr-FR"/>
        </w:rPr>
        <w:t xml:space="preserve"> à ces contextes</w:t>
      </w:r>
      <w:r w:rsidR="008C4E6C">
        <w:rPr>
          <w:lang w:val="fr-FR"/>
        </w:rPr>
        <w:t>.</w:t>
      </w:r>
      <w:r w:rsidR="0068363B">
        <w:rPr>
          <w:lang w:val="fr-FR"/>
        </w:rPr>
        <w:t xml:space="preserve"> </w:t>
      </w:r>
    </w:p>
    <w:p w14:paraId="45C26B0D" w14:textId="3D65A8F0" w:rsidR="00000E15" w:rsidRPr="00C2756F" w:rsidRDefault="00000E15" w:rsidP="00000E15">
      <w:pPr>
        <w:pStyle w:val="Resume"/>
      </w:pPr>
      <w:r w:rsidRPr="00C2756F">
        <w:rPr>
          <w:b/>
        </w:rPr>
        <w:t>Mots-clefs </w:t>
      </w:r>
      <w:r>
        <w:t xml:space="preserve">: </w:t>
      </w:r>
      <w:r w:rsidR="00892B1D">
        <w:rPr>
          <w:lang w:val="fr-FR"/>
        </w:rPr>
        <w:t xml:space="preserve">Content and </w:t>
      </w:r>
      <w:proofErr w:type="spellStart"/>
      <w:r w:rsidR="00892B1D">
        <w:rPr>
          <w:lang w:val="fr-FR"/>
        </w:rPr>
        <w:t>Language</w:t>
      </w:r>
      <w:proofErr w:type="spellEnd"/>
      <w:r w:rsidR="00892B1D">
        <w:rPr>
          <w:lang w:val="fr-FR"/>
        </w:rPr>
        <w:t xml:space="preserve"> Integrated Lear</w:t>
      </w:r>
      <w:r w:rsidR="000369FF">
        <w:rPr>
          <w:lang w:val="fr-FR"/>
        </w:rPr>
        <w:t>ning, L</w:t>
      </w:r>
      <w:r w:rsidR="00892B1D">
        <w:rPr>
          <w:lang w:val="fr-FR"/>
        </w:rPr>
        <w:t xml:space="preserve">angage, </w:t>
      </w:r>
      <w:r w:rsidR="000369FF">
        <w:rPr>
          <w:lang w:val="fr-FR"/>
        </w:rPr>
        <w:t>Mathématiques, C</w:t>
      </w:r>
      <w:r w:rsidR="0068363B">
        <w:rPr>
          <w:lang w:val="fr-FR"/>
        </w:rPr>
        <w:t>lasses multilingues</w:t>
      </w:r>
      <w:r w:rsidR="00892B1D">
        <w:rPr>
          <w:lang w:val="fr-FR"/>
        </w:rPr>
        <w:t xml:space="preserve">, </w:t>
      </w:r>
      <w:proofErr w:type="spellStart"/>
      <w:r w:rsidR="00892B1D">
        <w:rPr>
          <w:lang w:val="fr-FR"/>
        </w:rPr>
        <w:t>Translanguaging</w:t>
      </w:r>
      <w:proofErr w:type="spellEnd"/>
    </w:p>
    <w:p w14:paraId="6C30BAC8" w14:textId="4B97A76E" w:rsidR="002A3ACA" w:rsidRPr="002A3ACA" w:rsidRDefault="00000E15" w:rsidP="002A3ACA">
      <w:pPr>
        <w:pStyle w:val="Resume"/>
        <w:rPr>
          <w:lang w:val="fr-FR"/>
        </w:rPr>
      </w:pPr>
      <w:r>
        <w:rPr>
          <w:b/>
          <w:lang w:val="fr-FR"/>
        </w:rPr>
        <w:t>Abstract</w:t>
      </w:r>
      <w:r>
        <w:rPr>
          <w:lang w:val="fr-FR"/>
        </w:rPr>
        <w:t xml:space="preserve"> –</w:t>
      </w:r>
      <w:r w:rsidR="002A3ACA">
        <w:rPr>
          <w:lang w:val="fr-FR"/>
        </w:rPr>
        <w:t xml:space="preserve"> </w:t>
      </w:r>
      <w:r w:rsidR="002A3ACA" w:rsidRPr="002A3ACA">
        <w:rPr>
          <w:lang w:val="fr-FR"/>
        </w:rPr>
        <w:t xml:space="preserve">This article proposes a theoretical reflection on the challenges of Luxembourgish teachers of mathematics confronted with multilingual classes. In mathematics education, many researchers point to the crucial role of language in learning. This principle makes their teaching complex in multilingual classes, where the aim is to target both language and content objectives. </w:t>
      </w:r>
      <w:proofErr w:type="spellStart"/>
      <w:r w:rsidR="002A3ACA" w:rsidRPr="002A3ACA">
        <w:rPr>
          <w:lang w:val="fr-FR"/>
        </w:rPr>
        <w:t>Translanguaging</w:t>
      </w:r>
      <w:proofErr w:type="spellEnd"/>
      <w:r w:rsidR="002A3ACA" w:rsidRPr="002A3ACA">
        <w:rPr>
          <w:lang w:val="fr-FR"/>
        </w:rPr>
        <w:t xml:space="preserve"> </w:t>
      </w:r>
      <w:proofErr w:type="spellStart"/>
      <w:r w:rsidR="002A3ACA" w:rsidRPr="002A3ACA">
        <w:rPr>
          <w:lang w:val="fr-FR"/>
        </w:rPr>
        <w:t>appears</w:t>
      </w:r>
      <w:proofErr w:type="spellEnd"/>
      <w:r w:rsidR="002A3ACA" w:rsidRPr="002A3ACA">
        <w:rPr>
          <w:lang w:val="fr-FR"/>
        </w:rPr>
        <w:t xml:space="preserve"> to </w:t>
      </w:r>
      <w:proofErr w:type="spellStart"/>
      <w:r w:rsidR="002A3ACA" w:rsidRPr="002A3ACA">
        <w:rPr>
          <w:lang w:val="fr-FR"/>
        </w:rPr>
        <w:t>be</w:t>
      </w:r>
      <w:proofErr w:type="spellEnd"/>
      <w:r w:rsidR="002A3ACA" w:rsidRPr="002A3ACA">
        <w:rPr>
          <w:lang w:val="fr-FR"/>
        </w:rPr>
        <w:t xml:space="preserve"> a promising paradigm for framing teaching practices adapted to these contexts.</w:t>
      </w:r>
    </w:p>
    <w:p w14:paraId="5B80B4F6" w14:textId="000EC759" w:rsidR="00CE2AF6" w:rsidRDefault="00000E15" w:rsidP="0068363B">
      <w:pPr>
        <w:pStyle w:val="Resume"/>
        <w:rPr>
          <w:lang w:val="fr-FR"/>
        </w:rPr>
      </w:pPr>
      <w:r w:rsidRPr="001200B0">
        <w:rPr>
          <w:b/>
        </w:rPr>
        <w:t>K</w:t>
      </w:r>
      <w:r>
        <w:rPr>
          <w:b/>
        </w:rPr>
        <w:t>ey</w:t>
      </w:r>
      <w:r w:rsidRPr="001200B0">
        <w:rPr>
          <w:b/>
        </w:rPr>
        <w:t>words</w:t>
      </w:r>
      <w:r>
        <w:t>:</w:t>
      </w:r>
      <w:r w:rsidRPr="001200B0">
        <w:rPr>
          <w:lang w:val="fr-FR"/>
        </w:rPr>
        <w:t xml:space="preserve"> </w:t>
      </w:r>
      <w:r w:rsidR="0068363B">
        <w:rPr>
          <w:lang w:val="fr-FR"/>
        </w:rPr>
        <w:t xml:space="preserve">Content and </w:t>
      </w:r>
      <w:proofErr w:type="spellStart"/>
      <w:r w:rsidR="0068363B">
        <w:rPr>
          <w:lang w:val="fr-FR"/>
        </w:rPr>
        <w:t>Language</w:t>
      </w:r>
      <w:proofErr w:type="spellEnd"/>
      <w:r w:rsidR="0068363B">
        <w:rPr>
          <w:lang w:val="fr-FR"/>
        </w:rPr>
        <w:t xml:space="preserve"> Integrated Learning, </w:t>
      </w:r>
      <w:proofErr w:type="spellStart"/>
      <w:r w:rsidR="0068363B">
        <w:rPr>
          <w:lang w:val="fr-FR"/>
        </w:rPr>
        <w:t>Language</w:t>
      </w:r>
      <w:proofErr w:type="spellEnd"/>
      <w:r w:rsidR="0068363B">
        <w:rPr>
          <w:lang w:val="fr-FR"/>
        </w:rPr>
        <w:t xml:space="preserve">, </w:t>
      </w:r>
      <w:proofErr w:type="spellStart"/>
      <w:r w:rsidR="000369FF">
        <w:rPr>
          <w:lang w:val="fr-FR"/>
        </w:rPr>
        <w:t>Mathematics</w:t>
      </w:r>
      <w:proofErr w:type="spellEnd"/>
      <w:r w:rsidR="000369FF">
        <w:rPr>
          <w:lang w:val="fr-FR"/>
        </w:rPr>
        <w:t xml:space="preserve">, </w:t>
      </w:r>
      <w:proofErr w:type="spellStart"/>
      <w:r w:rsidR="0068363B">
        <w:rPr>
          <w:lang w:val="fr-FR"/>
        </w:rPr>
        <w:t>Multlingual</w:t>
      </w:r>
      <w:proofErr w:type="spellEnd"/>
      <w:r w:rsidR="0068363B">
        <w:rPr>
          <w:lang w:val="fr-FR"/>
        </w:rPr>
        <w:t xml:space="preserve"> </w:t>
      </w:r>
      <w:proofErr w:type="spellStart"/>
      <w:r w:rsidR="0068363B">
        <w:rPr>
          <w:lang w:val="fr-FR"/>
        </w:rPr>
        <w:t>classrooms</w:t>
      </w:r>
      <w:proofErr w:type="spellEnd"/>
      <w:r w:rsidR="0068363B">
        <w:rPr>
          <w:lang w:val="fr-FR"/>
        </w:rPr>
        <w:t xml:space="preserve">, </w:t>
      </w:r>
      <w:proofErr w:type="spellStart"/>
      <w:r w:rsidR="0068363B">
        <w:rPr>
          <w:lang w:val="fr-FR"/>
        </w:rPr>
        <w:t>Translanguaging</w:t>
      </w:r>
      <w:proofErr w:type="spellEnd"/>
      <w:r w:rsidR="0068363B">
        <w:rPr>
          <w:lang w:val="fr-FR"/>
        </w:rPr>
        <w:t xml:space="preserve">, </w:t>
      </w:r>
    </w:p>
    <w:p w14:paraId="23E4627E" w14:textId="12DC07F0" w:rsidR="006F57E9" w:rsidRPr="00CE2AF6" w:rsidRDefault="006F57E9" w:rsidP="006F57E9">
      <w:pPr>
        <w:pStyle w:val="Titre1"/>
      </w:pPr>
      <w:r>
        <w:t>introduction</w:t>
      </w:r>
    </w:p>
    <w:p w14:paraId="73AB1D9A" w14:textId="62450F63" w:rsidR="00CE2AF6" w:rsidRDefault="00CE2AF6" w:rsidP="00CE2AF6">
      <w:pPr>
        <w:spacing w:before="60" w:after="60"/>
      </w:pPr>
      <w:r>
        <w:t xml:space="preserve">Le Grand-Duché Luxembourg est le plus petit pays de l’Union Européenne. </w:t>
      </w:r>
      <w:r w:rsidR="00220836">
        <w:t>D’</w:t>
      </w:r>
      <w:r>
        <w:t>un point de vue géographique, il est situé entre la Belgiq</w:t>
      </w:r>
      <w:r w:rsidR="003870AE">
        <w:t>ue, la France et</w:t>
      </w:r>
      <w:r w:rsidR="000C460C">
        <w:t xml:space="preserve"> l’</w:t>
      </w:r>
      <w:r w:rsidR="00F2295E">
        <w:t>Allemagne. Il</w:t>
      </w:r>
      <w:r>
        <w:t xml:space="preserve"> est également historiquement, économiquement et culturellement connecté à ces pays, francophones d’une part, et germanophone d’autre part. Pour ces raisons</w:t>
      </w:r>
      <w:r w:rsidR="000C460C">
        <w:t xml:space="preserve"> notamment</w:t>
      </w:r>
      <w:r>
        <w:t xml:space="preserve">, </w:t>
      </w:r>
      <w:r w:rsidR="000C460C">
        <w:t>le pays compte</w:t>
      </w:r>
      <w:r>
        <w:t xml:space="preserve"> </w:t>
      </w:r>
      <w:r w:rsidR="00872B4D">
        <w:t>trois langues officielles : l</w:t>
      </w:r>
      <w:r w:rsidR="003870AE">
        <w:t>e luxembourgeois, l’allemand et le f</w:t>
      </w:r>
      <w:r>
        <w:t xml:space="preserve">rançais. Le pays </w:t>
      </w:r>
      <w:r w:rsidR="000C460C">
        <w:t xml:space="preserve">est </w:t>
      </w:r>
      <w:r>
        <w:t>donc trilingue. Cependant, Kirsch (2006) précise que</w:t>
      </w:r>
      <w:r w:rsidR="00872B4D">
        <w:t>,</w:t>
      </w:r>
      <w:r>
        <w:t xml:space="preserve"> tandis qu’en Belgique et en Suisse, le multilinguisme est « juxtaposé » (</w:t>
      </w:r>
      <w:r w:rsidR="00BF2ABA">
        <w:t xml:space="preserve">avec </w:t>
      </w:r>
      <w:r>
        <w:t>différente</w:t>
      </w:r>
      <w:r w:rsidR="00BF2ABA">
        <w:t>s communautés linguistiques viva</w:t>
      </w:r>
      <w:r>
        <w:t xml:space="preserve">nt les unes à côté des autres), le trilinguisme au Luxembourg est « superposé » c’est-à-dire que les mêmes personnes utilisent différentes langues en fonction des situations. Pour </w:t>
      </w:r>
      <w:r w:rsidR="00872B4D">
        <w:t>une majorité d’autochtones, le l</w:t>
      </w:r>
      <w:r>
        <w:t>uxembourgeois est la langue préférée et la mieux maitrisée</w:t>
      </w:r>
      <w:r w:rsidR="00F2295E">
        <w:t>,</w:t>
      </w:r>
      <w:r w:rsidR="00872B4D">
        <w:t xml:space="preserve"> suivie de l’a</w:t>
      </w:r>
      <w:r>
        <w:t xml:space="preserve">llemand. </w:t>
      </w:r>
    </w:p>
    <w:p w14:paraId="069B8DCB" w14:textId="15507305" w:rsidR="00CE2AF6" w:rsidRDefault="0079458E" w:rsidP="00CE2AF6">
      <w:pPr>
        <w:spacing w:before="60" w:after="60"/>
      </w:pPr>
      <w:r>
        <w:t xml:space="preserve">Le </w:t>
      </w:r>
      <w:r w:rsidR="00CE2AF6">
        <w:t>Grand-Duché du Luxembourg se caractérise également par une immigration important</w:t>
      </w:r>
      <w:r w:rsidR="006418CB">
        <w:t>e</w:t>
      </w:r>
      <w:r w:rsidR="00CE2AF6">
        <w:t xml:space="preserve"> et</w:t>
      </w:r>
      <w:r w:rsidR="00EF454B">
        <w:t xml:space="preserve"> présente une grande hétérogénéi</w:t>
      </w:r>
      <w:r w:rsidR="00CE2AF6">
        <w:t>té des nationalités et des cultures. Sa population est composée pour près de la moitié (47,7%) (STATEC, 2017) de résidents étrange</w:t>
      </w:r>
      <w:r w:rsidR="00F2295E">
        <w:t xml:space="preserve">rs en constante augmentation, </w:t>
      </w:r>
      <w:r w:rsidR="00CE2AF6">
        <w:t>don</w:t>
      </w:r>
      <w:r w:rsidR="00EF454B">
        <w:t xml:space="preserve">t les plus nombreux sont </w:t>
      </w:r>
      <w:r w:rsidR="003870AE">
        <w:t xml:space="preserve">les </w:t>
      </w:r>
      <w:r w:rsidR="00EF454B">
        <w:t>Portug</w:t>
      </w:r>
      <w:r w:rsidR="00CE2AF6">
        <w:t>ais (16,4% des étrangers) (STATEC, 2017).</w:t>
      </w:r>
      <w:r>
        <w:t xml:space="preserve"> Au trilinguisme national s’ajoute ainsi un multilinguisme de la population issue de l’immigration.</w:t>
      </w:r>
    </w:p>
    <w:p w14:paraId="189B4724" w14:textId="2DD95341" w:rsidR="00CE2AF6" w:rsidRDefault="00CE2AF6" w:rsidP="00CE2AF6">
      <w:pPr>
        <w:spacing w:before="60" w:after="60"/>
      </w:pPr>
      <w:r>
        <w:t>Cette situation se traduit dans les cla</w:t>
      </w:r>
      <w:r w:rsidR="002F66A0">
        <w:t>sses par un pourcentage d’élèves</w:t>
      </w:r>
      <w:r>
        <w:t xml:space="preserve"> qui ne parlent pas ou</w:t>
      </w:r>
      <w:r w:rsidR="0079458E">
        <w:t xml:space="preserve"> </w:t>
      </w:r>
      <w:r w:rsidR="003870AE">
        <w:t xml:space="preserve">qui parlent </w:t>
      </w:r>
      <w:r w:rsidR="0079458E">
        <w:t xml:space="preserve">mal les langues d’enseignement, </w:t>
      </w:r>
      <w:r>
        <w:t>à savoir l</w:t>
      </w:r>
      <w:r w:rsidR="003870AE">
        <w:t>e luxembourgeois ou l’a</w:t>
      </w:r>
      <w:r w:rsidR="002F66A0">
        <w:t xml:space="preserve">llemand dans l’enseignement </w:t>
      </w:r>
      <w:r w:rsidR="00EF454B">
        <w:t>fondamental (4</w:t>
      </w:r>
      <w:r>
        <w:t xml:space="preserve"> – 12 ans). Au secondaire, la situation linguistique se complexifie</w:t>
      </w:r>
      <w:r w:rsidR="002F66A0">
        <w:t xml:space="preserve"> encore</w:t>
      </w:r>
      <w:r w:rsidR="00EF454B">
        <w:t>, même pour l</w:t>
      </w:r>
      <w:r>
        <w:t>es Luxembourgeois</w:t>
      </w:r>
      <w:r w:rsidR="002F66A0">
        <w:t>,</w:t>
      </w:r>
      <w:r>
        <w:t xml:space="preserve"> dans la mesure où le cours de mathématiques qui se donnait au fondamental en allemand se donne désormais en français pour les filières classique et technique permettant d’accéder à l’enseignement supérieur. Au </w:t>
      </w:r>
      <w:r>
        <w:lastRenderedPageBreak/>
        <w:t xml:space="preserve">multilinguisme des classes s’ajoute donc </w:t>
      </w:r>
      <w:r w:rsidR="002F66A0">
        <w:t xml:space="preserve">au secondaire </w:t>
      </w:r>
      <w:r>
        <w:t>l’obstacle du français</w:t>
      </w:r>
      <w:r w:rsidR="002F66A0">
        <w:t xml:space="preserve">, langue souvent mal maîtrisée </w:t>
      </w:r>
      <w:r>
        <w:t xml:space="preserve"> </w:t>
      </w:r>
      <w:r w:rsidR="002F66A0">
        <w:t>par les autochtones.</w:t>
      </w:r>
    </w:p>
    <w:p w14:paraId="1804F1DE" w14:textId="4A593127" w:rsidR="00CE2AF6" w:rsidRDefault="00CE2AF6" w:rsidP="00CE2AF6">
      <w:pPr>
        <w:spacing w:before="60" w:after="60"/>
      </w:pPr>
      <w:r>
        <w:t>Or</w:t>
      </w:r>
      <w:r w:rsidR="00892503">
        <w:t>,</w:t>
      </w:r>
      <w:r>
        <w:t xml:space="preserve"> dans l’enseignement des mathématiques, les recherches récentes basées sur les approches socio-culturelles plaide</w:t>
      </w:r>
      <w:r w:rsidR="00481B7E">
        <w:t>nt</w:t>
      </w:r>
      <w:r>
        <w:t xml:space="preserve"> pour des pratiques de classes où la communica</w:t>
      </w:r>
      <w:r w:rsidR="005F03C0">
        <w:t>tion est prépondérante</w:t>
      </w:r>
      <w:r>
        <w:t xml:space="preserve"> </w:t>
      </w:r>
      <w:r w:rsidR="005F03C0">
        <w:t xml:space="preserve">et </w:t>
      </w:r>
      <w:r>
        <w:t xml:space="preserve">l’utilisation de la langue inhérente aux apprentissages mathématiques. Comment alors développer </w:t>
      </w:r>
      <w:r w:rsidR="00E50903">
        <w:t xml:space="preserve">de manière significative, </w:t>
      </w:r>
      <w:r>
        <w:t xml:space="preserve">les apprentissages mathématiques dans des classes où un </w:t>
      </w:r>
      <w:r w:rsidR="00E50903">
        <w:t>grand nombre d’élèves ne parle</w:t>
      </w:r>
      <w:r>
        <w:t xml:space="preserve"> pas couramment la langue d’ense</w:t>
      </w:r>
      <w:r w:rsidR="00E50903">
        <w:t>ignement ?</w:t>
      </w:r>
      <w:r>
        <w:t xml:space="preserve"> </w:t>
      </w:r>
    </w:p>
    <w:p w14:paraId="10BF978F" w14:textId="4D0C71DB" w:rsidR="00CE2AF6" w:rsidRDefault="00CE2AF6" w:rsidP="00CE2AF6">
      <w:pPr>
        <w:spacing w:before="60" w:after="60"/>
      </w:pPr>
      <w:r>
        <w:t xml:space="preserve">Dans cet article, nous proposons de développer une réflexion </w:t>
      </w:r>
      <w:r w:rsidR="00E50903">
        <w:t>théorique sur les défis des enseignants luxembourgeois de mathématiques confrontés aux classes multilingues</w:t>
      </w:r>
      <w:r>
        <w:t xml:space="preserve">. Nous </w:t>
      </w:r>
      <w:r w:rsidR="003870AE">
        <w:t xml:space="preserve">nous </w:t>
      </w:r>
      <w:r>
        <w:t>attacherons en particulier à la situation linguistique des classes de mathématiques du début du secondaire où la langue d’enseignemen</w:t>
      </w:r>
      <w:r w:rsidR="00BF149C">
        <w:t>t des mathématiques passe de l’allemand au f</w:t>
      </w:r>
      <w:r>
        <w:t xml:space="preserve">rançais. La première section présentera la situation linguistique de l’école luxembourgeoise ainsi que les problèmes rencontrés </w:t>
      </w:r>
      <w:r w:rsidR="00E50903">
        <w:t xml:space="preserve">par les élèves du secondaire dans l’utilisation du français en </w:t>
      </w:r>
      <w:r>
        <w:t xml:space="preserve">mathématiques. Dans la seconde, nous rappellerons l’importance de la langue dans les apprentissages mathématiques. </w:t>
      </w:r>
      <w:r w:rsidR="003870AE">
        <w:t>La troisième</w:t>
      </w:r>
      <w:r w:rsidR="00E50903">
        <w:t xml:space="preserve"> partie </w:t>
      </w:r>
      <w:r w:rsidR="00307C04">
        <w:t>présentera le ‘</w:t>
      </w:r>
      <w:proofErr w:type="spellStart"/>
      <w:r w:rsidR="00E50903">
        <w:t>translanguaging</w:t>
      </w:r>
      <w:proofErr w:type="spellEnd"/>
      <w:r w:rsidR="00307C04">
        <w:t>’</w:t>
      </w:r>
      <w:r w:rsidR="00E50903">
        <w:t xml:space="preserve">, </w:t>
      </w:r>
      <w:r w:rsidR="00307C04">
        <w:t xml:space="preserve">un </w:t>
      </w:r>
      <w:r w:rsidR="00E50903">
        <w:t xml:space="preserve">paradigme prometteur pour les approches pédagogiques </w:t>
      </w:r>
      <w:r w:rsidR="00307C04">
        <w:t>des</w:t>
      </w:r>
      <w:r w:rsidR="00E50903">
        <w:t>tinées aux classes de mathématiques multilingues</w:t>
      </w:r>
      <w:r w:rsidR="00307C04">
        <w:t>.</w:t>
      </w:r>
      <w:r w:rsidR="00E50903">
        <w:t xml:space="preserve"> </w:t>
      </w:r>
      <w:r>
        <w:t xml:space="preserve">Enfin, dans la </w:t>
      </w:r>
      <w:r w:rsidR="00307C04">
        <w:t>dernière</w:t>
      </w:r>
      <w:r>
        <w:t xml:space="preserve"> section, nous traiterons des pistes d’actions pratiques pour les enseignants et nous illustrerons notre propos par une </w:t>
      </w:r>
      <w:r w:rsidR="00E50903">
        <w:t xml:space="preserve">courte </w:t>
      </w:r>
      <w:r>
        <w:t>réflexion autour d’une activité dans le domaine de la généralisation.</w:t>
      </w:r>
    </w:p>
    <w:p w14:paraId="21260E7C" w14:textId="77777777" w:rsidR="00CE2AF6" w:rsidRPr="00CE2AF6" w:rsidRDefault="00CE2AF6" w:rsidP="00CE2AF6">
      <w:pPr>
        <w:pStyle w:val="Titre1"/>
      </w:pPr>
      <w:r>
        <w:t>Le multilinguisme a l’école</w:t>
      </w:r>
      <w:r w:rsidRPr="00CE2AF6">
        <w:t xml:space="preserve"> </w:t>
      </w:r>
      <w:r>
        <w:t>Luxembourgeoise</w:t>
      </w:r>
    </w:p>
    <w:p w14:paraId="4C06741A" w14:textId="77777777" w:rsidR="00CE2AF6" w:rsidRPr="00CE2AF6" w:rsidRDefault="00CE2AF6" w:rsidP="00CE2AF6">
      <w:pPr>
        <w:pStyle w:val="Titre2"/>
      </w:pPr>
      <w:r w:rsidRPr="00CE2AF6">
        <w:t>La situation linguistique dans les classes luxembourgeoises</w:t>
      </w:r>
    </w:p>
    <w:p w14:paraId="2EA0E71B" w14:textId="5730BD10" w:rsidR="00CE2AF6" w:rsidRDefault="00FE735D" w:rsidP="00CE2AF6">
      <w:pPr>
        <w:spacing w:before="60" w:after="60"/>
      </w:pPr>
      <w:r>
        <w:t xml:space="preserve">Dans ce contexte </w:t>
      </w:r>
      <w:r w:rsidR="001E6562">
        <w:t>de multi</w:t>
      </w:r>
      <w:r>
        <w:t>li</w:t>
      </w:r>
      <w:r w:rsidR="001E6562">
        <w:t>nguisme de la société et de l’</w:t>
      </w:r>
      <w:r>
        <w:t>école luxembourgeoise</w:t>
      </w:r>
      <w:r w:rsidR="00CE2AF6">
        <w:t xml:space="preserve">, l’enseignement des langues </w:t>
      </w:r>
      <w:r>
        <w:t xml:space="preserve">fait </w:t>
      </w:r>
      <w:r w:rsidR="00CE2AF6">
        <w:t>l’objet d’une grande attention de la part des responsables éducatifs. Au préscolaire, l</w:t>
      </w:r>
      <w:r w:rsidR="00BF149C">
        <w:t>a langue d’enseignement est le l</w:t>
      </w:r>
      <w:r w:rsidR="00CE2AF6">
        <w:t xml:space="preserve">uxembourgeois </w:t>
      </w:r>
      <w:r w:rsidR="00F2295E">
        <w:t xml:space="preserve">tandis que </w:t>
      </w:r>
      <w:r w:rsidR="00CE2AF6">
        <w:t xml:space="preserve">les élèves </w:t>
      </w:r>
      <w:r>
        <w:t>de 1</w:t>
      </w:r>
      <w:r w:rsidRPr="00FE735D">
        <w:rPr>
          <w:vertAlign w:val="superscript"/>
        </w:rPr>
        <w:t>ère</w:t>
      </w:r>
      <w:r>
        <w:t xml:space="preserve"> année primaire </w:t>
      </w:r>
      <w:r w:rsidR="003907CE">
        <w:t>sont alphabétisés en a</w:t>
      </w:r>
      <w:r w:rsidR="00CE2AF6">
        <w:t xml:space="preserve">llemand, qui n’est </w:t>
      </w:r>
      <w:r>
        <w:t>donc pas la langue maternelle de</w:t>
      </w:r>
      <w:r w:rsidR="00CE2AF6">
        <w:t>s autochtones, et dès le 2</w:t>
      </w:r>
      <w:r w:rsidR="00CE2AF6" w:rsidRPr="00264968">
        <w:rPr>
          <w:vertAlign w:val="superscript"/>
        </w:rPr>
        <w:t>e</w:t>
      </w:r>
      <w:r w:rsidR="00CE2AF6">
        <w:t xml:space="preserve"> année primaire, le cours de français est introduit. Au total, dès la 3</w:t>
      </w:r>
      <w:r w:rsidR="00CE2AF6" w:rsidRPr="0024605F">
        <w:rPr>
          <w:vertAlign w:val="superscript"/>
        </w:rPr>
        <w:t>e</w:t>
      </w:r>
      <w:r w:rsidR="00CE2AF6">
        <w:t xml:space="preserve"> année primaire, 13 périodes sur les 28 (et donc près de la moitié) sont dévolues à l’enseignement des langues (</w:t>
      </w:r>
      <w:r>
        <w:t>MEN</w:t>
      </w:r>
      <w:r w:rsidR="00CE2AF6">
        <w:t>, 2011). L’objectif consiste à former des citoyens dont le pays a besoin</w:t>
      </w:r>
      <w:r>
        <w:t>,</w:t>
      </w:r>
      <w:r w:rsidR="00CE2AF6">
        <w:t xml:space="preserve"> c’est-à-dire ca</w:t>
      </w:r>
      <w:r w:rsidR="003907CE">
        <w:t>pables de communiquer et d’é</w:t>
      </w:r>
      <w:r w:rsidR="00CE2AF6">
        <w:t>changer avec les pays voisins. Au secondaire, dans les filières porteuses c’est-à-dire celles qui ouvrent la voie aux études supérieures (le classique</w:t>
      </w:r>
      <w:r w:rsidR="00EA08DD">
        <w:t xml:space="preserve"> c’est-à-dire la filière générale</w:t>
      </w:r>
      <w:r w:rsidR="00CE2AF6">
        <w:t xml:space="preserve"> et une filière du techni</w:t>
      </w:r>
      <w:r>
        <w:t>que), certains cours donnés en a</w:t>
      </w:r>
      <w:r w:rsidR="00CE2AF6">
        <w:t xml:space="preserve">llemand au primaire sont désormais donnés en français. C’est le cas des mathématiques. </w:t>
      </w:r>
      <w:r w:rsidR="003870AE">
        <w:t xml:space="preserve">Ainsi, </w:t>
      </w:r>
      <w:r w:rsidR="00CE2AF6">
        <w:t xml:space="preserve">les enseignants du secondaire doivent non seulement enseigner les mathématiques mais également gérer la diversité linguistique </w:t>
      </w:r>
      <w:r>
        <w:t xml:space="preserve">de leur classe, </w:t>
      </w:r>
      <w:r w:rsidR="00CE2AF6">
        <w:t>à deux niveaux : 1) le multilinguisme inhérent aux classes luxembourgeoises et 2) la transition de la langue d’enseignement de</w:t>
      </w:r>
      <w:r>
        <w:t>s mathématiques qui passe de l’allemand au f</w:t>
      </w:r>
      <w:r w:rsidR="00CE2AF6">
        <w:t>rançais. Ce parcours linguistique à travers la scolarité est déjà difficile pour les autochtones mais que dire des enfants qui entrent dans le système luxembourgeois avec une</w:t>
      </w:r>
      <w:r w:rsidR="00F2295E">
        <w:t>,</w:t>
      </w:r>
      <w:r w:rsidR="00CE2AF6">
        <w:t xml:space="preserve"> voire deux langues différentes</w:t>
      </w:r>
      <w:r w:rsidR="00F2295E">
        <w:t xml:space="preserve"> parlées à la maison, comme le p</w:t>
      </w:r>
      <w:r w:rsidR="00CE2AF6">
        <w:t xml:space="preserve">ortugais ou </w:t>
      </w:r>
      <w:r w:rsidR="00F2295E">
        <w:t>encore le russe, l’a</w:t>
      </w:r>
      <w:r w:rsidR="00F76E99">
        <w:t>nglais, etc.</w:t>
      </w:r>
    </w:p>
    <w:p w14:paraId="6DCED298" w14:textId="77777777" w:rsidR="00CE2AF6" w:rsidRPr="00CE2AF6" w:rsidRDefault="00CE2AF6" w:rsidP="00CE2AF6">
      <w:pPr>
        <w:pStyle w:val="Titre2"/>
      </w:pPr>
      <w:r w:rsidRPr="00CE2AF6">
        <w:t xml:space="preserve">Difficultés des élèves </w:t>
      </w:r>
      <w:r>
        <w:t xml:space="preserve">et </w:t>
      </w:r>
      <w:r w:rsidRPr="00CE2AF6">
        <w:t>langue d’enseignement</w:t>
      </w:r>
      <w:r>
        <w:t xml:space="preserve"> en mathématiques</w:t>
      </w:r>
    </w:p>
    <w:p w14:paraId="3271FE9D" w14:textId="386BD4C6" w:rsidR="00CE2AF6" w:rsidRDefault="00CE2AF6" w:rsidP="00CE2AF6">
      <w:pPr>
        <w:spacing w:before="60" w:after="60"/>
      </w:pPr>
      <w:r>
        <w:t xml:space="preserve">D’une manière générale, Martin </w:t>
      </w:r>
      <w:r w:rsidR="001910CF">
        <w:t xml:space="preserve">et </w:t>
      </w:r>
      <w:proofErr w:type="spellStart"/>
      <w:r w:rsidR="001910CF">
        <w:t>Houssemand</w:t>
      </w:r>
      <w:proofErr w:type="spellEnd"/>
      <w:r w:rsidR="001910CF">
        <w:t xml:space="preserve"> </w:t>
      </w:r>
      <w:r>
        <w:t xml:space="preserve">(2003) ont montré que le multilinguisme tel qu’il est pratiqué au Luxembourg réduit fortement à la fois l’efficacité et l’équité du système éducatif. La maîtrise (formelle) surtout de l’allemand, mais aussi du français, constitue un facteur de sélection très fort alors que certaines compétences langagières des enfants sont négligées. Ainsi, la non-maîtrise formelle de la langue empêche en partie l’accès </w:t>
      </w:r>
      <w:r>
        <w:lastRenderedPageBreak/>
        <w:t>à des apprentissages comme les mathématiques</w:t>
      </w:r>
      <w:r w:rsidR="00760DA0">
        <w:t>,</w:t>
      </w:r>
      <w:r>
        <w:t xml:space="preserve"> soit par le biais d’une interdiction d’accès à certaines filières scolaires, soit par le biais d’une maîtrise insuffisante de la langue véhiculaire de ces branches. Ces données relativement anciennes sont malheureusement toujours d’actualité comme en témoignent les </w:t>
      </w:r>
      <w:r w:rsidR="00872B4D">
        <w:t xml:space="preserve">informations </w:t>
      </w:r>
      <w:r>
        <w:t xml:space="preserve">relatives à l’échec scolaire </w:t>
      </w:r>
      <w:r w:rsidR="004F170C">
        <w:t xml:space="preserve">dont </w:t>
      </w:r>
      <w:r>
        <w:t xml:space="preserve">nous évoquons </w:t>
      </w:r>
      <w:r w:rsidR="004F170C">
        <w:t xml:space="preserve">quelques éléments </w:t>
      </w:r>
      <w:r>
        <w:t xml:space="preserve">ci-dessous. </w:t>
      </w:r>
    </w:p>
    <w:p w14:paraId="5A41AE5E" w14:textId="4C068FCE" w:rsidR="00CE2AF6" w:rsidRDefault="00CE2AF6" w:rsidP="00CE2AF6">
      <w:pPr>
        <w:spacing w:before="60" w:after="60"/>
      </w:pPr>
      <w:r>
        <w:t>Du point de vue de la transition de langue d’enseignement des mathématiques</w:t>
      </w:r>
      <w:r w:rsidR="004F170C">
        <w:t xml:space="preserve"> au secondaire</w:t>
      </w:r>
      <w:r>
        <w:t xml:space="preserve">, les difficultés des élèves dans la maîtrise du français sont attestées par trois indicateurs au moins. Tout d’abord, les taux les plus importants de notes insuffisantes recueillies par les élèves au début du secondaire </w:t>
      </w:r>
      <w:r w:rsidR="004F170C">
        <w:t xml:space="preserve">dans les filières </w:t>
      </w:r>
      <w:r w:rsidR="00EA08DD">
        <w:t xml:space="preserve">classique </w:t>
      </w:r>
      <w:r w:rsidR="004F170C">
        <w:t xml:space="preserve">et </w:t>
      </w:r>
      <w:r>
        <w:t>technique concernent les mathématiques</w:t>
      </w:r>
      <w:r w:rsidR="003870AE">
        <w:t>,</w:t>
      </w:r>
      <w:r>
        <w:t xml:space="preserve"> suivies de près du français, loin devant l’anglais et les autres branches</w:t>
      </w:r>
      <w:r w:rsidR="00EA08DD">
        <w:t xml:space="preserve"> (MEN, 2017 ; MEN, 2016)</w:t>
      </w:r>
      <w:r>
        <w:t xml:space="preserve">. Ensuite, une étude menée </w:t>
      </w:r>
      <w:r w:rsidR="00C4032A">
        <w:t xml:space="preserve">par Van </w:t>
      </w:r>
      <w:proofErr w:type="spellStart"/>
      <w:r w:rsidR="00C4032A">
        <w:t>Rin</w:t>
      </w:r>
      <w:r>
        <w:t>sveld</w:t>
      </w:r>
      <w:proofErr w:type="spellEnd"/>
      <w:r w:rsidR="00C4032A">
        <w:t xml:space="preserve">, </w:t>
      </w:r>
      <w:proofErr w:type="spellStart"/>
      <w:r w:rsidR="00C4032A">
        <w:t>Schiltz</w:t>
      </w:r>
      <w:proofErr w:type="spellEnd"/>
      <w:r w:rsidR="00C4032A">
        <w:t xml:space="preserve">, Brunner, </w:t>
      </w:r>
      <w:proofErr w:type="spellStart"/>
      <w:r w:rsidR="00C4032A">
        <w:t>Landerl</w:t>
      </w:r>
      <w:proofErr w:type="spellEnd"/>
      <w:r w:rsidR="00C4032A">
        <w:t xml:space="preserve"> et </w:t>
      </w:r>
      <w:proofErr w:type="spellStart"/>
      <w:r w:rsidR="00C4032A">
        <w:t>Ugen</w:t>
      </w:r>
      <w:proofErr w:type="spellEnd"/>
      <w:r>
        <w:t xml:space="preserve"> (2016) a montré que des élèves du secondaire (du grade 7 au grade 11) voire des adultes réussissent mieux des tâches arithmétiques (effectuer une addition) lorsqu’ils doivent donner la réponse en allemand qu’en français. Même si cet effet s’atténue au fil des années avec une progression dans la maîtrise du français, cet effet reste toujours en faveur des réponses données en allemand. Ces résultats témoignent du rôle de la langue en arithmétique et montrent</w:t>
      </w:r>
      <w:r w:rsidR="00C15E89">
        <w:t xml:space="preserve">, selon Van </w:t>
      </w:r>
      <w:proofErr w:type="spellStart"/>
      <w:r w:rsidR="00C15E89">
        <w:t>Rinsfeld</w:t>
      </w:r>
      <w:proofErr w:type="spellEnd"/>
      <w:r w:rsidR="00C15E89">
        <w:t xml:space="preserve"> et al. (2016), </w:t>
      </w:r>
      <w:r>
        <w:t>que ce qui est appris en mathématique</w:t>
      </w:r>
      <w:r w:rsidR="00C15E89">
        <w:t>s</w:t>
      </w:r>
      <w:r>
        <w:t xml:space="preserve"> dans une langue n’est transférable dans une autre langue qu’avec un effort cognitif important. Enfin, ce d</w:t>
      </w:r>
      <w:r w:rsidR="003870AE">
        <w:t>ernier constat se voit confirmé</w:t>
      </w:r>
      <w:r>
        <w:t xml:space="preserve"> par le choix spontané des élèves de la langue des questions dans les évaluations externes soumises aux élèves du secondaire, telles que PISA, les épreuves standardisées</w:t>
      </w:r>
      <w:r>
        <w:rPr>
          <w:rStyle w:val="Appelnotedebasdep"/>
        </w:rPr>
        <w:footnoteReference w:id="2"/>
      </w:r>
      <w:r>
        <w:t>, ou encore le concours du Rallye Mathématique Transalpin</w:t>
      </w:r>
      <w:r w:rsidR="00C15E89">
        <w:rPr>
          <w:rStyle w:val="Appelnotedebasdep"/>
        </w:rPr>
        <w:footnoteReference w:id="3"/>
      </w:r>
      <w:r>
        <w:t xml:space="preserve"> (</w:t>
      </w:r>
      <w:r w:rsidR="00E87845">
        <w:t>‘</w:t>
      </w:r>
      <w:proofErr w:type="spellStart"/>
      <w:r>
        <w:t>Maachmath</w:t>
      </w:r>
      <w:proofErr w:type="spellEnd"/>
      <w:r w:rsidR="00E87845">
        <w:t>’</w:t>
      </w:r>
      <w:r w:rsidR="003870AE">
        <w:t xml:space="preserve"> au Luxembourg). L</w:t>
      </w:r>
      <w:r>
        <w:t>es élèves, dans leur très grande majorité choisissent les questions et problèmes en allemand pour pouvoir répondre en allemand également</w:t>
      </w:r>
      <w:r w:rsidR="00760DA0">
        <w:t>,</w:t>
      </w:r>
      <w:r>
        <w:t xml:space="preserve"> alors qu’à ce niveau scolaire, les mathématiques sont enseignées en français. </w:t>
      </w:r>
    </w:p>
    <w:p w14:paraId="49DC03F3" w14:textId="3DA21CCF" w:rsidR="00483D39" w:rsidRPr="00483D39" w:rsidRDefault="00483D39" w:rsidP="00821501">
      <w:pPr>
        <w:pStyle w:val="Titre1"/>
      </w:pPr>
      <w:r w:rsidRPr="00483D39">
        <w:t>Mathématique et Langage</w:t>
      </w:r>
    </w:p>
    <w:p w14:paraId="154C7B73" w14:textId="77777777" w:rsidR="00483D39" w:rsidRDefault="00483D39" w:rsidP="00483D39">
      <w:pPr>
        <w:spacing w:before="60" w:after="60"/>
      </w:pPr>
      <w:r>
        <w:t>« </w:t>
      </w:r>
      <w:r w:rsidRPr="00771275">
        <w:rPr>
          <w:i/>
        </w:rPr>
        <w:t xml:space="preserve">It </w:t>
      </w:r>
      <w:proofErr w:type="spellStart"/>
      <w:r w:rsidRPr="00771275">
        <w:rPr>
          <w:i/>
        </w:rPr>
        <w:t>is</w:t>
      </w:r>
      <w:proofErr w:type="spellEnd"/>
      <w:r w:rsidRPr="00771275">
        <w:rPr>
          <w:i/>
        </w:rPr>
        <w:t xml:space="preserve"> not the mental </w:t>
      </w:r>
      <w:proofErr w:type="spellStart"/>
      <w:r w:rsidRPr="00771275">
        <w:rPr>
          <w:i/>
        </w:rPr>
        <w:t>activity</w:t>
      </w:r>
      <w:proofErr w:type="spellEnd"/>
      <w:r w:rsidRPr="00771275">
        <w:rPr>
          <w:i/>
        </w:rPr>
        <w:t xml:space="preserve"> </w:t>
      </w:r>
      <w:proofErr w:type="spellStart"/>
      <w:r w:rsidRPr="00771275">
        <w:rPr>
          <w:i/>
        </w:rPr>
        <w:t>that</w:t>
      </w:r>
      <w:proofErr w:type="spellEnd"/>
      <w:r w:rsidRPr="00771275">
        <w:rPr>
          <w:i/>
        </w:rPr>
        <w:t xml:space="preserve"> </w:t>
      </w:r>
      <w:proofErr w:type="spellStart"/>
      <w:r w:rsidRPr="00771275">
        <w:rPr>
          <w:i/>
        </w:rPr>
        <w:t>organizes</w:t>
      </w:r>
      <w:proofErr w:type="spellEnd"/>
      <w:r w:rsidRPr="00771275">
        <w:rPr>
          <w:i/>
        </w:rPr>
        <w:t xml:space="preserve"> the expression, but </w:t>
      </w:r>
      <w:proofErr w:type="spellStart"/>
      <w:r w:rsidRPr="00771275">
        <w:rPr>
          <w:i/>
        </w:rPr>
        <w:t>it</w:t>
      </w:r>
      <w:proofErr w:type="spellEnd"/>
      <w:r w:rsidRPr="00771275">
        <w:rPr>
          <w:i/>
        </w:rPr>
        <w:t xml:space="preserve"> </w:t>
      </w:r>
      <w:proofErr w:type="spellStart"/>
      <w:r w:rsidRPr="00771275">
        <w:rPr>
          <w:i/>
        </w:rPr>
        <w:t>is</w:t>
      </w:r>
      <w:proofErr w:type="spellEnd"/>
      <w:r w:rsidRPr="00771275">
        <w:rPr>
          <w:i/>
        </w:rPr>
        <w:t xml:space="preserve"> the expressi</w:t>
      </w:r>
      <w:r>
        <w:rPr>
          <w:i/>
        </w:rPr>
        <w:t xml:space="preserve">on </w:t>
      </w:r>
      <w:proofErr w:type="spellStart"/>
      <w:r>
        <w:rPr>
          <w:i/>
        </w:rPr>
        <w:t>that</w:t>
      </w:r>
      <w:proofErr w:type="spellEnd"/>
      <w:r>
        <w:rPr>
          <w:i/>
        </w:rPr>
        <w:t xml:space="preserve"> </w:t>
      </w:r>
      <w:proofErr w:type="spellStart"/>
      <w:r>
        <w:rPr>
          <w:i/>
        </w:rPr>
        <w:t>organizes</w:t>
      </w:r>
      <w:proofErr w:type="spellEnd"/>
      <w:r w:rsidRPr="00771275">
        <w:rPr>
          <w:i/>
        </w:rPr>
        <w:t xml:space="preserve"> the mental </w:t>
      </w:r>
      <w:proofErr w:type="spellStart"/>
      <w:r w:rsidRPr="00771275">
        <w:rPr>
          <w:i/>
        </w:rPr>
        <w:t>activity</w:t>
      </w:r>
      <w:proofErr w:type="spellEnd"/>
      <w:r>
        <w:t> » (</w:t>
      </w:r>
      <w:proofErr w:type="spellStart"/>
      <w:r>
        <w:t>Voloshinov</w:t>
      </w:r>
      <w:proofErr w:type="spellEnd"/>
      <w:r>
        <w:t xml:space="preserve">, in </w:t>
      </w:r>
      <w:proofErr w:type="spellStart"/>
      <w:r>
        <w:t>Radford</w:t>
      </w:r>
      <w:proofErr w:type="spellEnd"/>
      <w:r>
        <w:t>, 2017)</w:t>
      </w:r>
    </w:p>
    <w:p w14:paraId="03C598A6" w14:textId="4086038D" w:rsidR="00483D39" w:rsidRDefault="00483D39" w:rsidP="00483D39">
      <w:pPr>
        <w:spacing w:before="60" w:after="60"/>
      </w:pPr>
      <w:r>
        <w:t xml:space="preserve">Cette citation nous paraît </w:t>
      </w:r>
      <w:r w:rsidR="00821501">
        <w:t xml:space="preserve">emblématique de la </w:t>
      </w:r>
      <w:r>
        <w:t xml:space="preserve">nature de </w:t>
      </w:r>
      <w:r w:rsidR="00821501">
        <w:t xml:space="preserve">la relation entre l’expression </w:t>
      </w:r>
      <w:r>
        <w:t>et l’activité mentale. C’est bien l’expression qui détermine la pensée, et non l’inverse. Ainsi, le rôle des modes d’expression</w:t>
      </w:r>
      <w:r w:rsidR="00DC4510">
        <w:t>,</w:t>
      </w:r>
      <w:r>
        <w:t xml:space="preserve"> dont la langue</w:t>
      </w:r>
      <w:r w:rsidR="00DC4510">
        <w:t>,</w:t>
      </w:r>
      <w:r>
        <w:t xml:space="preserve"> est déterminant pour la </w:t>
      </w:r>
      <w:r w:rsidR="00821501">
        <w:t xml:space="preserve">réflexion mentale </w:t>
      </w:r>
      <w:r>
        <w:t>et donc les apprentissages mathématiques.</w:t>
      </w:r>
    </w:p>
    <w:p w14:paraId="4E7DC470" w14:textId="304CD2B2" w:rsidR="00483D39" w:rsidRDefault="00483D39" w:rsidP="00483D39">
      <w:pPr>
        <w:spacing w:before="60" w:after="60"/>
      </w:pPr>
      <w:r>
        <w:t>De même, depuis la diffus</w:t>
      </w:r>
      <w:r w:rsidR="00DC4510">
        <w:t xml:space="preserve">ion des travaux de Vygotsky et </w:t>
      </w:r>
      <w:r>
        <w:t>leur prise en considération en éducation mathématique, la communication et les interactions sociales sont considérées comme consubstantielles à l’apprentissage et à la pensée. Ainsi, si la formation de la connaissance est considérée d’un point de vue social, l’utilisation des signes - autrement dit des outils mé</w:t>
      </w:r>
      <w:r w:rsidR="009D5D1D">
        <w:t xml:space="preserve">diateurs de la communication - </w:t>
      </w:r>
      <w:r>
        <w:t>devient un élément culturel de la cognition (</w:t>
      </w:r>
      <w:proofErr w:type="spellStart"/>
      <w:r>
        <w:t>Radford</w:t>
      </w:r>
      <w:proofErr w:type="spellEnd"/>
      <w:r>
        <w:t>, 1998). Et la langue, dans cette théorie, est l’outil médiateur par excellence.</w:t>
      </w:r>
    </w:p>
    <w:p w14:paraId="0223B55A" w14:textId="32C7A17C" w:rsidR="00821501" w:rsidRDefault="00483D39" w:rsidP="00D422FC">
      <w:pPr>
        <w:spacing w:before="60" w:after="60"/>
      </w:pPr>
      <w:r>
        <w:t>En éducation mathématique précisément, cette importance de la r</w:t>
      </w:r>
      <w:r w:rsidR="00E04207">
        <w:t xml:space="preserve">elation entre la langue et les </w:t>
      </w:r>
      <w:r>
        <w:t xml:space="preserve">apprentissages est reconnue par divers auteurs. </w:t>
      </w:r>
      <w:r w:rsidR="005F03C0">
        <w:t xml:space="preserve">Ainsi, </w:t>
      </w:r>
      <w:proofErr w:type="spellStart"/>
      <w:r w:rsidR="005F03C0">
        <w:t>Radford</w:t>
      </w:r>
      <w:proofErr w:type="spellEnd"/>
      <w:r w:rsidR="005F03C0">
        <w:t xml:space="preserve"> et </w:t>
      </w:r>
      <w:proofErr w:type="spellStart"/>
      <w:r w:rsidR="005F03C0">
        <w:t>Barwell</w:t>
      </w:r>
      <w:proofErr w:type="spellEnd"/>
      <w:r w:rsidR="005F03C0">
        <w:t xml:space="preserve"> (2016</w:t>
      </w:r>
      <w:r>
        <w:t xml:space="preserve">) soulignent que la langue, la parole, le texte ainsi que la production et l’interprétation de </w:t>
      </w:r>
      <w:r>
        <w:lastRenderedPageBreak/>
        <w:t>symbo</w:t>
      </w:r>
      <w:r w:rsidR="003870AE">
        <w:t>les font partie intégrante du</w:t>
      </w:r>
      <w:r>
        <w:t xml:space="preserve"> </w:t>
      </w:r>
      <w:r w:rsidR="00EF443A">
        <w:t xml:space="preserve">développement </w:t>
      </w:r>
      <w:r>
        <w:t xml:space="preserve">de l’apprentissage, </w:t>
      </w:r>
      <w:r w:rsidR="00E04207">
        <w:t xml:space="preserve">de </w:t>
      </w:r>
      <w:r>
        <w:t xml:space="preserve">l’enseignement et </w:t>
      </w:r>
      <w:r w:rsidR="00E04207">
        <w:t xml:space="preserve">de </w:t>
      </w:r>
      <w:r>
        <w:t xml:space="preserve">l’évaluation, et ce en particulier pour les mathématiques. </w:t>
      </w:r>
      <w:r w:rsidR="00721681">
        <w:t>Selon Lee (2006</w:t>
      </w:r>
      <w:r>
        <w:t>), la langue, et plus généralement le ‘discours’</w:t>
      </w:r>
      <w:r>
        <w:rPr>
          <w:rStyle w:val="Appelnotedebasdep"/>
        </w:rPr>
        <w:footnoteReference w:id="4"/>
      </w:r>
      <w:r>
        <w:t xml:space="preserve">  sont considérés comme cruciaux d</w:t>
      </w:r>
      <w:r w:rsidR="00E3128D">
        <w:t>ans l’apprentissage. L</w:t>
      </w:r>
      <w:r>
        <w:t>’acte de formuler une idée pour partager l’information ou les arguments pour convaincre les autres constitue une part importante de l’apprentissage.  En effet, demander aux élèves de structurer leurs idées implique une activité métacognitive et donc en retour améliore la clarté de la pensée. Des recherches, to</w:t>
      </w:r>
      <w:r w:rsidR="00821501">
        <w:t xml:space="preserve">ujours selon Lee (2006), </w:t>
      </w:r>
      <w:r>
        <w:t>ont par ailleurs montré qu’inviter les enfants à partager leur pensée mathématique résultait en une amélioration des apprentissages mathématiques. Quand les élèves formulent leurs propres idées en vue de les rendre d</w:t>
      </w:r>
      <w:r w:rsidR="00211377">
        <w:t>isponibles pour les autres, ils</w:t>
      </w:r>
      <w:r>
        <w:t xml:space="preserve"> rendent leurs pensées manifestes et tangibles pour eux-mêmes. </w:t>
      </w:r>
      <w:r w:rsidR="00821501">
        <w:t>Dans cette perspective, on peut ainsi affirmer que communiquer - à tr</w:t>
      </w:r>
      <w:r w:rsidR="009D5D1D">
        <w:t>avers divers modes d’expression</w:t>
      </w:r>
      <w:r w:rsidR="00821501">
        <w:t xml:space="preserve"> -</w:t>
      </w:r>
      <w:r w:rsidR="003870AE">
        <w:t xml:space="preserve"> et conceptualiser vont de </w:t>
      </w:r>
      <w:proofErr w:type="spellStart"/>
      <w:r w:rsidR="003870AE">
        <w:t>pair</w:t>
      </w:r>
      <w:r w:rsidR="00760DA0">
        <w:t>e</w:t>
      </w:r>
      <w:proofErr w:type="spellEnd"/>
      <w:r w:rsidR="00E33B55">
        <w:t xml:space="preserve"> (Vlassis, </w:t>
      </w:r>
      <w:proofErr w:type="spellStart"/>
      <w:r w:rsidR="00E33B55">
        <w:t>Fagnant</w:t>
      </w:r>
      <w:proofErr w:type="spellEnd"/>
      <w:r w:rsidR="00E33B55">
        <w:t xml:space="preserve"> &amp; </w:t>
      </w:r>
      <w:proofErr w:type="spellStart"/>
      <w:r w:rsidR="00E33B55">
        <w:t>Demonty</w:t>
      </w:r>
      <w:proofErr w:type="spellEnd"/>
      <w:r w:rsidR="00E33B55">
        <w:t>, 2015)</w:t>
      </w:r>
      <w:r w:rsidR="00821501">
        <w:t xml:space="preserve">. Ce principe constitue, à nos yeux, une autre formulation de l’idée de </w:t>
      </w:r>
      <w:proofErr w:type="spellStart"/>
      <w:r w:rsidR="00821501">
        <w:t>Voloshinov</w:t>
      </w:r>
      <w:proofErr w:type="spellEnd"/>
      <w:r w:rsidR="00821501">
        <w:t>.</w:t>
      </w:r>
    </w:p>
    <w:p w14:paraId="5443A3DB" w14:textId="0488315E" w:rsidR="00821501" w:rsidRDefault="00821501" w:rsidP="00821501">
      <w:pPr>
        <w:spacing w:before="60" w:after="60"/>
      </w:pPr>
      <w:r>
        <w:t>D’un point de vue pédagogique, cela signifie que les enfants n’apprendront efficacement que si les enseignants leur permettent de participer</w:t>
      </w:r>
      <w:r w:rsidR="00CC2562">
        <w:t xml:space="preserve"> au discours de la communauté de</w:t>
      </w:r>
      <w:r>
        <w:t xml:space="preserve"> classe, en utilisant le langage pour construire et exprimer des idées mathématiques, et en structurant le contexte social de la classe de telle manière que les élèves utilisent le langage oral et écrit dans un processus d’apprentissage des mathématiques (Lee, 2006). Pour décrire cette perspective d’enseignement, </w:t>
      </w:r>
      <w:proofErr w:type="spellStart"/>
      <w:r>
        <w:t>Sfard</w:t>
      </w:r>
      <w:proofErr w:type="spellEnd"/>
      <w:r>
        <w:t xml:space="preserve"> (2006) évoque la métaphore de la participation. L</w:t>
      </w:r>
      <w:r w:rsidRPr="007C56B6">
        <w:t>'apprentissage est</w:t>
      </w:r>
      <w:r>
        <w:t>,</w:t>
      </w:r>
      <w:r w:rsidRPr="007C56B6">
        <w:t xml:space="preserve"> </w:t>
      </w:r>
      <w:r w:rsidR="00CC2562">
        <w:t>dans cette approche</w:t>
      </w:r>
      <w:r>
        <w:t xml:space="preserve">, </w:t>
      </w:r>
      <w:r w:rsidRPr="007C56B6">
        <w:t>considéré avant tout comme le développement de la façon dont l'individu particip</w:t>
      </w:r>
      <w:r>
        <w:t>e à des activités communes. Cette participation</w:t>
      </w:r>
      <w:r w:rsidRPr="007C56B6">
        <w:t xml:space="preserve"> implique la</w:t>
      </w:r>
      <w:r>
        <w:t xml:space="preserve"> capacité de communiquer dans le langage</w:t>
      </w:r>
      <w:r w:rsidRPr="007C56B6">
        <w:t xml:space="preserve"> de cette communauté et d'agir selon ses normes particulières.</w:t>
      </w:r>
      <w:r>
        <w:t xml:space="preserve"> </w:t>
      </w:r>
      <w:r w:rsidRPr="007C56B6">
        <w:t xml:space="preserve">Cette conception de l’apprentissage rejoint celle proposée par </w:t>
      </w:r>
      <w:proofErr w:type="spellStart"/>
      <w:r w:rsidRPr="007C56B6">
        <w:t>Radford</w:t>
      </w:r>
      <w:proofErr w:type="spellEnd"/>
      <w:r w:rsidRPr="007C56B6">
        <w:t xml:space="preserve"> (2013) qui postule que, plutôt que de réduire l’apprentissage à une assimilation de quelque chose de déjà là, il paraît plus opportun de l’envisager comme une activité à laquelle l’individu participe. </w:t>
      </w:r>
    </w:p>
    <w:p w14:paraId="781CAE00" w14:textId="50D5ABBE" w:rsidR="00821501" w:rsidRDefault="00821501" w:rsidP="00CC2562">
      <w:pPr>
        <w:spacing w:before="60" w:after="60"/>
      </w:pPr>
      <w:r>
        <w:t xml:space="preserve">Mais cette perspective d’enseignement où l’utilisation </w:t>
      </w:r>
      <w:r w:rsidR="00CC2562">
        <w:t>de la langue</w:t>
      </w:r>
      <w:r w:rsidR="009D5D1D">
        <w:t xml:space="preserve"> et de différents modes d’expression</w:t>
      </w:r>
      <w:r>
        <w:t xml:space="preserve"> sont inhérents aux apprentissages mathématiques, ne risque-t-elle pas de poser d’importantes difficultés dans les classes où la plupart des élèves ne maîtrise</w:t>
      </w:r>
      <w:r w:rsidR="00DE684C">
        <w:t>nt pas la langue d’enseignement</w:t>
      </w:r>
      <w:r>
        <w:t xml:space="preserve"> comme c’est le cas</w:t>
      </w:r>
      <w:r w:rsidR="00CC2562">
        <w:t xml:space="preserve"> dans les classes au Luxembourg, </w:t>
      </w:r>
      <w:r w:rsidR="00DE684C">
        <w:t xml:space="preserve">et </w:t>
      </w:r>
      <w:r w:rsidR="00CC2562">
        <w:t>en particulier au secondaire</w:t>
      </w:r>
      <w:r>
        <w:t>? Comme</w:t>
      </w:r>
      <w:r w:rsidR="003870AE">
        <w:t>nt</w:t>
      </w:r>
      <w:r>
        <w:t xml:space="preserve"> alors gérer à la fois les apprentissages mathématiques et les apprentissages langagiers ?</w:t>
      </w:r>
      <w:r w:rsidR="00CC2562">
        <w:t xml:space="preserve"> </w:t>
      </w:r>
      <w:r>
        <w:t>C’est ce que nous développons dans l</w:t>
      </w:r>
      <w:r w:rsidR="00CC2562">
        <w:t>es sections suivantes.</w:t>
      </w:r>
    </w:p>
    <w:p w14:paraId="75C8E6CE" w14:textId="183E3EC1" w:rsidR="00821501" w:rsidRPr="00821501" w:rsidRDefault="00821501" w:rsidP="00821501">
      <w:pPr>
        <w:pStyle w:val="Titre1"/>
      </w:pPr>
      <w:r w:rsidRPr="00821501">
        <w:t>Mathématiques et multilinguisme</w:t>
      </w:r>
    </w:p>
    <w:p w14:paraId="28934DEC" w14:textId="5AF8A8F7" w:rsidR="00821501" w:rsidRPr="0037551B" w:rsidRDefault="00821501" w:rsidP="00821501">
      <w:pPr>
        <w:spacing w:before="60" w:after="60"/>
      </w:pPr>
      <w:r w:rsidRPr="0037551B">
        <w:t xml:space="preserve">La problématique </w:t>
      </w:r>
      <w:r>
        <w:t xml:space="preserve">qui est </w:t>
      </w:r>
      <w:r w:rsidR="00E9351D">
        <w:t xml:space="preserve">ainsi questionnée </w:t>
      </w:r>
      <w:r>
        <w:t xml:space="preserve">concerne ce qu’on appelle </w:t>
      </w:r>
      <w:r w:rsidR="00E9351D">
        <w:t xml:space="preserve">dans la littérature </w:t>
      </w:r>
      <w:proofErr w:type="spellStart"/>
      <w:r w:rsidR="00E9351D">
        <w:t>anglo-saxone</w:t>
      </w:r>
      <w:proofErr w:type="spellEnd"/>
      <w:r w:rsidR="00E9351D">
        <w:t xml:space="preserve">, </w:t>
      </w:r>
      <w:r>
        <w:t xml:space="preserve">le ‘Content and </w:t>
      </w:r>
      <w:proofErr w:type="spellStart"/>
      <w:r>
        <w:t>Language</w:t>
      </w:r>
      <w:proofErr w:type="spellEnd"/>
      <w:r>
        <w:t xml:space="preserve"> Integrated Learning’</w:t>
      </w:r>
      <w:r w:rsidR="00E9351D">
        <w:t xml:space="preserve"> (CLIL</w:t>
      </w:r>
      <w:r w:rsidR="006427F2">
        <w:t>) qui concerne les</w:t>
      </w:r>
      <w:r>
        <w:t xml:space="preserve"> approches d’enseignement qui cibl</w:t>
      </w:r>
      <w:r w:rsidR="00E9351D">
        <w:t xml:space="preserve">ent à la fois l’apprentissage de contenu et de </w:t>
      </w:r>
      <w:r>
        <w:t>langue. Cette problématique est relativement neuve, surtout en éducation mathématique</w:t>
      </w:r>
      <w:r w:rsidR="00E9351D">
        <w:t>.</w:t>
      </w:r>
    </w:p>
    <w:p w14:paraId="36213046" w14:textId="77777777" w:rsidR="00821501" w:rsidRPr="00A65B9C" w:rsidRDefault="00821501" w:rsidP="00821501">
      <w:pPr>
        <w:pStyle w:val="Titre2"/>
      </w:pPr>
      <w:r w:rsidRPr="00A65B9C">
        <w:t xml:space="preserve">Vers l’émergence d’un nouveau paradigme </w:t>
      </w:r>
      <w:r>
        <w:t xml:space="preserve">basé sur le </w:t>
      </w:r>
      <w:proofErr w:type="spellStart"/>
      <w:r>
        <w:t>translanguaging</w:t>
      </w:r>
      <w:proofErr w:type="spellEnd"/>
    </w:p>
    <w:p w14:paraId="32BDC5A9" w14:textId="2A879F2D" w:rsidR="00821501" w:rsidRDefault="00821501" w:rsidP="001A0254">
      <w:pPr>
        <w:spacing w:before="60" w:after="60"/>
      </w:pPr>
      <w:r>
        <w:t>De nombreuses études menées dans le contexte de l’enseignement des mathématiques en contexte multilingue mettent en avant l’intérêt de développer le</w:t>
      </w:r>
      <w:r w:rsidR="00C427FA">
        <w:t xml:space="preserve"> code-</w:t>
      </w:r>
      <w:proofErr w:type="spellStart"/>
      <w:r w:rsidR="00C427FA">
        <w:t>swit</w:t>
      </w:r>
      <w:r w:rsidR="003E2C41">
        <w:t>ching</w:t>
      </w:r>
      <w:proofErr w:type="spellEnd"/>
      <w:r w:rsidR="003E2C41">
        <w:t xml:space="preserve"> c’est-à-dire </w:t>
      </w:r>
      <w:r>
        <w:t>le changement de langues au cours d’une même conversation que ce soit au niveau du mot ou de la phrase ou encore au niveau d’un bloc de discou</w:t>
      </w:r>
      <w:r w:rsidR="003E2C41">
        <w:t>rs (Baker, 2011</w:t>
      </w:r>
      <w:r>
        <w:t>)</w:t>
      </w:r>
      <w:r w:rsidR="003E2C41">
        <w:t>.</w:t>
      </w:r>
      <w:r w:rsidR="001A0254">
        <w:t xml:space="preserve"> </w:t>
      </w:r>
      <w:r>
        <w:t xml:space="preserve">Actuellement, la recherche </w:t>
      </w:r>
      <w:r w:rsidR="003E2C41">
        <w:t>(</w:t>
      </w:r>
      <w:proofErr w:type="spellStart"/>
      <w:r w:rsidR="003E2C41">
        <w:t>Culligan</w:t>
      </w:r>
      <w:proofErr w:type="spellEnd"/>
      <w:r w:rsidR="003E2C41">
        <w:t xml:space="preserve"> &amp; Wagner, 2015 ; </w:t>
      </w:r>
      <w:proofErr w:type="spellStart"/>
      <w:r w:rsidR="00C427FA">
        <w:t>Cenoz</w:t>
      </w:r>
      <w:proofErr w:type="spellEnd"/>
      <w:r w:rsidR="00C427FA">
        <w:t>, 2017</w:t>
      </w:r>
      <w:r w:rsidR="003E2C41">
        <w:t>)</w:t>
      </w:r>
      <w:r w:rsidR="00E9351D">
        <w:t xml:space="preserve"> </w:t>
      </w:r>
      <w:r>
        <w:t xml:space="preserve">plaide pour une perspective qui reconnaît les </w:t>
      </w:r>
      <w:r>
        <w:lastRenderedPageBreak/>
        <w:t xml:space="preserve">ressources que les apprenants apportent </w:t>
      </w:r>
      <w:r w:rsidR="001A0254">
        <w:t>à la classe de mathématiques</w:t>
      </w:r>
      <w:r w:rsidR="00E9351D">
        <w:t xml:space="preserve"> plutôt que de cibler leurs</w:t>
      </w:r>
      <w:r w:rsidR="00C427FA">
        <w:t xml:space="preserve"> manques</w:t>
      </w:r>
      <w:r w:rsidR="001A0254">
        <w:t xml:space="preserve"> ; </w:t>
      </w:r>
      <w:r w:rsidR="00C427FA">
        <w:t>dans les approches socio-culturelles, ces ressources incluent</w:t>
      </w:r>
      <w:r>
        <w:t xml:space="preserve"> l’utilisation de</w:t>
      </w:r>
      <w:r w:rsidR="00150B54">
        <w:t xml:space="preserve"> la langue parlée à la maison. </w:t>
      </w:r>
      <w:r w:rsidR="001A0254">
        <w:t>Ainsi, même si</w:t>
      </w:r>
      <w:r w:rsidR="003870AE">
        <w:t>,</w:t>
      </w:r>
      <w:r w:rsidR="001A0254">
        <w:t xml:space="preserve"> historiquement, le code </w:t>
      </w:r>
      <w:proofErr w:type="spellStart"/>
      <w:r w:rsidR="001A0254">
        <w:t>switching</w:t>
      </w:r>
      <w:proofErr w:type="spellEnd"/>
      <w:r w:rsidR="001A0254">
        <w:t xml:space="preserve"> a été considéré comme visant à pallier </w:t>
      </w:r>
      <w:r w:rsidR="00BC4737">
        <w:t>les</w:t>
      </w:r>
      <w:r w:rsidR="003870AE">
        <w:t xml:space="preserve"> </w:t>
      </w:r>
      <w:r w:rsidR="001A0254">
        <w:t>lac</w:t>
      </w:r>
      <w:r w:rsidR="00150B54">
        <w:t>unes des élèves en matière de</w:t>
      </w:r>
      <w:r w:rsidR="001A0254">
        <w:t xml:space="preserve"> maîtrise de la langue </w:t>
      </w:r>
      <w:r w:rsidR="00150B54">
        <w:t xml:space="preserve">d’enseignement dans les classes multilingues, </w:t>
      </w:r>
      <w:r w:rsidR="001A0254">
        <w:t xml:space="preserve">celui-ci s’oriente actuellement dans une perspective </w:t>
      </w:r>
      <w:r w:rsidR="0067784C">
        <w:t>orientée « ressources »</w:t>
      </w:r>
      <w:r w:rsidR="00E3128D">
        <w:t xml:space="preserve"> </w:t>
      </w:r>
      <w:r>
        <w:t>(</w:t>
      </w:r>
      <w:proofErr w:type="spellStart"/>
      <w:r>
        <w:t>Culligan</w:t>
      </w:r>
      <w:proofErr w:type="spellEnd"/>
      <w:r>
        <w:t xml:space="preserve"> &amp; W</w:t>
      </w:r>
      <w:r w:rsidR="00E9351D">
        <w:t>a</w:t>
      </w:r>
      <w:r>
        <w:t xml:space="preserve">gner, 2015). </w:t>
      </w:r>
    </w:p>
    <w:p w14:paraId="112E92D2" w14:textId="46D36CFF" w:rsidR="00A72B1D" w:rsidRDefault="00E3128D" w:rsidP="00203991">
      <w:pPr>
        <w:spacing w:before="60" w:after="60"/>
      </w:pPr>
      <w:r>
        <w:t xml:space="preserve">Parallèlement, la </w:t>
      </w:r>
      <w:r w:rsidR="00821501">
        <w:t>recherche</w:t>
      </w:r>
      <w:r>
        <w:t xml:space="preserve"> en éducation multilingue</w:t>
      </w:r>
      <w:r w:rsidR="00821501">
        <w:t xml:space="preserve"> met actuellement en avant un nouveau paradigme, le </w:t>
      </w:r>
      <w:r>
        <w:t>« </w:t>
      </w:r>
      <w:proofErr w:type="spellStart"/>
      <w:r>
        <w:t>t</w:t>
      </w:r>
      <w:r w:rsidR="00821501">
        <w:t>ranslanguaging</w:t>
      </w:r>
      <w:proofErr w:type="spellEnd"/>
      <w:r>
        <w:t> »</w:t>
      </w:r>
      <w:r w:rsidR="00821501">
        <w:t xml:space="preserve"> </w:t>
      </w:r>
      <w:r>
        <w:t xml:space="preserve">qui se définit comme </w:t>
      </w:r>
      <w:r w:rsidR="00150B54">
        <w:t xml:space="preserve">un </w:t>
      </w:r>
      <w:r w:rsidR="00821501">
        <w:t xml:space="preserve">processus </w:t>
      </w:r>
      <w:r>
        <w:t xml:space="preserve">visant à </w:t>
      </w:r>
      <w:r w:rsidR="00821501">
        <w:t xml:space="preserve">donner du sens, </w:t>
      </w:r>
      <w:r>
        <w:t xml:space="preserve">ainsi qu’à </w:t>
      </w:r>
      <w:r w:rsidR="00821501">
        <w:t>façon</w:t>
      </w:r>
      <w:r>
        <w:t>ner l’expérience,</w:t>
      </w:r>
      <w:r w:rsidR="00821501">
        <w:t xml:space="preserve"> la compréhension et les connais</w:t>
      </w:r>
      <w:r>
        <w:t>s</w:t>
      </w:r>
      <w:r w:rsidR="00A72B1D">
        <w:t>ances</w:t>
      </w:r>
      <w:r w:rsidR="00821501">
        <w:t xml:space="preserve"> à travers l’utilisation de deux ou pl</w:t>
      </w:r>
      <w:r w:rsidR="0067784C">
        <w:t>usieurs langues (Baker, 2011</w:t>
      </w:r>
      <w:r w:rsidR="00821501">
        <w:t>)</w:t>
      </w:r>
      <w:r>
        <w:t>.</w:t>
      </w:r>
      <w:r w:rsidR="00821501">
        <w:t xml:space="preserve"> Ce concept a d’abord été largement utilisé comme une stratégie d’enseignement efficace dans les classes multilingues du pays de Galles, mais il est </w:t>
      </w:r>
      <w:r>
        <w:t xml:space="preserve">dorénavant </w:t>
      </w:r>
      <w:r w:rsidR="00821501">
        <w:t xml:space="preserve">utilisé pour référer aux </w:t>
      </w:r>
      <w:r w:rsidR="009D5B5A">
        <w:t xml:space="preserve">différentes </w:t>
      </w:r>
      <w:r w:rsidR="00821501">
        <w:t>pratiques discursives dans les contextes bilingues et mul</w:t>
      </w:r>
      <w:r w:rsidR="0067784C">
        <w:t>tilingues partout dans le monde</w:t>
      </w:r>
      <w:r w:rsidR="00821501">
        <w:t xml:space="preserve"> (</w:t>
      </w:r>
      <w:proofErr w:type="spellStart"/>
      <w:r w:rsidR="00821501">
        <w:t>Cenoz</w:t>
      </w:r>
      <w:proofErr w:type="spellEnd"/>
      <w:r w:rsidR="00821501">
        <w:t xml:space="preserve">, 2017). </w:t>
      </w:r>
    </w:p>
    <w:p w14:paraId="5CCEDD7B" w14:textId="70C1EFED" w:rsidR="00A20B69" w:rsidRDefault="00821501" w:rsidP="00203991">
      <w:pPr>
        <w:spacing w:before="60" w:after="60"/>
      </w:pPr>
      <w:r>
        <w:t xml:space="preserve">Tout en se focalisant sur les ressources des apprenants plutôt que sur leurs manques, le </w:t>
      </w:r>
      <w:proofErr w:type="spellStart"/>
      <w:r>
        <w:t>translanguaging</w:t>
      </w:r>
      <w:proofErr w:type="spellEnd"/>
      <w:r>
        <w:t xml:space="preserve"> </w:t>
      </w:r>
      <w:r w:rsidR="00E3128D">
        <w:t xml:space="preserve">et le </w:t>
      </w:r>
      <w:r>
        <w:t>code-</w:t>
      </w:r>
      <w:proofErr w:type="spellStart"/>
      <w:r>
        <w:t>switching</w:t>
      </w:r>
      <w:proofErr w:type="spellEnd"/>
      <w:r w:rsidR="00203991">
        <w:t xml:space="preserve"> diffèrent</w:t>
      </w:r>
      <w:r w:rsidR="0067784C">
        <w:t xml:space="preserve"> cependant</w:t>
      </w:r>
      <w:r w:rsidR="00203991">
        <w:t xml:space="preserve">, </w:t>
      </w:r>
      <w:r w:rsidR="00E3128D">
        <w:t xml:space="preserve">selon Garcia </w:t>
      </w:r>
      <w:r w:rsidR="00C427FA">
        <w:t>et Li Wei</w:t>
      </w:r>
      <w:r w:rsidR="00E3128D">
        <w:t xml:space="preserve"> (</w:t>
      </w:r>
      <w:r w:rsidR="00C427FA">
        <w:t xml:space="preserve">2014, </w:t>
      </w:r>
      <w:r w:rsidR="00E3128D">
        <w:t xml:space="preserve">in </w:t>
      </w:r>
      <w:proofErr w:type="spellStart"/>
      <w:r w:rsidR="00E3128D">
        <w:t>Cenoz</w:t>
      </w:r>
      <w:proofErr w:type="spellEnd"/>
      <w:r w:rsidR="00E3128D">
        <w:t>, 2017)</w:t>
      </w:r>
      <w:r w:rsidR="00203991">
        <w:t>, de par leur ancrage initial. En effet, tandis que le code-</w:t>
      </w:r>
      <w:proofErr w:type="spellStart"/>
      <w:r w:rsidR="00203991">
        <w:t>swit</w:t>
      </w:r>
      <w:r>
        <w:t>ching</w:t>
      </w:r>
      <w:proofErr w:type="spellEnd"/>
      <w:r>
        <w:t xml:space="preserve"> </w:t>
      </w:r>
      <w:r w:rsidR="00203991">
        <w:t>considère comme point de départ les grammaires différentes de</w:t>
      </w:r>
      <w:r w:rsidR="003870AE">
        <w:t xml:space="preserve"> chaque langue, le </w:t>
      </w:r>
      <w:proofErr w:type="spellStart"/>
      <w:r w:rsidR="003870AE">
        <w:t>translangua</w:t>
      </w:r>
      <w:r>
        <w:t>ging</w:t>
      </w:r>
      <w:proofErr w:type="spellEnd"/>
      <w:r>
        <w:t xml:space="preserve"> s’ancre dans les pratiques langagières utilis</w:t>
      </w:r>
      <w:r w:rsidR="0067784C">
        <w:t>ées dans les communications multil</w:t>
      </w:r>
      <w:r w:rsidR="00203991">
        <w:t>i</w:t>
      </w:r>
      <w:r w:rsidR="00C427FA">
        <w:t>ngues</w:t>
      </w:r>
      <w:r w:rsidR="00696C04">
        <w:t>. L</w:t>
      </w:r>
      <w:r>
        <w:t>es frontières entre les langues deviennent plus souples et les ressources spécifiques des locuteurs</w:t>
      </w:r>
      <w:r w:rsidR="00696C04">
        <w:t xml:space="preserve"> </w:t>
      </w:r>
      <w:r w:rsidR="0067784C">
        <w:t>sont perçues comme un important</w:t>
      </w:r>
      <w:r w:rsidR="00696C04">
        <w:t xml:space="preserve"> support</w:t>
      </w:r>
      <w:r>
        <w:t xml:space="preserve">. </w:t>
      </w:r>
      <w:r w:rsidR="00696C04">
        <w:t>Si on s’en réfère à Garcia (</w:t>
      </w:r>
      <w:r w:rsidR="00C427FA">
        <w:t xml:space="preserve">2009, </w:t>
      </w:r>
      <w:r w:rsidR="00696C04">
        <w:t xml:space="preserve">in </w:t>
      </w:r>
      <w:proofErr w:type="spellStart"/>
      <w:r w:rsidR="00696C04">
        <w:t>Cénoz</w:t>
      </w:r>
      <w:proofErr w:type="spellEnd"/>
      <w:r w:rsidR="0067784C">
        <w:t xml:space="preserve"> 2017</w:t>
      </w:r>
      <w:r w:rsidR="003870AE">
        <w:t xml:space="preserve">), le </w:t>
      </w:r>
      <w:proofErr w:type="spellStart"/>
      <w:r w:rsidR="003870AE">
        <w:t>translanguaging</w:t>
      </w:r>
      <w:proofErr w:type="spellEnd"/>
      <w:r w:rsidR="003870AE">
        <w:t xml:space="preserve"> implique</w:t>
      </w:r>
      <w:r w:rsidR="00696C04">
        <w:t xml:space="preserve"> de multiples pratiques discursives dans lesquelles les apprenants s’engage</w:t>
      </w:r>
      <w:r w:rsidR="00C427FA">
        <w:t>nt</w:t>
      </w:r>
      <w:r w:rsidR="00696C04">
        <w:t xml:space="preserve"> dans leurs environnements multilingues. </w:t>
      </w:r>
      <w:r w:rsidR="00203991">
        <w:t>A ma connaissance, ce paradigme reste encore peu</w:t>
      </w:r>
      <w:r w:rsidR="00E3128D">
        <w:t xml:space="preserve"> présent en éducation mathématique</w:t>
      </w:r>
      <w:r w:rsidR="0067784C">
        <w:t xml:space="preserve"> où on </w:t>
      </w:r>
      <w:r w:rsidR="00E5454A">
        <w:t xml:space="preserve">utilise </w:t>
      </w:r>
      <w:r w:rsidR="0067784C">
        <w:t xml:space="preserve">plus souvent </w:t>
      </w:r>
      <w:r w:rsidR="00E5454A">
        <w:t xml:space="preserve">le concept </w:t>
      </w:r>
      <w:r w:rsidR="0067784C">
        <w:t>de code-</w:t>
      </w:r>
      <w:proofErr w:type="spellStart"/>
      <w:r w:rsidR="0067784C">
        <w:t>switching</w:t>
      </w:r>
      <w:proofErr w:type="spellEnd"/>
      <w:r w:rsidR="00203991">
        <w:t>. Cep</w:t>
      </w:r>
      <w:r>
        <w:t>en</w:t>
      </w:r>
      <w:r w:rsidR="00696C04">
        <w:t xml:space="preserve">dant, on peut peut-être rapprocher </w:t>
      </w:r>
      <w:r w:rsidR="004B2792">
        <w:t xml:space="preserve">la </w:t>
      </w:r>
      <w:proofErr w:type="spellStart"/>
      <w:r w:rsidR="004B2792">
        <w:t>translanguaging</w:t>
      </w:r>
      <w:proofErr w:type="spellEnd"/>
      <w:r w:rsidR="004B2792">
        <w:t xml:space="preserve"> </w:t>
      </w:r>
      <w:r w:rsidR="00696C04">
        <w:t xml:space="preserve">du concept de </w:t>
      </w:r>
      <w:proofErr w:type="spellStart"/>
      <w:r w:rsidR="00696C04">
        <w:t>multilit</w:t>
      </w:r>
      <w:r w:rsidR="003870AE">
        <w:t>t</w:t>
      </w:r>
      <w:r w:rsidR="00B607ED">
        <w:t>é</w:t>
      </w:r>
      <w:r w:rsidR="00696C04">
        <w:t>ratie</w:t>
      </w:r>
      <w:proofErr w:type="spellEnd"/>
      <w:r w:rsidR="00696C04">
        <w:t xml:space="preserve"> que certains auteurs </w:t>
      </w:r>
      <w:r w:rsidR="004B2792">
        <w:t>en éducation mathématique</w:t>
      </w:r>
      <w:r w:rsidR="00696C04">
        <w:t xml:space="preserve"> </w:t>
      </w:r>
      <w:r w:rsidR="000816C5">
        <w:t xml:space="preserve">(cités par </w:t>
      </w:r>
      <w:proofErr w:type="spellStart"/>
      <w:r w:rsidR="000816C5">
        <w:t>Takeuchi</w:t>
      </w:r>
      <w:proofErr w:type="spellEnd"/>
      <w:r w:rsidR="000816C5">
        <w:t>, 2015)</w:t>
      </w:r>
      <w:r w:rsidR="009D5B5A">
        <w:t xml:space="preserve"> évoquent,</w:t>
      </w:r>
      <w:r w:rsidR="004B2792">
        <w:t xml:space="preserve"> </w:t>
      </w:r>
      <w:r w:rsidR="00696C04">
        <w:t>en</w:t>
      </w:r>
      <w:r>
        <w:t xml:space="preserve"> raison </w:t>
      </w:r>
      <w:r w:rsidR="00696C04">
        <w:t xml:space="preserve">probablement </w:t>
      </w:r>
      <w:r>
        <w:t>de la spécificité du contenu</w:t>
      </w:r>
      <w:r w:rsidR="00696C04">
        <w:t xml:space="preserve"> mathématique. La </w:t>
      </w:r>
      <w:proofErr w:type="spellStart"/>
      <w:r w:rsidR="00696C04">
        <w:t>multilit</w:t>
      </w:r>
      <w:r w:rsidR="003870AE">
        <w:t>t</w:t>
      </w:r>
      <w:r w:rsidR="00B607ED">
        <w:t>é</w:t>
      </w:r>
      <w:r w:rsidR="00696C04">
        <w:t>ratie</w:t>
      </w:r>
      <w:proofErr w:type="spellEnd"/>
      <w:r>
        <w:t xml:space="preserve"> considère l’idé</w:t>
      </w:r>
      <w:r w:rsidR="00696C04">
        <w:t xml:space="preserve">e de </w:t>
      </w:r>
      <w:proofErr w:type="spellStart"/>
      <w:r w:rsidR="00696C04">
        <w:t>lit</w:t>
      </w:r>
      <w:r w:rsidR="003870AE">
        <w:t>t</w:t>
      </w:r>
      <w:r w:rsidR="00B607ED">
        <w:t>é</w:t>
      </w:r>
      <w:r w:rsidR="00696C04">
        <w:t>ratie</w:t>
      </w:r>
      <w:proofErr w:type="spellEnd"/>
      <w:r w:rsidR="00696C04">
        <w:t xml:space="preserve"> comme un ensem</w:t>
      </w:r>
      <w:r>
        <w:t>ble de diverses activité</w:t>
      </w:r>
      <w:r w:rsidR="00696C04">
        <w:t>s</w:t>
      </w:r>
      <w:r w:rsidR="000816C5">
        <w:t xml:space="preserve"> sémiotiques médiatisées</w:t>
      </w:r>
      <w:r>
        <w:t xml:space="preserve"> par</w:t>
      </w:r>
      <w:r w:rsidR="00696C04">
        <w:t xml:space="preserve"> des ressources multimodales </w:t>
      </w:r>
      <w:r w:rsidR="000816C5">
        <w:t xml:space="preserve">afin de </w:t>
      </w:r>
      <w:r w:rsidR="00696C04">
        <w:t xml:space="preserve">donner </w:t>
      </w:r>
      <w:r>
        <w:t>du sens. Cette théorie met l’accent</w:t>
      </w:r>
      <w:r w:rsidR="009D5B5A">
        <w:t xml:space="preserve"> sur deux aspects de la mu</w:t>
      </w:r>
      <w:r w:rsidR="00696C04">
        <w:t>l</w:t>
      </w:r>
      <w:r w:rsidR="009D5B5A">
        <w:t>t</w:t>
      </w:r>
      <w:r w:rsidR="00696C04">
        <w:t>iplicité : a) la diversité culturelle et linguis</w:t>
      </w:r>
      <w:r>
        <w:t>t</w:t>
      </w:r>
      <w:r w:rsidR="00696C04">
        <w:t>i</w:t>
      </w:r>
      <w:r>
        <w:t>que des environnements dans lesquels les étudiants apportent de multiples langues en c</w:t>
      </w:r>
      <w:r w:rsidR="00696C04">
        <w:t xml:space="preserve">lasse et </w:t>
      </w:r>
      <w:r w:rsidR="00322AF4">
        <w:t xml:space="preserve">b) </w:t>
      </w:r>
      <w:r w:rsidR="00696C04">
        <w:t>la multiplicité des ca</w:t>
      </w:r>
      <w:r>
        <w:t>naux de communication et media incluant des lan</w:t>
      </w:r>
      <w:r w:rsidR="00696C04">
        <w:t>gages non verbaux, comme les sy</w:t>
      </w:r>
      <w:r>
        <w:t>mboles, les sons,</w:t>
      </w:r>
      <w:r w:rsidR="00696C04">
        <w:t xml:space="preserve"> les dessins, les gestes, etc.</w:t>
      </w:r>
      <w:r>
        <w:t xml:space="preserve"> </w:t>
      </w:r>
      <w:r w:rsidR="00322AF4">
        <w:t>(</w:t>
      </w:r>
      <w:proofErr w:type="spellStart"/>
      <w:r w:rsidR="000816C5">
        <w:t>multimodalité</w:t>
      </w:r>
      <w:proofErr w:type="spellEnd"/>
      <w:r w:rsidR="00322AF4">
        <w:t>)</w:t>
      </w:r>
      <w:r w:rsidR="000816C5">
        <w:t>.</w:t>
      </w:r>
    </w:p>
    <w:p w14:paraId="0F12D579" w14:textId="5ADC7F90" w:rsidR="00821501" w:rsidRDefault="00696C04" w:rsidP="000816C5">
      <w:pPr>
        <w:spacing w:before="60" w:after="60"/>
      </w:pPr>
      <w:r>
        <w:t xml:space="preserve">L’intérêt majeur de </w:t>
      </w:r>
      <w:r w:rsidR="000816C5">
        <w:t xml:space="preserve">ce type de </w:t>
      </w:r>
      <w:r>
        <w:t xml:space="preserve">paradigme </w:t>
      </w:r>
      <w:r w:rsidR="00A20B69">
        <w:t xml:space="preserve">basé sur le </w:t>
      </w:r>
      <w:proofErr w:type="spellStart"/>
      <w:r w:rsidR="00A20B69">
        <w:t>translanguaging</w:t>
      </w:r>
      <w:proofErr w:type="spellEnd"/>
      <w:r w:rsidR="00A20B69">
        <w:t xml:space="preserve"> est qu’il répond à la fois</w:t>
      </w:r>
      <w:r w:rsidR="003870AE">
        <w:t xml:space="preserve"> à</w:t>
      </w:r>
      <w:r w:rsidR="00A20B69">
        <w:t xml:space="preserve"> la problématique de</w:t>
      </w:r>
      <w:r w:rsidR="00713E38">
        <w:t xml:space="preserve">s apprentissages des langues </w:t>
      </w:r>
      <w:r w:rsidR="000816C5">
        <w:t>avec l’importance de la notion d’activité</w:t>
      </w:r>
      <w:r w:rsidR="009D5B5A">
        <w:t xml:space="preserve"> et de diversité des pratiques discursives</w:t>
      </w:r>
      <w:r w:rsidR="000816C5">
        <w:t xml:space="preserve"> qui donne sens aux apprentissages langagiers, </w:t>
      </w:r>
      <w:r w:rsidR="00713E38">
        <w:t>mais également aux principes de l’enseig</w:t>
      </w:r>
      <w:r w:rsidR="003870AE">
        <w:t>nement des mathématiques évoqué</w:t>
      </w:r>
      <w:r w:rsidR="00713E38">
        <w:t>s dans la section 2 de cet article.</w:t>
      </w:r>
    </w:p>
    <w:p w14:paraId="636ED620" w14:textId="3B596CCB" w:rsidR="00712D2F" w:rsidRPr="004C5615" w:rsidRDefault="00712D2F" w:rsidP="00712D2F">
      <w:pPr>
        <w:pStyle w:val="Titre2"/>
      </w:pPr>
      <w:r>
        <w:t xml:space="preserve">Les croyances des enseignants </w:t>
      </w:r>
      <w:r w:rsidR="00D67B23">
        <w:t>en matière d'</w:t>
      </w:r>
      <w:r w:rsidR="00AF2C5C">
        <w:t>enseignement des mathématiques en classe multilingue</w:t>
      </w:r>
    </w:p>
    <w:p w14:paraId="5A0AA429" w14:textId="2922BF90" w:rsidR="00D67B23" w:rsidRPr="006427F2" w:rsidRDefault="00AF2C5C" w:rsidP="006427F2">
      <w:pPr>
        <w:spacing w:before="60" w:after="60"/>
      </w:pPr>
      <w:r>
        <w:t xml:space="preserve">Malgré </w:t>
      </w:r>
      <w:r w:rsidR="00D67B23">
        <w:t xml:space="preserve">l’intérêt potentiel du </w:t>
      </w:r>
      <w:proofErr w:type="spellStart"/>
      <w:r w:rsidR="00D67B23">
        <w:t>translanguaging</w:t>
      </w:r>
      <w:proofErr w:type="spellEnd"/>
      <w:r w:rsidR="00D67B23">
        <w:t>, cette pratique risque</w:t>
      </w:r>
      <w:r w:rsidR="000816C5">
        <w:t>,</w:t>
      </w:r>
      <w:r w:rsidR="00D67B23">
        <w:t xml:space="preserve"> </w:t>
      </w:r>
      <w:r w:rsidR="000816C5">
        <w:t xml:space="preserve">dans le concret des classes, </w:t>
      </w:r>
      <w:r w:rsidR="00D67B23">
        <w:t xml:space="preserve">de se heurter à diverses croyances bien ancrées chez certains enseignants. Au </w:t>
      </w:r>
      <w:r w:rsidR="003870AE">
        <w:t>Grand-</w:t>
      </w:r>
      <w:r w:rsidR="000816C5">
        <w:t xml:space="preserve">Duché du </w:t>
      </w:r>
      <w:r w:rsidR="00D67B23">
        <w:t>Luxembourg, aucune étude n’a encore été menée sur le sujet mais après une expérience de 11 ans en tant qu’enseignante</w:t>
      </w:r>
      <w:r w:rsidR="000816C5">
        <w:t>-chercheure</w:t>
      </w:r>
      <w:r w:rsidR="00D67B23">
        <w:t xml:space="preserve"> dans la formation des futurs instituteurs primaire et préscolaire, j’ai eu l’opportunité de me rendre régulièrement dans les classes pour les visites de stage. Par ailleurs, j’ai mené tout récemment un projet de recherche en algèbre en collaboration avec les professeurs de mathématiques du début du secondair</w:t>
      </w:r>
      <w:r w:rsidR="000816C5">
        <w:t>e. De ces nombreuses rencontres, certaines croyances</w:t>
      </w:r>
      <w:r w:rsidR="00D67B23">
        <w:t xml:space="preserve"> pointées</w:t>
      </w:r>
      <w:r w:rsidR="001D35E5">
        <w:t>,</w:t>
      </w:r>
      <w:r w:rsidR="00D67B23">
        <w:t xml:space="preserve"> par ailleurs</w:t>
      </w:r>
      <w:r w:rsidR="001D35E5">
        <w:t>,</w:t>
      </w:r>
      <w:r w:rsidR="00D67B23">
        <w:t xml:space="preserve"> dans la littérature de recherche, sont régulièrement ressorties du discours des enseignants : </w:t>
      </w:r>
      <w:r w:rsidR="006427F2">
        <w:t xml:space="preserve">1) </w:t>
      </w:r>
      <w:r w:rsidR="00D67B23" w:rsidRPr="006427F2">
        <w:t xml:space="preserve">Penser qu’on </w:t>
      </w:r>
      <w:r w:rsidR="00D67B23" w:rsidRPr="006427F2">
        <w:lastRenderedPageBreak/>
        <w:t>apprend les langues “automatiquem</w:t>
      </w:r>
      <w:r w:rsidR="003870AE">
        <w:t>ent” en étant simplement exposé</w:t>
      </w:r>
      <w:r w:rsidR="00D67B23" w:rsidRPr="006427F2">
        <w:t xml:space="preserve"> à un enseignem</w:t>
      </w:r>
      <w:r w:rsidRPr="006427F2">
        <w:t>ent donné dans la</w:t>
      </w:r>
      <w:r w:rsidR="00D67B23" w:rsidRPr="006427F2">
        <w:t xml:space="preserve"> langue cible et qu’il n’est pas nécessaire de mettre en place des</w:t>
      </w:r>
      <w:r w:rsidR="000816C5" w:rsidRPr="006427F2">
        <w:t xml:space="preserve"> opportunités d’apprentissage (Kirsch, 2006 ; </w:t>
      </w:r>
      <w:r w:rsidR="00D67B23" w:rsidRPr="006427F2">
        <w:t xml:space="preserve"> </w:t>
      </w:r>
      <w:proofErr w:type="spellStart"/>
      <w:r w:rsidR="00D67B23" w:rsidRPr="006427F2">
        <w:t>Takeuchi</w:t>
      </w:r>
      <w:proofErr w:type="spellEnd"/>
      <w:r w:rsidR="000816C5" w:rsidRPr="006427F2">
        <w:t>,</w:t>
      </w:r>
      <w:r w:rsidR="00D67B23" w:rsidRPr="006427F2">
        <w:t xml:space="preserve"> 2015</w:t>
      </w:r>
      <w:r w:rsidR="000816C5" w:rsidRPr="006427F2">
        <w:t>)</w:t>
      </w:r>
      <w:r w:rsidR="006427F2">
        <w:t> ; 2) I</w:t>
      </w:r>
      <w:r w:rsidR="006427F2" w:rsidRPr="006427F2">
        <w:t xml:space="preserve">nterdire aux élèves d’utiliser leur langue maternelle </w:t>
      </w:r>
      <w:r w:rsidR="006427F2">
        <w:t>a</w:t>
      </w:r>
      <w:r w:rsidR="00D67B23" w:rsidRPr="006427F2">
        <w:t xml:space="preserve">fin de maximiser l’exposition à la langue cible, </w:t>
      </w:r>
      <w:r w:rsidR="000816C5" w:rsidRPr="006427F2">
        <w:t>(</w:t>
      </w:r>
      <w:proofErr w:type="spellStart"/>
      <w:r w:rsidR="000816C5" w:rsidRPr="006427F2">
        <w:t>T</w:t>
      </w:r>
      <w:r w:rsidR="00D67B23" w:rsidRPr="006427F2">
        <w:t>akeuchi</w:t>
      </w:r>
      <w:proofErr w:type="spellEnd"/>
      <w:r w:rsidR="000816C5" w:rsidRPr="006427F2">
        <w:t>, 2015</w:t>
      </w:r>
      <w:r w:rsidR="00D67B23" w:rsidRPr="006427F2">
        <w:t>)</w:t>
      </w:r>
      <w:r w:rsidR="006427F2">
        <w:t xml:space="preserve"> ; 3) </w:t>
      </w:r>
      <w:r w:rsidR="003870AE">
        <w:t>Sous-</w:t>
      </w:r>
      <w:r w:rsidRPr="006427F2">
        <w:t>estimer les difficultés et les problèmes de lang</w:t>
      </w:r>
      <w:r w:rsidR="000816C5" w:rsidRPr="006427F2">
        <w:t>ues des apprenants (</w:t>
      </w:r>
      <w:proofErr w:type="spellStart"/>
      <w:r w:rsidR="000816C5" w:rsidRPr="006427F2">
        <w:t>K</w:t>
      </w:r>
      <w:r w:rsidRPr="006427F2">
        <w:t>asule</w:t>
      </w:r>
      <w:proofErr w:type="spellEnd"/>
      <w:r w:rsidR="000816C5" w:rsidRPr="006427F2">
        <w:t xml:space="preserve"> &amp; </w:t>
      </w:r>
      <w:proofErr w:type="spellStart"/>
      <w:r w:rsidR="000816C5" w:rsidRPr="006427F2">
        <w:t>Mapolelo</w:t>
      </w:r>
      <w:proofErr w:type="spellEnd"/>
      <w:r w:rsidR="000816C5" w:rsidRPr="006427F2">
        <w:t xml:space="preserve">, </w:t>
      </w:r>
      <w:r w:rsidR="00E808FF" w:rsidRPr="006427F2">
        <w:t>2005</w:t>
      </w:r>
      <w:r w:rsidRPr="006427F2">
        <w:t>)</w:t>
      </w:r>
      <w:r w:rsidR="006427F2">
        <w:t xml:space="preserve"> ; 4) </w:t>
      </w:r>
      <w:r w:rsidRPr="006427F2">
        <w:t>Considérer les mathématiques comme une matière indépendante</w:t>
      </w:r>
      <w:r w:rsidR="00E808FF" w:rsidRPr="006427F2">
        <w:t xml:space="preserve"> de la langue (</w:t>
      </w:r>
      <w:proofErr w:type="spellStart"/>
      <w:r w:rsidR="00E808FF" w:rsidRPr="006427F2">
        <w:t>T</w:t>
      </w:r>
      <w:r w:rsidRPr="006427F2">
        <w:t>akeuchi</w:t>
      </w:r>
      <w:proofErr w:type="spellEnd"/>
      <w:r w:rsidR="00E808FF" w:rsidRPr="006427F2">
        <w:t>, 2015</w:t>
      </w:r>
      <w:r w:rsidRPr="006427F2">
        <w:t>)</w:t>
      </w:r>
      <w:r w:rsidR="006427F2">
        <w:t xml:space="preserve"> ; 5) </w:t>
      </w:r>
      <w:proofErr w:type="spellStart"/>
      <w:r w:rsidRPr="006427F2">
        <w:t>E</w:t>
      </w:r>
      <w:r w:rsidR="00D67B23" w:rsidRPr="006427F2">
        <w:t>viter</w:t>
      </w:r>
      <w:proofErr w:type="spellEnd"/>
      <w:r w:rsidR="00D67B23" w:rsidRPr="006427F2">
        <w:t xml:space="preserve"> les aspects la</w:t>
      </w:r>
      <w:r w:rsidRPr="006427F2">
        <w:t>ngagiers de l’enseignemen</w:t>
      </w:r>
      <w:r w:rsidR="00D67B23" w:rsidRPr="006427F2">
        <w:t xml:space="preserve">t </w:t>
      </w:r>
      <w:r w:rsidRPr="006427F2">
        <w:t xml:space="preserve">des mathématiques </w:t>
      </w:r>
      <w:r w:rsidR="00D67B23" w:rsidRPr="006427F2">
        <w:t>en décontextualisant les problèmes et en évitant des pertes de temps dans les interactions verbales. Une pratique fréquente consiste à cibler les apprentissages mathématiques sur les calculs e</w:t>
      </w:r>
      <w:r w:rsidRPr="006427F2">
        <w:t xml:space="preserve">t </w:t>
      </w:r>
      <w:r w:rsidR="00D67B23" w:rsidRPr="006427F2">
        <w:t>procédures considérant les textes et contexte</w:t>
      </w:r>
      <w:r w:rsidRPr="006427F2">
        <w:t>s</w:t>
      </w:r>
      <w:r w:rsidR="00D67B23" w:rsidRPr="006427F2">
        <w:t xml:space="preserve"> </w:t>
      </w:r>
      <w:r w:rsidR="00E808FF" w:rsidRPr="006427F2">
        <w:t xml:space="preserve">comme de peu d’importance (Smit &amp; van </w:t>
      </w:r>
      <w:proofErr w:type="spellStart"/>
      <w:r w:rsidR="00E808FF" w:rsidRPr="006427F2">
        <w:t>E</w:t>
      </w:r>
      <w:r w:rsidR="00D67B23" w:rsidRPr="006427F2">
        <w:t>erde</w:t>
      </w:r>
      <w:proofErr w:type="spellEnd"/>
      <w:r w:rsidR="00E808FF" w:rsidRPr="006427F2">
        <w:t>, 2011</w:t>
      </w:r>
      <w:r w:rsidR="00D67B23" w:rsidRPr="006427F2">
        <w:t>)</w:t>
      </w:r>
      <w:r w:rsidR="00E808FF" w:rsidRPr="006427F2">
        <w:t>.</w:t>
      </w:r>
    </w:p>
    <w:p w14:paraId="24CB241E" w14:textId="05BB07C9" w:rsidR="00CE2AF6" w:rsidRDefault="00AF2C5C" w:rsidP="006427F2">
      <w:r>
        <w:t xml:space="preserve">Ces croyances que j’ai </w:t>
      </w:r>
      <w:r w:rsidR="00E808FF">
        <w:t xml:space="preserve">pu </w:t>
      </w:r>
      <w:r w:rsidR="009D5B5A">
        <w:t xml:space="preserve">observer </w:t>
      </w:r>
      <w:r w:rsidR="00557481">
        <w:t>dans le discours de certains</w:t>
      </w:r>
      <w:r w:rsidR="001D35E5">
        <w:t xml:space="preserve"> enseignants</w:t>
      </w:r>
      <w:r>
        <w:t xml:space="preserve"> renvoie</w:t>
      </w:r>
      <w:r w:rsidR="003870AE">
        <w:t>nt</w:t>
      </w:r>
      <w:r>
        <w:t xml:space="preserve"> non </w:t>
      </w:r>
      <w:r w:rsidRPr="006427F2">
        <w:t>seulement à la question des langues et de leur apprentissage, mais également à la conception</w:t>
      </w:r>
      <w:r>
        <w:t xml:space="preserve"> de l’enseignement des mathématiques. Les enseignants qui présentent des croyances 4 ou 5</w:t>
      </w:r>
      <w:r w:rsidR="00557481">
        <w:t xml:space="preserve"> ne vont pas être sans conséquence pour l’enseignement des langues mais également et surtout pour l’enseignement des mathématiques, même en milieu monolingue.</w:t>
      </w:r>
    </w:p>
    <w:p w14:paraId="3401FDFD" w14:textId="25E4E4A0" w:rsidR="008C618A" w:rsidRDefault="008C618A" w:rsidP="008C618A">
      <w:pPr>
        <w:pStyle w:val="Titre1"/>
      </w:pPr>
      <w:r>
        <w:t>Pis</w:t>
      </w:r>
      <w:r w:rsidR="00CF3175">
        <w:t>tes d’actions pratiques dans le contexte</w:t>
      </w:r>
      <w:r>
        <w:t xml:space="preserve"> CLIL</w:t>
      </w:r>
    </w:p>
    <w:p w14:paraId="14CDFCE3" w14:textId="78D59CA7" w:rsidR="006427F2" w:rsidRDefault="00CF3175" w:rsidP="006427F2">
      <w:r>
        <w:t>Dans le contexte</w:t>
      </w:r>
      <w:r w:rsidR="008C618A">
        <w:t xml:space="preserve"> </w:t>
      </w:r>
      <w:r w:rsidR="00E808FF">
        <w:t xml:space="preserve">des </w:t>
      </w:r>
      <w:r w:rsidR="008C618A">
        <w:t xml:space="preserve">CLIL, le recours à des pratiques pédagogiques </w:t>
      </w:r>
      <w:r>
        <w:t xml:space="preserve">spécifiques </w:t>
      </w:r>
      <w:r w:rsidR="008C618A">
        <w:t xml:space="preserve">est crucial si on veut parvenir à </w:t>
      </w:r>
      <w:r>
        <w:t xml:space="preserve">atteindre à la fois les objectifs </w:t>
      </w:r>
      <w:r w:rsidR="0003368C">
        <w:t>de langue</w:t>
      </w:r>
      <w:r>
        <w:t xml:space="preserve"> et </w:t>
      </w:r>
      <w:r w:rsidR="0003368C">
        <w:t>de contenu.</w:t>
      </w:r>
      <w:r w:rsidR="002D7EE7">
        <w:t xml:space="preserve"> </w:t>
      </w:r>
      <w:r>
        <w:t xml:space="preserve">Or, </w:t>
      </w:r>
      <w:r w:rsidR="0003368C">
        <w:t xml:space="preserve">plusieurs </w:t>
      </w:r>
      <w:r w:rsidR="006A5ED7">
        <w:t>enseignants luxembourgeois</w:t>
      </w:r>
      <w:r w:rsidR="006156BF">
        <w:t xml:space="preserve"> parmi ceux que j’ai eu l’occasion de rencontrer</w:t>
      </w:r>
      <w:r w:rsidR="006A5ED7">
        <w:t xml:space="preserve"> </w:t>
      </w:r>
      <w:r w:rsidR="00027B4E">
        <w:t xml:space="preserve">semblent « nier » </w:t>
      </w:r>
      <w:r w:rsidR="006156BF">
        <w:t xml:space="preserve">le problème du multilinguisme </w:t>
      </w:r>
      <w:r w:rsidR="000B7A35">
        <w:t>de leur classe</w:t>
      </w:r>
      <w:r>
        <w:t xml:space="preserve">. </w:t>
      </w:r>
      <w:r w:rsidR="006156BF">
        <w:t>En effet, s</w:t>
      </w:r>
      <w:r>
        <w:t xml:space="preserve">oit les enseignants </w:t>
      </w:r>
      <w:r w:rsidR="006156BF">
        <w:t xml:space="preserve">affirment </w:t>
      </w:r>
      <w:r>
        <w:t>que dans leur classe</w:t>
      </w:r>
      <w:r w:rsidR="0003368C">
        <w:t>,</w:t>
      </w:r>
      <w:r>
        <w:t xml:space="preserve"> les enfants maîtrisent tous suffisamment la langue d’enseignement (croyance</w:t>
      </w:r>
      <w:r w:rsidR="006156BF">
        <w:t xml:space="preserve"> 3</w:t>
      </w:r>
      <w:r>
        <w:t>), soit que les enfants apprendront au simple contact de la langue</w:t>
      </w:r>
      <w:r w:rsidR="006156BF">
        <w:t xml:space="preserve"> (croyance 4)</w:t>
      </w:r>
      <w:r>
        <w:t xml:space="preserve">. Dans le cas du secondaire, </w:t>
      </w:r>
      <w:r w:rsidR="00027B4E">
        <w:t xml:space="preserve">certains </w:t>
      </w:r>
      <w:r>
        <w:t xml:space="preserve">enseignants préoccupés par le faible niveau de français des élèves, préfèrent donner leur cours de </w:t>
      </w:r>
      <w:r w:rsidR="000B7A35">
        <w:t>mathématiques en luxembourgeois</w:t>
      </w:r>
      <w:r>
        <w:t xml:space="preserve"> </w:t>
      </w:r>
      <w:r w:rsidR="000B7A35">
        <w:t xml:space="preserve">afin que les élèves </w:t>
      </w:r>
      <w:r>
        <w:t>compren</w:t>
      </w:r>
      <w:r w:rsidR="000B7A35">
        <w:t>nen</w:t>
      </w:r>
      <w:r>
        <w:t xml:space="preserve">t mieux la matière. Sauf que les tests et évaluations </w:t>
      </w:r>
      <w:r w:rsidR="00027B4E">
        <w:t xml:space="preserve">sont </w:t>
      </w:r>
      <w:r w:rsidR="006156BF">
        <w:t xml:space="preserve">rédigés </w:t>
      </w:r>
      <w:r>
        <w:t>en français</w:t>
      </w:r>
      <w:r w:rsidR="00027B4E">
        <w:t xml:space="preserve">, et les réponses doivent également être formulées en français. Dans ce cas, il est à craindre que les aspects langagiers dans les questions et les réponses </w:t>
      </w:r>
      <w:r w:rsidR="000B7A35">
        <w:t xml:space="preserve">des évaluations </w:t>
      </w:r>
      <w:r w:rsidR="00027B4E">
        <w:t>soient fortement réduits.</w:t>
      </w:r>
      <w:r>
        <w:t xml:space="preserve"> Cette attitude</w:t>
      </w:r>
      <w:r w:rsidR="003870AE">
        <w:t>,</w:t>
      </w:r>
      <w:r>
        <w:t xml:space="preserve"> partant pourtant d’une bonne intention</w:t>
      </w:r>
      <w:r w:rsidR="00027B4E">
        <w:t>,</w:t>
      </w:r>
      <w:r>
        <w:t xml:space="preserve"> est </w:t>
      </w:r>
      <w:r w:rsidR="00027B4E">
        <w:t>peu app</w:t>
      </w:r>
      <w:r w:rsidR="00603D85">
        <w:t xml:space="preserve">ropriée, d’une part, parce que </w:t>
      </w:r>
      <w:r w:rsidR="00027B4E">
        <w:t xml:space="preserve">les étudiants ne maîtrisent </w:t>
      </w:r>
      <w:r w:rsidR="000B7A35">
        <w:t xml:space="preserve">de toute façon </w:t>
      </w:r>
      <w:r w:rsidR="00027B4E">
        <w:t>pas</w:t>
      </w:r>
      <w:r w:rsidR="0003368C">
        <w:t xml:space="preserve"> </w:t>
      </w:r>
      <w:r w:rsidR="00603D85">
        <w:t xml:space="preserve">tous </w:t>
      </w:r>
      <w:r w:rsidR="00027B4E">
        <w:t xml:space="preserve">le luxembourgeois, c’est donc reporter le problème sur certains élèves, et d’autre part, cette réduction des aspects langagiers dans les évaluations entraînera par voie de conséquence souvent </w:t>
      </w:r>
      <w:r w:rsidR="009F25B6">
        <w:t xml:space="preserve">une réduction des aspects langagiers </w:t>
      </w:r>
      <w:r w:rsidR="00027B4E">
        <w:t>dans les apprentissages eux-mêmes</w:t>
      </w:r>
      <w:r w:rsidR="000B7A35">
        <w:t xml:space="preserve"> (croyance 5)</w:t>
      </w:r>
      <w:r w:rsidR="00027B4E">
        <w:t>. En conséquence, on assiste le plus souvent à un enseignement des mathématiques pa</w:t>
      </w:r>
      <w:r w:rsidR="00FA2F2E">
        <w:t xml:space="preserve">uvre en discussions et échanges, </w:t>
      </w:r>
      <w:r w:rsidR="000B7A35">
        <w:t xml:space="preserve">pourtant </w:t>
      </w:r>
      <w:r w:rsidR="00FA2F2E">
        <w:t>nécessaires au développement de la pensée mathématique comme évoqué au point 2.</w:t>
      </w:r>
      <w:r w:rsidR="006427F2">
        <w:t xml:space="preserve"> </w:t>
      </w:r>
    </w:p>
    <w:p w14:paraId="681B129D" w14:textId="3D6B594C" w:rsidR="00FA2F2E" w:rsidRDefault="000B7A35" w:rsidP="006427F2">
      <w:r>
        <w:t xml:space="preserve">Ces </w:t>
      </w:r>
      <w:r w:rsidR="0003368C">
        <w:t xml:space="preserve">quelques </w:t>
      </w:r>
      <w:r>
        <w:t xml:space="preserve">constats m’amènent à considérer, avec </w:t>
      </w:r>
      <w:r w:rsidR="00FA2F2E">
        <w:t xml:space="preserve">Smit et van </w:t>
      </w:r>
      <w:proofErr w:type="spellStart"/>
      <w:r w:rsidR="00FA2F2E">
        <w:t>Eerde</w:t>
      </w:r>
      <w:proofErr w:type="spellEnd"/>
      <w:r w:rsidR="00FA2F2E">
        <w:t xml:space="preserve"> (2011)</w:t>
      </w:r>
      <w:r>
        <w:t>, que</w:t>
      </w:r>
      <w:r w:rsidR="00FA2F2E">
        <w:t xml:space="preserve"> le </w:t>
      </w:r>
      <w:r>
        <w:t xml:space="preserve">premier pas </w:t>
      </w:r>
      <w:r w:rsidR="00FA2F2E">
        <w:t>vers des pratiques adaptées au contexte CLIL, consiste</w:t>
      </w:r>
      <w:r w:rsidR="0003368C">
        <w:t xml:space="preserve"> peut-être</w:t>
      </w:r>
      <w:r w:rsidR="00FA2F2E">
        <w:t xml:space="preserve"> à faire prendre conscience aux enseignants</w:t>
      </w:r>
      <w:r w:rsidR="0003368C">
        <w:t xml:space="preserve"> des problèmes linguistiques de leurs</w:t>
      </w:r>
      <w:r w:rsidR="00FA2F2E">
        <w:t xml:space="preserve"> élèves et de la nécessité de viser </w:t>
      </w:r>
      <w:r w:rsidR="009D5B5A">
        <w:t xml:space="preserve">dans leur cours de mathématiques, </w:t>
      </w:r>
      <w:r w:rsidR="00FA2F2E">
        <w:t>à la fois des apprent</w:t>
      </w:r>
      <w:r w:rsidR="009D5B5A">
        <w:t>issages de contenu et de langue</w:t>
      </w:r>
      <w:r w:rsidR="00FA2F2E">
        <w:t>.</w:t>
      </w:r>
    </w:p>
    <w:p w14:paraId="7E15F456" w14:textId="31BA9C58" w:rsidR="00027B4E" w:rsidRDefault="008C4A3E" w:rsidP="00124604">
      <w:r>
        <w:t>Ensuite, l</w:t>
      </w:r>
      <w:r w:rsidR="00FA2F2E">
        <w:t xml:space="preserve">e </w:t>
      </w:r>
      <w:proofErr w:type="spellStart"/>
      <w:r w:rsidR="00FA2F2E">
        <w:t>translanguaging</w:t>
      </w:r>
      <w:proofErr w:type="spellEnd"/>
      <w:r w:rsidR="00FA2F2E">
        <w:t xml:space="preserve"> </w:t>
      </w:r>
      <w:r w:rsidR="00521CD8">
        <w:t xml:space="preserve">peut </w:t>
      </w:r>
      <w:r w:rsidR="00FA2F2E">
        <w:t>constitue</w:t>
      </w:r>
      <w:r w:rsidR="00521CD8">
        <w:t>r</w:t>
      </w:r>
      <w:r w:rsidR="00FA2F2E">
        <w:t xml:space="preserve"> un cadre général d’action</w:t>
      </w:r>
      <w:r w:rsidR="000B7A35">
        <w:t>s</w:t>
      </w:r>
      <w:r w:rsidR="009D5B5A">
        <w:t xml:space="preserve"> dans lequel</w:t>
      </w:r>
      <w:r w:rsidR="00FA2F2E">
        <w:t xml:space="preserve"> des pratiques précises peuvent être développées</w:t>
      </w:r>
      <w:r w:rsidR="000B7A35">
        <w:t xml:space="preserve"> dans les contextes CLIL</w:t>
      </w:r>
      <w:r w:rsidR="00FA2F2E">
        <w:t xml:space="preserve">. </w:t>
      </w:r>
      <w:r w:rsidR="009D5B5A">
        <w:t xml:space="preserve">A ce sujet, </w:t>
      </w:r>
      <w:proofErr w:type="spellStart"/>
      <w:r w:rsidR="009D5B5A">
        <w:t>Cenoz</w:t>
      </w:r>
      <w:proofErr w:type="spellEnd"/>
      <w:r w:rsidR="009D5B5A">
        <w:t xml:space="preserve"> et </w:t>
      </w:r>
      <w:proofErr w:type="spellStart"/>
      <w:r w:rsidR="009D5B5A">
        <w:t>G</w:t>
      </w:r>
      <w:r w:rsidR="00F92014">
        <w:t>orter</w:t>
      </w:r>
      <w:proofErr w:type="spellEnd"/>
      <w:r w:rsidR="00F92014">
        <w:t xml:space="preserve"> (</w:t>
      </w:r>
      <w:r w:rsidR="009D5B5A">
        <w:t xml:space="preserve">2017, </w:t>
      </w:r>
      <w:r w:rsidR="00F92014">
        <w:t xml:space="preserve">in </w:t>
      </w:r>
      <w:proofErr w:type="spellStart"/>
      <w:r w:rsidR="00F92014">
        <w:t>Cenoz</w:t>
      </w:r>
      <w:proofErr w:type="spellEnd"/>
      <w:r w:rsidR="00F92014">
        <w:t xml:space="preserve">, 2017) </w:t>
      </w:r>
      <w:r w:rsidR="00F978EE">
        <w:t>évoque</w:t>
      </w:r>
      <w:r w:rsidR="0006655E">
        <w:t>nt</w:t>
      </w:r>
      <w:r w:rsidR="00F978EE">
        <w:t xml:space="preserve"> </w:t>
      </w:r>
      <w:r w:rsidR="000E4A50">
        <w:t xml:space="preserve">deux types de </w:t>
      </w:r>
      <w:proofErr w:type="spellStart"/>
      <w:r w:rsidR="000E4A50">
        <w:t>translanguaging</w:t>
      </w:r>
      <w:proofErr w:type="spellEnd"/>
      <w:r w:rsidR="000E4A50">
        <w:t xml:space="preserve">, </w:t>
      </w:r>
      <w:r w:rsidR="00F978EE">
        <w:t xml:space="preserve">le </w:t>
      </w:r>
      <w:proofErr w:type="spellStart"/>
      <w:r w:rsidR="00F978EE" w:rsidRPr="000B7A35">
        <w:rPr>
          <w:i/>
        </w:rPr>
        <w:t>translanguaging</w:t>
      </w:r>
      <w:proofErr w:type="spellEnd"/>
      <w:r w:rsidR="00F978EE" w:rsidRPr="000B7A35">
        <w:rPr>
          <w:i/>
        </w:rPr>
        <w:t xml:space="preserve"> pédagogique</w:t>
      </w:r>
      <w:r w:rsidR="00F978EE">
        <w:t xml:space="preserve"> </w:t>
      </w:r>
      <w:r w:rsidR="00521CD8">
        <w:t xml:space="preserve">d’une part et le </w:t>
      </w:r>
      <w:proofErr w:type="spellStart"/>
      <w:r w:rsidR="00521CD8" w:rsidRPr="000B7A35">
        <w:rPr>
          <w:i/>
        </w:rPr>
        <w:t>translanguaging</w:t>
      </w:r>
      <w:proofErr w:type="spellEnd"/>
      <w:r w:rsidR="00521CD8" w:rsidRPr="000B7A35">
        <w:rPr>
          <w:i/>
        </w:rPr>
        <w:t xml:space="preserve"> spontané</w:t>
      </w:r>
      <w:r w:rsidR="00521CD8">
        <w:t xml:space="preserve"> d’autre part. Le premier est </w:t>
      </w:r>
      <w:r w:rsidR="00F978EE">
        <w:t>planifié par l’enseignant et peut référer</w:t>
      </w:r>
      <w:r w:rsidR="000E4A50">
        <w:t>, par exemple,</w:t>
      </w:r>
      <w:r w:rsidR="00F978EE">
        <w:t xml:space="preserve"> à l</w:t>
      </w:r>
      <w:r w:rsidR="00F3738A">
        <w:t>’utilisation de lang</w:t>
      </w:r>
      <w:r w:rsidR="00F978EE">
        <w:t>age</w:t>
      </w:r>
      <w:r w:rsidR="00F3738A">
        <w:t>s</w:t>
      </w:r>
      <w:r w:rsidR="00F978EE">
        <w:t xml:space="preserve"> </w:t>
      </w:r>
      <w:r w:rsidR="00F3738A">
        <w:t xml:space="preserve">différents </w:t>
      </w:r>
      <w:r w:rsidR="009D5B5A">
        <w:t>pour</w:t>
      </w:r>
      <w:r w:rsidR="00F978EE">
        <w:t xml:space="preserve"> l’input (écouter/lire) et l’output (parler/écrire) ou tout autre</w:t>
      </w:r>
      <w:r w:rsidR="003870AE">
        <w:t xml:space="preserve"> stratégie planifiée basée</w:t>
      </w:r>
      <w:r w:rsidR="00F978EE">
        <w:t xml:space="preserve"> sur l’utilisation des ressources des étudiants au départ de l’ensemble de leur répertoire linguistique. Smit </w:t>
      </w:r>
      <w:r w:rsidR="00D9781A">
        <w:t xml:space="preserve">(2013) </w:t>
      </w:r>
      <w:r w:rsidR="00521CD8">
        <w:t xml:space="preserve">préconise des pratiques </w:t>
      </w:r>
      <w:r w:rsidR="00D9781A">
        <w:t>d’étayage précises telles que</w:t>
      </w:r>
      <w:r w:rsidR="003870AE">
        <w:t> :</w:t>
      </w:r>
      <w:r w:rsidR="00D9781A">
        <w:t xml:space="preserve"> proposer une</w:t>
      </w:r>
      <w:r w:rsidR="0006655E">
        <w:t xml:space="preserve"> liste de mots</w:t>
      </w:r>
      <w:r w:rsidR="00521CD8">
        <w:t xml:space="preserve"> </w:t>
      </w:r>
      <w:r w:rsidR="00D9781A">
        <w:t xml:space="preserve">ou </w:t>
      </w:r>
      <w:r w:rsidR="00D9781A">
        <w:lastRenderedPageBreak/>
        <w:t xml:space="preserve">des plans écrits, utiliser </w:t>
      </w:r>
      <w:r w:rsidR="00A16CDD">
        <w:t>de</w:t>
      </w:r>
      <w:r w:rsidR="00D9781A">
        <w:t>s</w:t>
      </w:r>
      <w:r w:rsidR="00A16CDD">
        <w:t xml:space="preserve"> gestes ou de</w:t>
      </w:r>
      <w:r w:rsidR="00D9781A">
        <w:t>s</w:t>
      </w:r>
      <w:r w:rsidR="00A16CDD">
        <w:t xml:space="preserve"> schémas pour supporter les réflexions verbales</w:t>
      </w:r>
      <w:r w:rsidR="00D9781A">
        <w:t>, etc</w:t>
      </w:r>
      <w:r w:rsidR="000E4A50">
        <w:t xml:space="preserve">. Le </w:t>
      </w:r>
      <w:proofErr w:type="spellStart"/>
      <w:r w:rsidR="000E4A50">
        <w:t>translan</w:t>
      </w:r>
      <w:r w:rsidR="004178D7">
        <w:t>guaging</w:t>
      </w:r>
      <w:proofErr w:type="spellEnd"/>
      <w:r w:rsidR="004178D7">
        <w:t xml:space="preserve"> spontané, quant à lui, </w:t>
      </w:r>
      <w:r w:rsidR="000E4A50">
        <w:t>renvoie aux pratiques discursives qui peuvent prendre place au sein de la classe</w:t>
      </w:r>
      <w:r w:rsidR="00D9781A">
        <w:t xml:space="preserve"> dans le flux des discussions</w:t>
      </w:r>
      <w:r w:rsidR="000E4A50">
        <w:t>.</w:t>
      </w:r>
      <w:r w:rsidR="00F3738A">
        <w:t xml:space="preserve"> </w:t>
      </w:r>
      <w:bookmarkStart w:id="0" w:name="_GoBack"/>
      <w:r w:rsidR="000B7A35">
        <w:t xml:space="preserve">Cette distinction des deux types </w:t>
      </w:r>
      <w:r w:rsidR="00322AF4">
        <w:t xml:space="preserve">de </w:t>
      </w:r>
      <w:proofErr w:type="spellStart"/>
      <w:r w:rsidR="00322AF4">
        <w:t>translanguaging</w:t>
      </w:r>
      <w:proofErr w:type="spellEnd"/>
      <w:r w:rsidR="00322AF4">
        <w:t xml:space="preserve"> me paraît intéressante dans la mesure où elle met en évidence le fait qu’il ne suffit pas pour un </w:t>
      </w:r>
      <w:r w:rsidR="0006655E">
        <w:t>enseignant de se montrer ouvert</w:t>
      </w:r>
      <w:r w:rsidR="00322AF4">
        <w:t xml:space="preserve"> aux différentes langues parlées par les élèves de sa classe, de favoriser les échanges ou </w:t>
      </w:r>
      <w:r w:rsidR="00D9781A">
        <w:t xml:space="preserve">de </w:t>
      </w:r>
      <w:r w:rsidR="00322AF4">
        <w:t>te</w:t>
      </w:r>
      <w:r w:rsidR="0006655E">
        <w:t xml:space="preserve">nir compte des ressources des </w:t>
      </w:r>
      <w:r w:rsidR="00322AF4">
        <w:t>élèves, il s’agit également de planifier a priori des pratiques précises, que ce soi</w:t>
      </w:r>
      <w:r w:rsidR="00D9781A">
        <w:t xml:space="preserve">ent </w:t>
      </w:r>
      <w:r w:rsidR="00124604">
        <w:t xml:space="preserve">des outils d’étayage comme ceux qui viennent d’être évoqués ou encore </w:t>
      </w:r>
      <w:r w:rsidR="00D9781A">
        <w:t>des activités permettant le développement d’</w:t>
      </w:r>
      <w:r w:rsidR="00124604">
        <w:t>approches multimodales.</w:t>
      </w:r>
      <w:bookmarkEnd w:id="0"/>
    </w:p>
    <w:p w14:paraId="7B407C98" w14:textId="6EDCC443" w:rsidR="003912FD" w:rsidRDefault="001556CF" w:rsidP="003912FD">
      <w:r>
        <w:t xml:space="preserve">De ce point de vue, </w:t>
      </w:r>
      <w:r w:rsidR="003912FD">
        <w:t xml:space="preserve">au début du secondaire, </w:t>
      </w:r>
      <w:r>
        <w:t>les activités de généralisati</w:t>
      </w:r>
      <w:r w:rsidR="003912FD">
        <w:t>on peuvent remplir cet obj</w:t>
      </w:r>
      <w:r w:rsidR="0006655E">
        <w:t>ectif. Sur le plan mathématique</w:t>
      </w:r>
      <w:r w:rsidR="003912FD">
        <w:t>, l</w:t>
      </w:r>
      <w:r w:rsidR="003912FD" w:rsidRPr="009B793F">
        <w:t>es activités de généralisation sont considérées par de nombreux auteurs comme des opportunités fondamentales pour développer la pensée algébrique</w:t>
      </w:r>
      <w:r w:rsidR="003912FD">
        <w:t>. Ces activités</w:t>
      </w:r>
      <w:r w:rsidR="003912FD" w:rsidRPr="009B793F">
        <w:t xml:space="preserve"> </w:t>
      </w:r>
      <w:r w:rsidR="003912FD">
        <w:t xml:space="preserve">impliquent souvent une communication forçant la production de messages par les élèves, qui seront exprimés de manière non-conventionnelle, dans un premier temps, puis de manière de plus en plus conventionnelle au fil des nécessités de l’activité. Un exemple d’activité est l’activité « Antoine fait des mosaïques » qui est </w:t>
      </w:r>
      <w:r w:rsidR="003912FD" w:rsidRPr="002E682E">
        <w:t xml:space="preserve">issue de celle du </w:t>
      </w:r>
      <w:r w:rsidR="003912FD">
        <w:t>« M</w:t>
      </w:r>
      <w:r w:rsidR="003912FD" w:rsidRPr="002E682E">
        <w:t>anufacturier</w:t>
      </w:r>
      <w:r w:rsidR="003912FD">
        <w:t> »</w:t>
      </w:r>
      <w:r w:rsidR="003912FD" w:rsidRPr="002E682E">
        <w:t xml:space="preserve"> </w:t>
      </w:r>
      <w:r w:rsidR="003912FD">
        <w:t>(</w:t>
      </w:r>
      <w:proofErr w:type="spellStart"/>
      <w:r w:rsidR="003912FD">
        <w:t>Bednarz</w:t>
      </w:r>
      <w:proofErr w:type="spellEnd"/>
      <w:r w:rsidR="003912FD">
        <w:t xml:space="preserve">, </w:t>
      </w:r>
      <w:r w:rsidR="003912FD" w:rsidRPr="002E682E">
        <w:t>2005)</w:t>
      </w:r>
      <w:r w:rsidR="003912FD">
        <w:t>. La situation est présentée sur la base de représentations picturales en l’occurrence une mosaïque composée de carrés colorés à l’intérieur avec une bordure de carrés blancs. Le questionnement de c</w:t>
      </w:r>
      <w:r w:rsidR="0006655E">
        <w:t>ette activité consiste à demander aux élèves de trouver un moyen pour déterminer le nombres de carrés blancs en bordure quel que soit</w:t>
      </w:r>
      <w:r w:rsidR="005F03C0">
        <w:t xml:space="preserve"> le nombre de carrés colorés. La situation</w:t>
      </w:r>
      <w:r w:rsidR="0006655E">
        <w:t xml:space="preserve"> envisage</w:t>
      </w:r>
      <w:r w:rsidR="003912FD">
        <w:t xml:space="preserve"> une progression au départ de matériel concret (petits cubes ou carrés autocollants) utilisé pour établir le nombre de carrés blancs en bordure. Les élèves </w:t>
      </w:r>
      <w:r w:rsidR="0006655E">
        <w:t xml:space="preserve">sont </w:t>
      </w:r>
      <w:r w:rsidR="003912FD">
        <w:t>ensuite invités à produire un calcul d’abord pour une petite quantité de carrés puis pour une plus grande quantité. Enfin, l</w:t>
      </w:r>
      <w:r w:rsidR="003912FD" w:rsidRPr="002E682E">
        <w:t xml:space="preserve">es élèves </w:t>
      </w:r>
      <w:r w:rsidR="0006655E">
        <w:t>doiven</w:t>
      </w:r>
      <w:r w:rsidR="003912FD">
        <w:t xml:space="preserve">t trouver un message général dont l’expression était libre dans un premier temps </w:t>
      </w:r>
      <w:r w:rsidR="003912FD" w:rsidRPr="002E682E">
        <w:t>puis mathématique</w:t>
      </w:r>
      <w:r w:rsidR="003912FD">
        <w:t xml:space="preserve"> dans un second temps</w:t>
      </w:r>
      <w:r w:rsidR="003912FD" w:rsidRPr="002E682E">
        <w:t>.</w:t>
      </w:r>
      <w:r w:rsidR="003912FD">
        <w:t xml:space="preserve"> L’activit</w:t>
      </w:r>
      <w:r w:rsidR="00B476B4">
        <w:t xml:space="preserve">é complète </w:t>
      </w:r>
      <w:r w:rsidR="006427F2">
        <w:t xml:space="preserve">sera </w:t>
      </w:r>
      <w:r w:rsidR="00B476B4">
        <w:t>présentée</w:t>
      </w:r>
      <w:r w:rsidR="006427F2">
        <w:t xml:space="preserve"> au cours de la communication</w:t>
      </w:r>
      <w:r w:rsidR="003870AE">
        <w:t>. Cette activité riche sur le</w:t>
      </w:r>
      <w:r w:rsidR="00B476B4">
        <w:t xml:space="preserve"> plan mathématique, présente également tout un potentiel en matière du développement de la langue sur la base de diverses ressources multimodales inhérentes à l’activité (matériel concret, dessins, opérations numériques, textes </w:t>
      </w:r>
      <w:r w:rsidR="0006655E">
        <w:t>et le langage algébrique) mais aussi de son exploitation en classe</w:t>
      </w:r>
      <w:r w:rsidR="00B476B4">
        <w:t xml:space="preserve"> </w:t>
      </w:r>
      <w:r w:rsidR="0006655E">
        <w:t xml:space="preserve">(gestes </w:t>
      </w:r>
      <w:r w:rsidR="00B476B4">
        <w:t>pour montrer sur les des</w:t>
      </w:r>
      <w:r w:rsidR="0006655E">
        <w:t xml:space="preserve">sins, explication en mots, par </w:t>
      </w:r>
      <w:r w:rsidR="00B476B4">
        <w:t>l</w:t>
      </w:r>
      <w:r w:rsidR="0006655E">
        <w:t>e</w:t>
      </w:r>
      <w:r w:rsidR="00B476B4">
        <w:t>s opérations numériques ou algébriques, etc.)</w:t>
      </w:r>
      <w:r w:rsidR="0006655E">
        <w:t>.</w:t>
      </w:r>
    </w:p>
    <w:p w14:paraId="41525CAA" w14:textId="5DE1A715" w:rsidR="00D9781A" w:rsidRDefault="00D9781A" w:rsidP="00D9781A">
      <w:pPr>
        <w:pStyle w:val="Titre1"/>
      </w:pPr>
      <w:r>
        <w:t>EN GUISE DE CONCLUSIO</w:t>
      </w:r>
      <w:r w:rsidR="00124604">
        <w:t xml:space="preserve">N </w:t>
      </w:r>
      <w:r>
        <w:t>…</w:t>
      </w:r>
    </w:p>
    <w:p w14:paraId="26295023" w14:textId="03F2AB88" w:rsidR="00613C4C" w:rsidRDefault="00CB5D3E" w:rsidP="00D422FC">
      <w:pPr>
        <w:spacing w:before="60" w:after="60"/>
      </w:pPr>
      <w:r>
        <w:t>Les d</w:t>
      </w:r>
      <w:r w:rsidR="00A756F5">
        <w:t>é</w:t>
      </w:r>
      <w:r>
        <w:t xml:space="preserve">fis </w:t>
      </w:r>
      <w:r w:rsidR="00A756F5">
        <w:t xml:space="preserve">posés </w:t>
      </w:r>
      <w:r>
        <w:t>à l</w:t>
      </w:r>
      <w:r w:rsidR="00707D56">
        <w:t>’école luxembourgeoise</w:t>
      </w:r>
      <w:r w:rsidR="00A756F5">
        <w:t xml:space="preserve"> et qui viennent d’être discutés ne se can</w:t>
      </w:r>
      <w:r w:rsidR="00613C4C">
        <w:t>ton</w:t>
      </w:r>
      <w:r w:rsidR="00707D56">
        <w:t>n</w:t>
      </w:r>
      <w:r>
        <w:t>ent</w:t>
      </w:r>
      <w:r w:rsidR="003870AE">
        <w:t xml:space="preserve"> évidemment pas au Grand-</w:t>
      </w:r>
      <w:r>
        <w:t xml:space="preserve">Duché du Luxembourg. En raison d’une augmentation </w:t>
      </w:r>
      <w:r w:rsidR="00B62654">
        <w:t xml:space="preserve">constante </w:t>
      </w:r>
      <w:r>
        <w:t>des flux migratoires</w:t>
      </w:r>
      <w:r w:rsidR="00B62654">
        <w:t xml:space="preserve"> dans le monde</w:t>
      </w:r>
      <w:r>
        <w:t>, de plus en plus d</w:t>
      </w:r>
      <w:r w:rsidR="00A756F5">
        <w:t>’enseignants sont confrontés aux</w:t>
      </w:r>
      <w:r>
        <w:t xml:space="preserve"> </w:t>
      </w:r>
      <w:r w:rsidR="00707D56">
        <w:t xml:space="preserve">enjeux </w:t>
      </w:r>
      <w:r>
        <w:t>pédagogiques de fournir un enseignement d’un contenu en même temps que celui de la langue d’enseignement.</w:t>
      </w:r>
      <w:r w:rsidR="00A756F5">
        <w:t xml:space="preserve"> </w:t>
      </w:r>
      <w:r w:rsidR="00613C4C">
        <w:t xml:space="preserve">Il s’agit là bien plus qu’une question d’ouverture aux langues. </w:t>
      </w:r>
      <w:r w:rsidR="00B62654">
        <w:t xml:space="preserve">En effet, cela </w:t>
      </w:r>
      <w:r w:rsidR="00613C4C">
        <w:t xml:space="preserve">renvoie, comme nous l’avons discuté précédemment, à la conception même des mathématiques, qui ne </w:t>
      </w:r>
      <w:r w:rsidR="00707D56">
        <w:t>peuvent être considérée</w:t>
      </w:r>
      <w:r w:rsidR="00D65220">
        <w:t>s</w:t>
      </w:r>
      <w:r w:rsidR="00707D56">
        <w:t xml:space="preserve"> comme une mati</w:t>
      </w:r>
      <w:r w:rsidR="00613C4C">
        <w:t xml:space="preserve">ère indépendante du langage, mais aussi </w:t>
      </w:r>
      <w:r w:rsidR="00707D56">
        <w:t xml:space="preserve">à celle </w:t>
      </w:r>
      <w:r w:rsidR="00613C4C">
        <w:t xml:space="preserve">des pratiques </w:t>
      </w:r>
      <w:r w:rsidR="009830A8">
        <w:t>de classe</w:t>
      </w:r>
      <w:r w:rsidR="00613C4C">
        <w:t xml:space="preserve"> où l’apprentissage des élèves est vu comme leur participation au discours mathématique en utilisant </w:t>
      </w:r>
      <w:r w:rsidR="009830A8">
        <w:t xml:space="preserve">diverses langues </w:t>
      </w:r>
      <w:r w:rsidR="00613C4C">
        <w:t>ainsi que différent</w:t>
      </w:r>
      <w:r w:rsidR="009830A8">
        <w:t>s</w:t>
      </w:r>
      <w:r w:rsidR="00613C4C">
        <w:t xml:space="preserve"> modes d’expression. Cela renvoie enfin à la conception de l’élève qui vient non seulement avec des besoins spécifiques qu’il faut identifier mais également avec ses ressources qu’il s’agit d’accueillir dans les activités de classe. Cela </w:t>
      </w:r>
      <w:r w:rsidR="00B05062">
        <w:t xml:space="preserve">implique </w:t>
      </w:r>
      <w:r w:rsidR="00613C4C">
        <w:t xml:space="preserve">un changement considérable </w:t>
      </w:r>
      <w:r w:rsidR="00B05062">
        <w:t>dans les</w:t>
      </w:r>
      <w:r w:rsidR="009830A8">
        <w:t xml:space="preserve"> pratiques </w:t>
      </w:r>
      <w:r w:rsidR="00B05062">
        <w:t>d’enseignement et dans les</w:t>
      </w:r>
      <w:r w:rsidR="009830A8">
        <w:t xml:space="preserve"> conceptions </w:t>
      </w:r>
      <w:r w:rsidR="00613C4C">
        <w:t>qui ne peut qu’être bénéfique pour les élèves</w:t>
      </w:r>
      <w:r w:rsidR="004178D7">
        <w:t>,</w:t>
      </w:r>
      <w:r w:rsidR="00613C4C">
        <w:t xml:space="preserve"> tant dans les classes multilingue</w:t>
      </w:r>
      <w:r w:rsidR="009830A8">
        <w:t>s</w:t>
      </w:r>
      <w:r w:rsidR="00613C4C">
        <w:t xml:space="preserve"> que dans les classe</w:t>
      </w:r>
      <w:r w:rsidR="009830A8">
        <w:t>s</w:t>
      </w:r>
      <w:r w:rsidR="00ED2BA0">
        <w:t xml:space="preserve"> monolingues, mais qui nécessitera des moyens importants en terme de développement professionnel.</w:t>
      </w:r>
    </w:p>
    <w:p w14:paraId="7425C7D9" w14:textId="22AC0B62" w:rsidR="00613C4C" w:rsidRPr="001200B0" w:rsidRDefault="00613C4C" w:rsidP="00613C4C">
      <w:pPr>
        <w:pStyle w:val="TitreBiblio"/>
        <w:rPr>
          <w:lang w:val="fr-FR"/>
        </w:rPr>
      </w:pPr>
      <w:r>
        <w:rPr>
          <w:lang w:val="fr-FR"/>
        </w:rPr>
        <w:lastRenderedPageBreak/>
        <w:t>REFERENCES</w:t>
      </w:r>
      <w:r w:rsidRPr="001200B0">
        <w:rPr>
          <w:lang w:val="fr-FR"/>
        </w:rPr>
        <w:t xml:space="preserve"> </w:t>
      </w:r>
    </w:p>
    <w:p w14:paraId="55BC958E" w14:textId="6EFDDB15" w:rsidR="0067784C" w:rsidRPr="00D65220" w:rsidRDefault="0067784C" w:rsidP="00C85A49">
      <w:pPr>
        <w:pStyle w:val="Biblio"/>
        <w:spacing w:before="40" w:after="40"/>
        <w:rPr>
          <w:sz w:val="20"/>
          <w:szCs w:val="20"/>
          <w:lang w:val="fr-FR"/>
        </w:rPr>
      </w:pPr>
      <w:r w:rsidRPr="00D65220">
        <w:rPr>
          <w:sz w:val="20"/>
          <w:szCs w:val="20"/>
          <w:lang w:val="fr-FR"/>
        </w:rPr>
        <w:t xml:space="preserve">Baker, C. (2011). </w:t>
      </w:r>
      <w:proofErr w:type="spellStart"/>
      <w:r w:rsidRPr="00D65220">
        <w:rPr>
          <w:i/>
          <w:sz w:val="20"/>
          <w:szCs w:val="20"/>
          <w:lang w:val="fr-FR"/>
        </w:rPr>
        <w:t>Foundations</w:t>
      </w:r>
      <w:proofErr w:type="spellEnd"/>
      <w:r w:rsidRPr="00D65220">
        <w:rPr>
          <w:i/>
          <w:sz w:val="20"/>
          <w:szCs w:val="20"/>
          <w:lang w:val="fr-FR"/>
        </w:rPr>
        <w:t xml:space="preserve"> of </w:t>
      </w:r>
      <w:proofErr w:type="spellStart"/>
      <w:r w:rsidRPr="00D65220">
        <w:rPr>
          <w:i/>
          <w:sz w:val="20"/>
          <w:szCs w:val="20"/>
          <w:lang w:val="fr-FR"/>
        </w:rPr>
        <w:t>bilingual</w:t>
      </w:r>
      <w:proofErr w:type="spellEnd"/>
      <w:r w:rsidRPr="00D65220">
        <w:rPr>
          <w:i/>
          <w:sz w:val="20"/>
          <w:szCs w:val="20"/>
          <w:lang w:val="fr-FR"/>
        </w:rPr>
        <w:t xml:space="preserve"> </w:t>
      </w:r>
      <w:proofErr w:type="spellStart"/>
      <w:r w:rsidRPr="00D65220">
        <w:rPr>
          <w:i/>
          <w:sz w:val="20"/>
          <w:szCs w:val="20"/>
          <w:lang w:val="fr-FR"/>
        </w:rPr>
        <w:t>education</w:t>
      </w:r>
      <w:proofErr w:type="spellEnd"/>
      <w:r w:rsidRPr="00D65220">
        <w:rPr>
          <w:i/>
          <w:sz w:val="20"/>
          <w:szCs w:val="20"/>
          <w:lang w:val="fr-FR"/>
        </w:rPr>
        <w:t xml:space="preserve"> and </w:t>
      </w:r>
      <w:proofErr w:type="spellStart"/>
      <w:r w:rsidRPr="00D65220">
        <w:rPr>
          <w:i/>
          <w:sz w:val="20"/>
          <w:szCs w:val="20"/>
          <w:lang w:val="fr-FR"/>
        </w:rPr>
        <w:t>bilingualism</w:t>
      </w:r>
      <w:proofErr w:type="spellEnd"/>
      <w:r w:rsidRPr="00D65220">
        <w:rPr>
          <w:i/>
          <w:sz w:val="20"/>
          <w:szCs w:val="20"/>
          <w:lang w:val="fr-FR"/>
        </w:rPr>
        <w:t xml:space="preserve"> (5</w:t>
      </w:r>
      <w:r w:rsidRPr="00D65220">
        <w:rPr>
          <w:i/>
          <w:sz w:val="20"/>
          <w:szCs w:val="20"/>
          <w:vertAlign w:val="superscript"/>
          <w:lang w:val="fr-FR"/>
        </w:rPr>
        <w:t>th</w:t>
      </w:r>
      <w:r w:rsidRPr="00D65220">
        <w:rPr>
          <w:i/>
          <w:sz w:val="20"/>
          <w:szCs w:val="20"/>
          <w:lang w:val="fr-FR"/>
        </w:rPr>
        <w:t xml:space="preserve"> </w:t>
      </w:r>
      <w:proofErr w:type="spellStart"/>
      <w:r w:rsidRPr="00D65220">
        <w:rPr>
          <w:i/>
          <w:sz w:val="20"/>
          <w:szCs w:val="20"/>
          <w:lang w:val="fr-FR"/>
        </w:rPr>
        <w:t>ed</w:t>
      </w:r>
      <w:proofErr w:type="spellEnd"/>
      <w:r w:rsidRPr="00D65220">
        <w:rPr>
          <w:i/>
          <w:sz w:val="20"/>
          <w:szCs w:val="20"/>
          <w:lang w:val="fr-FR"/>
        </w:rPr>
        <w:t>.)</w:t>
      </w:r>
      <w:r w:rsidRPr="00D65220">
        <w:rPr>
          <w:sz w:val="20"/>
          <w:szCs w:val="20"/>
          <w:lang w:val="fr-FR"/>
        </w:rPr>
        <w:t xml:space="preserve">. </w:t>
      </w:r>
      <w:proofErr w:type="spellStart"/>
      <w:r w:rsidRPr="00D65220">
        <w:rPr>
          <w:sz w:val="20"/>
          <w:szCs w:val="20"/>
          <w:lang w:val="fr-FR"/>
        </w:rPr>
        <w:t>Clevedon</w:t>
      </w:r>
      <w:proofErr w:type="spellEnd"/>
      <w:r w:rsidRPr="00D65220">
        <w:rPr>
          <w:sz w:val="20"/>
          <w:szCs w:val="20"/>
          <w:lang w:val="fr-FR"/>
        </w:rPr>
        <w:t xml:space="preserve">, </w:t>
      </w:r>
      <w:proofErr w:type="spellStart"/>
      <w:r w:rsidRPr="00D65220">
        <w:rPr>
          <w:sz w:val="20"/>
          <w:szCs w:val="20"/>
          <w:lang w:val="fr-FR"/>
        </w:rPr>
        <w:t>England</w:t>
      </w:r>
      <w:proofErr w:type="spellEnd"/>
      <w:r w:rsidRPr="00D65220">
        <w:rPr>
          <w:sz w:val="20"/>
          <w:szCs w:val="20"/>
          <w:lang w:val="fr-FR"/>
        </w:rPr>
        <w:t xml:space="preserve">: </w:t>
      </w:r>
      <w:proofErr w:type="spellStart"/>
      <w:r w:rsidRPr="00D65220">
        <w:rPr>
          <w:sz w:val="20"/>
          <w:szCs w:val="20"/>
          <w:lang w:val="fr-FR"/>
        </w:rPr>
        <w:t>Multilingual</w:t>
      </w:r>
      <w:proofErr w:type="spellEnd"/>
      <w:r w:rsidRPr="00D65220">
        <w:rPr>
          <w:sz w:val="20"/>
          <w:szCs w:val="20"/>
          <w:lang w:val="fr-FR"/>
        </w:rPr>
        <w:t xml:space="preserve"> </w:t>
      </w:r>
      <w:proofErr w:type="spellStart"/>
      <w:r w:rsidRPr="00D65220">
        <w:rPr>
          <w:sz w:val="20"/>
          <w:szCs w:val="20"/>
          <w:lang w:val="fr-FR"/>
        </w:rPr>
        <w:t>Matters</w:t>
      </w:r>
      <w:proofErr w:type="spellEnd"/>
      <w:r w:rsidRPr="00D65220">
        <w:rPr>
          <w:sz w:val="20"/>
          <w:szCs w:val="20"/>
          <w:lang w:val="fr-FR"/>
        </w:rPr>
        <w:t>.</w:t>
      </w:r>
    </w:p>
    <w:p w14:paraId="73583619" w14:textId="77777777" w:rsidR="006941A3" w:rsidRPr="00D65220" w:rsidRDefault="00721681" w:rsidP="00C85A49">
      <w:pPr>
        <w:pStyle w:val="Titrepuce"/>
        <w:numPr>
          <w:ilvl w:val="0"/>
          <w:numId w:val="0"/>
        </w:numPr>
        <w:spacing w:before="40" w:after="40"/>
        <w:ind w:left="284" w:hanging="284"/>
        <w:rPr>
          <w:i w:val="0"/>
          <w:sz w:val="20"/>
        </w:rPr>
      </w:pPr>
      <w:r w:rsidRPr="00D65220">
        <w:rPr>
          <w:i w:val="0"/>
          <w:sz w:val="20"/>
        </w:rPr>
        <w:t>Bednarz, N. (2005).</w:t>
      </w:r>
      <w:r w:rsidR="006941A3" w:rsidRPr="00D65220">
        <w:rPr>
          <w:sz w:val="20"/>
        </w:rPr>
        <w:t xml:space="preserve"> </w:t>
      </w:r>
      <w:r w:rsidR="006941A3" w:rsidRPr="00D65220">
        <w:rPr>
          <w:i w:val="0"/>
          <w:sz w:val="20"/>
        </w:rPr>
        <w:t xml:space="preserve">Parler les mathématiques. </w:t>
      </w:r>
      <w:r w:rsidR="006941A3" w:rsidRPr="00D65220">
        <w:rPr>
          <w:sz w:val="20"/>
        </w:rPr>
        <w:t>Vie pédagogique,</w:t>
      </w:r>
      <w:r w:rsidR="006941A3" w:rsidRPr="00D65220">
        <w:rPr>
          <w:i w:val="0"/>
          <w:sz w:val="20"/>
        </w:rPr>
        <w:t xml:space="preserve"> 136, 20-23.</w:t>
      </w:r>
    </w:p>
    <w:p w14:paraId="6A53F2DA" w14:textId="319891E1" w:rsidR="006941A3" w:rsidRPr="00D65220" w:rsidRDefault="006941A3" w:rsidP="00C85A49">
      <w:pPr>
        <w:pStyle w:val="Biblio"/>
        <w:spacing w:before="40" w:after="40"/>
        <w:rPr>
          <w:sz w:val="20"/>
          <w:szCs w:val="20"/>
          <w:lang w:val="fr-FR"/>
        </w:rPr>
      </w:pPr>
      <w:proofErr w:type="spellStart"/>
      <w:r w:rsidRPr="00D65220">
        <w:rPr>
          <w:sz w:val="20"/>
          <w:szCs w:val="20"/>
          <w:lang w:val="fr-FR"/>
        </w:rPr>
        <w:t>Cenoz</w:t>
      </w:r>
      <w:proofErr w:type="spellEnd"/>
      <w:r w:rsidRPr="00D65220">
        <w:rPr>
          <w:sz w:val="20"/>
          <w:szCs w:val="20"/>
          <w:lang w:val="fr-FR"/>
        </w:rPr>
        <w:t xml:space="preserve">, J. (2017). </w:t>
      </w:r>
      <w:proofErr w:type="spellStart"/>
      <w:r w:rsidRPr="00D65220">
        <w:rPr>
          <w:sz w:val="20"/>
          <w:szCs w:val="20"/>
          <w:lang w:val="fr-FR"/>
        </w:rPr>
        <w:t>Translanguaging</w:t>
      </w:r>
      <w:proofErr w:type="spellEnd"/>
      <w:r w:rsidRPr="00D65220">
        <w:rPr>
          <w:sz w:val="20"/>
          <w:szCs w:val="20"/>
          <w:lang w:val="fr-FR"/>
        </w:rPr>
        <w:t xml:space="preserve"> in </w:t>
      </w:r>
      <w:proofErr w:type="spellStart"/>
      <w:r w:rsidRPr="00D65220">
        <w:rPr>
          <w:sz w:val="20"/>
          <w:szCs w:val="20"/>
          <w:lang w:val="fr-FR"/>
        </w:rPr>
        <w:t>School</w:t>
      </w:r>
      <w:proofErr w:type="spellEnd"/>
      <w:r w:rsidRPr="00D65220">
        <w:rPr>
          <w:sz w:val="20"/>
          <w:szCs w:val="20"/>
          <w:lang w:val="fr-FR"/>
        </w:rPr>
        <w:t xml:space="preserve"> </w:t>
      </w:r>
      <w:proofErr w:type="spellStart"/>
      <w:r w:rsidRPr="00D65220">
        <w:rPr>
          <w:sz w:val="20"/>
          <w:szCs w:val="20"/>
          <w:lang w:val="fr-FR"/>
        </w:rPr>
        <w:t>Contexts</w:t>
      </w:r>
      <w:proofErr w:type="spellEnd"/>
      <w:r w:rsidRPr="00D65220">
        <w:rPr>
          <w:sz w:val="20"/>
          <w:szCs w:val="20"/>
          <w:lang w:val="fr-FR"/>
        </w:rPr>
        <w:t xml:space="preserve">: International Perspectives. Journal of </w:t>
      </w:r>
      <w:proofErr w:type="spellStart"/>
      <w:r w:rsidRPr="00D65220">
        <w:rPr>
          <w:sz w:val="20"/>
          <w:szCs w:val="20"/>
          <w:lang w:val="fr-FR"/>
        </w:rPr>
        <w:t>Language</w:t>
      </w:r>
      <w:proofErr w:type="spellEnd"/>
      <w:r w:rsidRPr="00D65220">
        <w:rPr>
          <w:sz w:val="20"/>
          <w:szCs w:val="20"/>
          <w:lang w:val="fr-FR"/>
        </w:rPr>
        <w:t xml:space="preserve">, </w:t>
      </w:r>
      <w:proofErr w:type="spellStart"/>
      <w:r w:rsidRPr="00D65220">
        <w:rPr>
          <w:sz w:val="20"/>
          <w:szCs w:val="20"/>
          <w:lang w:val="fr-FR"/>
        </w:rPr>
        <w:t>Identity</w:t>
      </w:r>
      <w:proofErr w:type="spellEnd"/>
      <w:r w:rsidRPr="00D65220">
        <w:rPr>
          <w:sz w:val="20"/>
          <w:szCs w:val="20"/>
          <w:lang w:val="fr-FR"/>
        </w:rPr>
        <w:t xml:space="preserve"> &amp; </w:t>
      </w:r>
      <w:proofErr w:type="spellStart"/>
      <w:r w:rsidRPr="00D65220">
        <w:rPr>
          <w:sz w:val="20"/>
          <w:szCs w:val="20"/>
          <w:lang w:val="fr-FR"/>
        </w:rPr>
        <w:t>Education</w:t>
      </w:r>
      <w:proofErr w:type="spellEnd"/>
      <w:r w:rsidRPr="00D65220">
        <w:rPr>
          <w:sz w:val="20"/>
          <w:szCs w:val="20"/>
          <w:lang w:val="fr-FR"/>
        </w:rPr>
        <w:t>, 16(4), 193-198.</w:t>
      </w:r>
    </w:p>
    <w:p w14:paraId="249F87CC" w14:textId="5BA74E23" w:rsidR="006941A3" w:rsidRPr="00D65220" w:rsidRDefault="006941A3" w:rsidP="00C85A49">
      <w:pPr>
        <w:pStyle w:val="Biblio"/>
        <w:spacing w:before="40" w:after="40"/>
        <w:rPr>
          <w:sz w:val="20"/>
          <w:szCs w:val="20"/>
          <w:lang w:val="fr-FR"/>
        </w:rPr>
      </w:pPr>
      <w:proofErr w:type="spellStart"/>
      <w:r w:rsidRPr="00D65220">
        <w:rPr>
          <w:sz w:val="20"/>
          <w:szCs w:val="20"/>
          <w:lang w:val="fr-FR"/>
        </w:rPr>
        <w:t>Culligan</w:t>
      </w:r>
      <w:proofErr w:type="spellEnd"/>
      <w:r w:rsidRPr="00D65220">
        <w:rPr>
          <w:sz w:val="20"/>
          <w:szCs w:val="20"/>
          <w:lang w:val="fr-FR"/>
        </w:rPr>
        <w:t xml:space="preserve">, K., &amp; Wagner, D. (2015). </w:t>
      </w:r>
      <w:proofErr w:type="spellStart"/>
      <w:r w:rsidRPr="00D65220">
        <w:rPr>
          <w:sz w:val="20"/>
          <w:szCs w:val="20"/>
          <w:lang w:val="fr-FR"/>
        </w:rPr>
        <w:t>Mathematics</w:t>
      </w:r>
      <w:proofErr w:type="spellEnd"/>
      <w:r w:rsidRPr="00D65220">
        <w:rPr>
          <w:sz w:val="20"/>
          <w:szCs w:val="20"/>
          <w:lang w:val="fr-FR"/>
        </w:rPr>
        <w:t xml:space="preserve">, </w:t>
      </w:r>
      <w:proofErr w:type="spellStart"/>
      <w:r w:rsidRPr="00D65220">
        <w:rPr>
          <w:sz w:val="20"/>
          <w:szCs w:val="20"/>
          <w:lang w:val="fr-FR"/>
        </w:rPr>
        <w:t>language</w:t>
      </w:r>
      <w:proofErr w:type="spellEnd"/>
      <w:r w:rsidRPr="00D65220">
        <w:rPr>
          <w:sz w:val="20"/>
          <w:szCs w:val="20"/>
          <w:lang w:val="fr-FR"/>
        </w:rPr>
        <w:t xml:space="preserve">, and </w:t>
      </w:r>
      <w:proofErr w:type="spellStart"/>
      <w:r w:rsidRPr="00D65220">
        <w:rPr>
          <w:sz w:val="20"/>
          <w:szCs w:val="20"/>
          <w:lang w:val="fr-FR"/>
        </w:rPr>
        <w:t>degrees</w:t>
      </w:r>
      <w:proofErr w:type="spellEnd"/>
      <w:r w:rsidRPr="00D65220">
        <w:rPr>
          <w:sz w:val="20"/>
          <w:szCs w:val="20"/>
          <w:lang w:val="fr-FR"/>
        </w:rPr>
        <w:t xml:space="preserve"> of </w:t>
      </w:r>
      <w:proofErr w:type="spellStart"/>
      <w:r w:rsidRPr="00D65220">
        <w:rPr>
          <w:sz w:val="20"/>
          <w:szCs w:val="20"/>
          <w:lang w:val="fr-FR"/>
        </w:rPr>
        <w:t>certainty</w:t>
      </w:r>
      <w:proofErr w:type="spellEnd"/>
      <w:r w:rsidRPr="00D65220">
        <w:rPr>
          <w:sz w:val="20"/>
          <w:szCs w:val="20"/>
          <w:lang w:val="fr-FR"/>
        </w:rPr>
        <w:t xml:space="preserve">: </w:t>
      </w:r>
      <w:proofErr w:type="spellStart"/>
      <w:r w:rsidRPr="00D65220">
        <w:rPr>
          <w:sz w:val="20"/>
          <w:szCs w:val="20"/>
          <w:lang w:val="fr-FR"/>
        </w:rPr>
        <w:t>Bilingual</w:t>
      </w:r>
      <w:proofErr w:type="spellEnd"/>
      <w:r w:rsidRPr="00D65220">
        <w:rPr>
          <w:sz w:val="20"/>
          <w:szCs w:val="20"/>
          <w:lang w:val="fr-FR"/>
        </w:rPr>
        <w:t xml:space="preserve"> </w:t>
      </w:r>
      <w:proofErr w:type="spellStart"/>
      <w:r w:rsidRPr="00D65220">
        <w:rPr>
          <w:sz w:val="20"/>
          <w:szCs w:val="20"/>
          <w:lang w:val="fr-FR"/>
        </w:rPr>
        <w:t>students</w:t>
      </w:r>
      <w:proofErr w:type="spellEnd"/>
      <w:r w:rsidRPr="00D65220">
        <w:rPr>
          <w:sz w:val="20"/>
          <w:szCs w:val="20"/>
          <w:lang w:val="fr-FR"/>
        </w:rPr>
        <w:t xml:space="preserve">' </w:t>
      </w:r>
      <w:proofErr w:type="spellStart"/>
      <w:r w:rsidRPr="00D65220">
        <w:rPr>
          <w:sz w:val="20"/>
          <w:szCs w:val="20"/>
          <w:lang w:val="fr-FR"/>
        </w:rPr>
        <w:t>mathematical</w:t>
      </w:r>
      <w:proofErr w:type="spellEnd"/>
      <w:r w:rsidRPr="00D65220">
        <w:rPr>
          <w:sz w:val="20"/>
          <w:szCs w:val="20"/>
          <w:lang w:val="fr-FR"/>
        </w:rPr>
        <w:t xml:space="preserve"> communication and </w:t>
      </w:r>
      <w:proofErr w:type="spellStart"/>
      <w:r w:rsidRPr="00D65220">
        <w:rPr>
          <w:sz w:val="20"/>
          <w:szCs w:val="20"/>
          <w:lang w:val="fr-FR"/>
        </w:rPr>
        <w:t>probability</w:t>
      </w:r>
      <w:proofErr w:type="spellEnd"/>
      <w:r w:rsidRPr="00D65220">
        <w:rPr>
          <w:sz w:val="20"/>
          <w:szCs w:val="20"/>
          <w:lang w:val="fr-FR"/>
        </w:rPr>
        <w:t>. </w:t>
      </w:r>
      <w:proofErr w:type="spellStart"/>
      <w:r w:rsidRPr="00D65220">
        <w:rPr>
          <w:i/>
          <w:sz w:val="20"/>
          <w:szCs w:val="20"/>
          <w:lang w:val="fr-FR"/>
        </w:rPr>
        <w:t>Proceedings</w:t>
      </w:r>
      <w:proofErr w:type="spellEnd"/>
      <w:r w:rsidRPr="00D65220">
        <w:rPr>
          <w:i/>
          <w:sz w:val="20"/>
          <w:szCs w:val="20"/>
          <w:lang w:val="fr-FR"/>
        </w:rPr>
        <w:t xml:space="preserve"> of the 37th </w:t>
      </w:r>
      <w:proofErr w:type="spellStart"/>
      <w:r w:rsidRPr="00D65220">
        <w:rPr>
          <w:i/>
          <w:sz w:val="20"/>
          <w:szCs w:val="20"/>
          <w:lang w:val="fr-FR"/>
        </w:rPr>
        <w:t>annual</w:t>
      </w:r>
      <w:proofErr w:type="spellEnd"/>
      <w:r w:rsidRPr="00D65220">
        <w:rPr>
          <w:i/>
          <w:sz w:val="20"/>
          <w:szCs w:val="20"/>
          <w:lang w:val="fr-FR"/>
        </w:rPr>
        <w:t xml:space="preserve"> meeting of the </w:t>
      </w:r>
      <w:proofErr w:type="spellStart"/>
      <w:r w:rsidRPr="00D65220">
        <w:rPr>
          <w:i/>
          <w:sz w:val="20"/>
          <w:szCs w:val="20"/>
          <w:lang w:val="fr-FR"/>
        </w:rPr>
        <w:t>North</w:t>
      </w:r>
      <w:proofErr w:type="spellEnd"/>
      <w:r w:rsidRPr="00D65220">
        <w:rPr>
          <w:i/>
          <w:sz w:val="20"/>
          <w:szCs w:val="20"/>
          <w:lang w:val="fr-FR"/>
        </w:rPr>
        <w:t xml:space="preserve"> American </w:t>
      </w:r>
      <w:proofErr w:type="spellStart"/>
      <w:r w:rsidRPr="00D65220">
        <w:rPr>
          <w:i/>
          <w:sz w:val="20"/>
          <w:szCs w:val="20"/>
          <w:lang w:val="fr-FR"/>
        </w:rPr>
        <w:t>Chapter</w:t>
      </w:r>
      <w:proofErr w:type="spellEnd"/>
      <w:r w:rsidRPr="00D65220">
        <w:rPr>
          <w:i/>
          <w:sz w:val="20"/>
          <w:szCs w:val="20"/>
          <w:lang w:val="fr-FR"/>
        </w:rPr>
        <w:t xml:space="preserve"> of the International Group for the Psychology of </w:t>
      </w:r>
      <w:proofErr w:type="spellStart"/>
      <w:r w:rsidRPr="00D65220">
        <w:rPr>
          <w:i/>
          <w:sz w:val="20"/>
          <w:szCs w:val="20"/>
          <w:lang w:val="fr-FR"/>
        </w:rPr>
        <w:t>Mathematics</w:t>
      </w:r>
      <w:proofErr w:type="spellEnd"/>
      <w:r w:rsidRPr="00D65220">
        <w:rPr>
          <w:i/>
          <w:sz w:val="20"/>
          <w:szCs w:val="20"/>
          <w:lang w:val="fr-FR"/>
        </w:rPr>
        <w:t xml:space="preserve"> </w:t>
      </w:r>
      <w:proofErr w:type="spellStart"/>
      <w:r w:rsidRPr="00D65220">
        <w:rPr>
          <w:i/>
          <w:sz w:val="20"/>
          <w:szCs w:val="20"/>
          <w:lang w:val="fr-FR"/>
        </w:rPr>
        <w:t>Education</w:t>
      </w:r>
      <w:proofErr w:type="spellEnd"/>
      <w:r w:rsidRPr="00D65220">
        <w:rPr>
          <w:i/>
          <w:sz w:val="20"/>
          <w:szCs w:val="20"/>
          <w:lang w:val="fr-FR"/>
        </w:rPr>
        <w:t xml:space="preserve"> </w:t>
      </w:r>
      <w:r w:rsidRPr="00D65220">
        <w:rPr>
          <w:sz w:val="20"/>
          <w:szCs w:val="20"/>
          <w:lang w:val="fr-FR"/>
        </w:rPr>
        <w:t>(pp. 1022-1029). East Lansing, USA. </w:t>
      </w:r>
    </w:p>
    <w:p w14:paraId="008D57F2" w14:textId="77777777" w:rsidR="00C414CB" w:rsidRPr="00D65220" w:rsidRDefault="00C414CB" w:rsidP="00C85A49">
      <w:pPr>
        <w:spacing w:before="40" w:after="40"/>
        <w:ind w:left="284" w:hanging="284"/>
        <w:rPr>
          <w:rFonts w:ascii="Times" w:eastAsia="Times New Roman" w:hAnsi="Times"/>
          <w:sz w:val="20"/>
          <w:szCs w:val="20"/>
        </w:rPr>
      </w:pPr>
      <w:proofErr w:type="spellStart"/>
      <w:r w:rsidRPr="00D65220">
        <w:rPr>
          <w:sz w:val="20"/>
          <w:szCs w:val="20"/>
        </w:rPr>
        <w:t>Kasule</w:t>
      </w:r>
      <w:proofErr w:type="spellEnd"/>
      <w:r w:rsidRPr="00D65220">
        <w:rPr>
          <w:sz w:val="20"/>
          <w:szCs w:val="20"/>
        </w:rPr>
        <w:t xml:space="preserve">, D., &amp; </w:t>
      </w:r>
      <w:proofErr w:type="spellStart"/>
      <w:r w:rsidRPr="00D65220">
        <w:rPr>
          <w:sz w:val="20"/>
          <w:szCs w:val="20"/>
        </w:rPr>
        <w:t>Mapolelo</w:t>
      </w:r>
      <w:proofErr w:type="spellEnd"/>
      <w:r w:rsidRPr="00D65220">
        <w:rPr>
          <w:sz w:val="20"/>
          <w:szCs w:val="20"/>
        </w:rPr>
        <w:t xml:space="preserve">, D. (2005). </w:t>
      </w:r>
      <w:proofErr w:type="spellStart"/>
      <w:r w:rsidRPr="00D65220">
        <w:rPr>
          <w:sz w:val="20"/>
          <w:szCs w:val="20"/>
        </w:rPr>
        <w:t>Teachers</w:t>
      </w:r>
      <w:proofErr w:type="spellEnd"/>
      <w:r w:rsidRPr="00D65220">
        <w:rPr>
          <w:sz w:val="20"/>
          <w:szCs w:val="20"/>
        </w:rPr>
        <w:t xml:space="preserve">’ </w:t>
      </w:r>
      <w:proofErr w:type="spellStart"/>
      <w:r w:rsidRPr="00D65220">
        <w:rPr>
          <w:sz w:val="20"/>
          <w:szCs w:val="20"/>
        </w:rPr>
        <w:t>strategies</w:t>
      </w:r>
      <w:proofErr w:type="spellEnd"/>
      <w:r w:rsidRPr="00D65220">
        <w:rPr>
          <w:sz w:val="20"/>
          <w:szCs w:val="20"/>
        </w:rPr>
        <w:t xml:space="preserve"> of </w:t>
      </w:r>
      <w:proofErr w:type="spellStart"/>
      <w:r w:rsidRPr="00D65220">
        <w:rPr>
          <w:sz w:val="20"/>
          <w:szCs w:val="20"/>
        </w:rPr>
        <w:t>teaching</w:t>
      </w:r>
      <w:proofErr w:type="spellEnd"/>
      <w:r w:rsidRPr="00D65220">
        <w:rPr>
          <w:sz w:val="20"/>
          <w:szCs w:val="20"/>
        </w:rPr>
        <w:t xml:space="preserve"> </w:t>
      </w:r>
      <w:proofErr w:type="spellStart"/>
      <w:r w:rsidRPr="00D65220">
        <w:rPr>
          <w:sz w:val="20"/>
          <w:szCs w:val="20"/>
        </w:rPr>
        <w:t>primary</w:t>
      </w:r>
      <w:proofErr w:type="spellEnd"/>
      <w:r w:rsidRPr="00D65220">
        <w:rPr>
          <w:sz w:val="20"/>
          <w:szCs w:val="20"/>
        </w:rPr>
        <w:t xml:space="preserve"> </w:t>
      </w:r>
      <w:proofErr w:type="spellStart"/>
      <w:r w:rsidRPr="00D65220">
        <w:rPr>
          <w:sz w:val="20"/>
          <w:szCs w:val="20"/>
        </w:rPr>
        <w:t>school</w:t>
      </w:r>
      <w:proofErr w:type="spellEnd"/>
      <w:r w:rsidRPr="00D65220">
        <w:rPr>
          <w:sz w:val="20"/>
          <w:szCs w:val="20"/>
        </w:rPr>
        <w:t xml:space="preserve"> </w:t>
      </w:r>
      <w:proofErr w:type="spellStart"/>
      <w:r w:rsidRPr="00D65220">
        <w:rPr>
          <w:sz w:val="20"/>
          <w:szCs w:val="20"/>
        </w:rPr>
        <w:t>mathematics</w:t>
      </w:r>
      <w:proofErr w:type="spellEnd"/>
      <w:r w:rsidRPr="00D65220">
        <w:rPr>
          <w:sz w:val="20"/>
          <w:szCs w:val="20"/>
        </w:rPr>
        <w:t xml:space="preserve"> in a second </w:t>
      </w:r>
      <w:proofErr w:type="spellStart"/>
      <w:r w:rsidRPr="00D65220">
        <w:rPr>
          <w:sz w:val="20"/>
          <w:szCs w:val="20"/>
        </w:rPr>
        <w:t>language</w:t>
      </w:r>
      <w:proofErr w:type="spellEnd"/>
      <w:r w:rsidRPr="00D65220">
        <w:rPr>
          <w:sz w:val="20"/>
          <w:szCs w:val="20"/>
        </w:rPr>
        <w:t>: A case of Botswana. </w:t>
      </w:r>
      <w:r w:rsidRPr="00D65220">
        <w:rPr>
          <w:i/>
          <w:sz w:val="20"/>
          <w:szCs w:val="20"/>
        </w:rPr>
        <w:t xml:space="preserve">International Journal of </w:t>
      </w:r>
      <w:proofErr w:type="spellStart"/>
      <w:r w:rsidRPr="00D65220">
        <w:rPr>
          <w:i/>
          <w:sz w:val="20"/>
          <w:szCs w:val="20"/>
        </w:rPr>
        <w:t>Educational</w:t>
      </w:r>
      <w:proofErr w:type="spellEnd"/>
      <w:r w:rsidRPr="00D65220">
        <w:rPr>
          <w:i/>
          <w:sz w:val="20"/>
          <w:szCs w:val="20"/>
        </w:rPr>
        <w:t xml:space="preserve"> </w:t>
      </w:r>
      <w:proofErr w:type="spellStart"/>
      <w:r w:rsidRPr="00D65220">
        <w:rPr>
          <w:i/>
          <w:sz w:val="20"/>
          <w:szCs w:val="20"/>
        </w:rPr>
        <w:t>Development</w:t>
      </w:r>
      <w:proofErr w:type="spellEnd"/>
      <w:r w:rsidRPr="00D65220">
        <w:rPr>
          <w:i/>
          <w:sz w:val="20"/>
          <w:szCs w:val="20"/>
        </w:rPr>
        <w:t>, 25</w:t>
      </w:r>
      <w:r w:rsidRPr="00D65220">
        <w:rPr>
          <w:sz w:val="20"/>
          <w:szCs w:val="20"/>
        </w:rPr>
        <w:t>(6), 602-</w:t>
      </w:r>
      <w:r w:rsidRPr="00D65220">
        <w:rPr>
          <w:rFonts w:ascii="Arial" w:eastAsia="Times New Roman" w:hAnsi="Arial" w:cs="Arial"/>
          <w:color w:val="222222"/>
          <w:sz w:val="20"/>
          <w:szCs w:val="20"/>
          <w:shd w:val="clear" w:color="auto" w:fill="FFFFFF"/>
        </w:rPr>
        <w:t>617.</w:t>
      </w:r>
    </w:p>
    <w:p w14:paraId="69502B45" w14:textId="77777777" w:rsidR="00136056" w:rsidRPr="00D65220" w:rsidRDefault="00136056" w:rsidP="00C85A49">
      <w:pPr>
        <w:pStyle w:val="Biblio"/>
        <w:spacing w:before="40" w:after="40"/>
        <w:rPr>
          <w:sz w:val="20"/>
          <w:szCs w:val="20"/>
          <w:lang w:val="fr-FR"/>
        </w:rPr>
      </w:pPr>
      <w:r w:rsidRPr="00D65220">
        <w:rPr>
          <w:sz w:val="20"/>
          <w:szCs w:val="20"/>
          <w:lang w:val="fr-FR"/>
        </w:rPr>
        <w:t xml:space="preserve">Kirsch, C. (2006). Young </w:t>
      </w:r>
      <w:proofErr w:type="spellStart"/>
      <w:r w:rsidRPr="00D65220">
        <w:rPr>
          <w:sz w:val="20"/>
          <w:szCs w:val="20"/>
          <w:lang w:val="fr-FR"/>
        </w:rPr>
        <w:t>children</w:t>
      </w:r>
      <w:proofErr w:type="spellEnd"/>
      <w:r w:rsidRPr="00D65220">
        <w:rPr>
          <w:sz w:val="20"/>
          <w:szCs w:val="20"/>
          <w:lang w:val="fr-FR"/>
        </w:rPr>
        <w:t xml:space="preserve"> </w:t>
      </w:r>
      <w:proofErr w:type="spellStart"/>
      <w:r w:rsidRPr="00D65220">
        <w:rPr>
          <w:sz w:val="20"/>
          <w:szCs w:val="20"/>
          <w:lang w:val="fr-FR"/>
        </w:rPr>
        <w:t>learning</w:t>
      </w:r>
      <w:proofErr w:type="spellEnd"/>
      <w:r w:rsidRPr="00D65220">
        <w:rPr>
          <w:sz w:val="20"/>
          <w:szCs w:val="20"/>
          <w:lang w:val="fr-FR"/>
        </w:rPr>
        <w:t xml:space="preserve"> </w:t>
      </w:r>
      <w:proofErr w:type="spellStart"/>
      <w:r w:rsidRPr="00D65220">
        <w:rPr>
          <w:sz w:val="20"/>
          <w:szCs w:val="20"/>
          <w:lang w:val="fr-FR"/>
        </w:rPr>
        <w:t>languages</w:t>
      </w:r>
      <w:proofErr w:type="spellEnd"/>
      <w:r w:rsidRPr="00D65220">
        <w:rPr>
          <w:sz w:val="20"/>
          <w:szCs w:val="20"/>
          <w:lang w:val="fr-FR"/>
        </w:rPr>
        <w:t xml:space="preserve"> in a </w:t>
      </w:r>
      <w:proofErr w:type="spellStart"/>
      <w:r w:rsidRPr="00D65220">
        <w:rPr>
          <w:sz w:val="20"/>
          <w:szCs w:val="20"/>
          <w:lang w:val="fr-FR"/>
        </w:rPr>
        <w:t>multilingual</w:t>
      </w:r>
      <w:proofErr w:type="spellEnd"/>
      <w:r w:rsidRPr="00D65220">
        <w:rPr>
          <w:sz w:val="20"/>
          <w:szCs w:val="20"/>
          <w:lang w:val="fr-FR"/>
        </w:rPr>
        <w:t xml:space="preserve"> </w:t>
      </w:r>
      <w:proofErr w:type="spellStart"/>
      <w:r w:rsidRPr="00D65220">
        <w:rPr>
          <w:sz w:val="20"/>
          <w:szCs w:val="20"/>
          <w:lang w:val="fr-FR"/>
        </w:rPr>
        <w:t>context</w:t>
      </w:r>
      <w:proofErr w:type="spellEnd"/>
      <w:r w:rsidRPr="00D65220">
        <w:rPr>
          <w:sz w:val="20"/>
          <w:szCs w:val="20"/>
          <w:lang w:val="fr-FR"/>
        </w:rPr>
        <w:t>. </w:t>
      </w:r>
      <w:r w:rsidRPr="00D65220">
        <w:rPr>
          <w:i/>
          <w:sz w:val="20"/>
          <w:szCs w:val="20"/>
          <w:lang w:val="fr-FR"/>
        </w:rPr>
        <w:t xml:space="preserve">International Journal of </w:t>
      </w:r>
      <w:proofErr w:type="spellStart"/>
      <w:r w:rsidRPr="00D65220">
        <w:rPr>
          <w:i/>
          <w:sz w:val="20"/>
          <w:szCs w:val="20"/>
          <w:lang w:val="fr-FR"/>
        </w:rPr>
        <w:t>Multilingualism</w:t>
      </w:r>
      <w:proofErr w:type="spellEnd"/>
      <w:r w:rsidRPr="00D65220">
        <w:rPr>
          <w:i/>
          <w:sz w:val="20"/>
          <w:szCs w:val="20"/>
          <w:lang w:val="fr-FR"/>
        </w:rPr>
        <w:t>, 3</w:t>
      </w:r>
      <w:r w:rsidRPr="00D65220">
        <w:rPr>
          <w:sz w:val="20"/>
          <w:szCs w:val="20"/>
          <w:lang w:val="fr-FR"/>
        </w:rPr>
        <w:t>(4), 258-279.</w:t>
      </w:r>
    </w:p>
    <w:p w14:paraId="2237D670" w14:textId="63CAA9DF" w:rsidR="00E04207" w:rsidRPr="00D65220" w:rsidRDefault="00E04207" w:rsidP="00C85A49">
      <w:pPr>
        <w:pStyle w:val="Biblio"/>
        <w:spacing w:before="40" w:after="40"/>
        <w:rPr>
          <w:sz w:val="20"/>
          <w:szCs w:val="20"/>
          <w:lang w:val="fr-FR"/>
        </w:rPr>
      </w:pPr>
      <w:r w:rsidRPr="00D65220">
        <w:rPr>
          <w:sz w:val="20"/>
          <w:szCs w:val="20"/>
          <w:lang w:val="fr-FR"/>
        </w:rPr>
        <w:t>Lee, C. (2006).</w:t>
      </w:r>
      <w:r w:rsidR="00CA33C7" w:rsidRPr="00D65220">
        <w:rPr>
          <w:sz w:val="20"/>
          <w:szCs w:val="20"/>
          <w:lang w:val="fr-FR"/>
        </w:rPr>
        <w:t xml:space="preserve"> </w:t>
      </w:r>
      <w:proofErr w:type="spellStart"/>
      <w:r w:rsidR="00CA33C7" w:rsidRPr="00D65220">
        <w:rPr>
          <w:i/>
          <w:sz w:val="20"/>
          <w:szCs w:val="20"/>
          <w:lang w:val="fr-FR"/>
        </w:rPr>
        <w:t>Language</w:t>
      </w:r>
      <w:proofErr w:type="spellEnd"/>
      <w:r w:rsidR="00CA33C7" w:rsidRPr="00D65220">
        <w:rPr>
          <w:i/>
          <w:sz w:val="20"/>
          <w:szCs w:val="20"/>
          <w:lang w:val="fr-FR"/>
        </w:rPr>
        <w:t xml:space="preserve"> for </w:t>
      </w:r>
      <w:proofErr w:type="spellStart"/>
      <w:r w:rsidR="00CA33C7" w:rsidRPr="00D65220">
        <w:rPr>
          <w:i/>
          <w:sz w:val="20"/>
          <w:szCs w:val="20"/>
          <w:lang w:val="fr-FR"/>
        </w:rPr>
        <w:t>learning</w:t>
      </w:r>
      <w:proofErr w:type="spellEnd"/>
      <w:r w:rsidR="00CA33C7" w:rsidRPr="00D65220">
        <w:rPr>
          <w:i/>
          <w:sz w:val="20"/>
          <w:szCs w:val="20"/>
          <w:lang w:val="fr-FR"/>
        </w:rPr>
        <w:t xml:space="preserve"> </w:t>
      </w:r>
      <w:proofErr w:type="spellStart"/>
      <w:r w:rsidR="00CA33C7" w:rsidRPr="00D65220">
        <w:rPr>
          <w:i/>
          <w:sz w:val="20"/>
          <w:szCs w:val="20"/>
          <w:lang w:val="fr-FR"/>
        </w:rPr>
        <w:t>Mathematics</w:t>
      </w:r>
      <w:proofErr w:type="spellEnd"/>
      <w:r w:rsidR="00CA33C7" w:rsidRPr="00D65220">
        <w:rPr>
          <w:sz w:val="20"/>
          <w:szCs w:val="20"/>
          <w:lang w:val="fr-FR"/>
        </w:rPr>
        <w:t xml:space="preserve">. New York: Open </w:t>
      </w:r>
      <w:proofErr w:type="spellStart"/>
      <w:r w:rsidR="00CA33C7" w:rsidRPr="00D65220">
        <w:rPr>
          <w:sz w:val="20"/>
          <w:szCs w:val="20"/>
          <w:lang w:val="fr-FR"/>
        </w:rPr>
        <w:t>University</w:t>
      </w:r>
      <w:proofErr w:type="spellEnd"/>
      <w:r w:rsidR="00CA33C7" w:rsidRPr="00D65220">
        <w:rPr>
          <w:sz w:val="20"/>
          <w:szCs w:val="20"/>
          <w:lang w:val="fr-FR"/>
        </w:rPr>
        <w:t xml:space="preserve"> </w:t>
      </w:r>
      <w:proofErr w:type="spellStart"/>
      <w:r w:rsidR="00CA33C7" w:rsidRPr="00D65220">
        <w:rPr>
          <w:sz w:val="20"/>
          <w:szCs w:val="20"/>
          <w:lang w:val="fr-FR"/>
        </w:rPr>
        <w:t>Press</w:t>
      </w:r>
      <w:proofErr w:type="spellEnd"/>
      <w:r w:rsidR="00CA33C7" w:rsidRPr="00D65220">
        <w:rPr>
          <w:sz w:val="20"/>
          <w:szCs w:val="20"/>
          <w:lang w:val="fr-FR"/>
        </w:rPr>
        <w:t>.</w:t>
      </w:r>
    </w:p>
    <w:p w14:paraId="09354A0F" w14:textId="48E73843" w:rsidR="00833DE4" w:rsidRPr="00D65220" w:rsidRDefault="00833DE4" w:rsidP="00C85A49">
      <w:pPr>
        <w:pStyle w:val="Biblio"/>
        <w:spacing w:before="40" w:after="40"/>
        <w:rPr>
          <w:sz w:val="20"/>
          <w:szCs w:val="20"/>
          <w:lang w:val="fr-FR"/>
        </w:rPr>
      </w:pPr>
      <w:r w:rsidRPr="00D65220">
        <w:rPr>
          <w:sz w:val="20"/>
          <w:szCs w:val="20"/>
          <w:lang w:val="fr-FR"/>
        </w:rPr>
        <w:t xml:space="preserve">Martin, R., &amp; </w:t>
      </w:r>
      <w:proofErr w:type="spellStart"/>
      <w:r w:rsidRPr="00D65220">
        <w:rPr>
          <w:sz w:val="20"/>
          <w:szCs w:val="20"/>
          <w:lang w:val="fr-FR"/>
        </w:rPr>
        <w:t>Houssemand</w:t>
      </w:r>
      <w:proofErr w:type="spellEnd"/>
      <w:r w:rsidRPr="00D65220">
        <w:rPr>
          <w:sz w:val="20"/>
          <w:szCs w:val="20"/>
          <w:lang w:val="fr-FR"/>
        </w:rPr>
        <w:t xml:space="preserve">, C. (2003). Un système éducatif plurilingue peut-il être efficace ? </w:t>
      </w:r>
      <w:r w:rsidRPr="00D65220">
        <w:rPr>
          <w:i/>
          <w:sz w:val="20"/>
          <w:szCs w:val="20"/>
          <w:lang w:val="fr-FR"/>
        </w:rPr>
        <w:t>Cahiers du Service de Pédagogie expérimentale – Université de Liège</w:t>
      </w:r>
      <w:r w:rsidRPr="00D65220">
        <w:rPr>
          <w:sz w:val="20"/>
          <w:szCs w:val="20"/>
          <w:lang w:val="fr-FR"/>
        </w:rPr>
        <w:t>, 15-16, 157-164.</w:t>
      </w:r>
    </w:p>
    <w:p w14:paraId="1A112EEA" w14:textId="77777777" w:rsidR="00892503" w:rsidRPr="00D65220" w:rsidRDefault="00892503" w:rsidP="00C85A49">
      <w:pPr>
        <w:pStyle w:val="Biblio"/>
        <w:spacing w:before="40" w:after="40"/>
        <w:rPr>
          <w:sz w:val="20"/>
          <w:szCs w:val="20"/>
          <w:lang w:val="fr-FR"/>
        </w:rPr>
      </w:pPr>
      <w:proofErr w:type="spellStart"/>
      <w:r w:rsidRPr="00D65220">
        <w:rPr>
          <w:sz w:val="20"/>
          <w:szCs w:val="20"/>
          <w:lang w:val="fr-FR"/>
        </w:rPr>
        <w:t>Moschkovich</w:t>
      </w:r>
      <w:proofErr w:type="spellEnd"/>
      <w:r w:rsidRPr="00D65220">
        <w:rPr>
          <w:sz w:val="20"/>
          <w:szCs w:val="20"/>
          <w:lang w:val="fr-FR"/>
        </w:rPr>
        <w:t xml:space="preserve">, J. (2002). A </w:t>
      </w:r>
      <w:proofErr w:type="spellStart"/>
      <w:r w:rsidRPr="00D65220">
        <w:rPr>
          <w:sz w:val="20"/>
          <w:szCs w:val="20"/>
          <w:lang w:val="fr-FR"/>
        </w:rPr>
        <w:t>situated</w:t>
      </w:r>
      <w:proofErr w:type="spellEnd"/>
      <w:r w:rsidRPr="00D65220">
        <w:rPr>
          <w:sz w:val="20"/>
          <w:szCs w:val="20"/>
          <w:lang w:val="fr-FR"/>
        </w:rPr>
        <w:t xml:space="preserve"> and </w:t>
      </w:r>
      <w:proofErr w:type="spellStart"/>
      <w:r w:rsidRPr="00D65220">
        <w:rPr>
          <w:sz w:val="20"/>
          <w:szCs w:val="20"/>
          <w:lang w:val="fr-FR"/>
        </w:rPr>
        <w:t>sociocultural</w:t>
      </w:r>
      <w:proofErr w:type="spellEnd"/>
      <w:r w:rsidRPr="00D65220">
        <w:rPr>
          <w:sz w:val="20"/>
          <w:szCs w:val="20"/>
          <w:lang w:val="fr-FR"/>
        </w:rPr>
        <w:t xml:space="preserve"> perspective on </w:t>
      </w:r>
      <w:proofErr w:type="spellStart"/>
      <w:r w:rsidRPr="00D65220">
        <w:rPr>
          <w:sz w:val="20"/>
          <w:szCs w:val="20"/>
          <w:lang w:val="fr-FR"/>
        </w:rPr>
        <w:t>bilingual</w:t>
      </w:r>
      <w:proofErr w:type="spellEnd"/>
      <w:r w:rsidRPr="00D65220">
        <w:rPr>
          <w:sz w:val="20"/>
          <w:szCs w:val="20"/>
          <w:lang w:val="fr-FR"/>
        </w:rPr>
        <w:t xml:space="preserve"> </w:t>
      </w:r>
      <w:proofErr w:type="spellStart"/>
      <w:r w:rsidRPr="00D65220">
        <w:rPr>
          <w:sz w:val="20"/>
          <w:szCs w:val="20"/>
          <w:lang w:val="fr-FR"/>
        </w:rPr>
        <w:t>mathematics</w:t>
      </w:r>
      <w:proofErr w:type="spellEnd"/>
      <w:r w:rsidRPr="00D65220">
        <w:rPr>
          <w:sz w:val="20"/>
          <w:szCs w:val="20"/>
          <w:lang w:val="fr-FR"/>
        </w:rPr>
        <w:t xml:space="preserve"> </w:t>
      </w:r>
      <w:proofErr w:type="spellStart"/>
      <w:r w:rsidRPr="00D65220">
        <w:rPr>
          <w:sz w:val="20"/>
          <w:szCs w:val="20"/>
          <w:lang w:val="fr-FR"/>
        </w:rPr>
        <w:t>learners</w:t>
      </w:r>
      <w:proofErr w:type="spellEnd"/>
      <w:r w:rsidRPr="00D65220">
        <w:rPr>
          <w:sz w:val="20"/>
          <w:szCs w:val="20"/>
          <w:lang w:val="fr-FR"/>
        </w:rPr>
        <w:t>. </w:t>
      </w:r>
      <w:proofErr w:type="spellStart"/>
      <w:r w:rsidRPr="00D65220">
        <w:rPr>
          <w:i/>
          <w:sz w:val="20"/>
          <w:szCs w:val="20"/>
          <w:lang w:val="fr-FR"/>
        </w:rPr>
        <w:t>Mathematical</w:t>
      </w:r>
      <w:proofErr w:type="spellEnd"/>
      <w:r w:rsidRPr="00D65220">
        <w:rPr>
          <w:i/>
          <w:sz w:val="20"/>
          <w:szCs w:val="20"/>
          <w:lang w:val="fr-FR"/>
        </w:rPr>
        <w:t xml:space="preserve"> </w:t>
      </w:r>
      <w:proofErr w:type="spellStart"/>
      <w:r w:rsidRPr="00D65220">
        <w:rPr>
          <w:i/>
          <w:sz w:val="20"/>
          <w:szCs w:val="20"/>
          <w:lang w:val="fr-FR"/>
        </w:rPr>
        <w:t>thinking</w:t>
      </w:r>
      <w:proofErr w:type="spellEnd"/>
      <w:r w:rsidRPr="00D65220">
        <w:rPr>
          <w:i/>
          <w:sz w:val="20"/>
          <w:szCs w:val="20"/>
          <w:lang w:val="fr-FR"/>
        </w:rPr>
        <w:t xml:space="preserve"> and </w:t>
      </w:r>
      <w:proofErr w:type="spellStart"/>
      <w:r w:rsidRPr="00D65220">
        <w:rPr>
          <w:i/>
          <w:sz w:val="20"/>
          <w:szCs w:val="20"/>
          <w:lang w:val="fr-FR"/>
        </w:rPr>
        <w:t>learning</w:t>
      </w:r>
      <w:proofErr w:type="spellEnd"/>
      <w:r w:rsidRPr="00D65220">
        <w:rPr>
          <w:i/>
          <w:sz w:val="20"/>
          <w:szCs w:val="20"/>
          <w:lang w:val="fr-FR"/>
        </w:rPr>
        <w:t>, 4</w:t>
      </w:r>
      <w:r w:rsidRPr="00D65220">
        <w:rPr>
          <w:sz w:val="20"/>
          <w:szCs w:val="20"/>
          <w:lang w:val="fr-FR"/>
        </w:rPr>
        <w:t>(2-3), 189-212.</w:t>
      </w:r>
    </w:p>
    <w:p w14:paraId="72D18B31" w14:textId="5F7495E5" w:rsidR="00EA08DD" w:rsidRPr="00D65220" w:rsidRDefault="00EA08DD" w:rsidP="00C85A49">
      <w:pPr>
        <w:pStyle w:val="Biblio"/>
        <w:spacing w:before="40" w:after="40"/>
        <w:rPr>
          <w:sz w:val="20"/>
          <w:szCs w:val="20"/>
          <w:lang w:val="fr-FR"/>
        </w:rPr>
      </w:pPr>
      <w:r w:rsidRPr="00D65220">
        <w:rPr>
          <w:sz w:val="20"/>
          <w:szCs w:val="20"/>
          <w:lang w:val="fr-FR"/>
        </w:rPr>
        <w:t xml:space="preserve">MEN (2017). </w:t>
      </w:r>
      <w:hyperlink r:id="rId7" w:tooltip="Statistiques globales et analyse des résultats scolaires : enseignement secondaire 2015-2016" w:history="1">
        <w:r w:rsidRPr="00D65220">
          <w:rPr>
            <w:i/>
            <w:sz w:val="20"/>
            <w:szCs w:val="20"/>
            <w:lang w:val="fr-FR"/>
          </w:rPr>
          <w:t>Statistiques globales et analyse des résultats scolaires : enseignement secondaire 2015-2016</w:t>
        </w:r>
      </w:hyperlink>
      <w:r w:rsidRPr="00D65220">
        <w:rPr>
          <w:i/>
          <w:sz w:val="20"/>
          <w:szCs w:val="20"/>
          <w:lang w:val="fr-FR"/>
        </w:rPr>
        <w:t>.</w:t>
      </w:r>
      <w:r w:rsidRPr="00D65220">
        <w:rPr>
          <w:sz w:val="20"/>
          <w:szCs w:val="20"/>
          <w:lang w:val="fr-FR"/>
        </w:rPr>
        <w:t xml:space="preserve"> Grand-Duché du Luxembourg : Ministère de l’Education Nationale, de l’Enfance et de la Jeunesse.</w:t>
      </w:r>
    </w:p>
    <w:p w14:paraId="2D0DEA35" w14:textId="0D098027" w:rsidR="00EA08DD" w:rsidRPr="00D65220" w:rsidRDefault="00EA08DD" w:rsidP="00C85A49">
      <w:pPr>
        <w:pStyle w:val="Biblio"/>
        <w:spacing w:before="40" w:after="40"/>
        <w:rPr>
          <w:sz w:val="20"/>
          <w:szCs w:val="20"/>
          <w:lang w:val="fr-FR"/>
        </w:rPr>
      </w:pPr>
      <w:r w:rsidRPr="00D65220">
        <w:rPr>
          <w:sz w:val="20"/>
          <w:szCs w:val="20"/>
          <w:lang w:val="fr-FR"/>
        </w:rPr>
        <w:t xml:space="preserve">MEN (2016). </w:t>
      </w:r>
      <w:hyperlink r:id="rId8" w:tooltip="Statistiques globales et analyse des résultats scolaires : enseignement secondaire 2015-2016" w:history="1">
        <w:r w:rsidRPr="00D65220">
          <w:rPr>
            <w:i/>
            <w:sz w:val="20"/>
            <w:szCs w:val="20"/>
            <w:lang w:val="fr-FR"/>
          </w:rPr>
          <w:t xml:space="preserve">Statistiques globales et analyse des résultats scolaires : enseignement secondaire </w:t>
        </w:r>
        <w:r w:rsidR="009D5D1D" w:rsidRPr="00D65220">
          <w:rPr>
            <w:i/>
            <w:sz w:val="20"/>
            <w:szCs w:val="20"/>
            <w:lang w:val="fr-FR"/>
          </w:rPr>
          <w:t xml:space="preserve">technique </w:t>
        </w:r>
        <w:r w:rsidRPr="00D65220">
          <w:rPr>
            <w:i/>
            <w:sz w:val="20"/>
            <w:szCs w:val="20"/>
            <w:lang w:val="fr-FR"/>
          </w:rPr>
          <w:t>2</w:t>
        </w:r>
        <w:r w:rsidR="009D5D1D" w:rsidRPr="00D65220">
          <w:rPr>
            <w:i/>
            <w:sz w:val="20"/>
            <w:szCs w:val="20"/>
            <w:lang w:val="fr-FR"/>
          </w:rPr>
          <w:t>014</w:t>
        </w:r>
        <w:r w:rsidRPr="00D65220">
          <w:rPr>
            <w:i/>
            <w:sz w:val="20"/>
            <w:szCs w:val="20"/>
            <w:lang w:val="fr-FR"/>
          </w:rPr>
          <w:t>-201</w:t>
        </w:r>
        <w:r w:rsidR="009D5D1D" w:rsidRPr="00D65220">
          <w:rPr>
            <w:i/>
            <w:sz w:val="20"/>
            <w:szCs w:val="20"/>
            <w:lang w:val="fr-FR"/>
          </w:rPr>
          <w:t>5</w:t>
        </w:r>
      </w:hyperlink>
      <w:r w:rsidRPr="00D65220">
        <w:rPr>
          <w:i/>
          <w:sz w:val="20"/>
          <w:szCs w:val="20"/>
          <w:lang w:val="fr-FR"/>
        </w:rPr>
        <w:t>.</w:t>
      </w:r>
      <w:r w:rsidRPr="00D65220">
        <w:rPr>
          <w:sz w:val="20"/>
          <w:szCs w:val="20"/>
          <w:lang w:val="fr-FR"/>
        </w:rPr>
        <w:t xml:space="preserve"> Grand-Duché du Luxembourg : Ministère de l’Education Nationale, de l’Enfance et de la Jeunesse.</w:t>
      </w:r>
    </w:p>
    <w:p w14:paraId="4462F299" w14:textId="331C1FF0" w:rsidR="00892503" w:rsidRPr="00D65220" w:rsidRDefault="00C414CB" w:rsidP="00C85A49">
      <w:pPr>
        <w:pStyle w:val="Biblio"/>
        <w:tabs>
          <w:tab w:val="left" w:pos="2835"/>
        </w:tabs>
        <w:spacing w:before="40" w:after="40"/>
        <w:rPr>
          <w:sz w:val="20"/>
          <w:szCs w:val="20"/>
          <w:lang w:val="fr-FR"/>
        </w:rPr>
      </w:pPr>
      <w:r w:rsidRPr="00D65220">
        <w:rPr>
          <w:sz w:val="20"/>
          <w:szCs w:val="20"/>
          <w:lang w:val="fr-FR"/>
        </w:rPr>
        <w:t xml:space="preserve">MEN (2011). </w:t>
      </w:r>
      <w:r w:rsidRPr="00D65220">
        <w:rPr>
          <w:i/>
          <w:sz w:val="20"/>
          <w:szCs w:val="20"/>
          <w:lang w:val="fr-FR"/>
        </w:rPr>
        <w:t>Courrier de l’Education Nationale, Numéro Spécial, Plan d’études de l’école fondamentale</w:t>
      </w:r>
      <w:r w:rsidRPr="00D65220">
        <w:rPr>
          <w:sz w:val="20"/>
          <w:szCs w:val="20"/>
          <w:lang w:val="fr-FR"/>
        </w:rPr>
        <w:t>. Grand-Duché du Luxembourg : Ministère de l’Education Nationale et de la Formation Professionnelle.</w:t>
      </w:r>
    </w:p>
    <w:p w14:paraId="698E5ECE" w14:textId="093BD82F" w:rsidR="00055F07" w:rsidRPr="00D65220" w:rsidRDefault="00055F07" w:rsidP="00C85A49">
      <w:pPr>
        <w:pStyle w:val="Biblio"/>
        <w:spacing w:before="40" w:after="40"/>
        <w:rPr>
          <w:sz w:val="20"/>
          <w:szCs w:val="20"/>
          <w:lang w:val="fr-FR"/>
        </w:rPr>
      </w:pPr>
      <w:proofErr w:type="spellStart"/>
      <w:r w:rsidRPr="00D65220">
        <w:rPr>
          <w:sz w:val="20"/>
          <w:szCs w:val="20"/>
          <w:lang w:val="fr-FR"/>
        </w:rPr>
        <w:t>Radford</w:t>
      </w:r>
      <w:proofErr w:type="spellEnd"/>
      <w:r w:rsidRPr="00D65220">
        <w:rPr>
          <w:sz w:val="20"/>
          <w:szCs w:val="20"/>
          <w:lang w:val="fr-FR"/>
        </w:rPr>
        <w:t>, L. (2017).</w:t>
      </w:r>
      <w:r w:rsidR="00C414CB" w:rsidRPr="00D65220">
        <w:rPr>
          <w:sz w:val="20"/>
          <w:szCs w:val="20"/>
          <w:lang w:val="fr-FR"/>
        </w:rPr>
        <w:t xml:space="preserve"> </w:t>
      </w:r>
      <w:proofErr w:type="spellStart"/>
      <w:r w:rsidR="00C414CB" w:rsidRPr="00D65220">
        <w:rPr>
          <w:i/>
          <w:sz w:val="20"/>
          <w:szCs w:val="20"/>
          <w:lang w:val="fr-FR"/>
        </w:rPr>
        <w:t>Language</w:t>
      </w:r>
      <w:proofErr w:type="spellEnd"/>
      <w:r w:rsidR="00C414CB" w:rsidRPr="00D65220">
        <w:rPr>
          <w:i/>
          <w:sz w:val="20"/>
          <w:szCs w:val="20"/>
          <w:lang w:val="fr-FR"/>
        </w:rPr>
        <w:t xml:space="preserve"> and </w:t>
      </w:r>
      <w:proofErr w:type="spellStart"/>
      <w:r w:rsidR="00C414CB" w:rsidRPr="00D65220">
        <w:rPr>
          <w:i/>
          <w:sz w:val="20"/>
          <w:szCs w:val="20"/>
          <w:lang w:val="fr-FR"/>
        </w:rPr>
        <w:t>Mathematics</w:t>
      </w:r>
      <w:proofErr w:type="spellEnd"/>
      <w:r w:rsidR="00C414CB" w:rsidRPr="00D65220">
        <w:rPr>
          <w:i/>
          <w:sz w:val="20"/>
          <w:szCs w:val="20"/>
          <w:lang w:val="fr-FR"/>
        </w:rPr>
        <w:t xml:space="preserve"> </w:t>
      </w:r>
      <w:proofErr w:type="spellStart"/>
      <w:r w:rsidR="00C414CB" w:rsidRPr="00D65220">
        <w:rPr>
          <w:i/>
          <w:sz w:val="20"/>
          <w:szCs w:val="20"/>
          <w:lang w:val="fr-FR"/>
        </w:rPr>
        <w:t>Education</w:t>
      </w:r>
      <w:proofErr w:type="spellEnd"/>
      <w:r w:rsidR="00C414CB" w:rsidRPr="00D65220">
        <w:rPr>
          <w:sz w:val="20"/>
          <w:szCs w:val="20"/>
          <w:lang w:val="fr-FR"/>
        </w:rPr>
        <w:t xml:space="preserve">. Conférence donnée à l’Université du Luxembourg. </w:t>
      </w:r>
    </w:p>
    <w:p w14:paraId="69AA9BE9" w14:textId="77777777" w:rsidR="00C414CB" w:rsidRPr="00D65220" w:rsidRDefault="00C414CB" w:rsidP="00C85A49">
      <w:pPr>
        <w:pStyle w:val="Biblio"/>
        <w:spacing w:before="40" w:after="40"/>
        <w:rPr>
          <w:sz w:val="20"/>
          <w:szCs w:val="20"/>
          <w:lang w:val="fr-FR"/>
        </w:rPr>
      </w:pPr>
      <w:r w:rsidRPr="00D65220">
        <w:rPr>
          <w:sz w:val="20"/>
          <w:szCs w:val="20"/>
          <w:lang w:val="fr-FR"/>
        </w:rPr>
        <w:t xml:space="preserve">Radford, L. (2013). On semiotics and education. </w:t>
      </w:r>
      <w:r w:rsidRPr="00D65220">
        <w:rPr>
          <w:i/>
          <w:sz w:val="20"/>
          <w:szCs w:val="20"/>
          <w:lang w:val="fr-FR"/>
        </w:rPr>
        <w:t>Education &amp; didactique, 7</w:t>
      </w:r>
      <w:r w:rsidRPr="00D65220">
        <w:rPr>
          <w:sz w:val="20"/>
          <w:szCs w:val="20"/>
          <w:lang w:val="fr-FR"/>
        </w:rPr>
        <w:t>(1), 185-204.</w:t>
      </w:r>
    </w:p>
    <w:p w14:paraId="5276ACEE" w14:textId="77777777" w:rsidR="00C414CB" w:rsidRPr="00D65220" w:rsidRDefault="00C414CB" w:rsidP="00C85A49">
      <w:pPr>
        <w:pStyle w:val="Biblio"/>
        <w:spacing w:before="40" w:after="40"/>
        <w:rPr>
          <w:sz w:val="20"/>
          <w:szCs w:val="20"/>
          <w:lang w:val="fr-FR"/>
        </w:rPr>
      </w:pPr>
      <w:r w:rsidRPr="00D65220">
        <w:rPr>
          <w:sz w:val="20"/>
          <w:szCs w:val="20"/>
          <w:lang w:val="fr-FR"/>
        </w:rPr>
        <w:t xml:space="preserve">Radford, L. (1998). On signs and representations, a cultural account. </w:t>
      </w:r>
      <w:r w:rsidRPr="00D65220">
        <w:rPr>
          <w:i/>
          <w:sz w:val="20"/>
          <w:szCs w:val="20"/>
          <w:lang w:val="fr-FR"/>
        </w:rPr>
        <w:t>Scientia Paedagogica Experimentalis, 1</w:t>
      </w:r>
      <w:r w:rsidRPr="00D65220">
        <w:rPr>
          <w:sz w:val="20"/>
          <w:szCs w:val="20"/>
          <w:lang w:val="fr-FR"/>
        </w:rPr>
        <w:t>, 277-302.</w:t>
      </w:r>
    </w:p>
    <w:p w14:paraId="745DD0F1" w14:textId="77777777" w:rsidR="00E04207" w:rsidRPr="00D65220" w:rsidRDefault="00E04207" w:rsidP="00C85A49">
      <w:pPr>
        <w:pStyle w:val="Biblio"/>
        <w:spacing w:before="40" w:after="40"/>
        <w:rPr>
          <w:sz w:val="20"/>
          <w:szCs w:val="20"/>
          <w:lang w:val="fr-FR"/>
        </w:rPr>
      </w:pPr>
      <w:proofErr w:type="spellStart"/>
      <w:r w:rsidRPr="00D65220">
        <w:rPr>
          <w:sz w:val="20"/>
          <w:szCs w:val="20"/>
          <w:lang w:val="fr-FR"/>
        </w:rPr>
        <w:t>Radford</w:t>
      </w:r>
      <w:proofErr w:type="spellEnd"/>
      <w:r w:rsidRPr="00D65220">
        <w:rPr>
          <w:sz w:val="20"/>
          <w:szCs w:val="20"/>
          <w:lang w:val="fr-FR"/>
        </w:rPr>
        <w:t xml:space="preserve">, L., &amp; </w:t>
      </w:r>
      <w:proofErr w:type="spellStart"/>
      <w:r w:rsidRPr="00D65220">
        <w:rPr>
          <w:sz w:val="20"/>
          <w:szCs w:val="20"/>
          <w:lang w:val="fr-FR"/>
        </w:rPr>
        <w:t>Barwell</w:t>
      </w:r>
      <w:proofErr w:type="spellEnd"/>
      <w:r w:rsidRPr="00D65220">
        <w:rPr>
          <w:sz w:val="20"/>
          <w:szCs w:val="20"/>
          <w:lang w:val="fr-FR"/>
        </w:rPr>
        <w:t xml:space="preserve">, R. (2016). </w:t>
      </w:r>
      <w:proofErr w:type="spellStart"/>
      <w:r w:rsidRPr="00D65220">
        <w:rPr>
          <w:sz w:val="20"/>
          <w:szCs w:val="20"/>
          <w:lang w:val="fr-FR"/>
        </w:rPr>
        <w:t>Language</w:t>
      </w:r>
      <w:proofErr w:type="spellEnd"/>
      <w:r w:rsidRPr="00D65220">
        <w:rPr>
          <w:sz w:val="20"/>
          <w:szCs w:val="20"/>
          <w:lang w:val="fr-FR"/>
        </w:rPr>
        <w:t xml:space="preserve"> in </w:t>
      </w:r>
      <w:proofErr w:type="spellStart"/>
      <w:r w:rsidRPr="00D65220">
        <w:rPr>
          <w:sz w:val="20"/>
          <w:szCs w:val="20"/>
          <w:lang w:val="fr-FR"/>
        </w:rPr>
        <w:t>mathematics</w:t>
      </w:r>
      <w:proofErr w:type="spellEnd"/>
      <w:r w:rsidRPr="00D65220">
        <w:rPr>
          <w:sz w:val="20"/>
          <w:szCs w:val="20"/>
          <w:lang w:val="fr-FR"/>
        </w:rPr>
        <w:t xml:space="preserve"> </w:t>
      </w:r>
      <w:proofErr w:type="spellStart"/>
      <w:r w:rsidRPr="00D65220">
        <w:rPr>
          <w:sz w:val="20"/>
          <w:szCs w:val="20"/>
          <w:lang w:val="fr-FR"/>
        </w:rPr>
        <w:t>education</w:t>
      </w:r>
      <w:proofErr w:type="spellEnd"/>
      <w:r w:rsidRPr="00D65220">
        <w:rPr>
          <w:sz w:val="20"/>
          <w:szCs w:val="20"/>
          <w:lang w:val="fr-FR"/>
        </w:rPr>
        <w:t xml:space="preserve"> </w:t>
      </w:r>
      <w:proofErr w:type="spellStart"/>
      <w:r w:rsidRPr="00D65220">
        <w:rPr>
          <w:sz w:val="20"/>
          <w:szCs w:val="20"/>
          <w:lang w:val="fr-FR"/>
        </w:rPr>
        <w:t>research</w:t>
      </w:r>
      <w:proofErr w:type="spellEnd"/>
      <w:r w:rsidRPr="00D65220">
        <w:rPr>
          <w:sz w:val="20"/>
          <w:szCs w:val="20"/>
          <w:lang w:val="fr-FR"/>
        </w:rPr>
        <w:t xml:space="preserve">. In A. </w:t>
      </w:r>
      <w:proofErr w:type="spellStart"/>
      <w:r w:rsidRPr="00D65220">
        <w:rPr>
          <w:sz w:val="20"/>
          <w:szCs w:val="20"/>
          <w:lang w:val="fr-FR"/>
        </w:rPr>
        <w:t>Gutiérrez</w:t>
      </w:r>
      <w:proofErr w:type="spellEnd"/>
      <w:r w:rsidRPr="00D65220">
        <w:rPr>
          <w:sz w:val="20"/>
          <w:szCs w:val="20"/>
          <w:lang w:val="fr-FR"/>
        </w:rPr>
        <w:t xml:space="preserve">, G. </w:t>
      </w:r>
      <w:proofErr w:type="spellStart"/>
      <w:r w:rsidRPr="00D65220">
        <w:rPr>
          <w:sz w:val="20"/>
          <w:szCs w:val="20"/>
          <w:lang w:val="fr-FR"/>
        </w:rPr>
        <w:t>Leder</w:t>
      </w:r>
      <w:proofErr w:type="spellEnd"/>
      <w:r w:rsidRPr="00D65220">
        <w:rPr>
          <w:sz w:val="20"/>
          <w:szCs w:val="20"/>
          <w:lang w:val="fr-FR"/>
        </w:rPr>
        <w:t xml:space="preserve">, &amp; P. </w:t>
      </w:r>
      <w:proofErr w:type="spellStart"/>
      <w:r w:rsidRPr="00D65220">
        <w:rPr>
          <w:sz w:val="20"/>
          <w:szCs w:val="20"/>
          <w:lang w:val="fr-FR"/>
        </w:rPr>
        <w:t>Boero</w:t>
      </w:r>
      <w:proofErr w:type="spellEnd"/>
      <w:r w:rsidRPr="00D65220">
        <w:rPr>
          <w:sz w:val="20"/>
          <w:szCs w:val="20"/>
          <w:lang w:val="fr-FR"/>
        </w:rPr>
        <w:t xml:space="preserve"> (</w:t>
      </w:r>
      <w:proofErr w:type="spellStart"/>
      <w:r w:rsidRPr="00D65220">
        <w:rPr>
          <w:sz w:val="20"/>
          <w:szCs w:val="20"/>
          <w:lang w:val="fr-FR"/>
        </w:rPr>
        <w:t>Eds</w:t>
      </w:r>
      <w:proofErr w:type="spellEnd"/>
      <w:r w:rsidRPr="00D65220">
        <w:rPr>
          <w:sz w:val="20"/>
          <w:szCs w:val="20"/>
          <w:lang w:val="fr-FR"/>
        </w:rPr>
        <w:t xml:space="preserve">.), </w:t>
      </w:r>
      <w:r w:rsidRPr="00D65220">
        <w:rPr>
          <w:i/>
          <w:sz w:val="20"/>
          <w:szCs w:val="20"/>
          <w:lang w:val="fr-FR"/>
        </w:rPr>
        <w:t xml:space="preserve">The second </w:t>
      </w:r>
      <w:proofErr w:type="spellStart"/>
      <w:r w:rsidRPr="00D65220">
        <w:rPr>
          <w:i/>
          <w:sz w:val="20"/>
          <w:szCs w:val="20"/>
          <w:lang w:val="fr-FR"/>
        </w:rPr>
        <w:t>handbook</w:t>
      </w:r>
      <w:proofErr w:type="spellEnd"/>
      <w:r w:rsidRPr="00D65220">
        <w:rPr>
          <w:i/>
          <w:sz w:val="20"/>
          <w:szCs w:val="20"/>
          <w:lang w:val="fr-FR"/>
        </w:rPr>
        <w:t xml:space="preserve"> of </w:t>
      </w:r>
      <w:proofErr w:type="spellStart"/>
      <w:r w:rsidRPr="00D65220">
        <w:rPr>
          <w:i/>
          <w:sz w:val="20"/>
          <w:szCs w:val="20"/>
          <w:lang w:val="fr-FR"/>
        </w:rPr>
        <w:t>research</w:t>
      </w:r>
      <w:proofErr w:type="spellEnd"/>
      <w:r w:rsidRPr="00D65220">
        <w:rPr>
          <w:i/>
          <w:sz w:val="20"/>
          <w:szCs w:val="20"/>
          <w:lang w:val="fr-FR"/>
        </w:rPr>
        <w:t xml:space="preserve"> on the </w:t>
      </w:r>
      <w:proofErr w:type="spellStart"/>
      <w:r w:rsidRPr="00D65220">
        <w:rPr>
          <w:i/>
          <w:sz w:val="20"/>
          <w:szCs w:val="20"/>
          <w:lang w:val="fr-FR"/>
        </w:rPr>
        <w:t>psychology</w:t>
      </w:r>
      <w:proofErr w:type="spellEnd"/>
      <w:r w:rsidRPr="00D65220">
        <w:rPr>
          <w:i/>
          <w:sz w:val="20"/>
          <w:szCs w:val="20"/>
          <w:lang w:val="fr-FR"/>
        </w:rPr>
        <w:t xml:space="preserve"> of </w:t>
      </w:r>
      <w:proofErr w:type="spellStart"/>
      <w:r w:rsidRPr="00D65220">
        <w:rPr>
          <w:i/>
          <w:sz w:val="20"/>
          <w:szCs w:val="20"/>
          <w:lang w:val="fr-FR"/>
        </w:rPr>
        <w:t>mathematics</w:t>
      </w:r>
      <w:proofErr w:type="spellEnd"/>
      <w:r w:rsidRPr="00D65220">
        <w:rPr>
          <w:i/>
          <w:sz w:val="20"/>
          <w:szCs w:val="20"/>
          <w:lang w:val="fr-FR"/>
        </w:rPr>
        <w:t xml:space="preserve"> </w:t>
      </w:r>
      <w:proofErr w:type="spellStart"/>
      <w:r w:rsidRPr="00D65220">
        <w:rPr>
          <w:i/>
          <w:sz w:val="20"/>
          <w:szCs w:val="20"/>
          <w:lang w:val="fr-FR"/>
        </w:rPr>
        <w:t>education</w:t>
      </w:r>
      <w:proofErr w:type="spellEnd"/>
      <w:r w:rsidRPr="00D65220">
        <w:rPr>
          <w:i/>
          <w:sz w:val="20"/>
          <w:szCs w:val="20"/>
          <w:lang w:val="fr-FR"/>
        </w:rPr>
        <w:t xml:space="preserve">. The </w:t>
      </w:r>
      <w:proofErr w:type="spellStart"/>
      <w:r w:rsidRPr="00D65220">
        <w:rPr>
          <w:i/>
          <w:sz w:val="20"/>
          <w:szCs w:val="20"/>
          <w:lang w:val="fr-FR"/>
        </w:rPr>
        <w:t>journey</w:t>
      </w:r>
      <w:proofErr w:type="spellEnd"/>
      <w:r w:rsidRPr="00D65220">
        <w:rPr>
          <w:i/>
          <w:sz w:val="20"/>
          <w:szCs w:val="20"/>
          <w:lang w:val="fr-FR"/>
        </w:rPr>
        <w:t xml:space="preserve"> continues</w:t>
      </w:r>
      <w:r w:rsidRPr="00D65220">
        <w:rPr>
          <w:sz w:val="20"/>
          <w:szCs w:val="20"/>
          <w:lang w:val="fr-FR"/>
        </w:rPr>
        <w:t xml:space="preserve"> (pp. 275-313). Rotterdam: </w:t>
      </w:r>
      <w:proofErr w:type="spellStart"/>
      <w:r w:rsidRPr="00D65220">
        <w:rPr>
          <w:sz w:val="20"/>
          <w:szCs w:val="20"/>
          <w:lang w:val="fr-FR"/>
        </w:rPr>
        <w:t>Sense</w:t>
      </w:r>
      <w:proofErr w:type="spellEnd"/>
      <w:r w:rsidRPr="00D65220">
        <w:rPr>
          <w:sz w:val="20"/>
          <w:szCs w:val="20"/>
          <w:lang w:val="fr-FR"/>
        </w:rPr>
        <w:t>.</w:t>
      </w:r>
    </w:p>
    <w:p w14:paraId="78F43BC7" w14:textId="77777777" w:rsidR="00C414CB" w:rsidRPr="00D65220" w:rsidRDefault="00C414CB" w:rsidP="00C85A49">
      <w:pPr>
        <w:pStyle w:val="Biblio"/>
        <w:spacing w:before="40" w:after="40"/>
        <w:rPr>
          <w:sz w:val="20"/>
          <w:szCs w:val="20"/>
          <w:lang w:val="fr-FR"/>
        </w:rPr>
      </w:pPr>
      <w:r w:rsidRPr="00D65220">
        <w:rPr>
          <w:sz w:val="20"/>
          <w:szCs w:val="20"/>
          <w:lang w:val="fr-FR"/>
        </w:rPr>
        <w:t xml:space="preserve">Sfard (2006). Participationist discourse on mathematics learning. In J. Maasz &amp; W. Schoeglmann (Eds.), </w:t>
      </w:r>
      <w:r w:rsidRPr="00D65220">
        <w:rPr>
          <w:i/>
          <w:sz w:val="20"/>
          <w:szCs w:val="20"/>
          <w:lang w:val="fr-FR"/>
        </w:rPr>
        <w:t>New mathematics education and practice</w:t>
      </w:r>
      <w:r w:rsidRPr="00D65220">
        <w:rPr>
          <w:sz w:val="20"/>
          <w:szCs w:val="20"/>
          <w:lang w:val="fr-FR"/>
        </w:rPr>
        <w:t xml:space="preserve"> (pp. 147-152). Rotterdam: Sense Publishers.</w:t>
      </w:r>
    </w:p>
    <w:p w14:paraId="4117A3EB" w14:textId="2C41E609" w:rsidR="0006655E" w:rsidRPr="00D65220" w:rsidRDefault="0006655E" w:rsidP="00C85A49">
      <w:pPr>
        <w:pStyle w:val="Biblio"/>
        <w:spacing w:before="40" w:after="40"/>
        <w:rPr>
          <w:sz w:val="20"/>
          <w:szCs w:val="20"/>
        </w:rPr>
      </w:pPr>
      <w:r w:rsidRPr="00D65220">
        <w:rPr>
          <w:sz w:val="20"/>
          <w:szCs w:val="20"/>
        </w:rPr>
        <w:t>Smit, J.</w:t>
      </w:r>
      <w:r w:rsidR="00C414CB" w:rsidRPr="00D65220">
        <w:rPr>
          <w:sz w:val="20"/>
          <w:szCs w:val="20"/>
        </w:rPr>
        <w:t xml:space="preserve"> </w:t>
      </w:r>
      <w:r w:rsidRPr="00D65220">
        <w:rPr>
          <w:sz w:val="20"/>
          <w:szCs w:val="20"/>
        </w:rPr>
        <w:t>(2013)</w:t>
      </w:r>
      <w:r w:rsidR="00CA33C7" w:rsidRPr="00D65220">
        <w:rPr>
          <w:sz w:val="20"/>
          <w:szCs w:val="20"/>
        </w:rPr>
        <w:t xml:space="preserve">. </w:t>
      </w:r>
      <w:r w:rsidR="00CA33C7" w:rsidRPr="00D65220">
        <w:rPr>
          <w:i/>
          <w:sz w:val="20"/>
          <w:szCs w:val="20"/>
        </w:rPr>
        <w:t xml:space="preserve">Scaffolding language multilingual mathematics classrooms. </w:t>
      </w:r>
      <w:r w:rsidR="00CA33C7" w:rsidRPr="00D65220">
        <w:rPr>
          <w:sz w:val="20"/>
          <w:szCs w:val="20"/>
        </w:rPr>
        <w:t>Utrecht : Freudenthal institute for Science and mathematics education</w:t>
      </w:r>
      <w:r w:rsidR="00E33B55" w:rsidRPr="00D65220">
        <w:rPr>
          <w:sz w:val="20"/>
          <w:szCs w:val="20"/>
        </w:rPr>
        <w:t xml:space="preserve">, </w:t>
      </w:r>
      <w:r w:rsidR="00CA33C7" w:rsidRPr="00D65220">
        <w:rPr>
          <w:sz w:val="20"/>
          <w:szCs w:val="20"/>
        </w:rPr>
        <w:t>Utrech</w:t>
      </w:r>
      <w:r w:rsidR="00E33B55" w:rsidRPr="00D65220">
        <w:rPr>
          <w:sz w:val="20"/>
          <w:szCs w:val="20"/>
        </w:rPr>
        <w:t>t</w:t>
      </w:r>
      <w:r w:rsidR="00CA33C7" w:rsidRPr="00D65220">
        <w:rPr>
          <w:sz w:val="20"/>
          <w:szCs w:val="20"/>
        </w:rPr>
        <w:t xml:space="preserve"> University</w:t>
      </w:r>
      <w:r w:rsidR="00C414CB" w:rsidRPr="00D65220">
        <w:rPr>
          <w:sz w:val="20"/>
          <w:szCs w:val="20"/>
        </w:rPr>
        <w:t>, The Ne</w:t>
      </w:r>
      <w:r w:rsidR="00C23525" w:rsidRPr="00D65220">
        <w:rPr>
          <w:sz w:val="20"/>
          <w:szCs w:val="20"/>
        </w:rPr>
        <w:t>t</w:t>
      </w:r>
      <w:r w:rsidR="00C414CB" w:rsidRPr="00D65220">
        <w:rPr>
          <w:sz w:val="20"/>
          <w:szCs w:val="20"/>
        </w:rPr>
        <w:t>h</w:t>
      </w:r>
      <w:r w:rsidR="00C23525" w:rsidRPr="00D65220">
        <w:rPr>
          <w:sz w:val="20"/>
          <w:szCs w:val="20"/>
        </w:rPr>
        <w:t>erlands : Scientifc Library.</w:t>
      </w:r>
    </w:p>
    <w:p w14:paraId="51D54B4C" w14:textId="5A6D4AA6" w:rsidR="00E33B55" w:rsidRPr="00D65220" w:rsidRDefault="00E33B55" w:rsidP="00C85A49">
      <w:pPr>
        <w:pStyle w:val="Biblio"/>
        <w:spacing w:before="40" w:after="40"/>
        <w:rPr>
          <w:sz w:val="20"/>
          <w:szCs w:val="20"/>
          <w:lang w:val="fr-FR"/>
        </w:rPr>
      </w:pPr>
      <w:r w:rsidRPr="00D65220">
        <w:rPr>
          <w:sz w:val="20"/>
          <w:szCs w:val="20"/>
          <w:lang w:val="fr-FR"/>
        </w:rPr>
        <w:t xml:space="preserve">Smit, J., &amp; van Eerde, H. A. A. (2011). A </w:t>
      </w:r>
      <w:proofErr w:type="spellStart"/>
      <w:r w:rsidRPr="00D65220">
        <w:rPr>
          <w:sz w:val="20"/>
          <w:szCs w:val="20"/>
          <w:lang w:val="fr-FR"/>
        </w:rPr>
        <w:t>teacher’s</w:t>
      </w:r>
      <w:proofErr w:type="spellEnd"/>
      <w:r w:rsidRPr="00D65220">
        <w:rPr>
          <w:sz w:val="20"/>
          <w:szCs w:val="20"/>
          <w:lang w:val="fr-FR"/>
        </w:rPr>
        <w:t xml:space="preserve"> </w:t>
      </w:r>
      <w:proofErr w:type="spellStart"/>
      <w:r w:rsidRPr="00D65220">
        <w:rPr>
          <w:sz w:val="20"/>
          <w:szCs w:val="20"/>
          <w:lang w:val="fr-FR"/>
        </w:rPr>
        <w:t>learning</w:t>
      </w:r>
      <w:proofErr w:type="spellEnd"/>
      <w:r w:rsidRPr="00D65220">
        <w:rPr>
          <w:sz w:val="20"/>
          <w:szCs w:val="20"/>
          <w:lang w:val="fr-FR"/>
        </w:rPr>
        <w:t xml:space="preserve"> </w:t>
      </w:r>
      <w:proofErr w:type="spellStart"/>
      <w:r w:rsidRPr="00D65220">
        <w:rPr>
          <w:sz w:val="20"/>
          <w:szCs w:val="20"/>
          <w:lang w:val="fr-FR"/>
        </w:rPr>
        <w:t>process</w:t>
      </w:r>
      <w:proofErr w:type="spellEnd"/>
      <w:r w:rsidRPr="00D65220">
        <w:rPr>
          <w:sz w:val="20"/>
          <w:szCs w:val="20"/>
          <w:lang w:val="fr-FR"/>
        </w:rPr>
        <w:t xml:space="preserve"> in dual design </w:t>
      </w:r>
      <w:proofErr w:type="spellStart"/>
      <w:r w:rsidRPr="00D65220">
        <w:rPr>
          <w:sz w:val="20"/>
          <w:szCs w:val="20"/>
          <w:lang w:val="fr-FR"/>
        </w:rPr>
        <w:t>research</w:t>
      </w:r>
      <w:proofErr w:type="spellEnd"/>
      <w:r w:rsidRPr="00D65220">
        <w:rPr>
          <w:sz w:val="20"/>
          <w:szCs w:val="20"/>
          <w:lang w:val="fr-FR"/>
        </w:rPr>
        <w:t xml:space="preserve">: Learning to </w:t>
      </w:r>
      <w:proofErr w:type="spellStart"/>
      <w:r w:rsidRPr="00D65220">
        <w:rPr>
          <w:sz w:val="20"/>
          <w:szCs w:val="20"/>
          <w:lang w:val="fr-FR"/>
        </w:rPr>
        <w:t>scaffold</w:t>
      </w:r>
      <w:proofErr w:type="spellEnd"/>
      <w:r w:rsidRPr="00D65220">
        <w:rPr>
          <w:sz w:val="20"/>
          <w:szCs w:val="20"/>
          <w:lang w:val="fr-FR"/>
        </w:rPr>
        <w:t xml:space="preserve"> </w:t>
      </w:r>
      <w:proofErr w:type="spellStart"/>
      <w:r w:rsidRPr="00D65220">
        <w:rPr>
          <w:sz w:val="20"/>
          <w:szCs w:val="20"/>
          <w:lang w:val="fr-FR"/>
        </w:rPr>
        <w:t>language</w:t>
      </w:r>
      <w:proofErr w:type="spellEnd"/>
      <w:r w:rsidRPr="00D65220">
        <w:rPr>
          <w:sz w:val="20"/>
          <w:szCs w:val="20"/>
          <w:lang w:val="fr-FR"/>
        </w:rPr>
        <w:t xml:space="preserve"> in a </w:t>
      </w:r>
      <w:proofErr w:type="spellStart"/>
      <w:r w:rsidRPr="00D65220">
        <w:rPr>
          <w:sz w:val="20"/>
          <w:szCs w:val="20"/>
          <w:lang w:val="fr-FR"/>
        </w:rPr>
        <w:t>multilingual</w:t>
      </w:r>
      <w:proofErr w:type="spellEnd"/>
      <w:r w:rsidRPr="00D65220">
        <w:rPr>
          <w:sz w:val="20"/>
          <w:szCs w:val="20"/>
          <w:lang w:val="fr-FR"/>
        </w:rPr>
        <w:t xml:space="preserve"> </w:t>
      </w:r>
      <w:proofErr w:type="spellStart"/>
      <w:r w:rsidRPr="00D65220">
        <w:rPr>
          <w:sz w:val="20"/>
          <w:szCs w:val="20"/>
          <w:lang w:val="fr-FR"/>
        </w:rPr>
        <w:t>mathematics</w:t>
      </w:r>
      <w:proofErr w:type="spellEnd"/>
      <w:r w:rsidRPr="00D65220">
        <w:rPr>
          <w:sz w:val="20"/>
          <w:szCs w:val="20"/>
          <w:lang w:val="fr-FR"/>
        </w:rPr>
        <w:t xml:space="preserve"> </w:t>
      </w:r>
      <w:proofErr w:type="spellStart"/>
      <w:r w:rsidRPr="00D65220">
        <w:rPr>
          <w:sz w:val="20"/>
          <w:szCs w:val="20"/>
          <w:lang w:val="fr-FR"/>
        </w:rPr>
        <w:t>classroom</w:t>
      </w:r>
      <w:proofErr w:type="spellEnd"/>
      <w:r w:rsidRPr="00D65220">
        <w:rPr>
          <w:sz w:val="20"/>
          <w:szCs w:val="20"/>
          <w:lang w:val="fr-FR"/>
        </w:rPr>
        <w:t>. </w:t>
      </w:r>
      <w:r w:rsidRPr="00D65220">
        <w:rPr>
          <w:i/>
          <w:sz w:val="20"/>
          <w:szCs w:val="20"/>
          <w:lang w:val="fr-FR"/>
        </w:rPr>
        <w:t>ZDM, 43</w:t>
      </w:r>
      <w:r w:rsidRPr="00D65220">
        <w:rPr>
          <w:sz w:val="20"/>
          <w:szCs w:val="20"/>
          <w:lang w:val="fr-FR"/>
        </w:rPr>
        <w:t>(6-7), 889-900.</w:t>
      </w:r>
    </w:p>
    <w:p w14:paraId="7F695018" w14:textId="579F2642" w:rsidR="00136056" w:rsidRPr="00D65220" w:rsidRDefault="00136056" w:rsidP="00C85A49">
      <w:pPr>
        <w:pStyle w:val="Biblio"/>
        <w:spacing w:before="40" w:after="40"/>
        <w:rPr>
          <w:sz w:val="20"/>
          <w:szCs w:val="20"/>
          <w:lang w:val="fr-FR"/>
        </w:rPr>
      </w:pPr>
      <w:r w:rsidRPr="00D65220">
        <w:rPr>
          <w:sz w:val="20"/>
          <w:szCs w:val="20"/>
          <w:lang w:val="fr-FR"/>
        </w:rPr>
        <w:t>STATEC (2017)</w:t>
      </w:r>
      <w:r w:rsidR="00F87F6B" w:rsidRPr="00D65220">
        <w:rPr>
          <w:sz w:val="20"/>
          <w:szCs w:val="20"/>
          <w:lang w:val="fr-FR"/>
        </w:rPr>
        <w:t>.</w:t>
      </w:r>
      <w:r w:rsidRPr="00D65220">
        <w:rPr>
          <w:sz w:val="20"/>
          <w:szCs w:val="20"/>
          <w:lang w:val="fr-FR"/>
        </w:rPr>
        <w:t xml:space="preserve"> </w:t>
      </w:r>
      <w:r w:rsidRPr="00D65220">
        <w:rPr>
          <w:i/>
          <w:sz w:val="20"/>
          <w:szCs w:val="20"/>
          <w:lang w:val="fr-FR"/>
        </w:rPr>
        <w:t>Annuaire statistique</w:t>
      </w:r>
      <w:r w:rsidRPr="00D65220">
        <w:rPr>
          <w:sz w:val="20"/>
          <w:szCs w:val="20"/>
          <w:lang w:val="fr-FR"/>
        </w:rPr>
        <w:t xml:space="preserve">. Luxembourg : </w:t>
      </w:r>
      <w:r w:rsidR="00F87F6B" w:rsidRPr="00D65220">
        <w:rPr>
          <w:sz w:val="20"/>
          <w:szCs w:val="20"/>
          <w:lang w:val="fr-FR"/>
        </w:rPr>
        <w:t>Institut national de la statistique et des é</w:t>
      </w:r>
      <w:r w:rsidRPr="00D65220">
        <w:rPr>
          <w:sz w:val="20"/>
          <w:szCs w:val="20"/>
          <w:lang w:val="fr-FR"/>
        </w:rPr>
        <w:t xml:space="preserve">tudes </w:t>
      </w:r>
      <w:r w:rsidR="00F87F6B" w:rsidRPr="00D65220">
        <w:rPr>
          <w:sz w:val="20"/>
          <w:szCs w:val="20"/>
          <w:lang w:val="fr-FR"/>
        </w:rPr>
        <w:t>é</w:t>
      </w:r>
      <w:r w:rsidRPr="00D65220">
        <w:rPr>
          <w:sz w:val="20"/>
          <w:szCs w:val="20"/>
          <w:lang w:val="fr-FR"/>
        </w:rPr>
        <w:t>conomiques.</w:t>
      </w:r>
    </w:p>
    <w:p w14:paraId="0A9D8AC6" w14:textId="77777777" w:rsidR="00D65220" w:rsidRPr="00D65220" w:rsidRDefault="00D65220" w:rsidP="00C85A49">
      <w:pPr>
        <w:pStyle w:val="Biblio"/>
        <w:spacing w:before="40" w:after="40"/>
        <w:rPr>
          <w:sz w:val="20"/>
          <w:szCs w:val="20"/>
          <w:lang w:val="fr-FR"/>
        </w:rPr>
      </w:pPr>
      <w:proofErr w:type="spellStart"/>
      <w:r w:rsidRPr="00D65220">
        <w:rPr>
          <w:sz w:val="20"/>
          <w:szCs w:val="20"/>
          <w:lang w:val="fr-FR"/>
        </w:rPr>
        <w:t>Takeuchi</w:t>
      </w:r>
      <w:proofErr w:type="spellEnd"/>
      <w:r w:rsidRPr="00D65220">
        <w:rPr>
          <w:sz w:val="20"/>
          <w:szCs w:val="20"/>
          <w:lang w:val="fr-FR"/>
        </w:rPr>
        <w:t xml:space="preserve">, M. (2015). The </w:t>
      </w:r>
      <w:proofErr w:type="spellStart"/>
      <w:r w:rsidRPr="00D65220">
        <w:rPr>
          <w:sz w:val="20"/>
          <w:szCs w:val="20"/>
          <w:lang w:val="fr-FR"/>
        </w:rPr>
        <w:t>situated</w:t>
      </w:r>
      <w:proofErr w:type="spellEnd"/>
      <w:r w:rsidRPr="00D65220">
        <w:rPr>
          <w:sz w:val="20"/>
          <w:szCs w:val="20"/>
          <w:lang w:val="fr-FR"/>
        </w:rPr>
        <w:t xml:space="preserve"> </w:t>
      </w:r>
      <w:proofErr w:type="spellStart"/>
      <w:r w:rsidRPr="00D65220">
        <w:rPr>
          <w:sz w:val="20"/>
          <w:szCs w:val="20"/>
          <w:lang w:val="fr-FR"/>
        </w:rPr>
        <w:t>multiliteracies</w:t>
      </w:r>
      <w:proofErr w:type="spellEnd"/>
      <w:r w:rsidRPr="00D65220">
        <w:rPr>
          <w:sz w:val="20"/>
          <w:szCs w:val="20"/>
          <w:lang w:val="fr-FR"/>
        </w:rPr>
        <w:t xml:space="preserve"> </w:t>
      </w:r>
      <w:proofErr w:type="spellStart"/>
      <w:r w:rsidRPr="00D65220">
        <w:rPr>
          <w:sz w:val="20"/>
          <w:szCs w:val="20"/>
          <w:lang w:val="fr-FR"/>
        </w:rPr>
        <w:t>approach</w:t>
      </w:r>
      <w:proofErr w:type="spellEnd"/>
      <w:r w:rsidRPr="00D65220">
        <w:rPr>
          <w:sz w:val="20"/>
          <w:szCs w:val="20"/>
          <w:lang w:val="fr-FR"/>
        </w:rPr>
        <w:t xml:space="preserve"> to </w:t>
      </w:r>
      <w:proofErr w:type="spellStart"/>
      <w:r w:rsidRPr="00D65220">
        <w:rPr>
          <w:sz w:val="20"/>
          <w:szCs w:val="20"/>
          <w:lang w:val="fr-FR"/>
        </w:rPr>
        <w:t>classroom</w:t>
      </w:r>
      <w:proofErr w:type="spellEnd"/>
      <w:r w:rsidRPr="00D65220">
        <w:rPr>
          <w:sz w:val="20"/>
          <w:szCs w:val="20"/>
          <w:lang w:val="fr-FR"/>
        </w:rPr>
        <w:t xml:space="preserve"> participation: English </w:t>
      </w:r>
      <w:proofErr w:type="spellStart"/>
      <w:r w:rsidRPr="00D65220">
        <w:rPr>
          <w:sz w:val="20"/>
          <w:szCs w:val="20"/>
          <w:lang w:val="fr-FR"/>
        </w:rPr>
        <w:t>language</w:t>
      </w:r>
      <w:proofErr w:type="spellEnd"/>
      <w:r w:rsidRPr="00D65220">
        <w:rPr>
          <w:sz w:val="20"/>
          <w:szCs w:val="20"/>
          <w:lang w:val="fr-FR"/>
        </w:rPr>
        <w:t xml:space="preserve"> </w:t>
      </w:r>
      <w:proofErr w:type="spellStart"/>
      <w:r w:rsidRPr="00D65220">
        <w:rPr>
          <w:sz w:val="20"/>
          <w:szCs w:val="20"/>
          <w:lang w:val="fr-FR"/>
        </w:rPr>
        <w:t>learners</w:t>
      </w:r>
      <w:proofErr w:type="spellEnd"/>
      <w:r w:rsidRPr="00D65220">
        <w:rPr>
          <w:sz w:val="20"/>
          <w:szCs w:val="20"/>
          <w:lang w:val="fr-FR"/>
        </w:rPr>
        <w:t xml:space="preserve">’ participation in </w:t>
      </w:r>
      <w:proofErr w:type="spellStart"/>
      <w:r w:rsidRPr="00D65220">
        <w:rPr>
          <w:sz w:val="20"/>
          <w:szCs w:val="20"/>
          <w:lang w:val="fr-FR"/>
        </w:rPr>
        <w:t>classroom</w:t>
      </w:r>
      <w:proofErr w:type="spellEnd"/>
      <w:r w:rsidRPr="00D65220">
        <w:rPr>
          <w:sz w:val="20"/>
          <w:szCs w:val="20"/>
          <w:lang w:val="fr-FR"/>
        </w:rPr>
        <w:t xml:space="preserve"> </w:t>
      </w:r>
      <w:proofErr w:type="spellStart"/>
      <w:r w:rsidRPr="00D65220">
        <w:rPr>
          <w:sz w:val="20"/>
          <w:szCs w:val="20"/>
          <w:lang w:val="fr-FR"/>
        </w:rPr>
        <w:t>mathematics</w:t>
      </w:r>
      <w:proofErr w:type="spellEnd"/>
      <w:r w:rsidRPr="00D65220">
        <w:rPr>
          <w:sz w:val="20"/>
          <w:szCs w:val="20"/>
          <w:lang w:val="fr-FR"/>
        </w:rPr>
        <w:t xml:space="preserve"> practices. </w:t>
      </w:r>
      <w:r w:rsidRPr="00D65220">
        <w:rPr>
          <w:i/>
          <w:sz w:val="20"/>
          <w:szCs w:val="20"/>
          <w:lang w:val="fr-FR"/>
        </w:rPr>
        <w:t xml:space="preserve">Journal of </w:t>
      </w:r>
      <w:proofErr w:type="spellStart"/>
      <w:r w:rsidRPr="00D65220">
        <w:rPr>
          <w:i/>
          <w:sz w:val="20"/>
          <w:szCs w:val="20"/>
          <w:lang w:val="fr-FR"/>
        </w:rPr>
        <w:t>Language</w:t>
      </w:r>
      <w:proofErr w:type="spellEnd"/>
      <w:r w:rsidRPr="00D65220">
        <w:rPr>
          <w:i/>
          <w:sz w:val="20"/>
          <w:szCs w:val="20"/>
          <w:lang w:val="fr-FR"/>
        </w:rPr>
        <w:t xml:space="preserve">, </w:t>
      </w:r>
      <w:proofErr w:type="spellStart"/>
      <w:r w:rsidRPr="00D65220">
        <w:rPr>
          <w:i/>
          <w:sz w:val="20"/>
          <w:szCs w:val="20"/>
          <w:lang w:val="fr-FR"/>
        </w:rPr>
        <w:t>Identity</w:t>
      </w:r>
      <w:proofErr w:type="spellEnd"/>
      <w:r w:rsidRPr="00D65220">
        <w:rPr>
          <w:i/>
          <w:sz w:val="20"/>
          <w:szCs w:val="20"/>
          <w:lang w:val="fr-FR"/>
        </w:rPr>
        <w:t xml:space="preserve"> &amp; </w:t>
      </w:r>
      <w:proofErr w:type="spellStart"/>
      <w:r w:rsidRPr="00D65220">
        <w:rPr>
          <w:i/>
          <w:sz w:val="20"/>
          <w:szCs w:val="20"/>
          <w:lang w:val="fr-FR"/>
        </w:rPr>
        <w:t>Education</w:t>
      </w:r>
      <w:proofErr w:type="spellEnd"/>
      <w:r w:rsidRPr="00D65220">
        <w:rPr>
          <w:i/>
          <w:sz w:val="20"/>
          <w:szCs w:val="20"/>
          <w:lang w:val="fr-FR"/>
        </w:rPr>
        <w:t>, 14</w:t>
      </w:r>
      <w:r w:rsidRPr="00D65220">
        <w:rPr>
          <w:sz w:val="20"/>
          <w:szCs w:val="20"/>
          <w:lang w:val="fr-FR"/>
        </w:rPr>
        <w:t>(3), 159-178.</w:t>
      </w:r>
    </w:p>
    <w:p w14:paraId="3ADBA448" w14:textId="77777777" w:rsidR="00C4032A" w:rsidRPr="00D65220" w:rsidRDefault="00C4032A" w:rsidP="00C85A49">
      <w:pPr>
        <w:pStyle w:val="Biblio"/>
        <w:spacing w:before="40" w:after="40"/>
        <w:rPr>
          <w:sz w:val="20"/>
          <w:szCs w:val="20"/>
          <w:lang w:val="fr-FR"/>
        </w:rPr>
      </w:pPr>
      <w:r w:rsidRPr="00D65220">
        <w:rPr>
          <w:sz w:val="20"/>
          <w:szCs w:val="20"/>
          <w:lang w:val="fr-FR"/>
        </w:rPr>
        <w:t xml:space="preserve">Van </w:t>
      </w:r>
      <w:proofErr w:type="spellStart"/>
      <w:r w:rsidRPr="00D65220">
        <w:rPr>
          <w:sz w:val="20"/>
          <w:szCs w:val="20"/>
          <w:lang w:val="fr-FR"/>
        </w:rPr>
        <w:t>Rinsveld</w:t>
      </w:r>
      <w:proofErr w:type="spellEnd"/>
      <w:r w:rsidRPr="00D65220">
        <w:rPr>
          <w:sz w:val="20"/>
          <w:szCs w:val="20"/>
          <w:lang w:val="fr-FR"/>
        </w:rPr>
        <w:t xml:space="preserve">, A., </w:t>
      </w:r>
      <w:proofErr w:type="spellStart"/>
      <w:r w:rsidRPr="00D65220">
        <w:rPr>
          <w:sz w:val="20"/>
          <w:szCs w:val="20"/>
          <w:lang w:val="fr-FR"/>
        </w:rPr>
        <w:t>Schiltz</w:t>
      </w:r>
      <w:proofErr w:type="spellEnd"/>
      <w:r w:rsidRPr="00D65220">
        <w:rPr>
          <w:sz w:val="20"/>
          <w:szCs w:val="20"/>
          <w:lang w:val="fr-FR"/>
        </w:rPr>
        <w:t xml:space="preserve">, C., Brunner, M., </w:t>
      </w:r>
      <w:proofErr w:type="spellStart"/>
      <w:r w:rsidRPr="00D65220">
        <w:rPr>
          <w:sz w:val="20"/>
          <w:szCs w:val="20"/>
          <w:lang w:val="fr-FR"/>
        </w:rPr>
        <w:t>Landerl</w:t>
      </w:r>
      <w:proofErr w:type="spellEnd"/>
      <w:r w:rsidRPr="00D65220">
        <w:rPr>
          <w:sz w:val="20"/>
          <w:szCs w:val="20"/>
          <w:lang w:val="fr-FR"/>
        </w:rPr>
        <w:t xml:space="preserve">, K., &amp; </w:t>
      </w:r>
      <w:proofErr w:type="spellStart"/>
      <w:r w:rsidRPr="00D65220">
        <w:rPr>
          <w:sz w:val="20"/>
          <w:szCs w:val="20"/>
          <w:lang w:val="fr-FR"/>
        </w:rPr>
        <w:t>Ugen</w:t>
      </w:r>
      <w:proofErr w:type="spellEnd"/>
      <w:r w:rsidRPr="00D65220">
        <w:rPr>
          <w:sz w:val="20"/>
          <w:szCs w:val="20"/>
          <w:lang w:val="fr-FR"/>
        </w:rPr>
        <w:t xml:space="preserve">, S. (2016). </w:t>
      </w:r>
      <w:proofErr w:type="spellStart"/>
      <w:r w:rsidRPr="00D65220">
        <w:rPr>
          <w:sz w:val="20"/>
          <w:szCs w:val="20"/>
          <w:lang w:val="fr-FR"/>
        </w:rPr>
        <w:t>Solving</w:t>
      </w:r>
      <w:proofErr w:type="spellEnd"/>
      <w:r w:rsidRPr="00D65220">
        <w:rPr>
          <w:sz w:val="20"/>
          <w:szCs w:val="20"/>
          <w:lang w:val="fr-FR"/>
        </w:rPr>
        <w:t xml:space="preserve"> </w:t>
      </w:r>
      <w:proofErr w:type="spellStart"/>
      <w:r w:rsidRPr="00D65220">
        <w:rPr>
          <w:sz w:val="20"/>
          <w:szCs w:val="20"/>
          <w:lang w:val="fr-FR"/>
        </w:rPr>
        <w:t>arithmetic</w:t>
      </w:r>
      <w:proofErr w:type="spellEnd"/>
      <w:r w:rsidRPr="00D65220">
        <w:rPr>
          <w:sz w:val="20"/>
          <w:szCs w:val="20"/>
          <w:lang w:val="fr-FR"/>
        </w:rPr>
        <w:t xml:space="preserve"> </w:t>
      </w:r>
      <w:proofErr w:type="spellStart"/>
      <w:r w:rsidRPr="00D65220">
        <w:rPr>
          <w:sz w:val="20"/>
          <w:szCs w:val="20"/>
          <w:lang w:val="fr-FR"/>
        </w:rPr>
        <w:t>problems</w:t>
      </w:r>
      <w:proofErr w:type="spellEnd"/>
      <w:r w:rsidRPr="00D65220">
        <w:rPr>
          <w:sz w:val="20"/>
          <w:szCs w:val="20"/>
          <w:lang w:val="fr-FR"/>
        </w:rPr>
        <w:t xml:space="preserve"> in first and second </w:t>
      </w:r>
      <w:proofErr w:type="spellStart"/>
      <w:r w:rsidRPr="00D65220">
        <w:rPr>
          <w:sz w:val="20"/>
          <w:szCs w:val="20"/>
          <w:lang w:val="fr-FR"/>
        </w:rPr>
        <w:t>language</w:t>
      </w:r>
      <w:proofErr w:type="spellEnd"/>
      <w:r w:rsidRPr="00D65220">
        <w:rPr>
          <w:sz w:val="20"/>
          <w:szCs w:val="20"/>
          <w:lang w:val="fr-FR"/>
        </w:rPr>
        <w:t xml:space="preserve">: </w:t>
      </w:r>
      <w:proofErr w:type="spellStart"/>
      <w:r w:rsidRPr="00D65220">
        <w:rPr>
          <w:sz w:val="20"/>
          <w:szCs w:val="20"/>
          <w:lang w:val="fr-FR"/>
        </w:rPr>
        <w:t>Does</w:t>
      </w:r>
      <w:proofErr w:type="spellEnd"/>
      <w:r w:rsidRPr="00D65220">
        <w:rPr>
          <w:sz w:val="20"/>
          <w:szCs w:val="20"/>
          <w:lang w:val="fr-FR"/>
        </w:rPr>
        <w:t xml:space="preserve"> the </w:t>
      </w:r>
      <w:proofErr w:type="spellStart"/>
      <w:r w:rsidRPr="00D65220">
        <w:rPr>
          <w:sz w:val="20"/>
          <w:szCs w:val="20"/>
          <w:lang w:val="fr-FR"/>
        </w:rPr>
        <w:t>language</w:t>
      </w:r>
      <w:proofErr w:type="spellEnd"/>
      <w:r w:rsidRPr="00D65220">
        <w:rPr>
          <w:sz w:val="20"/>
          <w:szCs w:val="20"/>
          <w:lang w:val="fr-FR"/>
        </w:rPr>
        <w:t xml:space="preserve"> </w:t>
      </w:r>
      <w:proofErr w:type="spellStart"/>
      <w:r w:rsidRPr="00D65220">
        <w:rPr>
          <w:sz w:val="20"/>
          <w:szCs w:val="20"/>
          <w:lang w:val="fr-FR"/>
        </w:rPr>
        <w:t>context</w:t>
      </w:r>
      <w:proofErr w:type="spellEnd"/>
      <w:r w:rsidRPr="00D65220">
        <w:rPr>
          <w:sz w:val="20"/>
          <w:szCs w:val="20"/>
          <w:lang w:val="fr-FR"/>
        </w:rPr>
        <w:t xml:space="preserve"> </w:t>
      </w:r>
      <w:proofErr w:type="spellStart"/>
      <w:r w:rsidRPr="00D65220">
        <w:rPr>
          <w:sz w:val="20"/>
          <w:szCs w:val="20"/>
          <w:lang w:val="fr-FR"/>
        </w:rPr>
        <w:t>matter</w:t>
      </w:r>
      <w:proofErr w:type="spellEnd"/>
      <w:r w:rsidRPr="00D65220">
        <w:rPr>
          <w:sz w:val="20"/>
          <w:szCs w:val="20"/>
          <w:lang w:val="fr-FR"/>
        </w:rPr>
        <w:t>?. </w:t>
      </w:r>
      <w:r w:rsidRPr="00D65220">
        <w:rPr>
          <w:i/>
          <w:sz w:val="20"/>
          <w:szCs w:val="20"/>
          <w:lang w:val="fr-FR"/>
        </w:rPr>
        <w:t>Learning and instruction, 42,</w:t>
      </w:r>
      <w:r w:rsidRPr="00D65220">
        <w:rPr>
          <w:sz w:val="20"/>
          <w:szCs w:val="20"/>
          <w:lang w:val="fr-FR"/>
        </w:rPr>
        <w:t xml:space="preserve"> 72-82.</w:t>
      </w:r>
    </w:p>
    <w:p w14:paraId="054CD5A6" w14:textId="77777777" w:rsidR="00E33B55" w:rsidRPr="00D65220" w:rsidRDefault="00E33B55" w:rsidP="00C85A49">
      <w:pPr>
        <w:pStyle w:val="Biblio"/>
        <w:spacing w:before="40" w:after="40"/>
        <w:rPr>
          <w:sz w:val="20"/>
          <w:szCs w:val="20"/>
          <w:lang w:val="fr-FR"/>
        </w:rPr>
      </w:pPr>
      <w:r w:rsidRPr="00D65220">
        <w:rPr>
          <w:sz w:val="20"/>
          <w:szCs w:val="20"/>
          <w:lang w:val="fr-FR"/>
        </w:rPr>
        <w:t>Vlassis, J., </w:t>
      </w:r>
      <w:proofErr w:type="spellStart"/>
      <w:r w:rsidRPr="00D65220">
        <w:rPr>
          <w:sz w:val="20"/>
          <w:szCs w:val="20"/>
          <w:lang w:val="fr-FR"/>
        </w:rPr>
        <w:t>Fagnant</w:t>
      </w:r>
      <w:proofErr w:type="spellEnd"/>
      <w:r w:rsidRPr="00D65220">
        <w:rPr>
          <w:sz w:val="20"/>
          <w:szCs w:val="20"/>
          <w:lang w:val="fr-FR"/>
        </w:rPr>
        <w:t>, A., &amp; </w:t>
      </w:r>
      <w:proofErr w:type="spellStart"/>
      <w:r w:rsidRPr="00D65220">
        <w:rPr>
          <w:sz w:val="20"/>
          <w:szCs w:val="20"/>
          <w:lang w:val="fr-FR"/>
        </w:rPr>
        <w:t>Demonty</w:t>
      </w:r>
      <w:proofErr w:type="spellEnd"/>
      <w:r w:rsidRPr="00D65220">
        <w:rPr>
          <w:sz w:val="20"/>
          <w:szCs w:val="20"/>
          <w:lang w:val="fr-FR"/>
        </w:rPr>
        <w:t xml:space="preserve">, I. (2015). Symboliser et conceptualiser, une dialectique intrinsèque aux mathématiques et à leur apprentissage. In M., </w:t>
      </w:r>
      <w:proofErr w:type="spellStart"/>
      <w:r w:rsidRPr="00D65220">
        <w:rPr>
          <w:sz w:val="20"/>
          <w:szCs w:val="20"/>
          <w:lang w:val="fr-FR"/>
        </w:rPr>
        <w:t>Crahay</w:t>
      </w:r>
      <w:proofErr w:type="spellEnd"/>
      <w:r w:rsidRPr="00D65220">
        <w:rPr>
          <w:sz w:val="20"/>
          <w:szCs w:val="20"/>
          <w:lang w:val="fr-FR"/>
        </w:rPr>
        <w:t xml:space="preserve"> &amp; M., </w:t>
      </w:r>
      <w:proofErr w:type="spellStart"/>
      <w:r w:rsidRPr="00D65220">
        <w:rPr>
          <w:sz w:val="20"/>
          <w:szCs w:val="20"/>
          <w:lang w:val="fr-FR"/>
        </w:rPr>
        <w:t>Dutrévis</w:t>
      </w:r>
      <w:proofErr w:type="spellEnd"/>
      <w:r w:rsidRPr="00D65220">
        <w:rPr>
          <w:sz w:val="20"/>
          <w:szCs w:val="20"/>
          <w:lang w:val="fr-FR"/>
        </w:rPr>
        <w:t xml:space="preserve"> (</w:t>
      </w:r>
      <w:proofErr w:type="spellStart"/>
      <w:r w:rsidRPr="00D65220">
        <w:rPr>
          <w:sz w:val="20"/>
          <w:szCs w:val="20"/>
          <w:lang w:val="fr-FR"/>
        </w:rPr>
        <w:t>Eds</w:t>
      </w:r>
      <w:proofErr w:type="spellEnd"/>
      <w:r w:rsidRPr="00D65220">
        <w:rPr>
          <w:sz w:val="20"/>
          <w:szCs w:val="20"/>
          <w:lang w:val="fr-FR"/>
        </w:rPr>
        <w:t>.), </w:t>
      </w:r>
      <w:r w:rsidRPr="00D65220">
        <w:rPr>
          <w:i/>
          <w:sz w:val="20"/>
          <w:szCs w:val="20"/>
          <w:lang w:val="fr-FR"/>
        </w:rPr>
        <w:t>Psychologie des apprentissages scolaires (2</w:t>
      </w:r>
      <w:r w:rsidRPr="00D65220">
        <w:rPr>
          <w:i/>
          <w:sz w:val="20"/>
          <w:szCs w:val="20"/>
          <w:vertAlign w:val="superscript"/>
          <w:lang w:val="fr-FR"/>
        </w:rPr>
        <w:t>e</w:t>
      </w:r>
      <w:r w:rsidRPr="00D65220">
        <w:rPr>
          <w:i/>
          <w:sz w:val="20"/>
          <w:szCs w:val="20"/>
          <w:lang w:val="fr-FR"/>
        </w:rPr>
        <w:t xml:space="preserve"> édition) </w:t>
      </w:r>
      <w:r w:rsidRPr="00D65220">
        <w:rPr>
          <w:sz w:val="20"/>
          <w:szCs w:val="20"/>
          <w:lang w:val="fr-FR"/>
        </w:rPr>
        <w:t>(pp. 221-255). Bruxelles: De Boeck.</w:t>
      </w:r>
    </w:p>
    <w:p w14:paraId="40B3D004" w14:textId="77777777" w:rsidR="00000E15" w:rsidRPr="00D65220" w:rsidRDefault="00000E15" w:rsidP="002F3D24">
      <w:pPr>
        <w:pStyle w:val="Biblio"/>
        <w:ind w:left="0" w:firstLine="0"/>
        <w:rPr>
          <w:sz w:val="20"/>
          <w:szCs w:val="20"/>
          <w:lang w:val="fr-FR"/>
        </w:rPr>
      </w:pPr>
    </w:p>
    <w:sectPr w:rsidR="00000E15" w:rsidRPr="00D65220" w:rsidSect="00000E15">
      <w:headerReference w:type="even" r:id="rId9"/>
      <w:headerReference w:type="default" r:id="rId10"/>
      <w:pgSz w:w="11900" w:h="16840"/>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EE64E" w14:textId="77777777" w:rsidR="006C009D" w:rsidRDefault="006C009D">
      <w:pPr>
        <w:spacing w:after="0"/>
      </w:pPr>
      <w:r>
        <w:separator/>
      </w:r>
    </w:p>
  </w:endnote>
  <w:endnote w:type="continuationSeparator" w:id="0">
    <w:p w14:paraId="172BF939" w14:textId="77777777" w:rsidR="006C009D" w:rsidRDefault="006C00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F3D4B" w14:textId="77777777" w:rsidR="006C009D" w:rsidRDefault="006C009D">
      <w:pPr>
        <w:spacing w:after="0"/>
      </w:pPr>
      <w:r>
        <w:separator/>
      </w:r>
    </w:p>
  </w:footnote>
  <w:footnote w:type="continuationSeparator" w:id="0">
    <w:p w14:paraId="77B0EBC0" w14:textId="77777777" w:rsidR="006C009D" w:rsidRDefault="006C009D">
      <w:pPr>
        <w:spacing w:after="0"/>
      </w:pPr>
      <w:r>
        <w:continuationSeparator/>
      </w:r>
    </w:p>
  </w:footnote>
  <w:footnote w:id="1">
    <w:p w14:paraId="34B276CF" w14:textId="20AE7D62" w:rsidR="00603D85" w:rsidRDefault="00603D85">
      <w:pPr>
        <w:pStyle w:val="Notedebasdepage"/>
      </w:pPr>
      <w:r>
        <w:rPr>
          <w:rStyle w:val="Appelnotedebasdep"/>
        </w:rPr>
        <w:t>*</w:t>
      </w:r>
      <w:r>
        <w:t xml:space="preserve"> Université du Luxembourg – Grand-Duché du Luxembourg – joelle.vlassis@uni.lu</w:t>
      </w:r>
    </w:p>
    <w:p w14:paraId="610CD5E4" w14:textId="77777777" w:rsidR="00603D85" w:rsidRDefault="00603D85">
      <w:pPr>
        <w:pStyle w:val="Notedebasdepage"/>
      </w:pPr>
    </w:p>
  </w:footnote>
  <w:footnote w:id="2">
    <w:p w14:paraId="3D84BD30" w14:textId="2E49FBE4" w:rsidR="00603D85" w:rsidRPr="007E5FA5" w:rsidRDefault="00603D85" w:rsidP="00CE2AF6">
      <w:pPr>
        <w:pStyle w:val="Notedebasdepage"/>
        <w:ind w:left="142" w:hanging="142"/>
        <w:rPr>
          <w:szCs w:val="20"/>
        </w:rPr>
      </w:pPr>
      <w:r w:rsidRPr="00000745">
        <w:rPr>
          <w:rStyle w:val="Appelnotedebasdep"/>
          <w:szCs w:val="20"/>
        </w:rPr>
        <w:footnoteRef/>
      </w:r>
      <w:r>
        <w:rPr>
          <w:szCs w:val="20"/>
        </w:rPr>
        <w:tab/>
      </w:r>
      <w:r w:rsidRPr="007E5FA5">
        <w:rPr>
          <w:szCs w:val="20"/>
        </w:rPr>
        <w:t>Ce sont des épreuves soumises chaque année aux élèves à certains moments clés de leur scolarité ta</w:t>
      </w:r>
      <w:r>
        <w:rPr>
          <w:szCs w:val="20"/>
        </w:rPr>
        <w:t>nt au primaire qu’au secondaire. Il s’agit d’</w:t>
      </w:r>
      <w:r w:rsidRPr="007E5FA5">
        <w:rPr>
          <w:szCs w:val="20"/>
        </w:rPr>
        <w:t xml:space="preserve">une évaluation externe commanditée par le Gouvernement du Luxembourg, afin de fournir aux différents partenaires éducatifs des données fiables et objectives sur les </w:t>
      </w:r>
      <w:r>
        <w:rPr>
          <w:szCs w:val="20"/>
        </w:rPr>
        <w:t>compétences acquises des élèves.</w:t>
      </w:r>
    </w:p>
  </w:footnote>
  <w:footnote w:id="3">
    <w:p w14:paraId="2DADA913" w14:textId="5F0376AA" w:rsidR="00603D85" w:rsidRDefault="00603D85" w:rsidP="007E5FA5">
      <w:pPr>
        <w:pStyle w:val="Notedebasdepage"/>
        <w:tabs>
          <w:tab w:val="left" w:pos="142"/>
        </w:tabs>
        <w:ind w:left="142" w:hanging="142"/>
      </w:pPr>
      <w:r w:rsidRPr="007E5FA5">
        <w:rPr>
          <w:rStyle w:val="Appelnotedebasdep"/>
          <w:szCs w:val="20"/>
        </w:rPr>
        <w:footnoteRef/>
      </w:r>
      <w:r>
        <w:rPr>
          <w:szCs w:val="20"/>
        </w:rPr>
        <w:tab/>
      </w:r>
      <w:r w:rsidRPr="007E5FA5">
        <w:rPr>
          <w:szCs w:val="20"/>
        </w:rPr>
        <w:t>Le Rallye Mathématique Transalpin (RMT) est un concours de rés</w:t>
      </w:r>
      <w:r>
        <w:rPr>
          <w:szCs w:val="20"/>
        </w:rPr>
        <w:t xml:space="preserve">olution de problèmes par classe. Il est </w:t>
      </w:r>
      <w:r w:rsidRPr="007E5FA5">
        <w:rPr>
          <w:szCs w:val="20"/>
        </w:rPr>
        <w:t xml:space="preserve">proposé dans </w:t>
      </w:r>
      <w:r>
        <w:rPr>
          <w:szCs w:val="20"/>
        </w:rPr>
        <w:t>les pays suivants :</w:t>
      </w:r>
      <w:r w:rsidRPr="007E5FA5">
        <w:rPr>
          <w:szCs w:val="20"/>
        </w:rPr>
        <w:t xml:space="preserve"> la Suisse, l’Italie, la France,</w:t>
      </w:r>
      <w:r>
        <w:rPr>
          <w:szCs w:val="20"/>
        </w:rPr>
        <w:t xml:space="preserve"> la Belgique ainsi que le Grand-</w:t>
      </w:r>
      <w:r w:rsidRPr="007E5FA5">
        <w:rPr>
          <w:szCs w:val="20"/>
        </w:rPr>
        <w:t xml:space="preserve"> du Luxembourg. Ce concours s’adresse aux élèves du primaire et du secondaire depuis le grade 3 jusqu’au grade 10.</w:t>
      </w:r>
    </w:p>
  </w:footnote>
  <w:footnote w:id="4">
    <w:p w14:paraId="7A1224B5" w14:textId="7820386B" w:rsidR="00603D85" w:rsidRPr="00EF443A" w:rsidRDefault="00603D85" w:rsidP="00EF443A">
      <w:pPr>
        <w:pStyle w:val="Notedebasdepage"/>
        <w:ind w:left="142" w:hanging="142"/>
        <w:rPr>
          <w:szCs w:val="20"/>
        </w:rPr>
      </w:pPr>
      <w:r>
        <w:rPr>
          <w:rStyle w:val="Appelnotedebasdep"/>
        </w:rPr>
        <w:footnoteRef/>
      </w:r>
      <w:r>
        <w:t xml:space="preserve"> </w:t>
      </w:r>
      <w:r w:rsidRPr="00EF443A">
        <w:rPr>
          <w:szCs w:val="20"/>
        </w:rPr>
        <w:t xml:space="preserve">Selon Lee (2006), le discours renvoie à ‘the full range of </w:t>
      </w:r>
      <w:proofErr w:type="spellStart"/>
      <w:r w:rsidRPr="00EF443A">
        <w:rPr>
          <w:szCs w:val="20"/>
        </w:rPr>
        <w:t>language</w:t>
      </w:r>
      <w:proofErr w:type="spellEnd"/>
      <w:r w:rsidRPr="00EF443A">
        <w:rPr>
          <w:szCs w:val="20"/>
        </w:rPr>
        <w:t xml:space="preserve"> use </w:t>
      </w:r>
      <w:proofErr w:type="spellStart"/>
      <w:r w:rsidRPr="00EF443A">
        <w:rPr>
          <w:szCs w:val="20"/>
        </w:rPr>
        <w:t>that</w:t>
      </w:r>
      <w:proofErr w:type="spellEnd"/>
      <w:r w:rsidRPr="00EF443A">
        <w:rPr>
          <w:szCs w:val="20"/>
        </w:rPr>
        <w:t xml:space="preserve"> </w:t>
      </w:r>
      <w:proofErr w:type="spellStart"/>
      <w:r w:rsidRPr="00EF443A">
        <w:rPr>
          <w:szCs w:val="20"/>
        </w:rPr>
        <w:t>can</w:t>
      </w:r>
      <w:proofErr w:type="spellEnd"/>
      <w:r w:rsidRPr="00EF443A">
        <w:rPr>
          <w:szCs w:val="20"/>
        </w:rPr>
        <w:t xml:space="preserve"> </w:t>
      </w:r>
      <w:proofErr w:type="spellStart"/>
      <w:r w:rsidRPr="00EF443A">
        <w:rPr>
          <w:szCs w:val="20"/>
        </w:rPr>
        <w:t>be</w:t>
      </w:r>
      <w:proofErr w:type="spellEnd"/>
      <w:r w:rsidRPr="00EF443A">
        <w:rPr>
          <w:szCs w:val="20"/>
        </w:rPr>
        <w:t xml:space="preserve"> </w:t>
      </w:r>
      <w:proofErr w:type="spellStart"/>
      <w:r w:rsidRPr="00EF443A">
        <w:rPr>
          <w:szCs w:val="20"/>
        </w:rPr>
        <w:t>entered</w:t>
      </w:r>
      <w:proofErr w:type="spellEnd"/>
      <w:r w:rsidRPr="00EF443A">
        <w:rPr>
          <w:szCs w:val="20"/>
        </w:rPr>
        <w:t xml:space="preserve"> </w:t>
      </w:r>
      <w:proofErr w:type="spellStart"/>
      <w:r w:rsidRPr="00EF443A">
        <w:rPr>
          <w:szCs w:val="20"/>
        </w:rPr>
        <w:t>into</w:t>
      </w:r>
      <w:proofErr w:type="spellEnd"/>
      <w:r w:rsidRPr="00EF443A">
        <w:rPr>
          <w:szCs w:val="20"/>
        </w:rPr>
        <w:t xml:space="preserve"> in a </w:t>
      </w:r>
      <w:proofErr w:type="spellStart"/>
      <w:r w:rsidRPr="00EF443A">
        <w:rPr>
          <w:szCs w:val="20"/>
        </w:rPr>
        <w:t>classroom</w:t>
      </w:r>
      <w:proofErr w:type="spellEnd"/>
      <w:r w:rsidRPr="00EF443A">
        <w:rPr>
          <w:szCs w:val="20"/>
        </w:rPr>
        <w:t>’.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F4CD" w14:textId="77777777" w:rsidR="00603D85" w:rsidRPr="00DC4510" w:rsidRDefault="00603D85" w:rsidP="00DC4510">
    <w:pPr>
      <w:pStyle w:val="En-tte"/>
      <w:framePr w:wrap="around" w:vAnchor="text" w:hAnchor="margin" w:xAlign="right" w:y="1"/>
      <w:rPr>
        <w:rStyle w:val="Numrodepage"/>
        <w:sz w:val="20"/>
        <w:szCs w:val="20"/>
      </w:rPr>
    </w:pPr>
    <w:r w:rsidRPr="00DC4510">
      <w:rPr>
        <w:rStyle w:val="Numrodepage"/>
        <w:sz w:val="20"/>
        <w:szCs w:val="20"/>
      </w:rPr>
      <w:fldChar w:fldCharType="begin"/>
    </w:r>
    <w:r w:rsidRPr="00DC4510">
      <w:rPr>
        <w:rStyle w:val="Numrodepage"/>
        <w:sz w:val="20"/>
        <w:szCs w:val="20"/>
      </w:rPr>
      <w:instrText xml:space="preserve">PAGE  </w:instrText>
    </w:r>
    <w:r w:rsidRPr="00DC4510">
      <w:rPr>
        <w:rStyle w:val="Numrodepage"/>
        <w:sz w:val="20"/>
        <w:szCs w:val="20"/>
      </w:rPr>
      <w:fldChar w:fldCharType="separate"/>
    </w:r>
    <w:r w:rsidR="00E711E8">
      <w:rPr>
        <w:rStyle w:val="Numrodepage"/>
        <w:noProof/>
        <w:sz w:val="20"/>
        <w:szCs w:val="20"/>
      </w:rPr>
      <w:t>8</w:t>
    </w:r>
    <w:r w:rsidRPr="00DC4510">
      <w:rPr>
        <w:rStyle w:val="Numrodepage"/>
        <w:sz w:val="20"/>
        <w:szCs w:val="20"/>
      </w:rPr>
      <w:fldChar w:fldCharType="end"/>
    </w:r>
  </w:p>
  <w:p w14:paraId="4AD325D1" w14:textId="60027E47" w:rsidR="00603D85" w:rsidRPr="000D3D7D" w:rsidRDefault="00603D85" w:rsidP="00DC4510">
    <w:pPr>
      <w:pStyle w:val="En-tete-pieddepage"/>
      <w:tabs>
        <w:tab w:val="left" w:pos="8931"/>
      </w:tabs>
      <w:ind w:right="360"/>
    </w:pPr>
    <w:r>
      <w:t>EMF2018 – GT8</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38EF" w14:textId="77777777" w:rsidR="00603D85" w:rsidRPr="00DC4510" w:rsidRDefault="00603D85" w:rsidP="00DC4510">
    <w:pPr>
      <w:pStyle w:val="En-tte"/>
      <w:framePr w:wrap="around" w:vAnchor="text" w:hAnchor="margin" w:xAlign="right" w:y="1"/>
      <w:rPr>
        <w:rStyle w:val="Numrodepage"/>
        <w:sz w:val="20"/>
        <w:szCs w:val="20"/>
      </w:rPr>
    </w:pPr>
    <w:r w:rsidRPr="00DC4510">
      <w:rPr>
        <w:rStyle w:val="Numrodepage"/>
        <w:sz w:val="20"/>
        <w:szCs w:val="20"/>
      </w:rPr>
      <w:fldChar w:fldCharType="begin"/>
    </w:r>
    <w:r w:rsidRPr="00DC4510">
      <w:rPr>
        <w:rStyle w:val="Numrodepage"/>
        <w:sz w:val="20"/>
        <w:szCs w:val="20"/>
      </w:rPr>
      <w:instrText xml:space="preserve">PAGE  </w:instrText>
    </w:r>
    <w:r w:rsidRPr="00DC4510">
      <w:rPr>
        <w:rStyle w:val="Numrodepage"/>
        <w:sz w:val="20"/>
        <w:szCs w:val="20"/>
      </w:rPr>
      <w:fldChar w:fldCharType="separate"/>
    </w:r>
    <w:r w:rsidR="00E711E8">
      <w:rPr>
        <w:rStyle w:val="Numrodepage"/>
        <w:noProof/>
        <w:sz w:val="20"/>
        <w:szCs w:val="20"/>
      </w:rPr>
      <w:t>7</w:t>
    </w:r>
    <w:r w:rsidRPr="00DC4510">
      <w:rPr>
        <w:rStyle w:val="Numrodepage"/>
        <w:sz w:val="20"/>
        <w:szCs w:val="20"/>
      </w:rPr>
      <w:fldChar w:fldCharType="end"/>
    </w:r>
  </w:p>
  <w:p w14:paraId="6B2CF917" w14:textId="77777777" w:rsidR="00603D85" w:rsidRDefault="00603D85" w:rsidP="00DC4510">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746"/>
    <w:multiLevelType w:val="multilevel"/>
    <w:tmpl w:val="A51CA7EC"/>
    <w:lvl w:ilvl="0">
      <w:start w:val="1"/>
      <w:numFmt w:val="upperRoman"/>
      <w:lvlText w:val="%1."/>
      <w:lvlJc w:val="left"/>
      <w:pPr>
        <w:ind w:left="0" w:firstLine="0"/>
      </w:pPr>
      <w:rPr>
        <w:rFonts w:hint="default"/>
      </w:rPr>
    </w:lvl>
    <w:lvl w:ilvl="1">
      <w:start w:val="1"/>
      <w:numFmt w:val="decimal"/>
      <w:lvlText w:val="I.%2."/>
      <w:lvlJc w:val="left"/>
      <w:pPr>
        <w:ind w:left="720" w:hanging="43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E1E4E4D"/>
    <w:multiLevelType w:val="hybridMultilevel"/>
    <w:tmpl w:val="663ECCCA"/>
    <w:lvl w:ilvl="0" w:tplc="825E140C">
      <w:start w:val="1"/>
      <w:numFmt w:val="bullet"/>
      <w:pStyle w:val="Titrepuce"/>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Symbol" w:hAnsi="Symbol"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FF72FA"/>
    <w:multiLevelType w:val="multilevel"/>
    <w:tmpl w:val="2C729B1E"/>
    <w:lvl w:ilvl="0">
      <w:start w:val="1"/>
      <w:numFmt w:val="upperRoman"/>
      <w:pStyle w:val="Titre1"/>
      <w:lvlText w:val="%1."/>
      <w:lvlJc w:val="left"/>
      <w:pPr>
        <w:ind w:left="0" w:firstLine="0"/>
      </w:pPr>
      <w:rPr>
        <w:rFonts w:hint="default"/>
      </w:rPr>
    </w:lvl>
    <w:lvl w:ilvl="1">
      <w:start w:val="1"/>
      <w:numFmt w:val="decimal"/>
      <w:pStyle w:val="Titre2"/>
      <w:lvlText w:val="%2."/>
      <w:lvlJc w:val="left"/>
      <w:pPr>
        <w:ind w:left="720" w:hanging="436"/>
      </w:pPr>
      <w:rPr>
        <w:rFonts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3" w15:restartNumberingAfterBreak="0">
    <w:nsid w:val="195B009B"/>
    <w:multiLevelType w:val="multilevel"/>
    <w:tmpl w:val="A51CA7EC"/>
    <w:lvl w:ilvl="0">
      <w:start w:val="1"/>
      <w:numFmt w:val="upperRoman"/>
      <w:lvlText w:val="%1."/>
      <w:lvlJc w:val="left"/>
      <w:pPr>
        <w:ind w:left="0" w:firstLine="0"/>
      </w:pPr>
      <w:rPr>
        <w:rFonts w:hint="default"/>
      </w:rPr>
    </w:lvl>
    <w:lvl w:ilvl="1">
      <w:start w:val="1"/>
      <w:numFmt w:val="decimal"/>
      <w:lvlText w:val="I.%2."/>
      <w:lvlJc w:val="left"/>
      <w:pPr>
        <w:ind w:left="720" w:hanging="43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28D07A91"/>
    <w:multiLevelType w:val="hybridMultilevel"/>
    <w:tmpl w:val="C414A9CE"/>
    <w:lvl w:ilvl="0" w:tplc="88267DC4">
      <w:start w:val="1"/>
      <w:numFmt w:val="upperRoman"/>
      <w:lvlText w:val="%1."/>
      <w:lvlJc w:val="right"/>
      <w:pPr>
        <w:ind w:left="1004" w:hanging="18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292074EF"/>
    <w:multiLevelType w:val="multilevel"/>
    <w:tmpl w:val="266A1942"/>
    <w:lvl w:ilvl="0">
      <w:start w:val="1"/>
      <w:numFmt w:val="upperRoman"/>
      <w:lvlText w:val="%1."/>
      <w:lvlJc w:val="left"/>
      <w:pPr>
        <w:ind w:left="0" w:firstLine="0"/>
      </w:pPr>
      <w:rPr>
        <w:rFonts w:hint="default"/>
      </w:rPr>
    </w:lvl>
    <w:lvl w:ilvl="1">
      <w:start w:val="1"/>
      <w:numFmt w:val="decimal"/>
      <w:lvlText w:val="%2."/>
      <w:lvlJc w:val="left"/>
      <w:pPr>
        <w:ind w:left="720" w:hanging="43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33A45108"/>
    <w:multiLevelType w:val="hybridMultilevel"/>
    <w:tmpl w:val="EF0A07C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6916D07"/>
    <w:multiLevelType w:val="multilevel"/>
    <w:tmpl w:val="2AF44396"/>
    <w:lvl w:ilvl="0">
      <w:start w:val="1"/>
      <w:numFmt w:val="upperRoman"/>
      <w:lvlText w:val="%1"/>
      <w:lvlJc w:val="left"/>
      <w:pPr>
        <w:ind w:left="716"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8" w15:restartNumberingAfterBreak="0">
    <w:nsid w:val="49557DFC"/>
    <w:multiLevelType w:val="hybridMultilevel"/>
    <w:tmpl w:val="E580EF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BD85BC3"/>
    <w:multiLevelType w:val="multilevel"/>
    <w:tmpl w:val="A51CA7EC"/>
    <w:lvl w:ilvl="0">
      <w:start w:val="1"/>
      <w:numFmt w:val="upperRoman"/>
      <w:lvlText w:val="%1."/>
      <w:lvlJc w:val="left"/>
      <w:pPr>
        <w:ind w:left="0" w:firstLine="0"/>
      </w:pPr>
      <w:rPr>
        <w:rFonts w:hint="default"/>
      </w:rPr>
    </w:lvl>
    <w:lvl w:ilvl="1">
      <w:start w:val="1"/>
      <w:numFmt w:val="decimal"/>
      <w:lvlText w:val="I.%2."/>
      <w:lvlJc w:val="left"/>
      <w:pPr>
        <w:ind w:left="720" w:hanging="43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4C517791"/>
    <w:multiLevelType w:val="hybridMultilevel"/>
    <w:tmpl w:val="CDC4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E2FDF"/>
    <w:multiLevelType w:val="hybridMultilevel"/>
    <w:tmpl w:val="C7B63B2C"/>
    <w:lvl w:ilvl="0" w:tplc="0BA62AA0">
      <w:start w:val="1"/>
      <w:numFmt w:val="bullet"/>
      <w:lvlText w:val="-"/>
      <w:lvlJc w:val="left"/>
      <w:pPr>
        <w:ind w:left="704" w:hanging="420"/>
      </w:pPr>
      <w:rPr>
        <w:rFonts w:ascii="Times New Roman" w:eastAsia="Cambria"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D0C36FE"/>
    <w:multiLevelType w:val="multilevel"/>
    <w:tmpl w:val="D474108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C06479C"/>
    <w:multiLevelType w:val="hybridMultilevel"/>
    <w:tmpl w:val="D4741086"/>
    <w:lvl w:ilvl="0" w:tplc="3FCCBF0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7D5A3E65"/>
    <w:multiLevelType w:val="hybridMultilevel"/>
    <w:tmpl w:val="0674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85658"/>
    <w:multiLevelType w:val="multilevel"/>
    <w:tmpl w:val="D16E1248"/>
    <w:lvl w:ilvl="0">
      <w:start w:val="1"/>
      <w:numFmt w:val="upperRoman"/>
      <w:lvlText w:val="%1"/>
      <w:lvlJc w:val="left"/>
      <w:pPr>
        <w:ind w:left="716" w:hanging="716"/>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abstractNum w:abstractNumId="16" w15:restartNumberingAfterBreak="0">
    <w:nsid w:val="7F2D4407"/>
    <w:multiLevelType w:val="multilevel"/>
    <w:tmpl w:val="5630C55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7FF36DBB"/>
    <w:multiLevelType w:val="multilevel"/>
    <w:tmpl w:val="CBA06184"/>
    <w:lvl w:ilvl="0">
      <w:start w:val="1"/>
      <w:numFmt w:val="upperRoman"/>
      <w:lvlText w:val="%1"/>
      <w:lvlJc w:val="left"/>
      <w:pPr>
        <w:ind w:left="716" w:hanging="432"/>
      </w:pPr>
      <w:rPr>
        <w:rFonts w:hint="default"/>
      </w:rPr>
    </w:lvl>
    <w:lvl w:ilvl="1">
      <w:start w:val="1"/>
      <w:numFmt w:val="decimal"/>
      <w:lvlText w:val="%1.%2."/>
      <w:lvlJc w:val="left"/>
      <w:pPr>
        <w:ind w:left="860" w:hanging="8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292" w:hanging="1008"/>
      </w:pPr>
      <w:rPr>
        <w:rFonts w:hint="default"/>
      </w:rPr>
    </w:lvl>
    <w:lvl w:ilvl="5">
      <w:start w:val="1"/>
      <w:numFmt w:val="decimal"/>
      <w:lvlText w:val="%1.%2.%3.%4.%5.%6"/>
      <w:lvlJc w:val="left"/>
      <w:pPr>
        <w:ind w:left="1436" w:hanging="1152"/>
      </w:pPr>
      <w:rPr>
        <w:rFonts w:hint="default"/>
      </w:rPr>
    </w:lvl>
    <w:lvl w:ilvl="6">
      <w:start w:val="1"/>
      <w:numFmt w:val="decimal"/>
      <w:lvlText w:val="%1.%2.%3.%4.%5.%6.%7"/>
      <w:lvlJc w:val="left"/>
      <w:pPr>
        <w:ind w:left="1580" w:hanging="1296"/>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68" w:hanging="1584"/>
      </w:pPr>
      <w:rPr>
        <w:rFonts w:hint="default"/>
      </w:rPr>
    </w:lvl>
  </w:abstractNum>
  <w:num w:numId="1">
    <w:abstractNumId w:val="4"/>
  </w:num>
  <w:num w:numId="2">
    <w:abstractNumId w:val="13"/>
  </w:num>
  <w:num w:numId="3">
    <w:abstractNumId w:val="2"/>
  </w:num>
  <w:num w:numId="4">
    <w:abstractNumId w:val="7"/>
  </w:num>
  <w:num w:numId="5">
    <w:abstractNumId w:val="17"/>
  </w:num>
  <w:num w:numId="6">
    <w:abstractNumId w:val="15"/>
  </w:num>
  <w:num w:numId="7">
    <w:abstractNumId w:val="16"/>
  </w:num>
  <w:num w:numId="8">
    <w:abstractNumId w:val="5"/>
  </w:num>
  <w:num w:numId="9">
    <w:abstractNumId w:val="9"/>
  </w:num>
  <w:num w:numId="10">
    <w:abstractNumId w:val="3"/>
  </w:num>
  <w:num w:numId="11">
    <w:abstractNumId w:val="12"/>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14"/>
  </w:num>
  <w:num w:numId="23">
    <w:abstractNumId w:val="2"/>
  </w:num>
  <w:num w:numId="24">
    <w:abstractNumId w:val="10"/>
  </w:num>
  <w:num w:numId="25">
    <w:abstractNumId w:val="2"/>
  </w:num>
  <w:num w:numId="26">
    <w:abstractNumId w:val="8"/>
  </w:num>
  <w:num w:numId="27">
    <w:abstractNumId w:val="11"/>
  </w:num>
  <w:num w:numId="28">
    <w:abstractNumId w:val="6"/>
  </w:num>
  <w:num w:numId="29">
    <w:abstractNumId w:val="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25"/>
    <w:rsid w:val="00000E15"/>
    <w:rsid w:val="00027B4E"/>
    <w:rsid w:val="0003368C"/>
    <w:rsid w:val="000369FF"/>
    <w:rsid w:val="00055F07"/>
    <w:rsid w:val="00064AE4"/>
    <w:rsid w:val="0006655E"/>
    <w:rsid w:val="000816C5"/>
    <w:rsid w:val="000B7A35"/>
    <w:rsid w:val="000C460C"/>
    <w:rsid w:val="000E4A50"/>
    <w:rsid w:val="00121158"/>
    <w:rsid w:val="00124604"/>
    <w:rsid w:val="00136056"/>
    <w:rsid w:val="00150B54"/>
    <w:rsid w:val="001556CF"/>
    <w:rsid w:val="001865DB"/>
    <w:rsid w:val="001910CF"/>
    <w:rsid w:val="001A0254"/>
    <w:rsid w:val="001B3626"/>
    <w:rsid w:val="001C2DA7"/>
    <w:rsid w:val="001C569E"/>
    <w:rsid w:val="001D10CE"/>
    <w:rsid w:val="001D35E5"/>
    <w:rsid w:val="001E6562"/>
    <w:rsid w:val="00203991"/>
    <w:rsid w:val="00211377"/>
    <w:rsid w:val="002114A3"/>
    <w:rsid w:val="00220836"/>
    <w:rsid w:val="002A3ACA"/>
    <w:rsid w:val="002C64B4"/>
    <w:rsid w:val="002D7EE7"/>
    <w:rsid w:val="002F3D24"/>
    <w:rsid w:val="002F66A0"/>
    <w:rsid w:val="00307C04"/>
    <w:rsid w:val="00322AF4"/>
    <w:rsid w:val="00334EB3"/>
    <w:rsid w:val="003870AE"/>
    <w:rsid w:val="003907CE"/>
    <w:rsid w:val="003912FD"/>
    <w:rsid w:val="0039478E"/>
    <w:rsid w:val="00396B6A"/>
    <w:rsid w:val="003B7B8C"/>
    <w:rsid w:val="003E2C41"/>
    <w:rsid w:val="004002A8"/>
    <w:rsid w:val="0041452A"/>
    <w:rsid w:val="004178D7"/>
    <w:rsid w:val="00420D5D"/>
    <w:rsid w:val="00421AB8"/>
    <w:rsid w:val="00481B7E"/>
    <w:rsid w:val="00483D39"/>
    <w:rsid w:val="004B2792"/>
    <w:rsid w:val="004F170C"/>
    <w:rsid w:val="004F3237"/>
    <w:rsid w:val="00512669"/>
    <w:rsid w:val="00521CD8"/>
    <w:rsid w:val="00557481"/>
    <w:rsid w:val="00560770"/>
    <w:rsid w:val="005969F1"/>
    <w:rsid w:val="005F03C0"/>
    <w:rsid w:val="00603D85"/>
    <w:rsid w:val="00613C4C"/>
    <w:rsid w:val="006156BF"/>
    <w:rsid w:val="006418CB"/>
    <w:rsid w:val="006427F2"/>
    <w:rsid w:val="0067784C"/>
    <w:rsid w:val="00681125"/>
    <w:rsid w:val="0068363B"/>
    <w:rsid w:val="006941A3"/>
    <w:rsid w:val="00696C04"/>
    <w:rsid w:val="006A5ED7"/>
    <w:rsid w:val="006C009D"/>
    <w:rsid w:val="006E7BDC"/>
    <w:rsid w:val="006F57E9"/>
    <w:rsid w:val="00705B36"/>
    <w:rsid w:val="00707D56"/>
    <w:rsid w:val="00712D2F"/>
    <w:rsid w:val="00713E38"/>
    <w:rsid w:val="00721681"/>
    <w:rsid w:val="00760DA0"/>
    <w:rsid w:val="00761EC2"/>
    <w:rsid w:val="00782E79"/>
    <w:rsid w:val="0079458E"/>
    <w:rsid w:val="007B1FF1"/>
    <w:rsid w:val="007B710C"/>
    <w:rsid w:val="007E59B5"/>
    <w:rsid w:val="007E5FA5"/>
    <w:rsid w:val="00821501"/>
    <w:rsid w:val="00833DE4"/>
    <w:rsid w:val="00836F93"/>
    <w:rsid w:val="008503B7"/>
    <w:rsid w:val="00872B4D"/>
    <w:rsid w:val="00892503"/>
    <w:rsid w:val="00892B1D"/>
    <w:rsid w:val="008A1586"/>
    <w:rsid w:val="008C4A3E"/>
    <w:rsid w:val="008C4E6C"/>
    <w:rsid w:val="008C618A"/>
    <w:rsid w:val="008E2311"/>
    <w:rsid w:val="008F3B25"/>
    <w:rsid w:val="00907DA6"/>
    <w:rsid w:val="00913469"/>
    <w:rsid w:val="00930FE5"/>
    <w:rsid w:val="009830A8"/>
    <w:rsid w:val="009D5B5A"/>
    <w:rsid w:val="009D5D1D"/>
    <w:rsid w:val="009F25B6"/>
    <w:rsid w:val="00A06152"/>
    <w:rsid w:val="00A16CDD"/>
    <w:rsid w:val="00A20B69"/>
    <w:rsid w:val="00A418E2"/>
    <w:rsid w:val="00A72B1D"/>
    <w:rsid w:val="00A756F5"/>
    <w:rsid w:val="00A8029B"/>
    <w:rsid w:val="00A9182A"/>
    <w:rsid w:val="00A971AB"/>
    <w:rsid w:val="00AF2C5C"/>
    <w:rsid w:val="00B05062"/>
    <w:rsid w:val="00B476B4"/>
    <w:rsid w:val="00B607ED"/>
    <w:rsid w:val="00B62654"/>
    <w:rsid w:val="00B70EE9"/>
    <w:rsid w:val="00BC4737"/>
    <w:rsid w:val="00BE5DF2"/>
    <w:rsid w:val="00BF1110"/>
    <w:rsid w:val="00BF149C"/>
    <w:rsid w:val="00BF2ABA"/>
    <w:rsid w:val="00C15E89"/>
    <w:rsid w:val="00C23525"/>
    <w:rsid w:val="00C4032A"/>
    <w:rsid w:val="00C414CB"/>
    <w:rsid w:val="00C427FA"/>
    <w:rsid w:val="00C70D6D"/>
    <w:rsid w:val="00C85A49"/>
    <w:rsid w:val="00CA33C7"/>
    <w:rsid w:val="00CB0AE8"/>
    <w:rsid w:val="00CB2EC3"/>
    <w:rsid w:val="00CB5D3E"/>
    <w:rsid w:val="00CC2562"/>
    <w:rsid w:val="00CE2AF6"/>
    <w:rsid w:val="00CF3175"/>
    <w:rsid w:val="00D10504"/>
    <w:rsid w:val="00D30737"/>
    <w:rsid w:val="00D422FC"/>
    <w:rsid w:val="00D533A8"/>
    <w:rsid w:val="00D65220"/>
    <w:rsid w:val="00D67B23"/>
    <w:rsid w:val="00D95D54"/>
    <w:rsid w:val="00D9781A"/>
    <w:rsid w:val="00DC4510"/>
    <w:rsid w:val="00DE684C"/>
    <w:rsid w:val="00E04207"/>
    <w:rsid w:val="00E3128D"/>
    <w:rsid w:val="00E33B55"/>
    <w:rsid w:val="00E50903"/>
    <w:rsid w:val="00E5454A"/>
    <w:rsid w:val="00E711E8"/>
    <w:rsid w:val="00E808FF"/>
    <w:rsid w:val="00E818D8"/>
    <w:rsid w:val="00E87845"/>
    <w:rsid w:val="00E9351D"/>
    <w:rsid w:val="00EA08DD"/>
    <w:rsid w:val="00ED2BA0"/>
    <w:rsid w:val="00EE0E5B"/>
    <w:rsid w:val="00EF4272"/>
    <w:rsid w:val="00EF443A"/>
    <w:rsid w:val="00EF454B"/>
    <w:rsid w:val="00F21D4E"/>
    <w:rsid w:val="00F2295E"/>
    <w:rsid w:val="00F343DB"/>
    <w:rsid w:val="00F3738A"/>
    <w:rsid w:val="00F76E99"/>
    <w:rsid w:val="00F87F6B"/>
    <w:rsid w:val="00F92014"/>
    <w:rsid w:val="00F977F0"/>
    <w:rsid w:val="00F978EE"/>
    <w:rsid w:val="00FA2F2E"/>
    <w:rsid w:val="00FE735D"/>
    <w:rsid w:val="00FF6226"/>
  </w:rsids>
  <m:mathPr>
    <m:mathFont m:val="Cambria Math"/>
    <m:brkBin m:val="before"/>
    <m:brkBinSub m:val="--"/>
    <m:smallFrac m:val="0"/>
    <m:dispDef m:val="0"/>
    <m:lMargin m:val="0"/>
    <m:rMargin m:val="0"/>
    <m:defJc m:val="centerGroup"/>
    <m:wrapRight/>
    <m:intLim m:val="subSup"/>
    <m:naryLim m:val="subSup"/>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435899"/>
  <w15:docId w15:val="{DF70EDD5-79ED-364A-830B-394CCD573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0B0"/>
    <w:pPr>
      <w:spacing w:after="120"/>
      <w:ind w:firstLine="284"/>
      <w:jc w:val="both"/>
    </w:pPr>
    <w:rPr>
      <w:rFonts w:ascii="Times New Roman" w:hAnsi="Times New Roman"/>
      <w:sz w:val="24"/>
      <w:szCs w:val="24"/>
      <w:lang w:val="fr-FR" w:eastAsia="en-US"/>
    </w:rPr>
  </w:style>
  <w:style w:type="paragraph" w:styleId="Titre1">
    <w:name w:val="heading 1"/>
    <w:basedOn w:val="Normal"/>
    <w:next w:val="1erpara"/>
    <w:link w:val="Titre1Car"/>
    <w:uiPriority w:val="9"/>
    <w:qFormat/>
    <w:rsid w:val="00E77F18"/>
    <w:pPr>
      <w:keepNext/>
      <w:keepLines/>
      <w:numPr>
        <w:numId w:val="3"/>
      </w:numPr>
      <w:spacing w:before="360" w:after="240"/>
      <w:outlineLvl w:val="0"/>
    </w:pPr>
    <w:rPr>
      <w:rFonts w:eastAsia="Times New Roman"/>
      <w:bCs/>
      <w:caps/>
      <w:szCs w:val="32"/>
    </w:rPr>
  </w:style>
  <w:style w:type="paragraph" w:styleId="Titre2">
    <w:name w:val="heading 2"/>
    <w:basedOn w:val="Normal"/>
    <w:next w:val="1erpara"/>
    <w:link w:val="Titre2Car"/>
    <w:uiPriority w:val="9"/>
    <w:qFormat/>
    <w:rsid w:val="00E77F18"/>
    <w:pPr>
      <w:keepNext/>
      <w:keepLines/>
      <w:numPr>
        <w:ilvl w:val="1"/>
        <w:numId w:val="3"/>
      </w:numPr>
      <w:spacing w:before="240" w:after="240"/>
      <w:outlineLvl w:val="1"/>
    </w:pPr>
    <w:rPr>
      <w:rFonts w:eastAsia="Times New Roman"/>
      <w:bCs/>
      <w:i/>
      <w:szCs w:val="26"/>
    </w:rPr>
  </w:style>
  <w:style w:type="paragraph" w:styleId="Titre3">
    <w:name w:val="heading 3"/>
    <w:basedOn w:val="Normal"/>
    <w:next w:val="Normal"/>
    <w:link w:val="Titre3Car"/>
    <w:uiPriority w:val="9"/>
    <w:qFormat/>
    <w:rsid w:val="00794B8F"/>
    <w:pPr>
      <w:keepNext/>
      <w:keepLines/>
      <w:numPr>
        <w:ilvl w:val="2"/>
        <w:numId w:val="3"/>
      </w:numPr>
      <w:spacing w:before="200" w:after="0"/>
      <w:outlineLvl w:val="2"/>
    </w:pPr>
    <w:rPr>
      <w:rFonts w:ascii="Calibri" w:eastAsia="Times New Roman" w:hAnsi="Calibri"/>
      <w:b/>
      <w:bCs/>
      <w:color w:val="4F81BD"/>
    </w:rPr>
  </w:style>
  <w:style w:type="paragraph" w:styleId="Titre4">
    <w:name w:val="heading 4"/>
    <w:basedOn w:val="Normal"/>
    <w:next w:val="Normal"/>
    <w:link w:val="Titre4Car"/>
    <w:uiPriority w:val="9"/>
    <w:qFormat/>
    <w:rsid w:val="00794B8F"/>
    <w:pPr>
      <w:keepNext/>
      <w:keepLines/>
      <w:numPr>
        <w:ilvl w:val="3"/>
        <w:numId w:val="3"/>
      </w:numPr>
      <w:spacing w:before="200" w:after="0"/>
      <w:outlineLvl w:val="3"/>
    </w:pPr>
    <w:rPr>
      <w:rFonts w:ascii="Calibri" w:eastAsia="Times New Roman" w:hAnsi="Calibri"/>
      <w:b/>
      <w:bCs/>
      <w:i/>
      <w:iCs/>
      <w:color w:val="4F81BD"/>
    </w:rPr>
  </w:style>
  <w:style w:type="paragraph" w:styleId="Titre5">
    <w:name w:val="heading 5"/>
    <w:basedOn w:val="Normal"/>
    <w:next w:val="Normal"/>
    <w:link w:val="Titre5Car"/>
    <w:uiPriority w:val="9"/>
    <w:qFormat/>
    <w:rsid w:val="00794B8F"/>
    <w:pPr>
      <w:keepNext/>
      <w:keepLines/>
      <w:numPr>
        <w:ilvl w:val="4"/>
        <w:numId w:val="3"/>
      </w:numPr>
      <w:spacing w:before="200" w:after="0"/>
      <w:outlineLvl w:val="4"/>
    </w:pPr>
    <w:rPr>
      <w:rFonts w:ascii="Calibri" w:eastAsia="Times New Roman" w:hAnsi="Calibri"/>
      <w:color w:val="244061"/>
    </w:rPr>
  </w:style>
  <w:style w:type="paragraph" w:styleId="Titre6">
    <w:name w:val="heading 6"/>
    <w:basedOn w:val="Normal"/>
    <w:next w:val="Normal"/>
    <w:link w:val="Titre6Car"/>
    <w:uiPriority w:val="9"/>
    <w:qFormat/>
    <w:rsid w:val="00794B8F"/>
    <w:pPr>
      <w:keepNext/>
      <w:keepLines/>
      <w:numPr>
        <w:ilvl w:val="5"/>
        <w:numId w:val="3"/>
      </w:numPr>
      <w:spacing w:before="200" w:after="0"/>
      <w:outlineLvl w:val="5"/>
    </w:pPr>
    <w:rPr>
      <w:rFonts w:ascii="Calibri" w:eastAsia="Times New Roman" w:hAnsi="Calibri"/>
      <w:i/>
      <w:iCs/>
      <w:color w:val="244061"/>
    </w:rPr>
  </w:style>
  <w:style w:type="paragraph" w:styleId="Titre7">
    <w:name w:val="heading 7"/>
    <w:basedOn w:val="Normal"/>
    <w:next w:val="Normal"/>
    <w:link w:val="Titre7Car"/>
    <w:uiPriority w:val="9"/>
    <w:qFormat/>
    <w:rsid w:val="00794B8F"/>
    <w:pPr>
      <w:keepNext/>
      <w:keepLines/>
      <w:numPr>
        <w:ilvl w:val="6"/>
        <w:numId w:val="3"/>
      </w:numPr>
      <w:spacing w:before="200" w:after="0"/>
      <w:outlineLvl w:val="6"/>
    </w:pPr>
    <w:rPr>
      <w:rFonts w:ascii="Calibri" w:eastAsia="Times New Roman" w:hAnsi="Calibri"/>
      <w:i/>
      <w:iCs/>
      <w:color w:val="404040"/>
    </w:rPr>
  </w:style>
  <w:style w:type="paragraph" w:styleId="Titre8">
    <w:name w:val="heading 8"/>
    <w:basedOn w:val="Normal"/>
    <w:next w:val="Normal"/>
    <w:link w:val="Titre8Car"/>
    <w:uiPriority w:val="9"/>
    <w:qFormat/>
    <w:rsid w:val="00794B8F"/>
    <w:pPr>
      <w:keepNext/>
      <w:keepLines/>
      <w:numPr>
        <w:ilvl w:val="7"/>
        <w:numId w:val="3"/>
      </w:numPr>
      <w:spacing w:before="200" w:after="0"/>
      <w:outlineLvl w:val="7"/>
    </w:pPr>
    <w:rPr>
      <w:rFonts w:ascii="Calibri" w:eastAsia="Times New Roman" w:hAnsi="Calibri"/>
      <w:color w:val="363636"/>
      <w:sz w:val="20"/>
      <w:szCs w:val="20"/>
    </w:rPr>
  </w:style>
  <w:style w:type="paragraph" w:styleId="Titre9">
    <w:name w:val="heading 9"/>
    <w:basedOn w:val="Normal"/>
    <w:next w:val="Normal"/>
    <w:link w:val="Titre9Car"/>
    <w:uiPriority w:val="9"/>
    <w:qFormat/>
    <w:rsid w:val="00794B8F"/>
    <w:pPr>
      <w:keepNext/>
      <w:keepLines/>
      <w:numPr>
        <w:ilvl w:val="8"/>
        <w:numId w:val="3"/>
      </w:numPr>
      <w:spacing w:before="200" w:after="0"/>
      <w:outlineLvl w:val="8"/>
    </w:pPr>
    <w:rPr>
      <w:rFonts w:ascii="Calibri" w:eastAsia="Times New Roman" w:hAnsi="Calibri"/>
      <w:i/>
      <w:iCs/>
      <w:color w:val="36363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rpara">
    <w:name w:val="1er para"/>
    <w:basedOn w:val="Normal"/>
    <w:next w:val="Normal"/>
    <w:link w:val="1erparaCar"/>
    <w:rsid w:val="00794B8F"/>
    <w:pPr>
      <w:ind w:firstLine="0"/>
    </w:pPr>
    <w:rPr>
      <w:lang w:val="fr-CH"/>
    </w:rPr>
  </w:style>
  <w:style w:type="character" w:customStyle="1" w:styleId="1erparaCar">
    <w:name w:val="1er para Car"/>
    <w:basedOn w:val="Policepardfaut"/>
    <w:link w:val="1erpara"/>
    <w:rsid w:val="00794B8F"/>
    <w:rPr>
      <w:rFonts w:ascii="Times New Roman" w:hAnsi="Times New Roman"/>
      <w:sz w:val="24"/>
      <w:szCs w:val="24"/>
      <w:lang w:val="fr-CH"/>
    </w:rPr>
  </w:style>
  <w:style w:type="character" w:customStyle="1" w:styleId="Titre1Car">
    <w:name w:val="Titre 1 Car"/>
    <w:basedOn w:val="Policepardfaut"/>
    <w:link w:val="Titre1"/>
    <w:uiPriority w:val="9"/>
    <w:rsid w:val="00E77F18"/>
    <w:rPr>
      <w:rFonts w:ascii="Times New Roman" w:eastAsia="Times New Roman" w:hAnsi="Times New Roman"/>
      <w:bCs/>
      <w:caps/>
      <w:sz w:val="24"/>
      <w:szCs w:val="32"/>
      <w:lang w:val="fr-FR" w:eastAsia="en-US"/>
    </w:rPr>
  </w:style>
  <w:style w:type="character" w:customStyle="1" w:styleId="Titre2Car">
    <w:name w:val="Titre 2 Car"/>
    <w:basedOn w:val="Policepardfaut"/>
    <w:link w:val="Titre2"/>
    <w:uiPriority w:val="9"/>
    <w:rsid w:val="00E77F18"/>
    <w:rPr>
      <w:rFonts w:ascii="Times New Roman" w:eastAsia="Times New Roman" w:hAnsi="Times New Roman"/>
      <w:bCs/>
      <w:i/>
      <w:sz w:val="24"/>
      <w:szCs w:val="26"/>
      <w:lang w:val="fr-FR" w:eastAsia="en-US"/>
    </w:rPr>
  </w:style>
  <w:style w:type="character" w:customStyle="1" w:styleId="Titre3Car">
    <w:name w:val="Titre 3 Car"/>
    <w:basedOn w:val="Policepardfaut"/>
    <w:link w:val="Titre3"/>
    <w:uiPriority w:val="9"/>
    <w:semiHidden/>
    <w:rsid w:val="00794B8F"/>
    <w:rPr>
      <w:rFonts w:ascii="Calibri" w:eastAsia="Times New Roman" w:hAnsi="Calibri" w:cs="Times New Roman"/>
      <w:b/>
      <w:bCs/>
      <w:color w:val="4F81BD"/>
      <w:sz w:val="24"/>
      <w:szCs w:val="24"/>
    </w:rPr>
  </w:style>
  <w:style w:type="character" w:customStyle="1" w:styleId="Titre4Car">
    <w:name w:val="Titre 4 Car"/>
    <w:basedOn w:val="Policepardfaut"/>
    <w:link w:val="Titre4"/>
    <w:uiPriority w:val="9"/>
    <w:semiHidden/>
    <w:rsid w:val="00794B8F"/>
    <w:rPr>
      <w:rFonts w:ascii="Calibri" w:eastAsia="Times New Roman" w:hAnsi="Calibri" w:cs="Times New Roman"/>
      <w:b/>
      <w:bCs/>
      <w:i/>
      <w:iCs/>
      <w:color w:val="4F81BD"/>
      <w:sz w:val="24"/>
      <w:szCs w:val="24"/>
    </w:rPr>
  </w:style>
  <w:style w:type="character" w:customStyle="1" w:styleId="Titre5Car">
    <w:name w:val="Titre 5 Car"/>
    <w:basedOn w:val="Policepardfaut"/>
    <w:link w:val="Titre5"/>
    <w:uiPriority w:val="9"/>
    <w:semiHidden/>
    <w:rsid w:val="00794B8F"/>
    <w:rPr>
      <w:rFonts w:ascii="Calibri" w:eastAsia="Times New Roman" w:hAnsi="Calibri" w:cs="Times New Roman"/>
      <w:color w:val="244061"/>
      <w:sz w:val="24"/>
      <w:szCs w:val="24"/>
    </w:rPr>
  </w:style>
  <w:style w:type="character" w:customStyle="1" w:styleId="Titre6Car">
    <w:name w:val="Titre 6 Car"/>
    <w:basedOn w:val="Policepardfaut"/>
    <w:link w:val="Titre6"/>
    <w:uiPriority w:val="9"/>
    <w:semiHidden/>
    <w:rsid w:val="00794B8F"/>
    <w:rPr>
      <w:rFonts w:ascii="Calibri" w:eastAsia="Times New Roman" w:hAnsi="Calibri" w:cs="Times New Roman"/>
      <w:i/>
      <w:iCs/>
      <w:color w:val="244061"/>
      <w:sz w:val="24"/>
      <w:szCs w:val="24"/>
    </w:rPr>
  </w:style>
  <w:style w:type="character" w:customStyle="1" w:styleId="Titre7Car">
    <w:name w:val="Titre 7 Car"/>
    <w:basedOn w:val="Policepardfaut"/>
    <w:link w:val="Titre7"/>
    <w:uiPriority w:val="9"/>
    <w:semiHidden/>
    <w:rsid w:val="00794B8F"/>
    <w:rPr>
      <w:rFonts w:ascii="Calibri" w:eastAsia="Times New Roman" w:hAnsi="Calibri" w:cs="Times New Roman"/>
      <w:i/>
      <w:iCs/>
      <w:color w:val="404040"/>
      <w:sz w:val="24"/>
      <w:szCs w:val="24"/>
    </w:rPr>
  </w:style>
  <w:style w:type="character" w:customStyle="1" w:styleId="Titre8Car">
    <w:name w:val="Titre 8 Car"/>
    <w:basedOn w:val="Policepardfaut"/>
    <w:link w:val="Titre8"/>
    <w:uiPriority w:val="9"/>
    <w:semiHidden/>
    <w:rsid w:val="00794B8F"/>
    <w:rPr>
      <w:rFonts w:ascii="Calibri" w:eastAsia="Times New Roman" w:hAnsi="Calibri" w:cs="Times New Roman"/>
      <w:color w:val="363636"/>
    </w:rPr>
  </w:style>
  <w:style w:type="character" w:customStyle="1" w:styleId="Titre9Car">
    <w:name w:val="Titre 9 Car"/>
    <w:basedOn w:val="Policepardfaut"/>
    <w:link w:val="Titre9"/>
    <w:uiPriority w:val="9"/>
    <w:semiHidden/>
    <w:rsid w:val="00794B8F"/>
    <w:rPr>
      <w:rFonts w:ascii="Calibri" w:eastAsia="Times New Roman" w:hAnsi="Calibri" w:cs="Times New Roman"/>
      <w:i/>
      <w:iCs/>
      <w:color w:val="363636"/>
    </w:rPr>
  </w:style>
  <w:style w:type="paragraph" w:styleId="Notedebasdepage">
    <w:name w:val="footnote text"/>
    <w:basedOn w:val="Normal"/>
    <w:link w:val="NotedebasdepageCar"/>
    <w:uiPriority w:val="99"/>
    <w:unhideWhenUsed/>
    <w:rsid w:val="00C2756F"/>
    <w:pPr>
      <w:spacing w:after="0"/>
      <w:ind w:firstLine="0"/>
    </w:pPr>
    <w:rPr>
      <w:sz w:val="20"/>
    </w:rPr>
  </w:style>
  <w:style w:type="character" w:customStyle="1" w:styleId="NotedebasdepageCar">
    <w:name w:val="Note de bas de page Car"/>
    <w:basedOn w:val="Policepardfaut"/>
    <w:link w:val="Notedebasdepage"/>
    <w:uiPriority w:val="99"/>
    <w:rsid w:val="00C2756F"/>
    <w:rPr>
      <w:rFonts w:ascii="Times New Roman" w:hAnsi="Times New Roman"/>
      <w:szCs w:val="24"/>
    </w:rPr>
  </w:style>
  <w:style w:type="paragraph" w:customStyle="1" w:styleId="TITRE">
    <w:name w:val="TITRE"/>
    <w:basedOn w:val="Normal"/>
    <w:next w:val="Auteur"/>
    <w:qFormat/>
    <w:rsid w:val="008F3B25"/>
    <w:pPr>
      <w:spacing w:after="240"/>
      <w:ind w:firstLine="0"/>
      <w:jc w:val="center"/>
    </w:pPr>
    <w:rPr>
      <w:caps/>
      <w:sz w:val="28"/>
      <w:lang w:val="fr-CH"/>
    </w:rPr>
  </w:style>
  <w:style w:type="paragraph" w:customStyle="1" w:styleId="Auteur">
    <w:name w:val="Auteur"/>
    <w:basedOn w:val="Normal"/>
    <w:next w:val="Resume"/>
    <w:qFormat/>
    <w:rsid w:val="00120DC5"/>
    <w:pPr>
      <w:spacing w:after="240"/>
      <w:ind w:firstLine="0"/>
      <w:jc w:val="center"/>
    </w:pPr>
    <w:rPr>
      <w:lang w:val="fr-CH"/>
    </w:rPr>
  </w:style>
  <w:style w:type="paragraph" w:customStyle="1" w:styleId="Resume">
    <w:name w:val="Resume"/>
    <w:basedOn w:val="Normal"/>
    <w:next w:val="1erpara"/>
    <w:qFormat/>
    <w:rsid w:val="00C2756F"/>
    <w:pPr>
      <w:ind w:left="284" w:right="284" w:firstLine="0"/>
    </w:pPr>
    <w:rPr>
      <w:sz w:val="20"/>
      <w:lang w:val="fr-CH"/>
    </w:rPr>
  </w:style>
  <w:style w:type="paragraph" w:customStyle="1" w:styleId="citation">
    <w:name w:val="citation"/>
    <w:basedOn w:val="Normal"/>
    <w:next w:val="1erpara"/>
    <w:qFormat/>
    <w:rsid w:val="00677874"/>
    <w:pPr>
      <w:ind w:left="284" w:right="284" w:firstLine="0"/>
    </w:pPr>
    <w:rPr>
      <w:sz w:val="20"/>
      <w:lang w:val="fr-CH"/>
    </w:rPr>
  </w:style>
  <w:style w:type="paragraph" w:customStyle="1" w:styleId="Biblio">
    <w:name w:val="Biblio"/>
    <w:basedOn w:val="Normal"/>
    <w:qFormat/>
    <w:rsid w:val="001200B0"/>
    <w:pPr>
      <w:spacing w:after="0"/>
      <w:ind w:left="284" w:hanging="284"/>
    </w:pPr>
    <w:rPr>
      <w:lang w:val="fr-CH"/>
    </w:rPr>
  </w:style>
  <w:style w:type="character" w:styleId="Appelnotedebasdep">
    <w:name w:val="footnote reference"/>
    <w:basedOn w:val="Policepardfaut"/>
    <w:uiPriority w:val="99"/>
    <w:unhideWhenUsed/>
    <w:rsid w:val="00120DC5"/>
    <w:rPr>
      <w:vertAlign w:val="superscript"/>
    </w:rPr>
  </w:style>
  <w:style w:type="paragraph" w:customStyle="1" w:styleId="Legende">
    <w:name w:val="Legende"/>
    <w:basedOn w:val="1erpara"/>
    <w:next w:val="1erpara"/>
    <w:link w:val="LegendeCar"/>
    <w:qFormat/>
    <w:rsid w:val="00794B8F"/>
    <w:pPr>
      <w:spacing w:after="240"/>
      <w:jc w:val="center"/>
    </w:pPr>
    <w:rPr>
      <w:i/>
      <w:sz w:val="20"/>
    </w:rPr>
  </w:style>
  <w:style w:type="character" w:customStyle="1" w:styleId="LegendeCar">
    <w:name w:val="Legende Car"/>
    <w:basedOn w:val="1erparaCar"/>
    <w:link w:val="Legende"/>
    <w:rsid w:val="00794B8F"/>
    <w:rPr>
      <w:rFonts w:ascii="Times New Roman" w:hAnsi="Times New Roman"/>
      <w:i/>
      <w:sz w:val="24"/>
      <w:szCs w:val="24"/>
      <w:lang w:val="fr-CH"/>
    </w:rPr>
  </w:style>
  <w:style w:type="paragraph" w:customStyle="1" w:styleId="TitreBiblio">
    <w:name w:val="Titre Biblio"/>
    <w:basedOn w:val="TITRE"/>
    <w:next w:val="Biblio"/>
    <w:qFormat/>
    <w:rsid w:val="00E77F18"/>
    <w:pPr>
      <w:spacing w:before="240"/>
    </w:pPr>
    <w:rPr>
      <w:sz w:val="24"/>
    </w:rPr>
  </w:style>
  <w:style w:type="paragraph" w:customStyle="1" w:styleId="En-tete-pieddepage">
    <w:name w:val="En-tete-pied de page"/>
    <w:basedOn w:val="1erpara"/>
    <w:qFormat/>
    <w:rsid w:val="000D3D7D"/>
    <w:pPr>
      <w:spacing w:after="0"/>
    </w:pPr>
    <w:rPr>
      <w:sz w:val="20"/>
    </w:rPr>
  </w:style>
  <w:style w:type="paragraph" w:styleId="Textedebulles">
    <w:name w:val="Balloon Text"/>
    <w:basedOn w:val="Normal"/>
    <w:link w:val="TextedebullesCar"/>
    <w:uiPriority w:val="99"/>
    <w:semiHidden/>
    <w:unhideWhenUsed/>
    <w:rsid w:val="007B1FF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FF1"/>
    <w:rPr>
      <w:rFonts w:ascii="Tahoma" w:hAnsi="Tahoma" w:cs="Tahoma"/>
      <w:sz w:val="16"/>
      <w:szCs w:val="16"/>
      <w:lang w:val="fr-FR" w:eastAsia="en-US"/>
    </w:rPr>
  </w:style>
  <w:style w:type="paragraph" w:styleId="En-tte">
    <w:name w:val="header"/>
    <w:basedOn w:val="Normal"/>
    <w:link w:val="En-tteCar"/>
    <w:uiPriority w:val="99"/>
    <w:unhideWhenUsed/>
    <w:rsid w:val="008A1586"/>
    <w:pPr>
      <w:tabs>
        <w:tab w:val="center" w:pos="4536"/>
        <w:tab w:val="right" w:pos="9072"/>
      </w:tabs>
      <w:spacing w:after="0"/>
    </w:pPr>
  </w:style>
  <w:style w:type="character" w:customStyle="1" w:styleId="En-tteCar">
    <w:name w:val="En-tête Car"/>
    <w:basedOn w:val="Policepardfaut"/>
    <w:link w:val="En-tte"/>
    <w:uiPriority w:val="99"/>
    <w:rsid w:val="008A1586"/>
    <w:rPr>
      <w:rFonts w:ascii="Times New Roman" w:hAnsi="Times New Roman"/>
      <w:sz w:val="24"/>
      <w:szCs w:val="24"/>
      <w:lang w:val="fr-FR" w:eastAsia="en-US"/>
    </w:rPr>
  </w:style>
  <w:style w:type="paragraph" w:styleId="Pieddepage">
    <w:name w:val="footer"/>
    <w:basedOn w:val="Normal"/>
    <w:link w:val="PieddepageCar"/>
    <w:uiPriority w:val="99"/>
    <w:unhideWhenUsed/>
    <w:rsid w:val="008A1586"/>
    <w:pPr>
      <w:tabs>
        <w:tab w:val="center" w:pos="4536"/>
        <w:tab w:val="right" w:pos="9072"/>
      </w:tabs>
      <w:spacing w:after="0"/>
    </w:pPr>
  </w:style>
  <w:style w:type="character" w:customStyle="1" w:styleId="PieddepageCar">
    <w:name w:val="Pied de page Car"/>
    <w:basedOn w:val="Policepardfaut"/>
    <w:link w:val="Pieddepage"/>
    <w:uiPriority w:val="99"/>
    <w:rsid w:val="008A1586"/>
    <w:rPr>
      <w:rFonts w:ascii="Times New Roman" w:hAnsi="Times New Roman"/>
      <w:sz w:val="24"/>
      <w:szCs w:val="24"/>
      <w:lang w:val="fr-FR" w:eastAsia="en-US"/>
    </w:rPr>
  </w:style>
  <w:style w:type="paragraph" w:styleId="Paragraphedeliste">
    <w:name w:val="List Paragraph"/>
    <w:basedOn w:val="Normal"/>
    <w:uiPriority w:val="34"/>
    <w:qFormat/>
    <w:rsid w:val="00483D39"/>
    <w:pPr>
      <w:spacing w:after="0"/>
      <w:ind w:left="720" w:firstLine="0"/>
      <w:contextualSpacing/>
      <w:jc w:val="left"/>
    </w:pPr>
    <w:rPr>
      <w:rFonts w:asciiTheme="minorHAnsi" w:eastAsiaTheme="minorEastAsia" w:hAnsiTheme="minorHAnsi" w:cstheme="minorBidi"/>
      <w:lang w:val="en-US"/>
    </w:rPr>
  </w:style>
  <w:style w:type="paragraph" w:styleId="NormalWeb">
    <w:name w:val="Normal (Web)"/>
    <w:basedOn w:val="Normal"/>
    <w:uiPriority w:val="99"/>
    <w:semiHidden/>
    <w:unhideWhenUsed/>
    <w:rsid w:val="00A418E2"/>
    <w:pPr>
      <w:spacing w:before="100" w:beforeAutospacing="1" w:after="100" w:afterAutospacing="1"/>
      <w:ind w:firstLine="0"/>
      <w:jc w:val="left"/>
    </w:pPr>
    <w:rPr>
      <w:rFonts w:ascii="Times" w:hAnsi="Times"/>
      <w:sz w:val="20"/>
      <w:szCs w:val="20"/>
    </w:rPr>
  </w:style>
  <w:style w:type="character" w:customStyle="1" w:styleId="apple-converted-space">
    <w:name w:val="apple-converted-space"/>
    <w:basedOn w:val="Policepardfaut"/>
    <w:rsid w:val="00A418E2"/>
  </w:style>
  <w:style w:type="character" w:styleId="Numrodepage">
    <w:name w:val="page number"/>
    <w:basedOn w:val="Policepardfaut"/>
    <w:uiPriority w:val="99"/>
    <w:semiHidden/>
    <w:unhideWhenUsed/>
    <w:rsid w:val="00DC4510"/>
  </w:style>
  <w:style w:type="paragraph" w:customStyle="1" w:styleId="Titrepuce">
    <w:name w:val="Titre puce"/>
    <w:basedOn w:val="Normal"/>
    <w:rsid w:val="006941A3"/>
    <w:pPr>
      <w:numPr>
        <w:numId w:val="30"/>
      </w:numPr>
      <w:spacing w:before="240"/>
    </w:pPr>
    <w:rPr>
      <w:rFonts w:eastAsia="Times"/>
      <w:i/>
      <w:noProof/>
      <w:szCs w:val="20"/>
    </w:rPr>
  </w:style>
  <w:style w:type="character" w:customStyle="1" w:styleId="contributors">
    <w:name w:val="contributors"/>
    <w:basedOn w:val="Policepardfaut"/>
    <w:rsid w:val="00E33B55"/>
  </w:style>
  <w:style w:type="character" w:customStyle="1" w:styleId="datepublished">
    <w:name w:val="datepublished"/>
    <w:basedOn w:val="Policepardfaut"/>
    <w:rsid w:val="00E33B55"/>
  </w:style>
  <w:style w:type="character" w:customStyle="1" w:styleId="title1">
    <w:name w:val="title1"/>
    <w:basedOn w:val="Policepardfaut"/>
    <w:rsid w:val="00E33B55"/>
  </w:style>
  <w:style w:type="character" w:customStyle="1" w:styleId="editors">
    <w:name w:val="editors"/>
    <w:basedOn w:val="Policepardfaut"/>
    <w:rsid w:val="00E33B55"/>
  </w:style>
  <w:style w:type="character" w:customStyle="1" w:styleId="Mention1">
    <w:name w:val="Mention1"/>
    <w:basedOn w:val="Policepardfaut"/>
    <w:rsid w:val="00E33B55"/>
  </w:style>
  <w:style w:type="character" w:customStyle="1" w:styleId="publisher">
    <w:name w:val="publisher"/>
    <w:basedOn w:val="Policepardfaut"/>
    <w:rsid w:val="00E33B55"/>
  </w:style>
  <w:style w:type="character" w:styleId="Lienhypertexte">
    <w:name w:val="Hyperlink"/>
    <w:basedOn w:val="Policepardfaut"/>
    <w:uiPriority w:val="99"/>
    <w:unhideWhenUsed/>
    <w:rsid w:val="00EA08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6472">
      <w:bodyDiv w:val="1"/>
      <w:marLeft w:val="0"/>
      <w:marRight w:val="0"/>
      <w:marTop w:val="0"/>
      <w:marBottom w:val="0"/>
      <w:divBdr>
        <w:top w:val="none" w:sz="0" w:space="0" w:color="auto"/>
        <w:left w:val="none" w:sz="0" w:space="0" w:color="auto"/>
        <w:bottom w:val="none" w:sz="0" w:space="0" w:color="auto"/>
        <w:right w:val="none" w:sz="0" w:space="0" w:color="auto"/>
      </w:divBdr>
    </w:div>
    <w:div w:id="126969646">
      <w:bodyDiv w:val="1"/>
      <w:marLeft w:val="0"/>
      <w:marRight w:val="0"/>
      <w:marTop w:val="0"/>
      <w:marBottom w:val="0"/>
      <w:divBdr>
        <w:top w:val="none" w:sz="0" w:space="0" w:color="auto"/>
        <w:left w:val="none" w:sz="0" w:space="0" w:color="auto"/>
        <w:bottom w:val="none" w:sz="0" w:space="0" w:color="auto"/>
        <w:right w:val="none" w:sz="0" w:space="0" w:color="auto"/>
      </w:divBdr>
    </w:div>
    <w:div w:id="163209367">
      <w:bodyDiv w:val="1"/>
      <w:marLeft w:val="0"/>
      <w:marRight w:val="0"/>
      <w:marTop w:val="0"/>
      <w:marBottom w:val="0"/>
      <w:divBdr>
        <w:top w:val="none" w:sz="0" w:space="0" w:color="auto"/>
        <w:left w:val="none" w:sz="0" w:space="0" w:color="auto"/>
        <w:bottom w:val="none" w:sz="0" w:space="0" w:color="auto"/>
        <w:right w:val="none" w:sz="0" w:space="0" w:color="auto"/>
      </w:divBdr>
    </w:div>
    <w:div w:id="171258933">
      <w:bodyDiv w:val="1"/>
      <w:marLeft w:val="0"/>
      <w:marRight w:val="0"/>
      <w:marTop w:val="0"/>
      <w:marBottom w:val="0"/>
      <w:divBdr>
        <w:top w:val="none" w:sz="0" w:space="0" w:color="auto"/>
        <w:left w:val="none" w:sz="0" w:space="0" w:color="auto"/>
        <w:bottom w:val="none" w:sz="0" w:space="0" w:color="auto"/>
        <w:right w:val="none" w:sz="0" w:space="0" w:color="auto"/>
      </w:divBdr>
    </w:div>
    <w:div w:id="630208399">
      <w:bodyDiv w:val="1"/>
      <w:marLeft w:val="0"/>
      <w:marRight w:val="0"/>
      <w:marTop w:val="0"/>
      <w:marBottom w:val="0"/>
      <w:divBdr>
        <w:top w:val="none" w:sz="0" w:space="0" w:color="auto"/>
        <w:left w:val="none" w:sz="0" w:space="0" w:color="auto"/>
        <w:bottom w:val="none" w:sz="0" w:space="0" w:color="auto"/>
        <w:right w:val="none" w:sz="0" w:space="0" w:color="auto"/>
      </w:divBdr>
    </w:div>
    <w:div w:id="694044115">
      <w:bodyDiv w:val="1"/>
      <w:marLeft w:val="0"/>
      <w:marRight w:val="0"/>
      <w:marTop w:val="0"/>
      <w:marBottom w:val="0"/>
      <w:divBdr>
        <w:top w:val="none" w:sz="0" w:space="0" w:color="auto"/>
        <w:left w:val="none" w:sz="0" w:space="0" w:color="auto"/>
        <w:bottom w:val="none" w:sz="0" w:space="0" w:color="auto"/>
        <w:right w:val="none" w:sz="0" w:space="0" w:color="auto"/>
      </w:divBdr>
    </w:div>
    <w:div w:id="697438576">
      <w:bodyDiv w:val="1"/>
      <w:marLeft w:val="0"/>
      <w:marRight w:val="0"/>
      <w:marTop w:val="0"/>
      <w:marBottom w:val="0"/>
      <w:divBdr>
        <w:top w:val="none" w:sz="0" w:space="0" w:color="auto"/>
        <w:left w:val="none" w:sz="0" w:space="0" w:color="auto"/>
        <w:bottom w:val="none" w:sz="0" w:space="0" w:color="auto"/>
        <w:right w:val="none" w:sz="0" w:space="0" w:color="auto"/>
      </w:divBdr>
      <w:divsChild>
        <w:div w:id="1502743684">
          <w:marLeft w:val="0"/>
          <w:marRight w:val="0"/>
          <w:marTop w:val="0"/>
          <w:marBottom w:val="0"/>
          <w:divBdr>
            <w:top w:val="none" w:sz="0" w:space="0" w:color="auto"/>
            <w:left w:val="none" w:sz="0" w:space="0" w:color="auto"/>
            <w:bottom w:val="none" w:sz="0" w:space="0" w:color="auto"/>
            <w:right w:val="none" w:sz="0" w:space="0" w:color="auto"/>
          </w:divBdr>
          <w:divsChild>
            <w:div w:id="1311446750">
              <w:marLeft w:val="0"/>
              <w:marRight w:val="0"/>
              <w:marTop w:val="0"/>
              <w:marBottom w:val="0"/>
              <w:divBdr>
                <w:top w:val="none" w:sz="0" w:space="0" w:color="auto"/>
                <w:left w:val="none" w:sz="0" w:space="0" w:color="auto"/>
                <w:bottom w:val="none" w:sz="0" w:space="0" w:color="auto"/>
                <w:right w:val="none" w:sz="0" w:space="0" w:color="auto"/>
              </w:divBdr>
              <w:divsChild>
                <w:div w:id="8120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4993">
      <w:bodyDiv w:val="1"/>
      <w:marLeft w:val="0"/>
      <w:marRight w:val="0"/>
      <w:marTop w:val="0"/>
      <w:marBottom w:val="0"/>
      <w:divBdr>
        <w:top w:val="none" w:sz="0" w:space="0" w:color="auto"/>
        <w:left w:val="none" w:sz="0" w:space="0" w:color="auto"/>
        <w:bottom w:val="none" w:sz="0" w:space="0" w:color="auto"/>
        <w:right w:val="none" w:sz="0" w:space="0" w:color="auto"/>
      </w:divBdr>
    </w:div>
    <w:div w:id="761147335">
      <w:bodyDiv w:val="1"/>
      <w:marLeft w:val="0"/>
      <w:marRight w:val="0"/>
      <w:marTop w:val="0"/>
      <w:marBottom w:val="0"/>
      <w:divBdr>
        <w:top w:val="none" w:sz="0" w:space="0" w:color="auto"/>
        <w:left w:val="none" w:sz="0" w:space="0" w:color="auto"/>
        <w:bottom w:val="none" w:sz="0" w:space="0" w:color="auto"/>
        <w:right w:val="none" w:sz="0" w:space="0" w:color="auto"/>
      </w:divBdr>
    </w:div>
    <w:div w:id="1301572312">
      <w:bodyDiv w:val="1"/>
      <w:marLeft w:val="0"/>
      <w:marRight w:val="0"/>
      <w:marTop w:val="0"/>
      <w:marBottom w:val="0"/>
      <w:divBdr>
        <w:top w:val="none" w:sz="0" w:space="0" w:color="auto"/>
        <w:left w:val="none" w:sz="0" w:space="0" w:color="auto"/>
        <w:bottom w:val="none" w:sz="0" w:space="0" w:color="auto"/>
        <w:right w:val="none" w:sz="0" w:space="0" w:color="auto"/>
      </w:divBdr>
    </w:div>
    <w:div w:id="1320689852">
      <w:bodyDiv w:val="1"/>
      <w:marLeft w:val="0"/>
      <w:marRight w:val="0"/>
      <w:marTop w:val="0"/>
      <w:marBottom w:val="0"/>
      <w:divBdr>
        <w:top w:val="none" w:sz="0" w:space="0" w:color="auto"/>
        <w:left w:val="none" w:sz="0" w:space="0" w:color="auto"/>
        <w:bottom w:val="none" w:sz="0" w:space="0" w:color="auto"/>
        <w:right w:val="none" w:sz="0" w:space="0" w:color="auto"/>
      </w:divBdr>
    </w:div>
    <w:div w:id="1395741025">
      <w:bodyDiv w:val="1"/>
      <w:marLeft w:val="0"/>
      <w:marRight w:val="0"/>
      <w:marTop w:val="0"/>
      <w:marBottom w:val="0"/>
      <w:divBdr>
        <w:top w:val="none" w:sz="0" w:space="0" w:color="auto"/>
        <w:left w:val="none" w:sz="0" w:space="0" w:color="auto"/>
        <w:bottom w:val="none" w:sz="0" w:space="0" w:color="auto"/>
        <w:right w:val="none" w:sz="0" w:space="0" w:color="auto"/>
      </w:divBdr>
    </w:div>
    <w:div w:id="1615747183">
      <w:bodyDiv w:val="1"/>
      <w:marLeft w:val="0"/>
      <w:marRight w:val="0"/>
      <w:marTop w:val="0"/>
      <w:marBottom w:val="0"/>
      <w:divBdr>
        <w:top w:val="none" w:sz="0" w:space="0" w:color="auto"/>
        <w:left w:val="none" w:sz="0" w:space="0" w:color="auto"/>
        <w:bottom w:val="none" w:sz="0" w:space="0" w:color="auto"/>
        <w:right w:val="none" w:sz="0" w:space="0" w:color="auto"/>
      </w:divBdr>
    </w:div>
    <w:div w:id="1691754869">
      <w:bodyDiv w:val="1"/>
      <w:marLeft w:val="0"/>
      <w:marRight w:val="0"/>
      <w:marTop w:val="0"/>
      <w:marBottom w:val="0"/>
      <w:divBdr>
        <w:top w:val="none" w:sz="0" w:space="0" w:color="auto"/>
        <w:left w:val="none" w:sz="0" w:space="0" w:color="auto"/>
        <w:bottom w:val="none" w:sz="0" w:space="0" w:color="auto"/>
        <w:right w:val="none" w:sz="0" w:space="0" w:color="auto"/>
      </w:divBdr>
    </w:div>
    <w:div w:id="1921207881">
      <w:bodyDiv w:val="1"/>
      <w:marLeft w:val="0"/>
      <w:marRight w:val="0"/>
      <w:marTop w:val="0"/>
      <w:marBottom w:val="0"/>
      <w:divBdr>
        <w:top w:val="none" w:sz="0" w:space="0" w:color="auto"/>
        <w:left w:val="none" w:sz="0" w:space="0" w:color="auto"/>
        <w:bottom w:val="none" w:sz="0" w:space="0" w:color="auto"/>
        <w:right w:val="none" w:sz="0" w:space="0" w:color="auto"/>
      </w:divBdr>
    </w:div>
    <w:div w:id="1957325528">
      <w:bodyDiv w:val="1"/>
      <w:marLeft w:val="0"/>
      <w:marRight w:val="0"/>
      <w:marTop w:val="0"/>
      <w:marBottom w:val="0"/>
      <w:divBdr>
        <w:top w:val="none" w:sz="0" w:space="0" w:color="auto"/>
        <w:left w:val="none" w:sz="0" w:space="0" w:color="auto"/>
        <w:bottom w:val="none" w:sz="0" w:space="0" w:color="auto"/>
        <w:right w:val="none" w:sz="0" w:space="0" w:color="auto"/>
      </w:divBdr>
    </w:div>
    <w:div w:id="2082557520">
      <w:bodyDiv w:val="1"/>
      <w:marLeft w:val="0"/>
      <w:marRight w:val="0"/>
      <w:marTop w:val="0"/>
      <w:marBottom w:val="0"/>
      <w:divBdr>
        <w:top w:val="none" w:sz="0" w:space="0" w:color="auto"/>
        <w:left w:val="none" w:sz="0" w:space="0" w:color="auto"/>
        <w:bottom w:val="none" w:sz="0" w:space="0" w:color="auto"/>
        <w:right w:val="none" w:sz="0" w:space="0" w:color="auto"/>
      </w:divBdr>
      <w:divsChild>
        <w:div w:id="440757909">
          <w:marLeft w:val="0"/>
          <w:marRight w:val="0"/>
          <w:marTop w:val="0"/>
          <w:marBottom w:val="0"/>
          <w:divBdr>
            <w:top w:val="none" w:sz="0" w:space="0" w:color="auto"/>
            <w:left w:val="none" w:sz="0" w:space="0" w:color="auto"/>
            <w:bottom w:val="none" w:sz="0" w:space="0" w:color="auto"/>
            <w:right w:val="none" w:sz="0" w:space="0" w:color="auto"/>
          </w:divBdr>
          <w:divsChild>
            <w:div w:id="258635892">
              <w:marLeft w:val="0"/>
              <w:marRight w:val="0"/>
              <w:marTop w:val="0"/>
              <w:marBottom w:val="0"/>
              <w:divBdr>
                <w:top w:val="none" w:sz="0" w:space="0" w:color="auto"/>
                <w:left w:val="none" w:sz="0" w:space="0" w:color="auto"/>
                <w:bottom w:val="none" w:sz="0" w:space="0" w:color="auto"/>
                <w:right w:val="none" w:sz="0" w:space="0" w:color="auto"/>
              </w:divBdr>
              <w:divsChild>
                <w:div w:id="17989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public.lu/fr/actualites/publications/secondaire/statistiques-analyses/statistiques-globales/resultats-scolaires-esg-2015-2016/index.html" TargetMode="External"/><Relationship Id="rId3" Type="http://schemas.openxmlformats.org/officeDocument/2006/relationships/settings" Target="settings.xml"/><Relationship Id="rId7" Type="http://schemas.openxmlformats.org/officeDocument/2006/relationships/hyperlink" Target="http://www.men.public.lu/fr/actualites/publications/secondaire/statistiques-analyses/statistiques-globales/resultats-scolaires-esg-2015-2016/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4797</Words>
  <Characters>26386</Characters>
  <Application>Microsoft Office Word</Application>
  <DocSecurity>0</DocSecurity>
  <Lines>219</Lines>
  <Paragraphs>62</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
      <vt:lpstr/>
      <vt:lpstr>Premier niveau de titre</vt:lpstr>
      <vt:lpstr>    Deuxième niveau de titre (pas d’autre niveau)</vt:lpstr>
    </vt:vector>
  </TitlesOfParts>
  <Company>Université de Genève</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Abboud</dc:creator>
  <cp:lastModifiedBy>Microsoft Office User</cp:lastModifiedBy>
  <cp:revision>2</cp:revision>
  <cp:lastPrinted>2017-12-14T12:33:00Z</cp:lastPrinted>
  <dcterms:created xsi:type="dcterms:W3CDTF">2018-10-23T15:01:00Z</dcterms:created>
  <dcterms:modified xsi:type="dcterms:W3CDTF">2018-10-23T15:01:00Z</dcterms:modified>
</cp:coreProperties>
</file>