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B" w:rsidRPr="001B475B" w:rsidRDefault="001B475B" w:rsidP="001B47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B47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The TNF Family of Ligands and Receptors: Communication Modules in the Immune System and Beyond</w:t>
      </w:r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ooltip="Catherine Dostert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Catherine </w:t>
        </w:r>
        <w:proofErr w:type="spellStart"/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Dostert</w:t>
        </w:r>
        <w:proofErr w:type="spellEnd"/>
      </w:hyperlink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Melanie Grusdat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Melanie </w:t>
        </w:r>
        <w:proofErr w:type="spellStart"/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Grusdat</w:t>
        </w:r>
        <w:proofErr w:type="spellEnd"/>
      </w:hyperlink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ooltip="Elisabeth Letellier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Elisabeth </w:t>
        </w:r>
        <w:proofErr w:type="spellStart"/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Letellier</w:t>
        </w:r>
        <w:proofErr w:type="spellEnd"/>
      </w:hyperlink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</w:t>
      </w:r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ooltip="Dirk Brenner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Dirk Brenner</w:t>
        </w:r>
      </w:hyperlink>
    </w:p>
    <w:p w:rsidR="001B475B" w:rsidRPr="001B475B" w:rsidRDefault="001B475B" w:rsidP="001B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24 Oct 2018</w:t>
      </w:r>
      <w:hyperlink r:id="rId9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https://doi.org/10.1152/physrev.00045.2017</w:t>
        </w:r>
      </w:hyperlink>
    </w:p>
    <w:p w:rsidR="001B475B" w:rsidRPr="001B475B" w:rsidRDefault="001B475B" w:rsidP="001B4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B475B" w:rsidRPr="001B475B" w:rsidRDefault="001B475B" w:rsidP="001B47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View Full Text</w:t>
        </w:r>
      </w:hyperlink>
    </w:p>
    <w:p w:rsidR="001B475B" w:rsidRPr="001B475B" w:rsidRDefault="001B475B" w:rsidP="001B4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tooltip="PDF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PDF (792 KB)</w:t>
        </w:r>
      </w:hyperlink>
    </w:p>
    <w:p w:rsidR="001B475B" w:rsidRPr="001B475B" w:rsidRDefault="001B475B" w:rsidP="001B4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Tools</w:t>
        </w:r>
      </w:hyperlink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B475B" w:rsidRPr="001B475B" w:rsidRDefault="001B475B" w:rsidP="001B4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r w:rsidRPr="001B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Share</w:t>
        </w:r>
      </w:hyperlink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B475B" w:rsidRPr="001B475B" w:rsidRDefault="001B475B" w:rsidP="001B47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bookmarkStart w:id="0" w:name="abstract"/>
      <w:bookmarkEnd w:id="0"/>
      <w:r w:rsidRPr="001B475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Abstract</w:t>
      </w:r>
    </w:p>
    <w:p w:rsidR="001B475B" w:rsidRPr="001B475B" w:rsidRDefault="001B475B" w:rsidP="001B4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spell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tumor</w:t>
      </w:r>
      <w:proofErr w:type="spell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necrosis factor (TNF) and TNF receptor (TNFR) </w:t>
      </w:r>
      <w:proofErr w:type="spell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superfamilies</w:t>
      </w:r>
      <w:proofErr w:type="spell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(TNFSF/TNFRSF) include 19 ligands and 29 receptors that play important roles in the modulation of cellular functions. The communication pathways mediated by TNFSF/TNFRSF are essential for numerous developmental, homeostatic, and stimulus-responsive processes in vivo. TNFSF/TNFRSF members regulate cellular differentiation, survival, and programmed death, but their most critical functions pertain to the immune system. Both innate and adaptive immune cells </w:t>
      </w:r>
      <w:proofErr w:type="gram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are controlled</w:t>
      </w:r>
      <w:proofErr w:type="gram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TNFSF/TNFRSF members in a manner that is crucial for the coordination of various mechanisms driving either co-stimulation or co-inhibition of the immune response. Dysregulation of these same </w:t>
      </w:r>
      <w:proofErr w:type="spell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signaling</w:t>
      </w:r>
      <w:proofErr w:type="spell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pathways </w:t>
      </w:r>
      <w:proofErr w:type="gram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has been implicated</w:t>
      </w:r>
      <w:proofErr w:type="gram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inflammatory and autoimmune diseases, highlighting the importance of their tight regulation. Investigation of the control of TNFSF/TNFRSF activities has led to the development of therapeutics with the potential to reduce chronic inflammation or promote anti-</w:t>
      </w:r>
      <w:proofErr w:type="spell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tumor</w:t>
      </w:r>
      <w:proofErr w:type="spell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immunity. The study of TNFSF/TNFRSF proteins has exploded over the last 30 </w:t>
      </w:r>
      <w:proofErr w:type="spellStart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yr</w:t>
      </w:r>
      <w:proofErr w:type="spellEnd"/>
      <w:r w:rsidRPr="001B475B">
        <w:rPr>
          <w:rFonts w:ascii="Times New Roman" w:eastAsia="Times New Roman" w:hAnsi="Times New Roman" w:cs="Times New Roman"/>
          <w:sz w:val="24"/>
          <w:szCs w:val="24"/>
          <w:lang w:eastAsia="en-GB"/>
        </w:rPr>
        <w:t>, but there remains a need to better understand the fundamental mechanisms underlying the molecular pathways they mediate to design more effective anti-inflammatory and anti-cancer therapies.</w:t>
      </w:r>
    </w:p>
    <w:p w:rsidR="00DB5316" w:rsidRDefault="00DB5316">
      <w:bookmarkStart w:id="1" w:name="_GoBack"/>
      <w:bookmarkEnd w:id="1"/>
    </w:p>
    <w:sectPr w:rsidR="00DB5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345"/>
    <w:multiLevelType w:val="multilevel"/>
    <w:tmpl w:val="8A2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303A9"/>
    <w:multiLevelType w:val="multilevel"/>
    <w:tmpl w:val="265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C7D0A"/>
    <w:multiLevelType w:val="multilevel"/>
    <w:tmpl w:val="6920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B"/>
    <w:rsid w:val="001B475B"/>
    <w:rsid w:val="00D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617B3-0A4D-4D5D-8EEA-C2862A0C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4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B4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75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47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475B"/>
    <w:rPr>
      <w:color w:val="0000FF"/>
      <w:u w:val="single"/>
    </w:rPr>
  </w:style>
  <w:style w:type="character" w:customStyle="1" w:styleId="epub-sectionitem">
    <w:name w:val="epub-section__item"/>
    <w:basedOn w:val="DefaultParagraphFont"/>
    <w:rsid w:val="001B475B"/>
  </w:style>
  <w:style w:type="character" w:customStyle="1" w:styleId="epub-sectiondate">
    <w:name w:val="epub-section__date"/>
    <w:basedOn w:val="DefaultParagraphFont"/>
    <w:rsid w:val="001B475B"/>
  </w:style>
  <w:style w:type="paragraph" w:styleId="NormalWeb">
    <w:name w:val="Normal (Web)"/>
    <w:basedOn w:val="Normal"/>
    <w:uiPriority w:val="99"/>
    <w:semiHidden/>
    <w:unhideWhenUsed/>
    <w:rsid w:val="001B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ology.org/doi/abs/10.1152/physrev.00045.2017" TargetMode="External"/><Relationship Id="rId13" Type="http://schemas.openxmlformats.org/officeDocument/2006/relationships/hyperlink" Target="https://www.physiology.org/doi/abs/10.1152/physrev.00045.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ysiology.org/doi/abs/10.1152/physrev.00045.2017" TargetMode="External"/><Relationship Id="rId12" Type="http://schemas.openxmlformats.org/officeDocument/2006/relationships/hyperlink" Target="https://www.physiology.org/doi/abs/10.1152/physrev.00045.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ysiology.org/doi/abs/10.1152/physrev.00045.2017" TargetMode="External"/><Relationship Id="rId11" Type="http://schemas.openxmlformats.org/officeDocument/2006/relationships/hyperlink" Target="https://www.physiology.org/doi/abs/10.1152/physrev.00045.2017" TargetMode="External"/><Relationship Id="rId5" Type="http://schemas.openxmlformats.org/officeDocument/2006/relationships/hyperlink" Target="https://www.physiology.org/doi/abs/10.1152/physrev.00045.20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hysiology.org/doi/full/10.1152/physrev.00045.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2/physrev.00045.2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HERFROY</dc:creator>
  <cp:keywords/>
  <dc:description/>
  <cp:lastModifiedBy>Caroline HERFROY</cp:lastModifiedBy>
  <cp:revision>1</cp:revision>
  <dcterms:created xsi:type="dcterms:W3CDTF">2018-11-19T15:41:00Z</dcterms:created>
  <dcterms:modified xsi:type="dcterms:W3CDTF">2018-11-19T15:42:00Z</dcterms:modified>
</cp:coreProperties>
</file>