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AC4" w:rsidRDefault="001D7B23" w:rsidP="00D96951">
      <w:pPr>
        <w:jc w:val="center"/>
      </w:pPr>
      <w:r>
        <w:t>Compte rendu de</w:t>
      </w:r>
      <w:bookmarkStart w:id="0" w:name="_GoBack"/>
      <w:bookmarkEnd w:id="0"/>
    </w:p>
    <w:p w:rsidR="001D7B23" w:rsidRDefault="00622BC2" w:rsidP="00D96951">
      <w:pPr>
        <w:jc w:val="center"/>
      </w:pPr>
      <w:r>
        <w:t xml:space="preserve">Philippe Poirier (dir.), </w:t>
      </w:r>
      <w:r w:rsidRPr="00F33F31">
        <w:rPr>
          <w:i/>
        </w:rPr>
        <w:t>Les pouvoirs d’un parlement. La Chambre des députés du Luxembourg</w:t>
      </w:r>
      <w:r w:rsidR="001D7B23">
        <w:t xml:space="preserve">, Promoculture-Larcier, </w:t>
      </w:r>
      <w:r w:rsidR="00A23F2B">
        <w:t>Windhof, 201</w:t>
      </w:r>
      <w:r>
        <w:t>4</w:t>
      </w:r>
      <w:r w:rsidR="00A23F2B">
        <w:t xml:space="preserve">, </w:t>
      </w:r>
      <w:r>
        <w:t>578</w:t>
      </w:r>
      <w:r w:rsidR="00A23F2B">
        <w:t xml:space="preserve"> p.</w:t>
      </w:r>
      <w:r>
        <w:t>, préface de Mars di Bartolomeo</w:t>
      </w:r>
      <w:r w:rsidR="00F33F31">
        <w:t xml:space="preserve"> &amp; Claude Frieseisen, président respectivement secrétaire général de la Chambre des députés</w:t>
      </w:r>
    </w:p>
    <w:p w:rsidR="00A23F2B" w:rsidRDefault="00A23F2B" w:rsidP="00D96951">
      <w:pPr>
        <w:jc w:val="center"/>
        <w:rPr>
          <w:i/>
        </w:rPr>
      </w:pPr>
      <w:r>
        <w:t xml:space="preserve">pour la revue </w:t>
      </w:r>
      <w:r w:rsidRPr="00A23F2B">
        <w:rPr>
          <w:i/>
        </w:rPr>
        <w:t>Hémecht</w:t>
      </w:r>
    </w:p>
    <w:p w:rsidR="00622BC2" w:rsidRDefault="00622BC2" w:rsidP="00EC0C68">
      <w:pPr>
        <w:rPr>
          <w:i/>
        </w:rPr>
      </w:pPr>
    </w:p>
    <w:p w:rsidR="00904403" w:rsidRDefault="005E6845" w:rsidP="00904403">
      <w:pPr>
        <w:ind w:firstLine="708"/>
        <w:jc w:val="both"/>
      </w:pPr>
      <w:r>
        <w:t>Cet</w:t>
      </w:r>
      <w:r w:rsidR="00944E4E">
        <w:t xml:space="preserve"> ouvrage, qui </w:t>
      </w:r>
      <w:r w:rsidR="001D579E">
        <w:t xml:space="preserve">est aussi </w:t>
      </w:r>
      <w:r w:rsidR="00944E4E">
        <w:t xml:space="preserve">un rapport </w:t>
      </w:r>
      <w:r w:rsidR="00076470">
        <w:t xml:space="preserve">destiné </w:t>
      </w:r>
      <w:r w:rsidR="00944E4E">
        <w:t>à la Chambre des députés, est le fruit d</w:t>
      </w:r>
      <w:r w:rsidR="00DD0780">
        <w:t>es recherches</w:t>
      </w:r>
      <w:r w:rsidR="00944E4E">
        <w:t xml:space="preserve"> </w:t>
      </w:r>
      <w:r w:rsidR="00D35A42">
        <w:t xml:space="preserve">au sein </w:t>
      </w:r>
      <w:r w:rsidR="00944E4E">
        <w:t>de la Chaire de recherche en études parlementaires</w:t>
      </w:r>
      <w:r w:rsidR="00076470">
        <w:t xml:space="preserve">, née </w:t>
      </w:r>
      <w:r w:rsidR="00F04C53">
        <w:t xml:space="preserve">en 2011 </w:t>
      </w:r>
      <w:r w:rsidR="00076470">
        <w:t>d’une collaboration entre l’Université du Luxembourg et ladite Chambre des députés</w:t>
      </w:r>
      <w:r w:rsidR="00944E4E">
        <w:t xml:space="preserve">. </w:t>
      </w:r>
      <w:r w:rsidR="00076470">
        <w:t>Dirigé par</w:t>
      </w:r>
      <w:r w:rsidR="00944E4E">
        <w:t xml:space="preserve"> Ph</w:t>
      </w:r>
      <w:r w:rsidR="00904403">
        <w:t>ilippe</w:t>
      </w:r>
      <w:r w:rsidR="00944E4E">
        <w:t xml:space="preserve"> Poirier, titulaire de la </w:t>
      </w:r>
      <w:r w:rsidR="00904403">
        <w:t>C</w:t>
      </w:r>
      <w:r w:rsidR="00944E4E">
        <w:t xml:space="preserve">haire, </w:t>
      </w:r>
      <w:r w:rsidR="00076470">
        <w:t>l’ouvrage réuni</w:t>
      </w:r>
      <w:r w:rsidR="001D579E">
        <w:t>t</w:t>
      </w:r>
      <w:r w:rsidR="00076470">
        <w:t xml:space="preserve"> </w:t>
      </w:r>
      <w:r w:rsidR="00944E4E">
        <w:t xml:space="preserve">des </w:t>
      </w:r>
      <w:r w:rsidR="00904403">
        <w:t xml:space="preserve">politistes </w:t>
      </w:r>
      <w:r w:rsidR="00944E4E">
        <w:t>déjà confirmés (P</w:t>
      </w:r>
      <w:r w:rsidR="00076470">
        <w:t>atrick</w:t>
      </w:r>
      <w:r w:rsidR="00944E4E">
        <w:t xml:space="preserve"> Dumont, R</w:t>
      </w:r>
      <w:r w:rsidR="00076470">
        <w:t>apha</w:t>
      </w:r>
      <w:r w:rsidR="00D35A42">
        <w:t>ë</w:t>
      </w:r>
      <w:r w:rsidR="00076470">
        <w:t>l</w:t>
      </w:r>
      <w:r w:rsidR="00944E4E">
        <w:t xml:space="preserve"> Kies</w:t>
      </w:r>
      <w:r w:rsidR="00076470">
        <w:t>), de jeunes chercheurs en thèse</w:t>
      </w:r>
      <w:r w:rsidR="00904403">
        <w:t xml:space="preserve"> de science politique</w:t>
      </w:r>
      <w:r w:rsidR="00076470">
        <w:t xml:space="preserve"> (Astrid Spreitzer, Andreja Pegan) ainsi que des étudiants </w:t>
      </w:r>
      <w:r w:rsidR="00904403">
        <w:t>du</w:t>
      </w:r>
      <w:r w:rsidR="00076470">
        <w:t xml:space="preserve"> master en gouvernance européenne (Pedro Carneiro, Anoushé Husain, Albane Knoppek, Badia Jari</w:t>
      </w:r>
      <w:r w:rsidR="00D35A42">
        <w:t>r</w:t>
      </w:r>
      <w:r w:rsidR="00076470">
        <w:t>, Jacques Thill).</w:t>
      </w:r>
    </w:p>
    <w:p w:rsidR="00846617" w:rsidRDefault="00904403" w:rsidP="00904403">
      <w:pPr>
        <w:ind w:firstLine="708"/>
        <w:jc w:val="both"/>
      </w:pPr>
      <w:r>
        <w:t>Dans le contexte d’</w:t>
      </w:r>
      <w:r w:rsidR="00BA3BE7">
        <w:t>un désenchantement croissant des citoyens vis-à-vis de</w:t>
      </w:r>
      <w:r>
        <w:t>s</w:t>
      </w:r>
      <w:r w:rsidR="00BA3BE7">
        <w:t xml:space="preserve"> institutions politiques et d’un sentiment diffus que le parlement, si puissant d’antan</w:t>
      </w:r>
      <w:r w:rsidR="00B35CA9">
        <w:t xml:space="preserve"> (</w:t>
      </w:r>
      <w:r w:rsidR="001D579E">
        <w:t xml:space="preserve">à en croire </w:t>
      </w:r>
      <w:r w:rsidR="00B35CA9">
        <w:t>le discours usuel)</w:t>
      </w:r>
      <w:r w:rsidR="00BA3BE7">
        <w:t>, a été peu à peu éclipsé par d’autres acteurs (l</w:t>
      </w:r>
      <w:r w:rsidR="00E04023">
        <w:t>e gouvernement</w:t>
      </w:r>
      <w:r w:rsidR="00BA3BE7">
        <w:t>, les partis</w:t>
      </w:r>
      <w:r w:rsidR="00E04023">
        <w:t xml:space="preserve"> politiques</w:t>
      </w:r>
      <w:r w:rsidR="00BA3BE7">
        <w:t>, les instances internationales</w:t>
      </w:r>
      <w:r w:rsidR="00E04023">
        <w:t xml:space="preserve"> et européennes</w:t>
      </w:r>
      <w:r w:rsidR="00BA3BE7">
        <w:t>, les partenaires sociaux, le Conseil d’</w:t>
      </w:r>
      <w:r>
        <w:t>É</w:t>
      </w:r>
      <w:r w:rsidR="00BA3BE7">
        <w:t xml:space="preserve">tat, </w:t>
      </w:r>
      <w:r w:rsidR="00E04023">
        <w:t xml:space="preserve">les juridictions, </w:t>
      </w:r>
      <w:r w:rsidR="00BA3BE7">
        <w:t>etc.), l</w:t>
      </w:r>
      <w:r w:rsidR="00D35A42">
        <w:t xml:space="preserve">’objet de la </w:t>
      </w:r>
      <w:r w:rsidR="00B35CA9">
        <w:t xml:space="preserve">présente </w:t>
      </w:r>
      <w:r w:rsidR="00D35A42">
        <w:t xml:space="preserve">recherche </w:t>
      </w:r>
      <w:r w:rsidR="00E04023">
        <w:t>était</w:t>
      </w:r>
      <w:r w:rsidR="00D35A42">
        <w:t xml:space="preserve"> « </w:t>
      </w:r>
      <w:r w:rsidR="00D35A42" w:rsidRPr="00904403">
        <w:rPr>
          <w:i/>
        </w:rPr>
        <w:t xml:space="preserve">d’évaluer </w:t>
      </w:r>
      <w:r w:rsidR="00E04023" w:rsidRPr="00904403">
        <w:rPr>
          <w:i/>
        </w:rPr>
        <w:t>l’état réel de l’autonomie parlementaire dans la politique contemporaine au regard de l’expérience singulière de la Chambre des députés du Luxembourg</w:t>
      </w:r>
      <w:r w:rsidR="00E04023">
        <w:t> » (p. 18/19). Alors même que l’</w:t>
      </w:r>
      <w:r>
        <w:t>É</w:t>
      </w:r>
      <w:r w:rsidR="00E04023">
        <w:t xml:space="preserve">tat luxembourgeois se qualifie depuis 1948, en vertu de l’art. 51 de la Constitution, de démocratie </w:t>
      </w:r>
      <w:r w:rsidR="007D0150">
        <w:t>« </w:t>
      </w:r>
      <w:r w:rsidR="00E04023">
        <w:t>parlementaire », faut-il parler à l’heure actuelle de « </w:t>
      </w:r>
      <w:r w:rsidR="00E04023" w:rsidRPr="0032551C">
        <w:rPr>
          <w:i/>
        </w:rPr>
        <w:t>dé-parlementarisation</w:t>
      </w:r>
      <w:r w:rsidR="00E04023">
        <w:t> »</w:t>
      </w:r>
      <w:r w:rsidR="0032551C">
        <w:t xml:space="preserve"> ou la situation </w:t>
      </w:r>
      <w:r w:rsidR="00B35CA9">
        <w:t>contemporaine</w:t>
      </w:r>
      <w:r w:rsidR="0032551C">
        <w:t>, marquée des traits de la gouvernance et de l’européanisation, aboutit-elle à des « </w:t>
      </w:r>
      <w:r w:rsidR="0032551C" w:rsidRPr="00904403">
        <w:rPr>
          <w:i/>
        </w:rPr>
        <w:t xml:space="preserve">formes éventuelles de </w:t>
      </w:r>
      <w:r w:rsidR="0032551C" w:rsidRPr="0032551C">
        <w:rPr>
          <w:i/>
        </w:rPr>
        <w:t>restauration parlementaire</w:t>
      </w:r>
      <w:r w:rsidR="0032551C">
        <w:t> » (p. 19)</w:t>
      </w:r>
      <w:r w:rsidR="001D579E">
        <w:t> ?</w:t>
      </w:r>
      <w:r w:rsidR="00E04023">
        <w:t xml:space="preserve"> </w:t>
      </w:r>
      <w:r w:rsidR="0032551C">
        <w:t xml:space="preserve">La Chambre </w:t>
      </w:r>
      <w:r>
        <w:t xml:space="preserve">des députés </w:t>
      </w:r>
      <w:r w:rsidR="0032551C">
        <w:t>est-elle toujours, si ce n’est le centre du pouvoir, du moins un acteur de poids dans le jeu politique de p</w:t>
      </w:r>
      <w:r w:rsidR="00177A5E">
        <w:t>lus en plus complexe, ou est-ce un organe en perte de vitesse</w:t>
      </w:r>
      <w:r w:rsidR="001D579E">
        <w:t xml:space="preserve">, </w:t>
      </w:r>
      <w:r w:rsidR="00177A5E">
        <w:t xml:space="preserve">une simple </w:t>
      </w:r>
      <w:r w:rsidR="00DD0780">
        <w:t>c</w:t>
      </w:r>
      <w:r w:rsidR="00177A5E">
        <w:t>hambre d’enregistrement</w:t>
      </w:r>
      <w:r w:rsidR="00B35CA9">
        <w:t>, pour utiliser une formule radic</w:t>
      </w:r>
      <w:r w:rsidR="001D579E">
        <w:t>ale</w:t>
      </w:r>
      <w:r w:rsidR="00177A5E">
        <w:t> ?</w:t>
      </w:r>
      <w:r w:rsidR="0032551C">
        <w:t xml:space="preserve"> </w:t>
      </w:r>
      <w:r w:rsidR="00177A5E">
        <w:t xml:space="preserve">La question est cruciale et sensible. </w:t>
      </w:r>
      <w:r w:rsidR="00846617">
        <w:t>Si, dans leur préface, le président et le secrétaire général de la Chambre</w:t>
      </w:r>
      <w:r>
        <w:t xml:space="preserve"> des députés</w:t>
      </w:r>
      <w:r w:rsidR="00846617">
        <w:t xml:space="preserve"> évoquent « </w:t>
      </w:r>
      <w:r w:rsidR="00846617" w:rsidRPr="00136941">
        <w:rPr>
          <w:i/>
        </w:rPr>
        <w:t>le dynamisme des parlements</w:t>
      </w:r>
      <w:r w:rsidR="00846617">
        <w:t> », lequel serait de nature à préserver la place d</w:t>
      </w:r>
      <w:r w:rsidR="00B35CA9">
        <w:t>u parlement luxembourgeois</w:t>
      </w:r>
      <w:r w:rsidR="00846617">
        <w:t xml:space="preserve"> « </w:t>
      </w:r>
      <w:r w:rsidR="00846617" w:rsidRPr="00136941">
        <w:rPr>
          <w:i/>
        </w:rPr>
        <w:t>au cœur de la démocratie</w:t>
      </w:r>
      <w:r w:rsidR="00846617">
        <w:t> » (p. 9), la conclusion de l’ouvrage est plus mitigée. Elle est même surprenante puisque Ph. Poirier conclut que « </w:t>
      </w:r>
      <w:r w:rsidR="00846617" w:rsidRPr="00136941">
        <w:rPr>
          <w:i/>
        </w:rPr>
        <w:t xml:space="preserve">cette question demeurée lancinante tout au long de l’étude </w:t>
      </w:r>
      <w:r w:rsidR="00846617">
        <w:t xml:space="preserve">[celle </w:t>
      </w:r>
      <w:r w:rsidR="00B63C1A">
        <w:t>de la dé-parlementarisation</w:t>
      </w:r>
      <w:r w:rsidR="001D579E">
        <w:t xml:space="preserve"> ou re-parlementarisation</w:t>
      </w:r>
      <w:r w:rsidR="00B63C1A">
        <w:t xml:space="preserve">] </w:t>
      </w:r>
      <w:r w:rsidR="00B63C1A" w:rsidRPr="00136941">
        <w:rPr>
          <w:i/>
        </w:rPr>
        <w:t>ne saurait être tranchée</w:t>
      </w:r>
      <w:r w:rsidR="00B63C1A">
        <w:t> » (p. 551).</w:t>
      </w:r>
      <w:r w:rsidR="001D579E">
        <w:t xml:space="preserve"> L</w:t>
      </w:r>
      <w:r w:rsidR="001F1AAD">
        <w:t xml:space="preserve">e lecteur/la lectrice se serait attendu(e) à </w:t>
      </w:r>
      <w:r w:rsidR="001D579E">
        <w:t xml:space="preserve">au moins </w:t>
      </w:r>
      <w:r w:rsidR="001F1AAD">
        <w:t>une ébauche de réponse, quitte à ce que celle-ci soit entourée de réserves et</w:t>
      </w:r>
      <w:r w:rsidR="001D579E">
        <w:t xml:space="preserve"> de</w:t>
      </w:r>
      <w:r w:rsidR="001F1AAD">
        <w:t xml:space="preserve"> </w:t>
      </w:r>
      <w:r w:rsidR="001F1AAD" w:rsidRPr="001F1AAD">
        <w:rPr>
          <w:i/>
        </w:rPr>
        <w:t>caveat</w:t>
      </w:r>
      <w:r w:rsidR="001D579E">
        <w:t>.</w:t>
      </w:r>
    </w:p>
    <w:p w:rsidR="000800C9" w:rsidRDefault="00B63C1A" w:rsidP="00136941">
      <w:pPr>
        <w:ind w:firstLine="708"/>
        <w:jc w:val="both"/>
      </w:pPr>
      <w:r>
        <w:t>Il est certain qu’il est très difficile d’apporter</w:t>
      </w:r>
      <w:r w:rsidR="001F1AAD">
        <w:t xml:space="preserve"> à cette question</w:t>
      </w:r>
      <w:r>
        <w:t xml:space="preserve"> une réponse scientifique</w:t>
      </w:r>
      <w:r w:rsidR="00B35CA9">
        <w:t>. C</w:t>
      </w:r>
      <w:r>
        <w:t>elle-ci présuppose</w:t>
      </w:r>
      <w:r w:rsidR="00B35CA9">
        <w:t>, en effet,</w:t>
      </w:r>
      <w:r>
        <w:t xml:space="preserve"> </w:t>
      </w:r>
      <w:r w:rsidR="00177A5E">
        <w:t xml:space="preserve">une grille d’analyse </w:t>
      </w:r>
      <w:r w:rsidR="003F4433">
        <w:t>q</w:t>
      </w:r>
      <w:r w:rsidR="00177A5E">
        <w:t>ui permett</w:t>
      </w:r>
      <w:r>
        <w:t>e</w:t>
      </w:r>
      <w:r w:rsidR="000944D6">
        <w:t>, schématiquement,</w:t>
      </w:r>
      <w:r w:rsidR="004A3AFE">
        <w:t xml:space="preserve"> deux opérations intellectuelles. </w:t>
      </w:r>
      <w:r w:rsidR="00F739E5">
        <w:t>Premièrement, c</w:t>
      </w:r>
      <w:r w:rsidR="001F1AAD">
        <w:t>ette grille</w:t>
      </w:r>
      <w:r w:rsidR="004A3AFE">
        <w:t xml:space="preserve"> doit permettre</w:t>
      </w:r>
      <w:r w:rsidR="00177A5E">
        <w:t xml:space="preserve"> d</w:t>
      </w:r>
      <w:r w:rsidR="00846617">
        <w:t>’évaluer</w:t>
      </w:r>
      <w:r w:rsidR="004A3AFE">
        <w:t>, à une date X (par ex. « aujourd’hui »),</w:t>
      </w:r>
      <w:r w:rsidR="00846617">
        <w:t xml:space="preserve"> l’étendue et la réalité d</w:t>
      </w:r>
      <w:r>
        <w:t xml:space="preserve">u </w:t>
      </w:r>
      <w:r w:rsidR="00846617">
        <w:t>pouvoir</w:t>
      </w:r>
      <w:r w:rsidR="00DD0780">
        <w:t xml:space="preserve"> de la Chambre</w:t>
      </w:r>
      <w:r w:rsidR="001D579E">
        <w:t xml:space="preserve"> des députés</w:t>
      </w:r>
      <w:r w:rsidR="004A3AFE">
        <w:t>. Or, peut-on</w:t>
      </w:r>
      <w:r w:rsidR="00DD0780">
        <w:t>, dans ce contexte,</w:t>
      </w:r>
      <w:r>
        <w:t xml:space="preserve"> parler d</w:t>
      </w:r>
      <w:r w:rsidR="00DD0780">
        <w:t>’un</w:t>
      </w:r>
      <w:r>
        <w:t xml:space="preserve"> « pouvoir » au singulier</w:t>
      </w:r>
      <w:r w:rsidR="004A3AFE">
        <w:t> ? L</w:t>
      </w:r>
      <w:r w:rsidR="00384FF6">
        <w:t xml:space="preserve">’ouvrage </w:t>
      </w:r>
      <w:r w:rsidR="004A3AFE">
        <w:t>n’aborde pas de front</w:t>
      </w:r>
      <w:r w:rsidR="00384FF6">
        <w:t>, en introduction,</w:t>
      </w:r>
      <w:r w:rsidR="004A3AFE">
        <w:t xml:space="preserve"> cette question </w:t>
      </w:r>
      <w:r w:rsidR="00B35CA9">
        <w:t>épistémologique</w:t>
      </w:r>
      <w:r w:rsidR="004A3AFE">
        <w:t xml:space="preserve">. De fait, </w:t>
      </w:r>
      <w:r w:rsidR="00384FF6">
        <w:t>les divers auteurs</w:t>
      </w:r>
      <w:r w:rsidR="004A3AFE">
        <w:t xml:space="preserve"> </w:t>
      </w:r>
      <w:r>
        <w:t xml:space="preserve">se servent du pluriel </w:t>
      </w:r>
      <w:r w:rsidR="004A3AFE">
        <w:t xml:space="preserve">à la fois </w:t>
      </w:r>
      <w:r>
        <w:t>dans le titre</w:t>
      </w:r>
      <w:r w:rsidR="00DD0780">
        <w:t xml:space="preserve"> et dans l</w:t>
      </w:r>
      <w:r w:rsidR="004A3AFE">
        <w:t>e corps d</w:t>
      </w:r>
      <w:r w:rsidR="00384FF6">
        <w:t>u propos</w:t>
      </w:r>
      <w:r w:rsidR="004A3AFE">
        <w:t xml:space="preserve">, sans opérer à la fin une vue synthétique ou « addition ». </w:t>
      </w:r>
      <w:r>
        <w:t>Comment cerner</w:t>
      </w:r>
      <w:r w:rsidR="00B35CA9">
        <w:t xml:space="preserve"> alors</w:t>
      </w:r>
      <w:r w:rsidR="00384FF6">
        <w:t xml:space="preserve"> au moins</w:t>
      </w:r>
      <w:r w:rsidR="004A3AFE">
        <w:t xml:space="preserve"> dans un secteur</w:t>
      </w:r>
      <w:r w:rsidR="000944D6">
        <w:t xml:space="preserve"> « tel pouvoir » de la Chambre ? </w:t>
      </w:r>
      <w:r w:rsidR="00384FF6">
        <w:t>La</w:t>
      </w:r>
      <w:r w:rsidR="000944D6">
        <w:t xml:space="preserve"> question n</w:t>
      </w:r>
      <w:r w:rsidR="00384FF6">
        <w:t>’est pas</w:t>
      </w:r>
      <w:r w:rsidR="000944D6">
        <w:t xml:space="preserve"> explicitement abordée, </w:t>
      </w:r>
      <w:r w:rsidR="00384FF6">
        <w:t xml:space="preserve">mais </w:t>
      </w:r>
      <w:r w:rsidR="000944D6">
        <w:t xml:space="preserve">il est possible de dégager de la lecture de l’ouvrage une </w:t>
      </w:r>
      <w:r w:rsidR="001F1AAD">
        <w:t xml:space="preserve">certaine </w:t>
      </w:r>
      <w:r w:rsidR="000944D6">
        <w:t>approche</w:t>
      </w:r>
      <w:r w:rsidR="001F1AAD">
        <w:t xml:space="preserve"> systématique, somme toute consensuelle. Celle-ci</w:t>
      </w:r>
      <w:r w:rsidR="000944D6">
        <w:t xml:space="preserve"> consiste, d’une part, sur le plan du droit, à identifier et à lister les diverses compétences dont est investi l</w:t>
      </w:r>
      <w:r w:rsidR="00B35CA9">
        <w:t>’organe « </w:t>
      </w:r>
      <w:r w:rsidR="000944D6">
        <w:t>Chambre</w:t>
      </w:r>
      <w:r w:rsidR="00B35CA9">
        <w:t xml:space="preserve"> des députés »</w:t>
      </w:r>
      <w:r w:rsidR="000944D6">
        <w:t xml:space="preserve"> </w:t>
      </w:r>
      <w:r w:rsidR="00384FF6">
        <w:t xml:space="preserve">– </w:t>
      </w:r>
      <w:r w:rsidR="000944D6">
        <w:t>à cet égard, on peut observer tantôt un</w:t>
      </w:r>
      <w:r w:rsidR="001F1AAD">
        <w:t xml:space="preserve"> rétrécissement</w:t>
      </w:r>
      <w:r w:rsidR="000944D6">
        <w:t>, à l’</w:t>
      </w:r>
      <w:r w:rsidR="001F1AAD">
        <w:t xml:space="preserve">image </w:t>
      </w:r>
      <w:r w:rsidR="000944D6">
        <w:t>des transferts de compétences législatives à l’UE, tantôt un</w:t>
      </w:r>
      <w:r w:rsidR="001F1AAD">
        <w:t>e expansion</w:t>
      </w:r>
      <w:r w:rsidR="000944D6">
        <w:t xml:space="preserve">, </w:t>
      </w:r>
      <w:r w:rsidR="000944D6">
        <w:lastRenderedPageBreak/>
        <w:t>à l’instar des nouvelles compétences des parlements nationaux dans le processus décisionnel de l’UE</w:t>
      </w:r>
      <w:r w:rsidR="00B35CA9">
        <w:t>. P</w:t>
      </w:r>
      <w:r w:rsidR="000944D6">
        <w:t xml:space="preserve">uis, </w:t>
      </w:r>
      <w:r w:rsidR="001F1AAD">
        <w:t xml:space="preserve">à cette analyse de science juridique, s’ajoute </w:t>
      </w:r>
      <w:r w:rsidR="000944D6">
        <w:t>d’autre part</w:t>
      </w:r>
      <w:r w:rsidR="001F1AAD">
        <w:t xml:space="preserve"> une analyse </w:t>
      </w:r>
      <w:r w:rsidR="00384FF6">
        <w:t>empirique</w:t>
      </w:r>
      <w:r w:rsidR="001F1AAD">
        <w:t xml:space="preserve"> de science politique consistant</w:t>
      </w:r>
      <w:r w:rsidR="00384FF6">
        <w:t xml:space="preserve"> </w:t>
      </w:r>
      <w:r w:rsidR="000944D6">
        <w:t>à cerner l’usage réel qu</w:t>
      </w:r>
      <w:r w:rsidR="00384FF6">
        <w:t>e</w:t>
      </w:r>
      <w:r w:rsidR="000944D6">
        <w:t xml:space="preserve"> f</w:t>
      </w:r>
      <w:r w:rsidR="00B35CA9">
        <w:t xml:space="preserve">ont les députés </w:t>
      </w:r>
      <w:r w:rsidR="00384FF6">
        <w:t xml:space="preserve">de </w:t>
      </w:r>
      <w:r w:rsidR="00B35CA9">
        <w:t>c</w:t>
      </w:r>
      <w:r w:rsidR="00384FF6">
        <w:t>es compétences</w:t>
      </w:r>
      <w:r w:rsidR="000944D6">
        <w:t xml:space="preserve">. </w:t>
      </w:r>
      <w:r w:rsidR="00F739E5">
        <w:t xml:space="preserve">À cet égard, </w:t>
      </w:r>
      <w:r w:rsidR="000944D6">
        <w:t xml:space="preserve">la liberté d’action, et possible influence, des </w:t>
      </w:r>
      <w:r w:rsidR="00F739E5">
        <w:t>parlementaires</w:t>
      </w:r>
      <w:r w:rsidR="000944D6">
        <w:t xml:space="preserve"> est limitée par divers facteurs parmi lesquels il</w:t>
      </w:r>
      <w:r w:rsidR="00321C36">
        <w:t xml:space="preserve"> convient d’</w:t>
      </w:r>
      <w:r w:rsidR="000944D6">
        <w:t xml:space="preserve">évoquer, notamment, la discipline au sein des partis défendant la stabilité de « leur » gouvernement, le manque de ressources et d’expertise des </w:t>
      </w:r>
      <w:r w:rsidR="00F739E5">
        <w:t>députés</w:t>
      </w:r>
      <w:r w:rsidR="000944D6">
        <w:t xml:space="preserve"> du reste peu nombreux</w:t>
      </w:r>
      <w:r w:rsidR="00384FF6">
        <w:t xml:space="preserve"> et donc peu spécialisés</w:t>
      </w:r>
      <w:r w:rsidR="000944D6">
        <w:t>, leur exclusion des diverses fora « tripartites » si typiques de la démocratie consociative luxembourgeoise, sans oublier leur manque de temps dû au cumul de mandats.</w:t>
      </w:r>
      <w:r w:rsidR="00384FF6">
        <w:t xml:space="preserve"> </w:t>
      </w:r>
      <w:r w:rsidR="005739B2">
        <w:t>Sur ce plan, l’ouvrage</w:t>
      </w:r>
      <w:r w:rsidR="00321C36">
        <w:t xml:space="preserve"> </w:t>
      </w:r>
      <w:r w:rsidR="005739B2">
        <w:t xml:space="preserve">donne des données quantitatives instructives </w:t>
      </w:r>
      <w:r w:rsidR="00321C36">
        <w:t>(</w:t>
      </w:r>
      <w:r w:rsidR="005739B2">
        <w:t>voir, par ex., p. 232 ss, le nombre bas de propositions de lois, mais</w:t>
      </w:r>
      <w:r w:rsidR="00F739E5">
        <w:t xml:space="preserve"> aussi</w:t>
      </w:r>
      <w:r w:rsidR="005739B2">
        <w:t>, en même temps, le taux d’adoption relativement élevé de celles-ci dans les années 2000 : autour de 30 % !)</w:t>
      </w:r>
      <w:r w:rsidR="00F739E5">
        <w:t xml:space="preserve"> ; l’ouvrage comporte également </w:t>
      </w:r>
      <w:r w:rsidR="005739B2">
        <w:t>des mises en perspectives éclairantes, comme par ex. le chapitre 6, rédigé par Ph. Poirier, exposant de façon didactique les diverses formes et strates de démocratie consociative (« tripartites », « </w:t>
      </w:r>
      <w:r w:rsidR="005739B2" w:rsidRPr="00F739E5">
        <w:rPr>
          <w:i/>
        </w:rPr>
        <w:t>Rentendësch</w:t>
      </w:r>
      <w:r w:rsidR="005739B2">
        <w:t xml:space="preserve"> », Conseil économique et social, etc.).  </w:t>
      </w:r>
    </w:p>
    <w:p w:rsidR="005C3F69" w:rsidRDefault="00F739E5" w:rsidP="00136941">
      <w:pPr>
        <w:ind w:firstLine="708"/>
        <w:jc w:val="both"/>
      </w:pPr>
      <w:r>
        <w:t>Deuxièmement, l</w:t>
      </w:r>
      <w:r w:rsidR="005739B2">
        <w:t>a grille d’analyse se doit de cerner le/les pouvoir(s)</w:t>
      </w:r>
      <w:r w:rsidR="005C3F69">
        <w:t xml:space="preserve"> de la Chambre</w:t>
      </w:r>
      <w:r>
        <w:t xml:space="preserve"> des députés</w:t>
      </w:r>
      <w:r w:rsidR="005C3F69">
        <w:t xml:space="preserve"> non seulement à une date</w:t>
      </w:r>
      <w:r>
        <w:t xml:space="preserve"> –</w:t>
      </w:r>
      <w:r w:rsidR="005C3F69">
        <w:t xml:space="preserve"> celle d’aujourd’hui</w:t>
      </w:r>
      <w:r>
        <w:t xml:space="preserve"> –</w:t>
      </w:r>
      <w:r w:rsidR="005C3F69">
        <w:t xml:space="preserve">, mais </w:t>
      </w:r>
      <w:r w:rsidR="000800C9">
        <w:t xml:space="preserve">à plusieurs, puisque </w:t>
      </w:r>
      <w:r w:rsidR="005C3F69">
        <w:t xml:space="preserve">les </w:t>
      </w:r>
      <w:r w:rsidR="000800C9">
        <w:t>mots mêmes de</w:t>
      </w:r>
      <w:r w:rsidR="005C3F69">
        <w:t xml:space="preserve"> dé-parlementarisation ou re-parlementarisation renvoient à </w:t>
      </w:r>
      <w:r w:rsidR="000800C9">
        <w:t>u</w:t>
      </w:r>
      <w:r w:rsidR="005C3F69">
        <w:t xml:space="preserve">ne/des évolution(s) historique(s). </w:t>
      </w:r>
      <w:r w:rsidR="00321C36">
        <w:t xml:space="preserve">La manière la plus </w:t>
      </w:r>
      <w:r w:rsidR="005C3F69">
        <w:t>simple</w:t>
      </w:r>
      <w:r w:rsidR="00321C36">
        <w:t xml:space="preserve">, idéalement, serait de pouvoir identifier </w:t>
      </w:r>
      <w:r w:rsidR="005C3F69">
        <w:t>un modèle historique à tel</w:t>
      </w:r>
      <w:r w:rsidR="00321C36">
        <w:t xml:space="preserve"> moment du passé</w:t>
      </w:r>
      <w:r w:rsidR="005C3F69">
        <w:t xml:space="preserve"> </w:t>
      </w:r>
      <w:r>
        <w:t xml:space="preserve">– </w:t>
      </w:r>
      <w:r w:rsidR="005C3F69">
        <w:t>la fin du 19</w:t>
      </w:r>
      <w:r w:rsidR="005C3F69" w:rsidRPr="005C3F69">
        <w:rPr>
          <w:vertAlign w:val="superscript"/>
        </w:rPr>
        <w:t>e</w:t>
      </w:r>
      <w:r w:rsidR="005C3F69">
        <w:t xml:space="preserve"> siècle </w:t>
      </w:r>
      <w:r w:rsidR="00321C36">
        <w:t xml:space="preserve">est </w:t>
      </w:r>
      <w:r w:rsidR="005C3F69">
        <w:t xml:space="preserve">souvent </w:t>
      </w:r>
      <w:r w:rsidR="00321C36">
        <w:t xml:space="preserve">érigée en </w:t>
      </w:r>
      <w:r w:rsidR="005C3F69">
        <w:t>référence cruciale, voire mythique</w:t>
      </w:r>
      <w:r>
        <w:t xml:space="preserve"> –</w:t>
      </w:r>
      <w:r w:rsidR="005C3F69">
        <w:t>, à l’aune duquel il serait possible de j</w:t>
      </w:r>
      <w:r w:rsidR="006D5804">
        <w:t>a</w:t>
      </w:r>
      <w:r w:rsidR="005C3F69">
        <w:t>uger la réalité actuelle. Or, sur cette profondeur historique, l’ouvrage contient, certes, sur tel</w:t>
      </w:r>
      <w:r>
        <w:t>le</w:t>
      </w:r>
      <w:r w:rsidR="005C3F69">
        <w:t xml:space="preserve"> ou tel</w:t>
      </w:r>
      <w:r>
        <w:t>le compétence</w:t>
      </w:r>
      <w:r w:rsidR="006D5804">
        <w:t xml:space="preserve"> en droit</w:t>
      </w:r>
      <w:r w:rsidR="005C3F69">
        <w:t xml:space="preserve"> des mises en perspective ponctuelles ; il met en garde, à juste titre (p. 551), devant toute mystification d’un « âge d’or » du parlementarisme libéral luxembourgeois du 19</w:t>
      </w:r>
      <w:r w:rsidR="005C3F69" w:rsidRPr="005C3F69">
        <w:rPr>
          <w:vertAlign w:val="superscript"/>
        </w:rPr>
        <w:t>e</w:t>
      </w:r>
      <w:r w:rsidR="005C3F69">
        <w:t xml:space="preserve"> siècle ; mais, somme toute, l</w:t>
      </w:r>
      <w:r w:rsidR="009F1882">
        <w:t>’état</w:t>
      </w:r>
      <w:r>
        <w:t xml:space="preserve"> réel</w:t>
      </w:r>
      <w:r w:rsidR="009F1882">
        <w:t xml:space="preserve"> du pouvoir/des pouvoirs </w:t>
      </w:r>
      <w:r w:rsidR="005C3F69">
        <w:t>de la Chambre des députés</w:t>
      </w:r>
      <w:r w:rsidR="009F1882">
        <w:t>,</w:t>
      </w:r>
      <w:r w:rsidR="005C3F69">
        <w:t xml:space="preserve"> </w:t>
      </w:r>
      <w:r w:rsidR="009F1882">
        <w:t xml:space="preserve">dans le passé, reste dans un </w:t>
      </w:r>
      <w:r w:rsidR="000800C9">
        <w:t xml:space="preserve">relatif </w:t>
      </w:r>
      <w:r w:rsidR="009F1882">
        <w:t>flou. Ainsi, alors qu’il aurait été instructif, et crucial, de connaître le nombre de propositions de lois et le</w:t>
      </w:r>
      <w:r w:rsidR="000800C9">
        <w:t>ur</w:t>
      </w:r>
      <w:r w:rsidR="009F1882">
        <w:t xml:space="preserve"> taux de réussite dans le passé (à la fin du 19</w:t>
      </w:r>
      <w:r w:rsidR="009F1882" w:rsidRPr="009F1882">
        <w:rPr>
          <w:vertAlign w:val="superscript"/>
        </w:rPr>
        <w:t>e</w:t>
      </w:r>
      <w:r w:rsidR="009F1882">
        <w:t xml:space="preserve"> siècle), ces données manquent. Ce flou débouche, dès lors, sur des présuppositions</w:t>
      </w:r>
      <w:r w:rsidR="007D7762">
        <w:t xml:space="preserve"> historiques et des standards heuristiques</w:t>
      </w:r>
      <w:r w:rsidR="009F1882">
        <w:t xml:space="preserve"> contradictoires : alors que, à la p. 218, P. Dumont, B. Jarir et A. Spreitzer insistent</w:t>
      </w:r>
      <w:r w:rsidR="00DA72CF">
        <w:t>,</w:t>
      </w:r>
      <w:r w:rsidR="007D7762">
        <w:t xml:space="preserve"> dès le départ</w:t>
      </w:r>
      <w:r w:rsidR="00DA72CF">
        <w:t>,</w:t>
      </w:r>
      <w:r w:rsidR="009F1882">
        <w:t xml:space="preserve"> sur le fait qu’il convient</w:t>
      </w:r>
      <w:r w:rsidR="007D7762">
        <w:t xml:space="preserve"> de penser, à l’heure actuelle et aussi déjà </w:t>
      </w:r>
      <w:r w:rsidR="006D5804">
        <w:t>pour</w:t>
      </w:r>
      <w:r w:rsidR="007D7762">
        <w:t xml:space="preserve"> le passé, le </w:t>
      </w:r>
      <w:r w:rsidR="00DA72CF">
        <w:t xml:space="preserve">(véritable) </w:t>
      </w:r>
      <w:r w:rsidR="007D7762">
        <w:t xml:space="preserve">pouvoir du parlement comme celui, simplement, d’approuver, d’infléchir ou de rejeter en aval les projets de lois provenant d’autrui (de l’exécutif), à d’autres endroits de l’ouvrage, en particulier tout au long du chapitre </w:t>
      </w:r>
      <w:r w:rsidR="00487D06">
        <w:t>3</w:t>
      </w:r>
      <w:r w:rsidR="007D7762">
        <w:t xml:space="preserve">, le fait que, dans le cadre de la </w:t>
      </w:r>
      <w:r w:rsidR="00487D06">
        <w:t xml:space="preserve">logique néo-corporatiste, </w:t>
      </w:r>
      <w:r w:rsidR="007D7762">
        <w:t>ce n’est pas (</w:t>
      </w:r>
      <w:r w:rsidR="00487D06">
        <w:t>« </w:t>
      </w:r>
      <w:r w:rsidR="007D7762">
        <w:t>plus</w:t>
      </w:r>
      <w:r w:rsidR="00487D06">
        <w:t> »</w:t>
      </w:r>
      <w:r w:rsidR="007D7762">
        <w:t>) l</w:t>
      </w:r>
      <w:r w:rsidR="000800C9">
        <w:t>a Chambre des députés</w:t>
      </w:r>
      <w:r w:rsidR="007D7762">
        <w:t xml:space="preserve"> qui élabore réellement le contenu de la loi en matière économique et sociale est vu, systématiquement, comme un indice de déclin de son pouvoir.</w:t>
      </w:r>
      <w:r w:rsidR="009F1882">
        <w:t xml:space="preserve"> </w:t>
      </w:r>
      <w:r w:rsidR="000800C9">
        <w:t>Or, la Chambre</w:t>
      </w:r>
      <w:r w:rsidR="006D5804">
        <w:t xml:space="preserve"> des députés</w:t>
      </w:r>
      <w:r w:rsidR="000800C9">
        <w:t xml:space="preserve"> a-t-elle été, à la fin du 19</w:t>
      </w:r>
      <w:r w:rsidR="000800C9" w:rsidRPr="000800C9">
        <w:rPr>
          <w:vertAlign w:val="superscript"/>
        </w:rPr>
        <w:t>e</w:t>
      </w:r>
      <w:r w:rsidR="000800C9">
        <w:t xml:space="preserve"> siècle, l’instigat</w:t>
      </w:r>
      <w:r w:rsidR="006D5804">
        <w:t>rice</w:t>
      </w:r>
      <w:r w:rsidR="000800C9">
        <w:t xml:space="preserve"> de la politique économique menée alors (par ex. en </w:t>
      </w:r>
      <w:r w:rsidR="00487D06">
        <w:t xml:space="preserve">la </w:t>
      </w:r>
      <w:r w:rsidR="000800C9">
        <w:t>matière</w:t>
      </w:r>
      <w:r w:rsidR="00487D06">
        <w:t xml:space="preserve"> si importante</w:t>
      </w:r>
      <w:r w:rsidR="000800C9">
        <w:t xml:space="preserve"> de</w:t>
      </w:r>
      <w:r w:rsidR="00487D06">
        <w:t>s</w:t>
      </w:r>
      <w:r w:rsidR="000800C9">
        <w:t xml:space="preserve"> concessions minières) ?</w:t>
      </w:r>
      <w:r w:rsidR="005C3F69">
        <w:t xml:space="preserve"> </w:t>
      </w:r>
      <w:r w:rsidR="000800C9">
        <w:t>C’est dire</w:t>
      </w:r>
      <w:r w:rsidR="00487D06">
        <w:t xml:space="preserve"> que </w:t>
      </w:r>
      <w:r w:rsidR="00DA72CF">
        <w:t xml:space="preserve">certaines facettes de cette vaste </w:t>
      </w:r>
      <w:r w:rsidR="00487D06">
        <w:t>problématique reste</w:t>
      </w:r>
      <w:r w:rsidR="00DA72CF">
        <w:t>nt</w:t>
      </w:r>
      <w:r w:rsidR="00487D06">
        <w:t xml:space="preserve"> à creuser.</w:t>
      </w:r>
    </w:p>
    <w:p w:rsidR="006B1988" w:rsidRDefault="00487D06" w:rsidP="00136941">
      <w:pPr>
        <w:ind w:firstLine="708"/>
        <w:jc w:val="both"/>
      </w:pPr>
      <w:r>
        <w:t xml:space="preserve">D’ores et déjà, de l’application de la </w:t>
      </w:r>
      <w:r w:rsidR="00656F48">
        <w:t>méthode pluridisciplinaire</w:t>
      </w:r>
      <w:r>
        <w:t xml:space="preserve"> </w:t>
      </w:r>
      <w:r w:rsidR="00DA72CF">
        <w:t xml:space="preserve">susmentionnée, </w:t>
      </w:r>
      <w:r>
        <w:t xml:space="preserve">combinant </w:t>
      </w:r>
      <w:r w:rsidR="00656F48">
        <w:t xml:space="preserve">science </w:t>
      </w:r>
      <w:r w:rsidR="00DA72CF">
        <w:t xml:space="preserve">politique et science </w:t>
      </w:r>
      <w:r w:rsidR="00656F48">
        <w:t>juridique</w:t>
      </w:r>
      <w:r w:rsidR="00DA72CF">
        <w:t>,</w:t>
      </w:r>
      <w:r w:rsidR="00656F48">
        <w:t xml:space="preserve"> résulte une vaste fresque qui décrit l</w:t>
      </w:r>
      <w:r w:rsidR="00E136F5">
        <w:t>a situation</w:t>
      </w:r>
      <w:r>
        <w:t xml:space="preserve"> actuelle (voire antérieure)</w:t>
      </w:r>
      <w:r w:rsidR="00E136F5">
        <w:t xml:space="preserve"> </w:t>
      </w:r>
      <w:r w:rsidR="00656F48">
        <w:t>de la Chambre</w:t>
      </w:r>
      <w:r>
        <w:t xml:space="preserve"> des députés</w:t>
      </w:r>
      <w:r w:rsidR="00754355">
        <w:t xml:space="preserve"> </w:t>
      </w:r>
      <w:r w:rsidR="00DA72CF">
        <w:t xml:space="preserve">dans divers secteurs, </w:t>
      </w:r>
      <w:r w:rsidR="00E136F5">
        <w:t>depuis son rôle en matière de règlement intérieur (chap. 1), de législation (chap. 2), de politiques économiques</w:t>
      </w:r>
      <w:r w:rsidR="005F1106">
        <w:t>, sociales et environnementales</w:t>
      </w:r>
      <w:r w:rsidR="00E136F5">
        <w:t xml:space="preserve"> (chap. 3), de contrôle budgétaire (chap. 4), de protection des droits de l’homme (chap. 5) et, </w:t>
      </w:r>
      <w:r w:rsidR="00E136F5" w:rsidRPr="00136941">
        <w:rPr>
          <w:i/>
        </w:rPr>
        <w:t>last but not least</w:t>
      </w:r>
      <w:r w:rsidR="00E136F5">
        <w:t>, de politique internationale (chap. 6).</w:t>
      </w:r>
      <w:r w:rsidR="00754355">
        <w:t xml:space="preserve"> </w:t>
      </w:r>
      <w:r w:rsidR="00136941">
        <w:t>Comblant une lacune de la littérature, la s</w:t>
      </w:r>
      <w:r w:rsidR="00754355">
        <w:t>ynthèse</w:t>
      </w:r>
      <w:r w:rsidR="00136941">
        <w:t xml:space="preserve"> ainsi opérée est</w:t>
      </w:r>
      <w:r w:rsidR="005F1106">
        <w:t>, à coup sûr,</w:t>
      </w:r>
      <w:r w:rsidR="00DA72CF">
        <w:t xml:space="preserve"> utile et souvent éclairante</w:t>
      </w:r>
      <w:r w:rsidR="005F1106">
        <w:t xml:space="preserve">. Elle pose un cadre </w:t>
      </w:r>
      <w:r w:rsidR="006B1988">
        <w:t>général</w:t>
      </w:r>
      <w:r w:rsidR="005F1106">
        <w:t xml:space="preserve"> </w:t>
      </w:r>
      <w:r w:rsidR="006B1988">
        <w:t xml:space="preserve">pour </w:t>
      </w:r>
      <w:r w:rsidR="005F1106">
        <w:t>toute recherche future</w:t>
      </w:r>
      <w:r w:rsidR="006B1988">
        <w:t xml:space="preserve"> sur </w:t>
      </w:r>
      <w:r w:rsidR="00DA72CF">
        <w:t xml:space="preserve">ce terrain. </w:t>
      </w:r>
      <w:r w:rsidR="005F1106">
        <w:t>Sur le fond, l</w:t>
      </w:r>
      <w:r w:rsidR="00754355">
        <w:t>’ouvrage</w:t>
      </w:r>
      <w:r w:rsidR="00704904">
        <w:t xml:space="preserve"> présente aussi quelques faiblesses</w:t>
      </w:r>
      <w:r w:rsidR="005F1106">
        <w:t xml:space="preserve"> qui, toutefois, n’entament pas fondamentalement sa valeur. </w:t>
      </w:r>
      <w:r w:rsidR="00704904">
        <w:t>D’abord un angle mort : l</w:t>
      </w:r>
      <w:r w:rsidR="00313CB5">
        <w:t>a question de l</w:t>
      </w:r>
      <w:r w:rsidR="00704904">
        <w:t xml:space="preserve">’étendue de l’autonomie législative de la Chambre </w:t>
      </w:r>
      <w:r w:rsidR="006B1988">
        <w:t xml:space="preserve">des députés </w:t>
      </w:r>
      <w:r w:rsidR="00704904">
        <w:t xml:space="preserve">par rapport à ce nouvel acteur qu’est la Cour constitutionnelle </w:t>
      </w:r>
      <w:r w:rsidR="00313CB5">
        <w:t xml:space="preserve">est, certes, évoquée (p. 84 ss, « judiciarisation de la démocratie »), mais elle </w:t>
      </w:r>
      <w:r w:rsidR="00704904">
        <w:t>n’est p</w:t>
      </w:r>
      <w:r w:rsidR="00313CB5">
        <w:t xml:space="preserve">as </w:t>
      </w:r>
      <w:r w:rsidR="00313CB5">
        <w:lastRenderedPageBreak/>
        <w:t>approfondie.</w:t>
      </w:r>
      <w:r w:rsidR="00704904">
        <w:t xml:space="preserve"> </w:t>
      </w:r>
      <w:r w:rsidR="006D5804">
        <w:t>Ensuite, i</w:t>
      </w:r>
      <w:r w:rsidR="00EA1437">
        <w:t>l manque</w:t>
      </w:r>
      <w:r w:rsidR="005C681C">
        <w:t>, à la fin de l’ouvrage,</w:t>
      </w:r>
      <w:r w:rsidR="00EA1437">
        <w:t xml:space="preserve"> une bibliographie</w:t>
      </w:r>
      <w:r w:rsidR="006D5804">
        <w:t> ; s</w:t>
      </w:r>
      <w:r w:rsidR="005F1106">
        <w:t>i les références en note</w:t>
      </w:r>
      <w:r w:rsidR="006B1988">
        <w:t>s</w:t>
      </w:r>
      <w:r w:rsidR="005F1106">
        <w:t xml:space="preserve"> de bas de page sont riches en ce qu’elles permettent </w:t>
      </w:r>
      <w:r w:rsidR="008F2263">
        <w:t xml:space="preserve">notamment </w:t>
      </w:r>
      <w:r w:rsidR="005F1106">
        <w:t xml:space="preserve">de </w:t>
      </w:r>
      <w:r w:rsidR="00A61142">
        <w:t>découvrir des documents</w:t>
      </w:r>
      <w:r w:rsidR="00B35CA9">
        <w:t xml:space="preserve"> politiques</w:t>
      </w:r>
      <w:r w:rsidR="00A61142">
        <w:t xml:space="preserve"> et </w:t>
      </w:r>
      <w:r w:rsidR="00B35CA9">
        <w:t xml:space="preserve">des </w:t>
      </w:r>
      <w:r w:rsidR="00A61142">
        <w:t>écrits</w:t>
      </w:r>
      <w:r w:rsidR="00B35CA9">
        <w:t xml:space="preserve"> scientifiques</w:t>
      </w:r>
      <w:r w:rsidR="00A61142">
        <w:t xml:space="preserve"> parfois peu connus, en particulier sur le Luxembourg, </w:t>
      </w:r>
      <w:r w:rsidR="00EA1437">
        <w:t xml:space="preserve">certaines </w:t>
      </w:r>
      <w:r w:rsidR="005F1106">
        <w:t xml:space="preserve">de ces </w:t>
      </w:r>
      <w:r w:rsidR="00EA1437">
        <w:t>références sont</w:t>
      </w:r>
      <w:r w:rsidR="00A61142">
        <w:t xml:space="preserve"> néanmoins</w:t>
      </w:r>
      <w:r w:rsidR="00EA1437">
        <w:t xml:space="preserve"> </w:t>
      </w:r>
      <w:r w:rsidR="005F1106">
        <w:t>inadéquates</w:t>
      </w:r>
      <w:r w:rsidR="00A61142">
        <w:t xml:space="preserve"> (notes 282, 283)</w:t>
      </w:r>
      <w:r w:rsidR="005F1106">
        <w:t xml:space="preserve">, </w:t>
      </w:r>
      <w:r w:rsidR="00EA1437">
        <w:t>incomplètes</w:t>
      </w:r>
      <w:r w:rsidR="005F1106">
        <w:t xml:space="preserve"> (de</w:t>
      </w:r>
      <w:r w:rsidR="00A61142">
        <w:t>s</w:t>
      </w:r>
      <w:r w:rsidR="005F1106">
        <w:t xml:space="preserve"> « </w:t>
      </w:r>
      <w:r w:rsidR="005F1106" w:rsidRPr="00A61142">
        <w:rPr>
          <w:i/>
        </w:rPr>
        <w:t>op. cit</w:t>
      </w:r>
      <w:r w:rsidR="005F1106">
        <w:t> ». dont on cherchera vainement l’indication première</w:t>
      </w:r>
      <w:r w:rsidR="00A61142">
        <w:t> : notes 317, 412, 723, 748</w:t>
      </w:r>
      <w:r w:rsidR="006B1988">
        <w:t>, etc.</w:t>
      </w:r>
      <w:r w:rsidR="005F1106">
        <w:t>)</w:t>
      </w:r>
      <w:r w:rsidR="00EA1437">
        <w:t xml:space="preserve"> ou</w:t>
      </w:r>
      <w:r w:rsidR="005F1106">
        <w:t xml:space="preserve"> peu claires (certains renvois aux documents parlementaires : ex. </w:t>
      </w:r>
      <w:r w:rsidR="00A61142">
        <w:t>note 421</w:t>
      </w:r>
      <w:r w:rsidR="00837FE4">
        <w:t xml:space="preserve"> ; </w:t>
      </w:r>
      <w:r w:rsidR="00A61142">
        <w:t>des indications</w:t>
      </w:r>
      <w:r w:rsidR="00837FE4">
        <w:t xml:space="preserve"> approximative</w:t>
      </w:r>
      <w:r w:rsidR="00A61142">
        <w:t xml:space="preserve">s : </w:t>
      </w:r>
      <w:r w:rsidR="00837FE4">
        <w:t>p. 533</w:t>
      </w:r>
      <w:r w:rsidR="00A61142">
        <w:t xml:space="preserve">, </w:t>
      </w:r>
      <w:r w:rsidR="00837FE4">
        <w:t>« </w:t>
      </w:r>
      <w:r w:rsidR="00837FE4" w:rsidRPr="00837FE4">
        <w:rPr>
          <w:i/>
        </w:rPr>
        <w:t>source : débats parlementaires</w:t>
      </w:r>
      <w:r w:rsidR="00837FE4">
        <w:t> »)</w:t>
      </w:r>
      <w:r w:rsidR="00EA1437">
        <w:t xml:space="preserve">. </w:t>
      </w:r>
      <w:r w:rsidR="006D5804">
        <w:t>Enfin, s</w:t>
      </w:r>
      <w:r w:rsidR="00704904">
        <w:t>i le juriste que je suis salue l</w:t>
      </w:r>
      <w:r w:rsidR="00930045">
        <w:t xml:space="preserve">a place importante, et parfois centrale, accordée au droit </w:t>
      </w:r>
      <w:r w:rsidR="006A6F0F">
        <w:t xml:space="preserve">– </w:t>
      </w:r>
      <w:r w:rsidR="00930045">
        <w:t>les analyses en droit parlementaire</w:t>
      </w:r>
      <w:r w:rsidR="008040E4">
        <w:t xml:space="preserve"> du chap</w:t>
      </w:r>
      <w:r w:rsidR="00DA72CF">
        <w:t>itre</w:t>
      </w:r>
      <w:r w:rsidR="008040E4">
        <w:t xml:space="preserve"> 1</w:t>
      </w:r>
      <w:r w:rsidR="006D5804" w:rsidRPr="006D5804">
        <w:rPr>
          <w:vertAlign w:val="superscript"/>
        </w:rPr>
        <w:t>er</w:t>
      </w:r>
      <w:r w:rsidR="006D5804">
        <w:t xml:space="preserve"> </w:t>
      </w:r>
      <w:r w:rsidR="006A6F0F">
        <w:t>(p. 61-216)</w:t>
      </w:r>
      <w:r w:rsidR="008040E4">
        <w:t xml:space="preserve">, </w:t>
      </w:r>
      <w:r w:rsidR="006B1988">
        <w:t>sous</w:t>
      </w:r>
      <w:r w:rsidR="006A6F0F">
        <w:t xml:space="preserve"> la plume de</w:t>
      </w:r>
      <w:r w:rsidR="008040E4">
        <w:t xml:space="preserve"> Ph. Poirier,</w:t>
      </w:r>
      <w:r w:rsidR="00930045">
        <w:t xml:space="preserve"> sont</w:t>
      </w:r>
      <w:r w:rsidR="00886115">
        <w:t>, en l’absence</w:t>
      </w:r>
      <w:r w:rsidR="00930045">
        <w:t xml:space="preserve"> </w:t>
      </w:r>
      <w:r w:rsidR="00886115">
        <w:t>d</w:t>
      </w:r>
      <w:r w:rsidR="00886115">
        <w:t xml:space="preserve">e toute </w:t>
      </w:r>
      <w:r w:rsidR="00886115">
        <w:t xml:space="preserve">littérature </w:t>
      </w:r>
      <w:r w:rsidR="00886115">
        <w:t>de</w:t>
      </w:r>
      <w:r w:rsidR="00886115">
        <w:t xml:space="preserve"> science juridique</w:t>
      </w:r>
      <w:r w:rsidR="00886115">
        <w:t>,</w:t>
      </w:r>
      <w:r w:rsidR="00886115">
        <w:t xml:space="preserve"> </w:t>
      </w:r>
      <w:r w:rsidR="006B1988">
        <w:t>carrément</w:t>
      </w:r>
      <w:r w:rsidR="00930045">
        <w:t xml:space="preserve"> pionnières</w:t>
      </w:r>
      <w:r w:rsidR="00886115">
        <w:t> ! </w:t>
      </w:r>
      <w:r w:rsidR="006A6F0F">
        <w:t>–</w:t>
      </w:r>
      <w:r w:rsidR="00930045">
        <w:t xml:space="preserve">, il </w:t>
      </w:r>
      <w:r w:rsidR="00886115">
        <w:t>faut</w:t>
      </w:r>
      <w:r w:rsidR="008040E4">
        <w:t xml:space="preserve"> toutefois aussi noter, dans le chap</w:t>
      </w:r>
      <w:r w:rsidR="00B35CA9">
        <w:t>itre</w:t>
      </w:r>
      <w:r w:rsidR="008040E4">
        <w:t xml:space="preserve"> 6 rédigé par les politistes les plus jeunes</w:t>
      </w:r>
      <w:r w:rsidR="006A6F0F">
        <w:t xml:space="preserve"> </w:t>
      </w:r>
      <w:r w:rsidR="008040E4">
        <w:t>de l’équipe, un certain nombre de formulations approximatives, voire erronées</w:t>
      </w:r>
      <w:r w:rsidR="00837FE4">
        <w:t xml:space="preserve"> relatives </w:t>
      </w:r>
      <w:r w:rsidR="00B35CA9">
        <w:t xml:space="preserve">au </w:t>
      </w:r>
      <w:r w:rsidR="00837FE4">
        <w:t>droit</w:t>
      </w:r>
      <w:r w:rsidR="008040E4">
        <w:t xml:space="preserve">. </w:t>
      </w:r>
      <w:r w:rsidR="00EA1437">
        <w:t>Des articles clés (</w:t>
      </w:r>
      <w:r w:rsidR="007D0150">
        <w:t xml:space="preserve">ceux </w:t>
      </w:r>
      <w:r w:rsidR="00EA1437">
        <w:t>de P</w:t>
      </w:r>
      <w:r w:rsidR="006B1988">
        <w:t>ierre</w:t>
      </w:r>
      <w:r w:rsidR="00EA1437">
        <w:t xml:space="preserve"> Pescatore et </w:t>
      </w:r>
      <w:r w:rsidR="007D0150">
        <w:t xml:space="preserve">de </w:t>
      </w:r>
      <w:r w:rsidR="00EA1437">
        <w:t>P</w:t>
      </w:r>
      <w:r w:rsidR="006B1988">
        <w:t>atrick</w:t>
      </w:r>
      <w:r w:rsidR="00EA1437">
        <w:t xml:space="preserve"> Kinsch) sur l</w:t>
      </w:r>
      <w:r w:rsidR="00837FE4">
        <w:t>a place du</w:t>
      </w:r>
      <w:r w:rsidR="00EA1437">
        <w:t xml:space="preserve"> droit international au Luxembourg ne sont pas cités. </w:t>
      </w:r>
      <w:r w:rsidR="005E6845">
        <w:t xml:space="preserve">Ici on bute sur le </w:t>
      </w:r>
      <w:r w:rsidR="00EA1437">
        <w:t>défi</w:t>
      </w:r>
      <w:r w:rsidR="005E6845">
        <w:t xml:space="preserve"> majeur </w:t>
      </w:r>
      <w:r w:rsidR="00EA1437">
        <w:t>de tout</w:t>
      </w:r>
      <w:r w:rsidR="006A6F0F">
        <w:t>e recherche</w:t>
      </w:r>
      <w:r w:rsidR="00EA1437">
        <w:t xml:space="preserve"> à ambition interdisciplinaire : savoir u</w:t>
      </w:r>
      <w:r w:rsidR="005E6845">
        <w:t>tiliser, à bon escient, le lang</w:t>
      </w:r>
      <w:r w:rsidR="00EA1437">
        <w:t>age</w:t>
      </w:r>
      <w:r w:rsidR="005E6845">
        <w:t xml:space="preserve"> </w:t>
      </w:r>
      <w:r w:rsidR="007D0150">
        <w:t xml:space="preserve">et les résultats </w:t>
      </w:r>
      <w:r w:rsidR="005E6845">
        <w:t xml:space="preserve">d’une autre science, plus ou moins voisine de la sienne. </w:t>
      </w:r>
      <w:r w:rsidR="006A6F0F">
        <w:t>À</w:t>
      </w:r>
      <w:r w:rsidR="005E6845">
        <w:t xml:space="preserve"> cet égard, la meilleure solution est encore</w:t>
      </w:r>
      <w:r w:rsidR="006A6F0F">
        <w:t xml:space="preserve">, </w:t>
      </w:r>
      <w:r w:rsidR="006D5804">
        <w:t>si cela est possible</w:t>
      </w:r>
      <w:r w:rsidR="00886115">
        <w:t>,</w:t>
      </w:r>
      <w:r w:rsidR="006D5804">
        <w:t xml:space="preserve"> </w:t>
      </w:r>
      <w:r w:rsidR="005E6845">
        <w:t>d’associer des spécialistes de</w:t>
      </w:r>
      <w:r w:rsidR="006A6F0F">
        <w:t>s</w:t>
      </w:r>
      <w:r w:rsidR="005E6845">
        <w:t xml:space="preserve"> diverses sciences</w:t>
      </w:r>
      <w:r w:rsidR="006A6F0F">
        <w:t xml:space="preserve"> concernées. D’ailleurs, c’est dans cette voie que </w:t>
      </w:r>
      <w:r w:rsidR="005E6845">
        <w:t>la Chaire de recherche en études parlementaires s’est engagée de plus en plus résolument ces derniers temps</w:t>
      </w:r>
      <w:r w:rsidR="006B1988">
        <w:t>, ce qu’il convient de saluer</w:t>
      </w:r>
      <w:r w:rsidR="005E6845">
        <w:t>.</w:t>
      </w:r>
    </w:p>
    <w:p w:rsidR="006B1988" w:rsidRDefault="006B1988" w:rsidP="006B1988">
      <w:pPr>
        <w:jc w:val="both"/>
      </w:pPr>
    </w:p>
    <w:p w:rsidR="006B1988" w:rsidRDefault="006B1988" w:rsidP="006B1988">
      <w:pPr>
        <w:jc w:val="right"/>
      </w:pPr>
      <w:r>
        <w:t>Luc Heuschling</w:t>
      </w:r>
    </w:p>
    <w:p w:rsidR="006B1988" w:rsidRDefault="006B1988" w:rsidP="006B1988">
      <w:pPr>
        <w:jc w:val="right"/>
      </w:pPr>
      <w:r>
        <w:t>Professeur de droit constitutionnel, Université du Luxembourg</w:t>
      </w:r>
    </w:p>
    <w:p w:rsidR="006B1988" w:rsidRDefault="006B1988" w:rsidP="006B1988">
      <w:pPr>
        <w:jc w:val="right"/>
      </w:pPr>
    </w:p>
    <w:p w:rsidR="00656F48" w:rsidRDefault="00656F48" w:rsidP="006B1988">
      <w:pPr>
        <w:jc w:val="both"/>
      </w:pPr>
    </w:p>
    <w:sectPr w:rsidR="00656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BE2" w:rsidRDefault="00757BE2" w:rsidP="00EC0C68">
      <w:pPr>
        <w:spacing w:after="0" w:line="240" w:lineRule="auto"/>
      </w:pPr>
      <w:r>
        <w:separator/>
      </w:r>
    </w:p>
  </w:endnote>
  <w:endnote w:type="continuationSeparator" w:id="0">
    <w:p w:rsidR="00757BE2" w:rsidRDefault="00757BE2" w:rsidP="00EC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BE2" w:rsidRDefault="00757BE2" w:rsidP="00EC0C68">
      <w:pPr>
        <w:spacing w:after="0" w:line="240" w:lineRule="auto"/>
      </w:pPr>
      <w:r>
        <w:separator/>
      </w:r>
    </w:p>
  </w:footnote>
  <w:footnote w:type="continuationSeparator" w:id="0">
    <w:p w:rsidR="00757BE2" w:rsidRDefault="00757BE2" w:rsidP="00EC0C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68"/>
    <w:rsid w:val="0000274E"/>
    <w:rsid w:val="000029F1"/>
    <w:rsid w:val="00005486"/>
    <w:rsid w:val="000071F2"/>
    <w:rsid w:val="00031944"/>
    <w:rsid w:val="0005463A"/>
    <w:rsid w:val="00076470"/>
    <w:rsid w:val="000800C9"/>
    <w:rsid w:val="000944D6"/>
    <w:rsid w:val="000E745A"/>
    <w:rsid w:val="00136923"/>
    <w:rsid w:val="00136941"/>
    <w:rsid w:val="00177A5E"/>
    <w:rsid w:val="0019450A"/>
    <w:rsid w:val="001A1461"/>
    <w:rsid w:val="001D579E"/>
    <w:rsid w:val="001D7B23"/>
    <w:rsid w:val="001E5616"/>
    <w:rsid w:val="001F1AAD"/>
    <w:rsid w:val="00245902"/>
    <w:rsid w:val="00245B35"/>
    <w:rsid w:val="002709E3"/>
    <w:rsid w:val="002A555F"/>
    <w:rsid w:val="002C7CDE"/>
    <w:rsid w:val="002F1F4E"/>
    <w:rsid w:val="00313CB5"/>
    <w:rsid w:val="00321C36"/>
    <w:rsid w:val="0032551C"/>
    <w:rsid w:val="003425A5"/>
    <w:rsid w:val="00384FF6"/>
    <w:rsid w:val="003A08DB"/>
    <w:rsid w:val="003A5EFC"/>
    <w:rsid w:val="003F4433"/>
    <w:rsid w:val="004133EE"/>
    <w:rsid w:val="00420485"/>
    <w:rsid w:val="0042261A"/>
    <w:rsid w:val="00443AC4"/>
    <w:rsid w:val="004445BC"/>
    <w:rsid w:val="0044743C"/>
    <w:rsid w:val="00487D06"/>
    <w:rsid w:val="004909A3"/>
    <w:rsid w:val="004A3AFE"/>
    <w:rsid w:val="004C0E2A"/>
    <w:rsid w:val="00542B2E"/>
    <w:rsid w:val="00561EA5"/>
    <w:rsid w:val="005739B2"/>
    <w:rsid w:val="005C3F69"/>
    <w:rsid w:val="005C681C"/>
    <w:rsid w:val="005E6845"/>
    <w:rsid w:val="005F1106"/>
    <w:rsid w:val="00622BC2"/>
    <w:rsid w:val="00633819"/>
    <w:rsid w:val="00656F48"/>
    <w:rsid w:val="006A6F0F"/>
    <w:rsid w:val="006B1988"/>
    <w:rsid w:val="006D5804"/>
    <w:rsid w:val="006D7C0D"/>
    <w:rsid w:val="00704904"/>
    <w:rsid w:val="00713D33"/>
    <w:rsid w:val="00721061"/>
    <w:rsid w:val="00754355"/>
    <w:rsid w:val="00757BE2"/>
    <w:rsid w:val="00763E51"/>
    <w:rsid w:val="00795A59"/>
    <w:rsid w:val="007B5C66"/>
    <w:rsid w:val="007D0150"/>
    <w:rsid w:val="007D7762"/>
    <w:rsid w:val="007E161D"/>
    <w:rsid w:val="007F79DD"/>
    <w:rsid w:val="008040E4"/>
    <w:rsid w:val="00812654"/>
    <w:rsid w:val="0082334F"/>
    <w:rsid w:val="00837FE4"/>
    <w:rsid w:val="008447A9"/>
    <w:rsid w:val="00846617"/>
    <w:rsid w:val="00885341"/>
    <w:rsid w:val="00886115"/>
    <w:rsid w:val="008B05ED"/>
    <w:rsid w:val="008E09D0"/>
    <w:rsid w:val="008F2263"/>
    <w:rsid w:val="00904403"/>
    <w:rsid w:val="009169CB"/>
    <w:rsid w:val="00930045"/>
    <w:rsid w:val="00944E4E"/>
    <w:rsid w:val="00947D0C"/>
    <w:rsid w:val="00993987"/>
    <w:rsid w:val="009A4E09"/>
    <w:rsid w:val="009D3438"/>
    <w:rsid w:val="009E56FE"/>
    <w:rsid w:val="009F1882"/>
    <w:rsid w:val="00A208CA"/>
    <w:rsid w:val="00A21CEB"/>
    <w:rsid w:val="00A23F2B"/>
    <w:rsid w:val="00A61142"/>
    <w:rsid w:val="00A86D66"/>
    <w:rsid w:val="00AA180D"/>
    <w:rsid w:val="00AE27FF"/>
    <w:rsid w:val="00AE315E"/>
    <w:rsid w:val="00AE4D97"/>
    <w:rsid w:val="00AE69B1"/>
    <w:rsid w:val="00B26AD5"/>
    <w:rsid w:val="00B35CA9"/>
    <w:rsid w:val="00B44E87"/>
    <w:rsid w:val="00B63C1A"/>
    <w:rsid w:val="00B8046E"/>
    <w:rsid w:val="00B92AA2"/>
    <w:rsid w:val="00B94BE0"/>
    <w:rsid w:val="00BA3BE7"/>
    <w:rsid w:val="00C71CFF"/>
    <w:rsid w:val="00C75675"/>
    <w:rsid w:val="00C95F14"/>
    <w:rsid w:val="00D10B7A"/>
    <w:rsid w:val="00D26F0C"/>
    <w:rsid w:val="00D35A42"/>
    <w:rsid w:val="00D4435C"/>
    <w:rsid w:val="00D61C63"/>
    <w:rsid w:val="00D96951"/>
    <w:rsid w:val="00D96A6F"/>
    <w:rsid w:val="00DA02B0"/>
    <w:rsid w:val="00DA72CF"/>
    <w:rsid w:val="00DB7809"/>
    <w:rsid w:val="00DD0780"/>
    <w:rsid w:val="00DD47AE"/>
    <w:rsid w:val="00E04023"/>
    <w:rsid w:val="00E11CCA"/>
    <w:rsid w:val="00E136F5"/>
    <w:rsid w:val="00E43D74"/>
    <w:rsid w:val="00E70881"/>
    <w:rsid w:val="00EA1437"/>
    <w:rsid w:val="00EC0C68"/>
    <w:rsid w:val="00EF4126"/>
    <w:rsid w:val="00F0211E"/>
    <w:rsid w:val="00F04C53"/>
    <w:rsid w:val="00F33F31"/>
    <w:rsid w:val="00F739E5"/>
    <w:rsid w:val="00F83E45"/>
    <w:rsid w:val="00FA509D"/>
    <w:rsid w:val="00FB579C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87AAA-2FD2-4555-AD43-90B88FEA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C0C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0C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0C68"/>
    <w:rPr>
      <w:vertAlign w:val="superscript"/>
    </w:rPr>
  </w:style>
  <w:style w:type="paragraph" w:styleId="NoSpacing">
    <w:name w:val="No Spacing"/>
    <w:uiPriority w:val="1"/>
    <w:qFormat/>
    <w:rsid w:val="00EC0C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F23E8-6F8D-40EE-BC6A-DA38CFB2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3</Pages>
  <Words>1616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10485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HEUSCHLING</dc:creator>
  <cp:keywords/>
  <dc:description/>
  <cp:lastModifiedBy>Luc HEUSCHLING</cp:lastModifiedBy>
  <cp:revision>10</cp:revision>
  <dcterms:created xsi:type="dcterms:W3CDTF">2018-08-16T09:40:00Z</dcterms:created>
  <dcterms:modified xsi:type="dcterms:W3CDTF">2018-08-20T11:58:00Z</dcterms:modified>
</cp:coreProperties>
</file>