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85B" w:rsidRPr="0037785B" w:rsidRDefault="0037785B" w:rsidP="0037785B">
      <w:pPr>
        <w:pStyle w:val="Heading1"/>
        <w:keepNext/>
        <w:keepLines/>
        <w:pBdr>
          <w:bottom w:val="single" w:sz="4" w:space="1" w:color="auto"/>
        </w:pBdr>
        <w:spacing w:before="480" w:beforeAutospacing="0" w:after="0" w:afterAutospacing="0" w:line="276" w:lineRule="auto"/>
        <w:jc w:val="center"/>
        <w:rPr>
          <w:rStyle w:val="Strong"/>
          <w:rFonts w:asciiTheme="majorHAnsi" w:eastAsiaTheme="majorEastAsia" w:hAnsiTheme="majorHAnsi" w:cstheme="majorBidi"/>
          <w:color w:val="2E74B5" w:themeColor="accent1" w:themeShade="BF"/>
          <w:kern w:val="0"/>
          <w:sz w:val="28"/>
          <w:szCs w:val="28"/>
          <w:lang w:eastAsia="en-US"/>
        </w:rPr>
      </w:pPr>
      <w:r w:rsidRPr="0037785B">
        <w:rPr>
          <w:rStyle w:val="Strong"/>
          <w:rFonts w:asciiTheme="majorHAnsi" w:eastAsiaTheme="majorEastAsia" w:hAnsiTheme="majorHAnsi" w:cstheme="majorBidi"/>
          <w:color w:val="2E74B5" w:themeColor="accent1" w:themeShade="BF"/>
          <w:kern w:val="0"/>
          <w:sz w:val="28"/>
          <w:szCs w:val="28"/>
          <w:lang w:val="fr-FR" w:eastAsia="en-US"/>
        </w:rPr>
        <w:t xml:space="preserve">XVI CONGRÈS INTENATIONAL DE L’AIFREF / BILBAO, 10-12 juin 2015 </w:t>
      </w:r>
      <w:r w:rsidRPr="0037785B">
        <w:rPr>
          <w:rStyle w:val="Strong"/>
          <w:rFonts w:asciiTheme="majorHAnsi" w:eastAsiaTheme="majorEastAsia" w:hAnsiTheme="majorHAnsi" w:cstheme="majorBidi"/>
          <w:color w:val="2E74B5" w:themeColor="accent1" w:themeShade="BF"/>
          <w:kern w:val="0"/>
          <w:sz w:val="28"/>
          <w:szCs w:val="28"/>
          <w:lang w:val="fr-FR" w:eastAsia="en-US"/>
        </w:rPr>
        <w:br/>
      </w:r>
      <w:r w:rsidRPr="0037785B">
        <w:rPr>
          <w:rStyle w:val="Strong"/>
          <w:rFonts w:asciiTheme="majorHAnsi" w:eastAsiaTheme="majorEastAsia" w:hAnsiTheme="majorHAnsi" w:cstheme="majorBidi"/>
          <w:color w:val="2E74B5" w:themeColor="accent1" w:themeShade="BF"/>
          <w:kern w:val="0"/>
          <w:sz w:val="28"/>
          <w:szCs w:val="28"/>
          <w:lang w:eastAsia="en-US"/>
        </w:rPr>
        <w:t xml:space="preserve">« LES CITÉS DE L’ÉDUCATION : LE DÉVELOPPEMENT PSYCHOSOCIAL DE L’ENFANT PAR LA </w:t>
      </w:r>
      <w:r w:rsidRPr="0037785B">
        <w:rPr>
          <w:rStyle w:val="Strong"/>
          <w:rFonts w:asciiTheme="majorHAnsi" w:eastAsiaTheme="majorEastAsia" w:hAnsiTheme="majorHAnsi" w:cstheme="majorBidi"/>
          <w:i/>
          <w:iCs/>
          <w:color w:val="2E74B5" w:themeColor="accent1" w:themeShade="BF"/>
          <w:kern w:val="0"/>
          <w:sz w:val="28"/>
          <w:szCs w:val="28"/>
          <w:lang w:eastAsia="en-US"/>
        </w:rPr>
        <w:t>COÉDUCATION</w:t>
      </w:r>
      <w:r w:rsidRPr="0037785B">
        <w:rPr>
          <w:rStyle w:val="Strong"/>
          <w:rFonts w:asciiTheme="majorHAnsi" w:eastAsiaTheme="majorEastAsia" w:hAnsiTheme="majorHAnsi" w:cstheme="majorBidi"/>
          <w:color w:val="2E74B5" w:themeColor="accent1" w:themeShade="BF"/>
          <w:kern w:val="0"/>
          <w:sz w:val="28"/>
          <w:szCs w:val="28"/>
          <w:lang w:eastAsia="en-US"/>
        </w:rPr>
        <w:t xml:space="preserve"> FAMILLE-ÉCOLE-COMMUNAUTÉ »</w:t>
      </w:r>
    </w:p>
    <w:p w:rsidR="0037785B" w:rsidRPr="007F0F7A" w:rsidRDefault="0037785B" w:rsidP="0037785B">
      <w:pPr>
        <w:pStyle w:val="Heading3"/>
        <w:spacing w:after="240"/>
        <w:jc w:val="center"/>
        <w:rPr>
          <w:i/>
          <w:color w:val="auto"/>
          <w:lang w:val="fr-FR"/>
        </w:rPr>
      </w:pPr>
      <w:r w:rsidRPr="007F0F7A">
        <w:rPr>
          <w:i/>
          <w:color w:val="auto"/>
          <w:lang w:val="fr-FR"/>
        </w:rPr>
        <w:t>Proposition d’une communication individuelle</w:t>
      </w:r>
    </w:p>
    <w:p w:rsidR="0037785B" w:rsidRPr="00BA4F43" w:rsidRDefault="00B012C1" w:rsidP="00B012C1">
      <w:pPr>
        <w:pStyle w:val="Heading1"/>
        <w:pBdr>
          <w:top w:val="single" w:sz="4" w:space="1" w:color="auto"/>
          <w:left w:val="single" w:sz="4" w:space="4" w:color="auto"/>
          <w:bottom w:val="single" w:sz="4" w:space="1" w:color="auto"/>
          <w:right w:val="single" w:sz="4" w:space="4" w:color="auto"/>
        </w:pBdr>
        <w:jc w:val="both"/>
        <w:rPr>
          <w:sz w:val="28"/>
          <w:szCs w:val="28"/>
        </w:rPr>
      </w:pPr>
      <w:r w:rsidRPr="00BA4F43">
        <w:rPr>
          <w:sz w:val="28"/>
          <w:szCs w:val="28"/>
        </w:rPr>
        <w:t>Pourquoi les parents décident-ils de s’engager dans l’éducation scolaire de leur enfant ? Validation des deux premiers niveaux du modèle de participation parentale de Hoover-Dempsey &amp; Sandler pour le Luxembourg</w:t>
      </w:r>
    </w:p>
    <w:p w:rsidR="00B012C1" w:rsidRPr="00B012C1" w:rsidRDefault="00B012C1" w:rsidP="00B012C1">
      <w:pPr>
        <w:spacing w:before="240" w:after="0"/>
        <w:jc w:val="both"/>
        <w:rPr>
          <w:b/>
          <w:sz w:val="20"/>
          <w:szCs w:val="20"/>
          <w:lang w:val="fr-FR"/>
        </w:rPr>
      </w:pPr>
      <w:r w:rsidRPr="00B012C1">
        <w:rPr>
          <w:b/>
          <w:sz w:val="20"/>
          <w:szCs w:val="20"/>
          <w:lang w:val="fr-FR"/>
        </w:rPr>
        <w:t>Débora Poncelet</w:t>
      </w:r>
    </w:p>
    <w:p w:rsidR="00B012C1" w:rsidRPr="007F0F7A" w:rsidRDefault="00B012C1" w:rsidP="00B012C1">
      <w:pPr>
        <w:spacing w:after="0"/>
        <w:jc w:val="both"/>
        <w:rPr>
          <w:i/>
          <w:sz w:val="20"/>
          <w:szCs w:val="20"/>
          <w:lang w:val="fr-FR"/>
        </w:rPr>
      </w:pPr>
      <w:r w:rsidRPr="007F0F7A">
        <w:rPr>
          <w:i/>
          <w:sz w:val="20"/>
          <w:szCs w:val="20"/>
          <w:lang w:val="fr-FR"/>
        </w:rPr>
        <w:t>Professeure associée</w:t>
      </w:r>
    </w:p>
    <w:p w:rsidR="00B012C1" w:rsidRPr="007F0F7A" w:rsidRDefault="00B012C1" w:rsidP="00B012C1">
      <w:pPr>
        <w:spacing w:after="0"/>
        <w:jc w:val="both"/>
        <w:rPr>
          <w:sz w:val="20"/>
          <w:szCs w:val="20"/>
          <w:lang w:val="fr-FR"/>
        </w:rPr>
      </w:pPr>
      <w:hyperlink r:id="rId7" w:history="1">
        <w:r w:rsidRPr="007F0F7A">
          <w:rPr>
            <w:rStyle w:val="Hyperlink"/>
            <w:sz w:val="20"/>
            <w:szCs w:val="20"/>
            <w:lang w:val="fr-FR"/>
          </w:rPr>
          <w:t>debora.poncelet@uni.lu</w:t>
        </w:r>
      </w:hyperlink>
    </w:p>
    <w:p w:rsidR="00F02C0C" w:rsidRPr="00F02C0C" w:rsidRDefault="00F02C0C" w:rsidP="00F02C0C">
      <w:pPr>
        <w:spacing w:before="240" w:after="0"/>
        <w:jc w:val="both"/>
        <w:rPr>
          <w:b/>
          <w:sz w:val="20"/>
          <w:szCs w:val="20"/>
          <w:lang w:val="en-US"/>
        </w:rPr>
      </w:pPr>
      <w:r w:rsidRPr="00F02C0C">
        <w:rPr>
          <w:b/>
          <w:sz w:val="20"/>
          <w:szCs w:val="20"/>
          <w:lang w:val="en-US"/>
        </w:rPr>
        <w:t>Christophe Dierendonck</w:t>
      </w:r>
      <w:bookmarkStart w:id="0" w:name="_GoBack"/>
      <w:bookmarkEnd w:id="0"/>
    </w:p>
    <w:p w:rsidR="00F02C0C" w:rsidRPr="00F02C0C" w:rsidRDefault="00F02C0C" w:rsidP="00F02C0C">
      <w:pPr>
        <w:spacing w:after="0"/>
        <w:jc w:val="both"/>
        <w:rPr>
          <w:i/>
          <w:sz w:val="20"/>
          <w:szCs w:val="20"/>
          <w:lang w:val="en-US"/>
        </w:rPr>
      </w:pPr>
      <w:r w:rsidRPr="00F02C0C">
        <w:rPr>
          <w:i/>
          <w:sz w:val="20"/>
          <w:szCs w:val="20"/>
          <w:lang w:val="en-US"/>
        </w:rPr>
        <w:t>Chercheurs</w:t>
      </w:r>
    </w:p>
    <w:p w:rsidR="00F02C0C" w:rsidRPr="00F02C0C" w:rsidRDefault="00C94B5A" w:rsidP="00F02C0C">
      <w:pPr>
        <w:spacing w:after="0"/>
        <w:jc w:val="both"/>
        <w:rPr>
          <w:rStyle w:val="Hyperlink"/>
          <w:sz w:val="20"/>
          <w:szCs w:val="20"/>
          <w:lang w:val="en-US"/>
        </w:rPr>
      </w:pPr>
      <w:hyperlink r:id="rId8" w:history="1">
        <w:r w:rsidR="00F02C0C" w:rsidRPr="00F02C0C">
          <w:rPr>
            <w:rStyle w:val="Hyperlink"/>
            <w:sz w:val="20"/>
            <w:szCs w:val="20"/>
            <w:lang w:val="en-US"/>
          </w:rPr>
          <w:t>christophe.dierendonck</w:t>
        </w:r>
      </w:hyperlink>
      <w:r w:rsidR="00F02C0C" w:rsidRPr="00F02C0C">
        <w:rPr>
          <w:rStyle w:val="Hyperlink"/>
          <w:sz w:val="20"/>
          <w:szCs w:val="20"/>
          <w:lang w:val="en-US"/>
        </w:rPr>
        <w:t>@</w:t>
      </w:r>
      <w:r w:rsidR="00F02C0C">
        <w:rPr>
          <w:rStyle w:val="Hyperlink"/>
          <w:sz w:val="20"/>
          <w:szCs w:val="20"/>
          <w:lang w:val="en-US"/>
        </w:rPr>
        <w:t>uni.lu</w:t>
      </w:r>
    </w:p>
    <w:p w:rsidR="00B012C1" w:rsidRPr="007F0F7A" w:rsidRDefault="00B012C1" w:rsidP="00B012C1">
      <w:pPr>
        <w:spacing w:before="240" w:after="0"/>
        <w:jc w:val="both"/>
        <w:rPr>
          <w:b/>
          <w:sz w:val="20"/>
          <w:szCs w:val="20"/>
          <w:lang w:val="fr-FR"/>
        </w:rPr>
      </w:pPr>
      <w:r w:rsidRPr="007F0F7A">
        <w:rPr>
          <w:b/>
          <w:sz w:val="20"/>
          <w:szCs w:val="20"/>
          <w:lang w:val="fr-FR"/>
        </w:rPr>
        <w:t>Sylvie Kerger</w:t>
      </w:r>
    </w:p>
    <w:p w:rsidR="00B012C1" w:rsidRPr="007F0F7A" w:rsidRDefault="00B012C1" w:rsidP="00B012C1">
      <w:pPr>
        <w:spacing w:after="0"/>
        <w:jc w:val="both"/>
        <w:rPr>
          <w:i/>
          <w:sz w:val="20"/>
          <w:szCs w:val="20"/>
          <w:lang w:val="fr-FR"/>
        </w:rPr>
      </w:pPr>
      <w:r w:rsidRPr="007F0F7A">
        <w:rPr>
          <w:i/>
          <w:sz w:val="20"/>
          <w:szCs w:val="20"/>
          <w:lang w:val="fr-FR"/>
        </w:rPr>
        <w:t>Chargée de cours</w:t>
      </w:r>
    </w:p>
    <w:p w:rsidR="00B012C1" w:rsidRPr="007F0F7A" w:rsidRDefault="00B012C1" w:rsidP="00B012C1">
      <w:pPr>
        <w:spacing w:after="0"/>
        <w:jc w:val="both"/>
        <w:rPr>
          <w:rStyle w:val="Hyperlink"/>
          <w:sz w:val="20"/>
          <w:szCs w:val="20"/>
        </w:rPr>
      </w:pPr>
      <w:hyperlink r:id="rId9" w:history="1">
        <w:r w:rsidRPr="007F0F7A">
          <w:rPr>
            <w:rStyle w:val="Hyperlink"/>
            <w:sz w:val="20"/>
            <w:szCs w:val="20"/>
            <w:lang w:val="fr-FR"/>
          </w:rPr>
          <w:t>sylvie.kerger@uni.lu</w:t>
        </w:r>
      </w:hyperlink>
    </w:p>
    <w:p w:rsidR="00B012C1" w:rsidRDefault="00B012C1" w:rsidP="0037785B">
      <w:pPr>
        <w:spacing w:after="0"/>
        <w:jc w:val="both"/>
        <w:rPr>
          <w:sz w:val="20"/>
          <w:szCs w:val="20"/>
          <w:lang w:val="fr-FR"/>
        </w:rPr>
      </w:pPr>
    </w:p>
    <w:p w:rsidR="00B012C1" w:rsidRPr="007F0F7A" w:rsidRDefault="00B012C1" w:rsidP="0037785B">
      <w:pPr>
        <w:spacing w:after="0"/>
        <w:jc w:val="both"/>
        <w:rPr>
          <w:sz w:val="20"/>
          <w:szCs w:val="20"/>
          <w:lang w:val="fr-FR"/>
        </w:rPr>
      </w:pPr>
    </w:p>
    <w:p w:rsidR="0037785B" w:rsidRPr="007F0F7A" w:rsidRDefault="0037785B" w:rsidP="0037785B">
      <w:pPr>
        <w:spacing w:after="0"/>
        <w:jc w:val="both"/>
        <w:rPr>
          <w:sz w:val="16"/>
          <w:szCs w:val="16"/>
          <w:lang w:val="fr-FR"/>
        </w:rPr>
      </w:pPr>
      <w:r w:rsidRPr="007F0F7A">
        <w:rPr>
          <w:sz w:val="16"/>
          <w:szCs w:val="16"/>
          <w:lang w:val="fr-FR"/>
        </w:rPr>
        <w:t>Faculté des Lettres, des Sciences Humaines, des Arts et des Sciences de l’Education</w:t>
      </w:r>
    </w:p>
    <w:p w:rsidR="0037785B" w:rsidRPr="007F0F7A" w:rsidRDefault="0037785B" w:rsidP="0037785B">
      <w:pPr>
        <w:spacing w:after="0"/>
        <w:jc w:val="both"/>
        <w:rPr>
          <w:sz w:val="16"/>
          <w:szCs w:val="16"/>
          <w:lang w:val="en-US"/>
        </w:rPr>
      </w:pPr>
      <w:r w:rsidRPr="007F0F7A">
        <w:rPr>
          <w:sz w:val="16"/>
          <w:szCs w:val="16"/>
          <w:u w:val="single"/>
          <w:lang w:val="en-US"/>
        </w:rPr>
        <w:t>Research Unit</w:t>
      </w:r>
      <w:r w:rsidRPr="007F0F7A">
        <w:rPr>
          <w:sz w:val="16"/>
          <w:szCs w:val="16"/>
          <w:lang w:val="en-US"/>
        </w:rPr>
        <w:t xml:space="preserve"> : ECCS</w:t>
      </w:r>
    </w:p>
    <w:p w:rsidR="0037785B" w:rsidRPr="007F0F7A" w:rsidRDefault="0037785B" w:rsidP="0037785B">
      <w:pPr>
        <w:spacing w:after="0"/>
        <w:jc w:val="both"/>
        <w:rPr>
          <w:sz w:val="16"/>
          <w:szCs w:val="16"/>
          <w:lang w:val="en-US"/>
        </w:rPr>
      </w:pPr>
      <w:r w:rsidRPr="007F0F7A">
        <w:rPr>
          <w:sz w:val="16"/>
          <w:szCs w:val="16"/>
          <w:u w:val="single"/>
          <w:lang w:val="en-US"/>
        </w:rPr>
        <w:t>Institut</w:t>
      </w:r>
      <w:r w:rsidRPr="007F0F7A">
        <w:rPr>
          <w:sz w:val="16"/>
          <w:szCs w:val="16"/>
          <w:lang w:val="en-US"/>
        </w:rPr>
        <w:t> : Lifelong Learning and Guidance</w:t>
      </w:r>
    </w:p>
    <w:p w:rsidR="0037785B" w:rsidRPr="007F0F7A" w:rsidRDefault="0037785B" w:rsidP="0037785B">
      <w:pPr>
        <w:spacing w:after="0"/>
        <w:jc w:val="both"/>
        <w:rPr>
          <w:sz w:val="16"/>
          <w:szCs w:val="16"/>
          <w:lang w:val="fr-FR"/>
        </w:rPr>
      </w:pPr>
      <w:r w:rsidRPr="007F0F7A">
        <w:rPr>
          <w:sz w:val="16"/>
          <w:szCs w:val="16"/>
          <w:lang w:val="fr-FR"/>
        </w:rPr>
        <w:t>Campus de Walferdange, Bât. XI, 2.01</w:t>
      </w:r>
    </w:p>
    <w:p w:rsidR="0037785B" w:rsidRPr="007F0F7A" w:rsidRDefault="0037785B" w:rsidP="0037785B">
      <w:pPr>
        <w:spacing w:after="0"/>
        <w:jc w:val="both"/>
        <w:rPr>
          <w:sz w:val="16"/>
          <w:szCs w:val="16"/>
          <w:lang w:val="fr-FR"/>
        </w:rPr>
      </w:pPr>
      <w:r w:rsidRPr="007F0F7A">
        <w:rPr>
          <w:sz w:val="16"/>
          <w:szCs w:val="16"/>
          <w:lang w:val="fr-FR"/>
        </w:rPr>
        <w:t>Route de Diekirch</w:t>
      </w:r>
    </w:p>
    <w:p w:rsidR="0037785B" w:rsidRPr="007F0F7A" w:rsidRDefault="0037785B" w:rsidP="0037785B">
      <w:pPr>
        <w:spacing w:after="0"/>
        <w:jc w:val="both"/>
        <w:rPr>
          <w:sz w:val="16"/>
          <w:szCs w:val="16"/>
          <w:lang w:val="fr-FR"/>
        </w:rPr>
      </w:pPr>
      <w:r w:rsidRPr="007F0F7A">
        <w:rPr>
          <w:sz w:val="16"/>
          <w:szCs w:val="16"/>
          <w:lang w:val="fr-FR"/>
        </w:rPr>
        <w:t>L-7220 Walferdange</w:t>
      </w:r>
    </w:p>
    <w:p w:rsidR="0037785B" w:rsidRPr="007F0F7A" w:rsidRDefault="0037785B" w:rsidP="0037785B">
      <w:pPr>
        <w:spacing w:after="0"/>
        <w:jc w:val="both"/>
        <w:rPr>
          <w:sz w:val="16"/>
          <w:szCs w:val="16"/>
          <w:lang w:val="fr-FR"/>
        </w:rPr>
      </w:pPr>
      <w:r w:rsidRPr="007F0F7A">
        <w:rPr>
          <w:sz w:val="16"/>
          <w:szCs w:val="16"/>
          <w:lang w:val="fr-FR"/>
        </w:rPr>
        <w:t>Luxembourg</w:t>
      </w:r>
    </w:p>
    <w:p w:rsidR="00B012C1" w:rsidRDefault="00B012C1" w:rsidP="00B012C1">
      <w:pPr>
        <w:spacing w:before="120" w:after="120"/>
        <w:rPr>
          <w:sz w:val="20"/>
          <w:szCs w:val="20"/>
          <w:u w:val="single"/>
          <w:lang w:val="fr-FR"/>
        </w:rPr>
      </w:pPr>
    </w:p>
    <w:p w:rsidR="00B012C1" w:rsidRDefault="00B012C1" w:rsidP="00B012C1">
      <w:pPr>
        <w:spacing w:before="120" w:after="120"/>
        <w:rPr>
          <w:sz w:val="20"/>
          <w:szCs w:val="20"/>
          <w:lang w:val="fr-FR"/>
        </w:rPr>
      </w:pPr>
      <w:r w:rsidRPr="007C1CA1">
        <w:rPr>
          <w:sz w:val="20"/>
          <w:szCs w:val="20"/>
          <w:u w:val="single"/>
          <w:lang w:val="fr-FR"/>
        </w:rPr>
        <w:t>Abstract</w:t>
      </w:r>
      <w:r>
        <w:rPr>
          <w:sz w:val="20"/>
          <w:szCs w:val="20"/>
          <w:lang w:val="fr-FR"/>
        </w:rPr>
        <w:t> :</w:t>
      </w:r>
    </w:p>
    <w:p w:rsidR="00B012C1" w:rsidRDefault="00B012C1" w:rsidP="00B012C1">
      <w:pPr>
        <w:spacing w:before="120" w:after="120" w:line="240" w:lineRule="auto"/>
        <w:jc w:val="both"/>
        <w:rPr>
          <w:sz w:val="20"/>
          <w:szCs w:val="20"/>
        </w:rPr>
      </w:pPr>
      <w:r w:rsidRPr="002D69BD">
        <w:rPr>
          <w:sz w:val="20"/>
          <w:szCs w:val="20"/>
        </w:rPr>
        <w:t>La littérature scientifiq</w:t>
      </w:r>
      <w:r>
        <w:rPr>
          <w:sz w:val="20"/>
          <w:szCs w:val="20"/>
        </w:rPr>
        <w:t xml:space="preserve">ue a largement démontré l’influence positive et significative, statistiquement parlant, de l’engagement parental tant sur les performances scolaires du jeune que sur d’autres aspects plus conatifs tels que la motivation scolaire, l’intégration scolaire, l’adoption de comportement propice à la réussite ou encore, sans être exhaustive, le bien-être à l’école. Hoover-Dempsey &amp; Sandler (1995, 1997) ont proposé un modèle théorique d’engagement parental qui, à ce jour, a encore été peu testé empiriquement. </w:t>
      </w:r>
      <w:r w:rsidRPr="008B7964">
        <w:rPr>
          <w:sz w:val="20"/>
          <w:szCs w:val="20"/>
        </w:rPr>
        <w:t xml:space="preserve">Walker, Wilkins, Dallaire, Sandler &amp; Hoover-Dempsey (2005) ont révisé les niveaux 1 et 2 de ce modèle. </w:t>
      </w:r>
      <w:r>
        <w:rPr>
          <w:sz w:val="20"/>
          <w:szCs w:val="20"/>
        </w:rPr>
        <w:t xml:space="preserve">La présente étude poursuit l’objectif de discuter cette révision et de mettre en évidence les facteurs associés à l’engagement des parents dans le suivi scolaire en contextes familial ou scolaire pour le Luxembourg au départ des échelles des deux premiers niveaux du modèle des auteurs précités. </w:t>
      </w:r>
    </w:p>
    <w:p w:rsidR="00B012C1" w:rsidRDefault="00B012C1" w:rsidP="00B012C1">
      <w:pPr>
        <w:spacing w:before="120" w:after="120" w:line="240" w:lineRule="auto"/>
        <w:jc w:val="both"/>
        <w:rPr>
          <w:sz w:val="20"/>
          <w:szCs w:val="20"/>
        </w:rPr>
      </w:pPr>
      <w:r>
        <w:rPr>
          <w:sz w:val="20"/>
          <w:szCs w:val="20"/>
        </w:rPr>
        <w:t>Une étude a été menée dans 16 classes de 3</w:t>
      </w:r>
      <w:r w:rsidRPr="00BA72B7">
        <w:rPr>
          <w:sz w:val="20"/>
          <w:szCs w:val="20"/>
          <w:vertAlign w:val="superscript"/>
        </w:rPr>
        <w:t>e</w:t>
      </w:r>
      <w:r>
        <w:rPr>
          <w:sz w:val="20"/>
          <w:szCs w:val="20"/>
        </w:rPr>
        <w:t xml:space="preserve"> année primaires du Luxembourg (âge théorique des enfants : 9 ans). Au total, ce sont 280 élèves et leurs parents qui ont été invités à compléter un questionnaire. Presque 45 % des parents ont retournés leur questionnaire complété. Les données ont été analysées au départ d’équations structurales (SEM). </w:t>
      </w:r>
      <w:r w:rsidRPr="002D69BD">
        <w:rPr>
          <w:sz w:val="20"/>
          <w:szCs w:val="20"/>
        </w:rPr>
        <w:t>Bien que les résultats confirment le modèle théorique original,</w:t>
      </w:r>
      <w:r>
        <w:rPr>
          <w:sz w:val="20"/>
          <w:szCs w:val="20"/>
        </w:rPr>
        <w:t xml:space="preserve"> il apparaît que les variables du niveau 1 du modèle pourraient être configurées différemment dans le sens ou les déterminants externes (tels que la valence envers l’école, les invitations générales en provenance de l’école) seraient des explicateurs des déterminants internes (comme les connaissances et les attitudes, le sentiment d’auto-efficacité à aider l’enfant dans sa réussite scolaire ou encore le temps et l’énergie que les parents sont en mesure d’accorder au suivi scolaire de leur enfant) de l’engagement parental à domicile. </w:t>
      </w:r>
      <w:r w:rsidRPr="002D69BD">
        <w:rPr>
          <w:sz w:val="20"/>
          <w:szCs w:val="20"/>
        </w:rPr>
        <w:t xml:space="preserve">Plusieurs variables ont effectivement un effet </w:t>
      </w:r>
      <w:r w:rsidRPr="002D69BD">
        <w:rPr>
          <w:sz w:val="20"/>
          <w:szCs w:val="20"/>
        </w:rPr>
        <w:lastRenderedPageBreak/>
        <w:t xml:space="preserve">médiateur sur </w:t>
      </w:r>
      <w:r>
        <w:rPr>
          <w:sz w:val="20"/>
          <w:szCs w:val="20"/>
        </w:rPr>
        <w:t xml:space="preserve">l’engagement parental à domicile. Les invitations en provenance des enseignants en vue de favoriser l’engagement des parents dans le suivi scolaire tant à domicile qu’à l’école ont un effet indirect sur ces variables d’engagement parental à travers les invitations formulées par les enfants en vue de renforcer l’implication de leurs parents dans leur suivi scolaire que ce soit à domicile ou à l’école. Nous discuterons enfin les implications de l’engagement parental pour la recherche et l’intervention. </w:t>
      </w:r>
    </w:p>
    <w:p w:rsidR="00B012C1" w:rsidRDefault="00B012C1" w:rsidP="00B012C1">
      <w:pPr>
        <w:spacing w:before="120" w:after="120" w:line="240" w:lineRule="auto"/>
        <w:rPr>
          <w:sz w:val="20"/>
          <w:szCs w:val="20"/>
          <w:u w:val="single"/>
        </w:rPr>
      </w:pPr>
    </w:p>
    <w:p w:rsidR="00B012C1" w:rsidRPr="00AE7087" w:rsidRDefault="00B012C1" w:rsidP="00B012C1">
      <w:pPr>
        <w:spacing w:before="120" w:after="120" w:line="240" w:lineRule="auto"/>
        <w:rPr>
          <w:sz w:val="20"/>
          <w:szCs w:val="20"/>
        </w:rPr>
      </w:pPr>
      <w:r w:rsidRPr="00AE7087">
        <w:rPr>
          <w:sz w:val="20"/>
          <w:szCs w:val="20"/>
          <w:u w:val="single"/>
        </w:rPr>
        <w:t>Références citées dans l’abstract</w:t>
      </w:r>
      <w:r w:rsidRPr="00AE7087">
        <w:rPr>
          <w:sz w:val="20"/>
          <w:szCs w:val="20"/>
        </w:rPr>
        <w:t> :</w:t>
      </w:r>
    </w:p>
    <w:p w:rsidR="00B012C1" w:rsidRPr="00B012C1" w:rsidRDefault="00B012C1" w:rsidP="00B012C1">
      <w:pPr>
        <w:widowControl w:val="0"/>
        <w:autoSpaceDE w:val="0"/>
        <w:autoSpaceDN w:val="0"/>
        <w:adjustRightInd w:val="0"/>
        <w:spacing w:after="0" w:line="240" w:lineRule="auto"/>
        <w:ind w:left="425" w:hanging="425"/>
        <w:jc w:val="both"/>
        <w:rPr>
          <w:sz w:val="20"/>
          <w:szCs w:val="20"/>
          <w:lang w:val="en-US"/>
        </w:rPr>
      </w:pPr>
      <w:r w:rsidRPr="00A154E9">
        <w:rPr>
          <w:sz w:val="20"/>
          <w:szCs w:val="20"/>
        </w:rPr>
        <w:t xml:space="preserve">Hoover-Dempsey, K. V., &amp; Sandler, H. M. (1995). </w:t>
      </w:r>
      <w:r w:rsidRPr="00B012C1">
        <w:rPr>
          <w:sz w:val="20"/>
          <w:szCs w:val="20"/>
          <w:lang w:val="en-US"/>
        </w:rPr>
        <w:t>Parental involvement in children’s education: why does it make a difference? Teachers College Record, 97, 310–331.</w:t>
      </w:r>
      <w:r w:rsidRPr="00B012C1">
        <w:rPr>
          <w:rFonts w:ascii="MS Gothic" w:eastAsia="MS Gothic" w:hAnsi="MS Gothic" w:cs="MS Gothic" w:hint="eastAsia"/>
          <w:sz w:val="20"/>
          <w:szCs w:val="20"/>
          <w:lang w:val="en-US"/>
        </w:rPr>
        <w:t> </w:t>
      </w:r>
    </w:p>
    <w:p w:rsidR="00B012C1" w:rsidRPr="00B012C1" w:rsidRDefault="00B012C1" w:rsidP="00B012C1">
      <w:pPr>
        <w:widowControl w:val="0"/>
        <w:autoSpaceDE w:val="0"/>
        <w:autoSpaceDN w:val="0"/>
        <w:adjustRightInd w:val="0"/>
        <w:spacing w:after="0" w:line="240" w:lineRule="auto"/>
        <w:ind w:left="425" w:hanging="425"/>
        <w:jc w:val="both"/>
        <w:rPr>
          <w:sz w:val="20"/>
          <w:szCs w:val="20"/>
          <w:lang w:val="en-US"/>
        </w:rPr>
      </w:pPr>
      <w:r w:rsidRPr="00B012C1">
        <w:rPr>
          <w:sz w:val="20"/>
          <w:szCs w:val="20"/>
          <w:lang w:val="en-US"/>
        </w:rPr>
        <w:t>Hoover-Dempsey, K. V., &amp; Sandler, H. M. (1997). Why do parents become involved in their children’s education? Review of Educational Research, 67, 3–42.</w:t>
      </w:r>
    </w:p>
    <w:p w:rsidR="00B012C1" w:rsidRPr="00B012C1" w:rsidRDefault="00B012C1" w:rsidP="00B012C1">
      <w:pPr>
        <w:widowControl w:val="0"/>
        <w:autoSpaceDE w:val="0"/>
        <w:autoSpaceDN w:val="0"/>
        <w:adjustRightInd w:val="0"/>
        <w:spacing w:after="0" w:line="240" w:lineRule="auto"/>
        <w:ind w:left="425" w:hanging="425"/>
        <w:jc w:val="both"/>
        <w:rPr>
          <w:sz w:val="20"/>
          <w:szCs w:val="20"/>
          <w:lang w:val="en-US"/>
        </w:rPr>
      </w:pPr>
      <w:r w:rsidRPr="00B012C1">
        <w:rPr>
          <w:sz w:val="20"/>
          <w:szCs w:val="20"/>
          <w:lang w:val="en-US"/>
        </w:rPr>
        <w:t>Walker, J. M. T., Wilkins, A. S., Dallaire, J. P., Sandler, H. M., &amp; Hoover-Dempsey, K. V. (2005). Parental involvement: Model revision through scale development. Elementary School Journal, 106, 85–104.</w:t>
      </w:r>
    </w:p>
    <w:p w:rsidR="00B012C1" w:rsidRPr="00B012C1" w:rsidRDefault="00B012C1">
      <w:pPr>
        <w:rPr>
          <w:lang w:val="en-US"/>
        </w:rPr>
      </w:pPr>
    </w:p>
    <w:sectPr w:rsidR="00B012C1" w:rsidRPr="00B012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B5A" w:rsidRDefault="00C94B5A" w:rsidP="0037785B">
      <w:pPr>
        <w:spacing w:after="0" w:line="240" w:lineRule="auto"/>
      </w:pPr>
      <w:r>
        <w:separator/>
      </w:r>
    </w:p>
  </w:endnote>
  <w:endnote w:type="continuationSeparator" w:id="0">
    <w:p w:rsidR="00C94B5A" w:rsidRDefault="00C94B5A" w:rsidP="00377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B5A" w:rsidRDefault="00C94B5A" w:rsidP="0037785B">
      <w:pPr>
        <w:spacing w:after="0" w:line="240" w:lineRule="auto"/>
      </w:pPr>
      <w:r>
        <w:separator/>
      </w:r>
    </w:p>
  </w:footnote>
  <w:footnote w:type="continuationSeparator" w:id="0">
    <w:p w:rsidR="00C94B5A" w:rsidRDefault="00C94B5A" w:rsidP="003778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945288"/>
    <w:multiLevelType w:val="hybridMultilevel"/>
    <w:tmpl w:val="03785E80"/>
    <w:lvl w:ilvl="0" w:tplc="DE866A22">
      <w:numFmt w:val="bullet"/>
      <w:lvlText w:val=""/>
      <w:legacy w:legacy="1" w:legacySpace="0" w:legacyIndent="0"/>
      <w:lvlJc w:val="left"/>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85B"/>
    <w:rsid w:val="00137A9A"/>
    <w:rsid w:val="00277DBC"/>
    <w:rsid w:val="0037785B"/>
    <w:rsid w:val="005B0A96"/>
    <w:rsid w:val="00646C61"/>
    <w:rsid w:val="006A2730"/>
    <w:rsid w:val="007F0F7A"/>
    <w:rsid w:val="00944FEC"/>
    <w:rsid w:val="00B012C1"/>
    <w:rsid w:val="00BA4F43"/>
    <w:rsid w:val="00BC6671"/>
    <w:rsid w:val="00C94B5A"/>
    <w:rsid w:val="00E1523F"/>
    <w:rsid w:val="00F02C0C"/>
    <w:rsid w:val="00F61CF1"/>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F6FCFD-2FBC-4A3C-A4B4-A4C9DA543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778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LU"/>
    </w:rPr>
  </w:style>
  <w:style w:type="paragraph" w:styleId="Heading2">
    <w:name w:val="heading 2"/>
    <w:basedOn w:val="Normal"/>
    <w:next w:val="Normal"/>
    <w:link w:val="Heading2Char"/>
    <w:uiPriority w:val="9"/>
    <w:unhideWhenUsed/>
    <w:qFormat/>
    <w:rsid w:val="003778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7785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85B"/>
    <w:rPr>
      <w:rFonts w:ascii="Times New Roman" w:eastAsia="Times New Roman" w:hAnsi="Times New Roman" w:cs="Times New Roman"/>
      <w:b/>
      <w:bCs/>
      <w:kern w:val="36"/>
      <w:sz w:val="48"/>
      <w:szCs w:val="48"/>
      <w:lang w:eastAsia="fr-LU"/>
    </w:rPr>
  </w:style>
  <w:style w:type="character" w:customStyle="1" w:styleId="Heading2Char">
    <w:name w:val="Heading 2 Char"/>
    <w:basedOn w:val="DefaultParagraphFont"/>
    <w:link w:val="Heading2"/>
    <w:uiPriority w:val="9"/>
    <w:rsid w:val="0037785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37785B"/>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37785B"/>
    <w:rPr>
      <w:b/>
      <w:bCs/>
    </w:rPr>
  </w:style>
  <w:style w:type="character" w:styleId="Emphasis">
    <w:name w:val="Emphasis"/>
    <w:basedOn w:val="DefaultParagraphFont"/>
    <w:uiPriority w:val="20"/>
    <w:qFormat/>
    <w:rsid w:val="0037785B"/>
    <w:rPr>
      <w:i/>
      <w:iCs/>
    </w:rPr>
  </w:style>
  <w:style w:type="character" w:styleId="Hyperlink">
    <w:name w:val="Hyperlink"/>
    <w:basedOn w:val="DefaultParagraphFont"/>
    <w:uiPriority w:val="99"/>
    <w:unhideWhenUsed/>
    <w:rsid w:val="0037785B"/>
    <w:rPr>
      <w:color w:val="0563C1" w:themeColor="hyperlink"/>
      <w:u w:val="single"/>
    </w:rPr>
  </w:style>
  <w:style w:type="paragraph" w:styleId="FootnoteText">
    <w:name w:val="footnote text"/>
    <w:basedOn w:val="Normal"/>
    <w:link w:val="FootnoteTextChar"/>
    <w:uiPriority w:val="99"/>
    <w:semiHidden/>
    <w:unhideWhenUsed/>
    <w:rsid w:val="0037785B"/>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37785B"/>
    <w:rPr>
      <w:sz w:val="20"/>
      <w:szCs w:val="20"/>
      <w:lang w:val="en-US"/>
    </w:rPr>
  </w:style>
  <w:style w:type="character" w:styleId="FootnoteReference">
    <w:name w:val="footnote reference"/>
    <w:basedOn w:val="DefaultParagraphFont"/>
    <w:uiPriority w:val="99"/>
    <w:semiHidden/>
    <w:unhideWhenUsed/>
    <w:rsid w:val="0037785B"/>
    <w:rPr>
      <w:vertAlign w:val="superscript"/>
    </w:rPr>
  </w:style>
  <w:style w:type="paragraph" w:styleId="BodyText">
    <w:name w:val="Body Text"/>
    <w:basedOn w:val="Normal"/>
    <w:link w:val="BodyTextChar"/>
    <w:rsid w:val="00944FEC"/>
    <w:pPr>
      <w:spacing w:after="120" w:line="240" w:lineRule="auto"/>
      <w:ind w:firstLine="284"/>
      <w:jc w:val="both"/>
    </w:pPr>
    <w:rPr>
      <w:rFonts w:ascii="Times New Roman" w:eastAsia="Times New Roman" w:hAnsi="Times New Roman" w:cs="Times New Roman"/>
      <w:sz w:val="20"/>
      <w:szCs w:val="20"/>
      <w:lang w:val="fr-FR" w:eastAsia="fr-FR"/>
    </w:rPr>
  </w:style>
  <w:style w:type="character" w:customStyle="1" w:styleId="BodyTextChar">
    <w:name w:val="Body Text Char"/>
    <w:basedOn w:val="DefaultParagraphFont"/>
    <w:link w:val="BodyText"/>
    <w:rsid w:val="00944FEC"/>
    <w:rPr>
      <w:rFonts w:ascii="Times New Roman" w:eastAsia="Times New Roman" w:hAnsi="Times New Roman"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35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lvie.kerger@uni.lu" TargetMode="External"/><Relationship Id="rId3" Type="http://schemas.openxmlformats.org/officeDocument/2006/relationships/settings" Target="settings.xml"/><Relationship Id="rId7" Type="http://schemas.openxmlformats.org/officeDocument/2006/relationships/hyperlink" Target="mailto:debora.poncelet@uni.l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ylvie.kerger@uni.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Luxembourg</Company>
  <LinksUpToDate>false</LinksUpToDate>
  <CharactersWithSpaces>3991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Débora PONCELET</dc:creator>
  <cp:keywords/>
  <dc:description/>
  <cp:lastModifiedBy>Anonyme</cp:lastModifiedBy>
  <cp:revision>3</cp:revision>
  <dcterms:created xsi:type="dcterms:W3CDTF">2016-03-25T11:54:00Z</dcterms:created>
  <dcterms:modified xsi:type="dcterms:W3CDTF">2016-03-25T11:55:00Z</dcterms:modified>
</cp:coreProperties>
</file>