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9" w:hAnsi="AdvPSA189" w:cs="AdvPSA189"/>
          <w:color w:val="000000"/>
          <w:sz w:val="40"/>
          <w:szCs w:val="40"/>
        </w:rPr>
      </w:pPr>
      <w:proofErr w:type="gramStart"/>
      <w:r>
        <w:rPr>
          <w:rFonts w:ascii="AdvPSA189" w:hAnsi="AdvPSA189" w:cs="AdvPSA189"/>
          <w:color w:val="000000"/>
          <w:sz w:val="40"/>
          <w:szCs w:val="40"/>
        </w:rPr>
        <w:t>Yes</w:t>
      </w:r>
      <w:proofErr w:type="gramEnd"/>
      <w:r>
        <w:rPr>
          <w:rFonts w:ascii="AdvPSA189" w:hAnsi="AdvPSA189" w:cs="AdvPSA189"/>
          <w:color w:val="000000"/>
          <w:sz w:val="40"/>
          <w:szCs w:val="40"/>
        </w:rPr>
        <w:t xml:space="preserve"> and PI3K Bind CD95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9" w:hAnsi="AdvPSA189" w:cs="AdvPSA189"/>
          <w:color w:val="000000"/>
          <w:sz w:val="40"/>
          <w:szCs w:val="40"/>
        </w:rPr>
      </w:pPr>
      <w:r>
        <w:rPr>
          <w:rFonts w:ascii="AdvPSA189" w:hAnsi="AdvPSA189" w:cs="AdvPSA189"/>
          <w:color w:val="000000"/>
          <w:sz w:val="40"/>
          <w:szCs w:val="40"/>
        </w:rPr>
        <w:t>to Signal Invasion of Glioblastoma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66"/>
          <w:sz w:val="12"/>
          <w:szCs w:val="12"/>
        </w:rPr>
      </w:pPr>
      <w:r>
        <w:rPr>
          <w:rFonts w:ascii="AdvPSHN-M" w:hAnsi="AdvPSHN-M" w:cs="AdvPSHN-M"/>
          <w:color w:val="000000"/>
          <w:sz w:val="18"/>
          <w:szCs w:val="18"/>
        </w:rPr>
        <w:t>Susanne Kleber,</w:t>
      </w:r>
      <w:r>
        <w:rPr>
          <w:rFonts w:ascii="AdvPSHN-M" w:hAnsi="AdvPSHN-M" w:cs="AdvPSHN-M"/>
          <w:color w:val="000066"/>
          <w:sz w:val="12"/>
          <w:szCs w:val="12"/>
        </w:rPr>
        <w:t>1</w:t>
      </w:r>
      <w:r>
        <w:rPr>
          <w:rFonts w:ascii="AdvPSHN-M" w:hAnsi="AdvPSHN-M" w:cs="AdvPSHN-M"/>
          <w:color w:val="000000"/>
          <w:sz w:val="12"/>
          <w:szCs w:val="12"/>
        </w:rPr>
        <w:t>,</w:t>
      </w:r>
      <w:r>
        <w:rPr>
          <w:rFonts w:ascii="AdvPSHN-M" w:hAnsi="AdvPSHN-M" w:cs="AdvPSHN-M"/>
          <w:color w:val="000066"/>
          <w:sz w:val="12"/>
          <w:szCs w:val="12"/>
        </w:rPr>
        <w:t xml:space="preserve">10 </w:t>
      </w:r>
      <w:r>
        <w:rPr>
          <w:rFonts w:ascii="AdvPSHN-M" w:hAnsi="AdvPSHN-M" w:cs="AdvPSHN-M"/>
          <w:color w:val="000000"/>
          <w:sz w:val="18"/>
          <w:szCs w:val="18"/>
        </w:rPr>
        <w:t>Ignacio Sancho-Martinez,</w:t>
      </w:r>
      <w:r>
        <w:rPr>
          <w:rFonts w:ascii="AdvPSHN-M" w:hAnsi="AdvPSHN-M" w:cs="AdvPSHN-M"/>
          <w:color w:val="000066"/>
          <w:sz w:val="12"/>
          <w:szCs w:val="12"/>
        </w:rPr>
        <w:t>1</w:t>
      </w:r>
      <w:r>
        <w:rPr>
          <w:rFonts w:ascii="AdvPSHN-M" w:hAnsi="AdvPSHN-M" w:cs="AdvPSHN-M"/>
          <w:color w:val="000000"/>
          <w:sz w:val="12"/>
          <w:szCs w:val="12"/>
        </w:rPr>
        <w:t>,</w:t>
      </w:r>
      <w:r>
        <w:rPr>
          <w:rFonts w:ascii="AdvPSHN-M" w:hAnsi="AdvPSHN-M" w:cs="AdvPSHN-M"/>
          <w:color w:val="000066"/>
          <w:sz w:val="12"/>
          <w:szCs w:val="12"/>
        </w:rPr>
        <w:t xml:space="preserve">10 </w:t>
      </w:r>
      <w:r>
        <w:rPr>
          <w:rFonts w:ascii="AdvPSHN-M" w:hAnsi="AdvPSHN-M" w:cs="AdvPSHN-M"/>
          <w:color w:val="000000"/>
          <w:sz w:val="18"/>
          <w:szCs w:val="18"/>
        </w:rPr>
        <w:t>Benedict Wiestler,</w:t>
      </w:r>
      <w:r>
        <w:rPr>
          <w:rFonts w:ascii="AdvPSHN-M" w:hAnsi="AdvPSHN-M" w:cs="AdvPSHN-M"/>
          <w:color w:val="000066"/>
          <w:sz w:val="12"/>
          <w:szCs w:val="12"/>
        </w:rPr>
        <w:t>1</w:t>
      </w:r>
      <w:r>
        <w:rPr>
          <w:rFonts w:ascii="AdvPSHN-M" w:hAnsi="AdvPSHN-M" w:cs="AdvPSHN-M"/>
          <w:color w:val="000000"/>
          <w:sz w:val="12"/>
          <w:szCs w:val="12"/>
        </w:rPr>
        <w:t>,</w:t>
      </w:r>
      <w:r>
        <w:rPr>
          <w:rFonts w:ascii="AdvPSHN-M" w:hAnsi="AdvPSHN-M" w:cs="AdvPSHN-M"/>
          <w:color w:val="000066"/>
          <w:sz w:val="12"/>
          <w:szCs w:val="12"/>
        </w:rPr>
        <w:t xml:space="preserve">10 </w:t>
      </w:r>
      <w:r>
        <w:rPr>
          <w:rFonts w:ascii="AdvPSHN-M" w:hAnsi="AdvPSHN-M" w:cs="AdvPSHN-M"/>
          <w:color w:val="000000"/>
          <w:sz w:val="18"/>
          <w:szCs w:val="18"/>
        </w:rPr>
        <w:t>Alexandra Beisel,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>Christian Gieffers,</w:t>
      </w:r>
      <w:r>
        <w:rPr>
          <w:rFonts w:ascii="AdvPSHN-M" w:hAnsi="AdvPSHN-M" w:cs="AdvPSHN-M"/>
          <w:color w:val="000066"/>
          <w:sz w:val="12"/>
          <w:szCs w:val="12"/>
        </w:rPr>
        <w:t>6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66"/>
          <w:sz w:val="12"/>
          <w:szCs w:val="12"/>
        </w:rPr>
      </w:pPr>
      <w:r>
        <w:rPr>
          <w:rFonts w:ascii="AdvPSHN-M" w:hAnsi="AdvPSHN-M" w:cs="AdvPSHN-M"/>
          <w:color w:val="000000"/>
          <w:sz w:val="18"/>
          <w:szCs w:val="18"/>
        </w:rPr>
        <w:t>Oliver Hill,</w:t>
      </w:r>
      <w:r>
        <w:rPr>
          <w:rFonts w:ascii="AdvPSHN-M" w:hAnsi="AdvPSHN-M" w:cs="AdvPSHN-M"/>
          <w:color w:val="000066"/>
          <w:sz w:val="12"/>
          <w:szCs w:val="12"/>
        </w:rPr>
        <w:t xml:space="preserve">6 </w:t>
      </w:r>
      <w:proofErr w:type="spellStart"/>
      <w:r>
        <w:rPr>
          <w:rFonts w:ascii="AdvPSHN-M" w:hAnsi="AdvPSHN-M" w:cs="AdvPSHN-M"/>
          <w:color w:val="000000"/>
          <w:sz w:val="18"/>
          <w:szCs w:val="18"/>
        </w:rPr>
        <w:t>Meinolf</w:t>
      </w:r>
      <w:proofErr w:type="spellEnd"/>
      <w:r>
        <w:rPr>
          <w:rFonts w:ascii="AdvPSHN-M" w:hAnsi="AdvPSHN-M" w:cs="AdvPSHN-M"/>
          <w:color w:val="000000"/>
          <w:sz w:val="18"/>
          <w:szCs w:val="18"/>
        </w:rPr>
        <w:t xml:space="preserve"> Thiemann,</w:t>
      </w:r>
      <w:r>
        <w:rPr>
          <w:rFonts w:ascii="AdvPSHN-M" w:hAnsi="AdvPSHN-M" w:cs="AdvPSHN-M"/>
          <w:color w:val="000066"/>
          <w:sz w:val="12"/>
          <w:szCs w:val="12"/>
        </w:rPr>
        <w:t xml:space="preserve">6 </w:t>
      </w:r>
      <w:r>
        <w:rPr>
          <w:rFonts w:ascii="AdvPSHN-M" w:hAnsi="AdvPSHN-M" w:cs="AdvPSHN-M"/>
          <w:color w:val="000000"/>
          <w:sz w:val="18"/>
          <w:szCs w:val="18"/>
        </w:rPr>
        <w:t>Wolf Mueller,</w:t>
      </w:r>
      <w:r>
        <w:rPr>
          <w:rFonts w:ascii="AdvPSHN-M" w:hAnsi="AdvPSHN-M" w:cs="AdvPSHN-M"/>
          <w:color w:val="000066"/>
          <w:sz w:val="12"/>
          <w:szCs w:val="12"/>
        </w:rPr>
        <w:t xml:space="preserve">5 </w:t>
      </w:r>
      <w:proofErr w:type="spellStart"/>
      <w:r>
        <w:rPr>
          <w:rFonts w:ascii="AdvPSHN-M" w:hAnsi="AdvPSHN-M" w:cs="AdvPSHN-M"/>
          <w:color w:val="000000"/>
          <w:sz w:val="18"/>
          <w:szCs w:val="18"/>
        </w:rPr>
        <w:t>Jaromir</w:t>
      </w:r>
      <w:proofErr w:type="spellEnd"/>
      <w:r>
        <w:rPr>
          <w:rFonts w:ascii="AdvPSHN-M" w:hAnsi="AdvPSHN-M" w:cs="AdvPSHN-M"/>
          <w:color w:val="000000"/>
          <w:sz w:val="18"/>
          <w:szCs w:val="18"/>
        </w:rPr>
        <w:t xml:space="preserve"> Sykora,</w:t>
      </w:r>
      <w:r>
        <w:rPr>
          <w:rFonts w:ascii="AdvPSHN-M" w:hAnsi="AdvPSHN-M" w:cs="AdvPSHN-M"/>
          <w:color w:val="000066"/>
          <w:sz w:val="12"/>
          <w:szCs w:val="12"/>
        </w:rPr>
        <w:t xml:space="preserve">8 </w:t>
      </w:r>
      <w:r>
        <w:rPr>
          <w:rFonts w:ascii="AdvPSHN-M" w:hAnsi="AdvPSHN-M" w:cs="AdvPSHN-M"/>
          <w:color w:val="000000"/>
          <w:sz w:val="18"/>
          <w:szCs w:val="18"/>
        </w:rPr>
        <w:t>Andreas Kuhn,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>Nina Schreglmann,</w:t>
      </w:r>
      <w:r>
        <w:rPr>
          <w:rFonts w:ascii="AdvPSHN-M" w:hAnsi="AdvPSHN-M" w:cs="AdvPSHN-M"/>
          <w:color w:val="000066"/>
          <w:sz w:val="12"/>
          <w:szCs w:val="12"/>
        </w:rPr>
        <w:t>1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66"/>
          <w:sz w:val="12"/>
          <w:szCs w:val="12"/>
        </w:rPr>
      </w:pPr>
      <w:r>
        <w:rPr>
          <w:rFonts w:ascii="AdvPSHN-M" w:hAnsi="AdvPSHN-M" w:cs="AdvPSHN-M"/>
          <w:color w:val="000000"/>
          <w:sz w:val="18"/>
          <w:szCs w:val="18"/>
        </w:rPr>
        <w:t>Elisabeth Letellier,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>Cecilia Zuliani,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>Stefan Klussmann,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>Marcin Teodorczyk,</w:t>
      </w:r>
      <w:r>
        <w:rPr>
          <w:rFonts w:ascii="AdvPSHN-M" w:hAnsi="AdvPSHN-M" w:cs="AdvPSHN-M"/>
          <w:color w:val="000066"/>
          <w:sz w:val="12"/>
          <w:szCs w:val="12"/>
        </w:rPr>
        <w:t xml:space="preserve">1 </w:t>
      </w:r>
      <w:r>
        <w:rPr>
          <w:rFonts w:ascii="AdvPSHN-M" w:hAnsi="AdvPSHN-M" w:cs="AdvPSHN-M"/>
          <w:color w:val="000000"/>
          <w:sz w:val="18"/>
          <w:szCs w:val="18"/>
        </w:rPr>
        <w:t xml:space="preserve">Hermann-Josef </w:t>
      </w:r>
      <w:proofErr w:type="spellStart"/>
      <w:r>
        <w:rPr>
          <w:rFonts w:ascii="AdvPSHN-M" w:hAnsi="AdvPSHN-M" w:cs="AdvPSHN-M"/>
          <w:color w:val="000000"/>
          <w:sz w:val="18"/>
          <w:szCs w:val="18"/>
        </w:rPr>
        <w:t>Gro</w:t>
      </w:r>
      <w:proofErr w:type="spellEnd"/>
      <w:r>
        <w:rPr>
          <w:rFonts w:ascii="AdvPSHN-M" w:hAnsi="AdvPSHN-M" w:cs="AdvPSHN-M"/>
          <w:color w:val="000000"/>
          <w:sz w:val="18"/>
          <w:szCs w:val="18"/>
        </w:rPr>
        <w:t>¨ ne,</w:t>
      </w:r>
      <w:r>
        <w:rPr>
          <w:rFonts w:ascii="AdvPSHN-M" w:hAnsi="AdvPSHN-M" w:cs="AdvPSHN-M"/>
          <w:color w:val="000066"/>
          <w:sz w:val="12"/>
          <w:szCs w:val="12"/>
        </w:rPr>
        <w:t>2</w:t>
      </w:r>
    </w:p>
    <w:p w:rsidR="00C85402" w:rsidRP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66"/>
          <w:sz w:val="12"/>
          <w:szCs w:val="12"/>
          <w:lang w:val="fr-LU"/>
        </w:rPr>
      </w:pPr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>Tom M. Ganten,</w:t>
      </w:r>
      <w:r w:rsidRPr="00C85402">
        <w:rPr>
          <w:rFonts w:ascii="AdvPSHN-M" w:hAnsi="AdvPSHN-M" w:cs="AdvPSHN-M"/>
          <w:color w:val="000066"/>
          <w:sz w:val="12"/>
          <w:szCs w:val="12"/>
          <w:lang w:val="fr-LU"/>
        </w:rPr>
        <w:t xml:space="preserve">8 </w:t>
      </w:r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>Holger Su¨ ltmann,</w:t>
      </w:r>
      <w:r w:rsidRPr="00C85402">
        <w:rPr>
          <w:rFonts w:ascii="AdvPSHN-M" w:hAnsi="AdvPSHN-M" w:cs="AdvPSHN-M"/>
          <w:color w:val="000066"/>
          <w:sz w:val="12"/>
          <w:szCs w:val="12"/>
          <w:lang w:val="fr-LU"/>
        </w:rPr>
        <w:t xml:space="preserve">3 </w:t>
      </w:r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>Jochen Tu¨ ttenberg,</w:t>
      </w:r>
      <w:r w:rsidRPr="00C85402">
        <w:rPr>
          <w:rFonts w:ascii="AdvPSHN-M" w:hAnsi="AdvPSHN-M" w:cs="AdvPSHN-M"/>
          <w:color w:val="000066"/>
          <w:sz w:val="12"/>
          <w:szCs w:val="12"/>
          <w:lang w:val="fr-LU"/>
        </w:rPr>
        <w:t xml:space="preserve">9 </w:t>
      </w:r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 xml:space="preserve">Andreas </w:t>
      </w:r>
      <w:proofErr w:type="spellStart"/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>von</w:t>
      </w:r>
      <w:proofErr w:type="spellEnd"/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 xml:space="preserve"> Deimling,</w:t>
      </w:r>
      <w:r w:rsidRPr="00C85402">
        <w:rPr>
          <w:rFonts w:ascii="AdvPSHN-M" w:hAnsi="AdvPSHN-M" w:cs="AdvPSHN-M"/>
          <w:color w:val="000066"/>
          <w:sz w:val="12"/>
          <w:szCs w:val="12"/>
          <w:lang w:val="fr-LU"/>
        </w:rPr>
        <w:t xml:space="preserve">5 </w:t>
      </w:r>
      <w:r w:rsidRPr="00C85402">
        <w:rPr>
          <w:rFonts w:ascii="AdvPSHN-M" w:hAnsi="AdvPSHN-M" w:cs="AdvPSHN-M"/>
          <w:color w:val="000000"/>
          <w:sz w:val="18"/>
          <w:szCs w:val="18"/>
          <w:lang w:val="fr-LU"/>
        </w:rPr>
        <w:t>Anne Regnier-Vigouroux,</w:t>
      </w:r>
      <w:r w:rsidRPr="00C85402">
        <w:rPr>
          <w:rFonts w:ascii="AdvPSHN-M" w:hAnsi="AdvPSHN-M" w:cs="AdvPSHN-M"/>
          <w:color w:val="000066"/>
          <w:sz w:val="12"/>
          <w:szCs w:val="12"/>
          <w:lang w:val="fr-LU"/>
        </w:rPr>
        <w:t>4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66"/>
          <w:sz w:val="18"/>
          <w:szCs w:val="18"/>
        </w:rPr>
      </w:pPr>
      <w:proofErr w:type="spellStart"/>
      <w:r>
        <w:rPr>
          <w:rFonts w:ascii="AdvPSHN-M" w:hAnsi="AdvPSHN-M" w:cs="AdvPSHN-M"/>
          <w:color w:val="000000"/>
          <w:sz w:val="18"/>
          <w:szCs w:val="18"/>
        </w:rPr>
        <w:t>Christel</w:t>
      </w:r>
      <w:proofErr w:type="spellEnd"/>
      <w:r>
        <w:rPr>
          <w:rFonts w:ascii="AdvPSHN-M" w:hAnsi="AdvPSHN-M" w:cs="AdvPSHN-M"/>
          <w:color w:val="000000"/>
          <w:sz w:val="18"/>
          <w:szCs w:val="18"/>
        </w:rPr>
        <w:t xml:space="preserve"> Herold-Mende,</w:t>
      </w:r>
      <w:r>
        <w:rPr>
          <w:rFonts w:ascii="AdvPSHN-M" w:hAnsi="AdvPSHN-M" w:cs="AdvPSHN-M"/>
          <w:color w:val="000066"/>
          <w:sz w:val="12"/>
          <w:szCs w:val="12"/>
        </w:rPr>
        <w:t xml:space="preserve">7 </w:t>
      </w:r>
      <w:r>
        <w:rPr>
          <w:rFonts w:ascii="AdvPSHN-M" w:hAnsi="AdvPSHN-M" w:cs="AdvPSHN-M"/>
          <w:color w:val="000000"/>
          <w:sz w:val="18"/>
          <w:szCs w:val="18"/>
        </w:rPr>
        <w:t>and Ana Martin-Villalba</w:t>
      </w:r>
      <w:proofErr w:type="gramStart"/>
      <w:r>
        <w:rPr>
          <w:rFonts w:ascii="AdvPSHN-M" w:hAnsi="AdvPSHN-M" w:cs="AdvPSHN-M"/>
          <w:color w:val="000066"/>
          <w:sz w:val="12"/>
          <w:szCs w:val="12"/>
        </w:rPr>
        <w:t>1</w:t>
      </w:r>
      <w:r>
        <w:rPr>
          <w:rFonts w:ascii="AdvPSHN-M" w:hAnsi="AdvPSHN-M" w:cs="AdvPSHN-M"/>
          <w:color w:val="000000"/>
          <w:sz w:val="12"/>
          <w:szCs w:val="12"/>
        </w:rPr>
        <w:t>,</w:t>
      </w:r>
      <w:r>
        <w:rPr>
          <w:rFonts w:ascii="AdvPSHN-M" w:hAnsi="AdvPSHN-M" w:cs="AdvPSHN-M"/>
          <w:color w:val="000066"/>
          <w:sz w:val="18"/>
          <w:szCs w:val="18"/>
        </w:rPr>
        <w:t>*</w:t>
      </w:r>
      <w:proofErr w:type="gramEnd"/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1</w:t>
      </w:r>
      <w:r>
        <w:rPr>
          <w:rFonts w:ascii="AdvPSA183" w:hAnsi="AdvPSA183" w:cs="AdvPSA183"/>
          <w:color w:val="000000"/>
          <w:sz w:val="16"/>
          <w:szCs w:val="16"/>
        </w:rPr>
        <w:t>Molecular Neurobiology Group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2</w:t>
      </w:r>
      <w:r>
        <w:rPr>
          <w:rFonts w:ascii="AdvPSA183" w:hAnsi="AdvPSA183" w:cs="AdvPSA183"/>
          <w:color w:val="000000"/>
          <w:sz w:val="16"/>
          <w:szCs w:val="16"/>
        </w:rPr>
        <w:t>Division of Cellular and Molecular Pathology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3</w:t>
      </w:r>
      <w:r>
        <w:rPr>
          <w:rFonts w:ascii="AdvPSA183" w:hAnsi="AdvPSA183" w:cs="AdvPSA183"/>
          <w:color w:val="000000"/>
          <w:sz w:val="16"/>
          <w:szCs w:val="16"/>
        </w:rPr>
        <w:t>Division of Molecular Genome Analysis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4</w:t>
      </w:r>
      <w:r>
        <w:rPr>
          <w:rFonts w:ascii="AdvPSA183" w:hAnsi="AdvPSA183" w:cs="AdvPSA183"/>
          <w:color w:val="000000"/>
          <w:sz w:val="16"/>
          <w:szCs w:val="16"/>
        </w:rPr>
        <w:t>INSERM U701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5</w:t>
      </w:r>
      <w:r>
        <w:rPr>
          <w:rFonts w:ascii="AdvPSA183" w:hAnsi="AdvPSA183" w:cs="AdvPSA183"/>
          <w:color w:val="000000"/>
          <w:sz w:val="16"/>
          <w:szCs w:val="16"/>
        </w:rPr>
        <w:t>KKE Neuropathology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6"/>
          <w:szCs w:val="16"/>
        </w:rPr>
        <w:t>German Cancer Research Center (DKFZ), INF 581, 69120 Heidelberg, Germany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6</w:t>
      </w:r>
      <w:r>
        <w:rPr>
          <w:rFonts w:ascii="AdvPSA183" w:hAnsi="AdvPSA183" w:cs="AdvPSA183"/>
          <w:color w:val="000000"/>
          <w:sz w:val="16"/>
          <w:szCs w:val="16"/>
        </w:rPr>
        <w:t>Apogenix GmbH, Heidelberg, 69120 Heidelberg, Germany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7</w:t>
      </w:r>
      <w:r>
        <w:rPr>
          <w:rFonts w:ascii="AdvPSA183" w:hAnsi="AdvPSA183" w:cs="AdvPSA183"/>
          <w:color w:val="000000"/>
          <w:sz w:val="16"/>
          <w:szCs w:val="16"/>
        </w:rPr>
        <w:t>Department of Neurosurgery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8</w:t>
      </w:r>
      <w:r>
        <w:rPr>
          <w:rFonts w:ascii="AdvPSA183" w:hAnsi="AdvPSA183" w:cs="AdvPSA183"/>
          <w:color w:val="000000"/>
          <w:sz w:val="16"/>
          <w:szCs w:val="16"/>
        </w:rPr>
        <w:t>Department of Internal Medicine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6"/>
          <w:szCs w:val="16"/>
        </w:rPr>
        <w:t>University of Heidelberg, INF 400, 69120 Heidelberg, Germany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9</w:t>
      </w:r>
      <w:r>
        <w:rPr>
          <w:rFonts w:ascii="AdvPSA183" w:hAnsi="AdvPSA183" w:cs="AdvPSA183"/>
          <w:color w:val="000000"/>
          <w:sz w:val="16"/>
          <w:szCs w:val="16"/>
        </w:rPr>
        <w:t>Department of Neurosurgery, University of Mannheim, Theodor-</w:t>
      </w:r>
      <w:proofErr w:type="spellStart"/>
      <w:r>
        <w:rPr>
          <w:rFonts w:ascii="AdvPSA183" w:hAnsi="AdvPSA183" w:cs="AdvPSA183"/>
          <w:color w:val="000000"/>
          <w:sz w:val="16"/>
          <w:szCs w:val="16"/>
        </w:rPr>
        <w:t>Kutzer</w:t>
      </w:r>
      <w:proofErr w:type="spellEnd"/>
      <w:r>
        <w:rPr>
          <w:rFonts w:ascii="AdvPSA183" w:hAnsi="AdvPSA183" w:cs="AdvPSA183"/>
          <w:color w:val="000000"/>
          <w:sz w:val="16"/>
          <w:szCs w:val="16"/>
        </w:rPr>
        <w:t>-</w:t>
      </w:r>
      <w:proofErr w:type="spellStart"/>
      <w:r>
        <w:rPr>
          <w:rFonts w:ascii="AdvPSA183" w:hAnsi="AdvPSA183" w:cs="AdvPSA183"/>
          <w:color w:val="000000"/>
          <w:sz w:val="16"/>
          <w:szCs w:val="16"/>
        </w:rPr>
        <w:t>Ufer</w:t>
      </w:r>
      <w:proofErr w:type="spellEnd"/>
      <w:r>
        <w:rPr>
          <w:rFonts w:ascii="AdvPSA183" w:hAnsi="AdvPSA183" w:cs="AdvPSA183"/>
          <w:color w:val="000000"/>
          <w:sz w:val="16"/>
          <w:szCs w:val="16"/>
        </w:rPr>
        <w:t xml:space="preserve"> 1-3, 68167 Mannheim, Germany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</w:rPr>
      </w:pPr>
      <w:r>
        <w:rPr>
          <w:rFonts w:ascii="AdvPSA183" w:hAnsi="AdvPSA183" w:cs="AdvPSA183"/>
          <w:color w:val="000000"/>
          <w:sz w:val="11"/>
          <w:szCs w:val="11"/>
        </w:rPr>
        <w:t>10</w:t>
      </w:r>
      <w:r>
        <w:rPr>
          <w:rFonts w:ascii="AdvPSA183" w:hAnsi="AdvPSA183" w:cs="AdvPSA183"/>
          <w:color w:val="000000"/>
          <w:sz w:val="16"/>
          <w:szCs w:val="16"/>
        </w:rPr>
        <w:t>These authors contributed equally to this work.</w:t>
      </w:r>
    </w:p>
    <w:p w:rsidR="00C85402" w:rsidRP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66"/>
          <w:sz w:val="16"/>
          <w:szCs w:val="16"/>
          <w:lang w:val="fr-LU"/>
        </w:rPr>
      </w:pPr>
      <w:r w:rsidRPr="00C85402">
        <w:rPr>
          <w:rFonts w:ascii="AdvPSA183" w:hAnsi="AdvPSA183" w:cs="AdvPSA183"/>
          <w:color w:val="000000"/>
          <w:sz w:val="16"/>
          <w:szCs w:val="16"/>
          <w:lang w:val="fr-LU"/>
        </w:rPr>
        <w:t>*</w:t>
      </w:r>
      <w:proofErr w:type="spellStart"/>
      <w:proofErr w:type="gramStart"/>
      <w:r w:rsidRPr="00C85402">
        <w:rPr>
          <w:rFonts w:ascii="AdvPSA183" w:hAnsi="AdvPSA183" w:cs="AdvPSA183"/>
          <w:color w:val="000000"/>
          <w:sz w:val="16"/>
          <w:szCs w:val="16"/>
          <w:lang w:val="fr-LU"/>
        </w:rPr>
        <w:t>Correspondence</w:t>
      </w:r>
      <w:proofErr w:type="spellEnd"/>
      <w:r w:rsidRPr="00C85402">
        <w:rPr>
          <w:rFonts w:ascii="AdvPSA183" w:hAnsi="AdvPSA183" w:cs="AdvPSA183"/>
          <w:color w:val="000000"/>
          <w:sz w:val="16"/>
          <w:szCs w:val="16"/>
          <w:lang w:val="fr-LU"/>
        </w:rPr>
        <w:t>:</w:t>
      </w:r>
      <w:proofErr w:type="gramEnd"/>
      <w:r w:rsidRPr="00C85402">
        <w:rPr>
          <w:rFonts w:ascii="AdvPSA183" w:hAnsi="AdvPSA183" w:cs="AdvPSA183"/>
          <w:color w:val="000000"/>
          <w:sz w:val="16"/>
          <w:szCs w:val="16"/>
          <w:lang w:val="fr-LU"/>
        </w:rPr>
        <w:t xml:space="preserve"> </w:t>
      </w:r>
      <w:r w:rsidRPr="00C85402">
        <w:rPr>
          <w:rFonts w:ascii="AdvPSA183" w:hAnsi="AdvPSA183" w:cs="AdvPSA183"/>
          <w:color w:val="000066"/>
          <w:sz w:val="16"/>
          <w:szCs w:val="16"/>
          <w:lang w:val="fr-LU"/>
        </w:rPr>
        <w:t>a.martin-villalba@dkfz.de</w:t>
      </w:r>
    </w:p>
    <w:p w:rsidR="00C85402" w:rsidRP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A183" w:hAnsi="AdvPSA183" w:cs="AdvPSA183"/>
          <w:color w:val="000000"/>
          <w:sz w:val="16"/>
          <w:szCs w:val="16"/>
          <w:lang w:val="fr-LU"/>
        </w:rPr>
      </w:pPr>
      <w:r w:rsidRPr="00C85402">
        <w:rPr>
          <w:rFonts w:ascii="AdvPSA183" w:hAnsi="AdvPSA183" w:cs="AdvPSA183"/>
          <w:color w:val="000000"/>
          <w:sz w:val="16"/>
          <w:szCs w:val="16"/>
          <w:lang w:val="fr-LU"/>
        </w:rPr>
        <w:t>DOI 10.1016/j.ccr.2008.02.003</w:t>
      </w: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H" w:hAnsi="AdvPSHN-H" w:cs="AdvPSHN-H"/>
          <w:color w:val="000000"/>
          <w:sz w:val="17"/>
          <w:szCs w:val="17"/>
        </w:rPr>
      </w:pP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H" w:hAnsi="AdvPSHN-H" w:cs="AdvPSHN-H"/>
          <w:color w:val="000000"/>
          <w:sz w:val="17"/>
          <w:szCs w:val="17"/>
        </w:rPr>
      </w:pP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H" w:hAnsi="AdvPSHN-H" w:cs="AdvPSHN-H"/>
          <w:color w:val="000000"/>
          <w:sz w:val="17"/>
          <w:szCs w:val="17"/>
        </w:rPr>
      </w:pPr>
    </w:p>
    <w:p w:rsid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H" w:hAnsi="AdvPSHN-H" w:cs="AdvPSHN-H"/>
          <w:color w:val="000000"/>
          <w:sz w:val="17"/>
          <w:szCs w:val="17"/>
        </w:rPr>
      </w:pPr>
      <w:r>
        <w:rPr>
          <w:rFonts w:ascii="AdvPSHN-H" w:hAnsi="AdvPSHN-H" w:cs="AdvPSHN-H"/>
          <w:color w:val="000000"/>
          <w:sz w:val="17"/>
          <w:szCs w:val="17"/>
        </w:rPr>
        <w:t>SUMMARY</w:t>
      </w:r>
    </w:p>
    <w:p w:rsidR="00F52BC4" w:rsidRPr="00C85402" w:rsidRDefault="00C85402" w:rsidP="00C85402">
      <w:pPr>
        <w:autoSpaceDE w:val="0"/>
        <w:autoSpaceDN w:val="0"/>
        <w:adjustRightInd w:val="0"/>
        <w:spacing w:after="0" w:line="240" w:lineRule="auto"/>
        <w:rPr>
          <w:rFonts w:ascii="AdvPSHN-M" w:hAnsi="AdvPSHN-M" w:cs="AdvPSHN-M"/>
          <w:color w:val="000000"/>
          <w:sz w:val="20"/>
          <w:szCs w:val="20"/>
        </w:rPr>
      </w:pPr>
      <w:r>
        <w:rPr>
          <w:rFonts w:ascii="AdvPSHN-M" w:hAnsi="AdvPSHN-M" w:cs="AdvPSHN-M"/>
          <w:color w:val="000000"/>
          <w:sz w:val="20"/>
          <w:szCs w:val="20"/>
        </w:rPr>
        <w:t>Invasion of surrounding brain tissue by isolated tumor cells represents one of t</w:t>
      </w:r>
      <w:r>
        <w:rPr>
          <w:rFonts w:ascii="AdvPSHN-M" w:hAnsi="AdvPSHN-M" w:cs="AdvPSHN-M"/>
          <w:color w:val="000000"/>
          <w:sz w:val="20"/>
          <w:szCs w:val="20"/>
        </w:rPr>
        <w:t xml:space="preserve">he main obstacles to a curative </w:t>
      </w:r>
      <w:r>
        <w:rPr>
          <w:rFonts w:ascii="AdvPSHN-M" w:hAnsi="AdvPSHN-M" w:cs="AdvPSHN-M"/>
          <w:color w:val="000000"/>
          <w:sz w:val="20"/>
          <w:szCs w:val="20"/>
        </w:rPr>
        <w:t xml:space="preserve">therapy of glioblastoma </w:t>
      </w:r>
      <w:proofErr w:type="spellStart"/>
      <w:r>
        <w:rPr>
          <w:rFonts w:ascii="AdvPSHN-M" w:hAnsi="AdvPSHN-M" w:cs="AdvPSHN-M"/>
          <w:color w:val="000000"/>
          <w:sz w:val="20"/>
          <w:szCs w:val="20"/>
        </w:rPr>
        <w:t>multiforme</w:t>
      </w:r>
      <w:proofErr w:type="spellEnd"/>
      <w:r>
        <w:rPr>
          <w:rFonts w:ascii="AdvPSHN-M" w:hAnsi="AdvPSHN-M" w:cs="AdvPSHN-M"/>
          <w:color w:val="000000"/>
          <w:sz w:val="20"/>
          <w:szCs w:val="20"/>
        </w:rPr>
        <w:t xml:space="preserve">. Here we unravel a </w:t>
      </w:r>
      <w:proofErr w:type="spellStart"/>
      <w:r>
        <w:rPr>
          <w:rFonts w:ascii="AdvPSHN-M" w:hAnsi="AdvPSHN-M" w:cs="AdvPSHN-M"/>
          <w:color w:val="000000"/>
          <w:sz w:val="20"/>
          <w:szCs w:val="20"/>
        </w:rPr>
        <w:t>mechanismregulating</w:t>
      </w:r>
      <w:proofErr w:type="spellEnd"/>
      <w:r>
        <w:rPr>
          <w:rFonts w:ascii="AdvPSHN-M" w:hAnsi="AdvPSHN-M" w:cs="AdvPSHN-M"/>
          <w:color w:val="000000"/>
          <w:sz w:val="20"/>
          <w:szCs w:val="20"/>
        </w:rPr>
        <w:t xml:space="preserve"> glioma infiltration. Tumor inter</w:t>
      </w:r>
      <w:r>
        <w:rPr>
          <w:rFonts w:ascii="AdvPSHN-M" w:hAnsi="AdvPSHN-M" w:cs="AdvPSHN-M"/>
          <w:color w:val="000000"/>
          <w:sz w:val="20"/>
          <w:szCs w:val="20"/>
        </w:rPr>
        <w:t xml:space="preserve">action </w:t>
      </w:r>
      <w:r>
        <w:rPr>
          <w:rFonts w:ascii="AdvPSHN-M" w:hAnsi="AdvPSHN-M" w:cs="AdvPSHN-M"/>
          <w:color w:val="000000"/>
          <w:sz w:val="20"/>
          <w:szCs w:val="20"/>
        </w:rPr>
        <w:t>with the surrounding brain tissue induces CD95 Ligand expression.</w:t>
      </w:r>
      <w:r>
        <w:rPr>
          <w:rFonts w:ascii="AdvPSHN-M" w:hAnsi="AdvPSHN-M" w:cs="AdvPSHN-M"/>
          <w:color w:val="000000"/>
          <w:sz w:val="20"/>
          <w:szCs w:val="20"/>
        </w:rPr>
        <w:t xml:space="preserve"> Binding of CD95 Ligand to CD95 </w:t>
      </w:r>
      <w:r>
        <w:rPr>
          <w:rFonts w:ascii="AdvPSHN-M" w:hAnsi="AdvPSHN-M" w:cs="AdvPSHN-M"/>
          <w:color w:val="000000"/>
          <w:sz w:val="20"/>
          <w:szCs w:val="20"/>
        </w:rPr>
        <w:t xml:space="preserve">on glioblastoma cells recruits the </w:t>
      </w:r>
      <w:proofErr w:type="spellStart"/>
      <w:r>
        <w:rPr>
          <w:rFonts w:ascii="AdvPSHN-M" w:hAnsi="AdvPSHN-M" w:cs="AdvPSHN-M"/>
          <w:color w:val="000000"/>
          <w:sz w:val="20"/>
          <w:szCs w:val="20"/>
        </w:rPr>
        <w:t>Src</w:t>
      </w:r>
      <w:proofErr w:type="spellEnd"/>
      <w:r>
        <w:rPr>
          <w:rFonts w:ascii="AdvPSHN-M" w:hAnsi="AdvPSHN-M" w:cs="AdvPSHN-M"/>
          <w:color w:val="000000"/>
          <w:sz w:val="20"/>
          <w:szCs w:val="20"/>
        </w:rPr>
        <w:t xml:space="preserve"> family member Yes and the p85 </w:t>
      </w:r>
      <w:r>
        <w:rPr>
          <w:rFonts w:ascii="AdvPSHN-M" w:hAnsi="AdvPSHN-M" w:cs="AdvPSHN-M"/>
          <w:color w:val="000000"/>
          <w:sz w:val="20"/>
          <w:szCs w:val="20"/>
        </w:rPr>
        <w:t xml:space="preserve">subunit of phosphatidylinositol </w:t>
      </w:r>
      <w:r>
        <w:rPr>
          <w:rFonts w:ascii="AdvPSHN-M" w:hAnsi="AdvPSHN-M" w:cs="AdvPSHN-M"/>
          <w:color w:val="000000"/>
          <w:sz w:val="20"/>
          <w:szCs w:val="20"/>
        </w:rPr>
        <w:t>3-kinase to CD95, which signal invasion via the glycogen synthase kinase 3-</w:t>
      </w:r>
      <w:r>
        <w:rPr>
          <w:rFonts w:ascii="AdvPS4BD310" w:hAnsi="AdvPS4BD310" w:cs="AdvPS4BD310"/>
          <w:color w:val="000000"/>
          <w:sz w:val="20"/>
          <w:szCs w:val="20"/>
        </w:rPr>
        <w:t xml:space="preserve">b </w:t>
      </w:r>
      <w:r>
        <w:rPr>
          <w:rFonts w:ascii="AdvPSHN-M" w:hAnsi="AdvPSHN-M" w:cs="AdvPSHN-M"/>
          <w:color w:val="000000"/>
          <w:sz w:val="20"/>
          <w:szCs w:val="20"/>
        </w:rPr>
        <w:t xml:space="preserve">pathway and subsequent </w:t>
      </w:r>
      <w:r>
        <w:rPr>
          <w:rFonts w:ascii="AdvPSHN-M" w:hAnsi="AdvPSHN-M" w:cs="AdvPSHN-M"/>
          <w:color w:val="000000"/>
          <w:sz w:val="20"/>
          <w:szCs w:val="20"/>
        </w:rPr>
        <w:t xml:space="preserve">expression of matrix </w:t>
      </w:r>
      <w:proofErr w:type="spellStart"/>
      <w:r>
        <w:rPr>
          <w:rFonts w:ascii="AdvPSHN-M" w:hAnsi="AdvPSHN-M" w:cs="AdvPSHN-M"/>
          <w:color w:val="000000"/>
          <w:sz w:val="20"/>
          <w:szCs w:val="20"/>
        </w:rPr>
        <w:t>metalloproteinases</w:t>
      </w:r>
      <w:proofErr w:type="spellEnd"/>
      <w:r>
        <w:rPr>
          <w:rFonts w:ascii="AdvPSHN-M" w:hAnsi="AdvPSHN-M" w:cs="AdvPSHN-M"/>
          <w:color w:val="000000"/>
          <w:sz w:val="20"/>
          <w:szCs w:val="20"/>
        </w:rPr>
        <w:t>. In a murine syngeneic model of i</w:t>
      </w:r>
      <w:r>
        <w:rPr>
          <w:rFonts w:ascii="AdvPSHN-M" w:hAnsi="AdvPSHN-M" w:cs="AdvPSHN-M"/>
          <w:color w:val="000000"/>
          <w:sz w:val="20"/>
          <w:szCs w:val="20"/>
        </w:rPr>
        <w:t xml:space="preserve">ntracranial GBM, neutralization </w:t>
      </w:r>
      <w:r>
        <w:rPr>
          <w:rFonts w:ascii="AdvPSHN-M" w:hAnsi="AdvPSHN-M" w:cs="AdvPSHN-M"/>
          <w:color w:val="000000"/>
          <w:sz w:val="20"/>
          <w:szCs w:val="20"/>
        </w:rPr>
        <w:t>of CD95 activity dramatically reduced th</w:t>
      </w:r>
      <w:r>
        <w:rPr>
          <w:rFonts w:ascii="AdvPSHN-M" w:hAnsi="AdvPSHN-M" w:cs="AdvPSHN-M"/>
          <w:color w:val="000000"/>
          <w:sz w:val="20"/>
          <w:szCs w:val="20"/>
        </w:rPr>
        <w:t xml:space="preserve">e number of invading cells. Our </w:t>
      </w:r>
      <w:r>
        <w:rPr>
          <w:rFonts w:ascii="AdvPSHN-M" w:hAnsi="AdvPSHN-M" w:cs="AdvPSHN-M"/>
          <w:color w:val="000000"/>
          <w:sz w:val="20"/>
          <w:szCs w:val="20"/>
        </w:rPr>
        <w:t>results uncover CD95 as an act</w:t>
      </w:r>
      <w:r>
        <w:rPr>
          <w:rFonts w:ascii="AdvPSHN-M" w:hAnsi="AdvPSHN-M" w:cs="AdvPSHN-M"/>
          <w:color w:val="000000"/>
          <w:sz w:val="20"/>
          <w:szCs w:val="20"/>
        </w:rPr>
        <w:t xml:space="preserve">ivator </w:t>
      </w:r>
      <w:r>
        <w:rPr>
          <w:rFonts w:ascii="AdvPSHN-M" w:hAnsi="AdvPSHN-M" w:cs="AdvPSHN-M"/>
          <w:color w:val="000000"/>
          <w:sz w:val="20"/>
          <w:szCs w:val="20"/>
        </w:rPr>
        <w:t>of PI3K and, most importantly, as a crucial trigger of basal invasion of glioblastoma in vivo.</w:t>
      </w:r>
      <w:bookmarkStart w:id="0" w:name="_GoBack"/>
      <w:bookmarkEnd w:id="0"/>
    </w:p>
    <w:sectPr w:rsidR="00F52BC4" w:rsidRPr="00C8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PSA18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HN-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A18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HN-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4BD3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2"/>
    <w:rsid w:val="00786EF1"/>
    <w:rsid w:val="00865278"/>
    <w:rsid w:val="00C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2EE0"/>
  <w15:chartTrackingRefBased/>
  <w15:docId w15:val="{07E4291B-D8C8-449D-83AF-414DA15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LETELLIER</dc:creator>
  <cp:keywords/>
  <dc:description/>
  <cp:lastModifiedBy>Elisabeth LETELLIER</cp:lastModifiedBy>
  <cp:revision>1</cp:revision>
  <dcterms:created xsi:type="dcterms:W3CDTF">2016-03-30T07:35:00Z</dcterms:created>
  <dcterms:modified xsi:type="dcterms:W3CDTF">2016-03-30T07:36:00Z</dcterms:modified>
</cp:coreProperties>
</file>