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26F" w:rsidRPr="00C62E39" w:rsidRDefault="0039126F" w:rsidP="00887929">
      <w:pPr>
        <w:spacing w:line="360" w:lineRule="auto"/>
        <w:rPr>
          <w:rFonts w:ascii="Garamond" w:hAnsi="Garamond"/>
          <w:sz w:val="24"/>
          <w:szCs w:val="24"/>
        </w:rPr>
      </w:pPr>
      <w:r w:rsidRPr="00C62E39">
        <w:rPr>
          <w:rFonts w:ascii="Garamond" w:hAnsi="Garamond"/>
          <w:sz w:val="24"/>
          <w:szCs w:val="24"/>
        </w:rPr>
        <w:t xml:space="preserve">Editorial </w:t>
      </w:r>
    </w:p>
    <w:p w:rsidR="0039126F" w:rsidRPr="00C62E39" w:rsidRDefault="00FA5959" w:rsidP="00887929">
      <w:pPr>
        <w:spacing w:line="360" w:lineRule="auto"/>
        <w:rPr>
          <w:rFonts w:ascii="Garamond" w:hAnsi="Garamond"/>
          <w:sz w:val="24"/>
          <w:szCs w:val="24"/>
        </w:rPr>
      </w:pPr>
      <w:r>
        <w:rPr>
          <w:rFonts w:ascii="Garamond" w:hAnsi="Garamond"/>
          <w:sz w:val="24"/>
          <w:szCs w:val="24"/>
        </w:rPr>
        <w:t>Schrems and Clarifications by the CJEU on t</w:t>
      </w:r>
      <w:r w:rsidR="003E49C0" w:rsidRPr="00C62E39">
        <w:rPr>
          <w:rFonts w:ascii="Garamond" w:hAnsi="Garamond"/>
          <w:sz w:val="24"/>
          <w:szCs w:val="24"/>
        </w:rPr>
        <w:t xml:space="preserve">he </w:t>
      </w:r>
      <w:r w:rsidR="0039126F" w:rsidRPr="00C62E39">
        <w:rPr>
          <w:rFonts w:ascii="Garamond" w:hAnsi="Garamond"/>
          <w:sz w:val="24"/>
          <w:szCs w:val="24"/>
        </w:rPr>
        <w:t xml:space="preserve">Essence of </w:t>
      </w:r>
      <w:r w:rsidR="003E49C0" w:rsidRPr="00C62E39">
        <w:rPr>
          <w:rFonts w:ascii="Garamond" w:hAnsi="Garamond"/>
          <w:sz w:val="24"/>
          <w:szCs w:val="24"/>
        </w:rPr>
        <w:t xml:space="preserve">EU </w:t>
      </w:r>
      <w:r w:rsidR="0039126F" w:rsidRPr="00C62E39">
        <w:rPr>
          <w:rFonts w:ascii="Garamond" w:hAnsi="Garamond"/>
          <w:sz w:val="24"/>
          <w:szCs w:val="24"/>
        </w:rPr>
        <w:t>Fundamental Rights</w:t>
      </w:r>
      <w:r w:rsidR="00B2687E">
        <w:rPr>
          <w:rFonts w:ascii="Garamond" w:hAnsi="Garamond"/>
          <w:sz w:val="24"/>
          <w:szCs w:val="24"/>
        </w:rPr>
        <w:t xml:space="preserve"> and their </w:t>
      </w:r>
      <w:r w:rsidR="00B2687E" w:rsidRPr="00C62E39">
        <w:rPr>
          <w:rFonts w:ascii="Garamond" w:hAnsi="Garamond"/>
          <w:sz w:val="24"/>
          <w:szCs w:val="24"/>
        </w:rPr>
        <w:t>Global Reach</w:t>
      </w:r>
      <w:r w:rsidR="0039126F" w:rsidRPr="00C62E39">
        <w:rPr>
          <w:rFonts w:ascii="Garamond" w:hAnsi="Garamond"/>
          <w:sz w:val="24"/>
          <w:szCs w:val="24"/>
        </w:rPr>
        <w:t xml:space="preserve"> </w:t>
      </w:r>
    </w:p>
    <w:p w:rsidR="0039126F" w:rsidRPr="00C62E39" w:rsidRDefault="0039126F" w:rsidP="00887929">
      <w:pPr>
        <w:spacing w:line="360" w:lineRule="auto"/>
        <w:rPr>
          <w:rFonts w:ascii="Garamond" w:hAnsi="Garamond"/>
          <w:sz w:val="24"/>
          <w:szCs w:val="24"/>
        </w:rPr>
      </w:pPr>
      <w:r w:rsidRPr="00C62E39">
        <w:rPr>
          <w:rFonts w:ascii="Garamond" w:hAnsi="Garamond"/>
          <w:sz w:val="24"/>
          <w:szCs w:val="24"/>
        </w:rPr>
        <w:t>Herwig C.H. Hofmann</w:t>
      </w:r>
      <w:r w:rsidRPr="00C62E39">
        <w:rPr>
          <w:rStyle w:val="FootnoteReference"/>
          <w:rFonts w:ascii="Garamond" w:hAnsi="Garamond"/>
          <w:sz w:val="24"/>
          <w:szCs w:val="24"/>
        </w:rPr>
        <w:footnoteReference w:id="1"/>
      </w:r>
    </w:p>
    <w:p w:rsidR="0039126F" w:rsidRPr="00C62E39" w:rsidRDefault="0039126F" w:rsidP="00887929">
      <w:pPr>
        <w:spacing w:line="360" w:lineRule="auto"/>
        <w:rPr>
          <w:rFonts w:ascii="Garamond" w:hAnsi="Garamond"/>
          <w:sz w:val="24"/>
          <w:szCs w:val="24"/>
        </w:rPr>
      </w:pPr>
    </w:p>
    <w:p w:rsidR="00B2687E" w:rsidRDefault="00161486" w:rsidP="00887929">
      <w:pPr>
        <w:spacing w:line="360" w:lineRule="auto"/>
        <w:rPr>
          <w:rFonts w:ascii="Garamond" w:hAnsi="Garamond"/>
          <w:sz w:val="24"/>
          <w:szCs w:val="24"/>
        </w:rPr>
      </w:pPr>
      <w:r w:rsidRPr="00C62E39">
        <w:rPr>
          <w:rFonts w:ascii="Garamond" w:hAnsi="Garamond"/>
          <w:sz w:val="24"/>
          <w:szCs w:val="24"/>
        </w:rPr>
        <w:t xml:space="preserve">The CJEU ruling in </w:t>
      </w:r>
      <w:r w:rsidRPr="00C04568">
        <w:rPr>
          <w:rFonts w:ascii="Garamond" w:hAnsi="Garamond"/>
          <w:i/>
          <w:sz w:val="24"/>
          <w:szCs w:val="24"/>
        </w:rPr>
        <w:t>Schrems v Data Prote</w:t>
      </w:r>
      <w:r w:rsidR="0039126F" w:rsidRPr="00C04568">
        <w:rPr>
          <w:rFonts w:ascii="Garamond" w:hAnsi="Garamond"/>
          <w:i/>
          <w:sz w:val="24"/>
          <w:szCs w:val="24"/>
        </w:rPr>
        <w:t>ction Commissioner</w:t>
      </w:r>
      <w:r w:rsidR="00C04568">
        <w:rPr>
          <w:rFonts w:ascii="Garamond" w:hAnsi="Garamond"/>
          <w:i/>
          <w:sz w:val="24"/>
          <w:szCs w:val="24"/>
        </w:rPr>
        <w:t xml:space="preserve"> (DPC)</w:t>
      </w:r>
      <w:r w:rsidR="00C04568">
        <w:rPr>
          <w:rStyle w:val="FootnoteReference"/>
          <w:rFonts w:ascii="Garamond" w:hAnsi="Garamond"/>
          <w:sz w:val="24"/>
          <w:szCs w:val="24"/>
        </w:rPr>
        <w:t xml:space="preserve"> </w:t>
      </w:r>
      <w:r w:rsidR="0039126F" w:rsidRPr="00C62E39">
        <w:rPr>
          <w:rStyle w:val="FootnoteReference"/>
          <w:rFonts w:ascii="Garamond" w:hAnsi="Garamond"/>
          <w:sz w:val="24"/>
          <w:szCs w:val="24"/>
        </w:rPr>
        <w:footnoteReference w:id="2"/>
      </w:r>
      <w:r w:rsidR="0039126F" w:rsidRPr="00C62E39">
        <w:rPr>
          <w:rFonts w:ascii="Garamond" w:hAnsi="Garamond"/>
          <w:sz w:val="24"/>
          <w:szCs w:val="24"/>
        </w:rPr>
        <w:t xml:space="preserve"> </w:t>
      </w:r>
      <w:r w:rsidR="003E49C0" w:rsidRPr="00C62E39">
        <w:rPr>
          <w:rFonts w:ascii="Garamond" w:hAnsi="Garamond"/>
          <w:sz w:val="24"/>
          <w:szCs w:val="24"/>
        </w:rPr>
        <w:t xml:space="preserve">will </w:t>
      </w:r>
      <w:r w:rsidR="00B2687E">
        <w:rPr>
          <w:rFonts w:ascii="Garamond" w:hAnsi="Garamond"/>
          <w:sz w:val="24"/>
          <w:szCs w:val="24"/>
        </w:rPr>
        <w:t xml:space="preserve">be subject to </w:t>
      </w:r>
      <w:r w:rsidR="003E49C0" w:rsidRPr="00C62E39">
        <w:rPr>
          <w:rFonts w:ascii="Garamond" w:hAnsi="Garamond"/>
          <w:sz w:val="24"/>
          <w:szCs w:val="24"/>
        </w:rPr>
        <w:t xml:space="preserve">many discussions </w:t>
      </w:r>
      <w:r w:rsidR="00B2687E">
        <w:rPr>
          <w:rFonts w:ascii="Garamond" w:hAnsi="Garamond"/>
          <w:sz w:val="24"/>
          <w:szCs w:val="24"/>
        </w:rPr>
        <w:t xml:space="preserve">on constitutional matters </w:t>
      </w:r>
      <w:r w:rsidR="003E49C0" w:rsidRPr="00C62E39">
        <w:rPr>
          <w:rFonts w:ascii="Garamond" w:hAnsi="Garamond"/>
          <w:sz w:val="24"/>
          <w:szCs w:val="24"/>
        </w:rPr>
        <w:t xml:space="preserve">for the time to come. It </w:t>
      </w:r>
      <w:r w:rsidR="00C978DB" w:rsidRPr="00C62E39">
        <w:rPr>
          <w:rFonts w:ascii="Garamond" w:hAnsi="Garamond"/>
          <w:sz w:val="24"/>
          <w:szCs w:val="24"/>
        </w:rPr>
        <w:t xml:space="preserve">is a landmark case </w:t>
      </w:r>
      <w:r w:rsidR="0039126F" w:rsidRPr="00C62E39">
        <w:rPr>
          <w:rFonts w:ascii="Garamond" w:hAnsi="Garamond"/>
          <w:sz w:val="24"/>
          <w:szCs w:val="24"/>
        </w:rPr>
        <w:t xml:space="preserve">not only </w:t>
      </w:r>
      <w:r w:rsidR="003E49C0" w:rsidRPr="00C62E39">
        <w:rPr>
          <w:rFonts w:ascii="Garamond" w:hAnsi="Garamond"/>
          <w:sz w:val="24"/>
          <w:szCs w:val="24"/>
        </w:rPr>
        <w:t xml:space="preserve">for clarifying and applying the basic conceptual understanding of </w:t>
      </w:r>
      <w:r w:rsidR="00C978DB" w:rsidRPr="00C62E39">
        <w:rPr>
          <w:rFonts w:ascii="Garamond" w:hAnsi="Garamond"/>
          <w:sz w:val="24"/>
          <w:szCs w:val="24"/>
        </w:rPr>
        <w:t xml:space="preserve">fundamental rights </w:t>
      </w:r>
      <w:r w:rsidR="00C04568">
        <w:rPr>
          <w:rFonts w:ascii="Garamond" w:hAnsi="Garamond"/>
          <w:sz w:val="24"/>
          <w:szCs w:val="24"/>
        </w:rPr>
        <w:t xml:space="preserve">in the EU. </w:t>
      </w:r>
      <w:r w:rsidR="003E49C0" w:rsidRPr="00C04568">
        <w:rPr>
          <w:rFonts w:ascii="Garamond" w:hAnsi="Garamond"/>
          <w:i/>
          <w:sz w:val="24"/>
          <w:szCs w:val="24"/>
        </w:rPr>
        <w:t xml:space="preserve">Schrems </w:t>
      </w:r>
      <w:r w:rsidR="00C04568" w:rsidRPr="00C04568">
        <w:rPr>
          <w:rFonts w:ascii="Garamond" w:hAnsi="Garamond"/>
          <w:i/>
          <w:sz w:val="24"/>
          <w:szCs w:val="24"/>
        </w:rPr>
        <w:t>v DPC</w:t>
      </w:r>
      <w:r w:rsidR="00C04568">
        <w:rPr>
          <w:rFonts w:ascii="Garamond" w:hAnsi="Garamond"/>
          <w:sz w:val="24"/>
          <w:szCs w:val="24"/>
        </w:rPr>
        <w:t xml:space="preserve"> </w:t>
      </w:r>
      <w:r w:rsidR="003E49C0" w:rsidRPr="00C62E39">
        <w:rPr>
          <w:rFonts w:ascii="Garamond" w:hAnsi="Garamond"/>
          <w:sz w:val="24"/>
          <w:szCs w:val="24"/>
        </w:rPr>
        <w:t>clarifies therein many further conditions for effective protection of a right, supervision by Member State authorities as well as</w:t>
      </w:r>
      <w:r w:rsidR="007B62B8" w:rsidRPr="00C62E39">
        <w:rPr>
          <w:rFonts w:ascii="Garamond" w:hAnsi="Garamond"/>
          <w:sz w:val="24"/>
          <w:szCs w:val="24"/>
        </w:rPr>
        <w:t xml:space="preserve"> the global reach of</w:t>
      </w:r>
      <w:r w:rsidR="00FA5959">
        <w:rPr>
          <w:rFonts w:ascii="Garamond" w:hAnsi="Garamond"/>
          <w:sz w:val="24"/>
          <w:szCs w:val="24"/>
        </w:rPr>
        <w:t xml:space="preserve"> EU fundamental rights</w:t>
      </w:r>
      <w:r w:rsidR="007B62B8" w:rsidRPr="00C62E39">
        <w:rPr>
          <w:rFonts w:ascii="Garamond" w:hAnsi="Garamond"/>
          <w:sz w:val="24"/>
          <w:szCs w:val="24"/>
        </w:rPr>
        <w:t>.</w:t>
      </w:r>
      <w:r w:rsidR="003E49C0" w:rsidRPr="00C62E39">
        <w:rPr>
          <w:rFonts w:ascii="Garamond" w:hAnsi="Garamond"/>
          <w:sz w:val="24"/>
          <w:szCs w:val="24"/>
        </w:rPr>
        <w:t xml:space="preserve"> </w:t>
      </w:r>
      <w:r w:rsidR="00D0014D" w:rsidRPr="00C62E39">
        <w:rPr>
          <w:rFonts w:ascii="Garamond" w:hAnsi="Garamond"/>
          <w:sz w:val="24"/>
          <w:szCs w:val="24"/>
        </w:rPr>
        <w:t>A</w:t>
      </w:r>
      <w:r w:rsidR="007B62B8" w:rsidRPr="00C62E39">
        <w:rPr>
          <w:rFonts w:ascii="Garamond" w:hAnsi="Garamond"/>
          <w:sz w:val="24"/>
          <w:szCs w:val="24"/>
        </w:rPr>
        <w:t xml:space="preserve">s </w:t>
      </w:r>
      <w:r w:rsidR="00FA5959">
        <w:rPr>
          <w:rFonts w:ascii="Garamond" w:hAnsi="Garamond"/>
          <w:sz w:val="24"/>
          <w:szCs w:val="24"/>
        </w:rPr>
        <w:t>most</w:t>
      </w:r>
      <w:r w:rsidR="00D0014D" w:rsidRPr="00C62E39">
        <w:rPr>
          <w:rFonts w:ascii="Garamond" w:hAnsi="Garamond"/>
          <w:sz w:val="24"/>
          <w:szCs w:val="24"/>
        </w:rPr>
        <w:t xml:space="preserve"> essential developments in </w:t>
      </w:r>
      <w:r w:rsidR="007B62B8" w:rsidRPr="00C62E39">
        <w:rPr>
          <w:rFonts w:ascii="Garamond" w:hAnsi="Garamond"/>
          <w:sz w:val="24"/>
          <w:szCs w:val="24"/>
        </w:rPr>
        <w:t xml:space="preserve">public law, </w:t>
      </w:r>
      <w:r w:rsidR="00D0014D" w:rsidRPr="00C62E39">
        <w:rPr>
          <w:rFonts w:ascii="Garamond" w:hAnsi="Garamond"/>
          <w:sz w:val="24"/>
          <w:szCs w:val="24"/>
        </w:rPr>
        <w:t>th</w:t>
      </w:r>
      <w:r w:rsidR="00FA5959">
        <w:rPr>
          <w:rFonts w:ascii="Garamond" w:hAnsi="Garamond"/>
          <w:sz w:val="24"/>
          <w:szCs w:val="24"/>
        </w:rPr>
        <w:t xml:space="preserve">is case </w:t>
      </w:r>
      <w:r w:rsidR="00C978DB" w:rsidRPr="00C62E39">
        <w:rPr>
          <w:rFonts w:ascii="Garamond" w:hAnsi="Garamond"/>
          <w:sz w:val="24"/>
          <w:szCs w:val="24"/>
        </w:rPr>
        <w:t>origin</w:t>
      </w:r>
      <w:r w:rsidR="007B62B8" w:rsidRPr="00C62E39">
        <w:rPr>
          <w:rFonts w:ascii="Garamond" w:hAnsi="Garamond"/>
          <w:sz w:val="24"/>
          <w:szCs w:val="24"/>
        </w:rPr>
        <w:t>at</w:t>
      </w:r>
      <w:r w:rsidR="00D0014D" w:rsidRPr="00C62E39">
        <w:rPr>
          <w:rFonts w:ascii="Garamond" w:hAnsi="Garamond"/>
          <w:sz w:val="24"/>
          <w:szCs w:val="24"/>
        </w:rPr>
        <w:t>e</w:t>
      </w:r>
      <w:r w:rsidR="00FA5959">
        <w:rPr>
          <w:rFonts w:ascii="Garamond" w:hAnsi="Garamond"/>
          <w:sz w:val="24"/>
          <w:szCs w:val="24"/>
        </w:rPr>
        <w:t>s</w:t>
      </w:r>
      <w:r w:rsidR="007B62B8" w:rsidRPr="00C62E39">
        <w:rPr>
          <w:rFonts w:ascii="Garamond" w:hAnsi="Garamond"/>
          <w:sz w:val="24"/>
          <w:szCs w:val="24"/>
        </w:rPr>
        <w:t xml:space="preserve"> from the very specific structural and substantive context of </w:t>
      </w:r>
      <w:r w:rsidR="00D0014D" w:rsidRPr="00C62E39">
        <w:rPr>
          <w:rFonts w:ascii="Garamond" w:hAnsi="Garamond"/>
          <w:sz w:val="24"/>
          <w:szCs w:val="24"/>
        </w:rPr>
        <w:t>a specific policy area’s</w:t>
      </w:r>
      <w:r w:rsidR="007B62B8" w:rsidRPr="00C62E39">
        <w:rPr>
          <w:rFonts w:ascii="Garamond" w:hAnsi="Garamond"/>
          <w:sz w:val="24"/>
          <w:szCs w:val="24"/>
        </w:rPr>
        <w:t xml:space="preserve"> administrative law details</w:t>
      </w:r>
      <w:r w:rsidR="00D0014D" w:rsidRPr="00C62E39">
        <w:rPr>
          <w:rFonts w:ascii="Garamond" w:hAnsi="Garamond"/>
          <w:sz w:val="24"/>
          <w:szCs w:val="24"/>
        </w:rPr>
        <w:t xml:space="preserve">. </w:t>
      </w:r>
      <w:r w:rsidR="00B2687E">
        <w:rPr>
          <w:rFonts w:ascii="Garamond" w:hAnsi="Garamond"/>
          <w:sz w:val="24"/>
          <w:szCs w:val="24"/>
        </w:rPr>
        <w:t>But the consequences will radiate</w:t>
      </w:r>
      <w:r w:rsidR="00FA5959">
        <w:rPr>
          <w:rFonts w:ascii="Garamond" w:hAnsi="Garamond"/>
          <w:sz w:val="24"/>
          <w:szCs w:val="24"/>
        </w:rPr>
        <w:t xml:space="preserve"> far</w:t>
      </w:r>
      <w:r w:rsidR="00B2687E">
        <w:rPr>
          <w:rFonts w:ascii="Garamond" w:hAnsi="Garamond"/>
          <w:sz w:val="24"/>
          <w:szCs w:val="24"/>
        </w:rPr>
        <w:t xml:space="preserve"> into debates on pluralism of multi-level legal orders in an inter-connected world. </w:t>
      </w:r>
    </w:p>
    <w:p w:rsidR="00B2687E" w:rsidRDefault="00B2687E" w:rsidP="00887929">
      <w:pPr>
        <w:spacing w:line="360" w:lineRule="auto"/>
        <w:rPr>
          <w:rFonts w:ascii="Garamond" w:hAnsi="Garamond"/>
          <w:sz w:val="24"/>
          <w:szCs w:val="24"/>
        </w:rPr>
      </w:pPr>
    </w:p>
    <w:p w:rsidR="003A7CB6" w:rsidRDefault="00B2687E" w:rsidP="00887929">
      <w:pPr>
        <w:spacing w:line="360" w:lineRule="auto"/>
        <w:rPr>
          <w:rFonts w:ascii="Garamond" w:hAnsi="Garamond"/>
          <w:sz w:val="24"/>
          <w:szCs w:val="24"/>
        </w:rPr>
      </w:pPr>
      <w:r>
        <w:rPr>
          <w:rFonts w:ascii="Garamond" w:hAnsi="Garamond"/>
          <w:sz w:val="24"/>
          <w:szCs w:val="24"/>
        </w:rPr>
        <w:t xml:space="preserve">The background to Schrems v DPC is as follows: </w:t>
      </w:r>
      <w:r w:rsidR="00136DD0" w:rsidRPr="00C62E39">
        <w:rPr>
          <w:rFonts w:ascii="Garamond" w:hAnsi="Garamond"/>
          <w:sz w:val="24"/>
          <w:szCs w:val="24"/>
        </w:rPr>
        <w:t>Sup</w:t>
      </w:r>
      <w:r w:rsidR="00FD7EE8" w:rsidRPr="00C62E39">
        <w:rPr>
          <w:rFonts w:ascii="Garamond" w:hAnsi="Garamond"/>
          <w:sz w:val="24"/>
          <w:szCs w:val="24"/>
        </w:rPr>
        <w:t xml:space="preserve">ervision of compliance with EU </w:t>
      </w:r>
      <w:r w:rsidR="00136DD0" w:rsidRPr="00C62E39">
        <w:rPr>
          <w:rFonts w:ascii="Garamond" w:hAnsi="Garamond"/>
          <w:sz w:val="24"/>
          <w:szCs w:val="24"/>
        </w:rPr>
        <w:t xml:space="preserve">data protection rules takes place </w:t>
      </w:r>
      <w:r w:rsidR="00C978DB" w:rsidRPr="00C62E39">
        <w:rPr>
          <w:rFonts w:ascii="Garamond" w:hAnsi="Garamond"/>
          <w:sz w:val="24"/>
          <w:szCs w:val="24"/>
        </w:rPr>
        <w:t xml:space="preserve">by </w:t>
      </w:r>
      <w:r w:rsidR="00136DD0" w:rsidRPr="00C62E39">
        <w:rPr>
          <w:rFonts w:ascii="Garamond" w:hAnsi="Garamond"/>
          <w:sz w:val="24"/>
          <w:szCs w:val="24"/>
        </w:rPr>
        <w:t xml:space="preserve">national </w:t>
      </w:r>
      <w:r w:rsidR="00C978DB" w:rsidRPr="00C62E39">
        <w:rPr>
          <w:rFonts w:ascii="Garamond" w:hAnsi="Garamond"/>
          <w:sz w:val="24"/>
          <w:szCs w:val="24"/>
        </w:rPr>
        <w:t>authorities vested with “complete independence”</w:t>
      </w:r>
      <w:r w:rsidR="00D0014D" w:rsidRPr="00C62E39">
        <w:rPr>
          <w:rStyle w:val="FootnoteReference"/>
          <w:rFonts w:ascii="Garamond" w:hAnsi="Garamond"/>
          <w:sz w:val="24"/>
          <w:szCs w:val="24"/>
        </w:rPr>
        <w:footnoteReference w:id="3"/>
      </w:r>
      <w:r w:rsidR="00C978DB" w:rsidRPr="00C62E39">
        <w:rPr>
          <w:rFonts w:ascii="Garamond" w:hAnsi="Garamond"/>
          <w:sz w:val="24"/>
          <w:szCs w:val="24"/>
        </w:rPr>
        <w:t xml:space="preserve"> within the territory of each Member State</w:t>
      </w:r>
      <w:r w:rsidR="00136DD0" w:rsidRPr="00C62E39">
        <w:rPr>
          <w:rFonts w:ascii="Garamond" w:hAnsi="Garamond"/>
          <w:sz w:val="24"/>
          <w:szCs w:val="24"/>
        </w:rPr>
        <w:t xml:space="preserve">. </w:t>
      </w:r>
      <w:r w:rsidR="007B62B8" w:rsidRPr="00C62E39">
        <w:rPr>
          <w:rFonts w:ascii="Garamond" w:hAnsi="Garamond"/>
          <w:sz w:val="24"/>
          <w:szCs w:val="24"/>
        </w:rPr>
        <w:t>T</w:t>
      </w:r>
      <w:r w:rsidR="00136DD0" w:rsidRPr="00C62E39">
        <w:rPr>
          <w:rFonts w:ascii="Garamond" w:hAnsi="Garamond"/>
          <w:sz w:val="24"/>
          <w:szCs w:val="24"/>
        </w:rPr>
        <w:t>ransfer of data from the EU to a third country</w:t>
      </w:r>
      <w:r w:rsidR="007B62B8" w:rsidRPr="00C62E39">
        <w:rPr>
          <w:rFonts w:ascii="Garamond" w:hAnsi="Garamond"/>
          <w:sz w:val="24"/>
          <w:szCs w:val="24"/>
        </w:rPr>
        <w:t xml:space="preserve"> is possible only if that country has an “adequate level” of data protection</w:t>
      </w:r>
      <w:r w:rsidR="00D0014D" w:rsidRPr="00C62E39">
        <w:rPr>
          <w:rFonts w:ascii="Garamond" w:hAnsi="Garamond"/>
          <w:sz w:val="24"/>
          <w:szCs w:val="24"/>
        </w:rPr>
        <w:t xml:space="preserve">, a fact the </w:t>
      </w:r>
      <w:r w:rsidR="007B62B8" w:rsidRPr="00C62E39">
        <w:rPr>
          <w:rFonts w:ascii="Garamond" w:hAnsi="Garamond"/>
          <w:sz w:val="24"/>
          <w:szCs w:val="24"/>
        </w:rPr>
        <w:t xml:space="preserve">European </w:t>
      </w:r>
      <w:r w:rsidR="00136DD0" w:rsidRPr="00C62E39">
        <w:rPr>
          <w:rFonts w:ascii="Garamond" w:hAnsi="Garamond"/>
          <w:sz w:val="24"/>
          <w:szCs w:val="24"/>
        </w:rPr>
        <w:t>Com</w:t>
      </w:r>
      <w:r w:rsidR="007B62B8" w:rsidRPr="00C62E39">
        <w:rPr>
          <w:rFonts w:ascii="Garamond" w:hAnsi="Garamond"/>
          <w:sz w:val="24"/>
          <w:szCs w:val="24"/>
        </w:rPr>
        <w:t xml:space="preserve">mission </w:t>
      </w:r>
      <w:r w:rsidR="00D0014D" w:rsidRPr="00C62E39">
        <w:rPr>
          <w:rFonts w:ascii="Garamond" w:hAnsi="Garamond"/>
          <w:sz w:val="24"/>
          <w:szCs w:val="24"/>
        </w:rPr>
        <w:t>may certify by means of a decision</w:t>
      </w:r>
      <w:r w:rsidR="00136DD0" w:rsidRPr="00C62E39">
        <w:rPr>
          <w:rFonts w:ascii="Garamond" w:hAnsi="Garamond"/>
          <w:sz w:val="24"/>
          <w:szCs w:val="24"/>
        </w:rPr>
        <w:t>.</w:t>
      </w:r>
      <w:r w:rsidR="00D0014D" w:rsidRPr="00C62E39">
        <w:rPr>
          <w:rStyle w:val="FootnoteReference"/>
          <w:rFonts w:ascii="Garamond" w:hAnsi="Garamond"/>
          <w:sz w:val="24"/>
          <w:szCs w:val="24"/>
        </w:rPr>
        <w:footnoteReference w:id="4"/>
      </w:r>
      <w:r w:rsidR="00136DD0" w:rsidRPr="00C62E39">
        <w:rPr>
          <w:rFonts w:ascii="Garamond" w:hAnsi="Garamond"/>
          <w:sz w:val="24"/>
          <w:szCs w:val="24"/>
        </w:rPr>
        <w:t xml:space="preserve"> </w:t>
      </w:r>
      <w:r w:rsidR="00E41DDA" w:rsidRPr="00C62E39">
        <w:rPr>
          <w:rFonts w:ascii="Garamond" w:hAnsi="Garamond"/>
          <w:sz w:val="24"/>
          <w:szCs w:val="24"/>
        </w:rPr>
        <w:t>In 2000, t</w:t>
      </w:r>
      <w:r w:rsidR="00136DD0" w:rsidRPr="00C62E39">
        <w:rPr>
          <w:rFonts w:ascii="Garamond" w:hAnsi="Garamond"/>
          <w:sz w:val="24"/>
          <w:szCs w:val="24"/>
        </w:rPr>
        <w:t xml:space="preserve">he Commission had </w:t>
      </w:r>
      <w:r w:rsidR="00E41DDA" w:rsidRPr="00C62E39">
        <w:rPr>
          <w:rFonts w:ascii="Garamond" w:hAnsi="Garamond"/>
          <w:sz w:val="24"/>
          <w:szCs w:val="24"/>
        </w:rPr>
        <w:t xml:space="preserve">taken an adequacy decision </w:t>
      </w:r>
      <w:r w:rsidR="00136DD0" w:rsidRPr="00C62E39">
        <w:rPr>
          <w:rFonts w:ascii="Garamond" w:hAnsi="Garamond"/>
          <w:sz w:val="24"/>
          <w:szCs w:val="24"/>
        </w:rPr>
        <w:t xml:space="preserve">with respect to the United States of </w:t>
      </w:r>
      <w:r w:rsidR="004F6A72" w:rsidRPr="00C62E39">
        <w:rPr>
          <w:rFonts w:ascii="Garamond" w:hAnsi="Garamond"/>
          <w:sz w:val="24"/>
          <w:szCs w:val="24"/>
        </w:rPr>
        <w:t>America</w:t>
      </w:r>
      <w:r w:rsidR="00D0014D" w:rsidRPr="00C62E39">
        <w:rPr>
          <w:rFonts w:ascii="Garamond" w:hAnsi="Garamond"/>
          <w:sz w:val="24"/>
          <w:szCs w:val="24"/>
        </w:rPr>
        <w:t xml:space="preserve">, a </w:t>
      </w:r>
      <w:r w:rsidR="00E41DDA" w:rsidRPr="00C62E39">
        <w:rPr>
          <w:rFonts w:ascii="Garamond" w:hAnsi="Garamond"/>
          <w:sz w:val="24"/>
          <w:szCs w:val="24"/>
        </w:rPr>
        <w:t>deci</w:t>
      </w:r>
      <w:r w:rsidR="00136DD0" w:rsidRPr="00C62E39">
        <w:rPr>
          <w:rFonts w:ascii="Garamond" w:hAnsi="Garamond"/>
          <w:sz w:val="24"/>
          <w:szCs w:val="24"/>
        </w:rPr>
        <w:t>si</w:t>
      </w:r>
      <w:r w:rsidR="004F6A72" w:rsidRPr="00C62E39">
        <w:rPr>
          <w:rFonts w:ascii="Garamond" w:hAnsi="Garamond"/>
          <w:sz w:val="24"/>
          <w:szCs w:val="24"/>
        </w:rPr>
        <w:t xml:space="preserve">on became </w:t>
      </w:r>
      <w:r w:rsidR="00136DD0" w:rsidRPr="00C62E39">
        <w:rPr>
          <w:rFonts w:ascii="Garamond" w:hAnsi="Garamond"/>
          <w:sz w:val="24"/>
          <w:szCs w:val="24"/>
        </w:rPr>
        <w:t>known as the “Safe Harbour Decision”.</w:t>
      </w:r>
      <w:r w:rsidR="00136DD0" w:rsidRPr="00C62E39">
        <w:rPr>
          <w:rStyle w:val="FootnoteReference"/>
          <w:rFonts w:ascii="Garamond" w:hAnsi="Garamond"/>
          <w:sz w:val="24"/>
          <w:szCs w:val="24"/>
        </w:rPr>
        <w:footnoteReference w:id="5"/>
      </w:r>
      <w:r w:rsidR="00136DD0" w:rsidRPr="00C62E39">
        <w:rPr>
          <w:rFonts w:ascii="Garamond" w:hAnsi="Garamond"/>
          <w:sz w:val="24"/>
          <w:szCs w:val="24"/>
        </w:rPr>
        <w:t xml:space="preserve"> </w:t>
      </w:r>
      <w:r w:rsidR="00FA5959">
        <w:rPr>
          <w:rFonts w:ascii="Garamond" w:hAnsi="Garamond"/>
          <w:sz w:val="24"/>
          <w:szCs w:val="24"/>
        </w:rPr>
        <w:t>U</w:t>
      </w:r>
      <w:r w:rsidR="00FA5959">
        <w:rPr>
          <w:rFonts w:ascii="Garamond" w:hAnsi="Garamond"/>
          <w:sz w:val="24"/>
          <w:szCs w:val="24"/>
        </w:rPr>
        <w:t xml:space="preserve">pon </w:t>
      </w:r>
      <w:r w:rsidR="00FA5959" w:rsidRPr="00C62E39">
        <w:rPr>
          <w:rFonts w:ascii="Garamond" w:hAnsi="Garamond"/>
          <w:sz w:val="24"/>
          <w:szCs w:val="24"/>
        </w:rPr>
        <w:t>request for preliminary reference by the High Court of Ireland</w:t>
      </w:r>
      <w:r w:rsidR="00FA5959">
        <w:rPr>
          <w:rFonts w:ascii="Garamond" w:hAnsi="Garamond"/>
          <w:sz w:val="24"/>
          <w:szCs w:val="24"/>
        </w:rPr>
        <w:t xml:space="preserve"> in a judicial review procedure of a decision of the </w:t>
      </w:r>
      <w:r w:rsidR="00FA5959" w:rsidRPr="00C62E39">
        <w:rPr>
          <w:rFonts w:ascii="Garamond" w:hAnsi="Garamond"/>
          <w:sz w:val="24"/>
          <w:szCs w:val="24"/>
        </w:rPr>
        <w:t>Irish Data Protection Commissioner (DPC)</w:t>
      </w:r>
      <w:r w:rsidR="00FA5959">
        <w:rPr>
          <w:rFonts w:ascii="Garamond" w:hAnsi="Garamond"/>
          <w:sz w:val="24"/>
          <w:szCs w:val="24"/>
        </w:rPr>
        <w:t xml:space="preserve"> not to accept a complaint about </w:t>
      </w:r>
      <w:r w:rsidR="00FA5959" w:rsidRPr="00C62E39">
        <w:rPr>
          <w:rFonts w:ascii="Garamond" w:hAnsi="Garamond"/>
          <w:sz w:val="24"/>
          <w:szCs w:val="24"/>
        </w:rPr>
        <w:t>Facebook Ireland t</w:t>
      </w:r>
      <w:r w:rsidR="00FA5959">
        <w:rPr>
          <w:rFonts w:ascii="Garamond" w:hAnsi="Garamond"/>
          <w:sz w:val="24"/>
          <w:szCs w:val="24"/>
        </w:rPr>
        <w:t>ransferring personal data t</w:t>
      </w:r>
      <w:r w:rsidR="00FA5959" w:rsidRPr="00C62E39">
        <w:rPr>
          <w:rFonts w:ascii="Garamond" w:hAnsi="Garamond"/>
          <w:sz w:val="24"/>
          <w:szCs w:val="24"/>
        </w:rPr>
        <w:t>o Faceb</w:t>
      </w:r>
      <w:r w:rsidR="00FA5959">
        <w:rPr>
          <w:rFonts w:ascii="Garamond" w:hAnsi="Garamond"/>
          <w:sz w:val="24"/>
          <w:szCs w:val="24"/>
        </w:rPr>
        <w:t>ook servers in the US</w:t>
      </w:r>
      <w:r w:rsidR="00FA5959">
        <w:rPr>
          <w:rFonts w:ascii="Garamond" w:hAnsi="Garamond"/>
          <w:sz w:val="24"/>
          <w:szCs w:val="24"/>
        </w:rPr>
        <w:t>, t</w:t>
      </w:r>
      <w:r w:rsidR="003A7CB6" w:rsidRPr="00C62E39">
        <w:rPr>
          <w:rFonts w:ascii="Garamond" w:hAnsi="Garamond"/>
          <w:sz w:val="24"/>
          <w:szCs w:val="24"/>
        </w:rPr>
        <w:t>he Court of Justice of the European Union (CJEU) had the opportunity to review the compliance of the various elements of the data protection regime, especially the conditions of the Commission decisions declaring a third country to maintain an adequate level of protection</w:t>
      </w:r>
      <w:r w:rsidR="00FA5959">
        <w:rPr>
          <w:rFonts w:ascii="Garamond" w:hAnsi="Garamond"/>
          <w:sz w:val="24"/>
          <w:szCs w:val="24"/>
        </w:rPr>
        <w:t>.</w:t>
      </w:r>
      <w:r w:rsidR="00160FD9" w:rsidRPr="00C62E39">
        <w:rPr>
          <w:rFonts w:ascii="Garamond" w:hAnsi="Garamond"/>
          <w:sz w:val="24"/>
          <w:szCs w:val="24"/>
        </w:rPr>
        <w:t>.</w:t>
      </w:r>
    </w:p>
    <w:p w:rsidR="00160FD9" w:rsidRDefault="00160FD9" w:rsidP="00887929">
      <w:pPr>
        <w:spacing w:line="360" w:lineRule="auto"/>
        <w:rPr>
          <w:rFonts w:ascii="Garamond" w:hAnsi="Garamond"/>
          <w:sz w:val="24"/>
          <w:szCs w:val="24"/>
        </w:rPr>
      </w:pPr>
    </w:p>
    <w:p w:rsidR="00EE05B3" w:rsidRPr="00C62E39" w:rsidRDefault="000C47E9" w:rsidP="00B462AC">
      <w:pPr>
        <w:spacing w:line="360" w:lineRule="auto"/>
        <w:rPr>
          <w:rFonts w:ascii="Garamond" w:hAnsi="Garamond"/>
          <w:sz w:val="24"/>
          <w:szCs w:val="24"/>
        </w:rPr>
      </w:pPr>
      <w:r w:rsidRPr="00C62E39">
        <w:rPr>
          <w:rFonts w:ascii="Garamond" w:hAnsi="Garamond"/>
          <w:sz w:val="24"/>
          <w:szCs w:val="24"/>
        </w:rPr>
        <w:lastRenderedPageBreak/>
        <w:t>Th</w:t>
      </w:r>
      <w:r w:rsidR="00160FD9">
        <w:rPr>
          <w:rFonts w:ascii="Garamond" w:hAnsi="Garamond"/>
          <w:sz w:val="24"/>
          <w:szCs w:val="24"/>
        </w:rPr>
        <w:t>is cas</w:t>
      </w:r>
      <w:r w:rsidRPr="00C62E39">
        <w:rPr>
          <w:rFonts w:ascii="Garamond" w:hAnsi="Garamond"/>
          <w:sz w:val="24"/>
          <w:szCs w:val="24"/>
        </w:rPr>
        <w:t>e</w:t>
      </w:r>
      <w:r w:rsidR="00160FD9">
        <w:rPr>
          <w:rFonts w:ascii="Garamond" w:hAnsi="Garamond"/>
          <w:sz w:val="24"/>
          <w:szCs w:val="24"/>
        </w:rPr>
        <w:t xml:space="preserve"> -</w:t>
      </w:r>
      <w:r w:rsidRPr="00C62E39">
        <w:rPr>
          <w:rFonts w:ascii="Garamond" w:hAnsi="Garamond"/>
          <w:sz w:val="24"/>
          <w:szCs w:val="24"/>
        </w:rPr>
        <w:t xml:space="preserve"> Schrems v DPC </w:t>
      </w:r>
      <w:r w:rsidR="00160FD9">
        <w:rPr>
          <w:rFonts w:ascii="Garamond" w:hAnsi="Garamond"/>
          <w:sz w:val="24"/>
          <w:szCs w:val="24"/>
        </w:rPr>
        <w:t xml:space="preserve">- </w:t>
      </w:r>
      <w:r w:rsidRPr="00C62E39">
        <w:rPr>
          <w:rFonts w:ascii="Garamond" w:hAnsi="Garamond"/>
          <w:sz w:val="24"/>
          <w:szCs w:val="24"/>
        </w:rPr>
        <w:t xml:space="preserve">has the potential to become one of the cornerstones of fundamental rights cases in Europe. </w:t>
      </w:r>
      <w:r w:rsidR="00160FD9">
        <w:rPr>
          <w:rFonts w:ascii="Garamond" w:hAnsi="Garamond"/>
          <w:sz w:val="24"/>
          <w:szCs w:val="24"/>
        </w:rPr>
        <w:t>T</w:t>
      </w:r>
      <w:r w:rsidR="00FA5959">
        <w:rPr>
          <w:rFonts w:ascii="Garamond" w:hAnsi="Garamond"/>
          <w:sz w:val="24"/>
          <w:szCs w:val="24"/>
        </w:rPr>
        <w:t>he CJEU invalidated</w:t>
      </w:r>
      <w:r w:rsidRPr="00C62E39">
        <w:rPr>
          <w:rFonts w:ascii="Garamond" w:hAnsi="Garamond"/>
          <w:sz w:val="24"/>
          <w:szCs w:val="24"/>
        </w:rPr>
        <w:t xml:space="preserve"> the Commission Safe Harbour Decision because it violated the essence both of the right to privacy and the protection of personal data as it arises from Articles 7 and 8 of the CFR as well as the essence of the right to an effective judicial remedy under Article 47 CFR.</w:t>
      </w:r>
      <w:r w:rsidR="00160FD9" w:rsidRPr="00160FD9">
        <w:rPr>
          <w:rStyle w:val="FootnoteReference"/>
          <w:rFonts w:ascii="Garamond" w:hAnsi="Garamond"/>
          <w:sz w:val="24"/>
          <w:szCs w:val="24"/>
        </w:rPr>
        <w:t xml:space="preserve"> </w:t>
      </w:r>
      <w:r w:rsidR="00160FD9" w:rsidRPr="00C62E39">
        <w:rPr>
          <w:rStyle w:val="FootnoteReference"/>
          <w:rFonts w:ascii="Garamond" w:hAnsi="Garamond"/>
          <w:sz w:val="24"/>
          <w:szCs w:val="24"/>
        </w:rPr>
        <w:footnoteReference w:id="6"/>
      </w:r>
      <w:r w:rsidRPr="00C62E39">
        <w:rPr>
          <w:rFonts w:ascii="Garamond" w:hAnsi="Garamond"/>
          <w:sz w:val="24"/>
          <w:szCs w:val="24"/>
        </w:rPr>
        <w:t xml:space="preserve"> </w:t>
      </w:r>
      <w:r w:rsidR="00D86224" w:rsidRPr="00C62E39">
        <w:rPr>
          <w:rFonts w:ascii="Garamond" w:hAnsi="Garamond"/>
          <w:sz w:val="24"/>
          <w:szCs w:val="24"/>
        </w:rPr>
        <w:t xml:space="preserve">Finding violation of the essence </w:t>
      </w:r>
      <w:r w:rsidR="00160FD9">
        <w:rPr>
          <w:rFonts w:ascii="Garamond" w:hAnsi="Garamond"/>
          <w:sz w:val="24"/>
          <w:szCs w:val="24"/>
        </w:rPr>
        <w:t xml:space="preserve">of a right, protected specifically under </w:t>
      </w:r>
      <w:r w:rsidR="00D86224" w:rsidRPr="00C62E39">
        <w:rPr>
          <w:rFonts w:ascii="Garamond" w:hAnsi="Garamond"/>
          <w:sz w:val="24"/>
          <w:szCs w:val="24"/>
        </w:rPr>
        <w:t>Article 52(1) CFR</w:t>
      </w:r>
      <w:r w:rsidR="00160FD9">
        <w:rPr>
          <w:rFonts w:ascii="Garamond" w:hAnsi="Garamond"/>
          <w:sz w:val="24"/>
          <w:szCs w:val="24"/>
        </w:rPr>
        <w:t>,</w:t>
      </w:r>
      <w:r w:rsidR="00D86224" w:rsidRPr="00C62E39">
        <w:rPr>
          <w:rFonts w:ascii="Garamond" w:hAnsi="Garamond"/>
          <w:sz w:val="24"/>
          <w:szCs w:val="24"/>
        </w:rPr>
        <w:t xml:space="preserve"> means that there is no need to enter into a balancing of various limitations under the principle of proportionality.</w:t>
      </w:r>
      <w:r w:rsidR="00B462AC" w:rsidRPr="00C62E39">
        <w:rPr>
          <w:rFonts w:ascii="Garamond" w:hAnsi="Garamond"/>
          <w:sz w:val="24"/>
          <w:szCs w:val="24"/>
        </w:rPr>
        <w:t xml:space="preserve"> Schrems v DPC</w:t>
      </w:r>
      <w:r w:rsidRPr="00C62E39">
        <w:rPr>
          <w:rFonts w:ascii="Garamond" w:hAnsi="Garamond"/>
          <w:sz w:val="24"/>
          <w:szCs w:val="24"/>
        </w:rPr>
        <w:t xml:space="preserve"> is the first case </w:t>
      </w:r>
      <w:r w:rsidR="00B462AC" w:rsidRPr="00C62E39">
        <w:rPr>
          <w:rFonts w:ascii="Garamond" w:hAnsi="Garamond"/>
          <w:sz w:val="24"/>
          <w:szCs w:val="24"/>
        </w:rPr>
        <w:t xml:space="preserve">in </w:t>
      </w:r>
      <w:r w:rsidRPr="00C62E39">
        <w:rPr>
          <w:rFonts w:ascii="Garamond" w:hAnsi="Garamond"/>
          <w:sz w:val="24"/>
          <w:szCs w:val="24"/>
        </w:rPr>
        <w:t xml:space="preserve">which </w:t>
      </w:r>
      <w:r w:rsidR="00B2687E">
        <w:rPr>
          <w:rFonts w:ascii="Garamond" w:hAnsi="Garamond"/>
          <w:sz w:val="24"/>
          <w:szCs w:val="24"/>
        </w:rPr>
        <w:t xml:space="preserve">the CJEU invalidated an act of EU institutions on the basis of violation of the </w:t>
      </w:r>
      <w:r w:rsidR="00D86224" w:rsidRPr="00C62E39">
        <w:rPr>
          <w:rFonts w:ascii="Garamond" w:hAnsi="Garamond"/>
          <w:sz w:val="24"/>
          <w:szCs w:val="24"/>
        </w:rPr>
        <w:t>hard core of absolutely protected ‘essential’ elements of a fundamental right</w:t>
      </w:r>
      <w:r w:rsidR="00EE05B3" w:rsidRPr="00C62E39">
        <w:rPr>
          <w:rFonts w:ascii="Garamond" w:hAnsi="Garamond"/>
          <w:sz w:val="24"/>
          <w:szCs w:val="24"/>
        </w:rPr>
        <w:t xml:space="preserve">. </w:t>
      </w:r>
      <w:r w:rsidR="00160FD9">
        <w:rPr>
          <w:rFonts w:ascii="Garamond" w:hAnsi="Garamond"/>
          <w:sz w:val="24"/>
          <w:szCs w:val="24"/>
        </w:rPr>
        <w:t xml:space="preserve">Extending </w:t>
      </w:r>
      <w:r w:rsidR="00B2687E">
        <w:rPr>
          <w:rFonts w:ascii="Garamond" w:hAnsi="Garamond"/>
          <w:sz w:val="24"/>
          <w:szCs w:val="24"/>
        </w:rPr>
        <w:t xml:space="preserve">its findings </w:t>
      </w:r>
      <w:r w:rsidR="00160FD9">
        <w:rPr>
          <w:rFonts w:ascii="Garamond" w:hAnsi="Garamond"/>
          <w:sz w:val="24"/>
          <w:szCs w:val="24"/>
        </w:rPr>
        <w:t xml:space="preserve">also to the ancillary procedural rights of </w:t>
      </w:r>
      <w:r w:rsidR="00B462AC" w:rsidRPr="00C62E39">
        <w:rPr>
          <w:rFonts w:ascii="Garamond" w:hAnsi="Garamond"/>
          <w:sz w:val="24"/>
          <w:szCs w:val="24"/>
        </w:rPr>
        <w:t xml:space="preserve">Article 47 CFR </w:t>
      </w:r>
      <w:r w:rsidR="00160FD9">
        <w:rPr>
          <w:rFonts w:ascii="Garamond" w:hAnsi="Garamond"/>
          <w:sz w:val="24"/>
          <w:szCs w:val="24"/>
        </w:rPr>
        <w:t xml:space="preserve">is important for possibilities of holding administrations to account. </w:t>
      </w:r>
      <w:r w:rsidR="006E486F">
        <w:rPr>
          <w:rFonts w:ascii="Garamond" w:hAnsi="Garamond"/>
          <w:sz w:val="24"/>
          <w:szCs w:val="24"/>
        </w:rPr>
        <w:t xml:space="preserve">The Court found the essence of Article 47 CFR to be </w:t>
      </w:r>
      <w:r w:rsidR="00B462AC" w:rsidRPr="00C62E39">
        <w:rPr>
          <w:rFonts w:ascii="Garamond" w:hAnsi="Garamond"/>
          <w:sz w:val="24"/>
          <w:szCs w:val="24"/>
        </w:rPr>
        <w:t xml:space="preserve">violated </w:t>
      </w:r>
      <w:r w:rsidR="006E486F">
        <w:rPr>
          <w:rFonts w:ascii="Garamond" w:hAnsi="Garamond"/>
          <w:sz w:val="24"/>
          <w:szCs w:val="24"/>
        </w:rPr>
        <w:t xml:space="preserve">since </w:t>
      </w:r>
      <w:r w:rsidR="00B462AC" w:rsidRPr="00C62E39">
        <w:rPr>
          <w:rFonts w:ascii="Garamond" w:hAnsi="Garamond"/>
          <w:sz w:val="24"/>
          <w:szCs w:val="24"/>
        </w:rPr>
        <w:t>the Safe Harbour Decision le</w:t>
      </w:r>
      <w:r w:rsidR="006E486F">
        <w:rPr>
          <w:rFonts w:ascii="Garamond" w:hAnsi="Garamond"/>
          <w:sz w:val="24"/>
          <w:szCs w:val="24"/>
        </w:rPr>
        <w:t>ft</w:t>
      </w:r>
      <w:r w:rsidR="00B462AC" w:rsidRPr="00C62E39">
        <w:rPr>
          <w:rFonts w:ascii="Garamond" w:hAnsi="Garamond"/>
          <w:sz w:val="24"/>
          <w:szCs w:val="24"/>
        </w:rPr>
        <w:t xml:space="preserve"> individuals with no way of independent review of compliance with their substantive rights in the event of the transfer of data to the US and their processing by secret services.</w:t>
      </w:r>
    </w:p>
    <w:p w:rsidR="00D86224" w:rsidRPr="00C62E39" w:rsidRDefault="00D86224" w:rsidP="00887929">
      <w:pPr>
        <w:spacing w:line="360" w:lineRule="auto"/>
        <w:rPr>
          <w:rFonts w:ascii="Garamond" w:hAnsi="Garamond"/>
          <w:sz w:val="24"/>
          <w:szCs w:val="24"/>
        </w:rPr>
      </w:pPr>
      <w:r w:rsidRPr="00C62E39">
        <w:rPr>
          <w:rFonts w:ascii="Garamond" w:hAnsi="Garamond"/>
          <w:sz w:val="24"/>
          <w:szCs w:val="24"/>
        </w:rPr>
        <w:t xml:space="preserve"> </w:t>
      </w:r>
    </w:p>
    <w:p w:rsidR="000C47E9" w:rsidRPr="00C62E39" w:rsidRDefault="00B462AC" w:rsidP="000C47E9">
      <w:pPr>
        <w:spacing w:line="360" w:lineRule="auto"/>
        <w:rPr>
          <w:rFonts w:ascii="Garamond" w:hAnsi="Garamond"/>
          <w:sz w:val="24"/>
          <w:szCs w:val="24"/>
        </w:rPr>
      </w:pPr>
      <w:r w:rsidRPr="00C62E39">
        <w:rPr>
          <w:rFonts w:ascii="Garamond" w:hAnsi="Garamond"/>
          <w:sz w:val="24"/>
          <w:szCs w:val="24"/>
        </w:rPr>
        <w:t xml:space="preserve">Schrems v DPC would be famous for this alone. </w:t>
      </w:r>
      <w:r w:rsidR="000C47E9" w:rsidRPr="00C62E39">
        <w:rPr>
          <w:rFonts w:ascii="Garamond" w:hAnsi="Garamond"/>
          <w:sz w:val="24"/>
          <w:szCs w:val="24"/>
        </w:rPr>
        <w:t>But</w:t>
      </w:r>
      <w:r w:rsidRPr="00C62E39">
        <w:rPr>
          <w:rFonts w:ascii="Garamond" w:hAnsi="Garamond"/>
          <w:sz w:val="24"/>
          <w:szCs w:val="24"/>
        </w:rPr>
        <w:t>, importantly for the EU’s legal system,</w:t>
      </w:r>
      <w:r w:rsidR="000C47E9" w:rsidRPr="00C62E39">
        <w:rPr>
          <w:rFonts w:ascii="Garamond" w:hAnsi="Garamond"/>
          <w:sz w:val="24"/>
          <w:szCs w:val="24"/>
        </w:rPr>
        <w:t xml:space="preserve"> it also contains a considerations each of which are of high relevance for EU public law more generally.</w:t>
      </w:r>
    </w:p>
    <w:p w:rsidR="000C47E9" w:rsidRPr="00C62E39" w:rsidRDefault="000C47E9" w:rsidP="000C47E9">
      <w:pPr>
        <w:spacing w:line="360" w:lineRule="auto"/>
        <w:rPr>
          <w:rFonts w:ascii="Garamond" w:hAnsi="Garamond"/>
          <w:sz w:val="24"/>
          <w:szCs w:val="24"/>
        </w:rPr>
      </w:pPr>
      <w:r w:rsidRPr="00C62E39">
        <w:rPr>
          <w:rFonts w:ascii="Garamond" w:hAnsi="Garamond"/>
          <w:sz w:val="24"/>
          <w:szCs w:val="24"/>
        </w:rPr>
        <w:t xml:space="preserve">A first </w:t>
      </w:r>
      <w:r w:rsidR="006E486F">
        <w:rPr>
          <w:rFonts w:ascii="Garamond" w:hAnsi="Garamond"/>
          <w:sz w:val="24"/>
          <w:szCs w:val="24"/>
        </w:rPr>
        <w:t xml:space="preserve">screening of the case </w:t>
      </w:r>
      <w:r w:rsidR="00B2687E">
        <w:rPr>
          <w:rFonts w:ascii="Garamond" w:hAnsi="Garamond"/>
          <w:sz w:val="24"/>
          <w:szCs w:val="24"/>
        </w:rPr>
        <w:t xml:space="preserve">brings to light </w:t>
      </w:r>
      <w:r w:rsidR="006E486F">
        <w:rPr>
          <w:rFonts w:ascii="Garamond" w:hAnsi="Garamond"/>
          <w:sz w:val="24"/>
          <w:szCs w:val="24"/>
        </w:rPr>
        <w:t>many</w:t>
      </w:r>
      <w:r w:rsidRPr="00C62E39">
        <w:rPr>
          <w:rFonts w:ascii="Garamond" w:hAnsi="Garamond"/>
          <w:sz w:val="24"/>
          <w:szCs w:val="24"/>
        </w:rPr>
        <w:t xml:space="preserve"> points, which without doubt, will be discussed in </w:t>
      </w:r>
      <w:proofErr w:type="gramStart"/>
      <w:r w:rsidRPr="00C62E39">
        <w:rPr>
          <w:rFonts w:ascii="Garamond" w:hAnsi="Garamond"/>
          <w:sz w:val="24"/>
          <w:szCs w:val="24"/>
        </w:rPr>
        <w:t>a</w:t>
      </w:r>
      <w:proofErr w:type="gramEnd"/>
      <w:r w:rsidRPr="00C62E39">
        <w:rPr>
          <w:rFonts w:ascii="Garamond" w:hAnsi="Garamond"/>
          <w:sz w:val="24"/>
          <w:szCs w:val="24"/>
        </w:rPr>
        <w:t xml:space="preserve"> string of case reviews and throughout the legal debate in the years to come.</w:t>
      </w:r>
      <w:r w:rsidR="006E486F">
        <w:rPr>
          <w:rFonts w:ascii="Garamond" w:hAnsi="Garamond"/>
          <w:sz w:val="24"/>
          <w:szCs w:val="24"/>
        </w:rPr>
        <w:t xml:space="preserve"> Here is a small selection: </w:t>
      </w:r>
    </w:p>
    <w:p w:rsidR="000C47E9" w:rsidRPr="00C62E39" w:rsidRDefault="000C47E9" w:rsidP="000C47E9">
      <w:pPr>
        <w:spacing w:line="360" w:lineRule="auto"/>
        <w:rPr>
          <w:rFonts w:ascii="Garamond" w:hAnsi="Garamond"/>
          <w:sz w:val="24"/>
          <w:szCs w:val="24"/>
        </w:rPr>
      </w:pPr>
    </w:p>
    <w:p w:rsidR="00161486" w:rsidRPr="00C62E39" w:rsidRDefault="009F1DFD" w:rsidP="00887929">
      <w:pPr>
        <w:spacing w:line="360" w:lineRule="auto"/>
        <w:rPr>
          <w:rFonts w:ascii="Garamond" w:hAnsi="Garamond"/>
          <w:sz w:val="24"/>
          <w:szCs w:val="24"/>
        </w:rPr>
      </w:pPr>
      <w:r w:rsidRPr="00C62E39">
        <w:rPr>
          <w:rFonts w:ascii="Garamond" w:hAnsi="Garamond"/>
          <w:sz w:val="24"/>
          <w:szCs w:val="24"/>
        </w:rPr>
        <w:t xml:space="preserve">One is the international dimension of EU fundamental rights protection. Under </w:t>
      </w:r>
      <w:r w:rsidR="00FA5959">
        <w:rPr>
          <w:rFonts w:ascii="Garamond" w:hAnsi="Garamond"/>
          <w:sz w:val="24"/>
          <w:szCs w:val="24"/>
        </w:rPr>
        <w:t>the EU data protection d</w:t>
      </w:r>
      <w:r w:rsidR="00027731" w:rsidRPr="00C62E39">
        <w:rPr>
          <w:rFonts w:ascii="Garamond" w:hAnsi="Garamond"/>
          <w:sz w:val="24"/>
          <w:szCs w:val="24"/>
        </w:rPr>
        <w:t>irective 95/46</w:t>
      </w:r>
      <w:r w:rsidRPr="00C62E39">
        <w:rPr>
          <w:rFonts w:ascii="Garamond" w:hAnsi="Garamond"/>
          <w:sz w:val="24"/>
          <w:szCs w:val="24"/>
        </w:rPr>
        <w:t xml:space="preserve">, the right to </w:t>
      </w:r>
      <w:r w:rsidR="00027731" w:rsidRPr="00C62E39">
        <w:rPr>
          <w:rFonts w:ascii="Garamond" w:hAnsi="Garamond"/>
          <w:sz w:val="24"/>
          <w:szCs w:val="24"/>
        </w:rPr>
        <w:t xml:space="preserve">data protection </w:t>
      </w:r>
      <w:r w:rsidRPr="00C62E39">
        <w:rPr>
          <w:rFonts w:ascii="Garamond" w:hAnsi="Garamond"/>
          <w:sz w:val="24"/>
          <w:szCs w:val="24"/>
        </w:rPr>
        <w:t xml:space="preserve">has to follow the data also when it is </w:t>
      </w:r>
      <w:r w:rsidR="00027731" w:rsidRPr="00C62E39">
        <w:rPr>
          <w:rFonts w:ascii="Garamond" w:hAnsi="Garamond"/>
          <w:sz w:val="24"/>
          <w:szCs w:val="24"/>
        </w:rPr>
        <w:t>transferred to a third country. Third countries are authorised as recipients only where provisions are made to ensure some mini</w:t>
      </w:r>
      <w:r w:rsidR="00A0539B" w:rsidRPr="00C62E39">
        <w:rPr>
          <w:rFonts w:ascii="Garamond" w:hAnsi="Garamond"/>
          <w:sz w:val="24"/>
          <w:szCs w:val="24"/>
        </w:rPr>
        <w:t>m</w:t>
      </w:r>
      <w:r w:rsidR="00027731" w:rsidRPr="00C62E39">
        <w:rPr>
          <w:rFonts w:ascii="Garamond" w:hAnsi="Garamond"/>
          <w:sz w:val="24"/>
          <w:szCs w:val="24"/>
        </w:rPr>
        <w:t xml:space="preserve">um protection. This places information rights in the age of an inter-connected </w:t>
      </w:r>
      <w:r w:rsidR="00E13358" w:rsidRPr="00C62E39">
        <w:rPr>
          <w:rFonts w:ascii="Garamond" w:hAnsi="Garamond"/>
          <w:sz w:val="24"/>
          <w:szCs w:val="24"/>
        </w:rPr>
        <w:t>world in a very special context</w:t>
      </w:r>
      <w:r w:rsidR="00FA5959">
        <w:rPr>
          <w:rFonts w:ascii="Garamond" w:hAnsi="Garamond"/>
          <w:sz w:val="24"/>
          <w:szCs w:val="24"/>
        </w:rPr>
        <w:t>. A</w:t>
      </w:r>
      <w:r w:rsidR="00E13358" w:rsidRPr="00C62E39">
        <w:rPr>
          <w:rFonts w:ascii="Garamond" w:hAnsi="Garamond"/>
          <w:sz w:val="24"/>
          <w:szCs w:val="24"/>
        </w:rPr>
        <w:t>lthough not per se extraterritorially applicable, they have to be protected on a global scale – a level of protection which has to include the right to an effective legal remedy to protect rights of access to personal data, and possibilities of rectification or erasure even in the case of transfer of such data outside of the Union.</w:t>
      </w:r>
    </w:p>
    <w:p w:rsidR="00E13358" w:rsidRPr="00C62E39" w:rsidRDefault="00E13358" w:rsidP="00887929">
      <w:pPr>
        <w:spacing w:line="360" w:lineRule="auto"/>
        <w:rPr>
          <w:rFonts w:ascii="Garamond" w:hAnsi="Garamond"/>
          <w:sz w:val="24"/>
          <w:szCs w:val="24"/>
        </w:rPr>
      </w:pPr>
    </w:p>
    <w:p w:rsidR="006816A8" w:rsidRPr="00C62E39" w:rsidRDefault="006816A8" w:rsidP="00887929">
      <w:pPr>
        <w:spacing w:line="360" w:lineRule="auto"/>
        <w:rPr>
          <w:rFonts w:ascii="Garamond" w:hAnsi="Garamond"/>
          <w:sz w:val="24"/>
          <w:szCs w:val="24"/>
        </w:rPr>
      </w:pPr>
      <w:r w:rsidRPr="00C62E39">
        <w:rPr>
          <w:rFonts w:ascii="Garamond" w:hAnsi="Garamond"/>
          <w:sz w:val="24"/>
          <w:szCs w:val="24"/>
        </w:rPr>
        <w:t xml:space="preserve">In view of this, it remains important to find a definition under which conditions a foreign legal system can be regarded to offer adequate protection in view of EU law. </w:t>
      </w:r>
      <w:r w:rsidR="002033EC" w:rsidRPr="00C62E39">
        <w:rPr>
          <w:rFonts w:ascii="Garamond" w:hAnsi="Garamond"/>
          <w:sz w:val="24"/>
          <w:szCs w:val="24"/>
        </w:rPr>
        <w:t xml:space="preserve">Schrems v DPC illustrates that </w:t>
      </w:r>
      <w:r w:rsidR="006E486F">
        <w:rPr>
          <w:rFonts w:ascii="Garamond" w:hAnsi="Garamond"/>
          <w:sz w:val="24"/>
          <w:szCs w:val="24"/>
        </w:rPr>
        <w:t>a non-EU</w:t>
      </w:r>
      <w:r w:rsidRPr="00C62E39">
        <w:rPr>
          <w:rFonts w:ascii="Garamond" w:hAnsi="Garamond"/>
          <w:sz w:val="24"/>
          <w:szCs w:val="24"/>
        </w:rPr>
        <w:t xml:space="preserve"> country </w:t>
      </w:r>
      <w:r w:rsidR="006E486F">
        <w:rPr>
          <w:rFonts w:ascii="Garamond" w:hAnsi="Garamond"/>
          <w:sz w:val="24"/>
          <w:szCs w:val="24"/>
        </w:rPr>
        <w:t xml:space="preserve">cannot </w:t>
      </w:r>
      <w:r w:rsidR="002033EC" w:rsidRPr="00C62E39">
        <w:rPr>
          <w:rFonts w:ascii="Garamond" w:hAnsi="Garamond"/>
          <w:sz w:val="24"/>
          <w:szCs w:val="24"/>
        </w:rPr>
        <w:t xml:space="preserve">earn the status of ‘adequate protection’ </w:t>
      </w:r>
      <w:r w:rsidR="006E486F">
        <w:rPr>
          <w:rFonts w:ascii="Garamond" w:hAnsi="Garamond"/>
          <w:sz w:val="24"/>
          <w:szCs w:val="24"/>
        </w:rPr>
        <w:t xml:space="preserve">simply by </w:t>
      </w:r>
      <w:r w:rsidRPr="00C62E39">
        <w:rPr>
          <w:rFonts w:ascii="Garamond" w:hAnsi="Garamond"/>
          <w:sz w:val="24"/>
          <w:szCs w:val="24"/>
        </w:rPr>
        <w:t>guarantee</w:t>
      </w:r>
      <w:r w:rsidR="006E486F">
        <w:rPr>
          <w:rFonts w:ascii="Garamond" w:hAnsi="Garamond"/>
          <w:sz w:val="24"/>
          <w:szCs w:val="24"/>
        </w:rPr>
        <w:t>ing the</w:t>
      </w:r>
      <w:r w:rsidRPr="00C62E39">
        <w:rPr>
          <w:rFonts w:ascii="Garamond" w:hAnsi="Garamond"/>
          <w:sz w:val="24"/>
          <w:szCs w:val="24"/>
        </w:rPr>
        <w:t xml:space="preserve"> </w:t>
      </w:r>
      <w:r w:rsidRPr="00C62E39">
        <w:rPr>
          <w:rFonts w:ascii="Garamond" w:hAnsi="Garamond"/>
          <w:sz w:val="24"/>
          <w:szCs w:val="24"/>
        </w:rPr>
        <w:lastRenderedPageBreak/>
        <w:t>essential elements of the Fundamental Rights in question</w:t>
      </w:r>
      <w:r w:rsidR="002033EC" w:rsidRPr="00C62E39">
        <w:rPr>
          <w:rFonts w:ascii="Garamond" w:hAnsi="Garamond"/>
          <w:sz w:val="24"/>
          <w:szCs w:val="24"/>
        </w:rPr>
        <w:t>. I</w:t>
      </w:r>
      <w:r w:rsidRPr="00C62E39">
        <w:rPr>
          <w:rFonts w:ascii="Garamond" w:hAnsi="Garamond"/>
          <w:sz w:val="24"/>
          <w:szCs w:val="24"/>
        </w:rPr>
        <w:t>n an echo of the ‘Solange’ case law of the Bundesverfassungsgericht and the ‘Bosphorus’ case of the ECtHR</w:t>
      </w:r>
      <w:r w:rsidR="002033EC" w:rsidRPr="00C62E39">
        <w:rPr>
          <w:rFonts w:ascii="Garamond" w:hAnsi="Garamond"/>
          <w:sz w:val="24"/>
          <w:szCs w:val="24"/>
        </w:rPr>
        <w:t>,</w:t>
      </w:r>
      <w:r w:rsidRPr="00C62E39">
        <w:rPr>
          <w:rFonts w:ascii="Garamond" w:hAnsi="Garamond"/>
          <w:sz w:val="24"/>
          <w:szCs w:val="24"/>
        </w:rPr>
        <w:t xml:space="preserve"> the substantive and procedural protection offered by the third country </w:t>
      </w:r>
      <w:r w:rsidR="006E486F">
        <w:rPr>
          <w:rFonts w:ascii="Garamond" w:hAnsi="Garamond"/>
          <w:sz w:val="24"/>
          <w:szCs w:val="24"/>
        </w:rPr>
        <w:t>must, according the CJEU be “essentially equivalent” to the EU level</w:t>
      </w:r>
      <w:r w:rsidR="006E486F" w:rsidRPr="00C62E39">
        <w:rPr>
          <w:rStyle w:val="FootnoteReference"/>
          <w:rFonts w:ascii="Garamond" w:hAnsi="Garamond"/>
          <w:sz w:val="24"/>
          <w:szCs w:val="24"/>
        </w:rPr>
        <w:footnoteReference w:id="7"/>
      </w:r>
      <w:r w:rsidR="006E486F">
        <w:rPr>
          <w:rFonts w:ascii="Garamond" w:hAnsi="Garamond"/>
          <w:sz w:val="24"/>
          <w:szCs w:val="24"/>
        </w:rPr>
        <w:t xml:space="preserve"> – a standard many EU countries fail to achieve in their national law.</w:t>
      </w:r>
      <w:r w:rsidR="006E486F">
        <w:rPr>
          <w:rStyle w:val="FootnoteReference"/>
          <w:rFonts w:ascii="Garamond" w:hAnsi="Garamond"/>
          <w:sz w:val="24"/>
          <w:szCs w:val="24"/>
        </w:rPr>
        <w:footnoteReference w:id="8"/>
      </w:r>
      <w:r w:rsidRPr="00C62E39">
        <w:rPr>
          <w:rFonts w:ascii="Garamond" w:hAnsi="Garamond"/>
          <w:sz w:val="24"/>
          <w:szCs w:val="24"/>
        </w:rPr>
        <w:t xml:space="preserve"> </w:t>
      </w:r>
      <w:r w:rsidR="00FA5959" w:rsidRPr="00FA5959">
        <w:rPr>
          <w:rFonts w:ascii="Garamond" w:hAnsi="Garamond"/>
          <w:sz w:val="24"/>
          <w:szCs w:val="24"/>
        </w:rPr>
        <w:t>On December 4</w:t>
      </w:r>
      <w:r w:rsidR="00FA5959" w:rsidRPr="00FA5959">
        <w:rPr>
          <w:rFonts w:ascii="Garamond" w:hAnsi="Garamond"/>
          <w:sz w:val="24"/>
          <w:szCs w:val="24"/>
          <w:vertAlign w:val="superscript"/>
        </w:rPr>
        <w:t>th</w:t>
      </w:r>
      <w:r w:rsidR="00FA5959" w:rsidRPr="00FA5959">
        <w:rPr>
          <w:rFonts w:ascii="Garamond" w:hAnsi="Garamond"/>
          <w:sz w:val="24"/>
          <w:szCs w:val="24"/>
        </w:rPr>
        <w:t xml:space="preserve"> the European Court of Human Rights in Strasbourg (ECtHR) confirmed this reading by a judgement of its Grand Chamber (</w:t>
      </w:r>
      <w:r w:rsidR="00FA5959" w:rsidRPr="00FA5959">
        <w:rPr>
          <w:rFonts w:ascii="Garamond" w:hAnsi="Garamond"/>
          <w:sz w:val="24"/>
          <w:szCs w:val="24"/>
        </w:rPr>
        <w:t xml:space="preserve">Case </w:t>
      </w:r>
      <w:proofErr w:type="spellStart"/>
      <w:r w:rsidR="00FA5959" w:rsidRPr="00FA5959">
        <w:rPr>
          <w:rFonts w:ascii="Garamond" w:hAnsi="Garamond"/>
          <w:sz w:val="24"/>
          <w:szCs w:val="24"/>
        </w:rPr>
        <w:t>Z</w:t>
      </w:r>
      <w:r w:rsidR="00FA5959" w:rsidRPr="00FA5959">
        <w:rPr>
          <w:rFonts w:ascii="Garamond" w:hAnsi="Garamond"/>
          <w:sz w:val="24"/>
          <w:szCs w:val="24"/>
        </w:rPr>
        <w:t>akharov</w:t>
      </w:r>
      <w:proofErr w:type="spellEnd"/>
      <w:r w:rsidR="00FA5959" w:rsidRPr="00FA5959">
        <w:rPr>
          <w:rFonts w:ascii="Garamond" w:hAnsi="Garamond"/>
          <w:sz w:val="24"/>
          <w:szCs w:val="24"/>
        </w:rPr>
        <w:t xml:space="preserve"> v Russia, </w:t>
      </w:r>
      <w:r w:rsidR="00FA5959" w:rsidRPr="00FA5959">
        <w:rPr>
          <w:rFonts w:ascii="Garamond" w:hAnsi="Garamond"/>
          <w:sz w:val="24"/>
          <w:szCs w:val="24"/>
        </w:rPr>
        <w:t xml:space="preserve">Application no. </w:t>
      </w:r>
      <w:hyperlink r:id="rId7" w:anchor="%7B%22appno%22:[%2247143/06%22]%7D" w:tgtFrame="_blank" w:history="1">
        <w:r w:rsidR="00FA5959" w:rsidRPr="00FA5959">
          <w:rPr>
            <w:rFonts w:ascii="Garamond" w:hAnsi="Garamond"/>
            <w:sz w:val="24"/>
            <w:szCs w:val="24"/>
          </w:rPr>
          <w:t>47143/06</w:t>
        </w:r>
      </w:hyperlink>
      <w:r w:rsidR="00FA5959" w:rsidRPr="00FA5959">
        <w:rPr>
          <w:rFonts w:ascii="Garamond" w:hAnsi="Garamond"/>
          <w:sz w:val="24"/>
          <w:szCs w:val="24"/>
        </w:rPr>
        <w:t>).</w:t>
      </w:r>
      <w:r w:rsidR="00FA5959">
        <w:rPr>
          <w:rFonts w:ascii="Garamond" w:hAnsi="Garamond"/>
          <w:sz w:val="24"/>
          <w:szCs w:val="24"/>
        </w:rPr>
        <w:t xml:space="preserve"> </w:t>
      </w:r>
    </w:p>
    <w:p w:rsidR="006816A8" w:rsidRPr="00C62E39" w:rsidRDefault="006816A8" w:rsidP="00887929">
      <w:pPr>
        <w:spacing w:line="360" w:lineRule="auto"/>
        <w:rPr>
          <w:rFonts w:ascii="Garamond" w:hAnsi="Garamond"/>
          <w:sz w:val="24"/>
          <w:szCs w:val="24"/>
        </w:rPr>
      </w:pPr>
    </w:p>
    <w:p w:rsidR="002033EC" w:rsidRPr="00C62E39" w:rsidRDefault="002033EC" w:rsidP="00887929">
      <w:pPr>
        <w:spacing w:line="360" w:lineRule="auto"/>
        <w:rPr>
          <w:rFonts w:ascii="Garamond" w:hAnsi="Garamond"/>
          <w:sz w:val="24"/>
          <w:szCs w:val="24"/>
        </w:rPr>
      </w:pPr>
      <w:r w:rsidRPr="00C62E39">
        <w:rPr>
          <w:rFonts w:ascii="Garamond" w:hAnsi="Garamond"/>
          <w:sz w:val="24"/>
          <w:szCs w:val="24"/>
        </w:rPr>
        <w:t>Also, Schrems v DPC raises important issues regarding the degree of diligence which both national supervisory authorities and the Commission must show to comply with their obligations under the law in review of transfer of data to third countries. The case, therefore is an important reminder of the developing case law of the duty of care and the obligation to reason decisions accordingly.</w:t>
      </w:r>
      <w:r w:rsidRPr="00C62E39">
        <w:rPr>
          <w:rStyle w:val="FootnoteReference"/>
          <w:rFonts w:ascii="Garamond" w:hAnsi="Garamond"/>
          <w:sz w:val="24"/>
          <w:szCs w:val="24"/>
        </w:rPr>
        <w:footnoteReference w:id="9"/>
      </w:r>
      <w:r w:rsidRPr="00C62E39">
        <w:rPr>
          <w:rFonts w:ascii="Garamond" w:hAnsi="Garamond"/>
          <w:sz w:val="24"/>
          <w:szCs w:val="24"/>
        </w:rPr>
        <w:t xml:space="preserve"> </w:t>
      </w:r>
      <w:r w:rsidR="006E486F">
        <w:rPr>
          <w:rFonts w:ascii="Garamond" w:hAnsi="Garamond"/>
          <w:sz w:val="24"/>
          <w:szCs w:val="24"/>
        </w:rPr>
        <w:t xml:space="preserve">And </w:t>
      </w:r>
      <w:r w:rsidRPr="00C62E39">
        <w:rPr>
          <w:rFonts w:ascii="Garamond" w:hAnsi="Garamond"/>
          <w:sz w:val="24"/>
          <w:szCs w:val="24"/>
        </w:rPr>
        <w:t>in asking the Commission to regularly revisit its own decision especially when there is reason to believe that conditio</w:t>
      </w:r>
      <w:r w:rsidR="006E486F">
        <w:rPr>
          <w:rFonts w:ascii="Garamond" w:hAnsi="Garamond"/>
          <w:sz w:val="24"/>
          <w:szCs w:val="24"/>
        </w:rPr>
        <w:t>ns have changed, Schrems v DPC also</w:t>
      </w:r>
      <w:r w:rsidRPr="00C62E39">
        <w:rPr>
          <w:rFonts w:ascii="Garamond" w:hAnsi="Garamond"/>
          <w:sz w:val="24"/>
          <w:szCs w:val="24"/>
        </w:rPr>
        <w:t xml:space="preserve"> contains important clarifications in EU administrative law and the exercise of discretionary powers as a whole.</w:t>
      </w:r>
    </w:p>
    <w:p w:rsidR="006816A8" w:rsidRPr="00C62E39" w:rsidRDefault="006816A8" w:rsidP="00887929">
      <w:pPr>
        <w:spacing w:line="360" w:lineRule="auto"/>
        <w:rPr>
          <w:rFonts w:ascii="Garamond" w:hAnsi="Garamond"/>
          <w:sz w:val="24"/>
          <w:szCs w:val="24"/>
        </w:rPr>
      </w:pPr>
    </w:p>
    <w:p w:rsidR="009740FA" w:rsidRPr="00C62E39" w:rsidRDefault="006816A8" w:rsidP="00887929">
      <w:pPr>
        <w:spacing w:line="360" w:lineRule="auto"/>
        <w:rPr>
          <w:rFonts w:ascii="Garamond" w:hAnsi="Garamond"/>
          <w:sz w:val="24"/>
          <w:szCs w:val="24"/>
        </w:rPr>
      </w:pPr>
      <w:r w:rsidRPr="00C62E39">
        <w:rPr>
          <w:rFonts w:ascii="Garamond" w:hAnsi="Garamond"/>
          <w:sz w:val="24"/>
          <w:szCs w:val="24"/>
        </w:rPr>
        <w:t>F</w:t>
      </w:r>
      <w:r w:rsidR="009740FA" w:rsidRPr="00C62E39">
        <w:rPr>
          <w:rFonts w:ascii="Garamond" w:hAnsi="Garamond"/>
          <w:sz w:val="24"/>
          <w:szCs w:val="24"/>
        </w:rPr>
        <w:t>urther</w:t>
      </w:r>
      <w:r w:rsidR="00C5391C" w:rsidRPr="00C62E39">
        <w:rPr>
          <w:rFonts w:ascii="Garamond" w:hAnsi="Garamond"/>
          <w:sz w:val="24"/>
          <w:szCs w:val="24"/>
        </w:rPr>
        <w:t xml:space="preserve">, the case raises very important questions regarding the evolution of the relations between national Courts and the CJEU as well as between the CJEU and the ECtHR. Regarding the latter, since national laws empowering secret services of Member States in some cases are no less intrusive than the US </w:t>
      </w:r>
      <w:r w:rsidR="006E486F" w:rsidRPr="00C62E39">
        <w:rPr>
          <w:rFonts w:ascii="Garamond" w:hAnsi="Garamond"/>
          <w:sz w:val="24"/>
          <w:szCs w:val="24"/>
        </w:rPr>
        <w:t>Foreign Intelligence Surveillance Act (FISA)</w:t>
      </w:r>
      <w:r w:rsidR="00C5391C" w:rsidRPr="00C62E39">
        <w:rPr>
          <w:rFonts w:ascii="Garamond" w:hAnsi="Garamond"/>
          <w:sz w:val="24"/>
          <w:szCs w:val="24"/>
        </w:rPr>
        <w:t xml:space="preserve"> was, the ECtHR will take note of the ECJ judgement when it is presented with requests to review the compatibility of such legislation with the ECHR. On the other hand, the CJEU </w:t>
      </w:r>
      <w:r w:rsidR="009740FA" w:rsidRPr="00C62E39">
        <w:rPr>
          <w:rFonts w:ascii="Garamond" w:hAnsi="Garamond"/>
          <w:sz w:val="24"/>
          <w:szCs w:val="24"/>
        </w:rPr>
        <w:t xml:space="preserve">was </w:t>
      </w:r>
      <w:r w:rsidR="00C5391C" w:rsidRPr="00C62E39">
        <w:rPr>
          <w:rFonts w:ascii="Garamond" w:hAnsi="Garamond"/>
          <w:sz w:val="24"/>
          <w:szCs w:val="24"/>
        </w:rPr>
        <w:t xml:space="preserve">confronted with a clearly worded statement by the Irish High Court that the findings of the Commission if reviewed by Irish law would be plainly illegal, was also not willing to fall short of those national expectations. </w:t>
      </w:r>
      <w:r w:rsidR="009740FA" w:rsidRPr="00C62E39">
        <w:rPr>
          <w:rFonts w:ascii="Garamond" w:hAnsi="Garamond"/>
          <w:sz w:val="24"/>
          <w:szCs w:val="24"/>
        </w:rPr>
        <w:t>To a certain degree, the CJEU in Schrems v DPC plays the ball back into the national field, in stating that national authorities under the principle of effectiveness in the context of the principle of sincere cooperation (Article 4(3) TEU) must have the possibility, especially in the light of Article 8(3) CFR to “</w:t>
      </w:r>
      <w:r w:rsidR="006E486F">
        <w:rPr>
          <w:rFonts w:ascii="Garamond" w:hAnsi="Garamond"/>
          <w:sz w:val="24"/>
          <w:szCs w:val="24"/>
        </w:rPr>
        <w:t>engage in legal proceedings</w:t>
      </w:r>
      <w:r w:rsidR="009740FA" w:rsidRPr="00C62E39">
        <w:rPr>
          <w:rFonts w:ascii="Garamond" w:hAnsi="Garamond"/>
          <w:sz w:val="24"/>
          <w:szCs w:val="24"/>
        </w:rPr>
        <w:t>”</w:t>
      </w:r>
      <w:r w:rsidR="006E486F">
        <w:rPr>
          <w:rFonts w:ascii="Garamond" w:hAnsi="Garamond"/>
          <w:sz w:val="24"/>
          <w:szCs w:val="24"/>
        </w:rPr>
        <w:t xml:space="preserve"> before a national court – but without explaining how.</w:t>
      </w:r>
      <w:r w:rsidR="009740FA" w:rsidRPr="00C62E39">
        <w:rPr>
          <w:rStyle w:val="FootnoteReference"/>
          <w:rFonts w:ascii="Garamond" w:hAnsi="Garamond"/>
          <w:sz w:val="24"/>
          <w:szCs w:val="24"/>
        </w:rPr>
        <w:footnoteReference w:id="10"/>
      </w:r>
      <w:r w:rsidR="009740FA" w:rsidRPr="00C62E39">
        <w:rPr>
          <w:rFonts w:ascii="Garamond" w:hAnsi="Garamond"/>
          <w:sz w:val="24"/>
          <w:szCs w:val="24"/>
        </w:rPr>
        <w:t xml:space="preserve"> This requirement thus sets out obligations on the national legal system and is indicative of the </w:t>
      </w:r>
      <w:r w:rsidR="009740FA" w:rsidRPr="00C62E39">
        <w:rPr>
          <w:rFonts w:ascii="Garamond" w:hAnsi="Garamond"/>
          <w:sz w:val="24"/>
          <w:szCs w:val="24"/>
        </w:rPr>
        <w:lastRenderedPageBreak/>
        <w:t>cooperative relation which the national supervisory authorities have with the European Commission in a quasi -composite set of enforcement procedures.</w:t>
      </w:r>
      <w:r w:rsidR="006E486F">
        <w:rPr>
          <w:rFonts w:ascii="Garamond" w:hAnsi="Garamond"/>
          <w:sz w:val="24"/>
          <w:szCs w:val="24"/>
        </w:rPr>
        <w:t xml:space="preserve"> Whether t</w:t>
      </w:r>
      <w:r w:rsidR="00C5391C" w:rsidRPr="00C62E39">
        <w:rPr>
          <w:rFonts w:ascii="Garamond" w:hAnsi="Garamond"/>
          <w:sz w:val="24"/>
          <w:szCs w:val="24"/>
        </w:rPr>
        <w:t>he developing relations might continue as a ‘race to the top’ with respect to the protection of fundamental rights in the Union</w:t>
      </w:r>
      <w:r w:rsidR="006E486F">
        <w:rPr>
          <w:rFonts w:ascii="Garamond" w:hAnsi="Garamond"/>
          <w:sz w:val="24"/>
          <w:szCs w:val="24"/>
        </w:rPr>
        <w:t xml:space="preserve"> remains to be seen</w:t>
      </w:r>
      <w:r w:rsidR="00C5391C" w:rsidRPr="00C62E39">
        <w:rPr>
          <w:rFonts w:ascii="Garamond" w:hAnsi="Garamond"/>
          <w:sz w:val="24"/>
          <w:szCs w:val="24"/>
        </w:rPr>
        <w:t xml:space="preserve">. </w:t>
      </w:r>
      <w:r w:rsidRPr="00C62E39">
        <w:rPr>
          <w:rFonts w:ascii="Garamond" w:hAnsi="Garamond"/>
          <w:sz w:val="24"/>
          <w:szCs w:val="24"/>
        </w:rPr>
        <w:t xml:space="preserve"> </w:t>
      </w:r>
    </w:p>
    <w:p w:rsidR="00C5391C" w:rsidRPr="00C62E39" w:rsidRDefault="00C5391C" w:rsidP="00887929">
      <w:pPr>
        <w:spacing w:line="360" w:lineRule="auto"/>
        <w:rPr>
          <w:rFonts w:ascii="Garamond" w:hAnsi="Garamond"/>
          <w:sz w:val="24"/>
          <w:szCs w:val="24"/>
        </w:rPr>
      </w:pPr>
    </w:p>
    <w:p w:rsidR="00C5391C" w:rsidRPr="00C62E39" w:rsidRDefault="006E486F" w:rsidP="00887929">
      <w:pPr>
        <w:spacing w:line="360" w:lineRule="auto"/>
        <w:rPr>
          <w:rFonts w:ascii="Garamond" w:hAnsi="Garamond"/>
          <w:sz w:val="24"/>
          <w:szCs w:val="24"/>
        </w:rPr>
      </w:pPr>
      <w:r>
        <w:rPr>
          <w:rFonts w:ascii="Garamond" w:hAnsi="Garamond"/>
          <w:sz w:val="24"/>
          <w:szCs w:val="24"/>
        </w:rPr>
        <w:t xml:space="preserve">For private parties around the globe, questions arise to the </w:t>
      </w:r>
      <w:r w:rsidR="00C5391C" w:rsidRPr="00C62E39">
        <w:rPr>
          <w:rFonts w:ascii="Garamond" w:hAnsi="Garamond"/>
          <w:sz w:val="24"/>
          <w:szCs w:val="24"/>
        </w:rPr>
        <w:t xml:space="preserve">practical consequences of the case. The world-wide interest in the judgement, if that can be gauged by the press and media reactions, has possibly surpassed any case the CJEU has so far published. </w:t>
      </w:r>
      <w:r w:rsidR="00C62E39" w:rsidRPr="00C62E39">
        <w:rPr>
          <w:rFonts w:ascii="Garamond" w:hAnsi="Garamond"/>
          <w:sz w:val="24"/>
          <w:szCs w:val="24"/>
        </w:rPr>
        <w:t>E</w:t>
      </w:r>
      <w:r w:rsidR="00C5391C" w:rsidRPr="00C62E39">
        <w:rPr>
          <w:rFonts w:ascii="Garamond" w:hAnsi="Garamond"/>
          <w:sz w:val="24"/>
          <w:szCs w:val="24"/>
        </w:rPr>
        <w:t xml:space="preserve">yes are now </w:t>
      </w:r>
      <w:r w:rsidR="00C62E39" w:rsidRPr="00C62E39">
        <w:rPr>
          <w:rFonts w:ascii="Garamond" w:hAnsi="Garamond"/>
          <w:sz w:val="24"/>
          <w:szCs w:val="24"/>
        </w:rPr>
        <w:t xml:space="preserve">not only </w:t>
      </w:r>
      <w:r w:rsidR="00C5391C" w:rsidRPr="00C62E39">
        <w:rPr>
          <w:rFonts w:ascii="Garamond" w:hAnsi="Garamond"/>
          <w:sz w:val="24"/>
          <w:szCs w:val="24"/>
        </w:rPr>
        <w:t>on the various national data protection supervisory authoriti</w:t>
      </w:r>
      <w:r w:rsidR="00C62E39" w:rsidRPr="00C62E39">
        <w:rPr>
          <w:rFonts w:ascii="Garamond" w:hAnsi="Garamond"/>
          <w:sz w:val="24"/>
          <w:szCs w:val="24"/>
        </w:rPr>
        <w:t xml:space="preserve">es and their possible findings but also on the Commission as to how it will </w:t>
      </w:r>
      <w:r w:rsidR="004F4B11" w:rsidRPr="00C62E39">
        <w:rPr>
          <w:rFonts w:ascii="Garamond" w:hAnsi="Garamond"/>
          <w:sz w:val="24"/>
          <w:szCs w:val="24"/>
        </w:rPr>
        <w:t>proceed</w:t>
      </w:r>
      <w:r>
        <w:rPr>
          <w:rFonts w:ascii="Garamond" w:hAnsi="Garamond"/>
          <w:sz w:val="24"/>
          <w:szCs w:val="24"/>
        </w:rPr>
        <w:t xml:space="preserve"> in ongoing international negotiations</w:t>
      </w:r>
      <w:r w:rsidR="00C62E39" w:rsidRPr="00C62E39">
        <w:rPr>
          <w:rFonts w:ascii="Garamond" w:hAnsi="Garamond"/>
          <w:sz w:val="24"/>
          <w:szCs w:val="24"/>
        </w:rPr>
        <w:t xml:space="preserve">. </w:t>
      </w:r>
      <w:r w:rsidR="004F4B11">
        <w:rPr>
          <w:rFonts w:ascii="Garamond" w:hAnsi="Garamond"/>
          <w:sz w:val="24"/>
          <w:szCs w:val="24"/>
        </w:rPr>
        <w:t xml:space="preserve">The effects of </w:t>
      </w:r>
      <w:r>
        <w:rPr>
          <w:rFonts w:ascii="Garamond" w:hAnsi="Garamond"/>
          <w:sz w:val="24"/>
          <w:szCs w:val="24"/>
        </w:rPr>
        <w:t>this judgement will</w:t>
      </w:r>
      <w:r w:rsidR="004F4B11">
        <w:rPr>
          <w:rFonts w:ascii="Garamond" w:hAnsi="Garamond"/>
          <w:sz w:val="24"/>
          <w:szCs w:val="24"/>
        </w:rPr>
        <w:t xml:space="preserve"> be felt in international trade negotiations such as on the </w:t>
      </w:r>
      <w:proofErr w:type="spellStart"/>
      <w:r w:rsidR="004F4B11">
        <w:rPr>
          <w:rFonts w:ascii="Garamond" w:hAnsi="Garamond"/>
          <w:sz w:val="24"/>
          <w:szCs w:val="24"/>
        </w:rPr>
        <w:t>TTiP</w:t>
      </w:r>
      <w:proofErr w:type="spellEnd"/>
      <w:r w:rsidR="004F4B11">
        <w:rPr>
          <w:rFonts w:ascii="Garamond" w:hAnsi="Garamond"/>
          <w:sz w:val="24"/>
          <w:szCs w:val="24"/>
        </w:rPr>
        <w:t xml:space="preserve"> and TISA. But existing agreements such as the EU-US Terrorist Finance Tracking Programme (TFTP) and the </w:t>
      </w:r>
      <w:r>
        <w:rPr>
          <w:rFonts w:ascii="Garamond" w:hAnsi="Garamond"/>
          <w:sz w:val="24"/>
          <w:szCs w:val="24"/>
        </w:rPr>
        <w:t xml:space="preserve">already negotiated </w:t>
      </w:r>
      <w:r w:rsidR="004F4B11">
        <w:rPr>
          <w:rFonts w:ascii="Garamond" w:hAnsi="Garamond"/>
          <w:sz w:val="24"/>
          <w:szCs w:val="24"/>
        </w:rPr>
        <w:t>EU-US framework agreement on the protection of personal data when transferred and processed for law enforcement purposes will have to be reviewed in the light of the findings of the Court in Schrems v DPC.</w:t>
      </w:r>
      <w:r w:rsidR="00C62E39" w:rsidRPr="00C62E39">
        <w:rPr>
          <w:rFonts w:ascii="Garamond" w:hAnsi="Garamond"/>
          <w:sz w:val="24"/>
          <w:szCs w:val="24"/>
        </w:rPr>
        <w:t xml:space="preserve"> </w:t>
      </w:r>
    </w:p>
    <w:p w:rsidR="002033EC" w:rsidRPr="00C62E39" w:rsidRDefault="002033EC" w:rsidP="002033EC">
      <w:pPr>
        <w:spacing w:line="360" w:lineRule="auto"/>
        <w:rPr>
          <w:rFonts w:ascii="Garamond" w:hAnsi="Garamond"/>
          <w:sz w:val="24"/>
          <w:szCs w:val="24"/>
        </w:rPr>
      </w:pPr>
    </w:p>
    <w:p w:rsidR="00C5391C" w:rsidRPr="00C62E39" w:rsidRDefault="00C5391C" w:rsidP="00887929">
      <w:pPr>
        <w:spacing w:line="360" w:lineRule="auto"/>
        <w:rPr>
          <w:rFonts w:ascii="Garamond" w:hAnsi="Garamond"/>
          <w:sz w:val="24"/>
          <w:szCs w:val="24"/>
        </w:rPr>
      </w:pPr>
      <w:bookmarkStart w:id="0" w:name="_GoBack"/>
      <w:bookmarkEnd w:id="0"/>
    </w:p>
    <w:sectPr w:rsidR="00C5391C" w:rsidRPr="00C62E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879" w:rsidRDefault="00560879" w:rsidP="00005339">
      <w:r>
        <w:separator/>
      </w:r>
    </w:p>
  </w:endnote>
  <w:endnote w:type="continuationSeparator" w:id="0">
    <w:p w:rsidR="00560879" w:rsidRDefault="00560879" w:rsidP="0000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879" w:rsidRDefault="00560879" w:rsidP="00005339">
      <w:r>
        <w:separator/>
      </w:r>
    </w:p>
  </w:footnote>
  <w:footnote w:type="continuationSeparator" w:id="0">
    <w:p w:rsidR="00560879" w:rsidRDefault="00560879" w:rsidP="00005339">
      <w:r>
        <w:continuationSeparator/>
      </w:r>
    </w:p>
  </w:footnote>
  <w:footnote w:id="1">
    <w:p w:rsidR="0039126F" w:rsidRPr="00C62E39" w:rsidRDefault="0039126F" w:rsidP="0039126F">
      <w:pPr>
        <w:rPr>
          <w:rFonts w:ascii="Garamond" w:eastAsia="MS Mincho" w:hAnsi="Garamond" w:cs="Calibri"/>
          <w:noProof/>
          <w:lang w:val="en-US"/>
        </w:rPr>
      </w:pPr>
      <w:r w:rsidRPr="00C62E39">
        <w:rPr>
          <w:rStyle w:val="FootnoteReference"/>
          <w:rFonts w:ascii="Garamond" w:hAnsi="Garamond"/>
        </w:rPr>
        <w:footnoteRef/>
      </w:r>
      <w:r w:rsidRPr="00C62E39">
        <w:rPr>
          <w:rFonts w:ascii="Garamond" w:hAnsi="Garamond"/>
        </w:rPr>
        <w:t xml:space="preserve"> </w:t>
      </w:r>
      <w:r w:rsidRPr="00C62E39">
        <w:rPr>
          <w:rFonts w:ascii="Garamond" w:eastAsia="MS Mincho" w:hAnsi="Garamond" w:cs="Arial"/>
          <w:noProof/>
          <w:lang w:val="en-US"/>
        </w:rPr>
        <w:t>Herwig C. H. Hofmann</w:t>
      </w:r>
      <w:r w:rsidRPr="00C62E39">
        <w:rPr>
          <w:rFonts w:ascii="Garamond" w:eastAsia="MS Mincho" w:hAnsi="Garamond" w:cs="Calibri"/>
          <w:noProof/>
          <w:lang w:val="en-US"/>
        </w:rPr>
        <w:t xml:space="preserve">, </w:t>
      </w:r>
      <w:r w:rsidRPr="00C62E39">
        <w:rPr>
          <w:rFonts w:ascii="Garamond" w:eastAsia="MS Mincho" w:hAnsi="Garamond" w:cs="Arial"/>
          <w:noProof/>
          <w:lang w:val="en-US"/>
        </w:rPr>
        <w:t>Professor of European and Transnational Public Law</w:t>
      </w:r>
      <w:r w:rsidRPr="00C62E39">
        <w:rPr>
          <w:rFonts w:ascii="Garamond" w:eastAsia="MS Mincho" w:hAnsi="Garamond" w:cs="Calibri"/>
          <w:noProof/>
          <w:lang w:val="en-US"/>
        </w:rPr>
        <w:t xml:space="preserve">, </w:t>
      </w:r>
      <w:r w:rsidRPr="00C62E39">
        <w:rPr>
          <w:rFonts w:ascii="Garamond" w:eastAsia="MS Mincho" w:hAnsi="Garamond" w:cs="Arial"/>
          <w:noProof/>
        </w:rPr>
        <w:t>University of Luxembourg</w:t>
      </w:r>
      <w:r w:rsidRPr="00C62E39">
        <w:rPr>
          <w:rFonts w:ascii="Garamond" w:eastAsia="MS Mincho" w:hAnsi="Garamond" w:cs="Calibri"/>
          <w:noProof/>
        </w:rPr>
        <w:t xml:space="preserve">, </w:t>
      </w:r>
      <w:r w:rsidRPr="00C62E39">
        <w:rPr>
          <w:rFonts w:ascii="Garamond" w:eastAsia="MS Mincho" w:hAnsi="Garamond" w:cs="Arial"/>
          <w:noProof/>
          <w:lang w:val="en-US"/>
        </w:rPr>
        <w:t>Faculty of Law, Economics and Finance (herwig.hofmann@uni.lu). The author represented Maximilian Schrems before the CJEU in case C-376/14.</w:t>
      </w:r>
    </w:p>
  </w:footnote>
  <w:footnote w:id="2">
    <w:p w:rsidR="0039126F" w:rsidRPr="00C62E39" w:rsidRDefault="0039126F">
      <w:pPr>
        <w:pStyle w:val="FootnoteText"/>
        <w:rPr>
          <w:rFonts w:ascii="Garamond" w:hAnsi="Garamond"/>
          <w:sz w:val="22"/>
          <w:szCs w:val="22"/>
        </w:rPr>
      </w:pPr>
      <w:r w:rsidRPr="00C62E39">
        <w:rPr>
          <w:rStyle w:val="FootnoteReference"/>
          <w:rFonts w:ascii="Garamond" w:hAnsi="Garamond"/>
          <w:sz w:val="22"/>
          <w:szCs w:val="22"/>
        </w:rPr>
        <w:footnoteRef/>
      </w:r>
      <w:r w:rsidRPr="00C62E39">
        <w:rPr>
          <w:rFonts w:ascii="Garamond" w:hAnsi="Garamond"/>
          <w:sz w:val="22"/>
          <w:szCs w:val="22"/>
        </w:rPr>
        <w:t xml:space="preserve"> CJEU C-362/14 </w:t>
      </w:r>
      <w:r w:rsidRPr="00C62E39">
        <w:rPr>
          <w:rFonts w:ascii="Garamond" w:hAnsi="Garamond"/>
          <w:i/>
          <w:sz w:val="22"/>
          <w:szCs w:val="22"/>
        </w:rPr>
        <w:t xml:space="preserve">Schrems v Data Protection Commissioner </w:t>
      </w:r>
      <w:r w:rsidRPr="00C62E39">
        <w:rPr>
          <w:rFonts w:ascii="Garamond" w:hAnsi="Garamond"/>
          <w:sz w:val="22"/>
          <w:szCs w:val="22"/>
        </w:rPr>
        <w:t xml:space="preserve">of 6 October 2015, </w:t>
      </w:r>
      <w:r w:rsidRPr="00C62E39">
        <w:rPr>
          <w:rStyle w:val="outputecliaff"/>
          <w:rFonts w:ascii="Garamond" w:hAnsi="Garamond"/>
          <w:sz w:val="22"/>
          <w:szCs w:val="22"/>
        </w:rPr>
        <w:t>ECLI</w:t>
      </w:r>
      <w:proofErr w:type="gramStart"/>
      <w:r w:rsidRPr="00C62E39">
        <w:rPr>
          <w:rStyle w:val="outputecliaff"/>
          <w:rFonts w:ascii="Garamond" w:hAnsi="Garamond"/>
          <w:sz w:val="22"/>
          <w:szCs w:val="22"/>
        </w:rPr>
        <w:t>:EU:C:2015:650</w:t>
      </w:r>
      <w:proofErr w:type="gramEnd"/>
      <w:r w:rsidRPr="00C62E39">
        <w:rPr>
          <w:rStyle w:val="outputecliaff"/>
          <w:rFonts w:ascii="Garamond" w:hAnsi="Garamond"/>
          <w:sz w:val="22"/>
          <w:szCs w:val="22"/>
        </w:rPr>
        <w:t>.</w:t>
      </w:r>
    </w:p>
  </w:footnote>
  <w:footnote w:id="3">
    <w:p w:rsidR="00D0014D" w:rsidRPr="00C62E39" w:rsidRDefault="00D0014D">
      <w:pPr>
        <w:pStyle w:val="FootnoteText"/>
        <w:rPr>
          <w:rFonts w:ascii="Garamond" w:hAnsi="Garamond"/>
          <w:sz w:val="22"/>
          <w:szCs w:val="22"/>
        </w:rPr>
      </w:pPr>
      <w:r w:rsidRPr="00C62E39">
        <w:rPr>
          <w:rStyle w:val="FootnoteReference"/>
          <w:rFonts w:ascii="Garamond" w:hAnsi="Garamond"/>
          <w:sz w:val="22"/>
          <w:szCs w:val="22"/>
        </w:rPr>
        <w:footnoteRef/>
      </w:r>
      <w:r w:rsidRPr="00C62E39">
        <w:rPr>
          <w:rFonts w:ascii="Garamond" w:hAnsi="Garamond"/>
          <w:sz w:val="22"/>
          <w:szCs w:val="22"/>
        </w:rPr>
        <w:t xml:space="preserve"> </w:t>
      </w:r>
      <w:r w:rsidR="00C62E39" w:rsidRPr="00C62E39">
        <w:rPr>
          <w:rFonts w:ascii="Garamond" w:hAnsi="Garamond"/>
          <w:sz w:val="22"/>
          <w:szCs w:val="22"/>
        </w:rPr>
        <w:t xml:space="preserve">Article 28 of </w:t>
      </w:r>
      <w:r w:rsidR="00C62E39" w:rsidRPr="00C62E39">
        <w:rPr>
          <w:rFonts w:ascii="Garamond" w:hAnsi="Garamond" w:cs="Arial"/>
          <w:sz w:val="22"/>
          <w:szCs w:val="22"/>
        </w:rPr>
        <w:t>Directive 95/46/EC of the European Parliament and of the Council of 24 October 1995 on the protection of individuals with regard to the processing of personal data and on the free movement o</w:t>
      </w:r>
      <w:r w:rsidR="00C62E39">
        <w:rPr>
          <w:rFonts w:ascii="Garamond" w:hAnsi="Garamond" w:cs="Arial"/>
          <w:sz w:val="22"/>
          <w:szCs w:val="22"/>
        </w:rPr>
        <w:t>f such data, OJ 1995 L 281/</w:t>
      </w:r>
      <w:r w:rsidR="00C62E39" w:rsidRPr="00C62E39">
        <w:rPr>
          <w:rFonts w:ascii="Garamond" w:hAnsi="Garamond" w:cs="Arial"/>
          <w:sz w:val="22"/>
          <w:szCs w:val="22"/>
        </w:rPr>
        <w:t>31</w:t>
      </w:r>
      <w:r w:rsidRPr="00C62E39">
        <w:rPr>
          <w:rFonts w:ascii="Garamond" w:hAnsi="Garamond"/>
          <w:sz w:val="22"/>
          <w:szCs w:val="22"/>
        </w:rPr>
        <w:t>.</w:t>
      </w:r>
    </w:p>
  </w:footnote>
  <w:footnote w:id="4">
    <w:p w:rsidR="00D0014D" w:rsidRPr="00C62E39" w:rsidRDefault="00D0014D">
      <w:pPr>
        <w:pStyle w:val="FootnoteText"/>
        <w:rPr>
          <w:rFonts w:ascii="Garamond" w:hAnsi="Garamond"/>
          <w:sz w:val="22"/>
          <w:szCs w:val="22"/>
        </w:rPr>
      </w:pPr>
      <w:r w:rsidRPr="00C62E39">
        <w:rPr>
          <w:rStyle w:val="FootnoteReference"/>
          <w:rFonts w:ascii="Garamond" w:hAnsi="Garamond"/>
          <w:sz w:val="22"/>
          <w:szCs w:val="22"/>
        </w:rPr>
        <w:footnoteRef/>
      </w:r>
      <w:r w:rsidRPr="00C62E39">
        <w:rPr>
          <w:rFonts w:ascii="Garamond" w:hAnsi="Garamond"/>
          <w:sz w:val="22"/>
          <w:szCs w:val="22"/>
        </w:rPr>
        <w:t xml:space="preserve"> Article 25(1), (2) and (6) </w:t>
      </w:r>
      <w:r w:rsidR="00C62E39" w:rsidRPr="00C62E39">
        <w:rPr>
          <w:rFonts w:ascii="Garamond" w:hAnsi="Garamond"/>
          <w:sz w:val="22"/>
          <w:szCs w:val="22"/>
        </w:rPr>
        <w:t xml:space="preserve">of </w:t>
      </w:r>
      <w:r w:rsidRPr="00C62E39">
        <w:rPr>
          <w:rFonts w:ascii="Garamond" w:hAnsi="Garamond"/>
          <w:sz w:val="22"/>
          <w:szCs w:val="22"/>
        </w:rPr>
        <w:t>Dir</w:t>
      </w:r>
      <w:r w:rsidR="00C62E39" w:rsidRPr="00C62E39">
        <w:rPr>
          <w:rFonts w:ascii="Garamond" w:hAnsi="Garamond"/>
          <w:sz w:val="22"/>
          <w:szCs w:val="22"/>
        </w:rPr>
        <w:t>ective</w:t>
      </w:r>
      <w:r w:rsidRPr="00C62E39">
        <w:rPr>
          <w:rFonts w:ascii="Garamond" w:hAnsi="Garamond"/>
          <w:sz w:val="22"/>
          <w:szCs w:val="22"/>
        </w:rPr>
        <w:t xml:space="preserve"> 95/46.</w:t>
      </w:r>
    </w:p>
  </w:footnote>
  <w:footnote w:id="5">
    <w:p w:rsidR="00136DD0" w:rsidRPr="00C62E39" w:rsidRDefault="00136DD0">
      <w:pPr>
        <w:pStyle w:val="FootnoteText"/>
        <w:rPr>
          <w:rFonts w:ascii="Garamond" w:hAnsi="Garamond"/>
          <w:sz w:val="22"/>
          <w:szCs w:val="22"/>
        </w:rPr>
      </w:pPr>
      <w:r w:rsidRPr="00C62E39">
        <w:rPr>
          <w:rStyle w:val="FootnoteReference"/>
          <w:rFonts w:ascii="Garamond" w:hAnsi="Garamond"/>
          <w:sz w:val="22"/>
          <w:szCs w:val="22"/>
        </w:rPr>
        <w:footnoteRef/>
      </w:r>
      <w:r w:rsidRPr="00C62E39">
        <w:rPr>
          <w:rFonts w:ascii="Garamond" w:hAnsi="Garamond"/>
          <w:sz w:val="22"/>
          <w:szCs w:val="22"/>
        </w:rPr>
        <w:t xml:space="preserve"> </w:t>
      </w:r>
      <w:r w:rsidR="00C62E39" w:rsidRPr="00C62E39">
        <w:rPr>
          <w:rFonts w:ascii="Garamond" w:hAnsi="Garamond" w:cs="Arial"/>
          <w:sz w:val="22"/>
          <w:szCs w:val="22"/>
        </w:rPr>
        <w:t xml:space="preserve">Commission Decision 2000/520/EC of 26 July 2000 pursuant to Directive 95/46 on the adequacy of the protection provided by the safe harbour privacy principles and related frequently asked questions issued by the US Department </w:t>
      </w:r>
      <w:r w:rsidR="00C62E39">
        <w:rPr>
          <w:rFonts w:ascii="Garamond" w:hAnsi="Garamond" w:cs="Arial"/>
          <w:sz w:val="22"/>
          <w:szCs w:val="22"/>
        </w:rPr>
        <w:t>of Commerce, OJ 2000 L 215/</w:t>
      </w:r>
      <w:r w:rsidR="00C62E39" w:rsidRPr="00C62E39">
        <w:rPr>
          <w:rFonts w:ascii="Garamond" w:hAnsi="Garamond" w:cs="Arial"/>
          <w:sz w:val="22"/>
          <w:szCs w:val="22"/>
        </w:rPr>
        <w:t>7</w:t>
      </w:r>
      <w:r w:rsidR="00C62E39">
        <w:rPr>
          <w:rFonts w:ascii="Garamond" w:hAnsi="Garamond" w:cs="Arial"/>
          <w:sz w:val="22"/>
          <w:szCs w:val="22"/>
        </w:rPr>
        <w:t>.</w:t>
      </w:r>
    </w:p>
  </w:footnote>
  <w:footnote w:id="6">
    <w:p w:rsidR="00160FD9" w:rsidRPr="00C62E39" w:rsidRDefault="00160FD9" w:rsidP="00160FD9">
      <w:pPr>
        <w:pStyle w:val="FootnoteText"/>
        <w:rPr>
          <w:rFonts w:ascii="Garamond" w:hAnsi="Garamond"/>
          <w:sz w:val="22"/>
          <w:szCs w:val="22"/>
        </w:rPr>
      </w:pPr>
      <w:r w:rsidRPr="00C62E39">
        <w:rPr>
          <w:rStyle w:val="FootnoteReference"/>
          <w:rFonts w:ascii="Garamond" w:hAnsi="Garamond"/>
          <w:sz w:val="22"/>
          <w:szCs w:val="22"/>
        </w:rPr>
        <w:footnoteRef/>
      </w:r>
      <w:r>
        <w:rPr>
          <w:rFonts w:ascii="Garamond" w:hAnsi="Garamond"/>
          <w:sz w:val="22"/>
          <w:szCs w:val="22"/>
        </w:rPr>
        <w:t xml:space="preserve"> </w:t>
      </w:r>
      <w:r w:rsidRPr="00C62E39">
        <w:rPr>
          <w:rFonts w:ascii="Garamond" w:hAnsi="Garamond"/>
          <w:sz w:val="22"/>
          <w:szCs w:val="22"/>
        </w:rPr>
        <w:t xml:space="preserve">CJEU C-362/14 </w:t>
      </w:r>
      <w:r w:rsidRPr="00C62E39">
        <w:rPr>
          <w:rFonts w:ascii="Garamond" w:hAnsi="Garamond"/>
          <w:i/>
          <w:sz w:val="22"/>
          <w:szCs w:val="22"/>
        </w:rPr>
        <w:t xml:space="preserve">Schrems v Data Protection Commissioner </w:t>
      </w:r>
      <w:r w:rsidRPr="00C62E39">
        <w:rPr>
          <w:rFonts w:ascii="Garamond" w:hAnsi="Garamond"/>
          <w:sz w:val="22"/>
          <w:szCs w:val="22"/>
        </w:rPr>
        <w:t xml:space="preserve">of 6 October 2015, </w:t>
      </w:r>
      <w:r w:rsidRPr="00C62E39">
        <w:rPr>
          <w:rStyle w:val="outputecliaff"/>
          <w:rFonts w:ascii="Garamond" w:hAnsi="Garamond"/>
          <w:sz w:val="22"/>
          <w:szCs w:val="22"/>
        </w:rPr>
        <w:t>ECLI</w:t>
      </w:r>
      <w:proofErr w:type="gramStart"/>
      <w:r w:rsidRPr="00C62E39">
        <w:rPr>
          <w:rStyle w:val="outputecliaff"/>
          <w:rFonts w:ascii="Garamond" w:hAnsi="Garamond"/>
          <w:sz w:val="22"/>
          <w:szCs w:val="22"/>
        </w:rPr>
        <w:t>:EU:C:2015:650</w:t>
      </w:r>
      <w:proofErr w:type="gramEnd"/>
      <w:r>
        <w:rPr>
          <w:rStyle w:val="outputecliaff"/>
          <w:rFonts w:ascii="Garamond" w:hAnsi="Garamond"/>
          <w:sz w:val="22"/>
          <w:szCs w:val="22"/>
        </w:rPr>
        <w:t>, p</w:t>
      </w:r>
      <w:r>
        <w:rPr>
          <w:rFonts w:ascii="Garamond" w:hAnsi="Garamond"/>
          <w:sz w:val="22"/>
          <w:szCs w:val="22"/>
        </w:rPr>
        <w:t>aras 94-</w:t>
      </w:r>
      <w:r w:rsidRPr="00C62E39">
        <w:rPr>
          <w:rFonts w:ascii="Garamond" w:hAnsi="Garamond"/>
          <w:sz w:val="22"/>
          <w:szCs w:val="22"/>
        </w:rPr>
        <w:t>95</w:t>
      </w:r>
      <w:r>
        <w:rPr>
          <w:rFonts w:ascii="Garamond" w:hAnsi="Garamond"/>
          <w:sz w:val="22"/>
          <w:szCs w:val="22"/>
        </w:rPr>
        <w:t>.</w:t>
      </w:r>
    </w:p>
  </w:footnote>
  <w:footnote w:id="7">
    <w:p w:rsidR="006E486F" w:rsidRPr="00C62E39" w:rsidRDefault="006E486F" w:rsidP="006E486F">
      <w:pPr>
        <w:pStyle w:val="FootnoteText"/>
        <w:rPr>
          <w:rFonts w:ascii="Garamond" w:hAnsi="Garamond"/>
          <w:sz w:val="22"/>
          <w:szCs w:val="22"/>
        </w:rPr>
      </w:pPr>
      <w:r w:rsidRPr="00C62E39">
        <w:rPr>
          <w:rStyle w:val="FootnoteReference"/>
          <w:rFonts w:ascii="Garamond" w:hAnsi="Garamond"/>
          <w:sz w:val="22"/>
          <w:szCs w:val="22"/>
        </w:rPr>
        <w:footnoteRef/>
      </w:r>
      <w:r w:rsidRPr="00C62E39">
        <w:rPr>
          <w:rFonts w:ascii="Garamond" w:hAnsi="Garamond"/>
          <w:sz w:val="22"/>
          <w:szCs w:val="22"/>
        </w:rPr>
        <w:t xml:space="preserve"> CJEU C-362/14 </w:t>
      </w:r>
      <w:r w:rsidRPr="00C62E39">
        <w:rPr>
          <w:rFonts w:ascii="Garamond" w:hAnsi="Garamond"/>
          <w:i/>
          <w:sz w:val="22"/>
          <w:szCs w:val="22"/>
        </w:rPr>
        <w:t xml:space="preserve">Schrems v Data Protection Commissioner </w:t>
      </w:r>
      <w:r w:rsidRPr="00C62E39">
        <w:rPr>
          <w:rFonts w:ascii="Garamond" w:hAnsi="Garamond"/>
          <w:sz w:val="22"/>
          <w:szCs w:val="22"/>
        </w:rPr>
        <w:t xml:space="preserve">of 6 October 2015, </w:t>
      </w:r>
      <w:r w:rsidRPr="00C62E39">
        <w:rPr>
          <w:rStyle w:val="outputecliaff"/>
          <w:rFonts w:ascii="Garamond" w:hAnsi="Garamond"/>
          <w:sz w:val="22"/>
          <w:szCs w:val="22"/>
        </w:rPr>
        <w:t>ECLI</w:t>
      </w:r>
      <w:proofErr w:type="gramStart"/>
      <w:r w:rsidRPr="00C62E39">
        <w:rPr>
          <w:rStyle w:val="outputecliaff"/>
          <w:rFonts w:ascii="Garamond" w:hAnsi="Garamond"/>
          <w:sz w:val="22"/>
          <w:szCs w:val="22"/>
        </w:rPr>
        <w:t>:EU:C:2015:650</w:t>
      </w:r>
      <w:proofErr w:type="gramEnd"/>
      <w:r>
        <w:rPr>
          <w:rStyle w:val="outputecliaff"/>
          <w:rFonts w:ascii="Garamond" w:hAnsi="Garamond"/>
          <w:sz w:val="22"/>
          <w:szCs w:val="22"/>
        </w:rPr>
        <w:t>, p</w:t>
      </w:r>
      <w:r w:rsidRPr="00C62E39">
        <w:rPr>
          <w:rFonts w:ascii="Garamond" w:hAnsi="Garamond"/>
          <w:sz w:val="22"/>
          <w:szCs w:val="22"/>
        </w:rPr>
        <w:t>ara 73.</w:t>
      </w:r>
    </w:p>
  </w:footnote>
  <w:footnote w:id="8">
    <w:p w:rsidR="006E486F" w:rsidRDefault="006E486F">
      <w:pPr>
        <w:pStyle w:val="FootnoteText"/>
      </w:pPr>
      <w:r>
        <w:rPr>
          <w:rStyle w:val="FootnoteReference"/>
        </w:rPr>
        <w:footnoteRef/>
      </w:r>
      <w:r>
        <w:t xml:space="preserve"> </w:t>
      </w:r>
      <w:r w:rsidRPr="006E486F">
        <w:rPr>
          <w:rFonts w:ascii="Garamond" w:hAnsi="Garamond"/>
          <w:sz w:val="22"/>
          <w:szCs w:val="22"/>
        </w:rPr>
        <w:t xml:space="preserve">See e.g. European Parliament resolution of 29 October 2015 on the follow-up to the European Parliament </w:t>
      </w:r>
      <w:proofErr w:type="spellStart"/>
      <w:r w:rsidRPr="006E486F">
        <w:rPr>
          <w:rFonts w:ascii="Garamond" w:hAnsi="Garamond"/>
          <w:sz w:val="22"/>
          <w:szCs w:val="22"/>
        </w:rPr>
        <w:t>resultiation</w:t>
      </w:r>
      <w:proofErr w:type="spellEnd"/>
      <w:r w:rsidRPr="006E486F">
        <w:rPr>
          <w:rFonts w:ascii="Garamond" w:hAnsi="Garamond"/>
          <w:sz w:val="22"/>
          <w:szCs w:val="22"/>
        </w:rPr>
        <w:t xml:space="preserve"> of 12 March 2014 on the electronic mass surveillance of EU </w:t>
      </w:r>
      <w:proofErr w:type="spellStart"/>
      <w:r w:rsidRPr="006E486F">
        <w:rPr>
          <w:rFonts w:ascii="Garamond" w:hAnsi="Garamond"/>
          <w:sz w:val="22"/>
          <w:szCs w:val="22"/>
        </w:rPr>
        <w:t>ciitzens</w:t>
      </w:r>
      <w:proofErr w:type="spellEnd"/>
      <w:r w:rsidRPr="006E486F">
        <w:rPr>
          <w:rFonts w:ascii="Garamond" w:hAnsi="Garamond"/>
          <w:sz w:val="22"/>
          <w:szCs w:val="22"/>
        </w:rPr>
        <w:t xml:space="preserve"> (2</w:t>
      </w:r>
      <w:r>
        <w:rPr>
          <w:rFonts w:ascii="Garamond" w:hAnsi="Garamond"/>
          <w:sz w:val="22"/>
          <w:szCs w:val="22"/>
        </w:rPr>
        <w:t>015/2635(RSP)), P8_</w:t>
      </w:r>
      <w:proofErr w:type="gramStart"/>
      <w:r>
        <w:rPr>
          <w:rFonts w:ascii="Garamond" w:hAnsi="Garamond"/>
          <w:sz w:val="22"/>
          <w:szCs w:val="22"/>
        </w:rPr>
        <w:t>TA(</w:t>
      </w:r>
      <w:proofErr w:type="gramEnd"/>
      <w:r>
        <w:rPr>
          <w:rFonts w:ascii="Garamond" w:hAnsi="Garamond"/>
          <w:sz w:val="22"/>
          <w:szCs w:val="22"/>
        </w:rPr>
        <w:t>2015)0388 with further references.</w:t>
      </w:r>
    </w:p>
  </w:footnote>
  <w:footnote w:id="9">
    <w:p w:rsidR="002033EC" w:rsidRPr="00C62E39" w:rsidRDefault="002033EC" w:rsidP="002033EC">
      <w:pPr>
        <w:pStyle w:val="FootnoteText"/>
        <w:rPr>
          <w:rFonts w:ascii="Garamond" w:hAnsi="Garamond"/>
          <w:sz w:val="22"/>
          <w:szCs w:val="22"/>
        </w:rPr>
      </w:pPr>
      <w:r w:rsidRPr="00C62E39">
        <w:rPr>
          <w:rStyle w:val="FootnoteReference"/>
          <w:rFonts w:ascii="Garamond" w:hAnsi="Garamond"/>
          <w:sz w:val="22"/>
          <w:szCs w:val="22"/>
        </w:rPr>
        <w:footnoteRef/>
      </w:r>
      <w:r w:rsidR="004F4B11">
        <w:rPr>
          <w:rFonts w:ascii="Garamond" w:hAnsi="Garamond"/>
          <w:sz w:val="22"/>
          <w:szCs w:val="22"/>
        </w:rPr>
        <w:t xml:space="preserve"> </w:t>
      </w:r>
      <w:r w:rsidR="004F4B11" w:rsidRPr="00C62E39">
        <w:rPr>
          <w:rFonts w:ascii="Garamond" w:hAnsi="Garamond"/>
          <w:sz w:val="22"/>
          <w:szCs w:val="22"/>
        </w:rPr>
        <w:t xml:space="preserve">CJEU C-362/14 </w:t>
      </w:r>
      <w:r w:rsidR="004F4B11" w:rsidRPr="00C62E39">
        <w:rPr>
          <w:rFonts w:ascii="Garamond" w:hAnsi="Garamond"/>
          <w:i/>
          <w:sz w:val="22"/>
          <w:szCs w:val="22"/>
        </w:rPr>
        <w:t xml:space="preserve">Schrems v Data Protection Commissioner </w:t>
      </w:r>
      <w:r w:rsidR="004F4B11" w:rsidRPr="00C62E39">
        <w:rPr>
          <w:rFonts w:ascii="Garamond" w:hAnsi="Garamond"/>
          <w:sz w:val="22"/>
          <w:szCs w:val="22"/>
        </w:rPr>
        <w:t xml:space="preserve">of 6 October 2015, </w:t>
      </w:r>
      <w:r w:rsidR="004F4B11" w:rsidRPr="00C62E39">
        <w:rPr>
          <w:rStyle w:val="outputecliaff"/>
          <w:rFonts w:ascii="Garamond" w:hAnsi="Garamond"/>
          <w:sz w:val="22"/>
          <w:szCs w:val="22"/>
        </w:rPr>
        <w:t>ECLI</w:t>
      </w:r>
      <w:proofErr w:type="gramStart"/>
      <w:r w:rsidR="004F4B11" w:rsidRPr="00C62E39">
        <w:rPr>
          <w:rStyle w:val="outputecliaff"/>
          <w:rFonts w:ascii="Garamond" w:hAnsi="Garamond"/>
          <w:sz w:val="22"/>
          <w:szCs w:val="22"/>
        </w:rPr>
        <w:t>:EU:C:2015:650</w:t>
      </w:r>
      <w:proofErr w:type="gramEnd"/>
      <w:r w:rsidR="004F4B11">
        <w:rPr>
          <w:rStyle w:val="outputecliaff"/>
          <w:rFonts w:ascii="Garamond" w:hAnsi="Garamond"/>
          <w:sz w:val="22"/>
          <w:szCs w:val="22"/>
        </w:rPr>
        <w:t>, p</w:t>
      </w:r>
      <w:r w:rsidRPr="00C62E39">
        <w:rPr>
          <w:rFonts w:ascii="Garamond" w:hAnsi="Garamond"/>
          <w:sz w:val="22"/>
          <w:szCs w:val="22"/>
        </w:rPr>
        <w:t>aras 63, 75-76, 96-97.</w:t>
      </w:r>
    </w:p>
  </w:footnote>
  <w:footnote w:id="10">
    <w:p w:rsidR="009740FA" w:rsidRPr="00C62E39" w:rsidRDefault="009740FA" w:rsidP="009740FA">
      <w:pPr>
        <w:pStyle w:val="FootnoteText"/>
        <w:rPr>
          <w:rFonts w:ascii="Garamond" w:hAnsi="Garamond"/>
          <w:sz w:val="22"/>
          <w:szCs w:val="22"/>
        </w:rPr>
      </w:pPr>
      <w:r w:rsidRPr="00C62E39">
        <w:rPr>
          <w:rStyle w:val="FootnoteReference"/>
          <w:rFonts w:ascii="Garamond" w:hAnsi="Garamond"/>
          <w:sz w:val="22"/>
          <w:szCs w:val="22"/>
        </w:rPr>
        <w:footnoteRef/>
      </w:r>
      <w:r w:rsidRPr="00C62E39">
        <w:rPr>
          <w:rFonts w:ascii="Garamond" w:hAnsi="Garamond"/>
          <w:sz w:val="22"/>
          <w:szCs w:val="22"/>
        </w:rPr>
        <w:t xml:space="preserve"> </w:t>
      </w:r>
      <w:r w:rsidR="004F4B11" w:rsidRPr="00C62E39">
        <w:rPr>
          <w:rFonts w:ascii="Garamond" w:hAnsi="Garamond"/>
          <w:sz w:val="22"/>
          <w:szCs w:val="22"/>
        </w:rPr>
        <w:t xml:space="preserve">CJEU C-362/14 </w:t>
      </w:r>
      <w:r w:rsidR="004F4B11" w:rsidRPr="00C62E39">
        <w:rPr>
          <w:rFonts w:ascii="Garamond" w:hAnsi="Garamond"/>
          <w:i/>
          <w:sz w:val="22"/>
          <w:szCs w:val="22"/>
        </w:rPr>
        <w:t xml:space="preserve">Schrems v Data Protection Commissioner </w:t>
      </w:r>
      <w:r w:rsidR="004F4B11" w:rsidRPr="00C62E39">
        <w:rPr>
          <w:rFonts w:ascii="Garamond" w:hAnsi="Garamond"/>
          <w:sz w:val="22"/>
          <w:szCs w:val="22"/>
        </w:rPr>
        <w:t xml:space="preserve">of 6 October 2015, </w:t>
      </w:r>
      <w:r w:rsidR="004F4B11" w:rsidRPr="00C62E39">
        <w:rPr>
          <w:rStyle w:val="outputecliaff"/>
          <w:rFonts w:ascii="Garamond" w:hAnsi="Garamond"/>
          <w:sz w:val="22"/>
          <w:szCs w:val="22"/>
        </w:rPr>
        <w:t>ECLI</w:t>
      </w:r>
      <w:proofErr w:type="gramStart"/>
      <w:r w:rsidR="004F4B11" w:rsidRPr="00C62E39">
        <w:rPr>
          <w:rStyle w:val="outputecliaff"/>
          <w:rFonts w:ascii="Garamond" w:hAnsi="Garamond"/>
          <w:sz w:val="22"/>
          <w:szCs w:val="22"/>
        </w:rPr>
        <w:t>:EU:C:2015:650</w:t>
      </w:r>
      <w:proofErr w:type="gramEnd"/>
      <w:r w:rsidR="004F4B11">
        <w:rPr>
          <w:rStyle w:val="outputecliaff"/>
          <w:rFonts w:ascii="Garamond" w:hAnsi="Garamond"/>
          <w:sz w:val="22"/>
          <w:szCs w:val="22"/>
        </w:rPr>
        <w:t>, p</w:t>
      </w:r>
      <w:r w:rsidRPr="00C62E39">
        <w:rPr>
          <w:rFonts w:ascii="Garamond" w:hAnsi="Garamond"/>
          <w:sz w:val="22"/>
          <w:szCs w:val="22"/>
        </w:rPr>
        <w:t>ara 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15EC"/>
    <w:multiLevelType w:val="hybridMultilevel"/>
    <w:tmpl w:val="2CEA77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F628B6"/>
    <w:multiLevelType w:val="hybridMultilevel"/>
    <w:tmpl w:val="C33083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4D4035"/>
    <w:multiLevelType w:val="hybridMultilevel"/>
    <w:tmpl w:val="2CEA77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39"/>
    <w:rsid w:val="00001C31"/>
    <w:rsid w:val="00005339"/>
    <w:rsid w:val="00027731"/>
    <w:rsid w:val="000627A0"/>
    <w:rsid w:val="000800A2"/>
    <w:rsid w:val="00092F20"/>
    <w:rsid w:val="000C47E9"/>
    <w:rsid w:val="000C7DB4"/>
    <w:rsid w:val="00103C45"/>
    <w:rsid w:val="00136DD0"/>
    <w:rsid w:val="00160FD9"/>
    <w:rsid w:val="00161486"/>
    <w:rsid w:val="0017785A"/>
    <w:rsid w:val="001D3832"/>
    <w:rsid w:val="001E2869"/>
    <w:rsid w:val="002033EC"/>
    <w:rsid w:val="00223EED"/>
    <w:rsid w:val="00227551"/>
    <w:rsid w:val="002603BD"/>
    <w:rsid w:val="00280532"/>
    <w:rsid w:val="002B48BD"/>
    <w:rsid w:val="002D146B"/>
    <w:rsid w:val="002E0035"/>
    <w:rsid w:val="00323CEF"/>
    <w:rsid w:val="00347CA9"/>
    <w:rsid w:val="0039126F"/>
    <w:rsid w:val="00391E9C"/>
    <w:rsid w:val="003A7CB6"/>
    <w:rsid w:val="003C6571"/>
    <w:rsid w:val="003C6BF5"/>
    <w:rsid w:val="003E49C0"/>
    <w:rsid w:val="004261B5"/>
    <w:rsid w:val="0049618B"/>
    <w:rsid w:val="004B4316"/>
    <w:rsid w:val="004F4B11"/>
    <w:rsid w:val="004F6A72"/>
    <w:rsid w:val="00560879"/>
    <w:rsid w:val="005B659D"/>
    <w:rsid w:val="005C7F18"/>
    <w:rsid w:val="00651F3A"/>
    <w:rsid w:val="00657500"/>
    <w:rsid w:val="00674E98"/>
    <w:rsid w:val="006816A8"/>
    <w:rsid w:val="006824E4"/>
    <w:rsid w:val="006E486F"/>
    <w:rsid w:val="00720BC6"/>
    <w:rsid w:val="007309FD"/>
    <w:rsid w:val="00772654"/>
    <w:rsid w:val="007B62B8"/>
    <w:rsid w:val="007D09DE"/>
    <w:rsid w:val="007F6A72"/>
    <w:rsid w:val="00804FF3"/>
    <w:rsid w:val="00806AA2"/>
    <w:rsid w:val="00834384"/>
    <w:rsid w:val="008579F6"/>
    <w:rsid w:val="00887929"/>
    <w:rsid w:val="008E6DD2"/>
    <w:rsid w:val="008F079A"/>
    <w:rsid w:val="00933719"/>
    <w:rsid w:val="009740FA"/>
    <w:rsid w:val="00980711"/>
    <w:rsid w:val="009909D9"/>
    <w:rsid w:val="009B451C"/>
    <w:rsid w:val="009E2ADA"/>
    <w:rsid w:val="009F1DFD"/>
    <w:rsid w:val="00A03A3A"/>
    <w:rsid w:val="00A0539B"/>
    <w:rsid w:val="00A25441"/>
    <w:rsid w:val="00A62E00"/>
    <w:rsid w:val="00AA2FAC"/>
    <w:rsid w:val="00B2687E"/>
    <w:rsid w:val="00B462AC"/>
    <w:rsid w:val="00B52EED"/>
    <w:rsid w:val="00BC4A4B"/>
    <w:rsid w:val="00BC5952"/>
    <w:rsid w:val="00BD50D2"/>
    <w:rsid w:val="00BE0337"/>
    <w:rsid w:val="00BF3317"/>
    <w:rsid w:val="00C04568"/>
    <w:rsid w:val="00C25AAA"/>
    <w:rsid w:val="00C5391C"/>
    <w:rsid w:val="00C62E39"/>
    <w:rsid w:val="00C77856"/>
    <w:rsid w:val="00C919B7"/>
    <w:rsid w:val="00C93054"/>
    <w:rsid w:val="00C978DB"/>
    <w:rsid w:val="00CA6C54"/>
    <w:rsid w:val="00CB40B7"/>
    <w:rsid w:val="00CF245B"/>
    <w:rsid w:val="00D0014D"/>
    <w:rsid w:val="00D55AF3"/>
    <w:rsid w:val="00D80D03"/>
    <w:rsid w:val="00D86224"/>
    <w:rsid w:val="00DA4EEB"/>
    <w:rsid w:val="00DB3859"/>
    <w:rsid w:val="00DB4C80"/>
    <w:rsid w:val="00DE029A"/>
    <w:rsid w:val="00DF2DC5"/>
    <w:rsid w:val="00E13358"/>
    <w:rsid w:val="00E31C25"/>
    <w:rsid w:val="00E41DDA"/>
    <w:rsid w:val="00E82B03"/>
    <w:rsid w:val="00E85D69"/>
    <w:rsid w:val="00EA1E47"/>
    <w:rsid w:val="00EE05B3"/>
    <w:rsid w:val="00EF1F04"/>
    <w:rsid w:val="00F74642"/>
    <w:rsid w:val="00FA5959"/>
    <w:rsid w:val="00FD7E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70F0C-FFFE-4E8E-AD18-36C2C0E5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5339"/>
    <w:rPr>
      <w:sz w:val="20"/>
      <w:szCs w:val="20"/>
    </w:rPr>
  </w:style>
  <w:style w:type="character" w:customStyle="1" w:styleId="FootnoteTextChar">
    <w:name w:val="Footnote Text Char"/>
    <w:basedOn w:val="DefaultParagraphFont"/>
    <w:link w:val="FootnoteText"/>
    <w:uiPriority w:val="99"/>
    <w:semiHidden/>
    <w:rsid w:val="00005339"/>
    <w:rPr>
      <w:sz w:val="20"/>
      <w:szCs w:val="20"/>
      <w:lang w:val="en-GB"/>
    </w:rPr>
  </w:style>
  <w:style w:type="character" w:styleId="FootnoteReference">
    <w:name w:val="footnote reference"/>
    <w:basedOn w:val="DefaultParagraphFont"/>
    <w:uiPriority w:val="99"/>
    <w:semiHidden/>
    <w:unhideWhenUsed/>
    <w:rsid w:val="00005339"/>
    <w:rPr>
      <w:vertAlign w:val="superscript"/>
    </w:rPr>
  </w:style>
  <w:style w:type="paragraph" w:styleId="ListParagraph">
    <w:name w:val="List Paragraph"/>
    <w:basedOn w:val="Normal"/>
    <w:uiPriority w:val="34"/>
    <w:qFormat/>
    <w:rsid w:val="00161486"/>
    <w:pPr>
      <w:ind w:left="720"/>
      <w:contextualSpacing/>
    </w:pPr>
  </w:style>
  <w:style w:type="character" w:customStyle="1" w:styleId="outputecliaff">
    <w:name w:val="outputecliaff"/>
    <w:rsid w:val="0039126F"/>
  </w:style>
  <w:style w:type="paragraph" w:styleId="BalloonText">
    <w:name w:val="Balloon Text"/>
    <w:basedOn w:val="Normal"/>
    <w:link w:val="BalloonTextChar"/>
    <w:uiPriority w:val="99"/>
    <w:semiHidden/>
    <w:unhideWhenUsed/>
    <w:rsid w:val="003A7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CB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doc.echr.coe.int/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Herwig C. H. HOFMANN</dc:creator>
  <cp:keywords/>
  <dc:description/>
  <cp:lastModifiedBy>Herwig C. H. HOFMANN</cp:lastModifiedBy>
  <cp:revision>15</cp:revision>
  <cp:lastPrinted>2015-10-30T16:53:00Z</cp:lastPrinted>
  <dcterms:created xsi:type="dcterms:W3CDTF">2015-10-29T10:40:00Z</dcterms:created>
  <dcterms:modified xsi:type="dcterms:W3CDTF">2015-12-10T08:53:00Z</dcterms:modified>
</cp:coreProperties>
</file>