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2BD" w:rsidRPr="00961184" w:rsidRDefault="009968BB" w:rsidP="007A2D1C">
      <w:pPr>
        <w:spacing w:after="120" w:line="480" w:lineRule="auto"/>
        <w:rPr>
          <w:b/>
          <w:bCs/>
          <w:sz w:val="24"/>
          <w:szCs w:val="28"/>
          <w:lang w:val="en-US"/>
        </w:rPr>
      </w:pPr>
      <w:bookmarkStart w:id="0" w:name="_GoBack"/>
      <w:bookmarkEnd w:id="0"/>
      <w:r>
        <w:rPr>
          <w:b/>
          <w:bCs/>
          <w:sz w:val="24"/>
          <w:szCs w:val="28"/>
          <w:lang w:val="en-US"/>
        </w:rPr>
        <w:t xml:space="preserve">Appendix 2a: </w:t>
      </w:r>
      <w:r w:rsidR="00961184" w:rsidRPr="00961184">
        <w:rPr>
          <w:b/>
          <w:sz w:val="24"/>
          <w:szCs w:val="28"/>
          <w:lang w:val="en-US"/>
        </w:rPr>
        <w:t xml:space="preserve">Comparisons of 30 indicators of inequality samples </w:t>
      </w:r>
      <w:r>
        <w:rPr>
          <w:b/>
          <w:sz w:val="24"/>
          <w:szCs w:val="28"/>
          <w:lang w:val="en-US"/>
        </w:rPr>
        <w:t>and a Principal Component Analysis PCA</w:t>
      </w:r>
      <w:r w:rsidRPr="009968BB">
        <w:rPr>
          <w:b/>
          <w:sz w:val="24"/>
          <w:szCs w:val="28"/>
          <w:lang w:val="en-US"/>
        </w:rPr>
        <w:t xml:space="preserve"> </w:t>
      </w:r>
      <w:r w:rsidRPr="00961184">
        <w:rPr>
          <w:b/>
          <w:sz w:val="24"/>
          <w:szCs w:val="28"/>
          <w:lang w:val="en-US"/>
        </w:rPr>
        <w:t>on 232 LIS</w:t>
      </w:r>
    </w:p>
    <w:p w:rsidR="007A2D1C" w:rsidRDefault="004F635A" w:rsidP="007A2D1C">
      <w:pPr>
        <w:spacing w:after="120" w:line="480" w:lineRule="auto"/>
        <w:rPr>
          <w:sz w:val="24"/>
          <w:szCs w:val="24"/>
          <w:lang w:val="en-GB"/>
        </w:rPr>
      </w:pPr>
      <w:r>
        <w:rPr>
          <w:sz w:val="24"/>
          <w:szCs w:val="24"/>
          <w:lang w:val="en-GB"/>
        </w:rPr>
        <w:t xml:space="preserve">We can compare the </w:t>
      </w:r>
      <w:r w:rsidR="00580992">
        <w:rPr>
          <w:sz w:val="24"/>
          <w:szCs w:val="24"/>
          <w:lang w:val="en-GB"/>
        </w:rPr>
        <w:t xml:space="preserve">three </w:t>
      </w:r>
      <w:r w:rsidR="009C646A">
        <w:rPr>
          <w:sz w:val="24"/>
          <w:szCs w:val="24"/>
          <w:lang w:val="en-GB"/>
        </w:rPr>
        <w:t xml:space="preserve">ABG </w:t>
      </w:r>
      <w:r w:rsidR="00580992">
        <w:rPr>
          <w:sz w:val="24"/>
          <w:szCs w:val="24"/>
          <w:lang w:val="en-GB"/>
        </w:rPr>
        <w:t>ind</w:t>
      </w:r>
      <w:r>
        <w:rPr>
          <w:sz w:val="24"/>
          <w:szCs w:val="24"/>
          <w:lang w:val="en-GB"/>
        </w:rPr>
        <w:t>ic</w:t>
      </w:r>
      <w:r w:rsidR="00580992">
        <w:rPr>
          <w:sz w:val="24"/>
          <w:szCs w:val="24"/>
          <w:lang w:val="en-GB"/>
        </w:rPr>
        <w:t xml:space="preserve">es </w:t>
      </w:r>
      <w:r w:rsidR="001257CD">
        <w:rPr>
          <w:sz w:val="24"/>
          <w:szCs w:val="24"/>
          <w:lang w:val="en-GB"/>
        </w:rPr>
        <w:t xml:space="preserve">to </w:t>
      </w:r>
      <w:r w:rsidR="00912BEA">
        <w:rPr>
          <w:sz w:val="24"/>
          <w:szCs w:val="24"/>
          <w:lang w:val="en-US"/>
        </w:rPr>
        <w:t>other</w:t>
      </w:r>
      <w:r w:rsidR="00B44B19">
        <w:rPr>
          <w:sz w:val="24"/>
          <w:szCs w:val="24"/>
          <w:lang w:val="en-US"/>
        </w:rPr>
        <w:t xml:space="preserve"> standardized </w:t>
      </w:r>
      <w:r w:rsidRPr="004F635A">
        <w:rPr>
          <w:sz w:val="24"/>
          <w:szCs w:val="24"/>
          <w:lang w:val="en-US"/>
        </w:rPr>
        <w:t xml:space="preserve">inequality </w:t>
      </w:r>
      <w:r w:rsidR="00B44B19">
        <w:rPr>
          <w:sz w:val="24"/>
          <w:szCs w:val="24"/>
          <w:lang w:val="en-US"/>
        </w:rPr>
        <w:t xml:space="preserve">measures </w:t>
      </w:r>
      <w:r w:rsidR="00912BEA">
        <w:rPr>
          <w:sz w:val="24"/>
          <w:szCs w:val="24"/>
          <w:lang w:val="en-US"/>
        </w:rPr>
        <w:t xml:space="preserve">(Jenkins, </w:t>
      </w:r>
      <w:r w:rsidR="00912BEA" w:rsidRPr="004D78DF">
        <w:rPr>
          <w:sz w:val="24"/>
          <w:szCs w:val="24"/>
          <w:lang w:val="en-US"/>
        </w:rPr>
        <w:t>1999/2010</w:t>
      </w:r>
      <w:r w:rsidR="008C78BB">
        <w:rPr>
          <w:sz w:val="24"/>
          <w:szCs w:val="24"/>
          <w:lang w:val="en-US"/>
        </w:rPr>
        <w:t xml:space="preserve">, </w:t>
      </w:r>
      <w:proofErr w:type="spellStart"/>
      <w:r w:rsidR="00912BEA">
        <w:rPr>
          <w:sz w:val="24"/>
          <w:szCs w:val="24"/>
          <w:lang w:val="en-US"/>
        </w:rPr>
        <w:t>Abdelkrim</w:t>
      </w:r>
      <w:proofErr w:type="spellEnd"/>
      <w:r w:rsidR="00912BEA">
        <w:rPr>
          <w:sz w:val="24"/>
          <w:szCs w:val="24"/>
          <w:lang w:val="en-US"/>
        </w:rPr>
        <w:t xml:space="preserve"> and </w:t>
      </w:r>
      <w:proofErr w:type="spellStart"/>
      <w:r w:rsidR="00912BEA">
        <w:rPr>
          <w:sz w:val="24"/>
          <w:szCs w:val="24"/>
          <w:lang w:val="en-US"/>
        </w:rPr>
        <w:t>Duclos</w:t>
      </w:r>
      <w:proofErr w:type="spellEnd"/>
      <w:r w:rsidR="00912BEA">
        <w:rPr>
          <w:sz w:val="24"/>
          <w:szCs w:val="24"/>
          <w:lang w:val="en-US"/>
        </w:rPr>
        <w:t>, 2013). These</w:t>
      </w:r>
      <w:r w:rsidR="00126B88">
        <w:rPr>
          <w:sz w:val="24"/>
          <w:szCs w:val="24"/>
          <w:lang w:val="en-US"/>
        </w:rPr>
        <w:t xml:space="preserve"> selected</w:t>
      </w:r>
      <w:r w:rsidR="00912BEA">
        <w:rPr>
          <w:sz w:val="24"/>
          <w:szCs w:val="24"/>
          <w:lang w:val="en-US"/>
        </w:rPr>
        <w:t xml:space="preserve"> indicators are </w:t>
      </w:r>
      <w:r w:rsidR="00126B88">
        <w:rPr>
          <w:sz w:val="24"/>
          <w:szCs w:val="24"/>
          <w:lang w:val="en-US"/>
        </w:rPr>
        <w:t xml:space="preserve">well-known </w:t>
      </w:r>
      <w:r w:rsidR="00912BEA">
        <w:rPr>
          <w:sz w:val="24"/>
          <w:szCs w:val="24"/>
          <w:lang w:val="en-US"/>
        </w:rPr>
        <w:t xml:space="preserve">or based on </w:t>
      </w:r>
      <w:r w:rsidR="00D91D6F">
        <w:rPr>
          <w:sz w:val="24"/>
          <w:szCs w:val="24"/>
          <w:lang w:val="en-US"/>
        </w:rPr>
        <w:t xml:space="preserve">simple </w:t>
      </w:r>
      <w:r w:rsidR="00912BEA">
        <w:rPr>
          <w:sz w:val="24"/>
          <w:szCs w:val="24"/>
          <w:lang w:val="en-US"/>
        </w:rPr>
        <w:t>income ratios</w:t>
      </w:r>
      <w:r>
        <w:rPr>
          <w:sz w:val="24"/>
          <w:szCs w:val="24"/>
          <w:lang w:val="en-US"/>
        </w:rPr>
        <w:t xml:space="preserve">. We consider </w:t>
      </w:r>
      <w:r w:rsidRPr="004F635A">
        <w:rPr>
          <w:sz w:val="24"/>
          <w:szCs w:val="24"/>
          <w:lang w:val="en-US"/>
        </w:rPr>
        <w:t xml:space="preserve">added ISO </w:t>
      </w:r>
      <w:r w:rsidR="00912BEA">
        <w:rPr>
          <w:sz w:val="24"/>
          <w:szCs w:val="24"/>
          <w:lang w:val="en-US"/>
        </w:rPr>
        <w:t>indicators</w:t>
      </w:r>
      <w:r>
        <w:rPr>
          <w:sz w:val="24"/>
          <w:szCs w:val="24"/>
          <w:lang w:val="en-US"/>
        </w:rPr>
        <w:t xml:space="preserve"> </w:t>
      </w:r>
      <w:r w:rsidR="00912BEA">
        <w:rPr>
          <w:sz w:val="24"/>
          <w:szCs w:val="24"/>
          <w:lang w:val="en-US"/>
        </w:rPr>
        <w:t xml:space="preserve">at </w:t>
      </w:r>
      <w:r w:rsidR="00126B88">
        <w:rPr>
          <w:sz w:val="24"/>
          <w:szCs w:val="24"/>
          <w:lang w:val="en-US"/>
        </w:rPr>
        <w:t>five different</w:t>
      </w:r>
      <w:r w:rsidR="00D91D6F">
        <w:rPr>
          <w:sz w:val="24"/>
          <w:szCs w:val="24"/>
          <w:lang w:val="en-US"/>
        </w:rPr>
        <w:t xml:space="preserve"> </w:t>
      </w:r>
      <w:r w:rsidR="00912BEA">
        <w:rPr>
          <w:sz w:val="24"/>
          <w:szCs w:val="24"/>
          <w:lang w:val="en-US"/>
        </w:rPr>
        <w:t xml:space="preserve">levels. </w:t>
      </w:r>
      <w:r w:rsidR="008E31D9">
        <w:rPr>
          <w:sz w:val="24"/>
          <w:szCs w:val="24"/>
          <w:lang w:val="en-US"/>
        </w:rPr>
        <w:t>In addition</w:t>
      </w:r>
      <w:r w:rsidR="00912BEA">
        <w:rPr>
          <w:sz w:val="24"/>
          <w:szCs w:val="24"/>
          <w:lang w:val="en-US"/>
        </w:rPr>
        <w:t xml:space="preserve">, the </w:t>
      </w:r>
      <w:proofErr w:type="gramStart"/>
      <w:r w:rsidR="00912BEA">
        <w:rPr>
          <w:sz w:val="24"/>
          <w:szCs w:val="24"/>
          <w:lang w:val="en-US"/>
        </w:rPr>
        <w:t>size (</w:t>
      </w:r>
      <w:r>
        <w:rPr>
          <w:sz w:val="24"/>
          <w:szCs w:val="24"/>
          <w:lang w:val="en-US"/>
        </w:rPr>
        <w:t xml:space="preserve">as a </w:t>
      </w:r>
      <w:r w:rsidR="00912BEA">
        <w:rPr>
          <w:sz w:val="24"/>
          <w:szCs w:val="24"/>
          <w:lang w:val="en-US"/>
        </w:rPr>
        <w:t>proportion in the total population) of five income classes</w:t>
      </w:r>
      <w:r w:rsidR="008E31D9">
        <w:rPr>
          <w:sz w:val="24"/>
          <w:szCs w:val="24"/>
          <w:lang w:val="en-US"/>
        </w:rPr>
        <w:t xml:space="preserve"> are</w:t>
      </w:r>
      <w:proofErr w:type="gramEnd"/>
      <w:r w:rsidR="008E31D9">
        <w:rPr>
          <w:sz w:val="24"/>
          <w:szCs w:val="24"/>
          <w:lang w:val="en-US"/>
        </w:rPr>
        <w:t xml:space="preserve"> included</w:t>
      </w:r>
      <w:r w:rsidR="00912BEA">
        <w:rPr>
          <w:sz w:val="24"/>
          <w:szCs w:val="24"/>
          <w:lang w:val="en-US"/>
        </w:rPr>
        <w:t>: the poor (</w:t>
      </w:r>
      <w:proofErr w:type="spellStart"/>
      <w:r w:rsidR="00912BEA" w:rsidRPr="001005B8">
        <w:rPr>
          <w:sz w:val="24"/>
          <w:szCs w:val="24"/>
          <w:lang w:val="en-US"/>
        </w:rPr>
        <w:t>po</w:t>
      </w:r>
      <w:proofErr w:type="spellEnd"/>
      <w:r w:rsidR="00912BEA">
        <w:rPr>
          <w:sz w:val="24"/>
          <w:szCs w:val="24"/>
          <w:lang w:val="en-US"/>
        </w:rPr>
        <w:t>)</w:t>
      </w:r>
      <w:r w:rsidR="00912BEA" w:rsidRPr="001005B8">
        <w:rPr>
          <w:sz w:val="24"/>
          <w:szCs w:val="24"/>
          <w:lang w:val="en-US"/>
        </w:rPr>
        <w:t xml:space="preserve">, </w:t>
      </w:r>
      <w:r w:rsidR="00912BEA">
        <w:rPr>
          <w:sz w:val="24"/>
          <w:szCs w:val="24"/>
          <w:lang w:val="en-US"/>
        </w:rPr>
        <w:t>lower middle class (</w:t>
      </w:r>
      <w:r w:rsidR="00912BEA" w:rsidRPr="001005B8">
        <w:rPr>
          <w:sz w:val="24"/>
          <w:szCs w:val="24"/>
          <w:lang w:val="en-US"/>
        </w:rPr>
        <w:t>mcl</w:t>
      </w:r>
      <w:r w:rsidR="00912BEA">
        <w:rPr>
          <w:sz w:val="24"/>
          <w:szCs w:val="24"/>
          <w:lang w:val="en-US"/>
        </w:rPr>
        <w:t>)</w:t>
      </w:r>
      <w:r w:rsidR="00912BEA" w:rsidRPr="001005B8">
        <w:rPr>
          <w:sz w:val="24"/>
          <w:szCs w:val="24"/>
          <w:lang w:val="en-US"/>
        </w:rPr>
        <w:t xml:space="preserve">, </w:t>
      </w:r>
      <w:r w:rsidR="00912BEA">
        <w:rPr>
          <w:sz w:val="24"/>
          <w:szCs w:val="24"/>
          <w:lang w:val="en-US"/>
        </w:rPr>
        <w:t>middle class (</w:t>
      </w:r>
      <w:r w:rsidR="00912BEA" w:rsidRPr="001005B8">
        <w:rPr>
          <w:sz w:val="24"/>
          <w:szCs w:val="24"/>
          <w:lang w:val="en-US"/>
        </w:rPr>
        <w:t>mc</w:t>
      </w:r>
      <w:r w:rsidR="00912BEA">
        <w:rPr>
          <w:sz w:val="24"/>
          <w:szCs w:val="24"/>
          <w:lang w:val="en-US"/>
        </w:rPr>
        <w:t>)</w:t>
      </w:r>
      <w:r w:rsidR="00912BEA" w:rsidRPr="001005B8">
        <w:rPr>
          <w:sz w:val="24"/>
          <w:szCs w:val="24"/>
          <w:lang w:val="en-US"/>
        </w:rPr>
        <w:t xml:space="preserve">, </w:t>
      </w:r>
      <w:r w:rsidR="00912BEA">
        <w:rPr>
          <w:sz w:val="24"/>
          <w:szCs w:val="24"/>
          <w:lang w:val="en-US"/>
        </w:rPr>
        <w:t>upper middle class (</w:t>
      </w:r>
      <w:proofErr w:type="spellStart"/>
      <w:r w:rsidR="00912BEA" w:rsidRPr="001005B8">
        <w:rPr>
          <w:sz w:val="24"/>
          <w:szCs w:val="24"/>
          <w:lang w:val="en-US"/>
        </w:rPr>
        <w:t>mcu</w:t>
      </w:r>
      <w:proofErr w:type="spellEnd"/>
      <w:r w:rsidR="00912BEA">
        <w:rPr>
          <w:sz w:val="24"/>
          <w:szCs w:val="24"/>
          <w:lang w:val="en-US"/>
        </w:rPr>
        <w:t>)</w:t>
      </w:r>
      <w:r w:rsidR="00912BEA" w:rsidRPr="001005B8">
        <w:rPr>
          <w:sz w:val="24"/>
          <w:szCs w:val="24"/>
          <w:lang w:val="en-US"/>
        </w:rPr>
        <w:t>,</w:t>
      </w:r>
      <w:r w:rsidR="00912BEA">
        <w:rPr>
          <w:sz w:val="24"/>
          <w:szCs w:val="24"/>
          <w:lang w:val="en-US"/>
        </w:rPr>
        <w:t xml:space="preserve"> and the rich</w:t>
      </w:r>
      <w:r w:rsidR="00912BEA" w:rsidRPr="001005B8">
        <w:rPr>
          <w:sz w:val="24"/>
          <w:szCs w:val="24"/>
          <w:lang w:val="en-US"/>
        </w:rPr>
        <w:t xml:space="preserve"> </w:t>
      </w:r>
      <w:r w:rsidR="00912BEA">
        <w:rPr>
          <w:sz w:val="24"/>
          <w:szCs w:val="24"/>
          <w:lang w:val="en-US"/>
        </w:rPr>
        <w:t>(</w:t>
      </w:r>
      <w:proofErr w:type="spellStart"/>
      <w:r w:rsidR="00912BEA" w:rsidRPr="001005B8">
        <w:rPr>
          <w:sz w:val="24"/>
          <w:szCs w:val="24"/>
          <w:lang w:val="en-US"/>
        </w:rPr>
        <w:t>ri</w:t>
      </w:r>
      <w:proofErr w:type="spellEnd"/>
      <w:r w:rsidR="00912BEA">
        <w:rPr>
          <w:sz w:val="24"/>
          <w:szCs w:val="24"/>
          <w:lang w:val="en-US"/>
        </w:rPr>
        <w:t>)</w:t>
      </w:r>
      <w:r w:rsidR="00B542BD">
        <w:rPr>
          <w:sz w:val="24"/>
          <w:szCs w:val="24"/>
          <w:lang w:val="en-US"/>
        </w:rPr>
        <w:t>.</w:t>
      </w:r>
      <w:r w:rsidR="00912BEA">
        <w:rPr>
          <w:sz w:val="24"/>
          <w:szCs w:val="24"/>
          <w:lang w:val="en-US"/>
        </w:rPr>
        <w:t xml:space="preserve"> </w:t>
      </w:r>
      <w:r w:rsidR="00612450">
        <w:rPr>
          <w:sz w:val="24"/>
          <w:szCs w:val="24"/>
          <w:lang w:val="en-GB"/>
        </w:rPr>
        <w:t xml:space="preserve">Overall, </w:t>
      </w:r>
      <w:r w:rsidR="00F67915">
        <w:rPr>
          <w:sz w:val="24"/>
          <w:szCs w:val="24"/>
          <w:lang w:val="en-GB"/>
        </w:rPr>
        <w:t xml:space="preserve">our analysis </w:t>
      </w:r>
      <w:r>
        <w:rPr>
          <w:sz w:val="24"/>
          <w:szCs w:val="24"/>
          <w:lang w:val="en-GB"/>
        </w:rPr>
        <w:t xml:space="preserve">covers a set </w:t>
      </w:r>
      <w:r w:rsidR="00580992">
        <w:rPr>
          <w:sz w:val="24"/>
          <w:szCs w:val="24"/>
          <w:lang w:val="en-GB"/>
        </w:rPr>
        <w:t xml:space="preserve">of </w:t>
      </w:r>
      <w:r w:rsidR="00700A5D">
        <w:rPr>
          <w:sz w:val="24"/>
          <w:szCs w:val="24"/>
          <w:lang w:val="en-GB"/>
        </w:rPr>
        <w:t xml:space="preserve">30 variables and </w:t>
      </w:r>
      <w:r w:rsidR="005423EC">
        <w:rPr>
          <w:sz w:val="24"/>
          <w:szCs w:val="24"/>
          <w:lang w:val="en-GB"/>
        </w:rPr>
        <w:t>232</w:t>
      </w:r>
      <w:r w:rsidR="00580992">
        <w:rPr>
          <w:sz w:val="24"/>
          <w:szCs w:val="24"/>
          <w:lang w:val="en-GB"/>
        </w:rPr>
        <w:t xml:space="preserve"> </w:t>
      </w:r>
      <w:r>
        <w:rPr>
          <w:sz w:val="24"/>
          <w:szCs w:val="24"/>
          <w:lang w:val="en-GB"/>
        </w:rPr>
        <w:t xml:space="preserve">data </w:t>
      </w:r>
      <w:r w:rsidR="00580992">
        <w:rPr>
          <w:sz w:val="24"/>
          <w:szCs w:val="24"/>
          <w:lang w:val="en-GB"/>
        </w:rPr>
        <w:t>samples</w:t>
      </w:r>
      <w:r>
        <w:rPr>
          <w:sz w:val="24"/>
          <w:szCs w:val="24"/>
          <w:lang w:val="en-GB"/>
        </w:rPr>
        <w:t>.</w:t>
      </w:r>
      <w:r w:rsidR="00B542BD">
        <w:rPr>
          <w:sz w:val="24"/>
          <w:szCs w:val="24"/>
          <w:lang w:val="en-GB"/>
        </w:rPr>
        <w:t xml:space="preserve"> </w:t>
      </w:r>
    </w:p>
    <w:p w:rsidR="007A2D1C" w:rsidRDefault="003E04AE" w:rsidP="00B542BD">
      <w:pPr>
        <w:numPr>
          <w:ilvl w:val="0"/>
          <w:numId w:val="4"/>
        </w:numPr>
        <w:rPr>
          <w:sz w:val="24"/>
          <w:szCs w:val="24"/>
          <w:lang w:val="en-US"/>
        </w:rPr>
      </w:pPr>
      <w:r w:rsidRPr="00FA44A0">
        <w:rPr>
          <w:b/>
          <w:sz w:val="24"/>
          <w:szCs w:val="24"/>
          <w:lang w:val="en-US"/>
        </w:rPr>
        <w:t xml:space="preserve">ABG class: </w:t>
      </w:r>
      <w:r w:rsidR="00B44B19" w:rsidRPr="00FA44A0">
        <w:rPr>
          <w:b/>
          <w:sz w:val="24"/>
          <w:szCs w:val="24"/>
          <w:lang w:val="en-US"/>
        </w:rPr>
        <w:br/>
      </w:r>
      <w:r w:rsidR="00472786" w:rsidRPr="00472786">
        <w:rPr>
          <w:rFonts w:ascii="Symbol" w:hAnsi="Symbol"/>
          <w:sz w:val="24"/>
          <w:szCs w:val="24"/>
          <w:lang w:val="en-US"/>
        </w:rPr>
        <w:t></w:t>
      </w:r>
      <w:r w:rsidR="001257CD">
        <w:rPr>
          <w:sz w:val="24"/>
          <w:szCs w:val="24"/>
          <w:lang w:val="en-US"/>
        </w:rPr>
        <w:t>,</w:t>
      </w:r>
      <w:r w:rsidR="007A2D1C">
        <w:rPr>
          <w:sz w:val="24"/>
          <w:szCs w:val="24"/>
          <w:lang w:val="en-US"/>
        </w:rPr>
        <w:t xml:space="preserve"> </w:t>
      </w:r>
      <w:r w:rsidR="00472786" w:rsidRPr="00472786">
        <w:rPr>
          <w:rFonts w:ascii="Symbol" w:hAnsi="Symbol"/>
          <w:sz w:val="24"/>
          <w:szCs w:val="24"/>
          <w:lang w:val="en-US"/>
        </w:rPr>
        <w:t></w:t>
      </w:r>
      <w:r w:rsidR="001257CD">
        <w:rPr>
          <w:sz w:val="24"/>
          <w:szCs w:val="24"/>
          <w:lang w:val="en-US"/>
        </w:rPr>
        <w:t>,</w:t>
      </w:r>
      <w:r w:rsidR="007A2D1C">
        <w:rPr>
          <w:sz w:val="24"/>
          <w:szCs w:val="24"/>
          <w:lang w:val="en-US"/>
        </w:rPr>
        <w:t xml:space="preserve"> </w:t>
      </w:r>
      <w:r w:rsidR="00472786" w:rsidRPr="00472786">
        <w:rPr>
          <w:rFonts w:ascii="Symbol" w:hAnsi="Symbol"/>
          <w:sz w:val="24"/>
          <w:szCs w:val="24"/>
          <w:lang w:val="en-US"/>
        </w:rPr>
        <w:t></w:t>
      </w:r>
      <w:r w:rsidR="00853DFB">
        <w:rPr>
          <w:sz w:val="24"/>
          <w:szCs w:val="24"/>
          <w:lang w:val="en-US"/>
        </w:rPr>
        <w:t>; i.e.,</w:t>
      </w:r>
      <w:r w:rsidR="00580992">
        <w:rPr>
          <w:sz w:val="24"/>
          <w:szCs w:val="24"/>
          <w:lang w:val="en-US"/>
        </w:rPr>
        <w:t xml:space="preserve"> </w:t>
      </w:r>
      <w:r w:rsidR="00853DFB">
        <w:rPr>
          <w:sz w:val="24"/>
          <w:szCs w:val="24"/>
          <w:lang w:val="en-US"/>
        </w:rPr>
        <w:t xml:space="preserve">the </w:t>
      </w:r>
      <w:r w:rsidR="00580992">
        <w:rPr>
          <w:sz w:val="24"/>
          <w:szCs w:val="24"/>
          <w:lang w:val="en-US"/>
        </w:rPr>
        <w:t xml:space="preserve">three coefficients from the </w:t>
      </w:r>
      <w:r w:rsidR="00AD67E4">
        <w:rPr>
          <w:sz w:val="24"/>
          <w:szCs w:val="24"/>
          <w:lang w:val="en-US"/>
        </w:rPr>
        <w:t xml:space="preserve">ABG </w:t>
      </w:r>
      <w:r w:rsidR="00580992">
        <w:rPr>
          <w:sz w:val="24"/>
          <w:szCs w:val="24"/>
          <w:lang w:val="en-US"/>
        </w:rPr>
        <w:t>method</w:t>
      </w:r>
      <w:r w:rsidR="00D91D6F">
        <w:rPr>
          <w:sz w:val="24"/>
          <w:szCs w:val="24"/>
          <w:lang w:val="en-US"/>
        </w:rPr>
        <w:t>.</w:t>
      </w:r>
      <w:r w:rsidR="00580992">
        <w:rPr>
          <w:sz w:val="24"/>
          <w:szCs w:val="24"/>
          <w:lang w:val="en-US"/>
        </w:rPr>
        <w:t xml:space="preserve"> </w:t>
      </w:r>
    </w:p>
    <w:p w:rsidR="007A2D1C" w:rsidRDefault="003E04AE" w:rsidP="00B542BD">
      <w:pPr>
        <w:numPr>
          <w:ilvl w:val="0"/>
          <w:numId w:val="4"/>
        </w:numPr>
        <w:rPr>
          <w:sz w:val="24"/>
          <w:szCs w:val="24"/>
          <w:lang w:val="en-US"/>
        </w:rPr>
      </w:pPr>
      <w:r w:rsidRPr="00FA44A0">
        <w:rPr>
          <w:b/>
          <w:sz w:val="24"/>
          <w:szCs w:val="24"/>
          <w:lang w:val="en-US"/>
        </w:rPr>
        <w:t xml:space="preserve">Atkinson class: </w:t>
      </w:r>
      <w:r w:rsidR="00B44B19" w:rsidRPr="00FA44A0">
        <w:rPr>
          <w:b/>
          <w:sz w:val="24"/>
          <w:szCs w:val="24"/>
          <w:lang w:val="en-US"/>
        </w:rPr>
        <w:br/>
      </w:r>
      <w:r w:rsidR="007A2D1C" w:rsidRPr="00270922">
        <w:rPr>
          <w:sz w:val="24"/>
          <w:szCs w:val="24"/>
          <w:lang w:val="en-US"/>
        </w:rPr>
        <w:t>a2</w:t>
      </w:r>
      <w:r w:rsidR="007A2D1C">
        <w:rPr>
          <w:sz w:val="24"/>
          <w:szCs w:val="24"/>
          <w:lang w:val="en-US"/>
        </w:rPr>
        <w:t xml:space="preserve">, </w:t>
      </w:r>
      <w:r w:rsidR="007A2D1C" w:rsidRPr="00270922">
        <w:rPr>
          <w:sz w:val="24"/>
          <w:szCs w:val="24"/>
          <w:lang w:val="en-US"/>
        </w:rPr>
        <w:t>a1</w:t>
      </w:r>
      <w:r w:rsidR="007A2D1C">
        <w:rPr>
          <w:sz w:val="24"/>
          <w:szCs w:val="24"/>
          <w:lang w:val="en-US"/>
        </w:rPr>
        <w:t xml:space="preserve">, </w:t>
      </w:r>
      <w:proofErr w:type="spellStart"/>
      <w:r w:rsidR="007A2D1C" w:rsidRPr="00270922">
        <w:rPr>
          <w:sz w:val="24"/>
          <w:szCs w:val="24"/>
          <w:lang w:val="en-US"/>
        </w:rPr>
        <w:t>ahalf</w:t>
      </w:r>
      <w:proofErr w:type="spellEnd"/>
      <w:r w:rsidR="007A2D1C">
        <w:rPr>
          <w:sz w:val="24"/>
          <w:szCs w:val="24"/>
          <w:lang w:val="en-US"/>
        </w:rPr>
        <w:t xml:space="preserve"> = </w:t>
      </w:r>
      <w:r w:rsidR="007A2D1C" w:rsidRPr="00270922">
        <w:rPr>
          <w:sz w:val="24"/>
          <w:szCs w:val="24"/>
          <w:lang w:val="en-US"/>
        </w:rPr>
        <w:t xml:space="preserve">Atkinson </w:t>
      </w:r>
      <w:r w:rsidR="007A2D1C">
        <w:rPr>
          <w:sz w:val="24"/>
          <w:szCs w:val="24"/>
          <w:lang w:val="en-US"/>
        </w:rPr>
        <w:t>class of ind</w:t>
      </w:r>
      <w:r w:rsidR="00C817BD">
        <w:rPr>
          <w:sz w:val="24"/>
          <w:szCs w:val="24"/>
          <w:lang w:val="en-US"/>
        </w:rPr>
        <w:t>ic</w:t>
      </w:r>
      <w:r w:rsidR="007A2D1C">
        <w:rPr>
          <w:sz w:val="24"/>
          <w:szCs w:val="24"/>
          <w:lang w:val="en-US"/>
        </w:rPr>
        <w:t>es</w:t>
      </w:r>
      <w:r w:rsidR="007A2D1C" w:rsidRPr="00270922">
        <w:rPr>
          <w:sz w:val="24"/>
          <w:szCs w:val="24"/>
          <w:lang w:val="en-US"/>
        </w:rPr>
        <w:t xml:space="preserve">, </w:t>
      </w:r>
      <w:r w:rsidR="00A20A9B">
        <w:rPr>
          <w:sz w:val="24"/>
          <w:szCs w:val="24"/>
          <w:lang w:val="en-US"/>
        </w:rPr>
        <w:t xml:space="preserve">respectively </w:t>
      </w:r>
      <w:r w:rsidR="00F52A66">
        <w:rPr>
          <w:sz w:val="24"/>
          <w:szCs w:val="24"/>
          <w:lang w:val="en-US"/>
        </w:rPr>
        <w:t>with parameter</w:t>
      </w:r>
      <w:r w:rsidR="005B35E6">
        <w:rPr>
          <w:sz w:val="24"/>
          <w:szCs w:val="24"/>
          <w:lang w:val="en-US"/>
        </w:rPr>
        <w:t>s</w:t>
      </w:r>
      <w:r w:rsidR="00F52A66">
        <w:rPr>
          <w:sz w:val="24"/>
          <w:szCs w:val="24"/>
          <w:lang w:val="en-US"/>
        </w:rPr>
        <w:t xml:space="preserve"> </w:t>
      </w:r>
      <w:r w:rsidR="007A2D1C" w:rsidRPr="00270922">
        <w:rPr>
          <w:sz w:val="24"/>
          <w:szCs w:val="24"/>
          <w:lang w:val="en-US"/>
        </w:rPr>
        <w:t>2, 1,</w:t>
      </w:r>
      <w:r w:rsidR="00C817BD">
        <w:rPr>
          <w:sz w:val="24"/>
          <w:szCs w:val="24"/>
          <w:lang w:val="en-US"/>
        </w:rPr>
        <w:t xml:space="preserve"> and</w:t>
      </w:r>
      <w:r w:rsidR="007A2D1C" w:rsidRPr="00270922">
        <w:rPr>
          <w:sz w:val="24"/>
          <w:szCs w:val="24"/>
          <w:lang w:val="en-US"/>
        </w:rPr>
        <w:t xml:space="preserve"> </w:t>
      </w:r>
      <w:r w:rsidR="007A2D1C">
        <w:rPr>
          <w:sz w:val="24"/>
          <w:szCs w:val="24"/>
          <w:lang w:val="en-US"/>
        </w:rPr>
        <w:t>½ (Atkinson</w:t>
      </w:r>
      <w:r w:rsidR="001257CD">
        <w:rPr>
          <w:sz w:val="24"/>
          <w:szCs w:val="24"/>
          <w:lang w:val="en-US"/>
        </w:rPr>
        <w:t>,</w:t>
      </w:r>
      <w:r w:rsidR="007A2D1C">
        <w:rPr>
          <w:sz w:val="24"/>
          <w:szCs w:val="24"/>
          <w:lang w:val="en-US"/>
        </w:rPr>
        <w:t xml:space="preserve"> 1970</w:t>
      </w:r>
      <w:r w:rsidR="00F675DF">
        <w:rPr>
          <w:sz w:val="24"/>
          <w:szCs w:val="24"/>
          <w:lang w:val="en-US"/>
        </w:rPr>
        <w:t xml:space="preserve">, </w:t>
      </w:r>
      <w:r w:rsidR="001257CD">
        <w:rPr>
          <w:sz w:val="24"/>
          <w:szCs w:val="24"/>
          <w:lang w:val="en-US"/>
        </w:rPr>
        <w:t xml:space="preserve">also </w:t>
      </w:r>
      <w:r w:rsidR="00580992">
        <w:rPr>
          <w:sz w:val="24"/>
          <w:szCs w:val="24"/>
          <w:lang w:val="en-US"/>
        </w:rPr>
        <w:t xml:space="preserve">see </w:t>
      </w:r>
      <w:proofErr w:type="spellStart"/>
      <w:r w:rsidR="00F675DF" w:rsidRPr="00F675DF">
        <w:rPr>
          <w:sz w:val="24"/>
          <w:szCs w:val="24"/>
          <w:lang w:val="en-GB"/>
        </w:rPr>
        <w:t>Yitzhaki</w:t>
      </w:r>
      <w:proofErr w:type="spellEnd"/>
      <w:r w:rsidR="00F675DF" w:rsidRPr="00F675DF">
        <w:rPr>
          <w:sz w:val="24"/>
          <w:szCs w:val="24"/>
          <w:lang w:val="en-GB"/>
        </w:rPr>
        <w:t>, 1983</w:t>
      </w:r>
      <w:r w:rsidR="007A2D1C">
        <w:rPr>
          <w:sz w:val="24"/>
          <w:szCs w:val="24"/>
          <w:lang w:val="en-US"/>
        </w:rPr>
        <w:t>)</w:t>
      </w:r>
      <w:r w:rsidR="001005B8">
        <w:rPr>
          <w:sz w:val="24"/>
          <w:szCs w:val="24"/>
          <w:lang w:val="en-US"/>
        </w:rPr>
        <w:t xml:space="preserve">, the </w:t>
      </w:r>
      <w:r w:rsidR="00F52A66">
        <w:rPr>
          <w:sz w:val="24"/>
          <w:szCs w:val="24"/>
          <w:lang w:val="en-US"/>
        </w:rPr>
        <w:t xml:space="preserve">higher parameter (2) </w:t>
      </w:r>
      <w:proofErr w:type="spellStart"/>
      <w:r w:rsidR="00F52A66">
        <w:rPr>
          <w:sz w:val="24"/>
          <w:szCs w:val="24"/>
          <w:lang w:val="en-US"/>
        </w:rPr>
        <w:t>overweigh</w:t>
      </w:r>
      <w:r w:rsidR="00C817BD">
        <w:rPr>
          <w:sz w:val="24"/>
          <w:szCs w:val="24"/>
          <w:lang w:val="en-US"/>
        </w:rPr>
        <w:t>t</w:t>
      </w:r>
      <w:r w:rsidR="00F52A66">
        <w:rPr>
          <w:sz w:val="24"/>
          <w:szCs w:val="24"/>
          <w:lang w:val="en-US"/>
        </w:rPr>
        <w:t>s</w:t>
      </w:r>
      <w:proofErr w:type="spellEnd"/>
      <w:r w:rsidR="00F52A66">
        <w:rPr>
          <w:sz w:val="24"/>
          <w:szCs w:val="24"/>
          <w:lang w:val="en-US"/>
        </w:rPr>
        <w:t xml:space="preserve"> the bottom of the distribution.</w:t>
      </w:r>
    </w:p>
    <w:p w:rsidR="007A2D1C" w:rsidRDefault="003E04AE" w:rsidP="00B542BD">
      <w:pPr>
        <w:numPr>
          <w:ilvl w:val="0"/>
          <w:numId w:val="4"/>
        </w:numPr>
        <w:rPr>
          <w:sz w:val="24"/>
          <w:szCs w:val="24"/>
          <w:lang w:val="en-US"/>
        </w:rPr>
      </w:pPr>
      <w:r w:rsidRPr="00FA44A0">
        <w:rPr>
          <w:b/>
          <w:sz w:val="24"/>
          <w:szCs w:val="24"/>
          <w:lang w:val="en-US"/>
        </w:rPr>
        <w:t xml:space="preserve">Generalized entropy class: </w:t>
      </w:r>
      <w:r w:rsidR="00A20A9B" w:rsidRPr="00FA44A0">
        <w:rPr>
          <w:b/>
          <w:sz w:val="24"/>
          <w:szCs w:val="24"/>
          <w:lang w:val="en-US"/>
        </w:rPr>
        <w:br/>
      </w:r>
      <w:r w:rsidR="007A2D1C" w:rsidRPr="00270922">
        <w:rPr>
          <w:sz w:val="24"/>
          <w:szCs w:val="24"/>
          <w:lang w:val="en-US"/>
        </w:rPr>
        <w:t>ge2</w:t>
      </w:r>
      <w:r w:rsidR="007A2D1C">
        <w:rPr>
          <w:sz w:val="24"/>
          <w:szCs w:val="24"/>
          <w:lang w:val="en-US"/>
        </w:rPr>
        <w:t xml:space="preserve">, </w:t>
      </w:r>
      <w:r w:rsidR="007A2D1C" w:rsidRPr="00270922">
        <w:rPr>
          <w:sz w:val="24"/>
          <w:szCs w:val="24"/>
          <w:lang w:val="en-US"/>
        </w:rPr>
        <w:t>ge1</w:t>
      </w:r>
      <w:r w:rsidR="007A2D1C">
        <w:rPr>
          <w:sz w:val="24"/>
          <w:szCs w:val="24"/>
          <w:lang w:val="en-US"/>
        </w:rPr>
        <w:t xml:space="preserve">, </w:t>
      </w:r>
      <w:r w:rsidR="007A2D1C" w:rsidRPr="00270922">
        <w:rPr>
          <w:sz w:val="24"/>
          <w:szCs w:val="24"/>
          <w:lang w:val="en-US"/>
        </w:rPr>
        <w:t>ge0</w:t>
      </w:r>
      <w:r w:rsidR="007A2D1C">
        <w:rPr>
          <w:sz w:val="24"/>
          <w:szCs w:val="24"/>
          <w:lang w:val="en-US"/>
        </w:rPr>
        <w:t xml:space="preserve">, </w:t>
      </w:r>
      <w:r w:rsidR="007A2D1C" w:rsidRPr="00270922">
        <w:rPr>
          <w:sz w:val="24"/>
          <w:szCs w:val="24"/>
          <w:lang w:val="en-US"/>
        </w:rPr>
        <w:t>gem1</w:t>
      </w:r>
      <w:r w:rsidR="007A2D1C">
        <w:rPr>
          <w:sz w:val="24"/>
          <w:szCs w:val="24"/>
          <w:lang w:val="en-US"/>
        </w:rPr>
        <w:t xml:space="preserve"> = </w:t>
      </w:r>
      <w:r w:rsidR="007A2D1C" w:rsidRPr="00270922">
        <w:rPr>
          <w:sz w:val="24"/>
          <w:szCs w:val="24"/>
          <w:lang w:val="en-US"/>
        </w:rPr>
        <w:t>Generalized entropy</w:t>
      </w:r>
      <w:r w:rsidR="007A2D1C">
        <w:rPr>
          <w:sz w:val="24"/>
          <w:szCs w:val="24"/>
          <w:lang w:val="en-US"/>
        </w:rPr>
        <w:t xml:space="preserve"> </w:t>
      </w:r>
      <w:r w:rsidR="007A2D1C" w:rsidRPr="00270922">
        <w:rPr>
          <w:sz w:val="24"/>
          <w:szCs w:val="24"/>
          <w:lang w:val="en-US"/>
        </w:rPr>
        <w:t>class of ind</w:t>
      </w:r>
      <w:r w:rsidR="00C817BD">
        <w:rPr>
          <w:sz w:val="24"/>
          <w:szCs w:val="24"/>
          <w:lang w:val="en-US"/>
        </w:rPr>
        <w:t>ic</w:t>
      </w:r>
      <w:r w:rsidR="007A2D1C" w:rsidRPr="00270922">
        <w:rPr>
          <w:sz w:val="24"/>
          <w:szCs w:val="24"/>
          <w:lang w:val="en-US"/>
        </w:rPr>
        <w:t xml:space="preserve">es, </w:t>
      </w:r>
      <w:r w:rsidR="00A20A9B">
        <w:rPr>
          <w:sz w:val="24"/>
          <w:szCs w:val="24"/>
          <w:lang w:val="en-US"/>
        </w:rPr>
        <w:t xml:space="preserve">respectively </w:t>
      </w:r>
      <w:r w:rsidR="00F52A66">
        <w:rPr>
          <w:sz w:val="24"/>
          <w:szCs w:val="24"/>
          <w:lang w:val="en-US"/>
        </w:rPr>
        <w:t>with parameter</w:t>
      </w:r>
      <w:r w:rsidR="005B35E6">
        <w:rPr>
          <w:sz w:val="24"/>
          <w:szCs w:val="24"/>
          <w:lang w:val="en-US"/>
        </w:rPr>
        <w:t>s</w:t>
      </w:r>
      <w:r w:rsidR="00F52A66">
        <w:rPr>
          <w:sz w:val="24"/>
          <w:szCs w:val="24"/>
          <w:lang w:val="en-US"/>
        </w:rPr>
        <w:t xml:space="preserve"> </w:t>
      </w:r>
      <w:r w:rsidR="007A2D1C" w:rsidRPr="00270922">
        <w:rPr>
          <w:sz w:val="24"/>
          <w:szCs w:val="24"/>
          <w:lang w:val="en-US"/>
        </w:rPr>
        <w:t>2, 1, 0, -1</w:t>
      </w:r>
      <w:r w:rsidR="007A2D1C">
        <w:rPr>
          <w:sz w:val="24"/>
          <w:szCs w:val="24"/>
          <w:lang w:val="en-US"/>
        </w:rPr>
        <w:t xml:space="preserve"> (Berry et al.</w:t>
      </w:r>
      <w:r w:rsidR="001257CD">
        <w:rPr>
          <w:sz w:val="24"/>
          <w:szCs w:val="24"/>
          <w:lang w:val="en-US"/>
        </w:rPr>
        <w:t>,</w:t>
      </w:r>
      <w:r w:rsidR="007A2D1C">
        <w:rPr>
          <w:sz w:val="24"/>
          <w:szCs w:val="24"/>
          <w:lang w:val="en-US"/>
        </w:rPr>
        <w:t xml:space="preserve"> 1983)</w:t>
      </w:r>
      <w:r w:rsidR="00F52A66">
        <w:rPr>
          <w:sz w:val="24"/>
          <w:szCs w:val="24"/>
          <w:lang w:val="en-US"/>
        </w:rPr>
        <w:t xml:space="preserve">. </w:t>
      </w:r>
      <w:r w:rsidR="00C817BD">
        <w:rPr>
          <w:sz w:val="24"/>
          <w:szCs w:val="24"/>
          <w:lang w:val="en-US"/>
        </w:rPr>
        <w:t>The l</w:t>
      </w:r>
      <w:r w:rsidR="00F52A66">
        <w:rPr>
          <w:sz w:val="24"/>
          <w:szCs w:val="24"/>
          <w:lang w:val="en-US"/>
        </w:rPr>
        <w:t xml:space="preserve">ower </w:t>
      </w:r>
      <w:r w:rsidR="00782166">
        <w:rPr>
          <w:sz w:val="24"/>
          <w:szCs w:val="24"/>
          <w:lang w:val="en-US"/>
        </w:rPr>
        <w:t xml:space="preserve">parameter </w:t>
      </w:r>
      <w:r w:rsidR="0091210C">
        <w:rPr>
          <w:sz w:val="24"/>
          <w:szCs w:val="24"/>
          <w:lang w:val="en-US"/>
        </w:rPr>
        <w:t xml:space="preserve">(-1) </w:t>
      </w:r>
      <w:r w:rsidR="00C817BD">
        <w:rPr>
          <w:sz w:val="24"/>
          <w:szCs w:val="24"/>
          <w:lang w:val="en-US"/>
        </w:rPr>
        <w:t xml:space="preserve">implies </w:t>
      </w:r>
      <w:r w:rsidR="00782166">
        <w:rPr>
          <w:sz w:val="24"/>
          <w:szCs w:val="24"/>
          <w:lang w:val="en-US"/>
        </w:rPr>
        <w:t xml:space="preserve">a focus on the bottom </w:t>
      </w:r>
      <w:r w:rsidR="00F52A66">
        <w:rPr>
          <w:sz w:val="24"/>
          <w:szCs w:val="24"/>
          <w:lang w:val="en-US"/>
        </w:rPr>
        <w:t>of the distribution.</w:t>
      </w:r>
    </w:p>
    <w:p w:rsidR="007A2D1C" w:rsidRDefault="00A70B2E" w:rsidP="00B542BD">
      <w:pPr>
        <w:numPr>
          <w:ilvl w:val="0"/>
          <w:numId w:val="4"/>
        </w:numPr>
        <w:rPr>
          <w:sz w:val="24"/>
          <w:szCs w:val="24"/>
          <w:lang w:val="en-US"/>
        </w:rPr>
      </w:pPr>
      <w:r w:rsidRPr="00FA44A0">
        <w:rPr>
          <w:b/>
          <w:sz w:val="24"/>
          <w:szCs w:val="24"/>
          <w:lang w:val="en-US"/>
        </w:rPr>
        <w:t xml:space="preserve">Gini </w:t>
      </w:r>
      <w:r w:rsidR="003E04AE" w:rsidRPr="00FA44A0">
        <w:rPr>
          <w:b/>
          <w:sz w:val="24"/>
          <w:szCs w:val="24"/>
          <w:lang w:val="en-US"/>
        </w:rPr>
        <w:t>inequality index</w:t>
      </w:r>
      <w:proofErr w:type="gramStart"/>
      <w:r w:rsidR="00A20A9B" w:rsidRPr="00FA44A0">
        <w:rPr>
          <w:b/>
          <w:sz w:val="24"/>
          <w:szCs w:val="24"/>
          <w:lang w:val="en-US"/>
        </w:rPr>
        <w:t>:</w:t>
      </w:r>
      <w:proofErr w:type="gramEnd"/>
      <w:r w:rsidR="00A20A9B" w:rsidRPr="00FA44A0">
        <w:rPr>
          <w:b/>
          <w:sz w:val="24"/>
          <w:szCs w:val="24"/>
          <w:lang w:val="en-US"/>
        </w:rPr>
        <w:br/>
      </w:r>
      <w:r w:rsidR="00C817BD">
        <w:rPr>
          <w:sz w:val="24"/>
          <w:szCs w:val="24"/>
          <w:lang w:val="en-US"/>
        </w:rPr>
        <w:t>T</w:t>
      </w:r>
      <w:r w:rsidR="00A20A9B">
        <w:rPr>
          <w:sz w:val="24"/>
          <w:szCs w:val="24"/>
          <w:lang w:val="en-US"/>
        </w:rPr>
        <w:t xml:space="preserve">he value of the standard </w:t>
      </w:r>
      <w:r>
        <w:rPr>
          <w:sz w:val="24"/>
          <w:szCs w:val="24"/>
          <w:lang w:val="en-US"/>
        </w:rPr>
        <w:t xml:space="preserve">Gini </w:t>
      </w:r>
      <w:r w:rsidR="00205789">
        <w:rPr>
          <w:sz w:val="24"/>
          <w:szCs w:val="24"/>
          <w:lang w:val="en-US"/>
        </w:rPr>
        <w:t>index</w:t>
      </w:r>
      <w:r w:rsidR="007A2D1C">
        <w:rPr>
          <w:sz w:val="24"/>
          <w:szCs w:val="24"/>
          <w:lang w:val="en-US"/>
        </w:rPr>
        <w:t xml:space="preserve"> (</w:t>
      </w:r>
      <w:r>
        <w:rPr>
          <w:sz w:val="24"/>
          <w:szCs w:val="24"/>
          <w:lang w:val="en-US"/>
        </w:rPr>
        <w:t>Gini</w:t>
      </w:r>
      <w:r w:rsidR="007A2D1C">
        <w:rPr>
          <w:sz w:val="24"/>
          <w:szCs w:val="24"/>
          <w:lang w:val="en-US"/>
        </w:rPr>
        <w:t>, 1914)</w:t>
      </w:r>
      <w:r w:rsidR="00D91D6F">
        <w:rPr>
          <w:sz w:val="24"/>
          <w:szCs w:val="24"/>
          <w:lang w:val="en-US"/>
        </w:rPr>
        <w:t>.</w:t>
      </w:r>
    </w:p>
    <w:p w:rsidR="007A2D1C" w:rsidRDefault="003E04AE" w:rsidP="00B542BD">
      <w:pPr>
        <w:numPr>
          <w:ilvl w:val="0"/>
          <w:numId w:val="4"/>
        </w:numPr>
        <w:rPr>
          <w:sz w:val="24"/>
          <w:szCs w:val="24"/>
          <w:lang w:val="en-US"/>
        </w:rPr>
      </w:pPr>
      <w:proofErr w:type="spellStart"/>
      <w:r w:rsidRPr="00FA44A0">
        <w:rPr>
          <w:b/>
          <w:sz w:val="24"/>
          <w:szCs w:val="24"/>
          <w:lang w:val="en-US"/>
        </w:rPr>
        <w:t>W</w:t>
      </w:r>
      <w:r w:rsidR="007A2D1C" w:rsidRPr="00FA44A0">
        <w:rPr>
          <w:b/>
          <w:sz w:val="24"/>
          <w:szCs w:val="24"/>
          <w:lang w:val="en-US"/>
        </w:rPr>
        <w:t>olfson</w:t>
      </w:r>
      <w:proofErr w:type="spellEnd"/>
      <w:r w:rsidR="007A2D1C" w:rsidRPr="00FA44A0">
        <w:rPr>
          <w:b/>
          <w:sz w:val="24"/>
          <w:szCs w:val="24"/>
          <w:lang w:val="en-US"/>
        </w:rPr>
        <w:t xml:space="preserve"> </w:t>
      </w:r>
      <w:r w:rsidRPr="00FA44A0">
        <w:rPr>
          <w:b/>
          <w:sz w:val="24"/>
          <w:szCs w:val="24"/>
          <w:lang w:val="en-US"/>
        </w:rPr>
        <w:t>polarization index</w:t>
      </w:r>
      <w:proofErr w:type="gramStart"/>
      <w:r w:rsidR="00A20A9B" w:rsidRPr="00FA44A0">
        <w:rPr>
          <w:b/>
          <w:sz w:val="24"/>
          <w:szCs w:val="24"/>
          <w:lang w:val="en-US"/>
        </w:rPr>
        <w:t>:</w:t>
      </w:r>
      <w:proofErr w:type="gramEnd"/>
      <w:r w:rsidR="00A20A9B">
        <w:rPr>
          <w:sz w:val="24"/>
          <w:szCs w:val="24"/>
          <w:lang w:val="en-US"/>
        </w:rPr>
        <w:br/>
      </w:r>
      <w:r w:rsidR="00C817BD">
        <w:rPr>
          <w:sz w:val="24"/>
          <w:szCs w:val="24"/>
          <w:lang w:val="en-US"/>
        </w:rPr>
        <w:t xml:space="preserve">The </w:t>
      </w:r>
      <w:proofErr w:type="spellStart"/>
      <w:r w:rsidR="007A2D1C">
        <w:rPr>
          <w:sz w:val="24"/>
          <w:szCs w:val="24"/>
          <w:lang w:val="en-US"/>
        </w:rPr>
        <w:t>Wolfson</w:t>
      </w:r>
      <w:proofErr w:type="spellEnd"/>
      <w:r w:rsidR="007A2D1C">
        <w:rPr>
          <w:sz w:val="24"/>
          <w:szCs w:val="24"/>
          <w:lang w:val="en-US"/>
        </w:rPr>
        <w:t xml:space="preserve"> index (</w:t>
      </w:r>
      <w:proofErr w:type="spellStart"/>
      <w:r w:rsidR="007A2D1C">
        <w:rPr>
          <w:sz w:val="24"/>
          <w:szCs w:val="24"/>
          <w:lang w:val="en-US"/>
        </w:rPr>
        <w:t>Wolfson</w:t>
      </w:r>
      <w:proofErr w:type="spellEnd"/>
      <w:r w:rsidR="007A2D1C">
        <w:rPr>
          <w:sz w:val="24"/>
          <w:szCs w:val="24"/>
          <w:lang w:val="en-US"/>
        </w:rPr>
        <w:t xml:space="preserve">, </w:t>
      </w:r>
      <w:r w:rsidR="00F675DF">
        <w:rPr>
          <w:sz w:val="24"/>
          <w:szCs w:val="24"/>
          <w:lang w:val="en-US"/>
        </w:rPr>
        <w:t>1986</w:t>
      </w:r>
      <w:r w:rsidR="007A2D1C">
        <w:rPr>
          <w:sz w:val="24"/>
          <w:szCs w:val="24"/>
          <w:lang w:val="en-US"/>
        </w:rPr>
        <w:t>)</w:t>
      </w:r>
      <w:r w:rsidR="00580992">
        <w:rPr>
          <w:sz w:val="24"/>
          <w:szCs w:val="24"/>
          <w:lang w:val="en-US"/>
        </w:rPr>
        <w:t xml:space="preserve"> of polarization</w:t>
      </w:r>
      <w:r w:rsidR="002203AB">
        <w:rPr>
          <w:sz w:val="24"/>
          <w:szCs w:val="24"/>
          <w:lang w:val="en-US"/>
        </w:rPr>
        <w:t>.</w:t>
      </w:r>
      <w:r w:rsidR="00954DDF">
        <w:rPr>
          <w:rStyle w:val="FootnoteReference"/>
          <w:sz w:val="24"/>
          <w:szCs w:val="24"/>
          <w:lang w:val="en-US"/>
        </w:rPr>
        <w:footnoteReference w:id="1"/>
      </w:r>
      <w:r w:rsidR="00580992">
        <w:rPr>
          <w:sz w:val="24"/>
          <w:szCs w:val="24"/>
          <w:lang w:val="en-US"/>
        </w:rPr>
        <w:t xml:space="preserve"> </w:t>
      </w:r>
    </w:p>
    <w:p w:rsidR="007A2D1C" w:rsidRDefault="003E04AE" w:rsidP="00B542BD">
      <w:pPr>
        <w:numPr>
          <w:ilvl w:val="0"/>
          <w:numId w:val="4"/>
        </w:numPr>
        <w:rPr>
          <w:sz w:val="24"/>
          <w:szCs w:val="24"/>
          <w:lang w:val="en-US"/>
        </w:rPr>
      </w:pPr>
      <w:r w:rsidRPr="00FA44A0">
        <w:rPr>
          <w:b/>
          <w:sz w:val="24"/>
          <w:szCs w:val="24"/>
          <w:lang w:val="en-US"/>
        </w:rPr>
        <w:t>Foster</w:t>
      </w:r>
      <w:r w:rsidRPr="00FA44A0">
        <w:rPr>
          <w:rFonts w:ascii="Cambria Math" w:hAnsi="Cambria Math" w:cs="Cambria Math"/>
          <w:b/>
          <w:sz w:val="24"/>
          <w:szCs w:val="24"/>
          <w:lang w:val="en-US"/>
        </w:rPr>
        <w:t>‐</w:t>
      </w:r>
      <w:r w:rsidRPr="00FA44A0">
        <w:rPr>
          <w:b/>
          <w:sz w:val="24"/>
          <w:szCs w:val="24"/>
          <w:lang w:val="en-US"/>
        </w:rPr>
        <w:t>Greer</w:t>
      </w:r>
      <w:r w:rsidRPr="00FA44A0">
        <w:rPr>
          <w:rFonts w:ascii="Cambria Math" w:hAnsi="Cambria Math" w:cs="Cambria Math"/>
          <w:b/>
          <w:sz w:val="24"/>
          <w:szCs w:val="24"/>
          <w:lang w:val="en-US"/>
        </w:rPr>
        <w:t>‐</w:t>
      </w:r>
      <w:proofErr w:type="spellStart"/>
      <w:r w:rsidRPr="00FA44A0">
        <w:rPr>
          <w:b/>
          <w:sz w:val="24"/>
          <w:szCs w:val="24"/>
          <w:lang w:val="en-US"/>
        </w:rPr>
        <w:t>Thorbecke</w:t>
      </w:r>
      <w:proofErr w:type="spellEnd"/>
      <w:r w:rsidRPr="00FA44A0">
        <w:rPr>
          <w:b/>
          <w:sz w:val="24"/>
          <w:szCs w:val="24"/>
          <w:lang w:val="en-US"/>
        </w:rPr>
        <w:t xml:space="preserve"> poverty</w:t>
      </w:r>
      <w:r w:rsidR="00813ED5" w:rsidRPr="00FA44A0">
        <w:rPr>
          <w:b/>
          <w:sz w:val="24"/>
          <w:szCs w:val="24"/>
          <w:lang w:val="en-US"/>
        </w:rPr>
        <w:t xml:space="preserve"> class</w:t>
      </w:r>
      <w:r w:rsidRPr="00FA44A0">
        <w:rPr>
          <w:b/>
          <w:sz w:val="24"/>
          <w:szCs w:val="24"/>
          <w:lang w:val="en-US"/>
        </w:rPr>
        <w:t xml:space="preserve">: </w:t>
      </w:r>
      <w:r w:rsidR="00A20A9B" w:rsidRPr="00FA44A0">
        <w:rPr>
          <w:b/>
          <w:sz w:val="24"/>
          <w:szCs w:val="24"/>
          <w:lang w:val="en-US"/>
        </w:rPr>
        <w:br/>
      </w:r>
      <w:r w:rsidR="0091210C">
        <w:rPr>
          <w:sz w:val="24"/>
          <w:szCs w:val="24"/>
          <w:lang w:val="en-US"/>
        </w:rPr>
        <w:t>fgt0</w:t>
      </w:r>
      <w:r w:rsidR="00F67915">
        <w:rPr>
          <w:sz w:val="24"/>
          <w:szCs w:val="24"/>
          <w:lang w:val="en-US"/>
        </w:rPr>
        <w:t>,</w:t>
      </w:r>
      <w:r w:rsidR="0091210C">
        <w:rPr>
          <w:sz w:val="24"/>
          <w:szCs w:val="24"/>
          <w:lang w:val="en-US"/>
        </w:rPr>
        <w:t xml:space="preserve"> 1</w:t>
      </w:r>
      <w:r w:rsidR="00F67915">
        <w:rPr>
          <w:sz w:val="24"/>
          <w:szCs w:val="24"/>
          <w:lang w:val="en-US"/>
        </w:rPr>
        <w:t xml:space="preserve"> and</w:t>
      </w:r>
      <w:r w:rsidR="0091210C">
        <w:rPr>
          <w:sz w:val="24"/>
          <w:szCs w:val="24"/>
          <w:lang w:val="en-US"/>
        </w:rPr>
        <w:t xml:space="preserve"> 2</w:t>
      </w:r>
      <w:r w:rsidR="00F675DF">
        <w:rPr>
          <w:sz w:val="24"/>
          <w:szCs w:val="24"/>
          <w:lang w:val="en-US"/>
        </w:rPr>
        <w:t xml:space="preserve"> </w:t>
      </w:r>
      <w:r w:rsidR="00C817BD">
        <w:rPr>
          <w:sz w:val="24"/>
          <w:szCs w:val="24"/>
          <w:lang w:val="en-US"/>
        </w:rPr>
        <w:t xml:space="preserve">show the </w:t>
      </w:r>
      <w:r w:rsidR="00F52A66" w:rsidRPr="00F52A66">
        <w:rPr>
          <w:sz w:val="24"/>
          <w:szCs w:val="24"/>
          <w:lang w:val="en-US"/>
        </w:rPr>
        <w:t>Foster</w:t>
      </w:r>
      <w:r w:rsidR="00F52A66" w:rsidRPr="00F52A66">
        <w:rPr>
          <w:rFonts w:ascii="Cambria Math" w:hAnsi="Cambria Math" w:cs="Cambria Math"/>
          <w:sz w:val="24"/>
          <w:szCs w:val="24"/>
          <w:lang w:val="en-US"/>
        </w:rPr>
        <w:t>‐</w:t>
      </w:r>
      <w:r w:rsidR="00F52A66" w:rsidRPr="00F52A66">
        <w:rPr>
          <w:sz w:val="24"/>
          <w:szCs w:val="24"/>
          <w:lang w:val="en-US"/>
        </w:rPr>
        <w:t>Greer</w:t>
      </w:r>
      <w:r w:rsidR="00F52A66" w:rsidRPr="00F52A66">
        <w:rPr>
          <w:rFonts w:ascii="Cambria Math" w:hAnsi="Cambria Math" w:cs="Cambria Math"/>
          <w:sz w:val="24"/>
          <w:szCs w:val="24"/>
          <w:lang w:val="en-US"/>
        </w:rPr>
        <w:t>‐</w:t>
      </w:r>
      <w:proofErr w:type="spellStart"/>
      <w:r w:rsidR="00F52A66" w:rsidRPr="00F52A66">
        <w:rPr>
          <w:sz w:val="24"/>
          <w:szCs w:val="24"/>
          <w:lang w:val="en-US"/>
        </w:rPr>
        <w:t>Thorbecke</w:t>
      </w:r>
      <w:proofErr w:type="spellEnd"/>
      <w:r w:rsidR="00F52A66" w:rsidRPr="00F52A66">
        <w:rPr>
          <w:sz w:val="24"/>
          <w:szCs w:val="24"/>
          <w:lang w:val="en-US"/>
        </w:rPr>
        <w:t xml:space="preserve"> </w:t>
      </w:r>
      <w:r w:rsidR="00F675DF">
        <w:rPr>
          <w:sz w:val="24"/>
          <w:szCs w:val="24"/>
          <w:lang w:val="en-US"/>
        </w:rPr>
        <w:t>(</w:t>
      </w:r>
      <w:r w:rsidR="00F675DF" w:rsidRPr="00F675DF">
        <w:rPr>
          <w:sz w:val="24"/>
          <w:szCs w:val="24"/>
          <w:lang w:val="en-US"/>
        </w:rPr>
        <w:t>Foster</w:t>
      </w:r>
      <w:r w:rsidR="006C48CA">
        <w:rPr>
          <w:sz w:val="24"/>
          <w:szCs w:val="24"/>
          <w:lang w:val="en-US"/>
        </w:rPr>
        <w:t xml:space="preserve"> et al</w:t>
      </w:r>
      <w:r w:rsidR="001257CD">
        <w:rPr>
          <w:sz w:val="24"/>
          <w:szCs w:val="24"/>
          <w:lang w:val="en-US"/>
        </w:rPr>
        <w:t>.,</w:t>
      </w:r>
      <w:r w:rsidR="006C48CA">
        <w:rPr>
          <w:sz w:val="24"/>
          <w:szCs w:val="24"/>
          <w:lang w:val="en-US"/>
        </w:rPr>
        <w:t xml:space="preserve"> </w:t>
      </w:r>
      <w:r w:rsidR="00F675DF" w:rsidRPr="00F675DF">
        <w:rPr>
          <w:sz w:val="24"/>
          <w:szCs w:val="24"/>
          <w:lang w:val="en-US"/>
        </w:rPr>
        <w:t>1984</w:t>
      </w:r>
      <w:r w:rsidR="00F675DF">
        <w:rPr>
          <w:sz w:val="24"/>
          <w:szCs w:val="24"/>
          <w:lang w:val="en-US"/>
        </w:rPr>
        <w:t>)</w:t>
      </w:r>
      <w:r w:rsidR="00580992">
        <w:rPr>
          <w:sz w:val="24"/>
          <w:szCs w:val="24"/>
          <w:lang w:val="en-US"/>
        </w:rPr>
        <w:t xml:space="preserve"> poverty index</w:t>
      </w:r>
      <w:r w:rsidR="00F52A66">
        <w:rPr>
          <w:sz w:val="24"/>
          <w:szCs w:val="24"/>
          <w:lang w:val="en-US"/>
        </w:rPr>
        <w:t>,</w:t>
      </w:r>
      <w:r w:rsidR="00A20A9B" w:rsidRPr="00A20A9B">
        <w:rPr>
          <w:sz w:val="24"/>
          <w:szCs w:val="24"/>
          <w:lang w:val="en-US"/>
        </w:rPr>
        <w:t xml:space="preserve"> </w:t>
      </w:r>
      <w:r w:rsidR="00C817BD">
        <w:rPr>
          <w:sz w:val="24"/>
          <w:szCs w:val="24"/>
          <w:lang w:val="en-US"/>
        </w:rPr>
        <w:t xml:space="preserve">with </w:t>
      </w:r>
      <w:r w:rsidR="00A20A9B">
        <w:rPr>
          <w:sz w:val="24"/>
          <w:szCs w:val="24"/>
          <w:lang w:val="en-US"/>
        </w:rPr>
        <w:t>respectively</w:t>
      </w:r>
      <w:r w:rsidR="00F52A66">
        <w:rPr>
          <w:sz w:val="24"/>
          <w:szCs w:val="24"/>
          <w:lang w:val="en-US"/>
        </w:rPr>
        <w:t xml:space="preserve"> parameter</w:t>
      </w:r>
      <w:r w:rsidR="005B35E6">
        <w:rPr>
          <w:sz w:val="24"/>
          <w:szCs w:val="24"/>
          <w:lang w:val="en-US"/>
        </w:rPr>
        <w:t>s</w:t>
      </w:r>
      <w:r w:rsidR="00F52A66">
        <w:rPr>
          <w:sz w:val="24"/>
          <w:szCs w:val="24"/>
          <w:lang w:val="en-US"/>
        </w:rPr>
        <w:t xml:space="preserve"> 0, 1, </w:t>
      </w:r>
      <w:r w:rsidR="00F52A66" w:rsidRPr="00270922">
        <w:rPr>
          <w:sz w:val="24"/>
          <w:szCs w:val="24"/>
          <w:lang w:val="en-US"/>
        </w:rPr>
        <w:t xml:space="preserve">2, </w:t>
      </w:r>
      <w:r w:rsidR="00F52A66">
        <w:rPr>
          <w:sz w:val="24"/>
          <w:szCs w:val="24"/>
          <w:lang w:val="en-US"/>
        </w:rPr>
        <w:t xml:space="preserve">and </w:t>
      </w:r>
      <w:r w:rsidR="00C817BD">
        <w:rPr>
          <w:sz w:val="24"/>
          <w:szCs w:val="24"/>
          <w:lang w:val="en-US"/>
        </w:rPr>
        <w:t xml:space="preserve">the </w:t>
      </w:r>
      <w:r w:rsidR="00F52A66">
        <w:rPr>
          <w:sz w:val="24"/>
          <w:szCs w:val="24"/>
          <w:lang w:val="en-US"/>
        </w:rPr>
        <w:t xml:space="preserve">poverty threshold </w:t>
      </w:r>
      <w:r w:rsidR="00C817BD">
        <w:rPr>
          <w:sz w:val="24"/>
          <w:szCs w:val="24"/>
          <w:lang w:val="en-US"/>
        </w:rPr>
        <w:t xml:space="preserve">of </w:t>
      </w:r>
      <w:r w:rsidR="00F52A66">
        <w:rPr>
          <w:sz w:val="24"/>
          <w:szCs w:val="24"/>
          <w:lang w:val="en-US"/>
        </w:rPr>
        <w:t xml:space="preserve">60%. The higher the parameter, the </w:t>
      </w:r>
      <w:r w:rsidR="00C817BD">
        <w:rPr>
          <w:sz w:val="24"/>
          <w:szCs w:val="24"/>
          <w:lang w:val="en-US"/>
        </w:rPr>
        <w:t>great</w:t>
      </w:r>
      <w:r w:rsidR="00F52A66">
        <w:rPr>
          <w:sz w:val="24"/>
          <w:szCs w:val="24"/>
          <w:lang w:val="en-US"/>
        </w:rPr>
        <w:t>er t</w:t>
      </w:r>
      <w:r w:rsidR="00D91D6F">
        <w:rPr>
          <w:sz w:val="24"/>
          <w:szCs w:val="24"/>
          <w:lang w:val="en-US"/>
        </w:rPr>
        <w:t xml:space="preserve">he focus on </w:t>
      </w:r>
      <w:r w:rsidR="00C817BD">
        <w:rPr>
          <w:sz w:val="24"/>
          <w:szCs w:val="24"/>
          <w:lang w:val="en-US"/>
        </w:rPr>
        <w:t>very</w:t>
      </w:r>
      <w:r w:rsidR="00D91D6F">
        <w:rPr>
          <w:sz w:val="24"/>
          <w:szCs w:val="24"/>
          <w:lang w:val="en-US"/>
        </w:rPr>
        <w:t xml:space="preserve"> low income</w:t>
      </w:r>
      <w:r w:rsidR="00C817BD">
        <w:rPr>
          <w:sz w:val="24"/>
          <w:szCs w:val="24"/>
          <w:lang w:val="en-US"/>
        </w:rPr>
        <w:t>s</w:t>
      </w:r>
      <w:r w:rsidR="00D91D6F">
        <w:rPr>
          <w:sz w:val="24"/>
          <w:szCs w:val="24"/>
          <w:lang w:val="en-US"/>
        </w:rPr>
        <w:t>.</w:t>
      </w:r>
    </w:p>
    <w:p w:rsidR="004458A8" w:rsidRPr="00FA44A0" w:rsidRDefault="00813ED5" w:rsidP="0091210C">
      <w:pPr>
        <w:numPr>
          <w:ilvl w:val="0"/>
          <w:numId w:val="4"/>
        </w:numPr>
        <w:rPr>
          <w:b/>
          <w:sz w:val="24"/>
          <w:szCs w:val="24"/>
          <w:lang w:val="en-US"/>
        </w:rPr>
      </w:pPr>
      <w:r w:rsidRPr="00FA44A0">
        <w:rPr>
          <w:b/>
          <w:sz w:val="24"/>
          <w:szCs w:val="24"/>
          <w:lang w:val="en-US"/>
        </w:rPr>
        <w:t xml:space="preserve">Income ratios: </w:t>
      </w:r>
    </w:p>
    <w:p w:rsidR="004458A8" w:rsidRDefault="0091210C" w:rsidP="004458A8">
      <w:pPr>
        <w:numPr>
          <w:ilvl w:val="1"/>
          <w:numId w:val="4"/>
        </w:numPr>
        <w:rPr>
          <w:sz w:val="24"/>
          <w:szCs w:val="24"/>
          <w:lang w:val="en-US"/>
        </w:rPr>
      </w:pPr>
      <w:r w:rsidRPr="0091210C">
        <w:rPr>
          <w:sz w:val="24"/>
          <w:szCs w:val="24"/>
          <w:lang w:val="en-US"/>
        </w:rPr>
        <w:t>p</w:t>
      </w:r>
      <w:r w:rsidR="007A2D1C" w:rsidRPr="0091210C">
        <w:rPr>
          <w:sz w:val="24"/>
          <w:szCs w:val="24"/>
          <w:lang w:val="en-US"/>
        </w:rPr>
        <w:t>90</w:t>
      </w:r>
      <w:r w:rsidRPr="0091210C">
        <w:rPr>
          <w:sz w:val="24"/>
          <w:szCs w:val="24"/>
          <w:lang w:val="en-US"/>
        </w:rPr>
        <w:t>p</w:t>
      </w:r>
      <w:r w:rsidR="007A2D1C" w:rsidRPr="0091210C">
        <w:rPr>
          <w:sz w:val="24"/>
          <w:szCs w:val="24"/>
          <w:lang w:val="en-US"/>
        </w:rPr>
        <w:t xml:space="preserve">50 = </w:t>
      </w:r>
      <w:r w:rsidR="00C16133">
        <w:rPr>
          <w:sz w:val="24"/>
          <w:szCs w:val="24"/>
          <w:lang w:val="en-US"/>
        </w:rPr>
        <w:t>decile9/</w:t>
      </w:r>
      <w:r w:rsidR="004458A8">
        <w:rPr>
          <w:sz w:val="24"/>
          <w:szCs w:val="24"/>
          <w:lang w:val="en-US"/>
        </w:rPr>
        <w:t xml:space="preserve">median: this measures inequality at the </w:t>
      </w:r>
      <w:r w:rsidR="00580992" w:rsidRPr="0091210C">
        <w:rPr>
          <w:sz w:val="24"/>
          <w:szCs w:val="24"/>
          <w:lang w:val="en-US"/>
        </w:rPr>
        <w:t>top</w:t>
      </w:r>
      <w:r w:rsidR="00C817BD">
        <w:rPr>
          <w:sz w:val="24"/>
          <w:szCs w:val="24"/>
          <w:lang w:val="en-US"/>
        </w:rPr>
        <w:t>.</w:t>
      </w:r>
      <w:r w:rsidRPr="0091210C">
        <w:rPr>
          <w:sz w:val="24"/>
          <w:szCs w:val="24"/>
          <w:lang w:val="en-US"/>
        </w:rPr>
        <w:t xml:space="preserve"> </w:t>
      </w:r>
    </w:p>
    <w:p w:rsidR="004458A8" w:rsidRDefault="00C16133" w:rsidP="004458A8">
      <w:pPr>
        <w:numPr>
          <w:ilvl w:val="1"/>
          <w:numId w:val="4"/>
        </w:numPr>
        <w:rPr>
          <w:sz w:val="24"/>
          <w:szCs w:val="24"/>
          <w:lang w:val="en-US"/>
        </w:rPr>
      </w:pPr>
      <w:r>
        <w:rPr>
          <w:sz w:val="24"/>
          <w:szCs w:val="24"/>
          <w:lang w:val="en-US"/>
        </w:rPr>
        <w:t>p50p10</w:t>
      </w:r>
      <w:r w:rsidRPr="0091210C">
        <w:rPr>
          <w:sz w:val="24"/>
          <w:szCs w:val="24"/>
          <w:lang w:val="en-US"/>
        </w:rPr>
        <w:t xml:space="preserve"> = </w:t>
      </w:r>
      <w:r w:rsidR="004458A8">
        <w:rPr>
          <w:sz w:val="24"/>
          <w:szCs w:val="24"/>
          <w:lang w:val="en-US"/>
        </w:rPr>
        <w:t xml:space="preserve">median </w:t>
      </w:r>
      <w:r>
        <w:rPr>
          <w:sz w:val="24"/>
          <w:szCs w:val="24"/>
          <w:lang w:val="en-US"/>
        </w:rPr>
        <w:t>/decile1</w:t>
      </w:r>
      <w:r w:rsidR="004458A8">
        <w:rPr>
          <w:sz w:val="24"/>
          <w:szCs w:val="24"/>
          <w:lang w:val="en-US"/>
        </w:rPr>
        <w:t xml:space="preserve">: this measures inequality at the </w:t>
      </w:r>
      <w:r>
        <w:rPr>
          <w:sz w:val="24"/>
          <w:szCs w:val="24"/>
          <w:lang w:val="en-US"/>
        </w:rPr>
        <w:t>bottom</w:t>
      </w:r>
      <w:r w:rsidR="00C817BD">
        <w:rPr>
          <w:sz w:val="24"/>
          <w:szCs w:val="24"/>
          <w:lang w:val="en-US"/>
        </w:rPr>
        <w:t>.</w:t>
      </w:r>
      <w:r>
        <w:rPr>
          <w:sz w:val="24"/>
          <w:szCs w:val="24"/>
          <w:lang w:val="en-US"/>
        </w:rPr>
        <w:t xml:space="preserve"> </w:t>
      </w:r>
    </w:p>
    <w:p w:rsidR="007A2D1C" w:rsidRDefault="0091210C" w:rsidP="004458A8">
      <w:pPr>
        <w:numPr>
          <w:ilvl w:val="1"/>
          <w:numId w:val="4"/>
        </w:numPr>
        <w:rPr>
          <w:sz w:val="24"/>
          <w:szCs w:val="24"/>
          <w:lang w:val="en-US"/>
        </w:rPr>
      </w:pPr>
      <w:r w:rsidRPr="0091210C">
        <w:rPr>
          <w:sz w:val="24"/>
          <w:szCs w:val="24"/>
          <w:lang w:val="en-US"/>
        </w:rPr>
        <w:t xml:space="preserve">pp907550 </w:t>
      </w:r>
      <w:r w:rsidR="007A2D1C" w:rsidRPr="0091210C">
        <w:rPr>
          <w:sz w:val="24"/>
          <w:szCs w:val="24"/>
          <w:lang w:val="en-US"/>
        </w:rPr>
        <w:t>= (</w:t>
      </w:r>
      <w:r w:rsidR="004458A8">
        <w:rPr>
          <w:sz w:val="24"/>
          <w:szCs w:val="24"/>
          <w:lang w:val="en-US"/>
        </w:rPr>
        <w:t>decile9/quartile3</w:t>
      </w:r>
      <w:r w:rsidR="007A2D1C" w:rsidRPr="0091210C">
        <w:rPr>
          <w:sz w:val="24"/>
          <w:szCs w:val="24"/>
          <w:lang w:val="en-US"/>
        </w:rPr>
        <w:t>)</w:t>
      </w:r>
      <w:r w:rsidR="004458A8">
        <w:rPr>
          <w:sz w:val="24"/>
          <w:szCs w:val="24"/>
          <w:lang w:val="en-US"/>
        </w:rPr>
        <w:t xml:space="preserve"> /</w:t>
      </w:r>
      <w:r w:rsidR="007A2D1C" w:rsidRPr="0091210C">
        <w:rPr>
          <w:sz w:val="24"/>
          <w:szCs w:val="24"/>
          <w:lang w:val="en-US"/>
        </w:rPr>
        <w:t xml:space="preserve"> (quartile</w:t>
      </w:r>
      <w:r w:rsidR="004458A8">
        <w:rPr>
          <w:sz w:val="24"/>
          <w:szCs w:val="24"/>
          <w:lang w:val="en-US"/>
        </w:rPr>
        <w:t>3/</w:t>
      </w:r>
      <w:r w:rsidR="007A2D1C" w:rsidRPr="0091210C">
        <w:rPr>
          <w:sz w:val="24"/>
          <w:szCs w:val="24"/>
          <w:lang w:val="en-US"/>
        </w:rPr>
        <w:t>median)</w:t>
      </w:r>
      <w:r w:rsidR="00580992" w:rsidRPr="0091210C">
        <w:rPr>
          <w:sz w:val="24"/>
          <w:szCs w:val="24"/>
          <w:lang w:val="en-US"/>
        </w:rPr>
        <w:t xml:space="preserve">: this measures the degree to which </w:t>
      </w:r>
      <w:r w:rsidR="004458A8">
        <w:rPr>
          <w:sz w:val="24"/>
          <w:szCs w:val="24"/>
          <w:lang w:val="en-US"/>
        </w:rPr>
        <w:t xml:space="preserve">inequality accelerates near the top decile, compared to the degree of inequality between the median and the top quartile. This </w:t>
      </w:r>
      <w:r w:rsidR="00C817BD">
        <w:rPr>
          <w:sz w:val="24"/>
          <w:szCs w:val="24"/>
          <w:lang w:val="en-US"/>
        </w:rPr>
        <w:t xml:space="preserve">corresponds to </w:t>
      </w:r>
      <w:r w:rsidR="004458A8">
        <w:rPr>
          <w:sz w:val="24"/>
          <w:szCs w:val="24"/>
          <w:lang w:val="en-US"/>
        </w:rPr>
        <w:t>over-elongation at the top.</w:t>
      </w:r>
    </w:p>
    <w:p w:rsidR="004458A8" w:rsidRPr="004458A8" w:rsidRDefault="004458A8" w:rsidP="004458A8">
      <w:pPr>
        <w:numPr>
          <w:ilvl w:val="1"/>
          <w:numId w:val="4"/>
        </w:numPr>
        <w:rPr>
          <w:sz w:val="24"/>
          <w:szCs w:val="24"/>
          <w:lang w:val="en-US"/>
        </w:rPr>
      </w:pPr>
      <w:r w:rsidRPr="0091210C">
        <w:rPr>
          <w:sz w:val="24"/>
          <w:szCs w:val="24"/>
          <w:lang w:val="en-US"/>
        </w:rPr>
        <w:t>pp</w:t>
      </w:r>
      <w:r>
        <w:rPr>
          <w:sz w:val="24"/>
          <w:szCs w:val="24"/>
          <w:lang w:val="en-US"/>
        </w:rPr>
        <w:t>2510</w:t>
      </w:r>
      <w:r w:rsidRPr="0091210C">
        <w:rPr>
          <w:sz w:val="24"/>
          <w:szCs w:val="24"/>
          <w:lang w:val="en-US"/>
        </w:rPr>
        <w:t>50 = (</w:t>
      </w:r>
      <w:r>
        <w:rPr>
          <w:sz w:val="24"/>
          <w:szCs w:val="24"/>
          <w:lang w:val="en-US"/>
        </w:rPr>
        <w:t>quartile1/decile1</w:t>
      </w:r>
      <w:r w:rsidRPr="0091210C">
        <w:rPr>
          <w:sz w:val="24"/>
          <w:szCs w:val="24"/>
          <w:lang w:val="en-US"/>
        </w:rPr>
        <w:t>)</w:t>
      </w:r>
      <w:r>
        <w:rPr>
          <w:sz w:val="24"/>
          <w:szCs w:val="24"/>
          <w:lang w:val="en-US"/>
        </w:rPr>
        <w:t xml:space="preserve"> /</w:t>
      </w:r>
      <w:r w:rsidRPr="0091210C">
        <w:rPr>
          <w:sz w:val="24"/>
          <w:szCs w:val="24"/>
          <w:lang w:val="en-US"/>
        </w:rPr>
        <w:t xml:space="preserve"> (median</w:t>
      </w:r>
      <w:r>
        <w:rPr>
          <w:sz w:val="24"/>
          <w:szCs w:val="24"/>
          <w:lang w:val="en-US"/>
        </w:rPr>
        <w:t>/quartile1</w:t>
      </w:r>
      <w:r w:rsidRPr="0091210C">
        <w:rPr>
          <w:sz w:val="24"/>
          <w:szCs w:val="24"/>
          <w:lang w:val="en-US"/>
        </w:rPr>
        <w:t xml:space="preserve">): this measures the degree to which </w:t>
      </w:r>
      <w:r>
        <w:rPr>
          <w:sz w:val="24"/>
          <w:szCs w:val="24"/>
          <w:lang w:val="en-US"/>
        </w:rPr>
        <w:t xml:space="preserve">inequality accelerates </w:t>
      </w:r>
      <w:r w:rsidR="00C817BD">
        <w:rPr>
          <w:sz w:val="24"/>
          <w:szCs w:val="24"/>
          <w:lang w:val="en-US"/>
        </w:rPr>
        <w:t xml:space="preserve">at </w:t>
      </w:r>
      <w:r>
        <w:rPr>
          <w:sz w:val="24"/>
          <w:szCs w:val="24"/>
          <w:lang w:val="en-US"/>
        </w:rPr>
        <w:t>the lower decile, compared to the degree of inequality at the lower quartile</w:t>
      </w:r>
      <w:r w:rsidRPr="0091210C">
        <w:rPr>
          <w:sz w:val="24"/>
          <w:szCs w:val="24"/>
          <w:lang w:val="en-US"/>
        </w:rPr>
        <w:t>.</w:t>
      </w:r>
      <w:r>
        <w:rPr>
          <w:sz w:val="24"/>
          <w:szCs w:val="24"/>
          <w:lang w:val="en-US"/>
        </w:rPr>
        <w:t xml:space="preserve"> This </w:t>
      </w:r>
      <w:r w:rsidR="00F67915">
        <w:rPr>
          <w:sz w:val="24"/>
          <w:szCs w:val="24"/>
          <w:lang w:val="en-US"/>
        </w:rPr>
        <w:t xml:space="preserve">corresponds to </w:t>
      </w:r>
      <w:r>
        <w:rPr>
          <w:sz w:val="24"/>
          <w:szCs w:val="24"/>
          <w:lang w:val="en-US"/>
        </w:rPr>
        <w:t>over-elongation at the bottom.</w:t>
      </w:r>
    </w:p>
    <w:p w:rsidR="000C3FE7" w:rsidRDefault="00813ED5" w:rsidP="00B542BD">
      <w:pPr>
        <w:numPr>
          <w:ilvl w:val="0"/>
          <w:numId w:val="4"/>
        </w:numPr>
        <w:rPr>
          <w:sz w:val="24"/>
          <w:szCs w:val="24"/>
          <w:lang w:val="en-US"/>
        </w:rPr>
      </w:pPr>
      <w:r w:rsidRPr="00FA44A0">
        <w:rPr>
          <w:b/>
          <w:sz w:val="24"/>
          <w:szCs w:val="24"/>
          <w:lang w:val="en-US"/>
        </w:rPr>
        <w:lastRenderedPageBreak/>
        <w:t xml:space="preserve">ISO(X) class of measure of inequality: </w:t>
      </w:r>
      <w:r w:rsidR="00A20A9B" w:rsidRPr="00FA44A0">
        <w:rPr>
          <w:b/>
          <w:sz w:val="24"/>
          <w:szCs w:val="24"/>
          <w:lang w:val="en-US"/>
        </w:rPr>
        <w:br/>
      </w:r>
      <w:r w:rsidR="0091210C">
        <w:rPr>
          <w:sz w:val="24"/>
          <w:szCs w:val="24"/>
          <w:lang w:val="en-US"/>
        </w:rPr>
        <w:t>iso</w:t>
      </w:r>
      <w:r w:rsidR="000C3FE7">
        <w:rPr>
          <w:sz w:val="24"/>
          <w:szCs w:val="24"/>
          <w:lang w:val="en-US"/>
        </w:rPr>
        <w:t xml:space="preserve">2, </w:t>
      </w:r>
      <w:r w:rsidR="0091210C">
        <w:rPr>
          <w:sz w:val="24"/>
          <w:szCs w:val="24"/>
          <w:lang w:val="en-US"/>
        </w:rPr>
        <w:t>iso</w:t>
      </w:r>
      <w:r w:rsidR="000C3FE7">
        <w:rPr>
          <w:sz w:val="24"/>
          <w:szCs w:val="24"/>
          <w:lang w:val="en-US"/>
        </w:rPr>
        <w:t xml:space="preserve">6, </w:t>
      </w:r>
      <w:r w:rsidR="0091210C">
        <w:rPr>
          <w:sz w:val="24"/>
          <w:szCs w:val="24"/>
          <w:lang w:val="en-US"/>
        </w:rPr>
        <w:t>iso</w:t>
      </w:r>
      <w:r w:rsidR="000C3FE7">
        <w:rPr>
          <w:sz w:val="24"/>
          <w:szCs w:val="24"/>
          <w:lang w:val="en-US"/>
        </w:rPr>
        <w:t xml:space="preserve">10, </w:t>
      </w:r>
      <w:r w:rsidR="0091210C">
        <w:rPr>
          <w:sz w:val="24"/>
          <w:szCs w:val="24"/>
          <w:lang w:val="en-US"/>
        </w:rPr>
        <w:t>iso</w:t>
      </w:r>
      <w:r w:rsidR="000C3FE7">
        <w:rPr>
          <w:sz w:val="24"/>
          <w:szCs w:val="24"/>
          <w:lang w:val="en-US"/>
        </w:rPr>
        <w:t>14</w:t>
      </w:r>
      <w:r w:rsidR="0091210C">
        <w:rPr>
          <w:sz w:val="24"/>
          <w:szCs w:val="24"/>
          <w:lang w:val="en-US"/>
        </w:rPr>
        <w:t>, iso18</w:t>
      </w:r>
      <w:r w:rsidR="000C3FE7">
        <w:rPr>
          <w:sz w:val="24"/>
          <w:szCs w:val="24"/>
          <w:lang w:val="en-US"/>
        </w:rPr>
        <w:t xml:space="preserve"> </w:t>
      </w:r>
      <w:r w:rsidR="00A20A9B">
        <w:rPr>
          <w:sz w:val="24"/>
          <w:szCs w:val="24"/>
          <w:lang w:val="en-US"/>
        </w:rPr>
        <w:t xml:space="preserve">are respectively </w:t>
      </w:r>
      <w:r w:rsidR="00953BC8">
        <w:rPr>
          <w:sz w:val="24"/>
          <w:szCs w:val="24"/>
          <w:lang w:val="en-US"/>
        </w:rPr>
        <w:t>the values of ISO for the “</w:t>
      </w:r>
      <w:proofErr w:type="spellStart"/>
      <w:r w:rsidR="00953BC8">
        <w:rPr>
          <w:sz w:val="24"/>
          <w:szCs w:val="24"/>
          <w:lang w:val="en-US"/>
        </w:rPr>
        <w:t>vingtiles</w:t>
      </w:r>
      <w:proofErr w:type="spellEnd"/>
      <w:r w:rsidR="00953BC8">
        <w:rPr>
          <w:sz w:val="24"/>
          <w:szCs w:val="24"/>
          <w:lang w:val="en-US"/>
        </w:rPr>
        <w:t>” (5% slices) 2, 6, 10, 14 and 18</w:t>
      </w:r>
      <w:r w:rsidR="00C817BD">
        <w:rPr>
          <w:sz w:val="24"/>
          <w:szCs w:val="24"/>
          <w:lang w:val="en-US"/>
        </w:rPr>
        <w:t xml:space="preserve">. These correspond to the </w:t>
      </w:r>
      <w:r w:rsidR="000C3FE7">
        <w:rPr>
          <w:sz w:val="24"/>
          <w:szCs w:val="24"/>
          <w:lang w:val="en-US"/>
        </w:rPr>
        <w:t xml:space="preserve">values </w:t>
      </w:r>
      <w:r w:rsidR="00953BC8">
        <w:rPr>
          <w:sz w:val="24"/>
          <w:szCs w:val="24"/>
          <w:lang w:val="en-US"/>
        </w:rPr>
        <w:t>of</w:t>
      </w:r>
      <w:r w:rsidR="000C3FE7">
        <w:rPr>
          <w:sz w:val="24"/>
          <w:szCs w:val="24"/>
          <w:lang w:val="en-US"/>
        </w:rPr>
        <w:t xml:space="preserve"> X </w:t>
      </w:r>
      <w:r w:rsidR="0091210C">
        <w:rPr>
          <w:sz w:val="24"/>
          <w:szCs w:val="24"/>
          <w:lang w:val="en-US"/>
        </w:rPr>
        <w:t>close to</w:t>
      </w:r>
      <w:r w:rsidR="000C3FE7">
        <w:rPr>
          <w:sz w:val="24"/>
          <w:szCs w:val="24"/>
          <w:lang w:val="en-US"/>
        </w:rPr>
        <w:t xml:space="preserve"> -3, -1, </w:t>
      </w:r>
      <w:r w:rsidR="00B446C5">
        <w:rPr>
          <w:sz w:val="24"/>
          <w:szCs w:val="24"/>
          <w:lang w:val="en-US"/>
        </w:rPr>
        <w:t xml:space="preserve">0, </w:t>
      </w:r>
      <w:r w:rsidR="000C3FE7">
        <w:rPr>
          <w:sz w:val="24"/>
          <w:szCs w:val="24"/>
          <w:lang w:val="en-US"/>
        </w:rPr>
        <w:t>+1 and +3</w:t>
      </w:r>
      <w:r w:rsidR="00853DFB">
        <w:rPr>
          <w:sz w:val="24"/>
          <w:szCs w:val="24"/>
          <w:lang w:val="en-US"/>
        </w:rPr>
        <w:t>,</w:t>
      </w:r>
      <w:r>
        <w:rPr>
          <w:sz w:val="24"/>
          <w:szCs w:val="24"/>
          <w:lang w:val="en-US"/>
        </w:rPr>
        <w:t xml:space="preserve"> </w:t>
      </w:r>
      <w:r w:rsidR="00953BC8">
        <w:rPr>
          <w:sz w:val="24"/>
          <w:szCs w:val="24"/>
          <w:lang w:val="en-US"/>
        </w:rPr>
        <w:t>respectively</w:t>
      </w:r>
      <w:r w:rsidR="00D91D6F">
        <w:rPr>
          <w:sz w:val="24"/>
          <w:szCs w:val="24"/>
          <w:lang w:val="en-US"/>
        </w:rPr>
        <w:t>.</w:t>
      </w:r>
    </w:p>
    <w:p w:rsidR="000C3FE7" w:rsidRDefault="00813ED5" w:rsidP="00B542BD">
      <w:pPr>
        <w:numPr>
          <w:ilvl w:val="0"/>
          <w:numId w:val="4"/>
        </w:numPr>
        <w:rPr>
          <w:sz w:val="24"/>
          <w:szCs w:val="24"/>
          <w:lang w:val="en-US"/>
        </w:rPr>
      </w:pPr>
      <w:r w:rsidRPr="00FA44A0">
        <w:rPr>
          <w:b/>
          <w:sz w:val="24"/>
          <w:szCs w:val="24"/>
          <w:lang w:val="en-US"/>
        </w:rPr>
        <w:t xml:space="preserve">Income class proportions: </w:t>
      </w:r>
      <w:r w:rsidR="00A20A9B" w:rsidRPr="00FA44A0">
        <w:rPr>
          <w:b/>
          <w:sz w:val="24"/>
          <w:szCs w:val="24"/>
          <w:lang w:val="en-US"/>
        </w:rPr>
        <w:br/>
      </w:r>
      <w:proofErr w:type="spellStart"/>
      <w:r w:rsidR="000C3FE7">
        <w:rPr>
          <w:sz w:val="24"/>
          <w:szCs w:val="24"/>
          <w:lang w:val="en-US"/>
        </w:rPr>
        <w:t>p</w:t>
      </w:r>
      <w:r w:rsidR="00953BC8">
        <w:rPr>
          <w:sz w:val="24"/>
          <w:szCs w:val="24"/>
          <w:lang w:val="en-US"/>
        </w:rPr>
        <w:t>o</w:t>
      </w:r>
      <w:proofErr w:type="spellEnd"/>
      <w:r w:rsidR="000C3FE7">
        <w:rPr>
          <w:sz w:val="24"/>
          <w:szCs w:val="24"/>
          <w:lang w:val="en-US"/>
        </w:rPr>
        <w:t xml:space="preserve">, mcl, mc, </w:t>
      </w:r>
      <w:proofErr w:type="spellStart"/>
      <w:r w:rsidR="000C3FE7">
        <w:rPr>
          <w:sz w:val="24"/>
          <w:szCs w:val="24"/>
          <w:lang w:val="en-US"/>
        </w:rPr>
        <w:t>mcu</w:t>
      </w:r>
      <w:proofErr w:type="spellEnd"/>
      <w:r w:rsidR="000C3FE7">
        <w:rPr>
          <w:sz w:val="24"/>
          <w:szCs w:val="24"/>
          <w:lang w:val="en-US"/>
        </w:rPr>
        <w:t xml:space="preserve">, </w:t>
      </w:r>
      <w:proofErr w:type="spellStart"/>
      <w:proofErr w:type="gramStart"/>
      <w:r w:rsidR="000C3FE7">
        <w:rPr>
          <w:sz w:val="24"/>
          <w:szCs w:val="24"/>
          <w:lang w:val="en-US"/>
        </w:rPr>
        <w:t>ri</w:t>
      </w:r>
      <w:proofErr w:type="spellEnd"/>
      <w:proofErr w:type="gramEnd"/>
      <w:r w:rsidR="00C817BD">
        <w:rPr>
          <w:sz w:val="24"/>
          <w:szCs w:val="24"/>
          <w:lang w:val="en-US"/>
        </w:rPr>
        <w:t xml:space="preserve">. These are </w:t>
      </w:r>
      <w:r w:rsidR="000C3FE7">
        <w:rPr>
          <w:sz w:val="24"/>
          <w:szCs w:val="24"/>
          <w:lang w:val="en-US"/>
        </w:rPr>
        <w:t>respectively</w:t>
      </w:r>
      <w:r w:rsidR="001257CD">
        <w:rPr>
          <w:sz w:val="24"/>
          <w:szCs w:val="24"/>
          <w:lang w:val="en-US"/>
        </w:rPr>
        <w:t>,</w:t>
      </w:r>
      <w:r w:rsidR="000C3FE7">
        <w:rPr>
          <w:sz w:val="24"/>
          <w:szCs w:val="24"/>
          <w:lang w:val="en-US"/>
        </w:rPr>
        <w:t xml:space="preserve"> the proportion of </w:t>
      </w:r>
      <w:r w:rsidR="00C817BD">
        <w:rPr>
          <w:sz w:val="24"/>
          <w:szCs w:val="24"/>
          <w:lang w:val="en-US"/>
        </w:rPr>
        <w:t xml:space="preserve">the </w:t>
      </w:r>
      <w:r w:rsidR="000C3FE7">
        <w:rPr>
          <w:sz w:val="24"/>
          <w:szCs w:val="24"/>
          <w:lang w:val="en-US"/>
        </w:rPr>
        <w:t>poor (</w:t>
      </w:r>
      <w:proofErr w:type="spellStart"/>
      <w:r w:rsidR="000C3FE7">
        <w:rPr>
          <w:sz w:val="24"/>
          <w:szCs w:val="24"/>
          <w:lang w:val="en-US"/>
        </w:rPr>
        <w:t>medi</w:t>
      </w:r>
      <w:proofErr w:type="spellEnd"/>
      <w:r w:rsidR="001257CD">
        <w:rPr>
          <w:sz w:val="24"/>
          <w:szCs w:val="24"/>
          <w:lang w:val="en-US"/>
        </w:rPr>
        <w:t xml:space="preserve"> </w:t>
      </w:r>
      <w:r w:rsidR="000C3FE7">
        <w:rPr>
          <w:sz w:val="24"/>
          <w:szCs w:val="24"/>
          <w:lang w:val="en-US"/>
        </w:rPr>
        <w:t>&lt;</w:t>
      </w:r>
      <w:r w:rsidR="001257CD">
        <w:rPr>
          <w:sz w:val="24"/>
          <w:szCs w:val="24"/>
          <w:lang w:val="en-US"/>
        </w:rPr>
        <w:t xml:space="preserve"> </w:t>
      </w:r>
      <w:r w:rsidR="000C3FE7">
        <w:rPr>
          <w:sz w:val="24"/>
          <w:szCs w:val="24"/>
          <w:lang w:val="en-US"/>
        </w:rPr>
        <w:t>.5), lower middle class (.5</w:t>
      </w:r>
      <w:r w:rsidR="001257CD">
        <w:rPr>
          <w:sz w:val="24"/>
          <w:szCs w:val="24"/>
          <w:lang w:val="en-US"/>
        </w:rPr>
        <w:t xml:space="preserve"> </w:t>
      </w:r>
      <w:r w:rsidR="000C3FE7">
        <w:rPr>
          <w:sz w:val="24"/>
          <w:szCs w:val="24"/>
          <w:lang w:val="en-US"/>
        </w:rPr>
        <w:t>&lt;=</w:t>
      </w:r>
      <w:r w:rsidR="001257CD">
        <w:rPr>
          <w:sz w:val="24"/>
          <w:szCs w:val="24"/>
          <w:lang w:val="en-US"/>
        </w:rPr>
        <w:t xml:space="preserve"> </w:t>
      </w:r>
      <w:proofErr w:type="spellStart"/>
      <w:r w:rsidR="000C3FE7">
        <w:rPr>
          <w:sz w:val="24"/>
          <w:szCs w:val="24"/>
          <w:lang w:val="en-US"/>
        </w:rPr>
        <w:t>medi</w:t>
      </w:r>
      <w:proofErr w:type="spellEnd"/>
      <w:r w:rsidR="001257CD">
        <w:rPr>
          <w:sz w:val="24"/>
          <w:szCs w:val="24"/>
          <w:lang w:val="en-US"/>
        </w:rPr>
        <w:t xml:space="preserve"> </w:t>
      </w:r>
      <w:r w:rsidR="000C3FE7">
        <w:rPr>
          <w:sz w:val="24"/>
          <w:szCs w:val="24"/>
          <w:lang w:val="en-US"/>
        </w:rPr>
        <w:t>&lt;</w:t>
      </w:r>
      <w:r w:rsidR="001257CD">
        <w:rPr>
          <w:sz w:val="24"/>
          <w:szCs w:val="24"/>
          <w:lang w:val="en-US"/>
        </w:rPr>
        <w:t xml:space="preserve"> </w:t>
      </w:r>
      <w:r w:rsidR="000C3FE7">
        <w:rPr>
          <w:sz w:val="24"/>
          <w:szCs w:val="24"/>
          <w:lang w:val="en-US"/>
        </w:rPr>
        <w:t>.75), middle class (.75</w:t>
      </w:r>
      <w:r w:rsidR="001257CD">
        <w:rPr>
          <w:sz w:val="24"/>
          <w:szCs w:val="24"/>
          <w:lang w:val="en-US"/>
        </w:rPr>
        <w:t xml:space="preserve"> </w:t>
      </w:r>
      <w:r w:rsidR="000C3FE7">
        <w:rPr>
          <w:sz w:val="24"/>
          <w:szCs w:val="24"/>
          <w:lang w:val="en-US"/>
        </w:rPr>
        <w:t>&lt;=</w:t>
      </w:r>
      <w:r w:rsidR="001257CD">
        <w:rPr>
          <w:sz w:val="24"/>
          <w:szCs w:val="24"/>
          <w:lang w:val="en-US"/>
        </w:rPr>
        <w:t xml:space="preserve"> </w:t>
      </w:r>
      <w:proofErr w:type="spellStart"/>
      <w:r w:rsidR="000C3FE7">
        <w:rPr>
          <w:sz w:val="24"/>
          <w:szCs w:val="24"/>
          <w:lang w:val="en-US"/>
        </w:rPr>
        <w:t>medi</w:t>
      </w:r>
      <w:proofErr w:type="spellEnd"/>
      <w:r w:rsidR="001257CD">
        <w:rPr>
          <w:sz w:val="24"/>
          <w:szCs w:val="24"/>
          <w:lang w:val="en-US"/>
        </w:rPr>
        <w:t xml:space="preserve"> </w:t>
      </w:r>
      <w:r w:rsidR="000C3FE7">
        <w:rPr>
          <w:sz w:val="24"/>
          <w:szCs w:val="24"/>
          <w:lang w:val="en-US"/>
        </w:rPr>
        <w:t>&lt;</w:t>
      </w:r>
      <w:r w:rsidR="001257CD">
        <w:rPr>
          <w:sz w:val="24"/>
          <w:szCs w:val="24"/>
          <w:lang w:val="en-US"/>
        </w:rPr>
        <w:t xml:space="preserve"> </w:t>
      </w:r>
      <w:r w:rsidR="000C3FE7">
        <w:rPr>
          <w:sz w:val="24"/>
          <w:szCs w:val="24"/>
          <w:lang w:val="en-US"/>
        </w:rPr>
        <w:t>1.25),</w:t>
      </w:r>
      <w:r w:rsidR="000C3FE7" w:rsidRPr="000C3FE7">
        <w:rPr>
          <w:sz w:val="24"/>
          <w:szCs w:val="24"/>
          <w:lang w:val="en-US"/>
        </w:rPr>
        <w:t xml:space="preserve"> </w:t>
      </w:r>
      <w:r w:rsidR="000C3FE7">
        <w:rPr>
          <w:sz w:val="24"/>
          <w:szCs w:val="24"/>
          <w:lang w:val="en-US"/>
        </w:rPr>
        <w:t>upper middle class (1.25</w:t>
      </w:r>
      <w:r w:rsidR="001257CD">
        <w:rPr>
          <w:sz w:val="24"/>
          <w:szCs w:val="24"/>
          <w:lang w:val="en-US"/>
        </w:rPr>
        <w:t xml:space="preserve"> </w:t>
      </w:r>
      <w:r w:rsidR="000C3FE7">
        <w:rPr>
          <w:sz w:val="24"/>
          <w:szCs w:val="24"/>
          <w:lang w:val="en-US"/>
        </w:rPr>
        <w:t>&lt;=</w:t>
      </w:r>
      <w:r w:rsidR="001257CD">
        <w:rPr>
          <w:sz w:val="24"/>
          <w:szCs w:val="24"/>
          <w:lang w:val="en-US"/>
        </w:rPr>
        <w:t xml:space="preserve"> </w:t>
      </w:r>
      <w:proofErr w:type="spellStart"/>
      <w:r w:rsidR="000C3FE7">
        <w:rPr>
          <w:sz w:val="24"/>
          <w:szCs w:val="24"/>
          <w:lang w:val="en-US"/>
        </w:rPr>
        <w:t>medi</w:t>
      </w:r>
      <w:proofErr w:type="spellEnd"/>
      <w:r w:rsidR="001257CD">
        <w:rPr>
          <w:sz w:val="24"/>
          <w:szCs w:val="24"/>
          <w:lang w:val="en-US"/>
        </w:rPr>
        <w:t xml:space="preserve"> </w:t>
      </w:r>
      <w:r w:rsidR="000C3FE7">
        <w:rPr>
          <w:sz w:val="24"/>
          <w:szCs w:val="24"/>
          <w:lang w:val="en-US"/>
        </w:rPr>
        <w:t>&lt;</w:t>
      </w:r>
      <w:r w:rsidR="001257CD">
        <w:rPr>
          <w:sz w:val="24"/>
          <w:szCs w:val="24"/>
          <w:lang w:val="en-US"/>
        </w:rPr>
        <w:t xml:space="preserve"> </w:t>
      </w:r>
      <w:r w:rsidR="000C3FE7">
        <w:rPr>
          <w:sz w:val="24"/>
          <w:szCs w:val="24"/>
          <w:lang w:val="en-US"/>
        </w:rPr>
        <w:t>2)</w:t>
      </w:r>
      <w:r w:rsidR="000C3FE7" w:rsidRPr="000C3FE7">
        <w:rPr>
          <w:sz w:val="24"/>
          <w:szCs w:val="24"/>
          <w:lang w:val="en-US"/>
        </w:rPr>
        <w:t xml:space="preserve"> </w:t>
      </w:r>
      <w:r w:rsidR="000C3FE7">
        <w:rPr>
          <w:sz w:val="24"/>
          <w:szCs w:val="24"/>
          <w:lang w:val="en-US"/>
        </w:rPr>
        <w:t>and rich (2</w:t>
      </w:r>
      <w:r w:rsidR="001257CD">
        <w:rPr>
          <w:sz w:val="24"/>
          <w:szCs w:val="24"/>
          <w:lang w:val="en-US"/>
        </w:rPr>
        <w:t xml:space="preserve"> </w:t>
      </w:r>
      <w:r w:rsidR="000C3FE7">
        <w:rPr>
          <w:sz w:val="24"/>
          <w:szCs w:val="24"/>
          <w:lang w:val="en-US"/>
        </w:rPr>
        <w:t>&lt;=</w:t>
      </w:r>
      <w:r w:rsidR="001257CD">
        <w:rPr>
          <w:sz w:val="24"/>
          <w:szCs w:val="24"/>
          <w:lang w:val="en-US"/>
        </w:rPr>
        <w:t xml:space="preserve"> </w:t>
      </w:r>
      <w:proofErr w:type="spellStart"/>
      <w:r w:rsidR="000C3FE7">
        <w:rPr>
          <w:sz w:val="24"/>
          <w:szCs w:val="24"/>
          <w:lang w:val="en-US"/>
        </w:rPr>
        <w:t>medi</w:t>
      </w:r>
      <w:proofErr w:type="spellEnd"/>
      <w:r w:rsidR="000C3FE7">
        <w:rPr>
          <w:sz w:val="24"/>
          <w:szCs w:val="24"/>
          <w:lang w:val="en-US"/>
        </w:rPr>
        <w:t>) in the total population</w:t>
      </w:r>
      <w:r w:rsidR="002203AB">
        <w:rPr>
          <w:sz w:val="24"/>
          <w:szCs w:val="24"/>
          <w:lang w:val="en-US"/>
        </w:rPr>
        <w:t>.</w:t>
      </w:r>
      <w:r w:rsidR="002A7480">
        <w:rPr>
          <w:rStyle w:val="FootnoteReference"/>
          <w:sz w:val="24"/>
          <w:szCs w:val="24"/>
          <w:lang w:val="en-US"/>
        </w:rPr>
        <w:footnoteReference w:id="2"/>
      </w:r>
    </w:p>
    <w:p w:rsidR="003E04AE" w:rsidRDefault="00813ED5" w:rsidP="00B542BD">
      <w:pPr>
        <w:numPr>
          <w:ilvl w:val="0"/>
          <w:numId w:val="4"/>
        </w:numPr>
        <w:rPr>
          <w:sz w:val="24"/>
          <w:szCs w:val="24"/>
          <w:lang w:val="en-US"/>
        </w:rPr>
      </w:pPr>
      <w:r w:rsidRPr="00FA44A0">
        <w:rPr>
          <w:b/>
          <w:sz w:val="24"/>
          <w:szCs w:val="24"/>
          <w:lang w:val="en-US"/>
        </w:rPr>
        <w:t xml:space="preserve">Income class based indicator of polarization: </w:t>
      </w:r>
      <w:r w:rsidR="00A20A9B" w:rsidRPr="00FA44A0">
        <w:rPr>
          <w:b/>
          <w:sz w:val="24"/>
          <w:szCs w:val="24"/>
          <w:lang w:val="en-US"/>
        </w:rPr>
        <w:br/>
      </w:r>
      <w:proofErr w:type="spellStart"/>
      <w:r w:rsidR="003E04AE">
        <w:rPr>
          <w:sz w:val="24"/>
          <w:szCs w:val="24"/>
          <w:lang w:val="en-US"/>
        </w:rPr>
        <w:t>rpol</w:t>
      </w:r>
      <w:proofErr w:type="spellEnd"/>
      <w:r w:rsidR="003E04AE">
        <w:rPr>
          <w:sz w:val="24"/>
          <w:szCs w:val="24"/>
          <w:lang w:val="en-US"/>
        </w:rPr>
        <w:t xml:space="preserve"> = (mcl</w:t>
      </w:r>
      <w:r w:rsidR="001257CD">
        <w:rPr>
          <w:sz w:val="24"/>
          <w:szCs w:val="24"/>
          <w:lang w:val="en-US"/>
        </w:rPr>
        <w:t xml:space="preserve"> </w:t>
      </w:r>
      <w:r w:rsidR="003E04AE">
        <w:rPr>
          <w:sz w:val="24"/>
          <w:szCs w:val="24"/>
          <w:lang w:val="en-US"/>
        </w:rPr>
        <w:t>+</w:t>
      </w:r>
      <w:r w:rsidR="003E04AE" w:rsidRPr="00B54C36">
        <w:rPr>
          <w:sz w:val="24"/>
          <w:szCs w:val="24"/>
          <w:lang w:val="en-US"/>
        </w:rPr>
        <w:t xml:space="preserve"> </w:t>
      </w:r>
      <w:proofErr w:type="spellStart"/>
      <w:r w:rsidR="003E04AE">
        <w:rPr>
          <w:sz w:val="24"/>
          <w:szCs w:val="24"/>
          <w:lang w:val="en-US"/>
        </w:rPr>
        <w:t>mcu</w:t>
      </w:r>
      <w:proofErr w:type="spellEnd"/>
      <w:r w:rsidR="003E04AE">
        <w:rPr>
          <w:sz w:val="24"/>
          <w:szCs w:val="24"/>
          <w:lang w:val="en-US"/>
        </w:rPr>
        <w:t>)/mc</w:t>
      </w:r>
      <w:r w:rsidR="00C817BD">
        <w:rPr>
          <w:sz w:val="24"/>
          <w:szCs w:val="24"/>
          <w:lang w:val="en-US"/>
        </w:rPr>
        <w:t>. T</w:t>
      </w:r>
      <w:r w:rsidR="002B0E5A">
        <w:rPr>
          <w:sz w:val="24"/>
          <w:szCs w:val="24"/>
          <w:lang w:val="en-US"/>
        </w:rPr>
        <w:t>his “</w:t>
      </w:r>
      <w:r w:rsidR="00C817BD" w:rsidRPr="00C817BD">
        <w:rPr>
          <w:sz w:val="24"/>
          <w:szCs w:val="24"/>
          <w:lang w:val="en-US"/>
        </w:rPr>
        <w:t xml:space="preserve">polarization </w:t>
      </w:r>
      <w:r w:rsidR="002B0E5A">
        <w:rPr>
          <w:sz w:val="24"/>
          <w:szCs w:val="24"/>
          <w:lang w:val="en-US"/>
        </w:rPr>
        <w:t xml:space="preserve">ratio” </w:t>
      </w:r>
      <w:r w:rsidR="00C817BD">
        <w:rPr>
          <w:sz w:val="24"/>
          <w:szCs w:val="24"/>
          <w:lang w:val="en-US"/>
        </w:rPr>
        <w:t xml:space="preserve">assesses the size of the </w:t>
      </w:r>
      <w:r w:rsidR="003E04AE">
        <w:rPr>
          <w:sz w:val="24"/>
          <w:szCs w:val="24"/>
          <w:lang w:val="en-US"/>
        </w:rPr>
        <w:t xml:space="preserve">lower </w:t>
      </w:r>
      <w:r w:rsidR="00700A5D">
        <w:rPr>
          <w:sz w:val="24"/>
          <w:szCs w:val="24"/>
          <w:lang w:val="en-US"/>
        </w:rPr>
        <w:t xml:space="preserve">and upper </w:t>
      </w:r>
      <w:r w:rsidR="003E04AE">
        <w:rPr>
          <w:sz w:val="24"/>
          <w:szCs w:val="24"/>
          <w:lang w:val="en-US"/>
        </w:rPr>
        <w:t xml:space="preserve">middle classes compared to the </w:t>
      </w:r>
      <w:r w:rsidR="00C817BD">
        <w:rPr>
          <w:sz w:val="24"/>
          <w:szCs w:val="24"/>
          <w:lang w:val="en-US"/>
        </w:rPr>
        <w:t>middle class</w:t>
      </w:r>
      <w:r w:rsidR="00700A5D">
        <w:rPr>
          <w:sz w:val="24"/>
          <w:szCs w:val="24"/>
          <w:lang w:val="en-US"/>
        </w:rPr>
        <w:t xml:space="preserve">, </w:t>
      </w:r>
      <w:r w:rsidR="00C817BD">
        <w:rPr>
          <w:sz w:val="24"/>
          <w:szCs w:val="24"/>
          <w:lang w:val="en-US"/>
        </w:rPr>
        <w:t xml:space="preserve">who are </w:t>
      </w:r>
      <w:r w:rsidR="00700A5D">
        <w:rPr>
          <w:sz w:val="24"/>
          <w:szCs w:val="24"/>
          <w:lang w:val="en-US"/>
        </w:rPr>
        <w:t>close to the median</w:t>
      </w:r>
      <w:r w:rsidR="003E04AE">
        <w:rPr>
          <w:sz w:val="24"/>
          <w:szCs w:val="24"/>
          <w:lang w:val="en-US"/>
        </w:rPr>
        <w:t>.</w:t>
      </w:r>
    </w:p>
    <w:p w:rsidR="00580992" w:rsidRDefault="00580992" w:rsidP="00580992">
      <w:pPr>
        <w:spacing w:after="120" w:line="480" w:lineRule="auto"/>
        <w:rPr>
          <w:sz w:val="24"/>
          <w:szCs w:val="24"/>
          <w:lang w:val="en-US"/>
        </w:rPr>
      </w:pPr>
    </w:p>
    <w:p w:rsidR="0042774B" w:rsidRDefault="00F67915" w:rsidP="00F4214B">
      <w:pPr>
        <w:spacing w:after="120" w:line="480" w:lineRule="auto"/>
        <w:rPr>
          <w:sz w:val="24"/>
          <w:szCs w:val="24"/>
          <w:lang w:val="en-US"/>
        </w:rPr>
      </w:pPr>
      <w:r>
        <w:rPr>
          <w:sz w:val="24"/>
          <w:szCs w:val="24"/>
          <w:lang w:val="en-GB"/>
        </w:rPr>
        <w:t xml:space="preserve">One </w:t>
      </w:r>
      <w:r w:rsidR="0044303F">
        <w:rPr>
          <w:sz w:val="24"/>
          <w:szCs w:val="24"/>
          <w:lang w:val="en-GB"/>
        </w:rPr>
        <w:t xml:space="preserve">important question is the relative position of the ABG parameters in the field of inequality measures. A first answer is given by an </w:t>
      </w:r>
      <w:r w:rsidR="00782166">
        <w:rPr>
          <w:sz w:val="24"/>
          <w:szCs w:val="24"/>
          <w:lang w:val="en-GB"/>
        </w:rPr>
        <w:t xml:space="preserve">analysis </w:t>
      </w:r>
      <w:r w:rsidR="0044303F">
        <w:rPr>
          <w:sz w:val="24"/>
          <w:szCs w:val="24"/>
          <w:lang w:val="en-GB"/>
        </w:rPr>
        <w:t xml:space="preserve">of </w:t>
      </w:r>
      <w:r w:rsidR="00782166">
        <w:rPr>
          <w:sz w:val="24"/>
          <w:szCs w:val="24"/>
          <w:lang w:val="en-GB"/>
        </w:rPr>
        <w:t xml:space="preserve">the correlation matrix </w:t>
      </w:r>
      <w:r w:rsidR="0044303F">
        <w:rPr>
          <w:sz w:val="24"/>
          <w:szCs w:val="24"/>
          <w:lang w:val="en-GB"/>
        </w:rPr>
        <w:t xml:space="preserve">of these indicators </w:t>
      </w:r>
      <w:r w:rsidR="00A072FE">
        <w:rPr>
          <w:sz w:val="24"/>
          <w:szCs w:val="24"/>
          <w:lang w:val="en-GB"/>
        </w:rPr>
        <w:t>(</w:t>
      </w:r>
      <w:r w:rsidR="00DE578D">
        <w:rPr>
          <w:sz w:val="24"/>
          <w:szCs w:val="24"/>
          <w:lang w:val="en-GB"/>
        </w:rPr>
        <w:t>Appendix</w:t>
      </w:r>
      <w:r w:rsidR="00D744BB">
        <w:rPr>
          <w:sz w:val="24"/>
          <w:szCs w:val="24"/>
          <w:lang w:val="en-GB"/>
        </w:rPr>
        <w:t>3</w:t>
      </w:r>
      <w:r w:rsidR="00A072FE">
        <w:rPr>
          <w:sz w:val="24"/>
          <w:szCs w:val="24"/>
          <w:lang w:val="en-GB"/>
        </w:rPr>
        <w:t xml:space="preserve">: </w:t>
      </w:r>
      <w:r w:rsidR="00C817BD">
        <w:rPr>
          <w:sz w:val="24"/>
          <w:szCs w:val="24"/>
          <w:lang w:val="en-GB"/>
        </w:rPr>
        <w:t xml:space="preserve">the </w:t>
      </w:r>
      <w:r w:rsidR="00A072FE">
        <w:rPr>
          <w:sz w:val="24"/>
          <w:szCs w:val="24"/>
          <w:lang w:val="en-GB"/>
        </w:rPr>
        <w:t xml:space="preserve">general correlation matrix of </w:t>
      </w:r>
      <w:r w:rsidR="00A35CE1">
        <w:rPr>
          <w:sz w:val="24"/>
          <w:szCs w:val="24"/>
          <w:lang w:val="en-GB"/>
        </w:rPr>
        <w:t xml:space="preserve">30 </w:t>
      </w:r>
      <w:r w:rsidR="00A072FE">
        <w:rPr>
          <w:sz w:val="24"/>
          <w:szCs w:val="24"/>
          <w:lang w:val="en-GB"/>
        </w:rPr>
        <w:t>inequality indicators)</w:t>
      </w:r>
      <w:r w:rsidR="0044303F">
        <w:rPr>
          <w:sz w:val="24"/>
          <w:szCs w:val="24"/>
          <w:lang w:val="en-GB"/>
        </w:rPr>
        <w:t xml:space="preserve">: </w:t>
      </w:r>
      <w:r w:rsidR="009C646A">
        <w:rPr>
          <w:sz w:val="24"/>
          <w:szCs w:val="24"/>
          <w:lang w:val="en-GB"/>
        </w:rPr>
        <w:t xml:space="preserve">there is a very strong relation between </w:t>
      </w:r>
      <w:r w:rsidR="00472786" w:rsidRPr="00472786">
        <w:rPr>
          <w:rFonts w:ascii="Symbol" w:hAnsi="Symbol"/>
          <w:sz w:val="24"/>
          <w:szCs w:val="24"/>
          <w:lang w:val="en-GB"/>
        </w:rPr>
        <w:t></w:t>
      </w:r>
      <w:r w:rsidR="009C646A">
        <w:rPr>
          <w:sz w:val="24"/>
          <w:szCs w:val="24"/>
          <w:lang w:val="en-GB"/>
        </w:rPr>
        <w:t xml:space="preserve"> and </w:t>
      </w:r>
      <w:r w:rsidR="00853DFB">
        <w:rPr>
          <w:sz w:val="24"/>
          <w:szCs w:val="24"/>
          <w:lang w:val="en-GB"/>
        </w:rPr>
        <w:t xml:space="preserve">the </w:t>
      </w:r>
      <w:r w:rsidR="00A70B2E">
        <w:rPr>
          <w:sz w:val="24"/>
          <w:szCs w:val="24"/>
          <w:lang w:val="en-GB"/>
        </w:rPr>
        <w:t>Gini index</w:t>
      </w:r>
      <w:r w:rsidR="009C646A">
        <w:rPr>
          <w:sz w:val="24"/>
          <w:szCs w:val="24"/>
          <w:lang w:val="en-GB"/>
        </w:rPr>
        <w:t xml:space="preserve"> (R</w:t>
      </w:r>
      <w:r w:rsidR="00612450">
        <w:rPr>
          <w:sz w:val="24"/>
          <w:szCs w:val="24"/>
          <w:lang w:val="en-GB"/>
        </w:rPr>
        <w:t xml:space="preserve"> </w:t>
      </w:r>
      <w:r w:rsidR="009C646A">
        <w:rPr>
          <w:sz w:val="24"/>
          <w:szCs w:val="24"/>
          <w:lang w:val="en-GB"/>
        </w:rPr>
        <w:t>=</w:t>
      </w:r>
      <w:r w:rsidR="00612450">
        <w:rPr>
          <w:sz w:val="24"/>
          <w:szCs w:val="24"/>
          <w:lang w:val="en-GB"/>
        </w:rPr>
        <w:t xml:space="preserve"> </w:t>
      </w:r>
      <w:r w:rsidR="009C646A">
        <w:rPr>
          <w:sz w:val="24"/>
          <w:szCs w:val="24"/>
          <w:lang w:val="en-GB"/>
        </w:rPr>
        <w:t>+.95)</w:t>
      </w:r>
      <w:r w:rsidR="005D4C60">
        <w:rPr>
          <w:sz w:val="24"/>
          <w:szCs w:val="24"/>
          <w:lang w:val="en-GB"/>
        </w:rPr>
        <w:t xml:space="preserve"> thus</w:t>
      </w:r>
      <w:r w:rsidR="009C646A">
        <w:rPr>
          <w:sz w:val="24"/>
          <w:szCs w:val="24"/>
          <w:lang w:val="en-GB"/>
        </w:rPr>
        <w:t xml:space="preserve"> confirm</w:t>
      </w:r>
      <w:r w:rsidR="005D4C60">
        <w:rPr>
          <w:sz w:val="24"/>
          <w:szCs w:val="24"/>
          <w:lang w:val="en-GB"/>
        </w:rPr>
        <w:t>ing</w:t>
      </w:r>
      <w:r w:rsidR="009C646A">
        <w:rPr>
          <w:sz w:val="24"/>
          <w:szCs w:val="24"/>
          <w:lang w:val="en-GB"/>
        </w:rPr>
        <w:t xml:space="preserve"> the relation of the</w:t>
      </w:r>
      <w:r w:rsidR="00C817BD">
        <w:rPr>
          <w:sz w:val="24"/>
          <w:szCs w:val="24"/>
          <w:lang w:val="en-GB"/>
        </w:rPr>
        <w:t>se</w:t>
      </w:r>
      <w:r w:rsidR="009C646A">
        <w:rPr>
          <w:sz w:val="24"/>
          <w:szCs w:val="24"/>
          <w:lang w:val="en-GB"/>
        </w:rPr>
        <w:t xml:space="preserve"> two </w:t>
      </w:r>
      <w:r w:rsidR="00C817BD" w:rsidRPr="00C817BD">
        <w:rPr>
          <w:sz w:val="24"/>
          <w:szCs w:val="24"/>
          <w:lang w:val="en-GB"/>
        </w:rPr>
        <w:t xml:space="preserve">inequality </w:t>
      </w:r>
      <w:r w:rsidR="009C646A">
        <w:rPr>
          <w:sz w:val="24"/>
          <w:szCs w:val="24"/>
          <w:lang w:val="en-GB"/>
        </w:rPr>
        <w:t xml:space="preserve">measures when the </w:t>
      </w:r>
      <w:r w:rsidR="00C37C17">
        <w:rPr>
          <w:sz w:val="24"/>
          <w:szCs w:val="24"/>
          <w:lang w:val="en-GB"/>
        </w:rPr>
        <w:t>CF</w:t>
      </w:r>
      <w:r w:rsidR="00C37C17" w:rsidRPr="00C37C17">
        <w:rPr>
          <w:rFonts w:ascii="Symbol" w:hAnsi="Symbol"/>
          <w:sz w:val="24"/>
          <w:szCs w:val="24"/>
          <w:vertAlign w:val="subscript"/>
          <w:lang w:val="en-GB"/>
        </w:rPr>
        <w:t></w:t>
      </w:r>
      <w:r w:rsidR="00C37C17">
        <w:rPr>
          <w:sz w:val="24"/>
          <w:szCs w:val="24"/>
          <w:lang w:val="en-GB"/>
        </w:rPr>
        <w:t xml:space="preserve"> </w:t>
      </w:r>
      <w:r w:rsidR="009C646A">
        <w:rPr>
          <w:sz w:val="24"/>
          <w:szCs w:val="24"/>
          <w:lang w:val="en-GB"/>
        </w:rPr>
        <w:t>approximation is acceptable</w:t>
      </w:r>
      <w:r w:rsidR="0044303F">
        <w:rPr>
          <w:sz w:val="24"/>
          <w:szCs w:val="24"/>
          <w:lang w:val="en-GB"/>
        </w:rPr>
        <w:t xml:space="preserve">. More generally, most of the measures </w:t>
      </w:r>
      <w:r w:rsidR="00C817BD">
        <w:rPr>
          <w:sz w:val="24"/>
          <w:szCs w:val="24"/>
          <w:lang w:val="en-GB"/>
        </w:rPr>
        <w:t>correlate</w:t>
      </w:r>
      <w:r w:rsidR="00C817BD" w:rsidRPr="00C817BD">
        <w:rPr>
          <w:sz w:val="24"/>
          <w:szCs w:val="24"/>
          <w:lang w:val="en-GB"/>
        </w:rPr>
        <w:t xml:space="preserve"> </w:t>
      </w:r>
      <w:r w:rsidR="0044303F">
        <w:rPr>
          <w:sz w:val="24"/>
          <w:szCs w:val="24"/>
          <w:lang w:val="en-GB"/>
        </w:rPr>
        <w:t xml:space="preserve">well with </w:t>
      </w:r>
      <w:r w:rsidR="0044303F" w:rsidRPr="00472786">
        <w:rPr>
          <w:rFonts w:ascii="Symbol" w:hAnsi="Symbol"/>
          <w:sz w:val="24"/>
          <w:szCs w:val="24"/>
          <w:lang w:val="en-GB"/>
        </w:rPr>
        <w:t></w:t>
      </w:r>
      <w:r w:rsidR="009C646A">
        <w:rPr>
          <w:sz w:val="24"/>
          <w:szCs w:val="24"/>
          <w:lang w:val="en-GB"/>
        </w:rPr>
        <w:t xml:space="preserve">. </w:t>
      </w:r>
      <w:r w:rsidR="0044303F">
        <w:rPr>
          <w:sz w:val="24"/>
          <w:szCs w:val="24"/>
          <w:lang w:val="en-GB"/>
        </w:rPr>
        <w:t xml:space="preserve">This is good </w:t>
      </w:r>
      <w:r w:rsidR="00C817BD">
        <w:rPr>
          <w:sz w:val="24"/>
          <w:szCs w:val="24"/>
          <w:lang w:val="en-GB"/>
        </w:rPr>
        <w:t xml:space="preserve">news </w:t>
      </w:r>
      <w:r w:rsidR="0044303F">
        <w:rPr>
          <w:sz w:val="24"/>
          <w:szCs w:val="24"/>
          <w:lang w:val="en-GB"/>
        </w:rPr>
        <w:t xml:space="preserve">for the ABG method, but </w:t>
      </w:r>
      <w:r w:rsidR="00C817BD">
        <w:rPr>
          <w:sz w:val="24"/>
          <w:szCs w:val="24"/>
          <w:lang w:val="en-GB"/>
        </w:rPr>
        <w:t xml:space="preserve">then </w:t>
      </w:r>
      <w:r w:rsidR="0044303F">
        <w:rPr>
          <w:sz w:val="24"/>
          <w:szCs w:val="24"/>
          <w:lang w:val="en-GB"/>
        </w:rPr>
        <w:t xml:space="preserve">what is its intrinsic added value? </w:t>
      </w:r>
      <w:r w:rsidR="0044303F">
        <w:rPr>
          <w:sz w:val="24"/>
          <w:szCs w:val="24"/>
          <w:lang w:val="en-US"/>
        </w:rPr>
        <w:t xml:space="preserve">A second answer is that we </w:t>
      </w:r>
      <w:r w:rsidR="00C817BD">
        <w:rPr>
          <w:sz w:val="24"/>
          <w:szCs w:val="24"/>
          <w:lang w:val="en-US"/>
        </w:rPr>
        <w:t xml:space="preserve">also see </w:t>
      </w:r>
      <w:r w:rsidR="0044303F">
        <w:rPr>
          <w:sz w:val="24"/>
          <w:szCs w:val="24"/>
          <w:lang w:val="en-US"/>
        </w:rPr>
        <w:t xml:space="preserve">interesting correlations for </w:t>
      </w:r>
      <w:r w:rsidR="00C817BD">
        <w:rPr>
          <w:sz w:val="24"/>
          <w:szCs w:val="24"/>
          <w:lang w:val="en-US"/>
        </w:rPr>
        <w:t xml:space="preserve">the </w:t>
      </w:r>
      <w:r w:rsidR="00472786" w:rsidRPr="00472786">
        <w:rPr>
          <w:rFonts w:ascii="Symbol" w:hAnsi="Symbol"/>
          <w:sz w:val="24"/>
          <w:szCs w:val="24"/>
          <w:lang w:val="en-US"/>
        </w:rPr>
        <w:t></w:t>
      </w:r>
      <w:r w:rsidR="009C646A">
        <w:rPr>
          <w:sz w:val="24"/>
          <w:szCs w:val="24"/>
          <w:lang w:val="en-US"/>
        </w:rPr>
        <w:t xml:space="preserve"> and </w:t>
      </w:r>
      <w:r w:rsidR="00472786" w:rsidRPr="00472786">
        <w:rPr>
          <w:rFonts w:ascii="Symbol" w:hAnsi="Symbol"/>
          <w:sz w:val="24"/>
          <w:szCs w:val="24"/>
          <w:lang w:val="en-US"/>
        </w:rPr>
        <w:t></w:t>
      </w:r>
      <w:r w:rsidR="009C646A">
        <w:rPr>
          <w:sz w:val="24"/>
          <w:szCs w:val="24"/>
          <w:lang w:val="en-US"/>
        </w:rPr>
        <w:t xml:space="preserve"> coefficients</w:t>
      </w:r>
      <w:r w:rsidR="00C817BD">
        <w:rPr>
          <w:sz w:val="24"/>
          <w:szCs w:val="24"/>
          <w:lang w:val="en-US"/>
        </w:rPr>
        <w:t>,</w:t>
      </w:r>
      <w:r w:rsidR="009C646A">
        <w:rPr>
          <w:sz w:val="24"/>
          <w:szCs w:val="24"/>
          <w:lang w:val="en-US"/>
        </w:rPr>
        <w:t xml:space="preserve"> </w:t>
      </w:r>
      <w:r w:rsidR="00C817BD">
        <w:rPr>
          <w:sz w:val="24"/>
          <w:szCs w:val="24"/>
          <w:lang w:val="en-US"/>
        </w:rPr>
        <w:t xml:space="preserve">which thus </w:t>
      </w:r>
      <w:r w:rsidR="00215F96">
        <w:rPr>
          <w:sz w:val="24"/>
          <w:szCs w:val="24"/>
          <w:lang w:val="en-US"/>
        </w:rPr>
        <w:t xml:space="preserve">provide </w:t>
      </w:r>
      <w:r w:rsidR="009C646A">
        <w:rPr>
          <w:sz w:val="24"/>
          <w:szCs w:val="24"/>
          <w:lang w:val="en-US"/>
        </w:rPr>
        <w:t>compl</w:t>
      </w:r>
      <w:r w:rsidR="00215F96">
        <w:rPr>
          <w:sz w:val="24"/>
          <w:szCs w:val="24"/>
          <w:lang w:val="en-US"/>
        </w:rPr>
        <w:t>e</w:t>
      </w:r>
      <w:r w:rsidR="009C646A">
        <w:rPr>
          <w:sz w:val="24"/>
          <w:szCs w:val="24"/>
          <w:lang w:val="en-US"/>
        </w:rPr>
        <w:t xml:space="preserve">mentary </w:t>
      </w:r>
      <w:r w:rsidR="00C817BD" w:rsidRPr="00C817BD">
        <w:rPr>
          <w:sz w:val="24"/>
          <w:szCs w:val="24"/>
          <w:lang w:val="en-US"/>
        </w:rPr>
        <w:t xml:space="preserve">information </w:t>
      </w:r>
      <w:r w:rsidR="009C646A">
        <w:rPr>
          <w:sz w:val="24"/>
          <w:szCs w:val="24"/>
          <w:lang w:val="en-US"/>
        </w:rPr>
        <w:t xml:space="preserve">to </w:t>
      </w:r>
      <w:r w:rsidR="00472786" w:rsidRPr="00472786">
        <w:rPr>
          <w:rFonts w:ascii="Symbol" w:hAnsi="Symbol"/>
          <w:sz w:val="24"/>
          <w:szCs w:val="24"/>
          <w:lang w:val="en-US"/>
        </w:rPr>
        <w:t></w:t>
      </w:r>
      <w:r w:rsidR="009C646A">
        <w:rPr>
          <w:sz w:val="24"/>
          <w:szCs w:val="24"/>
          <w:lang w:val="en-US"/>
        </w:rPr>
        <w:t xml:space="preserve">: the degree to which inequality </w:t>
      </w:r>
      <w:r w:rsidR="00C817BD">
        <w:rPr>
          <w:sz w:val="24"/>
          <w:szCs w:val="24"/>
          <w:lang w:val="en-US"/>
        </w:rPr>
        <w:t xml:space="preserve">moves </w:t>
      </w:r>
      <w:r w:rsidR="009C646A">
        <w:rPr>
          <w:sz w:val="24"/>
          <w:szCs w:val="24"/>
          <w:lang w:val="en-US"/>
        </w:rPr>
        <w:t>at the top and at the bottom of the distribution.</w:t>
      </w:r>
      <w:r w:rsidR="00D91D6F">
        <w:rPr>
          <w:sz w:val="24"/>
          <w:szCs w:val="24"/>
          <w:lang w:val="en-US"/>
        </w:rPr>
        <w:t xml:space="preserve"> </w:t>
      </w:r>
      <w:r w:rsidR="0044303F">
        <w:rPr>
          <w:sz w:val="24"/>
          <w:szCs w:val="24"/>
          <w:lang w:val="en-US"/>
        </w:rPr>
        <w:t xml:space="preserve">A third more systematic answer </w:t>
      </w:r>
      <w:r w:rsidR="00C817BD">
        <w:rPr>
          <w:sz w:val="24"/>
          <w:szCs w:val="24"/>
          <w:lang w:val="en-US"/>
        </w:rPr>
        <w:t xml:space="preserve">comes from the </w:t>
      </w:r>
      <w:r w:rsidR="00206422">
        <w:rPr>
          <w:sz w:val="24"/>
          <w:szCs w:val="24"/>
          <w:lang w:val="en-US"/>
        </w:rPr>
        <w:t>principal component analysis (</w:t>
      </w:r>
      <w:r w:rsidR="00F4214B">
        <w:rPr>
          <w:sz w:val="24"/>
          <w:szCs w:val="24"/>
          <w:lang w:val="en-US"/>
        </w:rPr>
        <w:t>PCA</w:t>
      </w:r>
      <w:r w:rsidR="00206422">
        <w:rPr>
          <w:sz w:val="24"/>
          <w:szCs w:val="24"/>
          <w:lang w:val="en-US"/>
        </w:rPr>
        <w:t xml:space="preserve">) of </w:t>
      </w:r>
      <w:r w:rsidR="007D7F1A">
        <w:rPr>
          <w:sz w:val="24"/>
          <w:szCs w:val="24"/>
          <w:lang w:val="en-US"/>
        </w:rPr>
        <w:t xml:space="preserve">the </w:t>
      </w:r>
      <w:r w:rsidR="00C817BD">
        <w:rPr>
          <w:sz w:val="24"/>
          <w:szCs w:val="24"/>
          <w:lang w:val="en-US"/>
        </w:rPr>
        <w:t xml:space="preserve">whole </w:t>
      </w:r>
      <w:r w:rsidR="007D7F1A">
        <w:rPr>
          <w:sz w:val="24"/>
          <w:szCs w:val="24"/>
          <w:lang w:val="en-US"/>
        </w:rPr>
        <w:t xml:space="preserve">table </w:t>
      </w:r>
      <w:r w:rsidR="00794AE3">
        <w:rPr>
          <w:sz w:val="24"/>
          <w:szCs w:val="24"/>
          <w:lang w:val="en-US"/>
        </w:rPr>
        <w:t>(</w:t>
      </w:r>
      <w:r w:rsidR="00C817BD">
        <w:rPr>
          <w:sz w:val="24"/>
          <w:szCs w:val="24"/>
          <w:lang w:val="en-US"/>
        </w:rPr>
        <w:t>F</w:t>
      </w:r>
      <w:r w:rsidR="00794AE3">
        <w:rPr>
          <w:sz w:val="24"/>
          <w:szCs w:val="24"/>
          <w:lang w:val="en-US"/>
        </w:rPr>
        <w:t xml:space="preserve">igure </w:t>
      </w:r>
      <w:r w:rsidR="00961184">
        <w:rPr>
          <w:sz w:val="24"/>
          <w:szCs w:val="24"/>
          <w:lang w:val="en-US"/>
        </w:rPr>
        <w:t>A2a1</w:t>
      </w:r>
      <w:r w:rsidR="00794AE3">
        <w:rPr>
          <w:sz w:val="24"/>
          <w:szCs w:val="24"/>
          <w:lang w:val="en-US"/>
        </w:rPr>
        <w:t xml:space="preserve"> </w:t>
      </w:r>
      <w:r w:rsidR="00C817BD">
        <w:rPr>
          <w:sz w:val="24"/>
          <w:szCs w:val="24"/>
          <w:lang w:val="en-US"/>
        </w:rPr>
        <w:t xml:space="preserve">depicts </w:t>
      </w:r>
      <w:r w:rsidR="00794AE3">
        <w:rPr>
          <w:sz w:val="24"/>
          <w:szCs w:val="24"/>
          <w:lang w:val="en-US"/>
        </w:rPr>
        <w:t>the correlation circle)</w:t>
      </w:r>
      <w:r w:rsidR="0044303F">
        <w:rPr>
          <w:sz w:val="24"/>
          <w:szCs w:val="24"/>
          <w:lang w:val="en-US"/>
        </w:rPr>
        <w:t xml:space="preserve">. The PCA is a type of </w:t>
      </w:r>
      <w:r w:rsidR="000A6011">
        <w:rPr>
          <w:sz w:val="24"/>
          <w:szCs w:val="24"/>
          <w:lang w:val="en-US"/>
        </w:rPr>
        <w:t xml:space="preserve">factor </w:t>
      </w:r>
      <w:r w:rsidR="00F4214B">
        <w:rPr>
          <w:sz w:val="24"/>
          <w:szCs w:val="24"/>
          <w:lang w:val="en-US"/>
        </w:rPr>
        <w:t>analysis</w:t>
      </w:r>
      <w:r w:rsidR="000A6011">
        <w:rPr>
          <w:rStyle w:val="FootnoteReference"/>
          <w:sz w:val="24"/>
          <w:szCs w:val="24"/>
          <w:lang w:val="en-US"/>
        </w:rPr>
        <w:footnoteReference w:id="3"/>
      </w:r>
      <w:r w:rsidR="00F4214B">
        <w:rPr>
          <w:sz w:val="24"/>
          <w:szCs w:val="24"/>
          <w:lang w:val="en-US"/>
        </w:rPr>
        <w:t xml:space="preserve"> </w:t>
      </w:r>
      <w:r w:rsidR="00C817BD">
        <w:rPr>
          <w:sz w:val="24"/>
          <w:szCs w:val="24"/>
          <w:lang w:val="en-US"/>
        </w:rPr>
        <w:t xml:space="preserve">used for </w:t>
      </w:r>
      <w:r w:rsidR="0044303F">
        <w:rPr>
          <w:sz w:val="24"/>
          <w:szCs w:val="24"/>
          <w:lang w:val="en-US"/>
        </w:rPr>
        <w:t>quantitative measures</w:t>
      </w:r>
      <w:r w:rsidR="002B0E5A">
        <w:rPr>
          <w:sz w:val="24"/>
          <w:szCs w:val="24"/>
          <w:lang w:val="en-US"/>
        </w:rPr>
        <w:t>, and its application to</w:t>
      </w:r>
      <w:r w:rsidR="00F4214B">
        <w:rPr>
          <w:sz w:val="24"/>
          <w:szCs w:val="24"/>
          <w:lang w:val="en-US"/>
        </w:rPr>
        <w:t xml:space="preserve"> </w:t>
      </w:r>
      <w:r w:rsidR="00C817BD">
        <w:rPr>
          <w:sz w:val="24"/>
          <w:szCs w:val="24"/>
          <w:lang w:val="en-US"/>
        </w:rPr>
        <w:t>our indicator set</w:t>
      </w:r>
      <w:r w:rsidR="007D1E5D">
        <w:rPr>
          <w:sz w:val="24"/>
          <w:szCs w:val="24"/>
          <w:lang w:val="en-US"/>
        </w:rPr>
        <w:t xml:space="preserve"> </w:t>
      </w:r>
      <w:r w:rsidR="00D51B69">
        <w:rPr>
          <w:sz w:val="24"/>
          <w:szCs w:val="24"/>
          <w:lang w:val="en-US"/>
        </w:rPr>
        <w:t>(</w:t>
      </w:r>
      <w:r w:rsidR="00C817BD">
        <w:rPr>
          <w:sz w:val="24"/>
          <w:szCs w:val="24"/>
          <w:lang w:val="en-US"/>
        </w:rPr>
        <w:t>in T</w:t>
      </w:r>
      <w:r w:rsidR="00D51B69">
        <w:rPr>
          <w:sz w:val="24"/>
          <w:szCs w:val="24"/>
          <w:lang w:val="en-US"/>
        </w:rPr>
        <w:t xml:space="preserve">able </w:t>
      </w:r>
      <w:r w:rsidR="00961184">
        <w:rPr>
          <w:sz w:val="24"/>
          <w:szCs w:val="24"/>
          <w:lang w:val="en-US"/>
        </w:rPr>
        <w:t>A2a1</w:t>
      </w:r>
      <w:r w:rsidR="00D51B69">
        <w:rPr>
          <w:sz w:val="24"/>
          <w:szCs w:val="24"/>
          <w:lang w:val="en-US"/>
        </w:rPr>
        <w:t>)</w:t>
      </w:r>
      <w:r w:rsidR="002B0E5A">
        <w:rPr>
          <w:sz w:val="24"/>
          <w:szCs w:val="24"/>
          <w:lang w:val="en-US"/>
        </w:rPr>
        <w:t xml:space="preserve"> helps </w:t>
      </w:r>
      <w:r w:rsidR="00C817BD">
        <w:rPr>
          <w:sz w:val="24"/>
          <w:szCs w:val="24"/>
          <w:lang w:val="en-US"/>
        </w:rPr>
        <w:t>us to understand</w:t>
      </w:r>
      <w:r w:rsidR="002B0E5A">
        <w:rPr>
          <w:sz w:val="24"/>
          <w:szCs w:val="24"/>
          <w:lang w:val="en-US"/>
        </w:rPr>
        <w:t xml:space="preserve"> the multidimensional relations </w:t>
      </w:r>
      <w:r w:rsidR="00C817BD">
        <w:rPr>
          <w:sz w:val="24"/>
          <w:szCs w:val="24"/>
          <w:lang w:val="en-US"/>
        </w:rPr>
        <w:t xml:space="preserve">between </w:t>
      </w:r>
      <w:r w:rsidR="002B0E5A">
        <w:rPr>
          <w:sz w:val="24"/>
          <w:szCs w:val="24"/>
          <w:lang w:val="en-US"/>
        </w:rPr>
        <w:t>these indicators</w:t>
      </w:r>
      <w:r w:rsidR="00F4214B">
        <w:rPr>
          <w:sz w:val="24"/>
          <w:szCs w:val="24"/>
          <w:lang w:val="en-US"/>
        </w:rPr>
        <w:t xml:space="preserve">. The first </w:t>
      </w:r>
      <w:r w:rsidR="00937FFE">
        <w:rPr>
          <w:sz w:val="24"/>
          <w:szCs w:val="24"/>
          <w:lang w:val="en-US"/>
        </w:rPr>
        <w:t>axis</w:t>
      </w:r>
      <w:r w:rsidR="00F4214B">
        <w:rPr>
          <w:sz w:val="24"/>
          <w:szCs w:val="24"/>
          <w:lang w:val="en-US"/>
        </w:rPr>
        <w:t xml:space="preserve"> of the PCA </w:t>
      </w:r>
      <w:r w:rsidR="00A2615E">
        <w:rPr>
          <w:sz w:val="24"/>
          <w:szCs w:val="24"/>
          <w:lang w:val="en-US"/>
        </w:rPr>
        <w:t>(</w:t>
      </w:r>
      <w:r w:rsidR="004E3E9C">
        <w:rPr>
          <w:sz w:val="24"/>
          <w:szCs w:val="24"/>
          <w:lang w:val="en-US"/>
        </w:rPr>
        <w:t>69</w:t>
      </w:r>
      <w:r w:rsidR="00A2615E">
        <w:rPr>
          <w:sz w:val="24"/>
          <w:szCs w:val="24"/>
          <w:lang w:val="en-US"/>
        </w:rPr>
        <w:t xml:space="preserve">% of the total variance) </w:t>
      </w:r>
      <w:r w:rsidR="00C817BD">
        <w:rPr>
          <w:sz w:val="24"/>
          <w:szCs w:val="24"/>
          <w:lang w:val="en-US"/>
        </w:rPr>
        <w:t xml:space="preserve">reveals </w:t>
      </w:r>
      <w:r w:rsidR="002B0E5A">
        <w:rPr>
          <w:sz w:val="24"/>
          <w:szCs w:val="24"/>
          <w:lang w:val="en-US"/>
        </w:rPr>
        <w:t xml:space="preserve">the </w:t>
      </w:r>
      <w:r w:rsidR="00F4214B">
        <w:rPr>
          <w:sz w:val="24"/>
          <w:szCs w:val="24"/>
          <w:lang w:val="en-US"/>
        </w:rPr>
        <w:t xml:space="preserve">similar </w:t>
      </w:r>
      <w:r w:rsidR="00206422">
        <w:rPr>
          <w:sz w:val="24"/>
          <w:szCs w:val="24"/>
          <w:lang w:val="en-US"/>
        </w:rPr>
        <w:t xml:space="preserve">nature </w:t>
      </w:r>
      <w:r w:rsidR="002B0E5A">
        <w:rPr>
          <w:sz w:val="24"/>
          <w:szCs w:val="24"/>
          <w:lang w:val="en-US"/>
        </w:rPr>
        <w:t xml:space="preserve">of </w:t>
      </w:r>
      <w:r w:rsidR="00222589">
        <w:rPr>
          <w:sz w:val="24"/>
          <w:szCs w:val="24"/>
          <w:lang w:val="en-US"/>
        </w:rPr>
        <w:t>many</w:t>
      </w:r>
      <w:r w:rsidR="00F4214B">
        <w:rPr>
          <w:sz w:val="24"/>
          <w:szCs w:val="24"/>
          <w:lang w:val="en-US"/>
        </w:rPr>
        <w:t xml:space="preserve"> </w:t>
      </w:r>
      <w:r w:rsidR="00C817BD" w:rsidRPr="00C817BD">
        <w:rPr>
          <w:sz w:val="24"/>
          <w:szCs w:val="24"/>
          <w:lang w:val="en-US"/>
        </w:rPr>
        <w:t xml:space="preserve">inequality </w:t>
      </w:r>
      <w:r w:rsidR="00F4214B">
        <w:rPr>
          <w:sz w:val="24"/>
          <w:szCs w:val="24"/>
          <w:lang w:val="en-US"/>
        </w:rPr>
        <w:t>measures</w:t>
      </w:r>
      <w:r w:rsidR="00C817BD">
        <w:rPr>
          <w:sz w:val="24"/>
          <w:szCs w:val="24"/>
          <w:lang w:val="en-US"/>
        </w:rPr>
        <w:t>,</w:t>
      </w:r>
      <w:r w:rsidR="00F4214B">
        <w:rPr>
          <w:sz w:val="24"/>
          <w:szCs w:val="24"/>
          <w:lang w:val="en-US"/>
        </w:rPr>
        <w:t xml:space="preserve"> </w:t>
      </w:r>
      <w:r w:rsidR="002B0E5A">
        <w:rPr>
          <w:sz w:val="24"/>
          <w:szCs w:val="24"/>
          <w:lang w:val="en-US"/>
        </w:rPr>
        <w:t xml:space="preserve">including </w:t>
      </w:r>
      <w:r w:rsidR="002B0E5A" w:rsidRPr="00472786">
        <w:rPr>
          <w:rFonts w:ascii="Symbol" w:hAnsi="Symbol"/>
          <w:sz w:val="24"/>
          <w:szCs w:val="24"/>
          <w:lang w:val="en-GB"/>
        </w:rPr>
        <w:t></w:t>
      </w:r>
      <w:r w:rsidR="00961F7C">
        <w:rPr>
          <w:sz w:val="24"/>
          <w:szCs w:val="24"/>
          <w:lang w:val="en-US"/>
        </w:rPr>
        <w:t xml:space="preserve">; </w:t>
      </w:r>
      <w:r w:rsidR="00C817BD">
        <w:rPr>
          <w:sz w:val="24"/>
          <w:szCs w:val="24"/>
          <w:lang w:val="en-US"/>
        </w:rPr>
        <w:t xml:space="preserve">this </w:t>
      </w:r>
      <w:r w:rsidR="00961F7C">
        <w:rPr>
          <w:sz w:val="24"/>
          <w:szCs w:val="24"/>
          <w:lang w:val="en-US"/>
        </w:rPr>
        <w:t xml:space="preserve">axis </w:t>
      </w:r>
      <w:r w:rsidR="00C817BD">
        <w:rPr>
          <w:sz w:val="24"/>
          <w:szCs w:val="24"/>
          <w:lang w:val="en-US"/>
        </w:rPr>
        <w:t xml:space="preserve">picks up </w:t>
      </w:r>
      <w:r w:rsidR="00961F7C">
        <w:rPr>
          <w:sz w:val="24"/>
          <w:szCs w:val="24"/>
          <w:lang w:val="en-US"/>
        </w:rPr>
        <w:t>inequality intensity</w:t>
      </w:r>
      <w:r w:rsidR="00F4214B">
        <w:rPr>
          <w:sz w:val="24"/>
          <w:szCs w:val="24"/>
          <w:lang w:val="en-US"/>
        </w:rPr>
        <w:t xml:space="preserve">. </w:t>
      </w:r>
      <w:r w:rsidR="00C817BD">
        <w:rPr>
          <w:sz w:val="24"/>
          <w:szCs w:val="24"/>
          <w:lang w:val="en-US"/>
        </w:rPr>
        <w:t xml:space="preserve">The </w:t>
      </w:r>
      <w:r w:rsidR="00C817BD" w:rsidRPr="00C817BD">
        <w:rPr>
          <w:rFonts w:ascii="Symbol" w:hAnsi="Symbol"/>
          <w:sz w:val="24"/>
          <w:szCs w:val="24"/>
          <w:lang w:val="en-US"/>
        </w:rPr>
        <w:t></w:t>
      </w:r>
      <w:r w:rsidR="00C817BD" w:rsidRPr="00C817BD">
        <w:rPr>
          <w:rFonts w:ascii="Symbol" w:hAnsi="Symbol"/>
          <w:sz w:val="24"/>
          <w:szCs w:val="24"/>
          <w:lang w:val="en-US"/>
        </w:rPr>
        <w:t></w:t>
      </w:r>
      <w:r w:rsidR="00C817BD">
        <w:rPr>
          <w:sz w:val="24"/>
          <w:szCs w:val="24"/>
          <w:lang w:val="en-US"/>
        </w:rPr>
        <w:t>c</w:t>
      </w:r>
      <w:r w:rsidR="00D91D6F">
        <w:rPr>
          <w:sz w:val="24"/>
          <w:szCs w:val="24"/>
          <w:lang w:val="en-US"/>
        </w:rPr>
        <w:t xml:space="preserve">oefficient </w:t>
      </w:r>
      <w:r w:rsidR="00C817BD">
        <w:rPr>
          <w:sz w:val="24"/>
          <w:szCs w:val="24"/>
          <w:lang w:val="en-US"/>
        </w:rPr>
        <w:t xml:space="preserve">appears on </w:t>
      </w:r>
      <w:r w:rsidR="004227ED">
        <w:rPr>
          <w:sz w:val="24"/>
          <w:szCs w:val="24"/>
          <w:lang w:val="en-US"/>
        </w:rPr>
        <w:t>th</w:t>
      </w:r>
      <w:r w:rsidR="004B21BD">
        <w:rPr>
          <w:sz w:val="24"/>
          <w:szCs w:val="24"/>
          <w:lang w:val="en-US"/>
        </w:rPr>
        <w:t xml:space="preserve">e </w:t>
      </w:r>
      <w:r w:rsidR="004227ED">
        <w:rPr>
          <w:sz w:val="24"/>
          <w:szCs w:val="24"/>
          <w:lang w:val="en-US"/>
        </w:rPr>
        <w:t xml:space="preserve">first </w:t>
      </w:r>
      <w:r w:rsidR="00937FFE">
        <w:rPr>
          <w:sz w:val="24"/>
          <w:szCs w:val="24"/>
          <w:lang w:val="en-US"/>
        </w:rPr>
        <w:t>axis</w:t>
      </w:r>
      <w:r w:rsidR="00B92FE7">
        <w:rPr>
          <w:sz w:val="24"/>
          <w:szCs w:val="24"/>
          <w:lang w:val="en-US"/>
        </w:rPr>
        <w:t xml:space="preserve"> of the </w:t>
      </w:r>
      <w:r w:rsidR="00B92FE7">
        <w:rPr>
          <w:sz w:val="24"/>
          <w:szCs w:val="24"/>
          <w:lang w:val="en-US"/>
        </w:rPr>
        <w:lastRenderedPageBreak/>
        <w:t>PCA</w:t>
      </w:r>
      <w:r w:rsidR="004227ED">
        <w:rPr>
          <w:sz w:val="24"/>
          <w:szCs w:val="24"/>
          <w:lang w:val="en-US"/>
        </w:rPr>
        <w:t xml:space="preserve">, </w:t>
      </w:r>
      <w:r w:rsidR="002B0E5A">
        <w:rPr>
          <w:sz w:val="24"/>
          <w:szCs w:val="24"/>
          <w:lang w:val="en-US"/>
        </w:rPr>
        <w:t xml:space="preserve">along </w:t>
      </w:r>
      <w:r w:rsidR="004227ED">
        <w:rPr>
          <w:sz w:val="24"/>
          <w:szCs w:val="24"/>
          <w:lang w:val="en-US"/>
        </w:rPr>
        <w:t xml:space="preserve">with the </w:t>
      </w:r>
      <w:r w:rsidR="0008428A">
        <w:rPr>
          <w:sz w:val="24"/>
          <w:szCs w:val="24"/>
          <w:lang w:val="en-US"/>
        </w:rPr>
        <w:t>Atkinson parameter</w:t>
      </w:r>
      <w:r w:rsidR="001C5E18">
        <w:rPr>
          <w:sz w:val="24"/>
          <w:szCs w:val="24"/>
          <w:lang w:val="en-US"/>
        </w:rPr>
        <w:t>s</w:t>
      </w:r>
      <w:r w:rsidR="0008428A">
        <w:rPr>
          <w:sz w:val="24"/>
          <w:szCs w:val="24"/>
          <w:lang w:val="en-US"/>
        </w:rPr>
        <w:t xml:space="preserve"> 1 (</w:t>
      </w:r>
      <w:r w:rsidR="004227ED">
        <w:rPr>
          <w:sz w:val="24"/>
          <w:szCs w:val="24"/>
          <w:lang w:val="en-US"/>
        </w:rPr>
        <w:t>a1</w:t>
      </w:r>
      <w:r w:rsidR="0008428A">
        <w:rPr>
          <w:sz w:val="24"/>
          <w:szCs w:val="24"/>
          <w:lang w:val="en-US"/>
        </w:rPr>
        <w:t>)</w:t>
      </w:r>
      <w:r w:rsidR="004227ED">
        <w:rPr>
          <w:sz w:val="24"/>
          <w:szCs w:val="24"/>
          <w:lang w:val="en-US"/>
        </w:rPr>
        <w:t xml:space="preserve"> and </w:t>
      </w:r>
      <w:r w:rsidR="0008428A">
        <w:rPr>
          <w:sz w:val="24"/>
          <w:szCs w:val="24"/>
          <w:lang w:val="en-US"/>
        </w:rPr>
        <w:t>½ (</w:t>
      </w:r>
      <w:proofErr w:type="spellStart"/>
      <w:r w:rsidR="004227ED">
        <w:rPr>
          <w:sz w:val="24"/>
          <w:szCs w:val="24"/>
          <w:lang w:val="en-US"/>
        </w:rPr>
        <w:t>ahalf</w:t>
      </w:r>
      <w:proofErr w:type="spellEnd"/>
      <w:r w:rsidR="004227ED">
        <w:rPr>
          <w:sz w:val="24"/>
          <w:szCs w:val="24"/>
          <w:lang w:val="en-US"/>
        </w:rPr>
        <w:t xml:space="preserve">), </w:t>
      </w:r>
      <w:r w:rsidR="001C5E18">
        <w:rPr>
          <w:sz w:val="24"/>
          <w:szCs w:val="24"/>
          <w:lang w:val="en-US"/>
        </w:rPr>
        <w:t xml:space="preserve">the </w:t>
      </w:r>
      <w:r w:rsidR="0008428A">
        <w:rPr>
          <w:sz w:val="24"/>
          <w:szCs w:val="24"/>
          <w:lang w:val="en-US"/>
        </w:rPr>
        <w:t>g</w:t>
      </w:r>
      <w:r w:rsidR="0008428A" w:rsidRPr="00270922">
        <w:rPr>
          <w:sz w:val="24"/>
          <w:szCs w:val="24"/>
          <w:lang w:val="en-US"/>
        </w:rPr>
        <w:t>eneralized entropy</w:t>
      </w:r>
      <w:r w:rsidR="0008428A">
        <w:rPr>
          <w:sz w:val="24"/>
          <w:szCs w:val="24"/>
          <w:lang w:val="en-US"/>
        </w:rPr>
        <w:t xml:space="preserve"> parameter</w:t>
      </w:r>
      <w:r w:rsidR="001C5E18">
        <w:rPr>
          <w:sz w:val="24"/>
          <w:szCs w:val="24"/>
          <w:lang w:val="en-US"/>
        </w:rPr>
        <w:t>s</w:t>
      </w:r>
      <w:r w:rsidR="0008428A">
        <w:rPr>
          <w:sz w:val="24"/>
          <w:szCs w:val="24"/>
          <w:lang w:val="en-US"/>
        </w:rPr>
        <w:t xml:space="preserve"> </w:t>
      </w:r>
      <w:r w:rsidR="0008428A" w:rsidRPr="00270922">
        <w:rPr>
          <w:sz w:val="24"/>
          <w:szCs w:val="24"/>
          <w:lang w:val="en-US"/>
        </w:rPr>
        <w:t>1</w:t>
      </w:r>
      <w:r w:rsidR="0008428A">
        <w:rPr>
          <w:sz w:val="24"/>
          <w:szCs w:val="24"/>
          <w:lang w:val="en-US"/>
        </w:rPr>
        <w:t xml:space="preserve"> (</w:t>
      </w:r>
      <w:r w:rsidR="004227ED">
        <w:rPr>
          <w:sz w:val="24"/>
          <w:szCs w:val="24"/>
          <w:lang w:val="en-US"/>
        </w:rPr>
        <w:t>ge1</w:t>
      </w:r>
      <w:r w:rsidR="0008428A">
        <w:rPr>
          <w:sz w:val="24"/>
          <w:szCs w:val="24"/>
          <w:lang w:val="en-US"/>
        </w:rPr>
        <w:t>)</w:t>
      </w:r>
      <w:r w:rsidR="004227ED">
        <w:rPr>
          <w:sz w:val="24"/>
          <w:szCs w:val="24"/>
          <w:lang w:val="en-US"/>
        </w:rPr>
        <w:t xml:space="preserve"> </w:t>
      </w:r>
      <w:r w:rsidR="0008428A">
        <w:rPr>
          <w:sz w:val="24"/>
          <w:szCs w:val="24"/>
          <w:lang w:val="en-US"/>
        </w:rPr>
        <w:t>and 0 (</w:t>
      </w:r>
      <w:r w:rsidR="004227ED">
        <w:rPr>
          <w:sz w:val="24"/>
          <w:szCs w:val="24"/>
          <w:lang w:val="en-US"/>
        </w:rPr>
        <w:t xml:space="preserve">ge0), </w:t>
      </w:r>
      <w:r w:rsidR="001C5E18">
        <w:rPr>
          <w:sz w:val="24"/>
          <w:szCs w:val="24"/>
          <w:lang w:val="en-US"/>
        </w:rPr>
        <w:t xml:space="preserve">the </w:t>
      </w:r>
      <w:r w:rsidR="00A70B2E">
        <w:rPr>
          <w:sz w:val="24"/>
          <w:szCs w:val="24"/>
          <w:lang w:val="en-US"/>
        </w:rPr>
        <w:t xml:space="preserve">Gini </w:t>
      </w:r>
      <w:r w:rsidR="001C5E18">
        <w:rPr>
          <w:sz w:val="24"/>
          <w:szCs w:val="24"/>
          <w:lang w:val="en-US"/>
        </w:rPr>
        <w:t>coefficient</w:t>
      </w:r>
      <w:r w:rsidR="00D91D6F">
        <w:rPr>
          <w:sz w:val="24"/>
          <w:szCs w:val="24"/>
          <w:lang w:val="en-US"/>
        </w:rPr>
        <w:t>,</w:t>
      </w:r>
      <w:r w:rsidR="004227ED">
        <w:rPr>
          <w:sz w:val="24"/>
          <w:szCs w:val="24"/>
          <w:lang w:val="en-US"/>
        </w:rPr>
        <w:t xml:space="preserve"> </w:t>
      </w:r>
      <w:r w:rsidR="001C5E18">
        <w:rPr>
          <w:sz w:val="24"/>
          <w:szCs w:val="24"/>
          <w:lang w:val="en-US"/>
        </w:rPr>
        <w:t xml:space="preserve">a number of </w:t>
      </w:r>
      <w:r w:rsidR="004227ED">
        <w:rPr>
          <w:sz w:val="24"/>
          <w:szCs w:val="24"/>
          <w:lang w:val="en-US"/>
        </w:rPr>
        <w:t>quantile ratios</w:t>
      </w:r>
      <w:r w:rsidR="00D91D6F">
        <w:rPr>
          <w:sz w:val="24"/>
          <w:szCs w:val="24"/>
          <w:lang w:val="en-US"/>
        </w:rPr>
        <w:t xml:space="preserve">, </w:t>
      </w:r>
      <w:r w:rsidR="001C5E18">
        <w:rPr>
          <w:sz w:val="24"/>
          <w:szCs w:val="24"/>
          <w:lang w:val="en-US"/>
        </w:rPr>
        <w:t xml:space="preserve">as well as the </w:t>
      </w:r>
      <w:proofErr w:type="spellStart"/>
      <w:r w:rsidR="00D91D6F">
        <w:rPr>
          <w:sz w:val="24"/>
          <w:szCs w:val="24"/>
          <w:lang w:val="en-US"/>
        </w:rPr>
        <w:t>Wolfson</w:t>
      </w:r>
      <w:proofErr w:type="spellEnd"/>
      <w:r w:rsidR="00D91D6F">
        <w:rPr>
          <w:sz w:val="24"/>
          <w:szCs w:val="24"/>
          <w:lang w:val="en-US"/>
        </w:rPr>
        <w:t xml:space="preserve"> </w:t>
      </w:r>
      <w:r w:rsidR="001C5E18" w:rsidRPr="001C5E18">
        <w:rPr>
          <w:sz w:val="24"/>
          <w:szCs w:val="24"/>
          <w:lang w:val="en-US"/>
        </w:rPr>
        <w:t xml:space="preserve">polarization </w:t>
      </w:r>
      <w:r w:rsidR="00D91D6F">
        <w:rPr>
          <w:sz w:val="24"/>
          <w:szCs w:val="24"/>
          <w:lang w:val="en-US"/>
        </w:rPr>
        <w:t>index</w:t>
      </w:r>
      <w:r w:rsidR="00222589">
        <w:rPr>
          <w:sz w:val="24"/>
          <w:szCs w:val="24"/>
          <w:lang w:val="en-US"/>
        </w:rPr>
        <w:t xml:space="preserve">. </w:t>
      </w:r>
      <w:r w:rsidR="00B9194F">
        <w:rPr>
          <w:sz w:val="24"/>
          <w:szCs w:val="24"/>
          <w:lang w:val="en-US"/>
        </w:rPr>
        <w:t>Th</w:t>
      </w:r>
      <w:r w:rsidR="002B0E5A">
        <w:rPr>
          <w:sz w:val="24"/>
          <w:szCs w:val="24"/>
          <w:lang w:val="en-US"/>
        </w:rPr>
        <w:t xml:space="preserve">is confirms that </w:t>
      </w:r>
      <w:r w:rsidR="00472786" w:rsidRPr="00472786">
        <w:rPr>
          <w:rFonts w:ascii="Symbol" w:hAnsi="Symbol"/>
          <w:sz w:val="24"/>
          <w:szCs w:val="24"/>
          <w:lang w:val="en-US"/>
        </w:rPr>
        <w:t></w:t>
      </w:r>
      <w:r w:rsidR="00F36516">
        <w:rPr>
          <w:sz w:val="24"/>
          <w:szCs w:val="24"/>
          <w:lang w:val="en-US"/>
        </w:rPr>
        <w:t xml:space="preserve"> is </w:t>
      </w:r>
      <w:r w:rsidR="00B9194F">
        <w:rPr>
          <w:sz w:val="24"/>
          <w:szCs w:val="24"/>
          <w:lang w:val="en-US"/>
        </w:rPr>
        <w:t xml:space="preserve">a new inequality </w:t>
      </w:r>
      <w:r w:rsidR="001C5E18" w:rsidRPr="001C5E18">
        <w:rPr>
          <w:sz w:val="24"/>
          <w:szCs w:val="24"/>
          <w:lang w:val="en-US"/>
        </w:rPr>
        <w:t xml:space="preserve">parameter </w:t>
      </w:r>
      <w:r w:rsidR="001C5E18">
        <w:rPr>
          <w:sz w:val="24"/>
          <w:szCs w:val="24"/>
          <w:lang w:val="en-US"/>
        </w:rPr>
        <w:t xml:space="preserve">which is </w:t>
      </w:r>
      <w:r w:rsidR="00B9194F">
        <w:rPr>
          <w:sz w:val="24"/>
          <w:szCs w:val="24"/>
          <w:lang w:val="en-US"/>
        </w:rPr>
        <w:t xml:space="preserve">highly correlated with the main inequality measures, but is more sensitive (like </w:t>
      </w:r>
      <w:r w:rsidR="001C5E18">
        <w:rPr>
          <w:sz w:val="24"/>
          <w:szCs w:val="24"/>
          <w:lang w:val="en-US"/>
        </w:rPr>
        <w:t xml:space="preserve">the </w:t>
      </w:r>
      <w:proofErr w:type="spellStart"/>
      <w:r w:rsidR="00B9194F">
        <w:rPr>
          <w:sz w:val="24"/>
          <w:szCs w:val="24"/>
          <w:lang w:val="en-US"/>
        </w:rPr>
        <w:t>Wol</w:t>
      </w:r>
      <w:r w:rsidR="005D4C60">
        <w:rPr>
          <w:sz w:val="24"/>
          <w:szCs w:val="24"/>
          <w:lang w:val="en-US"/>
        </w:rPr>
        <w:t>f</w:t>
      </w:r>
      <w:r w:rsidR="00B9194F">
        <w:rPr>
          <w:sz w:val="24"/>
          <w:szCs w:val="24"/>
          <w:lang w:val="en-US"/>
        </w:rPr>
        <w:t>son</w:t>
      </w:r>
      <w:proofErr w:type="spellEnd"/>
      <w:r w:rsidR="001C5E18">
        <w:rPr>
          <w:sz w:val="24"/>
          <w:szCs w:val="24"/>
          <w:lang w:val="en-US"/>
        </w:rPr>
        <w:t xml:space="preserve"> index</w:t>
      </w:r>
      <w:r w:rsidR="00B9194F">
        <w:rPr>
          <w:sz w:val="24"/>
          <w:szCs w:val="24"/>
          <w:lang w:val="en-US"/>
        </w:rPr>
        <w:t xml:space="preserve">) </w:t>
      </w:r>
      <w:r w:rsidR="00F36516">
        <w:rPr>
          <w:sz w:val="24"/>
          <w:szCs w:val="24"/>
          <w:lang w:val="en-US"/>
        </w:rPr>
        <w:t>to the median of the distribution</w:t>
      </w:r>
      <w:r w:rsidR="00700A5D">
        <w:rPr>
          <w:sz w:val="24"/>
          <w:szCs w:val="24"/>
          <w:lang w:val="en-US"/>
        </w:rPr>
        <w:t>.</w:t>
      </w:r>
      <w:r w:rsidR="00F36516">
        <w:rPr>
          <w:sz w:val="24"/>
          <w:szCs w:val="24"/>
          <w:lang w:val="en-US"/>
        </w:rPr>
        <w:t xml:space="preserve"> </w:t>
      </w:r>
    </w:p>
    <w:p w:rsidR="00961184" w:rsidRDefault="00961184" w:rsidP="00961184">
      <w:pPr>
        <w:spacing w:after="120" w:line="480" w:lineRule="auto"/>
        <w:rPr>
          <w:b/>
          <w:sz w:val="24"/>
          <w:szCs w:val="24"/>
          <w:lang w:val="en-US"/>
        </w:rPr>
      </w:pPr>
      <w:r>
        <w:rPr>
          <w:b/>
          <w:sz w:val="24"/>
          <w:szCs w:val="24"/>
          <w:lang w:val="en-US"/>
        </w:rPr>
        <w:t>Table A2a1: PCA Scores: C</w:t>
      </w:r>
      <w:r w:rsidRPr="004227ED">
        <w:rPr>
          <w:b/>
          <w:sz w:val="24"/>
          <w:szCs w:val="24"/>
          <w:lang w:val="en-US"/>
        </w:rPr>
        <w:t xml:space="preserve">orrelation between the </w:t>
      </w:r>
      <w:r>
        <w:rPr>
          <w:b/>
          <w:sz w:val="24"/>
          <w:szCs w:val="24"/>
          <w:lang w:val="en-US"/>
        </w:rPr>
        <w:t>Principal Components and 30 I</w:t>
      </w:r>
      <w:r w:rsidRPr="004227ED">
        <w:rPr>
          <w:b/>
          <w:sz w:val="24"/>
          <w:szCs w:val="24"/>
          <w:lang w:val="en-US"/>
        </w:rPr>
        <w:t xml:space="preserve">ndicators of </w:t>
      </w:r>
      <w:r>
        <w:rPr>
          <w:b/>
          <w:sz w:val="24"/>
          <w:szCs w:val="24"/>
          <w:lang w:val="en-US"/>
        </w:rPr>
        <w:t>I</w:t>
      </w:r>
      <w:r w:rsidRPr="004227ED">
        <w:rPr>
          <w:b/>
          <w:sz w:val="24"/>
          <w:szCs w:val="24"/>
          <w:lang w:val="en-US"/>
        </w:rPr>
        <w:t xml:space="preserve">nequality </w:t>
      </w:r>
    </w:p>
    <w:p w:rsidR="00961184" w:rsidRDefault="00961184" w:rsidP="00961184">
      <w:pPr>
        <w:rPr>
          <w:color w:val="000000"/>
          <w:sz w:val="22"/>
          <w:szCs w:val="22"/>
          <w:lang w:val="en-US" w:eastAsia="en-US"/>
        </w:rPr>
        <w:sectPr w:rsidR="00961184" w:rsidSect="00751770">
          <w:footerReference w:type="default" r:id="rId9"/>
          <w:pgSz w:w="11906" w:h="16838"/>
          <w:pgMar w:top="1411" w:right="1411" w:bottom="1411" w:left="1411" w:header="720" w:footer="720" w:gutter="0"/>
          <w:cols w:space="720"/>
          <w:docGrid w:linePitch="272"/>
        </w:sectPr>
      </w:pPr>
    </w:p>
    <w:tbl>
      <w:tblPr>
        <w:tblStyle w:val="TableGrid"/>
        <w:tblW w:w="0" w:type="auto"/>
        <w:tblLook w:val="04A0" w:firstRow="1" w:lastRow="0" w:firstColumn="1" w:lastColumn="0" w:noHBand="0" w:noVBand="1"/>
      </w:tblPr>
      <w:tblGrid>
        <w:gridCol w:w="1176"/>
        <w:gridCol w:w="895"/>
        <w:gridCol w:w="895"/>
        <w:gridCol w:w="895"/>
      </w:tblGrid>
      <w:tr w:rsidR="00961184" w:rsidRPr="0091210C" w:rsidTr="00961184">
        <w:tc>
          <w:tcPr>
            <w:tcW w:w="0" w:type="auto"/>
          </w:tcPr>
          <w:p w:rsidR="00961184" w:rsidRPr="000967DD" w:rsidRDefault="00961184" w:rsidP="00961184">
            <w:pPr>
              <w:rPr>
                <w:color w:val="000000"/>
                <w:sz w:val="22"/>
                <w:szCs w:val="22"/>
                <w:lang w:val="en-US" w:eastAsia="en-US"/>
              </w:rPr>
            </w:pPr>
            <w:r w:rsidRPr="000967DD">
              <w:rPr>
                <w:color w:val="000000"/>
                <w:sz w:val="22"/>
                <w:szCs w:val="22"/>
                <w:lang w:val="en-US" w:eastAsia="en-US"/>
              </w:rPr>
              <w:lastRenderedPageBreak/>
              <w:t>Indic</w:t>
            </w:r>
            <w:r>
              <w:rPr>
                <w:color w:val="000000"/>
                <w:sz w:val="22"/>
                <w:szCs w:val="22"/>
                <w:lang w:val="en-US" w:eastAsia="en-US"/>
              </w:rPr>
              <w:t>ator</w:t>
            </w:r>
          </w:p>
        </w:tc>
        <w:tc>
          <w:tcPr>
            <w:tcW w:w="0" w:type="auto"/>
          </w:tcPr>
          <w:p w:rsidR="00961184" w:rsidRPr="0025622F" w:rsidRDefault="00961184" w:rsidP="00961184">
            <w:pPr>
              <w:rPr>
                <w:color w:val="000000"/>
                <w:sz w:val="22"/>
                <w:szCs w:val="22"/>
                <w:lang w:val="en-US" w:eastAsia="en-US"/>
              </w:rPr>
            </w:pPr>
            <w:r w:rsidRPr="00D135FD">
              <w:rPr>
                <w:color w:val="000000"/>
                <w:sz w:val="22"/>
                <w:szCs w:val="22"/>
                <w:lang w:val="en-US" w:eastAsia="en-US"/>
              </w:rPr>
              <w:t>v1</w:t>
            </w:r>
          </w:p>
        </w:tc>
        <w:tc>
          <w:tcPr>
            <w:tcW w:w="0" w:type="auto"/>
          </w:tcPr>
          <w:p w:rsidR="00961184" w:rsidRPr="00346CF8" w:rsidRDefault="00961184" w:rsidP="00961184">
            <w:pPr>
              <w:rPr>
                <w:color w:val="000000"/>
                <w:sz w:val="22"/>
                <w:szCs w:val="22"/>
                <w:lang w:val="en-US" w:eastAsia="en-US"/>
              </w:rPr>
            </w:pPr>
            <w:r w:rsidRPr="00346CF8">
              <w:rPr>
                <w:color w:val="000000"/>
                <w:sz w:val="22"/>
                <w:szCs w:val="22"/>
                <w:lang w:val="en-US" w:eastAsia="en-US"/>
              </w:rPr>
              <w:t>v2</w:t>
            </w:r>
          </w:p>
        </w:tc>
        <w:tc>
          <w:tcPr>
            <w:tcW w:w="0" w:type="auto"/>
          </w:tcPr>
          <w:p w:rsidR="00961184" w:rsidRPr="005D57E5" w:rsidRDefault="00961184" w:rsidP="00961184">
            <w:pPr>
              <w:rPr>
                <w:color w:val="000000"/>
                <w:sz w:val="22"/>
                <w:szCs w:val="22"/>
                <w:lang w:val="en-US" w:eastAsia="en-US"/>
              </w:rPr>
            </w:pPr>
            <w:r w:rsidRPr="005D57E5">
              <w:rPr>
                <w:color w:val="000000"/>
                <w:sz w:val="22"/>
                <w:szCs w:val="22"/>
                <w:lang w:val="en-US" w:eastAsia="en-US"/>
              </w:rPr>
              <w:t>v3</w:t>
            </w:r>
          </w:p>
        </w:tc>
      </w:tr>
      <w:tr w:rsidR="00961184" w:rsidRPr="0091210C" w:rsidTr="00961184">
        <w:tc>
          <w:tcPr>
            <w:tcW w:w="0" w:type="auto"/>
            <w:vAlign w:val="bottom"/>
          </w:tcPr>
          <w:p w:rsidR="00961184" w:rsidRPr="00553EE2" w:rsidRDefault="00961184" w:rsidP="00961184">
            <w:pPr>
              <w:rPr>
                <w:sz w:val="24"/>
                <w:szCs w:val="24"/>
                <w:lang w:val="en-US"/>
              </w:rPr>
            </w:pPr>
            <w:r w:rsidRPr="00FA44A0">
              <w:rPr>
                <w:rFonts w:ascii="Symbol" w:hAnsi="Symbol"/>
                <w:color w:val="000000"/>
                <w:sz w:val="24"/>
                <w:szCs w:val="24"/>
                <w:lang w:val="en-US" w:eastAsia="en-US"/>
              </w:rPr>
              <w:t></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0.2143</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-0.1114</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0.0138</w:t>
            </w:r>
          </w:p>
        </w:tc>
      </w:tr>
      <w:tr w:rsidR="00961184" w:rsidRPr="0091210C" w:rsidTr="00961184">
        <w:tc>
          <w:tcPr>
            <w:tcW w:w="0" w:type="auto"/>
            <w:vAlign w:val="bottom"/>
          </w:tcPr>
          <w:p w:rsidR="00961184" w:rsidRPr="00553EE2" w:rsidRDefault="00961184" w:rsidP="00961184">
            <w:pPr>
              <w:rPr>
                <w:sz w:val="24"/>
                <w:szCs w:val="24"/>
                <w:lang w:val="en-US"/>
              </w:rPr>
            </w:pPr>
            <w:r w:rsidRPr="00FA44A0">
              <w:rPr>
                <w:rFonts w:ascii="Symbol" w:hAnsi="Symbol"/>
                <w:color w:val="000000"/>
                <w:sz w:val="24"/>
                <w:szCs w:val="24"/>
                <w:lang w:val="en-US" w:eastAsia="en-US"/>
              </w:rPr>
              <w:t></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-0.0548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0.4194</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-0.244</w:t>
            </w:r>
          </w:p>
        </w:tc>
      </w:tr>
      <w:tr w:rsidR="00961184" w:rsidRPr="0091210C" w:rsidTr="00961184">
        <w:tc>
          <w:tcPr>
            <w:tcW w:w="0" w:type="auto"/>
            <w:vAlign w:val="bottom"/>
          </w:tcPr>
          <w:p w:rsidR="00961184" w:rsidRPr="00553EE2" w:rsidRDefault="00961184" w:rsidP="00961184">
            <w:pPr>
              <w:rPr>
                <w:sz w:val="24"/>
                <w:szCs w:val="24"/>
                <w:lang w:val="en-US"/>
              </w:rPr>
            </w:pPr>
            <w:r w:rsidRPr="00FA44A0">
              <w:rPr>
                <w:rFonts w:ascii="Symbol" w:hAnsi="Symbol"/>
                <w:color w:val="000000"/>
                <w:sz w:val="24"/>
                <w:szCs w:val="24"/>
                <w:lang w:val="en-US" w:eastAsia="en-US"/>
              </w:rPr>
              <w:t></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-0.0565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0.3174</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0.4321</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a2</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0.1166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0.0958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0.3377</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a1</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0.2171</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0.0666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-0.0154</w:t>
            </w:r>
          </w:p>
        </w:tc>
      </w:tr>
      <w:tr w:rsidR="00961184" w:rsidRPr="0091210C" w:rsidTr="00961184">
        <w:tc>
          <w:tcPr>
            <w:tcW w:w="0" w:type="auto"/>
          </w:tcPr>
          <w:p w:rsidR="00961184" w:rsidRPr="0091210C" w:rsidRDefault="00961184" w:rsidP="00961184">
            <w:pPr>
              <w:rPr>
                <w:sz w:val="24"/>
                <w:szCs w:val="24"/>
                <w:lang w:val="en-US"/>
              </w:rPr>
            </w:pPr>
            <w:proofErr w:type="spellStart"/>
            <w:r w:rsidRPr="0091210C">
              <w:rPr>
                <w:sz w:val="24"/>
                <w:szCs w:val="24"/>
                <w:lang w:val="en-US"/>
              </w:rPr>
              <w:t>Ahalf</w:t>
            </w:r>
            <w:proofErr w:type="spellEnd"/>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0.2145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0.0875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-0.0738</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ge2</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0.1373</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0.1738</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-0.1968</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ge1</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0.2092</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0.1123</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-0.1184</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ge0</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0.2154</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0.0879</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-0.0416</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gem1</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-0.0002</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0.131</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0.2562</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Gini</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0.2174</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0.0239</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-0.0381</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Wolfson</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0.2183</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-0.0179</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-0.0404</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fgt0</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0.2183</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0.0094</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0.0044</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fgt1</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0.215</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0.0889</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0.0055</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lastRenderedPageBreak/>
              <w:t>fgt2</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0.2096</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0.123</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0.0089</w:t>
            </w:r>
          </w:p>
        </w:tc>
      </w:tr>
      <w:tr w:rsidR="00961184" w:rsidRPr="0091210C" w:rsidTr="00961184">
        <w:tc>
          <w:tcPr>
            <w:tcW w:w="0" w:type="auto"/>
          </w:tcPr>
          <w:p w:rsidR="00961184" w:rsidRPr="0091210C" w:rsidRDefault="00961184" w:rsidP="00961184">
            <w:pPr>
              <w:rPr>
                <w:sz w:val="24"/>
                <w:szCs w:val="24"/>
                <w:lang w:val="de-DE"/>
              </w:rPr>
            </w:pPr>
            <w:r w:rsidRPr="0091210C">
              <w:rPr>
                <w:sz w:val="24"/>
                <w:szCs w:val="24"/>
                <w:lang w:val="de-DE"/>
              </w:rPr>
              <w:t>p90p50</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0.2108</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0.0632</w:t>
            </w:r>
          </w:p>
        </w:tc>
        <w:tc>
          <w:tcPr>
            <w:tcW w:w="0" w:type="auto"/>
            <w:vAlign w:val="bottom"/>
          </w:tcPr>
          <w:p w:rsidR="00961184" w:rsidRPr="00D135FD" w:rsidRDefault="00961184" w:rsidP="00961184">
            <w:pPr>
              <w:rPr>
                <w:sz w:val="24"/>
                <w:szCs w:val="24"/>
                <w:lang w:val="de-DE"/>
              </w:rPr>
            </w:pPr>
            <w:r w:rsidRPr="005D57E5">
              <w:rPr>
                <w:color w:val="000000"/>
                <w:sz w:val="22"/>
                <w:szCs w:val="22"/>
                <w:lang w:val="en-US" w:eastAsia="en-US"/>
              </w:rPr>
              <w:t>-0.1424</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p50p10</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0.2098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0.0245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0.1522</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pp907550</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-0.0266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0.3587</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-0.355</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pp251050</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-0.0451</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0.3495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0.3557</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iso2</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0.2096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-0.0046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0.1789</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iso6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0.2118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-0.103</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0.0745</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iso10</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0.2115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-0.1105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0.0226</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iso14</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0.2148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-0.0662</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-0.0305</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iso18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0.2147</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0.0142</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-0.1062</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Po</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0.2085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-0.0219</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0.1833</w:t>
            </w:r>
          </w:p>
        </w:tc>
      </w:tr>
      <w:tr w:rsidR="00961184" w:rsidRPr="0091210C" w:rsidTr="00961184">
        <w:tc>
          <w:tcPr>
            <w:tcW w:w="0" w:type="auto"/>
          </w:tcPr>
          <w:p w:rsidR="00961184" w:rsidRPr="0091210C" w:rsidRDefault="00961184" w:rsidP="00961184">
            <w:pPr>
              <w:rPr>
                <w:sz w:val="24"/>
                <w:szCs w:val="24"/>
                <w:lang w:val="en-US"/>
              </w:rPr>
            </w:pPr>
            <w:r w:rsidRPr="0091210C">
              <w:rPr>
                <w:sz w:val="24"/>
                <w:szCs w:val="24"/>
                <w:lang w:val="en-US"/>
              </w:rPr>
              <w:t>Mc</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-0.2015</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0.1644</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-0.0753</w:t>
            </w:r>
          </w:p>
        </w:tc>
      </w:tr>
      <w:tr w:rsidR="00961184" w:rsidRPr="0091210C" w:rsidTr="00961184">
        <w:tc>
          <w:tcPr>
            <w:tcW w:w="0" w:type="auto"/>
          </w:tcPr>
          <w:p w:rsidR="00961184" w:rsidRPr="0091210C" w:rsidRDefault="00961184" w:rsidP="00961184">
            <w:pPr>
              <w:rPr>
                <w:sz w:val="24"/>
                <w:szCs w:val="24"/>
                <w:lang w:val="en-US"/>
              </w:rPr>
            </w:pPr>
            <w:proofErr w:type="spellStart"/>
            <w:r w:rsidRPr="0091210C">
              <w:rPr>
                <w:sz w:val="24"/>
                <w:szCs w:val="24"/>
                <w:lang w:val="en-US"/>
              </w:rPr>
              <w:t>Mcl</w:t>
            </w:r>
            <w:proofErr w:type="spellEnd"/>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-0.0646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-0.3677</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-0.2298</w:t>
            </w:r>
          </w:p>
        </w:tc>
      </w:tr>
      <w:tr w:rsidR="00961184" w:rsidRPr="0091210C" w:rsidTr="00961184">
        <w:tc>
          <w:tcPr>
            <w:tcW w:w="0" w:type="auto"/>
          </w:tcPr>
          <w:p w:rsidR="00961184" w:rsidRPr="0091210C" w:rsidRDefault="00961184" w:rsidP="00961184">
            <w:pPr>
              <w:rPr>
                <w:sz w:val="24"/>
                <w:szCs w:val="24"/>
                <w:lang w:val="en-US"/>
              </w:rPr>
            </w:pPr>
            <w:proofErr w:type="spellStart"/>
            <w:r w:rsidRPr="0091210C">
              <w:rPr>
                <w:sz w:val="24"/>
                <w:szCs w:val="24"/>
                <w:lang w:val="en-US"/>
              </w:rPr>
              <w:t>Mcu</w:t>
            </w:r>
            <w:proofErr w:type="spellEnd"/>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-0.1162</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-0.298</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0.2478</w:t>
            </w:r>
          </w:p>
        </w:tc>
      </w:tr>
      <w:tr w:rsidR="00961184" w:rsidRPr="0091210C" w:rsidTr="00961184">
        <w:tc>
          <w:tcPr>
            <w:tcW w:w="0" w:type="auto"/>
          </w:tcPr>
          <w:p w:rsidR="00961184" w:rsidRPr="0091210C" w:rsidRDefault="00961184" w:rsidP="00961184">
            <w:pPr>
              <w:rPr>
                <w:sz w:val="24"/>
                <w:szCs w:val="24"/>
                <w:lang w:val="en-US"/>
              </w:rPr>
            </w:pPr>
            <w:proofErr w:type="spellStart"/>
            <w:r w:rsidRPr="0091210C">
              <w:rPr>
                <w:sz w:val="24"/>
                <w:szCs w:val="24"/>
                <w:lang w:val="en-US"/>
              </w:rPr>
              <w:t>Ric</w:t>
            </w:r>
            <w:proofErr w:type="spellEnd"/>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0.2146</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-0.0182</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-0.0723</w:t>
            </w:r>
          </w:p>
        </w:tc>
      </w:tr>
      <w:tr w:rsidR="00961184" w:rsidRPr="0091210C" w:rsidTr="00961184">
        <w:tc>
          <w:tcPr>
            <w:tcW w:w="0" w:type="auto"/>
          </w:tcPr>
          <w:p w:rsidR="00961184" w:rsidRPr="0091210C" w:rsidRDefault="00961184" w:rsidP="00961184">
            <w:pPr>
              <w:rPr>
                <w:sz w:val="24"/>
                <w:szCs w:val="24"/>
                <w:lang w:val="en-US"/>
              </w:rPr>
            </w:pPr>
            <w:proofErr w:type="spellStart"/>
            <w:r w:rsidRPr="0091210C">
              <w:rPr>
                <w:sz w:val="24"/>
                <w:szCs w:val="24"/>
                <w:lang w:val="en-US"/>
              </w:rPr>
              <w:t>Rpol</w:t>
            </w:r>
            <w:proofErr w:type="spellEnd"/>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0.1859</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-0.2517</w:t>
            </w:r>
          </w:p>
        </w:tc>
        <w:tc>
          <w:tcPr>
            <w:tcW w:w="0" w:type="auto"/>
            <w:vAlign w:val="bottom"/>
          </w:tcPr>
          <w:p w:rsidR="00961184" w:rsidRPr="00D135FD" w:rsidRDefault="00961184" w:rsidP="00961184">
            <w:pPr>
              <w:rPr>
                <w:sz w:val="24"/>
                <w:szCs w:val="24"/>
                <w:lang w:val="en-US"/>
              </w:rPr>
            </w:pPr>
            <w:r w:rsidRPr="005D57E5">
              <w:rPr>
                <w:color w:val="000000"/>
                <w:sz w:val="22"/>
                <w:szCs w:val="22"/>
                <w:lang w:val="en-US" w:eastAsia="en-US"/>
              </w:rPr>
              <w:t>0.0745</w:t>
            </w:r>
          </w:p>
        </w:tc>
      </w:tr>
    </w:tbl>
    <w:p w:rsidR="00961184" w:rsidRDefault="00961184" w:rsidP="00961184">
      <w:pPr>
        <w:spacing w:after="120" w:line="480" w:lineRule="auto"/>
        <w:rPr>
          <w:b/>
          <w:bCs/>
          <w:sz w:val="24"/>
          <w:szCs w:val="24"/>
          <w:lang w:val="en-GB"/>
        </w:rPr>
        <w:sectPr w:rsidR="00961184" w:rsidSect="00961184">
          <w:type w:val="continuous"/>
          <w:pgSz w:w="11906" w:h="16838"/>
          <w:pgMar w:top="1411" w:right="1411" w:bottom="1411" w:left="1411" w:header="720" w:footer="720" w:gutter="0"/>
          <w:cols w:num="2" w:space="720"/>
          <w:docGrid w:linePitch="272"/>
        </w:sectPr>
      </w:pPr>
    </w:p>
    <w:p w:rsidR="00961184" w:rsidRDefault="00961184" w:rsidP="00961184">
      <w:pPr>
        <w:spacing w:after="120" w:line="480" w:lineRule="auto"/>
        <w:rPr>
          <w:b/>
          <w:bCs/>
          <w:sz w:val="24"/>
          <w:szCs w:val="24"/>
          <w:lang w:val="en-GB"/>
        </w:rPr>
      </w:pPr>
    </w:p>
    <w:p w:rsidR="00961184" w:rsidRDefault="00961184" w:rsidP="00BC0E0D">
      <w:pPr>
        <w:spacing w:after="120" w:line="480" w:lineRule="auto"/>
        <w:rPr>
          <w:sz w:val="24"/>
          <w:szCs w:val="24"/>
          <w:lang w:val="en-US"/>
        </w:rPr>
      </w:pPr>
    </w:p>
    <w:p w:rsidR="00A70B1E" w:rsidRDefault="001C5E18" w:rsidP="00BC0E0D">
      <w:pPr>
        <w:spacing w:after="120" w:line="480" w:lineRule="auto"/>
        <w:rPr>
          <w:sz w:val="24"/>
          <w:szCs w:val="24"/>
          <w:lang w:val="en-US"/>
        </w:rPr>
      </w:pPr>
      <w:r>
        <w:rPr>
          <w:sz w:val="24"/>
          <w:szCs w:val="24"/>
          <w:lang w:val="en-US"/>
        </w:rPr>
        <w:t>T</w:t>
      </w:r>
      <w:r w:rsidRPr="001C5E18">
        <w:rPr>
          <w:sz w:val="24"/>
          <w:szCs w:val="24"/>
          <w:lang w:val="en-US"/>
        </w:rPr>
        <w:t>he role of</w:t>
      </w:r>
      <w:r w:rsidRPr="001C5E18">
        <w:rPr>
          <w:rFonts w:ascii="Symbol" w:hAnsi="Symbol"/>
          <w:sz w:val="24"/>
          <w:szCs w:val="24"/>
          <w:lang w:val="en-US"/>
        </w:rPr>
        <w:t></w:t>
      </w:r>
      <w:r w:rsidRPr="001C5E18">
        <w:rPr>
          <w:rFonts w:ascii="Symbol" w:hAnsi="Symbol"/>
          <w:sz w:val="24"/>
          <w:szCs w:val="24"/>
          <w:lang w:val="en-US"/>
        </w:rPr>
        <w:t></w:t>
      </w:r>
      <w:r w:rsidRPr="001C5E18">
        <w:rPr>
          <w:sz w:val="24"/>
          <w:szCs w:val="24"/>
          <w:lang w:val="en-US"/>
        </w:rPr>
        <w:t xml:space="preserve"> and </w:t>
      </w:r>
      <w:r w:rsidRPr="001C5E18">
        <w:rPr>
          <w:rFonts w:ascii="Symbol" w:hAnsi="Symbol"/>
          <w:sz w:val="24"/>
          <w:szCs w:val="24"/>
          <w:lang w:val="en-US"/>
        </w:rPr>
        <w:t></w:t>
      </w:r>
      <w:r w:rsidRPr="001C5E18">
        <w:rPr>
          <w:sz w:val="24"/>
          <w:szCs w:val="24"/>
          <w:lang w:val="en-US"/>
        </w:rPr>
        <w:t xml:space="preserve"> </w:t>
      </w:r>
      <w:r>
        <w:rPr>
          <w:sz w:val="24"/>
          <w:szCs w:val="24"/>
          <w:lang w:val="en-US"/>
        </w:rPr>
        <w:t>becomes apparent o</w:t>
      </w:r>
      <w:r w:rsidR="00BC0E0D">
        <w:rPr>
          <w:sz w:val="24"/>
          <w:szCs w:val="24"/>
          <w:lang w:val="en-US"/>
        </w:rPr>
        <w:t>n axes 2 and 3</w:t>
      </w:r>
      <w:r w:rsidR="00A2615E">
        <w:rPr>
          <w:sz w:val="24"/>
          <w:szCs w:val="24"/>
          <w:lang w:val="en-US"/>
        </w:rPr>
        <w:t xml:space="preserve"> (1</w:t>
      </w:r>
      <w:r w:rsidR="00014A0C">
        <w:rPr>
          <w:sz w:val="24"/>
          <w:szCs w:val="24"/>
          <w:lang w:val="en-US"/>
        </w:rPr>
        <w:t>2</w:t>
      </w:r>
      <w:r w:rsidR="00F67915">
        <w:rPr>
          <w:sz w:val="24"/>
          <w:szCs w:val="24"/>
          <w:lang w:val="en-US"/>
        </w:rPr>
        <w:t>%</w:t>
      </w:r>
      <w:r w:rsidR="00A2615E">
        <w:rPr>
          <w:sz w:val="24"/>
          <w:szCs w:val="24"/>
          <w:lang w:val="en-US"/>
        </w:rPr>
        <w:t xml:space="preserve"> and </w:t>
      </w:r>
      <w:r w:rsidR="00014A0C">
        <w:rPr>
          <w:sz w:val="24"/>
          <w:szCs w:val="24"/>
          <w:lang w:val="en-US"/>
        </w:rPr>
        <w:t>7</w:t>
      </w:r>
      <w:r w:rsidR="00A2615E">
        <w:rPr>
          <w:sz w:val="24"/>
          <w:szCs w:val="24"/>
          <w:lang w:val="en-US"/>
        </w:rPr>
        <w:t>% of the variance</w:t>
      </w:r>
      <w:r w:rsidR="006B2BCB">
        <w:rPr>
          <w:sz w:val="24"/>
          <w:szCs w:val="24"/>
          <w:lang w:val="en-US"/>
        </w:rPr>
        <w:t>, respectively</w:t>
      </w:r>
      <w:r w:rsidR="00A2615E">
        <w:rPr>
          <w:sz w:val="24"/>
          <w:szCs w:val="24"/>
          <w:lang w:val="en-US"/>
        </w:rPr>
        <w:t>)</w:t>
      </w:r>
      <w:r w:rsidR="005D4C60">
        <w:rPr>
          <w:sz w:val="24"/>
          <w:szCs w:val="24"/>
          <w:lang w:val="en-US"/>
        </w:rPr>
        <w:t>,</w:t>
      </w:r>
      <w:r w:rsidR="00961F7C">
        <w:rPr>
          <w:sz w:val="24"/>
          <w:szCs w:val="24"/>
          <w:lang w:val="en-US"/>
        </w:rPr>
        <w:t xml:space="preserve"> </w:t>
      </w:r>
      <w:r w:rsidR="005D4C60">
        <w:rPr>
          <w:sz w:val="24"/>
          <w:szCs w:val="24"/>
          <w:lang w:val="en-US"/>
        </w:rPr>
        <w:t xml:space="preserve">which </w:t>
      </w:r>
      <w:r>
        <w:rPr>
          <w:sz w:val="24"/>
          <w:szCs w:val="24"/>
          <w:lang w:val="en-US"/>
        </w:rPr>
        <w:t>reveal</w:t>
      </w:r>
      <w:r w:rsidR="00961F7C">
        <w:rPr>
          <w:sz w:val="24"/>
          <w:szCs w:val="24"/>
          <w:lang w:val="en-US"/>
        </w:rPr>
        <w:t xml:space="preserve"> </w:t>
      </w:r>
      <w:r w:rsidR="005D4C60">
        <w:rPr>
          <w:sz w:val="24"/>
          <w:szCs w:val="24"/>
          <w:lang w:val="en-US"/>
        </w:rPr>
        <w:t xml:space="preserve">the </w:t>
      </w:r>
      <w:r w:rsidR="00961F7C">
        <w:rPr>
          <w:sz w:val="24"/>
          <w:szCs w:val="24"/>
          <w:lang w:val="en-US"/>
        </w:rPr>
        <w:t>shape of inequality</w:t>
      </w:r>
      <w:r w:rsidR="005D4C60" w:rsidRPr="005D4C60">
        <w:rPr>
          <w:sz w:val="24"/>
          <w:szCs w:val="24"/>
          <w:lang w:val="en-US"/>
        </w:rPr>
        <w:t xml:space="preserve"> </w:t>
      </w:r>
      <w:r w:rsidR="005D4C60">
        <w:rPr>
          <w:sz w:val="24"/>
          <w:szCs w:val="24"/>
          <w:lang w:val="en-US"/>
        </w:rPr>
        <w:t xml:space="preserve">but not </w:t>
      </w:r>
      <w:r>
        <w:rPr>
          <w:sz w:val="24"/>
          <w:szCs w:val="24"/>
          <w:lang w:val="en-US"/>
        </w:rPr>
        <w:t xml:space="preserve">its </w:t>
      </w:r>
      <w:r w:rsidR="005D4C60">
        <w:rPr>
          <w:sz w:val="24"/>
          <w:szCs w:val="24"/>
          <w:lang w:val="en-US"/>
        </w:rPr>
        <w:t>intensity</w:t>
      </w:r>
      <w:r w:rsidR="0015129D">
        <w:rPr>
          <w:sz w:val="24"/>
          <w:szCs w:val="24"/>
          <w:lang w:val="en-US"/>
        </w:rPr>
        <w:t>.</w:t>
      </w:r>
      <w:r w:rsidR="00BC0E0D">
        <w:rPr>
          <w:sz w:val="24"/>
          <w:szCs w:val="24"/>
          <w:lang w:val="en-US"/>
        </w:rPr>
        <w:t xml:space="preserve"> </w:t>
      </w:r>
    </w:p>
    <w:p w:rsidR="00A70B1E" w:rsidRDefault="00F23B50" w:rsidP="00E67404">
      <w:pPr>
        <w:numPr>
          <w:ilvl w:val="0"/>
          <w:numId w:val="3"/>
        </w:numPr>
        <w:spacing w:after="120" w:line="480" w:lineRule="auto"/>
        <w:rPr>
          <w:sz w:val="24"/>
          <w:szCs w:val="24"/>
          <w:lang w:val="en-US"/>
        </w:rPr>
      </w:pPr>
      <w:r>
        <w:rPr>
          <w:sz w:val="24"/>
          <w:szCs w:val="24"/>
          <w:lang w:val="en-US"/>
        </w:rPr>
        <w:t>On t</w:t>
      </w:r>
      <w:r w:rsidR="00BC0E0D">
        <w:rPr>
          <w:sz w:val="24"/>
          <w:szCs w:val="24"/>
          <w:lang w:val="en-US"/>
        </w:rPr>
        <w:t xml:space="preserve">he </w:t>
      </w:r>
      <w:r w:rsidR="00A24BDD">
        <w:rPr>
          <w:sz w:val="24"/>
          <w:szCs w:val="24"/>
          <w:lang w:val="en-US"/>
        </w:rPr>
        <w:t xml:space="preserve">second </w:t>
      </w:r>
      <w:r w:rsidR="0015129D" w:rsidRPr="0015129D">
        <w:rPr>
          <w:sz w:val="24"/>
          <w:szCs w:val="24"/>
          <w:lang w:val="en-US"/>
        </w:rPr>
        <w:t xml:space="preserve">PCA </w:t>
      </w:r>
      <w:r w:rsidR="00937FFE">
        <w:rPr>
          <w:sz w:val="24"/>
          <w:szCs w:val="24"/>
          <w:lang w:val="en-US"/>
        </w:rPr>
        <w:t>axis</w:t>
      </w:r>
      <w:r>
        <w:rPr>
          <w:sz w:val="24"/>
          <w:szCs w:val="24"/>
          <w:lang w:val="en-US"/>
        </w:rPr>
        <w:t>,</w:t>
      </w:r>
      <w:r w:rsidR="00BC0E0D">
        <w:rPr>
          <w:sz w:val="24"/>
          <w:szCs w:val="24"/>
          <w:lang w:val="en-US"/>
        </w:rPr>
        <w:t xml:space="preserve"> </w:t>
      </w:r>
      <w:r w:rsidR="00472786" w:rsidRPr="00472786">
        <w:rPr>
          <w:rFonts w:ascii="Symbol" w:hAnsi="Symbol"/>
          <w:sz w:val="24"/>
          <w:szCs w:val="24"/>
          <w:lang w:val="en-US"/>
        </w:rPr>
        <w:t></w:t>
      </w:r>
      <w:r w:rsidR="00A24BDD">
        <w:rPr>
          <w:sz w:val="24"/>
          <w:szCs w:val="24"/>
          <w:lang w:val="en-US"/>
        </w:rPr>
        <w:t xml:space="preserve"> </w:t>
      </w:r>
      <w:r>
        <w:rPr>
          <w:sz w:val="24"/>
          <w:szCs w:val="24"/>
          <w:lang w:val="en-US"/>
        </w:rPr>
        <w:t xml:space="preserve">and </w:t>
      </w:r>
      <w:r w:rsidR="00472786" w:rsidRPr="00472786">
        <w:rPr>
          <w:rFonts w:ascii="Symbol" w:hAnsi="Symbol"/>
          <w:sz w:val="24"/>
          <w:szCs w:val="24"/>
          <w:lang w:val="en-US"/>
        </w:rPr>
        <w:t></w:t>
      </w:r>
      <w:r>
        <w:rPr>
          <w:sz w:val="24"/>
          <w:szCs w:val="24"/>
          <w:lang w:val="en-US"/>
        </w:rPr>
        <w:t xml:space="preserve"> are </w:t>
      </w:r>
      <w:r w:rsidR="0015129D">
        <w:rPr>
          <w:sz w:val="24"/>
          <w:szCs w:val="24"/>
          <w:lang w:val="en-US"/>
        </w:rPr>
        <w:t xml:space="preserve">strongly </w:t>
      </w:r>
      <w:r w:rsidR="00A24BDD">
        <w:rPr>
          <w:sz w:val="24"/>
          <w:szCs w:val="24"/>
          <w:lang w:val="en-US"/>
        </w:rPr>
        <w:t xml:space="preserve">correlated </w:t>
      </w:r>
      <w:r w:rsidR="00C16133">
        <w:rPr>
          <w:sz w:val="24"/>
          <w:szCs w:val="24"/>
          <w:lang w:val="en-US"/>
        </w:rPr>
        <w:t xml:space="preserve">in the same direction </w:t>
      </w:r>
      <w:r w:rsidR="005D4C60">
        <w:rPr>
          <w:sz w:val="24"/>
          <w:szCs w:val="24"/>
          <w:lang w:val="en-US"/>
        </w:rPr>
        <w:t xml:space="preserve">as </w:t>
      </w:r>
      <w:r w:rsidR="00C16133" w:rsidRPr="0091210C">
        <w:rPr>
          <w:sz w:val="24"/>
          <w:szCs w:val="24"/>
          <w:lang w:val="en-US"/>
        </w:rPr>
        <w:t>pp</w:t>
      </w:r>
      <w:r w:rsidR="00C16133">
        <w:rPr>
          <w:sz w:val="24"/>
          <w:szCs w:val="24"/>
          <w:lang w:val="en-US"/>
        </w:rPr>
        <w:t>2510</w:t>
      </w:r>
      <w:r w:rsidR="00C16133" w:rsidRPr="0091210C">
        <w:rPr>
          <w:sz w:val="24"/>
          <w:szCs w:val="24"/>
          <w:lang w:val="en-US"/>
        </w:rPr>
        <w:t xml:space="preserve">50 </w:t>
      </w:r>
      <w:r w:rsidR="00C16133">
        <w:rPr>
          <w:sz w:val="24"/>
          <w:szCs w:val="24"/>
          <w:lang w:val="en-US"/>
        </w:rPr>
        <w:t xml:space="preserve">and </w:t>
      </w:r>
      <w:r w:rsidR="00C16133" w:rsidRPr="0091210C">
        <w:rPr>
          <w:sz w:val="24"/>
          <w:szCs w:val="24"/>
          <w:lang w:val="en-US"/>
        </w:rPr>
        <w:t>pp907550</w:t>
      </w:r>
      <w:r w:rsidR="0015129D">
        <w:rPr>
          <w:sz w:val="24"/>
          <w:szCs w:val="24"/>
          <w:lang w:val="en-US"/>
        </w:rPr>
        <w:t xml:space="preserve">, the two measures of the </w:t>
      </w:r>
      <w:r w:rsidR="00E12A4F">
        <w:rPr>
          <w:sz w:val="24"/>
          <w:szCs w:val="24"/>
          <w:lang w:val="en-US"/>
        </w:rPr>
        <w:t>over-elongation of the extreme deciles compared to the quartiles</w:t>
      </w:r>
      <w:r w:rsidR="00BC0E0D">
        <w:rPr>
          <w:sz w:val="24"/>
          <w:szCs w:val="24"/>
          <w:lang w:val="en-US"/>
        </w:rPr>
        <w:t xml:space="preserve">. </w:t>
      </w:r>
      <w:r w:rsidR="00E12A4F">
        <w:rPr>
          <w:sz w:val="24"/>
          <w:szCs w:val="24"/>
          <w:lang w:val="en-US"/>
        </w:rPr>
        <w:t xml:space="preserve">The correlation with </w:t>
      </w:r>
      <w:proofErr w:type="spellStart"/>
      <w:r w:rsidR="00E12A4F">
        <w:rPr>
          <w:sz w:val="24"/>
          <w:szCs w:val="24"/>
          <w:lang w:val="en-US"/>
        </w:rPr>
        <w:t>mcu</w:t>
      </w:r>
      <w:proofErr w:type="spellEnd"/>
      <w:r w:rsidR="00E12A4F">
        <w:rPr>
          <w:sz w:val="24"/>
          <w:szCs w:val="24"/>
          <w:lang w:val="en-US"/>
        </w:rPr>
        <w:t xml:space="preserve"> and mcl (respectively</w:t>
      </w:r>
      <w:r w:rsidR="005D4C60">
        <w:rPr>
          <w:sz w:val="24"/>
          <w:szCs w:val="24"/>
          <w:lang w:val="en-US"/>
        </w:rPr>
        <w:t>,</w:t>
      </w:r>
      <w:r w:rsidR="00E12A4F">
        <w:rPr>
          <w:sz w:val="24"/>
          <w:szCs w:val="24"/>
          <w:lang w:val="en-US"/>
        </w:rPr>
        <w:t xml:space="preserve"> </w:t>
      </w:r>
      <w:r w:rsidR="0015129D">
        <w:rPr>
          <w:sz w:val="24"/>
          <w:szCs w:val="24"/>
          <w:lang w:val="en-US"/>
        </w:rPr>
        <w:t xml:space="preserve">the </w:t>
      </w:r>
      <w:r w:rsidR="00E12A4F">
        <w:rPr>
          <w:sz w:val="24"/>
          <w:szCs w:val="24"/>
          <w:lang w:val="en-US"/>
        </w:rPr>
        <w:t xml:space="preserve">upper and lower middle classes) is negative: the elongation at the top (resp. bottom) </w:t>
      </w:r>
      <w:r w:rsidR="0015129D">
        <w:rPr>
          <w:sz w:val="24"/>
          <w:szCs w:val="24"/>
          <w:lang w:val="en-US"/>
        </w:rPr>
        <w:t>implie</w:t>
      </w:r>
      <w:r w:rsidR="00E12A4F">
        <w:rPr>
          <w:sz w:val="24"/>
          <w:szCs w:val="24"/>
          <w:lang w:val="en-US"/>
        </w:rPr>
        <w:t xml:space="preserve">s </w:t>
      </w:r>
      <w:r w:rsidR="007A23CA">
        <w:rPr>
          <w:sz w:val="24"/>
          <w:szCs w:val="24"/>
          <w:lang w:val="en-US"/>
        </w:rPr>
        <w:t xml:space="preserve">a </w:t>
      </w:r>
      <w:r w:rsidR="00E12A4F">
        <w:rPr>
          <w:sz w:val="24"/>
          <w:szCs w:val="24"/>
          <w:lang w:val="en-US"/>
        </w:rPr>
        <w:t xml:space="preserve">smaller upper (resp. the lower) middle class that </w:t>
      </w:r>
      <w:r w:rsidR="00126B88">
        <w:rPr>
          <w:sz w:val="24"/>
          <w:szCs w:val="24"/>
          <w:lang w:val="en-US"/>
        </w:rPr>
        <w:t>is</w:t>
      </w:r>
      <w:r w:rsidR="00E12A4F">
        <w:rPr>
          <w:sz w:val="24"/>
          <w:szCs w:val="24"/>
          <w:lang w:val="en-US"/>
        </w:rPr>
        <w:t xml:space="preserve"> stretched</w:t>
      </w:r>
      <w:r w:rsidR="007A23CA">
        <w:rPr>
          <w:sz w:val="24"/>
          <w:szCs w:val="24"/>
          <w:lang w:val="en-US"/>
        </w:rPr>
        <w:t xml:space="preserve"> out</w:t>
      </w:r>
      <w:r w:rsidR="00E12A4F">
        <w:rPr>
          <w:sz w:val="24"/>
          <w:szCs w:val="24"/>
          <w:lang w:val="en-US"/>
        </w:rPr>
        <w:t xml:space="preserve">. </w:t>
      </w:r>
      <w:r w:rsidR="007A23CA">
        <w:rPr>
          <w:sz w:val="24"/>
          <w:szCs w:val="24"/>
          <w:lang w:val="en-US"/>
        </w:rPr>
        <w:t>P</w:t>
      </w:r>
      <w:r w:rsidR="00797C18">
        <w:rPr>
          <w:sz w:val="24"/>
          <w:szCs w:val="24"/>
          <w:lang w:val="en-US"/>
        </w:rPr>
        <w:t xml:space="preserve">ositive </w:t>
      </w:r>
      <w:r w:rsidR="00797C18">
        <w:rPr>
          <w:sz w:val="24"/>
          <w:szCs w:val="24"/>
          <w:lang w:val="en-US"/>
        </w:rPr>
        <w:lastRenderedPageBreak/>
        <w:t xml:space="preserve">values on the </w:t>
      </w:r>
      <w:r w:rsidR="00F5188B">
        <w:rPr>
          <w:sz w:val="24"/>
          <w:szCs w:val="24"/>
          <w:lang w:val="en-US"/>
        </w:rPr>
        <w:t xml:space="preserve">second </w:t>
      </w:r>
      <w:r w:rsidR="00937FFE">
        <w:rPr>
          <w:sz w:val="24"/>
          <w:szCs w:val="24"/>
          <w:lang w:val="en-US"/>
        </w:rPr>
        <w:t>axis</w:t>
      </w:r>
      <w:r w:rsidR="00F5188B">
        <w:rPr>
          <w:sz w:val="24"/>
          <w:szCs w:val="24"/>
          <w:lang w:val="en-US"/>
        </w:rPr>
        <w:t xml:space="preserve"> </w:t>
      </w:r>
      <w:r w:rsidR="007A23CA">
        <w:rPr>
          <w:sz w:val="24"/>
          <w:szCs w:val="24"/>
          <w:lang w:val="en-US"/>
        </w:rPr>
        <w:t xml:space="preserve">reflect greater </w:t>
      </w:r>
      <w:r w:rsidR="00E12A4F">
        <w:rPr>
          <w:sz w:val="24"/>
          <w:szCs w:val="24"/>
          <w:lang w:val="en-US"/>
        </w:rPr>
        <w:t>inequality at the extremes</w:t>
      </w:r>
      <w:r w:rsidR="00A24BDD">
        <w:rPr>
          <w:sz w:val="24"/>
          <w:szCs w:val="24"/>
          <w:lang w:val="en-US"/>
        </w:rPr>
        <w:t xml:space="preserve">. </w:t>
      </w:r>
      <w:r w:rsidR="009531FC">
        <w:rPr>
          <w:sz w:val="24"/>
          <w:szCs w:val="24"/>
          <w:lang w:val="en-US"/>
        </w:rPr>
        <w:t>H</w:t>
      </w:r>
      <w:r w:rsidR="00A24BDD">
        <w:rPr>
          <w:sz w:val="24"/>
          <w:szCs w:val="24"/>
          <w:lang w:val="en-US"/>
        </w:rPr>
        <w:t xml:space="preserve">ere, the generalized entropy index with </w:t>
      </w:r>
      <w:r w:rsidR="00014A0C">
        <w:rPr>
          <w:sz w:val="24"/>
          <w:szCs w:val="24"/>
          <w:lang w:val="en-US"/>
        </w:rPr>
        <w:t>parameter</w:t>
      </w:r>
      <w:r w:rsidR="00A24BDD">
        <w:rPr>
          <w:sz w:val="24"/>
          <w:szCs w:val="24"/>
          <w:lang w:val="en-US"/>
        </w:rPr>
        <w:t xml:space="preserve"> 2</w:t>
      </w:r>
      <w:r w:rsidR="00E67404" w:rsidRPr="00E67404">
        <w:rPr>
          <w:sz w:val="24"/>
          <w:szCs w:val="24"/>
          <w:lang w:val="en-US"/>
        </w:rPr>
        <w:t xml:space="preserve"> </w:t>
      </w:r>
      <w:r w:rsidR="007A23CA">
        <w:rPr>
          <w:sz w:val="24"/>
          <w:szCs w:val="24"/>
          <w:lang w:val="en-US"/>
        </w:rPr>
        <w:t xml:space="preserve">is more </w:t>
      </w:r>
      <w:r w:rsidR="00E67404" w:rsidRPr="00E67404">
        <w:rPr>
          <w:sz w:val="24"/>
          <w:szCs w:val="24"/>
          <w:lang w:val="en-US"/>
        </w:rPr>
        <w:t>strong</w:t>
      </w:r>
      <w:r w:rsidR="007A23CA">
        <w:rPr>
          <w:sz w:val="24"/>
          <w:szCs w:val="24"/>
          <w:lang w:val="en-US"/>
        </w:rPr>
        <w:t>ly correlated</w:t>
      </w:r>
      <w:r w:rsidR="00E67404" w:rsidRPr="00E67404">
        <w:rPr>
          <w:sz w:val="24"/>
          <w:szCs w:val="24"/>
          <w:lang w:val="en-US"/>
        </w:rPr>
        <w:t xml:space="preserve"> </w:t>
      </w:r>
      <w:r w:rsidR="00E67404">
        <w:rPr>
          <w:sz w:val="24"/>
          <w:szCs w:val="24"/>
          <w:lang w:val="en-US"/>
        </w:rPr>
        <w:t xml:space="preserve">on axis 2 </w:t>
      </w:r>
      <w:r w:rsidR="00A2615E">
        <w:rPr>
          <w:sz w:val="24"/>
          <w:szCs w:val="24"/>
          <w:lang w:val="en-US"/>
        </w:rPr>
        <w:t xml:space="preserve">than </w:t>
      </w:r>
      <w:r w:rsidR="007A23CA">
        <w:rPr>
          <w:sz w:val="24"/>
          <w:szCs w:val="24"/>
          <w:lang w:val="en-US"/>
        </w:rPr>
        <w:t xml:space="preserve">are </w:t>
      </w:r>
      <w:r w:rsidR="00A2615E">
        <w:rPr>
          <w:sz w:val="24"/>
          <w:szCs w:val="24"/>
          <w:lang w:val="en-US"/>
        </w:rPr>
        <w:t>the other traditional measures</w:t>
      </w:r>
      <w:r w:rsidR="00A24BDD">
        <w:rPr>
          <w:sz w:val="24"/>
          <w:szCs w:val="24"/>
          <w:lang w:val="en-US"/>
        </w:rPr>
        <w:t xml:space="preserve">. </w:t>
      </w:r>
    </w:p>
    <w:p w:rsidR="00BC0E0D" w:rsidRPr="005B53EC" w:rsidRDefault="00800A7D" w:rsidP="005425A1">
      <w:pPr>
        <w:numPr>
          <w:ilvl w:val="0"/>
          <w:numId w:val="3"/>
        </w:numPr>
        <w:spacing w:after="120" w:line="480" w:lineRule="auto"/>
        <w:rPr>
          <w:sz w:val="24"/>
          <w:szCs w:val="24"/>
          <w:lang w:val="en-US"/>
        </w:rPr>
      </w:pPr>
      <w:r w:rsidRPr="005B53EC">
        <w:rPr>
          <w:sz w:val="24"/>
          <w:szCs w:val="24"/>
          <w:lang w:val="en-US"/>
        </w:rPr>
        <w:t>A</w:t>
      </w:r>
      <w:r w:rsidR="00937FFE" w:rsidRPr="005B53EC">
        <w:rPr>
          <w:sz w:val="24"/>
          <w:szCs w:val="24"/>
          <w:lang w:val="en-US"/>
        </w:rPr>
        <w:t>xis</w:t>
      </w:r>
      <w:r w:rsidR="00A24BDD" w:rsidRPr="005B53EC">
        <w:rPr>
          <w:sz w:val="24"/>
          <w:szCs w:val="24"/>
          <w:lang w:val="en-US"/>
        </w:rPr>
        <w:t xml:space="preserve"> 3</w:t>
      </w:r>
      <w:r w:rsidR="00E67404" w:rsidRPr="005B53EC">
        <w:rPr>
          <w:sz w:val="24"/>
          <w:szCs w:val="24"/>
          <w:lang w:val="en-US"/>
        </w:rPr>
        <w:t xml:space="preserve"> </w:t>
      </w:r>
      <w:r w:rsidR="007A23CA" w:rsidRPr="005B53EC">
        <w:rPr>
          <w:sz w:val="24"/>
          <w:szCs w:val="24"/>
          <w:lang w:val="en-US"/>
        </w:rPr>
        <w:t xml:space="preserve">shows </w:t>
      </w:r>
      <w:r w:rsidR="00EC1576" w:rsidRPr="005B53EC">
        <w:rPr>
          <w:sz w:val="24"/>
          <w:szCs w:val="24"/>
          <w:lang w:val="en-US"/>
        </w:rPr>
        <w:t xml:space="preserve">the difference between </w:t>
      </w:r>
      <w:r w:rsidR="00472786" w:rsidRPr="005B53EC">
        <w:rPr>
          <w:rFonts w:ascii="Symbol" w:hAnsi="Symbol"/>
          <w:sz w:val="24"/>
          <w:szCs w:val="24"/>
          <w:lang w:val="en-US"/>
        </w:rPr>
        <w:t></w:t>
      </w:r>
      <w:r w:rsidR="00EC1576" w:rsidRPr="005B53EC">
        <w:rPr>
          <w:sz w:val="24"/>
          <w:szCs w:val="24"/>
          <w:lang w:val="en-US"/>
        </w:rPr>
        <w:t xml:space="preserve"> and </w:t>
      </w:r>
      <w:r w:rsidR="00472786" w:rsidRPr="005B53EC">
        <w:rPr>
          <w:rFonts w:ascii="Symbol" w:hAnsi="Symbol"/>
          <w:sz w:val="24"/>
          <w:szCs w:val="24"/>
          <w:lang w:val="en-US"/>
        </w:rPr>
        <w:t></w:t>
      </w:r>
      <w:r w:rsidR="00EC1576" w:rsidRPr="005B53EC">
        <w:rPr>
          <w:sz w:val="24"/>
          <w:szCs w:val="24"/>
          <w:lang w:val="en-US"/>
        </w:rPr>
        <w:t xml:space="preserve">, along with the </w:t>
      </w:r>
      <w:r w:rsidR="007A23CA" w:rsidRPr="005B53EC">
        <w:rPr>
          <w:sz w:val="24"/>
          <w:szCs w:val="24"/>
          <w:lang w:val="en-US"/>
        </w:rPr>
        <w:t xml:space="preserve">contrast </w:t>
      </w:r>
      <w:r w:rsidR="00EC1576" w:rsidRPr="005B53EC">
        <w:rPr>
          <w:sz w:val="24"/>
          <w:szCs w:val="24"/>
          <w:lang w:val="en-US"/>
        </w:rPr>
        <w:t xml:space="preserve">between </w:t>
      </w:r>
      <w:r w:rsidR="004359AC" w:rsidRPr="005B53EC">
        <w:rPr>
          <w:sz w:val="24"/>
          <w:szCs w:val="24"/>
          <w:lang w:val="en-US"/>
        </w:rPr>
        <w:t>pp251050 and pp907550</w:t>
      </w:r>
      <w:r w:rsidR="00A24BDD" w:rsidRPr="005B53EC">
        <w:rPr>
          <w:sz w:val="24"/>
          <w:szCs w:val="24"/>
          <w:lang w:val="en-US"/>
        </w:rPr>
        <w:t xml:space="preserve">. </w:t>
      </w:r>
      <w:r w:rsidR="005425A1" w:rsidRPr="005B53EC">
        <w:rPr>
          <w:sz w:val="24"/>
          <w:szCs w:val="24"/>
          <w:lang w:val="en-US"/>
        </w:rPr>
        <w:t xml:space="preserve">On this axis, the generalized entropy index with parameter 1 </w:t>
      </w:r>
      <w:r w:rsidR="005B53EC" w:rsidRPr="005B53EC">
        <w:rPr>
          <w:sz w:val="24"/>
          <w:szCs w:val="24"/>
          <w:lang w:val="en-US"/>
        </w:rPr>
        <w:t xml:space="preserve">(gem1) </w:t>
      </w:r>
      <w:r w:rsidR="005425A1" w:rsidRPr="005B53EC">
        <w:rPr>
          <w:sz w:val="24"/>
          <w:szCs w:val="24"/>
          <w:lang w:val="en-US"/>
        </w:rPr>
        <w:t xml:space="preserve">and the Atkinson index with parameter 2 </w:t>
      </w:r>
      <w:r w:rsidR="005B53EC" w:rsidRPr="005B53EC">
        <w:rPr>
          <w:sz w:val="24"/>
          <w:szCs w:val="24"/>
          <w:lang w:val="en-US"/>
        </w:rPr>
        <w:t xml:space="preserve">(a2) </w:t>
      </w:r>
      <w:r w:rsidR="005425A1" w:rsidRPr="005B53EC">
        <w:rPr>
          <w:sz w:val="24"/>
          <w:szCs w:val="24"/>
          <w:lang w:val="en-US"/>
        </w:rPr>
        <w:t xml:space="preserve">are located on the same side </w:t>
      </w:r>
      <w:r w:rsidR="005B53EC" w:rsidRPr="005B53EC">
        <w:rPr>
          <w:sz w:val="24"/>
          <w:szCs w:val="24"/>
          <w:lang w:val="en-US"/>
        </w:rPr>
        <w:t xml:space="preserve">of axis3 as </w:t>
      </w:r>
      <w:r w:rsidR="005425A1" w:rsidRPr="005B53EC">
        <w:rPr>
          <w:rFonts w:ascii="Symbol" w:hAnsi="Symbol"/>
          <w:sz w:val="24"/>
          <w:szCs w:val="24"/>
          <w:lang w:val="en-US"/>
        </w:rPr>
        <w:t></w:t>
      </w:r>
      <w:r w:rsidR="005425A1" w:rsidRPr="005B53EC">
        <w:rPr>
          <w:sz w:val="24"/>
          <w:szCs w:val="24"/>
          <w:lang w:val="en-US"/>
        </w:rPr>
        <w:t>. All of these indicators are relatively more sensitive to inequality at the bottom. Conversely, the generalized entropy index with parameter 2</w:t>
      </w:r>
      <w:r w:rsidR="005B53EC" w:rsidRPr="005B53EC">
        <w:rPr>
          <w:sz w:val="24"/>
          <w:szCs w:val="24"/>
          <w:lang w:val="en-US"/>
        </w:rPr>
        <w:t xml:space="preserve"> (ge2)</w:t>
      </w:r>
      <w:r w:rsidR="005425A1" w:rsidRPr="005B53EC">
        <w:rPr>
          <w:sz w:val="24"/>
          <w:szCs w:val="24"/>
          <w:lang w:val="en-US"/>
        </w:rPr>
        <w:t xml:space="preserve">, located on the same side </w:t>
      </w:r>
      <w:r w:rsidR="005B53EC" w:rsidRPr="005B53EC">
        <w:rPr>
          <w:sz w:val="24"/>
          <w:szCs w:val="24"/>
          <w:lang w:val="en-US"/>
        </w:rPr>
        <w:t xml:space="preserve">of axis3 as </w:t>
      </w:r>
      <w:r w:rsidR="005425A1" w:rsidRPr="005B53EC">
        <w:rPr>
          <w:rFonts w:ascii="Symbol" w:hAnsi="Symbol"/>
          <w:sz w:val="24"/>
          <w:szCs w:val="24"/>
          <w:lang w:val="en-US"/>
        </w:rPr>
        <w:t></w:t>
      </w:r>
      <w:r w:rsidR="005425A1" w:rsidRPr="005B53EC">
        <w:rPr>
          <w:sz w:val="24"/>
          <w:szCs w:val="24"/>
          <w:lang w:val="en-US"/>
        </w:rPr>
        <w:t>, is sensitive to inequality at the top</w:t>
      </w:r>
      <w:r w:rsidR="00EC1576" w:rsidRPr="005B53EC">
        <w:rPr>
          <w:sz w:val="24"/>
          <w:szCs w:val="24"/>
          <w:lang w:val="en-US"/>
        </w:rPr>
        <w:t xml:space="preserve">. </w:t>
      </w:r>
      <w:r w:rsidR="00A2615E" w:rsidRPr="005B53EC">
        <w:rPr>
          <w:sz w:val="24"/>
          <w:szCs w:val="24"/>
          <w:lang w:val="en-US"/>
        </w:rPr>
        <w:t>The</w:t>
      </w:r>
      <w:r w:rsidRPr="005B53EC">
        <w:rPr>
          <w:sz w:val="24"/>
          <w:szCs w:val="24"/>
          <w:lang w:val="en-US"/>
        </w:rPr>
        <w:t>refore,</w:t>
      </w:r>
      <w:r w:rsidR="00A2615E" w:rsidRPr="005B53EC">
        <w:rPr>
          <w:sz w:val="24"/>
          <w:szCs w:val="24"/>
          <w:lang w:val="en-US"/>
        </w:rPr>
        <w:t xml:space="preserve"> </w:t>
      </w:r>
      <w:r w:rsidR="00472786" w:rsidRPr="005B53EC">
        <w:rPr>
          <w:rFonts w:ascii="Symbol" w:hAnsi="Symbol"/>
          <w:sz w:val="24"/>
          <w:szCs w:val="24"/>
          <w:lang w:val="en-US"/>
        </w:rPr>
        <w:t></w:t>
      </w:r>
      <w:r w:rsidR="00A2615E" w:rsidRPr="005B53EC">
        <w:rPr>
          <w:sz w:val="24"/>
          <w:szCs w:val="24"/>
          <w:lang w:val="en-US"/>
        </w:rPr>
        <w:t xml:space="preserve"> and </w:t>
      </w:r>
      <w:r w:rsidR="00472786" w:rsidRPr="005B53EC">
        <w:rPr>
          <w:rFonts w:ascii="Symbol" w:hAnsi="Symbol"/>
          <w:sz w:val="24"/>
          <w:szCs w:val="24"/>
          <w:lang w:val="en-US"/>
        </w:rPr>
        <w:t></w:t>
      </w:r>
      <w:r w:rsidR="00A2615E" w:rsidRPr="005B53EC">
        <w:rPr>
          <w:sz w:val="24"/>
          <w:szCs w:val="24"/>
          <w:lang w:val="en-US"/>
        </w:rPr>
        <w:t xml:space="preserve"> </w:t>
      </w:r>
      <w:r w:rsidR="00910033" w:rsidRPr="005B53EC">
        <w:rPr>
          <w:sz w:val="24"/>
          <w:szCs w:val="24"/>
          <w:lang w:val="en-US"/>
        </w:rPr>
        <w:t xml:space="preserve">pick up salient </w:t>
      </w:r>
      <w:r w:rsidR="00A2615E" w:rsidRPr="005B53EC">
        <w:rPr>
          <w:sz w:val="24"/>
          <w:szCs w:val="24"/>
          <w:lang w:val="en-US"/>
        </w:rPr>
        <w:t xml:space="preserve">features </w:t>
      </w:r>
      <w:r w:rsidR="00910033" w:rsidRPr="005B53EC">
        <w:rPr>
          <w:sz w:val="24"/>
          <w:szCs w:val="24"/>
          <w:lang w:val="en-US"/>
        </w:rPr>
        <w:t xml:space="preserve">of the distribution </w:t>
      </w:r>
      <w:r w:rsidR="00BC1135" w:rsidRPr="005B53EC">
        <w:rPr>
          <w:sz w:val="24"/>
          <w:szCs w:val="24"/>
          <w:lang w:val="en-US"/>
        </w:rPr>
        <w:t xml:space="preserve">that </w:t>
      </w:r>
      <w:r w:rsidR="00910033" w:rsidRPr="005B53EC">
        <w:rPr>
          <w:sz w:val="24"/>
          <w:szCs w:val="24"/>
          <w:lang w:val="en-US"/>
        </w:rPr>
        <w:t>are less-well detected by other</w:t>
      </w:r>
      <w:r w:rsidR="00A2615E" w:rsidRPr="005B53EC">
        <w:rPr>
          <w:sz w:val="24"/>
          <w:szCs w:val="24"/>
          <w:lang w:val="en-US"/>
        </w:rPr>
        <w:t xml:space="preserve"> measures.</w:t>
      </w:r>
    </w:p>
    <w:p w:rsidR="00B03642" w:rsidRDefault="00B03642" w:rsidP="00B03642">
      <w:pPr>
        <w:ind w:left="720"/>
        <w:rPr>
          <w:sz w:val="22"/>
          <w:szCs w:val="24"/>
          <w:lang w:val="en-US"/>
        </w:rPr>
      </w:pPr>
    </w:p>
    <w:p w:rsidR="00961184" w:rsidRPr="00B2141B" w:rsidRDefault="00961184" w:rsidP="00961184">
      <w:pPr>
        <w:spacing w:after="120" w:line="480" w:lineRule="auto"/>
        <w:ind w:left="360"/>
        <w:rPr>
          <w:b/>
          <w:bCs/>
          <w:sz w:val="24"/>
          <w:szCs w:val="24"/>
          <w:lang w:val="en-GB"/>
        </w:rPr>
      </w:pPr>
      <w:r w:rsidRPr="00961184">
        <w:rPr>
          <w:b/>
          <w:sz w:val="24"/>
          <w:szCs w:val="24"/>
          <w:lang w:val="en-US"/>
        </w:rPr>
        <w:t>Figure A2a1</w:t>
      </w:r>
      <w:r>
        <w:rPr>
          <w:b/>
          <w:sz w:val="24"/>
          <w:szCs w:val="24"/>
          <w:lang w:val="en-US"/>
        </w:rPr>
        <w:t xml:space="preserve">: The </w:t>
      </w:r>
      <w:proofErr w:type="spellStart"/>
      <w:r>
        <w:rPr>
          <w:b/>
          <w:sz w:val="24"/>
          <w:szCs w:val="24"/>
          <w:lang w:val="en-US"/>
        </w:rPr>
        <w:t>unrotated</w:t>
      </w:r>
      <w:proofErr w:type="spellEnd"/>
      <w:r>
        <w:rPr>
          <w:b/>
          <w:sz w:val="24"/>
          <w:szCs w:val="24"/>
          <w:lang w:val="en-US"/>
        </w:rPr>
        <w:t xml:space="preserve"> PCA components </w:t>
      </w:r>
      <w:r w:rsidRPr="004227ED">
        <w:rPr>
          <w:b/>
          <w:sz w:val="24"/>
          <w:szCs w:val="24"/>
          <w:lang w:val="en-US"/>
        </w:rPr>
        <w:t xml:space="preserve">of the </w:t>
      </w:r>
      <w:r>
        <w:rPr>
          <w:b/>
          <w:sz w:val="24"/>
          <w:szCs w:val="24"/>
          <w:lang w:val="en-US"/>
        </w:rPr>
        <w:t xml:space="preserve">30 </w:t>
      </w:r>
      <w:r w:rsidRPr="004227ED">
        <w:rPr>
          <w:b/>
          <w:sz w:val="24"/>
          <w:szCs w:val="24"/>
          <w:lang w:val="en-US"/>
        </w:rPr>
        <w:t>indicators of inequality</w:t>
      </w:r>
      <w:r>
        <w:rPr>
          <w:b/>
          <w:sz w:val="24"/>
          <w:szCs w:val="24"/>
          <w:lang w:val="en-US"/>
        </w:rPr>
        <w:t xml:space="preserve"> (PCA scores)</w:t>
      </w:r>
    </w:p>
    <w:p w:rsidR="00961184" w:rsidRDefault="00961184" w:rsidP="00961184">
      <w:pPr>
        <w:spacing w:after="120" w:line="480" w:lineRule="auto"/>
        <w:rPr>
          <w:sz w:val="24"/>
          <w:szCs w:val="24"/>
          <w:lang w:val="en-US"/>
        </w:rPr>
      </w:pPr>
      <w:r>
        <w:rPr>
          <w:noProof/>
          <w:lang w:val="en-US" w:eastAsia="en-US"/>
        </w:rPr>
        <mc:AlternateContent>
          <mc:Choice Requires="wps">
            <w:drawing>
              <wp:anchor distT="0" distB="0" distL="114300" distR="114300" simplePos="0" relativeHeight="251681792" behindDoc="0" locked="0" layoutInCell="1" allowOverlap="1" wp14:anchorId="2F39AD9C" wp14:editId="52C5FF5B">
                <wp:simplePos x="0" y="0"/>
                <wp:positionH relativeFrom="column">
                  <wp:posOffset>3783330</wp:posOffset>
                </wp:positionH>
                <wp:positionV relativeFrom="paragraph">
                  <wp:posOffset>3034665</wp:posOffset>
                </wp:positionV>
                <wp:extent cx="600075" cy="25717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0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1184" w:rsidRPr="00AA7B70" w:rsidRDefault="00961184" w:rsidP="00961184">
                            <w:pPr>
                              <w:rPr>
                                <w:lang w:val="en-US"/>
                              </w:rPr>
                            </w:pPr>
                            <w:r>
                              <w:rPr>
                                <w:lang w:val="en-US"/>
                              </w:rPr>
                              <w:t>Axis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297.9pt;margin-top:238.95pt;width:47.2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" filled="f" stroked="f" strokeweight=".5pt">
                <v:path arrowok="t"/>
                <v:textbox>
                  <w:txbxContent>
                    <w:p w:rsidR="00961184" w:rsidRPr="00AA7B70" w:rsidRDefault="00961184" w:rsidP="00961184">
                      <w:pPr>
                        <w:rPr>
                          <w:lang w:val="en-US"/>
                        </w:rPr>
                      </w:pPr>
                      <w:r>
                        <w:rPr>
                          <w:lang w:val="en-US"/>
                        </w:rPr>
                        <w:t>Axis 2</w:t>
                      </w:r>
                    </w:p>
                  </w:txbxContent>
                </v:textbox>
              </v:shape>
            </w:pict>
          </mc:Fallback>
        </mc:AlternateContent>
      </w:r>
      <w:r w:rsidRPr="00AD7454">
        <w:rPr>
          <w:noProof/>
          <w:lang w:val="en-US" w:eastAsia="en-US"/>
        </w:rPr>
        <w:drawing>
          <wp:inline distT="0" distB="0" distL="0" distR="0" wp14:anchorId="10E21D0E" wp14:editId="4D815124">
            <wp:extent cx="5111750" cy="374586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1750" cy="3745865"/>
                    </a:xfrm>
                    <a:prstGeom prst="rect">
                      <a:avLst/>
                    </a:prstGeom>
                    <a:noFill/>
                    <a:ln>
                      <a:noFill/>
                    </a:ln>
                  </pic:spPr>
                </pic:pic>
              </a:graphicData>
            </a:graphic>
          </wp:inline>
        </w:drawing>
      </w:r>
      <w:r>
        <w:rPr>
          <w:noProof/>
          <w:lang w:val="en-US" w:eastAsia="en-US"/>
        </w:rPr>
        <mc:AlternateContent>
          <mc:Choice Requires="wps">
            <w:drawing>
              <wp:anchor distT="0" distB="0" distL="114300" distR="114300" simplePos="0" relativeHeight="251682816" behindDoc="0" locked="0" layoutInCell="1" allowOverlap="1" wp14:anchorId="7512AE9D" wp14:editId="68C1A363">
                <wp:simplePos x="0" y="0"/>
                <wp:positionH relativeFrom="column">
                  <wp:posOffset>475615</wp:posOffset>
                </wp:positionH>
                <wp:positionV relativeFrom="paragraph">
                  <wp:posOffset>294640</wp:posOffset>
                </wp:positionV>
                <wp:extent cx="1181100" cy="25717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11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1184" w:rsidRPr="00AA7B70" w:rsidRDefault="00961184" w:rsidP="00961184">
                            <w:pPr>
                              <w:rPr>
                                <w:lang w:val="en-US"/>
                              </w:rPr>
                            </w:pPr>
                            <w:r>
                              <w:rPr>
                                <w:lang w:val="en-US"/>
                              </w:rPr>
                              <w:t>Axis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8" o:spid="_x0000_s1027" type="#_x0000_t202" style="position:absolute;margin-left:37.45pt;margin-top:23.2pt;width:93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" filled="f" stroked="f" strokeweight=".5pt">
                <v:path arrowok="t"/>
                <v:textbox>
                  <w:txbxContent>
                    <w:p w:rsidR="00961184" w:rsidRPr="00AA7B70" w:rsidRDefault="00961184" w:rsidP="00961184">
                      <w:pPr>
                        <w:rPr>
                          <w:lang w:val="en-US"/>
                        </w:rPr>
                      </w:pPr>
                      <w:r>
                        <w:rPr>
                          <w:lang w:val="en-US"/>
                        </w:rPr>
                        <w:t>Axis 3</w:t>
                      </w:r>
                    </w:p>
                  </w:txbxContent>
                </v:textbox>
              </v:shape>
            </w:pict>
          </mc:Fallback>
        </mc:AlternateContent>
      </w:r>
    </w:p>
    <w:p w:rsidR="00961184" w:rsidRDefault="00961184" w:rsidP="00910033">
      <w:pPr>
        <w:spacing w:after="120" w:line="480" w:lineRule="auto"/>
        <w:rPr>
          <w:b/>
          <w:sz w:val="24"/>
          <w:szCs w:val="24"/>
          <w:lang w:val="en-US"/>
        </w:rPr>
      </w:pPr>
    </w:p>
    <w:p w:rsidR="00961184" w:rsidRPr="00B2141B" w:rsidRDefault="00961184" w:rsidP="00961184">
      <w:pPr>
        <w:spacing w:after="120" w:line="480" w:lineRule="auto"/>
        <w:rPr>
          <w:b/>
          <w:bCs/>
          <w:sz w:val="24"/>
          <w:szCs w:val="24"/>
          <w:lang w:val="en-GB"/>
        </w:rPr>
      </w:pPr>
      <w:r>
        <w:rPr>
          <w:b/>
          <w:bCs/>
          <w:sz w:val="24"/>
          <w:szCs w:val="24"/>
          <w:lang w:val="en-GB"/>
        </w:rPr>
        <w:lastRenderedPageBreak/>
        <w:t xml:space="preserve">Table </w:t>
      </w:r>
      <w:r>
        <w:rPr>
          <w:b/>
          <w:sz w:val="24"/>
          <w:szCs w:val="24"/>
          <w:lang w:val="en-US"/>
        </w:rPr>
        <w:t>A2a2</w:t>
      </w:r>
      <w:r>
        <w:rPr>
          <w:b/>
          <w:bCs/>
          <w:sz w:val="24"/>
          <w:szCs w:val="24"/>
          <w:lang w:val="en-GB"/>
        </w:rPr>
        <w:t xml:space="preserve">: OLS Coefficients: Regression of the Gini, Atkinson 2 and Generalized Entropy 2 indices on the ABG Coefficients </w:t>
      </w:r>
    </w:p>
    <w:tbl>
      <w:tblPr>
        <w:tblW w:w="9207" w:type="dxa"/>
        <w:tblInd w:w="93" w:type="dxa"/>
        <w:tblLook w:val="04A0" w:firstRow="1" w:lastRow="0" w:firstColumn="1" w:lastColumn="0" w:noHBand="0" w:noVBand="1"/>
      </w:tblPr>
      <w:tblGrid>
        <w:gridCol w:w="944"/>
        <w:gridCol w:w="1362"/>
        <w:gridCol w:w="1363"/>
        <w:gridCol w:w="1449"/>
        <w:gridCol w:w="1363"/>
        <w:gridCol w:w="1363"/>
        <w:gridCol w:w="1363"/>
      </w:tblGrid>
      <w:tr w:rsidR="00961184" w:rsidRPr="00A117C2" w:rsidTr="00961184">
        <w:trPr>
          <w:trHeight w:val="315"/>
        </w:trPr>
        <w:tc>
          <w:tcPr>
            <w:tcW w:w="944" w:type="dxa"/>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sidRPr="00AB0CFB">
              <w:rPr>
                <w:rFonts w:eastAsia="MS Mincho"/>
                <w:color w:val="000000"/>
                <w:lang w:val="en-US" w:eastAsia="ja-JP"/>
              </w:rPr>
              <w:t> </w:t>
            </w:r>
          </w:p>
        </w:tc>
        <w:tc>
          <w:tcPr>
            <w:tcW w:w="1362" w:type="dxa"/>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sidRPr="00A117C2">
              <w:rPr>
                <w:rFonts w:eastAsia="MS Mincho"/>
                <w:color w:val="000000"/>
                <w:lang w:eastAsia="ja-JP"/>
              </w:rPr>
              <w:t>Coef</w:t>
            </w:r>
            <w:r>
              <w:rPr>
                <w:rFonts w:eastAsia="MS Mincho"/>
                <w:color w:val="000000"/>
                <w:lang w:eastAsia="ja-JP"/>
              </w:rPr>
              <w:t>ficient</w:t>
            </w:r>
          </w:p>
        </w:tc>
        <w:tc>
          <w:tcPr>
            <w:tcW w:w="1363" w:type="dxa"/>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Pr>
                <w:rFonts w:eastAsia="MS Mincho"/>
                <w:color w:val="000000"/>
                <w:lang w:eastAsia="ja-JP"/>
              </w:rPr>
              <w:t>S.E</w:t>
            </w:r>
            <w:r w:rsidRPr="00A117C2">
              <w:rPr>
                <w:rFonts w:eastAsia="MS Mincho"/>
                <w:color w:val="000000"/>
                <w:lang w:eastAsia="ja-JP"/>
              </w:rPr>
              <w:t>.</w:t>
            </w:r>
          </w:p>
        </w:tc>
        <w:tc>
          <w:tcPr>
            <w:tcW w:w="1449" w:type="dxa"/>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sidRPr="00A117C2">
              <w:rPr>
                <w:rFonts w:eastAsia="MS Mincho"/>
                <w:color w:val="000000"/>
                <w:lang w:eastAsia="ja-JP"/>
              </w:rPr>
              <w:t>T</w:t>
            </w:r>
          </w:p>
        </w:tc>
        <w:tc>
          <w:tcPr>
            <w:tcW w:w="1363" w:type="dxa"/>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sidRPr="00A117C2">
              <w:rPr>
                <w:rFonts w:eastAsia="MS Mincho"/>
                <w:color w:val="000000"/>
                <w:lang w:eastAsia="ja-JP"/>
              </w:rPr>
              <w:t>P &gt; t</w:t>
            </w:r>
          </w:p>
        </w:tc>
        <w:tc>
          <w:tcPr>
            <w:tcW w:w="1363" w:type="dxa"/>
            <w:tcBorders>
              <w:top w:val="single" w:sz="8" w:space="0" w:color="auto"/>
              <w:left w:val="nil"/>
              <w:bottom w:val="single" w:sz="8" w:space="0" w:color="auto"/>
              <w:right w:val="nil"/>
            </w:tcBorders>
            <w:shd w:val="clear" w:color="auto" w:fill="auto"/>
            <w:noWrap/>
            <w:vAlign w:val="bottom"/>
            <w:hideMark/>
          </w:tcPr>
          <w:p w:rsidR="00961184" w:rsidRPr="00A117C2" w:rsidRDefault="00961184" w:rsidP="00961184">
            <w:pPr>
              <w:jc w:val="center"/>
              <w:rPr>
                <w:color w:val="000000"/>
                <w:lang w:val="en-US" w:eastAsia="en-US"/>
              </w:rPr>
            </w:pPr>
            <w:r w:rsidRPr="00AA7A76">
              <w:rPr>
                <w:color w:val="000000"/>
                <w:sz w:val="22"/>
                <w:szCs w:val="22"/>
                <w:lang w:val="en-US" w:eastAsia="en-US"/>
              </w:rPr>
              <w:t>95% C.I. min</w:t>
            </w:r>
          </w:p>
        </w:tc>
        <w:tc>
          <w:tcPr>
            <w:tcW w:w="1363" w:type="dxa"/>
            <w:tcBorders>
              <w:top w:val="single" w:sz="8" w:space="0" w:color="auto"/>
              <w:left w:val="nil"/>
              <w:bottom w:val="single" w:sz="8" w:space="0" w:color="auto"/>
              <w:right w:val="nil"/>
            </w:tcBorders>
            <w:shd w:val="clear" w:color="auto" w:fill="auto"/>
            <w:noWrap/>
            <w:vAlign w:val="bottom"/>
            <w:hideMark/>
          </w:tcPr>
          <w:p w:rsidR="00961184" w:rsidRPr="00A117C2" w:rsidRDefault="00961184" w:rsidP="00961184">
            <w:pPr>
              <w:jc w:val="center"/>
              <w:rPr>
                <w:color w:val="000000"/>
                <w:lang w:val="en-US" w:eastAsia="en-US"/>
              </w:rPr>
            </w:pPr>
            <w:r w:rsidRPr="00AA7A76">
              <w:rPr>
                <w:color w:val="000000"/>
                <w:sz w:val="22"/>
                <w:szCs w:val="22"/>
                <w:lang w:val="en-US" w:eastAsia="en-US"/>
              </w:rPr>
              <w:t>95% C.I. max</w:t>
            </w:r>
          </w:p>
        </w:tc>
      </w:tr>
      <w:tr w:rsidR="00961184" w:rsidRPr="00A117C2" w:rsidTr="00961184">
        <w:trPr>
          <w:trHeight w:val="330"/>
        </w:trPr>
        <w:tc>
          <w:tcPr>
            <w:tcW w:w="9207" w:type="dxa"/>
            <w:gridSpan w:val="7"/>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sidRPr="00A117C2">
              <w:rPr>
                <w:rFonts w:eastAsia="MS Mincho"/>
                <w:color w:val="000000"/>
                <w:lang w:eastAsia="ja-JP"/>
              </w:rPr>
              <w:t xml:space="preserve">Gini index </w:t>
            </w:r>
            <w:r>
              <w:rPr>
                <w:rFonts w:eastAsia="MS Mincho"/>
                <w:color w:val="000000"/>
                <w:lang w:eastAsia="ja-JP"/>
              </w:rPr>
              <w:t>r</w:t>
            </w:r>
            <w:r w:rsidRPr="00A117C2">
              <w:rPr>
                <w:rFonts w:eastAsia="MS Mincho"/>
                <w:color w:val="000000"/>
                <w:vertAlign w:val="superscript"/>
                <w:lang w:eastAsia="ja-JP"/>
              </w:rPr>
              <w:t>2</w:t>
            </w:r>
            <w:r w:rsidRPr="00A117C2">
              <w:rPr>
                <w:rFonts w:eastAsia="MS Mincho"/>
                <w:color w:val="000000"/>
                <w:lang w:eastAsia="ja-JP"/>
              </w:rPr>
              <w:t xml:space="preserve"> = </w:t>
            </w:r>
            <w:r w:rsidRPr="00D86998">
              <w:rPr>
                <w:rFonts w:eastAsia="MS Mincho"/>
                <w:color w:val="000000"/>
                <w:lang w:eastAsia="ja-JP"/>
              </w:rPr>
              <w:t>0.9849</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0.8978</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0.0076</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117.9</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0.8828</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0.9128</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0.4839</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0.0160</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30.2</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0.4523</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0.5154</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0.1192</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0.0141</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8.4</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0.0913</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0.1471</w:t>
            </w:r>
          </w:p>
        </w:tc>
      </w:tr>
      <w:tr w:rsidR="00961184" w:rsidRPr="00A117C2" w:rsidTr="00961184">
        <w:trPr>
          <w:trHeight w:val="315"/>
        </w:trPr>
        <w:tc>
          <w:tcPr>
            <w:tcW w:w="944" w:type="dxa"/>
            <w:tcBorders>
              <w:top w:val="nil"/>
              <w:left w:val="nil"/>
              <w:bottom w:val="single" w:sz="8" w:space="0" w:color="auto"/>
              <w:right w:val="nil"/>
            </w:tcBorders>
            <w:shd w:val="clear" w:color="auto" w:fill="auto"/>
            <w:noWrap/>
            <w:vAlign w:val="center"/>
            <w:hideMark/>
          </w:tcPr>
          <w:p w:rsidR="00961184" w:rsidRPr="00A117C2" w:rsidRDefault="00961184" w:rsidP="00961184">
            <w:pPr>
              <w:rPr>
                <w:color w:val="000000"/>
                <w:lang w:val="en-US" w:eastAsia="en-US"/>
              </w:rPr>
            </w:pPr>
            <w:r w:rsidRPr="00A117C2">
              <w:rPr>
                <w:color w:val="000000"/>
                <w:lang w:val="en-US" w:eastAsia="en-US"/>
              </w:rPr>
              <w:t>Cons</w:t>
            </w:r>
            <w:r>
              <w:rPr>
                <w:color w:val="000000"/>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0.0277</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0.0024</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11.3</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0.0228</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0.0325</w:t>
            </w:r>
          </w:p>
        </w:tc>
      </w:tr>
      <w:tr w:rsidR="00961184" w:rsidRPr="00A117C2" w:rsidTr="00961184">
        <w:trPr>
          <w:trHeight w:val="330"/>
        </w:trPr>
        <w:tc>
          <w:tcPr>
            <w:tcW w:w="9207" w:type="dxa"/>
            <w:gridSpan w:val="7"/>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r w:rsidRPr="00A117C2">
              <w:rPr>
                <w:rFonts w:eastAsia="MS Mincho"/>
                <w:color w:val="000000"/>
                <w:lang w:eastAsia="ja-JP"/>
              </w:rPr>
              <w:t xml:space="preserve">Atkinson 2 </w:t>
            </w:r>
            <w:r>
              <w:rPr>
                <w:rFonts w:eastAsia="MS Mincho"/>
                <w:color w:val="000000"/>
                <w:lang w:eastAsia="ja-JP"/>
              </w:rPr>
              <w:t>r</w:t>
            </w:r>
            <w:r w:rsidRPr="00A117C2">
              <w:rPr>
                <w:rFonts w:eastAsia="MS Mincho"/>
                <w:color w:val="000000"/>
                <w:vertAlign w:val="superscript"/>
                <w:lang w:eastAsia="ja-JP"/>
              </w:rPr>
              <w:t>2</w:t>
            </w:r>
            <w:r w:rsidRPr="00A117C2">
              <w:rPr>
                <w:rFonts w:eastAsia="MS Mincho"/>
                <w:color w:val="000000"/>
                <w:lang w:eastAsia="ja-JP"/>
              </w:rPr>
              <w:t xml:space="preserve"> = </w:t>
            </w:r>
            <w:r w:rsidRPr="00D86998">
              <w:rPr>
                <w:rFonts w:eastAsia="MS Mincho"/>
                <w:color w:val="000000"/>
                <w:lang w:eastAsia="ja-JP"/>
              </w:rPr>
              <w:t>0.3964</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1.4425</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0.1322</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10.9</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1.1820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1.7030</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0.0293</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0.2778</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0.1</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0.9160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-0.5182</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0.5767</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1.9340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0.2457</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7.9</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1.4500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2.4181</w:t>
            </w:r>
          </w:p>
        </w:tc>
      </w:tr>
      <w:tr w:rsidR="00961184" w:rsidRPr="00A117C2" w:rsidTr="00961184">
        <w:trPr>
          <w:trHeight w:val="315"/>
        </w:trPr>
        <w:tc>
          <w:tcPr>
            <w:tcW w:w="944" w:type="dxa"/>
            <w:tcBorders>
              <w:top w:val="nil"/>
              <w:left w:val="nil"/>
              <w:bottom w:val="single" w:sz="8" w:space="0" w:color="auto"/>
              <w:right w:val="nil"/>
            </w:tcBorders>
            <w:shd w:val="clear" w:color="auto" w:fill="auto"/>
            <w:noWrap/>
            <w:vAlign w:val="center"/>
            <w:hideMark/>
          </w:tcPr>
          <w:p w:rsidR="00961184" w:rsidRPr="00A117C2" w:rsidRDefault="00961184" w:rsidP="00961184">
            <w:pPr>
              <w:rPr>
                <w:color w:val="000000"/>
                <w:lang w:val="en-US" w:eastAsia="en-US"/>
              </w:rPr>
            </w:pPr>
            <w:r w:rsidRPr="00E9025B">
              <w:rPr>
                <w:color w:val="000000"/>
                <w:lang w:val="en-US" w:eastAsia="en-US"/>
              </w:rPr>
              <w:t>Cons</w:t>
            </w:r>
            <w:r>
              <w:rPr>
                <w:color w:val="000000"/>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-0.0506</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0.0425</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-1.2</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0.2350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-0.1344</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0.0331</w:t>
            </w:r>
          </w:p>
        </w:tc>
      </w:tr>
      <w:tr w:rsidR="00961184" w:rsidRPr="00A117C2" w:rsidTr="00961184">
        <w:trPr>
          <w:trHeight w:val="330"/>
        </w:trPr>
        <w:tc>
          <w:tcPr>
            <w:tcW w:w="9207" w:type="dxa"/>
            <w:gridSpan w:val="7"/>
            <w:tcBorders>
              <w:top w:val="single" w:sz="8" w:space="0" w:color="auto"/>
              <w:left w:val="nil"/>
              <w:bottom w:val="single" w:sz="8" w:space="0" w:color="auto"/>
              <w:right w:val="nil"/>
            </w:tcBorders>
            <w:shd w:val="clear" w:color="auto" w:fill="auto"/>
            <w:noWrap/>
            <w:vAlign w:val="center"/>
            <w:hideMark/>
          </w:tcPr>
          <w:p w:rsidR="00961184" w:rsidRPr="00A117C2" w:rsidRDefault="00961184" w:rsidP="00961184">
            <w:pPr>
              <w:jc w:val="center"/>
              <w:rPr>
                <w:color w:val="000000"/>
                <w:lang w:val="en-US" w:eastAsia="en-US"/>
              </w:rPr>
            </w:pPr>
            <w:proofErr w:type="spellStart"/>
            <w:r w:rsidRPr="00A117C2">
              <w:rPr>
                <w:rFonts w:eastAsia="MS Mincho"/>
                <w:color w:val="000000"/>
                <w:lang w:eastAsia="ja-JP"/>
              </w:rPr>
              <w:t>Generalized</w:t>
            </w:r>
            <w:proofErr w:type="spellEnd"/>
            <w:r w:rsidRPr="00A117C2">
              <w:rPr>
                <w:rFonts w:eastAsia="MS Mincho"/>
                <w:color w:val="000000"/>
                <w:lang w:eastAsia="ja-JP"/>
              </w:rPr>
              <w:t xml:space="preserve"> </w:t>
            </w:r>
            <w:proofErr w:type="spellStart"/>
            <w:r w:rsidRPr="00A117C2">
              <w:rPr>
                <w:rFonts w:eastAsia="MS Mincho"/>
                <w:color w:val="000000"/>
                <w:lang w:eastAsia="ja-JP"/>
              </w:rPr>
              <w:t>entropy</w:t>
            </w:r>
            <w:proofErr w:type="spellEnd"/>
            <w:r w:rsidRPr="00A117C2">
              <w:rPr>
                <w:rFonts w:eastAsia="MS Mincho"/>
                <w:color w:val="000000"/>
                <w:lang w:eastAsia="ja-JP"/>
              </w:rPr>
              <w:t xml:space="preserve"> 2 </w:t>
            </w:r>
            <w:r>
              <w:rPr>
                <w:rFonts w:eastAsia="MS Mincho"/>
                <w:color w:val="000000"/>
                <w:lang w:eastAsia="ja-JP"/>
              </w:rPr>
              <w:t>r</w:t>
            </w:r>
            <w:r w:rsidRPr="00A117C2">
              <w:rPr>
                <w:rFonts w:eastAsia="MS Mincho"/>
                <w:color w:val="000000"/>
                <w:vertAlign w:val="superscript"/>
                <w:lang w:eastAsia="ja-JP"/>
              </w:rPr>
              <w:t>2</w:t>
            </w:r>
            <w:r w:rsidRPr="00A117C2">
              <w:rPr>
                <w:rFonts w:eastAsia="MS Mincho"/>
                <w:color w:val="000000"/>
                <w:lang w:eastAsia="ja-JP"/>
              </w:rPr>
              <w:t xml:space="preserve"> = </w:t>
            </w:r>
            <w:r w:rsidRPr="00D86998">
              <w:rPr>
                <w:rFonts w:eastAsia="MS Mincho"/>
                <w:color w:val="000000"/>
                <w:lang w:eastAsia="ja-JP"/>
              </w:rPr>
              <w:t>0.4131</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3.0979</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0.2582</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12.0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2.5891</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3.6067</w:t>
            </w:r>
          </w:p>
        </w:tc>
      </w:tr>
      <w:tr w:rsidR="00961184" w:rsidRPr="00A117C2" w:rsidTr="00961184">
        <w:trPr>
          <w:trHeight w:val="315"/>
        </w:trPr>
        <w:tc>
          <w:tcPr>
            <w:tcW w:w="944" w:type="dxa"/>
            <w:tcBorders>
              <w:top w:val="nil"/>
              <w:left w:val="nil"/>
              <w:bottom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3.8710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0.5426</w:t>
            </w:r>
          </w:p>
        </w:tc>
        <w:tc>
          <w:tcPr>
            <w:tcW w:w="1449"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7.1</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2.8018</w:t>
            </w:r>
          </w:p>
        </w:tc>
        <w:tc>
          <w:tcPr>
            <w:tcW w:w="1363" w:type="dxa"/>
            <w:tcBorders>
              <w:top w:val="nil"/>
              <w:left w:val="nil"/>
              <w:bottom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4.9403</w:t>
            </w:r>
          </w:p>
        </w:tc>
      </w:tr>
      <w:tr w:rsidR="00961184" w:rsidRPr="00A117C2" w:rsidTr="00961184">
        <w:trPr>
          <w:trHeight w:val="315"/>
        </w:trPr>
        <w:tc>
          <w:tcPr>
            <w:tcW w:w="944" w:type="dxa"/>
            <w:tcBorders>
              <w:top w:val="nil"/>
              <w:left w:val="nil"/>
              <w:right w:val="nil"/>
            </w:tcBorders>
            <w:shd w:val="clear" w:color="auto" w:fill="auto"/>
            <w:noWrap/>
            <w:vAlign w:val="bottom"/>
            <w:hideMark/>
          </w:tcPr>
          <w:p w:rsidR="00961184" w:rsidRPr="00A117C2" w:rsidRDefault="00961184" w:rsidP="00961184">
            <w:pPr>
              <w:rPr>
                <w:color w:val="000000"/>
                <w:lang w:val="en-US" w:eastAsia="en-US"/>
              </w:rPr>
            </w:pPr>
            <w:r>
              <w:rPr>
                <w:rFonts w:ascii="Symbol" w:hAnsi="Symbol"/>
                <w:color w:val="000000"/>
                <w:sz w:val="22"/>
                <w:szCs w:val="22"/>
                <w:lang w:val="en-US" w:eastAsia="en-US"/>
              </w:rPr>
              <w:t></w:t>
            </w:r>
          </w:p>
        </w:tc>
        <w:tc>
          <w:tcPr>
            <w:tcW w:w="1362" w:type="dxa"/>
            <w:tcBorders>
              <w:top w:val="nil"/>
              <w:left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-0.0388</w:t>
            </w:r>
          </w:p>
        </w:tc>
        <w:tc>
          <w:tcPr>
            <w:tcW w:w="1363" w:type="dxa"/>
            <w:tcBorders>
              <w:top w:val="nil"/>
              <w:left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0.4798</w:t>
            </w:r>
          </w:p>
        </w:tc>
        <w:tc>
          <w:tcPr>
            <w:tcW w:w="1449" w:type="dxa"/>
            <w:tcBorders>
              <w:top w:val="nil"/>
              <w:left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-0.1</w:t>
            </w:r>
          </w:p>
        </w:tc>
        <w:tc>
          <w:tcPr>
            <w:tcW w:w="1363" w:type="dxa"/>
            <w:tcBorders>
              <w:top w:val="nil"/>
              <w:left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0.9360</w:t>
            </w:r>
          </w:p>
        </w:tc>
        <w:tc>
          <w:tcPr>
            <w:tcW w:w="1363" w:type="dxa"/>
            <w:tcBorders>
              <w:top w:val="nil"/>
              <w:left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-0.9842</w:t>
            </w:r>
          </w:p>
        </w:tc>
        <w:tc>
          <w:tcPr>
            <w:tcW w:w="1363" w:type="dxa"/>
            <w:tcBorders>
              <w:top w:val="nil"/>
              <w:left w:val="nil"/>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0.9067</w:t>
            </w:r>
          </w:p>
        </w:tc>
      </w:tr>
      <w:tr w:rsidR="00961184" w:rsidRPr="00A117C2" w:rsidTr="00961184">
        <w:trPr>
          <w:trHeight w:val="315"/>
        </w:trPr>
        <w:tc>
          <w:tcPr>
            <w:tcW w:w="944" w:type="dxa"/>
            <w:tcBorders>
              <w:top w:val="nil"/>
              <w:left w:val="nil"/>
              <w:bottom w:val="single" w:sz="4" w:space="0" w:color="auto"/>
              <w:right w:val="nil"/>
            </w:tcBorders>
            <w:shd w:val="clear" w:color="auto" w:fill="auto"/>
            <w:noWrap/>
            <w:vAlign w:val="center"/>
            <w:hideMark/>
          </w:tcPr>
          <w:p w:rsidR="00961184" w:rsidRPr="00A117C2" w:rsidRDefault="00961184" w:rsidP="00961184">
            <w:pPr>
              <w:rPr>
                <w:color w:val="000000"/>
                <w:lang w:val="en-US" w:eastAsia="en-US"/>
              </w:rPr>
            </w:pPr>
            <w:r w:rsidRPr="00E9025B">
              <w:rPr>
                <w:color w:val="000000"/>
                <w:lang w:val="en-US" w:eastAsia="en-US"/>
              </w:rPr>
              <w:t>Cons</w:t>
            </w:r>
            <w:r>
              <w:rPr>
                <w:color w:val="000000"/>
                <w:lang w:val="en-US" w:eastAsia="en-US"/>
              </w:rPr>
              <w:t>.</w:t>
            </w:r>
          </w:p>
        </w:tc>
        <w:tc>
          <w:tcPr>
            <w:tcW w:w="1362" w:type="dxa"/>
            <w:tcBorders>
              <w:top w:val="nil"/>
              <w:left w:val="nil"/>
              <w:bottom w:val="single" w:sz="4" w:space="0" w:color="auto"/>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-0.5315</w:t>
            </w:r>
          </w:p>
        </w:tc>
        <w:tc>
          <w:tcPr>
            <w:tcW w:w="1363" w:type="dxa"/>
            <w:tcBorders>
              <w:top w:val="nil"/>
              <w:left w:val="nil"/>
              <w:bottom w:val="single" w:sz="4" w:space="0" w:color="auto"/>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0.0830</w:t>
            </w:r>
          </w:p>
        </w:tc>
        <w:tc>
          <w:tcPr>
            <w:tcW w:w="1449" w:type="dxa"/>
            <w:tcBorders>
              <w:top w:val="nil"/>
              <w:left w:val="nil"/>
              <w:bottom w:val="single" w:sz="4" w:space="0" w:color="auto"/>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-6.4</w:t>
            </w:r>
          </w:p>
        </w:tc>
        <w:tc>
          <w:tcPr>
            <w:tcW w:w="1363" w:type="dxa"/>
            <w:tcBorders>
              <w:top w:val="nil"/>
              <w:left w:val="nil"/>
              <w:bottom w:val="single" w:sz="4" w:space="0" w:color="auto"/>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0.0000</w:t>
            </w:r>
          </w:p>
        </w:tc>
        <w:tc>
          <w:tcPr>
            <w:tcW w:w="1363" w:type="dxa"/>
            <w:tcBorders>
              <w:top w:val="nil"/>
              <w:left w:val="nil"/>
              <w:bottom w:val="single" w:sz="4" w:space="0" w:color="auto"/>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-0.6951</w:t>
            </w:r>
          </w:p>
        </w:tc>
        <w:tc>
          <w:tcPr>
            <w:tcW w:w="1363" w:type="dxa"/>
            <w:tcBorders>
              <w:top w:val="nil"/>
              <w:left w:val="nil"/>
              <w:bottom w:val="single" w:sz="4" w:space="0" w:color="auto"/>
              <w:right w:val="nil"/>
            </w:tcBorders>
            <w:shd w:val="clear" w:color="auto" w:fill="auto"/>
            <w:noWrap/>
            <w:vAlign w:val="bottom"/>
            <w:hideMark/>
          </w:tcPr>
          <w:p w:rsidR="00961184" w:rsidRPr="00D135FD" w:rsidRDefault="00961184" w:rsidP="00961184">
            <w:pPr>
              <w:jc w:val="right"/>
              <w:rPr>
                <w:color w:val="000000"/>
                <w:lang w:val="en-US" w:eastAsia="en-US"/>
              </w:rPr>
            </w:pPr>
            <w:r w:rsidRPr="005D57E5">
              <w:rPr>
                <w:color w:val="000000"/>
                <w:sz w:val="22"/>
                <w:szCs w:val="22"/>
                <w:lang w:val="en-US" w:eastAsia="en-US"/>
              </w:rPr>
              <w:t>-0.3680</w:t>
            </w:r>
          </w:p>
        </w:tc>
      </w:tr>
    </w:tbl>
    <w:p w:rsidR="00961184" w:rsidRDefault="00961184" w:rsidP="00961184">
      <w:pPr>
        <w:rPr>
          <w:lang w:val="en-US"/>
        </w:rPr>
      </w:pPr>
    </w:p>
    <w:p w:rsidR="00961184" w:rsidRDefault="00961184" w:rsidP="00961184">
      <w:pPr>
        <w:rPr>
          <w:lang w:val="en-US"/>
        </w:rPr>
      </w:pPr>
      <w:r w:rsidRPr="005D4E1F">
        <w:rPr>
          <w:lang w:val="en-US"/>
        </w:rPr>
        <w:t>Note:</w:t>
      </w:r>
      <w:r>
        <w:rPr>
          <w:lang w:val="en-US"/>
        </w:rPr>
        <w:t xml:space="preserve"> </w:t>
      </w:r>
      <w:proofErr w:type="gramStart"/>
      <w:r>
        <w:rPr>
          <w:lang w:val="en-US"/>
        </w:rPr>
        <w:t>VIF  &lt;</w:t>
      </w:r>
      <w:proofErr w:type="gramEnd"/>
      <w:r>
        <w:rPr>
          <w:lang w:val="en-US"/>
        </w:rPr>
        <w:t xml:space="preserve"> 1.28; N = 232</w:t>
      </w:r>
    </w:p>
    <w:p w:rsidR="00961184" w:rsidRDefault="00961184" w:rsidP="00961184">
      <w:pPr>
        <w:rPr>
          <w:lang w:val="en-US"/>
        </w:rPr>
      </w:pPr>
    </w:p>
    <w:p w:rsidR="00F4214B" w:rsidRPr="00F804A7" w:rsidRDefault="00F4214B" w:rsidP="00F4214B">
      <w:pPr>
        <w:rPr>
          <w:lang w:val="en-US"/>
        </w:rPr>
      </w:pPr>
    </w:p>
    <w:p w:rsidR="005320B1" w:rsidRDefault="00910033" w:rsidP="00F4214B">
      <w:pPr>
        <w:spacing w:after="120" w:line="480" w:lineRule="auto"/>
        <w:rPr>
          <w:sz w:val="24"/>
          <w:szCs w:val="24"/>
          <w:lang w:val="en-US"/>
        </w:rPr>
      </w:pPr>
      <w:r>
        <w:rPr>
          <w:sz w:val="24"/>
          <w:szCs w:val="24"/>
          <w:lang w:val="en-US"/>
        </w:rPr>
        <w:t>The</w:t>
      </w:r>
      <w:r w:rsidR="00553EE2">
        <w:rPr>
          <w:sz w:val="24"/>
          <w:szCs w:val="24"/>
          <w:lang w:val="en-US"/>
        </w:rPr>
        <w:t xml:space="preserve"> results </w:t>
      </w:r>
      <w:r>
        <w:rPr>
          <w:sz w:val="24"/>
          <w:szCs w:val="24"/>
          <w:lang w:val="en-US"/>
        </w:rPr>
        <w:t xml:space="preserve">here </w:t>
      </w:r>
      <w:r w:rsidR="00553EE2">
        <w:rPr>
          <w:sz w:val="24"/>
          <w:szCs w:val="24"/>
          <w:lang w:val="en-US"/>
        </w:rPr>
        <w:t xml:space="preserve">confirm that the </w:t>
      </w:r>
      <w:r>
        <w:rPr>
          <w:sz w:val="24"/>
          <w:szCs w:val="24"/>
          <w:lang w:val="en-US"/>
        </w:rPr>
        <w:t xml:space="preserve">estimated </w:t>
      </w:r>
      <w:r w:rsidR="00553EE2">
        <w:rPr>
          <w:sz w:val="24"/>
          <w:szCs w:val="24"/>
          <w:lang w:val="en-US"/>
        </w:rPr>
        <w:t xml:space="preserve">ABG parameters </w:t>
      </w:r>
      <w:r>
        <w:rPr>
          <w:sz w:val="24"/>
          <w:szCs w:val="24"/>
          <w:lang w:val="en-US"/>
        </w:rPr>
        <w:t xml:space="preserve">reflect central </w:t>
      </w:r>
      <w:r w:rsidR="00553EE2">
        <w:rPr>
          <w:sz w:val="24"/>
          <w:szCs w:val="24"/>
          <w:lang w:val="en-US"/>
        </w:rPr>
        <w:t>features of empirical distribution</w:t>
      </w:r>
      <w:r>
        <w:rPr>
          <w:sz w:val="24"/>
          <w:szCs w:val="24"/>
          <w:lang w:val="en-US"/>
        </w:rPr>
        <w:t>s</w:t>
      </w:r>
      <w:r w:rsidR="00553EE2">
        <w:rPr>
          <w:sz w:val="24"/>
          <w:szCs w:val="24"/>
          <w:lang w:val="en-US"/>
        </w:rPr>
        <w:t xml:space="preserve">, and help </w:t>
      </w:r>
      <w:r>
        <w:rPr>
          <w:sz w:val="24"/>
          <w:szCs w:val="24"/>
          <w:lang w:val="en-US"/>
        </w:rPr>
        <w:t xml:space="preserve">us </w:t>
      </w:r>
      <w:r w:rsidR="00553EE2">
        <w:rPr>
          <w:sz w:val="24"/>
          <w:szCs w:val="24"/>
          <w:lang w:val="en-US"/>
        </w:rPr>
        <w:t xml:space="preserve">to understand the role </w:t>
      </w:r>
      <w:r>
        <w:rPr>
          <w:sz w:val="24"/>
          <w:szCs w:val="24"/>
          <w:lang w:val="en-US"/>
        </w:rPr>
        <w:t xml:space="preserve">played by </w:t>
      </w:r>
      <w:r w:rsidR="00553EE2">
        <w:rPr>
          <w:sz w:val="24"/>
          <w:szCs w:val="24"/>
          <w:lang w:val="en-US"/>
        </w:rPr>
        <w:t xml:space="preserve">other indicators. </w:t>
      </w:r>
      <w:r w:rsidR="00961184">
        <w:rPr>
          <w:b/>
          <w:sz w:val="24"/>
          <w:szCs w:val="24"/>
          <w:lang w:val="en-US"/>
        </w:rPr>
        <w:t xml:space="preserve">TABLE A2a2 </w:t>
      </w:r>
      <w:r>
        <w:rPr>
          <w:sz w:val="24"/>
          <w:szCs w:val="24"/>
          <w:lang w:val="en-US"/>
        </w:rPr>
        <w:t xml:space="preserve">uses the </w:t>
      </w:r>
      <w:r w:rsidR="00DF2C97">
        <w:rPr>
          <w:sz w:val="24"/>
          <w:szCs w:val="24"/>
          <w:lang w:val="en-US"/>
        </w:rPr>
        <w:t xml:space="preserve">results </w:t>
      </w:r>
      <w:r>
        <w:rPr>
          <w:sz w:val="24"/>
          <w:szCs w:val="24"/>
          <w:lang w:val="en-US"/>
        </w:rPr>
        <w:t xml:space="preserve">from our </w:t>
      </w:r>
      <w:r w:rsidR="005423EC">
        <w:rPr>
          <w:sz w:val="24"/>
          <w:szCs w:val="24"/>
          <w:lang w:val="en-US"/>
        </w:rPr>
        <w:t>232</w:t>
      </w:r>
      <w:r w:rsidR="008E2932">
        <w:rPr>
          <w:sz w:val="24"/>
          <w:szCs w:val="24"/>
          <w:lang w:val="en-US"/>
        </w:rPr>
        <w:t xml:space="preserve"> sample</w:t>
      </w:r>
      <w:r w:rsidR="00DF2C97">
        <w:rPr>
          <w:sz w:val="24"/>
          <w:szCs w:val="24"/>
          <w:lang w:val="en-US"/>
        </w:rPr>
        <w:t xml:space="preserve">s </w:t>
      </w:r>
      <w:r>
        <w:rPr>
          <w:sz w:val="24"/>
          <w:szCs w:val="24"/>
          <w:lang w:val="en-US"/>
        </w:rPr>
        <w:t>to shed</w:t>
      </w:r>
      <w:r w:rsidR="00986298">
        <w:rPr>
          <w:sz w:val="24"/>
          <w:szCs w:val="24"/>
          <w:lang w:val="en-US"/>
        </w:rPr>
        <w:t xml:space="preserve"> light on</w:t>
      </w:r>
      <w:r w:rsidR="00DF2C97">
        <w:rPr>
          <w:sz w:val="24"/>
          <w:szCs w:val="24"/>
          <w:lang w:val="en-US"/>
        </w:rPr>
        <w:t xml:space="preserve"> the </w:t>
      </w:r>
      <w:r w:rsidR="00F4214B">
        <w:rPr>
          <w:sz w:val="24"/>
          <w:szCs w:val="24"/>
          <w:lang w:val="en-US"/>
        </w:rPr>
        <w:t xml:space="preserve">relation between the </w:t>
      </w:r>
      <w:r w:rsidR="00A70B2E">
        <w:rPr>
          <w:sz w:val="24"/>
          <w:szCs w:val="24"/>
          <w:lang w:val="en-US"/>
        </w:rPr>
        <w:t>Gini index</w:t>
      </w:r>
      <w:r w:rsidR="00B91B85">
        <w:rPr>
          <w:sz w:val="24"/>
          <w:szCs w:val="24"/>
          <w:lang w:val="en-US"/>
        </w:rPr>
        <w:t xml:space="preserve">, </w:t>
      </w:r>
      <w:r w:rsidR="00986298">
        <w:rPr>
          <w:sz w:val="24"/>
          <w:szCs w:val="24"/>
          <w:lang w:val="en-US"/>
        </w:rPr>
        <w:t xml:space="preserve">the </w:t>
      </w:r>
      <w:r w:rsidR="00B91B85">
        <w:rPr>
          <w:sz w:val="24"/>
          <w:szCs w:val="24"/>
          <w:lang w:val="en-US"/>
        </w:rPr>
        <w:t>Atkinson 2</w:t>
      </w:r>
      <w:r w:rsidR="00986298">
        <w:rPr>
          <w:sz w:val="24"/>
          <w:szCs w:val="24"/>
          <w:lang w:val="en-US"/>
        </w:rPr>
        <w:t xml:space="preserve"> index</w:t>
      </w:r>
      <w:r w:rsidR="00F927A5">
        <w:rPr>
          <w:sz w:val="24"/>
          <w:szCs w:val="24"/>
          <w:lang w:val="en-US"/>
        </w:rPr>
        <w:t>,</w:t>
      </w:r>
      <w:r w:rsidR="00B91B85">
        <w:rPr>
          <w:sz w:val="24"/>
          <w:szCs w:val="24"/>
          <w:lang w:val="en-US"/>
        </w:rPr>
        <w:t xml:space="preserve"> </w:t>
      </w:r>
      <w:r>
        <w:rPr>
          <w:sz w:val="24"/>
          <w:szCs w:val="24"/>
          <w:lang w:val="en-US"/>
        </w:rPr>
        <w:t xml:space="preserve">the </w:t>
      </w:r>
      <w:r w:rsidR="00F927A5">
        <w:rPr>
          <w:sz w:val="24"/>
          <w:szCs w:val="24"/>
          <w:lang w:val="en-US"/>
        </w:rPr>
        <w:t>g</w:t>
      </w:r>
      <w:r w:rsidR="00B91B85">
        <w:rPr>
          <w:sz w:val="24"/>
          <w:szCs w:val="24"/>
          <w:lang w:val="en-US"/>
        </w:rPr>
        <w:t xml:space="preserve">eneralized entropy 2 </w:t>
      </w:r>
      <w:r w:rsidR="00986298">
        <w:rPr>
          <w:sz w:val="24"/>
          <w:szCs w:val="24"/>
          <w:lang w:val="en-US"/>
        </w:rPr>
        <w:t xml:space="preserve">index </w:t>
      </w:r>
      <w:r w:rsidR="00F4214B">
        <w:rPr>
          <w:sz w:val="24"/>
          <w:szCs w:val="24"/>
          <w:lang w:val="en-US"/>
        </w:rPr>
        <w:t xml:space="preserve">and the </w:t>
      </w:r>
      <w:r w:rsidR="00626B1A">
        <w:rPr>
          <w:sz w:val="24"/>
          <w:szCs w:val="24"/>
          <w:lang w:val="en-US"/>
        </w:rPr>
        <w:t>ABG coefficients</w:t>
      </w:r>
      <w:r>
        <w:rPr>
          <w:sz w:val="24"/>
          <w:szCs w:val="24"/>
          <w:lang w:val="en-US"/>
        </w:rPr>
        <w:t>.</w:t>
      </w:r>
      <w:r w:rsidR="005320B1">
        <w:rPr>
          <w:sz w:val="24"/>
          <w:szCs w:val="24"/>
          <w:lang w:val="en-US"/>
        </w:rPr>
        <w:t xml:space="preserve"> </w:t>
      </w:r>
    </w:p>
    <w:p w:rsidR="005320B1" w:rsidRDefault="005D4C60" w:rsidP="005320B1">
      <w:pPr>
        <w:numPr>
          <w:ilvl w:val="0"/>
          <w:numId w:val="3"/>
        </w:numPr>
        <w:spacing w:after="120" w:line="480" w:lineRule="auto"/>
        <w:rPr>
          <w:sz w:val="24"/>
          <w:szCs w:val="24"/>
          <w:lang w:val="en-US"/>
        </w:rPr>
      </w:pPr>
      <w:r>
        <w:rPr>
          <w:sz w:val="24"/>
          <w:szCs w:val="24"/>
          <w:lang w:val="en-US"/>
        </w:rPr>
        <w:t xml:space="preserve">The </w:t>
      </w:r>
      <w:r w:rsidR="00A70B2E">
        <w:rPr>
          <w:sz w:val="24"/>
          <w:szCs w:val="24"/>
          <w:lang w:val="en-US"/>
        </w:rPr>
        <w:t>Gini index</w:t>
      </w:r>
      <w:r w:rsidR="00F4214B">
        <w:rPr>
          <w:sz w:val="24"/>
          <w:szCs w:val="24"/>
          <w:lang w:val="en-US"/>
        </w:rPr>
        <w:t xml:space="preserve"> is very similar to </w:t>
      </w:r>
      <w:r w:rsidR="00472786" w:rsidRPr="00472786">
        <w:rPr>
          <w:rFonts w:ascii="Symbol" w:hAnsi="Symbol"/>
          <w:sz w:val="24"/>
          <w:szCs w:val="24"/>
          <w:lang w:val="en-US"/>
        </w:rPr>
        <w:t></w:t>
      </w:r>
      <w:r w:rsidR="00F4214B">
        <w:rPr>
          <w:sz w:val="24"/>
          <w:szCs w:val="24"/>
          <w:lang w:val="en-US"/>
        </w:rPr>
        <w:t xml:space="preserve"> </w:t>
      </w:r>
      <w:r w:rsidR="005320B1">
        <w:rPr>
          <w:sz w:val="24"/>
          <w:szCs w:val="24"/>
          <w:lang w:val="en-US"/>
        </w:rPr>
        <w:t xml:space="preserve">and </w:t>
      </w:r>
      <w:r w:rsidR="00F4214B">
        <w:rPr>
          <w:sz w:val="24"/>
          <w:szCs w:val="24"/>
          <w:lang w:val="en-US"/>
        </w:rPr>
        <w:t xml:space="preserve">is </w:t>
      </w:r>
      <w:r w:rsidR="00910033">
        <w:rPr>
          <w:sz w:val="24"/>
          <w:szCs w:val="24"/>
          <w:lang w:val="en-US"/>
        </w:rPr>
        <w:t xml:space="preserve">also correlated with </w:t>
      </w:r>
      <w:r w:rsidR="00F4214B">
        <w:rPr>
          <w:sz w:val="24"/>
          <w:szCs w:val="24"/>
          <w:lang w:val="en-US"/>
        </w:rPr>
        <w:t xml:space="preserve">the values of </w:t>
      </w:r>
      <w:r w:rsidR="00472786" w:rsidRPr="00472786">
        <w:rPr>
          <w:rFonts w:ascii="Symbol" w:hAnsi="Symbol"/>
          <w:sz w:val="24"/>
          <w:szCs w:val="24"/>
          <w:lang w:val="en-US"/>
        </w:rPr>
        <w:t></w:t>
      </w:r>
      <w:r w:rsidR="00B91B85">
        <w:rPr>
          <w:sz w:val="24"/>
          <w:szCs w:val="24"/>
          <w:lang w:val="en-US"/>
        </w:rPr>
        <w:t xml:space="preserve"> </w:t>
      </w:r>
      <w:r w:rsidR="00553EE2">
        <w:rPr>
          <w:sz w:val="24"/>
          <w:szCs w:val="24"/>
          <w:lang w:val="en-US"/>
        </w:rPr>
        <w:t>(</w:t>
      </w:r>
      <w:r w:rsidR="00910033">
        <w:rPr>
          <w:sz w:val="24"/>
          <w:szCs w:val="24"/>
          <w:lang w:val="en-US"/>
        </w:rPr>
        <w:t xml:space="preserve">showing </w:t>
      </w:r>
      <w:r w:rsidR="00553EE2">
        <w:rPr>
          <w:sz w:val="24"/>
          <w:szCs w:val="24"/>
          <w:lang w:val="en-US"/>
        </w:rPr>
        <w:t>inequality at the top)</w:t>
      </w:r>
      <w:r w:rsidR="00F4214B">
        <w:rPr>
          <w:sz w:val="24"/>
          <w:szCs w:val="24"/>
          <w:lang w:val="en-US"/>
        </w:rPr>
        <w:t xml:space="preserve">, but </w:t>
      </w:r>
      <w:r w:rsidR="00910033">
        <w:rPr>
          <w:sz w:val="24"/>
          <w:szCs w:val="24"/>
          <w:lang w:val="en-US"/>
        </w:rPr>
        <w:t xml:space="preserve">has </w:t>
      </w:r>
      <w:r w:rsidR="005320B1">
        <w:rPr>
          <w:sz w:val="24"/>
          <w:szCs w:val="24"/>
          <w:lang w:val="en-US"/>
        </w:rPr>
        <w:t xml:space="preserve">almost </w:t>
      </w:r>
      <w:r w:rsidR="00910033">
        <w:rPr>
          <w:sz w:val="24"/>
          <w:szCs w:val="24"/>
          <w:lang w:val="en-US"/>
        </w:rPr>
        <w:t xml:space="preserve">no relation to </w:t>
      </w:r>
      <w:r w:rsidR="00472786" w:rsidRPr="00472786">
        <w:rPr>
          <w:rFonts w:ascii="Symbol" w:hAnsi="Symbol"/>
          <w:sz w:val="24"/>
          <w:szCs w:val="24"/>
          <w:lang w:val="en-US"/>
        </w:rPr>
        <w:t></w:t>
      </w:r>
      <w:r w:rsidR="00126B88">
        <w:rPr>
          <w:sz w:val="24"/>
          <w:szCs w:val="24"/>
          <w:lang w:val="en-US"/>
        </w:rPr>
        <w:t>.</w:t>
      </w:r>
      <w:r w:rsidR="00F4214B">
        <w:rPr>
          <w:sz w:val="24"/>
          <w:szCs w:val="24"/>
          <w:lang w:val="en-US"/>
        </w:rPr>
        <w:t xml:space="preserve"> </w:t>
      </w:r>
      <w:r w:rsidR="00F927A5">
        <w:rPr>
          <w:sz w:val="24"/>
          <w:szCs w:val="24"/>
          <w:lang w:val="en-US"/>
        </w:rPr>
        <w:t>A</w:t>
      </w:r>
      <w:r w:rsidR="00F4214B">
        <w:rPr>
          <w:sz w:val="24"/>
          <w:szCs w:val="24"/>
          <w:lang w:val="en-US"/>
        </w:rPr>
        <w:t>s a measure of inequality,</w:t>
      </w:r>
      <w:r w:rsidR="00986298">
        <w:rPr>
          <w:sz w:val="24"/>
          <w:szCs w:val="24"/>
          <w:lang w:val="en-US"/>
        </w:rPr>
        <w:t xml:space="preserve"> the</w:t>
      </w:r>
      <w:r w:rsidR="00F4214B">
        <w:rPr>
          <w:sz w:val="24"/>
          <w:szCs w:val="24"/>
          <w:lang w:val="en-US"/>
        </w:rPr>
        <w:t xml:space="preserve"> </w:t>
      </w:r>
      <w:r w:rsidR="00A70B2E">
        <w:rPr>
          <w:sz w:val="24"/>
          <w:szCs w:val="24"/>
          <w:lang w:val="en-US"/>
        </w:rPr>
        <w:t>Gini index</w:t>
      </w:r>
      <w:r w:rsidR="00F4214B">
        <w:rPr>
          <w:sz w:val="24"/>
          <w:szCs w:val="24"/>
          <w:lang w:val="en-US"/>
        </w:rPr>
        <w:t xml:space="preserve"> is </w:t>
      </w:r>
      <w:r w:rsidR="00986298">
        <w:rPr>
          <w:sz w:val="24"/>
          <w:szCs w:val="24"/>
          <w:lang w:val="en-US"/>
        </w:rPr>
        <w:t xml:space="preserve">(1) </w:t>
      </w:r>
      <w:r w:rsidR="008E2932">
        <w:rPr>
          <w:sz w:val="24"/>
          <w:szCs w:val="24"/>
          <w:lang w:val="en-US"/>
        </w:rPr>
        <w:t xml:space="preserve">sensitive to </w:t>
      </w:r>
      <w:r w:rsidR="00910033">
        <w:rPr>
          <w:sz w:val="24"/>
          <w:szCs w:val="24"/>
          <w:lang w:val="en-US"/>
        </w:rPr>
        <w:t xml:space="preserve">the </w:t>
      </w:r>
      <w:r w:rsidR="008E2932">
        <w:rPr>
          <w:sz w:val="24"/>
          <w:szCs w:val="24"/>
          <w:lang w:val="en-US"/>
        </w:rPr>
        <w:t>median (as</w:t>
      </w:r>
      <w:r w:rsidR="00910033">
        <w:rPr>
          <w:sz w:val="24"/>
          <w:szCs w:val="24"/>
          <w:lang w:val="en-US"/>
        </w:rPr>
        <w:t xml:space="preserve"> is</w:t>
      </w:r>
      <w:r w:rsidR="008E2932">
        <w:rPr>
          <w:sz w:val="24"/>
          <w:szCs w:val="24"/>
          <w:lang w:val="en-US"/>
        </w:rPr>
        <w:t xml:space="preserve"> </w:t>
      </w:r>
      <w:r w:rsidR="008E2932" w:rsidRPr="00472786">
        <w:rPr>
          <w:rFonts w:ascii="Symbol" w:hAnsi="Symbol"/>
          <w:sz w:val="24"/>
          <w:szCs w:val="24"/>
          <w:lang w:val="en-US"/>
        </w:rPr>
        <w:t></w:t>
      </w:r>
      <w:r w:rsidR="008E2932">
        <w:rPr>
          <w:sz w:val="24"/>
          <w:szCs w:val="24"/>
          <w:lang w:val="en-US"/>
        </w:rPr>
        <w:t>)</w:t>
      </w:r>
      <w:r w:rsidR="00BC1135">
        <w:rPr>
          <w:sz w:val="24"/>
          <w:szCs w:val="24"/>
          <w:lang w:val="en-US"/>
        </w:rPr>
        <w:t xml:space="preserve">, and </w:t>
      </w:r>
      <w:r w:rsidR="00986298">
        <w:rPr>
          <w:sz w:val="24"/>
          <w:szCs w:val="24"/>
          <w:lang w:val="en-US"/>
        </w:rPr>
        <w:t xml:space="preserve">(2) </w:t>
      </w:r>
      <w:r w:rsidR="00F4214B">
        <w:rPr>
          <w:sz w:val="24"/>
          <w:szCs w:val="24"/>
          <w:lang w:val="en-US"/>
        </w:rPr>
        <w:t>rich</w:t>
      </w:r>
      <w:r w:rsidR="00910033">
        <w:rPr>
          <w:sz w:val="24"/>
          <w:szCs w:val="24"/>
          <w:lang w:val="en-US"/>
        </w:rPr>
        <w:t>-</w:t>
      </w:r>
      <w:r w:rsidR="00F4214B">
        <w:rPr>
          <w:sz w:val="24"/>
          <w:szCs w:val="24"/>
          <w:lang w:val="en-US"/>
        </w:rPr>
        <w:t>oriented</w:t>
      </w:r>
      <w:r w:rsidR="008E2932">
        <w:rPr>
          <w:sz w:val="24"/>
          <w:szCs w:val="24"/>
          <w:lang w:val="en-US"/>
        </w:rPr>
        <w:t xml:space="preserve"> (like </w:t>
      </w:r>
      <w:r w:rsidR="008E2932" w:rsidRPr="00472786">
        <w:rPr>
          <w:rFonts w:ascii="Symbol" w:hAnsi="Symbol"/>
          <w:sz w:val="24"/>
          <w:szCs w:val="24"/>
          <w:lang w:val="en-US"/>
        </w:rPr>
        <w:t></w:t>
      </w:r>
      <w:r w:rsidR="008E2932">
        <w:rPr>
          <w:sz w:val="24"/>
          <w:szCs w:val="24"/>
          <w:lang w:val="en-US"/>
        </w:rPr>
        <w:t>)</w:t>
      </w:r>
      <w:r w:rsidR="00F4214B">
        <w:rPr>
          <w:sz w:val="24"/>
          <w:szCs w:val="24"/>
          <w:lang w:val="en-US"/>
        </w:rPr>
        <w:t xml:space="preserve">. </w:t>
      </w:r>
    </w:p>
    <w:p w:rsidR="005320B1" w:rsidRDefault="005320B1" w:rsidP="005320B1">
      <w:pPr>
        <w:numPr>
          <w:ilvl w:val="0"/>
          <w:numId w:val="3"/>
        </w:numPr>
        <w:spacing w:after="120" w:line="480" w:lineRule="auto"/>
        <w:rPr>
          <w:sz w:val="24"/>
          <w:szCs w:val="24"/>
          <w:lang w:val="en-US"/>
        </w:rPr>
      </w:pPr>
      <w:r>
        <w:rPr>
          <w:sz w:val="24"/>
          <w:szCs w:val="24"/>
          <w:lang w:val="en-US"/>
        </w:rPr>
        <w:t>T</w:t>
      </w:r>
      <w:r w:rsidR="005D4E1F">
        <w:rPr>
          <w:sz w:val="24"/>
          <w:szCs w:val="24"/>
          <w:lang w:val="en-US"/>
        </w:rPr>
        <w:t>he Atkinson 2 index</w:t>
      </w:r>
      <w:r w:rsidR="00626B1A">
        <w:rPr>
          <w:sz w:val="24"/>
          <w:szCs w:val="24"/>
          <w:lang w:val="en-US"/>
        </w:rPr>
        <w:t xml:space="preserve"> is </w:t>
      </w:r>
      <w:r w:rsidR="00910033">
        <w:rPr>
          <w:sz w:val="24"/>
          <w:szCs w:val="24"/>
          <w:lang w:val="en-US"/>
        </w:rPr>
        <w:t>more sensitive to lower-</w:t>
      </w:r>
      <w:r w:rsidR="005D4E1F">
        <w:rPr>
          <w:sz w:val="24"/>
          <w:szCs w:val="24"/>
          <w:lang w:val="en-US"/>
        </w:rPr>
        <w:t>tail</w:t>
      </w:r>
      <w:r w:rsidR="00626B1A">
        <w:rPr>
          <w:sz w:val="24"/>
          <w:szCs w:val="24"/>
          <w:lang w:val="en-US"/>
        </w:rPr>
        <w:t xml:space="preserve"> inequality</w:t>
      </w:r>
      <w:r w:rsidR="00B91B85">
        <w:rPr>
          <w:sz w:val="24"/>
          <w:szCs w:val="24"/>
          <w:lang w:val="en-US"/>
        </w:rPr>
        <w:t xml:space="preserve">. </w:t>
      </w:r>
      <w:r w:rsidR="00910033">
        <w:rPr>
          <w:sz w:val="24"/>
          <w:szCs w:val="24"/>
          <w:lang w:val="en-US"/>
        </w:rPr>
        <w:t xml:space="preserve">In the </w:t>
      </w:r>
      <w:r w:rsidR="001D478F">
        <w:rPr>
          <w:sz w:val="24"/>
          <w:szCs w:val="24"/>
          <w:lang w:val="en-US"/>
        </w:rPr>
        <w:t xml:space="preserve">Atkinson 2 </w:t>
      </w:r>
      <w:r w:rsidR="00910033">
        <w:rPr>
          <w:sz w:val="24"/>
          <w:szCs w:val="24"/>
          <w:lang w:val="en-US"/>
        </w:rPr>
        <w:t>regressions</w:t>
      </w:r>
      <w:r w:rsidR="003D7AAA">
        <w:rPr>
          <w:sz w:val="24"/>
          <w:szCs w:val="24"/>
          <w:lang w:val="en-US"/>
        </w:rPr>
        <w:t xml:space="preserve"> </w:t>
      </w:r>
      <w:r w:rsidR="00472786" w:rsidRPr="00472786">
        <w:rPr>
          <w:rFonts w:ascii="Symbol" w:hAnsi="Symbol"/>
          <w:sz w:val="24"/>
          <w:szCs w:val="24"/>
          <w:lang w:val="en-US"/>
        </w:rPr>
        <w:t></w:t>
      </w:r>
      <w:r w:rsidR="003D7AAA">
        <w:rPr>
          <w:sz w:val="24"/>
          <w:szCs w:val="24"/>
          <w:lang w:val="en-US"/>
        </w:rPr>
        <w:t xml:space="preserve"> and </w:t>
      </w:r>
      <w:r w:rsidR="00472786" w:rsidRPr="00472786">
        <w:rPr>
          <w:rFonts w:ascii="Symbol" w:hAnsi="Symbol"/>
          <w:sz w:val="24"/>
          <w:szCs w:val="24"/>
          <w:lang w:val="en-US"/>
        </w:rPr>
        <w:t></w:t>
      </w:r>
      <w:r w:rsidR="00910033" w:rsidRPr="00910033">
        <w:rPr>
          <w:sz w:val="24"/>
          <w:szCs w:val="24"/>
          <w:lang w:val="en-US"/>
        </w:rPr>
        <w:t xml:space="preserve"> are </w:t>
      </w:r>
      <w:r w:rsidR="00910033">
        <w:rPr>
          <w:sz w:val="24"/>
          <w:szCs w:val="24"/>
          <w:lang w:val="en-US"/>
        </w:rPr>
        <w:t xml:space="preserve">very significant, but </w:t>
      </w:r>
      <w:r w:rsidR="00910033" w:rsidRPr="00910033">
        <w:rPr>
          <w:rFonts w:ascii="Symbol" w:hAnsi="Symbol"/>
          <w:sz w:val="24"/>
          <w:szCs w:val="24"/>
          <w:lang w:val="en-US"/>
        </w:rPr>
        <w:t></w:t>
      </w:r>
      <w:r w:rsidR="00910033">
        <w:rPr>
          <w:sz w:val="24"/>
          <w:szCs w:val="24"/>
          <w:lang w:val="en-US"/>
        </w:rPr>
        <w:t xml:space="preserve"> is not</w:t>
      </w:r>
      <w:r w:rsidR="003D7AAA">
        <w:rPr>
          <w:sz w:val="24"/>
          <w:szCs w:val="24"/>
          <w:lang w:val="en-US"/>
        </w:rPr>
        <w:t xml:space="preserve">: </w:t>
      </w:r>
      <w:r w:rsidR="00910033">
        <w:rPr>
          <w:sz w:val="24"/>
          <w:szCs w:val="24"/>
          <w:lang w:val="en-US"/>
        </w:rPr>
        <w:t xml:space="preserve">the </w:t>
      </w:r>
      <w:r w:rsidR="001D478F">
        <w:rPr>
          <w:sz w:val="24"/>
          <w:szCs w:val="24"/>
          <w:lang w:val="en-US"/>
        </w:rPr>
        <w:t xml:space="preserve">Atkinson 2 </w:t>
      </w:r>
      <w:r w:rsidR="00910033">
        <w:rPr>
          <w:sz w:val="24"/>
          <w:szCs w:val="24"/>
          <w:lang w:val="en-US"/>
        </w:rPr>
        <w:t xml:space="preserve">index </w:t>
      </w:r>
      <w:r w:rsidR="00E1511D">
        <w:rPr>
          <w:sz w:val="24"/>
          <w:szCs w:val="24"/>
          <w:lang w:val="en-US"/>
        </w:rPr>
        <w:t xml:space="preserve">is sensitive to </w:t>
      </w:r>
      <w:r w:rsidR="003B3C7B" w:rsidRPr="003B3C7B">
        <w:rPr>
          <w:sz w:val="24"/>
          <w:szCs w:val="24"/>
          <w:lang w:val="en-US"/>
        </w:rPr>
        <w:t xml:space="preserve">both </w:t>
      </w:r>
      <w:r w:rsidR="001D478F">
        <w:rPr>
          <w:sz w:val="24"/>
          <w:szCs w:val="24"/>
          <w:lang w:val="en-US"/>
        </w:rPr>
        <w:t xml:space="preserve">poverty and general inequality </w:t>
      </w:r>
      <w:r w:rsidR="00E1511D">
        <w:rPr>
          <w:sz w:val="24"/>
          <w:szCs w:val="24"/>
          <w:lang w:val="en-US"/>
        </w:rPr>
        <w:t>(</w:t>
      </w:r>
      <w:r w:rsidR="003B3C7B">
        <w:rPr>
          <w:sz w:val="24"/>
          <w:szCs w:val="24"/>
          <w:lang w:val="en-US"/>
        </w:rPr>
        <w:t xml:space="preserve">the </w:t>
      </w:r>
      <w:r w:rsidR="00A70B2E">
        <w:rPr>
          <w:sz w:val="24"/>
          <w:szCs w:val="24"/>
          <w:lang w:val="en-US"/>
        </w:rPr>
        <w:t xml:space="preserve">Gini </w:t>
      </w:r>
      <w:r w:rsidR="003B3C7B">
        <w:rPr>
          <w:sz w:val="24"/>
          <w:szCs w:val="24"/>
          <w:lang w:val="en-US"/>
        </w:rPr>
        <w:t>coefficient</w:t>
      </w:r>
      <w:r w:rsidR="00E1511D">
        <w:rPr>
          <w:sz w:val="24"/>
          <w:szCs w:val="24"/>
          <w:lang w:val="en-US"/>
        </w:rPr>
        <w:t>)</w:t>
      </w:r>
      <w:r w:rsidR="001D478F">
        <w:rPr>
          <w:sz w:val="24"/>
          <w:szCs w:val="24"/>
          <w:lang w:val="en-US"/>
        </w:rPr>
        <w:t xml:space="preserve">. </w:t>
      </w:r>
    </w:p>
    <w:p w:rsidR="00AF1FEC" w:rsidRDefault="004703A3" w:rsidP="005320B1">
      <w:pPr>
        <w:numPr>
          <w:ilvl w:val="0"/>
          <w:numId w:val="3"/>
        </w:numPr>
        <w:spacing w:after="120" w:line="480" w:lineRule="auto"/>
        <w:rPr>
          <w:sz w:val="24"/>
          <w:szCs w:val="24"/>
          <w:lang w:val="en-US"/>
        </w:rPr>
      </w:pPr>
      <w:r>
        <w:rPr>
          <w:sz w:val="24"/>
          <w:szCs w:val="24"/>
          <w:lang w:val="en-US"/>
        </w:rPr>
        <w:t>T</w:t>
      </w:r>
      <w:r w:rsidR="00AF1FEC">
        <w:rPr>
          <w:sz w:val="24"/>
          <w:szCs w:val="24"/>
          <w:lang w:val="en-US"/>
        </w:rPr>
        <w:t>he g</w:t>
      </w:r>
      <w:r w:rsidR="00AF1FEC" w:rsidRPr="00B91B85">
        <w:rPr>
          <w:sz w:val="24"/>
          <w:szCs w:val="24"/>
          <w:lang w:val="en-US"/>
        </w:rPr>
        <w:t>eneralized entropy 2</w:t>
      </w:r>
      <w:r w:rsidR="00AF1FEC">
        <w:rPr>
          <w:sz w:val="24"/>
          <w:szCs w:val="24"/>
          <w:lang w:val="en-US"/>
        </w:rPr>
        <w:t xml:space="preserve"> </w:t>
      </w:r>
      <w:r>
        <w:rPr>
          <w:sz w:val="24"/>
          <w:szCs w:val="24"/>
          <w:lang w:val="en-US"/>
        </w:rPr>
        <w:t xml:space="preserve">index is correlated with both </w:t>
      </w:r>
      <w:r w:rsidR="00472786" w:rsidRPr="00472786">
        <w:rPr>
          <w:rFonts w:ascii="Symbol" w:hAnsi="Symbol"/>
          <w:sz w:val="24"/>
          <w:szCs w:val="24"/>
          <w:lang w:val="en-US"/>
        </w:rPr>
        <w:t></w:t>
      </w:r>
      <w:r w:rsidR="00AF1FEC">
        <w:rPr>
          <w:sz w:val="24"/>
          <w:szCs w:val="24"/>
          <w:lang w:val="en-US"/>
        </w:rPr>
        <w:t xml:space="preserve"> and </w:t>
      </w:r>
      <w:r w:rsidR="00472786" w:rsidRPr="00472786">
        <w:rPr>
          <w:rFonts w:ascii="Symbol" w:hAnsi="Symbol"/>
          <w:sz w:val="24"/>
          <w:szCs w:val="24"/>
          <w:lang w:val="en-US"/>
        </w:rPr>
        <w:t></w:t>
      </w:r>
      <w:r w:rsidR="00AF1FEC">
        <w:rPr>
          <w:sz w:val="24"/>
          <w:szCs w:val="24"/>
          <w:lang w:val="en-US"/>
        </w:rPr>
        <w:t>.</w:t>
      </w:r>
    </w:p>
    <w:p w:rsidR="005320B1" w:rsidRDefault="004703A3" w:rsidP="00BE4C5A">
      <w:pPr>
        <w:spacing w:after="120" w:line="480" w:lineRule="auto"/>
        <w:rPr>
          <w:sz w:val="24"/>
          <w:szCs w:val="24"/>
          <w:lang w:val="en-US"/>
        </w:rPr>
      </w:pPr>
      <w:r>
        <w:rPr>
          <w:sz w:val="24"/>
          <w:szCs w:val="24"/>
          <w:lang w:val="en-US"/>
        </w:rPr>
        <w:lastRenderedPageBreak/>
        <w:t>T</w:t>
      </w:r>
      <w:r w:rsidR="00BE4C5A">
        <w:rPr>
          <w:sz w:val="24"/>
          <w:szCs w:val="24"/>
          <w:lang w:val="en-US"/>
        </w:rPr>
        <w:t>his analysis of correlations</w:t>
      </w:r>
      <w:r>
        <w:rPr>
          <w:sz w:val="24"/>
          <w:szCs w:val="24"/>
          <w:lang w:val="en-US"/>
        </w:rPr>
        <w:t xml:space="preserve"> then suggests that </w:t>
      </w:r>
      <w:r w:rsidR="00BE4C5A">
        <w:rPr>
          <w:sz w:val="24"/>
          <w:szCs w:val="24"/>
          <w:lang w:val="en-US"/>
        </w:rPr>
        <w:t>the triple ABG parameters can be seen as contender</w:t>
      </w:r>
      <w:r>
        <w:rPr>
          <w:sz w:val="24"/>
          <w:szCs w:val="24"/>
          <w:lang w:val="en-US"/>
        </w:rPr>
        <w:t>s</w:t>
      </w:r>
      <w:r w:rsidR="00BE4C5A">
        <w:rPr>
          <w:sz w:val="24"/>
          <w:szCs w:val="24"/>
          <w:lang w:val="en-US"/>
        </w:rPr>
        <w:t xml:space="preserve"> </w:t>
      </w:r>
      <w:r>
        <w:rPr>
          <w:sz w:val="24"/>
          <w:szCs w:val="24"/>
          <w:lang w:val="en-US"/>
        </w:rPr>
        <w:t xml:space="preserve">for </w:t>
      </w:r>
      <w:r w:rsidR="00BE4C5A">
        <w:rPr>
          <w:sz w:val="24"/>
          <w:szCs w:val="24"/>
          <w:lang w:val="en-US"/>
        </w:rPr>
        <w:t xml:space="preserve">the </w:t>
      </w:r>
      <w:r>
        <w:rPr>
          <w:sz w:val="24"/>
          <w:szCs w:val="24"/>
          <w:lang w:val="en-US"/>
        </w:rPr>
        <w:t xml:space="preserve">three </w:t>
      </w:r>
      <w:r w:rsidR="00BE4C5A">
        <w:rPr>
          <w:sz w:val="24"/>
          <w:szCs w:val="24"/>
          <w:lang w:val="en-US"/>
        </w:rPr>
        <w:t xml:space="preserve">coefficients </w:t>
      </w:r>
      <w:r>
        <w:rPr>
          <w:sz w:val="24"/>
          <w:szCs w:val="24"/>
          <w:lang w:val="en-US"/>
        </w:rPr>
        <w:t xml:space="preserve">of the </w:t>
      </w:r>
      <w:r w:rsidR="00BE4C5A">
        <w:rPr>
          <w:sz w:val="24"/>
          <w:szCs w:val="24"/>
          <w:lang w:val="en-US"/>
        </w:rPr>
        <w:t xml:space="preserve">Gini, Atkinson 2 and Generalized entropy 2 </w:t>
      </w:r>
      <w:r w:rsidRPr="004703A3">
        <w:rPr>
          <w:sz w:val="24"/>
          <w:szCs w:val="24"/>
          <w:lang w:val="en-US"/>
        </w:rPr>
        <w:t xml:space="preserve">indices </w:t>
      </w:r>
      <w:r w:rsidR="00BE4C5A">
        <w:rPr>
          <w:sz w:val="24"/>
          <w:szCs w:val="24"/>
          <w:lang w:val="en-US"/>
        </w:rPr>
        <w:t xml:space="preserve">(GA2GE2). </w:t>
      </w:r>
      <w:r>
        <w:rPr>
          <w:sz w:val="24"/>
          <w:szCs w:val="24"/>
          <w:lang w:val="en-US"/>
        </w:rPr>
        <w:t xml:space="preserve">To see </w:t>
      </w:r>
      <w:r w:rsidR="00BE4C5A">
        <w:rPr>
          <w:sz w:val="24"/>
          <w:szCs w:val="24"/>
          <w:lang w:val="en-US"/>
        </w:rPr>
        <w:t>which triple perform</w:t>
      </w:r>
      <w:r>
        <w:rPr>
          <w:sz w:val="24"/>
          <w:szCs w:val="24"/>
          <w:lang w:val="en-US"/>
        </w:rPr>
        <w:t>s</w:t>
      </w:r>
      <w:r w:rsidR="00BE4C5A">
        <w:rPr>
          <w:sz w:val="24"/>
          <w:szCs w:val="24"/>
          <w:lang w:val="en-US"/>
        </w:rPr>
        <w:t xml:space="preserve"> </w:t>
      </w:r>
      <w:r>
        <w:rPr>
          <w:sz w:val="24"/>
          <w:szCs w:val="24"/>
          <w:lang w:val="en-US"/>
        </w:rPr>
        <w:t xml:space="preserve">best, </w:t>
      </w:r>
      <w:r w:rsidR="00BE4C5A">
        <w:rPr>
          <w:sz w:val="24"/>
          <w:szCs w:val="24"/>
          <w:lang w:val="en-US"/>
        </w:rPr>
        <w:t>we consider</w:t>
      </w:r>
      <w:r w:rsidR="00895970">
        <w:rPr>
          <w:sz w:val="24"/>
          <w:szCs w:val="24"/>
          <w:lang w:val="en-US"/>
        </w:rPr>
        <w:t xml:space="preserve"> </w:t>
      </w:r>
      <w:r w:rsidR="008C19B8">
        <w:rPr>
          <w:sz w:val="24"/>
          <w:szCs w:val="24"/>
          <w:lang w:val="en-US"/>
        </w:rPr>
        <w:t>nested model</w:t>
      </w:r>
      <w:r w:rsidR="00BE4C5A">
        <w:rPr>
          <w:sz w:val="24"/>
          <w:szCs w:val="24"/>
          <w:lang w:val="en-US"/>
        </w:rPr>
        <w:t xml:space="preserve">s of the five </w:t>
      </w:r>
      <w:r>
        <w:rPr>
          <w:sz w:val="24"/>
          <w:szCs w:val="24"/>
          <w:lang w:val="en-US"/>
        </w:rPr>
        <w:t>income-</w:t>
      </w:r>
      <w:r w:rsidR="008C19B8">
        <w:rPr>
          <w:sz w:val="24"/>
          <w:szCs w:val="24"/>
          <w:lang w:val="en-US"/>
        </w:rPr>
        <w:t>class proportions (</w:t>
      </w:r>
      <w:proofErr w:type="spellStart"/>
      <w:r w:rsidR="008C19B8">
        <w:rPr>
          <w:sz w:val="24"/>
          <w:szCs w:val="24"/>
          <w:lang w:val="en-US"/>
        </w:rPr>
        <w:t>po</w:t>
      </w:r>
      <w:proofErr w:type="spellEnd"/>
      <w:r w:rsidR="008C19B8">
        <w:rPr>
          <w:sz w:val="24"/>
          <w:szCs w:val="24"/>
          <w:lang w:val="en-US"/>
        </w:rPr>
        <w:t xml:space="preserve">, mcl, mc, </w:t>
      </w:r>
      <w:proofErr w:type="spellStart"/>
      <w:r w:rsidR="008C19B8">
        <w:rPr>
          <w:sz w:val="24"/>
          <w:szCs w:val="24"/>
          <w:lang w:val="en-US"/>
        </w:rPr>
        <w:t>mcu</w:t>
      </w:r>
      <w:proofErr w:type="spellEnd"/>
      <w:r w:rsidR="008C19B8">
        <w:rPr>
          <w:sz w:val="24"/>
          <w:szCs w:val="24"/>
          <w:lang w:val="en-US"/>
        </w:rPr>
        <w:t xml:space="preserve">, </w:t>
      </w:r>
      <w:proofErr w:type="spellStart"/>
      <w:proofErr w:type="gramStart"/>
      <w:r w:rsidR="008C19B8">
        <w:rPr>
          <w:sz w:val="24"/>
          <w:szCs w:val="24"/>
          <w:lang w:val="en-US"/>
        </w:rPr>
        <w:t>ri</w:t>
      </w:r>
      <w:proofErr w:type="spellEnd"/>
      <w:proofErr w:type="gramEnd"/>
      <w:r w:rsidR="008C19B8">
        <w:rPr>
          <w:sz w:val="24"/>
          <w:szCs w:val="24"/>
          <w:lang w:val="en-US"/>
        </w:rPr>
        <w:t>)</w:t>
      </w:r>
      <w:r>
        <w:rPr>
          <w:sz w:val="24"/>
          <w:szCs w:val="24"/>
          <w:lang w:val="en-US"/>
        </w:rPr>
        <w:t>.</w:t>
      </w:r>
      <w:r w:rsidR="00BE4C5A">
        <w:rPr>
          <w:sz w:val="24"/>
          <w:szCs w:val="24"/>
          <w:lang w:val="en-US"/>
        </w:rPr>
        <w:t xml:space="preserve"> T</w:t>
      </w:r>
      <w:r>
        <w:rPr>
          <w:sz w:val="24"/>
          <w:szCs w:val="24"/>
          <w:lang w:val="en-US"/>
        </w:rPr>
        <w:t xml:space="preserve">able </w:t>
      </w:r>
      <w:r w:rsidR="00961184">
        <w:rPr>
          <w:sz w:val="24"/>
          <w:szCs w:val="24"/>
          <w:lang w:val="en-US"/>
        </w:rPr>
        <w:t>A2a3</w:t>
      </w:r>
      <w:r>
        <w:rPr>
          <w:sz w:val="24"/>
          <w:szCs w:val="24"/>
          <w:lang w:val="en-US"/>
        </w:rPr>
        <w:t xml:space="preserve"> </w:t>
      </w:r>
      <w:r w:rsidR="00BE4C5A">
        <w:rPr>
          <w:sz w:val="24"/>
          <w:szCs w:val="24"/>
          <w:lang w:val="en-US"/>
        </w:rPr>
        <w:t>compar</w:t>
      </w:r>
      <w:r>
        <w:rPr>
          <w:sz w:val="24"/>
          <w:szCs w:val="24"/>
          <w:lang w:val="en-US"/>
        </w:rPr>
        <w:t>es</w:t>
      </w:r>
      <w:r w:rsidR="00BE4C5A">
        <w:rPr>
          <w:sz w:val="24"/>
          <w:szCs w:val="24"/>
          <w:lang w:val="en-US"/>
        </w:rPr>
        <w:t xml:space="preserve"> the </w:t>
      </w:r>
      <w:r>
        <w:rPr>
          <w:sz w:val="24"/>
          <w:szCs w:val="24"/>
          <w:lang w:val="en-US"/>
        </w:rPr>
        <w:t xml:space="preserve">goodness of fit </w:t>
      </w:r>
      <w:r w:rsidR="00BE4C5A">
        <w:rPr>
          <w:sz w:val="24"/>
          <w:szCs w:val="24"/>
          <w:lang w:val="en-US"/>
        </w:rPr>
        <w:t xml:space="preserve">(in terms of </w:t>
      </w:r>
      <w:r w:rsidR="00BE4C5A" w:rsidRPr="005E5C91">
        <w:rPr>
          <w:color w:val="000000"/>
          <w:sz w:val="24"/>
          <w:szCs w:val="24"/>
          <w:lang w:val="en-US" w:eastAsia="en-US"/>
        </w:rPr>
        <w:t xml:space="preserve">delta </w:t>
      </w:r>
      <w:r w:rsidR="002A1BD0">
        <w:rPr>
          <w:color w:val="000000"/>
          <w:sz w:val="24"/>
          <w:szCs w:val="24"/>
          <w:lang w:val="en-US" w:eastAsia="en-US"/>
        </w:rPr>
        <w:t>r</w:t>
      </w:r>
      <w:r w:rsidR="002A1BD0" w:rsidRPr="005E5C91">
        <w:rPr>
          <w:color w:val="000000"/>
          <w:sz w:val="24"/>
          <w:szCs w:val="24"/>
          <w:vertAlign w:val="superscript"/>
          <w:lang w:val="en-US" w:eastAsia="en-US"/>
        </w:rPr>
        <w:t>2</w:t>
      </w:r>
      <w:r w:rsidR="00BE4C5A">
        <w:rPr>
          <w:sz w:val="24"/>
          <w:szCs w:val="24"/>
          <w:lang w:val="en-US"/>
        </w:rPr>
        <w:t xml:space="preserve">) when </w:t>
      </w:r>
      <w:r w:rsidR="008C19B8">
        <w:rPr>
          <w:sz w:val="24"/>
          <w:szCs w:val="24"/>
          <w:lang w:val="en-US"/>
        </w:rPr>
        <w:t>ABG</w:t>
      </w:r>
      <w:r w:rsidR="00700A5D">
        <w:rPr>
          <w:sz w:val="24"/>
          <w:szCs w:val="24"/>
          <w:lang w:val="en-US"/>
        </w:rPr>
        <w:t xml:space="preserve"> </w:t>
      </w:r>
      <w:r w:rsidR="00BE4C5A">
        <w:rPr>
          <w:sz w:val="24"/>
          <w:szCs w:val="24"/>
          <w:lang w:val="en-US"/>
        </w:rPr>
        <w:t xml:space="preserve">is </w:t>
      </w:r>
      <w:r w:rsidR="00700A5D">
        <w:rPr>
          <w:sz w:val="24"/>
          <w:szCs w:val="24"/>
          <w:lang w:val="en-US"/>
        </w:rPr>
        <w:t>first and</w:t>
      </w:r>
      <w:r w:rsidR="008C19B8">
        <w:rPr>
          <w:sz w:val="24"/>
          <w:szCs w:val="24"/>
          <w:lang w:val="en-US"/>
        </w:rPr>
        <w:t xml:space="preserve"> </w:t>
      </w:r>
      <w:r w:rsidR="00E1511D">
        <w:rPr>
          <w:sz w:val="24"/>
          <w:szCs w:val="24"/>
          <w:lang w:val="en-US"/>
        </w:rPr>
        <w:t>GA2GE2</w:t>
      </w:r>
      <w:r w:rsidR="00700A5D">
        <w:rPr>
          <w:sz w:val="24"/>
          <w:szCs w:val="24"/>
          <w:lang w:val="en-US"/>
        </w:rPr>
        <w:t xml:space="preserve"> secon</w:t>
      </w:r>
      <w:r w:rsidR="00700A5D" w:rsidRPr="00426749">
        <w:rPr>
          <w:sz w:val="24"/>
          <w:szCs w:val="24"/>
          <w:lang w:val="en-US"/>
        </w:rPr>
        <w:t>d</w:t>
      </w:r>
      <w:r>
        <w:rPr>
          <w:sz w:val="24"/>
          <w:szCs w:val="24"/>
          <w:lang w:val="en-US"/>
        </w:rPr>
        <w:t>,</w:t>
      </w:r>
      <w:r w:rsidR="00700A5D" w:rsidRPr="00426749">
        <w:rPr>
          <w:sz w:val="24"/>
          <w:szCs w:val="24"/>
          <w:lang w:val="en-US"/>
        </w:rPr>
        <w:t xml:space="preserve"> </w:t>
      </w:r>
      <w:r w:rsidR="00BE4C5A">
        <w:rPr>
          <w:sz w:val="24"/>
          <w:szCs w:val="24"/>
          <w:lang w:val="en-US"/>
        </w:rPr>
        <w:t xml:space="preserve">and </w:t>
      </w:r>
      <w:r>
        <w:rPr>
          <w:sz w:val="24"/>
          <w:szCs w:val="24"/>
          <w:lang w:val="en-US"/>
        </w:rPr>
        <w:t>vice versa</w:t>
      </w:r>
      <w:r w:rsidR="008B0DAB" w:rsidRPr="00426749">
        <w:rPr>
          <w:sz w:val="24"/>
          <w:szCs w:val="24"/>
          <w:lang w:val="en-US"/>
        </w:rPr>
        <w:t xml:space="preserve">. </w:t>
      </w:r>
      <w:r w:rsidR="006E595C">
        <w:rPr>
          <w:sz w:val="24"/>
          <w:szCs w:val="24"/>
          <w:lang w:val="en-US"/>
        </w:rPr>
        <w:t xml:space="preserve">This </w:t>
      </w:r>
      <w:r w:rsidR="00BE4C5A">
        <w:rPr>
          <w:sz w:val="24"/>
          <w:szCs w:val="24"/>
          <w:lang w:val="en-US"/>
        </w:rPr>
        <w:t xml:space="preserve">comparison </w:t>
      </w:r>
      <w:r>
        <w:rPr>
          <w:sz w:val="24"/>
          <w:szCs w:val="24"/>
          <w:lang w:val="en-US"/>
        </w:rPr>
        <w:t xml:space="preserve">shows </w:t>
      </w:r>
      <w:r w:rsidR="006E595C">
        <w:rPr>
          <w:sz w:val="24"/>
          <w:szCs w:val="24"/>
          <w:lang w:val="en-US"/>
        </w:rPr>
        <w:t>that t</w:t>
      </w:r>
      <w:r w:rsidR="008B0DAB">
        <w:rPr>
          <w:sz w:val="24"/>
          <w:szCs w:val="24"/>
          <w:lang w:val="en-US"/>
        </w:rPr>
        <w:t xml:space="preserve">he ABG </w:t>
      </w:r>
      <w:r>
        <w:rPr>
          <w:sz w:val="24"/>
          <w:szCs w:val="24"/>
          <w:lang w:val="en-US"/>
        </w:rPr>
        <w:t xml:space="preserve">triple </w:t>
      </w:r>
      <w:r w:rsidR="008B0DAB">
        <w:rPr>
          <w:sz w:val="24"/>
          <w:szCs w:val="24"/>
          <w:lang w:val="en-US"/>
        </w:rPr>
        <w:t xml:space="preserve">always </w:t>
      </w:r>
      <w:r>
        <w:rPr>
          <w:sz w:val="24"/>
          <w:szCs w:val="24"/>
          <w:lang w:val="en-US"/>
        </w:rPr>
        <w:t xml:space="preserve">outperforms </w:t>
      </w:r>
      <w:r w:rsidR="009D1CE9">
        <w:rPr>
          <w:sz w:val="24"/>
          <w:szCs w:val="24"/>
          <w:lang w:val="en-US"/>
        </w:rPr>
        <w:t xml:space="preserve">the </w:t>
      </w:r>
      <w:r w:rsidR="00E1511D">
        <w:rPr>
          <w:sz w:val="24"/>
          <w:szCs w:val="24"/>
          <w:lang w:val="en-US"/>
        </w:rPr>
        <w:t>GA2GE2 triple</w:t>
      </w:r>
      <w:r w:rsidR="002B7AA2">
        <w:rPr>
          <w:sz w:val="24"/>
          <w:szCs w:val="24"/>
          <w:lang w:val="en-US"/>
        </w:rPr>
        <w:t>,</w:t>
      </w:r>
      <w:r w:rsidR="00E1511D">
        <w:rPr>
          <w:sz w:val="24"/>
          <w:szCs w:val="24"/>
          <w:lang w:val="en-US"/>
        </w:rPr>
        <w:t xml:space="preserve"> </w:t>
      </w:r>
      <w:r>
        <w:rPr>
          <w:sz w:val="24"/>
          <w:szCs w:val="24"/>
          <w:lang w:val="en-US"/>
        </w:rPr>
        <w:t xml:space="preserve">with </w:t>
      </w:r>
      <w:r w:rsidR="00E1511D">
        <w:rPr>
          <w:sz w:val="24"/>
          <w:szCs w:val="24"/>
          <w:lang w:val="en-US"/>
        </w:rPr>
        <w:t xml:space="preserve">the </w:t>
      </w:r>
      <w:r>
        <w:rPr>
          <w:sz w:val="24"/>
          <w:szCs w:val="24"/>
          <w:lang w:val="en-US"/>
        </w:rPr>
        <w:t xml:space="preserve">advantage of </w:t>
      </w:r>
      <w:r w:rsidR="00E1511D">
        <w:rPr>
          <w:sz w:val="24"/>
          <w:szCs w:val="24"/>
          <w:lang w:val="en-US"/>
        </w:rPr>
        <w:t xml:space="preserve">ABG </w:t>
      </w:r>
      <w:r>
        <w:rPr>
          <w:sz w:val="24"/>
          <w:szCs w:val="24"/>
          <w:lang w:val="en-US"/>
        </w:rPr>
        <w:t xml:space="preserve">being </w:t>
      </w:r>
      <w:r w:rsidR="00E1511D">
        <w:rPr>
          <w:sz w:val="24"/>
          <w:szCs w:val="24"/>
          <w:lang w:val="en-US"/>
        </w:rPr>
        <w:t xml:space="preserve">particularly </w:t>
      </w:r>
      <w:r>
        <w:rPr>
          <w:sz w:val="24"/>
          <w:szCs w:val="24"/>
          <w:lang w:val="en-US"/>
        </w:rPr>
        <w:t xml:space="preserve">striking </w:t>
      </w:r>
      <w:r w:rsidR="00E1511D">
        <w:rPr>
          <w:sz w:val="24"/>
          <w:szCs w:val="24"/>
          <w:lang w:val="en-US"/>
        </w:rPr>
        <w:t xml:space="preserve">for the explanation of mcl and </w:t>
      </w:r>
      <w:proofErr w:type="spellStart"/>
      <w:r w:rsidR="00E1511D">
        <w:rPr>
          <w:sz w:val="24"/>
          <w:szCs w:val="24"/>
          <w:lang w:val="en-US"/>
        </w:rPr>
        <w:t>mcu</w:t>
      </w:r>
      <w:proofErr w:type="spellEnd"/>
      <w:r w:rsidR="00E1511D">
        <w:rPr>
          <w:sz w:val="24"/>
          <w:szCs w:val="24"/>
          <w:lang w:val="en-US"/>
        </w:rPr>
        <w:t>, the lower and upper middle class</w:t>
      </w:r>
      <w:r>
        <w:rPr>
          <w:sz w:val="24"/>
          <w:szCs w:val="24"/>
          <w:lang w:val="en-US"/>
        </w:rPr>
        <w:t xml:space="preserve"> </w:t>
      </w:r>
      <w:r w:rsidRPr="004703A3">
        <w:rPr>
          <w:sz w:val="24"/>
          <w:szCs w:val="24"/>
          <w:lang w:val="en-US"/>
        </w:rPr>
        <w:t>respectively</w:t>
      </w:r>
      <w:r w:rsidR="008B0DAB">
        <w:rPr>
          <w:sz w:val="24"/>
          <w:szCs w:val="24"/>
          <w:lang w:val="en-US"/>
        </w:rPr>
        <w:t xml:space="preserve">. </w:t>
      </w:r>
      <w:r>
        <w:rPr>
          <w:sz w:val="24"/>
          <w:szCs w:val="24"/>
          <w:lang w:val="en-US"/>
        </w:rPr>
        <w:t xml:space="preserve">In these </w:t>
      </w:r>
      <w:r w:rsidR="005423EC">
        <w:rPr>
          <w:sz w:val="24"/>
          <w:szCs w:val="24"/>
          <w:lang w:val="en-US"/>
        </w:rPr>
        <w:t>232</w:t>
      </w:r>
      <w:r w:rsidR="00BE4C5A">
        <w:rPr>
          <w:sz w:val="24"/>
          <w:szCs w:val="24"/>
          <w:lang w:val="en-US"/>
        </w:rPr>
        <w:t xml:space="preserve"> cases, ABG generally outperforms the GA2GE2 triple in terms of </w:t>
      </w:r>
      <w:r>
        <w:rPr>
          <w:sz w:val="24"/>
          <w:szCs w:val="24"/>
          <w:lang w:val="en-US"/>
        </w:rPr>
        <w:t xml:space="preserve">the </w:t>
      </w:r>
      <w:r w:rsidRPr="004703A3">
        <w:rPr>
          <w:sz w:val="24"/>
          <w:szCs w:val="24"/>
          <w:lang w:val="en-US"/>
        </w:rPr>
        <w:t xml:space="preserve">prediction </w:t>
      </w:r>
      <w:r>
        <w:rPr>
          <w:sz w:val="24"/>
          <w:szCs w:val="24"/>
          <w:lang w:val="en-US"/>
        </w:rPr>
        <w:t xml:space="preserve">of </w:t>
      </w:r>
      <w:r w:rsidR="00F67915">
        <w:rPr>
          <w:sz w:val="24"/>
          <w:szCs w:val="24"/>
          <w:lang w:val="en-US"/>
        </w:rPr>
        <w:t>income-</w:t>
      </w:r>
      <w:r w:rsidR="00BE4C5A">
        <w:rPr>
          <w:sz w:val="24"/>
          <w:szCs w:val="24"/>
          <w:lang w:val="en-US"/>
        </w:rPr>
        <w:t xml:space="preserve">class </w:t>
      </w:r>
      <w:r w:rsidR="00845246">
        <w:rPr>
          <w:sz w:val="24"/>
          <w:szCs w:val="24"/>
          <w:lang w:val="en-US"/>
        </w:rPr>
        <w:t>size</w:t>
      </w:r>
      <w:r w:rsidR="00BE4C5A">
        <w:rPr>
          <w:sz w:val="24"/>
          <w:szCs w:val="24"/>
          <w:lang w:val="en-US"/>
        </w:rPr>
        <w:t xml:space="preserve">.  </w:t>
      </w:r>
      <w:r w:rsidR="008C19B8">
        <w:rPr>
          <w:sz w:val="24"/>
          <w:szCs w:val="24"/>
          <w:lang w:val="en-US"/>
        </w:rPr>
        <w:t xml:space="preserve"> </w:t>
      </w:r>
    </w:p>
    <w:p w:rsidR="008C0424" w:rsidRDefault="004703A3" w:rsidP="008C0424">
      <w:pPr>
        <w:spacing w:after="120" w:line="480" w:lineRule="auto"/>
        <w:rPr>
          <w:sz w:val="24"/>
          <w:szCs w:val="24"/>
          <w:lang w:val="en-US"/>
        </w:rPr>
      </w:pPr>
      <w:r>
        <w:rPr>
          <w:sz w:val="24"/>
          <w:szCs w:val="24"/>
          <w:lang w:val="en-US"/>
        </w:rPr>
        <w:t xml:space="preserve">We can also ask whether </w:t>
      </w:r>
      <w:r w:rsidR="008C0424">
        <w:rPr>
          <w:sz w:val="24"/>
          <w:szCs w:val="24"/>
          <w:lang w:val="en-US"/>
        </w:rPr>
        <w:t xml:space="preserve">the ABG </w:t>
      </w:r>
      <w:r w:rsidR="00845246">
        <w:rPr>
          <w:sz w:val="24"/>
          <w:szCs w:val="24"/>
          <w:lang w:val="en-US"/>
        </w:rPr>
        <w:t xml:space="preserve">method </w:t>
      </w:r>
      <w:r>
        <w:rPr>
          <w:sz w:val="24"/>
          <w:szCs w:val="24"/>
          <w:lang w:val="en-US"/>
        </w:rPr>
        <w:t xml:space="preserve">provides a </w:t>
      </w:r>
      <w:r w:rsidR="00845246">
        <w:rPr>
          <w:sz w:val="24"/>
          <w:szCs w:val="24"/>
          <w:lang w:val="en-US"/>
        </w:rPr>
        <w:t>better assessment of polarizatio</w:t>
      </w:r>
      <w:r w:rsidR="00A27EE3">
        <w:rPr>
          <w:sz w:val="24"/>
          <w:szCs w:val="24"/>
          <w:lang w:val="en-US"/>
        </w:rPr>
        <w:t xml:space="preserve">n </w:t>
      </w:r>
      <w:r>
        <w:rPr>
          <w:sz w:val="24"/>
          <w:szCs w:val="24"/>
          <w:lang w:val="en-US"/>
        </w:rPr>
        <w:t xml:space="preserve">than </w:t>
      </w:r>
      <w:r w:rsidR="00E45CD2">
        <w:rPr>
          <w:sz w:val="24"/>
          <w:szCs w:val="24"/>
          <w:lang w:val="en-US"/>
        </w:rPr>
        <w:t xml:space="preserve">the </w:t>
      </w:r>
      <w:proofErr w:type="spellStart"/>
      <w:r w:rsidR="008C0424">
        <w:rPr>
          <w:sz w:val="24"/>
          <w:szCs w:val="24"/>
          <w:lang w:val="en-US"/>
        </w:rPr>
        <w:t>Wolfson</w:t>
      </w:r>
      <w:proofErr w:type="spellEnd"/>
      <w:r w:rsidR="008C0424">
        <w:rPr>
          <w:sz w:val="24"/>
          <w:szCs w:val="24"/>
          <w:lang w:val="en-US"/>
        </w:rPr>
        <w:t xml:space="preserve"> index (</w:t>
      </w:r>
      <w:proofErr w:type="spellStart"/>
      <w:r w:rsidR="008C0424">
        <w:rPr>
          <w:sz w:val="24"/>
          <w:szCs w:val="24"/>
          <w:lang w:val="en-US"/>
        </w:rPr>
        <w:t>Wolfson</w:t>
      </w:r>
      <w:proofErr w:type="spellEnd"/>
      <w:r w:rsidR="002B7AA2">
        <w:rPr>
          <w:sz w:val="24"/>
          <w:szCs w:val="24"/>
          <w:lang w:val="en-US"/>
        </w:rPr>
        <w:t>,</w:t>
      </w:r>
      <w:r w:rsidR="008C0424">
        <w:rPr>
          <w:sz w:val="24"/>
          <w:szCs w:val="24"/>
          <w:lang w:val="en-US"/>
        </w:rPr>
        <w:t xml:space="preserve"> 1986). </w:t>
      </w:r>
      <w:r w:rsidR="002B7AA2">
        <w:rPr>
          <w:sz w:val="24"/>
          <w:szCs w:val="24"/>
          <w:lang w:val="en-US"/>
        </w:rPr>
        <w:t xml:space="preserve">The </w:t>
      </w:r>
      <w:proofErr w:type="spellStart"/>
      <w:r w:rsidR="008C0424">
        <w:rPr>
          <w:sz w:val="24"/>
          <w:szCs w:val="24"/>
          <w:lang w:val="en-US"/>
        </w:rPr>
        <w:t>Wolfson</w:t>
      </w:r>
      <w:proofErr w:type="spellEnd"/>
      <w:r w:rsidR="008C0424">
        <w:rPr>
          <w:sz w:val="24"/>
          <w:szCs w:val="24"/>
          <w:lang w:val="en-US"/>
        </w:rPr>
        <w:t xml:space="preserve"> </w:t>
      </w:r>
      <w:r w:rsidR="002B7AA2">
        <w:rPr>
          <w:sz w:val="24"/>
          <w:szCs w:val="24"/>
          <w:lang w:val="en-US"/>
        </w:rPr>
        <w:t xml:space="preserve">index </w:t>
      </w:r>
      <w:r>
        <w:rPr>
          <w:sz w:val="24"/>
          <w:szCs w:val="24"/>
          <w:lang w:val="en-US"/>
        </w:rPr>
        <w:t xml:space="preserve">was </w:t>
      </w:r>
      <w:r w:rsidR="002B7AA2">
        <w:rPr>
          <w:sz w:val="24"/>
          <w:szCs w:val="24"/>
          <w:lang w:val="en-US"/>
        </w:rPr>
        <w:t xml:space="preserve">developed </w:t>
      </w:r>
      <w:r>
        <w:rPr>
          <w:sz w:val="24"/>
          <w:szCs w:val="24"/>
          <w:lang w:val="en-US"/>
        </w:rPr>
        <w:t xml:space="preserve">from </w:t>
      </w:r>
      <w:r w:rsidR="002B7AA2">
        <w:rPr>
          <w:sz w:val="24"/>
          <w:szCs w:val="24"/>
          <w:lang w:val="en-US"/>
        </w:rPr>
        <w:t xml:space="preserve">the </w:t>
      </w:r>
      <w:r w:rsidR="00A70B2E">
        <w:rPr>
          <w:sz w:val="24"/>
          <w:szCs w:val="24"/>
          <w:lang w:val="en-US"/>
        </w:rPr>
        <w:t>Gini index</w:t>
      </w:r>
      <w:r>
        <w:rPr>
          <w:sz w:val="24"/>
          <w:szCs w:val="24"/>
          <w:lang w:val="en-US"/>
        </w:rPr>
        <w:t xml:space="preserve">, </w:t>
      </w:r>
      <w:r w:rsidR="00E1511D">
        <w:rPr>
          <w:sz w:val="24"/>
          <w:szCs w:val="24"/>
          <w:lang w:val="en-US"/>
        </w:rPr>
        <w:t>improv</w:t>
      </w:r>
      <w:r>
        <w:rPr>
          <w:sz w:val="24"/>
          <w:szCs w:val="24"/>
          <w:lang w:val="en-US"/>
        </w:rPr>
        <w:t>ing</w:t>
      </w:r>
      <w:r w:rsidR="00E1511D">
        <w:rPr>
          <w:sz w:val="24"/>
          <w:szCs w:val="24"/>
          <w:lang w:val="en-US"/>
        </w:rPr>
        <w:t xml:space="preserve"> its sensitivity to median </w:t>
      </w:r>
      <w:r w:rsidR="00503B8E">
        <w:rPr>
          <w:sz w:val="24"/>
          <w:szCs w:val="24"/>
          <w:lang w:val="en-US"/>
        </w:rPr>
        <w:t>stretches</w:t>
      </w:r>
      <w:r w:rsidR="008C0424">
        <w:rPr>
          <w:sz w:val="24"/>
          <w:szCs w:val="24"/>
          <w:lang w:val="en-US"/>
        </w:rPr>
        <w:t xml:space="preserve"> when the </w:t>
      </w:r>
      <w:r w:rsidR="009D784C">
        <w:rPr>
          <w:sz w:val="24"/>
          <w:szCs w:val="24"/>
          <w:lang w:val="en-US"/>
        </w:rPr>
        <w:t>other</w:t>
      </w:r>
      <w:r w:rsidR="009C60EB">
        <w:rPr>
          <w:sz w:val="24"/>
          <w:szCs w:val="24"/>
          <w:lang w:val="en-US"/>
        </w:rPr>
        <w:t xml:space="preserve"> indice</w:t>
      </w:r>
      <w:r w:rsidR="009D784C">
        <w:rPr>
          <w:sz w:val="24"/>
          <w:szCs w:val="24"/>
          <w:lang w:val="en-US"/>
        </w:rPr>
        <w:t>s remain</w:t>
      </w:r>
      <w:r w:rsidR="008C0424">
        <w:rPr>
          <w:sz w:val="24"/>
          <w:szCs w:val="24"/>
          <w:lang w:val="en-US"/>
        </w:rPr>
        <w:t xml:space="preserve"> </w:t>
      </w:r>
      <w:r w:rsidR="009D1CE9">
        <w:rPr>
          <w:sz w:val="24"/>
          <w:szCs w:val="24"/>
          <w:lang w:val="en-US"/>
        </w:rPr>
        <w:t xml:space="preserve">almost </w:t>
      </w:r>
      <w:r w:rsidR="008C0424">
        <w:rPr>
          <w:sz w:val="24"/>
          <w:szCs w:val="24"/>
          <w:lang w:val="en-US"/>
        </w:rPr>
        <w:t xml:space="preserve">unchanged. </w:t>
      </w:r>
      <w:r>
        <w:rPr>
          <w:sz w:val="24"/>
          <w:szCs w:val="24"/>
          <w:lang w:val="en-US"/>
        </w:rPr>
        <w:t xml:space="preserve">Here, </w:t>
      </w:r>
      <w:r w:rsidR="0051255B">
        <w:rPr>
          <w:sz w:val="24"/>
          <w:szCs w:val="24"/>
          <w:lang w:val="en-US"/>
        </w:rPr>
        <w:t xml:space="preserve">the ratio </w:t>
      </w:r>
      <w:proofErr w:type="spellStart"/>
      <w:r w:rsidR="0051255B">
        <w:rPr>
          <w:sz w:val="24"/>
          <w:szCs w:val="24"/>
          <w:lang w:val="en-US"/>
        </w:rPr>
        <w:t>rpol</w:t>
      </w:r>
      <w:proofErr w:type="spellEnd"/>
      <w:r w:rsidR="0051255B">
        <w:rPr>
          <w:sz w:val="24"/>
          <w:szCs w:val="24"/>
          <w:lang w:val="en-US"/>
        </w:rPr>
        <w:t xml:space="preserve"> = (mcl</w:t>
      </w:r>
      <w:r w:rsidR="009D784C">
        <w:rPr>
          <w:sz w:val="24"/>
          <w:szCs w:val="24"/>
          <w:lang w:val="en-US"/>
        </w:rPr>
        <w:t xml:space="preserve"> </w:t>
      </w:r>
      <w:r w:rsidR="0051255B">
        <w:rPr>
          <w:sz w:val="24"/>
          <w:szCs w:val="24"/>
          <w:lang w:val="en-US"/>
        </w:rPr>
        <w:t>+</w:t>
      </w:r>
      <w:r w:rsidR="00B54C36" w:rsidRPr="00B54C36">
        <w:rPr>
          <w:sz w:val="24"/>
          <w:szCs w:val="24"/>
          <w:lang w:val="en-US"/>
        </w:rPr>
        <w:t xml:space="preserve"> </w:t>
      </w:r>
      <w:proofErr w:type="spellStart"/>
      <w:r w:rsidR="0051255B">
        <w:rPr>
          <w:sz w:val="24"/>
          <w:szCs w:val="24"/>
          <w:lang w:val="en-US"/>
        </w:rPr>
        <w:t>mcu</w:t>
      </w:r>
      <w:proofErr w:type="spellEnd"/>
      <w:r w:rsidR="0051255B">
        <w:rPr>
          <w:sz w:val="24"/>
          <w:szCs w:val="24"/>
          <w:lang w:val="en-US"/>
        </w:rPr>
        <w:t>)/mc</w:t>
      </w:r>
      <w:r w:rsidR="006E595C">
        <w:rPr>
          <w:sz w:val="24"/>
          <w:szCs w:val="24"/>
          <w:lang w:val="en-US"/>
        </w:rPr>
        <w:t>,</w:t>
      </w:r>
      <w:r w:rsidR="0051255B">
        <w:rPr>
          <w:sz w:val="24"/>
          <w:szCs w:val="24"/>
          <w:lang w:val="en-US"/>
        </w:rPr>
        <w:t xml:space="preserve"> </w:t>
      </w:r>
      <w:r w:rsidR="009D1CE9">
        <w:rPr>
          <w:sz w:val="24"/>
          <w:szCs w:val="24"/>
          <w:lang w:val="en-US"/>
        </w:rPr>
        <w:t>as defined earlier</w:t>
      </w:r>
      <w:r w:rsidR="006E595C">
        <w:rPr>
          <w:sz w:val="24"/>
          <w:szCs w:val="24"/>
          <w:lang w:val="en-US"/>
        </w:rPr>
        <w:t>,</w:t>
      </w:r>
      <w:r w:rsidR="009D1CE9">
        <w:rPr>
          <w:sz w:val="24"/>
          <w:szCs w:val="24"/>
          <w:lang w:val="en-US"/>
        </w:rPr>
        <w:t xml:space="preserve"> </w:t>
      </w:r>
      <w:r w:rsidR="0051255B">
        <w:rPr>
          <w:sz w:val="24"/>
          <w:szCs w:val="24"/>
          <w:lang w:val="en-US"/>
        </w:rPr>
        <w:t xml:space="preserve">should </w:t>
      </w:r>
      <w:r>
        <w:rPr>
          <w:sz w:val="24"/>
          <w:szCs w:val="24"/>
          <w:lang w:val="en-US"/>
        </w:rPr>
        <w:t xml:space="preserve">rise with </w:t>
      </w:r>
      <w:r w:rsidR="0051255B">
        <w:rPr>
          <w:sz w:val="24"/>
          <w:szCs w:val="24"/>
          <w:lang w:val="en-US"/>
        </w:rPr>
        <w:t xml:space="preserve">polarization. </w:t>
      </w:r>
      <w:r w:rsidR="00A14D59">
        <w:rPr>
          <w:sz w:val="24"/>
          <w:szCs w:val="24"/>
          <w:lang w:val="en-US"/>
        </w:rPr>
        <w:t xml:space="preserve">The linear correlation matrix </w:t>
      </w:r>
      <w:r>
        <w:rPr>
          <w:sz w:val="24"/>
          <w:szCs w:val="24"/>
          <w:lang w:val="en-US"/>
        </w:rPr>
        <w:t>in T</w:t>
      </w:r>
      <w:r w:rsidR="00A14D59">
        <w:rPr>
          <w:sz w:val="24"/>
          <w:szCs w:val="24"/>
          <w:lang w:val="en-US"/>
        </w:rPr>
        <w:t xml:space="preserve">able </w:t>
      </w:r>
      <w:r w:rsidR="00CD79D0">
        <w:rPr>
          <w:sz w:val="24"/>
          <w:szCs w:val="24"/>
          <w:lang w:val="en-US"/>
        </w:rPr>
        <w:t>A2a4</w:t>
      </w:r>
      <w:r w:rsidR="00A14D59">
        <w:rPr>
          <w:sz w:val="24"/>
          <w:szCs w:val="24"/>
          <w:lang w:val="en-US"/>
        </w:rPr>
        <w:t xml:space="preserve"> shows that</w:t>
      </w:r>
      <w:r>
        <w:rPr>
          <w:sz w:val="24"/>
          <w:szCs w:val="24"/>
          <w:lang w:val="en-US"/>
        </w:rPr>
        <w:t>,</w:t>
      </w:r>
      <w:r w:rsidR="00A14D59">
        <w:rPr>
          <w:sz w:val="24"/>
          <w:szCs w:val="24"/>
          <w:lang w:val="en-US"/>
        </w:rPr>
        <w:t xml:space="preserve"> </w:t>
      </w:r>
      <w:r w:rsidR="003432D6">
        <w:rPr>
          <w:sz w:val="24"/>
          <w:szCs w:val="24"/>
          <w:lang w:val="en-US"/>
        </w:rPr>
        <w:t xml:space="preserve">in terms of </w:t>
      </w:r>
      <w:r w:rsidR="002A1BD0">
        <w:rPr>
          <w:sz w:val="24"/>
          <w:szCs w:val="24"/>
          <w:lang w:val="en-US"/>
        </w:rPr>
        <w:t>r</w:t>
      </w:r>
      <w:r w:rsidR="002A1BD0" w:rsidRPr="008F5DDE">
        <w:rPr>
          <w:sz w:val="24"/>
          <w:szCs w:val="24"/>
          <w:vertAlign w:val="superscript"/>
          <w:lang w:val="en-US"/>
        </w:rPr>
        <w:t>2</w:t>
      </w:r>
      <w:r>
        <w:rPr>
          <w:sz w:val="24"/>
          <w:szCs w:val="24"/>
          <w:lang w:val="en-US"/>
        </w:rPr>
        <w:t>, t</w:t>
      </w:r>
      <w:r w:rsidR="009D784C">
        <w:rPr>
          <w:sz w:val="24"/>
          <w:szCs w:val="24"/>
          <w:lang w:val="en-US"/>
        </w:rPr>
        <w:t xml:space="preserve">he </w:t>
      </w:r>
      <w:proofErr w:type="spellStart"/>
      <w:r w:rsidR="00A14D59">
        <w:rPr>
          <w:sz w:val="24"/>
          <w:szCs w:val="24"/>
          <w:lang w:val="en-US"/>
        </w:rPr>
        <w:t>Wolfson</w:t>
      </w:r>
      <w:proofErr w:type="spellEnd"/>
      <w:r w:rsidR="00A14D59">
        <w:rPr>
          <w:sz w:val="24"/>
          <w:szCs w:val="24"/>
          <w:lang w:val="en-US"/>
        </w:rPr>
        <w:t xml:space="preserve"> </w:t>
      </w:r>
      <w:r w:rsidR="009D784C">
        <w:rPr>
          <w:sz w:val="24"/>
          <w:szCs w:val="24"/>
          <w:lang w:val="en-US"/>
        </w:rPr>
        <w:t xml:space="preserve">index </w:t>
      </w:r>
      <w:r w:rsidR="00A14D59">
        <w:rPr>
          <w:sz w:val="24"/>
          <w:szCs w:val="24"/>
          <w:lang w:val="en-US"/>
        </w:rPr>
        <w:t xml:space="preserve">is </w:t>
      </w:r>
      <w:r>
        <w:rPr>
          <w:sz w:val="24"/>
          <w:szCs w:val="24"/>
          <w:lang w:val="en-US"/>
        </w:rPr>
        <w:t xml:space="preserve">indeed better than </w:t>
      </w:r>
      <w:r w:rsidR="00A14D59">
        <w:rPr>
          <w:sz w:val="24"/>
          <w:szCs w:val="24"/>
          <w:lang w:val="en-US"/>
        </w:rPr>
        <w:t xml:space="preserve">the </w:t>
      </w:r>
      <w:r w:rsidR="00A70B2E">
        <w:rPr>
          <w:sz w:val="24"/>
          <w:szCs w:val="24"/>
          <w:lang w:val="en-US"/>
        </w:rPr>
        <w:t xml:space="preserve">Gini </w:t>
      </w:r>
      <w:r>
        <w:rPr>
          <w:sz w:val="24"/>
          <w:szCs w:val="24"/>
          <w:lang w:val="en-US"/>
        </w:rPr>
        <w:t xml:space="preserve">in predicting the </w:t>
      </w:r>
      <w:proofErr w:type="spellStart"/>
      <w:r w:rsidR="00A14D59">
        <w:rPr>
          <w:sz w:val="24"/>
          <w:szCs w:val="24"/>
          <w:lang w:val="en-US"/>
        </w:rPr>
        <w:t>rpol</w:t>
      </w:r>
      <w:proofErr w:type="spellEnd"/>
      <w:r w:rsidR="00A14D59">
        <w:rPr>
          <w:sz w:val="24"/>
          <w:szCs w:val="24"/>
          <w:lang w:val="en-US"/>
        </w:rPr>
        <w:t xml:space="preserve"> ratio</w:t>
      </w:r>
      <w:r w:rsidR="009D1CE9">
        <w:rPr>
          <w:sz w:val="24"/>
          <w:szCs w:val="24"/>
          <w:lang w:val="en-US"/>
        </w:rPr>
        <w:t>, but</w:t>
      </w:r>
      <w:r w:rsidR="00A14D59">
        <w:rPr>
          <w:sz w:val="24"/>
          <w:szCs w:val="24"/>
          <w:lang w:val="en-US"/>
        </w:rPr>
        <w:t xml:space="preserve"> </w:t>
      </w:r>
      <w:r w:rsidR="00472786" w:rsidRPr="00472786">
        <w:rPr>
          <w:rFonts w:ascii="Symbol" w:hAnsi="Symbol"/>
          <w:sz w:val="24"/>
          <w:szCs w:val="24"/>
          <w:lang w:val="en-US"/>
        </w:rPr>
        <w:t></w:t>
      </w:r>
      <w:r w:rsidR="00A14D59">
        <w:rPr>
          <w:sz w:val="24"/>
          <w:szCs w:val="24"/>
          <w:lang w:val="en-US"/>
        </w:rPr>
        <w:t xml:space="preserve"> </w:t>
      </w:r>
      <w:r w:rsidR="00E45CD2">
        <w:rPr>
          <w:sz w:val="24"/>
          <w:szCs w:val="24"/>
          <w:lang w:val="en-US"/>
        </w:rPr>
        <w:t xml:space="preserve">is </w:t>
      </w:r>
      <w:r w:rsidR="00503B8E">
        <w:rPr>
          <w:sz w:val="24"/>
          <w:szCs w:val="24"/>
          <w:lang w:val="en-US"/>
        </w:rPr>
        <w:t xml:space="preserve">even </w:t>
      </w:r>
      <w:r>
        <w:rPr>
          <w:sz w:val="24"/>
          <w:szCs w:val="24"/>
          <w:lang w:val="en-US"/>
        </w:rPr>
        <w:t>better</w:t>
      </w:r>
      <w:r w:rsidR="00D718C7">
        <w:rPr>
          <w:sz w:val="24"/>
          <w:szCs w:val="24"/>
          <w:lang w:val="en-US"/>
        </w:rPr>
        <w:t>.</w:t>
      </w:r>
      <w:r w:rsidR="009D1CE9">
        <w:rPr>
          <w:sz w:val="24"/>
          <w:szCs w:val="24"/>
          <w:lang w:val="en-US"/>
        </w:rPr>
        <w:t xml:space="preserve"> </w:t>
      </w:r>
    </w:p>
    <w:p w:rsidR="00CD79D0" w:rsidRPr="008B0DAB" w:rsidRDefault="00B542BD" w:rsidP="00CD79D0">
      <w:pPr>
        <w:spacing w:after="120" w:line="480" w:lineRule="auto"/>
        <w:rPr>
          <w:b/>
          <w:bCs/>
          <w:sz w:val="24"/>
          <w:szCs w:val="24"/>
          <w:lang w:val="en-GB"/>
        </w:rPr>
      </w:pPr>
      <w:r>
        <w:rPr>
          <w:b/>
          <w:sz w:val="24"/>
          <w:szCs w:val="24"/>
          <w:lang w:val="en-US"/>
        </w:rPr>
        <w:t xml:space="preserve">TABLE </w:t>
      </w:r>
      <w:proofErr w:type="gramStart"/>
      <w:r w:rsidR="00961184">
        <w:rPr>
          <w:b/>
          <w:sz w:val="24"/>
          <w:szCs w:val="24"/>
          <w:lang w:val="en-US"/>
        </w:rPr>
        <w:t>A2a3</w:t>
      </w:r>
      <w:r w:rsidR="00E10624">
        <w:rPr>
          <w:b/>
          <w:sz w:val="24"/>
          <w:szCs w:val="24"/>
          <w:lang w:val="en-US"/>
        </w:rPr>
        <w:t xml:space="preserve"> </w:t>
      </w:r>
      <w:r w:rsidR="00CD79D0">
        <w:rPr>
          <w:b/>
          <w:sz w:val="24"/>
          <w:szCs w:val="24"/>
          <w:lang w:val="en-US"/>
        </w:rPr>
        <w:t>:</w:t>
      </w:r>
      <w:proofErr w:type="gramEnd"/>
      <w:r w:rsidR="00CD79D0">
        <w:rPr>
          <w:b/>
          <w:sz w:val="24"/>
          <w:szCs w:val="24"/>
          <w:lang w:val="en-US"/>
        </w:rPr>
        <w:t xml:space="preserve"> </w:t>
      </w:r>
      <w:r w:rsidR="00CD79D0">
        <w:rPr>
          <w:b/>
          <w:bCs/>
          <w:sz w:val="24"/>
          <w:szCs w:val="24"/>
          <w:lang w:val="en-GB"/>
        </w:rPr>
        <w:t>R</w:t>
      </w:r>
      <w:r w:rsidR="00CD79D0" w:rsidRPr="008B0DAB">
        <w:rPr>
          <w:b/>
          <w:bCs/>
          <w:sz w:val="24"/>
          <w:szCs w:val="24"/>
          <w:vertAlign w:val="superscript"/>
          <w:lang w:val="en-GB"/>
        </w:rPr>
        <w:t>2</w:t>
      </w:r>
      <w:r w:rsidR="00CD79D0">
        <w:rPr>
          <w:b/>
          <w:bCs/>
          <w:sz w:val="24"/>
          <w:szCs w:val="24"/>
          <w:lang w:val="en-GB"/>
        </w:rPr>
        <w:t xml:space="preserve"> Added Value in Nested Models of Income-Class Proportions of the ABG Coefficients and the </w:t>
      </w:r>
      <w:r w:rsidR="00CD79D0" w:rsidRPr="00FC4D25">
        <w:rPr>
          <w:b/>
          <w:sz w:val="24"/>
          <w:szCs w:val="24"/>
          <w:lang w:val="en-US"/>
        </w:rPr>
        <w:t xml:space="preserve">GA2GE2 </w:t>
      </w:r>
      <w:r w:rsidR="00CD79D0">
        <w:rPr>
          <w:b/>
          <w:sz w:val="24"/>
          <w:szCs w:val="24"/>
          <w:lang w:val="en-US"/>
        </w:rPr>
        <w:t>T</w:t>
      </w:r>
      <w:r w:rsidR="00CD79D0" w:rsidRPr="00FC4D25">
        <w:rPr>
          <w:b/>
          <w:sz w:val="24"/>
          <w:szCs w:val="24"/>
          <w:lang w:val="en-US"/>
        </w:rPr>
        <w:t xml:space="preserve">riple </w:t>
      </w:r>
      <w:r w:rsidR="00CD79D0">
        <w:rPr>
          <w:b/>
          <w:sz w:val="24"/>
          <w:szCs w:val="24"/>
          <w:lang w:val="en-US"/>
        </w:rPr>
        <w:t>C</w:t>
      </w:r>
      <w:r w:rsidR="00CD79D0" w:rsidRPr="00FC4D25">
        <w:rPr>
          <w:b/>
          <w:sz w:val="24"/>
          <w:szCs w:val="24"/>
          <w:lang w:val="en-US"/>
        </w:rPr>
        <w:t>oefficients</w:t>
      </w:r>
      <w:r w:rsidR="00CD79D0">
        <w:rPr>
          <w:sz w:val="24"/>
          <w:szCs w:val="24"/>
          <w:lang w:val="en-US"/>
        </w:rPr>
        <w:t xml:space="preserve"> </w:t>
      </w:r>
      <w:r w:rsidR="00CD79D0" w:rsidRPr="008B0DAB">
        <w:rPr>
          <w:b/>
          <w:bCs/>
          <w:sz w:val="24"/>
          <w:szCs w:val="24"/>
          <w:lang w:val="en-GB"/>
        </w:rPr>
        <w:t>(</w:t>
      </w:r>
      <w:r w:rsidR="00CD79D0">
        <w:rPr>
          <w:b/>
          <w:bCs/>
          <w:sz w:val="24"/>
          <w:szCs w:val="24"/>
          <w:lang w:val="en-GB"/>
        </w:rPr>
        <w:t>Gini Index</w:t>
      </w:r>
      <w:r w:rsidR="00CD79D0" w:rsidRPr="008B0DAB">
        <w:rPr>
          <w:b/>
          <w:bCs/>
          <w:sz w:val="24"/>
          <w:szCs w:val="24"/>
          <w:lang w:val="en-GB"/>
        </w:rPr>
        <w:t xml:space="preserve">, Atkinson 2, </w:t>
      </w:r>
      <w:r w:rsidR="00CD79D0">
        <w:rPr>
          <w:b/>
          <w:bCs/>
          <w:sz w:val="24"/>
          <w:szCs w:val="24"/>
          <w:lang w:val="en-GB"/>
        </w:rPr>
        <w:t>G</w:t>
      </w:r>
      <w:r w:rsidR="00CD79D0" w:rsidRPr="008B0DAB">
        <w:rPr>
          <w:b/>
          <w:bCs/>
          <w:sz w:val="24"/>
          <w:szCs w:val="24"/>
          <w:lang w:val="en-GB"/>
        </w:rPr>
        <w:t xml:space="preserve">eneralized </w:t>
      </w:r>
      <w:r w:rsidR="00CD79D0">
        <w:rPr>
          <w:b/>
          <w:bCs/>
          <w:sz w:val="24"/>
          <w:szCs w:val="24"/>
          <w:lang w:val="en-GB"/>
        </w:rPr>
        <w:t>E</w:t>
      </w:r>
      <w:r w:rsidR="00CD79D0" w:rsidRPr="008B0DAB">
        <w:rPr>
          <w:b/>
          <w:bCs/>
          <w:sz w:val="24"/>
          <w:szCs w:val="24"/>
          <w:lang w:val="en-GB"/>
        </w:rPr>
        <w:t>ntropy 2)</w:t>
      </w: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1360"/>
        <w:gridCol w:w="1360"/>
        <w:gridCol w:w="1387"/>
        <w:gridCol w:w="268"/>
        <w:gridCol w:w="1701"/>
        <w:gridCol w:w="919"/>
        <w:gridCol w:w="1387"/>
      </w:tblGrid>
      <w:tr w:rsidR="00CD79D0" w:rsidRPr="000967DD" w:rsidTr="00451020">
        <w:trPr>
          <w:trHeight w:val="300"/>
        </w:trPr>
        <w:tc>
          <w:tcPr>
            <w:tcW w:w="928" w:type="dxa"/>
            <w:shd w:val="clear" w:color="auto" w:fill="auto"/>
            <w:noWrap/>
            <w:hideMark/>
          </w:tcPr>
          <w:p w:rsidR="00CD79D0" w:rsidRPr="000967DD" w:rsidRDefault="00CD79D0" w:rsidP="00451020">
            <w:pPr>
              <w:rPr>
                <w:color w:val="000000"/>
                <w:sz w:val="22"/>
                <w:szCs w:val="22"/>
                <w:lang w:val="en-US" w:eastAsia="en-US"/>
              </w:rPr>
            </w:pPr>
          </w:p>
        </w:tc>
        <w:tc>
          <w:tcPr>
            <w:tcW w:w="1375" w:type="dxa"/>
            <w:shd w:val="clear" w:color="auto" w:fill="auto"/>
            <w:noWrap/>
            <w:hideMark/>
          </w:tcPr>
          <w:p w:rsidR="00CD79D0" w:rsidRPr="000967DD" w:rsidRDefault="00CD79D0" w:rsidP="00451020">
            <w:pPr>
              <w:rPr>
                <w:color w:val="000000"/>
                <w:sz w:val="22"/>
                <w:szCs w:val="22"/>
                <w:lang w:val="en-US" w:eastAsia="en-US"/>
              </w:rPr>
            </w:pPr>
            <w:r w:rsidRPr="000967DD">
              <w:rPr>
                <w:color w:val="000000"/>
                <w:sz w:val="22"/>
                <w:szCs w:val="22"/>
                <w:lang w:val="en-US" w:eastAsia="en-US"/>
              </w:rPr>
              <w:t>ABG first</w:t>
            </w:r>
          </w:p>
        </w:tc>
        <w:tc>
          <w:tcPr>
            <w:tcW w:w="1375" w:type="dxa"/>
            <w:shd w:val="clear" w:color="auto" w:fill="auto"/>
            <w:noWrap/>
            <w:hideMark/>
          </w:tcPr>
          <w:p w:rsidR="00CD79D0" w:rsidRPr="000967DD" w:rsidRDefault="00CD79D0" w:rsidP="00451020">
            <w:pPr>
              <w:rPr>
                <w:color w:val="000000"/>
                <w:sz w:val="22"/>
                <w:szCs w:val="22"/>
                <w:lang w:val="en-US" w:eastAsia="en-US"/>
              </w:rPr>
            </w:pPr>
            <w:r w:rsidRPr="000967DD">
              <w:rPr>
                <w:color w:val="000000"/>
                <w:sz w:val="22"/>
                <w:szCs w:val="22"/>
                <w:lang w:val="en-US" w:eastAsia="en-US"/>
              </w:rPr>
              <w:t>GA2GE2 delta r</w:t>
            </w:r>
            <w:r w:rsidRPr="000967DD">
              <w:rPr>
                <w:color w:val="000000"/>
                <w:sz w:val="22"/>
                <w:szCs w:val="22"/>
                <w:vertAlign w:val="superscript"/>
                <w:lang w:val="en-US" w:eastAsia="en-US"/>
              </w:rPr>
              <w:t>2</w:t>
            </w:r>
            <w:r w:rsidRPr="000967DD">
              <w:rPr>
                <w:color w:val="000000"/>
                <w:sz w:val="22"/>
                <w:szCs w:val="22"/>
                <w:lang w:val="en-US" w:eastAsia="en-US"/>
              </w:rPr>
              <w:t xml:space="preserve"> </w:t>
            </w:r>
          </w:p>
        </w:tc>
        <w:tc>
          <w:tcPr>
            <w:tcW w:w="1352" w:type="dxa"/>
          </w:tcPr>
          <w:p w:rsidR="00CD79D0" w:rsidRPr="000967DD" w:rsidRDefault="00CD79D0" w:rsidP="00451020">
            <w:pPr>
              <w:jc w:val="center"/>
              <w:rPr>
                <w:color w:val="000000"/>
                <w:sz w:val="22"/>
                <w:szCs w:val="22"/>
                <w:lang w:val="en-US" w:eastAsia="en-US"/>
              </w:rPr>
            </w:pPr>
            <w:r>
              <w:rPr>
                <w:color w:val="000000"/>
                <w:sz w:val="22"/>
                <w:szCs w:val="22"/>
                <w:lang w:val="en-US" w:eastAsia="en-US"/>
              </w:rPr>
              <w:t>Improvement sig. p</w:t>
            </w:r>
          </w:p>
        </w:tc>
        <w:tc>
          <w:tcPr>
            <w:tcW w:w="269" w:type="dxa"/>
            <w:shd w:val="clear" w:color="auto" w:fill="auto"/>
            <w:noWrap/>
          </w:tcPr>
          <w:p w:rsidR="00CD79D0" w:rsidRPr="000967DD" w:rsidRDefault="00CD79D0" w:rsidP="00451020">
            <w:pPr>
              <w:jc w:val="right"/>
              <w:rPr>
                <w:color w:val="000000"/>
                <w:sz w:val="22"/>
                <w:szCs w:val="22"/>
                <w:lang w:val="en-US" w:eastAsia="en-US"/>
              </w:rPr>
            </w:pPr>
          </w:p>
        </w:tc>
        <w:tc>
          <w:tcPr>
            <w:tcW w:w="1721" w:type="dxa"/>
            <w:shd w:val="clear" w:color="auto" w:fill="auto"/>
            <w:noWrap/>
            <w:hideMark/>
          </w:tcPr>
          <w:p w:rsidR="00CD79D0" w:rsidRPr="000967DD" w:rsidRDefault="00CD79D0" w:rsidP="00451020">
            <w:pPr>
              <w:rPr>
                <w:color w:val="000000"/>
                <w:sz w:val="22"/>
                <w:szCs w:val="22"/>
                <w:lang w:val="en-US" w:eastAsia="en-US"/>
              </w:rPr>
            </w:pPr>
            <w:r w:rsidRPr="000967DD">
              <w:rPr>
                <w:color w:val="000000"/>
                <w:sz w:val="22"/>
                <w:szCs w:val="22"/>
                <w:lang w:val="en-US" w:eastAsia="en-US"/>
              </w:rPr>
              <w:t>GA2GE2 first</w:t>
            </w:r>
          </w:p>
        </w:tc>
        <w:tc>
          <w:tcPr>
            <w:tcW w:w="928" w:type="dxa"/>
            <w:shd w:val="clear" w:color="auto" w:fill="auto"/>
            <w:noWrap/>
            <w:hideMark/>
          </w:tcPr>
          <w:p w:rsidR="00CD79D0" w:rsidRPr="000967DD" w:rsidRDefault="00CD79D0" w:rsidP="00451020">
            <w:pPr>
              <w:rPr>
                <w:color w:val="000000"/>
                <w:sz w:val="22"/>
                <w:szCs w:val="22"/>
                <w:lang w:val="en-US" w:eastAsia="en-US"/>
              </w:rPr>
            </w:pPr>
            <w:r w:rsidRPr="000967DD">
              <w:rPr>
                <w:color w:val="000000"/>
                <w:sz w:val="22"/>
                <w:szCs w:val="22"/>
                <w:lang w:val="en-US" w:eastAsia="en-US"/>
              </w:rPr>
              <w:t>ABG delta r</w:t>
            </w:r>
            <w:r w:rsidRPr="000967DD">
              <w:rPr>
                <w:color w:val="000000"/>
                <w:sz w:val="22"/>
                <w:szCs w:val="22"/>
                <w:vertAlign w:val="superscript"/>
                <w:lang w:val="en-US" w:eastAsia="en-US"/>
              </w:rPr>
              <w:t>2</w:t>
            </w:r>
          </w:p>
        </w:tc>
        <w:tc>
          <w:tcPr>
            <w:tcW w:w="1352" w:type="dxa"/>
          </w:tcPr>
          <w:p w:rsidR="00CD79D0" w:rsidRPr="000C16AC" w:rsidRDefault="00CD79D0" w:rsidP="00451020">
            <w:pPr>
              <w:jc w:val="center"/>
              <w:rPr>
                <w:color w:val="000000"/>
                <w:sz w:val="22"/>
                <w:szCs w:val="22"/>
                <w:lang w:eastAsia="en-US"/>
              </w:rPr>
            </w:pPr>
            <w:proofErr w:type="spellStart"/>
            <w:r w:rsidRPr="000C16AC">
              <w:rPr>
                <w:color w:val="000000"/>
                <w:sz w:val="22"/>
                <w:szCs w:val="22"/>
                <w:lang w:eastAsia="en-US"/>
              </w:rPr>
              <w:t>Improvement</w:t>
            </w:r>
            <w:proofErr w:type="spellEnd"/>
            <w:r w:rsidRPr="000C16AC">
              <w:rPr>
                <w:color w:val="000000"/>
                <w:sz w:val="22"/>
                <w:szCs w:val="22"/>
                <w:lang w:eastAsia="en-US"/>
              </w:rPr>
              <w:t xml:space="preserve"> </w:t>
            </w:r>
            <w:proofErr w:type="spellStart"/>
            <w:r w:rsidRPr="000C16AC">
              <w:rPr>
                <w:color w:val="000000"/>
                <w:sz w:val="22"/>
                <w:szCs w:val="22"/>
                <w:lang w:eastAsia="en-US"/>
              </w:rPr>
              <w:t>sig</w:t>
            </w:r>
            <w:proofErr w:type="spellEnd"/>
            <w:r w:rsidRPr="000C16AC">
              <w:rPr>
                <w:color w:val="000000"/>
                <w:sz w:val="22"/>
                <w:szCs w:val="22"/>
                <w:lang w:eastAsia="en-US"/>
              </w:rPr>
              <w:t>. p</w:t>
            </w:r>
          </w:p>
        </w:tc>
      </w:tr>
      <w:tr w:rsidR="00CD79D0" w:rsidRPr="005D57E5" w:rsidTr="00451020">
        <w:trPr>
          <w:trHeight w:val="300"/>
        </w:trPr>
        <w:tc>
          <w:tcPr>
            <w:tcW w:w="928" w:type="dxa"/>
            <w:shd w:val="clear" w:color="auto" w:fill="auto"/>
            <w:noWrap/>
            <w:vAlign w:val="center"/>
            <w:hideMark/>
          </w:tcPr>
          <w:p w:rsidR="00CD79D0" w:rsidRPr="00D135FD" w:rsidRDefault="00CD79D0" w:rsidP="00451020">
            <w:pPr>
              <w:rPr>
                <w:color w:val="000000"/>
                <w:sz w:val="22"/>
                <w:szCs w:val="22"/>
                <w:lang w:eastAsia="en-US"/>
              </w:rPr>
            </w:pPr>
            <w:r w:rsidRPr="00D135FD">
              <w:rPr>
                <w:color w:val="000000"/>
                <w:sz w:val="22"/>
                <w:szCs w:val="22"/>
                <w:lang w:eastAsia="en-US"/>
              </w:rPr>
              <w:t>Po</w:t>
            </w:r>
          </w:p>
        </w:tc>
        <w:tc>
          <w:tcPr>
            <w:tcW w:w="1375"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0.9775</w:t>
            </w:r>
          </w:p>
        </w:tc>
        <w:tc>
          <w:tcPr>
            <w:tcW w:w="1375"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0.0011</w:t>
            </w:r>
          </w:p>
        </w:tc>
        <w:tc>
          <w:tcPr>
            <w:tcW w:w="1352" w:type="dxa"/>
            <w:vAlign w:val="bottom"/>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0.0110</w:t>
            </w:r>
          </w:p>
        </w:tc>
        <w:tc>
          <w:tcPr>
            <w:tcW w:w="269" w:type="dxa"/>
            <w:shd w:val="clear" w:color="auto" w:fill="auto"/>
            <w:noWrap/>
            <w:vAlign w:val="bottom"/>
          </w:tcPr>
          <w:p w:rsidR="00CD79D0" w:rsidRPr="0025622F" w:rsidRDefault="00CD79D0" w:rsidP="00451020">
            <w:pPr>
              <w:jc w:val="center"/>
              <w:rPr>
                <w:color w:val="000000"/>
                <w:sz w:val="22"/>
                <w:szCs w:val="22"/>
                <w:lang w:eastAsia="en-US"/>
              </w:rPr>
            </w:pPr>
          </w:p>
        </w:tc>
        <w:tc>
          <w:tcPr>
            <w:tcW w:w="1721"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0.8855</w:t>
            </w:r>
          </w:p>
        </w:tc>
        <w:tc>
          <w:tcPr>
            <w:tcW w:w="928"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0.0931</w:t>
            </w:r>
          </w:p>
        </w:tc>
        <w:tc>
          <w:tcPr>
            <w:tcW w:w="1352" w:type="dxa"/>
            <w:vAlign w:val="bottom"/>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0.0000</w:t>
            </w:r>
          </w:p>
        </w:tc>
      </w:tr>
      <w:tr w:rsidR="00CD79D0" w:rsidRPr="005D57E5" w:rsidTr="00451020">
        <w:trPr>
          <w:trHeight w:val="300"/>
        </w:trPr>
        <w:tc>
          <w:tcPr>
            <w:tcW w:w="928" w:type="dxa"/>
            <w:shd w:val="clear" w:color="auto" w:fill="auto"/>
            <w:noWrap/>
            <w:vAlign w:val="center"/>
            <w:hideMark/>
          </w:tcPr>
          <w:p w:rsidR="00CD79D0" w:rsidRPr="005D57E5" w:rsidRDefault="00CD79D0" w:rsidP="00451020">
            <w:pPr>
              <w:rPr>
                <w:color w:val="000000"/>
                <w:sz w:val="22"/>
                <w:szCs w:val="22"/>
                <w:lang w:eastAsia="en-US"/>
              </w:rPr>
            </w:pPr>
            <w:proofErr w:type="spellStart"/>
            <w:r w:rsidRPr="005D57E5">
              <w:rPr>
                <w:color w:val="000000"/>
                <w:sz w:val="22"/>
                <w:szCs w:val="22"/>
                <w:lang w:eastAsia="en-US"/>
              </w:rPr>
              <w:t>Mcl</w:t>
            </w:r>
            <w:proofErr w:type="spellEnd"/>
          </w:p>
        </w:tc>
        <w:tc>
          <w:tcPr>
            <w:tcW w:w="1375"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0.3642</w:t>
            </w:r>
          </w:p>
        </w:tc>
        <w:tc>
          <w:tcPr>
            <w:tcW w:w="1375"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0.0460</w:t>
            </w:r>
          </w:p>
        </w:tc>
        <w:tc>
          <w:tcPr>
            <w:tcW w:w="1352" w:type="dxa"/>
            <w:vAlign w:val="bottom"/>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0.0007</w:t>
            </w:r>
          </w:p>
        </w:tc>
        <w:tc>
          <w:tcPr>
            <w:tcW w:w="269" w:type="dxa"/>
            <w:shd w:val="clear" w:color="auto" w:fill="auto"/>
            <w:noWrap/>
            <w:vAlign w:val="bottom"/>
          </w:tcPr>
          <w:p w:rsidR="00CD79D0" w:rsidRPr="0025622F" w:rsidRDefault="00CD79D0" w:rsidP="00451020">
            <w:pPr>
              <w:jc w:val="center"/>
              <w:rPr>
                <w:color w:val="000000"/>
                <w:sz w:val="22"/>
                <w:szCs w:val="22"/>
                <w:lang w:eastAsia="en-US"/>
              </w:rPr>
            </w:pPr>
          </w:p>
        </w:tc>
        <w:tc>
          <w:tcPr>
            <w:tcW w:w="1721"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0.1139</w:t>
            </w:r>
          </w:p>
        </w:tc>
        <w:tc>
          <w:tcPr>
            <w:tcW w:w="928"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0.2963</w:t>
            </w:r>
          </w:p>
        </w:tc>
        <w:tc>
          <w:tcPr>
            <w:tcW w:w="1352" w:type="dxa"/>
            <w:vAlign w:val="bottom"/>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0.0000</w:t>
            </w:r>
          </w:p>
        </w:tc>
      </w:tr>
      <w:tr w:rsidR="00CD79D0" w:rsidRPr="005D57E5" w:rsidTr="00451020">
        <w:trPr>
          <w:trHeight w:val="300"/>
        </w:trPr>
        <w:tc>
          <w:tcPr>
            <w:tcW w:w="928" w:type="dxa"/>
            <w:shd w:val="clear" w:color="auto" w:fill="auto"/>
            <w:noWrap/>
            <w:vAlign w:val="center"/>
            <w:hideMark/>
          </w:tcPr>
          <w:p w:rsidR="00CD79D0" w:rsidRPr="005D57E5" w:rsidRDefault="00CD79D0" w:rsidP="00451020">
            <w:pPr>
              <w:rPr>
                <w:color w:val="000000"/>
                <w:sz w:val="22"/>
                <w:szCs w:val="22"/>
                <w:lang w:eastAsia="en-US"/>
              </w:rPr>
            </w:pPr>
            <w:r w:rsidRPr="005D57E5">
              <w:rPr>
                <w:color w:val="000000"/>
                <w:sz w:val="22"/>
                <w:szCs w:val="22"/>
                <w:lang w:eastAsia="en-US"/>
              </w:rPr>
              <w:t>Mc</w:t>
            </w:r>
          </w:p>
        </w:tc>
        <w:tc>
          <w:tcPr>
            <w:tcW w:w="1375"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0.9231</w:t>
            </w:r>
          </w:p>
        </w:tc>
        <w:tc>
          <w:tcPr>
            <w:tcW w:w="1375" w:type="dxa"/>
            <w:shd w:val="clear" w:color="auto" w:fill="auto"/>
            <w:noWrap/>
            <w:vAlign w:val="bottom"/>
            <w:hideMark/>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0.0091</w:t>
            </w:r>
          </w:p>
        </w:tc>
        <w:tc>
          <w:tcPr>
            <w:tcW w:w="1352" w:type="dxa"/>
            <w:vAlign w:val="bottom"/>
          </w:tcPr>
          <w:p w:rsidR="00CD79D0" w:rsidRPr="00D135FD" w:rsidRDefault="00CD79D0" w:rsidP="00451020">
            <w:pPr>
              <w:jc w:val="center"/>
              <w:rPr>
                <w:color w:val="000000"/>
                <w:sz w:val="22"/>
                <w:szCs w:val="22"/>
                <w:lang w:eastAsia="en-US"/>
              </w:rPr>
            </w:pPr>
            <w:r w:rsidRPr="005D57E5">
              <w:rPr>
                <w:color w:val="000000"/>
                <w:sz w:val="22"/>
                <w:szCs w:val="22"/>
                <w:lang w:val="en-US" w:eastAsia="en-US"/>
              </w:rPr>
              <w:t>0.0000</w:t>
            </w:r>
          </w:p>
        </w:tc>
        <w:tc>
          <w:tcPr>
            <w:tcW w:w="269" w:type="dxa"/>
            <w:shd w:val="clear" w:color="auto" w:fill="auto"/>
            <w:noWrap/>
            <w:vAlign w:val="bottom"/>
          </w:tcPr>
          <w:p w:rsidR="00CD79D0" w:rsidRPr="0025622F" w:rsidRDefault="00CD79D0" w:rsidP="00451020">
            <w:pPr>
              <w:jc w:val="center"/>
              <w:rPr>
                <w:color w:val="000000"/>
                <w:sz w:val="22"/>
                <w:szCs w:val="22"/>
                <w:lang w:eastAsia="en-US"/>
              </w:rPr>
            </w:pPr>
          </w:p>
        </w:tc>
        <w:tc>
          <w:tcPr>
            <w:tcW w:w="1721"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0.8668</w:t>
            </w:r>
          </w:p>
        </w:tc>
        <w:tc>
          <w:tcPr>
            <w:tcW w:w="928"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0.0654</w:t>
            </w:r>
          </w:p>
        </w:tc>
        <w:tc>
          <w:tcPr>
            <w:tcW w:w="1352" w:type="dxa"/>
            <w:vAlign w:val="bottom"/>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0.0000</w:t>
            </w:r>
          </w:p>
        </w:tc>
      </w:tr>
      <w:tr w:rsidR="00CD79D0" w:rsidRPr="005D57E5" w:rsidTr="00451020">
        <w:trPr>
          <w:trHeight w:val="300"/>
        </w:trPr>
        <w:tc>
          <w:tcPr>
            <w:tcW w:w="928" w:type="dxa"/>
            <w:shd w:val="clear" w:color="auto" w:fill="auto"/>
            <w:noWrap/>
            <w:vAlign w:val="center"/>
            <w:hideMark/>
          </w:tcPr>
          <w:p w:rsidR="00CD79D0" w:rsidRPr="005D57E5" w:rsidRDefault="00CD79D0" w:rsidP="00451020">
            <w:pPr>
              <w:rPr>
                <w:color w:val="000000"/>
                <w:sz w:val="22"/>
                <w:szCs w:val="22"/>
                <w:lang w:val="en-US" w:eastAsia="en-US"/>
              </w:rPr>
            </w:pPr>
            <w:proofErr w:type="spellStart"/>
            <w:r w:rsidRPr="005D57E5">
              <w:rPr>
                <w:color w:val="000000"/>
                <w:sz w:val="22"/>
                <w:szCs w:val="22"/>
                <w:lang w:val="en-US" w:eastAsia="en-US"/>
              </w:rPr>
              <w:t>Mcu</w:t>
            </w:r>
            <w:proofErr w:type="spellEnd"/>
          </w:p>
        </w:tc>
        <w:tc>
          <w:tcPr>
            <w:tcW w:w="1375"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0.4566</w:t>
            </w:r>
          </w:p>
        </w:tc>
        <w:tc>
          <w:tcPr>
            <w:tcW w:w="1375"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0.0490</w:t>
            </w:r>
          </w:p>
        </w:tc>
        <w:tc>
          <w:tcPr>
            <w:tcW w:w="1352" w:type="dxa"/>
            <w:vAlign w:val="bottom"/>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0.0001</w:t>
            </w:r>
          </w:p>
        </w:tc>
        <w:tc>
          <w:tcPr>
            <w:tcW w:w="269" w:type="dxa"/>
            <w:shd w:val="clear" w:color="auto" w:fill="auto"/>
            <w:noWrap/>
            <w:vAlign w:val="bottom"/>
          </w:tcPr>
          <w:p w:rsidR="00CD79D0" w:rsidRPr="0025622F" w:rsidRDefault="00CD79D0" w:rsidP="00451020">
            <w:pPr>
              <w:jc w:val="center"/>
              <w:rPr>
                <w:color w:val="000000"/>
                <w:sz w:val="22"/>
                <w:szCs w:val="22"/>
                <w:lang w:val="en-US" w:eastAsia="en-US"/>
              </w:rPr>
            </w:pPr>
          </w:p>
        </w:tc>
        <w:tc>
          <w:tcPr>
            <w:tcW w:w="1721"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0.3753</w:t>
            </w:r>
          </w:p>
        </w:tc>
        <w:tc>
          <w:tcPr>
            <w:tcW w:w="928"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0.1302</w:t>
            </w:r>
          </w:p>
        </w:tc>
        <w:tc>
          <w:tcPr>
            <w:tcW w:w="1352" w:type="dxa"/>
            <w:vAlign w:val="bottom"/>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0.0000</w:t>
            </w:r>
          </w:p>
        </w:tc>
      </w:tr>
      <w:tr w:rsidR="00CD79D0" w:rsidRPr="005D57E5" w:rsidTr="00451020">
        <w:trPr>
          <w:trHeight w:val="300"/>
        </w:trPr>
        <w:tc>
          <w:tcPr>
            <w:tcW w:w="928" w:type="dxa"/>
            <w:shd w:val="clear" w:color="auto" w:fill="auto"/>
            <w:noWrap/>
            <w:vAlign w:val="center"/>
            <w:hideMark/>
          </w:tcPr>
          <w:p w:rsidR="00CD79D0" w:rsidRPr="005D57E5" w:rsidRDefault="00CD79D0" w:rsidP="00451020">
            <w:pPr>
              <w:rPr>
                <w:color w:val="000000"/>
                <w:sz w:val="22"/>
                <w:szCs w:val="22"/>
                <w:lang w:val="en-US" w:eastAsia="en-US"/>
              </w:rPr>
            </w:pPr>
            <w:proofErr w:type="spellStart"/>
            <w:r w:rsidRPr="005D57E5">
              <w:rPr>
                <w:color w:val="000000"/>
                <w:sz w:val="22"/>
                <w:szCs w:val="22"/>
                <w:lang w:val="en-US" w:eastAsia="en-US"/>
              </w:rPr>
              <w:t>Ri</w:t>
            </w:r>
            <w:proofErr w:type="spellEnd"/>
          </w:p>
        </w:tc>
        <w:tc>
          <w:tcPr>
            <w:tcW w:w="1375"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0.9837</w:t>
            </w:r>
          </w:p>
        </w:tc>
        <w:tc>
          <w:tcPr>
            <w:tcW w:w="1375"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0.0006</w:t>
            </w:r>
          </w:p>
        </w:tc>
        <w:tc>
          <w:tcPr>
            <w:tcW w:w="1352" w:type="dxa"/>
            <w:vAlign w:val="bottom"/>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0.0400</w:t>
            </w:r>
          </w:p>
        </w:tc>
        <w:tc>
          <w:tcPr>
            <w:tcW w:w="269" w:type="dxa"/>
            <w:shd w:val="clear" w:color="auto" w:fill="auto"/>
            <w:noWrap/>
            <w:vAlign w:val="bottom"/>
          </w:tcPr>
          <w:p w:rsidR="00CD79D0" w:rsidRPr="0025622F" w:rsidRDefault="00CD79D0" w:rsidP="00451020">
            <w:pPr>
              <w:jc w:val="center"/>
              <w:rPr>
                <w:color w:val="000000"/>
                <w:sz w:val="22"/>
                <w:szCs w:val="22"/>
                <w:lang w:val="en-US" w:eastAsia="en-US"/>
              </w:rPr>
            </w:pPr>
          </w:p>
        </w:tc>
        <w:tc>
          <w:tcPr>
            <w:tcW w:w="1721"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0.9655</w:t>
            </w:r>
          </w:p>
        </w:tc>
        <w:tc>
          <w:tcPr>
            <w:tcW w:w="928" w:type="dxa"/>
            <w:shd w:val="clear" w:color="auto" w:fill="auto"/>
            <w:noWrap/>
            <w:vAlign w:val="bottom"/>
            <w:hideMark/>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0.0187</w:t>
            </w:r>
          </w:p>
        </w:tc>
        <w:tc>
          <w:tcPr>
            <w:tcW w:w="1352" w:type="dxa"/>
            <w:vAlign w:val="bottom"/>
          </w:tcPr>
          <w:p w:rsidR="00CD79D0" w:rsidRPr="00D135FD" w:rsidRDefault="00CD79D0" w:rsidP="00451020">
            <w:pPr>
              <w:jc w:val="center"/>
              <w:rPr>
                <w:color w:val="000000"/>
                <w:sz w:val="22"/>
                <w:szCs w:val="22"/>
                <w:lang w:val="en-US" w:eastAsia="en-US"/>
              </w:rPr>
            </w:pPr>
            <w:r w:rsidRPr="005D57E5">
              <w:rPr>
                <w:color w:val="000000"/>
                <w:sz w:val="22"/>
                <w:szCs w:val="22"/>
                <w:lang w:val="en-US" w:eastAsia="en-US"/>
              </w:rPr>
              <w:t>0.0000</w:t>
            </w:r>
          </w:p>
        </w:tc>
      </w:tr>
    </w:tbl>
    <w:p w:rsidR="00CD79D0" w:rsidRDefault="00CD79D0" w:rsidP="00CD79D0">
      <w:pPr>
        <w:rPr>
          <w:sz w:val="24"/>
          <w:szCs w:val="24"/>
          <w:lang w:val="en-US"/>
        </w:rPr>
      </w:pPr>
    </w:p>
    <w:p w:rsidR="00CD79D0" w:rsidRDefault="00CD79D0" w:rsidP="00B542BD">
      <w:pPr>
        <w:spacing w:after="120" w:line="480" w:lineRule="auto"/>
        <w:rPr>
          <w:b/>
          <w:sz w:val="24"/>
          <w:szCs w:val="24"/>
          <w:lang w:val="en-US"/>
        </w:rPr>
      </w:pPr>
    </w:p>
    <w:p w:rsidR="00CD79D0" w:rsidRDefault="00CD79D0" w:rsidP="00CD79D0">
      <w:pPr>
        <w:spacing w:after="120" w:line="480" w:lineRule="auto"/>
        <w:rPr>
          <w:b/>
          <w:sz w:val="24"/>
          <w:szCs w:val="24"/>
          <w:lang w:val="en-US"/>
        </w:rPr>
      </w:pPr>
      <w:r>
        <w:rPr>
          <w:b/>
          <w:sz w:val="24"/>
          <w:szCs w:val="24"/>
          <w:lang w:val="en-US"/>
        </w:rPr>
        <w:lastRenderedPageBreak/>
        <w:t xml:space="preserve">Table </w:t>
      </w:r>
      <w:r>
        <w:rPr>
          <w:sz w:val="24"/>
          <w:szCs w:val="24"/>
          <w:lang w:val="en-US"/>
        </w:rPr>
        <w:t>A2a4</w:t>
      </w:r>
      <w:r>
        <w:rPr>
          <w:b/>
          <w:sz w:val="24"/>
          <w:szCs w:val="24"/>
          <w:lang w:val="en-US"/>
        </w:rPr>
        <w:t xml:space="preserve">: Correlation between the Ratio of Polarization, Gini, </w:t>
      </w:r>
      <w:proofErr w:type="spellStart"/>
      <w:r>
        <w:rPr>
          <w:b/>
          <w:sz w:val="24"/>
          <w:szCs w:val="24"/>
          <w:lang w:val="en-US"/>
        </w:rPr>
        <w:t>Wolfson</w:t>
      </w:r>
      <w:proofErr w:type="spellEnd"/>
      <w:r>
        <w:rPr>
          <w:b/>
          <w:sz w:val="24"/>
          <w:szCs w:val="24"/>
          <w:lang w:val="en-US"/>
        </w:rPr>
        <w:t xml:space="preserve"> Index and ABG coefficients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328"/>
        <w:gridCol w:w="1328"/>
        <w:gridCol w:w="1329"/>
        <w:gridCol w:w="1329"/>
        <w:gridCol w:w="1329"/>
        <w:gridCol w:w="1329"/>
      </w:tblGrid>
      <w:tr w:rsidR="00CD79D0" w:rsidRPr="00191E63" w:rsidTr="00451020">
        <w:trPr>
          <w:jc w:val="center"/>
        </w:trPr>
        <w:tc>
          <w:tcPr>
            <w:tcW w:w="1328" w:type="dxa"/>
            <w:shd w:val="clear" w:color="auto" w:fill="auto"/>
          </w:tcPr>
          <w:p w:rsidR="00CD79D0" w:rsidRPr="00191E63" w:rsidRDefault="00CD79D0" w:rsidP="00451020">
            <w:pPr>
              <w:jc w:val="center"/>
              <w:rPr>
                <w:sz w:val="24"/>
                <w:szCs w:val="24"/>
                <w:lang w:val="en-US"/>
              </w:rPr>
            </w:pPr>
            <w:proofErr w:type="spellStart"/>
            <w:r w:rsidRPr="00191E63">
              <w:rPr>
                <w:sz w:val="24"/>
                <w:szCs w:val="24"/>
                <w:lang w:val="en-US"/>
              </w:rPr>
              <w:t>Var</w:t>
            </w:r>
            <w:proofErr w:type="spellEnd"/>
          </w:p>
        </w:tc>
        <w:tc>
          <w:tcPr>
            <w:tcW w:w="1328" w:type="dxa"/>
            <w:shd w:val="clear" w:color="auto" w:fill="auto"/>
          </w:tcPr>
          <w:p w:rsidR="00CD79D0" w:rsidRPr="00191E63" w:rsidRDefault="00CD79D0" w:rsidP="00451020">
            <w:pPr>
              <w:jc w:val="center"/>
              <w:rPr>
                <w:sz w:val="24"/>
                <w:szCs w:val="24"/>
                <w:lang w:val="en-US"/>
              </w:rPr>
            </w:pPr>
            <w:proofErr w:type="spellStart"/>
            <w:r w:rsidRPr="00191E63">
              <w:rPr>
                <w:sz w:val="24"/>
                <w:szCs w:val="24"/>
                <w:lang w:val="en-US"/>
              </w:rPr>
              <w:t>Rpol</w:t>
            </w:r>
            <w:proofErr w:type="spellEnd"/>
          </w:p>
        </w:tc>
        <w:tc>
          <w:tcPr>
            <w:tcW w:w="1328" w:type="dxa"/>
            <w:shd w:val="clear" w:color="auto" w:fill="auto"/>
          </w:tcPr>
          <w:p w:rsidR="00CD79D0" w:rsidRPr="00191E63" w:rsidRDefault="00CD79D0" w:rsidP="00451020">
            <w:pPr>
              <w:jc w:val="center"/>
              <w:rPr>
                <w:sz w:val="24"/>
                <w:szCs w:val="24"/>
                <w:lang w:val="en-US"/>
              </w:rPr>
            </w:pPr>
            <w:r>
              <w:rPr>
                <w:sz w:val="24"/>
                <w:szCs w:val="24"/>
                <w:lang w:val="en-US"/>
              </w:rPr>
              <w:t>G</w:t>
            </w:r>
            <w:r w:rsidRPr="00191E63">
              <w:rPr>
                <w:sz w:val="24"/>
                <w:szCs w:val="24"/>
                <w:lang w:val="en-US"/>
              </w:rPr>
              <w:t>ini</w:t>
            </w:r>
          </w:p>
        </w:tc>
        <w:tc>
          <w:tcPr>
            <w:tcW w:w="1329" w:type="dxa"/>
            <w:shd w:val="clear" w:color="auto" w:fill="auto"/>
          </w:tcPr>
          <w:p w:rsidR="00CD79D0" w:rsidRPr="00191E63" w:rsidRDefault="00CD79D0" w:rsidP="00451020">
            <w:pPr>
              <w:jc w:val="center"/>
              <w:rPr>
                <w:sz w:val="24"/>
                <w:szCs w:val="24"/>
                <w:lang w:val="en-US"/>
              </w:rPr>
            </w:pPr>
            <w:proofErr w:type="spellStart"/>
            <w:r>
              <w:rPr>
                <w:sz w:val="24"/>
                <w:szCs w:val="24"/>
                <w:lang w:val="en-US"/>
              </w:rPr>
              <w:t>W</w:t>
            </w:r>
            <w:r w:rsidRPr="00191E63">
              <w:rPr>
                <w:sz w:val="24"/>
                <w:szCs w:val="24"/>
                <w:lang w:val="en-US"/>
              </w:rPr>
              <w:t>olfson</w:t>
            </w:r>
            <w:proofErr w:type="spellEnd"/>
          </w:p>
        </w:tc>
        <w:tc>
          <w:tcPr>
            <w:tcW w:w="1329" w:type="dxa"/>
            <w:shd w:val="clear" w:color="auto" w:fill="auto"/>
          </w:tcPr>
          <w:p w:rsidR="00CD79D0" w:rsidRPr="00191E63" w:rsidRDefault="00CD79D0" w:rsidP="00451020">
            <w:pPr>
              <w:jc w:val="center"/>
              <w:rPr>
                <w:sz w:val="24"/>
                <w:szCs w:val="24"/>
                <w:lang w:val="en-US"/>
              </w:rPr>
            </w:pPr>
            <w:r>
              <w:rPr>
                <w:rFonts w:ascii="Symbol" w:hAnsi="Symbol"/>
                <w:sz w:val="24"/>
                <w:szCs w:val="24"/>
                <w:lang w:val="en-US"/>
              </w:rPr>
              <w:t></w:t>
            </w:r>
          </w:p>
        </w:tc>
        <w:tc>
          <w:tcPr>
            <w:tcW w:w="1329" w:type="dxa"/>
            <w:shd w:val="clear" w:color="auto" w:fill="auto"/>
          </w:tcPr>
          <w:p w:rsidR="00CD79D0" w:rsidRPr="00191E63" w:rsidRDefault="00CD79D0" w:rsidP="00451020">
            <w:pPr>
              <w:jc w:val="center"/>
              <w:rPr>
                <w:sz w:val="24"/>
                <w:szCs w:val="24"/>
                <w:lang w:val="en-US"/>
              </w:rPr>
            </w:pPr>
            <w:r>
              <w:rPr>
                <w:rFonts w:ascii="Symbol" w:hAnsi="Symbol"/>
                <w:sz w:val="24"/>
                <w:szCs w:val="24"/>
                <w:lang w:val="en-US"/>
              </w:rPr>
              <w:t></w:t>
            </w:r>
          </w:p>
        </w:tc>
        <w:tc>
          <w:tcPr>
            <w:tcW w:w="1329" w:type="dxa"/>
            <w:shd w:val="clear" w:color="auto" w:fill="auto"/>
          </w:tcPr>
          <w:p w:rsidR="00CD79D0" w:rsidRPr="00191E63" w:rsidRDefault="00CD79D0" w:rsidP="00451020">
            <w:pPr>
              <w:jc w:val="center"/>
              <w:rPr>
                <w:sz w:val="24"/>
                <w:szCs w:val="24"/>
                <w:lang w:val="en-US"/>
              </w:rPr>
            </w:pPr>
            <w:r>
              <w:rPr>
                <w:rFonts w:ascii="Symbol" w:hAnsi="Symbol"/>
                <w:sz w:val="24"/>
                <w:szCs w:val="24"/>
                <w:lang w:val="en-US"/>
              </w:rPr>
              <w:t></w:t>
            </w:r>
          </w:p>
        </w:tc>
      </w:tr>
      <w:tr w:rsidR="00CD79D0" w:rsidRPr="00191E63" w:rsidTr="00451020">
        <w:trPr>
          <w:jc w:val="center"/>
        </w:trPr>
        <w:tc>
          <w:tcPr>
            <w:tcW w:w="1328" w:type="dxa"/>
            <w:shd w:val="clear" w:color="auto" w:fill="auto"/>
          </w:tcPr>
          <w:p w:rsidR="00CD79D0" w:rsidRPr="00191E63" w:rsidRDefault="00CD79D0" w:rsidP="00451020">
            <w:pPr>
              <w:jc w:val="center"/>
              <w:rPr>
                <w:sz w:val="24"/>
                <w:szCs w:val="24"/>
                <w:lang w:val="en-US"/>
              </w:rPr>
            </w:pPr>
            <w:proofErr w:type="spellStart"/>
            <w:r w:rsidRPr="00191E63">
              <w:rPr>
                <w:sz w:val="24"/>
                <w:szCs w:val="24"/>
                <w:lang w:val="en-US"/>
              </w:rPr>
              <w:t>Rpol</w:t>
            </w:r>
            <w:proofErr w:type="spellEnd"/>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1</w:t>
            </w:r>
          </w:p>
        </w:tc>
        <w:tc>
          <w:tcPr>
            <w:tcW w:w="1328"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r>
      <w:tr w:rsidR="00CD79D0" w:rsidRPr="00191E63" w:rsidTr="00451020">
        <w:trPr>
          <w:jc w:val="center"/>
        </w:trPr>
        <w:tc>
          <w:tcPr>
            <w:tcW w:w="1328" w:type="dxa"/>
            <w:shd w:val="clear" w:color="auto" w:fill="auto"/>
          </w:tcPr>
          <w:p w:rsidR="00CD79D0" w:rsidRPr="00191E63" w:rsidRDefault="00CD79D0" w:rsidP="00451020">
            <w:pPr>
              <w:jc w:val="center"/>
              <w:rPr>
                <w:sz w:val="24"/>
                <w:szCs w:val="24"/>
                <w:lang w:val="en-US"/>
              </w:rPr>
            </w:pPr>
            <w:r w:rsidRPr="00191E63">
              <w:rPr>
                <w:sz w:val="24"/>
                <w:szCs w:val="24"/>
                <w:lang w:val="en-US"/>
              </w:rPr>
              <w:t>Gini</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0.8263</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1</w:t>
            </w: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r>
      <w:tr w:rsidR="00CD79D0" w:rsidRPr="00191E63" w:rsidTr="00451020">
        <w:trPr>
          <w:jc w:val="center"/>
        </w:trPr>
        <w:tc>
          <w:tcPr>
            <w:tcW w:w="1328" w:type="dxa"/>
            <w:shd w:val="clear" w:color="auto" w:fill="auto"/>
          </w:tcPr>
          <w:p w:rsidR="00CD79D0" w:rsidRPr="00191E63" w:rsidRDefault="00CD79D0" w:rsidP="00451020">
            <w:pPr>
              <w:jc w:val="center"/>
              <w:rPr>
                <w:sz w:val="24"/>
                <w:szCs w:val="24"/>
                <w:lang w:val="en-US"/>
              </w:rPr>
            </w:pPr>
            <w:proofErr w:type="spellStart"/>
            <w:r>
              <w:rPr>
                <w:sz w:val="24"/>
                <w:szCs w:val="24"/>
                <w:lang w:val="en-US"/>
              </w:rPr>
              <w:t>W</w:t>
            </w:r>
            <w:r w:rsidRPr="00191E63">
              <w:rPr>
                <w:sz w:val="24"/>
                <w:szCs w:val="24"/>
                <w:lang w:val="en-US"/>
              </w:rPr>
              <w:t>olfson</w:t>
            </w:r>
            <w:proofErr w:type="spellEnd"/>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0.8499</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0.9831</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1</w:t>
            </w: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r>
      <w:tr w:rsidR="00CD79D0" w:rsidRPr="00191E63" w:rsidTr="00451020">
        <w:trPr>
          <w:jc w:val="center"/>
        </w:trPr>
        <w:tc>
          <w:tcPr>
            <w:tcW w:w="1328" w:type="dxa"/>
            <w:shd w:val="clear" w:color="auto" w:fill="auto"/>
            <w:vAlign w:val="bottom"/>
          </w:tcPr>
          <w:p w:rsidR="00CD79D0" w:rsidRPr="00553EE2" w:rsidRDefault="00CD79D0" w:rsidP="00451020">
            <w:pPr>
              <w:jc w:val="center"/>
              <w:rPr>
                <w:sz w:val="24"/>
                <w:szCs w:val="24"/>
                <w:lang w:val="en-US"/>
              </w:rPr>
            </w:pPr>
            <w:r w:rsidRPr="00FA44A0">
              <w:rPr>
                <w:rFonts w:ascii="Symbol" w:hAnsi="Symbol"/>
                <w:color w:val="000000"/>
                <w:sz w:val="24"/>
                <w:szCs w:val="24"/>
                <w:lang w:val="en-US" w:eastAsia="en-US"/>
              </w:rPr>
              <w:t></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0.9197</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0.9524</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0.9778</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1</w:t>
            </w:r>
          </w:p>
        </w:tc>
        <w:tc>
          <w:tcPr>
            <w:tcW w:w="1329" w:type="dxa"/>
            <w:shd w:val="clear" w:color="auto" w:fill="auto"/>
            <w:vAlign w:val="bottom"/>
          </w:tcPr>
          <w:p w:rsidR="00CD79D0" w:rsidRPr="005D57E5" w:rsidRDefault="00CD79D0" w:rsidP="00451020">
            <w:pPr>
              <w:rPr>
                <w:color w:val="000000"/>
                <w:sz w:val="24"/>
                <w:szCs w:val="24"/>
                <w:lang w:val="en-US" w:eastAsia="en-US"/>
              </w:rPr>
            </w:pPr>
          </w:p>
        </w:tc>
        <w:tc>
          <w:tcPr>
            <w:tcW w:w="1329" w:type="dxa"/>
            <w:shd w:val="clear" w:color="auto" w:fill="auto"/>
            <w:vAlign w:val="bottom"/>
          </w:tcPr>
          <w:p w:rsidR="00CD79D0" w:rsidRPr="005D57E5" w:rsidRDefault="00CD79D0" w:rsidP="00451020">
            <w:pPr>
              <w:rPr>
                <w:color w:val="000000"/>
                <w:sz w:val="24"/>
                <w:szCs w:val="24"/>
                <w:lang w:val="en-US" w:eastAsia="en-US"/>
              </w:rPr>
            </w:pPr>
          </w:p>
        </w:tc>
      </w:tr>
      <w:tr w:rsidR="00CD79D0" w:rsidRPr="00191E63" w:rsidTr="00451020">
        <w:trPr>
          <w:jc w:val="center"/>
        </w:trPr>
        <w:tc>
          <w:tcPr>
            <w:tcW w:w="1328" w:type="dxa"/>
            <w:shd w:val="clear" w:color="auto" w:fill="auto"/>
            <w:vAlign w:val="bottom"/>
          </w:tcPr>
          <w:p w:rsidR="00CD79D0" w:rsidRPr="00553EE2" w:rsidRDefault="00CD79D0" w:rsidP="00451020">
            <w:pPr>
              <w:jc w:val="center"/>
              <w:rPr>
                <w:sz w:val="24"/>
                <w:szCs w:val="24"/>
                <w:lang w:val="en-US"/>
              </w:rPr>
            </w:pPr>
            <w:r w:rsidRPr="00FA44A0">
              <w:rPr>
                <w:rFonts w:ascii="Symbol" w:hAnsi="Symbol"/>
                <w:color w:val="000000"/>
                <w:sz w:val="24"/>
                <w:szCs w:val="24"/>
                <w:lang w:val="en-US" w:eastAsia="en-US"/>
              </w:rPr>
              <w:t></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-0.5652</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-0.1603</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-0.2373</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-0.4252</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1</w:t>
            </w:r>
          </w:p>
        </w:tc>
        <w:tc>
          <w:tcPr>
            <w:tcW w:w="1329" w:type="dxa"/>
            <w:shd w:val="clear" w:color="auto" w:fill="auto"/>
            <w:vAlign w:val="bottom"/>
          </w:tcPr>
          <w:p w:rsidR="00CD79D0" w:rsidRPr="005D57E5" w:rsidRDefault="00CD79D0" w:rsidP="00451020">
            <w:pPr>
              <w:rPr>
                <w:color w:val="000000"/>
                <w:sz w:val="24"/>
                <w:szCs w:val="24"/>
                <w:lang w:val="en-US" w:eastAsia="en-US"/>
              </w:rPr>
            </w:pPr>
          </w:p>
        </w:tc>
      </w:tr>
      <w:tr w:rsidR="00CD79D0" w:rsidRPr="00191E63" w:rsidTr="00451020">
        <w:trPr>
          <w:jc w:val="center"/>
        </w:trPr>
        <w:tc>
          <w:tcPr>
            <w:tcW w:w="1328" w:type="dxa"/>
            <w:shd w:val="clear" w:color="auto" w:fill="auto"/>
            <w:vAlign w:val="bottom"/>
          </w:tcPr>
          <w:p w:rsidR="00CD79D0" w:rsidRPr="00553EE2" w:rsidRDefault="00CD79D0" w:rsidP="00451020">
            <w:pPr>
              <w:jc w:val="center"/>
              <w:rPr>
                <w:sz w:val="24"/>
                <w:szCs w:val="24"/>
                <w:lang w:val="en-US"/>
              </w:rPr>
            </w:pPr>
            <w:r w:rsidRPr="00FA44A0">
              <w:rPr>
                <w:rFonts w:ascii="Symbol" w:hAnsi="Symbol"/>
                <w:color w:val="000000"/>
                <w:sz w:val="24"/>
                <w:szCs w:val="24"/>
                <w:lang w:val="en-US" w:eastAsia="en-US"/>
              </w:rPr>
              <w:t></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-0.3861</w:t>
            </w:r>
          </w:p>
        </w:tc>
        <w:tc>
          <w:tcPr>
            <w:tcW w:w="1328"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-0.2392</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-0.3229</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-0.3784</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0.3605</w:t>
            </w:r>
          </w:p>
        </w:tc>
        <w:tc>
          <w:tcPr>
            <w:tcW w:w="1329" w:type="dxa"/>
            <w:shd w:val="clear" w:color="auto" w:fill="auto"/>
            <w:vAlign w:val="bottom"/>
          </w:tcPr>
          <w:p w:rsidR="00CD79D0" w:rsidRPr="005D57E5" w:rsidRDefault="00CD79D0" w:rsidP="00451020">
            <w:pPr>
              <w:jc w:val="right"/>
              <w:rPr>
                <w:color w:val="000000"/>
                <w:sz w:val="24"/>
                <w:szCs w:val="24"/>
                <w:lang w:val="en-US" w:eastAsia="en-US"/>
              </w:rPr>
            </w:pPr>
            <w:r w:rsidRPr="005D57E5">
              <w:rPr>
                <w:color w:val="000000"/>
                <w:sz w:val="22"/>
                <w:szCs w:val="22"/>
                <w:lang w:val="en-US" w:eastAsia="en-US"/>
              </w:rPr>
              <w:t>1</w:t>
            </w:r>
          </w:p>
        </w:tc>
      </w:tr>
    </w:tbl>
    <w:p w:rsidR="00CD79D0" w:rsidRDefault="00CD79D0" w:rsidP="00CD79D0">
      <w:pPr>
        <w:spacing w:after="120" w:line="480" w:lineRule="auto"/>
        <w:rPr>
          <w:b/>
          <w:bCs/>
          <w:sz w:val="24"/>
          <w:szCs w:val="24"/>
          <w:lang w:val="en-GB"/>
        </w:rPr>
      </w:pPr>
    </w:p>
    <w:p w:rsidR="00B542BD" w:rsidRDefault="00E10624" w:rsidP="00B542BD">
      <w:pPr>
        <w:spacing w:after="120" w:line="480" w:lineRule="auto"/>
        <w:rPr>
          <w:b/>
          <w:sz w:val="24"/>
          <w:szCs w:val="24"/>
          <w:lang w:val="en-US"/>
        </w:rPr>
      </w:pPr>
      <w:r>
        <w:rPr>
          <w:b/>
          <w:sz w:val="24"/>
          <w:szCs w:val="24"/>
          <w:lang w:val="en-US"/>
        </w:rPr>
        <w:t xml:space="preserve"> </w:t>
      </w:r>
    </w:p>
    <w:p w:rsidR="005D7432" w:rsidRDefault="0080668E" w:rsidP="002550A1">
      <w:pPr>
        <w:spacing w:after="120" w:line="480" w:lineRule="auto"/>
        <w:rPr>
          <w:sz w:val="24"/>
          <w:szCs w:val="24"/>
          <w:lang w:val="en-US"/>
        </w:rPr>
      </w:pPr>
      <w:r>
        <w:rPr>
          <w:sz w:val="24"/>
          <w:szCs w:val="24"/>
          <w:lang w:val="en-US"/>
        </w:rPr>
        <w:t>We now consider a n</w:t>
      </w:r>
      <w:r w:rsidR="00D718C7">
        <w:rPr>
          <w:sz w:val="24"/>
          <w:szCs w:val="24"/>
          <w:lang w:val="en-US"/>
        </w:rPr>
        <w:t>ested model comparison o</w:t>
      </w:r>
      <w:r w:rsidR="006E595C">
        <w:rPr>
          <w:sz w:val="24"/>
          <w:szCs w:val="24"/>
          <w:lang w:val="en-US"/>
        </w:rPr>
        <w:t>f</w:t>
      </w:r>
      <w:r w:rsidR="00D718C7">
        <w:rPr>
          <w:sz w:val="24"/>
          <w:szCs w:val="24"/>
          <w:lang w:val="en-US"/>
        </w:rPr>
        <w:t xml:space="preserve"> the </w:t>
      </w:r>
      <w:r w:rsidR="005423EC">
        <w:rPr>
          <w:sz w:val="24"/>
          <w:szCs w:val="24"/>
          <w:lang w:val="en-US"/>
        </w:rPr>
        <w:t>232</w:t>
      </w:r>
      <w:r w:rsidR="00D718C7">
        <w:rPr>
          <w:sz w:val="24"/>
          <w:szCs w:val="24"/>
          <w:lang w:val="en-US"/>
        </w:rPr>
        <w:t xml:space="preserve"> datasets </w:t>
      </w:r>
      <w:r>
        <w:rPr>
          <w:sz w:val="24"/>
          <w:szCs w:val="24"/>
          <w:lang w:val="en-US"/>
        </w:rPr>
        <w:t>with respect to middle-</w:t>
      </w:r>
      <w:r w:rsidR="00426749" w:rsidRPr="00426749">
        <w:rPr>
          <w:sz w:val="24"/>
          <w:szCs w:val="24"/>
          <w:lang w:val="en-US"/>
        </w:rPr>
        <w:t xml:space="preserve">class polarization </w:t>
      </w:r>
      <w:r w:rsidR="00426749">
        <w:rPr>
          <w:sz w:val="24"/>
          <w:szCs w:val="24"/>
          <w:lang w:val="en-US"/>
        </w:rPr>
        <w:t>(</w:t>
      </w:r>
      <w:proofErr w:type="spellStart"/>
      <w:r w:rsidR="00426749">
        <w:rPr>
          <w:sz w:val="24"/>
          <w:szCs w:val="24"/>
          <w:lang w:val="en-US"/>
        </w:rPr>
        <w:t>rpol</w:t>
      </w:r>
      <w:proofErr w:type="spellEnd"/>
      <w:r w:rsidR="00426749">
        <w:rPr>
          <w:sz w:val="24"/>
          <w:szCs w:val="24"/>
          <w:lang w:val="en-US"/>
        </w:rPr>
        <w:t>)</w:t>
      </w:r>
      <w:r>
        <w:rPr>
          <w:sz w:val="24"/>
          <w:szCs w:val="24"/>
          <w:lang w:val="en-US"/>
        </w:rPr>
        <w:t xml:space="preserve">. When entered first, </w:t>
      </w:r>
      <w:r w:rsidR="00426749" w:rsidRPr="00426749">
        <w:rPr>
          <w:sz w:val="24"/>
          <w:szCs w:val="24"/>
          <w:lang w:val="en-US"/>
        </w:rPr>
        <w:t>the Gini coefficient explains</w:t>
      </w:r>
      <w:r w:rsidR="00D6658F">
        <w:rPr>
          <w:sz w:val="24"/>
          <w:szCs w:val="24"/>
          <w:lang w:val="en-US"/>
        </w:rPr>
        <w:t xml:space="preserve"> more than half </w:t>
      </w:r>
      <w:r>
        <w:rPr>
          <w:sz w:val="24"/>
          <w:szCs w:val="24"/>
          <w:lang w:val="en-US"/>
        </w:rPr>
        <w:t xml:space="preserve">of the variation in </w:t>
      </w:r>
      <w:proofErr w:type="spellStart"/>
      <w:r>
        <w:rPr>
          <w:sz w:val="24"/>
          <w:szCs w:val="24"/>
          <w:lang w:val="en-US"/>
        </w:rPr>
        <w:t>rpol</w:t>
      </w:r>
      <w:proofErr w:type="spellEnd"/>
      <w:r>
        <w:rPr>
          <w:sz w:val="24"/>
          <w:szCs w:val="24"/>
          <w:lang w:val="en-US"/>
        </w:rPr>
        <w:t xml:space="preserve">, with </w:t>
      </w:r>
      <w:r w:rsidR="00426749" w:rsidRPr="00426749">
        <w:rPr>
          <w:sz w:val="24"/>
          <w:szCs w:val="24"/>
          <w:lang w:val="en-US"/>
        </w:rPr>
        <w:t xml:space="preserve">the </w:t>
      </w:r>
      <w:proofErr w:type="spellStart"/>
      <w:r>
        <w:rPr>
          <w:sz w:val="24"/>
          <w:szCs w:val="24"/>
          <w:lang w:val="en-US"/>
        </w:rPr>
        <w:t>Wolfson</w:t>
      </w:r>
      <w:proofErr w:type="spellEnd"/>
      <w:r>
        <w:rPr>
          <w:sz w:val="24"/>
          <w:szCs w:val="24"/>
          <w:lang w:val="en-US"/>
        </w:rPr>
        <w:t xml:space="preserve"> adding a further </w:t>
      </w:r>
      <w:r w:rsidR="00D6658F">
        <w:rPr>
          <w:sz w:val="24"/>
          <w:szCs w:val="24"/>
          <w:lang w:val="en-US"/>
        </w:rPr>
        <w:t>4.2</w:t>
      </w:r>
      <w:r w:rsidR="00426749" w:rsidRPr="00426749">
        <w:rPr>
          <w:sz w:val="24"/>
          <w:szCs w:val="24"/>
          <w:lang w:val="en-US"/>
        </w:rPr>
        <w:t>%</w:t>
      </w:r>
      <w:r w:rsidR="00D6658F">
        <w:rPr>
          <w:sz w:val="24"/>
          <w:szCs w:val="24"/>
          <w:lang w:val="en-US"/>
        </w:rPr>
        <w:t xml:space="preserve">, </w:t>
      </w:r>
      <w:r>
        <w:rPr>
          <w:sz w:val="24"/>
          <w:szCs w:val="24"/>
          <w:lang w:val="en-US"/>
        </w:rPr>
        <w:t xml:space="preserve">which </w:t>
      </w:r>
      <w:r w:rsidR="00D6658F">
        <w:rPr>
          <w:sz w:val="24"/>
          <w:szCs w:val="24"/>
          <w:lang w:val="en-US"/>
        </w:rPr>
        <w:t>is significant</w:t>
      </w:r>
      <w:r w:rsidR="00426749" w:rsidRPr="00426749">
        <w:rPr>
          <w:sz w:val="24"/>
          <w:szCs w:val="24"/>
          <w:lang w:val="en-US"/>
        </w:rPr>
        <w:t xml:space="preserve">; when </w:t>
      </w:r>
      <w:r w:rsidR="00C44423">
        <w:rPr>
          <w:sz w:val="24"/>
          <w:szCs w:val="24"/>
          <w:lang w:val="en-US"/>
        </w:rPr>
        <w:t xml:space="preserve">the </w:t>
      </w:r>
      <w:proofErr w:type="spellStart"/>
      <w:r w:rsidR="00A27EE3">
        <w:rPr>
          <w:sz w:val="24"/>
          <w:szCs w:val="24"/>
          <w:lang w:val="en-US"/>
        </w:rPr>
        <w:t>Wolfson</w:t>
      </w:r>
      <w:proofErr w:type="spellEnd"/>
      <w:r w:rsidR="00A27EE3">
        <w:rPr>
          <w:sz w:val="24"/>
          <w:szCs w:val="24"/>
          <w:lang w:val="en-US"/>
        </w:rPr>
        <w:t xml:space="preserve"> </w:t>
      </w:r>
      <w:r w:rsidR="00C44423">
        <w:rPr>
          <w:sz w:val="24"/>
          <w:szCs w:val="24"/>
          <w:lang w:val="en-US"/>
        </w:rPr>
        <w:t xml:space="preserve">index </w:t>
      </w:r>
      <w:r w:rsidR="00426749" w:rsidRPr="00426749">
        <w:rPr>
          <w:sz w:val="24"/>
          <w:szCs w:val="24"/>
          <w:lang w:val="en-US"/>
        </w:rPr>
        <w:t xml:space="preserve">is entered first, the </w:t>
      </w:r>
      <w:r w:rsidR="002A1BD0">
        <w:rPr>
          <w:sz w:val="24"/>
          <w:szCs w:val="24"/>
          <w:lang w:val="en-US"/>
        </w:rPr>
        <w:t>r</w:t>
      </w:r>
      <w:r w:rsidR="002A1BD0" w:rsidRPr="002550A1">
        <w:rPr>
          <w:sz w:val="24"/>
          <w:szCs w:val="24"/>
          <w:vertAlign w:val="superscript"/>
          <w:lang w:val="en-US"/>
        </w:rPr>
        <w:t>2</w:t>
      </w:r>
      <w:r w:rsidR="002A1BD0" w:rsidRPr="00426749">
        <w:rPr>
          <w:sz w:val="24"/>
          <w:szCs w:val="24"/>
          <w:lang w:val="en-US"/>
        </w:rPr>
        <w:t xml:space="preserve"> </w:t>
      </w:r>
      <w:r w:rsidR="00426749" w:rsidRPr="00426749">
        <w:rPr>
          <w:sz w:val="24"/>
          <w:szCs w:val="24"/>
          <w:lang w:val="en-US"/>
        </w:rPr>
        <w:t xml:space="preserve">is </w:t>
      </w:r>
      <w:r w:rsidR="00D6658F">
        <w:rPr>
          <w:sz w:val="24"/>
          <w:szCs w:val="24"/>
          <w:lang w:val="en-US"/>
        </w:rPr>
        <w:t>72</w:t>
      </w:r>
      <w:r w:rsidR="00426749" w:rsidRPr="00426749">
        <w:rPr>
          <w:sz w:val="24"/>
          <w:szCs w:val="24"/>
          <w:lang w:val="en-US"/>
        </w:rPr>
        <w:t>.</w:t>
      </w:r>
      <w:r w:rsidR="00A27EE3">
        <w:rPr>
          <w:sz w:val="24"/>
          <w:szCs w:val="24"/>
          <w:lang w:val="en-US"/>
        </w:rPr>
        <w:t>2</w:t>
      </w:r>
      <w:r w:rsidR="00426749" w:rsidRPr="00426749">
        <w:rPr>
          <w:sz w:val="24"/>
          <w:szCs w:val="24"/>
          <w:lang w:val="en-US"/>
        </w:rPr>
        <w:t>%</w:t>
      </w:r>
      <w:r w:rsidR="00C44423">
        <w:rPr>
          <w:sz w:val="24"/>
          <w:szCs w:val="24"/>
          <w:lang w:val="en-US"/>
        </w:rPr>
        <w:t>,</w:t>
      </w:r>
      <w:r w:rsidR="00426749" w:rsidRPr="00426749">
        <w:rPr>
          <w:sz w:val="24"/>
          <w:szCs w:val="24"/>
          <w:lang w:val="en-US"/>
        </w:rPr>
        <w:t xml:space="preserve"> </w:t>
      </w:r>
      <w:r w:rsidR="00C44423">
        <w:rPr>
          <w:sz w:val="24"/>
          <w:szCs w:val="24"/>
          <w:lang w:val="en-US"/>
        </w:rPr>
        <w:t xml:space="preserve">with the </w:t>
      </w:r>
      <w:r w:rsidR="00A27EE3">
        <w:rPr>
          <w:sz w:val="24"/>
          <w:szCs w:val="24"/>
          <w:lang w:val="en-US"/>
        </w:rPr>
        <w:t>Gini</w:t>
      </w:r>
      <w:r w:rsidR="00426749" w:rsidRPr="00426749">
        <w:rPr>
          <w:sz w:val="24"/>
          <w:szCs w:val="24"/>
          <w:lang w:val="en-US"/>
        </w:rPr>
        <w:t xml:space="preserve"> </w:t>
      </w:r>
      <w:r w:rsidR="00C44423">
        <w:rPr>
          <w:sz w:val="24"/>
          <w:szCs w:val="24"/>
          <w:lang w:val="en-US"/>
        </w:rPr>
        <w:t xml:space="preserve">adding no further </w:t>
      </w:r>
      <w:r w:rsidR="00D6658F">
        <w:rPr>
          <w:sz w:val="24"/>
          <w:szCs w:val="24"/>
          <w:lang w:val="en-US"/>
        </w:rPr>
        <w:t>significant</w:t>
      </w:r>
      <w:r w:rsidR="00C44423">
        <w:rPr>
          <w:sz w:val="24"/>
          <w:szCs w:val="24"/>
          <w:lang w:val="en-US"/>
        </w:rPr>
        <w:t xml:space="preserve"> explanatory power</w:t>
      </w:r>
      <w:r w:rsidR="00D718C7">
        <w:rPr>
          <w:sz w:val="24"/>
          <w:szCs w:val="24"/>
          <w:lang w:val="en-US"/>
        </w:rPr>
        <w:t xml:space="preserve">. </w:t>
      </w:r>
      <w:r w:rsidR="00C44423">
        <w:rPr>
          <w:sz w:val="24"/>
          <w:szCs w:val="24"/>
          <w:lang w:val="en-US"/>
        </w:rPr>
        <w:t>T</w:t>
      </w:r>
      <w:r w:rsidR="009D784C">
        <w:rPr>
          <w:sz w:val="24"/>
          <w:szCs w:val="24"/>
          <w:lang w:val="en-US"/>
        </w:rPr>
        <w:t xml:space="preserve">he </w:t>
      </w:r>
      <w:proofErr w:type="spellStart"/>
      <w:r w:rsidR="00EB235F">
        <w:rPr>
          <w:sz w:val="24"/>
          <w:szCs w:val="24"/>
          <w:lang w:val="en-US"/>
        </w:rPr>
        <w:t>Wolfson</w:t>
      </w:r>
      <w:proofErr w:type="spellEnd"/>
      <w:r w:rsidR="009D784C">
        <w:rPr>
          <w:sz w:val="24"/>
          <w:szCs w:val="24"/>
          <w:lang w:val="en-US"/>
        </w:rPr>
        <w:t xml:space="preserve"> index </w:t>
      </w:r>
      <w:r w:rsidR="006E595C">
        <w:rPr>
          <w:sz w:val="24"/>
          <w:szCs w:val="24"/>
          <w:lang w:val="en-US"/>
        </w:rPr>
        <w:t xml:space="preserve">does </w:t>
      </w:r>
      <w:r w:rsidR="00C44423">
        <w:rPr>
          <w:sz w:val="24"/>
          <w:szCs w:val="24"/>
          <w:lang w:val="en-US"/>
        </w:rPr>
        <w:t xml:space="preserve">therefore act </w:t>
      </w:r>
      <w:r w:rsidR="00E52530">
        <w:rPr>
          <w:sz w:val="24"/>
          <w:szCs w:val="24"/>
          <w:lang w:val="en-US"/>
        </w:rPr>
        <w:t xml:space="preserve">as </w:t>
      </w:r>
      <w:r w:rsidR="00EB235F">
        <w:rPr>
          <w:sz w:val="24"/>
          <w:szCs w:val="24"/>
          <w:lang w:val="en-US"/>
        </w:rPr>
        <w:t xml:space="preserve">a </w:t>
      </w:r>
      <w:r w:rsidR="00A27EE3">
        <w:rPr>
          <w:sz w:val="24"/>
          <w:szCs w:val="24"/>
          <w:lang w:val="en-US"/>
        </w:rPr>
        <w:t xml:space="preserve">good </w:t>
      </w:r>
      <w:r w:rsidR="00EB235F">
        <w:rPr>
          <w:sz w:val="24"/>
          <w:szCs w:val="24"/>
          <w:lang w:val="en-US"/>
        </w:rPr>
        <w:t>measure of polarization</w:t>
      </w:r>
      <w:r w:rsidR="00913F36">
        <w:rPr>
          <w:sz w:val="24"/>
          <w:szCs w:val="24"/>
          <w:lang w:val="en-US"/>
        </w:rPr>
        <w:t>,</w:t>
      </w:r>
      <w:r w:rsidR="00EB235F">
        <w:rPr>
          <w:sz w:val="24"/>
          <w:szCs w:val="24"/>
          <w:lang w:val="en-US"/>
        </w:rPr>
        <w:t xml:space="preserve"> </w:t>
      </w:r>
      <w:r w:rsidR="009D784C">
        <w:rPr>
          <w:sz w:val="24"/>
          <w:szCs w:val="24"/>
          <w:lang w:val="en-US"/>
        </w:rPr>
        <w:t>although</w:t>
      </w:r>
      <w:r w:rsidR="00913F36">
        <w:rPr>
          <w:sz w:val="24"/>
          <w:szCs w:val="24"/>
          <w:lang w:val="en-US"/>
        </w:rPr>
        <w:t xml:space="preserve"> to this extent</w:t>
      </w:r>
      <w:r w:rsidR="00D6658F">
        <w:rPr>
          <w:sz w:val="24"/>
          <w:szCs w:val="24"/>
          <w:lang w:val="en-US"/>
        </w:rPr>
        <w:t xml:space="preserve"> </w:t>
      </w:r>
      <w:r w:rsidR="00472786" w:rsidRPr="00472786">
        <w:rPr>
          <w:rFonts w:ascii="Symbol" w:hAnsi="Symbol"/>
          <w:sz w:val="24"/>
          <w:szCs w:val="24"/>
          <w:lang w:val="en-US"/>
        </w:rPr>
        <w:t></w:t>
      </w:r>
      <w:r w:rsidR="00A27EE3" w:rsidRPr="00FA44A0">
        <w:rPr>
          <w:sz w:val="24"/>
          <w:szCs w:val="24"/>
          <w:lang w:val="en-US"/>
        </w:rPr>
        <w:t xml:space="preserve"> performs better</w:t>
      </w:r>
      <w:r w:rsidR="00D6658F">
        <w:rPr>
          <w:sz w:val="24"/>
          <w:szCs w:val="24"/>
          <w:lang w:val="en-US"/>
        </w:rPr>
        <w:t xml:space="preserve"> (</w:t>
      </w:r>
      <w:r w:rsidR="00913F36">
        <w:rPr>
          <w:sz w:val="24"/>
          <w:szCs w:val="24"/>
          <w:lang w:val="en-US"/>
        </w:rPr>
        <w:t>see T</w:t>
      </w:r>
      <w:r w:rsidR="00D6658F">
        <w:rPr>
          <w:sz w:val="24"/>
          <w:szCs w:val="24"/>
          <w:lang w:val="en-US"/>
        </w:rPr>
        <w:t xml:space="preserve">able </w:t>
      </w:r>
      <w:r w:rsidR="00CD79D0">
        <w:rPr>
          <w:sz w:val="24"/>
          <w:szCs w:val="24"/>
          <w:lang w:val="en-US"/>
        </w:rPr>
        <w:t>A2a5</w:t>
      </w:r>
      <w:r w:rsidR="00D6658F">
        <w:rPr>
          <w:sz w:val="24"/>
          <w:szCs w:val="24"/>
          <w:lang w:val="en-US"/>
        </w:rPr>
        <w:t>)</w:t>
      </w:r>
      <w:r w:rsidR="000A0A27">
        <w:rPr>
          <w:sz w:val="24"/>
          <w:szCs w:val="24"/>
          <w:lang w:val="en-US"/>
        </w:rPr>
        <w:t xml:space="preserve">. </w:t>
      </w:r>
      <w:r w:rsidR="00913F36">
        <w:rPr>
          <w:sz w:val="24"/>
          <w:szCs w:val="24"/>
          <w:lang w:val="en-US"/>
        </w:rPr>
        <w:t xml:space="preserve">In general, for </w:t>
      </w:r>
      <w:r w:rsidR="004E52D3">
        <w:rPr>
          <w:sz w:val="24"/>
          <w:szCs w:val="24"/>
          <w:lang w:val="en-US"/>
        </w:rPr>
        <w:t xml:space="preserve">the different aspects of inequality measurement, the </w:t>
      </w:r>
      <w:r w:rsidR="003432D6">
        <w:rPr>
          <w:sz w:val="24"/>
          <w:szCs w:val="24"/>
          <w:lang w:val="en-US"/>
        </w:rPr>
        <w:t xml:space="preserve">ABG </w:t>
      </w:r>
      <w:r w:rsidR="0025622F">
        <w:rPr>
          <w:sz w:val="24"/>
          <w:szCs w:val="24"/>
          <w:lang w:val="en-US"/>
        </w:rPr>
        <w:t xml:space="preserve">method offers interpretable parameters that generally </w:t>
      </w:r>
      <w:r w:rsidR="003432D6">
        <w:rPr>
          <w:sz w:val="24"/>
          <w:szCs w:val="24"/>
          <w:lang w:val="en-US"/>
        </w:rPr>
        <w:t>outperform the other methods</w:t>
      </w:r>
      <w:r w:rsidR="0025622F">
        <w:rPr>
          <w:sz w:val="24"/>
          <w:szCs w:val="24"/>
          <w:lang w:val="en-US"/>
        </w:rPr>
        <w:t xml:space="preserve"> in terms of </w:t>
      </w:r>
      <w:r w:rsidR="00913F36">
        <w:rPr>
          <w:sz w:val="24"/>
          <w:szCs w:val="24"/>
          <w:lang w:val="en-US"/>
        </w:rPr>
        <w:t xml:space="preserve">the </w:t>
      </w:r>
      <w:r w:rsidR="0025622F">
        <w:rPr>
          <w:sz w:val="24"/>
          <w:szCs w:val="24"/>
          <w:lang w:val="en-US"/>
        </w:rPr>
        <w:t xml:space="preserve">description of </w:t>
      </w:r>
      <w:r w:rsidR="00913F36">
        <w:rPr>
          <w:sz w:val="24"/>
          <w:szCs w:val="24"/>
          <w:lang w:val="en-US"/>
        </w:rPr>
        <w:t xml:space="preserve">the </w:t>
      </w:r>
      <w:r w:rsidR="0025622F">
        <w:rPr>
          <w:sz w:val="24"/>
          <w:szCs w:val="24"/>
          <w:lang w:val="en-US"/>
        </w:rPr>
        <w:t>distribution</w:t>
      </w:r>
      <w:r w:rsidR="00346CF8">
        <w:rPr>
          <w:sz w:val="24"/>
          <w:szCs w:val="24"/>
          <w:lang w:val="en-US"/>
        </w:rPr>
        <w:t xml:space="preserve"> and</w:t>
      </w:r>
      <w:r w:rsidR="0025622F">
        <w:rPr>
          <w:sz w:val="24"/>
          <w:szCs w:val="24"/>
          <w:lang w:val="en-US"/>
        </w:rPr>
        <w:t xml:space="preserve"> </w:t>
      </w:r>
      <w:r w:rsidR="00913F36">
        <w:rPr>
          <w:sz w:val="24"/>
          <w:szCs w:val="24"/>
          <w:lang w:val="en-US"/>
        </w:rPr>
        <w:t xml:space="preserve">the </w:t>
      </w:r>
      <w:r w:rsidR="00346CF8">
        <w:rPr>
          <w:sz w:val="24"/>
          <w:szCs w:val="24"/>
          <w:lang w:val="en-US"/>
        </w:rPr>
        <w:t>size of income class</w:t>
      </w:r>
      <w:r w:rsidR="00913F36">
        <w:rPr>
          <w:sz w:val="24"/>
          <w:szCs w:val="24"/>
          <w:lang w:val="en-US"/>
        </w:rPr>
        <w:t>es</w:t>
      </w:r>
      <w:r w:rsidR="003432D6">
        <w:rPr>
          <w:sz w:val="24"/>
          <w:szCs w:val="24"/>
          <w:lang w:val="en-US"/>
        </w:rPr>
        <w:t xml:space="preserve">. </w:t>
      </w:r>
    </w:p>
    <w:p w:rsidR="00CD79D0" w:rsidRPr="008B0DAB" w:rsidRDefault="00CD79D0" w:rsidP="00CD79D0">
      <w:pPr>
        <w:spacing w:after="120" w:line="480" w:lineRule="auto"/>
        <w:rPr>
          <w:b/>
          <w:bCs/>
          <w:sz w:val="24"/>
          <w:szCs w:val="24"/>
          <w:lang w:val="en-GB"/>
        </w:rPr>
      </w:pPr>
      <w:r>
        <w:rPr>
          <w:b/>
          <w:bCs/>
          <w:sz w:val="24"/>
          <w:szCs w:val="24"/>
          <w:lang w:val="en-GB"/>
        </w:rPr>
        <w:t xml:space="preserve">Table </w:t>
      </w:r>
      <w:r>
        <w:rPr>
          <w:sz w:val="24"/>
          <w:szCs w:val="24"/>
          <w:lang w:val="en-US"/>
        </w:rPr>
        <w:t>A2a5</w:t>
      </w:r>
      <w:r>
        <w:rPr>
          <w:b/>
          <w:bCs/>
          <w:sz w:val="24"/>
          <w:szCs w:val="24"/>
          <w:lang w:val="en-GB"/>
        </w:rPr>
        <w:t>: R</w:t>
      </w:r>
      <w:r w:rsidRPr="008B0DAB">
        <w:rPr>
          <w:b/>
          <w:bCs/>
          <w:sz w:val="24"/>
          <w:szCs w:val="24"/>
          <w:vertAlign w:val="superscript"/>
          <w:lang w:val="en-GB"/>
        </w:rPr>
        <w:t>2</w:t>
      </w:r>
      <w:r>
        <w:rPr>
          <w:b/>
          <w:bCs/>
          <w:sz w:val="24"/>
          <w:szCs w:val="24"/>
          <w:lang w:val="en-GB"/>
        </w:rPr>
        <w:t xml:space="preserve"> Added Value in Nested Models of </w:t>
      </w:r>
      <w:proofErr w:type="spellStart"/>
      <w:r>
        <w:rPr>
          <w:b/>
          <w:bCs/>
          <w:sz w:val="24"/>
          <w:szCs w:val="24"/>
          <w:lang w:val="en-GB"/>
        </w:rPr>
        <w:t>Rpol</w:t>
      </w:r>
      <w:proofErr w:type="spellEnd"/>
      <w:r>
        <w:rPr>
          <w:b/>
          <w:bCs/>
          <w:sz w:val="24"/>
          <w:szCs w:val="24"/>
          <w:lang w:val="en-GB"/>
        </w:rPr>
        <w:t xml:space="preserve"> (Middle Class Polarization) of the Gini Coefficient and </w:t>
      </w:r>
      <w:proofErr w:type="spellStart"/>
      <w:r>
        <w:rPr>
          <w:b/>
          <w:bCs/>
          <w:sz w:val="24"/>
          <w:szCs w:val="24"/>
          <w:lang w:val="en-GB"/>
        </w:rPr>
        <w:t>Wolfson</w:t>
      </w:r>
      <w:proofErr w:type="spellEnd"/>
      <w:r>
        <w:rPr>
          <w:b/>
          <w:bCs/>
          <w:sz w:val="24"/>
          <w:szCs w:val="24"/>
          <w:lang w:val="en-GB"/>
        </w:rPr>
        <w:t xml:space="preserve"> Index</w:t>
      </w: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426"/>
        <w:gridCol w:w="1048"/>
        <w:gridCol w:w="1402"/>
        <w:gridCol w:w="271"/>
        <w:gridCol w:w="1426"/>
        <w:gridCol w:w="960"/>
        <w:gridCol w:w="1402"/>
      </w:tblGrid>
      <w:tr w:rsidR="00CD79D0" w:rsidRPr="000967DD" w:rsidTr="00451020">
        <w:trPr>
          <w:trHeight w:val="300"/>
        </w:trPr>
        <w:tc>
          <w:tcPr>
            <w:tcW w:w="960" w:type="dxa"/>
            <w:shd w:val="clear" w:color="auto" w:fill="auto"/>
            <w:noWrap/>
            <w:hideMark/>
          </w:tcPr>
          <w:p w:rsidR="00CD79D0" w:rsidRPr="000967DD" w:rsidRDefault="00CD79D0" w:rsidP="00451020">
            <w:pPr>
              <w:rPr>
                <w:color w:val="000000"/>
                <w:sz w:val="22"/>
                <w:szCs w:val="22"/>
                <w:lang w:val="en-US" w:eastAsia="en-US"/>
              </w:rPr>
            </w:pPr>
          </w:p>
        </w:tc>
        <w:tc>
          <w:tcPr>
            <w:tcW w:w="1426" w:type="dxa"/>
            <w:shd w:val="clear" w:color="auto" w:fill="auto"/>
            <w:noWrap/>
            <w:hideMark/>
          </w:tcPr>
          <w:p w:rsidR="00CD79D0" w:rsidRPr="000967DD" w:rsidRDefault="00CD79D0" w:rsidP="00451020">
            <w:pPr>
              <w:rPr>
                <w:color w:val="000000"/>
                <w:sz w:val="22"/>
                <w:szCs w:val="22"/>
                <w:lang w:val="en-US" w:eastAsia="en-US"/>
              </w:rPr>
            </w:pPr>
            <w:r>
              <w:rPr>
                <w:color w:val="000000"/>
                <w:sz w:val="22"/>
                <w:szCs w:val="22"/>
                <w:lang w:val="en-US" w:eastAsia="en-US"/>
              </w:rPr>
              <w:t xml:space="preserve">Gini </w:t>
            </w:r>
            <w:r w:rsidRPr="000967DD">
              <w:rPr>
                <w:color w:val="000000"/>
                <w:sz w:val="22"/>
                <w:szCs w:val="22"/>
                <w:lang w:val="en-US" w:eastAsia="en-US"/>
              </w:rPr>
              <w:t xml:space="preserve"> first</w:t>
            </w:r>
          </w:p>
        </w:tc>
        <w:tc>
          <w:tcPr>
            <w:tcW w:w="1048" w:type="dxa"/>
            <w:shd w:val="clear" w:color="auto" w:fill="auto"/>
            <w:noWrap/>
            <w:hideMark/>
          </w:tcPr>
          <w:p w:rsidR="00CD79D0" w:rsidRPr="000967DD" w:rsidRDefault="00CD79D0" w:rsidP="00451020">
            <w:pPr>
              <w:rPr>
                <w:color w:val="000000"/>
                <w:sz w:val="22"/>
                <w:szCs w:val="22"/>
                <w:lang w:val="en-US" w:eastAsia="en-US"/>
              </w:rPr>
            </w:pPr>
            <w:proofErr w:type="spellStart"/>
            <w:r>
              <w:rPr>
                <w:color w:val="000000"/>
                <w:sz w:val="22"/>
                <w:szCs w:val="22"/>
                <w:lang w:val="en-US" w:eastAsia="en-US"/>
              </w:rPr>
              <w:t>Wolfson</w:t>
            </w:r>
            <w:proofErr w:type="spellEnd"/>
            <w:r>
              <w:rPr>
                <w:color w:val="000000"/>
                <w:sz w:val="22"/>
                <w:szCs w:val="22"/>
                <w:lang w:val="en-US" w:eastAsia="en-US"/>
              </w:rPr>
              <w:t xml:space="preserve"> </w:t>
            </w:r>
            <w:r w:rsidRPr="000967DD">
              <w:rPr>
                <w:color w:val="000000"/>
                <w:sz w:val="22"/>
                <w:szCs w:val="22"/>
                <w:lang w:val="en-US" w:eastAsia="en-US"/>
              </w:rPr>
              <w:t xml:space="preserve"> delta </w:t>
            </w:r>
            <w:r>
              <w:rPr>
                <w:color w:val="000000"/>
                <w:sz w:val="22"/>
                <w:szCs w:val="22"/>
                <w:lang w:val="en-US" w:eastAsia="en-US"/>
              </w:rPr>
              <w:t>r</w:t>
            </w:r>
            <w:r w:rsidRPr="000967DD">
              <w:rPr>
                <w:color w:val="000000"/>
                <w:sz w:val="22"/>
                <w:szCs w:val="22"/>
                <w:vertAlign w:val="superscript"/>
                <w:lang w:val="en-US" w:eastAsia="en-US"/>
              </w:rPr>
              <w:t>2</w:t>
            </w:r>
            <w:r w:rsidRPr="000967DD">
              <w:rPr>
                <w:color w:val="000000"/>
                <w:sz w:val="22"/>
                <w:szCs w:val="22"/>
                <w:lang w:val="en-US" w:eastAsia="en-US"/>
              </w:rPr>
              <w:t xml:space="preserve"> </w:t>
            </w:r>
          </w:p>
        </w:tc>
        <w:tc>
          <w:tcPr>
            <w:tcW w:w="1402" w:type="dxa"/>
          </w:tcPr>
          <w:p w:rsidR="00CD79D0" w:rsidRPr="000967DD" w:rsidRDefault="00CD79D0" w:rsidP="00451020">
            <w:pPr>
              <w:jc w:val="right"/>
              <w:rPr>
                <w:color w:val="000000"/>
                <w:sz w:val="22"/>
                <w:szCs w:val="22"/>
                <w:lang w:val="en-US" w:eastAsia="en-US"/>
              </w:rPr>
            </w:pPr>
            <w:r>
              <w:rPr>
                <w:color w:val="000000"/>
                <w:sz w:val="22"/>
                <w:szCs w:val="22"/>
                <w:lang w:val="en-US" w:eastAsia="en-US"/>
              </w:rPr>
              <w:t>Improvement sig. p</w:t>
            </w:r>
          </w:p>
        </w:tc>
        <w:tc>
          <w:tcPr>
            <w:tcW w:w="271" w:type="dxa"/>
            <w:shd w:val="clear" w:color="auto" w:fill="auto"/>
            <w:noWrap/>
          </w:tcPr>
          <w:p w:rsidR="00CD79D0" w:rsidRPr="000967DD" w:rsidRDefault="00CD79D0" w:rsidP="00451020">
            <w:pPr>
              <w:jc w:val="right"/>
              <w:rPr>
                <w:color w:val="000000"/>
                <w:sz w:val="22"/>
                <w:szCs w:val="22"/>
                <w:lang w:val="en-US" w:eastAsia="en-US"/>
              </w:rPr>
            </w:pPr>
          </w:p>
        </w:tc>
        <w:tc>
          <w:tcPr>
            <w:tcW w:w="1426" w:type="dxa"/>
            <w:shd w:val="clear" w:color="auto" w:fill="auto"/>
            <w:noWrap/>
            <w:hideMark/>
          </w:tcPr>
          <w:p w:rsidR="00CD79D0" w:rsidRPr="000967DD" w:rsidRDefault="00CD79D0" w:rsidP="00451020">
            <w:pPr>
              <w:rPr>
                <w:color w:val="000000"/>
                <w:sz w:val="22"/>
                <w:szCs w:val="22"/>
                <w:lang w:val="en-US" w:eastAsia="en-US"/>
              </w:rPr>
            </w:pPr>
            <w:proofErr w:type="spellStart"/>
            <w:r>
              <w:rPr>
                <w:color w:val="000000"/>
                <w:sz w:val="22"/>
                <w:szCs w:val="22"/>
                <w:lang w:val="en-US" w:eastAsia="en-US"/>
              </w:rPr>
              <w:t>Wolfson</w:t>
            </w:r>
            <w:proofErr w:type="spellEnd"/>
            <w:r>
              <w:rPr>
                <w:color w:val="000000"/>
                <w:sz w:val="22"/>
                <w:szCs w:val="22"/>
                <w:lang w:val="en-US" w:eastAsia="en-US"/>
              </w:rPr>
              <w:t xml:space="preserve"> </w:t>
            </w:r>
            <w:r w:rsidRPr="000967DD">
              <w:rPr>
                <w:color w:val="000000"/>
                <w:sz w:val="22"/>
                <w:szCs w:val="22"/>
                <w:lang w:val="en-US" w:eastAsia="en-US"/>
              </w:rPr>
              <w:t xml:space="preserve"> first</w:t>
            </w:r>
          </w:p>
        </w:tc>
        <w:tc>
          <w:tcPr>
            <w:tcW w:w="960" w:type="dxa"/>
            <w:shd w:val="clear" w:color="auto" w:fill="auto"/>
            <w:noWrap/>
            <w:hideMark/>
          </w:tcPr>
          <w:p w:rsidR="00CD79D0" w:rsidRPr="000967DD" w:rsidRDefault="00CD79D0" w:rsidP="00451020">
            <w:pPr>
              <w:rPr>
                <w:color w:val="000000"/>
                <w:sz w:val="22"/>
                <w:szCs w:val="22"/>
                <w:lang w:val="en-US" w:eastAsia="en-US"/>
              </w:rPr>
            </w:pPr>
            <w:r>
              <w:rPr>
                <w:color w:val="000000"/>
                <w:sz w:val="22"/>
                <w:szCs w:val="22"/>
                <w:lang w:val="en-US" w:eastAsia="en-US"/>
              </w:rPr>
              <w:t xml:space="preserve">Gini </w:t>
            </w:r>
            <w:r w:rsidRPr="000967DD">
              <w:rPr>
                <w:color w:val="000000"/>
                <w:sz w:val="22"/>
                <w:szCs w:val="22"/>
                <w:lang w:val="en-US" w:eastAsia="en-US"/>
              </w:rPr>
              <w:t xml:space="preserve"> delta </w:t>
            </w:r>
            <w:r>
              <w:rPr>
                <w:color w:val="000000"/>
                <w:sz w:val="22"/>
                <w:szCs w:val="22"/>
                <w:lang w:val="en-US" w:eastAsia="en-US"/>
              </w:rPr>
              <w:t>r</w:t>
            </w:r>
            <w:r w:rsidRPr="000967DD">
              <w:rPr>
                <w:color w:val="000000"/>
                <w:sz w:val="22"/>
                <w:szCs w:val="22"/>
                <w:vertAlign w:val="superscript"/>
                <w:lang w:val="en-US" w:eastAsia="en-US"/>
              </w:rPr>
              <w:t>2</w:t>
            </w:r>
          </w:p>
        </w:tc>
        <w:tc>
          <w:tcPr>
            <w:tcW w:w="1402" w:type="dxa"/>
          </w:tcPr>
          <w:p w:rsidR="00CD79D0" w:rsidRDefault="00CD79D0" w:rsidP="00451020">
            <w:pPr>
              <w:rPr>
                <w:color w:val="000000"/>
                <w:sz w:val="22"/>
                <w:szCs w:val="22"/>
                <w:lang w:val="en-US" w:eastAsia="en-US"/>
              </w:rPr>
            </w:pPr>
            <w:r>
              <w:rPr>
                <w:color w:val="000000"/>
                <w:sz w:val="22"/>
                <w:szCs w:val="22"/>
                <w:lang w:val="en-US" w:eastAsia="en-US"/>
              </w:rPr>
              <w:t>Improvement sig. p</w:t>
            </w:r>
          </w:p>
        </w:tc>
      </w:tr>
      <w:tr w:rsidR="00CD79D0" w:rsidRPr="000967DD" w:rsidTr="00451020">
        <w:trPr>
          <w:trHeight w:val="300"/>
        </w:trPr>
        <w:tc>
          <w:tcPr>
            <w:tcW w:w="960" w:type="dxa"/>
            <w:shd w:val="clear" w:color="auto" w:fill="auto"/>
            <w:noWrap/>
            <w:vAlign w:val="center"/>
            <w:hideMark/>
          </w:tcPr>
          <w:p w:rsidR="00CD79D0" w:rsidRPr="009D2C81" w:rsidRDefault="00CD79D0" w:rsidP="00451020">
            <w:pPr>
              <w:rPr>
                <w:color w:val="000000"/>
                <w:sz w:val="22"/>
                <w:szCs w:val="22"/>
                <w:lang w:val="en-US" w:eastAsia="en-US"/>
              </w:rPr>
            </w:pPr>
            <w:proofErr w:type="spellStart"/>
            <w:r>
              <w:rPr>
                <w:color w:val="000000"/>
                <w:sz w:val="22"/>
                <w:szCs w:val="22"/>
                <w:lang w:val="en-US" w:eastAsia="en-US"/>
              </w:rPr>
              <w:t>Rpol</w:t>
            </w:r>
            <w:proofErr w:type="spellEnd"/>
          </w:p>
        </w:tc>
        <w:tc>
          <w:tcPr>
            <w:tcW w:w="1426" w:type="dxa"/>
            <w:shd w:val="clear" w:color="auto" w:fill="auto"/>
            <w:noWrap/>
            <w:vAlign w:val="center"/>
            <w:hideMark/>
          </w:tcPr>
          <w:p w:rsidR="00CD79D0" w:rsidRPr="009D2C81" w:rsidRDefault="00CD79D0" w:rsidP="00451020">
            <w:pPr>
              <w:jc w:val="right"/>
              <w:rPr>
                <w:color w:val="000000"/>
                <w:sz w:val="22"/>
                <w:szCs w:val="22"/>
                <w:lang w:val="en-US" w:eastAsia="en-US"/>
              </w:rPr>
            </w:pPr>
            <w:r w:rsidRPr="00AB0207">
              <w:rPr>
                <w:color w:val="000000"/>
                <w:sz w:val="22"/>
                <w:szCs w:val="22"/>
                <w:lang w:val="en-US" w:eastAsia="en-US"/>
              </w:rPr>
              <w:t>0.6828</w:t>
            </w:r>
          </w:p>
        </w:tc>
        <w:tc>
          <w:tcPr>
            <w:tcW w:w="1048" w:type="dxa"/>
            <w:shd w:val="clear" w:color="auto" w:fill="auto"/>
            <w:noWrap/>
            <w:vAlign w:val="center"/>
            <w:hideMark/>
          </w:tcPr>
          <w:p w:rsidR="00CD79D0" w:rsidRPr="009D2C81" w:rsidRDefault="00CD79D0" w:rsidP="00451020">
            <w:pPr>
              <w:jc w:val="right"/>
              <w:rPr>
                <w:color w:val="000000"/>
                <w:sz w:val="22"/>
                <w:szCs w:val="22"/>
                <w:lang w:val="en-US" w:eastAsia="en-US"/>
              </w:rPr>
            </w:pPr>
            <w:r w:rsidRPr="00AB0207">
              <w:rPr>
                <w:rFonts w:ascii="Calibri" w:hAnsi="Calibri"/>
                <w:color w:val="000000"/>
                <w:sz w:val="22"/>
                <w:szCs w:val="22"/>
              </w:rPr>
              <w:t>0.0422</w:t>
            </w:r>
          </w:p>
        </w:tc>
        <w:tc>
          <w:tcPr>
            <w:tcW w:w="1402" w:type="dxa"/>
            <w:vAlign w:val="center"/>
          </w:tcPr>
          <w:p w:rsidR="00CD79D0" w:rsidRPr="009D2C81" w:rsidRDefault="00CD79D0" w:rsidP="00451020">
            <w:pPr>
              <w:jc w:val="right"/>
              <w:rPr>
                <w:color w:val="000000"/>
                <w:sz w:val="22"/>
                <w:szCs w:val="22"/>
                <w:lang w:val="en-US" w:eastAsia="en-US"/>
              </w:rPr>
            </w:pPr>
            <w:r w:rsidRPr="00F707C6">
              <w:rPr>
                <w:color w:val="000000"/>
                <w:sz w:val="22"/>
                <w:szCs w:val="22"/>
                <w:lang w:eastAsia="en-US"/>
              </w:rPr>
              <w:t>0.0000</w:t>
            </w:r>
          </w:p>
        </w:tc>
        <w:tc>
          <w:tcPr>
            <w:tcW w:w="271" w:type="dxa"/>
            <w:shd w:val="clear" w:color="auto" w:fill="auto"/>
            <w:noWrap/>
            <w:vAlign w:val="center"/>
          </w:tcPr>
          <w:p w:rsidR="00CD79D0" w:rsidRPr="009D2C81" w:rsidRDefault="00CD79D0" w:rsidP="00451020">
            <w:pPr>
              <w:jc w:val="right"/>
              <w:rPr>
                <w:color w:val="000000"/>
                <w:sz w:val="22"/>
                <w:szCs w:val="22"/>
                <w:lang w:val="en-US" w:eastAsia="en-US"/>
              </w:rPr>
            </w:pPr>
            <w:r w:rsidRPr="009D2C81">
              <w:rPr>
                <w:color w:val="000000"/>
                <w:sz w:val="22"/>
                <w:szCs w:val="22"/>
                <w:lang w:val="en-US" w:eastAsia="en-US"/>
              </w:rPr>
              <w:t> </w:t>
            </w:r>
          </w:p>
        </w:tc>
        <w:tc>
          <w:tcPr>
            <w:tcW w:w="1426" w:type="dxa"/>
            <w:shd w:val="clear" w:color="auto" w:fill="auto"/>
            <w:noWrap/>
            <w:vAlign w:val="center"/>
            <w:hideMark/>
          </w:tcPr>
          <w:p w:rsidR="00CD79D0" w:rsidRPr="009D2C81" w:rsidRDefault="00CD79D0" w:rsidP="00451020">
            <w:pPr>
              <w:jc w:val="right"/>
              <w:rPr>
                <w:color w:val="000000"/>
                <w:sz w:val="22"/>
                <w:szCs w:val="22"/>
                <w:lang w:val="en-US" w:eastAsia="en-US"/>
              </w:rPr>
            </w:pPr>
            <w:r w:rsidRPr="00AB0207">
              <w:rPr>
                <w:color w:val="000000"/>
                <w:sz w:val="22"/>
                <w:szCs w:val="22"/>
                <w:lang w:val="en-US" w:eastAsia="en-US"/>
              </w:rPr>
              <w:t>0.7224</w:t>
            </w:r>
          </w:p>
        </w:tc>
        <w:tc>
          <w:tcPr>
            <w:tcW w:w="960" w:type="dxa"/>
            <w:shd w:val="clear" w:color="auto" w:fill="auto"/>
            <w:noWrap/>
            <w:vAlign w:val="center"/>
            <w:hideMark/>
          </w:tcPr>
          <w:p w:rsidR="00CD79D0" w:rsidRPr="009D2C81" w:rsidRDefault="00CD79D0" w:rsidP="00451020">
            <w:pPr>
              <w:jc w:val="right"/>
              <w:rPr>
                <w:color w:val="000000"/>
                <w:sz w:val="22"/>
                <w:szCs w:val="22"/>
                <w:lang w:val="en-US" w:eastAsia="en-US"/>
              </w:rPr>
            </w:pPr>
            <w:r w:rsidRPr="00AB0207">
              <w:rPr>
                <w:rFonts w:ascii="Calibri" w:hAnsi="Calibri"/>
                <w:color w:val="000000"/>
                <w:sz w:val="22"/>
                <w:szCs w:val="22"/>
              </w:rPr>
              <w:t>0.0026</w:t>
            </w:r>
          </w:p>
        </w:tc>
        <w:tc>
          <w:tcPr>
            <w:tcW w:w="1402" w:type="dxa"/>
            <w:vAlign w:val="center"/>
          </w:tcPr>
          <w:p w:rsidR="00CD79D0" w:rsidRPr="00735127" w:rsidRDefault="00CD79D0" w:rsidP="00451020">
            <w:pPr>
              <w:jc w:val="right"/>
              <w:rPr>
                <w:color w:val="000000"/>
                <w:sz w:val="22"/>
                <w:szCs w:val="22"/>
                <w:lang w:val="en-US" w:eastAsia="en-US"/>
              </w:rPr>
            </w:pPr>
            <w:r w:rsidRPr="00AB0207">
              <w:rPr>
                <w:color w:val="000000"/>
                <w:sz w:val="22"/>
                <w:szCs w:val="22"/>
                <w:lang w:eastAsia="en-US"/>
              </w:rPr>
              <w:t>0.1430</w:t>
            </w:r>
          </w:p>
        </w:tc>
      </w:tr>
      <w:tr w:rsidR="00CD79D0" w:rsidRPr="000967DD" w:rsidTr="004510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0967DD" w:rsidRDefault="00CD79D0" w:rsidP="00451020">
            <w:pPr>
              <w:rPr>
                <w:color w:val="000000"/>
                <w:sz w:val="22"/>
                <w:szCs w:val="22"/>
                <w:lang w:val="en-US" w:eastAsia="en-US"/>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0967DD" w:rsidRDefault="00CD79D0" w:rsidP="00451020">
            <w:pPr>
              <w:jc w:val="right"/>
              <w:rPr>
                <w:color w:val="000000"/>
                <w:sz w:val="22"/>
                <w:szCs w:val="22"/>
                <w:lang w:val="en-US" w:eastAsia="en-US"/>
              </w:rPr>
            </w:pPr>
            <w:r w:rsidRPr="00FA44A0">
              <w:rPr>
                <w:rFonts w:ascii="Symbol" w:hAnsi="Symbol"/>
                <w:color w:val="000000"/>
                <w:sz w:val="22"/>
                <w:szCs w:val="22"/>
              </w:rPr>
              <w:t></w:t>
            </w:r>
            <w:r w:rsidRPr="00FA44A0">
              <w:rPr>
                <w:rFonts w:ascii="Symbol" w:hAnsi="Symbol"/>
                <w:color w:val="000000"/>
                <w:sz w:val="22"/>
                <w:szCs w:val="22"/>
              </w:rPr>
              <w:t></w:t>
            </w:r>
            <w:r w:rsidRPr="000967DD">
              <w:rPr>
                <w:color w:val="000000"/>
                <w:sz w:val="22"/>
                <w:szCs w:val="22"/>
                <w:lang w:val="en-US" w:eastAsia="en-US"/>
              </w:rPr>
              <w:t>first</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F44566" w:rsidRDefault="00CD79D0" w:rsidP="00451020">
            <w:pPr>
              <w:jc w:val="right"/>
              <w:rPr>
                <w:rFonts w:ascii="Calibri" w:hAnsi="Calibri"/>
                <w:color w:val="000000"/>
                <w:sz w:val="22"/>
                <w:szCs w:val="22"/>
              </w:rPr>
            </w:pPr>
            <w:proofErr w:type="spellStart"/>
            <w:r w:rsidRPr="00F44566">
              <w:rPr>
                <w:rFonts w:ascii="Calibri" w:hAnsi="Calibri"/>
                <w:color w:val="000000"/>
                <w:sz w:val="22"/>
                <w:szCs w:val="22"/>
              </w:rPr>
              <w:t>Wolfson</w:t>
            </w:r>
            <w:proofErr w:type="spellEnd"/>
            <w:r w:rsidRPr="00F44566">
              <w:rPr>
                <w:rFonts w:ascii="Calibri" w:hAnsi="Calibri"/>
                <w:color w:val="000000"/>
                <w:sz w:val="22"/>
                <w:szCs w:val="22"/>
              </w:rPr>
              <w:t xml:space="preserve">  </w:t>
            </w:r>
            <w:r w:rsidRPr="000967DD">
              <w:rPr>
                <w:color w:val="000000"/>
                <w:sz w:val="22"/>
                <w:szCs w:val="22"/>
                <w:lang w:val="en-US" w:eastAsia="en-US"/>
              </w:rPr>
              <w:t xml:space="preserve">delta </w:t>
            </w:r>
            <w:r>
              <w:rPr>
                <w:color w:val="000000"/>
                <w:sz w:val="22"/>
                <w:szCs w:val="22"/>
                <w:lang w:val="en-US" w:eastAsia="en-US"/>
              </w:rPr>
              <w:t>r</w:t>
            </w:r>
            <w:r w:rsidRPr="000967DD">
              <w:rPr>
                <w:color w:val="000000"/>
                <w:sz w:val="22"/>
                <w:szCs w:val="22"/>
                <w:vertAlign w:val="superscript"/>
                <w:lang w:val="en-US" w:eastAsia="en-US"/>
              </w:rPr>
              <w:t>2</w:t>
            </w:r>
          </w:p>
        </w:tc>
        <w:tc>
          <w:tcPr>
            <w:tcW w:w="1402" w:type="dxa"/>
            <w:tcBorders>
              <w:top w:val="single" w:sz="4" w:space="0" w:color="auto"/>
              <w:left w:val="single" w:sz="4" w:space="0" w:color="auto"/>
              <w:bottom w:val="single" w:sz="4" w:space="0" w:color="auto"/>
              <w:right w:val="single" w:sz="4" w:space="0" w:color="auto"/>
            </w:tcBorders>
            <w:vAlign w:val="center"/>
          </w:tcPr>
          <w:p w:rsidR="00CD79D0" w:rsidRPr="00F44566" w:rsidRDefault="00CD79D0" w:rsidP="00451020">
            <w:pPr>
              <w:jc w:val="right"/>
              <w:rPr>
                <w:color w:val="000000"/>
                <w:sz w:val="22"/>
                <w:szCs w:val="22"/>
                <w:lang w:eastAsia="en-US"/>
              </w:rPr>
            </w:pPr>
            <w:proofErr w:type="spellStart"/>
            <w:r w:rsidRPr="00F44566">
              <w:rPr>
                <w:color w:val="000000"/>
                <w:sz w:val="22"/>
                <w:szCs w:val="22"/>
                <w:lang w:eastAsia="en-US"/>
              </w:rPr>
              <w:t>Improvement</w:t>
            </w:r>
            <w:proofErr w:type="spellEnd"/>
            <w:r w:rsidRPr="00F44566">
              <w:rPr>
                <w:color w:val="000000"/>
                <w:sz w:val="22"/>
                <w:szCs w:val="22"/>
                <w:lang w:eastAsia="en-US"/>
              </w:rPr>
              <w:t xml:space="preserve"> </w:t>
            </w:r>
            <w:proofErr w:type="spellStart"/>
            <w:r w:rsidRPr="00F44566">
              <w:rPr>
                <w:color w:val="000000"/>
                <w:sz w:val="22"/>
                <w:szCs w:val="22"/>
                <w:lang w:eastAsia="en-US"/>
              </w:rPr>
              <w:t>sig</w:t>
            </w:r>
            <w:proofErr w:type="spellEnd"/>
            <w:r w:rsidRPr="00F44566">
              <w:rPr>
                <w:color w:val="000000"/>
                <w:sz w:val="22"/>
                <w:szCs w:val="22"/>
                <w:lang w:eastAsia="en-US"/>
              </w:rPr>
              <w:t>. p</w:t>
            </w:r>
          </w:p>
        </w:tc>
        <w:tc>
          <w:tcPr>
            <w:tcW w:w="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79D0" w:rsidRPr="000967DD" w:rsidRDefault="00CD79D0" w:rsidP="00451020">
            <w:pPr>
              <w:jc w:val="right"/>
              <w:rPr>
                <w:color w:val="000000"/>
                <w:sz w:val="22"/>
                <w:szCs w:val="22"/>
                <w:lang w:val="en-US" w:eastAsia="en-US"/>
              </w:rPr>
            </w:pP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0967DD" w:rsidRDefault="00CD79D0" w:rsidP="00451020">
            <w:pPr>
              <w:jc w:val="right"/>
              <w:rPr>
                <w:color w:val="000000"/>
                <w:sz w:val="22"/>
                <w:szCs w:val="22"/>
                <w:lang w:val="en-US" w:eastAsia="en-US"/>
              </w:rPr>
            </w:pPr>
            <w:proofErr w:type="spellStart"/>
            <w:r>
              <w:rPr>
                <w:color w:val="000000"/>
                <w:sz w:val="22"/>
                <w:szCs w:val="22"/>
                <w:lang w:val="en-US" w:eastAsia="en-US"/>
              </w:rPr>
              <w:t>Wolfson</w:t>
            </w:r>
            <w:proofErr w:type="spellEnd"/>
            <w:r>
              <w:rPr>
                <w:color w:val="000000"/>
                <w:sz w:val="22"/>
                <w:szCs w:val="22"/>
                <w:lang w:val="en-US" w:eastAsia="en-US"/>
              </w:rPr>
              <w:t xml:space="preserve"> </w:t>
            </w:r>
            <w:r w:rsidRPr="000967DD">
              <w:rPr>
                <w:color w:val="000000"/>
                <w:sz w:val="22"/>
                <w:szCs w:val="22"/>
                <w:lang w:val="en-US" w:eastAsia="en-US"/>
              </w:rPr>
              <w:t xml:space="preserve"> first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F44566" w:rsidRDefault="00CD79D0" w:rsidP="00451020">
            <w:pPr>
              <w:jc w:val="right"/>
              <w:rPr>
                <w:rFonts w:ascii="Calibri" w:hAnsi="Calibri"/>
                <w:color w:val="000000"/>
                <w:sz w:val="22"/>
                <w:szCs w:val="22"/>
              </w:rPr>
            </w:pPr>
            <w:r w:rsidRPr="00FA44A0">
              <w:rPr>
                <w:rFonts w:ascii="Symbol" w:hAnsi="Symbol"/>
                <w:color w:val="000000"/>
                <w:sz w:val="22"/>
                <w:szCs w:val="22"/>
              </w:rPr>
              <w:t></w:t>
            </w:r>
            <w:r w:rsidRPr="00FA44A0">
              <w:rPr>
                <w:rFonts w:ascii="Symbol" w:hAnsi="Symbol"/>
                <w:color w:val="000000"/>
                <w:sz w:val="22"/>
                <w:szCs w:val="22"/>
              </w:rPr>
              <w:t></w:t>
            </w:r>
            <w:r w:rsidRPr="000967DD">
              <w:rPr>
                <w:color w:val="000000"/>
                <w:sz w:val="22"/>
                <w:szCs w:val="22"/>
                <w:lang w:val="en-US" w:eastAsia="en-US"/>
              </w:rPr>
              <w:t xml:space="preserve">delta </w:t>
            </w:r>
            <w:r>
              <w:rPr>
                <w:color w:val="000000"/>
                <w:sz w:val="22"/>
                <w:szCs w:val="22"/>
                <w:lang w:val="en-US" w:eastAsia="en-US"/>
              </w:rPr>
              <w:t>r</w:t>
            </w:r>
            <w:r w:rsidRPr="000967DD">
              <w:rPr>
                <w:color w:val="000000"/>
                <w:sz w:val="22"/>
                <w:szCs w:val="22"/>
                <w:vertAlign w:val="superscript"/>
                <w:lang w:val="en-US" w:eastAsia="en-US"/>
              </w:rPr>
              <w:t>2</w:t>
            </w:r>
          </w:p>
        </w:tc>
        <w:tc>
          <w:tcPr>
            <w:tcW w:w="1402" w:type="dxa"/>
            <w:tcBorders>
              <w:top w:val="single" w:sz="4" w:space="0" w:color="auto"/>
              <w:left w:val="single" w:sz="4" w:space="0" w:color="auto"/>
              <w:bottom w:val="single" w:sz="4" w:space="0" w:color="auto"/>
              <w:right w:val="single" w:sz="4" w:space="0" w:color="auto"/>
            </w:tcBorders>
            <w:vAlign w:val="center"/>
          </w:tcPr>
          <w:p w:rsidR="00CD79D0" w:rsidRPr="00F44566" w:rsidRDefault="00CD79D0" w:rsidP="00451020">
            <w:pPr>
              <w:jc w:val="right"/>
              <w:rPr>
                <w:color w:val="000000"/>
                <w:sz w:val="22"/>
                <w:szCs w:val="22"/>
                <w:lang w:eastAsia="en-US"/>
              </w:rPr>
            </w:pPr>
            <w:proofErr w:type="spellStart"/>
            <w:r w:rsidRPr="00F44566">
              <w:rPr>
                <w:color w:val="000000"/>
                <w:sz w:val="22"/>
                <w:szCs w:val="22"/>
                <w:lang w:eastAsia="en-US"/>
              </w:rPr>
              <w:t>Improvement</w:t>
            </w:r>
            <w:proofErr w:type="spellEnd"/>
            <w:r w:rsidRPr="00F44566">
              <w:rPr>
                <w:color w:val="000000"/>
                <w:sz w:val="22"/>
                <w:szCs w:val="22"/>
                <w:lang w:eastAsia="en-US"/>
              </w:rPr>
              <w:t xml:space="preserve"> </w:t>
            </w:r>
            <w:proofErr w:type="spellStart"/>
            <w:r w:rsidRPr="00F44566">
              <w:rPr>
                <w:color w:val="000000"/>
                <w:sz w:val="22"/>
                <w:szCs w:val="22"/>
                <w:lang w:eastAsia="en-US"/>
              </w:rPr>
              <w:t>sig</w:t>
            </w:r>
            <w:proofErr w:type="spellEnd"/>
            <w:r w:rsidRPr="00F44566">
              <w:rPr>
                <w:color w:val="000000"/>
                <w:sz w:val="22"/>
                <w:szCs w:val="22"/>
                <w:lang w:eastAsia="en-US"/>
              </w:rPr>
              <w:t>. p</w:t>
            </w:r>
          </w:p>
        </w:tc>
      </w:tr>
      <w:tr w:rsidR="00CD79D0" w:rsidRPr="000967DD" w:rsidTr="0045102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9D2C81" w:rsidRDefault="00CD79D0" w:rsidP="00451020">
            <w:pPr>
              <w:rPr>
                <w:color w:val="000000"/>
                <w:sz w:val="22"/>
                <w:szCs w:val="22"/>
                <w:lang w:val="en-US" w:eastAsia="en-US"/>
              </w:rPr>
            </w:pPr>
            <w:proofErr w:type="spellStart"/>
            <w:r>
              <w:rPr>
                <w:color w:val="000000"/>
                <w:sz w:val="22"/>
                <w:szCs w:val="22"/>
                <w:lang w:val="en-US" w:eastAsia="en-US"/>
              </w:rPr>
              <w:t>Rpol</w:t>
            </w:r>
            <w:proofErr w:type="spellEnd"/>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9D2C81" w:rsidRDefault="00CD79D0" w:rsidP="00451020">
            <w:pPr>
              <w:jc w:val="right"/>
              <w:rPr>
                <w:color w:val="000000"/>
                <w:sz w:val="22"/>
                <w:szCs w:val="22"/>
                <w:lang w:val="en-US" w:eastAsia="en-US"/>
              </w:rPr>
            </w:pPr>
            <w:r w:rsidRPr="00CB108F">
              <w:rPr>
                <w:color w:val="000000"/>
                <w:sz w:val="22"/>
                <w:szCs w:val="22"/>
                <w:lang w:val="en-US" w:eastAsia="en-US"/>
              </w:rPr>
              <w:t>0.8458</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F44566" w:rsidRDefault="00CD79D0" w:rsidP="00451020">
            <w:pPr>
              <w:jc w:val="right"/>
              <w:rPr>
                <w:rFonts w:ascii="Calibri" w:hAnsi="Calibri"/>
                <w:color w:val="000000"/>
                <w:sz w:val="22"/>
                <w:szCs w:val="22"/>
              </w:rPr>
            </w:pPr>
            <w:r w:rsidRPr="00CB108F">
              <w:rPr>
                <w:rFonts w:ascii="Calibri" w:hAnsi="Calibri"/>
                <w:color w:val="000000"/>
                <w:sz w:val="22"/>
                <w:szCs w:val="22"/>
              </w:rPr>
              <w:t>0.0556</w:t>
            </w:r>
          </w:p>
        </w:tc>
        <w:tc>
          <w:tcPr>
            <w:tcW w:w="1402" w:type="dxa"/>
            <w:tcBorders>
              <w:top w:val="single" w:sz="4" w:space="0" w:color="auto"/>
              <w:left w:val="single" w:sz="4" w:space="0" w:color="auto"/>
              <w:bottom w:val="single" w:sz="4" w:space="0" w:color="auto"/>
              <w:right w:val="single" w:sz="4" w:space="0" w:color="auto"/>
            </w:tcBorders>
            <w:vAlign w:val="center"/>
          </w:tcPr>
          <w:p w:rsidR="00CD79D0" w:rsidRPr="00F44566" w:rsidRDefault="00CD79D0" w:rsidP="00451020">
            <w:pPr>
              <w:jc w:val="right"/>
              <w:rPr>
                <w:color w:val="000000"/>
                <w:sz w:val="22"/>
                <w:szCs w:val="22"/>
                <w:lang w:eastAsia="en-US"/>
              </w:rPr>
            </w:pPr>
            <w:r w:rsidRPr="00F707C6">
              <w:rPr>
                <w:color w:val="000000"/>
                <w:sz w:val="22"/>
                <w:szCs w:val="22"/>
                <w:lang w:eastAsia="en-US"/>
              </w:rPr>
              <w:t>0.0000</w:t>
            </w:r>
          </w:p>
        </w:tc>
        <w:tc>
          <w:tcPr>
            <w:tcW w:w="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79D0" w:rsidRPr="009D2C81" w:rsidRDefault="00CD79D0" w:rsidP="00451020">
            <w:pPr>
              <w:jc w:val="right"/>
              <w:rPr>
                <w:color w:val="000000"/>
                <w:sz w:val="22"/>
                <w:szCs w:val="22"/>
                <w:lang w:val="en-US" w:eastAsia="en-US"/>
              </w:rPr>
            </w:pPr>
            <w:r w:rsidRPr="009D2C81">
              <w:rPr>
                <w:color w:val="000000"/>
                <w:sz w:val="22"/>
                <w:szCs w:val="22"/>
                <w:lang w:val="en-US" w:eastAsia="en-US"/>
              </w:rPr>
              <w:t> </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9D2C81" w:rsidRDefault="00CD79D0" w:rsidP="00451020">
            <w:pPr>
              <w:jc w:val="right"/>
              <w:rPr>
                <w:color w:val="000000"/>
                <w:sz w:val="22"/>
                <w:szCs w:val="22"/>
                <w:lang w:val="en-US" w:eastAsia="en-US"/>
              </w:rPr>
            </w:pPr>
            <w:r w:rsidRPr="00CB108F">
              <w:rPr>
                <w:color w:val="000000"/>
                <w:sz w:val="22"/>
                <w:szCs w:val="22"/>
                <w:lang w:val="en-US" w:eastAsia="en-US"/>
              </w:rPr>
              <w:t>0.7224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9D0" w:rsidRPr="00F44566" w:rsidRDefault="00CD79D0" w:rsidP="00451020">
            <w:pPr>
              <w:jc w:val="right"/>
              <w:rPr>
                <w:rFonts w:ascii="Calibri" w:hAnsi="Calibri"/>
                <w:color w:val="000000"/>
                <w:sz w:val="22"/>
                <w:szCs w:val="22"/>
              </w:rPr>
            </w:pPr>
            <w:r w:rsidRPr="00CB108F">
              <w:rPr>
                <w:rFonts w:ascii="Calibri" w:hAnsi="Calibri"/>
                <w:color w:val="000000"/>
                <w:sz w:val="22"/>
                <w:szCs w:val="22"/>
              </w:rPr>
              <w:t>0.1789</w:t>
            </w:r>
          </w:p>
        </w:tc>
        <w:tc>
          <w:tcPr>
            <w:tcW w:w="1402" w:type="dxa"/>
            <w:tcBorders>
              <w:top w:val="single" w:sz="4" w:space="0" w:color="auto"/>
              <w:left w:val="single" w:sz="4" w:space="0" w:color="auto"/>
              <w:bottom w:val="single" w:sz="4" w:space="0" w:color="auto"/>
              <w:right w:val="single" w:sz="4" w:space="0" w:color="auto"/>
            </w:tcBorders>
            <w:vAlign w:val="center"/>
          </w:tcPr>
          <w:p w:rsidR="00CD79D0" w:rsidRPr="00F44566" w:rsidRDefault="00CD79D0" w:rsidP="00451020">
            <w:pPr>
              <w:jc w:val="right"/>
              <w:rPr>
                <w:color w:val="000000"/>
                <w:sz w:val="22"/>
                <w:szCs w:val="22"/>
                <w:lang w:eastAsia="en-US"/>
              </w:rPr>
            </w:pPr>
            <w:r w:rsidRPr="00CB108F">
              <w:rPr>
                <w:color w:val="000000"/>
                <w:sz w:val="22"/>
                <w:szCs w:val="22"/>
                <w:lang w:eastAsia="en-US"/>
              </w:rPr>
              <w:t>0.0000</w:t>
            </w:r>
          </w:p>
        </w:tc>
      </w:tr>
    </w:tbl>
    <w:p w:rsidR="00CD79D0" w:rsidRDefault="00CD79D0" w:rsidP="00CD79D0">
      <w:pPr>
        <w:spacing w:after="120" w:line="480" w:lineRule="auto"/>
        <w:rPr>
          <w:b/>
          <w:sz w:val="24"/>
          <w:szCs w:val="24"/>
          <w:lang w:val="en-US"/>
        </w:rPr>
      </w:pPr>
    </w:p>
    <w:p w:rsidR="007308A1" w:rsidRDefault="00CD79D0" w:rsidP="00CD79D0">
      <w:pPr>
        <w:spacing w:after="120" w:line="480" w:lineRule="auto"/>
        <w:rPr>
          <w:sz w:val="24"/>
          <w:szCs w:val="24"/>
          <w:lang w:val="en-US"/>
        </w:rPr>
      </w:pPr>
      <w:r>
        <w:rPr>
          <w:b/>
          <w:sz w:val="24"/>
          <w:szCs w:val="24"/>
          <w:lang w:val="en-US"/>
        </w:rPr>
        <w:br w:type="column"/>
      </w:r>
    </w:p>
    <w:p w:rsidR="00864748" w:rsidRDefault="00864748" w:rsidP="00864748">
      <w:pPr>
        <w:spacing w:line="276" w:lineRule="auto"/>
        <w:rPr>
          <w:b/>
          <w:bCs/>
          <w:sz w:val="24"/>
          <w:szCs w:val="24"/>
          <w:lang w:val="en-US"/>
        </w:rPr>
      </w:pPr>
      <w:r w:rsidRPr="00DF0D2F">
        <w:rPr>
          <w:b/>
          <w:bCs/>
          <w:sz w:val="24"/>
          <w:szCs w:val="24"/>
          <w:lang w:val="en-US"/>
        </w:rPr>
        <w:t xml:space="preserve">References </w:t>
      </w:r>
      <w:r w:rsidR="00961184">
        <w:rPr>
          <w:b/>
          <w:bCs/>
          <w:sz w:val="24"/>
          <w:szCs w:val="24"/>
          <w:lang w:val="en-US"/>
        </w:rPr>
        <w:t xml:space="preserve">of this appendix </w:t>
      </w:r>
    </w:p>
    <w:p w:rsidR="00864748" w:rsidRPr="00DF0D2F" w:rsidRDefault="00864748" w:rsidP="00864748">
      <w:pPr>
        <w:spacing w:line="276" w:lineRule="auto"/>
        <w:rPr>
          <w:b/>
          <w:bCs/>
          <w:sz w:val="24"/>
          <w:szCs w:val="24"/>
          <w:lang w:val="en-US"/>
        </w:rPr>
      </w:pPr>
    </w:p>
    <w:p w:rsidR="00CC3374" w:rsidRDefault="00CC3374" w:rsidP="00864748">
      <w:pPr>
        <w:spacing w:line="276" w:lineRule="auto"/>
        <w:ind w:left="720" w:hanging="720"/>
        <w:rPr>
          <w:sz w:val="24"/>
          <w:szCs w:val="24"/>
          <w:lang w:val="en-US"/>
        </w:rPr>
      </w:pPr>
      <w:proofErr w:type="spellStart"/>
      <w:proofErr w:type="gramStart"/>
      <w:r w:rsidRPr="00CC3374">
        <w:rPr>
          <w:sz w:val="24"/>
          <w:szCs w:val="24"/>
          <w:lang w:val="en-US"/>
        </w:rPr>
        <w:t>Abdelkrim</w:t>
      </w:r>
      <w:proofErr w:type="spellEnd"/>
      <w:r>
        <w:rPr>
          <w:sz w:val="24"/>
          <w:szCs w:val="24"/>
          <w:lang w:val="en-US"/>
        </w:rPr>
        <w:t xml:space="preserve">, A. and </w:t>
      </w:r>
      <w:r w:rsidRPr="00CC3374">
        <w:rPr>
          <w:sz w:val="24"/>
          <w:szCs w:val="24"/>
          <w:lang w:val="en-US"/>
        </w:rPr>
        <w:t>J</w:t>
      </w:r>
      <w:r>
        <w:rPr>
          <w:sz w:val="24"/>
          <w:szCs w:val="24"/>
          <w:lang w:val="en-US"/>
        </w:rPr>
        <w:t>.</w:t>
      </w:r>
      <w:r w:rsidRPr="00CC3374">
        <w:rPr>
          <w:sz w:val="24"/>
          <w:szCs w:val="24"/>
          <w:lang w:val="en-US"/>
        </w:rPr>
        <w:t>-Y</w:t>
      </w:r>
      <w:r>
        <w:rPr>
          <w:sz w:val="24"/>
          <w:szCs w:val="24"/>
          <w:lang w:val="en-US"/>
        </w:rPr>
        <w:t>.</w:t>
      </w:r>
      <w:proofErr w:type="gramEnd"/>
      <w:r>
        <w:rPr>
          <w:sz w:val="24"/>
          <w:szCs w:val="24"/>
          <w:lang w:val="en-US"/>
        </w:rPr>
        <w:t xml:space="preserve"> </w:t>
      </w:r>
      <w:proofErr w:type="spellStart"/>
      <w:r w:rsidRPr="00CC3374">
        <w:rPr>
          <w:sz w:val="24"/>
          <w:szCs w:val="24"/>
          <w:lang w:val="en-US"/>
        </w:rPr>
        <w:t>Duclos</w:t>
      </w:r>
      <w:proofErr w:type="spellEnd"/>
      <w:r w:rsidRPr="00CC3374">
        <w:rPr>
          <w:sz w:val="24"/>
          <w:szCs w:val="24"/>
          <w:lang w:val="en-US"/>
        </w:rPr>
        <w:t xml:space="preserve"> </w:t>
      </w:r>
      <w:r w:rsidRPr="00FC4D25">
        <w:rPr>
          <w:i/>
          <w:sz w:val="24"/>
          <w:szCs w:val="24"/>
          <w:lang w:val="en-US"/>
        </w:rPr>
        <w:t>User Manual for Stata Package DASP: Version 2.3</w:t>
      </w:r>
      <w:r w:rsidRPr="00CC3374">
        <w:rPr>
          <w:sz w:val="24"/>
          <w:szCs w:val="24"/>
          <w:lang w:val="en-US"/>
        </w:rPr>
        <w:t xml:space="preserve">, PEP, World Bank, UNDP and </w:t>
      </w:r>
      <w:proofErr w:type="spellStart"/>
      <w:r w:rsidRPr="00CC3374">
        <w:rPr>
          <w:sz w:val="24"/>
          <w:szCs w:val="24"/>
          <w:lang w:val="en-US"/>
        </w:rPr>
        <w:t>Université</w:t>
      </w:r>
      <w:proofErr w:type="spellEnd"/>
      <w:r w:rsidRPr="00CC3374">
        <w:rPr>
          <w:sz w:val="24"/>
          <w:szCs w:val="24"/>
          <w:lang w:val="en-US"/>
        </w:rPr>
        <w:t xml:space="preserve"> Laval</w:t>
      </w:r>
      <w:r>
        <w:rPr>
          <w:sz w:val="24"/>
          <w:szCs w:val="24"/>
          <w:lang w:val="en-US"/>
        </w:rPr>
        <w:t xml:space="preserve">, </w:t>
      </w:r>
      <w:r w:rsidRPr="00CC3374">
        <w:rPr>
          <w:sz w:val="24"/>
          <w:szCs w:val="24"/>
          <w:lang w:val="en-US"/>
        </w:rPr>
        <w:t>2013.</w:t>
      </w:r>
    </w:p>
    <w:p w:rsidR="00CD79D0" w:rsidRPr="00DF0D2F" w:rsidRDefault="00CD79D0" w:rsidP="00CD79D0">
      <w:pPr>
        <w:spacing w:line="276" w:lineRule="auto"/>
        <w:ind w:left="720" w:hanging="720"/>
        <w:rPr>
          <w:sz w:val="24"/>
          <w:szCs w:val="24"/>
          <w:lang w:val="en-US"/>
        </w:rPr>
      </w:pPr>
      <w:proofErr w:type="gramStart"/>
      <w:r w:rsidRPr="00DF0D2F">
        <w:rPr>
          <w:sz w:val="24"/>
          <w:szCs w:val="24"/>
          <w:lang w:val="en-US"/>
        </w:rPr>
        <w:t>Atkinson, A.</w:t>
      </w:r>
      <w:r>
        <w:rPr>
          <w:sz w:val="24"/>
          <w:szCs w:val="24"/>
          <w:lang w:val="en-US"/>
        </w:rPr>
        <w:t xml:space="preserve"> </w:t>
      </w:r>
      <w:r w:rsidRPr="00DF0D2F">
        <w:rPr>
          <w:sz w:val="24"/>
          <w:szCs w:val="24"/>
          <w:lang w:val="en-US"/>
        </w:rPr>
        <w:t>B.</w:t>
      </w:r>
      <w:r>
        <w:rPr>
          <w:sz w:val="24"/>
          <w:szCs w:val="24"/>
          <w:lang w:val="en-US"/>
        </w:rPr>
        <w:t>,</w:t>
      </w:r>
      <w:r w:rsidRPr="00DF0D2F">
        <w:rPr>
          <w:sz w:val="24"/>
          <w:szCs w:val="24"/>
          <w:lang w:val="en-US"/>
        </w:rPr>
        <w:t xml:space="preserve"> </w:t>
      </w:r>
      <w:r w:rsidRPr="00DF0D2F">
        <w:rPr>
          <w:sz w:val="24"/>
          <w:szCs w:val="24"/>
          <w:lang w:val="en-GB"/>
        </w:rPr>
        <w:t>"</w:t>
      </w:r>
      <w:r w:rsidRPr="00DF0D2F">
        <w:rPr>
          <w:sz w:val="24"/>
          <w:szCs w:val="24"/>
          <w:lang w:val="en-US"/>
        </w:rPr>
        <w:t xml:space="preserve">On </w:t>
      </w:r>
      <w:r>
        <w:rPr>
          <w:sz w:val="24"/>
          <w:szCs w:val="24"/>
          <w:lang w:val="en-US"/>
        </w:rPr>
        <w:t>the Measurement of Inequality,</w:t>
      </w:r>
      <w:r w:rsidRPr="00DF0D2F">
        <w:rPr>
          <w:sz w:val="24"/>
          <w:szCs w:val="24"/>
          <w:lang w:val="en-GB"/>
        </w:rPr>
        <w:t>"</w:t>
      </w:r>
      <w:r w:rsidRPr="005F7B8F">
        <w:rPr>
          <w:i/>
          <w:sz w:val="24"/>
          <w:szCs w:val="24"/>
          <w:lang w:val="en-US"/>
        </w:rPr>
        <w:t xml:space="preserve"> Journal of Economic Theory</w:t>
      </w:r>
      <w:r>
        <w:rPr>
          <w:i/>
          <w:sz w:val="24"/>
          <w:szCs w:val="24"/>
          <w:lang w:val="en-US"/>
        </w:rPr>
        <w:t>,</w:t>
      </w:r>
      <w:r w:rsidRPr="00DF0D2F">
        <w:rPr>
          <w:sz w:val="24"/>
          <w:szCs w:val="24"/>
          <w:lang w:val="en-US"/>
        </w:rPr>
        <w:t xml:space="preserve"> 2</w:t>
      </w:r>
      <w:r>
        <w:rPr>
          <w:sz w:val="24"/>
          <w:szCs w:val="24"/>
          <w:lang w:val="en-US"/>
        </w:rPr>
        <w:t>,</w:t>
      </w:r>
      <w:r w:rsidRPr="00DF0D2F">
        <w:rPr>
          <w:sz w:val="24"/>
          <w:szCs w:val="24"/>
          <w:lang w:val="en-US"/>
        </w:rPr>
        <w:t xml:space="preserve"> 244–63</w:t>
      </w:r>
      <w:r>
        <w:rPr>
          <w:sz w:val="24"/>
          <w:szCs w:val="24"/>
          <w:lang w:val="en-US"/>
        </w:rPr>
        <w:t xml:space="preserve">, </w:t>
      </w:r>
      <w:r w:rsidRPr="00DF0D2F">
        <w:rPr>
          <w:sz w:val="24"/>
          <w:szCs w:val="24"/>
          <w:lang w:val="en-US"/>
        </w:rPr>
        <w:t>1970.</w:t>
      </w:r>
      <w:proofErr w:type="gramEnd"/>
    </w:p>
    <w:p w:rsidR="00CD79D0" w:rsidRDefault="00CD79D0" w:rsidP="00864748">
      <w:pPr>
        <w:spacing w:line="276" w:lineRule="auto"/>
        <w:ind w:left="720" w:hanging="720"/>
        <w:rPr>
          <w:sz w:val="24"/>
          <w:szCs w:val="24"/>
          <w:lang w:val="en-US"/>
        </w:rPr>
      </w:pPr>
    </w:p>
    <w:p w:rsidR="00DA4EBA" w:rsidRDefault="00DA4EBA" w:rsidP="00864748">
      <w:pPr>
        <w:spacing w:line="276" w:lineRule="auto"/>
        <w:ind w:left="720" w:hanging="720"/>
        <w:rPr>
          <w:sz w:val="24"/>
          <w:szCs w:val="24"/>
          <w:lang w:val="en-US"/>
        </w:rPr>
      </w:pPr>
      <w:r w:rsidRPr="00DA4EBA">
        <w:rPr>
          <w:sz w:val="24"/>
          <w:szCs w:val="24"/>
          <w:lang w:val="en-US"/>
        </w:rPr>
        <w:t>Alderson, A</w:t>
      </w:r>
      <w:r>
        <w:rPr>
          <w:sz w:val="24"/>
          <w:szCs w:val="24"/>
          <w:lang w:val="en-US"/>
        </w:rPr>
        <w:t xml:space="preserve">. </w:t>
      </w:r>
      <w:r w:rsidRPr="00DA4EBA">
        <w:rPr>
          <w:sz w:val="24"/>
          <w:szCs w:val="24"/>
          <w:lang w:val="en-US"/>
        </w:rPr>
        <w:t>S., J</w:t>
      </w:r>
      <w:r>
        <w:rPr>
          <w:sz w:val="24"/>
          <w:szCs w:val="24"/>
          <w:lang w:val="en-US"/>
        </w:rPr>
        <w:t xml:space="preserve">. </w:t>
      </w:r>
      <w:proofErr w:type="spellStart"/>
      <w:r w:rsidRPr="00DA4EBA">
        <w:rPr>
          <w:sz w:val="24"/>
          <w:szCs w:val="24"/>
          <w:lang w:val="en-US"/>
        </w:rPr>
        <w:t>Beckfield</w:t>
      </w:r>
      <w:proofErr w:type="spellEnd"/>
      <w:r w:rsidRPr="00DA4EBA">
        <w:rPr>
          <w:sz w:val="24"/>
          <w:szCs w:val="24"/>
          <w:lang w:val="en-US"/>
        </w:rPr>
        <w:t xml:space="preserve"> and F</w:t>
      </w:r>
      <w:r>
        <w:rPr>
          <w:sz w:val="24"/>
          <w:szCs w:val="24"/>
          <w:lang w:val="en-US"/>
        </w:rPr>
        <w:t xml:space="preserve">. </w:t>
      </w:r>
      <w:r w:rsidRPr="00DA4EBA">
        <w:rPr>
          <w:sz w:val="24"/>
          <w:szCs w:val="24"/>
          <w:lang w:val="en-US"/>
        </w:rPr>
        <w:t>Nielsen</w:t>
      </w:r>
      <w:r w:rsidR="006E3090">
        <w:rPr>
          <w:sz w:val="24"/>
          <w:szCs w:val="24"/>
          <w:lang w:val="en-US"/>
        </w:rPr>
        <w:t xml:space="preserve">, </w:t>
      </w:r>
      <w:r>
        <w:rPr>
          <w:sz w:val="24"/>
          <w:szCs w:val="24"/>
          <w:lang w:val="en-US"/>
        </w:rPr>
        <w:t>"</w:t>
      </w:r>
      <w:r w:rsidRPr="00DA4EBA">
        <w:rPr>
          <w:sz w:val="24"/>
          <w:szCs w:val="24"/>
          <w:lang w:val="en-US"/>
        </w:rPr>
        <w:t xml:space="preserve">Exactly How Has Income Inequality Changed?  </w:t>
      </w:r>
      <w:proofErr w:type="gramStart"/>
      <w:r w:rsidRPr="00DA4EBA">
        <w:rPr>
          <w:sz w:val="24"/>
          <w:szCs w:val="24"/>
          <w:lang w:val="en-US"/>
        </w:rPr>
        <w:t>Patterns of Distributional Change in Core Societies.</w:t>
      </w:r>
      <w:r>
        <w:rPr>
          <w:sz w:val="24"/>
          <w:szCs w:val="24"/>
          <w:lang w:val="en-US"/>
        </w:rPr>
        <w:t>"</w:t>
      </w:r>
      <w:proofErr w:type="gramEnd"/>
      <w:r>
        <w:rPr>
          <w:sz w:val="24"/>
          <w:szCs w:val="24"/>
          <w:lang w:val="en-US"/>
        </w:rPr>
        <w:t xml:space="preserve"> </w:t>
      </w:r>
      <w:proofErr w:type="gramStart"/>
      <w:r w:rsidRPr="00DA4EBA">
        <w:rPr>
          <w:i/>
          <w:sz w:val="24"/>
          <w:szCs w:val="24"/>
          <w:lang w:val="en-US"/>
        </w:rPr>
        <w:t>International Journal of Comparative Sociology</w:t>
      </w:r>
      <w:r w:rsidR="006E3090">
        <w:rPr>
          <w:sz w:val="24"/>
          <w:szCs w:val="24"/>
          <w:lang w:val="en-US"/>
        </w:rPr>
        <w:t>,</w:t>
      </w:r>
      <w:r w:rsidRPr="00DA4EBA">
        <w:rPr>
          <w:sz w:val="24"/>
          <w:szCs w:val="24"/>
          <w:lang w:val="en-US"/>
        </w:rPr>
        <w:t xml:space="preserve"> 46</w:t>
      </w:r>
      <w:r w:rsidR="008D71A1">
        <w:rPr>
          <w:sz w:val="24"/>
          <w:szCs w:val="24"/>
          <w:lang w:val="en-US"/>
        </w:rPr>
        <w:t xml:space="preserve">, </w:t>
      </w:r>
      <w:r w:rsidRPr="00DA4EBA">
        <w:rPr>
          <w:sz w:val="24"/>
          <w:szCs w:val="24"/>
          <w:lang w:val="en-US"/>
        </w:rPr>
        <w:t>405-423</w:t>
      </w:r>
      <w:r w:rsidR="006E3090">
        <w:rPr>
          <w:sz w:val="24"/>
          <w:szCs w:val="24"/>
          <w:lang w:val="en-US"/>
        </w:rPr>
        <w:t xml:space="preserve">, </w:t>
      </w:r>
      <w:r w:rsidR="006E3090" w:rsidRPr="00DA4EBA">
        <w:rPr>
          <w:sz w:val="24"/>
          <w:szCs w:val="24"/>
          <w:lang w:val="en-US"/>
        </w:rPr>
        <w:t>2005</w:t>
      </w:r>
      <w:r w:rsidRPr="00DA4EBA">
        <w:rPr>
          <w:sz w:val="24"/>
          <w:szCs w:val="24"/>
          <w:lang w:val="en-US"/>
        </w:rPr>
        <w:t>.</w:t>
      </w:r>
      <w:proofErr w:type="gramEnd"/>
    </w:p>
    <w:p w:rsidR="00CD79D0" w:rsidRPr="00DF0D2F" w:rsidRDefault="00CD79D0" w:rsidP="00CD79D0">
      <w:pPr>
        <w:spacing w:line="276" w:lineRule="auto"/>
        <w:ind w:left="720" w:hanging="720"/>
        <w:rPr>
          <w:sz w:val="24"/>
          <w:szCs w:val="24"/>
          <w:lang w:val="en-US"/>
        </w:rPr>
      </w:pPr>
      <w:r w:rsidRPr="00DF0D2F">
        <w:rPr>
          <w:sz w:val="24"/>
          <w:szCs w:val="24"/>
          <w:lang w:val="en-US"/>
        </w:rPr>
        <w:t>Berry, A., F.</w:t>
      </w:r>
      <w:r>
        <w:rPr>
          <w:sz w:val="24"/>
          <w:szCs w:val="24"/>
          <w:lang w:val="en-US"/>
        </w:rPr>
        <w:t xml:space="preserve"> Bourguignon, and C. </w:t>
      </w:r>
      <w:proofErr w:type="spellStart"/>
      <w:r>
        <w:rPr>
          <w:sz w:val="24"/>
          <w:szCs w:val="24"/>
          <w:lang w:val="en-US"/>
        </w:rPr>
        <w:t>Morrisson</w:t>
      </w:r>
      <w:proofErr w:type="spellEnd"/>
      <w:r>
        <w:rPr>
          <w:sz w:val="24"/>
          <w:szCs w:val="24"/>
          <w:lang w:val="en-US"/>
        </w:rPr>
        <w:t>,</w:t>
      </w:r>
      <w:r w:rsidRPr="00DF0D2F">
        <w:rPr>
          <w:sz w:val="24"/>
          <w:szCs w:val="24"/>
          <w:lang w:val="en-US"/>
        </w:rPr>
        <w:t xml:space="preserve"> </w:t>
      </w:r>
      <w:r w:rsidRPr="00DF0D2F">
        <w:rPr>
          <w:sz w:val="24"/>
          <w:szCs w:val="24"/>
          <w:lang w:val="en-GB"/>
        </w:rPr>
        <w:t>"</w:t>
      </w:r>
      <w:r w:rsidRPr="00DF0D2F">
        <w:rPr>
          <w:sz w:val="24"/>
          <w:szCs w:val="24"/>
          <w:lang w:val="en-US"/>
        </w:rPr>
        <w:t xml:space="preserve">Changes in the </w:t>
      </w:r>
      <w:r>
        <w:rPr>
          <w:sz w:val="24"/>
          <w:szCs w:val="24"/>
          <w:lang w:val="en-US"/>
        </w:rPr>
        <w:t xml:space="preserve">World Distributions of Income </w:t>
      </w:r>
      <w:proofErr w:type="gramStart"/>
      <w:r>
        <w:rPr>
          <w:sz w:val="24"/>
          <w:szCs w:val="24"/>
          <w:lang w:val="en-US"/>
        </w:rPr>
        <w:t>B</w:t>
      </w:r>
      <w:r w:rsidRPr="00DF0D2F">
        <w:rPr>
          <w:sz w:val="24"/>
          <w:szCs w:val="24"/>
          <w:lang w:val="en-US"/>
        </w:rPr>
        <w:t>etween</w:t>
      </w:r>
      <w:proofErr w:type="gramEnd"/>
      <w:r w:rsidRPr="00DF0D2F">
        <w:rPr>
          <w:sz w:val="24"/>
          <w:szCs w:val="24"/>
          <w:lang w:val="en-US"/>
        </w:rPr>
        <w:t xml:space="preserve"> 1950 and 1977</w:t>
      </w:r>
      <w:r>
        <w:rPr>
          <w:sz w:val="24"/>
          <w:szCs w:val="24"/>
          <w:lang w:val="en-US"/>
        </w:rPr>
        <w:t>,</w:t>
      </w:r>
      <w:r w:rsidRPr="00DF0D2F">
        <w:rPr>
          <w:sz w:val="24"/>
          <w:szCs w:val="24"/>
          <w:lang w:val="en-GB"/>
        </w:rPr>
        <w:t>"</w:t>
      </w:r>
      <w:r w:rsidRPr="00DF0D2F">
        <w:rPr>
          <w:sz w:val="24"/>
          <w:szCs w:val="24"/>
          <w:lang w:val="en-US"/>
        </w:rPr>
        <w:t xml:space="preserve"> </w:t>
      </w:r>
      <w:r w:rsidRPr="00B36250">
        <w:rPr>
          <w:i/>
          <w:sz w:val="24"/>
          <w:szCs w:val="24"/>
          <w:lang w:val="en-US"/>
        </w:rPr>
        <w:t>Economic Journal</w:t>
      </w:r>
      <w:r w:rsidRPr="004576EF">
        <w:rPr>
          <w:sz w:val="24"/>
          <w:szCs w:val="24"/>
          <w:lang w:val="en-US"/>
        </w:rPr>
        <w:t>, 93,</w:t>
      </w:r>
      <w:r w:rsidRPr="00DF0D2F">
        <w:rPr>
          <w:sz w:val="24"/>
          <w:szCs w:val="24"/>
          <w:lang w:val="en-US"/>
        </w:rPr>
        <w:t xml:space="preserve"> 331–50</w:t>
      </w:r>
      <w:r>
        <w:rPr>
          <w:sz w:val="24"/>
          <w:szCs w:val="24"/>
          <w:lang w:val="en-US"/>
        </w:rPr>
        <w:t>,</w:t>
      </w:r>
      <w:r w:rsidRPr="00DF0D2F">
        <w:rPr>
          <w:sz w:val="24"/>
          <w:szCs w:val="24"/>
          <w:lang w:val="en-US"/>
        </w:rPr>
        <w:t xml:space="preserve"> 1983.</w:t>
      </w:r>
    </w:p>
    <w:p w:rsidR="00CD79D0" w:rsidRPr="00DF0D2F" w:rsidRDefault="00CD79D0" w:rsidP="00CD79D0">
      <w:pPr>
        <w:spacing w:line="276" w:lineRule="auto"/>
        <w:ind w:left="720" w:hanging="720"/>
        <w:rPr>
          <w:sz w:val="24"/>
          <w:szCs w:val="24"/>
          <w:lang w:val="en-GB"/>
        </w:rPr>
      </w:pPr>
      <w:proofErr w:type="spellStart"/>
      <w:r w:rsidRPr="00DF0D2F">
        <w:rPr>
          <w:sz w:val="24"/>
          <w:szCs w:val="24"/>
          <w:lang w:val="en-GB"/>
        </w:rPr>
        <w:t>Brandolini</w:t>
      </w:r>
      <w:proofErr w:type="spellEnd"/>
      <w:r>
        <w:rPr>
          <w:sz w:val="24"/>
          <w:szCs w:val="24"/>
          <w:lang w:val="en-GB"/>
        </w:rPr>
        <w:t>,</w:t>
      </w:r>
      <w:r w:rsidRPr="00DF0D2F">
        <w:rPr>
          <w:sz w:val="24"/>
          <w:szCs w:val="24"/>
          <w:lang w:val="en-GB"/>
        </w:rPr>
        <w:t xml:space="preserve"> </w:t>
      </w:r>
      <w:r>
        <w:rPr>
          <w:sz w:val="24"/>
          <w:szCs w:val="24"/>
          <w:lang w:val="en-GB"/>
        </w:rPr>
        <w:t xml:space="preserve">A. and </w:t>
      </w:r>
      <w:r w:rsidRPr="00DF0D2F">
        <w:rPr>
          <w:sz w:val="24"/>
          <w:szCs w:val="24"/>
          <w:lang w:val="en-GB"/>
        </w:rPr>
        <w:t>A</w:t>
      </w:r>
      <w:r>
        <w:rPr>
          <w:sz w:val="24"/>
          <w:szCs w:val="24"/>
          <w:lang w:val="en-GB"/>
        </w:rPr>
        <w:t>.</w:t>
      </w:r>
      <w:r w:rsidRPr="00DF0D2F">
        <w:rPr>
          <w:sz w:val="24"/>
          <w:szCs w:val="24"/>
          <w:lang w:val="en-GB"/>
        </w:rPr>
        <w:t xml:space="preserve"> B. Atkinson, "Promise and Pitfalls in the Use of "Secondary" Data-Sets: Income Inequality in OECD Countries </w:t>
      </w:r>
      <w:r>
        <w:rPr>
          <w:sz w:val="24"/>
          <w:szCs w:val="24"/>
          <w:lang w:val="en-GB"/>
        </w:rPr>
        <w:t>a</w:t>
      </w:r>
      <w:r w:rsidRPr="00DF0D2F">
        <w:rPr>
          <w:sz w:val="24"/>
          <w:szCs w:val="24"/>
          <w:lang w:val="en-GB"/>
        </w:rPr>
        <w:t xml:space="preserve">s a Case Study," </w:t>
      </w:r>
      <w:r w:rsidRPr="00B36250">
        <w:rPr>
          <w:i/>
          <w:sz w:val="24"/>
          <w:szCs w:val="24"/>
          <w:lang w:val="en-GB"/>
        </w:rPr>
        <w:t>Journal of Economic Literature</w:t>
      </w:r>
      <w:r w:rsidRPr="00445233">
        <w:rPr>
          <w:sz w:val="24"/>
          <w:szCs w:val="24"/>
          <w:lang w:val="en-GB"/>
        </w:rPr>
        <w:t xml:space="preserve">, </w:t>
      </w:r>
      <w:r w:rsidRPr="00DF0D2F">
        <w:rPr>
          <w:sz w:val="24"/>
          <w:szCs w:val="24"/>
          <w:lang w:val="en-GB"/>
        </w:rPr>
        <w:t>39, 771</w:t>
      </w:r>
      <w:r w:rsidRPr="00DF0D2F">
        <w:rPr>
          <w:sz w:val="24"/>
          <w:szCs w:val="24"/>
          <w:lang w:val="en-US"/>
        </w:rPr>
        <w:t>–</w:t>
      </w:r>
      <w:r w:rsidRPr="00DF0D2F">
        <w:rPr>
          <w:sz w:val="24"/>
          <w:szCs w:val="24"/>
          <w:lang w:val="en-GB"/>
        </w:rPr>
        <w:t>99, 2001</w:t>
      </w:r>
      <w:r>
        <w:rPr>
          <w:sz w:val="24"/>
          <w:szCs w:val="24"/>
          <w:lang w:val="en-GB"/>
        </w:rPr>
        <w:t>.</w:t>
      </w:r>
    </w:p>
    <w:p w:rsidR="00CD79D0" w:rsidRDefault="00CD79D0" w:rsidP="00CD79D0">
      <w:pPr>
        <w:spacing w:line="276" w:lineRule="auto"/>
        <w:ind w:left="720" w:hanging="720"/>
        <w:rPr>
          <w:sz w:val="24"/>
          <w:szCs w:val="24"/>
          <w:lang w:val="en-US"/>
        </w:rPr>
      </w:pPr>
      <w:proofErr w:type="spellStart"/>
      <w:r w:rsidRPr="00954DDF">
        <w:rPr>
          <w:sz w:val="24"/>
          <w:szCs w:val="24"/>
          <w:lang w:val="en-US"/>
        </w:rPr>
        <w:t>Chakravarty</w:t>
      </w:r>
      <w:proofErr w:type="spellEnd"/>
      <w:r w:rsidRPr="00954DDF">
        <w:rPr>
          <w:sz w:val="24"/>
          <w:szCs w:val="24"/>
          <w:lang w:val="en-US"/>
        </w:rPr>
        <w:t>, S.</w:t>
      </w:r>
      <w:r>
        <w:rPr>
          <w:sz w:val="24"/>
          <w:szCs w:val="24"/>
          <w:lang w:val="en-US"/>
        </w:rPr>
        <w:t xml:space="preserve"> </w:t>
      </w:r>
      <w:r w:rsidRPr="00954DDF">
        <w:rPr>
          <w:sz w:val="24"/>
          <w:szCs w:val="24"/>
          <w:lang w:val="en-US"/>
        </w:rPr>
        <w:t>R. and C</w:t>
      </w:r>
      <w:r>
        <w:rPr>
          <w:sz w:val="24"/>
          <w:szCs w:val="24"/>
          <w:lang w:val="en-US"/>
        </w:rPr>
        <w:t xml:space="preserve">. </w:t>
      </w:r>
      <w:proofErr w:type="spellStart"/>
      <w:r w:rsidRPr="00954DDF">
        <w:rPr>
          <w:sz w:val="24"/>
          <w:szCs w:val="24"/>
          <w:lang w:val="en-US"/>
        </w:rPr>
        <w:t>D'Ambrosio</w:t>
      </w:r>
      <w:proofErr w:type="spellEnd"/>
      <w:r>
        <w:rPr>
          <w:sz w:val="24"/>
          <w:szCs w:val="24"/>
          <w:lang w:val="en-US"/>
        </w:rPr>
        <w:t>,</w:t>
      </w:r>
      <w:r w:rsidRPr="00954DDF">
        <w:rPr>
          <w:sz w:val="24"/>
          <w:szCs w:val="24"/>
          <w:lang w:val="en-US"/>
        </w:rPr>
        <w:t xml:space="preserve"> "Polarization Orderings </w:t>
      </w:r>
      <w:proofErr w:type="gramStart"/>
      <w:r w:rsidRPr="00954DDF">
        <w:rPr>
          <w:sz w:val="24"/>
          <w:szCs w:val="24"/>
          <w:lang w:val="en-US"/>
        </w:rPr>
        <w:t>Of</w:t>
      </w:r>
      <w:proofErr w:type="gramEnd"/>
      <w:r w:rsidRPr="00954DDF">
        <w:rPr>
          <w:sz w:val="24"/>
          <w:szCs w:val="24"/>
          <w:lang w:val="en-US"/>
        </w:rPr>
        <w:t xml:space="preserve"> Income Distributions," </w:t>
      </w:r>
      <w:r w:rsidRPr="00954DDF">
        <w:rPr>
          <w:i/>
          <w:sz w:val="24"/>
          <w:szCs w:val="24"/>
          <w:lang w:val="en-US"/>
        </w:rPr>
        <w:t>Review of Income and Wealth</w:t>
      </w:r>
      <w:r w:rsidRPr="00954DDF">
        <w:rPr>
          <w:sz w:val="24"/>
          <w:szCs w:val="24"/>
          <w:lang w:val="en-US"/>
        </w:rPr>
        <w:t>, 56</w:t>
      </w:r>
      <w:r>
        <w:rPr>
          <w:sz w:val="24"/>
          <w:szCs w:val="24"/>
          <w:lang w:val="en-US"/>
        </w:rPr>
        <w:t xml:space="preserve">, </w:t>
      </w:r>
      <w:r w:rsidRPr="00954DDF">
        <w:rPr>
          <w:sz w:val="24"/>
          <w:szCs w:val="24"/>
          <w:lang w:val="en-US"/>
        </w:rPr>
        <w:t>47–64, 2010.</w:t>
      </w:r>
    </w:p>
    <w:p w:rsidR="009968BB" w:rsidRDefault="009968BB" w:rsidP="009968BB">
      <w:pPr>
        <w:spacing w:line="276" w:lineRule="auto"/>
        <w:ind w:left="720" w:hanging="720"/>
        <w:rPr>
          <w:sz w:val="24"/>
          <w:szCs w:val="24"/>
          <w:lang w:val="en-GB"/>
        </w:rPr>
      </w:pPr>
      <w:proofErr w:type="spellStart"/>
      <w:r w:rsidRPr="002A7480">
        <w:rPr>
          <w:sz w:val="24"/>
          <w:szCs w:val="24"/>
          <w:lang w:val="en-GB"/>
        </w:rPr>
        <w:t>Dallinger</w:t>
      </w:r>
      <w:proofErr w:type="spellEnd"/>
      <w:r>
        <w:rPr>
          <w:sz w:val="24"/>
          <w:szCs w:val="24"/>
          <w:lang w:val="en-GB"/>
        </w:rPr>
        <w:t>, U.</w:t>
      </w:r>
      <w:r w:rsidRPr="002A7480">
        <w:rPr>
          <w:sz w:val="24"/>
          <w:szCs w:val="24"/>
          <w:lang w:val="en-GB"/>
        </w:rPr>
        <w:t xml:space="preserve">, </w:t>
      </w:r>
      <w:r>
        <w:rPr>
          <w:sz w:val="24"/>
          <w:szCs w:val="24"/>
          <w:lang w:val="en-GB"/>
        </w:rPr>
        <w:t>"</w:t>
      </w:r>
      <w:r w:rsidRPr="002A7480">
        <w:rPr>
          <w:sz w:val="24"/>
          <w:szCs w:val="24"/>
          <w:lang w:val="en-GB"/>
        </w:rPr>
        <w:t xml:space="preserve">The Endangered Middle Class? </w:t>
      </w:r>
      <w:proofErr w:type="gramStart"/>
      <w:r w:rsidRPr="002A7480">
        <w:rPr>
          <w:sz w:val="24"/>
          <w:szCs w:val="24"/>
          <w:lang w:val="en-GB"/>
        </w:rPr>
        <w:t>A Comparative Analysis of the Role Public Redistribution Plays</w:t>
      </w:r>
      <w:r>
        <w:rPr>
          <w:sz w:val="24"/>
          <w:szCs w:val="24"/>
          <w:lang w:val="en-GB"/>
        </w:rPr>
        <w:t>"</w:t>
      </w:r>
      <w:r w:rsidRPr="002A7480">
        <w:rPr>
          <w:sz w:val="24"/>
          <w:szCs w:val="24"/>
          <w:lang w:val="en-GB"/>
        </w:rPr>
        <w:t xml:space="preserve">, </w:t>
      </w:r>
      <w:r w:rsidRPr="002A7480">
        <w:rPr>
          <w:i/>
          <w:sz w:val="24"/>
          <w:szCs w:val="24"/>
          <w:lang w:val="en-GB"/>
        </w:rPr>
        <w:t>Journal of European Social Policy</w:t>
      </w:r>
      <w:r w:rsidRPr="002A7480">
        <w:rPr>
          <w:sz w:val="24"/>
          <w:szCs w:val="24"/>
          <w:lang w:val="en-GB"/>
        </w:rPr>
        <w:t>, 23</w:t>
      </w:r>
      <w:r>
        <w:rPr>
          <w:sz w:val="24"/>
          <w:szCs w:val="24"/>
          <w:lang w:val="en-GB"/>
        </w:rPr>
        <w:t>(</w:t>
      </w:r>
      <w:r w:rsidRPr="002A7480">
        <w:rPr>
          <w:sz w:val="24"/>
          <w:szCs w:val="24"/>
          <w:lang w:val="en-GB"/>
        </w:rPr>
        <w:t>1</w:t>
      </w:r>
      <w:r>
        <w:rPr>
          <w:sz w:val="24"/>
          <w:szCs w:val="24"/>
          <w:lang w:val="en-GB"/>
        </w:rPr>
        <w:t xml:space="preserve">), </w:t>
      </w:r>
      <w:r w:rsidRPr="002A7480">
        <w:rPr>
          <w:sz w:val="24"/>
          <w:szCs w:val="24"/>
          <w:lang w:val="en-GB"/>
        </w:rPr>
        <w:t>83</w:t>
      </w:r>
      <w:r w:rsidRPr="00DF0D2F">
        <w:rPr>
          <w:sz w:val="24"/>
          <w:szCs w:val="24"/>
          <w:lang w:val="en-US"/>
        </w:rPr>
        <w:t>–</w:t>
      </w:r>
      <w:r w:rsidRPr="002A7480">
        <w:rPr>
          <w:sz w:val="24"/>
          <w:szCs w:val="24"/>
          <w:lang w:val="en-GB"/>
        </w:rPr>
        <w:t>101</w:t>
      </w:r>
      <w:r>
        <w:rPr>
          <w:sz w:val="24"/>
          <w:szCs w:val="24"/>
          <w:lang w:val="en-GB"/>
        </w:rPr>
        <w:t>, 2013.</w:t>
      </w:r>
      <w:proofErr w:type="gramEnd"/>
    </w:p>
    <w:p w:rsidR="009968BB" w:rsidRDefault="009968BB" w:rsidP="009968BB">
      <w:pPr>
        <w:spacing w:line="276" w:lineRule="auto"/>
        <w:ind w:left="720" w:hanging="720"/>
        <w:rPr>
          <w:sz w:val="24"/>
          <w:szCs w:val="24"/>
          <w:lang w:val="en-GB"/>
        </w:rPr>
      </w:pPr>
      <w:proofErr w:type="spellStart"/>
      <w:r w:rsidRPr="000A6011">
        <w:rPr>
          <w:sz w:val="24"/>
          <w:szCs w:val="24"/>
          <w:lang w:val="en-US"/>
        </w:rPr>
        <w:t>Everitt</w:t>
      </w:r>
      <w:proofErr w:type="spellEnd"/>
      <w:r w:rsidRPr="000A6011">
        <w:rPr>
          <w:sz w:val="24"/>
          <w:szCs w:val="24"/>
          <w:lang w:val="en-US"/>
        </w:rPr>
        <w:t xml:space="preserve">, B. S. and G. Dunn, </w:t>
      </w:r>
      <w:r w:rsidRPr="000A6011">
        <w:rPr>
          <w:i/>
          <w:sz w:val="24"/>
          <w:szCs w:val="24"/>
          <w:lang w:val="en-GB"/>
        </w:rPr>
        <w:t>Applied Multivariate Data Analysis</w:t>
      </w:r>
      <w:r>
        <w:rPr>
          <w:sz w:val="24"/>
          <w:szCs w:val="24"/>
          <w:lang w:val="en-GB"/>
        </w:rPr>
        <w:t>,</w:t>
      </w:r>
      <w:r w:rsidRPr="000A6011">
        <w:rPr>
          <w:sz w:val="24"/>
          <w:szCs w:val="24"/>
          <w:lang w:val="en-GB"/>
        </w:rPr>
        <w:t xml:space="preserve"> Edward Arnold</w:t>
      </w:r>
      <w:r>
        <w:rPr>
          <w:sz w:val="24"/>
          <w:szCs w:val="24"/>
          <w:lang w:val="en-GB"/>
        </w:rPr>
        <w:t>,</w:t>
      </w:r>
      <w:r w:rsidRPr="000A6011">
        <w:rPr>
          <w:sz w:val="24"/>
          <w:szCs w:val="24"/>
          <w:lang w:val="en-GB"/>
        </w:rPr>
        <w:t xml:space="preserve"> London</w:t>
      </w:r>
      <w:r>
        <w:rPr>
          <w:sz w:val="24"/>
          <w:szCs w:val="24"/>
          <w:lang w:val="en-GB"/>
        </w:rPr>
        <w:t>, 2001</w:t>
      </w:r>
      <w:r w:rsidRPr="000A6011">
        <w:rPr>
          <w:sz w:val="24"/>
          <w:szCs w:val="24"/>
          <w:lang w:val="en-GB"/>
        </w:rPr>
        <w:t>.</w:t>
      </w:r>
    </w:p>
    <w:p w:rsidR="00CD79D0" w:rsidRDefault="00CD79D0" w:rsidP="00CD79D0">
      <w:pPr>
        <w:spacing w:line="276" w:lineRule="auto"/>
        <w:ind w:left="720" w:hanging="720"/>
        <w:rPr>
          <w:sz w:val="24"/>
          <w:szCs w:val="24"/>
          <w:lang w:val="en-GB"/>
        </w:rPr>
      </w:pPr>
      <w:r>
        <w:rPr>
          <w:sz w:val="24"/>
          <w:szCs w:val="24"/>
          <w:lang w:val="en-GB"/>
        </w:rPr>
        <w:t>Foster, J.,</w:t>
      </w:r>
      <w:r w:rsidRPr="006C48CA">
        <w:rPr>
          <w:sz w:val="24"/>
          <w:szCs w:val="24"/>
          <w:lang w:val="en-GB"/>
        </w:rPr>
        <w:t xml:space="preserve"> J</w:t>
      </w:r>
      <w:r>
        <w:rPr>
          <w:sz w:val="24"/>
          <w:szCs w:val="24"/>
          <w:lang w:val="en-GB"/>
        </w:rPr>
        <w:t>.</w:t>
      </w:r>
      <w:r w:rsidRPr="006C48CA">
        <w:rPr>
          <w:sz w:val="24"/>
          <w:szCs w:val="24"/>
          <w:lang w:val="en-GB"/>
        </w:rPr>
        <w:t xml:space="preserve"> Greer</w:t>
      </w:r>
      <w:r>
        <w:rPr>
          <w:sz w:val="24"/>
          <w:szCs w:val="24"/>
          <w:lang w:val="en-GB"/>
        </w:rPr>
        <w:t>,</w:t>
      </w:r>
      <w:r w:rsidRPr="006C48CA">
        <w:rPr>
          <w:sz w:val="24"/>
          <w:szCs w:val="24"/>
          <w:lang w:val="en-GB"/>
        </w:rPr>
        <w:t xml:space="preserve"> and E</w:t>
      </w:r>
      <w:r>
        <w:rPr>
          <w:sz w:val="24"/>
          <w:szCs w:val="24"/>
          <w:lang w:val="en-GB"/>
        </w:rPr>
        <w:t xml:space="preserve">. </w:t>
      </w:r>
      <w:proofErr w:type="spellStart"/>
      <w:r>
        <w:rPr>
          <w:sz w:val="24"/>
          <w:szCs w:val="24"/>
          <w:lang w:val="en-GB"/>
        </w:rPr>
        <w:t>Thorbecke</w:t>
      </w:r>
      <w:proofErr w:type="spellEnd"/>
      <w:r>
        <w:rPr>
          <w:sz w:val="24"/>
          <w:szCs w:val="24"/>
          <w:lang w:val="en-GB"/>
        </w:rPr>
        <w:t>,</w:t>
      </w:r>
      <w:r w:rsidRPr="006C48CA">
        <w:rPr>
          <w:sz w:val="24"/>
          <w:szCs w:val="24"/>
          <w:lang w:val="en-GB"/>
        </w:rPr>
        <w:t xml:space="preserve"> "A </w:t>
      </w:r>
      <w:r>
        <w:rPr>
          <w:sz w:val="24"/>
          <w:szCs w:val="24"/>
          <w:lang w:val="en-GB"/>
        </w:rPr>
        <w:t>C</w:t>
      </w:r>
      <w:r w:rsidRPr="006C48CA">
        <w:rPr>
          <w:sz w:val="24"/>
          <w:szCs w:val="24"/>
          <w:lang w:val="en-GB"/>
        </w:rPr>
        <w:t xml:space="preserve">lass of </w:t>
      </w:r>
      <w:r>
        <w:rPr>
          <w:sz w:val="24"/>
          <w:szCs w:val="24"/>
          <w:lang w:val="en-GB"/>
        </w:rPr>
        <w:t>D</w:t>
      </w:r>
      <w:r w:rsidRPr="006C48CA">
        <w:rPr>
          <w:sz w:val="24"/>
          <w:szCs w:val="24"/>
          <w:lang w:val="en-GB"/>
        </w:rPr>
        <w:t>ecomposable</w:t>
      </w:r>
      <w:r>
        <w:rPr>
          <w:sz w:val="24"/>
          <w:szCs w:val="24"/>
          <w:lang w:val="en-GB"/>
        </w:rPr>
        <w:t xml:space="preserve"> P</w:t>
      </w:r>
      <w:r w:rsidRPr="006C48CA">
        <w:rPr>
          <w:sz w:val="24"/>
          <w:szCs w:val="24"/>
          <w:lang w:val="en-GB"/>
        </w:rPr>
        <w:t xml:space="preserve">overty </w:t>
      </w:r>
      <w:r>
        <w:rPr>
          <w:sz w:val="24"/>
          <w:szCs w:val="24"/>
          <w:lang w:val="en-GB"/>
        </w:rPr>
        <w:t xml:space="preserve">Measures," </w:t>
      </w:r>
      <w:proofErr w:type="spellStart"/>
      <w:r w:rsidRPr="008F4B94">
        <w:rPr>
          <w:i/>
          <w:sz w:val="24"/>
          <w:szCs w:val="24"/>
          <w:lang w:val="en-GB"/>
        </w:rPr>
        <w:t>Econometrica</w:t>
      </w:r>
      <w:proofErr w:type="spellEnd"/>
      <w:r w:rsidRPr="008F4B94">
        <w:rPr>
          <w:i/>
          <w:sz w:val="24"/>
          <w:szCs w:val="24"/>
          <w:lang w:val="en-GB"/>
        </w:rPr>
        <w:t>,</w:t>
      </w:r>
      <w:r w:rsidRPr="006C48CA">
        <w:rPr>
          <w:sz w:val="24"/>
          <w:szCs w:val="24"/>
          <w:lang w:val="en-GB"/>
        </w:rPr>
        <w:t xml:space="preserve"> </w:t>
      </w:r>
      <w:r>
        <w:rPr>
          <w:sz w:val="24"/>
          <w:szCs w:val="24"/>
          <w:lang w:val="en-GB"/>
        </w:rPr>
        <w:t>52,</w:t>
      </w:r>
      <w:r w:rsidRPr="006C48CA">
        <w:rPr>
          <w:sz w:val="24"/>
          <w:szCs w:val="24"/>
          <w:lang w:val="en-GB"/>
        </w:rPr>
        <w:t xml:space="preserve"> 761–</w:t>
      </w:r>
      <w:r>
        <w:rPr>
          <w:sz w:val="24"/>
          <w:szCs w:val="24"/>
          <w:lang w:val="en-GB"/>
        </w:rPr>
        <w:t>66,</w:t>
      </w:r>
      <w:r w:rsidRPr="008B3D0D">
        <w:rPr>
          <w:sz w:val="24"/>
          <w:szCs w:val="24"/>
          <w:lang w:val="en-GB"/>
        </w:rPr>
        <w:t xml:space="preserve"> </w:t>
      </w:r>
      <w:r w:rsidRPr="006C48CA">
        <w:rPr>
          <w:sz w:val="24"/>
          <w:szCs w:val="24"/>
          <w:lang w:val="en-GB"/>
        </w:rPr>
        <w:t>1984</w:t>
      </w:r>
      <w:r>
        <w:rPr>
          <w:sz w:val="24"/>
          <w:szCs w:val="24"/>
          <w:lang w:val="en-GB"/>
        </w:rPr>
        <w:t>.</w:t>
      </w:r>
    </w:p>
    <w:p w:rsidR="00CD79D0" w:rsidRPr="00DF0D2F" w:rsidRDefault="00CD79D0" w:rsidP="00CD79D0">
      <w:pPr>
        <w:spacing w:line="276" w:lineRule="auto"/>
        <w:ind w:left="720" w:hanging="720"/>
        <w:rPr>
          <w:sz w:val="24"/>
          <w:szCs w:val="24"/>
          <w:lang w:val="en-US"/>
        </w:rPr>
      </w:pPr>
      <w:r w:rsidRPr="000967DD">
        <w:rPr>
          <w:sz w:val="24"/>
          <w:szCs w:val="24"/>
        </w:rPr>
        <w:t>Gini</w:t>
      </w:r>
      <w:r>
        <w:rPr>
          <w:sz w:val="24"/>
          <w:szCs w:val="24"/>
        </w:rPr>
        <w:t>,</w:t>
      </w:r>
      <w:r w:rsidRPr="000967DD">
        <w:rPr>
          <w:sz w:val="24"/>
          <w:szCs w:val="24"/>
        </w:rPr>
        <w:t xml:space="preserve"> C., Sulla </w:t>
      </w:r>
      <w:proofErr w:type="spellStart"/>
      <w:r w:rsidRPr="000967DD">
        <w:rPr>
          <w:sz w:val="24"/>
          <w:szCs w:val="24"/>
        </w:rPr>
        <w:t>misura</w:t>
      </w:r>
      <w:proofErr w:type="spellEnd"/>
      <w:r w:rsidRPr="000967DD">
        <w:rPr>
          <w:sz w:val="24"/>
          <w:szCs w:val="24"/>
        </w:rPr>
        <w:t xml:space="preserve"> </w:t>
      </w:r>
      <w:proofErr w:type="spellStart"/>
      <w:r w:rsidRPr="000967DD">
        <w:rPr>
          <w:sz w:val="24"/>
          <w:szCs w:val="24"/>
        </w:rPr>
        <w:t>della</w:t>
      </w:r>
      <w:proofErr w:type="spellEnd"/>
      <w:r w:rsidRPr="000967DD">
        <w:rPr>
          <w:sz w:val="24"/>
          <w:szCs w:val="24"/>
        </w:rPr>
        <w:t xml:space="preserve"> </w:t>
      </w:r>
      <w:proofErr w:type="spellStart"/>
      <w:r w:rsidRPr="000967DD">
        <w:rPr>
          <w:sz w:val="24"/>
          <w:szCs w:val="24"/>
        </w:rPr>
        <w:t>concentrazione</w:t>
      </w:r>
      <w:proofErr w:type="spellEnd"/>
      <w:r w:rsidRPr="000967DD">
        <w:rPr>
          <w:sz w:val="24"/>
          <w:szCs w:val="24"/>
        </w:rPr>
        <w:t xml:space="preserve"> e </w:t>
      </w:r>
      <w:proofErr w:type="spellStart"/>
      <w:r w:rsidRPr="000967DD">
        <w:rPr>
          <w:sz w:val="24"/>
          <w:szCs w:val="24"/>
        </w:rPr>
        <w:t>della</w:t>
      </w:r>
      <w:proofErr w:type="spellEnd"/>
      <w:r w:rsidRPr="000967DD">
        <w:rPr>
          <w:sz w:val="24"/>
          <w:szCs w:val="24"/>
        </w:rPr>
        <w:t xml:space="preserve"> </w:t>
      </w:r>
      <w:proofErr w:type="spellStart"/>
      <w:r w:rsidRPr="000967DD">
        <w:rPr>
          <w:sz w:val="24"/>
          <w:szCs w:val="24"/>
        </w:rPr>
        <w:t>variabilità</w:t>
      </w:r>
      <w:proofErr w:type="spellEnd"/>
      <w:r w:rsidRPr="000967DD">
        <w:rPr>
          <w:sz w:val="24"/>
          <w:szCs w:val="24"/>
        </w:rPr>
        <w:t xml:space="preserve"> dei </w:t>
      </w:r>
      <w:proofErr w:type="spellStart"/>
      <w:r w:rsidRPr="000967DD">
        <w:rPr>
          <w:sz w:val="24"/>
          <w:szCs w:val="24"/>
        </w:rPr>
        <w:t>caratteri</w:t>
      </w:r>
      <w:proofErr w:type="spellEnd"/>
      <w:r w:rsidRPr="000967DD">
        <w:rPr>
          <w:sz w:val="24"/>
          <w:szCs w:val="24"/>
        </w:rPr>
        <w:t xml:space="preserve">. </w:t>
      </w:r>
      <w:proofErr w:type="spellStart"/>
      <w:r w:rsidRPr="00DF0D2F">
        <w:rPr>
          <w:sz w:val="24"/>
          <w:szCs w:val="24"/>
          <w:lang w:val="en-US"/>
        </w:rPr>
        <w:t>Atti</w:t>
      </w:r>
      <w:proofErr w:type="spellEnd"/>
      <w:r w:rsidRPr="00DF0D2F">
        <w:rPr>
          <w:sz w:val="24"/>
          <w:szCs w:val="24"/>
          <w:lang w:val="en-US"/>
        </w:rPr>
        <w:t xml:space="preserve"> </w:t>
      </w:r>
      <w:proofErr w:type="gramStart"/>
      <w:r w:rsidRPr="00DF0D2F">
        <w:rPr>
          <w:sz w:val="24"/>
          <w:szCs w:val="24"/>
          <w:lang w:val="en-US"/>
        </w:rPr>
        <w:t>del</w:t>
      </w:r>
      <w:proofErr w:type="gramEnd"/>
      <w:r w:rsidRPr="00DF0D2F">
        <w:rPr>
          <w:sz w:val="24"/>
          <w:szCs w:val="24"/>
          <w:lang w:val="en-US"/>
        </w:rPr>
        <w:t xml:space="preserve"> </w:t>
      </w:r>
      <w:proofErr w:type="spellStart"/>
      <w:r w:rsidRPr="00DF0D2F">
        <w:rPr>
          <w:sz w:val="24"/>
          <w:szCs w:val="24"/>
          <w:lang w:val="en-US"/>
        </w:rPr>
        <w:t>Reale</w:t>
      </w:r>
      <w:proofErr w:type="spellEnd"/>
      <w:r w:rsidRPr="00DF0D2F">
        <w:rPr>
          <w:sz w:val="24"/>
          <w:szCs w:val="24"/>
          <w:lang w:val="en-US"/>
        </w:rPr>
        <w:t xml:space="preserve"> </w:t>
      </w:r>
      <w:proofErr w:type="spellStart"/>
      <w:r w:rsidRPr="00DF0D2F">
        <w:rPr>
          <w:sz w:val="24"/>
          <w:szCs w:val="24"/>
          <w:lang w:val="en-US"/>
        </w:rPr>
        <w:t>Istituto</w:t>
      </w:r>
      <w:proofErr w:type="spellEnd"/>
      <w:r w:rsidRPr="00DF0D2F">
        <w:rPr>
          <w:sz w:val="24"/>
          <w:szCs w:val="24"/>
          <w:lang w:val="en-US"/>
        </w:rPr>
        <w:t xml:space="preserve"> Veneto di </w:t>
      </w:r>
      <w:proofErr w:type="spellStart"/>
      <w:r w:rsidRPr="00DF0D2F">
        <w:rPr>
          <w:sz w:val="24"/>
          <w:szCs w:val="24"/>
          <w:lang w:val="en-US"/>
        </w:rPr>
        <w:t>Scienze</w:t>
      </w:r>
      <w:proofErr w:type="spellEnd"/>
      <w:r w:rsidRPr="00DF0D2F">
        <w:rPr>
          <w:sz w:val="24"/>
          <w:szCs w:val="24"/>
          <w:lang w:val="en-US"/>
        </w:rPr>
        <w:t xml:space="preserve">, </w:t>
      </w:r>
      <w:proofErr w:type="spellStart"/>
      <w:r>
        <w:rPr>
          <w:sz w:val="24"/>
          <w:szCs w:val="24"/>
          <w:lang w:val="en-US"/>
        </w:rPr>
        <w:t>Lettere</w:t>
      </w:r>
      <w:proofErr w:type="spellEnd"/>
      <w:r>
        <w:rPr>
          <w:sz w:val="24"/>
          <w:szCs w:val="24"/>
          <w:lang w:val="en-US"/>
        </w:rPr>
        <w:t xml:space="preserve"> </w:t>
      </w:r>
      <w:proofErr w:type="spellStart"/>
      <w:r>
        <w:rPr>
          <w:sz w:val="24"/>
          <w:szCs w:val="24"/>
          <w:lang w:val="en-US"/>
        </w:rPr>
        <w:t>ed</w:t>
      </w:r>
      <w:proofErr w:type="spellEnd"/>
      <w:r>
        <w:rPr>
          <w:sz w:val="24"/>
          <w:szCs w:val="24"/>
          <w:lang w:val="en-US"/>
        </w:rPr>
        <w:t xml:space="preserve"> </w:t>
      </w:r>
      <w:proofErr w:type="spellStart"/>
      <w:r>
        <w:rPr>
          <w:sz w:val="24"/>
          <w:szCs w:val="24"/>
          <w:lang w:val="en-US"/>
        </w:rPr>
        <w:t>A</w:t>
      </w:r>
      <w:r w:rsidRPr="00DF0D2F">
        <w:rPr>
          <w:sz w:val="24"/>
          <w:szCs w:val="24"/>
          <w:lang w:val="en-US"/>
        </w:rPr>
        <w:t>rti</w:t>
      </w:r>
      <w:proofErr w:type="spellEnd"/>
      <w:r>
        <w:rPr>
          <w:sz w:val="24"/>
          <w:szCs w:val="24"/>
          <w:lang w:val="en-US"/>
        </w:rPr>
        <w:t>,</w:t>
      </w:r>
      <w:r w:rsidRPr="00DF0D2F">
        <w:rPr>
          <w:sz w:val="24"/>
          <w:szCs w:val="24"/>
          <w:lang w:val="en-US"/>
        </w:rPr>
        <w:t xml:space="preserve"> </w:t>
      </w:r>
      <w:r w:rsidRPr="00020138">
        <w:rPr>
          <w:sz w:val="24"/>
          <w:szCs w:val="24"/>
          <w:lang w:val="en-US"/>
        </w:rPr>
        <w:t xml:space="preserve">LXXIII, </w:t>
      </w:r>
      <w:proofErr w:type="spellStart"/>
      <w:r w:rsidRPr="00020138">
        <w:rPr>
          <w:sz w:val="24"/>
          <w:szCs w:val="24"/>
          <w:lang w:val="en-US"/>
        </w:rPr>
        <w:t>parte</w:t>
      </w:r>
      <w:proofErr w:type="spellEnd"/>
      <w:r w:rsidRPr="00020138">
        <w:rPr>
          <w:sz w:val="24"/>
          <w:szCs w:val="24"/>
          <w:lang w:val="en-US"/>
        </w:rPr>
        <w:t xml:space="preserve"> II,</w:t>
      </w:r>
      <w:r>
        <w:rPr>
          <w:sz w:val="24"/>
          <w:szCs w:val="24"/>
          <w:lang w:val="en-US"/>
        </w:rPr>
        <w:t xml:space="preserve"> </w:t>
      </w:r>
      <w:r w:rsidRPr="00DF0D2F">
        <w:rPr>
          <w:sz w:val="24"/>
          <w:szCs w:val="24"/>
          <w:lang w:val="en-US"/>
        </w:rPr>
        <w:t>73</w:t>
      </w:r>
      <w:r>
        <w:rPr>
          <w:sz w:val="24"/>
          <w:szCs w:val="24"/>
          <w:lang w:val="en-US"/>
        </w:rPr>
        <w:t xml:space="preserve">, </w:t>
      </w:r>
      <w:r w:rsidRPr="00DF0D2F">
        <w:rPr>
          <w:sz w:val="24"/>
          <w:szCs w:val="24"/>
          <w:lang w:val="en-US"/>
        </w:rPr>
        <w:t>120</w:t>
      </w:r>
      <w:r>
        <w:rPr>
          <w:sz w:val="24"/>
          <w:szCs w:val="24"/>
          <w:lang w:val="en-US"/>
        </w:rPr>
        <w:t>3</w:t>
      </w:r>
      <w:r w:rsidRPr="00DF0D2F">
        <w:rPr>
          <w:sz w:val="24"/>
          <w:szCs w:val="24"/>
          <w:lang w:val="en-US"/>
        </w:rPr>
        <w:t>–</w:t>
      </w:r>
      <w:r>
        <w:rPr>
          <w:sz w:val="24"/>
          <w:szCs w:val="24"/>
          <w:lang w:val="en-US"/>
        </w:rPr>
        <w:t>48,</w:t>
      </w:r>
      <w:r w:rsidRPr="00DF0D2F">
        <w:rPr>
          <w:sz w:val="24"/>
          <w:szCs w:val="24"/>
          <w:lang w:val="en-US"/>
        </w:rPr>
        <w:t xml:space="preserve"> </w:t>
      </w:r>
      <w:r w:rsidRPr="00020138">
        <w:rPr>
          <w:sz w:val="24"/>
          <w:szCs w:val="24"/>
          <w:lang w:val="en-US"/>
        </w:rPr>
        <w:t>1914.</w:t>
      </w:r>
    </w:p>
    <w:p w:rsidR="00CD79D0" w:rsidRPr="00CD79D0" w:rsidRDefault="00CD79D0" w:rsidP="00CD79D0">
      <w:pPr>
        <w:spacing w:line="276" w:lineRule="auto"/>
        <w:ind w:left="720" w:hanging="720"/>
        <w:rPr>
          <w:lang w:val="en-GB"/>
        </w:rPr>
      </w:pPr>
      <w:r>
        <w:rPr>
          <w:sz w:val="24"/>
          <w:szCs w:val="24"/>
          <w:lang w:val="en-US"/>
        </w:rPr>
        <w:t>Jenkins,</w:t>
      </w:r>
      <w:r w:rsidRPr="00DF0D2F">
        <w:rPr>
          <w:sz w:val="24"/>
          <w:szCs w:val="24"/>
          <w:lang w:val="en-US"/>
        </w:rPr>
        <w:t xml:space="preserve"> S.</w:t>
      </w:r>
      <w:r>
        <w:rPr>
          <w:sz w:val="24"/>
          <w:szCs w:val="24"/>
          <w:lang w:val="en-US"/>
        </w:rPr>
        <w:t xml:space="preserve"> </w:t>
      </w:r>
      <w:r w:rsidRPr="00DF0D2F">
        <w:rPr>
          <w:sz w:val="24"/>
          <w:szCs w:val="24"/>
          <w:lang w:val="en-US"/>
        </w:rPr>
        <w:t>P.</w:t>
      </w:r>
      <w:r>
        <w:rPr>
          <w:sz w:val="24"/>
          <w:szCs w:val="24"/>
          <w:lang w:val="en-US"/>
        </w:rPr>
        <w:t xml:space="preserve">, </w:t>
      </w:r>
      <w:r w:rsidRPr="00CD79D0">
        <w:rPr>
          <w:sz w:val="24"/>
          <w:szCs w:val="24"/>
          <w:lang w:val="en-US"/>
        </w:rPr>
        <w:t>"</w:t>
      </w:r>
      <w:proofErr w:type="spellStart"/>
      <w:r w:rsidRPr="00CD79D0">
        <w:rPr>
          <w:sz w:val="24"/>
          <w:szCs w:val="24"/>
          <w:lang w:val="en-US"/>
        </w:rPr>
        <w:t>Distributionally</w:t>
      </w:r>
      <w:proofErr w:type="spellEnd"/>
      <w:r w:rsidRPr="00CD79D0">
        <w:rPr>
          <w:sz w:val="24"/>
          <w:szCs w:val="24"/>
          <w:lang w:val="en-US"/>
        </w:rPr>
        <w:t>-Sensitive Inequality Indices and the GB2 Income Distribution," Review of Income and Wealth, 55, 392–98, 2009.</w:t>
      </w:r>
      <w:r>
        <w:rPr>
          <w:sz w:val="24"/>
          <w:szCs w:val="24"/>
          <w:lang w:val="en-US"/>
        </w:rPr>
        <w:t xml:space="preserve"> </w:t>
      </w:r>
      <w:r w:rsidRPr="00DF0D2F">
        <w:rPr>
          <w:sz w:val="24"/>
          <w:szCs w:val="24"/>
          <w:lang w:val="en-US"/>
        </w:rPr>
        <w:t xml:space="preserve"> </w:t>
      </w:r>
    </w:p>
    <w:p w:rsidR="00CD79D0" w:rsidRPr="00DF0D2F" w:rsidRDefault="00CD79D0" w:rsidP="00CD79D0">
      <w:pPr>
        <w:pStyle w:val="NormalWeb"/>
        <w:shd w:val="clear" w:color="auto" w:fill="FFFFFF"/>
        <w:spacing w:before="0" w:beforeAutospacing="0" w:after="0" w:afterAutospacing="0" w:line="276" w:lineRule="auto"/>
        <w:ind w:left="720" w:hanging="720"/>
        <w:rPr>
          <w:color w:val="000000"/>
        </w:rPr>
      </w:pPr>
      <w:r w:rsidRPr="004576EF">
        <w:rPr>
          <w:lang w:val="en-GB"/>
        </w:rPr>
        <w:t>———, "</w:t>
      </w:r>
      <w:r w:rsidRPr="004576EF">
        <w:rPr>
          <w:color w:val="000000"/>
        </w:rPr>
        <w:t>INEQDECO: Stata Module to Calculate Inequality Indices with Decomposition by Subgroup,</w:t>
      </w:r>
      <w:r w:rsidRPr="004576EF">
        <w:rPr>
          <w:lang w:val="en-GB"/>
        </w:rPr>
        <w:t>"</w:t>
      </w:r>
      <w:r w:rsidRPr="004576EF">
        <w:rPr>
          <w:color w:val="000000"/>
        </w:rPr>
        <w:t xml:space="preserve"> Statistical Software Components S36600</w:t>
      </w:r>
      <w:r>
        <w:rPr>
          <w:color w:val="000000"/>
        </w:rPr>
        <w:t>7</w:t>
      </w:r>
      <w:r w:rsidRPr="004576EF">
        <w:rPr>
          <w:color w:val="000000"/>
        </w:rPr>
        <w:t>, Boston College Department of Economics, revised 19 Apr 2001, 1999/2010.</w:t>
      </w:r>
    </w:p>
    <w:p w:rsidR="009968BB" w:rsidRDefault="009968BB" w:rsidP="009968BB">
      <w:pPr>
        <w:spacing w:line="276" w:lineRule="auto"/>
        <w:ind w:left="720" w:hanging="720"/>
        <w:rPr>
          <w:sz w:val="24"/>
          <w:szCs w:val="24"/>
          <w:lang w:val="en-GB"/>
        </w:rPr>
      </w:pPr>
      <w:r w:rsidRPr="00B54C36">
        <w:rPr>
          <w:sz w:val="24"/>
          <w:szCs w:val="24"/>
          <w:lang w:val="en-GB"/>
        </w:rPr>
        <w:t>Pressman, S.</w:t>
      </w:r>
      <w:r>
        <w:rPr>
          <w:sz w:val="24"/>
          <w:szCs w:val="24"/>
          <w:lang w:val="en-GB"/>
        </w:rPr>
        <w:t>,</w:t>
      </w:r>
      <w:r w:rsidRPr="00B54C36">
        <w:rPr>
          <w:sz w:val="24"/>
          <w:szCs w:val="24"/>
          <w:lang w:val="en-GB"/>
        </w:rPr>
        <w:t xml:space="preserve"> </w:t>
      </w:r>
      <w:r w:rsidRPr="000967DD">
        <w:rPr>
          <w:sz w:val="24"/>
          <w:szCs w:val="24"/>
          <w:lang w:val="en-US"/>
        </w:rPr>
        <w:t>"</w:t>
      </w:r>
      <w:r w:rsidRPr="00B54C36">
        <w:rPr>
          <w:sz w:val="24"/>
          <w:szCs w:val="24"/>
          <w:lang w:val="en-GB"/>
        </w:rPr>
        <w:t>The Decline of the Middle Class: An International Perspective,</w:t>
      </w:r>
      <w:r w:rsidRPr="000967DD">
        <w:rPr>
          <w:sz w:val="24"/>
          <w:szCs w:val="24"/>
          <w:lang w:val="en-US"/>
        </w:rPr>
        <w:t>"</w:t>
      </w:r>
      <w:r w:rsidRPr="00B54C36">
        <w:rPr>
          <w:sz w:val="24"/>
          <w:szCs w:val="24"/>
          <w:lang w:val="en-GB"/>
        </w:rPr>
        <w:t xml:space="preserve"> </w:t>
      </w:r>
      <w:r w:rsidRPr="007B2A5B">
        <w:rPr>
          <w:i/>
          <w:sz w:val="24"/>
          <w:szCs w:val="24"/>
          <w:lang w:val="en-GB"/>
        </w:rPr>
        <w:t>Journal of Economic Issues</w:t>
      </w:r>
      <w:r w:rsidRPr="00B54C36">
        <w:rPr>
          <w:sz w:val="24"/>
          <w:szCs w:val="24"/>
          <w:lang w:val="en-GB"/>
        </w:rPr>
        <w:t>, 41, 181</w:t>
      </w:r>
      <w:r w:rsidRPr="006C48CA">
        <w:rPr>
          <w:sz w:val="24"/>
          <w:szCs w:val="24"/>
          <w:lang w:val="en-GB"/>
        </w:rPr>
        <w:t>–</w:t>
      </w:r>
      <w:r w:rsidRPr="00B54C36">
        <w:rPr>
          <w:sz w:val="24"/>
          <w:szCs w:val="24"/>
          <w:lang w:val="en-GB"/>
        </w:rPr>
        <w:t>200</w:t>
      </w:r>
      <w:r>
        <w:rPr>
          <w:sz w:val="24"/>
          <w:szCs w:val="24"/>
          <w:lang w:val="en-GB"/>
        </w:rPr>
        <w:t xml:space="preserve">, </w:t>
      </w:r>
      <w:r w:rsidRPr="00B54C36">
        <w:rPr>
          <w:sz w:val="24"/>
          <w:szCs w:val="24"/>
          <w:lang w:val="en-GB"/>
        </w:rPr>
        <w:t>2007.</w:t>
      </w:r>
    </w:p>
    <w:p w:rsidR="00CD79D0" w:rsidRDefault="00CD79D0" w:rsidP="00CD79D0">
      <w:pPr>
        <w:spacing w:line="276" w:lineRule="auto"/>
        <w:ind w:left="720" w:hanging="720"/>
        <w:rPr>
          <w:sz w:val="24"/>
          <w:szCs w:val="24"/>
          <w:lang w:val="en-GB"/>
        </w:rPr>
      </w:pPr>
      <w:proofErr w:type="spellStart"/>
      <w:r w:rsidRPr="00F675DF">
        <w:rPr>
          <w:sz w:val="24"/>
          <w:szCs w:val="24"/>
          <w:lang w:val="en-GB"/>
        </w:rPr>
        <w:t>Yitzhaki</w:t>
      </w:r>
      <w:proofErr w:type="spellEnd"/>
      <w:r w:rsidRPr="00F675DF">
        <w:rPr>
          <w:sz w:val="24"/>
          <w:szCs w:val="24"/>
          <w:lang w:val="en-GB"/>
        </w:rPr>
        <w:t>, S</w:t>
      </w:r>
      <w:r>
        <w:rPr>
          <w:sz w:val="24"/>
          <w:szCs w:val="24"/>
          <w:lang w:val="en-GB"/>
        </w:rPr>
        <w:t>.</w:t>
      </w:r>
      <w:r w:rsidRPr="00F675DF">
        <w:rPr>
          <w:sz w:val="24"/>
          <w:szCs w:val="24"/>
          <w:lang w:val="en-GB"/>
        </w:rPr>
        <w:t>, "</w:t>
      </w:r>
      <w:r w:rsidRPr="00DB1120">
        <w:rPr>
          <w:sz w:val="24"/>
          <w:szCs w:val="24"/>
          <w:lang w:val="en-GB"/>
        </w:rPr>
        <w:t>Stochastic Dominance, Mean Variance, and Gini's Mean Difference</w:t>
      </w:r>
      <w:r w:rsidRPr="00F675DF">
        <w:rPr>
          <w:sz w:val="24"/>
          <w:szCs w:val="24"/>
          <w:lang w:val="en-GB"/>
        </w:rPr>
        <w:t xml:space="preserve">," </w:t>
      </w:r>
      <w:r>
        <w:rPr>
          <w:i/>
          <w:sz w:val="24"/>
          <w:szCs w:val="24"/>
          <w:lang w:val="en-GB"/>
        </w:rPr>
        <w:t xml:space="preserve">American </w:t>
      </w:r>
      <w:r w:rsidRPr="00377348">
        <w:rPr>
          <w:i/>
          <w:sz w:val="24"/>
          <w:szCs w:val="24"/>
          <w:lang w:val="en-GB"/>
        </w:rPr>
        <w:t>Economic Review</w:t>
      </w:r>
      <w:r w:rsidRPr="00F675DF">
        <w:rPr>
          <w:sz w:val="24"/>
          <w:szCs w:val="24"/>
          <w:lang w:val="en-GB"/>
        </w:rPr>
        <w:t xml:space="preserve">, </w:t>
      </w:r>
      <w:r>
        <w:rPr>
          <w:sz w:val="24"/>
          <w:szCs w:val="24"/>
          <w:lang w:val="en-GB"/>
        </w:rPr>
        <w:t>72</w:t>
      </w:r>
      <w:r w:rsidRPr="00F675DF">
        <w:rPr>
          <w:sz w:val="24"/>
          <w:szCs w:val="24"/>
          <w:lang w:val="en-GB"/>
        </w:rPr>
        <w:t xml:space="preserve">, </w:t>
      </w:r>
      <w:r>
        <w:rPr>
          <w:sz w:val="24"/>
          <w:szCs w:val="24"/>
          <w:lang w:val="en-GB"/>
        </w:rPr>
        <w:t>178</w:t>
      </w:r>
      <w:r w:rsidRPr="006C48CA">
        <w:rPr>
          <w:sz w:val="24"/>
          <w:szCs w:val="24"/>
          <w:lang w:val="en-GB"/>
        </w:rPr>
        <w:t>–</w:t>
      </w:r>
      <w:r>
        <w:rPr>
          <w:sz w:val="24"/>
          <w:szCs w:val="24"/>
          <w:lang w:val="en-GB"/>
        </w:rPr>
        <w:t>85, 1982</w:t>
      </w:r>
      <w:r w:rsidRPr="00F675DF">
        <w:rPr>
          <w:sz w:val="24"/>
          <w:szCs w:val="24"/>
          <w:lang w:val="en-GB"/>
        </w:rPr>
        <w:t>.</w:t>
      </w:r>
    </w:p>
    <w:p w:rsidR="00CD79D0" w:rsidRDefault="00CD79D0" w:rsidP="00CD79D0">
      <w:pPr>
        <w:spacing w:line="276" w:lineRule="auto"/>
        <w:ind w:left="720" w:hanging="720"/>
        <w:rPr>
          <w:sz w:val="24"/>
          <w:szCs w:val="24"/>
          <w:lang w:val="en-GB"/>
        </w:rPr>
      </w:pPr>
      <w:r w:rsidRPr="00DB1120">
        <w:rPr>
          <w:lang w:val="en-US"/>
        </w:rPr>
        <w:t>———</w:t>
      </w:r>
      <w:r w:rsidRPr="00F675DF">
        <w:rPr>
          <w:sz w:val="24"/>
          <w:szCs w:val="24"/>
          <w:lang w:val="en-GB"/>
        </w:rPr>
        <w:t xml:space="preserve">, "On an Extension of the Gini Inequality Index," </w:t>
      </w:r>
      <w:r w:rsidRPr="00377348">
        <w:rPr>
          <w:i/>
          <w:sz w:val="24"/>
          <w:szCs w:val="24"/>
          <w:lang w:val="en-GB"/>
        </w:rPr>
        <w:t>International Economic Review</w:t>
      </w:r>
      <w:r w:rsidRPr="00F675DF">
        <w:rPr>
          <w:sz w:val="24"/>
          <w:szCs w:val="24"/>
          <w:lang w:val="en-GB"/>
        </w:rPr>
        <w:t>, 24, 617</w:t>
      </w:r>
      <w:r w:rsidRPr="006C48CA">
        <w:rPr>
          <w:sz w:val="24"/>
          <w:szCs w:val="24"/>
          <w:lang w:val="en-GB"/>
        </w:rPr>
        <w:t>–</w:t>
      </w:r>
      <w:r w:rsidRPr="00F675DF">
        <w:rPr>
          <w:sz w:val="24"/>
          <w:szCs w:val="24"/>
          <w:lang w:val="en-GB"/>
        </w:rPr>
        <w:t>28</w:t>
      </w:r>
      <w:r>
        <w:rPr>
          <w:sz w:val="24"/>
          <w:szCs w:val="24"/>
          <w:lang w:val="en-GB"/>
        </w:rPr>
        <w:t xml:space="preserve">, </w:t>
      </w:r>
      <w:r w:rsidRPr="00F675DF">
        <w:rPr>
          <w:sz w:val="24"/>
          <w:szCs w:val="24"/>
          <w:lang w:val="en-GB"/>
        </w:rPr>
        <w:t>1983.</w:t>
      </w:r>
    </w:p>
    <w:p w:rsidR="00CD79D0" w:rsidRDefault="00CD79D0" w:rsidP="00CD79D0">
      <w:pPr>
        <w:spacing w:line="276" w:lineRule="auto"/>
        <w:ind w:left="720" w:hanging="720"/>
        <w:rPr>
          <w:sz w:val="24"/>
          <w:szCs w:val="24"/>
          <w:lang w:val="en-GB"/>
        </w:rPr>
      </w:pPr>
      <w:proofErr w:type="spellStart"/>
      <w:r w:rsidRPr="00F675DF">
        <w:rPr>
          <w:sz w:val="24"/>
          <w:szCs w:val="24"/>
          <w:lang w:val="en-GB"/>
        </w:rPr>
        <w:t>Wolfson</w:t>
      </w:r>
      <w:proofErr w:type="spellEnd"/>
      <w:r w:rsidRPr="00F675DF">
        <w:rPr>
          <w:sz w:val="24"/>
          <w:szCs w:val="24"/>
          <w:lang w:val="en-GB"/>
        </w:rPr>
        <w:t>, M. C.</w:t>
      </w:r>
      <w:r>
        <w:rPr>
          <w:sz w:val="24"/>
          <w:szCs w:val="24"/>
          <w:lang w:val="en-GB"/>
        </w:rPr>
        <w:t>,</w:t>
      </w:r>
      <w:r w:rsidRPr="00F675DF">
        <w:rPr>
          <w:sz w:val="24"/>
          <w:szCs w:val="24"/>
          <w:lang w:val="en-GB"/>
        </w:rPr>
        <w:t xml:space="preserve"> </w:t>
      </w:r>
      <w:r w:rsidRPr="002D330A">
        <w:rPr>
          <w:sz w:val="24"/>
          <w:szCs w:val="24"/>
          <w:lang w:val="en-US"/>
        </w:rPr>
        <w:t>"</w:t>
      </w:r>
      <w:r w:rsidRPr="00F675DF">
        <w:rPr>
          <w:sz w:val="24"/>
          <w:szCs w:val="24"/>
          <w:lang w:val="en-GB"/>
        </w:rPr>
        <w:t xml:space="preserve">Stasis </w:t>
      </w:r>
      <w:r>
        <w:rPr>
          <w:sz w:val="24"/>
          <w:szCs w:val="24"/>
          <w:lang w:val="en-GB"/>
        </w:rPr>
        <w:t>a</w:t>
      </w:r>
      <w:r w:rsidRPr="00F675DF">
        <w:rPr>
          <w:sz w:val="24"/>
          <w:szCs w:val="24"/>
          <w:lang w:val="en-GB"/>
        </w:rPr>
        <w:t>mid Change: Income Inequality in Canada, 1965-1983</w:t>
      </w:r>
      <w:r>
        <w:rPr>
          <w:sz w:val="24"/>
          <w:szCs w:val="24"/>
          <w:lang w:val="en-GB"/>
        </w:rPr>
        <w:t>,</w:t>
      </w:r>
      <w:r w:rsidRPr="002D330A">
        <w:rPr>
          <w:sz w:val="24"/>
          <w:szCs w:val="24"/>
          <w:lang w:val="en-US"/>
        </w:rPr>
        <w:t xml:space="preserve">" </w:t>
      </w:r>
      <w:r w:rsidRPr="00377348">
        <w:rPr>
          <w:i/>
          <w:sz w:val="24"/>
          <w:szCs w:val="24"/>
          <w:lang w:val="en-GB"/>
        </w:rPr>
        <w:t>Review of Income and Wealth</w:t>
      </w:r>
      <w:r w:rsidRPr="00F675DF">
        <w:rPr>
          <w:sz w:val="24"/>
          <w:szCs w:val="24"/>
          <w:lang w:val="en-GB"/>
        </w:rPr>
        <w:t>,</w:t>
      </w:r>
      <w:r>
        <w:rPr>
          <w:sz w:val="24"/>
          <w:szCs w:val="24"/>
          <w:lang w:val="en-GB"/>
        </w:rPr>
        <w:t xml:space="preserve"> 32, 337</w:t>
      </w:r>
      <w:r w:rsidRPr="00F675DF">
        <w:rPr>
          <w:sz w:val="24"/>
          <w:szCs w:val="24"/>
          <w:lang w:val="en-GB"/>
        </w:rPr>
        <w:t>–69</w:t>
      </w:r>
      <w:r>
        <w:rPr>
          <w:sz w:val="24"/>
          <w:szCs w:val="24"/>
          <w:lang w:val="en-GB"/>
        </w:rPr>
        <w:t xml:space="preserve">, </w:t>
      </w:r>
      <w:r w:rsidRPr="00F675DF">
        <w:rPr>
          <w:sz w:val="24"/>
          <w:szCs w:val="24"/>
          <w:lang w:val="en-GB"/>
        </w:rPr>
        <w:t>1986.</w:t>
      </w:r>
    </w:p>
    <w:p w:rsidR="00CD79D0" w:rsidRPr="00CD79D0" w:rsidRDefault="00CD79D0" w:rsidP="00E66910">
      <w:pPr>
        <w:spacing w:line="276" w:lineRule="auto"/>
        <w:ind w:left="720" w:hanging="720"/>
        <w:rPr>
          <w:sz w:val="24"/>
          <w:szCs w:val="24"/>
          <w:lang w:val="en-GB"/>
        </w:rPr>
      </w:pPr>
    </w:p>
    <w:p w:rsidR="00CD79D0" w:rsidRDefault="00CD79D0" w:rsidP="00E66910">
      <w:pPr>
        <w:spacing w:line="276" w:lineRule="auto"/>
        <w:ind w:left="720" w:hanging="720"/>
        <w:rPr>
          <w:sz w:val="24"/>
          <w:szCs w:val="24"/>
          <w:lang w:val="en-US"/>
        </w:rPr>
      </w:pPr>
    </w:p>
    <w:p w:rsidR="00CD79D0" w:rsidRDefault="00CD79D0" w:rsidP="00E66910">
      <w:pPr>
        <w:spacing w:line="276" w:lineRule="auto"/>
        <w:ind w:left="720" w:hanging="720"/>
        <w:rPr>
          <w:sz w:val="24"/>
          <w:szCs w:val="24"/>
          <w:lang w:val="en-US"/>
        </w:rPr>
      </w:pPr>
    </w:p>
    <w:p w:rsidR="00B17EB9" w:rsidRDefault="00B17EB9" w:rsidP="009968BB">
      <w:pPr>
        <w:spacing w:line="276" w:lineRule="auto"/>
        <w:rPr>
          <w:sz w:val="24"/>
          <w:szCs w:val="24"/>
          <w:lang w:val="en-GB"/>
        </w:rPr>
      </w:pPr>
    </w:p>
    <w:sectPr w:rsidR="00B17EB9" w:rsidSect="00961184">
      <w:type w:val="continuous"/>
      <w:pgSz w:w="11906" w:h="16838"/>
      <w:pgMar w:top="1411" w:right="1411" w:bottom="1411" w:left="1411" w:header="720" w:footer="72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DFF649" w15:done="0"/>
  <w15:commentEx w15:paraId="2997EA75" w15:done="0"/>
  <w15:commentEx w15:paraId="6B301103" w15:done="0"/>
  <w15:commentEx w15:paraId="2BF0DBDD" w15:done="0"/>
  <w15:commentEx w15:paraId="04D1E866" w15:done="0"/>
  <w15:commentEx w15:paraId="034D0FD6" w15:done="0"/>
  <w15:commentEx w15:paraId="0B736EDD" w15:done="0"/>
  <w15:commentEx w15:paraId="57E2C650" w15:done="0"/>
  <w15:commentEx w15:paraId="3BA7CB8A" w15:done="0"/>
  <w15:commentEx w15:paraId="4FE9D56E" w15:done="0"/>
  <w15:commentEx w15:paraId="3D8AFC3B" w15:done="0"/>
  <w15:commentEx w15:paraId="59A25BC2" w15:done="0"/>
  <w15:commentEx w15:paraId="1B10BC53" w15:done="0"/>
  <w15:commentEx w15:paraId="3AEB55AF" w15:done="0"/>
  <w15:commentEx w15:paraId="2608D31C" w15:done="0"/>
  <w15:commentEx w15:paraId="70625125" w15:done="0"/>
  <w15:commentEx w15:paraId="17A369B1" w15:done="0"/>
  <w15:commentEx w15:paraId="423783B3" w15:done="0"/>
  <w15:commentEx w15:paraId="4C3496D5" w15:done="0"/>
  <w15:commentEx w15:paraId="13636FA3" w15:done="0"/>
  <w15:commentEx w15:paraId="01CC2825" w15:done="0"/>
  <w15:commentEx w15:paraId="0A528675" w15:done="0"/>
  <w15:commentEx w15:paraId="389CD478" w15:done="0"/>
  <w15:commentEx w15:paraId="18EC24A4" w15:done="0"/>
  <w15:commentEx w15:paraId="3DB06EB6" w15:done="0"/>
  <w15:commentEx w15:paraId="11FDB40A" w15:done="0"/>
  <w15:commentEx w15:paraId="5C580FF3" w15:done="0"/>
  <w15:commentEx w15:paraId="4A481B5A" w15:done="0"/>
  <w15:commentEx w15:paraId="2FC5D4F3" w15:done="0"/>
  <w15:commentEx w15:paraId="51D42C1E" w15:done="0"/>
  <w15:commentEx w15:paraId="244D8694" w15:done="0"/>
  <w15:commentEx w15:paraId="345FE5EE" w15:done="0"/>
  <w15:commentEx w15:paraId="1A68C800" w15:done="0"/>
  <w15:commentEx w15:paraId="4F810C77" w15:done="0"/>
  <w15:commentEx w15:paraId="0335B54D" w15:done="0"/>
  <w15:commentEx w15:paraId="556AEE74" w15:done="0"/>
  <w15:commentEx w15:paraId="60730DF7" w15:done="0"/>
  <w15:commentEx w15:paraId="14FACE4C" w15:done="0"/>
  <w15:commentEx w15:paraId="700D6E74" w15:done="0"/>
  <w15:commentEx w15:paraId="462114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C06" w:rsidRDefault="00FB5C06">
      <w:r>
        <w:separator/>
      </w:r>
    </w:p>
  </w:endnote>
  <w:endnote w:type="continuationSeparator" w:id="0">
    <w:p w:rsidR="00FB5C06" w:rsidRDefault="00FB5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184" w:rsidRDefault="00961184">
    <w:pPr>
      <w:pStyle w:val="Foot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968B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C06" w:rsidRDefault="00FB5C06">
      <w:r>
        <w:separator/>
      </w:r>
    </w:p>
  </w:footnote>
  <w:footnote w:type="continuationSeparator" w:id="0">
    <w:p w:rsidR="00FB5C06" w:rsidRDefault="00FB5C06">
      <w:r>
        <w:continuationSeparator/>
      </w:r>
    </w:p>
  </w:footnote>
  <w:footnote w:id="1">
    <w:p w:rsidR="00961184" w:rsidRPr="00954DDF" w:rsidRDefault="00961184">
      <w:pPr>
        <w:pStyle w:val="FootnoteText"/>
        <w:rPr>
          <w:lang w:val="en-US"/>
        </w:rPr>
      </w:pPr>
      <w:r>
        <w:rPr>
          <w:rStyle w:val="FootnoteReference"/>
        </w:rPr>
        <w:footnoteRef/>
      </w:r>
      <w:r w:rsidRPr="00954DDF">
        <w:rPr>
          <w:lang w:val="en-US"/>
        </w:rPr>
        <w:t xml:space="preserve"> </w:t>
      </w:r>
      <w:r>
        <w:rPr>
          <w:lang w:val="en-US"/>
        </w:rPr>
        <w:t xml:space="preserve">The </w:t>
      </w:r>
      <w:proofErr w:type="spellStart"/>
      <w:r>
        <w:rPr>
          <w:lang w:val="en-US"/>
        </w:rPr>
        <w:t>Wolfson</w:t>
      </w:r>
      <w:proofErr w:type="spellEnd"/>
      <w:r>
        <w:rPr>
          <w:lang w:val="en-US"/>
        </w:rPr>
        <w:t xml:space="preserve"> index is chosen here because it is standard in the literature, even though more reliable propositions exist (Alderson et al., 2005, </w:t>
      </w:r>
      <w:proofErr w:type="spellStart"/>
      <w:r>
        <w:rPr>
          <w:lang w:val="en-US"/>
        </w:rPr>
        <w:t>Chakravarty</w:t>
      </w:r>
      <w:proofErr w:type="spellEnd"/>
      <w:r>
        <w:rPr>
          <w:lang w:val="en-US"/>
        </w:rPr>
        <w:t xml:space="preserve"> and </w:t>
      </w:r>
      <w:proofErr w:type="spellStart"/>
      <w:r>
        <w:rPr>
          <w:lang w:val="en-US"/>
        </w:rPr>
        <w:t>D’Ambrosio</w:t>
      </w:r>
      <w:proofErr w:type="spellEnd"/>
      <w:r>
        <w:rPr>
          <w:lang w:val="en-US"/>
        </w:rPr>
        <w:t>, 2010).</w:t>
      </w:r>
    </w:p>
  </w:footnote>
  <w:footnote w:id="2">
    <w:p w:rsidR="00961184" w:rsidRPr="002A7480" w:rsidRDefault="00961184">
      <w:pPr>
        <w:pStyle w:val="FootnoteText"/>
        <w:rPr>
          <w:lang w:val="en-US"/>
        </w:rPr>
      </w:pPr>
      <w:r>
        <w:rPr>
          <w:rStyle w:val="FootnoteReference"/>
        </w:rPr>
        <w:footnoteRef/>
      </w:r>
      <w:r w:rsidRPr="002A7480">
        <w:rPr>
          <w:lang w:val="en-US"/>
        </w:rPr>
        <w:t xml:space="preserve"> </w:t>
      </w:r>
      <w:r>
        <w:rPr>
          <w:lang w:val="en-US"/>
        </w:rPr>
        <w:t xml:space="preserve">A log-symmetric definition such as .75 to 1.33 might be preferred, but the .75 to 1.25 of the median definition is far more common in the literature (Pressman, 2007). Working on quintile dynamics, </w:t>
      </w:r>
      <w:proofErr w:type="spellStart"/>
      <w:r>
        <w:rPr>
          <w:lang w:val="en-US"/>
        </w:rPr>
        <w:t>Dallinger</w:t>
      </w:r>
      <w:proofErr w:type="spellEnd"/>
      <w:r>
        <w:rPr>
          <w:lang w:val="en-US"/>
        </w:rPr>
        <w:t xml:space="preserve"> (2013) found similar variations in the different sub-strata of the middle classes. </w:t>
      </w:r>
    </w:p>
  </w:footnote>
  <w:footnote w:id="3">
    <w:p w:rsidR="00961184" w:rsidRPr="000A6011" w:rsidRDefault="00961184">
      <w:pPr>
        <w:pStyle w:val="FootnoteText"/>
        <w:rPr>
          <w:lang w:val="en-US"/>
        </w:rPr>
      </w:pPr>
      <w:r>
        <w:rPr>
          <w:rStyle w:val="FootnoteReference"/>
        </w:rPr>
        <w:footnoteRef/>
      </w:r>
      <w:r w:rsidRPr="000A6011">
        <w:rPr>
          <w:lang w:val="en-US"/>
        </w:rPr>
        <w:t xml:space="preserve"> </w:t>
      </w:r>
      <w:r>
        <w:rPr>
          <w:lang w:val="en-US"/>
        </w:rPr>
        <w:t>In the social sciences, PCA is a very common tool for the multidimensional descriptive synthesis of continuous variables (</w:t>
      </w:r>
      <w:proofErr w:type="spellStart"/>
      <w:r w:rsidRPr="002002C4">
        <w:rPr>
          <w:lang w:val="en-US"/>
        </w:rPr>
        <w:t>Everitt</w:t>
      </w:r>
      <w:proofErr w:type="spellEnd"/>
      <w:r>
        <w:rPr>
          <w:lang w:val="en-US"/>
        </w:rPr>
        <w:t xml:space="preserve"> and </w:t>
      </w:r>
      <w:r w:rsidRPr="002002C4">
        <w:rPr>
          <w:lang w:val="en-US"/>
        </w:rPr>
        <w:t>Dunn</w:t>
      </w:r>
      <w:r>
        <w:rPr>
          <w:lang w:val="en-US"/>
        </w:rPr>
        <w:t xml:space="preserve">, 2001: chap. 3, 48sqq.). PCA extracts (via the </w:t>
      </w:r>
      <w:proofErr w:type="spellStart"/>
      <w:r>
        <w:rPr>
          <w:lang w:val="en-US"/>
        </w:rPr>
        <w:t>diagonalization</w:t>
      </w:r>
      <w:proofErr w:type="spellEnd"/>
      <w:r>
        <w:rPr>
          <w:lang w:val="en-US"/>
        </w:rPr>
        <w:t xml:space="preserve"> of the correlation matrix of “active variables”, here the selected inequality indicators) a hierarchy of complementary axes 1, 2, 3, etc. from higher to lower levels of variance. Figure A2a1 presents the scores (correlations) between axes 2 and 3 and the indicators.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9000F"/>
    <w:lvl w:ilvl="0">
      <w:start w:val="1"/>
      <w:numFmt w:val="decimal"/>
      <w:pStyle w:val="Titrefigure"/>
      <w:lvlText w:val="%1)"/>
      <w:lvlJc w:val="left"/>
      <w:pPr>
        <w:tabs>
          <w:tab w:val="num" w:pos="360"/>
        </w:tabs>
        <w:ind w:left="360" w:hanging="360"/>
      </w:pPr>
    </w:lvl>
  </w:abstractNum>
  <w:abstractNum w:abstractNumId="1">
    <w:nsid w:val="0FB71C2B"/>
    <w:multiLevelType w:val="hybridMultilevel"/>
    <w:tmpl w:val="CE40F744"/>
    <w:lvl w:ilvl="0" w:tplc="DFDEF7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403445"/>
    <w:multiLevelType w:val="hybridMultilevel"/>
    <w:tmpl w:val="AF8C147A"/>
    <w:lvl w:ilvl="0" w:tplc="75D854B8">
      <w:start w:val="1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3827BA"/>
    <w:multiLevelType w:val="hybridMultilevel"/>
    <w:tmpl w:val="182246F4"/>
    <w:lvl w:ilvl="0" w:tplc="BC5E0C1E">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4A462745"/>
    <w:multiLevelType w:val="hybridMultilevel"/>
    <w:tmpl w:val="9ADC7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580177"/>
    <w:multiLevelType w:val="hybridMultilevel"/>
    <w:tmpl w:val="45461F10"/>
    <w:lvl w:ilvl="0" w:tplc="562A08BA">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79F8671B"/>
    <w:multiLevelType w:val="hybridMultilevel"/>
    <w:tmpl w:val="69E2886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295EA5"/>
    <w:multiLevelType w:val="hybridMultilevel"/>
    <w:tmpl w:val="74321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7"/>
  </w:num>
  <w:num w:numId="6">
    <w:abstractNumId w:val="1"/>
  </w:num>
  <w:num w:numId="7">
    <w:abstractNumId w:val="5"/>
  </w:num>
  <w:num w:numId="8">
    <w:abstractNumId w:val="3"/>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a Trierweiler">
    <w15:presenceInfo w15:providerId="None" w15:userId="Lisa Trierwei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8F7"/>
    <w:rsid w:val="00000082"/>
    <w:rsid w:val="00000591"/>
    <w:rsid w:val="00000E23"/>
    <w:rsid w:val="00002449"/>
    <w:rsid w:val="00004160"/>
    <w:rsid w:val="00004BB6"/>
    <w:rsid w:val="00005A1B"/>
    <w:rsid w:val="00006E8E"/>
    <w:rsid w:val="00007FE3"/>
    <w:rsid w:val="000132C1"/>
    <w:rsid w:val="00014A0C"/>
    <w:rsid w:val="000231BA"/>
    <w:rsid w:val="00025DDC"/>
    <w:rsid w:val="0003043A"/>
    <w:rsid w:val="00032339"/>
    <w:rsid w:val="00032596"/>
    <w:rsid w:val="00034129"/>
    <w:rsid w:val="00037168"/>
    <w:rsid w:val="00037579"/>
    <w:rsid w:val="00043C4A"/>
    <w:rsid w:val="00047964"/>
    <w:rsid w:val="000506B7"/>
    <w:rsid w:val="0005203D"/>
    <w:rsid w:val="00053362"/>
    <w:rsid w:val="00053374"/>
    <w:rsid w:val="00054F89"/>
    <w:rsid w:val="00055D85"/>
    <w:rsid w:val="000611AC"/>
    <w:rsid w:val="00061236"/>
    <w:rsid w:val="00062A28"/>
    <w:rsid w:val="00064D76"/>
    <w:rsid w:val="00065E76"/>
    <w:rsid w:val="00066DD3"/>
    <w:rsid w:val="000715BF"/>
    <w:rsid w:val="00073237"/>
    <w:rsid w:val="0007542B"/>
    <w:rsid w:val="00081DF1"/>
    <w:rsid w:val="0008333F"/>
    <w:rsid w:val="000838E3"/>
    <w:rsid w:val="0008428A"/>
    <w:rsid w:val="00084454"/>
    <w:rsid w:val="0009093A"/>
    <w:rsid w:val="000923DD"/>
    <w:rsid w:val="000950E7"/>
    <w:rsid w:val="000967DD"/>
    <w:rsid w:val="000A025D"/>
    <w:rsid w:val="000A0668"/>
    <w:rsid w:val="000A0A27"/>
    <w:rsid w:val="000A3E2B"/>
    <w:rsid w:val="000A407D"/>
    <w:rsid w:val="000A5BE5"/>
    <w:rsid w:val="000A6011"/>
    <w:rsid w:val="000A6645"/>
    <w:rsid w:val="000A6C94"/>
    <w:rsid w:val="000A6E8B"/>
    <w:rsid w:val="000A7E92"/>
    <w:rsid w:val="000B0FA2"/>
    <w:rsid w:val="000B1638"/>
    <w:rsid w:val="000B2A48"/>
    <w:rsid w:val="000B35BB"/>
    <w:rsid w:val="000B4052"/>
    <w:rsid w:val="000B5EB0"/>
    <w:rsid w:val="000B6904"/>
    <w:rsid w:val="000B6C74"/>
    <w:rsid w:val="000B7077"/>
    <w:rsid w:val="000C09E3"/>
    <w:rsid w:val="000C16AC"/>
    <w:rsid w:val="000C21DD"/>
    <w:rsid w:val="000C2D06"/>
    <w:rsid w:val="000C3FE7"/>
    <w:rsid w:val="000C4BBA"/>
    <w:rsid w:val="000C78A0"/>
    <w:rsid w:val="000C7F55"/>
    <w:rsid w:val="000D003C"/>
    <w:rsid w:val="000D141B"/>
    <w:rsid w:val="000D27B2"/>
    <w:rsid w:val="000D3C05"/>
    <w:rsid w:val="000D5F6A"/>
    <w:rsid w:val="000D7F71"/>
    <w:rsid w:val="000E031C"/>
    <w:rsid w:val="000E0619"/>
    <w:rsid w:val="000E0B65"/>
    <w:rsid w:val="000E14DB"/>
    <w:rsid w:val="000E33E6"/>
    <w:rsid w:val="000E4E75"/>
    <w:rsid w:val="000E599B"/>
    <w:rsid w:val="000E5E92"/>
    <w:rsid w:val="000F00A4"/>
    <w:rsid w:val="000F1DE0"/>
    <w:rsid w:val="000F6159"/>
    <w:rsid w:val="000F641C"/>
    <w:rsid w:val="001005B8"/>
    <w:rsid w:val="001013C2"/>
    <w:rsid w:val="00105757"/>
    <w:rsid w:val="001125D4"/>
    <w:rsid w:val="00112636"/>
    <w:rsid w:val="0011320B"/>
    <w:rsid w:val="00113458"/>
    <w:rsid w:val="00114645"/>
    <w:rsid w:val="00114D3B"/>
    <w:rsid w:val="00120421"/>
    <w:rsid w:val="00120DC7"/>
    <w:rsid w:val="001221DC"/>
    <w:rsid w:val="001257CD"/>
    <w:rsid w:val="0012641C"/>
    <w:rsid w:val="00126ACA"/>
    <w:rsid w:val="00126B88"/>
    <w:rsid w:val="0012756B"/>
    <w:rsid w:val="00132268"/>
    <w:rsid w:val="00132D64"/>
    <w:rsid w:val="00134B66"/>
    <w:rsid w:val="001377AD"/>
    <w:rsid w:val="00140081"/>
    <w:rsid w:val="00140942"/>
    <w:rsid w:val="0014109F"/>
    <w:rsid w:val="00145429"/>
    <w:rsid w:val="0015129D"/>
    <w:rsid w:val="00151542"/>
    <w:rsid w:val="001524A5"/>
    <w:rsid w:val="0015297F"/>
    <w:rsid w:val="00153449"/>
    <w:rsid w:val="00156426"/>
    <w:rsid w:val="00156FD7"/>
    <w:rsid w:val="0015710C"/>
    <w:rsid w:val="0016080B"/>
    <w:rsid w:val="0016271F"/>
    <w:rsid w:val="00171329"/>
    <w:rsid w:val="00172BB2"/>
    <w:rsid w:val="00172CC9"/>
    <w:rsid w:val="00174D1B"/>
    <w:rsid w:val="00180791"/>
    <w:rsid w:val="00181A29"/>
    <w:rsid w:val="001850B5"/>
    <w:rsid w:val="001907AD"/>
    <w:rsid w:val="00190A84"/>
    <w:rsid w:val="00191E63"/>
    <w:rsid w:val="001961E7"/>
    <w:rsid w:val="0019740C"/>
    <w:rsid w:val="001A08AC"/>
    <w:rsid w:val="001A197C"/>
    <w:rsid w:val="001A2496"/>
    <w:rsid w:val="001A2D38"/>
    <w:rsid w:val="001A514C"/>
    <w:rsid w:val="001B17C1"/>
    <w:rsid w:val="001B20E8"/>
    <w:rsid w:val="001C0E13"/>
    <w:rsid w:val="001C1648"/>
    <w:rsid w:val="001C5E18"/>
    <w:rsid w:val="001C625D"/>
    <w:rsid w:val="001C7151"/>
    <w:rsid w:val="001D0900"/>
    <w:rsid w:val="001D1F57"/>
    <w:rsid w:val="001D3DFC"/>
    <w:rsid w:val="001D4535"/>
    <w:rsid w:val="001D478F"/>
    <w:rsid w:val="001D5299"/>
    <w:rsid w:val="001D780A"/>
    <w:rsid w:val="001E2F87"/>
    <w:rsid w:val="001E3B94"/>
    <w:rsid w:val="001E455C"/>
    <w:rsid w:val="001E5935"/>
    <w:rsid w:val="001F08A7"/>
    <w:rsid w:val="001F173E"/>
    <w:rsid w:val="002002C4"/>
    <w:rsid w:val="00200E18"/>
    <w:rsid w:val="002028F0"/>
    <w:rsid w:val="00203C7A"/>
    <w:rsid w:val="00204B01"/>
    <w:rsid w:val="00205789"/>
    <w:rsid w:val="00206422"/>
    <w:rsid w:val="002101E8"/>
    <w:rsid w:val="00210301"/>
    <w:rsid w:val="002114F0"/>
    <w:rsid w:val="00211961"/>
    <w:rsid w:val="00213D7F"/>
    <w:rsid w:val="00213E33"/>
    <w:rsid w:val="002155C8"/>
    <w:rsid w:val="00215978"/>
    <w:rsid w:val="00215F96"/>
    <w:rsid w:val="00216270"/>
    <w:rsid w:val="00216354"/>
    <w:rsid w:val="002203AB"/>
    <w:rsid w:val="00221F16"/>
    <w:rsid w:val="00222407"/>
    <w:rsid w:val="00222589"/>
    <w:rsid w:val="00223F08"/>
    <w:rsid w:val="0022474E"/>
    <w:rsid w:val="00224D98"/>
    <w:rsid w:val="002270AB"/>
    <w:rsid w:val="00230521"/>
    <w:rsid w:val="00231494"/>
    <w:rsid w:val="002317D7"/>
    <w:rsid w:val="002328A0"/>
    <w:rsid w:val="0023375C"/>
    <w:rsid w:val="00234BCB"/>
    <w:rsid w:val="00235687"/>
    <w:rsid w:val="0023605E"/>
    <w:rsid w:val="00237AFF"/>
    <w:rsid w:val="00242890"/>
    <w:rsid w:val="002449FC"/>
    <w:rsid w:val="00250DF3"/>
    <w:rsid w:val="00251D2A"/>
    <w:rsid w:val="002534C8"/>
    <w:rsid w:val="00253A8A"/>
    <w:rsid w:val="002541B7"/>
    <w:rsid w:val="00254CAF"/>
    <w:rsid w:val="002550A1"/>
    <w:rsid w:val="0025622D"/>
    <w:rsid w:val="0025622F"/>
    <w:rsid w:val="0025626D"/>
    <w:rsid w:val="0025657A"/>
    <w:rsid w:val="00256CFD"/>
    <w:rsid w:val="00256F9E"/>
    <w:rsid w:val="002667B0"/>
    <w:rsid w:val="00266F84"/>
    <w:rsid w:val="00270922"/>
    <w:rsid w:val="00274B56"/>
    <w:rsid w:val="0028011C"/>
    <w:rsid w:val="00292DE2"/>
    <w:rsid w:val="00295E90"/>
    <w:rsid w:val="00297395"/>
    <w:rsid w:val="002A011D"/>
    <w:rsid w:val="002A03AC"/>
    <w:rsid w:val="002A0BBF"/>
    <w:rsid w:val="002A18C0"/>
    <w:rsid w:val="002A1BD0"/>
    <w:rsid w:val="002A2B95"/>
    <w:rsid w:val="002A2D76"/>
    <w:rsid w:val="002A35FE"/>
    <w:rsid w:val="002A64A0"/>
    <w:rsid w:val="002A66A5"/>
    <w:rsid w:val="002A7480"/>
    <w:rsid w:val="002A75E4"/>
    <w:rsid w:val="002B0D93"/>
    <w:rsid w:val="002B0E5A"/>
    <w:rsid w:val="002B1D5E"/>
    <w:rsid w:val="002B5CCA"/>
    <w:rsid w:val="002B5F65"/>
    <w:rsid w:val="002B668D"/>
    <w:rsid w:val="002B6A0B"/>
    <w:rsid w:val="002B7289"/>
    <w:rsid w:val="002B7AA2"/>
    <w:rsid w:val="002C33C5"/>
    <w:rsid w:val="002C5486"/>
    <w:rsid w:val="002C59F1"/>
    <w:rsid w:val="002C5FF6"/>
    <w:rsid w:val="002C67C5"/>
    <w:rsid w:val="002C6879"/>
    <w:rsid w:val="002D0EF6"/>
    <w:rsid w:val="002D2AC1"/>
    <w:rsid w:val="002D5FDF"/>
    <w:rsid w:val="002E18B1"/>
    <w:rsid w:val="002E1D3F"/>
    <w:rsid w:val="002F142E"/>
    <w:rsid w:val="002F1FEE"/>
    <w:rsid w:val="002F35CA"/>
    <w:rsid w:val="002F61E8"/>
    <w:rsid w:val="002F736B"/>
    <w:rsid w:val="002F7C8D"/>
    <w:rsid w:val="0030395E"/>
    <w:rsid w:val="00305FEC"/>
    <w:rsid w:val="0031119E"/>
    <w:rsid w:val="00313038"/>
    <w:rsid w:val="0031557F"/>
    <w:rsid w:val="00316D72"/>
    <w:rsid w:val="00320538"/>
    <w:rsid w:val="003241A7"/>
    <w:rsid w:val="00326239"/>
    <w:rsid w:val="00331161"/>
    <w:rsid w:val="00335DEE"/>
    <w:rsid w:val="00340138"/>
    <w:rsid w:val="003432D6"/>
    <w:rsid w:val="00345763"/>
    <w:rsid w:val="00346CF8"/>
    <w:rsid w:val="00347A22"/>
    <w:rsid w:val="00350152"/>
    <w:rsid w:val="003528BA"/>
    <w:rsid w:val="00353068"/>
    <w:rsid w:val="00353C6B"/>
    <w:rsid w:val="003565BC"/>
    <w:rsid w:val="00356FE3"/>
    <w:rsid w:val="00360195"/>
    <w:rsid w:val="003621B7"/>
    <w:rsid w:val="00365013"/>
    <w:rsid w:val="003661BB"/>
    <w:rsid w:val="003723CF"/>
    <w:rsid w:val="00374D9F"/>
    <w:rsid w:val="0037506C"/>
    <w:rsid w:val="00375652"/>
    <w:rsid w:val="003761D1"/>
    <w:rsid w:val="00377388"/>
    <w:rsid w:val="00380949"/>
    <w:rsid w:val="003809CF"/>
    <w:rsid w:val="00381649"/>
    <w:rsid w:val="003822A0"/>
    <w:rsid w:val="00385DAE"/>
    <w:rsid w:val="00387353"/>
    <w:rsid w:val="003902D3"/>
    <w:rsid w:val="0039064B"/>
    <w:rsid w:val="00391C13"/>
    <w:rsid w:val="003944E8"/>
    <w:rsid w:val="00394E6B"/>
    <w:rsid w:val="00397CB3"/>
    <w:rsid w:val="003A3BBC"/>
    <w:rsid w:val="003A54AD"/>
    <w:rsid w:val="003A6528"/>
    <w:rsid w:val="003A6EA3"/>
    <w:rsid w:val="003A7D76"/>
    <w:rsid w:val="003B0335"/>
    <w:rsid w:val="003B0811"/>
    <w:rsid w:val="003B0A9F"/>
    <w:rsid w:val="003B1417"/>
    <w:rsid w:val="003B3C7B"/>
    <w:rsid w:val="003B671B"/>
    <w:rsid w:val="003B7E7B"/>
    <w:rsid w:val="003C2572"/>
    <w:rsid w:val="003C5733"/>
    <w:rsid w:val="003C622D"/>
    <w:rsid w:val="003C6F1F"/>
    <w:rsid w:val="003D03AA"/>
    <w:rsid w:val="003D05F9"/>
    <w:rsid w:val="003D251C"/>
    <w:rsid w:val="003D3717"/>
    <w:rsid w:val="003D5262"/>
    <w:rsid w:val="003D717B"/>
    <w:rsid w:val="003D7998"/>
    <w:rsid w:val="003D7AAA"/>
    <w:rsid w:val="003E03A6"/>
    <w:rsid w:val="003E04AE"/>
    <w:rsid w:val="003E212A"/>
    <w:rsid w:val="003E2509"/>
    <w:rsid w:val="003E3385"/>
    <w:rsid w:val="003E45CA"/>
    <w:rsid w:val="003E56DF"/>
    <w:rsid w:val="003E7D58"/>
    <w:rsid w:val="003F3B12"/>
    <w:rsid w:val="003F532D"/>
    <w:rsid w:val="003F5453"/>
    <w:rsid w:val="003F6816"/>
    <w:rsid w:val="003F6B99"/>
    <w:rsid w:val="003F6BA3"/>
    <w:rsid w:val="003F6C10"/>
    <w:rsid w:val="00401604"/>
    <w:rsid w:val="0040179F"/>
    <w:rsid w:val="00404A6E"/>
    <w:rsid w:val="0040533B"/>
    <w:rsid w:val="004074B8"/>
    <w:rsid w:val="0041030B"/>
    <w:rsid w:val="0041573E"/>
    <w:rsid w:val="0041631B"/>
    <w:rsid w:val="0042097E"/>
    <w:rsid w:val="004227ED"/>
    <w:rsid w:val="004234E5"/>
    <w:rsid w:val="00423E05"/>
    <w:rsid w:val="00426749"/>
    <w:rsid w:val="00427122"/>
    <w:rsid w:val="0042774B"/>
    <w:rsid w:val="00431AE4"/>
    <w:rsid w:val="004328E0"/>
    <w:rsid w:val="00433DC2"/>
    <w:rsid w:val="00433FC4"/>
    <w:rsid w:val="004359AC"/>
    <w:rsid w:val="0044110C"/>
    <w:rsid w:val="0044303F"/>
    <w:rsid w:val="004435D2"/>
    <w:rsid w:val="00443B3F"/>
    <w:rsid w:val="00445233"/>
    <w:rsid w:val="004458A8"/>
    <w:rsid w:val="004502A2"/>
    <w:rsid w:val="00451060"/>
    <w:rsid w:val="00453F2A"/>
    <w:rsid w:val="004549C3"/>
    <w:rsid w:val="00455086"/>
    <w:rsid w:val="00456F16"/>
    <w:rsid w:val="00460334"/>
    <w:rsid w:val="00460CF1"/>
    <w:rsid w:val="004613EC"/>
    <w:rsid w:val="004623E4"/>
    <w:rsid w:val="00462FAF"/>
    <w:rsid w:val="00464120"/>
    <w:rsid w:val="004646D5"/>
    <w:rsid w:val="00464824"/>
    <w:rsid w:val="004703A3"/>
    <w:rsid w:val="0047246F"/>
    <w:rsid w:val="00472786"/>
    <w:rsid w:val="00472B92"/>
    <w:rsid w:val="00473A13"/>
    <w:rsid w:val="00476922"/>
    <w:rsid w:val="0048091F"/>
    <w:rsid w:val="00480F1F"/>
    <w:rsid w:val="004836C1"/>
    <w:rsid w:val="004866F7"/>
    <w:rsid w:val="00487C7E"/>
    <w:rsid w:val="00490A52"/>
    <w:rsid w:val="00494888"/>
    <w:rsid w:val="004948B1"/>
    <w:rsid w:val="004A1D03"/>
    <w:rsid w:val="004A2995"/>
    <w:rsid w:val="004A3ACF"/>
    <w:rsid w:val="004A3C60"/>
    <w:rsid w:val="004A43E0"/>
    <w:rsid w:val="004A531E"/>
    <w:rsid w:val="004A5478"/>
    <w:rsid w:val="004B01EC"/>
    <w:rsid w:val="004B049B"/>
    <w:rsid w:val="004B0D61"/>
    <w:rsid w:val="004B21BD"/>
    <w:rsid w:val="004B502D"/>
    <w:rsid w:val="004B5D10"/>
    <w:rsid w:val="004B7D94"/>
    <w:rsid w:val="004B7DE2"/>
    <w:rsid w:val="004C1E32"/>
    <w:rsid w:val="004C54DE"/>
    <w:rsid w:val="004C7C88"/>
    <w:rsid w:val="004D30A6"/>
    <w:rsid w:val="004D4645"/>
    <w:rsid w:val="004D770C"/>
    <w:rsid w:val="004D78DF"/>
    <w:rsid w:val="004E016E"/>
    <w:rsid w:val="004E0714"/>
    <w:rsid w:val="004E3150"/>
    <w:rsid w:val="004E3D22"/>
    <w:rsid w:val="004E3D9C"/>
    <w:rsid w:val="004E3E9C"/>
    <w:rsid w:val="004E52D3"/>
    <w:rsid w:val="004E58E7"/>
    <w:rsid w:val="004F0970"/>
    <w:rsid w:val="004F3D39"/>
    <w:rsid w:val="004F635A"/>
    <w:rsid w:val="004F6525"/>
    <w:rsid w:val="004F706D"/>
    <w:rsid w:val="004F7D2D"/>
    <w:rsid w:val="005007C8"/>
    <w:rsid w:val="005009E4"/>
    <w:rsid w:val="00500A0B"/>
    <w:rsid w:val="0050149B"/>
    <w:rsid w:val="0050320E"/>
    <w:rsid w:val="00503B8E"/>
    <w:rsid w:val="00505326"/>
    <w:rsid w:val="00506AB6"/>
    <w:rsid w:val="00506E97"/>
    <w:rsid w:val="00507330"/>
    <w:rsid w:val="005078EF"/>
    <w:rsid w:val="005079AD"/>
    <w:rsid w:val="0051034E"/>
    <w:rsid w:val="00510730"/>
    <w:rsid w:val="00511757"/>
    <w:rsid w:val="0051255B"/>
    <w:rsid w:val="005130C6"/>
    <w:rsid w:val="005151D4"/>
    <w:rsid w:val="005165D0"/>
    <w:rsid w:val="00521324"/>
    <w:rsid w:val="0052178C"/>
    <w:rsid w:val="00522C58"/>
    <w:rsid w:val="00525B1C"/>
    <w:rsid w:val="00527857"/>
    <w:rsid w:val="0053010F"/>
    <w:rsid w:val="005318EF"/>
    <w:rsid w:val="005320B1"/>
    <w:rsid w:val="005335C0"/>
    <w:rsid w:val="0053394C"/>
    <w:rsid w:val="00534E3F"/>
    <w:rsid w:val="00537256"/>
    <w:rsid w:val="00537F0E"/>
    <w:rsid w:val="00540B8C"/>
    <w:rsid w:val="0054103B"/>
    <w:rsid w:val="00541A8C"/>
    <w:rsid w:val="00542161"/>
    <w:rsid w:val="005423EC"/>
    <w:rsid w:val="005425A1"/>
    <w:rsid w:val="00543C65"/>
    <w:rsid w:val="00544156"/>
    <w:rsid w:val="00550F20"/>
    <w:rsid w:val="005532DC"/>
    <w:rsid w:val="00553EE2"/>
    <w:rsid w:val="00553FCE"/>
    <w:rsid w:val="00554A08"/>
    <w:rsid w:val="00557493"/>
    <w:rsid w:val="00560A7C"/>
    <w:rsid w:val="0056430A"/>
    <w:rsid w:val="005658EC"/>
    <w:rsid w:val="00572A59"/>
    <w:rsid w:val="00575C11"/>
    <w:rsid w:val="00580992"/>
    <w:rsid w:val="0058466F"/>
    <w:rsid w:val="0059239B"/>
    <w:rsid w:val="00594940"/>
    <w:rsid w:val="00595E42"/>
    <w:rsid w:val="00596431"/>
    <w:rsid w:val="00596840"/>
    <w:rsid w:val="005968AA"/>
    <w:rsid w:val="00596946"/>
    <w:rsid w:val="005971B2"/>
    <w:rsid w:val="005A09AC"/>
    <w:rsid w:val="005A1A92"/>
    <w:rsid w:val="005A2108"/>
    <w:rsid w:val="005A5899"/>
    <w:rsid w:val="005A680E"/>
    <w:rsid w:val="005A710F"/>
    <w:rsid w:val="005A72D7"/>
    <w:rsid w:val="005B2B23"/>
    <w:rsid w:val="005B35E6"/>
    <w:rsid w:val="005B53EC"/>
    <w:rsid w:val="005B6E23"/>
    <w:rsid w:val="005B7E49"/>
    <w:rsid w:val="005C1594"/>
    <w:rsid w:val="005C1B28"/>
    <w:rsid w:val="005C2D58"/>
    <w:rsid w:val="005C45BC"/>
    <w:rsid w:val="005C4749"/>
    <w:rsid w:val="005C5790"/>
    <w:rsid w:val="005C5B2C"/>
    <w:rsid w:val="005C7228"/>
    <w:rsid w:val="005C7436"/>
    <w:rsid w:val="005C76CD"/>
    <w:rsid w:val="005D02A7"/>
    <w:rsid w:val="005D2C09"/>
    <w:rsid w:val="005D3F39"/>
    <w:rsid w:val="005D4882"/>
    <w:rsid w:val="005D49A7"/>
    <w:rsid w:val="005D4C60"/>
    <w:rsid w:val="005D4E1F"/>
    <w:rsid w:val="005D516B"/>
    <w:rsid w:val="005D57E5"/>
    <w:rsid w:val="005D7432"/>
    <w:rsid w:val="005E11CE"/>
    <w:rsid w:val="005E45FF"/>
    <w:rsid w:val="005E476C"/>
    <w:rsid w:val="005E5204"/>
    <w:rsid w:val="005E5C91"/>
    <w:rsid w:val="005E7855"/>
    <w:rsid w:val="005F019E"/>
    <w:rsid w:val="005F1D7A"/>
    <w:rsid w:val="005F425A"/>
    <w:rsid w:val="005F461F"/>
    <w:rsid w:val="005F53A4"/>
    <w:rsid w:val="005F54CF"/>
    <w:rsid w:val="005F5D8F"/>
    <w:rsid w:val="005F6E3F"/>
    <w:rsid w:val="005F7B06"/>
    <w:rsid w:val="006014A5"/>
    <w:rsid w:val="006022DB"/>
    <w:rsid w:val="006040E9"/>
    <w:rsid w:val="00605294"/>
    <w:rsid w:val="006061BF"/>
    <w:rsid w:val="00612450"/>
    <w:rsid w:val="00612569"/>
    <w:rsid w:val="0061296C"/>
    <w:rsid w:val="0061469C"/>
    <w:rsid w:val="0061595B"/>
    <w:rsid w:val="00617984"/>
    <w:rsid w:val="00622ECE"/>
    <w:rsid w:val="00623492"/>
    <w:rsid w:val="00625E29"/>
    <w:rsid w:val="00626673"/>
    <w:rsid w:val="00626B1A"/>
    <w:rsid w:val="00631087"/>
    <w:rsid w:val="006320D3"/>
    <w:rsid w:val="00633621"/>
    <w:rsid w:val="006339F0"/>
    <w:rsid w:val="00637394"/>
    <w:rsid w:val="00637D79"/>
    <w:rsid w:val="00645948"/>
    <w:rsid w:val="00647747"/>
    <w:rsid w:val="00647D69"/>
    <w:rsid w:val="00651B97"/>
    <w:rsid w:val="00653728"/>
    <w:rsid w:val="00653A82"/>
    <w:rsid w:val="00653E15"/>
    <w:rsid w:val="00655004"/>
    <w:rsid w:val="006556F6"/>
    <w:rsid w:val="006570CA"/>
    <w:rsid w:val="0066172B"/>
    <w:rsid w:val="00664CB6"/>
    <w:rsid w:val="00664D00"/>
    <w:rsid w:val="00666C22"/>
    <w:rsid w:val="00667F70"/>
    <w:rsid w:val="00670D10"/>
    <w:rsid w:val="00671405"/>
    <w:rsid w:val="00673188"/>
    <w:rsid w:val="006731FE"/>
    <w:rsid w:val="0067407F"/>
    <w:rsid w:val="0068107E"/>
    <w:rsid w:val="00682CB2"/>
    <w:rsid w:val="0068320B"/>
    <w:rsid w:val="00683242"/>
    <w:rsid w:val="00684B6E"/>
    <w:rsid w:val="00685894"/>
    <w:rsid w:val="00685D39"/>
    <w:rsid w:val="00685EF2"/>
    <w:rsid w:val="006900CC"/>
    <w:rsid w:val="0069122D"/>
    <w:rsid w:val="00692513"/>
    <w:rsid w:val="00696D79"/>
    <w:rsid w:val="00697825"/>
    <w:rsid w:val="006A0626"/>
    <w:rsid w:val="006A06E7"/>
    <w:rsid w:val="006A1357"/>
    <w:rsid w:val="006A142D"/>
    <w:rsid w:val="006A568B"/>
    <w:rsid w:val="006A62C5"/>
    <w:rsid w:val="006B1173"/>
    <w:rsid w:val="006B1F12"/>
    <w:rsid w:val="006B2BCB"/>
    <w:rsid w:val="006B619D"/>
    <w:rsid w:val="006B67BF"/>
    <w:rsid w:val="006B780C"/>
    <w:rsid w:val="006C0712"/>
    <w:rsid w:val="006C117C"/>
    <w:rsid w:val="006C3375"/>
    <w:rsid w:val="006C48CA"/>
    <w:rsid w:val="006C53D6"/>
    <w:rsid w:val="006C7D90"/>
    <w:rsid w:val="006D0151"/>
    <w:rsid w:val="006D038D"/>
    <w:rsid w:val="006D0D90"/>
    <w:rsid w:val="006D5B61"/>
    <w:rsid w:val="006D75DA"/>
    <w:rsid w:val="006E0AD7"/>
    <w:rsid w:val="006E3090"/>
    <w:rsid w:val="006E3CB6"/>
    <w:rsid w:val="006E420C"/>
    <w:rsid w:val="006E595C"/>
    <w:rsid w:val="006E5AA0"/>
    <w:rsid w:val="006E7165"/>
    <w:rsid w:val="006E7675"/>
    <w:rsid w:val="006E799E"/>
    <w:rsid w:val="006E7F3F"/>
    <w:rsid w:val="006F0543"/>
    <w:rsid w:val="006F1CE3"/>
    <w:rsid w:val="006F4323"/>
    <w:rsid w:val="006F4A78"/>
    <w:rsid w:val="006F6A9B"/>
    <w:rsid w:val="006F791E"/>
    <w:rsid w:val="006F7DBE"/>
    <w:rsid w:val="007007DE"/>
    <w:rsid w:val="00700A5D"/>
    <w:rsid w:val="00700E5F"/>
    <w:rsid w:val="0070152D"/>
    <w:rsid w:val="007015CD"/>
    <w:rsid w:val="007037C0"/>
    <w:rsid w:val="007051C0"/>
    <w:rsid w:val="007053A5"/>
    <w:rsid w:val="007061CD"/>
    <w:rsid w:val="0070656A"/>
    <w:rsid w:val="00711EB8"/>
    <w:rsid w:val="007125A5"/>
    <w:rsid w:val="00715940"/>
    <w:rsid w:val="00716FEF"/>
    <w:rsid w:val="00726032"/>
    <w:rsid w:val="0073025A"/>
    <w:rsid w:val="00730833"/>
    <w:rsid w:val="007308A1"/>
    <w:rsid w:val="00733158"/>
    <w:rsid w:val="00734698"/>
    <w:rsid w:val="00735127"/>
    <w:rsid w:val="00737D34"/>
    <w:rsid w:val="00737FA4"/>
    <w:rsid w:val="00740A01"/>
    <w:rsid w:val="00741F15"/>
    <w:rsid w:val="00742534"/>
    <w:rsid w:val="007432AF"/>
    <w:rsid w:val="00743839"/>
    <w:rsid w:val="00743F8C"/>
    <w:rsid w:val="00745512"/>
    <w:rsid w:val="0074607E"/>
    <w:rsid w:val="00746111"/>
    <w:rsid w:val="00751770"/>
    <w:rsid w:val="00751798"/>
    <w:rsid w:val="00751A94"/>
    <w:rsid w:val="007541A9"/>
    <w:rsid w:val="00755A62"/>
    <w:rsid w:val="00755ADB"/>
    <w:rsid w:val="00756573"/>
    <w:rsid w:val="007573F1"/>
    <w:rsid w:val="0075757F"/>
    <w:rsid w:val="00760241"/>
    <w:rsid w:val="00760457"/>
    <w:rsid w:val="007625B6"/>
    <w:rsid w:val="007632B0"/>
    <w:rsid w:val="007643AD"/>
    <w:rsid w:val="00764B02"/>
    <w:rsid w:val="007659B0"/>
    <w:rsid w:val="0076651E"/>
    <w:rsid w:val="007670F5"/>
    <w:rsid w:val="00771DB2"/>
    <w:rsid w:val="007726B9"/>
    <w:rsid w:val="00773309"/>
    <w:rsid w:val="0077411E"/>
    <w:rsid w:val="00776C5F"/>
    <w:rsid w:val="00776FCD"/>
    <w:rsid w:val="00777557"/>
    <w:rsid w:val="00782166"/>
    <w:rsid w:val="0078309F"/>
    <w:rsid w:val="00783FA3"/>
    <w:rsid w:val="00784C60"/>
    <w:rsid w:val="00791759"/>
    <w:rsid w:val="00791BFA"/>
    <w:rsid w:val="007933E9"/>
    <w:rsid w:val="0079373B"/>
    <w:rsid w:val="00794AE3"/>
    <w:rsid w:val="00796956"/>
    <w:rsid w:val="00796F0E"/>
    <w:rsid w:val="00797C18"/>
    <w:rsid w:val="007A0043"/>
    <w:rsid w:val="007A08A7"/>
    <w:rsid w:val="007A1014"/>
    <w:rsid w:val="007A23CA"/>
    <w:rsid w:val="007A2D1C"/>
    <w:rsid w:val="007A3AD8"/>
    <w:rsid w:val="007A53A9"/>
    <w:rsid w:val="007A63F8"/>
    <w:rsid w:val="007A6520"/>
    <w:rsid w:val="007B0A67"/>
    <w:rsid w:val="007B163E"/>
    <w:rsid w:val="007B2A2B"/>
    <w:rsid w:val="007B4C4E"/>
    <w:rsid w:val="007B523B"/>
    <w:rsid w:val="007B72F2"/>
    <w:rsid w:val="007C07AB"/>
    <w:rsid w:val="007C07B6"/>
    <w:rsid w:val="007C283F"/>
    <w:rsid w:val="007C436E"/>
    <w:rsid w:val="007D0386"/>
    <w:rsid w:val="007D1E5D"/>
    <w:rsid w:val="007D3BAB"/>
    <w:rsid w:val="007D73DF"/>
    <w:rsid w:val="007D7F1A"/>
    <w:rsid w:val="007E216E"/>
    <w:rsid w:val="007E2CC4"/>
    <w:rsid w:val="007E30AF"/>
    <w:rsid w:val="007E34D6"/>
    <w:rsid w:val="007E3724"/>
    <w:rsid w:val="007E5A79"/>
    <w:rsid w:val="007E6B64"/>
    <w:rsid w:val="007F22F4"/>
    <w:rsid w:val="007F23DD"/>
    <w:rsid w:val="007F2993"/>
    <w:rsid w:val="007F35F7"/>
    <w:rsid w:val="007F507E"/>
    <w:rsid w:val="007F5DF3"/>
    <w:rsid w:val="007F737B"/>
    <w:rsid w:val="007F78D7"/>
    <w:rsid w:val="007F7A76"/>
    <w:rsid w:val="00800A7D"/>
    <w:rsid w:val="008059D9"/>
    <w:rsid w:val="0080668E"/>
    <w:rsid w:val="00806AC9"/>
    <w:rsid w:val="0080747A"/>
    <w:rsid w:val="00810722"/>
    <w:rsid w:val="00813461"/>
    <w:rsid w:val="0081379E"/>
    <w:rsid w:val="00813ED5"/>
    <w:rsid w:val="008155FB"/>
    <w:rsid w:val="00820840"/>
    <w:rsid w:val="00820DF1"/>
    <w:rsid w:val="00827753"/>
    <w:rsid w:val="00831D8A"/>
    <w:rsid w:val="00831E1D"/>
    <w:rsid w:val="008328D3"/>
    <w:rsid w:val="0083425B"/>
    <w:rsid w:val="00834D02"/>
    <w:rsid w:val="008352DB"/>
    <w:rsid w:val="00835BD0"/>
    <w:rsid w:val="008404F0"/>
    <w:rsid w:val="008405DA"/>
    <w:rsid w:val="00840710"/>
    <w:rsid w:val="008424A4"/>
    <w:rsid w:val="008444E9"/>
    <w:rsid w:val="00845246"/>
    <w:rsid w:val="008525F1"/>
    <w:rsid w:val="00853DFB"/>
    <w:rsid w:val="0085516F"/>
    <w:rsid w:val="00860B73"/>
    <w:rsid w:val="00864748"/>
    <w:rsid w:val="00864A07"/>
    <w:rsid w:val="00866FE1"/>
    <w:rsid w:val="00870DAA"/>
    <w:rsid w:val="00871F7C"/>
    <w:rsid w:val="00877745"/>
    <w:rsid w:val="00881787"/>
    <w:rsid w:val="008852C6"/>
    <w:rsid w:val="0088572F"/>
    <w:rsid w:val="008870B3"/>
    <w:rsid w:val="008875DC"/>
    <w:rsid w:val="00887DB4"/>
    <w:rsid w:val="00890824"/>
    <w:rsid w:val="00893E76"/>
    <w:rsid w:val="0089541C"/>
    <w:rsid w:val="00895970"/>
    <w:rsid w:val="008960E0"/>
    <w:rsid w:val="008964C2"/>
    <w:rsid w:val="00896CDE"/>
    <w:rsid w:val="008A0605"/>
    <w:rsid w:val="008A0DDD"/>
    <w:rsid w:val="008A21B7"/>
    <w:rsid w:val="008A2580"/>
    <w:rsid w:val="008A3883"/>
    <w:rsid w:val="008A40C9"/>
    <w:rsid w:val="008A493E"/>
    <w:rsid w:val="008A5161"/>
    <w:rsid w:val="008A5715"/>
    <w:rsid w:val="008A5A59"/>
    <w:rsid w:val="008A655C"/>
    <w:rsid w:val="008B0B94"/>
    <w:rsid w:val="008B0DAB"/>
    <w:rsid w:val="008B4FC2"/>
    <w:rsid w:val="008B59AB"/>
    <w:rsid w:val="008B7A43"/>
    <w:rsid w:val="008C0424"/>
    <w:rsid w:val="008C19B8"/>
    <w:rsid w:val="008C2052"/>
    <w:rsid w:val="008C4012"/>
    <w:rsid w:val="008C5ED6"/>
    <w:rsid w:val="008C63DC"/>
    <w:rsid w:val="008C78BB"/>
    <w:rsid w:val="008D151E"/>
    <w:rsid w:val="008D6493"/>
    <w:rsid w:val="008D6A4A"/>
    <w:rsid w:val="008D71A1"/>
    <w:rsid w:val="008E06B4"/>
    <w:rsid w:val="008E0C04"/>
    <w:rsid w:val="008E2932"/>
    <w:rsid w:val="008E31D9"/>
    <w:rsid w:val="008E4803"/>
    <w:rsid w:val="008E4B92"/>
    <w:rsid w:val="008E688E"/>
    <w:rsid w:val="008F2640"/>
    <w:rsid w:val="008F30FD"/>
    <w:rsid w:val="008F5B37"/>
    <w:rsid w:val="008F5DDE"/>
    <w:rsid w:val="0090419C"/>
    <w:rsid w:val="00905523"/>
    <w:rsid w:val="00906BD4"/>
    <w:rsid w:val="009072D9"/>
    <w:rsid w:val="00910033"/>
    <w:rsid w:val="009102B9"/>
    <w:rsid w:val="00911572"/>
    <w:rsid w:val="0091210C"/>
    <w:rsid w:val="009129DD"/>
    <w:rsid w:val="00912BEA"/>
    <w:rsid w:val="00913F36"/>
    <w:rsid w:val="00915F59"/>
    <w:rsid w:val="009161AC"/>
    <w:rsid w:val="00916CCC"/>
    <w:rsid w:val="00916E0A"/>
    <w:rsid w:val="0091747B"/>
    <w:rsid w:val="0092068F"/>
    <w:rsid w:val="00921068"/>
    <w:rsid w:val="00922C2B"/>
    <w:rsid w:val="00924D83"/>
    <w:rsid w:val="00930117"/>
    <w:rsid w:val="00930550"/>
    <w:rsid w:val="00937755"/>
    <w:rsid w:val="00937FFE"/>
    <w:rsid w:val="009402A1"/>
    <w:rsid w:val="0094312C"/>
    <w:rsid w:val="0094388D"/>
    <w:rsid w:val="00945984"/>
    <w:rsid w:val="00945D96"/>
    <w:rsid w:val="009462F0"/>
    <w:rsid w:val="00950A55"/>
    <w:rsid w:val="009514ED"/>
    <w:rsid w:val="009531FC"/>
    <w:rsid w:val="00953757"/>
    <w:rsid w:val="009537E1"/>
    <w:rsid w:val="00953BC8"/>
    <w:rsid w:val="00954DDF"/>
    <w:rsid w:val="0096075D"/>
    <w:rsid w:val="00961184"/>
    <w:rsid w:val="00961F7C"/>
    <w:rsid w:val="0096753C"/>
    <w:rsid w:val="00970A3D"/>
    <w:rsid w:val="00971FD0"/>
    <w:rsid w:val="00974013"/>
    <w:rsid w:val="0097458F"/>
    <w:rsid w:val="00976F7E"/>
    <w:rsid w:val="00976FDF"/>
    <w:rsid w:val="00977903"/>
    <w:rsid w:val="0098009A"/>
    <w:rsid w:val="0098156A"/>
    <w:rsid w:val="00982E1B"/>
    <w:rsid w:val="0098496E"/>
    <w:rsid w:val="00986172"/>
    <w:rsid w:val="00986298"/>
    <w:rsid w:val="00986C31"/>
    <w:rsid w:val="009875A8"/>
    <w:rsid w:val="00987A9E"/>
    <w:rsid w:val="0099176F"/>
    <w:rsid w:val="009923AB"/>
    <w:rsid w:val="00992A3F"/>
    <w:rsid w:val="009945BE"/>
    <w:rsid w:val="0099554F"/>
    <w:rsid w:val="009968BB"/>
    <w:rsid w:val="00997EC0"/>
    <w:rsid w:val="009A005A"/>
    <w:rsid w:val="009A2BFD"/>
    <w:rsid w:val="009A2F96"/>
    <w:rsid w:val="009A57E4"/>
    <w:rsid w:val="009A6B90"/>
    <w:rsid w:val="009A7E6C"/>
    <w:rsid w:val="009B2E25"/>
    <w:rsid w:val="009B30B3"/>
    <w:rsid w:val="009B3C9B"/>
    <w:rsid w:val="009B5BA4"/>
    <w:rsid w:val="009B68E5"/>
    <w:rsid w:val="009C0394"/>
    <w:rsid w:val="009C48C2"/>
    <w:rsid w:val="009C4FCB"/>
    <w:rsid w:val="009C58FB"/>
    <w:rsid w:val="009C6030"/>
    <w:rsid w:val="009C60EB"/>
    <w:rsid w:val="009C646A"/>
    <w:rsid w:val="009C696A"/>
    <w:rsid w:val="009C75E9"/>
    <w:rsid w:val="009D00C9"/>
    <w:rsid w:val="009D1657"/>
    <w:rsid w:val="009D1CE9"/>
    <w:rsid w:val="009D2C81"/>
    <w:rsid w:val="009D53F0"/>
    <w:rsid w:val="009D5FBD"/>
    <w:rsid w:val="009D71C3"/>
    <w:rsid w:val="009D784C"/>
    <w:rsid w:val="009E0052"/>
    <w:rsid w:val="009E09E3"/>
    <w:rsid w:val="009E0C5E"/>
    <w:rsid w:val="009E2319"/>
    <w:rsid w:val="009E7412"/>
    <w:rsid w:val="009F194D"/>
    <w:rsid w:val="009F1992"/>
    <w:rsid w:val="009F28F1"/>
    <w:rsid w:val="009F6985"/>
    <w:rsid w:val="00A00369"/>
    <w:rsid w:val="00A004D5"/>
    <w:rsid w:val="00A02893"/>
    <w:rsid w:val="00A02AB5"/>
    <w:rsid w:val="00A02E97"/>
    <w:rsid w:val="00A05B47"/>
    <w:rsid w:val="00A060FE"/>
    <w:rsid w:val="00A06CD9"/>
    <w:rsid w:val="00A072FE"/>
    <w:rsid w:val="00A11529"/>
    <w:rsid w:val="00A117C2"/>
    <w:rsid w:val="00A118DF"/>
    <w:rsid w:val="00A12105"/>
    <w:rsid w:val="00A1421D"/>
    <w:rsid w:val="00A14244"/>
    <w:rsid w:val="00A14853"/>
    <w:rsid w:val="00A14D59"/>
    <w:rsid w:val="00A1612C"/>
    <w:rsid w:val="00A16817"/>
    <w:rsid w:val="00A169D7"/>
    <w:rsid w:val="00A1769B"/>
    <w:rsid w:val="00A17EAA"/>
    <w:rsid w:val="00A20A9B"/>
    <w:rsid w:val="00A228D7"/>
    <w:rsid w:val="00A24323"/>
    <w:rsid w:val="00A24BDD"/>
    <w:rsid w:val="00A24E16"/>
    <w:rsid w:val="00A255E8"/>
    <w:rsid w:val="00A2615E"/>
    <w:rsid w:val="00A27329"/>
    <w:rsid w:val="00A27EE3"/>
    <w:rsid w:val="00A34359"/>
    <w:rsid w:val="00A35CE1"/>
    <w:rsid w:val="00A36533"/>
    <w:rsid w:val="00A367A9"/>
    <w:rsid w:val="00A36974"/>
    <w:rsid w:val="00A408CC"/>
    <w:rsid w:val="00A423EA"/>
    <w:rsid w:val="00A436F2"/>
    <w:rsid w:val="00A44E4F"/>
    <w:rsid w:val="00A52F3D"/>
    <w:rsid w:val="00A5340E"/>
    <w:rsid w:val="00A57D8A"/>
    <w:rsid w:val="00A630FB"/>
    <w:rsid w:val="00A67538"/>
    <w:rsid w:val="00A70052"/>
    <w:rsid w:val="00A70129"/>
    <w:rsid w:val="00A70425"/>
    <w:rsid w:val="00A70B1E"/>
    <w:rsid w:val="00A70B2E"/>
    <w:rsid w:val="00A70CA0"/>
    <w:rsid w:val="00A721AB"/>
    <w:rsid w:val="00A735D2"/>
    <w:rsid w:val="00A75F61"/>
    <w:rsid w:val="00A8362F"/>
    <w:rsid w:val="00A84BD6"/>
    <w:rsid w:val="00A858F7"/>
    <w:rsid w:val="00A93F1E"/>
    <w:rsid w:val="00A95413"/>
    <w:rsid w:val="00A95FDF"/>
    <w:rsid w:val="00A970D9"/>
    <w:rsid w:val="00A97A06"/>
    <w:rsid w:val="00AA11A9"/>
    <w:rsid w:val="00AA128F"/>
    <w:rsid w:val="00AA14EE"/>
    <w:rsid w:val="00AA30CD"/>
    <w:rsid w:val="00AA7A76"/>
    <w:rsid w:val="00AA7B70"/>
    <w:rsid w:val="00AB0207"/>
    <w:rsid w:val="00AB0CFB"/>
    <w:rsid w:val="00AB1920"/>
    <w:rsid w:val="00AB197F"/>
    <w:rsid w:val="00AB305E"/>
    <w:rsid w:val="00AB3BE9"/>
    <w:rsid w:val="00AB4321"/>
    <w:rsid w:val="00AB47E0"/>
    <w:rsid w:val="00AC0A6C"/>
    <w:rsid w:val="00AC0EBC"/>
    <w:rsid w:val="00AC11D7"/>
    <w:rsid w:val="00AC4757"/>
    <w:rsid w:val="00AC488D"/>
    <w:rsid w:val="00AC5D69"/>
    <w:rsid w:val="00AC6A18"/>
    <w:rsid w:val="00AD1004"/>
    <w:rsid w:val="00AD199B"/>
    <w:rsid w:val="00AD328E"/>
    <w:rsid w:val="00AD3778"/>
    <w:rsid w:val="00AD402A"/>
    <w:rsid w:val="00AD67E4"/>
    <w:rsid w:val="00AD7454"/>
    <w:rsid w:val="00AE1BCA"/>
    <w:rsid w:val="00AE3FE4"/>
    <w:rsid w:val="00AE457C"/>
    <w:rsid w:val="00AE4DBD"/>
    <w:rsid w:val="00AE4EF3"/>
    <w:rsid w:val="00AE6D38"/>
    <w:rsid w:val="00AF15AE"/>
    <w:rsid w:val="00AF1FEC"/>
    <w:rsid w:val="00AF2576"/>
    <w:rsid w:val="00AF347C"/>
    <w:rsid w:val="00AF4ABC"/>
    <w:rsid w:val="00AF5A54"/>
    <w:rsid w:val="00AF7F81"/>
    <w:rsid w:val="00B00ACD"/>
    <w:rsid w:val="00B021CF"/>
    <w:rsid w:val="00B03642"/>
    <w:rsid w:val="00B03B45"/>
    <w:rsid w:val="00B0777B"/>
    <w:rsid w:val="00B12E27"/>
    <w:rsid w:val="00B132CF"/>
    <w:rsid w:val="00B13C02"/>
    <w:rsid w:val="00B15382"/>
    <w:rsid w:val="00B1558A"/>
    <w:rsid w:val="00B17EB9"/>
    <w:rsid w:val="00B2141B"/>
    <w:rsid w:val="00B23937"/>
    <w:rsid w:val="00B23B03"/>
    <w:rsid w:val="00B32AA8"/>
    <w:rsid w:val="00B33F73"/>
    <w:rsid w:val="00B341E7"/>
    <w:rsid w:val="00B35165"/>
    <w:rsid w:val="00B358DA"/>
    <w:rsid w:val="00B37047"/>
    <w:rsid w:val="00B446C5"/>
    <w:rsid w:val="00B44B19"/>
    <w:rsid w:val="00B5039A"/>
    <w:rsid w:val="00B5114B"/>
    <w:rsid w:val="00B542BD"/>
    <w:rsid w:val="00B54C36"/>
    <w:rsid w:val="00B57CAB"/>
    <w:rsid w:val="00B6015C"/>
    <w:rsid w:val="00B617B2"/>
    <w:rsid w:val="00B62277"/>
    <w:rsid w:val="00B63FBA"/>
    <w:rsid w:val="00B641FC"/>
    <w:rsid w:val="00B677D9"/>
    <w:rsid w:val="00B67889"/>
    <w:rsid w:val="00B72A36"/>
    <w:rsid w:val="00B80144"/>
    <w:rsid w:val="00B83257"/>
    <w:rsid w:val="00B834DB"/>
    <w:rsid w:val="00B845D9"/>
    <w:rsid w:val="00B85CAE"/>
    <w:rsid w:val="00B862FE"/>
    <w:rsid w:val="00B9194F"/>
    <w:rsid w:val="00B91B85"/>
    <w:rsid w:val="00B920F8"/>
    <w:rsid w:val="00B92FE7"/>
    <w:rsid w:val="00BA0B63"/>
    <w:rsid w:val="00BA0E7F"/>
    <w:rsid w:val="00BA0F11"/>
    <w:rsid w:val="00BA2C20"/>
    <w:rsid w:val="00BA504B"/>
    <w:rsid w:val="00BA6BEF"/>
    <w:rsid w:val="00BA7D8F"/>
    <w:rsid w:val="00BB1442"/>
    <w:rsid w:val="00BB31AD"/>
    <w:rsid w:val="00BC0E0D"/>
    <w:rsid w:val="00BC1135"/>
    <w:rsid w:val="00BC16E9"/>
    <w:rsid w:val="00BC2059"/>
    <w:rsid w:val="00BC4424"/>
    <w:rsid w:val="00BC4909"/>
    <w:rsid w:val="00BC4C2B"/>
    <w:rsid w:val="00BC5079"/>
    <w:rsid w:val="00BC66FD"/>
    <w:rsid w:val="00BC6747"/>
    <w:rsid w:val="00BC7877"/>
    <w:rsid w:val="00BD0275"/>
    <w:rsid w:val="00BD1989"/>
    <w:rsid w:val="00BD1FF0"/>
    <w:rsid w:val="00BD413B"/>
    <w:rsid w:val="00BD4730"/>
    <w:rsid w:val="00BD4FB8"/>
    <w:rsid w:val="00BD5320"/>
    <w:rsid w:val="00BD67AF"/>
    <w:rsid w:val="00BE0BC8"/>
    <w:rsid w:val="00BE4C5A"/>
    <w:rsid w:val="00BE4F51"/>
    <w:rsid w:val="00BE7F69"/>
    <w:rsid w:val="00BF5BA8"/>
    <w:rsid w:val="00BF62E1"/>
    <w:rsid w:val="00BF638F"/>
    <w:rsid w:val="00BF6FA3"/>
    <w:rsid w:val="00BF731F"/>
    <w:rsid w:val="00C018D1"/>
    <w:rsid w:val="00C01BE6"/>
    <w:rsid w:val="00C0345E"/>
    <w:rsid w:val="00C0449C"/>
    <w:rsid w:val="00C04C05"/>
    <w:rsid w:val="00C05276"/>
    <w:rsid w:val="00C07AE2"/>
    <w:rsid w:val="00C11DBE"/>
    <w:rsid w:val="00C14D8C"/>
    <w:rsid w:val="00C16133"/>
    <w:rsid w:val="00C173A0"/>
    <w:rsid w:val="00C22890"/>
    <w:rsid w:val="00C22FAD"/>
    <w:rsid w:val="00C23713"/>
    <w:rsid w:val="00C2515E"/>
    <w:rsid w:val="00C2578B"/>
    <w:rsid w:val="00C3029F"/>
    <w:rsid w:val="00C31C42"/>
    <w:rsid w:val="00C32B3F"/>
    <w:rsid w:val="00C33F95"/>
    <w:rsid w:val="00C3402B"/>
    <w:rsid w:val="00C34622"/>
    <w:rsid w:val="00C34775"/>
    <w:rsid w:val="00C34B90"/>
    <w:rsid w:val="00C37C17"/>
    <w:rsid w:val="00C4012F"/>
    <w:rsid w:val="00C41D19"/>
    <w:rsid w:val="00C42EA8"/>
    <w:rsid w:val="00C43336"/>
    <w:rsid w:val="00C433CC"/>
    <w:rsid w:val="00C44423"/>
    <w:rsid w:val="00C44570"/>
    <w:rsid w:val="00C50785"/>
    <w:rsid w:val="00C51D10"/>
    <w:rsid w:val="00C52542"/>
    <w:rsid w:val="00C53071"/>
    <w:rsid w:val="00C622FA"/>
    <w:rsid w:val="00C63772"/>
    <w:rsid w:val="00C6501E"/>
    <w:rsid w:val="00C6630C"/>
    <w:rsid w:val="00C66804"/>
    <w:rsid w:val="00C67073"/>
    <w:rsid w:val="00C671C5"/>
    <w:rsid w:val="00C67605"/>
    <w:rsid w:val="00C70986"/>
    <w:rsid w:val="00C70AE1"/>
    <w:rsid w:val="00C725C9"/>
    <w:rsid w:val="00C74E7B"/>
    <w:rsid w:val="00C7512E"/>
    <w:rsid w:val="00C763CB"/>
    <w:rsid w:val="00C777C3"/>
    <w:rsid w:val="00C80CCE"/>
    <w:rsid w:val="00C817BD"/>
    <w:rsid w:val="00C82732"/>
    <w:rsid w:val="00C82BD7"/>
    <w:rsid w:val="00C83293"/>
    <w:rsid w:val="00C86F12"/>
    <w:rsid w:val="00C91011"/>
    <w:rsid w:val="00C92378"/>
    <w:rsid w:val="00C935B0"/>
    <w:rsid w:val="00C93D2A"/>
    <w:rsid w:val="00C9438E"/>
    <w:rsid w:val="00C946EA"/>
    <w:rsid w:val="00C94C55"/>
    <w:rsid w:val="00C95319"/>
    <w:rsid w:val="00C964A5"/>
    <w:rsid w:val="00C96AFB"/>
    <w:rsid w:val="00CA6CEA"/>
    <w:rsid w:val="00CA7BE4"/>
    <w:rsid w:val="00CB108F"/>
    <w:rsid w:val="00CB3B0A"/>
    <w:rsid w:val="00CB7BBA"/>
    <w:rsid w:val="00CC11C7"/>
    <w:rsid w:val="00CC3374"/>
    <w:rsid w:val="00CC3433"/>
    <w:rsid w:val="00CC48DD"/>
    <w:rsid w:val="00CC4EF7"/>
    <w:rsid w:val="00CC5015"/>
    <w:rsid w:val="00CC7628"/>
    <w:rsid w:val="00CD2257"/>
    <w:rsid w:val="00CD79D0"/>
    <w:rsid w:val="00CE065E"/>
    <w:rsid w:val="00CE2081"/>
    <w:rsid w:val="00CE2703"/>
    <w:rsid w:val="00CE30E4"/>
    <w:rsid w:val="00CE3D9A"/>
    <w:rsid w:val="00CE465A"/>
    <w:rsid w:val="00CE6891"/>
    <w:rsid w:val="00CE73F0"/>
    <w:rsid w:val="00CF2873"/>
    <w:rsid w:val="00CF2DB4"/>
    <w:rsid w:val="00CF3531"/>
    <w:rsid w:val="00CF3E2A"/>
    <w:rsid w:val="00CF410E"/>
    <w:rsid w:val="00CF5358"/>
    <w:rsid w:val="00D0055C"/>
    <w:rsid w:val="00D02E88"/>
    <w:rsid w:val="00D03132"/>
    <w:rsid w:val="00D033BD"/>
    <w:rsid w:val="00D05C2B"/>
    <w:rsid w:val="00D05E1A"/>
    <w:rsid w:val="00D061DE"/>
    <w:rsid w:val="00D06C19"/>
    <w:rsid w:val="00D070A3"/>
    <w:rsid w:val="00D10EBB"/>
    <w:rsid w:val="00D1159F"/>
    <w:rsid w:val="00D116FD"/>
    <w:rsid w:val="00D11A14"/>
    <w:rsid w:val="00D122AA"/>
    <w:rsid w:val="00D1336F"/>
    <w:rsid w:val="00D135FD"/>
    <w:rsid w:val="00D15171"/>
    <w:rsid w:val="00D155C7"/>
    <w:rsid w:val="00D15917"/>
    <w:rsid w:val="00D21911"/>
    <w:rsid w:val="00D226D8"/>
    <w:rsid w:val="00D237B5"/>
    <w:rsid w:val="00D23FDA"/>
    <w:rsid w:val="00D259A1"/>
    <w:rsid w:val="00D26C4C"/>
    <w:rsid w:val="00D30711"/>
    <w:rsid w:val="00D31AEC"/>
    <w:rsid w:val="00D32DC0"/>
    <w:rsid w:val="00D33642"/>
    <w:rsid w:val="00D43342"/>
    <w:rsid w:val="00D44169"/>
    <w:rsid w:val="00D443AF"/>
    <w:rsid w:val="00D45551"/>
    <w:rsid w:val="00D474E9"/>
    <w:rsid w:val="00D51B69"/>
    <w:rsid w:val="00D52893"/>
    <w:rsid w:val="00D52A45"/>
    <w:rsid w:val="00D5531F"/>
    <w:rsid w:val="00D55B65"/>
    <w:rsid w:val="00D61BBF"/>
    <w:rsid w:val="00D62A8D"/>
    <w:rsid w:val="00D630DF"/>
    <w:rsid w:val="00D63158"/>
    <w:rsid w:val="00D65789"/>
    <w:rsid w:val="00D66383"/>
    <w:rsid w:val="00D6658F"/>
    <w:rsid w:val="00D66E1F"/>
    <w:rsid w:val="00D66F5D"/>
    <w:rsid w:val="00D67CA7"/>
    <w:rsid w:val="00D70922"/>
    <w:rsid w:val="00D718C7"/>
    <w:rsid w:val="00D72EFC"/>
    <w:rsid w:val="00D73CBE"/>
    <w:rsid w:val="00D744BB"/>
    <w:rsid w:val="00D75D07"/>
    <w:rsid w:val="00D76B0B"/>
    <w:rsid w:val="00D77F57"/>
    <w:rsid w:val="00D8145D"/>
    <w:rsid w:val="00D81C9D"/>
    <w:rsid w:val="00D81CE2"/>
    <w:rsid w:val="00D850C0"/>
    <w:rsid w:val="00D853DD"/>
    <w:rsid w:val="00D86998"/>
    <w:rsid w:val="00D91D6F"/>
    <w:rsid w:val="00D92475"/>
    <w:rsid w:val="00D9426C"/>
    <w:rsid w:val="00D95C13"/>
    <w:rsid w:val="00DA2691"/>
    <w:rsid w:val="00DA4E5E"/>
    <w:rsid w:val="00DA4EBA"/>
    <w:rsid w:val="00DA4EDA"/>
    <w:rsid w:val="00DB1120"/>
    <w:rsid w:val="00DB1531"/>
    <w:rsid w:val="00DB1DBE"/>
    <w:rsid w:val="00DB1E37"/>
    <w:rsid w:val="00DB5CED"/>
    <w:rsid w:val="00DB7520"/>
    <w:rsid w:val="00DC0771"/>
    <w:rsid w:val="00DC1D17"/>
    <w:rsid w:val="00DC713E"/>
    <w:rsid w:val="00DD3080"/>
    <w:rsid w:val="00DD3390"/>
    <w:rsid w:val="00DD5E73"/>
    <w:rsid w:val="00DD6683"/>
    <w:rsid w:val="00DE0CD8"/>
    <w:rsid w:val="00DE578D"/>
    <w:rsid w:val="00DE5AF0"/>
    <w:rsid w:val="00DE5D4B"/>
    <w:rsid w:val="00DF0D2F"/>
    <w:rsid w:val="00DF2C97"/>
    <w:rsid w:val="00DF3E9C"/>
    <w:rsid w:val="00DF3FE1"/>
    <w:rsid w:val="00DF565B"/>
    <w:rsid w:val="00DF6289"/>
    <w:rsid w:val="00DF752A"/>
    <w:rsid w:val="00E03154"/>
    <w:rsid w:val="00E10624"/>
    <w:rsid w:val="00E11873"/>
    <w:rsid w:val="00E12A4F"/>
    <w:rsid w:val="00E13263"/>
    <w:rsid w:val="00E1381F"/>
    <w:rsid w:val="00E14063"/>
    <w:rsid w:val="00E1423A"/>
    <w:rsid w:val="00E14B45"/>
    <w:rsid w:val="00E1511D"/>
    <w:rsid w:val="00E164B5"/>
    <w:rsid w:val="00E21BE8"/>
    <w:rsid w:val="00E24B8F"/>
    <w:rsid w:val="00E265B5"/>
    <w:rsid w:val="00E27A0B"/>
    <w:rsid w:val="00E27ED3"/>
    <w:rsid w:val="00E312CE"/>
    <w:rsid w:val="00E40A57"/>
    <w:rsid w:val="00E40DC5"/>
    <w:rsid w:val="00E41E70"/>
    <w:rsid w:val="00E43609"/>
    <w:rsid w:val="00E45CD2"/>
    <w:rsid w:val="00E52530"/>
    <w:rsid w:val="00E53DD8"/>
    <w:rsid w:val="00E55695"/>
    <w:rsid w:val="00E56427"/>
    <w:rsid w:val="00E63242"/>
    <w:rsid w:val="00E63A62"/>
    <w:rsid w:val="00E6407C"/>
    <w:rsid w:val="00E64248"/>
    <w:rsid w:val="00E64C01"/>
    <w:rsid w:val="00E66910"/>
    <w:rsid w:val="00E67404"/>
    <w:rsid w:val="00E716FE"/>
    <w:rsid w:val="00E71E6E"/>
    <w:rsid w:val="00E737D9"/>
    <w:rsid w:val="00E75B00"/>
    <w:rsid w:val="00E81F8A"/>
    <w:rsid w:val="00E83553"/>
    <w:rsid w:val="00E83A84"/>
    <w:rsid w:val="00E8451C"/>
    <w:rsid w:val="00E846A3"/>
    <w:rsid w:val="00E85DD2"/>
    <w:rsid w:val="00E87D96"/>
    <w:rsid w:val="00E9025B"/>
    <w:rsid w:val="00E90C43"/>
    <w:rsid w:val="00E913D4"/>
    <w:rsid w:val="00E91DFA"/>
    <w:rsid w:val="00E929FB"/>
    <w:rsid w:val="00E93430"/>
    <w:rsid w:val="00E96BD7"/>
    <w:rsid w:val="00E975F0"/>
    <w:rsid w:val="00EA0AE9"/>
    <w:rsid w:val="00EA1DAC"/>
    <w:rsid w:val="00EA29F7"/>
    <w:rsid w:val="00EA368D"/>
    <w:rsid w:val="00EA3DD7"/>
    <w:rsid w:val="00EA3F3F"/>
    <w:rsid w:val="00EA3F57"/>
    <w:rsid w:val="00EA5EAB"/>
    <w:rsid w:val="00EA6591"/>
    <w:rsid w:val="00EA6AA6"/>
    <w:rsid w:val="00EA75F4"/>
    <w:rsid w:val="00EA7617"/>
    <w:rsid w:val="00EB235F"/>
    <w:rsid w:val="00EB3120"/>
    <w:rsid w:val="00EB3212"/>
    <w:rsid w:val="00EB540B"/>
    <w:rsid w:val="00EC10FB"/>
    <w:rsid w:val="00EC1576"/>
    <w:rsid w:val="00EC2186"/>
    <w:rsid w:val="00EC3F63"/>
    <w:rsid w:val="00ED08D5"/>
    <w:rsid w:val="00ED0D4B"/>
    <w:rsid w:val="00ED22AE"/>
    <w:rsid w:val="00ED4A11"/>
    <w:rsid w:val="00ED504B"/>
    <w:rsid w:val="00ED6177"/>
    <w:rsid w:val="00EE0C69"/>
    <w:rsid w:val="00EE13D5"/>
    <w:rsid w:val="00EE1810"/>
    <w:rsid w:val="00EE3386"/>
    <w:rsid w:val="00EE3832"/>
    <w:rsid w:val="00EE41E4"/>
    <w:rsid w:val="00EE496A"/>
    <w:rsid w:val="00EE6383"/>
    <w:rsid w:val="00EE6A96"/>
    <w:rsid w:val="00EE6E7B"/>
    <w:rsid w:val="00EE6EC3"/>
    <w:rsid w:val="00EF3045"/>
    <w:rsid w:val="00EF4074"/>
    <w:rsid w:val="00EF5E7A"/>
    <w:rsid w:val="00EF61F9"/>
    <w:rsid w:val="00EF674D"/>
    <w:rsid w:val="00EF77E9"/>
    <w:rsid w:val="00F00FDF"/>
    <w:rsid w:val="00F01821"/>
    <w:rsid w:val="00F029F7"/>
    <w:rsid w:val="00F0546E"/>
    <w:rsid w:val="00F076E9"/>
    <w:rsid w:val="00F115A2"/>
    <w:rsid w:val="00F1343C"/>
    <w:rsid w:val="00F1498F"/>
    <w:rsid w:val="00F15027"/>
    <w:rsid w:val="00F158B2"/>
    <w:rsid w:val="00F15F38"/>
    <w:rsid w:val="00F15FC5"/>
    <w:rsid w:val="00F20ED3"/>
    <w:rsid w:val="00F23B50"/>
    <w:rsid w:val="00F2619E"/>
    <w:rsid w:val="00F264B7"/>
    <w:rsid w:val="00F26EB4"/>
    <w:rsid w:val="00F31CCB"/>
    <w:rsid w:val="00F32B60"/>
    <w:rsid w:val="00F32D2E"/>
    <w:rsid w:val="00F364A0"/>
    <w:rsid w:val="00F36516"/>
    <w:rsid w:val="00F4214B"/>
    <w:rsid w:val="00F4270E"/>
    <w:rsid w:val="00F44566"/>
    <w:rsid w:val="00F44EA5"/>
    <w:rsid w:val="00F46C33"/>
    <w:rsid w:val="00F508F2"/>
    <w:rsid w:val="00F5188B"/>
    <w:rsid w:val="00F52A66"/>
    <w:rsid w:val="00F54B4B"/>
    <w:rsid w:val="00F55CE1"/>
    <w:rsid w:val="00F568F6"/>
    <w:rsid w:val="00F57E0C"/>
    <w:rsid w:val="00F60676"/>
    <w:rsid w:val="00F62B8D"/>
    <w:rsid w:val="00F62DC5"/>
    <w:rsid w:val="00F64983"/>
    <w:rsid w:val="00F65DE7"/>
    <w:rsid w:val="00F6702A"/>
    <w:rsid w:val="00F675DF"/>
    <w:rsid w:val="00F67915"/>
    <w:rsid w:val="00F707C6"/>
    <w:rsid w:val="00F75B2C"/>
    <w:rsid w:val="00F76E34"/>
    <w:rsid w:val="00F77672"/>
    <w:rsid w:val="00F804A7"/>
    <w:rsid w:val="00F823CF"/>
    <w:rsid w:val="00F82BAE"/>
    <w:rsid w:val="00F848E3"/>
    <w:rsid w:val="00F85DB9"/>
    <w:rsid w:val="00F8601C"/>
    <w:rsid w:val="00F90CC2"/>
    <w:rsid w:val="00F927A5"/>
    <w:rsid w:val="00F93980"/>
    <w:rsid w:val="00F948EA"/>
    <w:rsid w:val="00F958E6"/>
    <w:rsid w:val="00F95E5C"/>
    <w:rsid w:val="00F95F89"/>
    <w:rsid w:val="00FA074F"/>
    <w:rsid w:val="00FA287E"/>
    <w:rsid w:val="00FA44A0"/>
    <w:rsid w:val="00FA6849"/>
    <w:rsid w:val="00FA75E3"/>
    <w:rsid w:val="00FB5C06"/>
    <w:rsid w:val="00FB6207"/>
    <w:rsid w:val="00FB72D8"/>
    <w:rsid w:val="00FC184D"/>
    <w:rsid w:val="00FC4D25"/>
    <w:rsid w:val="00FD012D"/>
    <w:rsid w:val="00FD07B6"/>
    <w:rsid w:val="00FD494A"/>
    <w:rsid w:val="00FD5034"/>
    <w:rsid w:val="00FD7135"/>
    <w:rsid w:val="00FD7624"/>
    <w:rsid w:val="00FE028F"/>
    <w:rsid w:val="00FE31E0"/>
    <w:rsid w:val="00FE7FCA"/>
    <w:rsid w:val="00FF0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293"/>
    <w:rPr>
      <w:lang w:val="fr-FR" w:eastAsia="fr-FR"/>
    </w:rPr>
  </w:style>
  <w:style w:type="paragraph" w:styleId="Heading1">
    <w:name w:val="heading 1"/>
    <w:basedOn w:val="Normal"/>
    <w:next w:val="Normal"/>
    <w:qFormat/>
    <w:pPr>
      <w:keepNext/>
      <w:jc w:val="center"/>
      <w:outlineLvl w:val="0"/>
    </w:pPr>
    <w:rPr>
      <w:b/>
      <w:bCs/>
      <w:i/>
      <w:iCs/>
      <w:sz w:val="24"/>
      <w:szCs w:val="24"/>
    </w:rPr>
  </w:style>
  <w:style w:type="paragraph" w:styleId="Heading2">
    <w:name w:val="heading 2"/>
    <w:basedOn w:val="Normal"/>
    <w:next w:val="Normal"/>
    <w:qFormat/>
    <w:pPr>
      <w:keepNext/>
      <w:jc w:val="center"/>
      <w:outlineLvl w:val="1"/>
    </w:pPr>
    <w:rPr>
      <w:sz w:val="24"/>
      <w:szCs w:val="24"/>
      <w:lang w:val="en-GB"/>
    </w:rPr>
  </w:style>
  <w:style w:type="paragraph" w:styleId="Heading3">
    <w:name w:val="heading 3"/>
    <w:basedOn w:val="Normal"/>
    <w:next w:val="Normal"/>
    <w:qFormat/>
    <w:pPr>
      <w:keepNext/>
      <w:spacing w:before="240" w:after="40" w:line="480" w:lineRule="auto"/>
      <w:jc w:val="both"/>
      <w:outlineLvl w:val="2"/>
    </w:pPr>
    <w:rPr>
      <w:b/>
      <w:bCs/>
      <w:sz w:val="28"/>
      <w:szCs w:val="28"/>
      <w:lang w:val="en-US"/>
    </w:rPr>
  </w:style>
  <w:style w:type="paragraph" w:styleId="Heading4">
    <w:name w:val="heading 4"/>
    <w:basedOn w:val="Normal"/>
    <w:next w:val="Normal"/>
    <w:qFormat/>
    <w:pPr>
      <w:keepNext/>
      <w:outlineLvl w:val="3"/>
    </w:pPr>
    <w:rPr>
      <w:b/>
      <w:bCs/>
      <w:sz w:val="28"/>
      <w:szCs w:val="28"/>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Titreshma">
    <w:name w:val="Titre shéma"/>
    <w:basedOn w:val="Normal"/>
    <w:pPr>
      <w:keepNext/>
      <w:keepLines/>
      <w:tabs>
        <w:tab w:val="left" w:pos="5670"/>
      </w:tabs>
      <w:spacing w:before="240" w:after="60" w:line="240" w:lineRule="atLeast"/>
      <w:jc w:val="center"/>
    </w:pPr>
    <w:rPr>
      <w:b/>
      <w:bCs/>
      <w:color w:val="000000"/>
      <w:sz w:val="28"/>
      <w:szCs w:val="28"/>
      <w:lang w:val="en-GB"/>
    </w:rPr>
  </w:style>
  <w:style w:type="paragraph" w:customStyle="1" w:styleId="1-Textder2Abstze">
    <w:name w:val="1-Text der 2. Absätze"/>
    <w:basedOn w:val="Normal"/>
    <w:pPr>
      <w:spacing w:line="240" w:lineRule="atLeast"/>
      <w:ind w:firstLine="227"/>
      <w:jc w:val="both"/>
    </w:pPr>
    <w:rPr>
      <w:spacing w:val="-4"/>
      <w:sz w:val="24"/>
      <w:szCs w:val="24"/>
      <w:lang w:val="de-DE"/>
    </w:rPr>
  </w:style>
  <w:style w:type="paragraph" w:customStyle="1" w:styleId="noteg">
    <w:name w:val="noteg"/>
    <w:basedOn w:val="Normal"/>
    <w:pPr>
      <w:jc w:val="both"/>
    </w:pPr>
    <w:rPr>
      <w:sz w:val="16"/>
      <w:szCs w:val="16"/>
    </w:rPr>
  </w:style>
  <w:style w:type="paragraph" w:customStyle="1" w:styleId="titregraphique">
    <w:name w:val="titregraphique"/>
    <w:basedOn w:val="Normal"/>
    <w:pPr>
      <w:jc w:val="center"/>
    </w:pPr>
    <w:rPr>
      <w:i/>
      <w:iCs/>
    </w:rPr>
  </w:style>
  <w:style w:type="paragraph" w:customStyle="1" w:styleId="table">
    <w:name w:val="table"/>
    <w:basedOn w:val="Normal"/>
    <w:pPr>
      <w:jc w:val="center"/>
    </w:pPr>
    <w:rPr>
      <w:sz w:val="18"/>
      <w:szCs w:val="18"/>
    </w:rPr>
  </w:style>
  <w:style w:type="paragraph" w:styleId="FootnoteText">
    <w:name w:val="footnote text"/>
    <w:basedOn w:val="Normal"/>
    <w:semiHidden/>
    <w:pPr>
      <w:jc w:val="both"/>
    </w:pPr>
  </w:style>
  <w:style w:type="paragraph" w:customStyle="1" w:styleId="tableau">
    <w:name w:val="tableau"/>
    <w:basedOn w:val="FootnoteText"/>
    <w:pPr>
      <w:jc w:val="center"/>
    </w:pPr>
    <w:rPr>
      <w:sz w:val="16"/>
      <w:szCs w:val="16"/>
      <w:lang w:val="en-GB"/>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character" w:customStyle="1" w:styleId="MTEquationSection">
    <w:name w:val="MTEquationSection"/>
    <w:rPr>
      <w:vanish/>
      <w:color w:val="FF0000"/>
      <w:lang w:val="en-GB"/>
    </w:rPr>
  </w:style>
  <w:style w:type="paragraph" w:styleId="BodyTextIndent">
    <w:name w:val="Body Text Indent"/>
    <w:basedOn w:val="Normal"/>
    <w:pPr>
      <w:tabs>
        <w:tab w:val="left" w:pos="5670"/>
      </w:tabs>
      <w:spacing w:before="60" w:after="60" w:line="264" w:lineRule="auto"/>
      <w:jc w:val="center"/>
    </w:pPr>
    <w:rPr>
      <w:i/>
      <w:iCs/>
      <w:color w:val="000000"/>
      <w:sz w:val="24"/>
      <w:szCs w:val="24"/>
    </w:rPr>
  </w:style>
  <w:style w:type="paragraph" w:customStyle="1" w:styleId="1-Hauptberschrift">
    <w:name w:val="1-Hauptüberschrift"/>
    <w:basedOn w:val="1-Textder2Abstze"/>
    <w:pPr>
      <w:pageBreakBefore/>
      <w:spacing w:after="1200" w:line="300" w:lineRule="auto"/>
      <w:ind w:firstLine="0"/>
      <w:jc w:val="left"/>
    </w:pPr>
    <w:rPr>
      <w:sz w:val="36"/>
      <w:szCs w:val="36"/>
    </w:rPr>
  </w:style>
  <w:style w:type="paragraph" w:customStyle="1" w:styleId="1-Unterberschr1Wertigkeit">
    <w:name w:val="1-Unterüberschr. 1. Wertigkeit"/>
    <w:basedOn w:val="1-Textder2Abstze"/>
    <w:pPr>
      <w:spacing w:before="720" w:after="240"/>
      <w:ind w:firstLine="0"/>
      <w:jc w:val="left"/>
    </w:pPr>
    <w:rPr>
      <w:sz w:val="28"/>
      <w:szCs w:val="28"/>
    </w:rPr>
  </w:style>
  <w:style w:type="paragraph" w:customStyle="1" w:styleId="1-Textder1Abstze">
    <w:name w:val="1-Text der 1. Absätze"/>
    <w:basedOn w:val="1-Textder2Abstze"/>
    <w:autoRedefine/>
    <w:pPr>
      <w:ind w:firstLine="284"/>
    </w:pPr>
    <w:rPr>
      <w:lang w:val="fr-FR"/>
    </w:rPr>
  </w:style>
  <w:style w:type="character" w:styleId="PageNumber">
    <w:name w:val="page number"/>
    <w:basedOn w:val="DefaultParagraphFont"/>
  </w:style>
  <w:style w:type="paragraph" w:styleId="BodyText">
    <w:name w:val="Body Text"/>
    <w:basedOn w:val="Normal"/>
    <w:pPr>
      <w:jc w:val="both"/>
    </w:pPr>
    <w:rPr>
      <w:sz w:val="24"/>
      <w:szCs w:val="24"/>
      <w:lang w:val="en-US"/>
    </w:rPr>
  </w:style>
  <w:style w:type="paragraph" w:styleId="BodyTextIndent2">
    <w:name w:val="Body Text Indent 2"/>
    <w:basedOn w:val="Normal"/>
    <w:pPr>
      <w:ind w:left="280" w:hanging="280"/>
    </w:pPr>
    <w:rPr>
      <w:b/>
      <w:bCs/>
      <w:sz w:val="24"/>
      <w:szCs w:val="24"/>
      <w:lang w:val="en-US"/>
    </w:rPr>
  </w:style>
  <w:style w:type="paragraph" w:customStyle="1" w:styleId="bib">
    <w:name w:val="bib"/>
    <w:basedOn w:val="Normal"/>
    <w:pPr>
      <w:tabs>
        <w:tab w:val="left" w:pos="5670"/>
      </w:tabs>
      <w:spacing w:before="60" w:after="60"/>
      <w:ind w:left="567" w:hanging="567"/>
      <w:jc w:val="both"/>
    </w:pPr>
    <w:rPr>
      <w:noProof/>
      <w:color w:val="000000"/>
      <w:lang w:val="en-US"/>
    </w:rPr>
  </w:style>
  <w:style w:type="character" w:styleId="FollowedHyperlink">
    <w:name w:val="FollowedHyperlink"/>
    <w:uiPriority w:val="99"/>
    <w:rPr>
      <w:color w:val="800080"/>
      <w:u w:val="single"/>
    </w:rPr>
  </w:style>
  <w:style w:type="paragraph" w:customStyle="1" w:styleId="Titrefigure">
    <w:name w:val="Titre figure"/>
    <w:basedOn w:val="Normal"/>
    <w:pPr>
      <w:numPr>
        <w:numId w:val="1"/>
      </w:numPr>
      <w:tabs>
        <w:tab w:val="clear" w:pos="360"/>
      </w:tabs>
      <w:spacing w:before="160" w:after="120"/>
      <w:ind w:left="-288" w:firstLine="288"/>
      <w:jc w:val="center"/>
    </w:pPr>
    <w:rPr>
      <w:b/>
      <w:bCs/>
      <w:sz w:val="24"/>
      <w:szCs w:val="24"/>
    </w:rPr>
  </w:style>
  <w:style w:type="paragraph" w:customStyle="1" w:styleId="notedetableau">
    <w:name w:val="note de tableau"/>
    <w:basedOn w:val="Normal"/>
    <w:pPr>
      <w:tabs>
        <w:tab w:val="left" w:pos="5670"/>
      </w:tabs>
      <w:spacing w:after="120"/>
      <w:jc w:val="both"/>
    </w:pPr>
    <w:rPr>
      <w:color w:val="000000"/>
    </w:rPr>
  </w:style>
  <w:style w:type="paragraph" w:customStyle="1" w:styleId="source">
    <w:name w:val="source"/>
    <w:basedOn w:val="Normal"/>
    <w:pPr>
      <w:tabs>
        <w:tab w:val="left" w:pos="5670"/>
      </w:tabs>
      <w:spacing w:after="60"/>
      <w:jc w:val="both"/>
    </w:pPr>
    <w:rPr>
      <w:color w:val="000000"/>
      <w:sz w:val="16"/>
      <w:szCs w:val="16"/>
    </w:rPr>
  </w:style>
  <w:style w:type="table" w:styleId="TableGrid">
    <w:name w:val="Table Grid"/>
    <w:basedOn w:val="TableNormal"/>
    <w:rsid w:val="00A17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961E7"/>
    <w:rPr>
      <w:rFonts w:ascii="Tahoma" w:hAnsi="Tahoma" w:cs="Tahoma"/>
      <w:sz w:val="16"/>
      <w:szCs w:val="16"/>
    </w:rPr>
  </w:style>
  <w:style w:type="character" w:customStyle="1" w:styleId="BalloonTextChar">
    <w:name w:val="Balloon Text Char"/>
    <w:link w:val="BalloonText"/>
    <w:rsid w:val="001961E7"/>
    <w:rPr>
      <w:rFonts w:ascii="Tahoma" w:hAnsi="Tahoma" w:cs="Tahoma"/>
      <w:sz w:val="16"/>
      <w:szCs w:val="16"/>
      <w:lang w:val="fr-FR" w:eastAsia="fr-FR"/>
    </w:rPr>
  </w:style>
  <w:style w:type="paragraph" w:styleId="NormalWeb">
    <w:name w:val="Normal (Web)"/>
    <w:basedOn w:val="Normal"/>
    <w:uiPriority w:val="99"/>
    <w:unhideWhenUsed/>
    <w:rsid w:val="0016271F"/>
    <w:pPr>
      <w:spacing w:before="100" w:beforeAutospacing="1" w:after="100" w:afterAutospacing="1"/>
    </w:pPr>
    <w:rPr>
      <w:sz w:val="24"/>
      <w:szCs w:val="24"/>
      <w:lang w:val="en-US" w:eastAsia="en-US"/>
    </w:rPr>
  </w:style>
  <w:style w:type="paragraph" w:styleId="TOCHeading">
    <w:name w:val="TOC Heading"/>
    <w:basedOn w:val="Heading1"/>
    <w:next w:val="Normal"/>
    <w:uiPriority w:val="39"/>
    <w:semiHidden/>
    <w:unhideWhenUsed/>
    <w:qFormat/>
    <w:rsid w:val="00266F84"/>
    <w:pPr>
      <w:keepLines/>
      <w:spacing w:before="480" w:line="276" w:lineRule="auto"/>
      <w:jc w:val="left"/>
      <w:outlineLvl w:val="9"/>
    </w:pPr>
    <w:rPr>
      <w:rFonts w:ascii="Cambria" w:eastAsia="MS Gothic" w:hAnsi="Cambria"/>
      <w:i w:val="0"/>
      <w:iCs w:val="0"/>
      <w:color w:val="365F91"/>
      <w:sz w:val="28"/>
      <w:szCs w:val="28"/>
      <w:lang w:val="en-US" w:eastAsia="ja-JP"/>
    </w:rPr>
  </w:style>
  <w:style w:type="character" w:styleId="CommentReference">
    <w:name w:val="annotation reference"/>
    <w:rsid w:val="00353068"/>
    <w:rPr>
      <w:sz w:val="16"/>
      <w:szCs w:val="16"/>
    </w:rPr>
  </w:style>
  <w:style w:type="paragraph" w:styleId="CommentText">
    <w:name w:val="annotation text"/>
    <w:basedOn w:val="Normal"/>
    <w:link w:val="CommentTextChar"/>
    <w:rsid w:val="00353068"/>
  </w:style>
  <w:style w:type="character" w:customStyle="1" w:styleId="CommentTextChar">
    <w:name w:val="Comment Text Char"/>
    <w:link w:val="CommentText"/>
    <w:rsid w:val="00353068"/>
    <w:rPr>
      <w:lang w:val="fr-FR" w:eastAsia="fr-FR"/>
    </w:rPr>
  </w:style>
  <w:style w:type="paragraph" w:styleId="CommentSubject">
    <w:name w:val="annotation subject"/>
    <w:basedOn w:val="CommentText"/>
    <w:next w:val="CommentText"/>
    <w:link w:val="CommentSubjectChar"/>
    <w:rsid w:val="00353068"/>
    <w:rPr>
      <w:b/>
      <w:bCs/>
    </w:rPr>
  </w:style>
  <w:style w:type="character" w:customStyle="1" w:styleId="CommentSubjectChar">
    <w:name w:val="Comment Subject Char"/>
    <w:link w:val="CommentSubject"/>
    <w:rsid w:val="00353068"/>
    <w:rPr>
      <w:b/>
      <w:bCs/>
      <w:lang w:val="fr-FR" w:eastAsia="fr-FR"/>
    </w:rPr>
  </w:style>
  <w:style w:type="character" w:customStyle="1" w:styleId="highlightedsearchterm">
    <w:name w:val="highlightedsearchterm"/>
    <w:rsid w:val="00864748"/>
  </w:style>
  <w:style w:type="paragraph" w:styleId="ListParagraph">
    <w:name w:val="List Paragraph"/>
    <w:basedOn w:val="Normal"/>
    <w:uiPriority w:val="34"/>
    <w:qFormat/>
    <w:rsid w:val="00420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293"/>
    <w:rPr>
      <w:lang w:val="fr-FR" w:eastAsia="fr-FR"/>
    </w:rPr>
  </w:style>
  <w:style w:type="paragraph" w:styleId="Heading1">
    <w:name w:val="heading 1"/>
    <w:basedOn w:val="Normal"/>
    <w:next w:val="Normal"/>
    <w:qFormat/>
    <w:pPr>
      <w:keepNext/>
      <w:jc w:val="center"/>
      <w:outlineLvl w:val="0"/>
    </w:pPr>
    <w:rPr>
      <w:b/>
      <w:bCs/>
      <w:i/>
      <w:iCs/>
      <w:sz w:val="24"/>
      <w:szCs w:val="24"/>
    </w:rPr>
  </w:style>
  <w:style w:type="paragraph" w:styleId="Heading2">
    <w:name w:val="heading 2"/>
    <w:basedOn w:val="Normal"/>
    <w:next w:val="Normal"/>
    <w:qFormat/>
    <w:pPr>
      <w:keepNext/>
      <w:jc w:val="center"/>
      <w:outlineLvl w:val="1"/>
    </w:pPr>
    <w:rPr>
      <w:sz w:val="24"/>
      <w:szCs w:val="24"/>
      <w:lang w:val="en-GB"/>
    </w:rPr>
  </w:style>
  <w:style w:type="paragraph" w:styleId="Heading3">
    <w:name w:val="heading 3"/>
    <w:basedOn w:val="Normal"/>
    <w:next w:val="Normal"/>
    <w:qFormat/>
    <w:pPr>
      <w:keepNext/>
      <w:spacing w:before="240" w:after="40" w:line="480" w:lineRule="auto"/>
      <w:jc w:val="both"/>
      <w:outlineLvl w:val="2"/>
    </w:pPr>
    <w:rPr>
      <w:b/>
      <w:bCs/>
      <w:sz w:val="28"/>
      <w:szCs w:val="28"/>
      <w:lang w:val="en-US"/>
    </w:rPr>
  </w:style>
  <w:style w:type="paragraph" w:styleId="Heading4">
    <w:name w:val="heading 4"/>
    <w:basedOn w:val="Normal"/>
    <w:next w:val="Normal"/>
    <w:qFormat/>
    <w:pPr>
      <w:keepNext/>
      <w:outlineLvl w:val="3"/>
    </w:pPr>
    <w:rPr>
      <w:b/>
      <w:bCs/>
      <w:sz w:val="28"/>
      <w:szCs w:val="28"/>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Titreshma">
    <w:name w:val="Titre shéma"/>
    <w:basedOn w:val="Normal"/>
    <w:pPr>
      <w:keepNext/>
      <w:keepLines/>
      <w:tabs>
        <w:tab w:val="left" w:pos="5670"/>
      </w:tabs>
      <w:spacing w:before="240" w:after="60" w:line="240" w:lineRule="atLeast"/>
      <w:jc w:val="center"/>
    </w:pPr>
    <w:rPr>
      <w:b/>
      <w:bCs/>
      <w:color w:val="000000"/>
      <w:sz w:val="28"/>
      <w:szCs w:val="28"/>
      <w:lang w:val="en-GB"/>
    </w:rPr>
  </w:style>
  <w:style w:type="paragraph" w:customStyle="1" w:styleId="1-Textder2Abstze">
    <w:name w:val="1-Text der 2. Absätze"/>
    <w:basedOn w:val="Normal"/>
    <w:pPr>
      <w:spacing w:line="240" w:lineRule="atLeast"/>
      <w:ind w:firstLine="227"/>
      <w:jc w:val="both"/>
    </w:pPr>
    <w:rPr>
      <w:spacing w:val="-4"/>
      <w:sz w:val="24"/>
      <w:szCs w:val="24"/>
      <w:lang w:val="de-DE"/>
    </w:rPr>
  </w:style>
  <w:style w:type="paragraph" w:customStyle="1" w:styleId="noteg">
    <w:name w:val="noteg"/>
    <w:basedOn w:val="Normal"/>
    <w:pPr>
      <w:jc w:val="both"/>
    </w:pPr>
    <w:rPr>
      <w:sz w:val="16"/>
      <w:szCs w:val="16"/>
    </w:rPr>
  </w:style>
  <w:style w:type="paragraph" w:customStyle="1" w:styleId="titregraphique">
    <w:name w:val="titregraphique"/>
    <w:basedOn w:val="Normal"/>
    <w:pPr>
      <w:jc w:val="center"/>
    </w:pPr>
    <w:rPr>
      <w:i/>
      <w:iCs/>
    </w:rPr>
  </w:style>
  <w:style w:type="paragraph" w:customStyle="1" w:styleId="table">
    <w:name w:val="table"/>
    <w:basedOn w:val="Normal"/>
    <w:pPr>
      <w:jc w:val="center"/>
    </w:pPr>
    <w:rPr>
      <w:sz w:val="18"/>
      <w:szCs w:val="18"/>
    </w:rPr>
  </w:style>
  <w:style w:type="paragraph" w:styleId="FootnoteText">
    <w:name w:val="footnote text"/>
    <w:basedOn w:val="Normal"/>
    <w:semiHidden/>
    <w:pPr>
      <w:jc w:val="both"/>
    </w:pPr>
  </w:style>
  <w:style w:type="paragraph" w:customStyle="1" w:styleId="tableau">
    <w:name w:val="tableau"/>
    <w:basedOn w:val="FootnoteText"/>
    <w:pPr>
      <w:jc w:val="center"/>
    </w:pPr>
    <w:rPr>
      <w:sz w:val="16"/>
      <w:szCs w:val="16"/>
      <w:lang w:val="en-GB"/>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character" w:customStyle="1" w:styleId="MTEquationSection">
    <w:name w:val="MTEquationSection"/>
    <w:rPr>
      <w:vanish/>
      <w:color w:val="FF0000"/>
      <w:lang w:val="en-GB"/>
    </w:rPr>
  </w:style>
  <w:style w:type="paragraph" w:styleId="BodyTextIndent">
    <w:name w:val="Body Text Indent"/>
    <w:basedOn w:val="Normal"/>
    <w:pPr>
      <w:tabs>
        <w:tab w:val="left" w:pos="5670"/>
      </w:tabs>
      <w:spacing w:before="60" w:after="60" w:line="264" w:lineRule="auto"/>
      <w:jc w:val="center"/>
    </w:pPr>
    <w:rPr>
      <w:i/>
      <w:iCs/>
      <w:color w:val="000000"/>
      <w:sz w:val="24"/>
      <w:szCs w:val="24"/>
    </w:rPr>
  </w:style>
  <w:style w:type="paragraph" w:customStyle="1" w:styleId="1-Hauptberschrift">
    <w:name w:val="1-Hauptüberschrift"/>
    <w:basedOn w:val="1-Textder2Abstze"/>
    <w:pPr>
      <w:pageBreakBefore/>
      <w:spacing w:after="1200" w:line="300" w:lineRule="auto"/>
      <w:ind w:firstLine="0"/>
      <w:jc w:val="left"/>
    </w:pPr>
    <w:rPr>
      <w:sz w:val="36"/>
      <w:szCs w:val="36"/>
    </w:rPr>
  </w:style>
  <w:style w:type="paragraph" w:customStyle="1" w:styleId="1-Unterberschr1Wertigkeit">
    <w:name w:val="1-Unterüberschr. 1. Wertigkeit"/>
    <w:basedOn w:val="1-Textder2Abstze"/>
    <w:pPr>
      <w:spacing w:before="720" w:after="240"/>
      <w:ind w:firstLine="0"/>
      <w:jc w:val="left"/>
    </w:pPr>
    <w:rPr>
      <w:sz w:val="28"/>
      <w:szCs w:val="28"/>
    </w:rPr>
  </w:style>
  <w:style w:type="paragraph" w:customStyle="1" w:styleId="1-Textder1Abstze">
    <w:name w:val="1-Text der 1. Absätze"/>
    <w:basedOn w:val="1-Textder2Abstze"/>
    <w:autoRedefine/>
    <w:pPr>
      <w:ind w:firstLine="284"/>
    </w:pPr>
    <w:rPr>
      <w:lang w:val="fr-FR"/>
    </w:rPr>
  </w:style>
  <w:style w:type="character" w:styleId="PageNumber">
    <w:name w:val="page number"/>
    <w:basedOn w:val="DefaultParagraphFont"/>
  </w:style>
  <w:style w:type="paragraph" w:styleId="BodyText">
    <w:name w:val="Body Text"/>
    <w:basedOn w:val="Normal"/>
    <w:pPr>
      <w:jc w:val="both"/>
    </w:pPr>
    <w:rPr>
      <w:sz w:val="24"/>
      <w:szCs w:val="24"/>
      <w:lang w:val="en-US"/>
    </w:rPr>
  </w:style>
  <w:style w:type="paragraph" w:styleId="BodyTextIndent2">
    <w:name w:val="Body Text Indent 2"/>
    <w:basedOn w:val="Normal"/>
    <w:pPr>
      <w:ind w:left="280" w:hanging="280"/>
    </w:pPr>
    <w:rPr>
      <w:b/>
      <w:bCs/>
      <w:sz w:val="24"/>
      <w:szCs w:val="24"/>
      <w:lang w:val="en-US"/>
    </w:rPr>
  </w:style>
  <w:style w:type="paragraph" w:customStyle="1" w:styleId="bib">
    <w:name w:val="bib"/>
    <w:basedOn w:val="Normal"/>
    <w:pPr>
      <w:tabs>
        <w:tab w:val="left" w:pos="5670"/>
      </w:tabs>
      <w:spacing w:before="60" w:after="60"/>
      <w:ind w:left="567" w:hanging="567"/>
      <w:jc w:val="both"/>
    </w:pPr>
    <w:rPr>
      <w:noProof/>
      <w:color w:val="000000"/>
      <w:lang w:val="en-US"/>
    </w:rPr>
  </w:style>
  <w:style w:type="character" w:styleId="FollowedHyperlink">
    <w:name w:val="FollowedHyperlink"/>
    <w:uiPriority w:val="99"/>
    <w:rPr>
      <w:color w:val="800080"/>
      <w:u w:val="single"/>
    </w:rPr>
  </w:style>
  <w:style w:type="paragraph" w:customStyle="1" w:styleId="Titrefigure">
    <w:name w:val="Titre figure"/>
    <w:basedOn w:val="Normal"/>
    <w:pPr>
      <w:numPr>
        <w:numId w:val="1"/>
      </w:numPr>
      <w:tabs>
        <w:tab w:val="clear" w:pos="360"/>
      </w:tabs>
      <w:spacing w:before="160" w:after="120"/>
      <w:ind w:left="-288" w:firstLine="288"/>
      <w:jc w:val="center"/>
    </w:pPr>
    <w:rPr>
      <w:b/>
      <w:bCs/>
      <w:sz w:val="24"/>
      <w:szCs w:val="24"/>
    </w:rPr>
  </w:style>
  <w:style w:type="paragraph" w:customStyle="1" w:styleId="notedetableau">
    <w:name w:val="note de tableau"/>
    <w:basedOn w:val="Normal"/>
    <w:pPr>
      <w:tabs>
        <w:tab w:val="left" w:pos="5670"/>
      </w:tabs>
      <w:spacing w:after="120"/>
      <w:jc w:val="both"/>
    </w:pPr>
    <w:rPr>
      <w:color w:val="000000"/>
    </w:rPr>
  </w:style>
  <w:style w:type="paragraph" w:customStyle="1" w:styleId="source">
    <w:name w:val="source"/>
    <w:basedOn w:val="Normal"/>
    <w:pPr>
      <w:tabs>
        <w:tab w:val="left" w:pos="5670"/>
      </w:tabs>
      <w:spacing w:after="60"/>
      <w:jc w:val="both"/>
    </w:pPr>
    <w:rPr>
      <w:color w:val="000000"/>
      <w:sz w:val="16"/>
      <w:szCs w:val="16"/>
    </w:rPr>
  </w:style>
  <w:style w:type="table" w:styleId="TableGrid">
    <w:name w:val="Table Grid"/>
    <w:basedOn w:val="TableNormal"/>
    <w:rsid w:val="00A17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961E7"/>
    <w:rPr>
      <w:rFonts w:ascii="Tahoma" w:hAnsi="Tahoma" w:cs="Tahoma"/>
      <w:sz w:val="16"/>
      <w:szCs w:val="16"/>
    </w:rPr>
  </w:style>
  <w:style w:type="character" w:customStyle="1" w:styleId="BalloonTextChar">
    <w:name w:val="Balloon Text Char"/>
    <w:link w:val="BalloonText"/>
    <w:rsid w:val="001961E7"/>
    <w:rPr>
      <w:rFonts w:ascii="Tahoma" w:hAnsi="Tahoma" w:cs="Tahoma"/>
      <w:sz w:val="16"/>
      <w:szCs w:val="16"/>
      <w:lang w:val="fr-FR" w:eastAsia="fr-FR"/>
    </w:rPr>
  </w:style>
  <w:style w:type="paragraph" w:styleId="NormalWeb">
    <w:name w:val="Normal (Web)"/>
    <w:basedOn w:val="Normal"/>
    <w:uiPriority w:val="99"/>
    <w:unhideWhenUsed/>
    <w:rsid w:val="0016271F"/>
    <w:pPr>
      <w:spacing w:before="100" w:beforeAutospacing="1" w:after="100" w:afterAutospacing="1"/>
    </w:pPr>
    <w:rPr>
      <w:sz w:val="24"/>
      <w:szCs w:val="24"/>
      <w:lang w:val="en-US" w:eastAsia="en-US"/>
    </w:rPr>
  </w:style>
  <w:style w:type="paragraph" w:styleId="TOCHeading">
    <w:name w:val="TOC Heading"/>
    <w:basedOn w:val="Heading1"/>
    <w:next w:val="Normal"/>
    <w:uiPriority w:val="39"/>
    <w:semiHidden/>
    <w:unhideWhenUsed/>
    <w:qFormat/>
    <w:rsid w:val="00266F84"/>
    <w:pPr>
      <w:keepLines/>
      <w:spacing w:before="480" w:line="276" w:lineRule="auto"/>
      <w:jc w:val="left"/>
      <w:outlineLvl w:val="9"/>
    </w:pPr>
    <w:rPr>
      <w:rFonts w:ascii="Cambria" w:eastAsia="MS Gothic" w:hAnsi="Cambria"/>
      <w:i w:val="0"/>
      <w:iCs w:val="0"/>
      <w:color w:val="365F91"/>
      <w:sz w:val="28"/>
      <w:szCs w:val="28"/>
      <w:lang w:val="en-US" w:eastAsia="ja-JP"/>
    </w:rPr>
  </w:style>
  <w:style w:type="character" w:styleId="CommentReference">
    <w:name w:val="annotation reference"/>
    <w:rsid w:val="00353068"/>
    <w:rPr>
      <w:sz w:val="16"/>
      <w:szCs w:val="16"/>
    </w:rPr>
  </w:style>
  <w:style w:type="paragraph" w:styleId="CommentText">
    <w:name w:val="annotation text"/>
    <w:basedOn w:val="Normal"/>
    <w:link w:val="CommentTextChar"/>
    <w:rsid w:val="00353068"/>
  </w:style>
  <w:style w:type="character" w:customStyle="1" w:styleId="CommentTextChar">
    <w:name w:val="Comment Text Char"/>
    <w:link w:val="CommentText"/>
    <w:rsid w:val="00353068"/>
    <w:rPr>
      <w:lang w:val="fr-FR" w:eastAsia="fr-FR"/>
    </w:rPr>
  </w:style>
  <w:style w:type="paragraph" w:styleId="CommentSubject">
    <w:name w:val="annotation subject"/>
    <w:basedOn w:val="CommentText"/>
    <w:next w:val="CommentText"/>
    <w:link w:val="CommentSubjectChar"/>
    <w:rsid w:val="00353068"/>
    <w:rPr>
      <w:b/>
      <w:bCs/>
    </w:rPr>
  </w:style>
  <w:style w:type="character" w:customStyle="1" w:styleId="CommentSubjectChar">
    <w:name w:val="Comment Subject Char"/>
    <w:link w:val="CommentSubject"/>
    <w:rsid w:val="00353068"/>
    <w:rPr>
      <w:b/>
      <w:bCs/>
      <w:lang w:val="fr-FR" w:eastAsia="fr-FR"/>
    </w:rPr>
  </w:style>
  <w:style w:type="character" w:customStyle="1" w:styleId="highlightedsearchterm">
    <w:name w:val="highlightedsearchterm"/>
    <w:rsid w:val="00864748"/>
  </w:style>
  <w:style w:type="paragraph" w:styleId="ListParagraph">
    <w:name w:val="List Paragraph"/>
    <w:basedOn w:val="Normal"/>
    <w:uiPriority w:val="34"/>
    <w:qFormat/>
    <w:rsid w:val="00420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040">
      <w:bodyDiv w:val="1"/>
      <w:marLeft w:val="0"/>
      <w:marRight w:val="0"/>
      <w:marTop w:val="0"/>
      <w:marBottom w:val="0"/>
      <w:divBdr>
        <w:top w:val="none" w:sz="0" w:space="0" w:color="auto"/>
        <w:left w:val="none" w:sz="0" w:space="0" w:color="auto"/>
        <w:bottom w:val="none" w:sz="0" w:space="0" w:color="auto"/>
        <w:right w:val="none" w:sz="0" w:space="0" w:color="auto"/>
      </w:divBdr>
    </w:div>
    <w:div w:id="77948883">
      <w:bodyDiv w:val="1"/>
      <w:marLeft w:val="0"/>
      <w:marRight w:val="0"/>
      <w:marTop w:val="0"/>
      <w:marBottom w:val="0"/>
      <w:divBdr>
        <w:top w:val="none" w:sz="0" w:space="0" w:color="auto"/>
        <w:left w:val="none" w:sz="0" w:space="0" w:color="auto"/>
        <w:bottom w:val="none" w:sz="0" w:space="0" w:color="auto"/>
        <w:right w:val="none" w:sz="0" w:space="0" w:color="auto"/>
      </w:divBdr>
    </w:div>
    <w:div w:id="100803358">
      <w:bodyDiv w:val="1"/>
      <w:marLeft w:val="0"/>
      <w:marRight w:val="0"/>
      <w:marTop w:val="0"/>
      <w:marBottom w:val="0"/>
      <w:divBdr>
        <w:top w:val="none" w:sz="0" w:space="0" w:color="auto"/>
        <w:left w:val="none" w:sz="0" w:space="0" w:color="auto"/>
        <w:bottom w:val="none" w:sz="0" w:space="0" w:color="auto"/>
        <w:right w:val="none" w:sz="0" w:space="0" w:color="auto"/>
      </w:divBdr>
    </w:div>
    <w:div w:id="139538237">
      <w:bodyDiv w:val="1"/>
      <w:marLeft w:val="0"/>
      <w:marRight w:val="0"/>
      <w:marTop w:val="0"/>
      <w:marBottom w:val="0"/>
      <w:divBdr>
        <w:top w:val="none" w:sz="0" w:space="0" w:color="auto"/>
        <w:left w:val="none" w:sz="0" w:space="0" w:color="auto"/>
        <w:bottom w:val="none" w:sz="0" w:space="0" w:color="auto"/>
        <w:right w:val="none" w:sz="0" w:space="0" w:color="auto"/>
      </w:divBdr>
    </w:div>
    <w:div w:id="175191115">
      <w:bodyDiv w:val="1"/>
      <w:marLeft w:val="0"/>
      <w:marRight w:val="0"/>
      <w:marTop w:val="0"/>
      <w:marBottom w:val="0"/>
      <w:divBdr>
        <w:top w:val="none" w:sz="0" w:space="0" w:color="auto"/>
        <w:left w:val="none" w:sz="0" w:space="0" w:color="auto"/>
        <w:bottom w:val="none" w:sz="0" w:space="0" w:color="auto"/>
        <w:right w:val="none" w:sz="0" w:space="0" w:color="auto"/>
      </w:divBdr>
    </w:div>
    <w:div w:id="280386213">
      <w:bodyDiv w:val="1"/>
      <w:marLeft w:val="0"/>
      <w:marRight w:val="0"/>
      <w:marTop w:val="0"/>
      <w:marBottom w:val="0"/>
      <w:divBdr>
        <w:top w:val="none" w:sz="0" w:space="0" w:color="auto"/>
        <w:left w:val="none" w:sz="0" w:space="0" w:color="auto"/>
        <w:bottom w:val="none" w:sz="0" w:space="0" w:color="auto"/>
        <w:right w:val="none" w:sz="0" w:space="0" w:color="auto"/>
      </w:divBdr>
    </w:div>
    <w:div w:id="341860368">
      <w:bodyDiv w:val="1"/>
      <w:marLeft w:val="0"/>
      <w:marRight w:val="0"/>
      <w:marTop w:val="0"/>
      <w:marBottom w:val="0"/>
      <w:divBdr>
        <w:top w:val="none" w:sz="0" w:space="0" w:color="auto"/>
        <w:left w:val="none" w:sz="0" w:space="0" w:color="auto"/>
        <w:bottom w:val="none" w:sz="0" w:space="0" w:color="auto"/>
        <w:right w:val="none" w:sz="0" w:space="0" w:color="auto"/>
      </w:divBdr>
    </w:div>
    <w:div w:id="365252696">
      <w:bodyDiv w:val="1"/>
      <w:marLeft w:val="0"/>
      <w:marRight w:val="0"/>
      <w:marTop w:val="0"/>
      <w:marBottom w:val="0"/>
      <w:divBdr>
        <w:top w:val="none" w:sz="0" w:space="0" w:color="auto"/>
        <w:left w:val="none" w:sz="0" w:space="0" w:color="auto"/>
        <w:bottom w:val="none" w:sz="0" w:space="0" w:color="auto"/>
        <w:right w:val="none" w:sz="0" w:space="0" w:color="auto"/>
      </w:divBdr>
      <w:divsChild>
        <w:div w:id="1142769403">
          <w:marLeft w:val="0"/>
          <w:marRight w:val="0"/>
          <w:marTop w:val="0"/>
          <w:marBottom w:val="0"/>
          <w:divBdr>
            <w:top w:val="none" w:sz="0" w:space="0" w:color="auto"/>
            <w:left w:val="none" w:sz="0" w:space="0" w:color="auto"/>
            <w:bottom w:val="none" w:sz="0" w:space="0" w:color="auto"/>
            <w:right w:val="none" w:sz="0" w:space="0" w:color="auto"/>
          </w:divBdr>
          <w:divsChild>
            <w:div w:id="661857267">
              <w:marLeft w:val="0"/>
              <w:marRight w:val="0"/>
              <w:marTop w:val="0"/>
              <w:marBottom w:val="0"/>
              <w:divBdr>
                <w:top w:val="none" w:sz="0" w:space="0" w:color="auto"/>
                <w:left w:val="none" w:sz="0" w:space="0" w:color="auto"/>
                <w:bottom w:val="none" w:sz="0" w:space="0" w:color="auto"/>
                <w:right w:val="none" w:sz="0" w:space="0" w:color="auto"/>
              </w:divBdr>
            </w:div>
          </w:divsChild>
        </w:div>
        <w:div w:id="1545404523">
          <w:marLeft w:val="0"/>
          <w:marRight w:val="0"/>
          <w:marTop w:val="0"/>
          <w:marBottom w:val="105"/>
          <w:divBdr>
            <w:top w:val="none" w:sz="0" w:space="0" w:color="auto"/>
            <w:left w:val="none" w:sz="0" w:space="0" w:color="auto"/>
            <w:bottom w:val="none" w:sz="0" w:space="0" w:color="auto"/>
            <w:right w:val="none" w:sz="0" w:space="0" w:color="auto"/>
          </w:divBdr>
        </w:div>
      </w:divsChild>
    </w:div>
    <w:div w:id="366180905">
      <w:bodyDiv w:val="1"/>
      <w:marLeft w:val="0"/>
      <w:marRight w:val="0"/>
      <w:marTop w:val="0"/>
      <w:marBottom w:val="0"/>
      <w:divBdr>
        <w:top w:val="none" w:sz="0" w:space="0" w:color="auto"/>
        <w:left w:val="none" w:sz="0" w:space="0" w:color="auto"/>
        <w:bottom w:val="none" w:sz="0" w:space="0" w:color="auto"/>
        <w:right w:val="none" w:sz="0" w:space="0" w:color="auto"/>
      </w:divBdr>
    </w:div>
    <w:div w:id="404956450">
      <w:bodyDiv w:val="1"/>
      <w:marLeft w:val="0"/>
      <w:marRight w:val="0"/>
      <w:marTop w:val="0"/>
      <w:marBottom w:val="0"/>
      <w:divBdr>
        <w:top w:val="none" w:sz="0" w:space="0" w:color="auto"/>
        <w:left w:val="none" w:sz="0" w:space="0" w:color="auto"/>
        <w:bottom w:val="none" w:sz="0" w:space="0" w:color="auto"/>
        <w:right w:val="none" w:sz="0" w:space="0" w:color="auto"/>
      </w:divBdr>
    </w:div>
    <w:div w:id="421339103">
      <w:bodyDiv w:val="1"/>
      <w:marLeft w:val="0"/>
      <w:marRight w:val="0"/>
      <w:marTop w:val="0"/>
      <w:marBottom w:val="0"/>
      <w:divBdr>
        <w:top w:val="none" w:sz="0" w:space="0" w:color="auto"/>
        <w:left w:val="none" w:sz="0" w:space="0" w:color="auto"/>
        <w:bottom w:val="none" w:sz="0" w:space="0" w:color="auto"/>
        <w:right w:val="none" w:sz="0" w:space="0" w:color="auto"/>
      </w:divBdr>
    </w:div>
    <w:div w:id="442728125">
      <w:bodyDiv w:val="1"/>
      <w:marLeft w:val="0"/>
      <w:marRight w:val="0"/>
      <w:marTop w:val="0"/>
      <w:marBottom w:val="0"/>
      <w:divBdr>
        <w:top w:val="none" w:sz="0" w:space="0" w:color="auto"/>
        <w:left w:val="none" w:sz="0" w:space="0" w:color="auto"/>
        <w:bottom w:val="none" w:sz="0" w:space="0" w:color="auto"/>
        <w:right w:val="none" w:sz="0" w:space="0" w:color="auto"/>
      </w:divBdr>
    </w:div>
    <w:div w:id="503741043">
      <w:bodyDiv w:val="1"/>
      <w:marLeft w:val="0"/>
      <w:marRight w:val="0"/>
      <w:marTop w:val="0"/>
      <w:marBottom w:val="0"/>
      <w:divBdr>
        <w:top w:val="none" w:sz="0" w:space="0" w:color="auto"/>
        <w:left w:val="none" w:sz="0" w:space="0" w:color="auto"/>
        <w:bottom w:val="none" w:sz="0" w:space="0" w:color="auto"/>
        <w:right w:val="none" w:sz="0" w:space="0" w:color="auto"/>
      </w:divBdr>
    </w:div>
    <w:div w:id="517700626">
      <w:bodyDiv w:val="1"/>
      <w:marLeft w:val="0"/>
      <w:marRight w:val="0"/>
      <w:marTop w:val="0"/>
      <w:marBottom w:val="0"/>
      <w:divBdr>
        <w:top w:val="none" w:sz="0" w:space="0" w:color="auto"/>
        <w:left w:val="none" w:sz="0" w:space="0" w:color="auto"/>
        <w:bottom w:val="none" w:sz="0" w:space="0" w:color="auto"/>
        <w:right w:val="none" w:sz="0" w:space="0" w:color="auto"/>
      </w:divBdr>
      <w:divsChild>
        <w:div w:id="1053193078">
          <w:marLeft w:val="0"/>
          <w:marRight w:val="0"/>
          <w:marTop w:val="0"/>
          <w:marBottom w:val="0"/>
          <w:divBdr>
            <w:top w:val="none" w:sz="0" w:space="0" w:color="auto"/>
            <w:left w:val="none" w:sz="0" w:space="0" w:color="auto"/>
            <w:bottom w:val="none" w:sz="0" w:space="0" w:color="auto"/>
            <w:right w:val="none" w:sz="0" w:space="0" w:color="auto"/>
          </w:divBdr>
        </w:div>
      </w:divsChild>
    </w:div>
    <w:div w:id="517935854">
      <w:bodyDiv w:val="1"/>
      <w:marLeft w:val="0"/>
      <w:marRight w:val="0"/>
      <w:marTop w:val="0"/>
      <w:marBottom w:val="0"/>
      <w:divBdr>
        <w:top w:val="none" w:sz="0" w:space="0" w:color="auto"/>
        <w:left w:val="none" w:sz="0" w:space="0" w:color="auto"/>
        <w:bottom w:val="none" w:sz="0" w:space="0" w:color="auto"/>
        <w:right w:val="none" w:sz="0" w:space="0" w:color="auto"/>
      </w:divBdr>
    </w:div>
    <w:div w:id="522866378">
      <w:bodyDiv w:val="1"/>
      <w:marLeft w:val="0"/>
      <w:marRight w:val="0"/>
      <w:marTop w:val="0"/>
      <w:marBottom w:val="0"/>
      <w:divBdr>
        <w:top w:val="none" w:sz="0" w:space="0" w:color="auto"/>
        <w:left w:val="none" w:sz="0" w:space="0" w:color="auto"/>
        <w:bottom w:val="none" w:sz="0" w:space="0" w:color="auto"/>
        <w:right w:val="none" w:sz="0" w:space="0" w:color="auto"/>
      </w:divBdr>
    </w:div>
    <w:div w:id="604965927">
      <w:bodyDiv w:val="1"/>
      <w:marLeft w:val="0"/>
      <w:marRight w:val="0"/>
      <w:marTop w:val="0"/>
      <w:marBottom w:val="0"/>
      <w:divBdr>
        <w:top w:val="none" w:sz="0" w:space="0" w:color="auto"/>
        <w:left w:val="none" w:sz="0" w:space="0" w:color="auto"/>
        <w:bottom w:val="none" w:sz="0" w:space="0" w:color="auto"/>
        <w:right w:val="none" w:sz="0" w:space="0" w:color="auto"/>
      </w:divBdr>
    </w:div>
    <w:div w:id="644357470">
      <w:bodyDiv w:val="1"/>
      <w:marLeft w:val="0"/>
      <w:marRight w:val="0"/>
      <w:marTop w:val="0"/>
      <w:marBottom w:val="0"/>
      <w:divBdr>
        <w:top w:val="none" w:sz="0" w:space="0" w:color="auto"/>
        <w:left w:val="none" w:sz="0" w:space="0" w:color="auto"/>
        <w:bottom w:val="none" w:sz="0" w:space="0" w:color="auto"/>
        <w:right w:val="none" w:sz="0" w:space="0" w:color="auto"/>
      </w:divBdr>
    </w:div>
    <w:div w:id="683869890">
      <w:bodyDiv w:val="1"/>
      <w:marLeft w:val="0"/>
      <w:marRight w:val="0"/>
      <w:marTop w:val="0"/>
      <w:marBottom w:val="0"/>
      <w:divBdr>
        <w:top w:val="none" w:sz="0" w:space="0" w:color="auto"/>
        <w:left w:val="none" w:sz="0" w:space="0" w:color="auto"/>
        <w:bottom w:val="none" w:sz="0" w:space="0" w:color="auto"/>
        <w:right w:val="none" w:sz="0" w:space="0" w:color="auto"/>
      </w:divBdr>
    </w:div>
    <w:div w:id="685207116">
      <w:bodyDiv w:val="1"/>
      <w:marLeft w:val="0"/>
      <w:marRight w:val="0"/>
      <w:marTop w:val="0"/>
      <w:marBottom w:val="0"/>
      <w:divBdr>
        <w:top w:val="none" w:sz="0" w:space="0" w:color="auto"/>
        <w:left w:val="none" w:sz="0" w:space="0" w:color="auto"/>
        <w:bottom w:val="none" w:sz="0" w:space="0" w:color="auto"/>
        <w:right w:val="none" w:sz="0" w:space="0" w:color="auto"/>
      </w:divBdr>
      <w:divsChild>
        <w:div w:id="415639903">
          <w:marLeft w:val="0"/>
          <w:marRight w:val="0"/>
          <w:marTop w:val="0"/>
          <w:marBottom w:val="0"/>
          <w:divBdr>
            <w:top w:val="none" w:sz="0" w:space="0" w:color="auto"/>
            <w:left w:val="none" w:sz="0" w:space="0" w:color="auto"/>
            <w:bottom w:val="none" w:sz="0" w:space="0" w:color="auto"/>
            <w:right w:val="none" w:sz="0" w:space="0" w:color="auto"/>
          </w:divBdr>
          <w:divsChild>
            <w:div w:id="149980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5755">
      <w:bodyDiv w:val="1"/>
      <w:marLeft w:val="0"/>
      <w:marRight w:val="0"/>
      <w:marTop w:val="0"/>
      <w:marBottom w:val="0"/>
      <w:divBdr>
        <w:top w:val="none" w:sz="0" w:space="0" w:color="auto"/>
        <w:left w:val="none" w:sz="0" w:space="0" w:color="auto"/>
        <w:bottom w:val="none" w:sz="0" w:space="0" w:color="auto"/>
        <w:right w:val="none" w:sz="0" w:space="0" w:color="auto"/>
      </w:divBdr>
    </w:div>
    <w:div w:id="696850234">
      <w:bodyDiv w:val="1"/>
      <w:marLeft w:val="0"/>
      <w:marRight w:val="0"/>
      <w:marTop w:val="0"/>
      <w:marBottom w:val="0"/>
      <w:divBdr>
        <w:top w:val="none" w:sz="0" w:space="0" w:color="auto"/>
        <w:left w:val="none" w:sz="0" w:space="0" w:color="auto"/>
        <w:bottom w:val="none" w:sz="0" w:space="0" w:color="auto"/>
        <w:right w:val="none" w:sz="0" w:space="0" w:color="auto"/>
      </w:divBdr>
    </w:div>
    <w:div w:id="709452081">
      <w:bodyDiv w:val="1"/>
      <w:marLeft w:val="0"/>
      <w:marRight w:val="0"/>
      <w:marTop w:val="0"/>
      <w:marBottom w:val="0"/>
      <w:divBdr>
        <w:top w:val="none" w:sz="0" w:space="0" w:color="auto"/>
        <w:left w:val="none" w:sz="0" w:space="0" w:color="auto"/>
        <w:bottom w:val="none" w:sz="0" w:space="0" w:color="auto"/>
        <w:right w:val="none" w:sz="0" w:space="0" w:color="auto"/>
      </w:divBdr>
    </w:div>
    <w:div w:id="731345851">
      <w:bodyDiv w:val="1"/>
      <w:marLeft w:val="0"/>
      <w:marRight w:val="0"/>
      <w:marTop w:val="0"/>
      <w:marBottom w:val="0"/>
      <w:divBdr>
        <w:top w:val="none" w:sz="0" w:space="0" w:color="auto"/>
        <w:left w:val="none" w:sz="0" w:space="0" w:color="auto"/>
        <w:bottom w:val="none" w:sz="0" w:space="0" w:color="auto"/>
        <w:right w:val="none" w:sz="0" w:space="0" w:color="auto"/>
      </w:divBdr>
    </w:div>
    <w:div w:id="741098128">
      <w:bodyDiv w:val="1"/>
      <w:marLeft w:val="0"/>
      <w:marRight w:val="0"/>
      <w:marTop w:val="0"/>
      <w:marBottom w:val="0"/>
      <w:divBdr>
        <w:top w:val="none" w:sz="0" w:space="0" w:color="auto"/>
        <w:left w:val="none" w:sz="0" w:space="0" w:color="auto"/>
        <w:bottom w:val="none" w:sz="0" w:space="0" w:color="auto"/>
        <w:right w:val="none" w:sz="0" w:space="0" w:color="auto"/>
      </w:divBdr>
    </w:div>
    <w:div w:id="753163706">
      <w:bodyDiv w:val="1"/>
      <w:marLeft w:val="0"/>
      <w:marRight w:val="0"/>
      <w:marTop w:val="0"/>
      <w:marBottom w:val="0"/>
      <w:divBdr>
        <w:top w:val="none" w:sz="0" w:space="0" w:color="auto"/>
        <w:left w:val="none" w:sz="0" w:space="0" w:color="auto"/>
        <w:bottom w:val="none" w:sz="0" w:space="0" w:color="auto"/>
        <w:right w:val="none" w:sz="0" w:space="0" w:color="auto"/>
      </w:divBdr>
      <w:divsChild>
        <w:div w:id="1100369570">
          <w:marLeft w:val="0"/>
          <w:marRight w:val="0"/>
          <w:marTop w:val="0"/>
          <w:marBottom w:val="0"/>
          <w:divBdr>
            <w:top w:val="none" w:sz="0" w:space="0" w:color="auto"/>
            <w:left w:val="none" w:sz="0" w:space="0" w:color="auto"/>
            <w:bottom w:val="none" w:sz="0" w:space="0" w:color="auto"/>
            <w:right w:val="none" w:sz="0" w:space="0" w:color="auto"/>
          </w:divBdr>
          <w:divsChild>
            <w:div w:id="148180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5603">
      <w:bodyDiv w:val="1"/>
      <w:marLeft w:val="0"/>
      <w:marRight w:val="0"/>
      <w:marTop w:val="0"/>
      <w:marBottom w:val="0"/>
      <w:divBdr>
        <w:top w:val="none" w:sz="0" w:space="0" w:color="auto"/>
        <w:left w:val="none" w:sz="0" w:space="0" w:color="auto"/>
        <w:bottom w:val="none" w:sz="0" w:space="0" w:color="auto"/>
        <w:right w:val="none" w:sz="0" w:space="0" w:color="auto"/>
      </w:divBdr>
    </w:div>
    <w:div w:id="852762653">
      <w:bodyDiv w:val="1"/>
      <w:marLeft w:val="0"/>
      <w:marRight w:val="0"/>
      <w:marTop w:val="0"/>
      <w:marBottom w:val="0"/>
      <w:divBdr>
        <w:top w:val="none" w:sz="0" w:space="0" w:color="auto"/>
        <w:left w:val="none" w:sz="0" w:space="0" w:color="auto"/>
        <w:bottom w:val="none" w:sz="0" w:space="0" w:color="auto"/>
        <w:right w:val="none" w:sz="0" w:space="0" w:color="auto"/>
      </w:divBdr>
    </w:div>
    <w:div w:id="969290521">
      <w:bodyDiv w:val="1"/>
      <w:marLeft w:val="0"/>
      <w:marRight w:val="0"/>
      <w:marTop w:val="0"/>
      <w:marBottom w:val="0"/>
      <w:divBdr>
        <w:top w:val="none" w:sz="0" w:space="0" w:color="auto"/>
        <w:left w:val="none" w:sz="0" w:space="0" w:color="auto"/>
        <w:bottom w:val="none" w:sz="0" w:space="0" w:color="auto"/>
        <w:right w:val="none" w:sz="0" w:space="0" w:color="auto"/>
      </w:divBdr>
    </w:div>
    <w:div w:id="1033112028">
      <w:bodyDiv w:val="1"/>
      <w:marLeft w:val="0"/>
      <w:marRight w:val="0"/>
      <w:marTop w:val="0"/>
      <w:marBottom w:val="0"/>
      <w:divBdr>
        <w:top w:val="none" w:sz="0" w:space="0" w:color="auto"/>
        <w:left w:val="none" w:sz="0" w:space="0" w:color="auto"/>
        <w:bottom w:val="none" w:sz="0" w:space="0" w:color="auto"/>
        <w:right w:val="none" w:sz="0" w:space="0" w:color="auto"/>
      </w:divBdr>
    </w:div>
    <w:div w:id="1093279882">
      <w:bodyDiv w:val="1"/>
      <w:marLeft w:val="0"/>
      <w:marRight w:val="0"/>
      <w:marTop w:val="0"/>
      <w:marBottom w:val="0"/>
      <w:divBdr>
        <w:top w:val="none" w:sz="0" w:space="0" w:color="auto"/>
        <w:left w:val="none" w:sz="0" w:space="0" w:color="auto"/>
        <w:bottom w:val="none" w:sz="0" w:space="0" w:color="auto"/>
        <w:right w:val="none" w:sz="0" w:space="0" w:color="auto"/>
      </w:divBdr>
      <w:divsChild>
        <w:div w:id="230818047">
          <w:marLeft w:val="0"/>
          <w:marRight w:val="0"/>
          <w:marTop w:val="0"/>
          <w:marBottom w:val="0"/>
          <w:divBdr>
            <w:top w:val="none" w:sz="0" w:space="0" w:color="auto"/>
            <w:left w:val="none" w:sz="0" w:space="0" w:color="auto"/>
            <w:bottom w:val="none" w:sz="0" w:space="0" w:color="auto"/>
            <w:right w:val="none" w:sz="0" w:space="0" w:color="auto"/>
          </w:divBdr>
          <w:divsChild>
            <w:div w:id="293485535">
              <w:marLeft w:val="0"/>
              <w:marRight w:val="0"/>
              <w:marTop w:val="0"/>
              <w:marBottom w:val="0"/>
              <w:divBdr>
                <w:top w:val="none" w:sz="0" w:space="0" w:color="auto"/>
                <w:left w:val="none" w:sz="0" w:space="0" w:color="auto"/>
                <w:bottom w:val="none" w:sz="0" w:space="0" w:color="auto"/>
                <w:right w:val="none" w:sz="0" w:space="0" w:color="auto"/>
              </w:divBdr>
            </w:div>
            <w:div w:id="468010662">
              <w:marLeft w:val="0"/>
              <w:marRight w:val="0"/>
              <w:marTop w:val="0"/>
              <w:marBottom w:val="0"/>
              <w:divBdr>
                <w:top w:val="none" w:sz="0" w:space="0" w:color="auto"/>
                <w:left w:val="none" w:sz="0" w:space="0" w:color="auto"/>
                <w:bottom w:val="none" w:sz="0" w:space="0" w:color="auto"/>
                <w:right w:val="none" w:sz="0" w:space="0" w:color="auto"/>
              </w:divBdr>
            </w:div>
            <w:div w:id="813722387">
              <w:marLeft w:val="0"/>
              <w:marRight w:val="0"/>
              <w:marTop w:val="0"/>
              <w:marBottom w:val="0"/>
              <w:divBdr>
                <w:top w:val="none" w:sz="0" w:space="0" w:color="auto"/>
                <w:left w:val="none" w:sz="0" w:space="0" w:color="auto"/>
                <w:bottom w:val="none" w:sz="0" w:space="0" w:color="auto"/>
                <w:right w:val="none" w:sz="0" w:space="0" w:color="auto"/>
              </w:divBdr>
            </w:div>
            <w:div w:id="832990751">
              <w:marLeft w:val="0"/>
              <w:marRight w:val="0"/>
              <w:marTop w:val="0"/>
              <w:marBottom w:val="0"/>
              <w:divBdr>
                <w:top w:val="none" w:sz="0" w:space="0" w:color="auto"/>
                <w:left w:val="none" w:sz="0" w:space="0" w:color="auto"/>
                <w:bottom w:val="none" w:sz="0" w:space="0" w:color="auto"/>
                <w:right w:val="none" w:sz="0" w:space="0" w:color="auto"/>
              </w:divBdr>
            </w:div>
            <w:div w:id="863980414">
              <w:marLeft w:val="0"/>
              <w:marRight w:val="0"/>
              <w:marTop w:val="0"/>
              <w:marBottom w:val="0"/>
              <w:divBdr>
                <w:top w:val="none" w:sz="0" w:space="0" w:color="auto"/>
                <w:left w:val="none" w:sz="0" w:space="0" w:color="auto"/>
                <w:bottom w:val="none" w:sz="0" w:space="0" w:color="auto"/>
                <w:right w:val="none" w:sz="0" w:space="0" w:color="auto"/>
              </w:divBdr>
            </w:div>
            <w:div w:id="883063309">
              <w:marLeft w:val="0"/>
              <w:marRight w:val="0"/>
              <w:marTop w:val="0"/>
              <w:marBottom w:val="0"/>
              <w:divBdr>
                <w:top w:val="none" w:sz="0" w:space="0" w:color="auto"/>
                <w:left w:val="none" w:sz="0" w:space="0" w:color="auto"/>
                <w:bottom w:val="none" w:sz="0" w:space="0" w:color="auto"/>
                <w:right w:val="none" w:sz="0" w:space="0" w:color="auto"/>
              </w:divBdr>
            </w:div>
            <w:div w:id="887837730">
              <w:marLeft w:val="0"/>
              <w:marRight w:val="0"/>
              <w:marTop w:val="0"/>
              <w:marBottom w:val="0"/>
              <w:divBdr>
                <w:top w:val="none" w:sz="0" w:space="0" w:color="auto"/>
                <w:left w:val="none" w:sz="0" w:space="0" w:color="auto"/>
                <w:bottom w:val="none" w:sz="0" w:space="0" w:color="auto"/>
                <w:right w:val="none" w:sz="0" w:space="0" w:color="auto"/>
              </w:divBdr>
            </w:div>
            <w:div w:id="1237132594">
              <w:marLeft w:val="0"/>
              <w:marRight w:val="0"/>
              <w:marTop w:val="0"/>
              <w:marBottom w:val="0"/>
              <w:divBdr>
                <w:top w:val="none" w:sz="0" w:space="0" w:color="auto"/>
                <w:left w:val="none" w:sz="0" w:space="0" w:color="auto"/>
                <w:bottom w:val="none" w:sz="0" w:space="0" w:color="auto"/>
                <w:right w:val="none" w:sz="0" w:space="0" w:color="auto"/>
              </w:divBdr>
            </w:div>
            <w:div w:id="1578662181">
              <w:marLeft w:val="0"/>
              <w:marRight w:val="0"/>
              <w:marTop w:val="0"/>
              <w:marBottom w:val="0"/>
              <w:divBdr>
                <w:top w:val="none" w:sz="0" w:space="0" w:color="auto"/>
                <w:left w:val="none" w:sz="0" w:space="0" w:color="auto"/>
                <w:bottom w:val="none" w:sz="0" w:space="0" w:color="auto"/>
                <w:right w:val="none" w:sz="0" w:space="0" w:color="auto"/>
              </w:divBdr>
            </w:div>
            <w:div w:id="2005930830">
              <w:marLeft w:val="0"/>
              <w:marRight w:val="0"/>
              <w:marTop w:val="0"/>
              <w:marBottom w:val="0"/>
              <w:divBdr>
                <w:top w:val="none" w:sz="0" w:space="0" w:color="auto"/>
                <w:left w:val="none" w:sz="0" w:space="0" w:color="auto"/>
                <w:bottom w:val="none" w:sz="0" w:space="0" w:color="auto"/>
                <w:right w:val="none" w:sz="0" w:space="0" w:color="auto"/>
              </w:divBdr>
            </w:div>
            <w:div w:id="2025354466">
              <w:marLeft w:val="0"/>
              <w:marRight w:val="0"/>
              <w:marTop w:val="0"/>
              <w:marBottom w:val="0"/>
              <w:divBdr>
                <w:top w:val="none" w:sz="0" w:space="0" w:color="auto"/>
                <w:left w:val="none" w:sz="0" w:space="0" w:color="auto"/>
                <w:bottom w:val="none" w:sz="0" w:space="0" w:color="auto"/>
                <w:right w:val="none" w:sz="0" w:space="0" w:color="auto"/>
              </w:divBdr>
            </w:div>
            <w:div w:id="21016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5549">
      <w:bodyDiv w:val="1"/>
      <w:marLeft w:val="0"/>
      <w:marRight w:val="0"/>
      <w:marTop w:val="0"/>
      <w:marBottom w:val="0"/>
      <w:divBdr>
        <w:top w:val="none" w:sz="0" w:space="0" w:color="auto"/>
        <w:left w:val="none" w:sz="0" w:space="0" w:color="auto"/>
        <w:bottom w:val="none" w:sz="0" w:space="0" w:color="auto"/>
        <w:right w:val="none" w:sz="0" w:space="0" w:color="auto"/>
      </w:divBdr>
      <w:divsChild>
        <w:div w:id="141503266">
          <w:marLeft w:val="0"/>
          <w:marRight w:val="0"/>
          <w:marTop w:val="0"/>
          <w:marBottom w:val="0"/>
          <w:divBdr>
            <w:top w:val="none" w:sz="0" w:space="0" w:color="auto"/>
            <w:left w:val="none" w:sz="0" w:space="0" w:color="auto"/>
            <w:bottom w:val="none" w:sz="0" w:space="0" w:color="auto"/>
            <w:right w:val="none" w:sz="0" w:space="0" w:color="auto"/>
          </w:divBdr>
        </w:div>
        <w:div w:id="201285971">
          <w:marLeft w:val="0"/>
          <w:marRight w:val="0"/>
          <w:marTop w:val="0"/>
          <w:marBottom w:val="0"/>
          <w:divBdr>
            <w:top w:val="none" w:sz="0" w:space="0" w:color="auto"/>
            <w:left w:val="none" w:sz="0" w:space="0" w:color="auto"/>
            <w:bottom w:val="none" w:sz="0" w:space="0" w:color="auto"/>
            <w:right w:val="none" w:sz="0" w:space="0" w:color="auto"/>
          </w:divBdr>
        </w:div>
        <w:div w:id="892473096">
          <w:marLeft w:val="0"/>
          <w:marRight w:val="0"/>
          <w:marTop w:val="0"/>
          <w:marBottom w:val="0"/>
          <w:divBdr>
            <w:top w:val="none" w:sz="0" w:space="0" w:color="auto"/>
            <w:left w:val="none" w:sz="0" w:space="0" w:color="auto"/>
            <w:bottom w:val="none" w:sz="0" w:space="0" w:color="auto"/>
            <w:right w:val="none" w:sz="0" w:space="0" w:color="auto"/>
          </w:divBdr>
        </w:div>
        <w:div w:id="1022587477">
          <w:marLeft w:val="0"/>
          <w:marRight w:val="0"/>
          <w:marTop w:val="0"/>
          <w:marBottom w:val="0"/>
          <w:divBdr>
            <w:top w:val="none" w:sz="0" w:space="0" w:color="auto"/>
            <w:left w:val="none" w:sz="0" w:space="0" w:color="auto"/>
            <w:bottom w:val="none" w:sz="0" w:space="0" w:color="auto"/>
            <w:right w:val="none" w:sz="0" w:space="0" w:color="auto"/>
          </w:divBdr>
        </w:div>
        <w:div w:id="1078670164">
          <w:marLeft w:val="0"/>
          <w:marRight w:val="0"/>
          <w:marTop w:val="0"/>
          <w:marBottom w:val="0"/>
          <w:divBdr>
            <w:top w:val="none" w:sz="0" w:space="0" w:color="auto"/>
            <w:left w:val="none" w:sz="0" w:space="0" w:color="auto"/>
            <w:bottom w:val="none" w:sz="0" w:space="0" w:color="auto"/>
            <w:right w:val="none" w:sz="0" w:space="0" w:color="auto"/>
          </w:divBdr>
        </w:div>
        <w:div w:id="1668630383">
          <w:marLeft w:val="0"/>
          <w:marRight w:val="0"/>
          <w:marTop w:val="0"/>
          <w:marBottom w:val="0"/>
          <w:divBdr>
            <w:top w:val="none" w:sz="0" w:space="0" w:color="auto"/>
            <w:left w:val="none" w:sz="0" w:space="0" w:color="auto"/>
            <w:bottom w:val="none" w:sz="0" w:space="0" w:color="auto"/>
            <w:right w:val="none" w:sz="0" w:space="0" w:color="auto"/>
          </w:divBdr>
        </w:div>
      </w:divsChild>
    </w:div>
    <w:div w:id="1117986193">
      <w:bodyDiv w:val="1"/>
      <w:marLeft w:val="0"/>
      <w:marRight w:val="0"/>
      <w:marTop w:val="0"/>
      <w:marBottom w:val="0"/>
      <w:divBdr>
        <w:top w:val="none" w:sz="0" w:space="0" w:color="auto"/>
        <w:left w:val="none" w:sz="0" w:space="0" w:color="auto"/>
        <w:bottom w:val="none" w:sz="0" w:space="0" w:color="auto"/>
        <w:right w:val="none" w:sz="0" w:space="0" w:color="auto"/>
      </w:divBdr>
    </w:div>
    <w:div w:id="1131289480">
      <w:bodyDiv w:val="1"/>
      <w:marLeft w:val="0"/>
      <w:marRight w:val="0"/>
      <w:marTop w:val="0"/>
      <w:marBottom w:val="0"/>
      <w:divBdr>
        <w:top w:val="none" w:sz="0" w:space="0" w:color="auto"/>
        <w:left w:val="none" w:sz="0" w:space="0" w:color="auto"/>
        <w:bottom w:val="none" w:sz="0" w:space="0" w:color="auto"/>
        <w:right w:val="none" w:sz="0" w:space="0" w:color="auto"/>
      </w:divBdr>
      <w:divsChild>
        <w:div w:id="92163983">
          <w:marLeft w:val="0"/>
          <w:marRight w:val="0"/>
          <w:marTop w:val="0"/>
          <w:marBottom w:val="0"/>
          <w:divBdr>
            <w:top w:val="none" w:sz="0" w:space="0" w:color="auto"/>
            <w:left w:val="none" w:sz="0" w:space="0" w:color="auto"/>
            <w:bottom w:val="none" w:sz="0" w:space="0" w:color="auto"/>
            <w:right w:val="none" w:sz="0" w:space="0" w:color="auto"/>
          </w:divBdr>
        </w:div>
      </w:divsChild>
    </w:div>
    <w:div w:id="1145901416">
      <w:bodyDiv w:val="1"/>
      <w:marLeft w:val="0"/>
      <w:marRight w:val="0"/>
      <w:marTop w:val="0"/>
      <w:marBottom w:val="0"/>
      <w:divBdr>
        <w:top w:val="none" w:sz="0" w:space="0" w:color="auto"/>
        <w:left w:val="none" w:sz="0" w:space="0" w:color="auto"/>
        <w:bottom w:val="none" w:sz="0" w:space="0" w:color="auto"/>
        <w:right w:val="none" w:sz="0" w:space="0" w:color="auto"/>
      </w:divBdr>
    </w:div>
    <w:div w:id="1192449708">
      <w:bodyDiv w:val="1"/>
      <w:marLeft w:val="0"/>
      <w:marRight w:val="0"/>
      <w:marTop w:val="0"/>
      <w:marBottom w:val="0"/>
      <w:divBdr>
        <w:top w:val="none" w:sz="0" w:space="0" w:color="auto"/>
        <w:left w:val="none" w:sz="0" w:space="0" w:color="auto"/>
        <w:bottom w:val="none" w:sz="0" w:space="0" w:color="auto"/>
        <w:right w:val="none" w:sz="0" w:space="0" w:color="auto"/>
      </w:divBdr>
    </w:div>
    <w:div w:id="1201943310">
      <w:bodyDiv w:val="1"/>
      <w:marLeft w:val="0"/>
      <w:marRight w:val="0"/>
      <w:marTop w:val="0"/>
      <w:marBottom w:val="0"/>
      <w:divBdr>
        <w:top w:val="none" w:sz="0" w:space="0" w:color="auto"/>
        <w:left w:val="none" w:sz="0" w:space="0" w:color="auto"/>
        <w:bottom w:val="none" w:sz="0" w:space="0" w:color="auto"/>
        <w:right w:val="none" w:sz="0" w:space="0" w:color="auto"/>
      </w:divBdr>
    </w:div>
    <w:div w:id="1206601683">
      <w:bodyDiv w:val="1"/>
      <w:marLeft w:val="0"/>
      <w:marRight w:val="0"/>
      <w:marTop w:val="0"/>
      <w:marBottom w:val="0"/>
      <w:divBdr>
        <w:top w:val="none" w:sz="0" w:space="0" w:color="auto"/>
        <w:left w:val="none" w:sz="0" w:space="0" w:color="auto"/>
        <w:bottom w:val="none" w:sz="0" w:space="0" w:color="auto"/>
        <w:right w:val="none" w:sz="0" w:space="0" w:color="auto"/>
      </w:divBdr>
    </w:div>
    <w:div w:id="1210996950">
      <w:bodyDiv w:val="1"/>
      <w:marLeft w:val="0"/>
      <w:marRight w:val="0"/>
      <w:marTop w:val="0"/>
      <w:marBottom w:val="0"/>
      <w:divBdr>
        <w:top w:val="none" w:sz="0" w:space="0" w:color="auto"/>
        <w:left w:val="none" w:sz="0" w:space="0" w:color="auto"/>
        <w:bottom w:val="none" w:sz="0" w:space="0" w:color="auto"/>
        <w:right w:val="none" w:sz="0" w:space="0" w:color="auto"/>
      </w:divBdr>
      <w:divsChild>
        <w:div w:id="977608738">
          <w:marLeft w:val="0"/>
          <w:marRight w:val="0"/>
          <w:marTop w:val="0"/>
          <w:marBottom w:val="0"/>
          <w:divBdr>
            <w:top w:val="none" w:sz="0" w:space="0" w:color="auto"/>
            <w:left w:val="none" w:sz="0" w:space="0" w:color="auto"/>
            <w:bottom w:val="none" w:sz="0" w:space="0" w:color="auto"/>
            <w:right w:val="none" w:sz="0" w:space="0" w:color="auto"/>
          </w:divBdr>
          <w:divsChild>
            <w:div w:id="4709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095377">
      <w:bodyDiv w:val="1"/>
      <w:marLeft w:val="0"/>
      <w:marRight w:val="0"/>
      <w:marTop w:val="0"/>
      <w:marBottom w:val="0"/>
      <w:divBdr>
        <w:top w:val="none" w:sz="0" w:space="0" w:color="auto"/>
        <w:left w:val="none" w:sz="0" w:space="0" w:color="auto"/>
        <w:bottom w:val="none" w:sz="0" w:space="0" w:color="auto"/>
        <w:right w:val="none" w:sz="0" w:space="0" w:color="auto"/>
      </w:divBdr>
    </w:div>
    <w:div w:id="1288968148">
      <w:bodyDiv w:val="1"/>
      <w:marLeft w:val="0"/>
      <w:marRight w:val="0"/>
      <w:marTop w:val="0"/>
      <w:marBottom w:val="0"/>
      <w:divBdr>
        <w:top w:val="none" w:sz="0" w:space="0" w:color="auto"/>
        <w:left w:val="none" w:sz="0" w:space="0" w:color="auto"/>
        <w:bottom w:val="none" w:sz="0" w:space="0" w:color="auto"/>
        <w:right w:val="none" w:sz="0" w:space="0" w:color="auto"/>
      </w:divBdr>
    </w:div>
    <w:div w:id="1295526362">
      <w:bodyDiv w:val="1"/>
      <w:marLeft w:val="0"/>
      <w:marRight w:val="0"/>
      <w:marTop w:val="0"/>
      <w:marBottom w:val="0"/>
      <w:divBdr>
        <w:top w:val="none" w:sz="0" w:space="0" w:color="auto"/>
        <w:left w:val="none" w:sz="0" w:space="0" w:color="auto"/>
        <w:bottom w:val="none" w:sz="0" w:space="0" w:color="auto"/>
        <w:right w:val="none" w:sz="0" w:space="0" w:color="auto"/>
      </w:divBdr>
    </w:div>
    <w:div w:id="1423454605">
      <w:bodyDiv w:val="1"/>
      <w:marLeft w:val="0"/>
      <w:marRight w:val="0"/>
      <w:marTop w:val="0"/>
      <w:marBottom w:val="0"/>
      <w:divBdr>
        <w:top w:val="none" w:sz="0" w:space="0" w:color="auto"/>
        <w:left w:val="none" w:sz="0" w:space="0" w:color="auto"/>
        <w:bottom w:val="none" w:sz="0" w:space="0" w:color="auto"/>
        <w:right w:val="none" w:sz="0" w:space="0" w:color="auto"/>
      </w:divBdr>
    </w:div>
    <w:div w:id="1424885628">
      <w:bodyDiv w:val="1"/>
      <w:marLeft w:val="0"/>
      <w:marRight w:val="0"/>
      <w:marTop w:val="0"/>
      <w:marBottom w:val="0"/>
      <w:divBdr>
        <w:top w:val="none" w:sz="0" w:space="0" w:color="auto"/>
        <w:left w:val="none" w:sz="0" w:space="0" w:color="auto"/>
        <w:bottom w:val="none" w:sz="0" w:space="0" w:color="auto"/>
        <w:right w:val="none" w:sz="0" w:space="0" w:color="auto"/>
      </w:divBdr>
      <w:divsChild>
        <w:div w:id="1949191849">
          <w:marLeft w:val="0"/>
          <w:marRight w:val="0"/>
          <w:marTop w:val="0"/>
          <w:marBottom w:val="0"/>
          <w:divBdr>
            <w:top w:val="none" w:sz="0" w:space="0" w:color="auto"/>
            <w:left w:val="none" w:sz="0" w:space="0" w:color="auto"/>
            <w:bottom w:val="none" w:sz="0" w:space="0" w:color="auto"/>
            <w:right w:val="none" w:sz="0" w:space="0" w:color="auto"/>
          </w:divBdr>
          <w:divsChild>
            <w:div w:id="299573705">
              <w:marLeft w:val="0"/>
              <w:marRight w:val="0"/>
              <w:marTop w:val="0"/>
              <w:marBottom w:val="0"/>
              <w:divBdr>
                <w:top w:val="none" w:sz="0" w:space="0" w:color="auto"/>
                <w:left w:val="none" w:sz="0" w:space="0" w:color="auto"/>
                <w:bottom w:val="none" w:sz="0" w:space="0" w:color="auto"/>
                <w:right w:val="none" w:sz="0" w:space="0" w:color="auto"/>
              </w:divBdr>
            </w:div>
            <w:div w:id="782461425">
              <w:marLeft w:val="0"/>
              <w:marRight w:val="0"/>
              <w:marTop w:val="0"/>
              <w:marBottom w:val="0"/>
              <w:divBdr>
                <w:top w:val="none" w:sz="0" w:space="0" w:color="auto"/>
                <w:left w:val="none" w:sz="0" w:space="0" w:color="auto"/>
                <w:bottom w:val="none" w:sz="0" w:space="0" w:color="auto"/>
                <w:right w:val="none" w:sz="0" w:space="0" w:color="auto"/>
              </w:divBdr>
              <w:divsChild>
                <w:div w:id="1050496776">
                  <w:marLeft w:val="0"/>
                  <w:marRight w:val="0"/>
                  <w:marTop w:val="0"/>
                  <w:marBottom w:val="0"/>
                  <w:divBdr>
                    <w:top w:val="none" w:sz="0" w:space="0" w:color="auto"/>
                    <w:left w:val="none" w:sz="0" w:space="0" w:color="auto"/>
                    <w:bottom w:val="none" w:sz="0" w:space="0" w:color="auto"/>
                    <w:right w:val="none" w:sz="0" w:space="0" w:color="auto"/>
                  </w:divBdr>
                </w:div>
                <w:div w:id="2059669032">
                  <w:marLeft w:val="0"/>
                  <w:marRight w:val="0"/>
                  <w:marTop w:val="0"/>
                  <w:marBottom w:val="0"/>
                  <w:divBdr>
                    <w:top w:val="none" w:sz="0" w:space="0" w:color="auto"/>
                    <w:left w:val="none" w:sz="0" w:space="0" w:color="auto"/>
                    <w:bottom w:val="none" w:sz="0" w:space="0" w:color="auto"/>
                    <w:right w:val="none" w:sz="0" w:space="0" w:color="auto"/>
                  </w:divBdr>
                </w:div>
              </w:divsChild>
            </w:div>
            <w:div w:id="17793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63642">
      <w:bodyDiv w:val="1"/>
      <w:marLeft w:val="0"/>
      <w:marRight w:val="0"/>
      <w:marTop w:val="0"/>
      <w:marBottom w:val="0"/>
      <w:divBdr>
        <w:top w:val="none" w:sz="0" w:space="0" w:color="auto"/>
        <w:left w:val="none" w:sz="0" w:space="0" w:color="auto"/>
        <w:bottom w:val="none" w:sz="0" w:space="0" w:color="auto"/>
        <w:right w:val="none" w:sz="0" w:space="0" w:color="auto"/>
      </w:divBdr>
    </w:div>
    <w:div w:id="1447430227">
      <w:bodyDiv w:val="1"/>
      <w:marLeft w:val="0"/>
      <w:marRight w:val="0"/>
      <w:marTop w:val="0"/>
      <w:marBottom w:val="0"/>
      <w:divBdr>
        <w:top w:val="none" w:sz="0" w:space="0" w:color="auto"/>
        <w:left w:val="none" w:sz="0" w:space="0" w:color="auto"/>
        <w:bottom w:val="none" w:sz="0" w:space="0" w:color="auto"/>
        <w:right w:val="none" w:sz="0" w:space="0" w:color="auto"/>
      </w:divBdr>
    </w:div>
    <w:div w:id="1455560481">
      <w:bodyDiv w:val="1"/>
      <w:marLeft w:val="0"/>
      <w:marRight w:val="0"/>
      <w:marTop w:val="0"/>
      <w:marBottom w:val="0"/>
      <w:divBdr>
        <w:top w:val="none" w:sz="0" w:space="0" w:color="auto"/>
        <w:left w:val="none" w:sz="0" w:space="0" w:color="auto"/>
        <w:bottom w:val="none" w:sz="0" w:space="0" w:color="auto"/>
        <w:right w:val="none" w:sz="0" w:space="0" w:color="auto"/>
      </w:divBdr>
    </w:div>
    <w:div w:id="1527251076">
      <w:bodyDiv w:val="1"/>
      <w:marLeft w:val="0"/>
      <w:marRight w:val="0"/>
      <w:marTop w:val="0"/>
      <w:marBottom w:val="0"/>
      <w:divBdr>
        <w:top w:val="none" w:sz="0" w:space="0" w:color="auto"/>
        <w:left w:val="none" w:sz="0" w:space="0" w:color="auto"/>
        <w:bottom w:val="none" w:sz="0" w:space="0" w:color="auto"/>
        <w:right w:val="none" w:sz="0" w:space="0" w:color="auto"/>
      </w:divBdr>
    </w:div>
    <w:div w:id="1544832829">
      <w:bodyDiv w:val="1"/>
      <w:marLeft w:val="0"/>
      <w:marRight w:val="0"/>
      <w:marTop w:val="0"/>
      <w:marBottom w:val="0"/>
      <w:divBdr>
        <w:top w:val="none" w:sz="0" w:space="0" w:color="auto"/>
        <w:left w:val="none" w:sz="0" w:space="0" w:color="auto"/>
        <w:bottom w:val="none" w:sz="0" w:space="0" w:color="auto"/>
        <w:right w:val="none" w:sz="0" w:space="0" w:color="auto"/>
      </w:divBdr>
    </w:div>
    <w:div w:id="1562059133">
      <w:bodyDiv w:val="1"/>
      <w:marLeft w:val="0"/>
      <w:marRight w:val="0"/>
      <w:marTop w:val="0"/>
      <w:marBottom w:val="0"/>
      <w:divBdr>
        <w:top w:val="none" w:sz="0" w:space="0" w:color="auto"/>
        <w:left w:val="none" w:sz="0" w:space="0" w:color="auto"/>
        <w:bottom w:val="none" w:sz="0" w:space="0" w:color="auto"/>
        <w:right w:val="none" w:sz="0" w:space="0" w:color="auto"/>
      </w:divBdr>
      <w:divsChild>
        <w:div w:id="1282031550">
          <w:marLeft w:val="0"/>
          <w:marRight w:val="0"/>
          <w:marTop w:val="0"/>
          <w:marBottom w:val="0"/>
          <w:divBdr>
            <w:top w:val="none" w:sz="0" w:space="0" w:color="auto"/>
            <w:left w:val="none" w:sz="0" w:space="0" w:color="auto"/>
            <w:bottom w:val="none" w:sz="0" w:space="0" w:color="auto"/>
            <w:right w:val="none" w:sz="0" w:space="0" w:color="auto"/>
          </w:divBdr>
        </w:div>
        <w:div w:id="1947931505">
          <w:marLeft w:val="0"/>
          <w:marRight w:val="0"/>
          <w:marTop w:val="0"/>
          <w:marBottom w:val="0"/>
          <w:divBdr>
            <w:top w:val="none" w:sz="0" w:space="0" w:color="auto"/>
            <w:left w:val="none" w:sz="0" w:space="0" w:color="auto"/>
            <w:bottom w:val="none" w:sz="0" w:space="0" w:color="auto"/>
            <w:right w:val="none" w:sz="0" w:space="0" w:color="auto"/>
          </w:divBdr>
        </w:div>
      </w:divsChild>
    </w:div>
    <w:div w:id="1675760115">
      <w:bodyDiv w:val="1"/>
      <w:marLeft w:val="0"/>
      <w:marRight w:val="0"/>
      <w:marTop w:val="0"/>
      <w:marBottom w:val="0"/>
      <w:divBdr>
        <w:top w:val="none" w:sz="0" w:space="0" w:color="auto"/>
        <w:left w:val="none" w:sz="0" w:space="0" w:color="auto"/>
        <w:bottom w:val="none" w:sz="0" w:space="0" w:color="auto"/>
        <w:right w:val="none" w:sz="0" w:space="0" w:color="auto"/>
      </w:divBdr>
    </w:div>
    <w:div w:id="1726761434">
      <w:bodyDiv w:val="1"/>
      <w:marLeft w:val="0"/>
      <w:marRight w:val="0"/>
      <w:marTop w:val="0"/>
      <w:marBottom w:val="0"/>
      <w:divBdr>
        <w:top w:val="none" w:sz="0" w:space="0" w:color="auto"/>
        <w:left w:val="none" w:sz="0" w:space="0" w:color="auto"/>
        <w:bottom w:val="none" w:sz="0" w:space="0" w:color="auto"/>
        <w:right w:val="none" w:sz="0" w:space="0" w:color="auto"/>
      </w:divBdr>
      <w:divsChild>
        <w:div w:id="711075792">
          <w:marLeft w:val="0"/>
          <w:marRight w:val="0"/>
          <w:marTop w:val="0"/>
          <w:marBottom w:val="0"/>
          <w:divBdr>
            <w:top w:val="none" w:sz="0" w:space="0" w:color="auto"/>
            <w:left w:val="none" w:sz="0" w:space="0" w:color="auto"/>
            <w:bottom w:val="none" w:sz="0" w:space="0" w:color="auto"/>
            <w:right w:val="none" w:sz="0" w:space="0" w:color="auto"/>
          </w:divBdr>
        </w:div>
      </w:divsChild>
    </w:div>
    <w:div w:id="1748720844">
      <w:bodyDiv w:val="1"/>
      <w:marLeft w:val="0"/>
      <w:marRight w:val="0"/>
      <w:marTop w:val="0"/>
      <w:marBottom w:val="0"/>
      <w:divBdr>
        <w:top w:val="none" w:sz="0" w:space="0" w:color="auto"/>
        <w:left w:val="none" w:sz="0" w:space="0" w:color="auto"/>
        <w:bottom w:val="none" w:sz="0" w:space="0" w:color="auto"/>
        <w:right w:val="none" w:sz="0" w:space="0" w:color="auto"/>
      </w:divBdr>
      <w:divsChild>
        <w:div w:id="2137947911">
          <w:marLeft w:val="0"/>
          <w:marRight w:val="0"/>
          <w:marTop w:val="0"/>
          <w:marBottom w:val="0"/>
          <w:divBdr>
            <w:top w:val="none" w:sz="0" w:space="0" w:color="auto"/>
            <w:left w:val="none" w:sz="0" w:space="0" w:color="auto"/>
            <w:bottom w:val="none" w:sz="0" w:space="0" w:color="auto"/>
            <w:right w:val="none" w:sz="0" w:space="0" w:color="auto"/>
          </w:divBdr>
          <w:divsChild>
            <w:div w:id="23487765">
              <w:marLeft w:val="0"/>
              <w:marRight w:val="0"/>
              <w:marTop w:val="0"/>
              <w:marBottom w:val="0"/>
              <w:divBdr>
                <w:top w:val="none" w:sz="0" w:space="0" w:color="auto"/>
                <w:left w:val="none" w:sz="0" w:space="0" w:color="auto"/>
                <w:bottom w:val="none" w:sz="0" w:space="0" w:color="auto"/>
                <w:right w:val="none" w:sz="0" w:space="0" w:color="auto"/>
              </w:divBdr>
            </w:div>
            <w:div w:id="196889614">
              <w:marLeft w:val="0"/>
              <w:marRight w:val="0"/>
              <w:marTop w:val="0"/>
              <w:marBottom w:val="0"/>
              <w:divBdr>
                <w:top w:val="none" w:sz="0" w:space="0" w:color="auto"/>
                <w:left w:val="none" w:sz="0" w:space="0" w:color="auto"/>
                <w:bottom w:val="none" w:sz="0" w:space="0" w:color="auto"/>
                <w:right w:val="none" w:sz="0" w:space="0" w:color="auto"/>
              </w:divBdr>
            </w:div>
            <w:div w:id="196936889">
              <w:marLeft w:val="0"/>
              <w:marRight w:val="0"/>
              <w:marTop w:val="0"/>
              <w:marBottom w:val="0"/>
              <w:divBdr>
                <w:top w:val="none" w:sz="0" w:space="0" w:color="auto"/>
                <w:left w:val="none" w:sz="0" w:space="0" w:color="auto"/>
                <w:bottom w:val="none" w:sz="0" w:space="0" w:color="auto"/>
                <w:right w:val="none" w:sz="0" w:space="0" w:color="auto"/>
              </w:divBdr>
            </w:div>
            <w:div w:id="218518573">
              <w:marLeft w:val="0"/>
              <w:marRight w:val="0"/>
              <w:marTop w:val="0"/>
              <w:marBottom w:val="0"/>
              <w:divBdr>
                <w:top w:val="none" w:sz="0" w:space="0" w:color="auto"/>
                <w:left w:val="none" w:sz="0" w:space="0" w:color="auto"/>
                <w:bottom w:val="none" w:sz="0" w:space="0" w:color="auto"/>
                <w:right w:val="none" w:sz="0" w:space="0" w:color="auto"/>
              </w:divBdr>
            </w:div>
            <w:div w:id="308705775">
              <w:marLeft w:val="0"/>
              <w:marRight w:val="0"/>
              <w:marTop w:val="0"/>
              <w:marBottom w:val="0"/>
              <w:divBdr>
                <w:top w:val="none" w:sz="0" w:space="0" w:color="auto"/>
                <w:left w:val="none" w:sz="0" w:space="0" w:color="auto"/>
                <w:bottom w:val="none" w:sz="0" w:space="0" w:color="auto"/>
                <w:right w:val="none" w:sz="0" w:space="0" w:color="auto"/>
              </w:divBdr>
            </w:div>
            <w:div w:id="318658685">
              <w:marLeft w:val="0"/>
              <w:marRight w:val="0"/>
              <w:marTop w:val="0"/>
              <w:marBottom w:val="0"/>
              <w:divBdr>
                <w:top w:val="none" w:sz="0" w:space="0" w:color="auto"/>
                <w:left w:val="none" w:sz="0" w:space="0" w:color="auto"/>
                <w:bottom w:val="none" w:sz="0" w:space="0" w:color="auto"/>
                <w:right w:val="none" w:sz="0" w:space="0" w:color="auto"/>
              </w:divBdr>
            </w:div>
            <w:div w:id="597444743">
              <w:marLeft w:val="0"/>
              <w:marRight w:val="0"/>
              <w:marTop w:val="0"/>
              <w:marBottom w:val="0"/>
              <w:divBdr>
                <w:top w:val="none" w:sz="0" w:space="0" w:color="auto"/>
                <w:left w:val="none" w:sz="0" w:space="0" w:color="auto"/>
                <w:bottom w:val="none" w:sz="0" w:space="0" w:color="auto"/>
                <w:right w:val="none" w:sz="0" w:space="0" w:color="auto"/>
              </w:divBdr>
            </w:div>
            <w:div w:id="1314329127">
              <w:marLeft w:val="0"/>
              <w:marRight w:val="0"/>
              <w:marTop w:val="0"/>
              <w:marBottom w:val="0"/>
              <w:divBdr>
                <w:top w:val="none" w:sz="0" w:space="0" w:color="auto"/>
                <w:left w:val="none" w:sz="0" w:space="0" w:color="auto"/>
                <w:bottom w:val="none" w:sz="0" w:space="0" w:color="auto"/>
                <w:right w:val="none" w:sz="0" w:space="0" w:color="auto"/>
              </w:divBdr>
            </w:div>
            <w:div w:id="1323505325">
              <w:marLeft w:val="0"/>
              <w:marRight w:val="0"/>
              <w:marTop w:val="0"/>
              <w:marBottom w:val="0"/>
              <w:divBdr>
                <w:top w:val="none" w:sz="0" w:space="0" w:color="auto"/>
                <w:left w:val="none" w:sz="0" w:space="0" w:color="auto"/>
                <w:bottom w:val="none" w:sz="0" w:space="0" w:color="auto"/>
                <w:right w:val="none" w:sz="0" w:space="0" w:color="auto"/>
              </w:divBdr>
            </w:div>
            <w:div w:id="1513106874">
              <w:marLeft w:val="0"/>
              <w:marRight w:val="0"/>
              <w:marTop w:val="0"/>
              <w:marBottom w:val="0"/>
              <w:divBdr>
                <w:top w:val="none" w:sz="0" w:space="0" w:color="auto"/>
                <w:left w:val="none" w:sz="0" w:space="0" w:color="auto"/>
                <w:bottom w:val="none" w:sz="0" w:space="0" w:color="auto"/>
                <w:right w:val="none" w:sz="0" w:space="0" w:color="auto"/>
              </w:divBdr>
            </w:div>
            <w:div w:id="1529218889">
              <w:marLeft w:val="0"/>
              <w:marRight w:val="0"/>
              <w:marTop w:val="0"/>
              <w:marBottom w:val="0"/>
              <w:divBdr>
                <w:top w:val="none" w:sz="0" w:space="0" w:color="auto"/>
                <w:left w:val="none" w:sz="0" w:space="0" w:color="auto"/>
                <w:bottom w:val="none" w:sz="0" w:space="0" w:color="auto"/>
                <w:right w:val="none" w:sz="0" w:space="0" w:color="auto"/>
              </w:divBdr>
            </w:div>
            <w:div w:id="19872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46585">
      <w:bodyDiv w:val="1"/>
      <w:marLeft w:val="0"/>
      <w:marRight w:val="0"/>
      <w:marTop w:val="0"/>
      <w:marBottom w:val="0"/>
      <w:divBdr>
        <w:top w:val="none" w:sz="0" w:space="0" w:color="auto"/>
        <w:left w:val="none" w:sz="0" w:space="0" w:color="auto"/>
        <w:bottom w:val="none" w:sz="0" w:space="0" w:color="auto"/>
        <w:right w:val="none" w:sz="0" w:space="0" w:color="auto"/>
      </w:divBdr>
    </w:div>
    <w:div w:id="1824928571">
      <w:bodyDiv w:val="1"/>
      <w:marLeft w:val="0"/>
      <w:marRight w:val="0"/>
      <w:marTop w:val="0"/>
      <w:marBottom w:val="0"/>
      <w:divBdr>
        <w:top w:val="none" w:sz="0" w:space="0" w:color="auto"/>
        <w:left w:val="none" w:sz="0" w:space="0" w:color="auto"/>
        <w:bottom w:val="none" w:sz="0" w:space="0" w:color="auto"/>
        <w:right w:val="none" w:sz="0" w:space="0" w:color="auto"/>
      </w:divBdr>
    </w:div>
    <w:div w:id="1835533818">
      <w:bodyDiv w:val="1"/>
      <w:marLeft w:val="0"/>
      <w:marRight w:val="0"/>
      <w:marTop w:val="0"/>
      <w:marBottom w:val="0"/>
      <w:divBdr>
        <w:top w:val="none" w:sz="0" w:space="0" w:color="auto"/>
        <w:left w:val="none" w:sz="0" w:space="0" w:color="auto"/>
        <w:bottom w:val="none" w:sz="0" w:space="0" w:color="auto"/>
        <w:right w:val="none" w:sz="0" w:space="0" w:color="auto"/>
      </w:divBdr>
      <w:divsChild>
        <w:div w:id="947195934">
          <w:marLeft w:val="0"/>
          <w:marRight w:val="0"/>
          <w:marTop w:val="0"/>
          <w:marBottom w:val="0"/>
          <w:divBdr>
            <w:top w:val="none" w:sz="0" w:space="0" w:color="auto"/>
            <w:left w:val="none" w:sz="0" w:space="0" w:color="auto"/>
            <w:bottom w:val="none" w:sz="0" w:space="0" w:color="auto"/>
            <w:right w:val="none" w:sz="0" w:space="0" w:color="auto"/>
          </w:divBdr>
          <w:divsChild>
            <w:div w:id="69891306">
              <w:marLeft w:val="0"/>
              <w:marRight w:val="0"/>
              <w:marTop w:val="0"/>
              <w:marBottom w:val="0"/>
              <w:divBdr>
                <w:top w:val="none" w:sz="0" w:space="0" w:color="auto"/>
                <w:left w:val="none" w:sz="0" w:space="0" w:color="auto"/>
                <w:bottom w:val="none" w:sz="0" w:space="0" w:color="auto"/>
                <w:right w:val="none" w:sz="0" w:space="0" w:color="auto"/>
              </w:divBdr>
            </w:div>
            <w:div w:id="123692641">
              <w:marLeft w:val="0"/>
              <w:marRight w:val="0"/>
              <w:marTop w:val="0"/>
              <w:marBottom w:val="0"/>
              <w:divBdr>
                <w:top w:val="none" w:sz="0" w:space="0" w:color="auto"/>
                <w:left w:val="none" w:sz="0" w:space="0" w:color="auto"/>
                <w:bottom w:val="none" w:sz="0" w:space="0" w:color="auto"/>
                <w:right w:val="none" w:sz="0" w:space="0" w:color="auto"/>
              </w:divBdr>
            </w:div>
            <w:div w:id="318536477">
              <w:marLeft w:val="0"/>
              <w:marRight w:val="0"/>
              <w:marTop w:val="0"/>
              <w:marBottom w:val="0"/>
              <w:divBdr>
                <w:top w:val="none" w:sz="0" w:space="0" w:color="auto"/>
                <w:left w:val="none" w:sz="0" w:space="0" w:color="auto"/>
                <w:bottom w:val="none" w:sz="0" w:space="0" w:color="auto"/>
                <w:right w:val="none" w:sz="0" w:space="0" w:color="auto"/>
              </w:divBdr>
            </w:div>
            <w:div w:id="964578315">
              <w:marLeft w:val="0"/>
              <w:marRight w:val="0"/>
              <w:marTop w:val="0"/>
              <w:marBottom w:val="0"/>
              <w:divBdr>
                <w:top w:val="none" w:sz="0" w:space="0" w:color="auto"/>
                <w:left w:val="none" w:sz="0" w:space="0" w:color="auto"/>
                <w:bottom w:val="none" w:sz="0" w:space="0" w:color="auto"/>
                <w:right w:val="none" w:sz="0" w:space="0" w:color="auto"/>
              </w:divBdr>
            </w:div>
            <w:div w:id="1170172595">
              <w:marLeft w:val="0"/>
              <w:marRight w:val="0"/>
              <w:marTop w:val="0"/>
              <w:marBottom w:val="0"/>
              <w:divBdr>
                <w:top w:val="none" w:sz="0" w:space="0" w:color="auto"/>
                <w:left w:val="none" w:sz="0" w:space="0" w:color="auto"/>
                <w:bottom w:val="none" w:sz="0" w:space="0" w:color="auto"/>
                <w:right w:val="none" w:sz="0" w:space="0" w:color="auto"/>
              </w:divBdr>
            </w:div>
            <w:div w:id="1639603740">
              <w:marLeft w:val="0"/>
              <w:marRight w:val="0"/>
              <w:marTop w:val="0"/>
              <w:marBottom w:val="0"/>
              <w:divBdr>
                <w:top w:val="none" w:sz="0" w:space="0" w:color="auto"/>
                <w:left w:val="none" w:sz="0" w:space="0" w:color="auto"/>
                <w:bottom w:val="none" w:sz="0" w:space="0" w:color="auto"/>
                <w:right w:val="none" w:sz="0" w:space="0" w:color="auto"/>
              </w:divBdr>
            </w:div>
            <w:div w:id="1727878208">
              <w:marLeft w:val="0"/>
              <w:marRight w:val="0"/>
              <w:marTop w:val="0"/>
              <w:marBottom w:val="0"/>
              <w:divBdr>
                <w:top w:val="none" w:sz="0" w:space="0" w:color="auto"/>
                <w:left w:val="none" w:sz="0" w:space="0" w:color="auto"/>
                <w:bottom w:val="none" w:sz="0" w:space="0" w:color="auto"/>
                <w:right w:val="none" w:sz="0" w:space="0" w:color="auto"/>
              </w:divBdr>
            </w:div>
            <w:div w:id="1831363281">
              <w:marLeft w:val="0"/>
              <w:marRight w:val="0"/>
              <w:marTop w:val="0"/>
              <w:marBottom w:val="0"/>
              <w:divBdr>
                <w:top w:val="none" w:sz="0" w:space="0" w:color="auto"/>
                <w:left w:val="none" w:sz="0" w:space="0" w:color="auto"/>
                <w:bottom w:val="none" w:sz="0" w:space="0" w:color="auto"/>
                <w:right w:val="none" w:sz="0" w:space="0" w:color="auto"/>
              </w:divBdr>
            </w:div>
            <w:div w:id="21066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95902">
      <w:bodyDiv w:val="1"/>
      <w:marLeft w:val="0"/>
      <w:marRight w:val="0"/>
      <w:marTop w:val="0"/>
      <w:marBottom w:val="0"/>
      <w:divBdr>
        <w:top w:val="none" w:sz="0" w:space="0" w:color="auto"/>
        <w:left w:val="none" w:sz="0" w:space="0" w:color="auto"/>
        <w:bottom w:val="none" w:sz="0" w:space="0" w:color="auto"/>
        <w:right w:val="none" w:sz="0" w:space="0" w:color="auto"/>
      </w:divBdr>
    </w:div>
    <w:div w:id="1875264475">
      <w:bodyDiv w:val="1"/>
      <w:marLeft w:val="0"/>
      <w:marRight w:val="0"/>
      <w:marTop w:val="0"/>
      <w:marBottom w:val="0"/>
      <w:divBdr>
        <w:top w:val="none" w:sz="0" w:space="0" w:color="auto"/>
        <w:left w:val="none" w:sz="0" w:space="0" w:color="auto"/>
        <w:bottom w:val="none" w:sz="0" w:space="0" w:color="auto"/>
        <w:right w:val="none" w:sz="0" w:space="0" w:color="auto"/>
      </w:divBdr>
    </w:div>
    <w:div w:id="1992784240">
      <w:bodyDiv w:val="1"/>
      <w:marLeft w:val="0"/>
      <w:marRight w:val="0"/>
      <w:marTop w:val="0"/>
      <w:marBottom w:val="0"/>
      <w:divBdr>
        <w:top w:val="none" w:sz="0" w:space="0" w:color="auto"/>
        <w:left w:val="none" w:sz="0" w:space="0" w:color="auto"/>
        <w:bottom w:val="none" w:sz="0" w:space="0" w:color="auto"/>
        <w:right w:val="none" w:sz="0" w:space="0" w:color="auto"/>
      </w:divBdr>
    </w:div>
    <w:div w:id="2031100717">
      <w:bodyDiv w:val="1"/>
      <w:marLeft w:val="0"/>
      <w:marRight w:val="0"/>
      <w:marTop w:val="0"/>
      <w:marBottom w:val="0"/>
      <w:divBdr>
        <w:top w:val="none" w:sz="0" w:space="0" w:color="auto"/>
        <w:left w:val="none" w:sz="0" w:space="0" w:color="auto"/>
        <w:bottom w:val="none" w:sz="0" w:space="0" w:color="auto"/>
        <w:right w:val="none" w:sz="0" w:space="0" w:color="auto"/>
      </w:divBdr>
    </w:div>
    <w:div w:id="210842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3" Type="http://schemas.microsoft.com/office/2011/relationships/commentsExtended" Target="commentsExtended.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40615-6E33-461E-88AD-5BB28EFFE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2172</Words>
  <Characters>12385</Characters>
  <Application>Microsoft Office Word</Application>
  <DocSecurity>0</DocSecurity>
  <Lines>103</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alpbetgam</vt:lpstr>
      <vt:lpstr>alpbetgam</vt:lpstr>
      <vt:lpstr>alpbetgam</vt:lpstr>
    </vt:vector>
  </TitlesOfParts>
  <Company>ofce</Company>
  <LinksUpToDate>false</LinksUpToDate>
  <CharactersWithSpaces>14528</CharactersWithSpaces>
  <SharedDoc>false</SharedDoc>
  <HLinks>
    <vt:vector size="6" baseType="variant">
      <vt:variant>
        <vt:i4>4980778</vt:i4>
      </vt:variant>
      <vt:variant>
        <vt:i4>0</vt:i4>
      </vt:variant>
      <vt:variant>
        <vt:i4>0</vt:i4>
      </vt:variant>
      <vt:variant>
        <vt:i4>5</vt:i4>
      </vt:variant>
      <vt:variant>
        <vt:lpwstr>http://www.iso.org/iso/country_codes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alpbetgam</dc:title>
  <dc:creator>chauvel</dc:creator>
  <cp:lastModifiedBy>karl</cp:lastModifiedBy>
  <cp:revision>2</cp:revision>
  <cp:lastPrinted>2014-09-19T07:31:00Z</cp:lastPrinted>
  <dcterms:created xsi:type="dcterms:W3CDTF">2014-11-07T15:01:00Z</dcterms:created>
  <dcterms:modified xsi:type="dcterms:W3CDTF">2014-11-07T15:01:00Z</dcterms:modified>
</cp:coreProperties>
</file>