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35" w:rsidRPr="00F823CF" w:rsidRDefault="00C34B90" w:rsidP="006C48CA">
      <w:pPr>
        <w:pStyle w:val="Title"/>
        <w:jc w:val="left"/>
        <w:rPr>
          <w:lang w:val="en-US"/>
        </w:rPr>
      </w:pPr>
      <w:r>
        <w:rPr>
          <w:sz w:val="36"/>
          <w:lang w:val="en-US"/>
        </w:rPr>
        <w:t>The I</w:t>
      </w:r>
      <w:r w:rsidR="00004160" w:rsidRPr="004B21BD">
        <w:rPr>
          <w:sz w:val="36"/>
          <w:lang w:val="en-US"/>
        </w:rPr>
        <w:t xml:space="preserve">ntensity and </w:t>
      </w:r>
      <w:r>
        <w:rPr>
          <w:sz w:val="36"/>
          <w:lang w:val="en-US"/>
        </w:rPr>
        <w:t>S</w:t>
      </w:r>
      <w:r w:rsidR="00004160" w:rsidRPr="004B21BD">
        <w:rPr>
          <w:sz w:val="36"/>
          <w:lang w:val="en-US"/>
        </w:rPr>
        <w:t xml:space="preserve">hape of </w:t>
      </w:r>
      <w:r>
        <w:rPr>
          <w:sz w:val="36"/>
          <w:lang w:val="en-US"/>
        </w:rPr>
        <w:t>I</w:t>
      </w:r>
      <w:r w:rsidR="00004160" w:rsidRPr="004B21BD">
        <w:rPr>
          <w:sz w:val="36"/>
          <w:lang w:val="en-US"/>
        </w:rPr>
        <w:t>nequalit</w:t>
      </w:r>
      <w:r>
        <w:rPr>
          <w:sz w:val="36"/>
          <w:lang w:val="en-US"/>
        </w:rPr>
        <w:t>y</w:t>
      </w:r>
      <w:r w:rsidR="00C44570" w:rsidRPr="004B21BD">
        <w:rPr>
          <w:sz w:val="36"/>
          <w:lang w:val="en-US"/>
        </w:rPr>
        <w:t>:</w:t>
      </w:r>
      <w:r>
        <w:rPr>
          <w:sz w:val="36"/>
          <w:lang w:val="en-US"/>
        </w:rPr>
        <w:t xml:space="preserve"> </w:t>
      </w:r>
      <w:r w:rsidR="0056447A">
        <w:rPr>
          <w:sz w:val="36"/>
          <w:lang w:val="en-US"/>
        </w:rPr>
        <w:br/>
      </w:r>
      <w:r w:rsidR="0041631B">
        <w:rPr>
          <w:sz w:val="36"/>
          <w:lang w:val="en-US"/>
        </w:rPr>
        <w:t>T</w:t>
      </w:r>
      <w:r w:rsidR="0041631B" w:rsidRPr="0041631B">
        <w:rPr>
          <w:sz w:val="36"/>
          <w:lang w:val="en-US"/>
        </w:rPr>
        <w:t xml:space="preserve">he ABG Method </w:t>
      </w:r>
      <w:r w:rsidR="0041631B">
        <w:rPr>
          <w:sz w:val="36"/>
          <w:lang w:val="en-US"/>
        </w:rPr>
        <w:t xml:space="preserve">of </w:t>
      </w:r>
      <w:r>
        <w:rPr>
          <w:sz w:val="36"/>
          <w:lang w:val="en-US"/>
        </w:rPr>
        <w:t>D</w:t>
      </w:r>
      <w:r w:rsidRPr="00C34B90">
        <w:rPr>
          <w:sz w:val="36"/>
          <w:lang w:val="en-US"/>
        </w:rPr>
        <w:t>istribution</w:t>
      </w:r>
      <w:r w:rsidR="0041631B">
        <w:rPr>
          <w:sz w:val="36"/>
          <w:lang w:val="en-US"/>
        </w:rPr>
        <w:t xml:space="preserve">al </w:t>
      </w:r>
      <w:r w:rsidR="0041631B" w:rsidRPr="0041631B">
        <w:rPr>
          <w:sz w:val="36"/>
          <w:lang w:val="en-US"/>
        </w:rPr>
        <w:t>Analy</w:t>
      </w:r>
      <w:r w:rsidR="0041631B">
        <w:rPr>
          <w:sz w:val="36"/>
          <w:lang w:val="en-US"/>
        </w:rPr>
        <w:t>sis</w:t>
      </w:r>
      <w:r w:rsidR="00346CF8">
        <w:rPr>
          <w:rStyle w:val="FootnoteReference"/>
          <w:sz w:val="36"/>
          <w:lang w:val="en-US"/>
        </w:rPr>
        <w:footnoteReference w:id="1"/>
      </w:r>
    </w:p>
    <w:p w:rsidR="00472690" w:rsidRDefault="00472690" w:rsidP="00A97A06">
      <w:pPr>
        <w:spacing w:after="120" w:line="480" w:lineRule="auto"/>
        <w:rPr>
          <w:sz w:val="24"/>
          <w:szCs w:val="28"/>
          <w:lang w:val="en-US"/>
        </w:rPr>
      </w:pPr>
    </w:p>
    <w:p w:rsidR="000B2A48" w:rsidRDefault="006D1FE0" w:rsidP="00A97A06">
      <w:pPr>
        <w:spacing w:after="120" w:line="480" w:lineRule="auto"/>
        <w:rPr>
          <w:sz w:val="24"/>
          <w:szCs w:val="28"/>
          <w:lang w:val="en-US"/>
        </w:rPr>
      </w:pPr>
      <w:r>
        <w:rPr>
          <w:sz w:val="24"/>
          <w:szCs w:val="28"/>
          <w:lang w:val="en-US"/>
        </w:rPr>
        <w:t>Accepted in: Review of Income and Wealth (3/11/2014)</w:t>
      </w:r>
    </w:p>
    <w:p w:rsidR="00472690" w:rsidRDefault="00472690" w:rsidP="008C4574">
      <w:pPr>
        <w:spacing w:after="120" w:line="480" w:lineRule="auto"/>
        <w:rPr>
          <w:sz w:val="24"/>
          <w:szCs w:val="28"/>
          <w:lang w:val="en-US"/>
        </w:rPr>
      </w:pPr>
    </w:p>
    <w:p w:rsidR="00472690" w:rsidRDefault="00472690" w:rsidP="008C4574">
      <w:pPr>
        <w:spacing w:after="120" w:line="480" w:lineRule="auto"/>
        <w:rPr>
          <w:sz w:val="24"/>
          <w:szCs w:val="28"/>
          <w:lang w:val="en-US"/>
        </w:rPr>
      </w:pPr>
    </w:p>
    <w:p w:rsidR="00472690" w:rsidRDefault="00472690" w:rsidP="008C4574">
      <w:pPr>
        <w:spacing w:after="120" w:line="480" w:lineRule="auto"/>
        <w:rPr>
          <w:sz w:val="24"/>
          <w:szCs w:val="28"/>
          <w:lang w:val="en-US"/>
        </w:rPr>
      </w:pPr>
    </w:p>
    <w:p w:rsidR="00472690" w:rsidRDefault="00472690" w:rsidP="008C4574">
      <w:pPr>
        <w:spacing w:after="120" w:line="480" w:lineRule="auto"/>
        <w:rPr>
          <w:sz w:val="24"/>
          <w:szCs w:val="28"/>
          <w:lang w:val="en-US"/>
        </w:rPr>
      </w:pPr>
    </w:p>
    <w:p w:rsidR="008C4574" w:rsidRPr="008C4574" w:rsidRDefault="008C78BB" w:rsidP="008C4574">
      <w:pPr>
        <w:spacing w:after="120" w:line="480" w:lineRule="auto"/>
        <w:rPr>
          <w:sz w:val="24"/>
          <w:szCs w:val="28"/>
          <w:lang w:val="en-US"/>
        </w:rPr>
      </w:pPr>
      <w:r>
        <w:rPr>
          <w:sz w:val="24"/>
          <w:szCs w:val="28"/>
          <w:lang w:val="en-US"/>
        </w:rPr>
        <w:t xml:space="preserve">Louis Chauvel, </w:t>
      </w:r>
      <w:r w:rsidR="008F5B37">
        <w:rPr>
          <w:sz w:val="24"/>
          <w:szCs w:val="28"/>
          <w:lang w:val="en-US"/>
        </w:rPr>
        <w:t>University</w:t>
      </w:r>
      <w:r>
        <w:rPr>
          <w:sz w:val="24"/>
          <w:szCs w:val="28"/>
          <w:lang w:val="en-US"/>
        </w:rPr>
        <w:t xml:space="preserve"> of Luxembourg, Institute for research on socio-economic inequality IRSEI, INSIDE </w:t>
      </w:r>
      <w:r w:rsidR="008C4574">
        <w:rPr>
          <w:sz w:val="24"/>
          <w:szCs w:val="28"/>
          <w:lang w:val="en-US"/>
        </w:rPr>
        <w:t xml:space="preserve">/ </w:t>
      </w:r>
      <w:r w:rsidR="008C4574" w:rsidRPr="008C4574">
        <w:rPr>
          <w:sz w:val="23"/>
          <w:szCs w:val="23"/>
          <w:lang w:val="en-US"/>
        </w:rPr>
        <w:t xml:space="preserve">louis.chauvel@uni.lu </w:t>
      </w:r>
    </w:p>
    <w:p w:rsidR="00A97A06" w:rsidRPr="005165D0" w:rsidRDefault="00A97A06" w:rsidP="00A97A06">
      <w:pPr>
        <w:spacing w:after="120" w:line="480" w:lineRule="auto"/>
        <w:rPr>
          <w:b/>
          <w:bCs/>
          <w:sz w:val="24"/>
          <w:szCs w:val="28"/>
          <w:lang w:val="en-US"/>
        </w:rPr>
      </w:pPr>
      <w:r>
        <w:rPr>
          <w:b/>
          <w:bCs/>
          <w:sz w:val="24"/>
          <w:szCs w:val="28"/>
          <w:lang w:val="en-US"/>
        </w:rPr>
        <w:t xml:space="preserve">Abstract </w:t>
      </w:r>
    </w:p>
    <w:p w:rsidR="00375652" w:rsidRPr="00375652" w:rsidRDefault="00543C65" w:rsidP="007B0A67">
      <w:pPr>
        <w:spacing w:after="120"/>
        <w:rPr>
          <w:sz w:val="24"/>
          <w:szCs w:val="28"/>
          <w:lang w:val="en-US"/>
        </w:rPr>
      </w:pPr>
      <w:r>
        <w:rPr>
          <w:sz w:val="24"/>
          <w:szCs w:val="28"/>
          <w:lang w:val="en-US"/>
        </w:rPr>
        <w:t>I</w:t>
      </w:r>
      <w:r w:rsidR="00B33F73" w:rsidRPr="00B33F73">
        <w:rPr>
          <w:sz w:val="24"/>
          <w:szCs w:val="28"/>
          <w:lang w:val="en-US"/>
        </w:rPr>
        <w:t xml:space="preserve">nequality is </w:t>
      </w:r>
      <w:r w:rsidR="00E56427">
        <w:rPr>
          <w:sz w:val="24"/>
          <w:szCs w:val="28"/>
          <w:lang w:val="en-US"/>
        </w:rPr>
        <w:t xml:space="preserve">anisotropic: its </w:t>
      </w:r>
      <w:r w:rsidR="00776C5F">
        <w:rPr>
          <w:sz w:val="24"/>
          <w:szCs w:val="28"/>
          <w:lang w:val="en-US"/>
        </w:rPr>
        <w:t xml:space="preserve">intensity </w:t>
      </w:r>
      <w:r w:rsidR="00B33F73" w:rsidRPr="00B33F73">
        <w:rPr>
          <w:sz w:val="24"/>
          <w:szCs w:val="28"/>
          <w:lang w:val="en-US"/>
        </w:rPr>
        <w:t>vari</w:t>
      </w:r>
      <w:r w:rsidR="002114F0">
        <w:rPr>
          <w:sz w:val="24"/>
          <w:szCs w:val="28"/>
          <w:lang w:val="en-US"/>
        </w:rPr>
        <w:t xml:space="preserve">es </w:t>
      </w:r>
      <w:r w:rsidR="0015129D">
        <w:rPr>
          <w:sz w:val="24"/>
          <w:szCs w:val="28"/>
          <w:lang w:val="en-US"/>
        </w:rPr>
        <w:t xml:space="preserve">by </w:t>
      </w:r>
      <w:r w:rsidR="00B33F73" w:rsidRPr="00B33F73">
        <w:rPr>
          <w:sz w:val="24"/>
          <w:szCs w:val="28"/>
          <w:lang w:val="en-US"/>
        </w:rPr>
        <w:t>income</w:t>
      </w:r>
      <w:r w:rsidR="0015129D">
        <w:rPr>
          <w:sz w:val="24"/>
          <w:szCs w:val="28"/>
          <w:lang w:val="en-US"/>
        </w:rPr>
        <w:t xml:space="preserve"> level</w:t>
      </w:r>
      <w:r w:rsidR="005F1D7A">
        <w:rPr>
          <w:sz w:val="24"/>
          <w:szCs w:val="28"/>
          <w:lang w:val="en-US"/>
        </w:rPr>
        <w:t xml:space="preserve">. </w:t>
      </w:r>
      <w:r w:rsidR="002114F0">
        <w:rPr>
          <w:sz w:val="24"/>
          <w:szCs w:val="28"/>
          <w:lang w:val="en-US"/>
        </w:rPr>
        <w:t xml:space="preserve">We here develop </w:t>
      </w:r>
      <w:r w:rsidR="002114F0" w:rsidRPr="002114F0">
        <w:rPr>
          <w:sz w:val="24"/>
          <w:szCs w:val="28"/>
          <w:lang w:val="en-US"/>
        </w:rPr>
        <w:t xml:space="preserve">a new </w:t>
      </w:r>
      <w:r w:rsidR="0041631B">
        <w:rPr>
          <w:sz w:val="24"/>
          <w:szCs w:val="28"/>
          <w:lang w:val="en-US"/>
        </w:rPr>
        <w:t>tool</w:t>
      </w:r>
      <w:r w:rsidR="002114F0" w:rsidRPr="002114F0">
        <w:rPr>
          <w:sz w:val="24"/>
          <w:szCs w:val="28"/>
          <w:lang w:val="en-US"/>
        </w:rPr>
        <w:t>, the isograph</w:t>
      </w:r>
      <w:r w:rsidR="005F1D7A">
        <w:rPr>
          <w:sz w:val="24"/>
          <w:szCs w:val="28"/>
          <w:lang w:val="en-US"/>
        </w:rPr>
        <w:t>, to focus on local inequalit</w:t>
      </w:r>
      <w:r w:rsidR="002114F0">
        <w:rPr>
          <w:sz w:val="24"/>
          <w:szCs w:val="28"/>
          <w:lang w:val="en-US"/>
        </w:rPr>
        <w:t xml:space="preserve">y and </w:t>
      </w:r>
      <w:r w:rsidR="0041631B">
        <w:rPr>
          <w:sz w:val="24"/>
          <w:szCs w:val="28"/>
          <w:lang w:val="en-US"/>
        </w:rPr>
        <w:t xml:space="preserve">illustrate </w:t>
      </w:r>
      <w:r w:rsidR="005F1D7A">
        <w:rPr>
          <w:sz w:val="24"/>
          <w:szCs w:val="28"/>
          <w:lang w:val="en-US"/>
        </w:rPr>
        <w:t>the</w:t>
      </w:r>
      <w:r w:rsidR="002114F0">
        <w:rPr>
          <w:sz w:val="24"/>
          <w:szCs w:val="28"/>
          <w:lang w:val="en-US"/>
        </w:rPr>
        <w:t>se</w:t>
      </w:r>
      <w:r w:rsidR="005F1D7A">
        <w:rPr>
          <w:sz w:val="24"/>
          <w:szCs w:val="28"/>
          <w:lang w:val="en-US"/>
        </w:rPr>
        <w:t xml:space="preserve"> </w:t>
      </w:r>
      <w:r w:rsidR="00BE4F51">
        <w:rPr>
          <w:sz w:val="24"/>
          <w:szCs w:val="28"/>
          <w:lang w:val="en-US"/>
        </w:rPr>
        <w:t>variations</w:t>
      </w:r>
      <w:r w:rsidR="0022474E">
        <w:rPr>
          <w:sz w:val="24"/>
          <w:szCs w:val="28"/>
          <w:lang w:val="en-US"/>
        </w:rPr>
        <w:t xml:space="preserve">. This </w:t>
      </w:r>
      <w:r w:rsidR="002114F0">
        <w:rPr>
          <w:sz w:val="24"/>
          <w:szCs w:val="28"/>
          <w:lang w:val="en-US"/>
        </w:rPr>
        <w:t xml:space="preserve">method yields </w:t>
      </w:r>
      <w:r w:rsidR="0022474E">
        <w:rPr>
          <w:sz w:val="24"/>
          <w:szCs w:val="28"/>
          <w:lang w:val="en-US"/>
        </w:rPr>
        <w:t xml:space="preserve">three coefficients </w:t>
      </w:r>
      <w:r w:rsidR="002114F0">
        <w:rPr>
          <w:sz w:val="24"/>
          <w:szCs w:val="28"/>
          <w:lang w:val="en-US"/>
        </w:rPr>
        <w:t xml:space="preserve">which </w:t>
      </w:r>
      <w:r w:rsidR="0022474E">
        <w:rPr>
          <w:sz w:val="24"/>
          <w:szCs w:val="28"/>
          <w:lang w:val="en-US"/>
        </w:rPr>
        <w:t>summarize the shape of inequalit</w:t>
      </w:r>
      <w:r w:rsidR="002114F0">
        <w:rPr>
          <w:sz w:val="24"/>
          <w:szCs w:val="28"/>
          <w:lang w:val="en-US"/>
        </w:rPr>
        <w:t>y</w:t>
      </w:r>
      <w:r w:rsidR="0022474E">
        <w:rPr>
          <w:sz w:val="24"/>
          <w:szCs w:val="28"/>
          <w:lang w:val="en-US"/>
        </w:rPr>
        <w:t>:</w:t>
      </w:r>
      <w:r w:rsidR="002114F0">
        <w:rPr>
          <w:sz w:val="24"/>
          <w:szCs w:val="28"/>
          <w:lang w:val="en-US"/>
        </w:rPr>
        <w:t xml:space="preserve"> </w:t>
      </w:r>
      <w:r w:rsidR="00B33F73" w:rsidRPr="00B33F73">
        <w:rPr>
          <w:sz w:val="24"/>
          <w:szCs w:val="28"/>
          <w:lang w:val="en-US"/>
        </w:rPr>
        <w:t xml:space="preserve">a main </w:t>
      </w:r>
      <w:r w:rsidR="0022474E">
        <w:rPr>
          <w:sz w:val="24"/>
          <w:szCs w:val="28"/>
          <w:lang w:val="en-US"/>
        </w:rPr>
        <w:t xml:space="preserve">coefficient, </w:t>
      </w:r>
      <w:r w:rsidR="00472786" w:rsidRPr="00472786">
        <w:rPr>
          <w:rFonts w:ascii="Symbol" w:hAnsi="Symbol"/>
          <w:sz w:val="24"/>
          <w:szCs w:val="28"/>
          <w:lang w:val="en-US"/>
        </w:rPr>
        <w:t></w:t>
      </w:r>
      <w:r w:rsidR="0022474E">
        <w:rPr>
          <w:sz w:val="24"/>
          <w:szCs w:val="28"/>
          <w:lang w:val="en-US"/>
        </w:rPr>
        <w:t xml:space="preserve">, </w:t>
      </w:r>
      <w:r w:rsidR="002114F0">
        <w:rPr>
          <w:sz w:val="24"/>
          <w:szCs w:val="28"/>
          <w:lang w:val="en-US"/>
        </w:rPr>
        <w:t xml:space="preserve">which </w:t>
      </w:r>
      <w:r w:rsidR="0022474E">
        <w:rPr>
          <w:sz w:val="24"/>
          <w:szCs w:val="28"/>
          <w:lang w:val="en-US"/>
        </w:rPr>
        <w:t>measures inequality</w:t>
      </w:r>
      <w:r w:rsidR="00B33F73" w:rsidRPr="00B33F73">
        <w:rPr>
          <w:sz w:val="24"/>
          <w:szCs w:val="28"/>
          <w:lang w:val="en-US"/>
        </w:rPr>
        <w:t xml:space="preserve"> at the </w:t>
      </w:r>
      <w:r>
        <w:rPr>
          <w:sz w:val="24"/>
          <w:szCs w:val="28"/>
          <w:lang w:val="en-US"/>
        </w:rPr>
        <w:t>median</w:t>
      </w:r>
      <w:r w:rsidR="0022474E">
        <w:rPr>
          <w:sz w:val="24"/>
          <w:szCs w:val="28"/>
          <w:lang w:val="en-US"/>
        </w:rPr>
        <w:t>, and two correction coefficients</w:t>
      </w:r>
      <w:r w:rsidR="00F264B7">
        <w:rPr>
          <w:sz w:val="24"/>
          <w:szCs w:val="28"/>
          <w:lang w:val="en-US"/>
        </w:rPr>
        <w:t>,</w:t>
      </w:r>
      <w:r w:rsidR="00B33F73" w:rsidRPr="00B33F73">
        <w:rPr>
          <w:sz w:val="24"/>
          <w:szCs w:val="28"/>
          <w:lang w:val="en-US"/>
        </w:rPr>
        <w:t xml:space="preserve"> </w:t>
      </w:r>
      <w:r w:rsidR="00472786" w:rsidRPr="00472786">
        <w:rPr>
          <w:rFonts w:ascii="Symbol" w:hAnsi="Symbol"/>
          <w:sz w:val="24"/>
          <w:szCs w:val="28"/>
          <w:lang w:val="en-US"/>
        </w:rPr>
        <w:t></w:t>
      </w:r>
      <w:r w:rsidR="00B33F73" w:rsidRPr="00B33F73">
        <w:rPr>
          <w:sz w:val="24"/>
          <w:szCs w:val="28"/>
          <w:lang w:val="en-US"/>
        </w:rPr>
        <w:t xml:space="preserve"> and </w:t>
      </w:r>
      <w:r w:rsidR="00472786" w:rsidRPr="00472786">
        <w:rPr>
          <w:rFonts w:ascii="Symbol" w:hAnsi="Symbol"/>
          <w:sz w:val="24"/>
          <w:szCs w:val="28"/>
          <w:lang w:val="en-US"/>
        </w:rPr>
        <w:t></w:t>
      </w:r>
      <w:r w:rsidR="00F264B7">
        <w:rPr>
          <w:sz w:val="24"/>
          <w:szCs w:val="28"/>
          <w:lang w:val="en-US"/>
        </w:rPr>
        <w:t>,</w:t>
      </w:r>
      <w:r w:rsidR="00B33F73" w:rsidRPr="00B33F73">
        <w:rPr>
          <w:sz w:val="24"/>
          <w:szCs w:val="28"/>
          <w:lang w:val="en-US"/>
        </w:rPr>
        <w:t xml:space="preserve"> </w:t>
      </w:r>
      <w:r w:rsidR="00B1558A">
        <w:rPr>
          <w:sz w:val="24"/>
          <w:szCs w:val="28"/>
          <w:lang w:val="en-US"/>
        </w:rPr>
        <w:t xml:space="preserve">which </w:t>
      </w:r>
      <w:r w:rsidR="002114F0">
        <w:rPr>
          <w:sz w:val="24"/>
          <w:szCs w:val="28"/>
          <w:lang w:val="en-US"/>
        </w:rPr>
        <w:t>pick up any differential curvature</w:t>
      </w:r>
      <w:r w:rsidR="00B33F73" w:rsidRPr="00B33F73">
        <w:rPr>
          <w:sz w:val="24"/>
          <w:szCs w:val="28"/>
          <w:lang w:val="en-US"/>
        </w:rPr>
        <w:t xml:space="preserve"> at the top and bottom of the distribution. </w:t>
      </w:r>
      <w:r w:rsidR="002114F0">
        <w:rPr>
          <w:sz w:val="24"/>
          <w:szCs w:val="28"/>
          <w:lang w:val="en-US"/>
        </w:rPr>
        <w:t xml:space="preserve">The analysis of a </w:t>
      </w:r>
      <w:r w:rsidR="00D05C2B">
        <w:rPr>
          <w:sz w:val="24"/>
          <w:szCs w:val="28"/>
          <w:lang w:val="en-US"/>
        </w:rPr>
        <w:t>s</w:t>
      </w:r>
      <w:r w:rsidR="00D95C13">
        <w:rPr>
          <w:sz w:val="24"/>
          <w:szCs w:val="28"/>
          <w:lang w:val="en-US"/>
        </w:rPr>
        <w:t xml:space="preserve">et of </w:t>
      </w:r>
      <w:r w:rsidR="005423EC">
        <w:rPr>
          <w:sz w:val="24"/>
          <w:szCs w:val="28"/>
          <w:lang w:val="en-US"/>
        </w:rPr>
        <w:t>232</w:t>
      </w:r>
      <w:r w:rsidR="007B0A67">
        <w:rPr>
          <w:sz w:val="24"/>
          <w:szCs w:val="28"/>
          <w:lang w:val="en-US"/>
        </w:rPr>
        <w:t xml:space="preserve"> </w:t>
      </w:r>
      <w:r w:rsidR="002114F0" w:rsidRPr="002114F0">
        <w:rPr>
          <w:sz w:val="24"/>
          <w:szCs w:val="28"/>
          <w:lang w:val="en-US"/>
        </w:rPr>
        <w:t xml:space="preserve">microdata </w:t>
      </w:r>
      <w:r w:rsidR="007B0A67">
        <w:rPr>
          <w:sz w:val="24"/>
          <w:szCs w:val="28"/>
          <w:lang w:val="en-US"/>
        </w:rPr>
        <w:t xml:space="preserve">samples </w:t>
      </w:r>
      <w:r w:rsidR="0099176F">
        <w:rPr>
          <w:sz w:val="24"/>
          <w:szCs w:val="28"/>
          <w:lang w:val="en-US"/>
        </w:rPr>
        <w:t xml:space="preserve">from </w:t>
      </w:r>
      <w:r w:rsidR="006B1F12">
        <w:rPr>
          <w:sz w:val="24"/>
          <w:szCs w:val="28"/>
          <w:lang w:val="en-US"/>
        </w:rPr>
        <w:t>4</w:t>
      </w:r>
      <w:r w:rsidR="004B502D">
        <w:rPr>
          <w:sz w:val="24"/>
          <w:szCs w:val="28"/>
          <w:lang w:val="en-US"/>
        </w:rPr>
        <w:t>1</w:t>
      </w:r>
      <w:r w:rsidR="006B1F12">
        <w:rPr>
          <w:sz w:val="24"/>
          <w:szCs w:val="28"/>
          <w:lang w:val="en-US"/>
        </w:rPr>
        <w:t xml:space="preserve"> different countries </w:t>
      </w:r>
      <w:r w:rsidR="002114F0">
        <w:rPr>
          <w:sz w:val="24"/>
          <w:szCs w:val="28"/>
          <w:lang w:val="en-US"/>
        </w:rPr>
        <w:t xml:space="preserve">in </w:t>
      </w:r>
      <w:r w:rsidR="007B0A67">
        <w:rPr>
          <w:sz w:val="24"/>
          <w:szCs w:val="28"/>
          <w:lang w:val="en-US"/>
        </w:rPr>
        <w:t xml:space="preserve">the LIS datacenter archive </w:t>
      </w:r>
      <w:r w:rsidR="002114F0">
        <w:rPr>
          <w:sz w:val="24"/>
          <w:szCs w:val="28"/>
          <w:lang w:val="en-US"/>
        </w:rPr>
        <w:t xml:space="preserve">allows us to </w:t>
      </w:r>
      <w:r w:rsidR="0099176F">
        <w:rPr>
          <w:sz w:val="24"/>
          <w:szCs w:val="28"/>
          <w:lang w:val="en-US"/>
        </w:rPr>
        <w:t xml:space="preserve">provide </w:t>
      </w:r>
      <w:r w:rsidR="0022474E">
        <w:rPr>
          <w:sz w:val="24"/>
          <w:szCs w:val="28"/>
          <w:lang w:val="en-US"/>
        </w:rPr>
        <w:t xml:space="preserve">a systematic </w:t>
      </w:r>
      <w:r w:rsidR="002114F0">
        <w:rPr>
          <w:sz w:val="24"/>
          <w:szCs w:val="28"/>
          <w:lang w:val="en-US"/>
        </w:rPr>
        <w:t>over</w:t>
      </w:r>
      <w:r w:rsidR="0022474E">
        <w:rPr>
          <w:sz w:val="24"/>
          <w:szCs w:val="28"/>
          <w:lang w:val="en-US"/>
        </w:rPr>
        <w:t xml:space="preserve">view </w:t>
      </w:r>
      <w:r w:rsidR="00305FEC">
        <w:rPr>
          <w:sz w:val="24"/>
          <w:szCs w:val="28"/>
          <w:lang w:val="en-US"/>
        </w:rPr>
        <w:t xml:space="preserve">of </w:t>
      </w:r>
      <w:r w:rsidR="0022474E">
        <w:rPr>
          <w:sz w:val="24"/>
          <w:szCs w:val="28"/>
          <w:lang w:val="en-US"/>
        </w:rPr>
        <w:t>the properties of t</w:t>
      </w:r>
      <w:r w:rsidR="00776C5F">
        <w:rPr>
          <w:sz w:val="24"/>
          <w:szCs w:val="28"/>
          <w:lang w:val="en-US"/>
        </w:rPr>
        <w:t xml:space="preserve">he ABG </w:t>
      </w:r>
      <w:r w:rsidR="0099176F">
        <w:rPr>
          <w:sz w:val="24"/>
          <w:szCs w:val="28"/>
          <w:lang w:val="en-US"/>
        </w:rPr>
        <w:t>(</w:t>
      </w:r>
      <w:r w:rsidR="00472786" w:rsidRPr="00472786">
        <w:rPr>
          <w:rFonts w:ascii="Symbol" w:hAnsi="Symbol"/>
          <w:sz w:val="24"/>
          <w:szCs w:val="28"/>
          <w:lang w:val="en-US"/>
        </w:rPr>
        <w:t></w:t>
      </w:r>
      <w:r w:rsidR="0099176F">
        <w:rPr>
          <w:sz w:val="24"/>
          <w:szCs w:val="28"/>
          <w:lang w:val="en-US"/>
        </w:rPr>
        <w:t xml:space="preserve"> </w:t>
      </w:r>
      <w:r w:rsidR="00472786" w:rsidRPr="00472786">
        <w:rPr>
          <w:rFonts w:ascii="Symbol" w:hAnsi="Symbol"/>
          <w:sz w:val="24"/>
          <w:szCs w:val="28"/>
          <w:lang w:val="en-US"/>
        </w:rPr>
        <w:t></w:t>
      </w:r>
      <w:r w:rsidR="0099176F">
        <w:rPr>
          <w:sz w:val="24"/>
          <w:szCs w:val="28"/>
          <w:lang w:val="en-US"/>
        </w:rPr>
        <w:t xml:space="preserve"> </w:t>
      </w:r>
      <w:r w:rsidR="00472786" w:rsidRPr="00472786">
        <w:rPr>
          <w:rFonts w:ascii="Symbol" w:hAnsi="Symbol"/>
          <w:sz w:val="24"/>
          <w:szCs w:val="28"/>
          <w:lang w:val="en-US"/>
        </w:rPr>
        <w:t></w:t>
      </w:r>
      <w:r w:rsidR="0099176F">
        <w:rPr>
          <w:sz w:val="24"/>
          <w:szCs w:val="28"/>
          <w:lang w:val="en-US"/>
        </w:rPr>
        <w:t xml:space="preserve">) </w:t>
      </w:r>
      <w:r w:rsidR="00776C5F">
        <w:rPr>
          <w:sz w:val="24"/>
          <w:szCs w:val="28"/>
          <w:lang w:val="en-US"/>
        </w:rPr>
        <w:t>coefficients</w:t>
      </w:r>
      <w:r w:rsidR="002114F0">
        <w:rPr>
          <w:sz w:val="24"/>
          <w:szCs w:val="28"/>
          <w:lang w:val="en-US"/>
        </w:rPr>
        <w:t>,</w:t>
      </w:r>
      <w:r w:rsidR="00776C5F">
        <w:rPr>
          <w:sz w:val="24"/>
          <w:szCs w:val="28"/>
          <w:lang w:val="en-US"/>
        </w:rPr>
        <w:t xml:space="preserve"> </w:t>
      </w:r>
      <w:r w:rsidR="002114F0">
        <w:rPr>
          <w:sz w:val="24"/>
          <w:szCs w:val="28"/>
          <w:lang w:val="en-US"/>
        </w:rPr>
        <w:t xml:space="preserve">which </w:t>
      </w:r>
      <w:r w:rsidR="00776C5F">
        <w:rPr>
          <w:sz w:val="24"/>
          <w:szCs w:val="28"/>
          <w:lang w:val="en-US"/>
        </w:rPr>
        <w:t xml:space="preserve">are compared </w:t>
      </w:r>
      <w:r w:rsidR="0041631B">
        <w:rPr>
          <w:sz w:val="24"/>
          <w:szCs w:val="28"/>
          <w:lang w:val="en-US"/>
        </w:rPr>
        <w:t xml:space="preserve">both </w:t>
      </w:r>
      <w:r w:rsidR="006A06E7">
        <w:rPr>
          <w:sz w:val="24"/>
          <w:szCs w:val="28"/>
          <w:lang w:val="en-US"/>
        </w:rPr>
        <w:t xml:space="preserve">to </w:t>
      </w:r>
      <w:r w:rsidR="009A6B90">
        <w:rPr>
          <w:sz w:val="24"/>
          <w:szCs w:val="28"/>
          <w:lang w:val="en-US"/>
        </w:rPr>
        <w:t xml:space="preserve">a set of </w:t>
      </w:r>
      <w:r w:rsidR="0022474E">
        <w:rPr>
          <w:sz w:val="24"/>
          <w:szCs w:val="28"/>
          <w:lang w:val="en-US"/>
        </w:rPr>
        <w:t xml:space="preserve">standard indices </w:t>
      </w:r>
      <w:r w:rsidR="006A06E7">
        <w:rPr>
          <w:sz w:val="24"/>
          <w:szCs w:val="28"/>
          <w:lang w:val="en-US"/>
        </w:rPr>
        <w:t>(Atkinson ind</w:t>
      </w:r>
      <w:r w:rsidR="002114F0">
        <w:rPr>
          <w:sz w:val="24"/>
          <w:szCs w:val="28"/>
          <w:lang w:val="en-US"/>
        </w:rPr>
        <w:t>ic</w:t>
      </w:r>
      <w:r w:rsidR="006A06E7">
        <w:rPr>
          <w:sz w:val="24"/>
          <w:szCs w:val="28"/>
          <w:lang w:val="en-US"/>
        </w:rPr>
        <w:t xml:space="preserve">es, generalized entropy, </w:t>
      </w:r>
      <w:r w:rsidR="007B0A67">
        <w:rPr>
          <w:sz w:val="24"/>
          <w:szCs w:val="28"/>
          <w:lang w:val="en-US"/>
        </w:rPr>
        <w:t>Wolfson</w:t>
      </w:r>
      <w:r w:rsidR="009A6B90">
        <w:rPr>
          <w:sz w:val="24"/>
          <w:szCs w:val="28"/>
          <w:lang w:val="en-US"/>
        </w:rPr>
        <w:t xml:space="preserve"> polarization</w:t>
      </w:r>
      <w:r w:rsidR="007B0A67">
        <w:rPr>
          <w:sz w:val="24"/>
          <w:szCs w:val="28"/>
          <w:lang w:val="en-US"/>
        </w:rPr>
        <w:t>, etc.</w:t>
      </w:r>
      <w:r w:rsidR="006A06E7">
        <w:rPr>
          <w:sz w:val="24"/>
          <w:szCs w:val="28"/>
          <w:lang w:val="en-US"/>
        </w:rPr>
        <w:t>)</w:t>
      </w:r>
      <w:r w:rsidR="000F00A4">
        <w:rPr>
          <w:sz w:val="24"/>
          <w:szCs w:val="28"/>
          <w:lang w:val="en-US"/>
        </w:rPr>
        <w:t xml:space="preserve"> and the GB2 distribution</w:t>
      </w:r>
      <w:r w:rsidR="006A06E7">
        <w:rPr>
          <w:sz w:val="24"/>
          <w:szCs w:val="28"/>
          <w:lang w:val="en-US"/>
        </w:rPr>
        <w:t xml:space="preserve">. </w:t>
      </w:r>
      <w:r w:rsidR="007B0A67">
        <w:rPr>
          <w:sz w:val="24"/>
          <w:szCs w:val="28"/>
          <w:lang w:val="en-US"/>
        </w:rPr>
        <w:t>T</w:t>
      </w:r>
      <w:r w:rsidR="006A06E7">
        <w:rPr>
          <w:sz w:val="24"/>
          <w:szCs w:val="28"/>
          <w:lang w:val="en-US"/>
        </w:rPr>
        <w:t xml:space="preserve">his method </w:t>
      </w:r>
      <w:r w:rsidR="0099176F">
        <w:rPr>
          <w:sz w:val="24"/>
          <w:szCs w:val="28"/>
          <w:lang w:val="en-US"/>
        </w:rPr>
        <w:t xml:space="preserve">also </w:t>
      </w:r>
      <w:r w:rsidR="00B33F73">
        <w:rPr>
          <w:sz w:val="24"/>
          <w:szCs w:val="28"/>
          <w:lang w:val="en-US"/>
        </w:rPr>
        <w:t xml:space="preserve">provides a </w:t>
      </w:r>
      <w:r w:rsidR="007B0A67">
        <w:rPr>
          <w:sz w:val="24"/>
          <w:szCs w:val="28"/>
          <w:lang w:val="en-US"/>
        </w:rPr>
        <w:t xml:space="preserve">smoothing </w:t>
      </w:r>
      <w:r w:rsidR="00B33F73">
        <w:rPr>
          <w:sz w:val="24"/>
          <w:szCs w:val="28"/>
          <w:lang w:val="en-US"/>
        </w:rPr>
        <w:t xml:space="preserve">tool </w:t>
      </w:r>
      <w:r w:rsidR="0099176F">
        <w:rPr>
          <w:sz w:val="24"/>
          <w:szCs w:val="28"/>
          <w:lang w:val="en-US"/>
        </w:rPr>
        <w:t xml:space="preserve">that </w:t>
      </w:r>
      <w:r w:rsidR="002114F0">
        <w:rPr>
          <w:sz w:val="24"/>
          <w:szCs w:val="28"/>
          <w:lang w:val="en-US"/>
        </w:rPr>
        <w:t xml:space="preserve">reveals </w:t>
      </w:r>
      <w:r w:rsidR="007B0A67">
        <w:rPr>
          <w:sz w:val="24"/>
          <w:szCs w:val="28"/>
          <w:lang w:val="en-US"/>
        </w:rPr>
        <w:t xml:space="preserve">the </w:t>
      </w:r>
      <w:r w:rsidR="00A367A9">
        <w:rPr>
          <w:sz w:val="24"/>
          <w:szCs w:val="28"/>
          <w:lang w:val="en-US"/>
        </w:rPr>
        <w:t xml:space="preserve">differences in </w:t>
      </w:r>
      <w:r w:rsidR="002114F0">
        <w:rPr>
          <w:sz w:val="24"/>
          <w:szCs w:val="28"/>
          <w:lang w:val="en-US"/>
        </w:rPr>
        <w:t xml:space="preserve">the </w:t>
      </w:r>
      <w:r w:rsidR="00B33F73">
        <w:rPr>
          <w:sz w:val="24"/>
          <w:szCs w:val="28"/>
          <w:lang w:val="en-US"/>
        </w:rPr>
        <w:t xml:space="preserve">shape </w:t>
      </w:r>
      <w:r w:rsidR="009A6B90">
        <w:rPr>
          <w:sz w:val="24"/>
          <w:szCs w:val="28"/>
          <w:lang w:val="en-US"/>
        </w:rPr>
        <w:t xml:space="preserve">of </w:t>
      </w:r>
      <w:r w:rsidR="00A367A9">
        <w:rPr>
          <w:sz w:val="24"/>
          <w:szCs w:val="28"/>
          <w:lang w:val="en-US"/>
        </w:rPr>
        <w:t xml:space="preserve">distributions </w:t>
      </w:r>
      <w:r w:rsidR="009A6B90">
        <w:rPr>
          <w:sz w:val="24"/>
          <w:szCs w:val="28"/>
          <w:lang w:val="en-US"/>
        </w:rPr>
        <w:t>(</w:t>
      </w:r>
      <w:r w:rsidR="0041631B">
        <w:rPr>
          <w:sz w:val="24"/>
          <w:szCs w:val="28"/>
          <w:lang w:val="en-US"/>
        </w:rPr>
        <w:t xml:space="preserve">the </w:t>
      </w:r>
      <w:r w:rsidR="009A6B90">
        <w:rPr>
          <w:sz w:val="24"/>
          <w:szCs w:val="28"/>
          <w:lang w:val="en-US"/>
        </w:rPr>
        <w:t xml:space="preserve">strobiloid) </w:t>
      </w:r>
      <w:r w:rsidR="00B33F73">
        <w:rPr>
          <w:sz w:val="24"/>
          <w:szCs w:val="28"/>
          <w:lang w:val="en-US"/>
        </w:rPr>
        <w:t xml:space="preserve">and </w:t>
      </w:r>
      <w:r w:rsidR="002114F0">
        <w:rPr>
          <w:sz w:val="24"/>
          <w:szCs w:val="28"/>
          <w:lang w:val="en-US"/>
        </w:rPr>
        <w:t xml:space="preserve">how these </w:t>
      </w:r>
      <w:r w:rsidR="0041631B">
        <w:rPr>
          <w:sz w:val="24"/>
          <w:szCs w:val="28"/>
          <w:lang w:val="en-US"/>
        </w:rPr>
        <w:t xml:space="preserve">have </w:t>
      </w:r>
      <w:r w:rsidR="00A367A9">
        <w:rPr>
          <w:sz w:val="24"/>
          <w:szCs w:val="28"/>
          <w:lang w:val="en-US"/>
        </w:rPr>
        <w:t>change</w:t>
      </w:r>
      <w:r w:rsidR="0041631B">
        <w:rPr>
          <w:sz w:val="24"/>
          <w:szCs w:val="28"/>
          <w:lang w:val="en-US"/>
        </w:rPr>
        <w:t>d</w:t>
      </w:r>
      <w:r w:rsidR="00A367A9">
        <w:rPr>
          <w:sz w:val="24"/>
          <w:szCs w:val="28"/>
          <w:lang w:val="en-US"/>
        </w:rPr>
        <w:t xml:space="preserve"> over time</w:t>
      </w:r>
      <w:r w:rsidR="00AB4321">
        <w:rPr>
          <w:sz w:val="24"/>
          <w:szCs w:val="28"/>
          <w:lang w:val="en-US"/>
        </w:rPr>
        <w:t xml:space="preserve">. </w:t>
      </w:r>
    </w:p>
    <w:p w:rsidR="00647747" w:rsidRDefault="00647747" w:rsidP="00647747">
      <w:pPr>
        <w:spacing w:after="120" w:line="480" w:lineRule="auto"/>
        <w:rPr>
          <w:sz w:val="24"/>
          <w:szCs w:val="28"/>
          <w:lang w:val="en-US"/>
        </w:rPr>
      </w:pPr>
    </w:p>
    <w:p w:rsidR="00647747" w:rsidRPr="00742534" w:rsidRDefault="00647747" w:rsidP="00647747">
      <w:pPr>
        <w:spacing w:after="120" w:line="480" w:lineRule="auto"/>
        <w:rPr>
          <w:sz w:val="24"/>
          <w:szCs w:val="28"/>
          <w:lang w:val="en-US"/>
        </w:rPr>
      </w:pPr>
      <w:r w:rsidRPr="007A08A7">
        <w:rPr>
          <w:sz w:val="24"/>
          <w:szCs w:val="28"/>
        </w:rPr>
        <w:t xml:space="preserve">JEL </w:t>
      </w:r>
      <w:r w:rsidR="002114F0" w:rsidRPr="007A08A7">
        <w:rPr>
          <w:sz w:val="24"/>
          <w:szCs w:val="28"/>
        </w:rPr>
        <w:t xml:space="preserve">codes: </w:t>
      </w:r>
      <w:r w:rsidRPr="007A08A7">
        <w:rPr>
          <w:sz w:val="24"/>
          <w:szCs w:val="28"/>
        </w:rPr>
        <w:t>D31, C16, C46</w:t>
      </w:r>
      <w:r w:rsidR="002114F0" w:rsidRPr="007A08A7">
        <w:rPr>
          <w:sz w:val="24"/>
          <w:szCs w:val="28"/>
        </w:rPr>
        <w:t>.</w:t>
      </w:r>
      <w:r w:rsidRPr="007A08A7">
        <w:rPr>
          <w:sz w:val="24"/>
          <w:szCs w:val="28"/>
        </w:rPr>
        <w:t xml:space="preserve"> </w:t>
      </w:r>
      <w:r w:rsidRPr="007A08A7">
        <w:rPr>
          <w:sz w:val="24"/>
          <w:szCs w:val="28"/>
        </w:rPr>
        <w:br/>
      </w:r>
      <w:r w:rsidR="002114F0">
        <w:rPr>
          <w:sz w:val="24"/>
          <w:szCs w:val="28"/>
          <w:lang w:val="en-US"/>
        </w:rPr>
        <w:t>K</w:t>
      </w:r>
      <w:r>
        <w:rPr>
          <w:sz w:val="24"/>
          <w:szCs w:val="28"/>
          <w:lang w:val="en-US"/>
        </w:rPr>
        <w:t>eywords: inequality, distributions, comparisons, polarization, isograph, st</w:t>
      </w:r>
      <w:r w:rsidR="00126B88">
        <w:rPr>
          <w:sz w:val="24"/>
          <w:szCs w:val="28"/>
          <w:lang w:val="en-US"/>
        </w:rPr>
        <w:t>r</w:t>
      </w:r>
      <w:r>
        <w:rPr>
          <w:sz w:val="24"/>
          <w:szCs w:val="28"/>
          <w:lang w:val="en-US"/>
        </w:rPr>
        <w:t>obiloid</w:t>
      </w:r>
      <w:r w:rsidR="002114F0">
        <w:rPr>
          <w:sz w:val="24"/>
          <w:szCs w:val="28"/>
          <w:lang w:val="en-US"/>
        </w:rPr>
        <w:t>.</w:t>
      </w:r>
    </w:p>
    <w:p w:rsidR="00A630FB" w:rsidRDefault="00922C2B" w:rsidP="00A630FB">
      <w:pPr>
        <w:rPr>
          <w:lang w:val="en-US"/>
        </w:rPr>
      </w:pPr>
      <w:r>
        <w:rPr>
          <w:lang w:val="en-US"/>
        </w:rPr>
        <w:br w:type="column"/>
      </w:r>
    </w:p>
    <w:p w:rsidR="00647747" w:rsidRPr="003A54AD" w:rsidRDefault="00647747" w:rsidP="00647747">
      <w:pPr>
        <w:numPr>
          <w:ilvl w:val="0"/>
          <w:numId w:val="5"/>
        </w:numPr>
        <w:spacing w:after="120" w:line="480" w:lineRule="auto"/>
        <w:rPr>
          <w:b/>
          <w:sz w:val="24"/>
          <w:szCs w:val="24"/>
          <w:lang w:val="en-GB"/>
        </w:rPr>
      </w:pPr>
      <w:r>
        <w:rPr>
          <w:b/>
          <w:sz w:val="24"/>
          <w:szCs w:val="24"/>
          <w:lang w:val="en-US"/>
        </w:rPr>
        <w:t>Introduction</w:t>
      </w:r>
    </w:p>
    <w:p w:rsidR="000A0668" w:rsidRDefault="002114F0" w:rsidP="004549C3">
      <w:pPr>
        <w:spacing w:after="120" w:line="480" w:lineRule="auto"/>
        <w:rPr>
          <w:sz w:val="24"/>
          <w:szCs w:val="24"/>
          <w:lang w:val="en-US"/>
        </w:rPr>
      </w:pPr>
      <w:r>
        <w:rPr>
          <w:sz w:val="24"/>
          <w:szCs w:val="24"/>
          <w:lang w:val="en-GB"/>
        </w:rPr>
        <w:t xml:space="preserve">The </w:t>
      </w:r>
      <w:r w:rsidRPr="002114F0">
        <w:rPr>
          <w:sz w:val="24"/>
          <w:szCs w:val="24"/>
          <w:lang w:val="en-GB"/>
        </w:rPr>
        <w:t xml:space="preserve">analysis </w:t>
      </w:r>
      <w:r>
        <w:rPr>
          <w:sz w:val="24"/>
          <w:szCs w:val="24"/>
          <w:lang w:val="en-GB"/>
        </w:rPr>
        <w:t>of i</w:t>
      </w:r>
      <w:r w:rsidR="007C283F">
        <w:rPr>
          <w:sz w:val="24"/>
          <w:szCs w:val="24"/>
          <w:lang w:val="en-GB"/>
        </w:rPr>
        <w:t xml:space="preserve">ncome distribution is central </w:t>
      </w:r>
      <w:r>
        <w:rPr>
          <w:sz w:val="24"/>
          <w:szCs w:val="24"/>
          <w:lang w:val="en-GB"/>
        </w:rPr>
        <w:t xml:space="preserve">for our </w:t>
      </w:r>
      <w:r w:rsidR="007C283F">
        <w:rPr>
          <w:sz w:val="24"/>
          <w:szCs w:val="24"/>
          <w:lang w:val="en-GB"/>
        </w:rPr>
        <w:t xml:space="preserve">understanding of </w:t>
      </w:r>
      <w:r>
        <w:rPr>
          <w:sz w:val="24"/>
          <w:szCs w:val="24"/>
          <w:lang w:val="en-GB"/>
        </w:rPr>
        <w:t xml:space="preserve">the structure of </w:t>
      </w:r>
      <w:r w:rsidR="007C283F">
        <w:rPr>
          <w:sz w:val="24"/>
          <w:szCs w:val="24"/>
          <w:lang w:val="en-GB"/>
        </w:rPr>
        <w:t xml:space="preserve">inequality and social transformations. </w:t>
      </w:r>
      <w:r>
        <w:rPr>
          <w:sz w:val="24"/>
          <w:szCs w:val="24"/>
          <w:lang w:val="en-GB"/>
        </w:rPr>
        <w:t>In his seminal work</w:t>
      </w:r>
      <w:r w:rsidR="007F737B">
        <w:rPr>
          <w:sz w:val="24"/>
          <w:szCs w:val="24"/>
          <w:lang w:val="en-GB"/>
        </w:rPr>
        <w:t xml:space="preserve"> on distribution</w:t>
      </w:r>
      <w:r w:rsidR="007C283F">
        <w:rPr>
          <w:sz w:val="24"/>
          <w:szCs w:val="24"/>
          <w:lang w:val="en-GB"/>
        </w:rPr>
        <w:t>s</w:t>
      </w:r>
      <w:r w:rsidR="007F737B">
        <w:rPr>
          <w:sz w:val="24"/>
          <w:szCs w:val="24"/>
          <w:lang w:val="en-GB"/>
        </w:rPr>
        <w:t>, Pareto (</w:t>
      </w:r>
      <w:r w:rsidR="00BE4F51">
        <w:rPr>
          <w:sz w:val="24"/>
          <w:szCs w:val="24"/>
          <w:lang w:val="en-GB"/>
        </w:rPr>
        <w:t xml:space="preserve">1896:99, </w:t>
      </w:r>
      <w:r w:rsidR="004D78DF">
        <w:rPr>
          <w:sz w:val="24"/>
          <w:szCs w:val="24"/>
          <w:lang w:val="en-GB"/>
        </w:rPr>
        <w:t>1897</w:t>
      </w:r>
      <w:r w:rsidR="007F737B">
        <w:rPr>
          <w:sz w:val="24"/>
          <w:szCs w:val="24"/>
          <w:lang w:val="en-GB"/>
        </w:rPr>
        <w:t>:</w:t>
      </w:r>
      <w:r w:rsidR="004D78DF">
        <w:rPr>
          <w:sz w:val="24"/>
          <w:szCs w:val="24"/>
          <w:lang w:val="en-GB"/>
        </w:rPr>
        <w:t xml:space="preserve"> v2.</w:t>
      </w:r>
      <w:r w:rsidR="007F737B">
        <w:rPr>
          <w:sz w:val="24"/>
          <w:szCs w:val="24"/>
          <w:lang w:val="en-GB"/>
        </w:rPr>
        <w:t>305-24) propose</w:t>
      </w:r>
      <w:r w:rsidR="00BE4F51">
        <w:rPr>
          <w:sz w:val="24"/>
          <w:szCs w:val="24"/>
          <w:lang w:val="en-GB"/>
        </w:rPr>
        <w:t>d</w:t>
      </w:r>
      <w:r w:rsidR="007F737B">
        <w:rPr>
          <w:sz w:val="24"/>
          <w:szCs w:val="24"/>
          <w:lang w:val="en-GB"/>
        </w:rPr>
        <w:t xml:space="preserve"> a leptokurtic distribution</w:t>
      </w:r>
      <w:r>
        <w:rPr>
          <w:sz w:val="24"/>
          <w:szCs w:val="24"/>
          <w:lang w:val="en-GB"/>
        </w:rPr>
        <w:t>,</w:t>
      </w:r>
      <w:r w:rsidR="007F737B">
        <w:rPr>
          <w:sz w:val="24"/>
          <w:szCs w:val="24"/>
          <w:lang w:val="en-GB"/>
        </w:rPr>
        <w:t xml:space="preserve"> which </w:t>
      </w:r>
      <w:r>
        <w:rPr>
          <w:sz w:val="24"/>
          <w:szCs w:val="24"/>
          <w:lang w:val="en-GB"/>
        </w:rPr>
        <w:t xml:space="preserve">provides a good </w:t>
      </w:r>
      <w:r w:rsidR="007F737B">
        <w:rPr>
          <w:sz w:val="24"/>
          <w:szCs w:val="24"/>
          <w:lang w:val="en-GB"/>
        </w:rPr>
        <w:t>approximat</w:t>
      </w:r>
      <w:r>
        <w:rPr>
          <w:sz w:val="24"/>
          <w:szCs w:val="24"/>
          <w:lang w:val="en-GB"/>
        </w:rPr>
        <w:t>ion to</w:t>
      </w:r>
      <w:r w:rsidR="007F737B">
        <w:rPr>
          <w:sz w:val="24"/>
          <w:szCs w:val="24"/>
          <w:lang w:val="en-GB"/>
        </w:rPr>
        <w:t xml:space="preserve"> the </w:t>
      </w:r>
      <w:r w:rsidR="00A367A9">
        <w:rPr>
          <w:sz w:val="24"/>
          <w:szCs w:val="24"/>
          <w:lang w:val="en-GB"/>
        </w:rPr>
        <w:t xml:space="preserve">top </w:t>
      </w:r>
      <w:r w:rsidR="00AC5D69">
        <w:rPr>
          <w:sz w:val="24"/>
          <w:szCs w:val="24"/>
          <w:lang w:val="en-GB"/>
        </w:rPr>
        <w:t xml:space="preserve">of the </w:t>
      </w:r>
      <w:r w:rsidR="007F737B">
        <w:rPr>
          <w:sz w:val="24"/>
          <w:szCs w:val="24"/>
          <w:lang w:val="en-GB"/>
        </w:rPr>
        <w:t>income hierarchy</w:t>
      </w:r>
      <w:r w:rsidR="00AC5D69">
        <w:rPr>
          <w:sz w:val="24"/>
          <w:szCs w:val="24"/>
          <w:lang w:val="en-GB"/>
        </w:rPr>
        <w:t>,</w:t>
      </w:r>
      <w:r w:rsidR="007F737B">
        <w:rPr>
          <w:sz w:val="24"/>
          <w:szCs w:val="24"/>
          <w:lang w:val="en-GB"/>
        </w:rPr>
        <w:t xml:space="preserve"> and</w:t>
      </w:r>
      <w:r w:rsidR="00126B88">
        <w:rPr>
          <w:sz w:val="24"/>
          <w:szCs w:val="24"/>
          <w:lang w:val="en-GB"/>
        </w:rPr>
        <w:t xml:space="preserve"> </w:t>
      </w:r>
      <w:r w:rsidR="0041631B">
        <w:rPr>
          <w:sz w:val="24"/>
          <w:szCs w:val="24"/>
          <w:lang w:val="en-GB"/>
        </w:rPr>
        <w:t>provid</w:t>
      </w:r>
      <w:r w:rsidR="00AC5D69">
        <w:rPr>
          <w:sz w:val="24"/>
          <w:szCs w:val="24"/>
          <w:lang w:val="en-GB"/>
        </w:rPr>
        <w:t xml:space="preserve">ed </w:t>
      </w:r>
      <w:r w:rsidR="00605294">
        <w:rPr>
          <w:sz w:val="24"/>
          <w:szCs w:val="24"/>
          <w:lang w:val="en-GB"/>
        </w:rPr>
        <w:t>graphic</w:t>
      </w:r>
      <w:r w:rsidR="0041631B">
        <w:rPr>
          <w:sz w:val="24"/>
          <w:szCs w:val="24"/>
          <w:lang w:val="en-GB"/>
        </w:rPr>
        <w:t>al</w:t>
      </w:r>
      <w:r w:rsidR="00605294">
        <w:rPr>
          <w:sz w:val="24"/>
          <w:szCs w:val="24"/>
          <w:lang w:val="en-GB"/>
        </w:rPr>
        <w:t xml:space="preserve"> </w:t>
      </w:r>
      <w:r w:rsidR="007F737B">
        <w:rPr>
          <w:sz w:val="24"/>
          <w:szCs w:val="24"/>
          <w:lang w:val="en-GB"/>
        </w:rPr>
        <w:t>representations based on incomes</w:t>
      </w:r>
      <w:r w:rsidR="00BE4F51">
        <w:rPr>
          <w:sz w:val="24"/>
          <w:szCs w:val="24"/>
          <w:lang w:val="en-GB"/>
        </w:rPr>
        <w:t xml:space="preserve"> (Pareto, 1909:</w:t>
      </w:r>
      <w:r w:rsidR="00AC5D69">
        <w:rPr>
          <w:sz w:val="24"/>
          <w:szCs w:val="24"/>
          <w:lang w:val="en-GB"/>
        </w:rPr>
        <w:t xml:space="preserve"> </w:t>
      </w:r>
      <w:r w:rsidR="00BE4F51">
        <w:rPr>
          <w:sz w:val="24"/>
          <w:szCs w:val="24"/>
          <w:lang w:val="en-GB"/>
        </w:rPr>
        <w:t>380-8)</w:t>
      </w:r>
      <w:r w:rsidR="007F737B">
        <w:rPr>
          <w:sz w:val="24"/>
          <w:szCs w:val="24"/>
          <w:lang w:val="en-GB"/>
        </w:rPr>
        <w:t xml:space="preserve">. </w:t>
      </w:r>
      <w:r w:rsidR="00BF62E1">
        <w:rPr>
          <w:sz w:val="24"/>
          <w:szCs w:val="24"/>
          <w:lang w:val="en-GB"/>
        </w:rPr>
        <w:t>I</w:t>
      </w:r>
      <w:r w:rsidR="000D27B2">
        <w:rPr>
          <w:sz w:val="24"/>
          <w:szCs w:val="24"/>
          <w:lang w:val="en-GB"/>
        </w:rPr>
        <w:t xml:space="preserve">mprovements </w:t>
      </w:r>
      <w:r w:rsidR="00AC5D69">
        <w:rPr>
          <w:sz w:val="24"/>
          <w:szCs w:val="24"/>
          <w:lang w:val="en-GB"/>
        </w:rPr>
        <w:t xml:space="preserve">have been made </w:t>
      </w:r>
      <w:r w:rsidR="00906BD4">
        <w:rPr>
          <w:sz w:val="24"/>
          <w:szCs w:val="24"/>
          <w:lang w:val="en-GB"/>
        </w:rPr>
        <w:t>since the i</w:t>
      </w:r>
      <w:r w:rsidR="00AC5D69">
        <w:rPr>
          <w:sz w:val="24"/>
          <w:szCs w:val="24"/>
          <w:lang w:val="en-GB"/>
        </w:rPr>
        <w:t>ntroduc</w:t>
      </w:r>
      <w:r w:rsidR="00906BD4">
        <w:rPr>
          <w:sz w:val="24"/>
          <w:szCs w:val="24"/>
          <w:lang w:val="en-GB"/>
        </w:rPr>
        <w:t>tion of</w:t>
      </w:r>
      <w:r w:rsidR="000D27B2">
        <w:rPr>
          <w:sz w:val="24"/>
          <w:szCs w:val="24"/>
          <w:lang w:val="en-GB"/>
        </w:rPr>
        <w:t xml:space="preserve"> </w:t>
      </w:r>
      <w:r w:rsidR="001D0900">
        <w:rPr>
          <w:sz w:val="24"/>
          <w:szCs w:val="24"/>
          <w:lang w:val="en-GB"/>
        </w:rPr>
        <w:t xml:space="preserve">the </w:t>
      </w:r>
      <w:r w:rsidR="00A70B2E">
        <w:rPr>
          <w:sz w:val="24"/>
          <w:szCs w:val="24"/>
          <w:lang w:val="en-GB"/>
        </w:rPr>
        <w:t>Gini index</w:t>
      </w:r>
      <w:r w:rsidR="00AC5D69">
        <w:rPr>
          <w:sz w:val="24"/>
          <w:szCs w:val="24"/>
          <w:lang w:val="en-GB"/>
        </w:rPr>
        <w:t xml:space="preserve"> </w:t>
      </w:r>
      <w:r w:rsidR="001D0900">
        <w:rPr>
          <w:sz w:val="24"/>
          <w:szCs w:val="24"/>
          <w:lang w:val="en-US"/>
        </w:rPr>
        <w:t>(</w:t>
      </w:r>
      <w:r w:rsidR="00A70B2E">
        <w:rPr>
          <w:sz w:val="24"/>
          <w:szCs w:val="24"/>
          <w:lang w:val="en-US"/>
        </w:rPr>
        <w:t>Gini</w:t>
      </w:r>
      <w:r w:rsidR="001D0900">
        <w:rPr>
          <w:sz w:val="24"/>
          <w:szCs w:val="24"/>
          <w:lang w:val="en-US"/>
        </w:rPr>
        <w:t>, 1914)</w:t>
      </w:r>
      <w:r w:rsidR="00ED6177">
        <w:rPr>
          <w:sz w:val="24"/>
          <w:szCs w:val="24"/>
          <w:lang w:val="en-US"/>
        </w:rPr>
        <w:t>,</w:t>
      </w:r>
      <w:r w:rsidR="00BF62E1">
        <w:rPr>
          <w:sz w:val="24"/>
          <w:szCs w:val="24"/>
          <w:lang w:val="en-US"/>
        </w:rPr>
        <w:t xml:space="preserve"> but the </w:t>
      </w:r>
      <w:r w:rsidR="00906BD4">
        <w:rPr>
          <w:sz w:val="24"/>
          <w:szCs w:val="24"/>
          <w:lang w:val="en-US"/>
        </w:rPr>
        <w:t xml:space="preserve">outdated tools </w:t>
      </w:r>
      <w:r w:rsidR="000D27B2">
        <w:rPr>
          <w:sz w:val="24"/>
          <w:szCs w:val="24"/>
          <w:lang w:val="en-US"/>
        </w:rPr>
        <w:t xml:space="preserve">still in use </w:t>
      </w:r>
      <w:r w:rsidR="00BE4F51">
        <w:rPr>
          <w:sz w:val="24"/>
          <w:szCs w:val="24"/>
          <w:lang w:val="en-US"/>
        </w:rPr>
        <w:t xml:space="preserve">have </w:t>
      </w:r>
      <w:r w:rsidR="00462FAF">
        <w:rPr>
          <w:sz w:val="24"/>
          <w:szCs w:val="24"/>
          <w:lang w:val="en-US"/>
        </w:rPr>
        <w:t>pro</w:t>
      </w:r>
      <w:r w:rsidR="00AC5D69">
        <w:rPr>
          <w:sz w:val="24"/>
          <w:szCs w:val="24"/>
          <w:lang w:val="en-US"/>
        </w:rPr>
        <w:t>duc</w:t>
      </w:r>
      <w:r w:rsidR="00462FAF">
        <w:rPr>
          <w:sz w:val="24"/>
          <w:szCs w:val="24"/>
          <w:lang w:val="en-US"/>
        </w:rPr>
        <w:t xml:space="preserve">ed </w:t>
      </w:r>
      <w:r w:rsidR="00ED6177">
        <w:rPr>
          <w:sz w:val="24"/>
          <w:szCs w:val="24"/>
          <w:lang w:val="en-US"/>
        </w:rPr>
        <w:t xml:space="preserve">the </w:t>
      </w:r>
      <w:r w:rsidR="00462FAF">
        <w:rPr>
          <w:sz w:val="24"/>
          <w:szCs w:val="24"/>
          <w:lang w:val="en-US"/>
        </w:rPr>
        <w:t xml:space="preserve">general conception </w:t>
      </w:r>
      <w:r w:rsidR="00ED6177">
        <w:rPr>
          <w:sz w:val="24"/>
          <w:szCs w:val="24"/>
          <w:lang w:val="en-US"/>
        </w:rPr>
        <w:t xml:space="preserve">that </w:t>
      </w:r>
      <w:r w:rsidR="00462FAF">
        <w:rPr>
          <w:sz w:val="24"/>
          <w:szCs w:val="24"/>
          <w:lang w:val="en-US"/>
        </w:rPr>
        <w:t xml:space="preserve">inequality is </w:t>
      </w:r>
      <w:r w:rsidR="00C05276">
        <w:rPr>
          <w:sz w:val="24"/>
          <w:szCs w:val="24"/>
          <w:lang w:val="en-US"/>
        </w:rPr>
        <w:t xml:space="preserve">a </w:t>
      </w:r>
      <w:r w:rsidR="00AC5D69">
        <w:rPr>
          <w:sz w:val="24"/>
          <w:szCs w:val="24"/>
          <w:lang w:val="en-US"/>
        </w:rPr>
        <w:t>single</w:t>
      </w:r>
      <w:r w:rsidR="00C05276">
        <w:rPr>
          <w:sz w:val="24"/>
          <w:szCs w:val="24"/>
          <w:lang w:val="en-US"/>
        </w:rPr>
        <w:t>-dimensioned concept</w:t>
      </w:r>
      <w:r w:rsidR="0041631B">
        <w:rPr>
          <w:sz w:val="24"/>
          <w:szCs w:val="24"/>
          <w:lang w:val="en-US"/>
        </w:rPr>
        <w:t>,</w:t>
      </w:r>
      <w:r w:rsidR="00C05276">
        <w:rPr>
          <w:sz w:val="24"/>
          <w:szCs w:val="24"/>
          <w:lang w:val="en-US"/>
        </w:rPr>
        <w:t xml:space="preserve"> </w:t>
      </w:r>
      <w:r w:rsidR="00462FAF">
        <w:rPr>
          <w:sz w:val="24"/>
          <w:szCs w:val="24"/>
          <w:lang w:val="en-US"/>
        </w:rPr>
        <w:t>even though the</w:t>
      </w:r>
      <w:r w:rsidR="00AC5D69">
        <w:rPr>
          <w:sz w:val="24"/>
          <w:szCs w:val="24"/>
          <w:lang w:val="en-US"/>
        </w:rPr>
        <w:t>se</w:t>
      </w:r>
      <w:r w:rsidR="00462FAF">
        <w:rPr>
          <w:sz w:val="24"/>
          <w:szCs w:val="24"/>
          <w:lang w:val="en-US"/>
        </w:rPr>
        <w:t xml:space="preserve"> </w:t>
      </w:r>
      <w:r w:rsidR="000D27B2">
        <w:rPr>
          <w:sz w:val="24"/>
          <w:szCs w:val="24"/>
          <w:lang w:val="en-US"/>
        </w:rPr>
        <w:t xml:space="preserve">tools can </w:t>
      </w:r>
      <w:r w:rsidR="00ED6177">
        <w:rPr>
          <w:sz w:val="24"/>
          <w:szCs w:val="24"/>
          <w:lang w:val="en-US"/>
        </w:rPr>
        <w:t xml:space="preserve">provide </w:t>
      </w:r>
      <w:r w:rsidR="00AC5D69">
        <w:rPr>
          <w:sz w:val="24"/>
          <w:szCs w:val="24"/>
          <w:lang w:val="en-US"/>
        </w:rPr>
        <w:t xml:space="preserve">a variety of </w:t>
      </w:r>
      <w:r w:rsidR="00605294">
        <w:rPr>
          <w:sz w:val="24"/>
          <w:szCs w:val="24"/>
          <w:lang w:val="en-US"/>
        </w:rPr>
        <w:t>results</w:t>
      </w:r>
      <w:r w:rsidR="00462FAF">
        <w:rPr>
          <w:sz w:val="24"/>
          <w:szCs w:val="24"/>
          <w:lang w:val="en-US"/>
        </w:rPr>
        <w:t>.</w:t>
      </w:r>
      <w:r w:rsidR="00BF62E1">
        <w:rPr>
          <w:rStyle w:val="FootnoteReference"/>
          <w:sz w:val="24"/>
          <w:szCs w:val="24"/>
          <w:lang w:val="en-GB"/>
        </w:rPr>
        <w:footnoteReference w:id="2"/>
      </w:r>
      <w:r w:rsidR="00462FAF">
        <w:rPr>
          <w:sz w:val="24"/>
          <w:szCs w:val="24"/>
          <w:lang w:val="en-US"/>
        </w:rPr>
        <w:t xml:space="preserve"> </w:t>
      </w:r>
      <w:r w:rsidR="00605294">
        <w:rPr>
          <w:sz w:val="24"/>
          <w:szCs w:val="24"/>
          <w:lang w:val="en-US"/>
        </w:rPr>
        <w:t>T</w:t>
      </w:r>
      <w:r w:rsidR="000D27B2">
        <w:rPr>
          <w:sz w:val="24"/>
          <w:szCs w:val="24"/>
          <w:lang w:val="en-US"/>
        </w:rPr>
        <w:t>h</w:t>
      </w:r>
      <w:r w:rsidR="00AC5D69">
        <w:rPr>
          <w:sz w:val="24"/>
          <w:szCs w:val="24"/>
          <w:lang w:val="en-US"/>
        </w:rPr>
        <w:t>e current</w:t>
      </w:r>
      <w:r w:rsidR="000D27B2">
        <w:rPr>
          <w:sz w:val="24"/>
          <w:szCs w:val="24"/>
          <w:lang w:val="en-US"/>
        </w:rPr>
        <w:t xml:space="preserve"> contribution intends to show how </w:t>
      </w:r>
      <w:r w:rsidR="00BF62E1">
        <w:rPr>
          <w:sz w:val="24"/>
          <w:szCs w:val="24"/>
          <w:lang w:val="en-US"/>
        </w:rPr>
        <w:t xml:space="preserve">local inequality can </w:t>
      </w:r>
      <w:r w:rsidR="00605294">
        <w:rPr>
          <w:sz w:val="24"/>
          <w:szCs w:val="24"/>
          <w:lang w:val="en-US"/>
        </w:rPr>
        <w:t>vary</w:t>
      </w:r>
      <w:r w:rsidR="00BF62E1">
        <w:rPr>
          <w:sz w:val="24"/>
          <w:szCs w:val="24"/>
          <w:lang w:val="en-US"/>
        </w:rPr>
        <w:t xml:space="preserve"> along</w:t>
      </w:r>
      <w:r w:rsidR="000D27B2">
        <w:rPr>
          <w:sz w:val="24"/>
          <w:szCs w:val="24"/>
          <w:lang w:val="en-US"/>
        </w:rPr>
        <w:t xml:space="preserve"> the income scale</w:t>
      </w:r>
      <w:r w:rsidR="00605294">
        <w:rPr>
          <w:sz w:val="24"/>
          <w:szCs w:val="24"/>
          <w:lang w:val="en-US"/>
        </w:rPr>
        <w:t xml:space="preserve">. This idea </w:t>
      </w:r>
      <w:r w:rsidR="00AC5D69">
        <w:rPr>
          <w:sz w:val="24"/>
          <w:szCs w:val="24"/>
          <w:lang w:val="en-US"/>
        </w:rPr>
        <w:t xml:space="preserve">is </w:t>
      </w:r>
      <w:r w:rsidR="002A2B95">
        <w:rPr>
          <w:sz w:val="24"/>
          <w:szCs w:val="24"/>
          <w:lang w:val="en-US"/>
        </w:rPr>
        <w:t>root</w:t>
      </w:r>
      <w:r w:rsidR="00AC5D69">
        <w:rPr>
          <w:sz w:val="24"/>
          <w:szCs w:val="24"/>
          <w:lang w:val="en-US"/>
        </w:rPr>
        <w:t>ed</w:t>
      </w:r>
      <w:r w:rsidR="002A2B95">
        <w:rPr>
          <w:sz w:val="24"/>
          <w:szCs w:val="24"/>
          <w:lang w:val="en-US"/>
        </w:rPr>
        <w:t xml:space="preserve"> in </w:t>
      </w:r>
      <w:r w:rsidR="00ED6177">
        <w:rPr>
          <w:sz w:val="24"/>
          <w:szCs w:val="24"/>
          <w:lang w:val="en-US"/>
        </w:rPr>
        <w:t xml:space="preserve">the </w:t>
      </w:r>
      <w:r w:rsidR="002A2B95">
        <w:rPr>
          <w:sz w:val="24"/>
          <w:szCs w:val="24"/>
          <w:lang w:val="en-US"/>
        </w:rPr>
        <w:t xml:space="preserve">traditional literature </w:t>
      </w:r>
      <w:r w:rsidR="0041631B">
        <w:rPr>
          <w:sz w:val="24"/>
          <w:szCs w:val="24"/>
          <w:lang w:val="en-US"/>
        </w:rPr>
        <w:t xml:space="preserve">on </w:t>
      </w:r>
      <w:r w:rsidR="00AC5D69">
        <w:rPr>
          <w:sz w:val="24"/>
          <w:szCs w:val="24"/>
          <w:lang w:val="en-US"/>
        </w:rPr>
        <w:t>the problem of ranking income distribution</w:t>
      </w:r>
      <w:r w:rsidR="002A2B95">
        <w:rPr>
          <w:sz w:val="24"/>
          <w:szCs w:val="24"/>
          <w:lang w:val="en-US"/>
        </w:rPr>
        <w:t xml:space="preserve">s </w:t>
      </w:r>
      <w:r w:rsidR="00DB1120">
        <w:rPr>
          <w:sz w:val="24"/>
          <w:szCs w:val="24"/>
          <w:lang w:val="en-US"/>
        </w:rPr>
        <w:t>(</w:t>
      </w:r>
      <w:r w:rsidR="00DB1120" w:rsidRPr="00DF0D2F">
        <w:rPr>
          <w:sz w:val="24"/>
          <w:szCs w:val="24"/>
          <w:lang w:val="en-US"/>
        </w:rPr>
        <w:t>Atkinson</w:t>
      </w:r>
      <w:r w:rsidR="00DB1120">
        <w:rPr>
          <w:sz w:val="24"/>
          <w:szCs w:val="24"/>
          <w:lang w:val="en-US"/>
        </w:rPr>
        <w:t xml:space="preserve"> and Bourguignon</w:t>
      </w:r>
      <w:r w:rsidR="00906BD4">
        <w:rPr>
          <w:sz w:val="24"/>
          <w:szCs w:val="24"/>
          <w:lang w:val="en-US"/>
        </w:rPr>
        <w:t xml:space="preserve">, </w:t>
      </w:r>
      <w:r w:rsidR="00DB1120">
        <w:rPr>
          <w:sz w:val="24"/>
          <w:szCs w:val="24"/>
          <w:lang w:val="en-US"/>
        </w:rPr>
        <w:t>1982</w:t>
      </w:r>
      <w:r w:rsidR="008C78BB">
        <w:rPr>
          <w:sz w:val="24"/>
          <w:szCs w:val="24"/>
          <w:lang w:val="en-US"/>
        </w:rPr>
        <w:t>,</w:t>
      </w:r>
      <w:r w:rsidR="008C78BB" w:rsidRPr="00032596">
        <w:rPr>
          <w:sz w:val="24"/>
          <w:szCs w:val="24"/>
          <w:lang w:val="en-GB"/>
        </w:rPr>
        <w:t xml:space="preserve"> </w:t>
      </w:r>
      <w:r w:rsidR="00DB1120" w:rsidRPr="00032596">
        <w:rPr>
          <w:sz w:val="24"/>
          <w:szCs w:val="24"/>
          <w:lang w:val="en-GB"/>
        </w:rPr>
        <w:t>Shorrocks</w:t>
      </w:r>
      <w:r w:rsidR="00DB1120">
        <w:rPr>
          <w:sz w:val="24"/>
          <w:szCs w:val="24"/>
          <w:lang w:val="en-GB"/>
        </w:rPr>
        <w:t>, 1983</w:t>
      </w:r>
      <w:r w:rsidR="00DB1120">
        <w:rPr>
          <w:sz w:val="24"/>
          <w:szCs w:val="24"/>
          <w:lang w:val="en-US"/>
        </w:rPr>
        <w:t>)</w:t>
      </w:r>
      <w:r w:rsidR="00AC5D69">
        <w:rPr>
          <w:sz w:val="24"/>
          <w:szCs w:val="24"/>
          <w:lang w:val="en-US"/>
        </w:rPr>
        <w:t xml:space="preserve"> and</w:t>
      </w:r>
      <w:r w:rsidR="00DB1120">
        <w:rPr>
          <w:sz w:val="24"/>
          <w:szCs w:val="24"/>
          <w:lang w:val="en-US"/>
        </w:rPr>
        <w:t xml:space="preserve"> dominance issues (</w:t>
      </w:r>
      <w:r w:rsidR="00DB1120" w:rsidRPr="00F675DF">
        <w:rPr>
          <w:sz w:val="24"/>
          <w:szCs w:val="24"/>
          <w:lang w:val="en-GB"/>
        </w:rPr>
        <w:t>Yitzhaki</w:t>
      </w:r>
      <w:r w:rsidR="00DB1120">
        <w:rPr>
          <w:sz w:val="24"/>
          <w:szCs w:val="24"/>
          <w:lang w:val="en-GB"/>
        </w:rPr>
        <w:t>, 1982</w:t>
      </w:r>
      <w:r w:rsidR="00DB1120">
        <w:rPr>
          <w:sz w:val="24"/>
          <w:szCs w:val="24"/>
          <w:lang w:val="en-US"/>
        </w:rPr>
        <w:t>)</w:t>
      </w:r>
      <w:r w:rsidR="00AC5D69">
        <w:rPr>
          <w:sz w:val="24"/>
          <w:szCs w:val="24"/>
          <w:lang w:val="en-US"/>
        </w:rPr>
        <w:t>,</w:t>
      </w:r>
      <w:r w:rsidR="00DB1120">
        <w:rPr>
          <w:sz w:val="24"/>
          <w:szCs w:val="24"/>
          <w:lang w:val="en-US"/>
        </w:rPr>
        <w:t xml:space="preserve"> and </w:t>
      </w:r>
      <w:r w:rsidR="00605294">
        <w:rPr>
          <w:sz w:val="24"/>
          <w:szCs w:val="24"/>
          <w:lang w:val="en-US"/>
        </w:rPr>
        <w:t xml:space="preserve">is consistent with </w:t>
      </w:r>
      <w:r w:rsidR="00DB1120">
        <w:rPr>
          <w:sz w:val="24"/>
          <w:szCs w:val="24"/>
          <w:lang w:val="en-US"/>
        </w:rPr>
        <w:t>the development of inequality ind</w:t>
      </w:r>
      <w:r w:rsidR="00AC5D69">
        <w:rPr>
          <w:sz w:val="24"/>
          <w:szCs w:val="24"/>
          <w:lang w:val="en-US"/>
        </w:rPr>
        <w:t>ic</w:t>
      </w:r>
      <w:r w:rsidR="00DB1120">
        <w:rPr>
          <w:sz w:val="24"/>
          <w:szCs w:val="24"/>
          <w:lang w:val="en-US"/>
        </w:rPr>
        <w:t xml:space="preserve">es </w:t>
      </w:r>
      <w:r w:rsidR="00AC5D69">
        <w:rPr>
          <w:sz w:val="24"/>
          <w:szCs w:val="24"/>
          <w:lang w:val="en-US"/>
        </w:rPr>
        <w:t xml:space="preserve">which are </w:t>
      </w:r>
      <w:r w:rsidR="00DB1120">
        <w:rPr>
          <w:sz w:val="24"/>
          <w:szCs w:val="24"/>
          <w:lang w:val="en-US"/>
        </w:rPr>
        <w:t xml:space="preserve">sensitive to </w:t>
      </w:r>
      <w:r w:rsidR="000A0668">
        <w:rPr>
          <w:sz w:val="24"/>
          <w:szCs w:val="24"/>
          <w:lang w:val="en-US"/>
        </w:rPr>
        <w:t>specific segments of the distribution (Atkinson</w:t>
      </w:r>
      <w:r w:rsidR="00906BD4">
        <w:rPr>
          <w:sz w:val="24"/>
          <w:szCs w:val="24"/>
          <w:lang w:val="en-US"/>
        </w:rPr>
        <w:t>,</w:t>
      </w:r>
      <w:r w:rsidR="000A0668">
        <w:rPr>
          <w:sz w:val="24"/>
          <w:szCs w:val="24"/>
          <w:lang w:val="en-US"/>
        </w:rPr>
        <w:t xml:space="preserve"> 1970). </w:t>
      </w:r>
      <w:r w:rsidR="00AC5D69">
        <w:rPr>
          <w:sz w:val="24"/>
          <w:szCs w:val="24"/>
          <w:lang w:val="en-US"/>
        </w:rPr>
        <w:t xml:space="preserve">Our </w:t>
      </w:r>
      <w:r w:rsidR="0011320B">
        <w:rPr>
          <w:sz w:val="24"/>
          <w:szCs w:val="24"/>
          <w:lang w:val="en-US"/>
        </w:rPr>
        <w:t xml:space="preserve">aim </w:t>
      </w:r>
      <w:r w:rsidR="0078309F">
        <w:rPr>
          <w:sz w:val="24"/>
          <w:szCs w:val="24"/>
          <w:lang w:val="en-US"/>
        </w:rPr>
        <w:t xml:space="preserve">here </w:t>
      </w:r>
      <w:r w:rsidR="0011320B">
        <w:rPr>
          <w:sz w:val="24"/>
          <w:szCs w:val="24"/>
          <w:lang w:val="en-US"/>
        </w:rPr>
        <w:t xml:space="preserve">is to </w:t>
      </w:r>
      <w:r w:rsidR="000D27B2">
        <w:rPr>
          <w:sz w:val="24"/>
          <w:szCs w:val="24"/>
          <w:lang w:val="en-US"/>
        </w:rPr>
        <w:t>distin</w:t>
      </w:r>
      <w:r w:rsidR="0011320B">
        <w:rPr>
          <w:sz w:val="24"/>
          <w:szCs w:val="24"/>
          <w:lang w:val="en-US"/>
        </w:rPr>
        <w:t xml:space="preserve">guish </w:t>
      </w:r>
      <w:r w:rsidR="000D27B2">
        <w:rPr>
          <w:sz w:val="24"/>
          <w:szCs w:val="24"/>
          <w:lang w:val="en-US"/>
        </w:rPr>
        <w:t>inequality at the middle, top and bottom</w:t>
      </w:r>
      <w:r w:rsidR="0011320B">
        <w:rPr>
          <w:sz w:val="24"/>
          <w:szCs w:val="24"/>
          <w:lang w:val="en-US"/>
        </w:rPr>
        <w:t xml:space="preserve"> of the distribution</w:t>
      </w:r>
      <w:r w:rsidR="000D27B2">
        <w:rPr>
          <w:sz w:val="24"/>
          <w:szCs w:val="24"/>
          <w:lang w:val="en-US"/>
        </w:rPr>
        <w:t xml:space="preserve">. </w:t>
      </w:r>
    </w:p>
    <w:p w:rsidR="006F0543" w:rsidRDefault="006F0543" w:rsidP="006F0543">
      <w:pPr>
        <w:spacing w:after="120" w:line="480" w:lineRule="auto"/>
        <w:rPr>
          <w:b/>
          <w:sz w:val="24"/>
          <w:szCs w:val="24"/>
          <w:lang w:val="en-US"/>
        </w:rPr>
      </w:pPr>
      <w:r>
        <w:rPr>
          <w:b/>
          <w:sz w:val="24"/>
          <w:szCs w:val="24"/>
          <w:lang w:val="en-US"/>
        </w:rPr>
        <w:t>PLACE TABLE 1 HERE</w:t>
      </w:r>
    </w:p>
    <w:p w:rsidR="006F0543" w:rsidRPr="006F0543" w:rsidRDefault="000A0668" w:rsidP="004549C3">
      <w:pPr>
        <w:spacing w:after="120" w:line="480" w:lineRule="auto"/>
        <w:rPr>
          <w:sz w:val="24"/>
          <w:szCs w:val="24"/>
          <w:lang w:val="en-US"/>
        </w:rPr>
      </w:pPr>
      <w:r>
        <w:rPr>
          <w:sz w:val="24"/>
          <w:szCs w:val="24"/>
          <w:lang w:val="en-US"/>
        </w:rPr>
        <w:t>T</w:t>
      </w:r>
      <w:r w:rsidR="000D27B2">
        <w:rPr>
          <w:sz w:val="24"/>
          <w:szCs w:val="24"/>
          <w:lang w:val="en-US"/>
        </w:rPr>
        <w:t xml:space="preserve">his is </w:t>
      </w:r>
      <w:r w:rsidR="00AC5D69">
        <w:rPr>
          <w:sz w:val="24"/>
          <w:szCs w:val="24"/>
          <w:lang w:val="en-US"/>
        </w:rPr>
        <w:t xml:space="preserve">a </w:t>
      </w:r>
      <w:r w:rsidR="000D27B2">
        <w:rPr>
          <w:sz w:val="24"/>
          <w:szCs w:val="24"/>
          <w:lang w:val="en-US"/>
        </w:rPr>
        <w:t>meaningful</w:t>
      </w:r>
      <w:r w:rsidR="00F4270E">
        <w:rPr>
          <w:sz w:val="24"/>
          <w:szCs w:val="24"/>
          <w:lang w:val="en-US"/>
        </w:rPr>
        <w:t xml:space="preserve"> </w:t>
      </w:r>
      <w:r w:rsidR="00AC5D69" w:rsidRPr="00AC5D69">
        <w:rPr>
          <w:sz w:val="24"/>
          <w:szCs w:val="24"/>
          <w:lang w:val="en-US"/>
        </w:rPr>
        <w:t xml:space="preserve">question </w:t>
      </w:r>
      <w:r w:rsidR="00F4270E">
        <w:rPr>
          <w:sz w:val="24"/>
          <w:szCs w:val="24"/>
          <w:lang w:val="en-US"/>
        </w:rPr>
        <w:t>for income</w:t>
      </w:r>
      <w:r w:rsidR="00AC5D69">
        <w:rPr>
          <w:sz w:val="24"/>
          <w:szCs w:val="24"/>
          <w:lang w:val="en-US"/>
        </w:rPr>
        <w:t xml:space="preserve"> distribution</w:t>
      </w:r>
      <w:r w:rsidR="00F4270E" w:rsidRPr="00F4270E">
        <w:rPr>
          <w:sz w:val="24"/>
          <w:szCs w:val="24"/>
          <w:lang w:val="en-US"/>
        </w:rPr>
        <w:t>s</w:t>
      </w:r>
      <w:r>
        <w:rPr>
          <w:sz w:val="24"/>
          <w:szCs w:val="24"/>
          <w:lang w:val="en-US"/>
        </w:rPr>
        <w:t xml:space="preserve">, as </w:t>
      </w:r>
      <w:r w:rsidR="00AC5D69">
        <w:rPr>
          <w:sz w:val="24"/>
          <w:szCs w:val="24"/>
          <w:lang w:val="en-US"/>
        </w:rPr>
        <w:t xml:space="preserve">can be </w:t>
      </w:r>
      <w:r w:rsidR="00BE7F69">
        <w:rPr>
          <w:sz w:val="24"/>
          <w:szCs w:val="24"/>
          <w:lang w:val="en-US"/>
        </w:rPr>
        <w:t xml:space="preserve">shown in </w:t>
      </w:r>
      <w:r>
        <w:rPr>
          <w:sz w:val="24"/>
          <w:szCs w:val="24"/>
          <w:lang w:val="en-US"/>
        </w:rPr>
        <w:t>an empirical example</w:t>
      </w:r>
      <w:r w:rsidR="00AC5D69">
        <w:rPr>
          <w:sz w:val="24"/>
          <w:szCs w:val="24"/>
          <w:lang w:val="en-US"/>
        </w:rPr>
        <w:t>.</w:t>
      </w:r>
      <w:r>
        <w:rPr>
          <w:rStyle w:val="FootnoteReference"/>
          <w:sz w:val="24"/>
          <w:szCs w:val="24"/>
          <w:lang w:val="en-US"/>
        </w:rPr>
        <w:footnoteReference w:id="3"/>
      </w:r>
      <w:r>
        <w:rPr>
          <w:sz w:val="24"/>
          <w:szCs w:val="24"/>
          <w:lang w:val="en-US"/>
        </w:rPr>
        <w:t xml:space="preserve"> </w:t>
      </w:r>
      <w:r w:rsidR="00ED6177">
        <w:rPr>
          <w:sz w:val="24"/>
          <w:szCs w:val="24"/>
          <w:lang w:val="en-US"/>
        </w:rPr>
        <w:t>T</w:t>
      </w:r>
      <w:r w:rsidR="000D27B2" w:rsidRPr="00F4270E">
        <w:rPr>
          <w:sz w:val="24"/>
          <w:szCs w:val="24"/>
          <w:lang w:val="en-US"/>
        </w:rPr>
        <w:t xml:space="preserve">able 1 </w:t>
      </w:r>
      <w:r w:rsidR="00AC5D69">
        <w:rPr>
          <w:sz w:val="24"/>
          <w:szCs w:val="24"/>
          <w:lang w:val="en-US"/>
        </w:rPr>
        <w:t xml:space="preserve">shows </w:t>
      </w:r>
      <w:r w:rsidR="00ED6177">
        <w:rPr>
          <w:sz w:val="24"/>
          <w:szCs w:val="24"/>
          <w:lang w:val="en-US"/>
        </w:rPr>
        <w:t>the</w:t>
      </w:r>
      <w:r w:rsidR="000D27B2" w:rsidRPr="00F4270E">
        <w:rPr>
          <w:sz w:val="24"/>
          <w:szCs w:val="24"/>
          <w:lang w:val="en-US"/>
        </w:rPr>
        <w:t xml:space="preserve"> </w:t>
      </w:r>
      <w:r w:rsidR="008852C6">
        <w:rPr>
          <w:sz w:val="24"/>
          <w:szCs w:val="24"/>
          <w:lang w:val="en-US"/>
        </w:rPr>
        <w:t>quantile</w:t>
      </w:r>
      <w:r w:rsidR="00D65789">
        <w:rPr>
          <w:sz w:val="24"/>
          <w:szCs w:val="24"/>
          <w:lang w:val="en-US"/>
        </w:rPr>
        <w:t>s</w:t>
      </w:r>
      <w:r w:rsidR="00FD012D">
        <w:rPr>
          <w:sz w:val="24"/>
          <w:szCs w:val="24"/>
          <w:lang w:val="en-US"/>
        </w:rPr>
        <w:t xml:space="preserve"> </w:t>
      </w:r>
      <w:r w:rsidR="000D27B2">
        <w:rPr>
          <w:sz w:val="24"/>
          <w:szCs w:val="24"/>
          <w:lang w:val="en-US"/>
        </w:rPr>
        <w:t xml:space="preserve">of the income distribution </w:t>
      </w:r>
      <w:r w:rsidR="00FD012D">
        <w:rPr>
          <w:sz w:val="24"/>
          <w:szCs w:val="24"/>
          <w:lang w:val="en-US"/>
        </w:rPr>
        <w:t>in Israel</w:t>
      </w:r>
      <w:r w:rsidR="0041631B">
        <w:rPr>
          <w:sz w:val="24"/>
          <w:szCs w:val="24"/>
          <w:lang w:val="en-US"/>
        </w:rPr>
        <w:t xml:space="preserve"> in </w:t>
      </w:r>
      <w:r w:rsidR="00FD012D">
        <w:rPr>
          <w:sz w:val="24"/>
          <w:szCs w:val="24"/>
          <w:lang w:val="en-US"/>
        </w:rPr>
        <w:t>20</w:t>
      </w:r>
      <w:r w:rsidR="004E0714">
        <w:rPr>
          <w:sz w:val="24"/>
          <w:szCs w:val="24"/>
          <w:lang w:val="en-US"/>
        </w:rPr>
        <w:t>10</w:t>
      </w:r>
      <w:r w:rsidR="00FD012D">
        <w:rPr>
          <w:sz w:val="24"/>
          <w:szCs w:val="24"/>
          <w:lang w:val="en-US"/>
        </w:rPr>
        <w:t xml:space="preserve"> </w:t>
      </w:r>
      <w:r w:rsidR="00A630FB">
        <w:rPr>
          <w:sz w:val="24"/>
          <w:szCs w:val="24"/>
          <w:lang w:val="en-US"/>
        </w:rPr>
        <w:t>(</w:t>
      </w:r>
      <w:r w:rsidR="002A2D76">
        <w:rPr>
          <w:sz w:val="24"/>
          <w:szCs w:val="24"/>
          <w:lang w:val="en-US"/>
        </w:rPr>
        <w:t>il10</w:t>
      </w:r>
      <w:r w:rsidR="00A630FB">
        <w:rPr>
          <w:sz w:val="24"/>
          <w:szCs w:val="24"/>
          <w:lang w:val="en-US"/>
        </w:rPr>
        <w:t xml:space="preserve">) </w:t>
      </w:r>
      <w:r w:rsidR="00FD012D">
        <w:rPr>
          <w:sz w:val="24"/>
          <w:szCs w:val="24"/>
          <w:lang w:val="en-US"/>
        </w:rPr>
        <w:t xml:space="preserve">and </w:t>
      </w:r>
      <w:r w:rsidR="00FD012D">
        <w:rPr>
          <w:sz w:val="24"/>
          <w:szCs w:val="24"/>
          <w:lang w:val="en-US"/>
        </w:rPr>
        <w:lastRenderedPageBreak/>
        <w:t>the U.S.</w:t>
      </w:r>
      <w:r w:rsidR="0041631B">
        <w:rPr>
          <w:sz w:val="24"/>
          <w:szCs w:val="24"/>
          <w:lang w:val="en-US"/>
        </w:rPr>
        <w:t xml:space="preserve"> in </w:t>
      </w:r>
      <w:r w:rsidR="00FD012D">
        <w:rPr>
          <w:sz w:val="24"/>
          <w:szCs w:val="24"/>
          <w:lang w:val="en-US"/>
        </w:rPr>
        <w:t>2010</w:t>
      </w:r>
      <w:r w:rsidR="00A630FB">
        <w:rPr>
          <w:sz w:val="24"/>
          <w:szCs w:val="24"/>
          <w:lang w:val="en-US"/>
        </w:rPr>
        <w:t xml:space="preserve"> (us10</w:t>
      </w:r>
      <w:r w:rsidR="00FD012D">
        <w:rPr>
          <w:sz w:val="24"/>
          <w:szCs w:val="24"/>
          <w:lang w:val="en-US"/>
        </w:rPr>
        <w:t>)</w:t>
      </w:r>
      <w:r w:rsidR="00AC5D69">
        <w:rPr>
          <w:sz w:val="24"/>
          <w:szCs w:val="24"/>
          <w:lang w:val="en-US"/>
        </w:rPr>
        <w:t>.</w:t>
      </w:r>
      <w:r w:rsidR="00FD012D">
        <w:rPr>
          <w:sz w:val="24"/>
          <w:szCs w:val="24"/>
          <w:lang w:val="en-US"/>
        </w:rPr>
        <w:t xml:space="preserve"> </w:t>
      </w:r>
      <w:r w:rsidR="00AC5D69">
        <w:rPr>
          <w:sz w:val="24"/>
          <w:szCs w:val="24"/>
          <w:lang w:val="en-US"/>
        </w:rPr>
        <w:t xml:space="preserve">The </w:t>
      </w:r>
      <w:r w:rsidR="00C67605">
        <w:rPr>
          <w:sz w:val="24"/>
          <w:szCs w:val="24"/>
          <w:lang w:val="en-US"/>
        </w:rPr>
        <w:t xml:space="preserve">Gini </w:t>
      </w:r>
      <w:r w:rsidR="00AC5D69">
        <w:rPr>
          <w:sz w:val="24"/>
          <w:szCs w:val="24"/>
          <w:lang w:val="en-US"/>
        </w:rPr>
        <w:t xml:space="preserve">coefficients of both series are similar, at </w:t>
      </w:r>
      <w:r w:rsidR="00C67605">
        <w:rPr>
          <w:sz w:val="24"/>
          <w:szCs w:val="24"/>
          <w:lang w:val="en-US"/>
        </w:rPr>
        <w:t>0.3</w:t>
      </w:r>
      <w:r w:rsidR="002A2D76">
        <w:rPr>
          <w:sz w:val="24"/>
          <w:szCs w:val="24"/>
          <w:lang w:val="en-US"/>
        </w:rPr>
        <w:t>87</w:t>
      </w:r>
      <w:r w:rsidR="00AC5D69">
        <w:rPr>
          <w:sz w:val="24"/>
          <w:szCs w:val="24"/>
          <w:lang w:val="en-US"/>
        </w:rPr>
        <w:t xml:space="preserve"> and 0.371</w:t>
      </w:r>
      <w:r w:rsidR="00C67605">
        <w:rPr>
          <w:sz w:val="24"/>
          <w:szCs w:val="24"/>
          <w:lang w:val="en-US"/>
        </w:rPr>
        <w:t xml:space="preserve"> respectively</w:t>
      </w:r>
      <w:r w:rsidR="000D27B2">
        <w:rPr>
          <w:sz w:val="24"/>
          <w:szCs w:val="24"/>
          <w:lang w:val="en-US"/>
        </w:rPr>
        <w:t>.</w:t>
      </w:r>
      <w:r w:rsidR="00A630FB">
        <w:rPr>
          <w:rStyle w:val="FootnoteReference"/>
          <w:sz w:val="24"/>
          <w:szCs w:val="24"/>
          <w:lang w:val="en-US"/>
        </w:rPr>
        <w:footnoteReference w:id="4"/>
      </w:r>
      <w:r w:rsidR="000D27B2">
        <w:rPr>
          <w:sz w:val="24"/>
          <w:szCs w:val="24"/>
          <w:lang w:val="en-US"/>
        </w:rPr>
        <w:t xml:space="preserve"> </w:t>
      </w:r>
      <w:r w:rsidR="00AC5D69">
        <w:rPr>
          <w:sz w:val="24"/>
          <w:szCs w:val="24"/>
          <w:lang w:val="en-US"/>
        </w:rPr>
        <w:t>However, t</w:t>
      </w:r>
      <w:r w:rsidR="005B7E49">
        <w:rPr>
          <w:sz w:val="24"/>
          <w:szCs w:val="24"/>
          <w:lang w:val="en-US"/>
        </w:rPr>
        <w:t xml:space="preserve">he comparison </w:t>
      </w:r>
      <w:r w:rsidR="004B7DE2">
        <w:rPr>
          <w:sz w:val="24"/>
          <w:szCs w:val="24"/>
          <w:lang w:val="en-US"/>
        </w:rPr>
        <w:t xml:space="preserve">of the distributions </w:t>
      </w:r>
      <w:r w:rsidR="00AC5D69">
        <w:rPr>
          <w:sz w:val="24"/>
          <w:szCs w:val="24"/>
          <w:lang w:val="en-US"/>
        </w:rPr>
        <w:t>in T</w:t>
      </w:r>
      <w:r w:rsidR="006339F0">
        <w:rPr>
          <w:sz w:val="24"/>
          <w:szCs w:val="24"/>
          <w:lang w:val="en-US"/>
        </w:rPr>
        <w:t>able 1</w:t>
      </w:r>
      <w:r w:rsidR="00AC5D69">
        <w:rPr>
          <w:sz w:val="24"/>
          <w:szCs w:val="24"/>
          <w:lang w:val="en-US"/>
        </w:rPr>
        <w:t xml:space="preserve"> reveal</w:t>
      </w:r>
      <w:r w:rsidR="0041631B">
        <w:rPr>
          <w:sz w:val="24"/>
          <w:szCs w:val="24"/>
          <w:lang w:val="en-US"/>
        </w:rPr>
        <w:t>s</w:t>
      </w:r>
      <w:r w:rsidR="00AC5D69">
        <w:rPr>
          <w:sz w:val="24"/>
          <w:szCs w:val="24"/>
          <w:lang w:val="en-US"/>
        </w:rPr>
        <w:t xml:space="preserve"> considerable differences</w:t>
      </w:r>
      <w:r w:rsidR="00982E1B" w:rsidRPr="00977903">
        <w:rPr>
          <w:sz w:val="24"/>
          <w:szCs w:val="24"/>
          <w:lang w:val="en-US"/>
        </w:rPr>
        <w:t xml:space="preserve">. </w:t>
      </w:r>
      <w:r w:rsidR="004B7DE2">
        <w:rPr>
          <w:sz w:val="24"/>
          <w:szCs w:val="24"/>
          <w:lang w:val="en-US"/>
        </w:rPr>
        <w:t xml:space="preserve">In </w:t>
      </w:r>
      <w:r w:rsidR="00CE6891" w:rsidRPr="00FC4D25">
        <w:rPr>
          <w:sz w:val="24"/>
          <w:szCs w:val="24"/>
          <w:lang w:val="en-US"/>
        </w:rPr>
        <w:t xml:space="preserve">2010 in </w:t>
      </w:r>
      <w:r w:rsidR="00426749" w:rsidRPr="00FC4D25">
        <w:rPr>
          <w:sz w:val="24"/>
          <w:szCs w:val="24"/>
          <w:lang w:val="en-US"/>
        </w:rPr>
        <w:t>Israel</w:t>
      </w:r>
      <w:r w:rsidR="00426749" w:rsidRPr="009B2E25">
        <w:rPr>
          <w:sz w:val="22"/>
          <w:szCs w:val="24"/>
          <w:lang w:val="en-US"/>
        </w:rPr>
        <w:t xml:space="preserve">, </w:t>
      </w:r>
      <w:r w:rsidR="00426749" w:rsidRPr="00FC4D25">
        <w:rPr>
          <w:sz w:val="24"/>
          <w:szCs w:val="24"/>
          <w:lang w:val="en-US"/>
        </w:rPr>
        <w:t xml:space="preserve">the fifth percentile level (p5) </w:t>
      </w:r>
      <w:r w:rsidR="004B7DE2">
        <w:rPr>
          <w:sz w:val="24"/>
          <w:szCs w:val="24"/>
          <w:lang w:val="en-US"/>
        </w:rPr>
        <w:t xml:space="preserve">was </w:t>
      </w:r>
      <w:r w:rsidR="00426749" w:rsidRPr="00FC4D25">
        <w:rPr>
          <w:sz w:val="24"/>
          <w:szCs w:val="24"/>
          <w:lang w:val="en-US"/>
        </w:rPr>
        <w:t xml:space="preserve">30.1% of the median (p50) and percentile 95 </w:t>
      </w:r>
      <w:r w:rsidR="00126B88" w:rsidRPr="00FC4D25">
        <w:rPr>
          <w:sz w:val="24"/>
          <w:szCs w:val="24"/>
          <w:lang w:val="en-US"/>
        </w:rPr>
        <w:t xml:space="preserve">(p95) </w:t>
      </w:r>
      <w:r w:rsidR="004B7DE2">
        <w:rPr>
          <w:sz w:val="24"/>
          <w:szCs w:val="24"/>
          <w:lang w:val="en-US"/>
        </w:rPr>
        <w:t xml:space="preserve">was </w:t>
      </w:r>
      <w:r w:rsidR="00426749" w:rsidRPr="00FC4D25">
        <w:rPr>
          <w:sz w:val="24"/>
          <w:szCs w:val="24"/>
          <w:lang w:val="en-US"/>
        </w:rPr>
        <w:t xml:space="preserve">2.95 times the median. </w:t>
      </w:r>
      <w:r w:rsidR="004B7DE2">
        <w:rPr>
          <w:sz w:val="24"/>
          <w:szCs w:val="24"/>
          <w:lang w:val="en-US"/>
        </w:rPr>
        <w:t xml:space="preserve">Close to </w:t>
      </w:r>
      <w:r w:rsidR="006339F0">
        <w:rPr>
          <w:sz w:val="24"/>
          <w:szCs w:val="24"/>
          <w:lang w:val="en-US"/>
        </w:rPr>
        <w:t xml:space="preserve">the median there </w:t>
      </w:r>
      <w:r w:rsidR="004B7DE2">
        <w:rPr>
          <w:sz w:val="24"/>
          <w:szCs w:val="24"/>
          <w:lang w:val="en-US"/>
        </w:rPr>
        <w:t xml:space="preserve">was </w:t>
      </w:r>
      <w:r w:rsidR="006339F0">
        <w:rPr>
          <w:sz w:val="24"/>
          <w:szCs w:val="24"/>
          <w:lang w:val="en-US"/>
        </w:rPr>
        <w:t>less inequality in the U.S. than in Israel</w:t>
      </w:r>
      <w:r w:rsidR="005B7E49">
        <w:rPr>
          <w:sz w:val="24"/>
          <w:szCs w:val="24"/>
          <w:lang w:val="en-US"/>
        </w:rPr>
        <w:t xml:space="preserve">. </w:t>
      </w:r>
      <w:r w:rsidR="00E75B00">
        <w:rPr>
          <w:sz w:val="24"/>
          <w:szCs w:val="24"/>
          <w:lang w:val="en-US"/>
        </w:rPr>
        <w:t>However</w:t>
      </w:r>
      <w:r w:rsidR="006339F0">
        <w:rPr>
          <w:sz w:val="24"/>
          <w:szCs w:val="24"/>
          <w:lang w:val="en-US"/>
        </w:rPr>
        <w:t xml:space="preserve">, </w:t>
      </w:r>
      <w:r w:rsidR="00E75B00">
        <w:rPr>
          <w:sz w:val="24"/>
          <w:szCs w:val="24"/>
          <w:lang w:val="en-US"/>
        </w:rPr>
        <w:t xml:space="preserve">in </w:t>
      </w:r>
      <w:r w:rsidR="006339F0">
        <w:rPr>
          <w:sz w:val="24"/>
          <w:szCs w:val="24"/>
          <w:lang w:val="en-US"/>
        </w:rPr>
        <w:t xml:space="preserve">the lower </w:t>
      </w:r>
      <w:r w:rsidR="008852C6">
        <w:rPr>
          <w:sz w:val="24"/>
          <w:szCs w:val="24"/>
          <w:lang w:val="en-US"/>
        </w:rPr>
        <w:t>quantile</w:t>
      </w:r>
      <w:r w:rsidR="006339F0">
        <w:rPr>
          <w:sz w:val="24"/>
          <w:szCs w:val="24"/>
          <w:lang w:val="en-US"/>
        </w:rPr>
        <w:t xml:space="preserve">s, the poorer Israeli residents are </w:t>
      </w:r>
      <w:r w:rsidR="00982E1B">
        <w:rPr>
          <w:sz w:val="24"/>
          <w:szCs w:val="24"/>
          <w:lang w:val="en-US"/>
        </w:rPr>
        <w:t xml:space="preserve">relatively </w:t>
      </w:r>
      <w:r w:rsidR="006339F0">
        <w:rPr>
          <w:sz w:val="24"/>
          <w:szCs w:val="24"/>
          <w:lang w:val="en-US"/>
        </w:rPr>
        <w:t>better off than the</w:t>
      </w:r>
      <w:r w:rsidR="00E75B00">
        <w:rPr>
          <w:sz w:val="24"/>
          <w:szCs w:val="24"/>
          <w:lang w:val="en-US"/>
        </w:rPr>
        <w:t>ir</w:t>
      </w:r>
      <w:r w:rsidR="006339F0">
        <w:rPr>
          <w:sz w:val="24"/>
          <w:szCs w:val="24"/>
          <w:lang w:val="en-US"/>
        </w:rPr>
        <w:t xml:space="preserve"> U.S.</w:t>
      </w:r>
      <w:r w:rsidR="00E75B00">
        <w:rPr>
          <w:sz w:val="24"/>
          <w:szCs w:val="24"/>
          <w:lang w:val="en-US"/>
        </w:rPr>
        <w:t xml:space="preserve"> counterparts</w:t>
      </w:r>
      <w:r w:rsidR="006339F0">
        <w:rPr>
          <w:sz w:val="24"/>
          <w:szCs w:val="24"/>
          <w:lang w:val="en-US"/>
        </w:rPr>
        <w:t xml:space="preserve"> </w:t>
      </w:r>
      <w:r w:rsidR="00982E1B">
        <w:rPr>
          <w:sz w:val="24"/>
          <w:szCs w:val="24"/>
          <w:lang w:val="en-US"/>
        </w:rPr>
        <w:t xml:space="preserve">by far, </w:t>
      </w:r>
      <w:r w:rsidR="006339F0">
        <w:rPr>
          <w:sz w:val="24"/>
          <w:szCs w:val="24"/>
          <w:lang w:val="en-US"/>
        </w:rPr>
        <w:t>and the richest</w:t>
      </w:r>
      <w:r w:rsidR="00E75B00">
        <w:rPr>
          <w:sz w:val="24"/>
          <w:szCs w:val="24"/>
          <w:lang w:val="en-US"/>
        </w:rPr>
        <w:t xml:space="preserve"> per</w:t>
      </w:r>
      <w:r w:rsidR="006339F0">
        <w:rPr>
          <w:sz w:val="24"/>
          <w:szCs w:val="24"/>
          <w:lang w:val="en-US"/>
        </w:rPr>
        <w:t xml:space="preserve">centile p99 </w:t>
      </w:r>
      <w:r w:rsidR="004B7DE2">
        <w:rPr>
          <w:sz w:val="24"/>
          <w:szCs w:val="24"/>
          <w:lang w:val="en-US"/>
        </w:rPr>
        <w:t>wa</w:t>
      </w:r>
      <w:r w:rsidR="006339F0">
        <w:rPr>
          <w:sz w:val="24"/>
          <w:szCs w:val="24"/>
          <w:lang w:val="en-US"/>
        </w:rPr>
        <w:t xml:space="preserve">s closer to the median </w:t>
      </w:r>
      <w:r w:rsidR="00982E1B">
        <w:rPr>
          <w:sz w:val="24"/>
          <w:szCs w:val="24"/>
          <w:lang w:val="en-US"/>
        </w:rPr>
        <w:t xml:space="preserve">in Israel </w:t>
      </w:r>
      <w:r w:rsidR="006339F0">
        <w:rPr>
          <w:sz w:val="24"/>
          <w:szCs w:val="24"/>
          <w:lang w:val="en-US"/>
        </w:rPr>
        <w:t xml:space="preserve">than </w:t>
      </w:r>
      <w:r w:rsidR="00E75B00">
        <w:rPr>
          <w:sz w:val="24"/>
          <w:szCs w:val="24"/>
          <w:lang w:val="en-US"/>
        </w:rPr>
        <w:t xml:space="preserve">in </w:t>
      </w:r>
      <w:r w:rsidR="006339F0">
        <w:rPr>
          <w:sz w:val="24"/>
          <w:szCs w:val="24"/>
          <w:lang w:val="en-US"/>
        </w:rPr>
        <w:t xml:space="preserve">the </w:t>
      </w:r>
      <w:r w:rsidR="00E75B00">
        <w:rPr>
          <w:sz w:val="24"/>
          <w:szCs w:val="24"/>
          <w:lang w:val="en-US"/>
        </w:rPr>
        <w:t>U.S</w:t>
      </w:r>
      <w:r w:rsidR="006339F0">
        <w:rPr>
          <w:sz w:val="24"/>
          <w:szCs w:val="24"/>
          <w:lang w:val="en-US"/>
        </w:rPr>
        <w:t xml:space="preserve">. </w:t>
      </w:r>
      <w:r w:rsidR="00E75B00">
        <w:rPr>
          <w:sz w:val="24"/>
          <w:szCs w:val="24"/>
          <w:lang w:val="en-US"/>
        </w:rPr>
        <w:t>Hence</w:t>
      </w:r>
      <w:r w:rsidR="006339F0">
        <w:rPr>
          <w:sz w:val="24"/>
          <w:szCs w:val="24"/>
          <w:lang w:val="en-US"/>
        </w:rPr>
        <w:t xml:space="preserve">, </w:t>
      </w:r>
      <w:r w:rsidR="00E75B00">
        <w:rPr>
          <w:sz w:val="24"/>
          <w:szCs w:val="24"/>
          <w:lang w:val="en-US"/>
        </w:rPr>
        <w:t xml:space="preserve">in </w:t>
      </w:r>
      <w:r w:rsidR="006339F0">
        <w:rPr>
          <w:sz w:val="24"/>
          <w:szCs w:val="24"/>
          <w:lang w:val="en-US"/>
        </w:rPr>
        <w:t>Israel</w:t>
      </w:r>
      <w:r w:rsidR="00E75B00">
        <w:rPr>
          <w:sz w:val="24"/>
          <w:szCs w:val="24"/>
          <w:lang w:val="en-US"/>
        </w:rPr>
        <w:t>,</w:t>
      </w:r>
      <w:r w:rsidR="006339F0">
        <w:rPr>
          <w:sz w:val="24"/>
          <w:szCs w:val="24"/>
          <w:lang w:val="en-US"/>
        </w:rPr>
        <w:t xml:space="preserve"> </w:t>
      </w:r>
      <w:r w:rsidR="004B7DE2">
        <w:rPr>
          <w:sz w:val="24"/>
          <w:szCs w:val="24"/>
          <w:lang w:val="en-US"/>
        </w:rPr>
        <w:t xml:space="preserve">there was </w:t>
      </w:r>
      <w:r w:rsidR="006339F0">
        <w:rPr>
          <w:sz w:val="24"/>
          <w:szCs w:val="24"/>
          <w:lang w:val="en-US"/>
        </w:rPr>
        <w:t xml:space="preserve">more inequality </w:t>
      </w:r>
      <w:r w:rsidR="004B7DE2">
        <w:rPr>
          <w:sz w:val="24"/>
          <w:szCs w:val="24"/>
          <w:lang w:val="en-US"/>
        </w:rPr>
        <w:t xml:space="preserve">around the </w:t>
      </w:r>
      <w:r w:rsidR="006339F0">
        <w:rPr>
          <w:sz w:val="24"/>
          <w:szCs w:val="24"/>
          <w:lang w:val="en-US"/>
        </w:rPr>
        <w:t xml:space="preserve">middle and less </w:t>
      </w:r>
      <w:r w:rsidR="004B7DE2">
        <w:rPr>
          <w:sz w:val="24"/>
          <w:szCs w:val="24"/>
          <w:lang w:val="en-US"/>
        </w:rPr>
        <w:t xml:space="preserve">inequality </w:t>
      </w:r>
      <w:r w:rsidR="006339F0">
        <w:rPr>
          <w:sz w:val="24"/>
          <w:szCs w:val="24"/>
          <w:lang w:val="en-US"/>
        </w:rPr>
        <w:t xml:space="preserve">at the </w:t>
      </w:r>
      <w:r w:rsidR="00E75B00">
        <w:rPr>
          <w:sz w:val="24"/>
          <w:szCs w:val="24"/>
          <w:lang w:val="en-US"/>
        </w:rPr>
        <w:t xml:space="preserve">extremes </w:t>
      </w:r>
      <w:r w:rsidR="006339F0">
        <w:rPr>
          <w:sz w:val="24"/>
          <w:szCs w:val="24"/>
          <w:lang w:val="en-US"/>
        </w:rPr>
        <w:t>of the distribution</w:t>
      </w:r>
      <w:r w:rsidR="00982E1B">
        <w:rPr>
          <w:sz w:val="24"/>
          <w:szCs w:val="24"/>
          <w:lang w:val="en-US"/>
        </w:rPr>
        <w:t xml:space="preserve">, </w:t>
      </w:r>
      <w:r w:rsidR="004B7DE2">
        <w:rPr>
          <w:sz w:val="24"/>
          <w:szCs w:val="24"/>
          <w:lang w:val="en-US"/>
        </w:rPr>
        <w:t xml:space="preserve">with </w:t>
      </w:r>
      <w:r w:rsidR="00E75B00">
        <w:rPr>
          <w:sz w:val="24"/>
          <w:szCs w:val="24"/>
          <w:lang w:val="en-US"/>
        </w:rPr>
        <w:t xml:space="preserve">this </w:t>
      </w:r>
      <w:r w:rsidR="004B7DE2">
        <w:rPr>
          <w:sz w:val="24"/>
          <w:szCs w:val="24"/>
          <w:lang w:val="en-US"/>
        </w:rPr>
        <w:t xml:space="preserve">being </w:t>
      </w:r>
      <w:r w:rsidR="00982E1B">
        <w:rPr>
          <w:sz w:val="24"/>
          <w:szCs w:val="24"/>
          <w:lang w:val="en-US"/>
        </w:rPr>
        <w:t>particular</w:t>
      </w:r>
      <w:r w:rsidR="00E75B00">
        <w:rPr>
          <w:sz w:val="24"/>
          <w:szCs w:val="24"/>
          <w:lang w:val="en-US"/>
        </w:rPr>
        <w:t>ly the case</w:t>
      </w:r>
      <w:r w:rsidR="00982E1B">
        <w:rPr>
          <w:sz w:val="24"/>
          <w:szCs w:val="24"/>
          <w:lang w:val="en-US"/>
        </w:rPr>
        <w:t xml:space="preserve"> at the bottom</w:t>
      </w:r>
      <w:r w:rsidR="006339F0">
        <w:rPr>
          <w:sz w:val="24"/>
          <w:szCs w:val="24"/>
          <w:lang w:val="en-US"/>
        </w:rPr>
        <w:t xml:space="preserve">. </w:t>
      </w:r>
      <w:r w:rsidR="007659B0">
        <w:rPr>
          <w:sz w:val="24"/>
          <w:szCs w:val="24"/>
          <w:lang w:val="en-US"/>
        </w:rPr>
        <w:t xml:space="preserve">In terms of </w:t>
      </w:r>
      <w:r w:rsidR="006339F0">
        <w:rPr>
          <w:sz w:val="24"/>
          <w:szCs w:val="24"/>
          <w:lang w:val="en-US"/>
        </w:rPr>
        <w:t>“</w:t>
      </w:r>
      <w:r w:rsidR="007659B0">
        <w:rPr>
          <w:sz w:val="24"/>
          <w:szCs w:val="24"/>
          <w:lang w:val="en-US"/>
        </w:rPr>
        <w:t xml:space="preserve">general inequality” </w:t>
      </w:r>
      <w:r w:rsidR="00E75B00">
        <w:rPr>
          <w:sz w:val="24"/>
          <w:szCs w:val="24"/>
          <w:lang w:val="en-US"/>
        </w:rPr>
        <w:t>in 2010</w:t>
      </w:r>
      <w:r w:rsidR="004B7DE2">
        <w:rPr>
          <w:sz w:val="24"/>
          <w:szCs w:val="24"/>
          <w:lang w:val="en-US"/>
        </w:rPr>
        <w:t>,</w:t>
      </w:r>
      <w:r w:rsidR="00E75B00">
        <w:rPr>
          <w:sz w:val="24"/>
          <w:szCs w:val="24"/>
          <w:lang w:val="en-US"/>
        </w:rPr>
        <w:t xml:space="preserve"> </w:t>
      </w:r>
      <w:r w:rsidR="007659B0">
        <w:rPr>
          <w:sz w:val="24"/>
          <w:szCs w:val="24"/>
          <w:lang w:val="en-US"/>
        </w:rPr>
        <w:t xml:space="preserve">as conventionally </w:t>
      </w:r>
      <w:r w:rsidR="004B7DE2">
        <w:rPr>
          <w:sz w:val="24"/>
          <w:szCs w:val="24"/>
          <w:lang w:val="en-US"/>
        </w:rPr>
        <w:t xml:space="preserve">reflected in </w:t>
      </w:r>
      <w:r w:rsidR="00E75B00">
        <w:rPr>
          <w:sz w:val="24"/>
          <w:szCs w:val="24"/>
          <w:lang w:val="en-US"/>
        </w:rPr>
        <w:t xml:space="preserve">the </w:t>
      </w:r>
      <w:r w:rsidR="007659B0">
        <w:rPr>
          <w:sz w:val="24"/>
          <w:szCs w:val="24"/>
          <w:lang w:val="en-US"/>
        </w:rPr>
        <w:t xml:space="preserve">Gini </w:t>
      </w:r>
      <w:r w:rsidR="004B7DE2">
        <w:rPr>
          <w:sz w:val="24"/>
          <w:szCs w:val="24"/>
          <w:lang w:val="en-US"/>
        </w:rPr>
        <w:t>coefficient</w:t>
      </w:r>
      <w:r w:rsidR="00E75B00">
        <w:rPr>
          <w:sz w:val="24"/>
          <w:szCs w:val="24"/>
          <w:lang w:val="en-US"/>
        </w:rPr>
        <w:t>,</w:t>
      </w:r>
      <w:r w:rsidR="007659B0">
        <w:rPr>
          <w:sz w:val="24"/>
          <w:szCs w:val="24"/>
          <w:lang w:val="en-US"/>
        </w:rPr>
        <w:t xml:space="preserve"> for instance, </w:t>
      </w:r>
      <w:r w:rsidR="002A2D76">
        <w:rPr>
          <w:sz w:val="24"/>
          <w:szCs w:val="24"/>
          <w:lang w:val="en-US"/>
        </w:rPr>
        <w:t>Israel</w:t>
      </w:r>
      <w:r w:rsidR="007659B0">
        <w:rPr>
          <w:sz w:val="24"/>
          <w:szCs w:val="24"/>
          <w:lang w:val="en-US"/>
        </w:rPr>
        <w:t xml:space="preserve"> is slightly </w:t>
      </w:r>
      <w:r w:rsidR="00982E1B">
        <w:rPr>
          <w:sz w:val="24"/>
          <w:szCs w:val="24"/>
          <w:lang w:val="en-US"/>
        </w:rPr>
        <w:t xml:space="preserve">more </w:t>
      </w:r>
      <w:r w:rsidR="007659B0">
        <w:rPr>
          <w:sz w:val="24"/>
          <w:szCs w:val="24"/>
          <w:lang w:val="en-US"/>
        </w:rPr>
        <w:t xml:space="preserve">unequal than </w:t>
      </w:r>
      <w:r w:rsidR="00E75B00">
        <w:rPr>
          <w:sz w:val="24"/>
          <w:szCs w:val="24"/>
          <w:lang w:val="en-US"/>
        </w:rPr>
        <w:t xml:space="preserve">the </w:t>
      </w:r>
      <w:r w:rsidR="007659B0">
        <w:rPr>
          <w:sz w:val="24"/>
          <w:szCs w:val="24"/>
          <w:lang w:val="en-US"/>
        </w:rPr>
        <w:t xml:space="preserve">U.S. </w:t>
      </w:r>
      <w:r w:rsidR="004B7DE2">
        <w:rPr>
          <w:sz w:val="24"/>
          <w:szCs w:val="24"/>
          <w:lang w:val="en-US"/>
        </w:rPr>
        <w:t xml:space="preserve">But in </w:t>
      </w:r>
      <w:r w:rsidR="007659B0">
        <w:rPr>
          <w:sz w:val="24"/>
          <w:szCs w:val="24"/>
          <w:lang w:val="en-US"/>
        </w:rPr>
        <w:t xml:space="preserve">terms of </w:t>
      </w:r>
      <w:r w:rsidR="003D717B">
        <w:rPr>
          <w:sz w:val="24"/>
          <w:szCs w:val="24"/>
          <w:lang w:val="en-US"/>
        </w:rPr>
        <w:t>“</w:t>
      </w:r>
      <w:r w:rsidR="007659B0">
        <w:rPr>
          <w:sz w:val="24"/>
          <w:szCs w:val="24"/>
          <w:lang w:val="en-US"/>
        </w:rPr>
        <w:t>local</w:t>
      </w:r>
      <w:r w:rsidR="003D717B">
        <w:rPr>
          <w:sz w:val="24"/>
          <w:szCs w:val="24"/>
          <w:lang w:val="en-US"/>
        </w:rPr>
        <w:t>”</w:t>
      </w:r>
      <w:r w:rsidR="007659B0">
        <w:rPr>
          <w:sz w:val="24"/>
          <w:szCs w:val="24"/>
          <w:lang w:val="en-US"/>
        </w:rPr>
        <w:t xml:space="preserve"> inequality</w:t>
      </w:r>
      <w:r w:rsidR="003D717B">
        <w:rPr>
          <w:sz w:val="24"/>
          <w:szCs w:val="24"/>
          <w:lang w:val="en-US"/>
        </w:rPr>
        <w:t xml:space="preserve">, a notion that can </w:t>
      </w:r>
      <w:r w:rsidR="00BE7F69">
        <w:rPr>
          <w:sz w:val="24"/>
          <w:szCs w:val="24"/>
          <w:lang w:val="en-US"/>
        </w:rPr>
        <w:t xml:space="preserve">be </w:t>
      </w:r>
      <w:r w:rsidR="003D717B">
        <w:rPr>
          <w:sz w:val="24"/>
          <w:szCs w:val="24"/>
          <w:lang w:val="en-US"/>
        </w:rPr>
        <w:t>intuitively define</w:t>
      </w:r>
      <w:r w:rsidR="00BE7F69">
        <w:rPr>
          <w:sz w:val="24"/>
          <w:szCs w:val="24"/>
          <w:lang w:val="en-US"/>
        </w:rPr>
        <w:t>d</w:t>
      </w:r>
      <w:r w:rsidR="003D717B">
        <w:rPr>
          <w:sz w:val="24"/>
          <w:szCs w:val="24"/>
          <w:lang w:val="en-US"/>
        </w:rPr>
        <w:t xml:space="preserve"> as</w:t>
      </w:r>
      <w:r w:rsidR="00EA7617">
        <w:rPr>
          <w:sz w:val="24"/>
          <w:szCs w:val="24"/>
          <w:lang w:val="en-US"/>
        </w:rPr>
        <w:t xml:space="preserve"> </w:t>
      </w:r>
      <w:r w:rsidR="004B7DE2">
        <w:rPr>
          <w:sz w:val="24"/>
          <w:szCs w:val="24"/>
          <w:lang w:val="en-US"/>
        </w:rPr>
        <w:t xml:space="preserve">a </w:t>
      </w:r>
      <w:r w:rsidR="00EA7617">
        <w:rPr>
          <w:sz w:val="24"/>
          <w:szCs w:val="24"/>
          <w:lang w:val="en-US"/>
        </w:rPr>
        <w:t>local stretching</w:t>
      </w:r>
      <w:r w:rsidR="004B7DE2">
        <w:rPr>
          <w:sz w:val="24"/>
          <w:szCs w:val="24"/>
          <w:lang w:val="en-US"/>
        </w:rPr>
        <w:t>-out</w:t>
      </w:r>
      <w:r w:rsidR="00EA7617">
        <w:rPr>
          <w:sz w:val="24"/>
          <w:szCs w:val="24"/>
          <w:lang w:val="en-US"/>
        </w:rPr>
        <w:t xml:space="preserve"> of the distribution</w:t>
      </w:r>
      <w:r w:rsidR="007659B0">
        <w:rPr>
          <w:sz w:val="24"/>
          <w:szCs w:val="24"/>
          <w:lang w:val="en-US"/>
        </w:rPr>
        <w:t xml:space="preserve">, the </w:t>
      </w:r>
      <w:r w:rsidR="008852C6">
        <w:rPr>
          <w:sz w:val="24"/>
          <w:szCs w:val="24"/>
          <w:lang w:val="en-US"/>
        </w:rPr>
        <w:t xml:space="preserve">Israel/U.S. comparison </w:t>
      </w:r>
      <w:r w:rsidR="007659B0">
        <w:rPr>
          <w:sz w:val="24"/>
          <w:szCs w:val="24"/>
          <w:lang w:val="en-US"/>
        </w:rPr>
        <w:t xml:space="preserve">is </w:t>
      </w:r>
      <w:r w:rsidR="00443B3F">
        <w:rPr>
          <w:sz w:val="24"/>
          <w:szCs w:val="24"/>
          <w:lang w:val="en-US"/>
        </w:rPr>
        <w:t xml:space="preserve">obviously </w:t>
      </w:r>
      <w:r w:rsidR="004B7DE2">
        <w:rPr>
          <w:sz w:val="24"/>
          <w:szCs w:val="24"/>
          <w:lang w:val="en-US"/>
        </w:rPr>
        <w:t xml:space="preserve">much </w:t>
      </w:r>
      <w:r w:rsidR="007659B0">
        <w:rPr>
          <w:sz w:val="24"/>
          <w:szCs w:val="24"/>
          <w:lang w:val="en-US"/>
        </w:rPr>
        <w:t>more complicated</w:t>
      </w:r>
      <w:r w:rsidR="008852C6">
        <w:rPr>
          <w:sz w:val="24"/>
          <w:szCs w:val="24"/>
          <w:lang w:val="en-US"/>
        </w:rPr>
        <w:t>,</w:t>
      </w:r>
      <w:r w:rsidR="00443B3F">
        <w:rPr>
          <w:sz w:val="24"/>
          <w:szCs w:val="24"/>
          <w:lang w:val="en-US"/>
        </w:rPr>
        <w:t xml:space="preserve"> </w:t>
      </w:r>
      <w:r w:rsidR="004B7DE2">
        <w:rPr>
          <w:sz w:val="24"/>
          <w:szCs w:val="24"/>
          <w:lang w:val="en-US"/>
        </w:rPr>
        <w:t xml:space="preserve">with there being both more and less </w:t>
      </w:r>
      <w:r w:rsidR="00443B3F">
        <w:rPr>
          <w:sz w:val="24"/>
          <w:szCs w:val="24"/>
          <w:lang w:val="en-US"/>
        </w:rPr>
        <w:t xml:space="preserve">inequality </w:t>
      </w:r>
      <w:r w:rsidR="004B7DE2">
        <w:rPr>
          <w:sz w:val="24"/>
          <w:szCs w:val="24"/>
          <w:lang w:val="en-US"/>
        </w:rPr>
        <w:t xml:space="preserve">across </w:t>
      </w:r>
      <w:r w:rsidR="00443B3F">
        <w:rPr>
          <w:sz w:val="24"/>
          <w:szCs w:val="24"/>
          <w:lang w:val="en-US"/>
        </w:rPr>
        <w:t xml:space="preserve">various segments of the income </w:t>
      </w:r>
      <w:r w:rsidR="004B7DE2">
        <w:rPr>
          <w:sz w:val="24"/>
          <w:szCs w:val="24"/>
          <w:lang w:val="en-US"/>
        </w:rPr>
        <w:t>distribution</w:t>
      </w:r>
      <w:r w:rsidR="007659B0">
        <w:rPr>
          <w:sz w:val="24"/>
          <w:szCs w:val="24"/>
          <w:lang w:val="en-US"/>
        </w:rPr>
        <w:t xml:space="preserve">. </w:t>
      </w:r>
      <w:r w:rsidR="008852C6">
        <w:rPr>
          <w:sz w:val="24"/>
          <w:szCs w:val="24"/>
          <w:lang w:val="en-US"/>
        </w:rPr>
        <w:t xml:space="preserve">This kind of ambiguous situation </w:t>
      </w:r>
      <w:r w:rsidR="004B7DE2">
        <w:rPr>
          <w:sz w:val="24"/>
          <w:szCs w:val="24"/>
          <w:lang w:val="en-US"/>
        </w:rPr>
        <w:t>is related</w:t>
      </w:r>
      <w:r w:rsidR="008852C6">
        <w:rPr>
          <w:sz w:val="24"/>
          <w:szCs w:val="24"/>
          <w:lang w:val="en-US"/>
        </w:rPr>
        <w:t xml:space="preserve"> to </w:t>
      </w:r>
      <w:r w:rsidR="00E75B00">
        <w:rPr>
          <w:sz w:val="24"/>
          <w:szCs w:val="24"/>
          <w:lang w:val="en-US"/>
        </w:rPr>
        <w:t xml:space="preserve">the </w:t>
      </w:r>
      <w:r w:rsidR="0041631B">
        <w:rPr>
          <w:sz w:val="24"/>
          <w:szCs w:val="24"/>
          <w:lang w:val="en-US"/>
        </w:rPr>
        <w:t>well-known problem</w:t>
      </w:r>
      <w:r w:rsidR="008852C6">
        <w:rPr>
          <w:sz w:val="24"/>
          <w:szCs w:val="24"/>
          <w:lang w:val="en-US"/>
        </w:rPr>
        <w:t xml:space="preserve"> </w:t>
      </w:r>
      <w:r w:rsidR="00982E1B">
        <w:rPr>
          <w:sz w:val="24"/>
          <w:szCs w:val="24"/>
          <w:lang w:val="en-US"/>
        </w:rPr>
        <w:t xml:space="preserve">of </w:t>
      </w:r>
      <w:r w:rsidR="004B7DE2">
        <w:rPr>
          <w:sz w:val="24"/>
          <w:szCs w:val="24"/>
          <w:lang w:val="en-US"/>
        </w:rPr>
        <w:t xml:space="preserve">the comparison of </w:t>
      </w:r>
      <w:r w:rsidR="008852C6">
        <w:rPr>
          <w:sz w:val="24"/>
          <w:szCs w:val="24"/>
          <w:lang w:val="en-US"/>
        </w:rPr>
        <w:t>Gini coefficients</w:t>
      </w:r>
      <w:r w:rsidR="00982E1B">
        <w:rPr>
          <w:sz w:val="24"/>
          <w:szCs w:val="24"/>
          <w:lang w:val="en-US"/>
        </w:rPr>
        <w:t xml:space="preserve"> when the associated </w:t>
      </w:r>
      <w:r w:rsidR="008852C6">
        <w:rPr>
          <w:sz w:val="24"/>
          <w:szCs w:val="24"/>
          <w:lang w:val="en-US"/>
        </w:rPr>
        <w:t>Lorenz curves</w:t>
      </w:r>
      <w:r w:rsidR="00982E1B">
        <w:rPr>
          <w:sz w:val="24"/>
          <w:szCs w:val="24"/>
          <w:lang w:val="en-US"/>
        </w:rPr>
        <w:t xml:space="preserve"> cross</w:t>
      </w:r>
      <w:r w:rsidR="004B7DE2">
        <w:rPr>
          <w:sz w:val="24"/>
          <w:szCs w:val="24"/>
          <w:lang w:val="en-US"/>
        </w:rPr>
        <w:t xml:space="preserve"> each other</w:t>
      </w:r>
      <w:r w:rsidR="008852C6">
        <w:rPr>
          <w:sz w:val="24"/>
          <w:szCs w:val="24"/>
          <w:lang w:val="en-US"/>
        </w:rPr>
        <w:t xml:space="preserve">. </w:t>
      </w:r>
      <w:r w:rsidR="004B7DE2">
        <w:rPr>
          <w:sz w:val="24"/>
          <w:szCs w:val="24"/>
          <w:lang w:val="en-US"/>
        </w:rPr>
        <w:t xml:space="preserve">We aim to resolve this ambiguity by </w:t>
      </w:r>
      <w:r w:rsidR="009B2E25">
        <w:rPr>
          <w:sz w:val="24"/>
          <w:szCs w:val="24"/>
          <w:lang w:val="en-US"/>
        </w:rPr>
        <w:t>generaliz</w:t>
      </w:r>
      <w:r w:rsidR="004B7DE2">
        <w:rPr>
          <w:sz w:val="24"/>
          <w:szCs w:val="24"/>
          <w:lang w:val="en-US"/>
        </w:rPr>
        <w:t>ing</w:t>
      </w:r>
      <w:r w:rsidR="009B2E25">
        <w:rPr>
          <w:sz w:val="24"/>
          <w:szCs w:val="24"/>
          <w:lang w:val="en-US"/>
        </w:rPr>
        <w:t xml:space="preserve"> the idea of diversity in “local inequality” </w:t>
      </w:r>
      <w:r w:rsidR="004B7DE2">
        <w:rPr>
          <w:sz w:val="24"/>
          <w:szCs w:val="24"/>
          <w:lang w:val="en-US"/>
        </w:rPr>
        <w:t xml:space="preserve">over </w:t>
      </w:r>
      <w:r w:rsidR="009B2E25">
        <w:rPr>
          <w:sz w:val="24"/>
          <w:szCs w:val="24"/>
          <w:lang w:val="en-US"/>
        </w:rPr>
        <w:t xml:space="preserve">the income </w:t>
      </w:r>
      <w:r w:rsidR="004B7DE2">
        <w:rPr>
          <w:sz w:val="24"/>
          <w:szCs w:val="24"/>
          <w:lang w:val="en-US"/>
        </w:rPr>
        <w:t>distribution</w:t>
      </w:r>
      <w:r w:rsidR="00BF62E1">
        <w:rPr>
          <w:sz w:val="24"/>
          <w:szCs w:val="24"/>
          <w:lang w:val="en-US"/>
        </w:rPr>
        <w:t>.</w:t>
      </w:r>
      <w:r w:rsidR="00AF4ABC">
        <w:rPr>
          <w:rStyle w:val="FootnoteReference"/>
          <w:sz w:val="24"/>
          <w:szCs w:val="24"/>
          <w:lang w:val="en-US"/>
        </w:rPr>
        <w:footnoteReference w:id="5"/>
      </w:r>
      <w:r w:rsidR="00C3029F">
        <w:rPr>
          <w:sz w:val="24"/>
          <w:szCs w:val="24"/>
          <w:lang w:val="en-US"/>
        </w:rPr>
        <w:t xml:space="preserve"> </w:t>
      </w:r>
      <w:r w:rsidR="004B7DE2">
        <w:rPr>
          <w:sz w:val="24"/>
          <w:szCs w:val="24"/>
          <w:lang w:val="en-US"/>
        </w:rPr>
        <w:t>We propose</w:t>
      </w:r>
      <w:r w:rsidR="00C3029F">
        <w:rPr>
          <w:sz w:val="24"/>
          <w:szCs w:val="24"/>
          <w:lang w:val="en-US"/>
        </w:rPr>
        <w:t xml:space="preserve"> an </w:t>
      </w:r>
      <w:r w:rsidR="00E913D4">
        <w:rPr>
          <w:sz w:val="24"/>
          <w:szCs w:val="24"/>
          <w:lang w:val="en-GB"/>
        </w:rPr>
        <w:t xml:space="preserve">analysis </w:t>
      </w:r>
      <w:r w:rsidR="00C3029F">
        <w:rPr>
          <w:sz w:val="24"/>
          <w:szCs w:val="24"/>
          <w:lang w:val="en-GB"/>
        </w:rPr>
        <w:t xml:space="preserve">in terms of </w:t>
      </w:r>
      <w:r w:rsidR="006022DB">
        <w:rPr>
          <w:sz w:val="24"/>
          <w:szCs w:val="24"/>
          <w:lang w:val="en-GB"/>
        </w:rPr>
        <w:t>the shape of inequalities</w:t>
      </w:r>
      <w:r w:rsidR="00134B66">
        <w:rPr>
          <w:sz w:val="24"/>
          <w:szCs w:val="24"/>
          <w:lang w:val="en-GB"/>
        </w:rPr>
        <w:t xml:space="preserve"> that has </w:t>
      </w:r>
      <w:r w:rsidR="004B7DE2">
        <w:rPr>
          <w:sz w:val="24"/>
          <w:szCs w:val="24"/>
          <w:lang w:val="en-GB"/>
        </w:rPr>
        <w:t>in general</w:t>
      </w:r>
      <w:r w:rsidR="00134B66">
        <w:rPr>
          <w:sz w:val="24"/>
          <w:szCs w:val="24"/>
          <w:lang w:val="en-GB"/>
        </w:rPr>
        <w:t xml:space="preserve"> </w:t>
      </w:r>
      <w:r w:rsidR="0041631B" w:rsidRPr="0041631B">
        <w:rPr>
          <w:sz w:val="24"/>
          <w:szCs w:val="24"/>
          <w:lang w:val="en-GB"/>
        </w:rPr>
        <w:t xml:space="preserve">been neglected </w:t>
      </w:r>
      <w:r w:rsidR="004B7DE2">
        <w:rPr>
          <w:sz w:val="24"/>
          <w:szCs w:val="24"/>
          <w:lang w:val="en-GB"/>
        </w:rPr>
        <w:t>to date</w:t>
      </w:r>
      <w:r w:rsidR="006022DB">
        <w:rPr>
          <w:sz w:val="24"/>
          <w:szCs w:val="24"/>
          <w:lang w:val="en-GB"/>
        </w:rPr>
        <w:t>.</w:t>
      </w:r>
      <w:r w:rsidR="00BF62E1">
        <w:rPr>
          <w:rStyle w:val="FootnoteReference"/>
          <w:sz w:val="24"/>
          <w:szCs w:val="24"/>
          <w:lang w:val="en-GB"/>
        </w:rPr>
        <w:footnoteReference w:id="6"/>
      </w:r>
      <w:r w:rsidR="006022DB">
        <w:rPr>
          <w:sz w:val="24"/>
          <w:szCs w:val="24"/>
          <w:lang w:val="en-GB"/>
        </w:rPr>
        <w:t xml:space="preserve"> </w:t>
      </w:r>
    </w:p>
    <w:p w:rsidR="00174D1B" w:rsidRDefault="00683242" w:rsidP="00AC6A18">
      <w:pPr>
        <w:spacing w:after="120" w:line="480" w:lineRule="auto"/>
        <w:rPr>
          <w:sz w:val="24"/>
          <w:szCs w:val="24"/>
          <w:lang w:val="en-GB"/>
        </w:rPr>
      </w:pPr>
      <w:r>
        <w:rPr>
          <w:sz w:val="24"/>
          <w:szCs w:val="24"/>
          <w:lang w:val="en-GB"/>
        </w:rPr>
        <w:t xml:space="preserve">We </w:t>
      </w:r>
      <w:r w:rsidR="006F0543">
        <w:rPr>
          <w:sz w:val="24"/>
          <w:szCs w:val="24"/>
          <w:lang w:val="en-GB"/>
        </w:rPr>
        <w:t xml:space="preserve">first </w:t>
      </w:r>
      <w:r>
        <w:rPr>
          <w:sz w:val="24"/>
          <w:szCs w:val="24"/>
          <w:lang w:val="en-GB"/>
        </w:rPr>
        <w:t>discuss</w:t>
      </w:r>
      <w:r w:rsidR="006D0D90">
        <w:rPr>
          <w:sz w:val="24"/>
          <w:szCs w:val="24"/>
          <w:lang w:val="en-GB"/>
        </w:rPr>
        <w:t xml:space="preserve"> </w:t>
      </w:r>
      <w:r w:rsidR="00AC6A18">
        <w:rPr>
          <w:sz w:val="24"/>
          <w:szCs w:val="24"/>
          <w:lang w:val="en-GB"/>
        </w:rPr>
        <w:t xml:space="preserve">how </w:t>
      </w:r>
      <w:r w:rsidR="006F0543">
        <w:rPr>
          <w:sz w:val="24"/>
          <w:szCs w:val="24"/>
          <w:lang w:val="en-GB"/>
        </w:rPr>
        <w:t xml:space="preserve">the </w:t>
      </w:r>
      <w:r w:rsidR="00472786">
        <w:rPr>
          <w:sz w:val="24"/>
          <w:szCs w:val="24"/>
          <w:lang w:val="en-GB"/>
        </w:rPr>
        <w:t>well</w:t>
      </w:r>
      <w:r w:rsidR="006D0D90">
        <w:rPr>
          <w:sz w:val="24"/>
          <w:szCs w:val="24"/>
          <w:lang w:val="en-GB"/>
        </w:rPr>
        <w:t>-</w:t>
      </w:r>
      <w:r w:rsidR="00472786">
        <w:rPr>
          <w:sz w:val="24"/>
          <w:szCs w:val="24"/>
          <w:lang w:val="en-GB"/>
        </w:rPr>
        <w:t>known</w:t>
      </w:r>
      <w:r w:rsidR="006F0543">
        <w:rPr>
          <w:sz w:val="24"/>
          <w:szCs w:val="24"/>
          <w:lang w:val="en-GB"/>
        </w:rPr>
        <w:t xml:space="preserve"> </w:t>
      </w:r>
      <w:r w:rsidR="006F0543">
        <w:rPr>
          <w:sz w:val="24"/>
          <w:szCs w:val="28"/>
          <w:lang w:val="en-US"/>
        </w:rPr>
        <w:t xml:space="preserve">Champernowne I – Fisk (CF) </w:t>
      </w:r>
      <w:r w:rsidR="006F0543">
        <w:rPr>
          <w:sz w:val="24"/>
          <w:szCs w:val="24"/>
          <w:lang w:val="en-GB"/>
        </w:rPr>
        <w:t>distribution (Champernowne, 1937</w:t>
      </w:r>
      <w:r w:rsidR="008C78BB">
        <w:rPr>
          <w:sz w:val="24"/>
          <w:szCs w:val="24"/>
          <w:lang w:val="en-GB"/>
        </w:rPr>
        <w:t xml:space="preserve">, </w:t>
      </w:r>
      <w:r w:rsidR="006F0543">
        <w:rPr>
          <w:sz w:val="24"/>
          <w:szCs w:val="24"/>
          <w:lang w:val="en-GB"/>
        </w:rPr>
        <w:t>Fisk, 1961)</w:t>
      </w:r>
      <w:r w:rsidR="00AC6A18">
        <w:rPr>
          <w:sz w:val="24"/>
          <w:szCs w:val="24"/>
          <w:lang w:val="en-GB"/>
        </w:rPr>
        <w:t xml:space="preserve"> can be used as a baseline for local inequality analysis. From this baseline, </w:t>
      </w:r>
      <w:r>
        <w:rPr>
          <w:sz w:val="24"/>
          <w:szCs w:val="24"/>
          <w:lang w:val="en-GB"/>
        </w:rPr>
        <w:t xml:space="preserve">we propose </w:t>
      </w:r>
      <w:r w:rsidR="008059D9">
        <w:rPr>
          <w:sz w:val="24"/>
          <w:szCs w:val="24"/>
          <w:lang w:val="en-GB"/>
        </w:rPr>
        <w:t>the “Isograph”</w:t>
      </w:r>
      <w:r w:rsidR="00B80144">
        <w:rPr>
          <w:sz w:val="24"/>
          <w:szCs w:val="24"/>
          <w:lang w:val="en-GB"/>
        </w:rPr>
        <w:t xml:space="preserve">, a </w:t>
      </w:r>
      <w:r w:rsidR="00B03642">
        <w:rPr>
          <w:sz w:val="24"/>
          <w:szCs w:val="24"/>
          <w:lang w:val="en-GB"/>
        </w:rPr>
        <w:t>tool</w:t>
      </w:r>
      <w:r w:rsidR="00B80144">
        <w:rPr>
          <w:sz w:val="24"/>
          <w:szCs w:val="24"/>
          <w:lang w:val="en-GB"/>
        </w:rPr>
        <w:t xml:space="preserve"> </w:t>
      </w:r>
      <w:r>
        <w:rPr>
          <w:sz w:val="24"/>
          <w:szCs w:val="24"/>
          <w:lang w:val="en-GB"/>
        </w:rPr>
        <w:t xml:space="preserve">which </w:t>
      </w:r>
      <w:r w:rsidR="00B80144">
        <w:rPr>
          <w:sz w:val="24"/>
          <w:szCs w:val="24"/>
          <w:lang w:val="en-GB"/>
        </w:rPr>
        <w:t>represent</w:t>
      </w:r>
      <w:r>
        <w:rPr>
          <w:sz w:val="24"/>
          <w:szCs w:val="24"/>
          <w:lang w:val="en-GB"/>
        </w:rPr>
        <w:t>s</w:t>
      </w:r>
      <w:r w:rsidR="00B80144">
        <w:rPr>
          <w:sz w:val="24"/>
          <w:szCs w:val="24"/>
          <w:lang w:val="en-GB"/>
        </w:rPr>
        <w:t xml:space="preserve"> the diversity of local </w:t>
      </w:r>
      <w:r w:rsidR="00B80144">
        <w:rPr>
          <w:sz w:val="24"/>
          <w:szCs w:val="24"/>
          <w:lang w:val="en-GB"/>
        </w:rPr>
        <w:lastRenderedPageBreak/>
        <w:t xml:space="preserve">inequality </w:t>
      </w:r>
      <w:r>
        <w:rPr>
          <w:sz w:val="24"/>
          <w:szCs w:val="24"/>
          <w:lang w:val="en-GB"/>
        </w:rPr>
        <w:t xml:space="preserve">over </w:t>
      </w:r>
      <w:r w:rsidR="00B80144">
        <w:rPr>
          <w:sz w:val="24"/>
          <w:szCs w:val="24"/>
          <w:lang w:val="en-GB"/>
        </w:rPr>
        <w:t xml:space="preserve">the income </w:t>
      </w:r>
      <w:r>
        <w:rPr>
          <w:sz w:val="24"/>
          <w:szCs w:val="24"/>
          <w:lang w:val="en-GB"/>
        </w:rPr>
        <w:t>distribution</w:t>
      </w:r>
      <w:r w:rsidR="009923AB">
        <w:rPr>
          <w:sz w:val="24"/>
          <w:szCs w:val="24"/>
          <w:lang w:val="en-GB"/>
        </w:rPr>
        <w:t xml:space="preserve">: </w:t>
      </w:r>
      <w:r>
        <w:rPr>
          <w:sz w:val="24"/>
          <w:szCs w:val="24"/>
          <w:lang w:val="en-GB"/>
        </w:rPr>
        <w:t xml:space="preserve">this </w:t>
      </w:r>
      <w:r w:rsidR="00AC6A18">
        <w:rPr>
          <w:sz w:val="24"/>
          <w:szCs w:val="24"/>
          <w:lang w:val="en-GB"/>
        </w:rPr>
        <w:t xml:space="preserve">reveals how the empirical degree of inequality can be deducted </w:t>
      </w:r>
      <w:r w:rsidR="008059D9">
        <w:rPr>
          <w:sz w:val="24"/>
          <w:szCs w:val="24"/>
          <w:lang w:val="en-GB"/>
        </w:rPr>
        <w:t>from the CF hypothesis</w:t>
      </w:r>
      <w:r w:rsidR="00472786">
        <w:rPr>
          <w:sz w:val="24"/>
          <w:szCs w:val="24"/>
          <w:lang w:val="en-GB"/>
        </w:rPr>
        <w:t xml:space="preserve"> at the median but with additional</w:t>
      </w:r>
      <w:r w:rsidR="008059D9">
        <w:rPr>
          <w:sz w:val="24"/>
          <w:szCs w:val="24"/>
          <w:lang w:val="en-GB"/>
        </w:rPr>
        <w:t xml:space="preserve"> </w:t>
      </w:r>
      <w:r>
        <w:rPr>
          <w:sz w:val="24"/>
          <w:szCs w:val="24"/>
          <w:lang w:val="en-GB"/>
        </w:rPr>
        <w:t>curvature</w:t>
      </w:r>
      <w:r w:rsidR="00472786">
        <w:rPr>
          <w:sz w:val="24"/>
          <w:szCs w:val="24"/>
          <w:lang w:val="en-GB"/>
        </w:rPr>
        <w:t xml:space="preserve"> at </w:t>
      </w:r>
      <w:r w:rsidR="008059D9">
        <w:rPr>
          <w:sz w:val="24"/>
          <w:szCs w:val="24"/>
          <w:lang w:val="en-GB"/>
        </w:rPr>
        <w:t>the top and bottom</w:t>
      </w:r>
      <w:r w:rsidR="00472786">
        <w:rPr>
          <w:sz w:val="24"/>
          <w:szCs w:val="24"/>
          <w:lang w:val="en-GB"/>
        </w:rPr>
        <w:t xml:space="preserve"> of the distribution</w:t>
      </w:r>
      <w:r w:rsidR="007F5DF3">
        <w:rPr>
          <w:sz w:val="24"/>
          <w:szCs w:val="24"/>
          <w:lang w:val="en-GB"/>
        </w:rPr>
        <w:t>.</w:t>
      </w:r>
      <w:r w:rsidR="00D033BD">
        <w:rPr>
          <w:rStyle w:val="FootnoteReference"/>
          <w:sz w:val="24"/>
          <w:szCs w:val="24"/>
          <w:lang w:val="en-GB"/>
        </w:rPr>
        <w:footnoteReference w:id="7"/>
      </w:r>
      <w:r w:rsidR="007F5DF3">
        <w:rPr>
          <w:sz w:val="24"/>
          <w:szCs w:val="24"/>
          <w:lang w:val="en-GB"/>
        </w:rPr>
        <w:t xml:space="preserve"> </w:t>
      </w:r>
      <w:r>
        <w:rPr>
          <w:sz w:val="24"/>
          <w:szCs w:val="24"/>
          <w:lang w:val="en-GB"/>
        </w:rPr>
        <w:t>We t</w:t>
      </w:r>
      <w:r w:rsidR="00E913D4">
        <w:rPr>
          <w:sz w:val="24"/>
          <w:szCs w:val="24"/>
          <w:lang w:val="en-GB"/>
        </w:rPr>
        <w:t>he</w:t>
      </w:r>
      <w:r w:rsidR="008059D9">
        <w:rPr>
          <w:sz w:val="24"/>
          <w:szCs w:val="24"/>
          <w:lang w:val="en-GB"/>
        </w:rPr>
        <w:t>refore</w:t>
      </w:r>
      <w:r>
        <w:rPr>
          <w:sz w:val="24"/>
          <w:szCs w:val="24"/>
          <w:lang w:val="en-GB"/>
        </w:rPr>
        <w:t xml:space="preserve"> propose</w:t>
      </w:r>
      <w:r w:rsidR="00E913D4">
        <w:rPr>
          <w:sz w:val="24"/>
          <w:szCs w:val="24"/>
          <w:lang w:val="en-GB"/>
        </w:rPr>
        <w:t xml:space="preserve"> </w:t>
      </w:r>
      <w:r w:rsidR="009923AB">
        <w:rPr>
          <w:sz w:val="24"/>
          <w:szCs w:val="24"/>
          <w:lang w:val="en-GB"/>
        </w:rPr>
        <w:t xml:space="preserve">an </w:t>
      </w:r>
      <w:r w:rsidR="00D155C7" w:rsidRPr="00D155C7">
        <w:rPr>
          <w:rFonts w:ascii="Symbol" w:hAnsi="Symbol"/>
          <w:sz w:val="24"/>
          <w:szCs w:val="24"/>
          <w:lang w:val="en-GB"/>
        </w:rPr>
        <w:t></w:t>
      </w:r>
      <w:r w:rsidR="009923AB">
        <w:rPr>
          <w:sz w:val="24"/>
          <w:szCs w:val="24"/>
          <w:lang w:val="en-GB"/>
        </w:rPr>
        <w:t xml:space="preserve">, </w:t>
      </w:r>
      <w:r w:rsidR="00E975F0" w:rsidRPr="00E975F0">
        <w:rPr>
          <w:rFonts w:ascii="Symbol" w:hAnsi="Symbol"/>
          <w:sz w:val="24"/>
          <w:szCs w:val="24"/>
          <w:lang w:val="en-GB"/>
        </w:rPr>
        <w:t></w:t>
      </w:r>
      <w:r w:rsidR="009923AB">
        <w:rPr>
          <w:sz w:val="24"/>
          <w:szCs w:val="24"/>
          <w:lang w:val="en-GB"/>
        </w:rPr>
        <w:t xml:space="preserve">, </w:t>
      </w:r>
      <w:r w:rsidR="00E975F0" w:rsidRPr="00E975F0">
        <w:rPr>
          <w:rFonts w:ascii="Symbol" w:hAnsi="Symbol"/>
          <w:sz w:val="24"/>
          <w:szCs w:val="24"/>
          <w:lang w:val="en-GB"/>
        </w:rPr>
        <w:t></w:t>
      </w:r>
      <w:r w:rsidR="009923AB">
        <w:rPr>
          <w:sz w:val="24"/>
          <w:szCs w:val="24"/>
          <w:lang w:val="en-GB"/>
        </w:rPr>
        <w:t xml:space="preserve"> </w:t>
      </w:r>
      <w:r w:rsidR="008059D9">
        <w:rPr>
          <w:sz w:val="24"/>
          <w:szCs w:val="24"/>
          <w:lang w:val="en-GB"/>
        </w:rPr>
        <w:t xml:space="preserve">(ABG) </w:t>
      </w:r>
      <w:r w:rsidR="00E913D4">
        <w:rPr>
          <w:sz w:val="24"/>
          <w:szCs w:val="24"/>
          <w:lang w:val="en-GB"/>
        </w:rPr>
        <w:t>method</w:t>
      </w:r>
      <w:r w:rsidR="00C22FAD">
        <w:rPr>
          <w:sz w:val="24"/>
          <w:szCs w:val="24"/>
          <w:lang w:val="en-GB"/>
        </w:rPr>
        <w:t xml:space="preserve"> </w:t>
      </w:r>
      <w:r w:rsidR="0041631B">
        <w:rPr>
          <w:sz w:val="24"/>
          <w:szCs w:val="24"/>
          <w:lang w:val="en-GB"/>
        </w:rPr>
        <w:t xml:space="preserve">of </w:t>
      </w:r>
      <w:r w:rsidR="008059D9">
        <w:rPr>
          <w:sz w:val="24"/>
          <w:szCs w:val="24"/>
          <w:lang w:val="en-GB"/>
        </w:rPr>
        <w:t>estimat</w:t>
      </w:r>
      <w:r w:rsidR="0041631B">
        <w:rPr>
          <w:sz w:val="24"/>
          <w:szCs w:val="24"/>
          <w:lang w:val="en-GB"/>
        </w:rPr>
        <w:t>ing</w:t>
      </w:r>
      <w:r w:rsidR="008059D9">
        <w:rPr>
          <w:sz w:val="24"/>
          <w:szCs w:val="24"/>
          <w:lang w:val="en-GB"/>
        </w:rPr>
        <w:t xml:space="preserve"> three</w:t>
      </w:r>
      <w:r w:rsidR="00C22FAD">
        <w:rPr>
          <w:sz w:val="24"/>
          <w:szCs w:val="24"/>
          <w:lang w:val="en-GB"/>
        </w:rPr>
        <w:t xml:space="preserve"> </w:t>
      </w:r>
      <w:r w:rsidR="003E03A6">
        <w:rPr>
          <w:sz w:val="24"/>
          <w:szCs w:val="24"/>
          <w:lang w:val="en-GB"/>
        </w:rPr>
        <w:t xml:space="preserve">inequality </w:t>
      </w:r>
      <w:r w:rsidR="000231BA">
        <w:rPr>
          <w:sz w:val="24"/>
          <w:szCs w:val="24"/>
          <w:lang w:val="en-GB"/>
        </w:rPr>
        <w:t>parameters</w:t>
      </w:r>
      <w:r w:rsidR="00B80144">
        <w:rPr>
          <w:sz w:val="24"/>
          <w:szCs w:val="24"/>
          <w:lang w:val="en-GB"/>
        </w:rPr>
        <w:t>, compatible with the Pareto properties of the tails</w:t>
      </w:r>
      <w:r w:rsidR="008059D9">
        <w:rPr>
          <w:sz w:val="24"/>
          <w:szCs w:val="24"/>
          <w:lang w:val="en-GB"/>
        </w:rPr>
        <w:t>. T</w:t>
      </w:r>
      <w:r w:rsidR="000231BA">
        <w:rPr>
          <w:sz w:val="24"/>
          <w:szCs w:val="24"/>
          <w:lang w:val="en-GB"/>
        </w:rPr>
        <w:t>he</w:t>
      </w:r>
      <w:r w:rsidR="009923AB">
        <w:rPr>
          <w:sz w:val="24"/>
          <w:szCs w:val="24"/>
          <w:lang w:val="en-GB"/>
        </w:rPr>
        <w:t xml:space="preserve"> related </w:t>
      </w:r>
      <w:r w:rsidR="000231BA">
        <w:rPr>
          <w:sz w:val="24"/>
          <w:szCs w:val="24"/>
          <w:lang w:val="en-GB"/>
        </w:rPr>
        <w:t xml:space="preserve">coefficients are directly interpretable in terms of </w:t>
      </w:r>
      <w:r w:rsidR="00B80144">
        <w:rPr>
          <w:sz w:val="24"/>
          <w:szCs w:val="24"/>
          <w:lang w:val="en-GB"/>
        </w:rPr>
        <w:t>level-</w:t>
      </w:r>
      <w:r w:rsidR="000231BA">
        <w:rPr>
          <w:sz w:val="24"/>
          <w:szCs w:val="24"/>
          <w:lang w:val="en-GB"/>
        </w:rPr>
        <w:t xml:space="preserve">specific </w:t>
      </w:r>
      <w:r w:rsidR="00B80144">
        <w:rPr>
          <w:sz w:val="24"/>
          <w:szCs w:val="24"/>
          <w:lang w:val="en-GB"/>
        </w:rPr>
        <w:t xml:space="preserve">measures </w:t>
      </w:r>
      <w:r w:rsidR="000231BA">
        <w:rPr>
          <w:sz w:val="24"/>
          <w:szCs w:val="24"/>
          <w:lang w:val="en-GB"/>
        </w:rPr>
        <w:t>of inequality</w:t>
      </w:r>
      <w:r w:rsidR="009923AB">
        <w:rPr>
          <w:sz w:val="24"/>
          <w:szCs w:val="24"/>
          <w:lang w:val="en-GB"/>
        </w:rPr>
        <w:t xml:space="preserve">: </w:t>
      </w:r>
      <w:r w:rsidR="003E03A6">
        <w:rPr>
          <w:sz w:val="24"/>
          <w:szCs w:val="24"/>
          <w:lang w:val="en-GB"/>
        </w:rPr>
        <w:t>the</w:t>
      </w:r>
      <w:r w:rsidR="00BE7F69">
        <w:rPr>
          <w:sz w:val="24"/>
          <w:szCs w:val="24"/>
          <w:lang w:val="en-GB"/>
        </w:rPr>
        <w:t xml:space="preserve"> central coefficient (</w:t>
      </w:r>
      <w:r w:rsidR="00BE7F69" w:rsidRPr="00472786">
        <w:rPr>
          <w:rFonts w:ascii="Symbol" w:hAnsi="Symbol"/>
          <w:sz w:val="24"/>
          <w:szCs w:val="24"/>
          <w:lang w:val="en-GB"/>
        </w:rPr>
        <w:t></w:t>
      </w:r>
      <w:r w:rsidR="00BE7F69">
        <w:rPr>
          <w:sz w:val="24"/>
          <w:szCs w:val="24"/>
          <w:lang w:val="en-GB"/>
        </w:rPr>
        <w:t xml:space="preserve">) measures inequality </w:t>
      </w:r>
      <w:r w:rsidR="000231BA">
        <w:rPr>
          <w:sz w:val="24"/>
          <w:szCs w:val="24"/>
          <w:lang w:val="en-GB"/>
        </w:rPr>
        <w:t>at the median</w:t>
      </w:r>
      <w:r w:rsidR="00B80144">
        <w:rPr>
          <w:sz w:val="24"/>
          <w:szCs w:val="24"/>
          <w:lang w:val="en-GB"/>
        </w:rPr>
        <w:t xml:space="preserve"> </w:t>
      </w:r>
      <w:r w:rsidR="009923AB">
        <w:rPr>
          <w:sz w:val="24"/>
          <w:szCs w:val="24"/>
          <w:lang w:val="en-GB"/>
        </w:rPr>
        <w:t>level</w:t>
      </w:r>
      <w:r w:rsidR="000231BA">
        <w:rPr>
          <w:sz w:val="24"/>
          <w:szCs w:val="24"/>
          <w:lang w:val="en-GB"/>
        </w:rPr>
        <w:t xml:space="preserve"> </w:t>
      </w:r>
      <w:r w:rsidR="003E03A6">
        <w:rPr>
          <w:sz w:val="24"/>
          <w:szCs w:val="24"/>
          <w:lang w:val="en-GB"/>
        </w:rPr>
        <w:t xml:space="preserve">with </w:t>
      </w:r>
      <w:r w:rsidR="009923AB">
        <w:rPr>
          <w:sz w:val="24"/>
          <w:szCs w:val="24"/>
          <w:lang w:val="en-GB"/>
        </w:rPr>
        <w:t>correcti</w:t>
      </w:r>
      <w:r w:rsidR="003E03A6">
        <w:rPr>
          <w:sz w:val="24"/>
          <w:szCs w:val="24"/>
          <w:lang w:val="en-GB"/>
        </w:rPr>
        <w:t>on</w:t>
      </w:r>
      <w:r w:rsidR="009923AB">
        <w:rPr>
          <w:sz w:val="24"/>
          <w:szCs w:val="24"/>
          <w:lang w:val="en-GB"/>
        </w:rPr>
        <w:t xml:space="preserve"> </w:t>
      </w:r>
      <w:r w:rsidR="003E03A6">
        <w:rPr>
          <w:sz w:val="24"/>
          <w:szCs w:val="24"/>
          <w:lang w:val="en-GB"/>
        </w:rPr>
        <w:t xml:space="preserve">parameters </w:t>
      </w:r>
      <w:r w:rsidR="009923AB">
        <w:rPr>
          <w:sz w:val="24"/>
          <w:szCs w:val="24"/>
          <w:lang w:val="en-GB"/>
        </w:rPr>
        <w:t xml:space="preserve">at </w:t>
      </w:r>
      <w:r w:rsidR="000231BA">
        <w:rPr>
          <w:sz w:val="24"/>
          <w:szCs w:val="24"/>
          <w:lang w:val="en-GB"/>
        </w:rPr>
        <w:t xml:space="preserve">the top </w:t>
      </w:r>
      <w:r w:rsidR="00B80144">
        <w:rPr>
          <w:sz w:val="24"/>
          <w:szCs w:val="24"/>
          <w:lang w:val="en-GB"/>
        </w:rPr>
        <w:t>(</w:t>
      </w:r>
      <w:r w:rsidR="00472786" w:rsidRPr="00472786">
        <w:rPr>
          <w:rFonts w:ascii="Symbol" w:hAnsi="Symbol"/>
          <w:sz w:val="24"/>
          <w:szCs w:val="24"/>
          <w:lang w:val="en-GB"/>
        </w:rPr>
        <w:t></w:t>
      </w:r>
      <w:r w:rsidR="00B80144">
        <w:rPr>
          <w:sz w:val="24"/>
          <w:szCs w:val="24"/>
          <w:lang w:val="en-GB"/>
        </w:rPr>
        <w:t xml:space="preserve">) </w:t>
      </w:r>
      <w:r w:rsidR="000231BA">
        <w:rPr>
          <w:sz w:val="24"/>
          <w:szCs w:val="24"/>
          <w:lang w:val="en-GB"/>
        </w:rPr>
        <w:t>and bottom</w:t>
      </w:r>
      <w:r w:rsidR="00B80144">
        <w:rPr>
          <w:sz w:val="24"/>
          <w:szCs w:val="24"/>
          <w:lang w:val="en-GB"/>
        </w:rPr>
        <w:t xml:space="preserve"> (</w:t>
      </w:r>
      <w:r w:rsidR="00472786" w:rsidRPr="00472786">
        <w:rPr>
          <w:rFonts w:ascii="Symbol" w:hAnsi="Symbol"/>
          <w:sz w:val="24"/>
          <w:szCs w:val="24"/>
          <w:lang w:val="en-GB"/>
        </w:rPr>
        <w:t></w:t>
      </w:r>
      <w:r w:rsidR="00B80144">
        <w:rPr>
          <w:sz w:val="24"/>
          <w:szCs w:val="24"/>
          <w:lang w:val="en-GB"/>
        </w:rPr>
        <w:t>)</w:t>
      </w:r>
      <w:r w:rsidR="00D05C2B">
        <w:rPr>
          <w:sz w:val="24"/>
          <w:szCs w:val="24"/>
          <w:lang w:val="en-GB"/>
        </w:rPr>
        <w:t xml:space="preserve">. An empirical analysis of </w:t>
      </w:r>
      <w:r w:rsidR="005423EC">
        <w:rPr>
          <w:sz w:val="24"/>
          <w:szCs w:val="24"/>
          <w:lang w:val="en-GB"/>
        </w:rPr>
        <w:t>232</w:t>
      </w:r>
      <w:r w:rsidR="00D05C2B">
        <w:rPr>
          <w:sz w:val="24"/>
          <w:szCs w:val="24"/>
          <w:lang w:val="en-GB"/>
        </w:rPr>
        <w:t xml:space="preserve"> datasets </w:t>
      </w:r>
      <w:r w:rsidR="00C22FAD">
        <w:rPr>
          <w:sz w:val="24"/>
          <w:szCs w:val="24"/>
          <w:lang w:val="en-GB"/>
        </w:rPr>
        <w:t xml:space="preserve">from </w:t>
      </w:r>
      <w:r w:rsidR="00D05C2B">
        <w:rPr>
          <w:sz w:val="24"/>
          <w:szCs w:val="24"/>
          <w:lang w:val="en-GB"/>
        </w:rPr>
        <w:t>4</w:t>
      </w:r>
      <w:r w:rsidR="004B502D">
        <w:rPr>
          <w:sz w:val="24"/>
          <w:szCs w:val="24"/>
          <w:lang w:val="en-GB"/>
        </w:rPr>
        <w:t>1</w:t>
      </w:r>
      <w:r w:rsidR="00D05C2B">
        <w:rPr>
          <w:sz w:val="24"/>
          <w:szCs w:val="24"/>
          <w:lang w:val="en-GB"/>
        </w:rPr>
        <w:t xml:space="preserve"> </w:t>
      </w:r>
      <w:r w:rsidR="009923AB">
        <w:rPr>
          <w:sz w:val="24"/>
          <w:szCs w:val="24"/>
          <w:lang w:val="en-GB"/>
        </w:rPr>
        <w:t xml:space="preserve">different </w:t>
      </w:r>
      <w:r w:rsidR="00D05C2B">
        <w:rPr>
          <w:sz w:val="24"/>
          <w:szCs w:val="24"/>
          <w:lang w:val="en-GB"/>
        </w:rPr>
        <w:t xml:space="preserve">countries </w:t>
      </w:r>
      <w:r w:rsidR="003E03A6">
        <w:rPr>
          <w:sz w:val="24"/>
          <w:szCs w:val="24"/>
          <w:lang w:val="en-GB"/>
        </w:rPr>
        <w:t xml:space="preserve">provides estimates </w:t>
      </w:r>
      <w:r w:rsidR="00D05C2B">
        <w:rPr>
          <w:sz w:val="24"/>
          <w:szCs w:val="24"/>
          <w:lang w:val="en-GB"/>
        </w:rPr>
        <w:t xml:space="preserve">of the </w:t>
      </w:r>
      <w:r w:rsidR="00DE5AF0">
        <w:rPr>
          <w:sz w:val="24"/>
          <w:szCs w:val="24"/>
          <w:lang w:val="en-GB"/>
        </w:rPr>
        <w:t xml:space="preserve">ABG </w:t>
      </w:r>
      <w:r w:rsidR="00D05C2B">
        <w:rPr>
          <w:sz w:val="24"/>
          <w:szCs w:val="24"/>
          <w:lang w:val="en-GB"/>
        </w:rPr>
        <w:t xml:space="preserve">coefficients. </w:t>
      </w:r>
      <w:r w:rsidR="009923AB">
        <w:rPr>
          <w:sz w:val="24"/>
          <w:szCs w:val="24"/>
          <w:lang w:val="en-GB"/>
        </w:rPr>
        <w:t>Th</w:t>
      </w:r>
      <w:r w:rsidR="003E03A6">
        <w:rPr>
          <w:sz w:val="24"/>
          <w:szCs w:val="24"/>
          <w:lang w:val="en-GB"/>
        </w:rPr>
        <w:t xml:space="preserve">e ABG results are </w:t>
      </w:r>
      <w:r w:rsidR="009923AB">
        <w:rPr>
          <w:sz w:val="24"/>
          <w:szCs w:val="24"/>
          <w:lang w:val="en-GB"/>
        </w:rPr>
        <w:t xml:space="preserve">compared to 30 conventional </w:t>
      </w:r>
      <w:r w:rsidR="00DB1E37">
        <w:rPr>
          <w:sz w:val="24"/>
          <w:szCs w:val="24"/>
          <w:lang w:val="en-GB"/>
        </w:rPr>
        <w:t>and</w:t>
      </w:r>
      <w:r w:rsidR="009923AB">
        <w:rPr>
          <w:sz w:val="24"/>
          <w:szCs w:val="24"/>
          <w:lang w:val="en-GB"/>
        </w:rPr>
        <w:t xml:space="preserve"> specialized </w:t>
      </w:r>
      <w:r w:rsidR="003E03A6" w:rsidRPr="003E03A6">
        <w:rPr>
          <w:sz w:val="24"/>
          <w:szCs w:val="24"/>
          <w:lang w:val="en-GB"/>
        </w:rPr>
        <w:t xml:space="preserve">inequality </w:t>
      </w:r>
      <w:r w:rsidR="009923AB">
        <w:rPr>
          <w:sz w:val="24"/>
          <w:szCs w:val="24"/>
          <w:lang w:val="en-GB"/>
        </w:rPr>
        <w:t>indicators/coefficients</w:t>
      </w:r>
      <w:r w:rsidR="006D0D90">
        <w:rPr>
          <w:sz w:val="24"/>
          <w:szCs w:val="24"/>
          <w:lang w:val="en-GB"/>
        </w:rPr>
        <w:t>,</w:t>
      </w:r>
      <w:r w:rsidR="009923AB">
        <w:rPr>
          <w:sz w:val="24"/>
          <w:szCs w:val="24"/>
          <w:lang w:val="en-GB"/>
        </w:rPr>
        <w:t xml:space="preserve"> and </w:t>
      </w:r>
      <w:r w:rsidR="003E03A6">
        <w:rPr>
          <w:sz w:val="24"/>
          <w:szCs w:val="24"/>
          <w:lang w:val="en-GB"/>
        </w:rPr>
        <w:t xml:space="preserve">we </w:t>
      </w:r>
      <w:r w:rsidR="0041631B">
        <w:rPr>
          <w:sz w:val="24"/>
          <w:szCs w:val="24"/>
          <w:lang w:val="en-GB"/>
        </w:rPr>
        <w:t xml:space="preserve">also </w:t>
      </w:r>
      <w:r w:rsidR="003E03A6">
        <w:rPr>
          <w:sz w:val="24"/>
          <w:szCs w:val="24"/>
          <w:lang w:val="en-GB"/>
        </w:rPr>
        <w:t xml:space="preserve">compare its </w:t>
      </w:r>
      <w:r w:rsidR="009923AB">
        <w:rPr>
          <w:sz w:val="24"/>
          <w:szCs w:val="24"/>
          <w:lang w:val="en-GB"/>
        </w:rPr>
        <w:t xml:space="preserve">ability to fit empirical distributions with </w:t>
      </w:r>
      <w:r w:rsidR="003E03A6">
        <w:rPr>
          <w:sz w:val="24"/>
          <w:szCs w:val="24"/>
          <w:lang w:val="en-GB"/>
        </w:rPr>
        <w:t xml:space="preserve">that of </w:t>
      </w:r>
      <w:r w:rsidR="009923AB">
        <w:rPr>
          <w:sz w:val="24"/>
          <w:szCs w:val="24"/>
          <w:lang w:val="en-GB"/>
        </w:rPr>
        <w:t>the GB2</w:t>
      </w:r>
      <w:r w:rsidR="00F82BAE">
        <w:rPr>
          <w:sz w:val="24"/>
          <w:szCs w:val="24"/>
          <w:lang w:val="en-GB"/>
        </w:rPr>
        <w:t xml:space="preserve">, </w:t>
      </w:r>
      <w:r w:rsidR="006D0D90">
        <w:rPr>
          <w:sz w:val="24"/>
          <w:szCs w:val="24"/>
          <w:lang w:val="en-GB"/>
        </w:rPr>
        <w:t xml:space="preserve">which can </w:t>
      </w:r>
      <w:r w:rsidR="00F82BAE">
        <w:rPr>
          <w:sz w:val="24"/>
          <w:szCs w:val="24"/>
          <w:lang w:val="en-GB"/>
        </w:rPr>
        <w:t xml:space="preserve">certainly </w:t>
      </w:r>
      <w:r w:rsidR="006D0D90">
        <w:rPr>
          <w:sz w:val="24"/>
          <w:szCs w:val="24"/>
          <w:lang w:val="en-GB"/>
        </w:rPr>
        <w:t xml:space="preserve">be considered </w:t>
      </w:r>
      <w:r w:rsidR="003E03A6">
        <w:rPr>
          <w:sz w:val="24"/>
          <w:szCs w:val="24"/>
          <w:lang w:val="en-GB"/>
        </w:rPr>
        <w:t xml:space="preserve">as </w:t>
      </w:r>
      <w:r w:rsidR="00F82BAE">
        <w:rPr>
          <w:sz w:val="24"/>
          <w:szCs w:val="24"/>
          <w:lang w:val="en-GB"/>
        </w:rPr>
        <w:t>the most influent</w:t>
      </w:r>
      <w:r w:rsidR="006D0D90">
        <w:rPr>
          <w:sz w:val="24"/>
          <w:szCs w:val="24"/>
          <w:lang w:val="en-GB"/>
        </w:rPr>
        <w:t>ial</w:t>
      </w:r>
      <w:r w:rsidR="00F82BAE">
        <w:rPr>
          <w:sz w:val="24"/>
          <w:szCs w:val="24"/>
          <w:lang w:val="en-GB"/>
        </w:rPr>
        <w:t xml:space="preserve"> distribution in contemporary income analysis </w:t>
      </w:r>
      <w:r w:rsidR="00DB1E37">
        <w:rPr>
          <w:sz w:val="24"/>
          <w:szCs w:val="24"/>
          <w:lang w:val="en-GB"/>
        </w:rPr>
        <w:t>(McDonald</w:t>
      </w:r>
      <w:r w:rsidR="00F82BAE">
        <w:rPr>
          <w:sz w:val="24"/>
          <w:szCs w:val="24"/>
          <w:lang w:val="en-GB"/>
        </w:rPr>
        <w:t>,</w:t>
      </w:r>
      <w:r w:rsidR="00DB1E37">
        <w:rPr>
          <w:sz w:val="24"/>
          <w:szCs w:val="24"/>
          <w:lang w:val="en-GB"/>
        </w:rPr>
        <w:t xml:space="preserve"> 19</w:t>
      </w:r>
      <w:r w:rsidR="00200E18">
        <w:rPr>
          <w:sz w:val="24"/>
          <w:szCs w:val="24"/>
          <w:lang w:val="en-GB"/>
        </w:rPr>
        <w:t>8</w:t>
      </w:r>
      <w:r w:rsidR="00F82BAE">
        <w:rPr>
          <w:sz w:val="24"/>
          <w:szCs w:val="24"/>
          <w:lang w:val="en-GB"/>
        </w:rPr>
        <w:t>4</w:t>
      </w:r>
      <w:r w:rsidR="008C78BB">
        <w:rPr>
          <w:sz w:val="24"/>
          <w:szCs w:val="24"/>
          <w:lang w:val="en-GB"/>
        </w:rPr>
        <w:t xml:space="preserve">, </w:t>
      </w:r>
      <w:r w:rsidR="00F82BAE">
        <w:rPr>
          <w:sz w:val="24"/>
          <w:szCs w:val="24"/>
          <w:lang w:val="en-GB"/>
        </w:rPr>
        <w:t>Jenkins 2009</w:t>
      </w:r>
      <w:r w:rsidR="00DB1E37">
        <w:rPr>
          <w:sz w:val="24"/>
          <w:szCs w:val="24"/>
          <w:lang w:val="en-GB"/>
        </w:rPr>
        <w:t>).</w:t>
      </w:r>
      <w:r w:rsidR="009923AB">
        <w:rPr>
          <w:sz w:val="24"/>
          <w:szCs w:val="24"/>
          <w:lang w:val="en-GB"/>
        </w:rPr>
        <w:t xml:space="preserve"> </w:t>
      </w:r>
      <w:r w:rsidR="0041631B">
        <w:rPr>
          <w:sz w:val="24"/>
          <w:szCs w:val="24"/>
          <w:lang w:val="en-GB"/>
        </w:rPr>
        <w:t>T</w:t>
      </w:r>
      <w:r w:rsidR="009923AB">
        <w:rPr>
          <w:sz w:val="24"/>
          <w:szCs w:val="24"/>
          <w:lang w:val="en-GB"/>
        </w:rPr>
        <w:t>he ad</w:t>
      </w:r>
      <w:r w:rsidR="003E03A6">
        <w:rPr>
          <w:sz w:val="24"/>
          <w:szCs w:val="24"/>
          <w:lang w:val="en-GB"/>
        </w:rPr>
        <w:t>vantag</w:t>
      </w:r>
      <w:r w:rsidR="009923AB">
        <w:rPr>
          <w:sz w:val="24"/>
          <w:szCs w:val="24"/>
          <w:lang w:val="en-GB"/>
        </w:rPr>
        <w:t xml:space="preserve">es </w:t>
      </w:r>
      <w:r w:rsidR="009923AB" w:rsidRPr="00F508F2">
        <w:rPr>
          <w:sz w:val="24"/>
          <w:szCs w:val="24"/>
          <w:lang w:val="en-GB"/>
        </w:rPr>
        <w:t xml:space="preserve">of this </w:t>
      </w:r>
      <w:r w:rsidR="00F82BAE">
        <w:rPr>
          <w:sz w:val="24"/>
          <w:szCs w:val="24"/>
          <w:lang w:val="en-GB"/>
        </w:rPr>
        <w:t xml:space="preserve">ABG </w:t>
      </w:r>
      <w:r w:rsidR="009923AB" w:rsidRPr="00F508F2">
        <w:rPr>
          <w:sz w:val="24"/>
          <w:szCs w:val="24"/>
          <w:lang w:val="en-GB"/>
        </w:rPr>
        <w:t xml:space="preserve">method </w:t>
      </w:r>
      <w:r w:rsidR="0041631B">
        <w:rPr>
          <w:sz w:val="24"/>
          <w:szCs w:val="24"/>
          <w:lang w:val="en-GB"/>
        </w:rPr>
        <w:t xml:space="preserve">are </w:t>
      </w:r>
      <w:r w:rsidR="009923AB" w:rsidRPr="00F508F2">
        <w:rPr>
          <w:sz w:val="24"/>
          <w:szCs w:val="24"/>
          <w:lang w:val="en-GB"/>
        </w:rPr>
        <w:t xml:space="preserve">its ability </w:t>
      </w:r>
      <w:r w:rsidR="00D850C0">
        <w:rPr>
          <w:sz w:val="24"/>
          <w:szCs w:val="24"/>
          <w:lang w:val="en-GB"/>
        </w:rPr>
        <w:t xml:space="preserve">to fit empirical cases, </w:t>
      </w:r>
      <w:r w:rsidR="009923AB" w:rsidRPr="00F508F2">
        <w:rPr>
          <w:sz w:val="24"/>
          <w:szCs w:val="24"/>
          <w:lang w:val="en-GB"/>
        </w:rPr>
        <w:t xml:space="preserve">to help </w:t>
      </w:r>
      <w:r w:rsidR="003E03A6">
        <w:rPr>
          <w:sz w:val="24"/>
          <w:szCs w:val="24"/>
          <w:lang w:val="en-GB"/>
        </w:rPr>
        <w:t xml:space="preserve">us </w:t>
      </w:r>
      <w:r w:rsidR="009923AB" w:rsidRPr="00F508F2">
        <w:rPr>
          <w:sz w:val="24"/>
          <w:szCs w:val="24"/>
          <w:lang w:val="en-GB"/>
        </w:rPr>
        <w:t xml:space="preserve">understand </w:t>
      </w:r>
      <w:r w:rsidR="009923AB">
        <w:rPr>
          <w:sz w:val="24"/>
          <w:szCs w:val="24"/>
          <w:lang w:val="en-GB"/>
        </w:rPr>
        <w:t>the shapes of the distributions (strobiloids)</w:t>
      </w:r>
      <w:r w:rsidR="00D850C0">
        <w:rPr>
          <w:sz w:val="24"/>
          <w:szCs w:val="24"/>
          <w:lang w:val="en-GB"/>
        </w:rPr>
        <w:t xml:space="preserve"> and to provide </w:t>
      </w:r>
      <w:r w:rsidR="009923AB">
        <w:rPr>
          <w:sz w:val="24"/>
          <w:szCs w:val="24"/>
          <w:lang w:val="en-GB"/>
        </w:rPr>
        <w:t>interpretable coefficients.</w:t>
      </w:r>
    </w:p>
    <w:p w:rsidR="006F4A78" w:rsidRPr="00553FCE" w:rsidRDefault="00AC0EBC" w:rsidP="00AC0EBC">
      <w:pPr>
        <w:numPr>
          <w:ilvl w:val="0"/>
          <w:numId w:val="5"/>
        </w:numPr>
        <w:spacing w:after="120" w:line="480" w:lineRule="auto"/>
        <w:rPr>
          <w:b/>
          <w:sz w:val="24"/>
          <w:szCs w:val="24"/>
          <w:lang w:val="en-GB"/>
        </w:rPr>
      </w:pPr>
      <w:r w:rsidRPr="00553FCE">
        <w:rPr>
          <w:b/>
          <w:sz w:val="24"/>
          <w:szCs w:val="24"/>
          <w:lang w:val="en-GB"/>
        </w:rPr>
        <w:t>The CF</w:t>
      </w:r>
      <w:r w:rsidR="00D77F57">
        <w:rPr>
          <w:b/>
          <w:sz w:val="24"/>
          <w:szCs w:val="24"/>
          <w:lang w:val="en-GB"/>
        </w:rPr>
        <w:t xml:space="preserve"> </w:t>
      </w:r>
      <w:r w:rsidRPr="00553FCE">
        <w:rPr>
          <w:b/>
          <w:sz w:val="24"/>
          <w:szCs w:val="24"/>
          <w:lang w:val="en-GB"/>
        </w:rPr>
        <w:t xml:space="preserve">distribution as a baseline </w:t>
      </w:r>
    </w:p>
    <w:p w:rsidR="0041573E" w:rsidRDefault="00AC0EBC" w:rsidP="006F4A78">
      <w:pPr>
        <w:spacing w:after="120" w:line="480" w:lineRule="auto"/>
        <w:rPr>
          <w:sz w:val="24"/>
          <w:szCs w:val="24"/>
          <w:lang w:val="en-GB"/>
        </w:rPr>
      </w:pPr>
      <w:r>
        <w:rPr>
          <w:sz w:val="24"/>
          <w:szCs w:val="24"/>
          <w:lang w:val="en-GB"/>
        </w:rPr>
        <w:t xml:space="preserve">The Champernowne-Fisk distribution is </w:t>
      </w:r>
      <w:r w:rsidR="005F019E">
        <w:rPr>
          <w:sz w:val="24"/>
          <w:szCs w:val="24"/>
          <w:lang w:val="en-GB"/>
        </w:rPr>
        <w:t xml:space="preserve">one of the many statistical </w:t>
      </w:r>
      <w:r>
        <w:rPr>
          <w:sz w:val="24"/>
          <w:szCs w:val="24"/>
          <w:lang w:val="en-GB"/>
        </w:rPr>
        <w:t>law</w:t>
      </w:r>
      <w:r w:rsidR="005F019E">
        <w:rPr>
          <w:sz w:val="24"/>
          <w:szCs w:val="24"/>
          <w:lang w:val="en-GB"/>
        </w:rPr>
        <w:t>s</w:t>
      </w:r>
      <w:r>
        <w:rPr>
          <w:sz w:val="24"/>
          <w:szCs w:val="24"/>
          <w:lang w:val="en-GB"/>
        </w:rPr>
        <w:t xml:space="preserve"> </w:t>
      </w:r>
      <w:r w:rsidR="003E03A6">
        <w:rPr>
          <w:sz w:val="24"/>
          <w:szCs w:val="24"/>
          <w:lang w:val="en-GB"/>
        </w:rPr>
        <w:t xml:space="preserve">used </w:t>
      </w:r>
      <w:r w:rsidR="005F019E">
        <w:rPr>
          <w:sz w:val="24"/>
          <w:szCs w:val="24"/>
          <w:lang w:val="en-GB"/>
        </w:rPr>
        <w:t xml:space="preserve">to </w:t>
      </w:r>
      <w:r>
        <w:rPr>
          <w:sz w:val="24"/>
          <w:szCs w:val="24"/>
          <w:lang w:val="en-GB"/>
        </w:rPr>
        <w:t>model income</w:t>
      </w:r>
      <w:r w:rsidR="005F019E">
        <w:rPr>
          <w:sz w:val="24"/>
          <w:szCs w:val="24"/>
          <w:lang w:val="en-GB"/>
        </w:rPr>
        <w:t>s</w:t>
      </w:r>
      <w:r>
        <w:rPr>
          <w:sz w:val="24"/>
          <w:szCs w:val="24"/>
          <w:lang w:val="en-GB"/>
        </w:rPr>
        <w:t xml:space="preserve">. </w:t>
      </w:r>
      <w:r w:rsidR="003E03A6">
        <w:rPr>
          <w:sz w:val="24"/>
          <w:szCs w:val="24"/>
          <w:lang w:val="en-GB"/>
        </w:rPr>
        <w:t xml:space="preserve">We cannot </w:t>
      </w:r>
      <w:r>
        <w:rPr>
          <w:sz w:val="24"/>
          <w:szCs w:val="24"/>
          <w:lang w:val="en-GB"/>
        </w:rPr>
        <w:t xml:space="preserve">claim </w:t>
      </w:r>
      <w:r w:rsidR="003E03A6">
        <w:rPr>
          <w:sz w:val="24"/>
          <w:szCs w:val="24"/>
          <w:lang w:val="en-GB"/>
        </w:rPr>
        <w:t xml:space="preserve">that </w:t>
      </w:r>
      <w:r w:rsidR="00F15027">
        <w:rPr>
          <w:sz w:val="24"/>
          <w:szCs w:val="24"/>
          <w:lang w:val="en-GB"/>
        </w:rPr>
        <w:t>the CF is the best curve –</w:t>
      </w:r>
      <w:r w:rsidR="00BE7F69">
        <w:rPr>
          <w:sz w:val="24"/>
          <w:szCs w:val="24"/>
          <w:lang w:val="en-GB"/>
        </w:rPr>
        <w:t xml:space="preserve"> </w:t>
      </w:r>
      <w:r>
        <w:rPr>
          <w:sz w:val="24"/>
          <w:szCs w:val="24"/>
          <w:lang w:val="en-GB"/>
        </w:rPr>
        <w:t>the</w:t>
      </w:r>
      <w:r w:rsidR="00F15027">
        <w:rPr>
          <w:sz w:val="24"/>
          <w:szCs w:val="24"/>
          <w:lang w:val="en-GB"/>
        </w:rPr>
        <w:t xml:space="preserve"> </w:t>
      </w:r>
      <w:r>
        <w:rPr>
          <w:sz w:val="24"/>
          <w:szCs w:val="24"/>
          <w:lang w:val="en-GB"/>
        </w:rPr>
        <w:t xml:space="preserve">GB2 </w:t>
      </w:r>
      <w:r w:rsidR="00F77672">
        <w:rPr>
          <w:sz w:val="24"/>
          <w:szCs w:val="24"/>
          <w:lang w:val="en-GB"/>
        </w:rPr>
        <w:t xml:space="preserve">provides </w:t>
      </w:r>
      <w:r w:rsidR="003E03A6">
        <w:rPr>
          <w:sz w:val="24"/>
          <w:szCs w:val="24"/>
          <w:lang w:val="en-GB"/>
        </w:rPr>
        <w:t xml:space="preserve">a </w:t>
      </w:r>
      <w:r w:rsidR="00F77672">
        <w:rPr>
          <w:sz w:val="24"/>
          <w:szCs w:val="24"/>
          <w:lang w:val="en-GB"/>
        </w:rPr>
        <w:t xml:space="preserve">better </w:t>
      </w:r>
      <w:r w:rsidR="003E03A6">
        <w:rPr>
          <w:sz w:val="24"/>
          <w:szCs w:val="24"/>
          <w:lang w:val="en-GB"/>
        </w:rPr>
        <w:t xml:space="preserve">fit </w:t>
      </w:r>
      <w:r w:rsidR="0041573E">
        <w:rPr>
          <w:sz w:val="24"/>
          <w:szCs w:val="24"/>
          <w:lang w:val="en-GB"/>
        </w:rPr>
        <w:t xml:space="preserve">since it is more flexible </w:t>
      </w:r>
      <w:r w:rsidR="003E03A6">
        <w:rPr>
          <w:sz w:val="24"/>
          <w:szCs w:val="24"/>
          <w:lang w:val="en-GB"/>
        </w:rPr>
        <w:t xml:space="preserve">with </w:t>
      </w:r>
      <w:r w:rsidR="0041573E">
        <w:rPr>
          <w:sz w:val="24"/>
          <w:szCs w:val="24"/>
          <w:lang w:val="en-GB"/>
        </w:rPr>
        <w:t xml:space="preserve">two additional parameters </w:t>
      </w:r>
      <w:r w:rsidR="00F15027">
        <w:rPr>
          <w:sz w:val="24"/>
          <w:szCs w:val="24"/>
          <w:lang w:val="en-GB"/>
        </w:rPr>
        <w:t>–</w:t>
      </w:r>
      <w:r>
        <w:rPr>
          <w:sz w:val="24"/>
          <w:szCs w:val="24"/>
          <w:lang w:val="en-GB"/>
        </w:rPr>
        <w:t xml:space="preserve"> but</w:t>
      </w:r>
      <w:r w:rsidR="00F15027">
        <w:rPr>
          <w:sz w:val="24"/>
          <w:szCs w:val="24"/>
          <w:lang w:val="en-GB"/>
        </w:rPr>
        <w:t xml:space="preserve"> </w:t>
      </w:r>
      <w:r w:rsidR="00C70986">
        <w:rPr>
          <w:sz w:val="24"/>
          <w:szCs w:val="24"/>
          <w:lang w:val="en-GB"/>
        </w:rPr>
        <w:t xml:space="preserve">it </w:t>
      </w:r>
      <w:r w:rsidR="0041631B">
        <w:rPr>
          <w:sz w:val="24"/>
          <w:szCs w:val="24"/>
          <w:lang w:val="en-GB"/>
        </w:rPr>
        <w:t>does provide</w:t>
      </w:r>
      <w:r w:rsidR="003E03A6">
        <w:rPr>
          <w:sz w:val="24"/>
          <w:szCs w:val="24"/>
          <w:lang w:val="en-GB"/>
        </w:rPr>
        <w:t xml:space="preserve"> </w:t>
      </w:r>
      <w:r w:rsidR="009D1657">
        <w:rPr>
          <w:sz w:val="24"/>
          <w:szCs w:val="24"/>
          <w:lang w:val="en-GB"/>
        </w:rPr>
        <w:t xml:space="preserve">a simple </w:t>
      </w:r>
      <w:r w:rsidR="00F77672">
        <w:rPr>
          <w:sz w:val="24"/>
          <w:szCs w:val="24"/>
          <w:lang w:val="en-GB"/>
        </w:rPr>
        <w:t xml:space="preserve">template </w:t>
      </w:r>
      <w:r w:rsidR="003E03A6">
        <w:rPr>
          <w:sz w:val="24"/>
          <w:szCs w:val="24"/>
          <w:lang w:val="en-GB"/>
        </w:rPr>
        <w:t xml:space="preserve">which is </w:t>
      </w:r>
      <w:r w:rsidR="00F15027">
        <w:rPr>
          <w:sz w:val="24"/>
          <w:szCs w:val="24"/>
          <w:lang w:val="en-GB"/>
        </w:rPr>
        <w:t xml:space="preserve">able to </w:t>
      </w:r>
      <w:r w:rsidR="003E03A6">
        <w:rPr>
          <w:sz w:val="24"/>
          <w:szCs w:val="24"/>
          <w:lang w:val="en-GB"/>
        </w:rPr>
        <w:t xml:space="preserve">pick up changes in </w:t>
      </w:r>
      <w:r w:rsidR="00C70986">
        <w:rPr>
          <w:sz w:val="24"/>
          <w:szCs w:val="24"/>
          <w:lang w:val="en-GB"/>
        </w:rPr>
        <w:t xml:space="preserve">local inequality. </w:t>
      </w:r>
    </w:p>
    <w:p w:rsidR="0041573E" w:rsidRDefault="0041573E" w:rsidP="0041573E">
      <w:pPr>
        <w:spacing w:after="120" w:line="480" w:lineRule="auto"/>
        <w:rPr>
          <w:sz w:val="24"/>
          <w:szCs w:val="24"/>
          <w:lang w:val="en-GB"/>
        </w:rPr>
      </w:pPr>
      <w:r>
        <w:rPr>
          <w:sz w:val="24"/>
          <w:szCs w:val="24"/>
          <w:lang w:val="en-GB"/>
        </w:rPr>
        <w:t xml:space="preserve">In this CF tradition, we can approximate </w:t>
      </w:r>
      <w:r w:rsidR="003E03A6">
        <w:rPr>
          <w:sz w:val="24"/>
          <w:szCs w:val="24"/>
          <w:lang w:val="en-GB"/>
        </w:rPr>
        <w:t xml:space="preserve">an </w:t>
      </w:r>
      <w:r>
        <w:rPr>
          <w:sz w:val="24"/>
          <w:szCs w:val="24"/>
          <w:lang w:val="en-GB"/>
        </w:rPr>
        <w:t xml:space="preserve">income distribution </w:t>
      </w:r>
      <w:r w:rsidR="003E03A6">
        <w:rPr>
          <w:sz w:val="24"/>
          <w:szCs w:val="24"/>
          <w:lang w:val="en-GB"/>
        </w:rPr>
        <w:t xml:space="preserve">as in equation </w:t>
      </w:r>
      <w:r>
        <w:rPr>
          <w:sz w:val="24"/>
          <w:szCs w:val="24"/>
          <w:lang w:val="en-GB"/>
        </w:rPr>
        <w:t xml:space="preserve">(1). Consider each individual </w:t>
      </w:r>
      <w:r w:rsidRPr="003E03A6">
        <w:rPr>
          <w:i/>
          <w:sz w:val="24"/>
          <w:szCs w:val="24"/>
          <w:lang w:val="en-GB"/>
        </w:rPr>
        <w:t>i</w:t>
      </w:r>
      <w:r>
        <w:rPr>
          <w:sz w:val="24"/>
          <w:szCs w:val="24"/>
          <w:lang w:val="en-GB"/>
        </w:rPr>
        <w:t xml:space="preserve"> (i=1 , … , n) with income y</w:t>
      </w:r>
      <w:r w:rsidRPr="00CC5015">
        <w:rPr>
          <w:sz w:val="24"/>
          <w:szCs w:val="24"/>
          <w:vertAlign w:val="subscript"/>
          <w:lang w:val="en-GB"/>
        </w:rPr>
        <w:t>i</w:t>
      </w:r>
      <w:r>
        <w:rPr>
          <w:sz w:val="24"/>
          <w:szCs w:val="24"/>
          <w:lang w:val="en-GB"/>
        </w:rPr>
        <w:t xml:space="preserve"> &gt; 0; she is above a proportion </w:t>
      </w:r>
      <w:r w:rsidR="003E03A6" w:rsidRPr="003E03A6">
        <w:rPr>
          <w:sz w:val="24"/>
          <w:szCs w:val="24"/>
          <w:lang w:val="en-GB"/>
        </w:rPr>
        <w:t>p</w:t>
      </w:r>
      <w:r w:rsidR="003E03A6" w:rsidRPr="003E03A6">
        <w:rPr>
          <w:sz w:val="24"/>
          <w:szCs w:val="24"/>
          <w:vertAlign w:val="subscript"/>
          <w:lang w:val="en-GB"/>
        </w:rPr>
        <w:t>i</w:t>
      </w:r>
      <w:r w:rsidR="003E03A6" w:rsidRPr="003E03A6">
        <w:rPr>
          <w:sz w:val="24"/>
          <w:szCs w:val="24"/>
          <w:lang w:val="en-GB"/>
        </w:rPr>
        <w:t xml:space="preserve"> </w:t>
      </w:r>
      <w:r>
        <w:rPr>
          <w:sz w:val="24"/>
          <w:szCs w:val="24"/>
          <w:lang w:val="en-GB"/>
        </w:rPr>
        <w:t>of individuals (p</w:t>
      </w:r>
      <w:r w:rsidRPr="00CC5015">
        <w:rPr>
          <w:sz w:val="24"/>
          <w:szCs w:val="24"/>
          <w:vertAlign w:val="subscript"/>
          <w:lang w:val="en-GB"/>
        </w:rPr>
        <w:t>i</w:t>
      </w:r>
      <w:r>
        <w:rPr>
          <w:sz w:val="24"/>
          <w:szCs w:val="24"/>
          <w:lang w:val="en-GB"/>
        </w:rPr>
        <w:t xml:space="preserve"> is the so-called “standardized quantile” pertaining to income level y</w:t>
      </w:r>
      <w:r w:rsidRPr="00CC5015">
        <w:rPr>
          <w:sz w:val="24"/>
          <w:szCs w:val="24"/>
          <w:vertAlign w:val="subscript"/>
          <w:lang w:val="en-GB"/>
        </w:rPr>
        <w:t>i</w:t>
      </w:r>
      <w:r w:rsidR="009537E1">
        <w:rPr>
          <w:sz w:val="24"/>
          <w:szCs w:val="24"/>
          <w:lang w:val="en-GB"/>
        </w:rPr>
        <w:t xml:space="preserve">, otherwise </w:t>
      </w:r>
      <w:r w:rsidR="003E03A6">
        <w:rPr>
          <w:sz w:val="24"/>
          <w:szCs w:val="24"/>
          <w:lang w:val="en-GB"/>
        </w:rPr>
        <w:t xml:space="preserve">called the </w:t>
      </w:r>
      <w:r w:rsidR="009537E1">
        <w:rPr>
          <w:sz w:val="24"/>
          <w:szCs w:val="24"/>
          <w:lang w:val="en-GB"/>
        </w:rPr>
        <w:lastRenderedPageBreak/>
        <w:t>“fractional rank” (</w:t>
      </w:r>
      <w:r w:rsidR="0041631B">
        <w:rPr>
          <w:sz w:val="24"/>
          <w:szCs w:val="24"/>
          <w:lang w:val="en-GB"/>
        </w:rPr>
        <w:t xml:space="preserve">see </w:t>
      </w:r>
      <w:r w:rsidR="009537E1">
        <w:rPr>
          <w:sz w:val="24"/>
          <w:szCs w:val="24"/>
          <w:lang w:val="en-GB"/>
        </w:rPr>
        <w:t>Jenkins and Van Kerm</w:t>
      </w:r>
      <w:r w:rsidR="003E03A6">
        <w:rPr>
          <w:sz w:val="24"/>
          <w:szCs w:val="24"/>
          <w:lang w:val="en-GB"/>
        </w:rPr>
        <w:t>,</w:t>
      </w:r>
      <w:r w:rsidR="009537E1">
        <w:rPr>
          <w:sz w:val="24"/>
          <w:szCs w:val="24"/>
          <w:lang w:val="en-GB"/>
        </w:rPr>
        <w:t xml:space="preserve"> 2009)</w:t>
      </w:r>
      <w:r>
        <w:rPr>
          <w:sz w:val="24"/>
          <w:szCs w:val="24"/>
          <w:lang w:val="en-GB"/>
        </w:rPr>
        <w:t xml:space="preserve">. The general quantile distribution expression of the CF of </w:t>
      </w:r>
      <w:r w:rsidR="003E03A6">
        <w:rPr>
          <w:sz w:val="24"/>
          <w:szCs w:val="24"/>
          <w:lang w:val="en-GB"/>
        </w:rPr>
        <w:t xml:space="preserve">the </w:t>
      </w:r>
      <w:r>
        <w:rPr>
          <w:sz w:val="24"/>
          <w:szCs w:val="24"/>
          <w:lang w:val="en-GB"/>
        </w:rPr>
        <w:t xml:space="preserve">shape parameter </w:t>
      </w:r>
      <w:r w:rsidRPr="00FA44A0">
        <w:rPr>
          <w:rFonts w:ascii="Symbol" w:hAnsi="Symbol"/>
          <w:sz w:val="24"/>
          <w:szCs w:val="24"/>
          <w:lang w:val="en-GB"/>
        </w:rPr>
        <w:t></w:t>
      </w:r>
      <w:r>
        <w:rPr>
          <w:sz w:val="24"/>
          <w:szCs w:val="24"/>
          <w:lang w:val="en-GB"/>
        </w:rPr>
        <w:t xml:space="preserve"> (CF</w:t>
      </w:r>
      <w:r w:rsidRPr="00FA44A0">
        <w:rPr>
          <w:rFonts w:ascii="Symbol" w:hAnsi="Symbol"/>
          <w:sz w:val="24"/>
          <w:szCs w:val="24"/>
          <w:vertAlign w:val="subscript"/>
          <w:lang w:val="en-GB"/>
        </w:rPr>
        <w:t></w:t>
      </w:r>
      <w:r>
        <w:rPr>
          <w:sz w:val="24"/>
          <w:szCs w:val="24"/>
          <w:lang w:val="en-GB"/>
        </w:rPr>
        <w:t>) is</w:t>
      </w:r>
      <w:r w:rsidR="007F7A76">
        <w:rPr>
          <w:sz w:val="24"/>
          <w:szCs w:val="24"/>
          <w:lang w:val="en-GB"/>
        </w:rPr>
        <w:t xml:space="preserve"> particularly simple, provided that we </w:t>
      </w:r>
      <w:r>
        <w:rPr>
          <w:sz w:val="24"/>
          <w:szCs w:val="24"/>
          <w:lang w:val="en-GB"/>
        </w:rPr>
        <w:t>consider medianized incomes</w:t>
      </w:r>
      <w:r w:rsidR="007F7A76">
        <w:rPr>
          <w:sz w:val="24"/>
          <w:szCs w:val="24"/>
          <w:lang w:val="en-GB"/>
        </w:rPr>
        <w:t xml:space="preserve"> (i.e.</w:t>
      </w:r>
      <w:r w:rsidR="003E03A6">
        <w:rPr>
          <w:sz w:val="24"/>
          <w:szCs w:val="24"/>
          <w:lang w:val="en-GB"/>
        </w:rPr>
        <w:t>, income divided by the median),</w:t>
      </w:r>
      <w:r>
        <w:rPr>
          <w:sz w:val="24"/>
          <w:szCs w:val="24"/>
          <w:lang w:val="en-GB"/>
        </w:rPr>
        <w:t xml:space="preserve"> m</w:t>
      </w:r>
      <w:r>
        <w:rPr>
          <w:sz w:val="24"/>
          <w:szCs w:val="24"/>
          <w:vertAlign w:val="subscript"/>
          <w:lang w:val="en-GB"/>
        </w:rPr>
        <w:t>i</w:t>
      </w:r>
      <w:r>
        <w:rPr>
          <w:sz w:val="24"/>
          <w:szCs w:val="24"/>
          <w:lang w:val="en-GB"/>
        </w:rPr>
        <w:t>=(y</w:t>
      </w:r>
      <w:r>
        <w:rPr>
          <w:sz w:val="24"/>
          <w:szCs w:val="24"/>
          <w:vertAlign w:val="subscript"/>
          <w:lang w:val="en-GB"/>
        </w:rPr>
        <w:t>i</w:t>
      </w:r>
      <w:r>
        <w:rPr>
          <w:sz w:val="24"/>
          <w:szCs w:val="24"/>
          <w:lang w:val="en-GB"/>
        </w:rPr>
        <w:t xml:space="preserve">/median): </w:t>
      </w:r>
    </w:p>
    <w:p w:rsidR="0041573E" w:rsidRPr="00921068" w:rsidRDefault="005B04D3" w:rsidP="0041573E">
      <w:pPr>
        <w:spacing w:after="120" w:line="480" w:lineRule="auto"/>
        <w:jc w:val="center"/>
        <w:rPr>
          <w:sz w:val="24"/>
          <w:szCs w:val="24"/>
          <w:lang w:val="en-GB"/>
        </w:rPr>
      </w:pPr>
      <m:oMath>
        <m:func>
          <m:funcPr>
            <m:ctrlPr>
              <w:rPr>
                <w:rFonts w:ascii="Cambria Math" w:hAnsi="Cambria Math"/>
                <w:i/>
                <w:sz w:val="24"/>
                <w:szCs w:val="24"/>
                <w:lang w:val="en-US"/>
              </w:rPr>
            </m:ctrlPr>
          </m:funcPr>
          <m:fName>
            <m:r>
              <m:rPr>
                <m:sty m:val="p"/>
              </m:rPr>
              <w:rPr>
                <w:rFonts w:ascii="Cambria Math" w:hAnsi="Cambria Math"/>
                <w:sz w:val="24"/>
                <w:szCs w:val="24"/>
                <w:lang w:val="en-GB"/>
              </w:rPr>
              <m:t>ln</m:t>
            </m:r>
          </m:fName>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rPr>
                      <m:t>m</m:t>
                    </m:r>
                  </m:e>
                  <m:sub>
                    <m:r>
                      <w:rPr>
                        <w:rFonts w:ascii="Cambria Math" w:hAnsi="Cambria Math"/>
                        <w:sz w:val="24"/>
                        <w:szCs w:val="24"/>
                        <w:lang w:val="en-US"/>
                      </w:rPr>
                      <m:t>j</m:t>
                    </m:r>
                  </m:sub>
                </m:sSub>
              </m:e>
            </m:d>
          </m:e>
        </m:func>
        <m:r>
          <w:rPr>
            <w:rFonts w:ascii="Cambria Math" w:hAnsi="Cambria Math"/>
            <w:sz w:val="24"/>
            <w:szCs w:val="24"/>
            <w:lang w:val="en-GB"/>
          </w:rPr>
          <m:t xml:space="preserve"> =</m:t>
        </m:r>
        <m:r>
          <m:rPr>
            <m:sty m:val="p"/>
          </m:rPr>
          <w:rPr>
            <w:rFonts w:ascii="Cambria Math" w:hAnsi="Cambria Math"/>
            <w:sz w:val="24"/>
            <w:szCs w:val="24"/>
            <w:lang w:val="en-US"/>
          </w:rPr>
          <m:t>α</m:t>
        </m:r>
        <m:r>
          <m:rPr>
            <m:sty m:val="p"/>
          </m:rPr>
          <w:rPr>
            <w:rFonts w:ascii="Cambria Math" w:hAnsi="Cambria Math"/>
            <w:sz w:val="24"/>
            <w:szCs w:val="24"/>
            <w:lang w:val="en-GB"/>
          </w:rPr>
          <m:t xml:space="preserve"> ln</m:t>
        </m:r>
        <m:d>
          <m:dPr>
            <m:ctrlPr>
              <w:rPr>
                <w:rFonts w:ascii="Cambria Math" w:hAnsi="Cambria Math"/>
                <w:sz w:val="24"/>
                <w:szCs w:val="24"/>
                <w:lang w:val="de-DE"/>
              </w:rPr>
            </m:ctrlPr>
          </m:dPr>
          <m:e>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i</m:t>
                </m:r>
              </m:sub>
            </m:sSub>
            <m:r>
              <m:rPr>
                <m:sty m:val="p"/>
              </m:rPr>
              <w:rPr>
                <w:rFonts w:ascii="Cambria Math" w:hAnsi="Cambria Math"/>
                <w:sz w:val="24"/>
                <w:szCs w:val="24"/>
                <w:lang w:val="en-GB"/>
              </w:rPr>
              <m:t xml:space="preserve">/(1 – </m:t>
            </m:r>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i</m:t>
                </m:r>
              </m:sub>
            </m:sSub>
            <m:r>
              <m:rPr>
                <m:sty m:val="p"/>
              </m:rPr>
              <w:rPr>
                <w:rFonts w:ascii="Cambria Math" w:hAnsi="Cambria Math"/>
                <w:sz w:val="24"/>
                <w:szCs w:val="24"/>
                <w:lang w:val="en-GB"/>
              </w:rPr>
              <m:t>)</m:t>
            </m:r>
          </m:e>
        </m:d>
      </m:oMath>
      <w:r w:rsidR="0041573E" w:rsidRPr="00921068">
        <w:rPr>
          <w:sz w:val="24"/>
          <w:szCs w:val="24"/>
          <w:lang w:val="en-GB"/>
        </w:rPr>
        <w:t xml:space="preserve"> </w:t>
      </w:r>
      <w:r w:rsidR="0041573E" w:rsidRPr="00921068">
        <w:rPr>
          <w:sz w:val="24"/>
          <w:szCs w:val="24"/>
          <w:lang w:val="en-GB"/>
        </w:rPr>
        <w:tab/>
      </w:r>
      <w:r w:rsidR="0041573E" w:rsidRPr="00921068">
        <w:rPr>
          <w:sz w:val="24"/>
          <w:szCs w:val="24"/>
          <w:lang w:val="en-GB"/>
        </w:rPr>
        <w:tab/>
      </w:r>
      <w:r w:rsidR="003E03A6">
        <w:rPr>
          <w:sz w:val="24"/>
          <w:szCs w:val="24"/>
          <w:lang w:val="en-GB"/>
        </w:rPr>
        <w:t>(1)</w:t>
      </w:r>
    </w:p>
    <w:p w:rsidR="003E03A6" w:rsidRDefault="0041573E" w:rsidP="0041573E">
      <w:pPr>
        <w:spacing w:after="120" w:line="480" w:lineRule="auto"/>
        <w:jc w:val="center"/>
        <w:rPr>
          <w:sz w:val="24"/>
          <w:szCs w:val="24"/>
          <w:lang w:val="en-US"/>
        </w:rPr>
      </w:pPr>
      <w:r>
        <w:rPr>
          <w:sz w:val="24"/>
          <w:szCs w:val="24"/>
          <w:lang w:val="en-US"/>
        </w:rPr>
        <w:t>or</w:t>
      </w:r>
      <w:r w:rsidR="006C117C">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rPr>
              <m:t>M</m:t>
            </m:r>
          </m:e>
          <m:sub>
            <m:r>
              <w:rPr>
                <w:rFonts w:ascii="Cambria Math" w:hAnsi="Cambria Math"/>
                <w:sz w:val="24"/>
                <w:szCs w:val="24"/>
                <w:lang w:val="en-US"/>
              </w:rPr>
              <m:t>i</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m:rPr>
                <m:sty m:val="p"/>
              </m:rPr>
              <w:rPr>
                <w:rFonts w:ascii="Cambria Math" w:hAnsi="Cambria Math"/>
                <w:sz w:val="24"/>
                <w:szCs w:val="24"/>
                <w:lang w:val="en-US"/>
              </w:rPr>
              <m:t xml:space="preserve">α </m:t>
            </m:r>
            <m:r>
              <w:rPr>
                <w:rFonts w:ascii="Cambria Math" w:hAnsi="Cambria Math"/>
                <w:sz w:val="24"/>
                <w:szCs w:val="24"/>
              </w:rPr>
              <m:t>X</m:t>
            </m:r>
          </m:e>
          <m:sub>
            <m:r>
              <w:rPr>
                <w:rFonts w:ascii="Cambria Math" w:hAnsi="Cambria Math"/>
                <w:sz w:val="24"/>
                <w:szCs w:val="24"/>
                <w:lang w:val="en-US"/>
              </w:rPr>
              <m:t>i</m:t>
            </m:r>
          </m:sub>
        </m:sSub>
      </m:oMath>
    </w:p>
    <w:p w:rsidR="0041573E" w:rsidRPr="003E03A6" w:rsidRDefault="0041573E" w:rsidP="003E03A6">
      <w:pPr>
        <w:spacing w:after="120" w:line="480" w:lineRule="auto"/>
        <w:rPr>
          <w:sz w:val="24"/>
          <w:szCs w:val="24"/>
          <w:lang w:val="en-GB"/>
        </w:rPr>
      </w:pPr>
      <w:r w:rsidRPr="003E03A6">
        <w:rPr>
          <w:sz w:val="24"/>
          <w:szCs w:val="24"/>
          <w:lang w:val="en-GB"/>
        </w:rPr>
        <w:t>where X</w:t>
      </w:r>
      <w:r w:rsidRPr="003E03A6">
        <w:rPr>
          <w:sz w:val="24"/>
          <w:szCs w:val="24"/>
          <w:vertAlign w:val="subscript"/>
          <w:lang w:val="en-GB"/>
        </w:rPr>
        <w:t>i</w:t>
      </w:r>
      <w:r w:rsidRPr="003E03A6">
        <w:rPr>
          <w:sz w:val="24"/>
          <w:szCs w:val="24"/>
          <w:lang w:val="en-GB"/>
        </w:rPr>
        <w:t xml:space="preserve"> = logit(p</w:t>
      </w:r>
      <w:r w:rsidRPr="003E03A6">
        <w:rPr>
          <w:sz w:val="24"/>
          <w:szCs w:val="24"/>
          <w:vertAlign w:val="subscript"/>
          <w:lang w:val="en-GB"/>
        </w:rPr>
        <w:t>i</w:t>
      </w:r>
      <w:r w:rsidRPr="003E03A6">
        <w:rPr>
          <w:sz w:val="24"/>
          <w:szCs w:val="24"/>
          <w:lang w:val="en-GB"/>
        </w:rPr>
        <w:t>)</w:t>
      </w:r>
      <w:r w:rsidR="00460CF1">
        <w:rPr>
          <w:sz w:val="24"/>
          <w:szCs w:val="24"/>
          <w:lang w:val="en-GB"/>
        </w:rPr>
        <w:t xml:space="preserve"> =</w:t>
      </w:r>
      <w:r w:rsidR="006C117C">
        <w:rPr>
          <w:sz w:val="24"/>
          <w:szCs w:val="24"/>
          <w:lang w:val="en-GB"/>
        </w:rPr>
        <w:t xml:space="preserve"> </w:t>
      </w:r>
      <m:oMath>
        <m:r>
          <m:rPr>
            <m:sty m:val="p"/>
          </m:rPr>
          <w:rPr>
            <w:rFonts w:ascii="Cambria Math" w:hAnsi="Cambria Math"/>
            <w:sz w:val="24"/>
            <w:szCs w:val="24"/>
            <w:lang w:val="en-GB"/>
          </w:rPr>
          <m:t>ln</m:t>
        </m:r>
        <m:d>
          <m:dPr>
            <m:ctrlPr>
              <w:rPr>
                <w:rFonts w:ascii="Cambria Math" w:hAnsi="Cambria Math"/>
                <w:sz w:val="24"/>
                <w:szCs w:val="24"/>
                <w:lang w:val="de-DE"/>
              </w:rPr>
            </m:ctrlPr>
          </m:dPr>
          <m:e>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i</m:t>
                </m:r>
              </m:sub>
            </m:sSub>
            <m:r>
              <m:rPr>
                <m:sty m:val="p"/>
              </m:rPr>
              <w:rPr>
                <w:rFonts w:ascii="Cambria Math" w:hAnsi="Cambria Math"/>
                <w:sz w:val="24"/>
                <w:szCs w:val="24"/>
                <w:lang w:val="en-GB"/>
              </w:rPr>
              <m:t xml:space="preserve">/(1 – </m:t>
            </m:r>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i</m:t>
                </m:r>
              </m:sub>
            </m:sSub>
            <m:r>
              <m:rPr>
                <m:sty m:val="p"/>
              </m:rPr>
              <w:rPr>
                <w:rFonts w:ascii="Cambria Math" w:hAnsi="Cambria Math"/>
                <w:sz w:val="24"/>
                <w:szCs w:val="24"/>
                <w:lang w:val="en-GB"/>
              </w:rPr>
              <m:t>)</m:t>
            </m:r>
          </m:e>
        </m:d>
      </m:oMath>
      <w:r w:rsidRPr="003E03A6">
        <w:rPr>
          <w:sz w:val="24"/>
          <w:szCs w:val="24"/>
          <w:lang w:val="en-GB"/>
        </w:rPr>
        <w:t xml:space="preserve"> and M</w:t>
      </w:r>
      <w:r w:rsidR="003E03A6" w:rsidRPr="003E03A6">
        <w:rPr>
          <w:sz w:val="24"/>
          <w:szCs w:val="24"/>
          <w:vertAlign w:val="subscript"/>
          <w:lang w:val="en-GB"/>
        </w:rPr>
        <w:t>i</w:t>
      </w:r>
      <w:r w:rsidR="00460CF1">
        <w:rPr>
          <w:sz w:val="24"/>
          <w:szCs w:val="24"/>
          <w:vertAlign w:val="subscript"/>
          <w:lang w:val="en-GB"/>
        </w:rPr>
        <w:t xml:space="preserve"> </w:t>
      </w:r>
      <w:r w:rsidRPr="003E03A6">
        <w:rPr>
          <w:sz w:val="24"/>
          <w:szCs w:val="24"/>
          <w:lang w:val="en-GB"/>
        </w:rPr>
        <w:t>=</w:t>
      </w:r>
      <w:r w:rsidR="00460CF1">
        <w:rPr>
          <w:sz w:val="24"/>
          <w:szCs w:val="24"/>
          <w:lang w:val="en-GB"/>
        </w:rPr>
        <w:t xml:space="preserve"> </w:t>
      </w:r>
      <w:r w:rsidRPr="003E03A6">
        <w:rPr>
          <w:sz w:val="24"/>
          <w:szCs w:val="24"/>
          <w:lang w:val="en-GB"/>
        </w:rPr>
        <w:t>ln(m</w:t>
      </w:r>
      <w:r w:rsidR="003E03A6" w:rsidRPr="003E03A6">
        <w:rPr>
          <w:sz w:val="24"/>
          <w:szCs w:val="24"/>
          <w:vertAlign w:val="subscript"/>
          <w:lang w:val="en-GB"/>
        </w:rPr>
        <w:t>i</w:t>
      </w:r>
      <w:r w:rsidRPr="003E03A6">
        <w:rPr>
          <w:sz w:val="24"/>
          <w:szCs w:val="24"/>
          <w:lang w:val="en-GB"/>
        </w:rPr>
        <w:t>)</w:t>
      </w:r>
      <w:r w:rsidR="00460CF1">
        <w:rPr>
          <w:sz w:val="24"/>
          <w:szCs w:val="24"/>
          <w:lang w:val="en-GB"/>
        </w:rPr>
        <w:t xml:space="preserve"> </w:t>
      </w:r>
      <w:r w:rsidRPr="003E03A6">
        <w:rPr>
          <w:sz w:val="24"/>
          <w:szCs w:val="24"/>
          <w:lang w:val="en-GB"/>
        </w:rPr>
        <w:t>= ln(y</w:t>
      </w:r>
      <w:r w:rsidR="003E03A6" w:rsidRPr="003E03A6">
        <w:rPr>
          <w:sz w:val="24"/>
          <w:szCs w:val="24"/>
          <w:vertAlign w:val="subscript"/>
          <w:lang w:val="en-GB"/>
        </w:rPr>
        <w:t>i</w:t>
      </w:r>
      <w:r w:rsidRPr="003E03A6">
        <w:rPr>
          <w:sz w:val="24"/>
          <w:szCs w:val="24"/>
          <w:lang w:val="en-GB"/>
        </w:rPr>
        <w:t>/median)</w:t>
      </w:r>
      <w:r w:rsidR="003E03A6">
        <w:rPr>
          <w:sz w:val="24"/>
          <w:szCs w:val="24"/>
          <w:lang w:val="en-GB"/>
        </w:rPr>
        <w:t>.</w:t>
      </w:r>
    </w:p>
    <w:p w:rsidR="0041573E" w:rsidRDefault="0041573E" w:rsidP="0041573E">
      <w:pPr>
        <w:spacing w:after="120" w:line="480" w:lineRule="auto"/>
        <w:rPr>
          <w:sz w:val="24"/>
          <w:szCs w:val="24"/>
          <w:lang w:val="en-GB"/>
        </w:rPr>
      </w:pPr>
      <w:r>
        <w:rPr>
          <w:sz w:val="24"/>
          <w:szCs w:val="24"/>
          <w:lang w:val="en-GB"/>
        </w:rPr>
        <w:t xml:space="preserve">Expression </w:t>
      </w:r>
      <w:r w:rsidRPr="00E66910">
        <w:rPr>
          <w:sz w:val="24"/>
          <w:szCs w:val="24"/>
          <w:lang w:val="en-US"/>
        </w:rPr>
        <w:t>(</w:t>
      </w:r>
      <w:r w:rsidR="007F7A76">
        <w:rPr>
          <w:sz w:val="24"/>
          <w:szCs w:val="24"/>
          <w:lang w:val="en-US"/>
        </w:rPr>
        <w:t>1</w:t>
      </w:r>
      <w:r w:rsidRPr="00E66910">
        <w:rPr>
          <w:sz w:val="24"/>
          <w:szCs w:val="24"/>
          <w:lang w:val="en-US"/>
        </w:rPr>
        <w:t>)</w:t>
      </w:r>
      <w:r>
        <w:rPr>
          <w:sz w:val="24"/>
          <w:szCs w:val="24"/>
          <w:lang w:val="en-GB"/>
        </w:rPr>
        <w:t xml:space="preserve"> is precisely a CF</w:t>
      </w:r>
      <w:r w:rsidRPr="00C37C17">
        <w:rPr>
          <w:rFonts w:ascii="Symbol" w:hAnsi="Symbol"/>
          <w:sz w:val="24"/>
          <w:szCs w:val="24"/>
          <w:vertAlign w:val="subscript"/>
          <w:lang w:val="en-GB"/>
        </w:rPr>
        <w:t></w:t>
      </w:r>
      <w:r w:rsidR="003E03A6">
        <w:rPr>
          <w:sz w:val="24"/>
          <w:szCs w:val="24"/>
          <w:lang w:val="en-GB"/>
        </w:rPr>
        <w:t xml:space="preserve">, </w:t>
      </w:r>
      <w:r w:rsidR="007F7A76">
        <w:rPr>
          <w:sz w:val="24"/>
          <w:szCs w:val="24"/>
          <w:lang w:val="en-GB"/>
        </w:rPr>
        <w:t xml:space="preserve">where </w:t>
      </w:r>
      <m:oMath>
        <m:r>
          <m:rPr>
            <m:sty m:val="p"/>
          </m:rPr>
          <w:rPr>
            <w:rFonts w:ascii="Cambria Math" w:hAnsi="Cambria Math"/>
            <w:sz w:val="24"/>
            <w:szCs w:val="24"/>
            <w:lang w:val="en-US"/>
          </w:rPr>
          <m:t>α</m:t>
        </m:r>
      </m:oMath>
      <w:r w:rsidR="007F7A76">
        <w:rPr>
          <w:sz w:val="24"/>
          <w:szCs w:val="24"/>
          <w:lang w:val="en-GB"/>
        </w:rPr>
        <w:t xml:space="preserve"> measures the degree of inequality understood as the stretching </w:t>
      </w:r>
      <w:r w:rsidR="003E03A6">
        <w:rPr>
          <w:sz w:val="24"/>
          <w:szCs w:val="24"/>
          <w:lang w:val="en-GB"/>
        </w:rPr>
        <w:t xml:space="preserve">out </w:t>
      </w:r>
      <w:r w:rsidR="007F7A76">
        <w:rPr>
          <w:sz w:val="24"/>
          <w:szCs w:val="24"/>
          <w:lang w:val="en-GB"/>
        </w:rPr>
        <w:t xml:space="preserve">of the distribution curve.   </w:t>
      </w:r>
    </w:p>
    <w:p w:rsidR="00C70986" w:rsidRDefault="009D1657" w:rsidP="006F4A78">
      <w:pPr>
        <w:spacing w:after="120" w:line="480" w:lineRule="auto"/>
        <w:rPr>
          <w:sz w:val="24"/>
          <w:szCs w:val="24"/>
          <w:lang w:val="en-GB"/>
        </w:rPr>
      </w:pPr>
      <w:r>
        <w:rPr>
          <w:sz w:val="24"/>
          <w:szCs w:val="24"/>
          <w:lang w:val="en-GB"/>
        </w:rPr>
        <w:t>T</w:t>
      </w:r>
      <w:r w:rsidR="003E03A6">
        <w:rPr>
          <w:sz w:val="24"/>
          <w:szCs w:val="24"/>
          <w:lang w:val="en-GB"/>
        </w:rPr>
        <w:t>here are t</w:t>
      </w:r>
      <w:r>
        <w:rPr>
          <w:sz w:val="24"/>
          <w:szCs w:val="24"/>
          <w:lang w:val="en-GB"/>
        </w:rPr>
        <w:t xml:space="preserve">hree </w:t>
      </w:r>
      <w:r w:rsidR="003E03A6">
        <w:rPr>
          <w:sz w:val="24"/>
          <w:szCs w:val="24"/>
          <w:lang w:val="en-GB"/>
        </w:rPr>
        <w:t>types of</w:t>
      </w:r>
      <w:r>
        <w:rPr>
          <w:sz w:val="24"/>
          <w:szCs w:val="24"/>
          <w:lang w:val="en-GB"/>
        </w:rPr>
        <w:t xml:space="preserve"> strong arguments </w:t>
      </w:r>
      <w:r w:rsidR="003E03A6">
        <w:rPr>
          <w:sz w:val="24"/>
          <w:szCs w:val="24"/>
          <w:lang w:val="en-GB"/>
        </w:rPr>
        <w:t xml:space="preserve">which </w:t>
      </w:r>
      <w:r w:rsidR="00C70986">
        <w:rPr>
          <w:sz w:val="24"/>
          <w:szCs w:val="24"/>
          <w:lang w:val="en-GB"/>
        </w:rPr>
        <w:t>support th</w:t>
      </w:r>
      <w:r w:rsidR="007F7A76">
        <w:rPr>
          <w:sz w:val="24"/>
          <w:szCs w:val="24"/>
          <w:lang w:val="en-GB"/>
        </w:rPr>
        <w:t xml:space="preserve">e use of </w:t>
      </w:r>
      <w:r w:rsidR="003E03A6">
        <w:rPr>
          <w:sz w:val="24"/>
          <w:szCs w:val="24"/>
          <w:lang w:val="en-GB"/>
        </w:rPr>
        <w:t xml:space="preserve">a </w:t>
      </w:r>
      <w:r w:rsidR="000A7E92">
        <w:rPr>
          <w:sz w:val="24"/>
          <w:szCs w:val="24"/>
          <w:lang w:val="en-GB"/>
        </w:rPr>
        <w:t>CF</w:t>
      </w:r>
      <w:r w:rsidR="000A7E92" w:rsidRPr="00C37C17">
        <w:rPr>
          <w:rFonts w:ascii="Symbol" w:hAnsi="Symbol"/>
          <w:sz w:val="24"/>
          <w:szCs w:val="24"/>
          <w:vertAlign w:val="subscript"/>
          <w:lang w:val="en-GB"/>
        </w:rPr>
        <w:t></w:t>
      </w:r>
      <w:r w:rsidR="000A7E92">
        <w:rPr>
          <w:sz w:val="24"/>
          <w:szCs w:val="24"/>
          <w:lang w:val="en-GB"/>
        </w:rPr>
        <w:t xml:space="preserve"> as </w:t>
      </w:r>
      <w:r w:rsidR="003E03A6">
        <w:rPr>
          <w:sz w:val="24"/>
          <w:szCs w:val="24"/>
          <w:lang w:val="en-GB"/>
        </w:rPr>
        <w:t xml:space="preserve">a </w:t>
      </w:r>
      <w:r w:rsidR="000A7E92">
        <w:rPr>
          <w:sz w:val="24"/>
          <w:szCs w:val="24"/>
          <w:lang w:val="en-GB"/>
        </w:rPr>
        <w:t xml:space="preserve">first approximation </w:t>
      </w:r>
      <w:r w:rsidR="003E03A6">
        <w:rPr>
          <w:sz w:val="24"/>
          <w:szCs w:val="24"/>
          <w:lang w:val="en-GB"/>
        </w:rPr>
        <w:t xml:space="preserve">to </w:t>
      </w:r>
      <w:r w:rsidR="000A7E92">
        <w:rPr>
          <w:sz w:val="24"/>
          <w:szCs w:val="24"/>
          <w:lang w:val="en-GB"/>
        </w:rPr>
        <w:t>income distributions</w:t>
      </w:r>
      <w:r w:rsidR="00C70986">
        <w:rPr>
          <w:sz w:val="24"/>
          <w:szCs w:val="24"/>
          <w:lang w:val="en-GB"/>
        </w:rPr>
        <w:t>.</w:t>
      </w:r>
      <w:r>
        <w:rPr>
          <w:sz w:val="24"/>
          <w:szCs w:val="24"/>
          <w:lang w:val="en-GB"/>
        </w:rPr>
        <w:t xml:space="preserve"> </w:t>
      </w:r>
      <w:r w:rsidR="00C70986">
        <w:rPr>
          <w:sz w:val="24"/>
          <w:szCs w:val="24"/>
          <w:lang w:val="en-GB"/>
        </w:rPr>
        <w:t xml:space="preserve"> </w:t>
      </w:r>
    </w:p>
    <w:p w:rsidR="00126B88" w:rsidRDefault="00C70986" w:rsidP="007F7A76">
      <w:pPr>
        <w:spacing w:after="120" w:line="480" w:lineRule="auto"/>
        <w:rPr>
          <w:sz w:val="24"/>
          <w:szCs w:val="24"/>
          <w:lang w:val="en-GB"/>
        </w:rPr>
      </w:pPr>
      <w:r>
        <w:rPr>
          <w:sz w:val="24"/>
          <w:szCs w:val="24"/>
          <w:lang w:val="en-GB"/>
        </w:rPr>
        <w:t>First,</w:t>
      </w:r>
      <w:r w:rsidR="00AC0EBC">
        <w:rPr>
          <w:sz w:val="24"/>
          <w:szCs w:val="24"/>
          <w:lang w:val="en-GB"/>
        </w:rPr>
        <w:t xml:space="preserve"> </w:t>
      </w:r>
      <w:r w:rsidR="003E03A6">
        <w:rPr>
          <w:sz w:val="24"/>
          <w:szCs w:val="24"/>
          <w:lang w:val="en-GB"/>
        </w:rPr>
        <w:t>with its two-parameter formula</w:t>
      </w:r>
      <w:r w:rsidR="007F7A76">
        <w:rPr>
          <w:sz w:val="24"/>
          <w:szCs w:val="24"/>
          <w:lang w:val="en-GB"/>
        </w:rPr>
        <w:t xml:space="preserve"> (</w:t>
      </w:r>
      <w:r w:rsidR="003E03A6">
        <w:rPr>
          <w:sz w:val="24"/>
          <w:szCs w:val="24"/>
          <w:lang w:val="en-GB"/>
        </w:rPr>
        <w:t xml:space="preserve">the </w:t>
      </w:r>
      <w:r w:rsidR="007F7A76">
        <w:rPr>
          <w:sz w:val="24"/>
          <w:szCs w:val="24"/>
          <w:lang w:val="en-GB"/>
        </w:rPr>
        <w:t xml:space="preserve">median and </w:t>
      </w:r>
      <m:oMath>
        <m:r>
          <m:rPr>
            <m:sty m:val="p"/>
          </m:rPr>
          <w:rPr>
            <w:rFonts w:ascii="Cambria Math" w:hAnsi="Cambria Math"/>
            <w:sz w:val="24"/>
            <w:szCs w:val="24"/>
            <w:lang w:val="en-US"/>
          </w:rPr>
          <m:t>α</m:t>
        </m:r>
      </m:oMath>
      <w:r w:rsidR="007F7A76">
        <w:rPr>
          <w:sz w:val="24"/>
          <w:szCs w:val="24"/>
          <w:lang w:val="en-GB"/>
        </w:rPr>
        <w:t>)</w:t>
      </w:r>
      <w:r w:rsidR="00A57D8A">
        <w:rPr>
          <w:sz w:val="24"/>
          <w:szCs w:val="24"/>
          <w:lang w:val="en-GB"/>
        </w:rPr>
        <w:t xml:space="preserve">, </w:t>
      </w:r>
      <w:r>
        <w:rPr>
          <w:sz w:val="24"/>
          <w:szCs w:val="24"/>
          <w:lang w:val="en-GB"/>
        </w:rPr>
        <w:t xml:space="preserve">the CF is </w:t>
      </w:r>
      <w:r w:rsidR="00F77672">
        <w:rPr>
          <w:sz w:val="24"/>
          <w:szCs w:val="24"/>
          <w:lang w:val="en-GB"/>
        </w:rPr>
        <w:t xml:space="preserve">one of </w:t>
      </w:r>
      <w:r>
        <w:rPr>
          <w:sz w:val="24"/>
          <w:szCs w:val="24"/>
          <w:lang w:val="en-GB"/>
        </w:rPr>
        <w:t>the most parsimonious law</w:t>
      </w:r>
      <w:r w:rsidR="00F77672">
        <w:rPr>
          <w:sz w:val="24"/>
          <w:szCs w:val="24"/>
          <w:lang w:val="en-GB"/>
        </w:rPr>
        <w:t>s</w:t>
      </w:r>
      <w:r>
        <w:rPr>
          <w:sz w:val="24"/>
          <w:szCs w:val="24"/>
          <w:lang w:val="en-GB"/>
        </w:rPr>
        <w:t xml:space="preserve"> </w:t>
      </w:r>
      <w:r w:rsidR="003E03A6">
        <w:rPr>
          <w:sz w:val="24"/>
          <w:szCs w:val="24"/>
          <w:lang w:val="en-GB"/>
        </w:rPr>
        <w:t>with appropriate Pareto-</w:t>
      </w:r>
      <w:r>
        <w:rPr>
          <w:sz w:val="24"/>
          <w:szCs w:val="24"/>
          <w:lang w:val="en-GB"/>
        </w:rPr>
        <w:t>type power-tail</w:t>
      </w:r>
      <w:r w:rsidR="003E03A6">
        <w:rPr>
          <w:sz w:val="24"/>
          <w:szCs w:val="24"/>
          <w:lang w:val="en-GB"/>
        </w:rPr>
        <w:t>s</w:t>
      </w:r>
      <w:r w:rsidR="005007C8">
        <w:rPr>
          <w:sz w:val="24"/>
          <w:szCs w:val="24"/>
          <w:lang w:val="en-GB"/>
        </w:rPr>
        <w:t xml:space="preserve"> </w:t>
      </w:r>
      <w:r w:rsidR="009D1657">
        <w:rPr>
          <w:sz w:val="24"/>
          <w:szCs w:val="24"/>
          <w:lang w:val="en-GB"/>
        </w:rPr>
        <w:t>at both extremes</w:t>
      </w:r>
      <w:r w:rsidR="003E03A6">
        <w:rPr>
          <w:sz w:val="24"/>
          <w:szCs w:val="24"/>
          <w:lang w:val="en-GB"/>
        </w:rPr>
        <w:t>,</w:t>
      </w:r>
      <w:r w:rsidR="009D1657">
        <w:rPr>
          <w:sz w:val="24"/>
          <w:szCs w:val="24"/>
          <w:lang w:val="en-GB"/>
        </w:rPr>
        <w:t xml:space="preserve"> </w:t>
      </w:r>
      <w:r w:rsidR="005007C8">
        <w:rPr>
          <w:sz w:val="24"/>
          <w:szCs w:val="24"/>
          <w:lang w:val="en-GB"/>
        </w:rPr>
        <w:t xml:space="preserve">and its </w:t>
      </w:r>
      <w:r w:rsidR="003E03A6">
        <w:rPr>
          <w:sz w:val="24"/>
          <w:szCs w:val="24"/>
          <w:lang w:val="en-GB"/>
        </w:rPr>
        <w:t xml:space="preserve">formula </w:t>
      </w:r>
      <w:r w:rsidR="005007C8">
        <w:rPr>
          <w:sz w:val="24"/>
          <w:szCs w:val="24"/>
          <w:lang w:val="en-GB"/>
        </w:rPr>
        <w:t xml:space="preserve">is remarkably </w:t>
      </w:r>
      <w:r>
        <w:rPr>
          <w:sz w:val="24"/>
          <w:szCs w:val="24"/>
          <w:lang w:val="en-GB"/>
        </w:rPr>
        <w:t>simple</w:t>
      </w:r>
      <w:r w:rsidR="005007C8">
        <w:rPr>
          <w:sz w:val="24"/>
          <w:szCs w:val="24"/>
          <w:lang w:val="en-GB"/>
        </w:rPr>
        <w:t>.</w:t>
      </w:r>
      <w:r w:rsidR="006C117C">
        <w:rPr>
          <w:sz w:val="24"/>
          <w:szCs w:val="24"/>
          <w:lang w:val="en-GB"/>
        </w:rPr>
        <w:t xml:space="preserve"> </w:t>
      </w:r>
      <w:r w:rsidR="003E03A6">
        <w:rPr>
          <w:sz w:val="24"/>
          <w:szCs w:val="24"/>
          <w:lang w:val="en-GB"/>
        </w:rPr>
        <w:t xml:space="preserve">In the CF, </w:t>
      </w:r>
      <w:r w:rsidR="00126B88">
        <w:rPr>
          <w:sz w:val="24"/>
          <w:szCs w:val="24"/>
          <w:lang w:val="en-GB"/>
        </w:rPr>
        <w:t xml:space="preserve">log medianized income is proportional </w:t>
      </w:r>
      <w:r w:rsidR="000A7E92">
        <w:rPr>
          <w:sz w:val="24"/>
          <w:szCs w:val="24"/>
          <w:lang w:val="en-GB"/>
        </w:rPr>
        <w:t xml:space="preserve">to </w:t>
      </w:r>
      <w:r w:rsidR="00126B88">
        <w:rPr>
          <w:sz w:val="24"/>
          <w:szCs w:val="24"/>
          <w:lang w:val="en-GB"/>
        </w:rPr>
        <w:t xml:space="preserve">the log-odds of the standardized quantile. </w:t>
      </w:r>
      <w:r w:rsidR="00132268">
        <w:rPr>
          <w:sz w:val="24"/>
          <w:szCs w:val="24"/>
          <w:lang w:val="en-GB"/>
        </w:rPr>
        <w:t xml:space="preserve">This parsimony is </w:t>
      </w:r>
      <w:r w:rsidR="0061296C">
        <w:rPr>
          <w:sz w:val="24"/>
          <w:szCs w:val="24"/>
          <w:lang w:val="en-GB"/>
        </w:rPr>
        <w:t>notable</w:t>
      </w:r>
      <w:r w:rsidR="003E03A6">
        <w:rPr>
          <w:sz w:val="24"/>
          <w:szCs w:val="24"/>
          <w:lang w:val="en-GB"/>
        </w:rPr>
        <w:t>,</w:t>
      </w:r>
      <w:r w:rsidR="00132268">
        <w:rPr>
          <w:sz w:val="24"/>
          <w:szCs w:val="24"/>
          <w:lang w:val="en-GB"/>
        </w:rPr>
        <w:t xml:space="preserve"> and the coefficient </w:t>
      </w:r>
      <m:oMath>
        <m:r>
          <w:rPr>
            <w:rFonts w:ascii="Cambria Math" w:hAnsi="Cambria Math"/>
            <w:sz w:val="24"/>
            <w:szCs w:val="24"/>
            <w:lang w:val="en-US"/>
          </w:rPr>
          <m:t>α ∈ ]0,1[</m:t>
        </m:r>
      </m:oMath>
      <w:r w:rsidR="00132268">
        <w:rPr>
          <w:sz w:val="24"/>
          <w:szCs w:val="24"/>
          <w:lang w:val="en-GB"/>
        </w:rPr>
        <w:t xml:space="preserve"> </w:t>
      </w:r>
      <w:r w:rsidR="003E03A6">
        <w:rPr>
          <w:sz w:val="24"/>
          <w:szCs w:val="24"/>
          <w:lang w:val="en-GB"/>
        </w:rPr>
        <w:t xml:space="preserve">in the </w:t>
      </w:r>
      <w:r w:rsidR="00132268">
        <w:rPr>
          <w:sz w:val="24"/>
          <w:szCs w:val="24"/>
          <w:lang w:val="en-GB"/>
        </w:rPr>
        <w:t>CF</w:t>
      </w:r>
      <w:r w:rsidR="00132268" w:rsidRPr="00C37C17">
        <w:rPr>
          <w:rFonts w:ascii="Symbol" w:hAnsi="Symbol"/>
          <w:sz w:val="24"/>
          <w:szCs w:val="24"/>
          <w:vertAlign w:val="subscript"/>
          <w:lang w:val="en-GB"/>
        </w:rPr>
        <w:t></w:t>
      </w:r>
      <w:r w:rsidR="00132268">
        <w:rPr>
          <w:sz w:val="24"/>
          <w:szCs w:val="24"/>
          <w:lang w:val="en-GB"/>
        </w:rPr>
        <w:t xml:space="preserve"> has a remarkable role in the measurement of inequality since </w:t>
      </w:r>
      <w:r w:rsidR="00AF5A54">
        <w:rPr>
          <w:sz w:val="24"/>
          <w:szCs w:val="24"/>
          <w:lang w:val="en-GB"/>
        </w:rPr>
        <w:t xml:space="preserve">its value is </w:t>
      </w:r>
      <w:r w:rsidR="00132268">
        <w:rPr>
          <w:sz w:val="24"/>
          <w:szCs w:val="24"/>
          <w:lang w:val="en-GB"/>
        </w:rPr>
        <w:t xml:space="preserve">the Gini </w:t>
      </w:r>
      <w:r w:rsidR="002B5CCA">
        <w:rPr>
          <w:sz w:val="24"/>
          <w:szCs w:val="24"/>
          <w:lang w:val="en-GB"/>
        </w:rPr>
        <w:t>coefficient</w:t>
      </w:r>
      <w:r w:rsidR="00132268">
        <w:rPr>
          <w:sz w:val="24"/>
          <w:szCs w:val="24"/>
          <w:lang w:val="en-GB"/>
        </w:rPr>
        <w:t>.</w:t>
      </w:r>
      <w:r w:rsidR="00132268">
        <w:rPr>
          <w:rStyle w:val="FootnoteReference"/>
          <w:sz w:val="24"/>
          <w:szCs w:val="24"/>
          <w:lang w:val="en-GB"/>
        </w:rPr>
        <w:footnoteReference w:id="8"/>
      </w:r>
    </w:p>
    <w:p w:rsidR="005C7228" w:rsidRDefault="00C70986" w:rsidP="006F4A78">
      <w:pPr>
        <w:spacing w:after="120" w:line="480" w:lineRule="auto"/>
        <w:rPr>
          <w:sz w:val="24"/>
          <w:szCs w:val="24"/>
          <w:lang w:val="en-GB"/>
        </w:rPr>
      </w:pPr>
      <w:r>
        <w:rPr>
          <w:sz w:val="24"/>
          <w:szCs w:val="24"/>
          <w:lang w:val="en-GB"/>
        </w:rPr>
        <w:t xml:space="preserve">Second, the CF </w:t>
      </w:r>
      <w:r w:rsidR="009D1657">
        <w:rPr>
          <w:sz w:val="24"/>
          <w:szCs w:val="24"/>
          <w:lang w:val="en-GB"/>
        </w:rPr>
        <w:t xml:space="preserve">has </w:t>
      </w:r>
      <w:r w:rsidR="009A2F96">
        <w:rPr>
          <w:sz w:val="24"/>
          <w:szCs w:val="24"/>
          <w:lang w:val="en-GB"/>
        </w:rPr>
        <w:t xml:space="preserve">a </w:t>
      </w:r>
      <w:r w:rsidR="002B5CCA">
        <w:rPr>
          <w:sz w:val="24"/>
          <w:szCs w:val="24"/>
          <w:lang w:val="en-GB"/>
        </w:rPr>
        <w:t xml:space="preserve">particular </w:t>
      </w:r>
      <w:r w:rsidR="009A2F96">
        <w:rPr>
          <w:sz w:val="24"/>
          <w:szCs w:val="24"/>
          <w:lang w:val="en-GB"/>
        </w:rPr>
        <w:t>position</w:t>
      </w:r>
      <w:r w:rsidR="009D1657">
        <w:rPr>
          <w:sz w:val="24"/>
          <w:szCs w:val="24"/>
          <w:lang w:val="en-GB"/>
        </w:rPr>
        <w:t xml:space="preserve"> </w:t>
      </w:r>
      <w:r w:rsidR="00A24E16">
        <w:rPr>
          <w:sz w:val="24"/>
          <w:szCs w:val="24"/>
          <w:lang w:val="en-GB"/>
        </w:rPr>
        <w:t xml:space="preserve">in the </w:t>
      </w:r>
      <w:r w:rsidR="009A2F96">
        <w:rPr>
          <w:sz w:val="24"/>
          <w:szCs w:val="24"/>
          <w:lang w:val="en-GB"/>
        </w:rPr>
        <w:t>field</w:t>
      </w:r>
      <w:r w:rsidR="00A24E16">
        <w:rPr>
          <w:sz w:val="24"/>
          <w:szCs w:val="24"/>
          <w:lang w:val="en-GB"/>
        </w:rPr>
        <w:t xml:space="preserve"> of distributions (McDonald and Xu, 1995: 139)</w:t>
      </w:r>
      <w:r w:rsidR="00EB3120">
        <w:rPr>
          <w:sz w:val="24"/>
          <w:szCs w:val="24"/>
          <w:lang w:val="en-GB"/>
        </w:rPr>
        <w:t>. I</w:t>
      </w:r>
      <w:r w:rsidR="00F93980">
        <w:rPr>
          <w:sz w:val="24"/>
          <w:szCs w:val="24"/>
          <w:lang w:val="en-GB"/>
        </w:rPr>
        <w:t xml:space="preserve">t is </w:t>
      </w:r>
      <w:r w:rsidR="005007C8">
        <w:rPr>
          <w:sz w:val="24"/>
          <w:szCs w:val="24"/>
          <w:lang w:val="en-GB"/>
        </w:rPr>
        <w:t xml:space="preserve">central </w:t>
      </w:r>
      <w:r>
        <w:rPr>
          <w:sz w:val="24"/>
          <w:szCs w:val="24"/>
          <w:lang w:val="en-GB"/>
        </w:rPr>
        <w:t xml:space="preserve">in the </w:t>
      </w:r>
      <w:r w:rsidR="000A7E92">
        <w:rPr>
          <w:sz w:val="24"/>
          <w:szCs w:val="24"/>
          <w:lang w:val="en-GB"/>
        </w:rPr>
        <w:t xml:space="preserve">general </w:t>
      </w:r>
      <w:r w:rsidR="009A2F96">
        <w:rPr>
          <w:sz w:val="24"/>
          <w:szCs w:val="24"/>
          <w:lang w:val="en-GB"/>
        </w:rPr>
        <w:t xml:space="preserve">tree of </w:t>
      </w:r>
      <w:r w:rsidR="00F77672">
        <w:rPr>
          <w:sz w:val="24"/>
          <w:szCs w:val="24"/>
          <w:lang w:val="en-GB"/>
        </w:rPr>
        <w:t>Beta-type distributions (</w:t>
      </w:r>
      <w:r w:rsidR="00F77672" w:rsidRPr="00AC0EBC">
        <w:rPr>
          <w:sz w:val="24"/>
          <w:szCs w:val="24"/>
          <w:lang w:val="en-GB"/>
        </w:rPr>
        <w:t>Kleiber</w:t>
      </w:r>
      <w:r w:rsidR="00F77672">
        <w:rPr>
          <w:sz w:val="24"/>
          <w:szCs w:val="24"/>
          <w:lang w:val="en-GB"/>
        </w:rPr>
        <w:t xml:space="preserve"> </w:t>
      </w:r>
      <w:r w:rsidR="00F77672" w:rsidRPr="00AC0EBC">
        <w:rPr>
          <w:sz w:val="24"/>
          <w:szCs w:val="24"/>
          <w:lang w:val="en-GB"/>
        </w:rPr>
        <w:t>and Kotz</w:t>
      </w:r>
      <w:r w:rsidR="00F77672">
        <w:rPr>
          <w:sz w:val="24"/>
          <w:szCs w:val="24"/>
          <w:lang w:val="en-GB"/>
        </w:rPr>
        <w:t>, 2003: 188)</w:t>
      </w:r>
      <w:r w:rsidR="009A2F96">
        <w:rPr>
          <w:sz w:val="24"/>
          <w:szCs w:val="24"/>
          <w:lang w:val="en-GB"/>
        </w:rPr>
        <w:t xml:space="preserve"> where GB2 is </w:t>
      </w:r>
      <w:r w:rsidR="002B5CCA">
        <w:rPr>
          <w:sz w:val="24"/>
          <w:szCs w:val="24"/>
          <w:lang w:val="en-GB"/>
        </w:rPr>
        <w:t xml:space="preserve">in this sense </w:t>
      </w:r>
      <w:r w:rsidR="009A2F96">
        <w:rPr>
          <w:sz w:val="24"/>
          <w:szCs w:val="24"/>
          <w:lang w:val="en-GB"/>
        </w:rPr>
        <w:t xml:space="preserve">the canopy </w:t>
      </w:r>
      <w:r w:rsidR="002B5CCA">
        <w:rPr>
          <w:sz w:val="24"/>
          <w:szCs w:val="24"/>
          <w:lang w:val="en-GB"/>
        </w:rPr>
        <w:t xml:space="preserve">of the tree </w:t>
      </w:r>
      <w:r w:rsidR="009A2F96">
        <w:rPr>
          <w:sz w:val="24"/>
          <w:szCs w:val="24"/>
          <w:lang w:val="en-GB"/>
        </w:rPr>
        <w:t xml:space="preserve">and </w:t>
      </w:r>
      <w:r w:rsidR="002B5CCA">
        <w:rPr>
          <w:sz w:val="24"/>
          <w:szCs w:val="24"/>
          <w:lang w:val="en-GB"/>
        </w:rPr>
        <w:t xml:space="preserve">the </w:t>
      </w:r>
      <w:r w:rsidR="009A2F96">
        <w:rPr>
          <w:sz w:val="24"/>
          <w:szCs w:val="24"/>
          <w:lang w:val="en-GB"/>
        </w:rPr>
        <w:t>CF the root</w:t>
      </w:r>
      <w:r w:rsidR="00553FCE">
        <w:rPr>
          <w:sz w:val="24"/>
          <w:szCs w:val="24"/>
          <w:lang w:val="en-GB"/>
        </w:rPr>
        <w:t>s</w:t>
      </w:r>
      <w:r w:rsidR="009A2F96">
        <w:rPr>
          <w:sz w:val="24"/>
          <w:szCs w:val="24"/>
          <w:lang w:val="en-GB"/>
        </w:rPr>
        <w:t xml:space="preserve">. The CF </w:t>
      </w:r>
      <w:r w:rsidR="009F6985">
        <w:rPr>
          <w:sz w:val="24"/>
          <w:szCs w:val="24"/>
          <w:lang w:val="en-GB"/>
        </w:rPr>
        <w:t xml:space="preserve">is a very </w:t>
      </w:r>
      <w:r w:rsidR="009F6985">
        <w:rPr>
          <w:sz w:val="24"/>
          <w:szCs w:val="24"/>
          <w:lang w:val="en-GB"/>
        </w:rPr>
        <w:lastRenderedPageBreak/>
        <w:t xml:space="preserve">simplified GB2 </w:t>
      </w:r>
      <w:r w:rsidR="009A2F96">
        <w:rPr>
          <w:sz w:val="24"/>
          <w:szCs w:val="24"/>
          <w:lang w:val="en-GB"/>
        </w:rPr>
        <w:t xml:space="preserve">where </w:t>
      </w:r>
      <w:r w:rsidR="002B5CCA">
        <w:rPr>
          <w:sz w:val="24"/>
          <w:szCs w:val="24"/>
          <w:lang w:val="en-GB"/>
        </w:rPr>
        <w:t xml:space="preserve">the </w:t>
      </w:r>
      <w:r w:rsidR="009F6985">
        <w:rPr>
          <w:sz w:val="24"/>
          <w:szCs w:val="24"/>
          <w:lang w:val="en-GB"/>
        </w:rPr>
        <w:t xml:space="preserve">parameters </w:t>
      </w:r>
      <w:r w:rsidR="009F6985" w:rsidRPr="002B5CCA">
        <w:rPr>
          <w:i/>
          <w:sz w:val="24"/>
          <w:szCs w:val="24"/>
          <w:lang w:val="en-GB"/>
        </w:rPr>
        <w:t>p</w:t>
      </w:r>
      <w:r w:rsidR="009A2F96">
        <w:rPr>
          <w:sz w:val="24"/>
          <w:szCs w:val="24"/>
          <w:lang w:val="en-GB"/>
        </w:rPr>
        <w:t xml:space="preserve"> and </w:t>
      </w:r>
      <w:r w:rsidR="009F6985" w:rsidRPr="002B5CCA">
        <w:rPr>
          <w:i/>
          <w:sz w:val="24"/>
          <w:szCs w:val="24"/>
          <w:lang w:val="en-GB"/>
        </w:rPr>
        <w:t>q</w:t>
      </w:r>
      <w:r w:rsidR="009A2F96">
        <w:rPr>
          <w:sz w:val="24"/>
          <w:szCs w:val="24"/>
          <w:lang w:val="en-GB"/>
        </w:rPr>
        <w:t xml:space="preserve"> equal </w:t>
      </w:r>
      <w:r w:rsidR="009F6985">
        <w:rPr>
          <w:sz w:val="24"/>
          <w:szCs w:val="24"/>
          <w:lang w:val="en-GB"/>
        </w:rPr>
        <w:t>1</w:t>
      </w:r>
      <w:r>
        <w:rPr>
          <w:sz w:val="24"/>
          <w:szCs w:val="24"/>
          <w:lang w:val="en-GB"/>
        </w:rPr>
        <w:t xml:space="preserve">. </w:t>
      </w:r>
      <w:r w:rsidR="002B5CCA">
        <w:rPr>
          <w:sz w:val="24"/>
          <w:szCs w:val="24"/>
          <w:lang w:val="en-GB"/>
        </w:rPr>
        <w:t xml:space="preserve">While </w:t>
      </w:r>
      <w:r w:rsidR="009A2F96">
        <w:rPr>
          <w:sz w:val="24"/>
          <w:szCs w:val="24"/>
          <w:lang w:val="en-GB"/>
        </w:rPr>
        <w:t xml:space="preserve">the CF is much less flexible than the GB2, it </w:t>
      </w:r>
      <w:r w:rsidR="002B5CCA">
        <w:rPr>
          <w:sz w:val="24"/>
          <w:szCs w:val="24"/>
          <w:lang w:val="en-GB"/>
        </w:rPr>
        <w:t xml:space="preserve">does share some </w:t>
      </w:r>
      <w:r w:rsidR="009A2F96">
        <w:rPr>
          <w:sz w:val="24"/>
          <w:szCs w:val="24"/>
          <w:lang w:val="en-GB"/>
        </w:rPr>
        <w:t>important features</w:t>
      </w:r>
      <w:r w:rsidR="002B5CCA">
        <w:rPr>
          <w:sz w:val="24"/>
          <w:szCs w:val="24"/>
          <w:lang w:val="en-GB"/>
        </w:rPr>
        <w:t>,</w:t>
      </w:r>
      <w:r w:rsidR="009A2F96">
        <w:rPr>
          <w:sz w:val="24"/>
          <w:szCs w:val="24"/>
          <w:lang w:val="en-GB"/>
        </w:rPr>
        <w:t xml:space="preserve"> such as power-tails.</w:t>
      </w:r>
      <w:r w:rsidR="005C7228">
        <w:rPr>
          <w:sz w:val="24"/>
          <w:szCs w:val="24"/>
          <w:lang w:val="en-GB"/>
        </w:rPr>
        <w:t xml:space="preserve"> The CF is a sub-case of the complete Champernowne-II (1937</w:t>
      </w:r>
      <w:r w:rsidR="0050149B">
        <w:rPr>
          <w:sz w:val="24"/>
          <w:szCs w:val="24"/>
          <w:lang w:val="en-GB"/>
        </w:rPr>
        <w:t>, 1952</w:t>
      </w:r>
      <w:r w:rsidR="005C7228">
        <w:rPr>
          <w:sz w:val="24"/>
          <w:szCs w:val="24"/>
          <w:lang w:val="en-GB"/>
        </w:rPr>
        <w:t xml:space="preserve">) four-parameter distribution; Fisk (1961) described </w:t>
      </w:r>
      <w:r w:rsidR="002B5CCA" w:rsidRPr="002B5CCA">
        <w:rPr>
          <w:sz w:val="24"/>
          <w:szCs w:val="24"/>
          <w:lang w:val="en-GB"/>
        </w:rPr>
        <w:t xml:space="preserve">this simplified form </w:t>
      </w:r>
      <w:r w:rsidR="005C7228">
        <w:rPr>
          <w:sz w:val="24"/>
          <w:szCs w:val="24"/>
          <w:lang w:val="en-GB"/>
        </w:rPr>
        <w:t xml:space="preserve">more generally. He called </w:t>
      </w:r>
      <w:r w:rsidR="002B5CCA">
        <w:rPr>
          <w:sz w:val="24"/>
          <w:szCs w:val="24"/>
          <w:lang w:val="en-GB"/>
        </w:rPr>
        <w:t xml:space="preserve">this </w:t>
      </w:r>
      <w:r w:rsidR="005C7228">
        <w:rPr>
          <w:sz w:val="24"/>
          <w:szCs w:val="24"/>
          <w:lang w:val="en-GB"/>
        </w:rPr>
        <w:t>the “</w:t>
      </w:r>
      <w:r w:rsidR="005C7228" w:rsidRPr="00380949">
        <w:rPr>
          <w:sz w:val="24"/>
          <w:szCs w:val="24"/>
          <w:lang w:val="en-GB"/>
        </w:rPr>
        <w:t>sech</w:t>
      </w:r>
      <w:r w:rsidR="005C7228" w:rsidRPr="00380949">
        <w:rPr>
          <w:sz w:val="24"/>
          <w:szCs w:val="24"/>
          <w:vertAlign w:val="superscript"/>
          <w:lang w:val="en-GB"/>
        </w:rPr>
        <w:t>2</w:t>
      </w:r>
      <w:r w:rsidR="005C7228" w:rsidRPr="00380949">
        <w:rPr>
          <w:sz w:val="24"/>
          <w:szCs w:val="24"/>
          <w:lang w:val="en-GB"/>
        </w:rPr>
        <w:t xml:space="preserve"> </w:t>
      </w:r>
      <w:r w:rsidR="005C7228">
        <w:rPr>
          <w:sz w:val="24"/>
          <w:szCs w:val="24"/>
          <w:lang w:val="en-GB"/>
        </w:rPr>
        <w:t>distribution” (</w:t>
      </w:r>
      <w:r w:rsidR="002B5CCA">
        <w:rPr>
          <w:sz w:val="24"/>
          <w:szCs w:val="24"/>
          <w:lang w:val="en-GB"/>
        </w:rPr>
        <w:t xml:space="preserve">the </w:t>
      </w:r>
      <w:r w:rsidR="005C7228">
        <w:rPr>
          <w:sz w:val="24"/>
          <w:szCs w:val="24"/>
          <w:lang w:val="en-GB"/>
        </w:rPr>
        <w:t xml:space="preserve">square of </w:t>
      </w:r>
      <w:r w:rsidR="002B5CCA">
        <w:rPr>
          <w:sz w:val="24"/>
          <w:szCs w:val="24"/>
          <w:lang w:val="en-GB"/>
        </w:rPr>
        <w:t xml:space="preserve">the </w:t>
      </w:r>
      <w:r w:rsidR="005C7228">
        <w:rPr>
          <w:sz w:val="24"/>
          <w:szCs w:val="24"/>
          <w:lang w:val="en-GB"/>
        </w:rPr>
        <w:t>hyperbolic sequant)</w:t>
      </w:r>
      <w:r w:rsidR="002B5CCA">
        <w:rPr>
          <w:sz w:val="24"/>
          <w:szCs w:val="24"/>
          <w:lang w:val="en-GB"/>
        </w:rPr>
        <w:t xml:space="preserve">; it </w:t>
      </w:r>
      <w:r w:rsidR="005C7228">
        <w:rPr>
          <w:sz w:val="24"/>
          <w:szCs w:val="24"/>
          <w:lang w:val="en-GB"/>
        </w:rPr>
        <w:t>is also called the log</w:t>
      </w:r>
      <w:r w:rsidR="00F67915">
        <w:rPr>
          <w:sz w:val="24"/>
          <w:szCs w:val="24"/>
          <w:lang w:val="en-GB"/>
        </w:rPr>
        <w:t>-</w:t>
      </w:r>
      <w:r w:rsidR="005C7228">
        <w:rPr>
          <w:sz w:val="24"/>
          <w:szCs w:val="24"/>
          <w:lang w:val="en-GB"/>
        </w:rPr>
        <w:t xml:space="preserve">logistic </w:t>
      </w:r>
      <w:r w:rsidR="002B5CCA">
        <w:rPr>
          <w:sz w:val="24"/>
          <w:szCs w:val="24"/>
          <w:lang w:val="en-GB"/>
        </w:rPr>
        <w:t xml:space="preserve">distribution </w:t>
      </w:r>
      <w:r w:rsidR="005C7228">
        <w:rPr>
          <w:sz w:val="24"/>
          <w:szCs w:val="24"/>
          <w:lang w:val="en-GB"/>
        </w:rPr>
        <w:t>(</w:t>
      </w:r>
      <w:r w:rsidR="005C7228" w:rsidRPr="00DF0D2F">
        <w:rPr>
          <w:sz w:val="24"/>
          <w:szCs w:val="24"/>
          <w:lang w:val="en-GB"/>
        </w:rPr>
        <w:t>Shoukri</w:t>
      </w:r>
      <w:r w:rsidR="005C7228">
        <w:rPr>
          <w:sz w:val="24"/>
          <w:szCs w:val="24"/>
          <w:lang w:val="en-GB"/>
        </w:rPr>
        <w:t xml:space="preserve"> </w:t>
      </w:r>
      <w:r w:rsidR="005C7228" w:rsidRPr="002B5CCA">
        <w:rPr>
          <w:i/>
          <w:sz w:val="24"/>
          <w:szCs w:val="24"/>
          <w:lang w:val="en-GB"/>
        </w:rPr>
        <w:t>et al</w:t>
      </w:r>
      <w:r w:rsidR="005C7228">
        <w:rPr>
          <w:sz w:val="24"/>
          <w:szCs w:val="24"/>
          <w:lang w:val="en-GB"/>
        </w:rPr>
        <w:t xml:space="preserve">., 1988, Dagum, </w:t>
      </w:r>
      <w:r w:rsidR="00FC4D25">
        <w:rPr>
          <w:sz w:val="24"/>
          <w:szCs w:val="24"/>
          <w:lang w:val="en-GB"/>
        </w:rPr>
        <w:t xml:space="preserve">1977, </w:t>
      </w:r>
      <w:r w:rsidR="005C7228">
        <w:rPr>
          <w:sz w:val="24"/>
          <w:szCs w:val="24"/>
          <w:lang w:val="en-GB"/>
        </w:rPr>
        <w:t xml:space="preserve">2006). </w:t>
      </w:r>
    </w:p>
    <w:p w:rsidR="00760457" w:rsidRDefault="00C70986" w:rsidP="006F4A78">
      <w:pPr>
        <w:spacing w:after="120" w:line="480" w:lineRule="auto"/>
        <w:rPr>
          <w:sz w:val="24"/>
          <w:szCs w:val="24"/>
          <w:lang w:val="en-GB"/>
        </w:rPr>
      </w:pPr>
      <w:r>
        <w:rPr>
          <w:sz w:val="24"/>
          <w:szCs w:val="24"/>
          <w:lang w:val="en-GB"/>
        </w:rPr>
        <w:t xml:space="preserve">Third, the CF </w:t>
      </w:r>
      <w:r w:rsidR="002B5CCA">
        <w:rPr>
          <w:sz w:val="24"/>
          <w:szCs w:val="24"/>
          <w:lang w:val="en-GB"/>
        </w:rPr>
        <w:t xml:space="preserve">produces </w:t>
      </w:r>
      <w:r w:rsidR="00316D72">
        <w:rPr>
          <w:sz w:val="24"/>
          <w:szCs w:val="24"/>
          <w:lang w:val="en-GB"/>
        </w:rPr>
        <w:t>income distribution</w:t>
      </w:r>
      <w:r w:rsidR="002B5CCA">
        <w:rPr>
          <w:sz w:val="24"/>
          <w:szCs w:val="24"/>
          <w:lang w:val="en-GB"/>
        </w:rPr>
        <w:t>s</w:t>
      </w:r>
      <w:r w:rsidR="005C7228">
        <w:rPr>
          <w:sz w:val="24"/>
          <w:szCs w:val="24"/>
          <w:lang w:val="en-GB"/>
        </w:rPr>
        <w:t xml:space="preserve"> that </w:t>
      </w:r>
      <w:r w:rsidR="002B5CCA">
        <w:rPr>
          <w:sz w:val="24"/>
          <w:szCs w:val="24"/>
          <w:lang w:val="en-GB"/>
        </w:rPr>
        <w:t xml:space="preserve">are </w:t>
      </w:r>
      <w:r w:rsidR="005C7228">
        <w:rPr>
          <w:sz w:val="24"/>
          <w:szCs w:val="24"/>
          <w:lang w:val="en-GB"/>
        </w:rPr>
        <w:t>solid</w:t>
      </w:r>
      <w:r w:rsidR="002B5CCA">
        <w:rPr>
          <w:sz w:val="24"/>
          <w:szCs w:val="24"/>
          <w:lang w:val="en-GB"/>
        </w:rPr>
        <w:t>ly</w:t>
      </w:r>
      <w:r w:rsidR="005C7228">
        <w:rPr>
          <w:sz w:val="24"/>
          <w:szCs w:val="24"/>
          <w:lang w:val="en-GB"/>
        </w:rPr>
        <w:t xml:space="preserve"> ground</w:t>
      </w:r>
      <w:r w:rsidR="002B5CCA">
        <w:rPr>
          <w:sz w:val="24"/>
          <w:szCs w:val="24"/>
          <w:lang w:val="en-GB"/>
        </w:rPr>
        <w:t xml:space="preserve">ed in </w:t>
      </w:r>
      <w:r w:rsidR="005C7228">
        <w:rPr>
          <w:sz w:val="24"/>
          <w:szCs w:val="24"/>
          <w:lang w:val="en-GB"/>
        </w:rPr>
        <w:t>mathematical expressions</w:t>
      </w:r>
      <w:r>
        <w:rPr>
          <w:sz w:val="24"/>
          <w:szCs w:val="24"/>
          <w:lang w:val="en-GB"/>
        </w:rPr>
        <w:t>.</w:t>
      </w:r>
      <w:r w:rsidR="00740A01">
        <w:rPr>
          <w:rStyle w:val="FootnoteReference"/>
          <w:sz w:val="24"/>
          <w:szCs w:val="24"/>
          <w:lang w:val="en-US"/>
        </w:rPr>
        <w:footnoteReference w:id="9"/>
      </w:r>
      <w:r w:rsidR="009A2F96">
        <w:rPr>
          <w:sz w:val="24"/>
          <w:szCs w:val="24"/>
          <w:lang w:val="en-GB"/>
        </w:rPr>
        <w:t xml:space="preserve"> </w:t>
      </w:r>
      <w:r w:rsidR="002B5CCA">
        <w:rPr>
          <w:sz w:val="24"/>
          <w:szCs w:val="24"/>
          <w:lang w:val="en-GB"/>
        </w:rPr>
        <w:t>Here</w:t>
      </w:r>
      <w:r w:rsidR="005C7228">
        <w:rPr>
          <w:sz w:val="24"/>
          <w:szCs w:val="24"/>
          <w:lang w:val="en-GB"/>
        </w:rPr>
        <w:t xml:space="preserve"> the CF is at </w:t>
      </w:r>
      <w:r w:rsidR="002B5CCA">
        <w:rPr>
          <w:sz w:val="24"/>
          <w:szCs w:val="24"/>
          <w:lang w:val="en-GB"/>
        </w:rPr>
        <w:t xml:space="preserve">a </w:t>
      </w:r>
      <w:r w:rsidR="005C7228">
        <w:rPr>
          <w:sz w:val="24"/>
          <w:szCs w:val="24"/>
          <w:lang w:val="en-GB"/>
        </w:rPr>
        <w:t xml:space="preserve">crossroads of different theoretical traditions. </w:t>
      </w:r>
      <w:r w:rsidR="009A2F96">
        <w:rPr>
          <w:sz w:val="24"/>
          <w:szCs w:val="24"/>
          <w:lang w:val="en-GB"/>
        </w:rPr>
        <w:t xml:space="preserve">In microeconomics, </w:t>
      </w:r>
      <w:r w:rsidR="00316D72">
        <w:rPr>
          <w:sz w:val="24"/>
          <w:szCs w:val="24"/>
          <w:lang w:val="en-GB"/>
        </w:rPr>
        <w:t>the GB2</w:t>
      </w:r>
      <w:r w:rsidR="005C7228">
        <w:rPr>
          <w:sz w:val="24"/>
          <w:szCs w:val="24"/>
          <w:lang w:val="en-GB"/>
        </w:rPr>
        <w:t xml:space="preserve"> (</w:t>
      </w:r>
      <w:r w:rsidR="00316D72">
        <w:rPr>
          <w:sz w:val="24"/>
          <w:szCs w:val="24"/>
          <w:lang w:val="en-GB"/>
        </w:rPr>
        <w:t>and</w:t>
      </w:r>
      <w:r w:rsidR="00E87D96">
        <w:rPr>
          <w:sz w:val="24"/>
          <w:szCs w:val="24"/>
          <w:lang w:val="en-GB"/>
        </w:rPr>
        <w:t>,</w:t>
      </w:r>
      <w:r w:rsidR="00316D72">
        <w:rPr>
          <w:sz w:val="24"/>
          <w:szCs w:val="24"/>
          <w:lang w:val="en-GB"/>
        </w:rPr>
        <w:t xml:space="preserve"> as a consequence</w:t>
      </w:r>
      <w:r w:rsidR="00E87D96">
        <w:rPr>
          <w:sz w:val="24"/>
          <w:szCs w:val="24"/>
          <w:lang w:val="en-GB"/>
        </w:rPr>
        <w:t>,</w:t>
      </w:r>
      <w:r w:rsidR="00316D72">
        <w:rPr>
          <w:sz w:val="24"/>
          <w:szCs w:val="24"/>
          <w:lang w:val="en-GB"/>
        </w:rPr>
        <w:t xml:space="preserve"> the CF </w:t>
      </w:r>
      <w:r w:rsidR="002B5CCA">
        <w:rPr>
          <w:sz w:val="24"/>
          <w:szCs w:val="24"/>
          <w:lang w:val="en-GB"/>
        </w:rPr>
        <w:t xml:space="preserve">which </w:t>
      </w:r>
      <w:r w:rsidR="00316D72">
        <w:rPr>
          <w:sz w:val="24"/>
          <w:szCs w:val="24"/>
          <w:lang w:val="en-GB"/>
        </w:rPr>
        <w:t xml:space="preserve">is a GB2 with parameters </w:t>
      </w:r>
      <w:r w:rsidR="00316D72" w:rsidRPr="005C2D58">
        <w:rPr>
          <w:i/>
          <w:sz w:val="24"/>
          <w:szCs w:val="24"/>
          <w:lang w:val="en-GB"/>
        </w:rPr>
        <w:t>p</w:t>
      </w:r>
      <w:r w:rsidR="00316D72">
        <w:rPr>
          <w:sz w:val="24"/>
          <w:szCs w:val="24"/>
          <w:lang w:val="en-GB"/>
        </w:rPr>
        <w:t>=</w:t>
      </w:r>
      <w:r w:rsidR="00316D72" w:rsidRPr="005C2D58">
        <w:rPr>
          <w:i/>
          <w:sz w:val="24"/>
          <w:szCs w:val="24"/>
          <w:lang w:val="en-GB"/>
        </w:rPr>
        <w:t>q</w:t>
      </w:r>
      <w:r w:rsidR="00316D72">
        <w:rPr>
          <w:sz w:val="24"/>
          <w:szCs w:val="24"/>
          <w:lang w:val="en-GB"/>
        </w:rPr>
        <w:t>=1</w:t>
      </w:r>
      <w:r w:rsidR="005C7228">
        <w:rPr>
          <w:sz w:val="24"/>
          <w:szCs w:val="24"/>
          <w:lang w:val="en-GB"/>
        </w:rPr>
        <w:t>)</w:t>
      </w:r>
      <w:r w:rsidR="00316D72">
        <w:rPr>
          <w:sz w:val="24"/>
          <w:szCs w:val="24"/>
          <w:lang w:val="en-GB"/>
        </w:rPr>
        <w:t xml:space="preserve"> can be seen as a </w:t>
      </w:r>
      <w:r w:rsidR="005C2D58">
        <w:rPr>
          <w:sz w:val="24"/>
          <w:szCs w:val="24"/>
          <w:lang w:val="en-GB"/>
        </w:rPr>
        <w:t xml:space="preserve">result </w:t>
      </w:r>
      <w:r w:rsidR="00E96BD7">
        <w:rPr>
          <w:sz w:val="24"/>
          <w:szCs w:val="24"/>
          <w:lang w:val="en-GB"/>
        </w:rPr>
        <w:t xml:space="preserve">of </w:t>
      </w:r>
      <w:r w:rsidR="00316D72">
        <w:rPr>
          <w:sz w:val="24"/>
          <w:szCs w:val="24"/>
          <w:lang w:val="en-GB"/>
        </w:rPr>
        <w:t xml:space="preserve">Parker’s neoclassic </w:t>
      </w:r>
      <w:r w:rsidR="00E96BD7">
        <w:rPr>
          <w:sz w:val="24"/>
          <w:szCs w:val="24"/>
          <w:lang w:val="en-GB"/>
        </w:rPr>
        <w:t xml:space="preserve">model of </w:t>
      </w:r>
      <w:r w:rsidR="00997EC0">
        <w:rPr>
          <w:sz w:val="24"/>
          <w:szCs w:val="24"/>
          <w:lang w:val="en-GB"/>
        </w:rPr>
        <w:t xml:space="preserve">firm </w:t>
      </w:r>
      <w:r w:rsidR="00230521">
        <w:rPr>
          <w:sz w:val="24"/>
          <w:szCs w:val="24"/>
          <w:lang w:val="en-GB"/>
        </w:rPr>
        <w:t>behaviour</w:t>
      </w:r>
      <w:r w:rsidR="005C2D58">
        <w:rPr>
          <w:sz w:val="24"/>
          <w:szCs w:val="24"/>
          <w:lang w:val="en-GB"/>
        </w:rPr>
        <w:t xml:space="preserve"> </w:t>
      </w:r>
      <w:r w:rsidR="00316D72">
        <w:rPr>
          <w:sz w:val="24"/>
          <w:szCs w:val="24"/>
          <w:lang w:val="en-GB"/>
        </w:rPr>
        <w:t>(</w:t>
      </w:r>
      <w:r w:rsidR="00E96BD7">
        <w:rPr>
          <w:sz w:val="24"/>
          <w:szCs w:val="24"/>
          <w:lang w:val="en-GB"/>
        </w:rPr>
        <w:t>Parker</w:t>
      </w:r>
      <w:r w:rsidR="00316D72">
        <w:rPr>
          <w:sz w:val="24"/>
          <w:szCs w:val="24"/>
          <w:lang w:val="en-GB"/>
        </w:rPr>
        <w:t>, 1</w:t>
      </w:r>
      <w:r w:rsidR="00E96BD7">
        <w:rPr>
          <w:sz w:val="24"/>
          <w:szCs w:val="24"/>
          <w:lang w:val="en-GB"/>
        </w:rPr>
        <w:t>999:199</w:t>
      </w:r>
      <w:r w:rsidR="008C78BB">
        <w:rPr>
          <w:sz w:val="24"/>
          <w:szCs w:val="24"/>
          <w:lang w:val="en-GB"/>
        </w:rPr>
        <w:t>,</w:t>
      </w:r>
      <w:r w:rsidR="006F791E">
        <w:rPr>
          <w:sz w:val="24"/>
          <w:szCs w:val="24"/>
          <w:lang w:val="en-GB"/>
        </w:rPr>
        <w:t xml:space="preserve"> Jenkins, 2009</w:t>
      </w:r>
      <w:r w:rsidR="00740A01">
        <w:rPr>
          <w:sz w:val="24"/>
          <w:szCs w:val="24"/>
          <w:lang w:val="en-GB"/>
        </w:rPr>
        <w:t>).</w:t>
      </w:r>
      <w:r w:rsidR="00740A01">
        <w:rPr>
          <w:rStyle w:val="FootnoteReference"/>
          <w:sz w:val="24"/>
          <w:szCs w:val="24"/>
          <w:lang w:val="en-GB"/>
        </w:rPr>
        <w:footnoteReference w:id="10"/>
      </w:r>
      <w:r w:rsidR="00740A01">
        <w:rPr>
          <w:sz w:val="24"/>
          <w:szCs w:val="24"/>
          <w:lang w:val="en-GB"/>
        </w:rPr>
        <w:t xml:space="preserve"> </w:t>
      </w:r>
      <w:r w:rsidR="005C2D58">
        <w:rPr>
          <w:sz w:val="24"/>
          <w:szCs w:val="24"/>
          <w:lang w:val="en-GB"/>
        </w:rPr>
        <w:t xml:space="preserve">A number of </w:t>
      </w:r>
      <w:r w:rsidR="00316D72">
        <w:rPr>
          <w:sz w:val="24"/>
          <w:szCs w:val="24"/>
          <w:lang w:val="en-GB"/>
        </w:rPr>
        <w:t>o</w:t>
      </w:r>
      <w:r w:rsidR="00B35165">
        <w:rPr>
          <w:sz w:val="24"/>
          <w:szCs w:val="24"/>
          <w:lang w:val="en-GB"/>
        </w:rPr>
        <w:t xml:space="preserve">ther </w:t>
      </w:r>
      <w:r w:rsidR="00740A01">
        <w:rPr>
          <w:sz w:val="24"/>
          <w:szCs w:val="24"/>
          <w:lang w:val="en-GB"/>
        </w:rPr>
        <w:t xml:space="preserve">theoretical </w:t>
      </w:r>
      <w:r w:rsidR="00B35165">
        <w:rPr>
          <w:sz w:val="24"/>
          <w:szCs w:val="24"/>
          <w:lang w:val="en-GB"/>
        </w:rPr>
        <w:t>constructions</w:t>
      </w:r>
      <w:r w:rsidR="000132C1">
        <w:rPr>
          <w:sz w:val="24"/>
          <w:szCs w:val="24"/>
          <w:lang w:val="en-GB"/>
        </w:rPr>
        <w:t>,</w:t>
      </w:r>
      <w:r w:rsidR="00740A01">
        <w:rPr>
          <w:sz w:val="24"/>
          <w:szCs w:val="24"/>
          <w:lang w:val="en-GB"/>
        </w:rPr>
        <w:t xml:space="preserve"> </w:t>
      </w:r>
      <w:r w:rsidR="000132C1">
        <w:rPr>
          <w:sz w:val="24"/>
          <w:szCs w:val="24"/>
          <w:lang w:val="en-GB"/>
        </w:rPr>
        <w:t xml:space="preserve">such as stochastic processes of income attainment, </w:t>
      </w:r>
      <w:r w:rsidR="005C2D58">
        <w:rPr>
          <w:sz w:val="24"/>
          <w:szCs w:val="24"/>
          <w:lang w:val="en-GB"/>
        </w:rPr>
        <w:t xml:space="preserve">yield </w:t>
      </w:r>
      <w:r w:rsidR="00B35165">
        <w:rPr>
          <w:sz w:val="24"/>
          <w:szCs w:val="24"/>
          <w:lang w:val="en-GB"/>
        </w:rPr>
        <w:t>the same distribution</w:t>
      </w:r>
      <w:r w:rsidR="005C7228">
        <w:rPr>
          <w:sz w:val="24"/>
          <w:szCs w:val="24"/>
          <w:lang w:val="en-GB"/>
        </w:rPr>
        <w:t>.</w:t>
      </w:r>
      <w:r w:rsidR="005C7228">
        <w:rPr>
          <w:rStyle w:val="FootnoteReference"/>
          <w:sz w:val="24"/>
          <w:szCs w:val="24"/>
          <w:lang w:val="en-GB"/>
        </w:rPr>
        <w:footnoteReference w:id="11"/>
      </w:r>
      <w:r w:rsidR="005C7228">
        <w:rPr>
          <w:sz w:val="24"/>
          <w:szCs w:val="24"/>
          <w:lang w:val="en-GB"/>
        </w:rPr>
        <w:t xml:space="preserve"> </w:t>
      </w:r>
      <w:r w:rsidR="00EB3120">
        <w:rPr>
          <w:sz w:val="24"/>
          <w:szCs w:val="24"/>
          <w:lang w:val="en-GB"/>
        </w:rPr>
        <w:t xml:space="preserve">In </w:t>
      </w:r>
      <w:r w:rsidR="00760457">
        <w:rPr>
          <w:sz w:val="24"/>
          <w:szCs w:val="24"/>
          <w:lang w:val="en-GB"/>
        </w:rPr>
        <w:t xml:space="preserve">a proposal from </w:t>
      </w:r>
      <w:r w:rsidR="005C2D58">
        <w:rPr>
          <w:sz w:val="24"/>
          <w:szCs w:val="24"/>
          <w:lang w:val="en-GB"/>
        </w:rPr>
        <w:t xml:space="preserve">the field of </w:t>
      </w:r>
      <w:r w:rsidR="00EB3120">
        <w:rPr>
          <w:sz w:val="24"/>
          <w:szCs w:val="24"/>
          <w:lang w:val="en-GB"/>
        </w:rPr>
        <w:t xml:space="preserve">finance, </w:t>
      </w:r>
      <w:r w:rsidR="00B63FBA">
        <w:rPr>
          <w:sz w:val="24"/>
          <w:szCs w:val="24"/>
          <w:lang w:val="en-GB"/>
        </w:rPr>
        <w:t>Gabaix (</w:t>
      </w:r>
      <w:r w:rsidR="00316D72">
        <w:rPr>
          <w:sz w:val="24"/>
          <w:szCs w:val="24"/>
          <w:lang w:val="en-GB"/>
        </w:rPr>
        <w:t>200</w:t>
      </w:r>
      <w:r w:rsidR="00B63FBA">
        <w:rPr>
          <w:sz w:val="24"/>
          <w:szCs w:val="24"/>
          <w:lang w:val="en-GB"/>
        </w:rPr>
        <w:t xml:space="preserve">9) </w:t>
      </w:r>
      <w:r w:rsidR="005C2D58">
        <w:rPr>
          <w:sz w:val="24"/>
          <w:szCs w:val="24"/>
          <w:lang w:val="en-GB"/>
        </w:rPr>
        <w:t xml:space="preserve">considers </w:t>
      </w:r>
      <w:r w:rsidR="00B63FBA">
        <w:rPr>
          <w:sz w:val="24"/>
          <w:szCs w:val="24"/>
          <w:lang w:val="en-GB"/>
        </w:rPr>
        <w:t xml:space="preserve">stochastic models based on geometric </w:t>
      </w:r>
      <w:r w:rsidR="00E87D96">
        <w:rPr>
          <w:sz w:val="24"/>
          <w:szCs w:val="24"/>
          <w:lang w:val="en-GB"/>
        </w:rPr>
        <w:t>B</w:t>
      </w:r>
      <w:r w:rsidR="00B63FBA">
        <w:rPr>
          <w:sz w:val="24"/>
          <w:szCs w:val="24"/>
          <w:lang w:val="en-GB"/>
        </w:rPr>
        <w:t xml:space="preserve">rownian motion </w:t>
      </w:r>
      <w:r w:rsidR="00760457">
        <w:rPr>
          <w:sz w:val="24"/>
          <w:szCs w:val="24"/>
          <w:lang w:val="en-GB"/>
        </w:rPr>
        <w:t xml:space="preserve">that </w:t>
      </w:r>
      <w:r w:rsidR="00B63FBA">
        <w:rPr>
          <w:sz w:val="24"/>
          <w:szCs w:val="24"/>
          <w:lang w:val="en-GB"/>
        </w:rPr>
        <w:t xml:space="preserve">can generate </w:t>
      </w:r>
      <w:r w:rsidR="000715BF">
        <w:rPr>
          <w:sz w:val="24"/>
          <w:szCs w:val="24"/>
          <w:lang w:val="en-GB"/>
        </w:rPr>
        <w:t xml:space="preserve">this type of </w:t>
      </w:r>
      <w:r w:rsidR="005C2D58">
        <w:rPr>
          <w:sz w:val="24"/>
          <w:szCs w:val="24"/>
          <w:lang w:val="en-GB"/>
        </w:rPr>
        <w:t>distribution</w:t>
      </w:r>
      <w:r w:rsidR="00B63FBA">
        <w:rPr>
          <w:sz w:val="24"/>
          <w:szCs w:val="24"/>
          <w:lang w:val="en-GB"/>
        </w:rPr>
        <w:t xml:space="preserve">. </w:t>
      </w:r>
    </w:p>
    <w:p w:rsidR="00971FD0" w:rsidRDefault="00B35165" w:rsidP="006F4A78">
      <w:pPr>
        <w:spacing w:after="120" w:line="480" w:lineRule="auto"/>
        <w:rPr>
          <w:sz w:val="24"/>
          <w:szCs w:val="24"/>
          <w:lang w:val="en-GB"/>
        </w:rPr>
      </w:pPr>
      <w:r>
        <w:rPr>
          <w:sz w:val="24"/>
          <w:szCs w:val="24"/>
          <w:lang w:val="en-GB"/>
        </w:rPr>
        <w:t xml:space="preserve">In </w:t>
      </w:r>
      <w:r w:rsidR="000132C1">
        <w:rPr>
          <w:sz w:val="24"/>
          <w:szCs w:val="24"/>
          <w:lang w:val="en-GB"/>
        </w:rPr>
        <w:t xml:space="preserve">the </w:t>
      </w:r>
      <w:r>
        <w:rPr>
          <w:sz w:val="24"/>
          <w:szCs w:val="24"/>
          <w:lang w:val="en-GB"/>
        </w:rPr>
        <w:t xml:space="preserve">social sciences, </w:t>
      </w:r>
      <w:r w:rsidR="005C2D58">
        <w:rPr>
          <w:sz w:val="24"/>
          <w:szCs w:val="24"/>
          <w:lang w:val="en-GB"/>
        </w:rPr>
        <w:t xml:space="preserve">the </w:t>
      </w:r>
      <w:r w:rsidR="00F4270E" w:rsidRPr="00F4270E">
        <w:rPr>
          <w:sz w:val="24"/>
          <w:szCs w:val="24"/>
          <w:lang w:val="en-GB"/>
        </w:rPr>
        <w:t xml:space="preserve">balance of power theory </w:t>
      </w:r>
      <w:r w:rsidR="00F4270E">
        <w:rPr>
          <w:sz w:val="24"/>
          <w:szCs w:val="24"/>
          <w:lang w:val="en-GB"/>
        </w:rPr>
        <w:t>of incomes</w:t>
      </w:r>
      <w:r>
        <w:rPr>
          <w:sz w:val="24"/>
          <w:szCs w:val="24"/>
          <w:lang w:val="en-GB"/>
        </w:rPr>
        <w:t xml:space="preserve"> also </w:t>
      </w:r>
      <w:r w:rsidR="005C2D58" w:rsidRPr="005C2D58">
        <w:rPr>
          <w:sz w:val="24"/>
          <w:szCs w:val="24"/>
          <w:lang w:val="en-GB"/>
        </w:rPr>
        <w:t xml:space="preserve">generates </w:t>
      </w:r>
      <w:r>
        <w:rPr>
          <w:sz w:val="24"/>
          <w:szCs w:val="24"/>
          <w:lang w:val="en-GB"/>
        </w:rPr>
        <w:t>CF laws</w:t>
      </w:r>
      <w:r w:rsidR="00F4270E">
        <w:rPr>
          <w:sz w:val="24"/>
          <w:szCs w:val="24"/>
          <w:lang w:val="en-GB"/>
        </w:rPr>
        <w:t xml:space="preserve">. </w:t>
      </w:r>
      <w:r w:rsidR="00760457">
        <w:rPr>
          <w:sz w:val="24"/>
          <w:szCs w:val="24"/>
          <w:lang w:val="en-GB"/>
        </w:rPr>
        <w:t xml:space="preserve">This theory </w:t>
      </w:r>
      <w:r w:rsidR="005C2D58">
        <w:rPr>
          <w:sz w:val="24"/>
          <w:szCs w:val="24"/>
          <w:lang w:val="en-GB"/>
        </w:rPr>
        <w:t xml:space="preserve">assumes </w:t>
      </w:r>
      <w:r w:rsidR="00760457">
        <w:rPr>
          <w:sz w:val="24"/>
          <w:szCs w:val="24"/>
          <w:lang w:val="en-GB"/>
        </w:rPr>
        <w:t xml:space="preserve">proportionality between </w:t>
      </w:r>
      <w:r w:rsidR="005C2D58">
        <w:rPr>
          <w:sz w:val="24"/>
          <w:szCs w:val="24"/>
          <w:lang w:val="en-GB"/>
        </w:rPr>
        <w:t xml:space="preserve">the </w:t>
      </w:r>
      <w:r w:rsidR="00760457">
        <w:rPr>
          <w:sz w:val="24"/>
          <w:szCs w:val="24"/>
          <w:lang w:val="en-GB"/>
        </w:rPr>
        <w:t xml:space="preserve">power of income and </w:t>
      </w:r>
      <w:r w:rsidR="005C2D58">
        <w:rPr>
          <w:sz w:val="24"/>
          <w:szCs w:val="24"/>
          <w:lang w:val="en-GB"/>
        </w:rPr>
        <w:t xml:space="preserve">the </w:t>
      </w:r>
      <w:r w:rsidR="00760457">
        <w:rPr>
          <w:sz w:val="24"/>
          <w:szCs w:val="24"/>
          <w:lang w:val="en-GB"/>
        </w:rPr>
        <w:t xml:space="preserve">power of rank. </w:t>
      </w:r>
      <w:r w:rsidR="006F4A78">
        <w:rPr>
          <w:sz w:val="24"/>
          <w:szCs w:val="24"/>
          <w:lang w:val="en-GB"/>
        </w:rPr>
        <w:t>Developed s</w:t>
      </w:r>
      <w:r w:rsidR="005658EC">
        <w:rPr>
          <w:sz w:val="24"/>
          <w:szCs w:val="24"/>
          <w:lang w:val="en-GB"/>
        </w:rPr>
        <w:t xml:space="preserve">ocieties are socially </w:t>
      </w:r>
      <w:r w:rsidR="006F4A78">
        <w:rPr>
          <w:sz w:val="24"/>
          <w:szCs w:val="24"/>
          <w:lang w:val="en-GB"/>
        </w:rPr>
        <w:t>hierarchized on the bas</w:t>
      </w:r>
      <w:r w:rsidR="005C2D58">
        <w:rPr>
          <w:sz w:val="24"/>
          <w:szCs w:val="24"/>
          <w:lang w:val="en-GB"/>
        </w:rPr>
        <w:t xml:space="preserve">is </w:t>
      </w:r>
      <w:r w:rsidR="006F4A78">
        <w:rPr>
          <w:sz w:val="24"/>
          <w:szCs w:val="24"/>
          <w:lang w:val="en-GB"/>
        </w:rPr>
        <w:t xml:space="preserve">of </w:t>
      </w:r>
      <w:r w:rsidR="009F28F1">
        <w:rPr>
          <w:sz w:val="24"/>
          <w:szCs w:val="24"/>
          <w:lang w:val="en-GB"/>
        </w:rPr>
        <w:t>rank</w:t>
      </w:r>
      <w:r w:rsidR="005658EC">
        <w:rPr>
          <w:sz w:val="24"/>
          <w:szCs w:val="24"/>
          <w:lang w:val="en-GB"/>
        </w:rPr>
        <w:t xml:space="preserve"> </w:t>
      </w:r>
      <w:r w:rsidR="000231BA">
        <w:rPr>
          <w:sz w:val="24"/>
          <w:szCs w:val="24"/>
          <w:lang w:val="en-GB"/>
        </w:rPr>
        <w:t>(</w:t>
      </w:r>
      <w:r w:rsidR="005C2D58">
        <w:rPr>
          <w:sz w:val="24"/>
          <w:szCs w:val="24"/>
          <w:lang w:val="en-GB"/>
        </w:rPr>
        <w:t xml:space="preserve">of </w:t>
      </w:r>
      <w:r w:rsidR="000231BA">
        <w:rPr>
          <w:sz w:val="24"/>
          <w:szCs w:val="24"/>
          <w:lang w:val="en-GB"/>
        </w:rPr>
        <w:t xml:space="preserve">education, prestige, political power, </w:t>
      </w:r>
      <w:r w:rsidR="005C2D58">
        <w:rPr>
          <w:sz w:val="24"/>
          <w:szCs w:val="24"/>
          <w:lang w:val="en-GB"/>
        </w:rPr>
        <w:t xml:space="preserve">or </w:t>
      </w:r>
      <w:r w:rsidR="000231BA">
        <w:rPr>
          <w:sz w:val="24"/>
          <w:szCs w:val="24"/>
          <w:lang w:val="en-GB"/>
        </w:rPr>
        <w:t xml:space="preserve">“value” of any kind) </w:t>
      </w:r>
      <w:r w:rsidR="005C2D58">
        <w:rPr>
          <w:sz w:val="24"/>
          <w:szCs w:val="24"/>
          <w:lang w:val="en-GB"/>
        </w:rPr>
        <w:t xml:space="preserve">which can be </w:t>
      </w:r>
      <w:r w:rsidR="005658EC">
        <w:rPr>
          <w:sz w:val="24"/>
          <w:szCs w:val="24"/>
          <w:lang w:val="en-GB"/>
        </w:rPr>
        <w:t>express</w:t>
      </w:r>
      <w:r w:rsidR="005C2D58">
        <w:rPr>
          <w:sz w:val="24"/>
          <w:szCs w:val="24"/>
          <w:lang w:val="en-GB"/>
        </w:rPr>
        <w:t>ed</w:t>
      </w:r>
      <w:r w:rsidR="005658EC">
        <w:rPr>
          <w:sz w:val="24"/>
          <w:szCs w:val="24"/>
          <w:lang w:val="en-GB"/>
        </w:rPr>
        <w:t xml:space="preserve"> as </w:t>
      </w:r>
      <w:r w:rsidR="006F4A78">
        <w:rPr>
          <w:sz w:val="24"/>
          <w:szCs w:val="24"/>
          <w:lang w:val="en-GB"/>
        </w:rPr>
        <w:t xml:space="preserve">a </w:t>
      </w:r>
      <w:r w:rsidR="000715BF">
        <w:rPr>
          <w:sz w:val="24"/>
          <w:szCs w:val="24"/>
          <w:lang w:val="en-GB"/>
        </w:rPr>
        <w:t xml:space="preserve">standardized </w:t>
      </w:r>
      <w:r w:rsidR="00380949">
        <w:rPr>
          <w:sz w:val="24"/>
          <w:szCs w:val="24"/>
          <w:lang w:val="en-GB"/>
        </w:rPr>
        <w:t>rank</w:t>
      </w:r>
      <w:r w:rsidR="006F4A78">
        <w:rPr>
          <w:sz w:val="24"/>
          <w:szCs w:val="24"/>
          <w:lang w:val="en-GB"/>
        </w:rPr>
        <w:t xml:space="preserve"> </w:t>
      </w:r>
      <w:r w:rsidR="006F4A78" w:rsidRPr="005C2D58">
        <w:rPr>
          <w:i/>
          <w:sz w:val="24"/>
          <w:szCs w:val="24"/>
          <w:lang w:val="en-GB"/>
        </w:rPr>
        <w:t>p</w:t>
      </w:r>
      <w:r w:rsidR="006F4A78">
        <w:rPr>
          <w:sz w:val="24"/>
          <w:szCs w:val="24"/>
          <w:lang w:val="en-GB"/>
        </w:rPr>
        <w:t xml:space="preserve"> </w:t>
      </w:r>
      <w:r w:rsidR="00534E3F">
        <w:rPr>
          <w:sz w:val="24"/>
          <w:szCs w:val="24"/>
          <w:lang w:val="en-GB"/>
        </w:rPr>
        <w:t>in</w:t>
      </w:r>
      <w:r w:rsidR="006F4A78">
        <w:rPr>
          <w:sz w:val="24"/>
          <w:szCs w:val="24"/>
          <w:lang w:val="en-GB"/>
        </w:rPr>
        <w:t xml:space="preserve"> </w:t>
      </w:r>
      <w:r w:rsidR="00534E3F">
        <w:rPr>
          <w:sz w:val="24"/>
          <w:szCs w:val="24"/>
          <w:lang w:val="en-GB"/>
        </w:rPr>
        <w:t>]</w:t>
      </w:r>
      <w:r w:rsidR="006F4A78">
        <w:rPr>
          <w:sz w:val="24"/>
          <w:szCs w:val="24"/>
          <w:lang w:val="en-GB"/>
        </w:rPr>
        <w:t>0,1</w:t>
      </w:r>
      <w:r w:rsidR="00534E3F">
        <w:rPr>
          <w:sz w:val="24"/>
          <w:szCs w:val="24"/>
          <w:lang w:val="en-GB"/>
        </w:rPr>
        <w:t>[. E</w:t>
      </w:r>
      <w:r w:rsidR="005658EC">
        <w:rPr>
          <w:sz w:val="24"/>
          <w:szCs w:val="24"/>
          <w:lang w:val="en-GB"/>
        </w:rPr>
        <w:t xml:space="preserve">ach individual </w:t>
      </w:r>
      <w:r w:rsidR="00CC5015" w:rsidRPr="005C2D58">
        <w:rPr>
          <w:i/>
          <w:sz w:val="24"/>
          <w:szCs w:val="24"/>
          <w:lang w:val="en-GB"/>
        </w:rPr>
        <w:t>i</w:t>
      </w:r>
      <w:r w:rsidR="00CC5015">
        <w:rPr>
          <w:sz w:val="24"/>
          <w:szCs w:val="24"/>
          <w:lang w:val="en-GB"/>
        </w:rPr>
        <w:t xml:space="preserve"> (</w:t>
      </w:r>
      <w:r w:rsidR="00CC5015" w:rsidRPr="005C2D58">
        <w:rPr>
          <w:i/>
          <w:sz w:val="24"/>
          <w:szCs w:val="24"/>
          <w:lang w:val="en-GB"/>
        </w:rPr>
        <w:t>i</w:t>
      </w:r>
      <w:r w:rsidR="00CC5015">
        <w:rPr>
          <w:sz w:val="24"/>
          <w:szCs w:val="24"/>
          <w:lang w:val="en-GB"/>
        </w:rPr>
        <w:t>=1 , … , n) with income y</w:t>
      </w:r>
      <w:r w:rsidR="00CC5015" w:rsidRPr="00CC5015">
        <w:rPr>
          <w:sz w:val="24"/>
          <w:szCs w:val="24"/>
          <w:vertAlign w:val="subscript"/>
          <w:lang w:val="en-GB"/>
        </w:rPr>
        <w:t>i</w:t>
      </w:r>
      <w:r w:rsidR="00CC5015">
        <w:rPr>
          <w:sz w:val="24"/>
          <w:szCs w:val="24"/>
          <w:lang w:val="en-GB"/>
        </w:rPr>
        <w:t xml:space="preserve"> </w:t>
      </w:r>
      <w:r w:rsidR="005658EC">
        <w:rPr>
          <w:sz w:val="24"/>
          <w:szCs w:val="24"/>
          <w:lang w:val="en-GB"/>
        </w:rPr>
        <w:t>is above a proportion p</w:t>
      </w:r>
      <w:r w:rsidR="00CC5015" w:rsidRPr="00CC5015">
        <w:rPr>
          <w:sz w:val="24"/>
          <w:szCs w:val="24"/>
          <w:vertAlign w:val="subscript"/>
          <w:lang w:val="en-GB"/>
        </w:rPr>
        <w:t>i</w:t>
      </w:r>
      <w:r w:rsidR="005658EC">
        <w:rPr>
          <w:sz w:val="24"/>
          <w:szCs w:val="24"/>
          <w:lang w:val="en-GB"/>
        </w:rPr>
        <w:t xml:space="preserve"> </w:t>
      </w:r>
      <w:r w:rsidR="005C2D58" w:rsidRPr="005C2D58">
        <w:rPr>
          <w:sz w:val="24"/>
          <w:szCs w:val="24"/>
          <w:lang w:val="en-GB"/>
        </w:rPr>
        <w:t xml:space="preserve">of </w:t>
      </w:r>
      <w:r w:rsidR="005658EC">
        <w:rPr>
          <w:sz w:val="24"/>
          <w:szCs w:val="24"/>
          <w:lang w:val="en-GB"/>
        </w:rPr>
        <w:t xml:space="preserve">individuals and has a proportion of </w:t>
      </w:r>
      <w:r w:rsidR="00F508F2">
        <w:rPr>
          <w:sz w:val="24"/>
          <w:szCs w:val="24"/>
          <w:lang w:val="en-GB"/>
        </w:rPr>
        <w:t>q</w:t>
      </w:r>
      <w:r w:rsidR="00CC5015" w:rsidRPr="00CC5015">
        <w:rPr>
          <w:sz w:val="24"/>
          <w:szCs w:val="24"/>
          <w:vertAlign w:val="subscript"/>
          <w:lang w:val="en-GB"/>
        </w:rPr>
        <w:t>i</w:t>
      </w:r>
      <w:r w:rsidR="00F508F2">
        <w:rPr>
          <w:sz w:val="24"/>
          <w:szCs w:val="24"/>
          <w:lang w:val="en-GB"/>
        </w:rPr>
        <w:t xml:space="preserve"> = </w:t>
      </w:r>
      <w:r w:rsidR="005658EC">
        <w:rPr>
          <w:sz w:val="24"/>
          <w:szCs w:val="24"/>
          <w:lang w:val="en-GB"/>
        </w:rPr>
        <w:t>1</w:t>
      </w:r>
      <w:r w:rsidR="00F508F2">
        <w:rPr>
          <w:sz w:val="24"/>
          <w:szCs w:val="24"/>
          <w:lang w:val="en-GB"/>
        </w:rPr>
        <w:t xml:space="preserve"> </w:t>
      </w:r>
      <w:r w:rsidR="005658EC">
        <w:rPr>
          <w:sz w:val="24"/>
          <w:szCs w:val="24"/>
          <w:lang w:val="en-GB"/>
        </w:rPr>
        <w:t>-</w:t>
      </w:r>
      <w:r w:rsidR="00F508F2">
        <w:rPr>
          <w:sz w:val="24"/>
          <w:szCs w:val="24"/>
          <w:lang w:val="en-GB"/>
        </w:rPr>
        <w:t xml:space="preserve"> </w:t>
      </w:r>
      <w:r w:rsidR="005658EC">
        <w:rPr>
          <w:sz w:val="24"/>
          <w:szCs w:val="24"/>
          <w:lang w:val="en-GB"/>
        </w:rPr>
        <w:t>p</w:t>
      </w:r>
      <w:r w:rsidR="00CC5015" w:rsidRPr="00CC5015">
        <w:rPr>
          <w:sz w:val="24"/>
          <w:szCs w:val="24"/>
          <w:vertAlign w:val="subscript"/>
          <w:lang w:val="en-GB"/>
        </w:rPr>
        <w:t>i</w:t>
      </w:r>
      <w:r w:rsidR="005658EC">
        <w:rPr>
          <w:sz w:val="24"/>
          <w:szCs w:val="24"/>
          <w:lang w:val="en-GB"/>
        </w:rPr>
        <w:t xml:space="preserve"> individuals above </w:t>
      </w:r>
      <w:r w:rsidR="00126B88">
        <w:rPr>
          <w:sz w:val="24"/>
          <w:szCs w:val="24"/>
          <w:lang w:val="en-GB"/>
        </w:rPr>
        <w:t>him</w:t>
      </w:r>
      <w:r w:rsidR="006F4A78">
        <w:rPr>
          <w:sz w:val="24"/>
          <w:szCs w:val="24"/>
          <w:lang w:val="en-GB"/>
        </w:rPr>
        <w:t xml:space="preserve">. </w:t>
      </w:r>
      <w:r w:rsidR="000715BF">
        <w:rPr>
          <w:sz w:val="24"/>
          <w:szCs w:val="24"/>
          <w:lang w:val="en-GB"/>
        </w:rPr>
        <w:t xml:space="preserve">Since </w:t>
      </w:r>
      <w:r w:rsidR="005C2D58">
        <w:rPr>
          <w:sz w:val="24"/>
          <w:szCs w:val="24"/>
          <w:lang w:val="en-GB"/>
        </w:rPr>
        <w:t xml:space="preserve">the </w:t>
      </w:r>
      <w:r w:rsidR="000715BF">
        <w:rPr>
          <w:sz w:val="24"/>
          <w:szCs w:val="24"/>
          <w:lang w:val="en-GB"/>
        </w:rPr>
        <w:t xml:space="preserve">“power of income” </w:t>
      </w:r>
      <w:r w:rsidR="000715BF">
        <w:rPr>
          <w:sz w:val="24"/>
          <w:szCs w:val="24"/>
          <w:lang w:val="en-GB"/>
        </w:rPr>
        <w:lastRenderedPageBreak/>
        <w:t>(Champernowne, 1937) is defined as Y</w:t>
      </w:r>
      <w:r w:rsidR="000715BF" w:rsidRPr="00CC5015">
        <w:rPr>
          <w:sz w:val="24"/>
          <w:szCs w:val="24"/>
          <w:vertAlign w:val="subscript"/>
          <w:lang w:val="en-GB"/>
        </w:rPr>
        <w:t>i</w:t>
      </w:r>
      <w:r w:rsidR="000715BF">
        <w:rPr>
          <w:sz w:val="24"/>
          <w:szCs w:val="24"/>
          <w:lang w:val="en-GB"/>
        </w:rPr>
        <w:t xml:space="preserve"> = ln(y</w:t>
      </w:r>
      <w:r w:rsidR="000715BF" w:rsidRPr="00CC5015">
        <w:rPr>
          <w:sz w:val="24"/>
          <w:szCs w:val="24"/>
          <w:vertAlign w:val="subscript"/>
          <w:lang w:val="en-GB"/>
        </w:rPr>
        <w:t>i</w:t>
      </w:r>
      <w:r w:rsidR="000715BF">
        <w:rPr>
          <w:sz w:val="24"/>
          <w:szCs w:val="24"/>
          <w:lang w:val="en-GB"/>
        </w:rPr>
        <w:t>)</w:t>
      </w:r>
      <w:r w:rsidR="00A367A9">
        <w:rPr>
          <w:sz w:val="24"/>
          <w:szCs w:val="24"/>
          <w:lang w:val="en-GB"/>
        </w:rPr>
        <w:t>,</w:t>
      </w:r>
      <w:r w:rsidR="00380949">
        <w:rPr>
          <w:sz w:val="24"/>
          <w:szCs w:val="24"/>
          <w:lang w:val="en-GB"/>
        </w:rPr>
        <w:t xml:space="preserve"> </w:t>
      </w:r>
      <w:r w:rsidR="005C2D58">
        <w:rPr>
          <w:sz w:val="24"/>
          <w:szCs w:val="24"/>
          <w:lang w:val="en-GB"/>
        </w:rPr>
        <w:t xml:space="preserve">the </w:t>
      </w:r>
      <w:r w:rsidR="00380949">
        <w:rPr>
          <w:sz w:val="24"/>
          <w:szCs w:val="24"/>
          <w:lang w:val="en-GB"/>
        </w:rPr>
        <w:t>“</w:t>
      </w:r>
      <w:r w:rsidR="00A02893">
        <w:rPr>
          <w:sz w:val="24"/>
          <w:szCs w:val="24"/>
          <w:lang w:val="en-GB"/>
        </w:rPr>
        <w:t>p</w:t>
      </w:r>
      <w:r w:rsidR="00380949">
        <w:rPr>
          <w:sz w:val="24"/>
          <w:szCs w:val="24"/>
          <w:lang w:val="en-GB"/>
        </w:rPr>
        <w:t>ower of s</w:t>
      </w:r>
      <w:r w:rsidR="005658EC">
        <w:rPr>
          <w:sz w:val="24"/>
          <w:szCs w:val="24"/>
          <w:lang w:val="en-GB"/>
        </w:rPr>
        <w:t xml:space="preserve">ocial </w:t>
      </w:r>
      <w:r w:rsidR="00380949">
        <w:rPr>
          <w:sz w:val="24"/>
          <w:szCs w:val="24"/>
          <w:lang w:val="en-GB"/>
        </w:rPr>
        <w:t>rank</w:t>
      </w:r>
      <w:r w:rsidR="005658EC">
        <w:rPr>
          <w:sz w:val="24"/>
          <w:szCs w:val="24"/>
          <w:lang w:val="en-GB"/>
        </w:rPr>
        <w:t xml:space="preserve">” </w:t>
      </w:r>
      <w:r w:rsidR="00BE7F69">
        <w:rPr>
          <w:sz w:val="24"/>
          <w:szCs w:val="24"/>
          <w:lang w:val="en-GB"/>
        </w:rPr>
        <w:t>(</w:t>
      </w:r>
      <w:r w:rsidR="000715BF">
        <w:rPr>
          <w:sz w:val="24"/>
          <w:szCs w:val="24"/>
          <w:lang w:val="en-GB"/>
        </w:rPr>
        <w:t xml:space="preserve">or “logit rank” </w:t>
      </w:r>
      <w:r w:rsidR="000231BA">
        <w:rPr>
          <w:sz w:val="24"/>
          <w:szCs w:val="24"/>
          <w:lang w:val="en-GB"/>
        </w:rPr>
        <w:t>X</w:t>
      </w:r>
      <w:r w:rsidR="00292DE2" w:rsidRPr="00CC5015">
        <w:rPr>
          <w:sz w:val="24"/>
          <w:szCs w:val="24"/>
          <w:vertAlign w:val="subscript"/>
          <w:lang w:val="en-GB"/>
        </w:rPr>
        <w:t>i</w:t>
      </w:r>
      <w:r w:rsidR="00BE7F69">
        <w:rPr>
          <w:sz w:val="24"/>
          <w:szCs w:val="24"/>
          <w:lang w:val="en-GB"/>
        </w:rPr>
        <w:t xml:space="preserve">) can be defined </w:t>
      </w:r>
      <w:r w:rsidR="000231BA">
        <w:rPr>
          <w:sz w:val="24"/>
          <w:szCs w:val="24"/>
          <w:lang w:val="en-GB"/>
        </w:rPr>
        <w:t>a</w:t>
      </w:r>
      <w:r w:rsidR="005658EC">
        <w:rPr>
          <w:sz w:val="24"/>
          <w:szCs w:val="24"/>
          <w:lang w:val="en-GB"/>
        </w:rPr>
        <w:t xml:space="preserve">s </w:t>
      </w:r>
      <w:r w:rsidR="000715BF">
        <w:rPr>
          <w:sz w:val="24"/>
          <w:szCs w:val="24"/>
          <w:lang w:val="en-GB"/>
        </w:rPr>
        <w:t>the logit of the rank quantile p</w:t>
      </w:r>
      <w:r w:rsidR="000715BF" w:rsidRPr="00CC5015">
        <w:rPr>
          <w:sz w:val="24"/>
          <w:szCs w:val="24"/>
          <w:vertAlign w:val="subscript"/>
          <w:lang w:val="en-GB"/>
        </w:rPr>
        <w:t>i</w:t>
      </w:r>
      <w:r w:rsidR="000231BA">
        <w:rPr>
          <w:sz w:val="24"/>
          <w:szCs w:val="24"/>
          <w:lang w:val="en-GB"/>
        </w:rPr>
        <w:t xml:space="preserve">: </w:t>
      </w:r>
      <m:oMath>
        <m:sSub>
          <m:sSubPr>
            <m:ctrlPr>
              <w:rPr>
                <w:rFonts w:ascii="Cambria Math" w:hAnsi="Cambria Math"/>
                <w:i/>
                <w:sz w:val="24"/>
                <w:szCs w:val="24"/>
                <w:lang w:val="en-US"/>
              </w:rPr>
            </m:ctrlPr>
          </m:sSubPr>
          <m:e>
            <m:r>
              <w:rPr>
                <w:rFonts w:ascii="Cambria Math" w:hAnsi="Cambria Math"/>
                <w:sz w:val="24"/>
                <w:szCs w:val="24"/>
              </w:rPr>
              <m:t>X</m:t>
            </m:r>
          </m:e>
          <m:sub>
            <m:r>
              <w:rPr>
                <w:rFonts w:ascii="Cambria Math" w:hAnsi="Cambria Math"/>
                <w:sz w:val="24"/>
                <w:szCs w:val="24"/>
                <w:lang w:val="en-US"/>
              </w:rPr>
              <m:t>i</m:t>
            </m:r>
          </m:sub>
        </m:sSub>
        <m:r>
          <w:rPr>
            <w:rFonts w:ascii="Cambria Math" w:hAnsi="Cambria Math"/>
            <w:sz w:val="24"/>
            <w:szCs w:val="24"/>
            <w:lang w:val="en-US"/>
          </w:rPr>
          <m:t xml:space="preserve">= </m:t>
        </m:r>
        <m:func>
          <m:funcPr>
            <m:ctrlPr>
              <w:rPr>
                <w:rFonts w:ascii="Cambria Math" w:hAnsi="Cambria Math"/>
                <w:i/>
                <w:sz w:val="24"/>
                <w:szCs w:val="24"/>
                <w:lang w:val="en-US"/>
              </w:rPr>
            </m:ctrlPr>
          </m:funcPr>
          <m:fName>
            <m:r>
              <m:rPr>
                <m:sty m:val="p"/>
              </m:rPr>
              <w:rPr>
                <w:rFonts w:ascii="Cambria Math" w:hAnsi="Cambria Math"/>
                <w:sz w:val="24"/>
                <w:szCs w:val="24"/>
                <w:lang w:val="en-US"/>
              </w:rPr>
              <m:t>ln</m:t>
            </m:r>
          </m:fName>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rPr>
                      <m:t>p</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q</m:t>
                    </m:r>
                  </m:e>
                  <m:sub>
                    <m:r>
                      <w:rPr>
                        <w:rFonts w:ascii="Cambria Math" w:hAnsi="Cambria Math"/>
                        <w:sz w:val="24"/>
                        <w:szCs w:val="24"/>
                        <w:lang w:val="en-US"/>
                      </w:rPr>
                      <m:t>i</m:t>
                    </m:r>
                  </m:sub>
                </m:sSub>
              </m:e>
            </m:d>
          </m:e>
        </m:func>
        <m:r>
          <w:rPr>
            <w:rFonts w:ascii="Cambria Math" w:hAnsi="Cambria Math"/>
            <w:sz w:val="24"/>
            <w:szCs w:val="24"/>
            <w:lang w:val="en-US"/>
          </w:rPr>
          <m:t xml:space="preserve"> =</m:t>
        </m:r>
        <m:func>
          <m:funcPr>
            <m:ctrlPr>
              <w:rPr>
                <w:rFonts w:ascii="Cambria Math" w:hAnsi="Cambria Math"/>
                <w:i/>
                <w:sz w:val="24"/>
                <w:szCs w:val="24"/>
                <w:lang w:val="en-US"/>
              </w:rPr>
            </m:ctrlPr>
          </m:funcPr>
          <m:fName>
            <m:r>
              <m:rPr>
                <m:sty m:val="p"/>
              </m:rPr>
              <w:rPr>
                <w:rFonts w:ascii="Cambria Math" w:hAnsi="Cambria Math"/>
                <w:sz w:val="24"/>
                <w:szCs w:val="24"/>
                <w:lang w:val="en-US"/>
              </w:rPr>
              <m:t>logit</m:t>
            </m:r>
          </m:fName>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rPr>
                      <m:t>p</m:t>
                    </m:r>
                  </m:e>
                  <m:sub>
                    <m:r>
                      <w:rPr>
                        <w:rFonts w:ascii="Cambria Math" w:hAnsi="Cambria Math"/>
                        <w:sz w:val="24"/>
                        <w:szCs w:val="24"/>
                        <w:lang w:val="en-US"/>
                      </w:rPr>
                      <m:t>i</m:t>
                    </m:r>
                  </m:sub>
                </m:sSub>
              </m:e>
            </m:d>
          </m:e>
        </m:func>
      </m:oMath>
      <w:r w:rsidR="005658EC">
        <w:rPr>
          <w:sz w:val="24"/>
          <w:szCs w:val="24"/>
          <w:lang w:val="en-GB"/>
        </w:rPr>
        <w:t>.</w:t>
      </w:r>
      <w:r w:rsidR="00BF62E1">
        <w:rPr>
          <w:rStyle w:val="FootnoteReference"/>
          <w:sz w:val="24"/>
          <w:szCs w:val="24"/>
          <w:lang w:val="en-GB"/>
        </w:rPr>
        <w:footnoteReference w:id="12"/>
      </w:r>
      <w:r w:rsidR="005658EC">
        <w:rPr>
          <w:sz w:val="24"/>
          <w:szCs w:val="24"/>
          <w:lang w:val="en-GB"/>
        </w:rPr>
        <w:t xml:space="preserve"> </w:t>
      </w:r>
      <w:r w:rsidR="00760457">
        <w:rPr>
          <w:sz w:val="24"/>
          <w:szCs w:val="24"/>
          <w:lang w:val="en-GB"/>
        </w:rPr>
        <w:t>Consider two individuals (i) and (j)</w:t>
      </w:r>
      <w:r w:rsidR="005C2D58">
        <w:rPr>
          <w:sz w:val="24"/>
          <w:szCs w:val="24"/>
          <w:lang w:val="en-GB"/>
        </w:rPr>
        <w:t>:</w:t>
      </w:r>
      <w:r w:rsidR="00760457">
        <w:rPr>
          <w:sz w:val="24"/>
          <w:szCs w:val="24"/>
          <w:lang w:val="en-GB"/>
        </w:rPr>
        <w:t xml:space="preserve"> t</w:t>
      </w:r>
      <w:r w:rsidR="00971FD0">
        <w:rPr>
          <w:sz w:val="24"/>
          <w:szCs w:val="24"/>
          <w:lang w:val="en-GB"/>
        </w:rPr>
        <w:t>he</w:t>
      </w:r>
      <w:r w:rsidR="00760457">
        <w:rPr>
          <w:sz w:val="24"/>
          <w:szCs w:val="24"/>
          <w:lang w:val="en-GB"/>
        </w:rPr>
        <w:t>ir</w:t>
      </w:r>
      <w:r w:rsidR="00971FD0">
        <w:rPr>
          <w:sz w:val="24"/>
          <w:szCs w:val="24"/>
          <w:lang w:val="en-GB"/>
        </w:rPr>
        <w:t xml:space="preserve"> difference </w:t>
      </w:r>
      <w:r w:rsidR="005C2D58">
        <w:rPr>
          <w:sz w:val="24"/>
          <w:szCs w:val="24"/>
          <w:lang w:val="en-GB"/>
        </w:rPr>
        <w:t xml:space="preserve">in </w:t>
      </w:r>
      <w:r w:rsidR="00971FD0">
        <w:rPr>
          <w:sz w:val="24"/>
          <w:szCs w:val="24"/>
          <w:lang w:val="en-GB"/>
        </w:rPr>
        <w:t xml:space="preserve">power of income </w:t>
      </w:r>
      <w:r w:rsidR="00971FD0" w:rsidRPr="00971FD0">
        <w:rPr>
          <w:rFonts w:ascii="Symbol" w:hAnsi="Symbol"/>
          <w:sz w:val="24"/>
          <w:szCs w:val="24"/>
          <w:lang w:val="en-GB"/>
        </w:rPr>
        <w:t></w:t>
      </w:r>
      <w:r w:rsidR="00971FD0">
        <w:rPr>
          <w:sz w:val="24"/>
          <w:szCs w:val="24"/>
          <w:lang w:val="en-GB"/>
        </w:rPr>
        <w:t>Y</w:t>
      </w:r>
      <w:r w:rsidR="007053A5">
        <w:rPr>
          <w:sz w:val="24"/>
          <w:szCs w:val="24"/>
          <w:lang w:val="en-GB"/>
        </w:rPr>
        <w:t xml:space="preserve"> </w:t>
      </w:r>
      <w:r w:rsidR="00971FD0">
        <w:rPr>
          <w:sz w:val="24"/>
          <w:szCs w:val="24"/>
          <w:lang w:val="en-GB"/>
        </w:rPr>
        <w:t>=</w:t>
      </w:r>
      <w:r w:rsidR="007053A5">
        <w:rPr>
          <w:sz w:val="24"/>
          <w:szCs w:val="24"/>
          <w:lang w:val="en-GB"/>
        </w:rPr>
        <w:t xml:space="preserve"> </w:t>
      </w:r>
      <w:r w:rsidR="00971FD0">
        <w:rPr>
          <w:sz w:val="24"/>
          <w:szCs w:val="24"/>
          <w:lang w:val="en-GB"/>
        </w:rPr>
        <w:t>Y</w:t>
      </w:r>
      <w:r w:rsidR="00292DE2">
        <w:rPr>
          <w:sz w:val="24"/>
          <w:szCs w:val="24"/>
          <w:vertAlign w:val="subscript"/>
          <w:lang w:val="en-GB"/>
        </w:rPr>
        <w:t>j</w:t>
      </w:r>
      <w:r w:rsidR="00971FD0">
        <w:rPr>
          <w:sz w:val="24"/>
          <w:szCs w:val="24"/>
          <w:lang w:val="en-GB"/>
        </w:rPr>
        <w:t>-Y</w:t>
      </w:r>
      <w:r w:rsidR="00292DE2" w:rsidRPr="00CC5015">
        <w:rPr>
          <w:sz w:val="24"/>
          <w:szCs w:val="24"/>
          <w:vertAlign w:val="subscript"/>
          <w:lang w:val="en-GB"/>
        </w:rPr>
        <w:t>i</w:t>
      </w:r>
      <w:r w:rsidR="006A142D" w:rsidRPr="00F508F2">
        <w:rPr>
          <w:sz w:val="24"/>
          <w:szCs w:val="24"/>
          <w:vertAlign w:val="subscript"/>
          <w:lang w:val="en-GB"/>
        </w:rPr>
        <w:t>,</w:t>
      </w:r>
      <w:r w:rsidR="00971FD0">
        <w:rPr>
          <w:sz w:val="24"/>
          <w:szCs w:val="24"/>
          <w:lang w:val="en-GB"/>
        </w:rPr>
        <w:t xml:space="preserve"> is proportional to the</w:t>
      </w:r>
      <w:r w:rsidR="00EE3386">
        <w:rPr>
          <w:sz w:val="24"/>
          <w:szCs w:val="24"/>
          <w:lang w:val="en-GB"/>
        </w:rPr>
        <w:t xml:space="preserve"> difference in the</w:t>
      </w:r>
      <w:r w:rsidR="00971FD0">
        <w:rPr>
          <w:sz w:val="24"/>
          <w:szCs w:val="24"/>
          <w:lang w:val="en-GB"/>
        </w:rPr>
        <w:t>ir power</w:t>
      </w:r>
      <w:r w:rsidR="00760457">
        <w:rPr>
          <w:sz w:val="24"/>
          <w:szCs w:val="24"/>
          <w:lang w:val="en-GB"/>
        </w:rPr>
        <w:t xml:space="preserve"> of rank</w:t>
      </w:r>
      <w:r w:rsidR="006A142D">
        <w:rPr>
          <w:sz w:val="24"/>
          <w:szCs w:val="24"/>
          <w:lang w:val="en-GB"/>
        </w:rPr>
        <w:t>,</w:t>
      </w:r>
      <w:r w:rsidR="00971FD0">
        <w:rPr>
          <w:sz w:val="24"/>
          <w:szCs w:val="24"/>
          <w:lang w:val="en-GB"/>
        </w:rPr>
        <w:t xml:space="preserve"> </w:t>
      </w:r>
      <w:r w:rsidR="00971FD0" w:rsidRPr="00971FD0">
        <w:rPr>
          <w:rFonts w:ascii="Symbol" w:hAnsi="Symbol"/>
          <w:sz w:val="24"/>
          <w:szCs w:val="24"/>
          <w:lang w:val="en-GB"/>
        </w:rPr>
        <w:t></w:t>
      </w:r>
      <w:r w:rsidR="00971FD0">
        <w:rPr>
          <w:sz w:val="24"/>
          <w:szCs w:val="24"/>
          <w:lang w:val="en-GB"/>
        </w:rPr>
        <w:t>X</w:t>
      </w:r>
      <w:r w:rsidR="007053A5">
        <w:rPr>
          <w:sz w:val="24"/>
          <w:szCs w:val="24"/>
          <w:lang w:val="en-GB"/>
        </w:rPr>
        <w:t xml:space="preserve"> </w:t>
      </w:r>
      <w:r w:rsidR="00971FD0">
        <w:rPr>
          <w:sz w:val="24"/>
          <w:szCs w:val="24"/>
          <w:lang w:val="en-GB"/>
        </w:rPr>
        <w:t>=</w:t>
      </w:r>
      <w:r w:rsidR="007053A5">
        <w:rPr>
          <w:sz w:val="24"/>
          <w:szCs w:val="24"/>
          <w:lang w:val="en-GB"/>
        </w:rPr>
        <w:t xml:space="preserve"> </w:t>
      </w:r>
      <w:r w:rsidR="00971FD0">
        <w:rPr>
          <w:sz w:val="24"/>
          <w:szCs w:val="24"/>
          <w:lang w:val="en-GB"/>
        </w:rPr>
        <w:t>X</w:t>
      </w:r>
      <w:r w:rsidR="00292DE2">
        <w:rPr>
          <w:sz w:val="24"/>
          <w:szCs w:val="24"/>
          <w:vertAlign w:val="subscript"/>
          <w:lang w:val="en-GB"/>
        </w:rPr>
        <w:t>j</w:t>
      </w:r>
      <w:r w:rsidR="007053A5">
        <w:rPr>
          <w:sz w:val="24"/>
          <w:szCs w:val="24"/>
          <w:vertAlign w:val="subscript"/>
          <w:lang w:val="en-GB"/>
        </w:rPr>
        <w:t xml:space="preserve"> </w:t>
      </w:r>
      <w:r w:rsidR="00292DE2">
        <w:rPr>
          <w:sz w:val="24"/>
          <w:szCs w:val="24"/>
          <w:lang w:val="en-GB"/>
        </w:rPr>
        <w:t>–</w:t>
      </w:r>
      <w:r w:rsidR="007053A5">
        <w:rPr>
          <w:sz w:val="24"/>
          <w:szCs w:val="24"/>
          <w:lang w:val="en-GB"/>
        </w:rPr>
        <w:t xml:space="preserve"> </w:t>
      </w:r>
      <w:r w:rsidR="00971FD0">
        <w:rPr>
          <w:sz w:val="24"/>
          <w:szCs w:val="24"/>
          <w:lang w:val="en-GB"/>
        </w:rPr>
        <w:t>X</w:t>
      </w:r>
      <w:r w:rsidR="00292DE2">
        <w:rPr>
          <w:sz w:val="24"/>
          <w:szCs w:val="24"/>
          <w:vertAlign w:val="subscript"/>
          <w:lang w:val="en-GB"/>
        </w:rPr>
        <w:t>i</w:t>
      </w:r>
      <w:r w:rsidR="00DE5AF0">
        <w:rPr>
          <w:sz w:val="24"/>
          <w:szCs w:val="24"/>
          <w:lang w:val="en-GB"/>
        </w:rPr>
        <w:t>.</w:t>
      </w:r>
      <w:r w:rsidR="00A70B2E">
        <w:rPr>
          <w:sz w:val="24"/>
          <w:szCs w:val="24"/>
          <w:lang w:val="en-GB"/>
        </w:rPr>
        <w:t xml:space="preserve"> The</w:t>
      </w:r>
      <w:r w:rsidR="00126B88">
        <w:rPr>
          <w:sz w:val="24"/>
          <w:szCs w:val="24"/>
          <w:lang w:val="en-GB"/>
        </w:rPr>
        <w:t>n</w:t>
      </w:r>
      <w:r w:rsidR="00DE5AF0">
        <w:rPr>
          <w:sz w:val="24"/>
          <w:szCs w:val="24"/>
          <w:lang w:val="en-GB"/>
        </w:rPr>
        <w:t xml:space="preserve">, </w:t>
      </w:r>
      <w:r w:rsidR="00971FD0" w:rsidRPr="00971FD0">
        <w:rPr>
          <w:rFonts w:ascii="Symbol" w:hAnsi="Symbol"/>
          <w:sz w:val="24"/>
          <w:szCs w:val="24"/>
          <w:lang w:val="en-GB"/>
        </w:rPr>
        <w:t></w:t>
      </w:r>
      <w:r w:rsidR="00971FD0">
        <w:rPr>
          <w:sz w:val="24"/>
          <w:szCs w:val="24"/>
          <w:lang w:val="en-GB"/>
        </w:rPr>
        <w:t>Y</w:t>
      </w:r>
      <w:r w:rsidR="007053A5">
        <w:rPr>
          <w:sz w:val="24"/>
          <w:szCs w:val="24"/>
          <w:lang w:val="en-GB"/>
        </w:rPr>
        <w:t xml:space="preserve"> </w:t>
      </w:r>
      <w:r w:rsidR="00971FD0">
        <w:rPr>
          <w:sz w:val="24"/>
          <w:szCs w:val="24"/>
          <w:lang w:val="en-GB"/>
        </w:rPr>
        <w:t>=</w:t>
      </w:r>
      <w:r w:rsidR="00971FD0" w:rsidRPr="00971FD0">
        <w:rPr>
          <w:rFonts w:ascii="Symbol" w:hAnsi="Symbol"/>
          <w:sz w:val="24"/>
          <w:szCs w:val="24"/>
          <w:lang w:val="en-GB"/>
        </w:rPr>
        <w:t></w:t>
      </w:r>
      <w:r w:rsidR="00971FD0">
        <w:rPr>
          <w:rFonts w:ascii="Symbol" w:hAnsi="Symbol"/>
          <w:sz w:val="24"/>
          <w:szCs w:val="24"/>
          <w:lang w:val="en-GB"/>
        </w:rPr>
        <w:t></w:t>
      </w:r>
      <w:r w:rsidR="00971FD0">
        <w:rPr>
          <w:rFonts w:ascii="Symbol" w:hAnsi="Symbol"/>
          <w:sz w:val="24"/>
          <w:szCs w:val="24"/>
          <w:lang w:val="en-GB"/>
        </w:rPr>
        <w:t></w:t>
      </w:r>
      <w:r w:rsidR="00971FD0">
        <w:rPr>
          <w:sz w:val="24"/>
          <w:szCs w:val="24"/>
          <w:lang w:val="en-GB"/>
        </w:rPr>
        <w:t>X</w:t>
      </w:r>
      <w:r w:rsidR="006A142D">
        <w:rPr>
          <w:sz w:val="24"/>
          <w:szCs w:val="24"/>
          <w:lang w:val="en-GB"/>
        </w:rPr>
        <w:t>,</w:t>
      </w:r>
      <w:r w:rsidR="001907AD">
        <w:rPr>
          <w:sz w:val="24"/>
          <w:szCs w:val="24"/>
          <w:lang w:val="en-GB"/>
        </w:rPr>
        <w:t xml:space="preserve"> where the </w:t>
      </w:r>
      <w:r w:rsidR="00A00369">
        <w:rPr>
          <w:sz w:val="24"/>
          <w:szCs w:val="24"/>
          <w:lang w:val="en-GB"/>
        </w:rPr>
        <w:t>constant</w:t>
      </w:r>
      <w:r w:rsidR="001907AD">
        <w:rPr>
          <w:sz w:val="24"/>
          <w:szCs w:val="24"/>
          <w:lang w:val="en-GB"/>
        </w:rPr>
        <w:t xml:space="preserve"> </w:t>
      </w:r>
      <w:r w:rsidR="00472786" w:rsidRPr="00472786">
        <w:rPr>
          <w:rFonts w:ascii="Symbol" w:hAnsi="Symbol"/>
          <w:sz w:val="24"/>
          <w:szCs w:val="24"/>
          <w:lang w:val="en-GB"/>
        </w:rPr>
        <w:t></w:t>
      </w:r>
      <w:r w:rsidR="001907AD">
        <w:rPr>
          <w:sz w:val="24"/>
          <w:szCs w:val="24"/>
          <w:lang w:val="en-GB"/>
        </w:rPr>
        <w:t xml:space="preserve"> </w:t>
      </w:r>
      <w:r w:rsidR="005C2D58">
        <w:rPr>
          <w:sz w:val="24"/>
          <w:szCs w:val="24"/>
          <w:lang w:val="en-GB"/>
        </w:rPr>
        <w:t xml:space="preserve">reflects </w:t>
      </w:r>
      <w:r w:rsidR="001907AD">
        <w:rPr>
          <w:sz w:val="24"/>
          <w:szCs w:val="24"/>
          <w:lang w:val="en-GB"/>
        </w:rPr>
        <w:t xml:space="preserve">the </w:t>
      </w:r>
      <w:r w:rsidR="00760457">
        <w:rPr>
          <w:sz w:val="24"/>
          <w:szCs w:val="24"/>
          <w:lang w:val="en-GB"/>
        </w:rPr>
        <w:t xml:space="preserve">intensity </w:t>
      </w:r>
      <w:r w:rsidR="001907AD">
        <w:rPr>
          <w:sz w:val="24"/>
          <w:szCs w:val="24"/>
          <w:lang w:val="en-GB"/>
        </w:rPr>
        <w:t>of economic inequality in this society</w:t>
      </w:r>
      <w:r w:rsidR="00971FD0">
        <w:rPr>
          <w:sz w:val="24"/>
          <w:szCs w:val="24"/>
          <w:lang w:val="en-GB"/>
        </w:rPr>
        <w:t xml:space="preserve">. </w:t>
      </w:r>
      <w:r w:rsidR="00F508F2">
        <w:rPr>
          <w:sz w:val="24"/>
          <w:szCs w:val="24"/>
          <w:lang w:val="en-GB"/>
        </w:rPr>
        <w:t>The</w:t>
      </w:r>
      <w:r w:rsidR="005C2D58">
        <w:rPr>
          <w:sz w:val="24"/>
          <w:szCs w:val="24"/>
          <w:lang w:val="en-GB"/>
        </w:rPr>
        <w:t xml:space="preserve"> </w:t>
      </w:r>
      <w:r w:rsidR="00A00369">
        <w:rPr>
          <w:sz w:val="24"/>
          <w:szCs w:val="24"/>
          <w:lang w:val="en-GB"/>
        </w:rPr>
        <w:t>income inequality between (</w:t>
      </w:r>
      <w:r w:rsidR="00292DE2">
        <w:rPr>
          <w:sz w:val="24"/>
          <w:szCs w:val="24"/>
          <w:lang w:val="en-GB"/>
        </w:rPr>
        <w:t>i</w:t>
      </w:r>
      <w:r w:rsidR="00A00369">
        <w:rPr>
          <w:sz w:val="24"/>
          <w:szCs w:val="24"/>
          <w:lang w:val="en-GB"/>
        </w:rPr>
        <w:t>) and (</w:t>
      </w:r>
      <w:r w:rsidR="00292DE2">
        <w:rPr>
          <w:sz w:val="24"/>
          <w:szCs w:val="24"/>
          <w:lang w:val="en-GB"/>
        </w:rPr>
        <w:t>j</w:t>
      </w:r>
      <w:r w:rsidR="00A00369">
        <w:rPr>
          <w:sz w:val="24"/>
          <w:szCs w:val="24"/>
          <w:lang w:val="en-GB"/>
        </w:rPr>
        <w:t xml:space="preserve">) </w:t>
      </w:r>
      <w:r w:rsidR="005C2D58">
        <w:rPr>
          <w:sz w:val="24"/>
          <w:szCs w:val="24"/>
          <w:lang w:val="en-GB"/>
        </w:rPr>
        <w:t xml:space="preserve">can thus be </w:t>
      </w:r>
      <w:r w:rsidR="00A00369">
        <w:rPr>
          <w:sz w:val="24"/>
          <w:szCs w:val="24"/>
          <w:lang w:val="en-GB"/>
        </w:rPr>
        <w:t>derive</w:t>
      </w:r>
      <w:r w:rsidR="005C2D58">
        <w:rPr>
          <w:sz w:val="24"/>
          <w:szCs w:val="24"/>
          <w:lang w:val="en-GB"/>
        </w:rPr>
        <w:t>d</w:t>
      </w:r>
      <w:r w:rsidR="00A00369">
        <w:rPr>
          <w:sz w:val="24"/>
          <w:szCs w:val="24"/>
          <w:lang w:val="en-GB"/>
        </w:rPr>
        <w:t xml:space="preserve"> from </w:t>
      </w:r>
      <w:r w:rsidR="005C2D58">
        <w:rPr>
          <w:sz w:val="24"/>
          <w:szCs w:val="24"/>
          <w:lang w:val="en-GB"/>
        </w:rPr>
        <w:t xml:space="preserve">the </w:t>
      </w:r>
      <w:r w:rsidR="00A00369">
        <w:rPr>
          <w:sz w:val="24"/>
          <w:szCs w:val="24"/>
          <w:lang w:val="en-GB"/>
        </w:rPr>
        <w:t>social power</w:t>
      </w:r>
      <w:r w:rsidR="00A12105">
        <w:rPr>
          <w:sz w:val="24"/>
          <w:szCs w:val="24"/>
          <w:lang w:val="en-GB"/>
        </w:rPr>
        <w:t xml:space="preserve"> of rank</w:t>
      </w:r>
      <w:r w:rsidR="00F508F2">
        <w:rPr>
          <w:sz w:val="24"/>
          <w:szCs w:val="24"/>
          <w:lang w:val="en-GB"/>
        </w:rPr>
        <w:t>:</w:t>
      </w:r>
      <w:r w:rsidR="00A12105">
        <w:rPr>
          <w:sz w:val="24"/>
          <w:szCs w:val="24"/>
          <w:lang w:val="en-GB"/>
        </w:rPr>
        <w:t xml:space="preserve"> </w:t>
      </w:r>
    </w:p>
    <w:p w:rsidR="005C2D58" w:rsidRDefault="00734698" w:rsidP="005C2D58">
      <w:pPr>
        <w:spacing w:after="120" w:line="480" w:lineRule="auto"/>
        <w:jc w:val="center"/>
        <w:rPr>
          <w:sz w:val="24"/>
          <w:szCs w:val="24"/>
          <w:lang w:val="en-GB"/>
        </w:rPr>
      </w:pPr>
      <w:r>
        <w:rPr>
          <w:sz w:val="24"/>
          <w:szCs w:val="24"/>
          <w:lang w:val="en-GB"/>
        </w:rPr>
        <w:t xml:space="preserve"> </w:t>
      </w:r>
      <w:r w:rsidRPr="00734698">
        <w:rPr>
          <w:sz w:val="24"/>
          <w:szCs w:val="24"/>
          <w:lang w:val="en-GB"/>
        </w:rPr>
        <w:t xml:space="preserve"> </w:t>
      </w:r>
      <m:oMath>
        <m:func>
          <m:funcPr>
            <m:ctrlPr>
              <w:rPr>
                <w:rFonts w:ascii="Cambria Math" w:hAnsi="Cambria Math"/>
                <w:i/>
                <w:sz w:val="24"/>
                <w:szCs w:val="24"/>
                <w:lang w:val="en-US"/>
              </w:rPr>
            </m:ctrlPr>
          </m:funcPr>
          <m:fName>
            <m:r>
              <m:rPr>
                <m:sty m:val="p"/>
              </m:rPr>
              <w:rPr>
                <w:rFonts w:ascii="Cambria Math" w:hAnsi="Cambria Math"/>
                <w:sz w:val="24"/>
                <w:szCs w:val="24"/>
                <w:lang w:val="en-US"/>
              </w:rPr>
              <m:t>ln</m:t>
            </m:r>
          </m:fName>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rPr>
                      <m:t>y</m:t>
                    </m:r>
                  </m:e>
                  <m:sub>
                    <m:r>
                      <w:rPr>
                        <w:rFonts w:ascii="Cambria Math" w:hAnsi="Cambria Math"/>
                        <w:sz w:val="24"/>
                        <w:szCs w:val="24"/>
                        <w:lang w:val="en-US"/>
                      </w:rPr>
                      <m:t>j</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y</m:t>
                    </m:r>
                  </m:e>
                  <m:sub>
                    <m:r>
                      <w:rPr>
                        <w:rFonts w:ascii="Cambria Math" w:hAnsi="Cambria Math"/>
                        <w:sz w:val="24"/>
                        <w:szCs w:val="24"/>
                        <w:lang w:val="en-US"/>
                      </w:rPr>
                      <m:t>i</m:t>
                    </m:r>
                  </m:sub>
                </m:sSub>
              </m:e>
            </m:d>
          </m:e>
        </m:func>
        <m:r>
          <w:rPr>
            <w:rFonts w:ascii="Cambria Math" w:hAnsi="Cambria Math"/>
            <w:sz w:val="24"/>
            <w:szCs w:val="24"/>
            <w:lang w:val="en-US"/>
          </w:rPr>
          <m:t xml:space="preserve"> =</m:t>
        </m:r>
        <m:func>
          <m:funcPr>
            <m:ctrlPr>
              <w:rPr>
                <w:rFonts w:ascii="Cambria Math" w:hAnsi="Cambria Math"/>
                <w:i/>
                <w:sz w:val="24"/>
                <w:szCs w:val="24"/>
                <w:lang w:val="en-US"/>
              </w:rPr>
            </m:ctrlPr>
          </m:funcPr>
          <m:fName>
            <m:r>
              <m:rPr>
                <m:sty m:val="p"/>
              </m:rPr>
              <w:rPr>
                <w:rFonts w:ascii="Cambria Math" w:hAnsi="Cambria Math"/>
                <w:sz w:val="24"/>
                <w:szCs w:val="24"/>
                <w:lang w:val="en-US"/>
              </w:rPr>
              <m:t>α  ln</m:t>
            </m:r>
          </m:fName>
          <m:e>
            <m:d>
              <m:dPr>
                <m:ctrlPr>
                  <w:rPr>
                    <w:rFonts w:ascii="Cambria Math" w:hAnsi="Cambria Math"/>
                    <w:i/>
                    <w:sz w:val="24"/>
                    <w:szCs w:val="24"/>
                    <w:lang w:val="en-US"/>
                  </w:rPr>
                </m:ctrlPr>
              </m:dPr>
              <m:e>
                <m:d>
                  <m:dPr>
                    <m:ctrlPr>
                      <w:rPr>
                        <w:rFonts w:ascii="Cambria Math" w:hAnsi="Cambria Math"/>
                        <w:sz w:val="24"/>
                        <w:szCs w:val="24"/>
                        <w:vertAlign w:val="subscript"/>
                        <w:lang w:val="en-GB"/>
                      </w:rPr>
                    </m:ctrlPr>
                  </m:dPr>
                  <m:e>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j</m:t>
                        </m:r>
                      </m:sub>
                    </m:sSub>
                    <m:r>
                      <m:rPr>
                        <m:sty m:val="p"/>
                      </m:rPr>
                      <w:rPr>
                        <w:rFonts w:ascii="Cambria Math" w:hAnsi="Cambria Math"/>
                        <w:sz w:val="24"/>
                        <w:szCs w:val="24"/>
                        <w:lang w:val="en-GB"/>
                      </w:rPr>
                      <m:t xml:space="preserve">/(1 – </m:t>
                    </m:r>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j</m:t>
                        </m:r>
                      </m:sub>
                    </m:sSub>
                    <m:r>
                      <m:rPr>
                        <m:sty m:val="p"/>
                      </m:rPr>
                      <w:rPr>
                        <w:rFonts w:ascii="Cambria Math" w:hAnsi="Cambria Math"/>
                        <w:sz w:val="24"/>
                        <w:szCs w:val="24"/>
                        <w:lang w:val="en-GB"/>
                      </w:rPr>
                      <m:t>)</m:t>
                    </m:r>
                  </m:e>
                </m:d>
                <m:r>
                  <m:rPr>
                    <m:sty m:val="p"/>
                  </m:rPr>
                  <w:rPr>
                    <w:rFonts w:ascii="Cambria Math" w:hAnsi="Cambria Math"/>
                    <w:sz w:val="24"/>
                    <w:szCs w:val="24"/>
                    <w:lang w:val="en-GB"/>
                  </w:rPr>
                  <m:t xml:space="preserve"> </m:t>
                </m:r>
                <m:d>
                  <m:dPr>
                    <m:ctrlPr>
                      <w:rPr>
                        <w:rFonts w:ascii="Cambria Math" w:hAnsi="Cambria Math"/>
                        <w:sz w:val="24"/>
                        <w:szCs w:val="24"/>
                        <w:lang w:val="en-GB"/>
                      </w:rPr>
                    </m:ctrlPr>
                  </m:dPr>
                  <m:e>
                    <m:r>
                      <m:rPr>
                        <m:sty m:val="p"/>
                      </m:rPr>
                      <w:rPr>
                        <w:rFonts w:ascii="Cambria Math" w:hAnsi="Cambria Math"/>
                        <w:sz w:val="24"/>
                        <w:szCs w:val="24"/>
                        <w:lang w:val="en-GB"/>
                      </w:rPr>
                      <m:t xml:space="preserve">(1 – </m:t>
                    </m:r>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i</m:t>
                        </m:r>
                      </m:sub>
                    </m:sSub>
                    <m:r>
                      <m:rPr>
                        <m:sty m:val="p"/>
                      </m:rPr>
                      <w:rPr>
                        <w:rFonts w:ascii="Cambria Math" w:hAnsi="Cambria Math"/>
                        <w:sz w:val="24"/>
                        <w:szCs w:val="24"/>
                        <w:lang w:val="en-GB"/>
                      </w:rPr>
                      <m:t>)/</m:t>
                    </m:r>
                    <m:sSub>
                      <m:sSubPr>
                        <m:ctrlPr>
                          <w:rPr>
                            <w:rFonts w:ascii="Cambria Math" w:hAnsi="Cambria Math"/>
                            <w:sz w:val="24"/>
                            <w:szCs w:val="24"/>
                            <w:vertAlign w:val="subscript"/>
                            <w:lang w:val="en-GB"/>
                          </w:rPr>
                        </m:ctrlPr>
                      </m:sSubPr>
                      <m:e>
                        <m:r>
                          <w:rPr>
                            <w:rFonts w:ascii="Cambria Math" w:hAnsi="Cambria Math"/>
                            <w:sz w:val="24"/>
                            <w:szCs w:val="24"/>
                            <w:vertAlign w:val="subscript"/>
                            <w:lang w:val="en-GB"/>
                          </w:rPr>
                          <m:t>p</m:t>
                        </m:r>
                      </m:e>
                      <m:sub>
                        <m:r>
                          <w:rPr>
                            <w:rFonts w:ascii="Cambria Math" w:hAnsi="Cambria Math"/>
                            <w:sz w:val="24"/>
                            <w:szCs w:val="24"/>
                            <w:vertAlign w:val="subscript"/>
                            <w:lang w:val="en-GB"/>
                          </w:rPr>
                          <m:t>i</m:t>
                        </m:r>
                      </m:sub>
                    </m:sSub>
                  </m:e>
                </m:d>
              </m:e>
            </m:d>
          </m:e>
        </m:func>
      </m:oMath>
      <w:r w:rsidR="005C2D58">
        <w:rPr>
          <w:sz w:val="24"/>
          <w:szCs w:val="24"/>
          <w:lang w:val="en-US"/>
        </w:rPr>
        <w:tab/>
      </w:r>
      <w:r w:rsidR="005C2D58">
        <w:rPr>
          <w:sz w:val="24"/>
          <w:szCs w:val="24"/>
          <w:lang w:val="en-US"/>
        </w:rPr>
        <w:tab/>
      </w:r>
      <w:r w:rsidR="005C2D58" w:rsidRPr="005C2D58">
        <w:rPr>
          <w:sz w:val="24"/>
          <w:szCs w:val="24"/>
          <w:lang w:val="en-GB"/>
        </w:rPr>
        <w:t>(2)</w:t>
      </w:r>
    </w:p>
    <w:p w:rsidR="000715BF" w:rsidRDefault="00E66910" w:rsidP="004549C3">
      <w:pPr>
        <w:spacing w:after="120" w:line="480" w:lineRule="auto"/>
        <w:rPr>
          <w:sz w:val="24"/>
          <w:szCs w:val="24"/>
          <w:lang w:val="en-GB"/>
        </w:rPr>
      </w:pPr>
      <w:r>
        <w:rPr>
          <w:sz w:val="24"/>
          <w:szCs w:val="24"/>
          <w:lang w:val="en-GB"/>
        </w:rPr>
        <w:t>T</w:t>
      </w:r>
      <w:r w:rsidR="000715BF">
        <w:rPr>
          <w:sz w:val="24"/>
          <w:szCs w:val="24"/>
          <w:lang w:val="en-GB"/>
        </w:rPr>
        <w:t xml:space="preserve">he higher </w:t>
      </w:r>
      <w:r w:rsidR="005C2D58">
        <w:rPr>
          <w:sz w:val="24"/>
          <w:szCs w:val="24"/>
          <w:lang w:val="en-GB"/>
        </w:rPr>
        <w:t xml:space="preserve">is </w:t>
      </w:r>
      <w:r w:rsidR="000715BF">
        <w:rPr>
          <w:sz w:val="24"/>
          <w:szCs w:val="24"/>
          <w:lang w:val="en-GB"/>
        </w:rPr>
        <w:t>p</w:t>
      </w:r>
      <w:r w:rsidR="000715BF" w:rsidRPr="00CC5015">
        <w:rPr>
          <w:sz w:val="24"/>
          <w:szCs w:val="24"/>
          <w:vertAlign w:val="subscript"/>
          <w:lang w:val="en-GB"/>
        </w:rPr>
        <w:t>i</w:t>
      </w:r>
      <w:r w:rsidR="000715BF">
        <w:rPr>
          <w:sz w:val="24"/>
          <w:szCs w:val="24"/>
          <w:lang w:val="en-GB"/>
        </w:rPr>
        <w:t xml:space="preserve">, the </w:t>
      </w:r>
      <w:r w:rsidR="005C2D58">
        <w:rPr>
          <w:sz w:val="24"/>
          <w:szCs w:val="24"/>
          <w:lang w:val="en-GB"/>
        </w:rPr>
        <w:t xml:space="preserve">greater is </w:t>
      </w:r>
      <w:r w:rsidR="000715BF">
        <w:rPr>
          <w:sz w:val="24"/>
          <w:szCs w:val="24"/>
          <w:lang w:val="en-GB"/>
        </w:rPr>
        <w:t xml:space="preserve">the power of social rank; </w:t>
      </w:r>
      <w:r w:rsidR="005C2D58">
        <w:rPr>
          <w:sz w:val="24"/>
          <w:szCs w:val="24"/>
          <w:lang w:val="en-GB"/>
        </w:rPr>
        <w:t xml:space="preserve">as </w:t>
      </w:r>
      <w:r w:rsidR="000715BF">
        <w:rPr>
          <w:sz w:val="24"/>
          <w:szCs w:val="24"/>
          <w:lang w:val="en-GB"/>
        </w:rPr>
        <w:t>p</w:t>
      </w:r>
      <w:r w:rsidR="000715BF" w:rsidRPr="00CC5015">
        <w:rPr>
          <w:sz w:val="24"/>
          <w:szCs w:val="24"/>
          <w:vertAlign w:val="subscript"/>
          <w:lang w:val="en-GB"/>
        </w:rPr>
        <w:t>i</w:t>
      </w:r>
      <w:r w:rsidR="000715BF">
        <w:rPr>
          <w:sz w:val="24"/>
          <w:szCs w:val="24"/>
          <w:lang w:val="en-GB"/>
        </w:rPr>
        <w:t xml:space="preserve"> tends to 1, </w:t>
      </w:r>
      <w:r w:rsidR="005C2D58">
        <w:rPr>
          <w:sz w:val="24"/>
          <w:szCs w:val="24"/>
          <w:lang w:val="en-GB"/>
        </w:rPr>
        <w:t xml:space="preserve">the </w:t>
      </w:r>
      <w:r w:rsidR="000715BF">
        <w:rPr>
          <w:sz w:val="24"/>
          <w:szCs w:val="24"/>
          <w:lang w:val="en-GB"/>
        </w:rPr>
        <w:t>power of social rank tends to +∞</w:t>
      </w:r>
      <w:r w:rsidR="00126B88">
        <w:rPr>
          <w:sz w:val="24"/>
          <w:szCs w:val="24"/>
          <w:lang w:val="en-GB"/>
        </w:rPr>
        <w:t>. T</w:t>
      </w:r>
      <w:r w:rsidR="000715BF">
        <w:rPr>
          <w:sz w:val="24"/>
          <w:szCs w:val="24"/>
          <w:lang w:val="en-GB"/>
        </w:rPr>
        <w:t>his could explain why, at the top of the distribution of prestige, it is strategic to increase rank</w:t>
      </w:r>
      <w:r w:rsidR="005C2D58">
        <w:rPr>
          <w:sz w:val="24"/>
          <w:szCs w:val="24"/>
          <w:lang w:val="en-GB"/>
        </w:rPr>
        <w:t>,</w:t>
      </w:r>
      <w:r w:rsidR="000715BF">
        <w:rPr>
          <w:sz w:val="24"/>
          <w:szCs w:val="24"/>
          <w:lang w:val="en-GB"/>
        </w:rPr>
        <w:t xml:space="preserve"> </w:t>
      </w:r>
      <w:r w:rsidR="005C2D58">
        <w:rPr>
          <w:sz w:val="24"/>
          <w:szCs w:val="24"/>
          <w:lang w:val="en-GB"/>
        </w:rPr>
        <w:t xml:space="preserve">as </w:t>
      </w:r>
      <w:r w:rsidR="000715BF">
        <w:rPr>
          <w:sz w:val="24"/>
          <w:szCs w:val="24"/>
          <w:lang w:val="en-GB"/>
        </w:rPr>
        <w:t>the rewards i</w:t>
      </w:r>
      <w:r w:rsidR="005C2D58">
        <w:rPr>
          <w:sz w:val="24"/>
          <w:szCs w:val="24"/>
          <w:lang w:val="en-GB"/>
        </w:rPr>
        <w:t>n terms of logit(quantile) tend</w:t>
      </w:r>
      <w:r w:rsidR="000715BF">
        <w:rPr>
          <w:sz w:val="24"/>
          <w:szCs w:val="24"/>
          <w:lang w:val="en-GB"/>
        </w:rPr>
        <w:t xml:space="preserve"> to infinit</w:t>
      </w:r>
      <w:r w:rsidR="005C2D58">
        <w:rPr>
          <w:sz w:val="24"/>
          <w:szCs w:val="24"/>
          <w:lang w:val="en-GB"/>
        </w:rPr>
        <w:t>y</w:t>
      </w:r>
      <w:r w:rsidR="00D81C9D">
        <w:rPr>
          <w:sz w:val="24"/>
          <w:szCs w:val="24"/>
          <w:lang w:val="en-GB"/>
        </w:rPr>
        <w:t xml:space="preserve">, </w:t>
      </w:r>
      <w:r w:rsidR="005C2D58">
        <w:rPr>
          <w:sz w:val="24"/>
          <w:szCs w:val="24"/>
          <w:lang w:val="en-GB"/>
        </w:rPr>
        <w:t xml:space="preserve">and </w:t>
      </w:r>
      <w:r w:rsidR="00D81C9D">
        <w:rPr>
          <w:sz w:val="24"/>
          <w:szCs w:val="24"/>
          <w:lang w:val="en-GB"/>
        </w:rPr>
        <w:t>the cost of losing rank is very high</w:t>
      </w:r>
      <w:r w:rsidR="000715BF">
        <w:rPr>
          <w:sz w:val="24"/>
          <w:szCs w:val="24"/>
          <w:lang w:val="en-GB"/>
        </w:rPr>
        <w:t xml:space="preserve">, and obviously much </w:t>
      </w:r>
      <w:r w:rsidR="00D81C9D">
        <w:rPr>
          <w:sz w:val="24"/>
          <w:szCs w:val="24"/>
          <w:lang w:val="en-GB"/>
        </w:rPr>
        <w:t>larg</w:t>
      </w:r>
      <w:r w:rsidR="000715BF">
        <w:rPr>
          <w:sz w:val="24"/>
          <w:szCs w:val="24"/>
          <w:lang w:val="en-GB"/>
        </w:rPr>
        <w:t xml:space="preserve">er than </w:t>
      </w:r>
      <w:r w:rsidR="005C2D58">
        <w:rPr>
          <w:sz w:val="24"/>
          <w:szCs w:val="24"/>
          <w:lang w:val="en-GB"/>
        </w:rPr>
        <w:t xml:space="preserve">that </w:t>
      </w:r>
      <w:r w:rsidR="000715BF">
        <w:rPr>
          <w:sz w:val="24"/>
          <w:szCs w:val="24"/>
          <w:lang w:val="en-GB"/>
        </w:rPr>
        <w:t xml:space="preserve">in the </w:t>
      </w:r>
      <w:r w:rsidR="00C6630C">
        <w:rPr>
          <w:sz w:val="24"/>
          <w:szCs w:val="24"/>
          <w:lang w:val="en-GB"/>
        </w:rPr>
        <w:t>neighbo</w:t>
      </w:r>
      <w:r w:rsidR="009C48C2">
        <w:rPr>
          <w:sz w:val="24"/>
          <w:szCs w:val="24"/>
          <w:lang w:val="en-GB"/>
        </w:rPr>
        <w:t>rhood</w:t>
      </w:r>
      <w:r w:rsidR="000715BF">
        <w:rPr>
          <w:sz w:val="24"/>
          <w:szCs w:val="24"/>
          <w:lang w:val="en-GB"/>
        </w:rPr>
        <w:t xml:space="preserve"> of the median. </w:t>
      </w:r>
      <w:r w:rsidR="005C2D58">
        <w:rPr>
          <w:sz w:val="24"/>
          <w:szCs w:val="24"/>
          <w:lang w:val="en-GB"/>
        </w:rPr>
        <w:t>Equal</w:t>
      </w:r>
      <w:r w:rsidR="000715BF">
        <w:rPr>
          <w:sz w:val="24"/>
          <w:szCs w:val="24"/>
          <w:lang w:val="en-GB"/>
        </w:rPr>
        <w:t xml:space="preserve">ly, close to the bottom, </w:t>
      </w:r>
      <w:r w:rsidR="00D81C9D">
        <w:rPr>
          <w:sz w:val="24"/>
          <w:szCs w:val="24"/>
          <w:lang w:val="en-GB"/>
        </w:rPr>
        <w:t>gaining/</w:t>
      </w:r>
      <w:r w:rsidR="000715BF">
        <w:rPr>
          <w:sz w:val="24"/>
          <w:szCs w:val="24"/>
          <w:lang w:val="en-GB"/>
        </w:rPr>
        <w:t xml:space="preserve">losing </w:t>
      </w:r>
      <w:r w:rsidR="005C2D58">
        <w:rPr>
          <w:sz w:val="24"/>
          <w:szCs w:val="24"/>
          <w:lang w:val="en-GB"/>
        </w:rPr>
        <w:t>rank</w:t>
      </w:r>
      <w:r w:rsidR="000715BF">
        <w:rPr>
          <w:sz w:val="24"/>
          <w:szCs w:val="24"/>
          <w:lang w:val="en-GB"/>
        </w:rPr>
        <w:t xml:space="preserve"> may have immense consequences in terms of </w:t>
      </w:r>
      <w:r w:rsidR="005C2D58">
        <w:rPr>
          <w:sz w:val="24"/>
          <w:szCs w:val="24"/>
          <w:lang w:val="en-GB"/>
        </w:rPr>
        <w:t xml:space="preserve">the </w:t>
      </w:r>
      <w:r w:rsidR="000715BF">
        <w:rPr>
          <w:sz w:val="24"/>
          <w:szCs w:val="24"/>
          <w:lang w:val="en-GB"/>
        </w:rPr>
        <w:t>power of rank</w:t>
      </w:r>
      <w:r w:rsidR="00D81C9D">
        <w:rPr>
          <w:sz w:val="24"/>
          <w:szCs w:val="24"/>
          <w:lang w:val="en-GB"/>
        </w:rPr>
        <w:t xml:space="preserve"> and relative inc</w:t>
      </w:r>
      <w:r w:rsidR="005C2D58">
        <w:rPr>
          <w:sz w:val="24"/>
          <w:szCs w:val="24"/>
          <w:lang w:val="en-GB"/>
        </w:rPr>
        <w:t>ome</w:t>
      </w:r>
      <w:r w:rsidR="000715BF">
        <w:rPr>
          <w:sz w:val="24"/>
          <w:szCs w:val="24"/>
          <w:lang w:val="en-GB"/>
        </w:rPr>
        <w:t>. This could explain why Aristotle sees the top of the distribution as dangerously arrogant and the bottom prone to brutality,</w:t>
      </w:r>
      <w:r w:rsidR="004A3C60">
        <w:rPr>
          <w:sz w:val="24"/>
          <w:szCs w:val="24"/>
          <w:lang w:val="en-GB"/>
        </w:rPr>
        <w:t xml:space="preserve"> while</w:t>
      </w:r>
      <w:r w:rsidR="000715BF">
        <w:rPr>
          <w:sz w:val="24"/>
          <w:szCs w:val="24"/>
          <w:lang w:val="en-GB"/>
        </w:rPr>
        <w:t xml:space="preserve"> the middle of the scale </w:t>
      </w:r>
      <w:r w:rsidR="005C2D58">
        <w:rPr>
          <w:sz w:val="24"/>
          <w:szCs w:val="24"/>
          <w:lang w:val="en-GB"/>
        </w:rPr>
        <w:t xml:space="preserve">corresponds to </w:t>
      </w:r>
      <w:r w:rsidR="000715BF">
        <w:rPr>
          <w:sz w:val="24"/>
          <w:szCs w:val="24"/>
          <w:lang w:val="en-GB"/>
        </w:rPr>
        <w:t xml:space="preserve">stability and moderated political attitudes (Aristotle, </w:t>
      </w:r>
      <w:r w:rsidRPr="00E66910">
        <w:rPr>
          <w:sz w:val="24"/>
          <w:szCs w:val="24"/>
          <w:lang w:val="en-GB"/>
        </w:rPr>
        <w:t>1944</w:t>
      </w:r>
      <w:r>
        <w:rPr>
          <w:sz w:val="24"/>
          <w:szCs w:val="24"/>
          <w:lang w:val="en-GB"/>
        </w:rPr>
        <w:t>:</w:t>
      </w:r>
      <w:r w:rsidR="00D81C9D">
        <w:rPr>
          <w:sz w:val="24"/>
          <w:szCs w:val="24"/>
          <w:lang w:val="en-GB"/>
        </w:rPr>
        <w:t>329</w:t>
      </w:r>
      <w:r w:rsidR="000715BF">
        <w:rPr>
          <w:sz w:val="24"/>
          <w:szCs w:val="24"/>
          <w:lang w:val="en-GB"/>
        </w:rPr>
        <w:t>).</w:t>
      </w:r>
      <w:r w:rsidR="00930550">
        <w:rPr>
          <w:sz w:val="24"/>
          <w:szCs w:val="24"/>
          <w:lang w:val="en-GB"/>
        </w:rPr>
        <w:t xml:space="preserve"> </w:t>
      </w:r>
      <w:r w:rsidR="005C2D58">
        <w:rPr>
          <w:sz w:val="24"/>
          <w:szCs w:val="24"/>
          <w:lang w:val="en-GB"/>
        </w:rPr>
        <w:t xml:space="preserve">One </w:t>
      </w:r>
      <w:r w:rsidR="00930550">
        <w:rPr>
          <w:sz w:val="24"/>
          <w:szCs w:val="24"/>
          <w:lang w:val="en-GB"/>
        </w:rPr>
        <w:t xml:space="preserve">important consequence of </w:t>
      </w:r>
      <w:r w:rsidR="005C2D58">
        <w:rPr>
          <w:sz w:val="24"/>
          <w:szCs w:val="24"/>
          <w:lang w:val="en-GB"/>
        </w:rPr>
        <w:t xml:space="preserve">equation </w:t>
      </w:r>
      <w:r w:rsidR="00930550">
        <w:rPr>
          <w:sz w:val="24"/>
          <w:szCs w:val="24"/>
          <w:lang w:val="en-GB"/>
        </w:rPr>
        <w:t xml:space="preserve">(1) is the existence of </w:t>
      </w:r>
      <w:r w:rsidR="005C2D58">
        <w:rPr>
          <w:sz w:val="24"/>
          <w:szCs w:val="24"/>
          <w:lang w:val="en-GB"/>
        </w:rPr>
        <w:t xml:space="preserve">a </w:t>
      </w:r>
      <w:r w:rsidR="00930550">
        <w:rPr>
          <w:sz w:val="24"/>
          <w:szCs w:val="24"/>
          <w:lang w:val="en-GB"/>
        </w:rPr>
        <w:t>“sling effect”, since</w:t>
      </w:r>
      <w:r w:rsidR="005C2D58">
        <w:rPr>
          <w:sz w:val="24"/>
          <w:szCs w:val="24"/>
          <w:lang w:val="en-GB"/>
        </w:rPr>
        <w:t xml:space="preserve">, as </w:t>
      </w:r>
      <m:oMath>
        <m:r>
          <w:rPr>
            <w:rFonts w:ascii="Cambria Math" w:hAnsi="Cambria Math"/>
            <w:sz w:val="24"/>
            <w:szCs w:val="24"/>
            <w:lang w:val="en-US"/>
          </w:rPr>
          <m:t>α</m:t>
        </m:r>
      </m:oMath>
      <w:r w:rsidR="00930550">
        <w:rPr>
          <w:sz w:val="24"/>
          <w:szCs w:val="24"/>
          <w:lang w:val="en-US"/>
        </w:rPr>
        <w:t xml:space="preserve"> increases, the consequences of </w:t>
      </w:r>
      <w:r w:rsidR="005C2D58">
        <w:rPr>
          <w:sz w:val="24"/>
          <w:szCs w:val="24"/>
          <w:lang w:val="en-US"/>
        </w:rPr>
        <w:t xml:space="preserve">a </w:t>
      </w:r>
      <w:r w:rsidR="00930550">
        <w:rPr>
          <w:sz w:val="24"/>
          <w:szCs w:val="24"/>
          <w:lang w:val="en-US"/>
        </w:rPr>
        <w:t xml:space="preserve">percentage </w:t>
      </w:r>
      <w:r w:rsidR="005C2D58" w:rsidRPr="005C2D58">
        <w:rPr>
          <w:sz w:val="24"/>
          <w:szCs w:val="24"/>
          <w:lang w:val="en-US"/>
        </w:rPr>
        <w:t xml:space="preserve">change </w:t>
      </w:r>
      <w:r w:rsidR="005C2D58">
        <w:rPr>
          <w:sz w:val="24"/>
          <w:szCs w:val="24"/>
          <w:lang w:val="en-US"/>
        </w:rPr>
        <w:t xml:space="preserve">in </w:t>
      </w:r>
      <w:r w:rsidR="00930550">
        <w:rPr>
          <w:sz w:val="24"/>
          <w:szCs w:val="24"/>
          <w:lang w:val="en-US"/>
        </w:rPr>
        <w:t xml:space="preserve">income can be significant </w:t>
      </w:r>
      <w:r w:rsidR="005C2D58">
        <w:rPr>
          <w:sz w:val="24"/>
          <w:szCs w:val="24"/>
          <w:lang w:val="en-US"/>
        </w:rPr>
        <w:t xml:space="preserve">close </w:t>
      </w:r>
      <w:r w:rsidR="00930550">
        <w:rPr>
          <w:sz w:val="24"/>
          <w:szCs w:val="24"/>
          <w:lang w:val="en-US"/>
        </w:rPr>
        <w:t xml:space="preserve">to the median but </w:t>
      </w:r>
      <w:r w:rsidR="005C2D58">
        <w:rPr>
          <w:sz w:val="24"/>
          <w:szCs w:val="24"/>
          <w:lang w:val="en-US"/>
        </w:rPr>
        <w:t xml:space="preserve">critical </w:t>
      </w:r>
      <w:r w:rsidR="00930550">
        <w:rPr>
          <w:sz w:val="24"/>
          <w:szCs w:val="24"/>
          <w:lang w:val="en-US"/>
        </w:rPr>
        <w:t xml:space="preserve">at the extremes of the distribution. </w:t>
      </w:r>
    </w:p>
    <w:p w:rsidR="00A12105" w:rsidRDefault="005C2D58" w:rsidP="004549C3">
      <w:pPr>
        <w:spacing w:after="120" w:line="480" w:lineRule="auto"/>
        <w:rPr>
          <w:sz w:val="24"/>
          <w:szCs w:val="24"/>
          <w:lang w:val="en-GB"/>
        </w:rPr>
      </w:pPr>
      <w:r>
        <w:rPr>
          <w:sz w:val="24"/>
          <w:szCs w:val="24"/>
          <w:lang w:val="en-GB"/>
        </w:rPr>
        <w:t xml:space="preserve">In detail, under a </w:t>
      </w:r>
      <w:r w:rsidR="00C37C17">
        <w:rPr>
          <w:sz w:val="24"/>
          <w:szCs w:val="24"/>
          <w:lang w:val="en-GB"/>
        </w:rPr>
        <w:t>CF</w:t>
      </w:r>
      <w:r w:rsidR="00C37C17" w:rsidRPr="00C37C17">
        <w:rPr>
          <w:rFonts w:ascii="Symbol" w:hAnsi="Symbol"/>
          <w:sz w:val="24"/>
          <w:szCs w:val="24"/>
          <w:vertAlign w:val="subscript"/>
          <w:lang w:val="en-GB"/>
        </w:rPr>
        <w:t></w:t>
      </w:r>
      <w:r w:rsidR="00C37C17">
        <w:rPr>
          <w:rFonts w:ascii="Symbol" w:hAnsi="Symbol"/>
          <w:sz w:val="24"/>
          <w:szCs w:val="24"/>
          <w:lang w:val="en-GB"/>
        </w:rPr>
        <w:t></w:t>
      </w:r>
      <w:r w:rsidR="006D5B61">
        <w:rPr>
          <w:sz w:val="24"/>
          <w:szCs w:val="24"/>
          <w:lang w:val="en-GB"/>
        </w:rPr>
        <w:t xml:space="preserve">distribution, a </w:t>
      </w:r>
      <w:r>
        <w:rPr>
          <w:sz w:val="24"/>
          <w:szCs w:val="24"/>
          <w:lang w:val="en-GB"/>
        </w:rPr>
        <w:t xml:space="preserve">change </w:t>
      </w:r>
      <w:r w:rsidR="006D5B61">
        <w:rPr>
          <w:sz w:val="24"/>
          <w:szCs w:val="24"/>
          <w:lang w:val="en-GB"/>
        </w:rPr>
        <w:t xml:space="preserve">of one percentage point in </w:t>
      </w:r>
      <w:r w:rsidR="00472786" w:rsidRPr="00472786">
        <w:rPr>
          <w:rFonts w:ascii="Symbol" w:hAnsi="Symbol"/>
          <w:sz w:val="24"/>
          <w:szCs w:val="24"/>
          <w:lang w:val="en-GB"/>
        </w:rPr>
        <w:t></w:t>
      </w:r>
      <w:r w:rsidR="006D5B61">
        <w:rPr>
          <w:sz w:val="24"/>
          <w:szCs w:val="24"/>
          <w:lang w:val="en-GB"/>
        </w:rPr>
        <w:t xml:space="preserve"> generate</w:t>
      </w:r>
      <w:r w:rsidR="004F6525">
        <w:rPr>
          <w:sz w:val="24"/>
          <w:szCs w:val="24"/>
          <w:lang w:val="en-GB"/>
        </w:rPr>
        <w:t>s</w:t>
      </w:r>
      <w:r w:rsidR="006D5B61">
        <w:rPr>
          <w:sz w:val="24"/>
          <w:szCs w:val="24"/>
          <w:lang w:val="en-GB"/>
        </w:rPr>
        <w:t xml:space="preserve"> an increase of income of </w:t>
      </w:r>
      <w:r w:rsidR="004D4645">
        <w:rPr>
          <w:sz w:val="24"/>
          <w:szCs w:val="24"/>
          <w:lang w:val="en-GB"/>
        </w:rPr>
        <w:t xml:space="preserve">about </w:t>
      </w:r>
      <w:r w:rsidR="006D5B61">
        <w:rPr>
          <w:sz w:val="24"/>
          <w:szCs w:val="24"/>
          <w:lang w:val="en-GB"/>
        </w:rPr>
        <w:t>one percentage point near the third quartile</w:t>
      </w:r>
      <w:r w:rsidR="00000591">
        <w:rPr>
          <w:sz w:val="24"/>
          <w:szCs w:val="24"/>
          <w:lang w:val="en-GB"/>
        </w:rPr>
        <w:t xml:space="preserve"> (X=.098)</w:t>
      </w:r>
      <w:r w:rsidR="006D5B61">
        <w:rPr>
          <w:sz w:val="24"/>
          <w:szCs w:val="24"/>
          <w:lang w:val="en-GB"/>
        </w:rPr>
        <w:t xml:space="preserve">, </w:t>
      </w:r>
      <w:r w:rsidR="004D4645">
        <w:rPr>
          <w:sz w:val="24"/>
          <w:szCs w:val="24"/>
          <w:lang w:val="en-GB"/>
        </w:rPr>
        <w:t xml:space="preserve">about </w:t>
      </w:r>
      <w:r w:rsidR="006D5B61">
        <w:rPr>
          <w:sz w:val="24"/>
          <w:szCs w:val="24"/>
          <w:lang w:val="en-GB"/>
        </w:rPr>
        <w:t>two percentage points near the ninth decile</w:t>
      </w:r>
      <w:r w:rsidR="00000591">
        <w:rPr>
          <w:sz w:val="24"/>
          <w:szCs w:val="24"/>
          <w:lang w:val="en-GB"/>
        </w:rPr>
        <w:t xml:space="preserve"> (X=2.197)</w:t>
      </w:r>
      <w:r w:rsidR="006D5B61">
        <w:rPr>
          <w:sz w:val="24"/>
          <w:szCs w:val="24"/>
          <w:lang w:val="en-GB"/>
        </w:rPr>
        <w:t xml:space="preserve">, </w:t>
      </w:r>
      <w:r w:rsidR="004D4645">
        <w:rPr>
          <w:sz w:val="24"/>
          <w:szCs w:val="24"/>
          <w:lang w:val="en-GB"/>
        </w:rPr>
        <w:t xml:space="preserve">about </w:t>
      </w:r>
      <w:r w:rsidR="00000591">
        <w:rPr>
          <w:sz w:val="24"/>
          <w:szCs w:val="24"/>
          <w:lang w:val="en-GB"/>
        </w:rPr>
        <w:t xml:space="preserve">three near the top </w:t>
      </w:r>
      <w:r w:rsidR="004D4645">
        <w:rPr>
          <w:sz w:val="24"/>
          <w:szCs w:val="24"/>
          <w:lang w:val="en-GB"/>
        </w:rPr>
        <w:t>95%</w:t>
      </w:r>
      <w:r w:rsidR="00000591">
        <w:rPr>
          <w:sz w:val="24"/>
          <w:szCs w:val="24"/>
          <w:lang w:val="en-GB"/>
        </w:rPr>
        <w:t xml:space="preserve"> </w:t>
      </w:r>
      <w:r w:rsidR="004D4645">
        <w:rPr>
          <w:sz w:val="24"/>
          <w:szCs w:val="24"/>
          <w:lang w:val="en-GB"/>
        </w:rPr>
        <w:t>(X=2.944),</w:t>
      </w:r>
      <w:r w:rsidR="00000591">
        <w:rPr>
          <w:sz w:val="24"/>
          <w:szCs w:val="24"/>
          <w:lang w:val="en-GB"/>
        </w:rPr>
        <w:t xml:space="preserve"> </w:t>
      </w:r>
      <w:r w:rsidR="00D15171">
        <w:rPr>
          <w:sz w:val="24"/>
          <w:szCs w:val="24"/>
          <w:lang w:val="en-GB"/>
        </w:rPr>
        <w:lastRenderedPageBreak/>
        <w:t>and so on</w:t>
      </w:r>
      <w:r w:rsidR="006D5B61">
        <w:rPr>
          <w:sz w:val="24"/>
          <w:szCs w:val="24"/>
          <w:lang w:val="en-GB"/>
        </w:rPr>
        <w:t xml:space="preserve">. </w:t>
      </w:r>
      <w:r w:rsidR="00D15171">
        <w:rPr>
          <w:sz w:val="24"/>
          <w:szCs w:val="24"/>
          <w:lang w:val="en-GB"/>
        </w:rPr>
        <w:t xml:space="preserve">As </w:t>
      </w:r>
      <w:r w:rsidR="00AF5A54">
        <w:rPr>
          <w:sz w:val="24"/>
          <w:szCs w:val="24"/>
          <w:lang w:val="en-GB"/>
        </w:rPr>
        <w:t xml:space="preserve">the Gini </w:t>
      </w:r>
      <w:r w:rsidR="00D15171">
        <w:rPr>
          <w:sz w:val="24"/>
          <w:szCs w:val="24"/>
          <w:lang w:val="en-GB"/>
        </w:rPr>
        <w:t>coefficient ri</w:t>
      </w:r>
      <w:r w:rsidR="00AF5A54">
        <w:rPr>
          <w:sz w:val="24"/>
          <w:szCs w:val="24"/>
          <w:lang w:val="en-GB"/>
        </w:rPr>
        <w:t xml:space="preserve">ses, extreme top-incomes gain </w:t>
      </w:r>
      <w:r w:rsidR="00D15171">
        <w:rPr>
          <w:sz w:val="24"/>
          <w:szCs w:val="24"/>
          <w:lang w:val="en-GB"/>
        </w:rPr>
        <w:t>a much higher percentage in terms</w:t>
      </w:r>
      <w:r w:rsidR="00AF5A54">
        <w:rPr>
          <w:sz w:val="24"/>
          <w:szCs w:val="24"/>
          <w:lang w:val="en-GB"/>
        </w:rPr>
        <w:t xml:space="preserve"> of their initial income than </w:t>
      </w:r>
      <w:r w:rsidR="00D15171">
        <w:rPr>
          <w:sz w:val="24"/>
          <w:szCs w:val="24"/>
          <w:lang w:val="en-GB"/>
        </w:rPr>
        <w:t xml:space="preserve">do </w:t>
      </w:r>
      <w:r w:rsidR="00AF5A54">
        <w:rPr>
          <w:sz w:val="24"/>
          <w:szCs w:val="24"/>
          <w:lang w:val="en-GB"/>
        </w:rPr>
        <w:t xml:space="preserve">the upper middle class. Symmetrically (in terms of log), the poor </w:t>
      </w:r>
      <w:r w:rsidR="00D15171">
        <w:rPr>
          <w:sz w:val="24"/>
          <w:szCs w:val="24"/>
          <w:lang w:val="en-GB"/>
        </w:rPr>
        <w:t xml:space="preserve">suffer from greater </w:t>
      </w:r>
      <w:r w:rsidR="00D15171" w:rsidRPr="00D15171">
        <w:rPr>
          <w:sz w:val="24"/>
          <w:szCs w:val="24"/>
          <w:lang w:val="en-GB"/>
        </w:rPr>
        <w:t xml:space="preserve">percentage </w:t>
      </w:r>
      <w:r w:rsidR="00AF5A54">
        <w:rPr>
          <w:sz w:val="24"/>
          <w:szCs w:val="24"/>
          <w:lang w:val="en-GB"/>
        </w:rPr>
        <w:t xml:space="preserve">declines in resources than </w:t>
      </w:r>
      <w:r w:rsidR="00D15171">
        <w:rPr>
          <w:sz w:val="24"/>
          <w:szCs w:val="24"/>
          <w:lang w:val="en-GB"/>
        </w:rPr>
        <w:t xml:space="preserve">do </w:t>
      </w:r>
      <w:r w:rsidR="00AF5A54">
        <w:rPr>
          <w:sz w:val="24"/>
          <w:szCs w:val="24"/>
          <w:lang w:val="en-GB"/>
        </w:rPr>
        <w:t xml:space="preserve">the lower middle class.  </w:t>
      </w:r>
    </w:p>
    <w:p w:rsidR="004D4645" w:rsidRDefault="00D15171" w:rsidP="004549C3">
      <w:pPr>
        <w:spacing w:after="120" w:line="480" w:lineRule="auto"/>
        <w:rPr>
          <w:sz w:val="24"/>
          <w:szCs w:val="24"/>
          <w:lang w:val="en-GB"/>
        </w:rPr>
      </w:pPr>
      <w:r>
        <w:rPr>
          <w:sz w:val="24"/>
          <w:szCs w:val="24"/>
          <w:lang w:val="en-GB"/>
        </w:rPr>
        <w:t xml:space="preserve">A number of </w:t>
      </w:r>
      <w:r w:rsidR="004D4645">
        <w:rPr>
          <w:sz w:val="24"/>
          <w:szCs w:val="24"/>
          <w:lang w:val="en-GB"/>
        </w:rPr>
        <w:t xml:space="preserve">different fields of research (microeconomics, finance, statistics, </w:t>
      </w:r>
      <w:r w:rsidR="00C6630C">
        <w:rPr>
          <w:sz w:val="24"/>
          <w:szCs w:val="24"/>
          <w:lang w:val="en-GB"/>
        </w:rPr>
        <w:t>and social</w:t>
      </w:r>
      <w:r w:rsidR="004D4645">
        <w:rPr>
          <w:sz w:val="24"/>
          <w:szCs w:val="24"/>
          <w:lang w:val="en-GB"/>
        </w:rPr>
        <w:t xml:space="preserve"> science</w:t>
      </w:r>
      <w:r w:rsidR="00C6630C">
        <w:rPr>
          <w:sz w:val="24"/>
          <w:szCs w:val="24"/>
          <w:lang w:val="en-GB"/>
        </w:rPr>
        <w:t>s</w:t>
      </w:r>
      <w:r w:rsidR="004D4645">
        <w:rPr>
          <w:sz w:val="24"/>
          <w:szCs w:val="24"/>
          <w:lang w:val="en-GB"/>
        </w:rPr>
        <w:t xml:space="preserve">) </w:t>
      </w:r>
      <w:r>
        <w:rPr>
          <w:sz w:val="24"/>
          <w:szCs w:val="24"/>
          <w:lang w:val="en-GB"/>
        </w:rPr>
        <w:t xml:space="preserve">thus </w:t>
      </w:r>
      <w:r w:rsidR="004D4645">
        <w:rPr>
          <w:sz w:val="24"/>
          <w:szCs w:val="24"/>
          <w:lang w:val="en-GB"/>
        </w:rPr>
        <w:t xml:space="preserve">confirm the </w:t>
      </w:r>
      <w:r>
        <w:rPr>
          <w:sz w:val="24"/>
          <w:szCs w:val="24"/>
          <w:lang w:val="en-GB"/>
        </w:rPr>
        <w:t xml:space="preserve">importance </w:t>
      </w:r>
      <w:r w:rsidR="004D4645">
        <w:rPr>
          <w:sz w:val="24"/>
          <w:szCs w:val="24"/>
          <w:lang w:val="en-GB"/>
        </w:rPr>
        <w:t xml:space="preserve">of the </w:t>
      </w:r>
      <w:r w:rsidR="00C37C17">
        <w:rPr>
          <w:sz w:val="24"/>
          <w:szCs w:val="24"/>
          <w:lang w:val="en-GB"/>
        </w:rPr>
        <w:t>CF</w:t>
      </w:r>
      <w:r w:rsidR="004D4645">
        <w:rPr>
          <w:sz w:val="24"/>
          <w:szCs w:val="24"/>
          <w:lang w:val="en-GB"/>
        </w:rPr>
        <w:t xml:space="preserve">, </w:t>
      </w:r>
      <w:r>
        <w:rPr>
          <w:sz w:val="24"/>
          <w:szCs w:val="24"/>
          <w:lang w:val="en-GB"/>
        </w:rPr>
        <w:t xml:space="preserve">although the </w:t>
      </w:r>
      <w:r w:rsidR="004D4645">
        <w:rPr>
          <w:sz w:val="24"/>
          <w:szCs w:val="24"/>
          <w:lang w:val="en-GB"/>
        </w:rPr>
        <w:t xml:space="preserve">adequacy </w:t>
      </w:r>
      <w:r>
        <w:rPr>
          <w:sz w:val="24"/>
          <w:szCs w:val="24"/>
          <w:lang w:val="en-GB"/>
        </w:rPr>
        <w:t xml:space="preserve">of its description of </w:t>
      </w:r>
      <w:r w:rsidR="004D4645">
        <w:rPr>
          <w:sz w:val="24"/>
          <w:szCs w:val="24"/>
          <w:lang w:val="en-GB"/>
        </w:rPr>
        <w:t>empirical reality</w:t>
      </w:r>
      <w:r w:rsidR="00BE7F69">
        <w:rPr>
          <w:sz w:val="24"/>
          <w:szCs w:val="24"/>
          <w:lang w:val="en-GB"/>
        </w:rPr>
        <w:t xml:space="preserve"> </w:t>
      </w:r>
      <w:r>
        <w:rPr>
          <w:sz w:val="24"/>
          <w:szCs w:val="24"/>
          <w:lang w:val="en-GB"/>
        </w:rPr>
        <w:t xml:space="preserve">remains </w:t>
      </w:r>
      <w:r w:rsidR="00BE7F69">
        <w:rPr>
          <w:sz w:val="24"/>
          <w:szCs w:val="24"/>
          <w:lang w:val="en-GB"/>
        </w:rPr>
        <w:t xml:space="preserve">to be </w:t>
      </w:r>
      <w:r>
        <w:rPr>
          <w:sz w:val="24"/>
          <w:szCs w:val="24"/>
          <w:lang w:val="en-GB"/>
        </w:rPr>
        <w:t>establish</w:t>
      </w:r>
      <w:r w:rsidR="00126B88">
        <w:rPr>
          <w:sz w:val="24"/>
          <w:szCs w:val="24"/>
          <w:lang w:val="en-GB"/>
        </w:rPr>
        <w:t>ed</w:t>
      </w:r>
      <w:r w:rsidR="004D4645">
        <w:rPr>
          <w:sz w:val="24"/>
          <w:szCs w:val="24"/>
          <w:lang w:val="en-GB"/>
        </w:rPr>
        <w:t xml:space="preserve">. </w:t>
      </w:r>
      <w:r w:rsidR="0037506C">
        <w:rPr>
          <w:sz w:val="24"/>
          <w:szCs w:val="24"/>
          <w:lang w:val="en-GB"/>
        </w:rPr>
        <w:t>The</w:t>
      </w:r>
      <w:r w:rsidR="000F6159">
        <w:rPr>
          <w:sz w:val="24"/>
          <w:szCs w:val="24"/>
          <w:lang w:val="en-GB"/>
        </w:rPr>
        <w:t xml:space="preserve"> CF is </w:t>
      </w:r>
      <w:r w:rsidR="0037506C">
        <w:rPr>
          <w:sz w:val="24"/>
          <w:szCs w:val="24"/>
          <w:lang w:val="en-GB"/>
        </w:rPr>
        <w:t xml:space="preserve">not </w:t>
      </w:r>
      <w:r w:rsidR="000F6159">
        <w:rPr>
          <w:sz w:val="24"/>
          <w:szCs w:val="24"/>
          <w:lang w:val="en-GB"/>
        </w:rPr>
        <w:t>the best curve</w:t>
      </w:r>
      <w:r w:rsidR="0037506C">
        <w:rPr>
          <w:sz w:val="24"/>
          <w:szCs w:val="24"/>
          <w:lang w:val="en-GB"/>
        </w:rPr>
        <w:t xml:space="preserve"> in general</w:t>
      </w:r>
      <w:r w:rsidR="000F6159">
        <w:rPr>
          <w:sz w:val="24"/>
          <w:szCs w:val="24"/>
          <w:lang w:val="en-GB"/>
        </w:rPr>
        <w:t xml:space="preserve">: </w:t>
      </w:r>
      <w:r>
        <w:rPr>
          <w:sz w:val="24"/>
          <w:szCs w:val="24"/>
          <w:lang w:val="en-GB"/>
        </w:rPr>
        <w:t>s</w:t>
      </w:r>
      <w:r w:rsidR="000F6159">
        <w:rPr>
          <w:sz w:val="24"/>
          <w:szCs w:val="24"/>
          <w:lang w:val="en-GB"/>
        </w:rPr>
        <w:t xml:space="preserve">ince the GB2 has two additional parameters, it should </w:t>
      </w:r>
      <w:r w:rsidR="00C6630C">
        <w:rPr>
          <w:sz w:val="24"/>
          <w:szCs w:val="24"/>
          <w:lang w:val="en-GB"/>
        </w:rPr>
        <w:t xml:space="preserve">provide </w:t>
      </w:r>
      <w:r>
        <w:rPr>
          <w:sz w:val="24"/>
          <w:szCs w:val="24"/>
          <w:lang w:val="en-GB"/>
        </w:rPr>
        <w:t>a better fit</w:t>
      </w:r>
      <w:r w:rsidR="008A0DDD">
        <w:rPr>
          <w:sz w:val="24"/>
          <w:szCs w:val="24"/>
          <w:lang w:val="en-GB"/>
        </w:rPr>
        <w:t xml:space="preserve">. </w:t>
      </w:r>
      <w:r>
        <w:rPr>
          <w:sz w:val="24"/>
          <w:szCs w:val="24"/>
          <w:lang w:val="en-GB"/>
        </w:rPr>
        <w:t xml:space="preserve">Even so, </w:t>
      </w:r>
      <w:r w:rsidR="000F6159">
        <w:rPr>
          <w:sz w:val="24"/>
          <w:szCs w:val="24"/>
          <w:lang w:val="en-GB"/>
        </w:rPr>
        <w:t xml:space="preserve">the CF is a parsimonious relevant baseline or template </w:t>
      </w:r>
      <w:r>
        <w:rPr>
          <w:sz w:val="24"/>
          <w:szCs w:val="24"/>
          <w:lang w:val="en-GB"/>
        </w:rPr>
        <w:t xml:space="preserve">for </w:t>
      </w:r>
      <w:r w:rsidR="000F6159">
        <w:rPr>
          <w:sz w:val="24"/>
          <w:szCs w:val="24"/>
          <w:lang w:val="en-GB"/>
        </w:rPr>
        <w:t>inequalit</w:t>
      </w:r>
      <w:r>
        <w:rPr>
          <w:sz w:val="24"/>
          <w:szCs w:val="24"/>
          <w:lang w:val="en-GB"/>
        </w:rPr>
        <w:t>y</w:t>
      </w:r>
      <w:r w:rsidR="00F67915">
        <w:rPr>
          <w:sz w:val="24"/>
          <w:szCs w:val="24"/>
          <w:lang w:val="en-GB"/>
        </w:rPr>
        <w:t>,</w:t>
      </w:r>
      <w:r w:rsidR="000F6159">
        <w:rPr>
          <w:sz w:val="24"/>
          <w:szCs w:val="24"/>
          <w:lang w:val="en-GB"/>
        </w:rPr>
        <w:t xml:space="preserve"> </w:t>
      </w:r>
      <w:r>
        <w:rPr>
          <w:sz w:val="24"/>
          <w:szCs w:val="24"/>
          <w:lang w:val="en-GB"/>
        </w:rPr>
        <w:t>play</w:t>
      </w:r>
      <w:r w:rsidR="000F6159">
        <w:rPr>
          <w:sz w:val="24"/>
          <w:szCs w:val="24"/>
          <w:lang w:val="en-GB"/>
        </w:rPr>
        <w:t xml:space="preserve">ing a central role as </w:t>
      </w:r>
      <w:r w:rsidR="00E27ED3">
        <w:rPr>
          <w:sz w:val="24"/>
          <w:szCs w:val="24"/>
          <w:lang w:val="en-GB"/>
        </w:rPr>
        <w:t>a simple equilibrium distribution</w:t>
      </w:r>
      <w:r w:rsidR="000F6159" w:rsidRPr="000F6159">
        <w:rPr>
          <w:sz w:val="24"/>
          <w:szCs w:val="24"/>
          <w:lang w:val="en-GB"/>
        </w:rPr>
        <w:t xml:space="preserve"> </w:t>
      </w:r>
      <w:r w:rsidR="00E27ED3">
        <w:rPr>
          <w:sz w:val="24"/>
          <w:szCs w:val="24"/>
          <w:lang w:val="en-GB"/>
        </w:rPr>
        <w:t xml:space="preserve">resulting from </w:t>
      </w:r>
      <w:r w:rsidR="000F6159" w:rsidRPr="000F6159">
        <w:rPr>
          <w:sz w:val="24"/>
          <w:szCs w:val="24"/>
          <w:lang w:val="en-GB"/>
        </w:rPr>
        <w:t>economic processes</w:t>
      </w:r>
      <w:r w:rsidR="000F6159">
        <w:rPr>
          <w:sz w:val="24"/>
          <w:szCs w:val="24"/>
          <w:lang w:val="en-GB"/>
        </w:rPr>
        <w:t xml:space="preserve">. </w:t>
      </w:r>
      <w:r>
        <w:rPr>
          <w:sz w:val="24"/>
          <w:szCs w:val="24"/>
          <w:lang w:val="en-GB"/>
        </w:rPr>
        <w:t xml:space="preserve">We </w:t>
      </w:r>
      <w:r w:rsidR="00BE7F69">
        <w:rPr>
          <w:sz w:val="24"/>
          <w:szCs w:val="24"/>
          <w:lang w:val="en-GB"/>
        </w:rPr>
        <w:t>can</w:t>
      </w:r>
      <w:r w:rsidR="00E27ED3">
        <w:rPr>
          <w:sz w:val="24"/>
          <w:szCs w:val="24"/>
          <w:lang w:val="en-GB"/>
        </w:rPr>
        <w:t xml:space="preserve"> expect </w:t>
      </w:r>
      <w:r>
        <w:rPr>
          <w:sz w:val="24"/>
          <w:szCs w:val="24"/>
          <w:lang w:val="en-GB"/>
        </w:rPr>
        <w:t xml:space="preserve">that the </w:t>
      </w:r>
      <w:r w:rsidR="00C37C17">
        <w:rPr>
          <w:sz w:val="24"/>
          <w:szCs w:val="24"/>
          <w:lang w:val="en-GB"/>
        </w:rPr>
        <w:t xml:space="preserve">CF </w:t>
      </w:r>
      <w:r>
        <w:rPr>
          <w:sz w:val="24"/>
          <w:szCs w:val="24"/>
          <w:lang w:val="en-GB"/>
        </w:rPr>
        <w:t>(like the other theoretically-</w:t>
      </w:r>
      <w:r w:rsidR="00BE7F69">
        <w:rPr>
          <w:sz w:val="24"/>
          <w:szCs w:val="24"/>
          <w:lang w:val="en-GB"/>
        </w:rPr>
        <w:t>based distributions</w:t>
      </w:r>
      <w:r w:rsidR="00E27ED3">
        <w:rPr>
          <w:sz w:val="24"/>
          <w:szCs w:val="24"/>
          <w:lang w:val="en-GB"/>
        </w:rPr>
        <w:t xml:space="preserve">) will not perfectly </w:t>
      </w:r>
      <w:r w:rsidR="000F6159">
        <w:rPr>
          <w:sz w:val="24"/>
          <w:szCs w:val="24"/>
          <w:lang w:val="en-GB"/>
        </w:rPr>
        <w:t xml:space="preserve">fit any type of empirical curve </w:t>
      </w:r>
      <w:r w:rsidR="008A0DDD">
        <w:rPr>
          <w:sz w:val="24"/>
          <w:szCs w:val="24"/>
          <w:lang w:val="en-GB"/>
        </w:rPr>
        <w:t xml:space="preserve">because, </w:t>
      </w:r>
      <w:r w:rsidR="000F6159">
        <w:rPr>
          <w:sz w:val="24"/>
          <w:szCs w:val="24"/>
          <w:lang w:val="en-GB"/>
        </w:rPr>
        <w:t xml:space="preserve">in advanced economies, the equilibrium distributions are necessarily </w:t>
      </w:r>
      <w:r>
        <w:rPr>
          <w:sz w:val="24"/>
          <w:szCs w:val="24"/>
          <w:lang w:val="en-GB"/>
        </w:rPr>
        <w:t xml:space="preserve">distorted </w:t>
      </w:r>
      <w:r w:rsidR="000F6159">
        <w:rPr>
          <w:sz w:val="24"/>
          <w:szCs w:val="24"/>
          <w:lang w:val="en-GB"/>
        </w:rPr>
        <w:t xml:space="preserve">at their extremes by social policies, </w:t>
      </w:r>
      <w:r w:rsidR="00E27ED3">
        <w:rPr>
          <w:sz w:val="24"/>
          <w:szCs w:val="24"/>
          <w:lang w:val="en-GB"/>
        </w:rPr>
        <w:t xml:space="preserve">progressive </w:t>
      </w:r>
      <w:r w:rsidR="000F6159">
        <w:rPr>
          <w:sz w:val="24"/>
          <w:szCs w:val="24"/>
          <w:lang w:val="en-GB"/>
        </w:rPr>
        <w:t>tax</w:t>
      </w:r>
      <w:r>
        <w:rPr>
          <w:sz w:val="24"/>
          <w:szCs w:val="24"/>
          <w:lang w:val="en-GB"/>
        </w:rPr>
        <w:t>ation</w:t>
      </w:r>
      <w:r w:rsidR="000F6159">
        <w:rPr>
          <w:sz w:val="24"/>
          <w:szCs w:val="24"/>
          <w:lang w:val="en-GB"/>
        </w:rPr>
        <w:t xml:space="preserve">, redistribution, public incentives, </w:t>
      </w:r>
      <w:r>
        <w:rPr>
          <w:sz w:val="24"/>
          <w:szCs w:val="24"/>
          <w:lang w:val="en-GB"/>
        </w:rPr>
        <w:t xml:space="preserve">and the </w:t>
      </w:r>
      <w:r w:rsidR="000F6159">
        <w:rPr>
          <w:sz w:val="24"/>
          <w:szCs w:val="24"/>
          <w:lang w:val="en-GB"/>
        </w:rPr>
        <w:t>processes of access to power</w:t>
      </w:r>
      <w:r w:rsidR="00BE7F69">
        <w:rPr>
          <w:sz w:val="24"/>
          <w:szCs w:val="24"/>
          <w:lang w:val="en-GB"/>
        </w:rPr>
        <w:t xml:space="preserve"> and their consequences</w:t>
      </w:r>
      <w:r w:rsidR="000F6159">
        <w:rPr>
          <w:sz w:val="24"/>
          <w:szCs w:val="24"/>
          <w:lang w:val="en-GB"/>
        </w:rPr>
        <w:t xml:space="preserve">. </w:t>
      </w:r>
      <w:r w:rsidR="008A0DDD">
        <w:rPr>
          <w:sz w:val="24"/>
          <w:szCs w:val="24"/>
          <w:lang w:val="en-GB"/>
        </w:rPr>
        <w:t>Th</w:t>
      </w:r>
      <w:r w:rsidR="000F6159">
        <w:rPr>
          <w:sz w:val="24"/>
          <w:szCs w:val="24"/>
          <w:lang w:val="en-GB"/>
        </w:rPr>
        <w:t xml:space="preserve">e CF is </w:t>
      </w:r>
      <w:r>
        <w:rPr>
          <w:sz w:val="24"/>
          <w:szCs w:val="24"/>
          <w:lang w:val="en-GB"/>
        </w:rPr>
        <w:t xml:space="preserve">thus </w:t>
      </w:r>
      <w:r w:rsidR="000F6159">
        <w:rPr>
          <w:sz w:val="24"/>
          <w:szCs w:val="24"/>
          <w:lang w:val="en-GB"/>
        </w:rPr>
        <w:t xml:space="preserve">not the </w:t>
      </w:r>
      <w:r w:rsidR="00BE7F69">
        <w:rPr>
          <w:sz w:val="24"/>
          <w:szCs w:val="24"/>
          <w:lang w:val="en-GB"/>
        </w:rPr>
        <w:t>perfect</w:t>
      </w:r>
      <w:r w:rsidR="000F6159">
        <w:rPr>
          <w:sz w:val="24"/>
          <w:szCs w:val="24"/>
          <w:lang w:val="en-GB"/>
        </w:rPr>
        <w:t xml:space="preserve"> curve</w:t>
      </w:r>
      <w:r w:rsidR="00E27ED3">
        <w:rPr>
          <w:sz w:val="24"/>
          <w:szCs w:val="24"/>
          <w:lang w:val="en-GB"/>
        </w:rPr>
        <w:t xml:space="preserve"> but </w:t>
      </w:r>
      <w:r>
        <w:rPr>
          <w:sz w:val="24"/>
          <w:szCs w:val="24"/>
          <w:lang w:val="en-GB"/>
        </w:rPr>
        <w:t xml:space="preserve">rather a </w:t>
      </w:r>
      <w:r w:rsidR="000F6159">
        <w:rPr>
          <w:sz w:val="24"/>
          <w:szCs w:val="24"/>
          <w:lang w:val="en-GB"/>
        </w:rPr>
        <w:t xml:space="preserve">template </w:t>
      </w:r>
      <w:r>
        <w:rPr>
          <w:sz w:val="24"/>
          <w:szCs w:val="24"/>
          <w:lang w:val="en-GB"/>
        </w:rPr>
        <w:t xml:space="preserve">which is </w:t>
      </w:r>
      <w:r w:rsidR="000F6159">
        <w:rPr>
          <w:sz w:val="24"/>
          <w:szCs w:val="24"/>
          <w:lang w:val="en-GB"/>
        </w:rPr>
        <w:t xml:space="preserve">able to detect empirical divergences </w:t>
      </w:r>
      <w:r>
        <w:rPr>
          <w:sz w:val="24"/>
          <w:szCs w:val="24"/>
          <w:lang w:val="en-GB"/>
        </w:rPr>
        <w:t xml:space="preserve">from </w:t>
      </w:r>
      <w:r w:rsidR="000F6159">
        <w:rPr>
          <w:sz w:val="24"/>
          <w:szCs w:val="24"/>
          <w:lang w:val="en-GB"/>
        </w:rPr>
        <w:t xml:space="preserve">theoretical equilibria. </w:t>
      </w:r>
      <w:r w:rsidR="008A0DDD">
        <w:rPr>
          <w:sz w:val="24"/>
          <w:szCs w:val="24"/>
          <w:lang w:val="en-GB"/>
        </w:rPr>
        <w:t>Nonetheless</w:t>
      </w:r>
      <w:r w:rsidR="004E3D9C">
        <w:rPr>
          <w:sz w:val="24"/>
          <w:szCs w:val="24"/>
          <w:lang w:val="en-GB"/>
        </w:rPr>
        <w:t xml:space="preserve">, </w:t>
      </w:r>
      <w:r>
        <w:rPr>
          <w:sz w:val="24"/>
          <w:szCs w:val="24"/>
          <w:lang w:val="en-GB"/>
        </w:rPr>
        <w:t xml:space="preserve">the </w:t>
      </w:r>
      <w:r w:rsidR="0061469C">
        <w:rPr>
          <w:sz w:val="24"/>
          <w:szCs w:val="24"/>
          <w:lang w:val="en-GB"/>
        </w:rPr>
        <w:t xml:space="preserve">strong hypothesis here is that, even if it is not the best curve, </w:t>
      </w:r>
      <w:r w:rsidR="008A0DDD">
        <w:rPr>
          <w:sz w:val="24"/>
          <w:szCs w:val="24"/>
          <w:lang w:val="en-GB"/>
        </w:rPr>
        <w:t xml:space="preserve">the </w:t>
      </w:r>
      <w:r w:rsidR="004E3D9C">
        <w:rPr>
          <w:sz w:val="24"/>
          <w:szCs w:val="24"/>
          <w:lang w:val="en-GB"/>
        </w:rPr>
        <w:t xml:space="preserve">CF is </w:t>
      </w:r>
      <w:r w:rsidR="0061469C">
        <w:rPr>
          <w:sz w:val="24"/>
          <w:szCs w:val="24"/>
          <w:lang w:val="en-GB"/>
        </w:rPr>
        <w:t>empirically</w:t>
      </w:r>
      <w:r w:rsidR="004A3C60">
        <w:rPr>
          <w:sz w:val="24"/>
          <w:szCs w:val="24"/>
          <w:lang w:val="en-GB"/>
        </w:rPr>
        <w:t xml:space="preserve"> relevant </w:t>
      </w:r>
      <w:r w:rsidR="004E3D9C">
        <w:rPr>
          <w:sz w:val="24"/>
          <w:szCs w:val="24"/>
          <w:lang w:val="en-GB"/>
        </w:rPr>
        <w:t xml:space="preserve">in the </w:t>
      </w:r>
      <w:r w:rsidR="0061469C">
        <w:rPr>
          <w:sz w:val="24"/>
          <w:szCs w:val="24"/>
          <w:lang w:val="en-GB"/>
        </w:rPr>
        <w:t xml:space="preserve">field of </w:t>
      </w:r>
      <w:r>
        <w:rPr>
          <w:sz w:val="24"/>
          <w:szCs w:val="24"/>
          <w:lang w:val="en-GB"/>
        </w:rPr>
        <w:t>income distribution</w:t>
      </w:r>
      <w:r w:rsidR="0061469C">
        <w:rPr>
          <w:sz w:val="24"/>
          <w:szCs w:val="24"/>
          <w:lang w:val="en-GB"/>
        </w:rPr>
        <w:t>.</w:t>
      </w:r>
    </w:p>
    <w:p w:rsidR="00A630FB" w:rsidRPr="003A54AD" w:rsidRDefault="008D6A4A" w:rsidP="008D6A4A">
      <w:pPr>
        <w:numPr>
          <w:ilvl w:val="0"/>
          <w:numId w:val="5"/>
        </w:numPr>
        <w:spacing w:after="120" w:line="480" w:lineRule="auto"/>
        <w:rPr>
          <w:b/>
          <w:sz w:val="24"/>
          <w:szCs w:val="24"/>
          <w:lang w:val="en-GB"/>
        </w:rPr>
      </w:pPr>
      <w:r>
        <w:rPr>
          <w:b/>
          <w:sz w:val="24"/>
          <w:szCs w:val="24"/>
          <w:lang w:val="en-GB"/>
        </w:rPr>
        <w:t>Measuring empirical d</w:t>
      </w:r>
      <w:r w:rsidR="002C59F1">
        <w:rPr>
          <w:b/>
          <w:sz w:val="24"/>
          <w:szCs w:val="24"/>
          <w:lang w:val="en-GB"/>
        </w:rPr>
        <w:t xml:space="preserve">ivergences from </w:t>
      </w:r>
      <w:r w:rsidR="00A630FB">
        <w:rPr>
          <w:b/>
          <w:sz w:val="24"/>
          <w:szCs w:val="24"/>
          <w:lang w:val="en-GB"/>
        </w:rPr>
        <w:t>the CF</w:t>
      </w:r>
      <w:r w:rsidR="00A24323">
        <w:rPr>
          <w:b/>
          <w:sz w:val="24"/>
          <w:szCs w:val="24"/>
          <w:lang w:val="en-GB"/>
        </w:rPr>
        <w:t xml:space="preserve"> </w:t>
      </w:r>
      <w:r w:rsidR="00A630FB">
        <w:rPr>
          <w:b/>
          <w:sz w:val="24"/>
          <w:szCs w:val="24"/>
          <w:lang w:val="en-GB"/>
        </w:rPr>
        <w:t>distribution</w:t>
      </w:r>
    </w:p>
    <w:p w:rsidR="00D65789" w:rsidRDefault="00A630FB" w:rsidP="00D65789">
      <w:pPr>
        <w:spacing w:after="120" w:line="480" w:lineRule="auto"/>
        <w:rPr>
          <w:sz w:val="24"/>
          <w:szCs w:val="24"/>
          <w:lang w:val="en-GB"/>
        </w:rPr>
      </w:pPr>
      <w:r>
        <w:rPr>
          <w:sz w:val="24"/>
          <w:szCs w:val="24"/>
          <w:lang w:val="en-GB"/>
        </w:rPr>
        <w:t>The analysis of empirical distributions confirms that e</w:t>
      </w:r>
      <w:r w:rsidR="00D65789">
        <w:rPr>
          <w:sz w:val="24"/>
          <w:szCs w:val="24"/>
          <w:lang w:val="en-GB"/>
        </w:rPr>
        <w:t>xpression (</w:t>
      </w:r>
      <w:r w:rsidR="00AE6D38">
        <w:rPr>
          <w:sz w:val="24"/>
          <w:szCs w:val="24"/>
          <w:lang w:val="en-GB"/>
        </w:rPr>
        <w:t>1</w:t>
      </w:r>
      <w:r w:rsidR="00D65789">
        <w:rPr>
          <w:sz w:val="24"/>
          <w:szCs w:val="24"/>
          <w:lang w:val="en-GB"/>
        </w:rPr>
        <w:t xml:space="preserve">) </w:t>
      </w:r>
      <w:r w:rsidR="002C59F1">
        <w:rPr>
          <w:sz w:val="24"/>
          <w:szCs w:val="24"/>
          <w:lang w:val="en-GB"/>
        </w:rPr>
        <w:t>is a first</w:t>
      </w:r>
      <w:r w:rsidR="00A24323">
        <w:rPr>
          <w:sz w:val="24"/>
          <w:szCs w:val="24"/>
          <w:lang w:val="en-GB"/>
        </w:rPr>
        <w:t>-</w:t>
      </w:r>
      <w:r w:rsidR="002C59F1">
        <w:rPr>
          <w:sz w:val="24"/>
          <w:szCs w:val="24"/>
          <w:lang w:val="en-GB"/>
        </w:rPr>
        <w:t xml:space="preserve">order approximation that </w:t>
      </w:r>
      <w:r w:rsidR="00D15171">
        <w:rPr>
          <w:sz w:val="24"/>
          <w:szCs w:val="24"/>
          <w:lang w:val="en-GB"/>
        </w:rPr>
        <w:t xml:space="preserve">can </w:t>
      </w:r>
      <w:r w:rsidR="002C59F1">
        <w:rPr>
          <w:sz w:val="24"/>
          <w:szCs w:val="24"/>
          <w:lang w:val="en-GB"/>
        </w:rPr>
        <w:t>be improved</w:t>
      </w:r>
      <w:r w:rsidR="008D6A4A">
        <w:rPr>
          <w:sz w:val="24"/>
          <w:szCs w:val="24"/>
          <w:lang w:val="en-GB"/>
        </w:rPr>
        <w:t xml:space="preserve"> </w:t>
      </w:r>
      <w:r w:rsidR="00D15171">
        <w:rPr>
          <w:sz w:val="24"/>
          <w:szCs w:val="24"/>
          <w:lang w:val="en-GB"/>
        </w:rPr>
        <w:t xml:space="preserve">upon </w:t>
      </w:r>
      <w:r w:rsidR="008D6A4A">
        <w:rPr>
          <w:sz w:val="24"/>
          <w:szCs w:val="24"/>
          <w:lang w:val="en-GB"/>
        </w:rPr>
        <w:t>(</w:t>
      </w:r>
      <w:r w:rsidR="00DE578D">
        <w:rPr>
          <w:sz w:val="24"/>
          <w:szCs w:val="24"/>
          <w:lang w:val="en-GB"/>
        </w:rPr>
        <w:t>Appendix</w:t>
      </w:r>
      <w:r w:rsidR="008D6A4A">
        <w:rPr>
          <w:sz w:val="24"/>
          <w:szCs w:val="24"/>
          <w:lang w:val="en-GB"/>
        </w:rPr>
        <w:t xml:space="preserve"> </w:t>
      </w:r>
      <w:r w:rsidR="00827753">
        <w:rPr>
          <w:sz w:val="24"/>
          <w:szCs w:val="24"/>
          <w:lang w:val="en-GB"/>
        </w:rPr>
        <w:t xml:space="preserve">1: </w:t>
      </w:r>
      <w:r w:rsidR="005423EC">
        <w:rPr>
          <w:sz w:val="24"/>
          <w:szCs w:val="24"/>
          <w:lang w:val="en-GB"/>
        </w:rPr>
        <w:t>232</w:t>
      </w:r>
      <w:r w:rsidR="00D744BB">
        <w:rPr>
          <w:sz w:val="24"/>
          <w:szCs w:val="24"/>
          <w:lang w:val="en-GB"/>
        </w:rPr>
        <w:t xml:space="preserve"> </w:t>
      </w:r>
      <w:r w:rsidR="00827753">
        <w:rPr>
          <w:sz w:val="24"/>
          <w:szCs w:val="24"/>
          <w:lang w:val="en-GB"/>
        </w:rPr>
        <w:t>Isograph</w:t>
      </w:r>
      <w:r w:rsidR="00D744BB">
        <w:rPr>
          <w:sz w:val="24"/>
          <w:szCs w:val="24"/>
          <w:lang w:val="en-GB"/>
        </w:rPr>
        <w:t>s</w:t>
      </w:r>
      <w:r w:rsidR="008D6A4A">
        <w:rPr>
          <w:sz w:val="24"/>
          <w:szCs w:val="24"/>
          <w:lang w:val="en-GB"/>
        </w:rPr>
        <w:t>)</w:t>
      </w:r>
      <w:r w:rsidR="002C59F1">
        <w:rPr>
          <w:sz w:val="24"/>
          <w:szCs w:val="24"/>
          <w:lang w:val="en-GB"/>
        </w:rPr>
        <w:t>. I propose the introduction of a</w:t>
      </w:r>
      <w:r w:rsidR="00D15171">
        <w:rPr>
          <w:sz w:val="24"/>
          <w:szCs w:val="24"/>
          <w:lang w:val="en-GB"/>
        </w:rPr>
        <w:t>n</w:t>
      </w:r>
      <w:r w:rsidR="002C59F1">
        <w:rPr>
          <w:sz w:val="24"/>
          <w:szCs w:val="24"/>
          <w:lang w:val="en-GB"/>
        </w:rPr>
        <w:t xml:space="preserve"> ISO </w:t>
      </w:r>
      <w:r w:rsidR="00D15171" w:rsidRPr="00D15171">
        <w:rPr>
          <w:sz w:val="24"/>
          <w:szCs w:val="24"/>
          <w:lang w:val="en-GB"/>
        </w:rPr>
        <w:t xml:space="preserve">function </w:t>
      </w:r>
      <w:r w:rsidR="002C59F1">
        <w:rPr>
          <w:sz w:val="24"/>
          <w:szCs w:val="24"/>
          <w:lang w:val="en-GB"/>
        </w:rPr>
        <w:t xml:space="preserve">that generalizes </w:t>
      </w:r>
      <w:r>
        <w:rPr>
          <w:sz w:val="24"/>
          <w:szCs w:val="24"/>
          <w:lang w:val="en-GB"/>
        </w:rPr>
        <w:t xml:space="preserve">(1) </w:t>
      </w:r>
      <w:r w:rsidR="002C59F1">
        <w:rPr>
          <w:sz w:val="24"/>
          <w:szCs w:val="24"/>
          <w:lang w:val="en-GB"/>
        </w:rPr>
        <w:t>in</w:t>
      </w:r>
      <w:r w:rsidR="003D7998">
        <w:rPr>
          <w:sz w:val="24"/>
          <w:szCs w:val="24"/>
          <w:lang w:val="en-GB"/>
        </w:rPr>
        <w:t>to</w:t>
      </w:r>
      <w:r>
        <w:rPr>
          <w:sz w:val="24"/>
          <w:szCs w:val="24"/>
          <w:lang w:val="en-GB"/>
        </w:rPr>
        <w:t xml:space="preserve"> </w:t>
      </w:r>
      <w:r w:rsidR="003D7998">
        <w:rPr>
          <w:sz w:val="24"/>
          <w:szCs w:val="24"/>
          <w:lang w:val="en-GB"/>
        </w:rPr>
        <w:t xml:space="preserve">equation </w:t>
      </w:r>
      <w:r>
        <w:rPr>
          <w:sz w:val="24"/>
          <w:szCs w:val="24"/>
          <w:lang w:val="en-GB"/>
        </w:rPr>
        <w:t>(</w:t>
      </w:r>
      <w:r w:rsidR="00CF3531">
        <w:rPr>
          <w:sz w:val="24"/>
          <w:szCs w:val="24"/>
          <w:lang w:val="en-GB"/>
        </w:rPr>
        <w:t>3</w:t>
      </w:r>
      <w:r>
        <w:rPr>
          <w:sz w:val="24"/>
          <w:szCs w:val="24"/>
          <w:lang w:val="en-GB"/>
        </w:rPr>
        <w:t>)</w:t>
      </w:r>
      <w:r w:rsidR="002C59F1">
        <w:rPr>
          <w:sz w:val="24"/>
          <w:szCs w:val="24"/>
          <w:lang w:val="en-GB"/>
        </w:rPr>
        <w:t xml:space="preserve"> and</w:t>
      </w:r>
      <w:r w:rsidR="00A24323">
        <w:rPr>
          <w:sz w:val="24"/>
          <w:szCs w:val="24"/>
          <w:lang w:val="en-GB"/>
        </w:rPr>
        <w:t>,</w:t>
      </w:r>
      <w:r w:rsidR="002C59F1">
        <w:rPr>
          <w:sz w:val="24"/>
          <w:szCs w:val="24"/>
          <w:lang w:val="en-GB"/>
        </w:rPr>
        <w:t xml:space="preserve"> there</w:t>
      </w:r>
      <w:r w:rsidR="003D7998">
        <w:rPr>
          <w:sz w:val="24"/>
          <w:szCs w:val="24"/>
          <w:lang w:val="en-GB"/>
        </w:rPr>
        <w:t>by picks up the divergence</w:t>
      </w:r>
      <w:r w:rsidR="002C59F1">
        <w:rPr>
          <w:sz w:val="24"/>
          <w:szCs w:val="24"/>
          <w:lang w:val="en-GB"/>
        </w:rPr>
        <w:t xml:space="preserve"> of the empirical curve from the CF hypothesis</w:t>
      </w:r>
      <w:r w:rsidR="00D65789">
        <w:rPr>
          <w:sz w:val="24"/>
          <w:szCs w:val="24"/>
          <w:lang w:val="en-GB"/>
        </w:rPr>
        <w:t xml:space="preserve">: </w:t>
      </w:r>
    </w:p>
    <w:p w:rsidR="00D65789" w:rsidRPr="00DB5CED" w:rsidRDefault="005B04D3" w:rsidP="00D65789">
      <w:pPr>
        <w:spacing w:after="120" w:line="480" w:lineRule="auto"/>
        <w:jc w:val="center"/>
        <w:rPr>
          <w:sz w:val="24"/>
          <w:szCs w:val="24"/>
          <w:lang w:val="en-US"/>
        </w:rPr>
      </w:pPr>
      <m:oMath>
        <m:sSub>
          <m:sSubPr>
            <m:ctrlPr>
              <w:rPr>
                <w:rFonts w:ascii="Cambria Math" w:hAnsi="Cambria Math"/>
                <w:i/>
                <w:sz w:val="24"/>
                <w:szCs w:val="24"/>
                <w:lang w:val="en-US"/>
              </w:rPr>
            </m:ctrlPr>
          </m:sSubPr>
          <m:e>
            <m:r>
              <w:rPr>
                <w:rFonts w:ascii="Cambria Math" w:hAnsi="Cambria Math"/>
                <w:sz w:val="24"/>
                <w:szCs w:val="24"/>
              </w:rPr>
              <m:t>M</m:t>
            </m:r>
          </m:e>
          <m:sub>
            <m:r>
              <w:rPr>
                <w:rFonts w:ascii="Cambria Math" w:hAnsi="Cambria Math"/>
                <w:sz w:val="24"/>
                <w:szCs w:val="24"/>
                <w:lang w:val="en-US"/>
              </w:rPr>
              <m:t>i</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m:rPr>
                <m:sty m:val="p"/>
              </m:rPr>
              <w:rPr>
                <w:rFonts w:ascii="Cambria Math" w:hAnsi="Cambria Math"/>
                <w:sz w:val="24"/>
                <w:szCs w:val="24"/>
                <w:lang w:val="en-US"/>
              </w:rPr>
              <m:t>ISO</m:t>
            </m:r>
            <m:d>
              <m:dPr>
                <m:ctrlPr>
                  <w:rPr>
                    <w:rFonts w:ascii="Cambria Math" w:hAnsi="Cambria Math"/>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m:t>
                    </m:r>
                  </m:sub>
                </m:sSub>
              </m:e>
            </m:d>
            <m:r>
              <m:rPr>
                <m:sty m:val="p"/>
              </m:rPr>
              <w:rPr>
                <w:rFonts w:ascii="Cambria Math" w:hAnsi="Cambria Math"/>
                <w:sz w:val="24"/>
                <w:szCs w:val="24"/>
                <w:lang w:val="en-US"/>
              </w:rPr>
              <m:t xml:space="preserve"> </m:t>
            </m:r>
            <m:r>
              <w:rPr>
                <w:rFonts w:ascii="Cambria Math" w:hAnsi="Cambria Math"/>
                <w:sz w:val="24"/>
                <w:szCs w:val="24"/>
              </w:rPr>
              <m:t>X</m:t>
            </m:r>
          </m:e>
          <m:sub>
            <m:r>
              <w:rPr>
                <w:rFonts w:ascii="Cambria Math" w:hAnsi="Cambria Math"/>
                <w:sz w:val="24"/>
                <w:szCs w:val="24"/>
                <w:lang w:val="en-US"/>
              </w:rPr>
              <m:t>i</m:t>
            </m:r>
          </m:sub>
        </m:sSub>
      </m:oMath>
      <w:r w:rsidR="00C86F12" w:rsidRPr="00C86F12">
        <w:rPr>
          <w:sz w:val="24"/>
          <w:szCs w:val="24"/>
          <w:lang w:val="en-US"/>
        </w:rPr>
        <w:t>, where M</w:t>
      </w:r>
      <w:r w:rsidR="00C86F12" w:rsidRPr="00C86F12">
        <w:rPr>
          <w:sz w:val="24"/>
          <w:szCs w:val="24"/>
          <w:vertAlign w:val="subscript"/>
          <w:lang w:val="en-US"/>
        </w:rPr>
        <w:t>i</w:t>
      </w:r>
      <w:r w:rsidR="00C86F12" w:rsidRPr="00C86F12">
        <w:rPr>
          <w:sz w:val="24"/>
          <w:szCs w:val="24"/>
          <w:lang w:val="en-US"/>
        </w:rPr>
        <w:t>= ln(y</w:t>
      </w:r>
      <w:r w:rsidR="00C86F12" w:rsidRPr="00C86F12">
        <w:rPr>
          <w:sz w:val="24"/>
          <w:szCs w:val="24"/>
          <w:vertAlign w:val="subscript"/>
          <w:lang w:val="en-US"/>
        </w:rPr>
        <w:t>i</w:t>
      </w:r>
      <w:r w:rsidR="00C86F12" w:rsidRPr="00DB5CED">
        <w:rPr>
          <w:sz w:val="24"/>
          <w:szCs w:val="24"/>
          <w:lang w:val="en-US"/>
        </w:rPr>
        <w:t>/median)</w:t>
      </w:r>
      <w:r w:rsidR="00734698" w:rsidRPr="00DB5CED">
        <w:rPr>
          <w:sz w:val="24"/>
          <w:szCs w:val="24"/>
          <w:lang w:val="en-US"/>
        </w:rPr>
        <w:tab/>
      </w:r>
      <w:r w:rsidR="003D7998">
        <w:rPr>
          <w:sz w:val="24"/>
          <w:szCs w:val="24"/>
          <w:lang w:val="en-US"/>
        </w:rPr>
        <w:tab/>
      </w:r>
      <w:r w:rsidR="003D7998" w:rsidRPr="003D7998">
        <w:rPr>
          <w:sz w:val="24"/>
          <w:szCs w:val="24"/>
          <w:lang w:val="en-US"/>
        </w:rPr>
        <w:t xml:space="preserve">(3)  </w:t>
      </w:r>
    </w:p>
    <w:p w:rsidR="00D65789" w:rsidRDefault="00460CF1" w:rsidP="00D65789">
      <w:pPr>
        <w:spacing w:after="120" w:line="480" w:lineRule="auto"/>
        <w:rPr>
          <w:sz w:val="24"/>
          <w:szCs w:val="24"/>
          <w:lang w:val="en-US"/>
        </w:rPr>
      </w:pPr>
      <w:r>
        <w:rPr>
          <w:sz w:val="24"/>
          <w:szCs w:val="24"/>
          <w:lang w:val="en-GB"/>
        </w:rPr>
        <w:lastRenderedPageBreak/>
        <w:t xml:space="preserve">Simply, ISO represents the ratio M/X. </w:t>
      </w:r>
      <w:r w:rsidR="004E3D22">
        <w:rPr>
          <w:sz w:val="24"/>
          <w:szCs w:val="24"/>
          <w:lang w:val="en-GB"/>
        </w:rPr>
        <w:t>If</w:t>
      </w:r>
      <w:r w:rsidR="00D65789">
        <w:rPr>
          <w:sz w:val="24"/>
          <w:szCs w:val="24"/>
          <w:lang w:val="en-GB"/>
        </w:rPr>
        <w:t xml:space="preserve"> ISO(X</w:t>
      </w:r>
      <w:r w:rsidR="00D65789">
        <w:rPr>
          <w:sz w:val="24"/>
          <w:szCs w:val="24"/>
          <w:vertAlign w:val="subscript"/>
          <w:lang w:val="en-GB"/>
        </w:rPr>
        <w:t>i</w:t>
      </w:r>
      <w:r w:rsidR="00D65789">
        <w:rPr>
          <w:sz w:val="24"/>
          <w:szCs w:val="24"/>
          <w:lang w:val="en-GB"/>
        </w:rPr>
        <w:t>) is a constant (</w:t>
      </w:r>
      <w:r w:rsidR="00472786" w:rsidRPr="00472786">
        <w:rPr>
          <w:rFonts w:ascii="Symbol" w:hAnsi="Symbol"/>
          <w:sz w:val="24"/>
          <w:szCs w:val="24"/>
          <w:lang w:val="en-GB"/>
        </w:rPr>
        <w:t></w:t>
      </w:r>
      <w:r w:rsidR="00D65789">
        <w:rPr>
          <w:sz w:val="24"/>
          <w:szCs w:val="24"/>
          <w:lang w:val="en-GB"/>
        </w:rPr>
        <w:t>)</w:t>
      </w:r>
      <w:r w:rsidR="004E3D22">
        <w:rPr>
          <w:sz w:val="24"/>
          <w:szCs w:val="24"/>
          <w:lang w:val="en-GB"/>
        </w:rPr>
        <w:t>, (</w:t>
      </w:r>
      <w:r w:rsidR="00AE6D38">
        <w:rPr>
          <w:sz w:val="24"/>
          <w:szCs w:val="24"/>
          <w:lang w:val="en-GB"/>
        </w:rPr>
        <w:t>3</w:t>
      </w:r>
      <w:r w:rsidR="004E3D22">
        <w:rPr>
          <w:sz w:val="24"/>
          <w:szCs w:val="24"/>
          <w:lang w:val="en-GB"/>
        </w:rPr>
        <w:t xml:space="preserve">) </w:t>
      </w:r>
      <w:r w:rsidR="002C59F1">
        <w:rPr>
          <w:sz w:val="24"/>
          <w:szCs w:val="24"/>
          <w:lang w:val="en-GB"/>
        </w:rPr>
        <w:t>simplifie</w:t>
      </w:r>
      <w:r w:rsidR="003D7998">
        <w:rPr>
          <w:sz w:val="24"/>
          <w:szCs w:val="24"/>
          <w:lang w:val="en-GB"/>
        </w:rPr>
        <w:t>s</w:t>
      </w:r>
      <w:r w:rsidR="002C59F1">
        <w:rPr>
          <w:sz w:val="24"/>
          <w:szCs w:val="24"/>
          <w:lang w:val="en-GB"/>
        </w:rPr>
        <w:t xml:space="preserve"> </w:t>
      </w:r>
      <w:r w:rsidR="004E3D22">
        <w:rPr>
          <w:sz w:val="24"/>
          <w:szCs w:val="24"/>
          <w:lang w:val="en-GB"/>
        </w:rPr>
        <w:t>to (</w:t>
      </w:r>
      <w:r w:rsidR="00AE6D38">
        <w:rPr>
          <w:sz w:val="24"/>
          <w:szCs w:val="24"/>
          <w:lang w:val="en-GB"/>
        </w:rPr>
        <w:t>1</w:t>
      </w:r>
      <w:r w:rsidR="004E3D22">
        <w:rPr>
          <w:sz w:val="24"/>
          <w:szCs w:val="24"/>
          <w:lang w:val="en-GB"/>
        </w:rPr>
        <w:t xml:space="preserve">) and </w:t>
      </w:r>
      <w:r w:rsidR="00D65789">
        <w:rPr>
          <w:sz w:val="24"/>
          <w:szCs w:val="24"/>
          <w:lang w:val="en-GB"/>
        </w:rPr>
        <w:t xml:space="preserve">the distribution is a </w:t>
      </w:r>
      <w:r w:rsidR="00C37C17">
        <w:rPr>
          <w:sz w:val="24"/>
          <w:szCs w:val="24"/>
          <w:lang w:val="en-GB"/>
        </w:rPr>
        <w:t>CF</w:t>
      </w:r>
      <w:r w:rsidR="00C37C17" w:rsidRPr="00C37C17">
        <w:rPr>
          <w:rFonts w:ascii="Symbol" w:hAnsi="Symbol"/>
          <w:sz w:val="24"/>
          <w:szCs w:val="24"/>
          <w:vertAlign w:val="subscript"/>
          <w:lang w:val="en-GB"/>
        </w:rPr>
        <w:t></w:t>
      </w:r>
      <w:r w:rsidR="00C37C17">
        <w:rPr>
          <w:sz w:val="24"/>
          <w:szCs w:val="24"/>
          <w:lang w:val="en-GB"/>
        </w:rPr>
        <w:t xml:space="preserve"> </w:t>
      </w:r>
      <w:r w:rsidR="008D6A4A">
        <w:rPr>
          <w:sz w:val="24"/>
          <w:szCs w:val="24"/>
          <w:lang w:val="en-US"/>
        </w:rPr>
        <w:t xml:space="preserve">that </w:t>
      </w:r>
      <w:r w:rsidR="00D65789">
        <w:rPr>
          <w:sz w:val="24"/>
          <w:szCs w:val="24"/>
          <w:lang w:val="en-US"/>
        </w:rPr>
        <w:t>equal</w:t>
      </w:r>
      <w:r w:rsidR="008D6A4A">
        <w:rPr>
          <w:sz w:val="24"/>
          <w:szCs w:val="24"/>
          <w:lang w:val="en-US"/>
        </w:rPr>
        <w:t>s</w:t>
      </w:r>
      <w:r w:rsidR="00D65789">
        <w:rPr>
          <w:sz w:val="24"/>
          <w:szCs w:val="24"/>
          <w:lang w:val="en-US"/>
        </w:rPr>
        <w:t xml:space="preserve"> the Gini index; the higher the value </w:t>
      </w:r>
      <w:r w:rsidR="003D7998">
        <w:rPr>
          <w:sz w:val="24"/>
          <w:szCs w:val="24"/>
          <w:lang w:val="en-US"/>
        </w:rPr>
        <w:t xml:space="preserve">of </w:t>
      </w:r>
      <w:r w:rsidR="00472786" w:rsidRPr="00472786">
        <w:rPr>
          <w:rFonts w:ascii="Symbol" w:hAnsi="Symbol"/>
          <w:sz w:val="24"/>
          <w:szCs w:val="24"/>
          <w:lang w:val="en-US"/>
        </w:rPr>
        <w:t></w:t>
      </w:r>
      <w:r w:rsidR="00D65789">
        <w:rPr>
          <w:sz w:val="24"/>
          <w:szCs w:val="24"/>
          <w:lang w:val="en-US"/>
        </w:rPr>
        <w:t xml:space="preserve">, the </w:t>
      </w:r>
      <w:r w:rsidR="003D7998">
        <w:rPr>
          <w:sz w:val="24"/>
          <w:szCs w:val="24"/>
          <w:lang w:val="en-US"/>
        </w:rPr>
        <w:t xml:space="preserve">greater is </w:t>
      </w:r>
      <w:r w:rsidR="00D65789">
        <w:rPr>
          <w:sz w:val="24"/>
          <w:szCs w:val="24"/>
          <w:lang w:val="en-US"/>
        </w:rPr>
        <w:t xml:space="preserve">inequality. </w:t>
      </w:r>
    </w:p>
    <w:p w:rsidR="008D6A4A" w:rsidRDefault="00835BD0" w:rsidP="00835BD0">
      <w:pPr>
        <w:spacing w:after="120" w:line="480" w:lineRule="auto"/>
        <w:rPr>
          <w:sz w:val="24"/>
          <w:szCs w:val="24"/>
          <w:lang w:val="en-US"/>
        </w:rPr>
      </w:pPr>
      <w:r>
        <w:rPr>
          <w:sz w:val="24"/>
          <w:szCs w:val="24"/>
          <w:lang w:val="en-GB"/>
        </w:rPr>
        <w:t>In general, t</w:t>
      </w:r>
      <w:r w:rsidR="00B33F73">
        <w:rPr>
          <w:sz w:val="24"/>
          <w:szCs w:val="24"/>
          <w:lang w:val="en-GB"/>
        </w:rPr>
        <w:t>h</w:t>
      </w:r>
      <w:r w:rsidR="006D5B61">
        <w:rPr>
          <w:sz w:val="24"/>
          <w:szCs w:val="24"/>
          <w:lang w:val="en-GB"/>
        </w:rPr>
        <w:t>e CF</w:t>
      </w:r>
      <w:r w:rsidR="00A24323">
        <w:rPr>
          <w:sz w:val="24"/>
          <w:szCs w:val="24"/>
          <w:lang w:val="en-GB"/>
        </w:rPr>
        <w:t xml:space="preserve"> </w:t>
      </w:r>
      <w:r w:rsidR="00F54B4B">
        <w:rPr>
          <w:sz w:val="24"/>
          <w:szCs w:val="24"/>
          <w:lang w:val="en-GB"/>
        </w:rPr>
        <w:t>distribution hypothesis</w:t>
      </w:r>
      <w:r w:rsidR="006D5B61">
        <w:rPr>
          <w:sz w:val="24"/>
          <w:szCs w:val="24"/>
          <w:lang w:val="en-GB"/>
        </w:rPr>
        <w:t xml:space="preserve"> </w:t>
      </w:r>
      <w:r w:rsidR="003D7998">
        <w:rPr>
          <w:sz w:val="24"/>
          <w:szCs w:val="24"/>
          <w:lang w:val="en-GB"/>
        </w:rPr>
        <w:t>does somewhat diverge</w:t>
      </w:r>
      <w:r>
        <w:rPr>
          <w:sz w:val="24"/>
          <w:szCs w:val="24"/>
          <w:lang w:val="en-GB"/>
        </w:rPr>
        <w:t xml:space="preserve"> from reality. Therefore, </w:t>
      </w:r>
      <w:r>
        <w:rPr>
          <w:sz w:val="24"/>
          <w:szCs w:val="24"/>
          <w:lang w:val="en-US"/>
        </w:rPr>
        <w:t>the isograph represent</w:t>
      </w:r>
      <w:r w:rsidR="003D7998">
        <w:rPr>
          <w:sz w:val="24"/>
          <w:szCs w:val="24"/>
          <w:lang w:val="en-US"/>
        </w:rPr>
        <w:t>ing</w:t>
      </w:r>
      <w:r>
        <w:rPr>
          <w:sz w:val="24"/>
          <w:szCs w:val="24"/>
          <w:lang w:val="en-US"/>
        </w:rPr>
        <w:t xml:space="preserve"> ISO</w:t>
      </w:r>
      <w:r>
        <w:rPr>
          <w:sz w:val="24"/>
          <w:szCs w:val="24"/>
          <w:lang w:val="en-GB"/>
        </w:rPr>
        <w:t>(X</w:t>
      </w:r>
      <w:r>
        <w:rPr>
          <w:sz w:val="24"/>
          <w:szCs w:val="24"/>
          <w:vertAlign w:val="subscript"/>
          <w:lang w:val="en-GB"/>
        </w:rPr>
        <w:t>i</w:t>
      </w:r>
      <w:r>
        <w:rPr>
          <w:sz w:val="24"/>
          <w:szCs w:val="24"/>
          <w:lang w:val="en-GB"/>
        </w:rPr>
        <w:t xml:space="preserve">) </w:t>
      </w:r>
      <w:r>
        <w:rPr>
          <w:sz w:val="24"/>
          <w:szCs w:val="24"/>
          <w:lang w:val="en-US"/>
        </w:rPr>
        <w:t xml:space="preserve">is not a constant and expresses the intensity and the shape of </w:t>
      </w:r>
      <w:r w:rsidR="008D6A4A">
        <w:rPr>
          <w:sz w:val="24"/>
          <w:szCs w:val="24"/>
          <w:lang w:val="en-US"/>
        </w:rPr>
        <w:t xml:space="preserve">local </w:t>
      </w:r>
      <w:r>
        <w:rPr>
          <w:sz w:val="24"/>
          <w:szCs w:val="24"/>
          <w:lang w:val="en-US"/>
        </w:rPr>
        <w:t>inequalit</w:t>
      </w:r>
      <w:r w:rsidR="008D6A4A">
        <w:rPr>
          <w:sz w:val="24"/>
          <w:szCs w:val="24"/>
          <w:lang w:val="en-US"/>
        </w:rPr>
        <w:t>y</w:t>
      </w:r>
      <w:r>
        <w:rPr>
          <w:sz w:val="24"/>
          <w:szCs w:val="24"/>
          <w:lang w:val="en-US"/>
        </w:rPr>
        <w:t xml:space="preserve">. </w:t>
      </w:r>
      <w:r w:rsidR="008D6A4A">
        <w:rPr>
          <w:sz w:val="24"/>
          <w:szCs w:val="24"/>
          <w:lang w:val="en-US"/>
        </w:rPr>
        <w:t xml:space="preserve">The higher </w:t>
      </w:r>
      <w:r w:rsidR="003D7998">
        <w:rPr>
          <w:sz w:val="24"/>
          <w:szCs w:val="24"/>
          <w:lang w:val="en-US"/>
        </w:rPr>
        <w:t xml:space="preserve">is </w:t>
      </w:r>
      <w:r w:rsidR="008D6A4A">
        <w:rPr>
          <w:sz w:val="24"/>
          <w:szCs w:val="24"/>
          <w:lang w:val="en-US"/>
        </w:rPr>
        <w:t>ISO</w:t>
      </w:r>
      <w:r w:rsidR="008D6A4A">
        <w:rPr>
          <w:sz w:val="24"/>
          <w:szCs w:val="24"/>
          <w:lang w:val="en-GB"/>
        </w:rPr>
        <w:t>(X</w:t>
      </w:r>
      <w:r w:rsidR="008D6A4A">
        <w:rPr>
          <w:sz w:val="24"/>
          <w:szCs w:val="24"/>
          <w:vertAlign w:val="subscript"/>
          <w:lang w:val="en-GB"/>
        </w:rPr>
        <w:t>i</w:t>
      </w:r>
      <w:r w:rsidR="008D6A4A">
        <w:rPr>
          <w:sz w:val="24"/>
          <w:szCs w:val="24"/>
          <w:lang w:val="en-GB"/>
        </w:rPr>
        <w:t xml:space="preserve">), the </w:t>
      </w:r>
      <w:r w:rsidR="003D7998">
        <w:rPr>
          <w:sz w:val="24"/>
          <w:szCs w:val="24"/>
          <w:lang w:val="en-GB"/>
        </w:rPr>
        <w:t xml:space="preserve">greater </w:t>
      </w:r>
      <w:r w:rsidR="008D6A4A">
        <w:rPr>
          <w:sz w:val="24"/>
          <w:szCs w:val="24"/>
          <w:lang w:val="en-GB"/>
        </w:rPr>
        <w:t xml:space="preserve">the stretching </w:t>
      </w:r>
      <w:r w:rsidR="003D7998">
        <w:rPr>
          <w:sz w:val="24"/>
          <w:szCs w:val="24"/>
          <w:lang w:val="en-GB"/>
        </w:rPr>
        <w:t xml:space="preserve">out </w:t>
      </w:r>
      <w:r w:rsidR="008D6A4A">
        <w:rPr>
          <w:sz w:val="24"/>
          <w:szCs w:val="24"/>
          <w:lang w:val="en-GB"/>
        </w:rPr>
        <w:t xml:space="preserve">of incomes at </w:t>
      </w:r>
      <w:r w:rsidR="003D7998">
        <w:rPr>
          <w:sz w:val="24"/>
          <w:szCs w:val="24"/>
          <w:lang w:val="en-GB"/>
        </w:rPr>
        <w:t xml:space="preserve">the </w:t>
      </w:r>
      <w:r w:rsidR="008D6A4A">
        <w:rPr>
          <w:sz w:val="24"/>
          <w:szCs w:val="24"/>
          <w:lang w:val="en-GB"/>
        </w:rPr>
        <w:t>logit</w:t>
      </w:r>
      <w:r w:rsidR="00DB5CED">
        <w:rPr>
          <w:sz w:val="24"/>
          <w:szCs w:val="24"/>
          <w:lang w:val="en-GB"/>
        </w:rPr>
        <w:t xml:space="preserve"> </w:t>
      </w:r>
      <w:r w:rsidR="008D6A4A">
        <w:rPr>
          <w:sz w:val="24"/>
          <w:szCs w:val="24"/>
          <w:lang w:val="en-GB"/>
        </w:rPr>
        <w:t>rank level X</w:t>
      </w:r>
      <w:r w:rsidR="008D6A4A">
        <w:rPr>
          <w:sz w:val="24"/>
          <w:szCs w:val="24"/>
          <w:vertAlign w:val="subscript"/>
          <w:lang w:val="en-GB"/>
        </w:rPr>
        <w:t>i</w:t>
      </w:r>
      <w:r w:rsidR="008D6A4A">
        <w:rPr>
          <w:sz w:val="24"/>
          <w:szCs w:val="24"/>
          <w:lang w:val="en-GB"/>
        </w:rPr>
        <w:t xml:space="preserve">. </w:t>
      </w:r>
      <w:r w:rsidR="00C86F12">
        <w:rPr>
          <w:sz w:val="24"/>
          <w:szCs w:val="24"/>
          <w:lang w:val="en-GB"/>
        </w:rPr>
        <w:t xml:space="preserve">The </w:t>
      </w:r>
      <w:r w:rsidR="003D7998">
        <w:rPr>
          <w:sz w:val="24"/>
          <w:szCs w:val="24"/>
          <w:lang w:val="en-GB"/>
        </w:rPr>
        <w:t xml:space="preserve">change in </w:t>
      </w:r>
      <w:r w:rsidR="00C86F12">
        <w:rPr>
          <w:sz w:val="24"/>
          <w:szCs w:val="24"/>
          <w:lang w:val="en-US"/>
        </w:rPr>
        <w:t>ISO</w:t>
      </w:r>
      <w:r w:rsidR="00C86F12">
        <w:rPr>
          <w:sz w:val="24"/>
          <w:szCs w:val="24"/>
          <w:lang w:val="en-GB"/>
        </w:rPr>
        <w:t>(X</w:t>
      </w:r>
      <w:r w:rsidR="00C86F12">
        <w:rPr>
          <w:sz w:val="24"/>
          <w:szCs w:val="24"/>
          <w:vertAlign w:val="subscript"/>
          <w:lang w:val="en-GB"/>
        </w:rPr>
        <w:t>i</w:t>
      </w:r>
      <w:r w:rsidR="00C86F12">
        <w:rPr>
          <w:sz w:val="24"/>
          <w:szCs w:val="24"/>
          <w:lang w:val="en-GB"/>
        </w:rPr>
        <w:t xml:space="preserve">) along the distribution </w:t>
      </w:r>
      <w:r w:rsidR="00DB5CED">
        <w:rPr>
          <w:sz w:val="24"/>
          <w:szCs w:val="24"/>
          <w:lang w:val="en-GB"/>
        </w:rPr>
        <w:t>measure</w:t>
      </w:r>
      <w:r w:rsidR="003D7998">
        <w:rPr>
          <w:sz w:val="24"/>
          <w:szCs w:val="24"/>
          <w:lang w:val="en-GB"/>
        </w:rPr>
        <w:t>s</w:t>
      </w:r>
      <w:r w:rsidR="00DB5CED">
        <w:rPr>
          <w:sz w:val="24"/>
          <w:szCs w:val="24"/>
          <w:lang w:val="en-GB"/>
        </w:rPr>
        <w:t xml:space="preserve"> “local inequality”</w:t>
      </w:r>
      <w:r w:rsidR="003D7998">
        <w:rPr>
          <w:sz w:val="24"/>
          <w:szCs w:val="24"/>
          <w:lang w:val="en-GB"/>
        </w:rPr>
        <w:t>, which can be</w:t>
      </w:r>
      <w:r w:rsidR="00DB5CED">
        <w:rPr>
          <w:sz w:val="24"/>
          <w:szCs w:val="24"/>
          <w:lang w:val="en-GB"/>
        </w:rPr>
        <w:t xml:space="preserve"> thought </w:t>
      </w:r>
      <w:r w:rsidR="003D7998">
        <w:rPr>
          <w:sz w:val="24"/>
          <w:szCs w:val="24"/>
          <w:lang w:val="en-GB"/>
        </w:rPr>
        <w:t xml:space="preserve">of </w:t>
      </w:r>
      <w:r w:rsidR="00DB5CED">
        <w:rPr>
          <w:sz w:val="24"/>
          <w:szCs w:val="24"/>
          <w:lang w:val="en-GB"/>
        </w:rPr>
        <w:t xml:space="preserve">as the local stretching of the distribution.  </w:t>
      </w:r>
    </w:p>
    <w:p w:rsidR="00CE30E4" w:rsidRDefault="00CE30E4" w:rsidP="00CE30E4">
      <w:pPr>
        <w:spacing w:after="120" w:line="480" w:lineRule="auto"/>
        <w:rPr>
          <w:b/>
          <w:sz w:val="24"/>
          <w:szCs w:val="24"/>
          <w:lang w:val="en-US"/>
        </w:rPr>
      </w:pPr>
      <w:r>
        <w:rPr>
          <w:b/>
          <w:sz w:val="24"/>
          <w:szCs w:val="24"/>
          <w:lang w:val="en-US"/>
        </w:rPr>
        <w:t>PLACE FIGURE 1 HERE</w:t>
      </w:r>
    </w:p>
    <w:p w:rsidR="00EE3386" w:rsidRPr="000C09E3" w:rsidRDefault="00835BD0" w:rsidP="00835BD0">
      <w:pPr>
        <w:spacing w:after="120" w:line="480" w:lineRule="auto"/>
        <w:rPr>
          <w:sz w:val="24"/>
          <w:szCs w:val="24"/>
          <w:lang w:val="en-US"/>
        </w:rPr>
      </w:pPr>
      <w:r>
        <w:rPr>
          <w:sz w:val="24"/>
          <w:szCs w:val="24"/>
          <w:lang w:val="en-GB"/>
        </w:rPr>
        <w:t>T</w:t>
      </w:r>
      <w:r w:rsidR="006D5B61">
        <w:rPr>
          <w:sz w:val="24"/>
          <w:szCs w:val="24"/>
          <w:lang w:val="en-GB"/>
        </w:rPr>
        <w:t>he</w:t>
      </w:r>
      <w:r w:rsidR="00B33F73">
        <w:rPr>
          <w:sz w:val="24"/>
          <w:szCs w:val="24"/>
          <w:lang w:val="en-GB"/>
        </w:rPr>
        <w:t xml:space="preserve"> </w:t>
      </w:r>
      <w:r>
        <w:rPr>
          <w:sz w:val="24"/>
          <w:szCs w:val="24"/>
          <w:lang w:val="en-GB"/>
        </w:rPr>
        <w:t>empirical isographs</w:t>
      </w:r>
      <w:r w:rsidR="00B33F73">
        <w:rPr>
          <w:sz w:val="24"/>
          <w:szCs w:val="24"/>
          <w:lang w:val="en-GB"/>
        </w:rPr>
        <w:t xml:space="preserve"> </w:t>
      </w:r>
      <w:r w:rsidR="003D7998">
        <w:rPr>
          <w:sz w:val="24"/>
          <w:szCs w:val="24"/>
          <w:lang w:val="en-GB"/>
        </w:rPr>
        <w:t xml:space="preserve">are </w:t>
      </w:r>
      <w:r>
        <w:rPr>
          <w:sz w:val="24"/>
          <w:szCs w:val="24"/>
          <w:lang w:val="en-GB"/>
        </w:rPr>
        <w:t xml:space="preserve">horizontal lines that are often </w:t>
      </w:r>
      <w:r w:rsidR="00B33F73">
        <w:rPr>
          <w:sz w:val="24"/>
          <w:szCs w:val="24"/>
          <w:lang w:val="en-GB"/>
        </w:rPr>
        <w:t>ben</w:t>
      </w:r>
      <w:r w:rsidR="00653E15">
        <w:rPr>
          <w:sz w:val="24"/>
          <w:szCs w:val="24"/>
          <w:lang w:val="en-GB"/>
        </w:rPr>
        <w:t>t</w:t>
      </w:r>
      <w:r w:rsidR="00B33F73">
        <w:rPr>
          <w:sz w:val="24"/>
          <w:szCs w:val="24"/>
          <w:lang w:val="en-GB"/>
        </w:rPr>
        <w:t xml:space="preserve"> </w:t>
      </w:r>
      <w:r w:rsidR="00771DB2">
        <w:rPr>
          <w:sz w:val="24"/>
          <w:szCs w:val="24"/>
          <w:lang w:val="en-GB"/>
        </w:rPr>
        <w:t xml:space="preserve">at the two extremes </w:t>
      </w:r>
      <w:r w:rsidR="00B33F73">
        <w:rPr>
          <w:sz w:val="24"/>
          <w:szCs w:val="24"/>
          <w:lang w:val="en-GB"/>
        </w:rPr>
        <w:t>in different ways</w:t>
      </w:r>
      <w:r w:rsidR="0003043A">
        <w:rPr>
          <w:sz w:val="24"/>
          <w:szCs w:val="24"/>
          <w:lang w:val="en-GB"/>
        </w:rPr>
        <w:t xml:space="preserve">. These are </w:t>
      </w:r>
      <w:r w:rsidR="003D7998" w:rsidRPr="003D7998">
        <w:rPr>
          <w:sz w:val="24"/>
          <w:szCs w:val="24"/>
          <w:lang w:val="en-GB"/>
        </w:rPr>
        <w:t xml:space="preserve">obtained </w:t>
      </w:r>
      <w:r w:rsidR="00C11DBE">
        <w:rPr>
          <w:sz w:val="24"/>
          <w:szCs w:val="24"/>
          <w:lang w:val="en-GB"/>
        </w:rPr>
        <w:t xml:space="preserve">empirically </w:t>
      </w:r>
      <w:r w:rsidR="003D7998">
        <w:rPr>
          <w:sz w:val="24"/>
          <w:szCs w:val="24"/>
          <w:lang w:val="en-GB"/>
        </w:rPr>
        <w:t xml:space="preserve">by </w:t>
      </w:r>
      <w:r w:rsidR="00C11DBE">
        <w:rPr>
          <w:sz w:val="24"/>
          <w:szCs w:val="24"/>
          <w:lang w:val="en-GB"/>
        </w:rPr>
        <w:t>gra</w:t>
      </w:r>
      <w:r w:rsidR="00C11DBE" w:rsidRPr="00CE30E4">
        <w:rPr>
          <w:sz w:val="24"/>
          <w:szCs w:val="24"/>
          <w:lang w:val="en-GB"/>
        </w:rPr>
        <w:t xml:space="preserve">phing </w:t>
      </w:r>
      <w:r w:rsidR="003D7998">
        <w:rPr>
          <w:sz w:val="24"/>
          <w:szCs w:val="24"/>
          <w:lang w:val="en-GB"/>
        </w:rPr>
        <w:t xml:space="preserve">the </w:t>
      </w:r>
      <w:r w:rsidR="00C11DBE" w:rsidRPr="00CE30E4">
        <w:rPr>
          <w:sz w:val="24"/>
          <w:szCs w:val="24"/>
          <w:lang w:val="en-GB"/>
        </w:rPr>
        <w:t xml:space="preserve">ISO for each </w:t>
      </w:r>
      <w:r w:rsidR="00C11DBE" w:rsidRPr="00CE30E4">
        <w:rPr>
          <w:sz w:val="24"/>
          <w:szCs w:val="24"/>
          <w:lang w:val="en-US"/>
        </w:rPr>
        <w:t xml:space="preserve">“vingtile” </w:t>
      </w:r>
      <w:r w:rsidR="00C11DBE" w:rsidRPr="000C09E3">
        <w:rPr>
          <w:sz w:val="24"/>
          <w:szCs w:val="24"/>
          <w:lang w:val="en-US"/>
        </w:rPr>
        <w:t xml:space="preserve">(the 19 </w:t>
      </w:r>
      <w:r w:rsidR="003D7998">
        <w:rPr>
          <w:sz w:val="24"/>
          <w:szCs w:val="24"/>
          <w:lang w:val="en-US"/>
        </w:rPr>
        <w:t xml:space="preserve">slices of five </w:t>
      </w:r>
      <w:r w:rsidR="00C11DBE" w:rsidRPr="000C09E3">
        <w:rPr>
          <w:sz w:val="24"/>
          <w:szCs w:val="24"/>
          <w:lang w:val="en-US"/>
        </w:rPr>
        <w:t>percentile</w:t>
      </w:r>
      <w:r w:rsidR="00F31CCB">
        <w:rPr>
          <w:sz w:val="24"/>
          <w:szCs w:val="24"/>
          <w:lang w:val="en-US"/>
        </w:rPr>
        <w:t>s</w:t>
      </w:r>
      <w:r w:rsidR="00C11DBE" w:rsidRPr="000C09E3">
        <w:rPr>
          <w:sz w:val="24"/>
          <w:szCs w:val="24"/>
          <w:lang w:val="en-US"/>
        </w:rPr>
        <w:t xml:space="preserve"> from 5 to 95%). The value of ISO(0)</w:t>
      </w:r>
      <w:r w:rsidR="00F31CCB">
        <w:rPr>
          <w:sz w:val="24"/>
          <w:szCs w:val="24"/>
          <w:lang w:val="en-US"/>
        </w:rPr>
        <w:t xml:space="preserve">, which </w:t>
      </w:r>
      <w:r w:rsidR="00C11DBE" w:rsidRPr="000C09E3">
        <w:rPr>
          <w:sz w:val="24"/>
          <w:szCs w:val="24"/>
          <w:lang w:val="en-US"/>
        </w:rPr>
        <w:t>can be erratic</w:t>
      </w:r>
      <w:r w:rsidR="00F31CCB">
        <w:rPr>
          <w:sz w:val="24"/>
          <w:szCs w:val="24"/>
          <w:lang w:val="en-US"/>
        </w:rPr>
        <w:t>,</w:t>
      </w:r>
      <w:r w:rsidR="00C11DBE" w:rsidRPr="000C09E3">
        <w:rPr>
          <w:sz w:val="24"/>
          <w:szCs w:val="24"/>
          <w:lang w:val="en-US"/>
        </w:rPr>
        <w:t xml:space="preserve"> is replaced by the average of </w:t>
      </w:r>
      <w:r w:rsidR="00CE30E4" w:rsidRPr="00F31CCB">
        <w:rPr>
          <w:sz w:val="24"/>
          <w:szCs w:val="24"/>
          <w:lang w:val="en-US"/>
        </w:rPr>
        <w:t>ISO(p=.45) and ISO(p=.55)</w:t>
      </w:r>
      <w:r w:rsidR="0003043A" w:rsidRPr="00F31CCB">
        <w:rPr>
          <w:sz w:val="24"/>
          <w:szCs w:val="24"/>
          <w:lang w:val="en-US"/>
        </w:rPr>
        <w:t xml:space="preserve">. </w:t>
      </w:r>
      <w:r w:rsidR="0003043A" w:rsidRPr="00CE30E4">
        <w:rPr>
          <w:sz w:val="24"/>
          <w:szCs w:val="24"/>
          <w:lang w:val="en-GB"/>
        </w:rPr>
        <w:t xml:space="preserve">The </w:t>
      </w:r>
      <w:r w:rsidR="00F31CCB">
        <w:rPr>
          <w:sz w:val="24"/>
          <w:szCs w:val="24"/>
          <w:lang w:val="en-GB"/>
        </w:rPr>
        <w:t xml:space="preserve">shape of these </w:t>
      </w:r>
      <w:r w:rsidR="0003043A" w:rsidRPr="00CE30E4">
        <w:rPr>
          <w:sz w:val="24"/>
          <w:szCs w:val="24"/>
          <w:lang w:val="en-GB"/>
        </w:rPr>
        <w:t xml:space="preserve">curves can be </w:t>
      </w:r>
      <w:r w:rsidR="0003043A" w:rsidRPr="000C09E3">
        <w:rPr>
          <w:sz w:val="24"/>
          <w:szCs w:val="24"/>
          <w:lang w:val="en-GB"/>
        </w:rPr>
        <w:t xml:space="preserve">explained by </w:t>
      </w:r>
      <w:r w:rsidR="008D6A4A" w:rsidRPr="000C09E3">
        <w:rPr>
          <w:sz w:val="24"/>
          <w:szCs w:val="24"/>
          <w:lang w:val="en-GB"/>
        </w:rPr>
        <w:t>tax</w:t>
      </w:r>
      <w:r w:rsidR="00F31CCB">
        <w:rPr>
          <w:sz w:val="24"/>
          <w:szCs w:val="24"/>
          <w:lang w:val="en-GB"/>
        </w:rPr>
        <w:t>es</w:t>
      </w:r>
      <w:r w:rsidR="008D6A4A" w:rsidRPr="000C09E3">
        <w:rPr>
          <w:sz w:val="24"/>
          <w:szCs w:val="24"/>
          <w:lang w:val="en-GB"/>
        </w:rPr>
        <w:t xml:space="preserve">, </w:t>
      </w:r>
      <w:r w:rsidR="0099554F" w:rsidRPr="000C09E3">
        <w:rPr>
          <w:sz w:val="24"/>
          <w:szCs w:val="24"/>
          <w:lang w:val="en-GB"/>
        </w:rPr>
        <w:t xml:space="preserve">social </w:t>
      </w:r>
      <w:r w:rsidR="008D6A4A" w:rsidRPr="000C09E3">
        <w:rPr>
          <w:sz w:val="24"/>
          <w:szCs w:val="24"/>
          <w:lang w:val="en-GB"/>
        </w:rPr>
        <w:t>and redistribut</w:t>
      </w:r>
      <w:r w:rsidR="00F31CCB">
        <w:rPr>
          <w:sz w:val="24"/>
          <w:szCs w:val="24"/>
          <w:lang w:val="en-GB"/>
        </w:rPr>
        <w:t>ive</w:t>
      </w:r>
      <w:r w:rsidR="008D6A4A" w:rsidRPr="000C09E3">
        <w:rPr>
          <w:sz w:val="24"/>
          <w:szCs w:val="24"/>
          <w:lang w:val="en-GB"/>
        </w:rPr>
        <w:t xml:space="preserve"> </w:t>
      </w:r>
      <w:r w:rsidR="0099554F">
        <w:rPr>
          <w:sz w:val="24"/>
          <w:szCs w:val="24"/>
          <w:lang w:val="en-GB"/>
        </w:rPr>
        <w:t>policies</w:t>
      </w:r>
      <w:r w:rsidR="008D6A4A">
        <w:rPr>
          <w:sz w:val="24"/>
          <w:szCs w:val="24"/>
          <w:lang w:val="en-GB"/>
        </w:rPr>
        <w:t xml:space="preserve">, </w:t>
      </w:r>
      <w:r w:rsidR="0099554F">
        <w:rPr>
          <w:sz w:val="24"/>
          <w:szCs w:val="24"/>
          <w:lang w:val="en-GB"/>
        </w:rPr>
        <w:t>and other empirical biases in the theoretical balance of power</w:t>
      </w:r>
      <w:r w:rsidR="008D6A4A">
        <w:rPr>
          <w:sz w:val="24"/>
          <w:szCs w:val="24"/>
          <w:lang w:val="en-GB"/>
        </w:rPr>
        <w:t xml:space="preserve"> </w:t>
      </w:r>
      <w:r w:rsidR="0003043A">
        <w:rPr>
          <w:sz w:val="24"/>
          <w:szCs w:val="24"/>
          <w:lang w:val="en-GB"/>
        </w:rPr>
        <w:t xml:space="preserve">that </w:t>
      </w:r>
      <w:r w:rsidR="008D6A4A">
        <w:rPr>
          <w:sz w:val="24"/>
          <w:szCs w:val="24"/>
          <w:lang w:val="en-GB"/>
        </w:rPr>
        <w:t xml:space="preserve">can </w:t>
      </w:r>
      <w:r w:rsidR="00F31CCB">
        <w:rPr>
          <w:sz w:val="24"/>
          <w:szCs w:val="24"/>
          <w:lang w:val="en-GB"/>
        </w:rPr>
        <w:t xml:space="preserve">distort </w:t>
      </w:r>
      <w:r w:rsidR="00A24323">
        <w:rPr>
          <w:sz w:val="24"/>
          <w:szCs w:val="24"/>
          <w:lang w:val="en-GB"/>
        </w:rPr>
        <w:t xml:space="preserve">the </w:t>
      </w:r>
      <w:r w:rsidR="008D6A4A">
        <w:rPr>
          <w:sz w:val="24"/>
          <w:szCs w:val="24"/>
          <w:lang w:val="en-GB"/>
        </w:rPr>
        <w:t xml:space="preserve">income curve in such a way that </w:t>
      </w:r>
      <w:r w:rsidR="00F31CCB">
        <w:rPr>
          <w:sz w:val="24"/>
          <w:szCs w:val="24"/>
          <w:lang w:val="en-GB"/>
        </w:rPr>
        <w:t xml:space="preserve">the </w:t>
      </w:r>
      <w:r w:rsidR="008D6A4A">
        <w:rPr>
          <w:sz w:val="24"/>
          <w:szCs w:val="24"/>
          <w:lang w:val="en-GB"/>
        </w:rPr>
        <w:t>ISO is not constant</w:t>
      </w:r>
      <w:r>
        <w:rPr>
          <w:sz w:val="24"/>
          <w:szCs w:val="24"/>
          <w:lang w:val="en-GB"/>
        </w:rPr>
        <w:t>. T</w:t>
      </w:r>
      <w:r w:rsidR="0099554F">
        <w:rPr>
          <w:sz w:val="24"/>
          <w:szCs w:val="24"/>
          <w:lang w:val="en-GB"/>
        </w:rPr>
        <w:t xml:space="preserve">he poor can </w:t>
      </w:r>
      <w:r w:rsidR="00771DB2">
        <w:rPr>
          <w:sz w:val="24"/>
          <w:szCs w:val="24"/>
          <w:lang w:val="en-GB"/>
        </w:rPr>
        <w:t xml:space="preserve">either </w:t>
      </w:r>
      <w:r w:rsidR="0099554F">
        <w:rPr>
          <w:sz w:val="24"/>
          <w:szCs w:val="24"/>
          <w:lang w:val="en-GB"/>
        </w:rPr>
        <w:t xml:space="preserve">benefit from income support or be the victims of </w:t>
      </w:r>
      <w:r w:rsidR="00771DB2">
        <w:rPr>
          <w:sz w:val="24"/>
          <w:szCs w:val="24"/>
          <w:lang w:val="en-GB"/>
        </w:rPr>
        <w:t xml:space="preserve">extreme </w:t>
      </w:r>
      <w:r w:rsidR="0099554F">
        <w:rPr>
          <w:sz w:val="24"/>
          <w:szCs w:val="24"/>
          <w:lang w:val="en-GB"/>
        </w:rPr>
        <w:t>social exclusion</w:t>
      </w:r>
      <w:r w:rsidR="00771DB2">
        <w:rPr>
          <w:sz w:val="24"/>
          <w:szCs w:val="24"/>
          <w:lang w:val="en-GB"/>
        </w:rPr>
        <w:t>. T</w:t>
      </w:r>
      <w:r w:rsidR="0099554F">
        <w:rPr>
          <w:sz w:val="24"/>
          <w:szCs w:val="24"/>
          <w:lang w:val="en-GB"/>
        </w:rPr>
        <w:t xml:space="preserve">he rich can </w:t>
      </w:r>
      <w:r w:rsidR="00771DB2">
        <w:rPr>
          <w:sz w:val="24"/>
          <w:szCs w:val="24"/>
          <w:lang w:val="en-GB"/>
        </w:rPr>
        <w:t xml:space="preserve">either </w:t>
      </w:r>
      <w:r w:rsidR="0099554F">
        <w:rPr>
          <w:sz w:val="24"/>
          <w:szCs w:val="24"/>
          <w:lang w:val="en-GB"/>
        </w:rPr>
        <w:t>organi</w:t>
      </w:r>
      <w:r w:rsidR="00653E15">
        <w:rPr>
          <w:sz w:val="24"/>
          <w:szCs w:val="24"/>
          <w:lang w:val="en-GB"/>
        </w:rPr>
        <w:t>z</w:t>
      </w:r>
      <w:r w:rsidR="0099554F">
        <w:rPr>
          <w:sz w:val="24"/>
          <w:szCs w:val="24"/>
          <w:lang w:val="en-GB"/>
        </w:rPr>
        <w:t xml:space="preserve">e a system of resource hoarding or </w:t>
      </w:r>
      <w:r w:rsidR="00771DB2">
        <w:rPr>
          <w:sz w:val="24"/>
          <w:szCs w:val="24"/>
          <w:lang w:val="en-GB"/>
        </w:rPr>
        <w:t xml:space="preserve">accept </w:t>
      </w:r>
      <w:r w:rsidR="0099554F">
        <w:rPr>
          <w:sz w:val="24"/>
          <w:szCs w:val="24"/>
          <w:lang w:val="en-GB"/>
        </w:rPr>
        <w:t xml:space="preserve">the development of </w:t>
      </w:r>
      <w:r w:rsidR="00771DB2">
        <w:rPr>
          <w:sz w:val="24"/>
          <w:szCs w:val="24"/>
          <w:lang w:val="en-GB"/>
        </w:rPr>
        <w:t xml:space="preserve">massive </w:t>
      </w:r>
      <w:r w:rsidR="0099554F">
        <w:rPr>
          <w:sz w:val="24"/>
          <w:szCs w:val="24"/>
          <w:lang w:val="en-GB"/>
        </w:rPr>
        <w:t>redistributive policies</w:t>
      </w:r>
      <w:r>
        <w:rPr>
          <w:sz w:val="24"/>
          <w:szCs w:val="24"/>
          <w:lang w:val="en-GB"/>
        </w:rPr>
        <w:t xml:space="preserve">. </w:t>
      </w:r>
      <w:r w:rsidR="00A24323">
        <w:rPr>
          <w:sz w:val="24"/>
          <w:szCs w:val="24"/>
          <w:lang w:val="en-GB"/>
        </w:rPr>
        <w:t>Therefore</w:t>
      </w:r>
      <w:r>
        <w:rPr>
          <w:sz w:val="24"/>
          <w:szCs w:val="24"/>
          <w:lang w:val="en-GB"/>
        </w:rPr>
        <w:t xml:space="preserve">, </w:t>
      </w:r>
      <w:r w:rsidR="00EE3386">
        <w:rPr>
          <w:sz w:val="24"/>
          <w:szCs w:val="24"/>
          <w:lang w:val="en-GB"/>
        </w:rPr>
        <w:t>t</w:t>
      </w:r>
      <w:r w:rsidR="006022DB">
        <w:rPr>
          <w:sz w:val="24"/>
          <w:szCs w:val="24"/>
          <w:lang w:val="en-GB"/>
        </w:rPr>
        <w:t>h</w:t>
      </w:r>
      <w:r w:rsidR="00771DB2">
        <w:rPr>
          <w:sz w:val="24"/>
          <w:szCs w:val="24"/>
          <w:lang w:val="en-GB"/>
        </w:rPr>
        <w:t>e</w:t>
      </w:r>
      <w:r w:rsidR="006022DB">
        <w:rPr>
          <w:sz w:val="24"/>
          <w:szCs w:val="24"/>
          <w:lang w:val="en-GB"/>
        </w:rPr>
        <w:t xml:space="preserve"> hypothesis of </w:t>
      </w:r>
      <w:r w:rsidR="00F31CCB">
        <w:rPr>
          <w:sz w:val="24"/>
          <w:szCs w:val="24"/>
          <w:lang w:val="en-GB"/>
        </w:rPr>
        <w:t xml:space="preserve">the </w:t>
      </w:r>
      <w:r w:rsidR="006022DB">
        <w:rPr>
          <w:sz w:val="24"/>
          <w:szCs w:val="24"/>
          <w:lang w:val="en-GB"/>
        </w:rPr>
        <w:t xml:space="preserve">strict stability of </w:t>
      </w:r>
      <w:r w:rsidR="00472786" w:rsidRPr="00472786">
        <w:rPr>
          <w:rFonts w:ascii="Symbol" w:hAnsi="Symbol"/>
          <w:sz w:val="24"/>
          <w:szCs w:val="24"/>
          <w:lang w:val="en-GB"/>
        </w:rPr>
        <w:t></w:t>
      </w:r>
      <w:r w:rsidR="006022DB">
        <w:rPr>
          <w:sz w:val="24"/>
          <w:szCs w:val="24"/>
          <w:lang w:val="en-GB"/>
        </w:rPr>
        <w:t xml:space="preserve"> </w:t>
      </w:r>
      <w:r w:rsidR="001A514C">
        <w:rPr>
          <w:sz w:val="24"/>
          <w:szCs w:val="24"/>
          <w:lang w:val="en-GB"/>
        </w:rPr>
        <w:t>along the income scale</w:t>
      </w:r>
      <w:r w:rsidR="00126B88">
        <w:rPr>
          <w:sz w:val="24"/>
          <w:szCs w:val="24"/>
          <w:lang w:val="en-GB"/>
        </w:rPr>
        <w:t xml:space="preserve"> generally </w:t>
      </w:r>
      <w:r w:rsidR="00F31CCB">
        <w:rPr>
          <w:sz w:val="24"/>
          <w:szCs w:val="24"/>
          <w:lang w:val="en-GB"/>
        </w:rPr>
        <w:t>does not hold</w:t>
      </w:r>
      <w:r w:rsidR="00D05C2B">
        <w:rPr>
          <w:sz w:val="24"/>
          <w:szCs w:val="24"/>
          <w:lang w:val="en-GB"/>
        </w:rPr>
        <w:t xml:space="preserve">, since </w:t>
      </w:r>
      <w:r w:rsidR="00F31CCB">
        <w:rPr>
          <w:sz w:val="24"/>
          <w:szCs w:val="24"/>
          <w:lang w:val="en-GB"/>
        </w:rPr>
        <w:t xml:space="preserve">power </w:t>
      </w:r>
      <w:r w:rsidR="00D05C2B">
        <w:rPr>
          <w:sz w:val="24"/>
          <w:szCs w:val="24"/>
          <w:lang w:val="en-GB"/>
        </w:rPr>
        <w:t xml:space="preserve">relations can be stronger or </w:t>
      </w:r>
      <w:r w:rsidR="00A70B2E">
        <w:rPr>
          <w:sz w:val="24"/>
          <w:szCs w:val="24"/>
          <w:lang w:val="en-GB"/>
        </w:rPr>
        <w:t>smoother</w:t>
      </w:r>
      <w:r w:rsidR="00D05C2B">
        <w:rPr>
          <w:sz w:val="24"/>
          <w:szCs w:val="24"/>
          <w:lang w:val="en-GB"/>
        </w:rPr>
        <w:t xml:space="preserve"> at the top and bottom of the social ladder</w:t>
      </w:r>
      <w:r w:rsidR="006E799E">
        <w:rPr>
          <w:sz w:val="24"/>
          <w:szCs w:val="24"/>
          <w:lang w:val="en-GB"/>
        </w:rPr>
        <w:t xml:space="preserve"> than near the median</w:t>
      </w:r>
      <w:r w:rsidR="006022DB">
        <w:rPr>
          <w:sz w:val="24"/>
          <w:szCs w:val="24"/>
          <w:lang w:val="en-GB"/>
        </w:rPr>
        <w:t xml:space="preserve">. </w:t>
      </w:r>
    </w:p>
    <w:p w:rsidR="00CF5358" w:rsidRDefault="00CF5358" w:rsidP="00CF5358">
      <w:pPr>
        <w:spacing w:after="120" w:line="480" w:lineRule="auto"/>
        <w:rPr>
          <w:sz w:val="24"/>
          <w:szCs w:val="24"/>
          <w:lang w:val="en-GB"/>
        </w:rPr>
      </w:pPr>
      <w:r>
        <w:rPr>
          <w:sz w:val="24"/>
          <w:szCs w:val="24"/>
          <w:lang w:val="en-US"/>
        </w:rPr>
        <w:t xml:space="preserve">When the </w:t>
      </w:r>
      <w:r w:rsidR="00623492">
        <w:rPr>
          <w:sz w:val="24"/>
          <w:szCs w:val="24"/>
          <w:lang w:val="en-US"/>
        </w:rPr>
        <w:t>isograph</w:t>
      </w:r>
      <w:r>
        <w:rPr>
          <w:sz w:val="24"/>
          <w:szCs w:val="24"/>
          <w:lang w:val="en-US"/>
        </w:rPr>
        <w:t xml:space="preserve"> is </w:t>
      </w:r>
      <w:r w:rsidR="00782166">
        <w:rPr>
          <w:sz w:val="24"/>
          <w:szCs w:val="24"/>
          <w:lang w:val="en-US"/>
        </w:rPr>
        <w:t xml:space="preserve">relatively flat </w:t>
      </w:r>
      <w:r>
        <w:rPr>
          <w:sz w:val="24"/>
          <w:szCs w:val="24"/>
          <w:lang w:val="en-US"/>
        </w:rPr>
        <w:t>(</w:t>
      </w:r>
      <w:r w:rsidR="00F31CCB">
        <w:rPr>
          <w:sz w:val="24"/>
          <w:szCs w:val="24"/>
          <w:lang w:val="en-US"/>
        </w:rPr>
        <w:t xml:space="preserve">for example, </w:t>
      </w:r>
      <w:r>
        <w:rPr>
          <w:sz w:val="24"/>
          <w:szCs w:val="24"/>
          <w:lang w:val="en-US"/>
        </w:rPr>
        <w:t>Finland</w:t>
      </w:r>
      <w:r w:rsidR="00F67915">
        <w:rPr>
          <w:sz w:val="24"/>
          <w:szCs w:val="24"/>
          <w:lang w:val="en-US"/>
        </w:rPr>
        <w:t xml:space="preserve"> in </w:t>
      </w:r>
      <w:r>
        <w:rPr>
          <w:sz w:val="24"/>
          <w:szCs w:val="24"/>
          <w:lang w:val="en-US"/>
        </w:rPr>
        <w:t>200</w:t>
      </w:r>
      <w:r w:rsidR="00C07AE2">
        <w:rPr>
          <w:sz w:val="24"/>
          <w:szCs w:val="24"/>
          <w:lang w:val="en-US"/>
        </w:rPr>
        <w:t>4</w:t>
      </w:r>
      <w:r>
        <w:rPr>
          <w:sz w:val="24"/>
          <w:szCs w:val="24"/>
          <w:lang w:val="en-US"/>
        </w:rPr>
        <w:t xml:space="preserve">), </w:t>
      </w:r>
      <w:r w:rsidR="00472786" w:rsidRPr="00472786">
        <w:rPr>
          <w:rFonts w:ascii="Symbol" w:hAnsi="Symbol"/>
          <w:sz w:val="24"/>
          <w:szCs w:val="24"/>
          <w:lang w:val="en-US"/>
        </w:rPr>
        <w:t></w:t>
      </w:r>
      <w:r>
        <w:rPr>
          <w:sz w:val="24"/>
          <w:szCs w:val="24"/>
          <w:lang w:val="en-US"/>
        </w:rPr>
        <w:t xml:space="preserve"> equals</w:t>
      </w:r>
      <w:r w:rsidR="00623492">
        <w:rPr>
          <w:sz w:val="24"/>
          <w:szCs w:val="24"/>
          <w:lang w:val="en-US"/>
        </w:rPr>
        <w:t xml:space="preserve"> the</w:t>
      </w:r>
      <w:r>
        <w:rPr>
          <w:sz w:val="24"/>
          <w:szCs w:val="24"/>
          <w:lang w:val="en-US"/>
        </w:rPr>
        <w:t xml:space="preserve"> Gini index (.24 for fi0</w:t>
      </w:r>
      <w:r w:rsidR="00C07AE2">
        <w:rPr>
          <w:sz w:val="24"/>
          <w:szCs w:val="24"/>
          <w:lang w:val="en-US"/>
        </w:rPr>
        <w:t>4</w:t>
      </w:r>
      <w:r w:rsidR="00F31CCB">
        <w:rPr>
          <w:sz w:val="24"/>
          <w:szCs w:val="24"/>
          <w:lang w:val="en-US"/>
        </w:rPr>
        <w:t xml:space="preserve"> in F</w:t>
      </w:r>
      <w:r w:rsidR="00782166">
        <w:rPr>
          <w:sz w:val="24"/>
          <w:szCs w:val="24"/>
          <w:lang w:val="en-US"/>
        </w:rPr>
        <w:t>igure 1</w:t>
      </w:r>
      <w:r>
        <w:rPr>
          <w:sz w:val="24"/>
          <w:szCs w:val="24"/>
          <w:lang w:val="en-US"/>
        </w:rPr>
        <w:t>). In France, Germany and Brazil, th</w:t>
      </w:r>
      <w:r w:rsidR="00F31CCB">
        <w:rPr>
          <w:sz w:val="24"/>
          <w:szCs w:val="24"/>
          <w:lang w:val="en-US"/>
        </w:rPr>
        <w:t>e</w:t>
      </w:r>
      <w:r>
        <w:rPr>
          <w:sz w:val="24"/>
          <w:szCs w:val="24"/>
          <w:lang w:val="en-US"/>
        </w:rPr>
        <w:t xml:space="preserve"> CF distribution hypothesis is an acceptable</w:t>
      </w:r>
      <w:r w:rsidR="00C07AE2">
        <w:rPr>
          <w:sz w:val="24"/>
          <w:szCs w:val="24"/>
          <w:lang w:val="en-US"/>
        </w:rPr>
        <w:t xml:space="preserve"> first</w:t>
      </w:r>
      <w:r w:rsidR="00A24323">
        <w:rPr>
          <w:sz w:val="24"/>
          <w:szCs w:val="24"/>
          <w:lang w:val="en-US"/>
        </w:rPr>
        <w:t>-</w:t>
      </w:r>
      <w:r w:rsidR="00C07AE2">
        <w:rPr>
          <w:sz w:val="24"/>
          <w:szCs w:val="24"/>
          <w:lang w:val="en-US"/>
        </w:rPr>
        <w:t>order</w:t>
      </w:r>
      <w:r>
        <w:rPr>
          <w:sz w:val="24"/>
          <w:szCs w:val="24"/>
          <w:lang w:val="en-US"/>
        </w:rPr>
        <w:t xml:space="preserve"> approximation, but </w:t>
      </w:r>
      <w:r w:rsidR="00C07AE2">
        <w:rPr>
          <w:sz w:val="24"/>
          <w:szCs w:val="24"/>
          <w:lang w:val="en-US"/>
        </w:rPr>
        <w:t xml:space="preserve">in other countries </w:t>
      </w:r>
      <w:r>
        <w:rPr>
          <w:sz w:val="24"/>
          <w:szCs w:val="24"/>
          <w:lang w:val="en-US"/>
        </w:rPr>
        <w:t xml:space="preserve">the isograph </w:t>
      </w:r>
      <w:r w:rsidR="0070152D">
        <w:rPr>
          <w:sz w:val="24"/>
          <w:szCs w:val="24"/>
          <w:lang w:val="en-US"/>
        </w:rPr>
        <w:t xml:space="preserve">is obviously </w:t>
      </w:r>
      <w:r w:rsidR="00156FD7">
        <w:rPr>
          <w:sz w:val="24"/>
          <w:szCs w:val="24"/>
          <w:lang w:val="en-US"/>
        </w:rPr>
        <w:t xml:space="preserve">not constant. </w:t>
      </w:r>
      <w:r w:rsidR="00F31CCB">
        <w:rPr>
          <w:sz w:val="24"/>
          <w:szCs w:val="24"/>
          <w:lang w:val="en-US"/>
        </w:rPr>
        <w:t xml:space="preserve">The </w:t>
      </w:r>
      <w:r w:rsidR="00156FD7">
        <w:rPr>
          <w:sz w:val="24"/>
          <w:szCs w:val="24"/>
          <w:lang w:val="en-US"/>
        </w:rPr>
        <w:t xml:space="preserve">isograph </w:t>
      </w:r>
      <w:r w:rsidR="00F31CCB">
        <w:rPr>
          <w:sz w:val="24"/>
          <w:szCs w:val="24"/>
          <w:lang w:val="en-US"/>
        </w:rPr>
        <w:t xml:space="preserve">more often reveals </w:t>
      </w:r>
      <w:r>
        <w:rPr>
          <w:sz w:val="24"/>
          <w:szCs w:val="24"/>
          <w:lang w:val="en-US"/>
        </w:rPr>
        <w:t xml:space="preserve">a declining level of inequality at the top of the </w:t>
      </w:r>
      <w:r>
        <w:rPr>
          <w:sz w:val="24"/>
          <w:szCs w:val="24"/>
          <w:lang w:val="en-US"/>
        </w:rPr>
        <w:lastRenderedPageBreak/>
        <w:t>distribution</w:t>
      </w:r>
      <w:r w:rsidR="00C07AE2">
        <w:rPr>
          <w:sz w:val="24"/>
          <w:szCs w:val="24"/>
          <w:lang w:val="en-US"/>
        </w:rPr>
        <w:t xml:space="preserve"> (</w:t>
      </w:r>
      <w:r w:rsidR="00F31CCB">
        <w:rPr>
          <w:sz w:val="24"/>
          <w:szCs w:val="24"/>
          <w:lang w:val="en-US"/>
        </w:rPr>
        <w:t xml:space="preserve">an </w:t>
      </w:r>
      <w:r w:rsidR="00F31CCB" w:rsidRPr="00F31CCB">
        <w:rPr>
          <w:sz w:val="24"/>
          <w:szCs w:val="24"/>
          <w:lang w:val="en-US"/>
        </w:rPr>
        <w:t xml:space="preserve">ISO </w:t>
      </w:r>
      <w:r w:rsidR="00F31CCB">
        <w:rPr>
          <w:sz w:val="24"/>
          <w:szCs w:val="24"/>
          <w:lang w:val="en-US"/>
        </w:rPr>
        <w:t xml:space="preserve">with </w:t>
      </w:r>
      <w:r w:rsidR="00C07AE2">
        <w:rPr>
          <w:sz w:val="24"/>
          <w:szCs w:val="24"/>
          <w:lang w:val="en-US"/>
        </w:rPr>
        <w:t>negative slope)</w:t>
      </w:r>
      <w:r>
        <w:rPr>
          <w:sz w:val="24"/>
          <w:szCs w:val="24"/>
          <w:lang w:val="en-US"/>
        </w:rPr>
        <w:t xml:space="preserve">. An extreme case is </w:t>
      </w:r>
      <w:r w:rsidR="004E0714">
        <w:rPr>
          <w:sz w:val="24"/>
          <w:szCs w:val="24"/>
          <w:lang w:val="en-US"/>
        </w:rPr>
        <w:t>Israel</w:t>
      </w:r>
      <w:r w:rsidR="00F31CCB">
        <w:rPr>
          <w:sz w:val="24"/>
          <w:szCs w:val="24"/>
          <w:lang w:val="en-US"/>
        </w:rPr>
        <w:t xml:space="preserve"> in </w:t>
      </w:r>
      <w:r w:rsidR="004E0714">
        <w:rPr>
          <w:sz w:val="24"/>
          <w:szCs w:val="24"/>
          <w:lang w:val="en-US"/>
        </w:rPr>
        <w:t>2010</w:t>
      </w:r>
      <w:r w:rsidR="00F31CCB">
        <w:rPr>
          <w:sz w:val="24"/>
          <w:szCs w:val="24"/>
          <w:lang w:val="en-US"/>
        </w:rPr>
        <w:t>,</w:t>
      </w:r>
      <w:r>
        <w:rPr>
          <w:sz w:val="24"/>
          <w:szCs w:val="24"/>
          <w:lang w:val="en-US"/>
        </w:rPr>
        <w:t xml:space="preserve"> with a</w:t>
      </w:r>
      <w:r w:rsidR="00A24323">
        <w:rPr>
          <w:sz w:val="24"/>
          <w:szCs w:val="24"/>
          <w:lang w:val="en-US"/>
        </w:rPr>
        <w:t>n</w:t>
      </w:r>
      <w:r>
        <w:rPr>
          <w:sz w:val="24"/>
          <w:szCs w:val="24"/>
          <w:lang w:val="en-US"/>
        </w:rPr>
        <w:t xml:space="preserve"> ISO </w:t>
      </w:r>
      <w:r w:rsidR="00C07AE2">
        <w:rPr>
          <w:sz w:val="24"/>
          <w:szCs w:val="24"/>
          <w:lang w:val="en-US"/>
        </w:rPr>
        <w:t>close to .50</w:t>
      </w:r>
      <w:r>
        <w:rPr>
          <w:sz w:val="24"/>
          <w:szCs w:val="24"/>
          <w:lang w:val="en-US"/>
        </w:rPr>
        <w:t xml:space="preserve"> at the middle of the distribution, similar to Brazil</w:t>
      </w:r>
      <w:r w:rsidR="00C07AE2">
        <w:rPr>
          <w:sz w:val="24"/>
          <w:szCs w:val="24"/>
          <w:lang w:val="en-US"/>
        </w:rPr>
        <w:t xml:space="preserve">, </w:t>
      </w:r>
      <w:r w:rsidR="00F31CCB">
        <w:rPr>
          <w:sz w:val="24"/>
          <w:szCs w:val="24"/>
          <w:lang w:val="en-US"/>
        </w:rPr>
        <w:t xml:space="preserve">but </w:t>
      </w:r>
      <w:r w:rsidR="00C07AE2">
        <w:rPr>
          <w:sz w:val="24"/>
          <w:szCs w:val="24"/>
          <w:lang w:val="en-US"/>
        </w:rPr>
        <w:t>much l</w:t>
      </w:r>
      <w:r w:rsidR="0070152D">
        <w:rPr>
          <w:sz w:val="24"/>
          <w:szCs w:val="24"/>
          <w:lang w:val="en-US"/>
        </w:rPr>
        <w:t xml:space="preserve">ower </w:t>
      </w:r>
      <w:r w:rsidR="00C07AE2">
        <w:rPr>
          <w:sz w:val="24"/>
          <w:szCs w:val="24"/>
          <w:lang w:val="en-US"/>
        </w:rPr>
        <w:t xml:space="preserve">at the </w:t>
      </w:r>
      <w:r w:rsidR="00F31CCB">
        <w:rPr>
          <w:sz w:val="24"/>
          <w:szCs w:val="24"/>
          <w:lang w:val="en-US"/>
        </w:rPr>
        <w:t>ends</w:t>
      </w:r>
      <w:r w:rsidRPr="009072D9">
        <w:rPr>
          <w:sz w:val="24"/>
          <w:szCs w:val="24"/>
          <w:lang w:val="en-US"/>
        </w:rPr>
        <w:t>.</w:t>
      </w:r>
      <w:r>
        <w:rPr>
          <w:sz w:val="24"/>
          <w:szCs w:val="24"/>
          <w:lang w:val="en-US"/>
        </w:rPr>
        <w:t xml:space="preserve"> At the bottom 5% of the Israeli distribution, ISO(-3) = .40, </w:t>
      </w:r>
      <w:r w:rsidR="00F31CCB">
        <w:rPr>
          <w:sz w:val="24"/>
          <w:szCs w:val="24"/>
          <w:lang w:val="en-US"/>
        </w:rPr>
        <w:t xml:space="preserve">which is </w:t>
      </w:r>
      <w:r w:rsidR="00A24323">
        <w:rPr>
          <w:sz w:val="24"/>
          <w:szCs w:val="24"/>
          <w:lang w:val="en-US"/>
        </w:rPr>
        <w:t>similar to</w:t>
      </w:r>
      <w:r>
        <w:rPr>
          <w:sz w:val="24"/>
          <w:szCs w:val="24"/>
          <w:lang w:val="en-US"/>
        </w:rPr>
        <w:t xml:space="preserve"> Spain</w:t>
      </w:r>
      <w:r w:rsidR="0070152D">
        <w:rPr>
          <w:sz w:val="24"/>
          <w:szCs w:val="24"/>
          <w:lang w:val="en-US"/>
        </w:rPr>
        <w:t xml:space="preserve"> and much less than the U.S.</w:t>
      </w:r>
      <w:r w:rsidR="00F31CCB">
        <w:rPr>
          <w:sz w:val="24"/>
          <w:szCs w:val="24"/>
          <w:lang w:val="en-US"/>
        </w:rPr>
        <w:t xml:space="preserve"> figure</w:t>
      </w:r>
      <w:r>
        <w:rPr>
          <w:sz w:val="24"/>
          <w:szCs w:val="24"/>
          <w:lang w:val="en-US"/>
        </w:rPr>
        <w:t>, and at the top 5% of the</w:t>
      </w:r>
      <w:r w:rsidR="00F31CCB">
        <w:rPr>
          <w:sz w:val="24"/>
          <w:szCs w:val="24"/>
          <w:lang w:val="en-US"/>
        </w:rPr>
        <w:t xml:space="preserve"> distribution</w:t>
      </w:r>
      <w:r>
        <w:rPr>
          <w:sz w:val="24"/>
          <w:szCs w:val="24"/>
          <w:lang w:val="en-US"/>
        </w:rPr>
        <w:t xml:space="preserve"> the Israeli ISO(3) = .36, </w:t>
      </w:r>
      <w:r w:rsidR="00A24323">
        <w:rPr>
          <w:sz w:val="24"/>
          <w:szCs w:val="24"/>
          <w:lang w:val="en-US"/>
        </w:rPr>
        <w:t xml:space="preserve">which is </w:t>
      </w:r>
      <w:r>
        <w:rPr>
          <w:sz w:val="24"/>
          <w:szCs w:val="24"/>
          <w:lang w:val="en-US"/>
        </w:rPr>
        <w:t xml:space="preserve">very similar to </w:t>
      </w:r>
      <w:r w:rsidR="00F31CCB">
        <w:rPr>
          <w:sz w:val="24"/>
          <w:szCs w:val="24"/>
          <w:lang w:val="en-US"/>
        </w:rPr>
        <w:t xml:space="preserve">that in </w:t>
      </w:r>
      <w:r>
        <w:rPr>
          <w:sz w:val="24"/>
          <w:szCs w:val="24"/>
          <w:lang w:val="en-US"/>
        </w:rPr>
        <w:t xml:space="preserve">the U.S. These findings illustrate the large </w:t>
      </w:r>
      <w:r w:rsidR="00F31CCB">
        <w:rPr>
          <w:sz w:val="24"/>
          <w:szCs w:val="24"/>
          <w:lang w:val="en-US"/>
        </w:rPr>
        <w:t xml:space="preserve">movements in </w:t>
      </w:r>
      <w:r w:rsidR="00623492">
        <w:rPr>
          <w:sz w:val="24"/>
          <w:szCs w:val="24"/>
          <w:lang w:val="en-US"/>
        </w:rPr>
        <w:t xml:space="preserve">local </w:t>
      </w:r>
      <w:r>
        <w:rPr>
          <w:sz w:val="24"/>
          <w:szCs w:val="24"/>
          <w:lang w:val="en-US"/>
        </w:rPr>
        <w:t xml:space="preserve">inequality </w:t>
      </w:r>
      <w:r w:rsidR="00F31CCB">
        <w:rPr>
          <w:sz w:val="24"/>
          <w:szCs w:val="24"/>
          <w:lang w:val="en-US"/>
        </w:rPr>
        <w:t xml:space="preserve">over </w:t>
      </w:r>
      <w:r>
        <w:rPr>
          <w:sz w:val="24"/>
          <w:szCs w:val="24"/>
          <w:lang w:val="en-US"/>
        </w:rPr>
        <w:t xml:space="preserve">the </w:t>
      </w:r>
      <w:r w:rsidR="00F31CCB">
        <w:rPr>
          <w:sz w:val="24"/>
          <w:szCs w:val="24"/>
          <w:lang w:val="en-US"/>
        </w:rPr>
        <w:t xml:space="preserve">income </w:t>
      </w:r>
      <w:r>
        <w:rPr>
          <w:sz w:val="24"/>
          <w:szCs w:val="24"/>
          <w:lang w:val="en-US"/>
        </w:rPr>
        <w:t xml:space="preserve">hierarchy. The crossings of the </w:t>
      </w:r>
      <w:r w:rsidR="00623492">
        <w:rPr>
          <w:sz w:val="24"/>
          <w:szCs w:val="24"/>
          <w:lang w:val="en-US"/>
        </w:rPr>
        <w:t>isograph</w:t>
      </w:r>
      <w:r>
        <w:rPr>
          <w:sz w:val="24"/>
          <w:szCs w:val="24"/>
          <w:lang w:val="en-US"/>
        </w:rPr>
        <w:t xml:space="preserve">s </w:t>
      </w:r>
      <w:r w:rsidR="00F31CCB">
        <w:rPr>
          <w:sz w:val="24"/>
          <w:szCs w:val="24"/>
          <w:lang w:val="en-US"/>
        </w:rPr>
        <w:t xml:space="preserve">for </w:t>
      </w:r>
      <w:r>
        <w:rPr>
          <w:sz w:val="24"/>
          <w:szCs w:val="24"/>
          <w:lang w:val="en-US"/>
        </w:rPr>
        <w:t xml:space="preserve">Israel and </w:t>
      </w:r>
      <w:r w:rsidR="00A24323">
        <w:rPr>
          <w:sz w:val="24"/>
          <w:szCs w:val="24"/>
          <w:lang w:val="en-US"/>
        </w:rPr>
        <w:t xml:space="preserve">the </w:t>
      </w:r>
      <w:r>
        <w:rPr>
          <w:sz w:val="24"/>
          <w:szCs w:val="24"/>
          <w:lang w:val="en-US"/>
        </w:rPr>
        <w:t xml:space="preserve">U.S. show extreme inequality </w:t>
      </w:r>
      <w:r w:rsidR="00A24323">
        <w:rPr>
          <w:sz w:val="24"/>
          <w:szCs w:val="24"/>
          <w:lang w:val="en-US"/>
        </w:rPr>
        <w:t xml:space="preserve">close </w:t>
      </w:r>
      <w:r>
        <w:rPr>
          <w:sz w:val="24"/>
          <w:szCs w:val="24"/>
          <w:lang w:val="en-US"/>
        </w:rPr>
        <w:t>to the median in Israel balanced by more equality at the extremes.</w:t>
      </w:r>
      <w:r w:rsidRPr="00CF5358">
        <w:rPr>
          <w:sz w:val="24"/>
          <w:szCs w:val="24"/>
          <w:lang w:val="en-GB"/>
        </w:rPr>
        <w:t xml:space="preserve"> </w:t>
      </w:r>
      <w:r w:rsidR="00C07AE2">
        <w:rPr>
          <w:sz w:val="24"/>
          <w:szCs w:val="24"/>
          <w:lang w:val="en-US"/>
        </w:rPr>
        <w:t xml:space="preserve">The isograph helps </w:t>
      </w:r>
      <w:r w:rsidR="00F31CCB">
        <w:rPr>
          <w:sz w:val="24"/>
          <w:szCs w:val="24"/>
          <w:lang w:val="en-US"/>
        </w:rPr>
        <w:t xml:space="preserve">us to </w:t>
      </w:r>
      <w:r w:rsidR="00C07AE2">
        <w:rPr>
          <w:sz w:val="24"/>
          <w:szCs w:val="24"/>
          <w:lang w:val="en-US"/>
        </w:rPr>
        <w:t>compar</w:t>
      </w:r>
      <w:r w:rsidR="00F31CCB">
        <w:rPr>
          <w:sz w:val="24"/>
          <w:szCs w:val="24"/>
          <w:lang w:val="en-US"/>
        </w:rPr>
        <w:t>e</w:t>
      </w:r>
      <w:r w:rsidR="00C07AE2">
        <w:rPr>
          <w:sz w:val="24"/>
          <w:szCs w:val="24"/>
          <w:lang w:val="en-US"/>
        </w:rPr>
        <w:t xml:space="preserve"> inequalit</w:t>
      </w:r>
      <w:r w:rsidR="00F31CCB">
        <w:rPr>
          <w:sz w:val="24"/>
          <w:szCs w:val="24"/>
          <w:lang w:val="en-US"/>
        </w:rPr>
        <w:t>ies</w:t>
      </w:r>
      <w:r w:rsidR="00C07AE2">
        <w:rPr>
          <w:sz w:val="24"/>
          <w:szCs w:val="24"/>
          <w:lang w:val="en-US"/>
        </w:rPr>
        <w:t xml:space="preserve"> that can </w:t>
      </w:r>
      <w:r w:rsidR="00F31CCB">
        <w:rPr>
          <w:sz w:val="24"/>
          <w:szCs w:val="24"/>
          <w:lang w:val="en-US"/>
        </w:rPr>
        <w:t xml:space="preserve">shift over </w:t>
      </w:r>
      <w:r w:rsidR="00C07AE2">
        <w:rPr>
          <w:sz w:val="24"/>
          <w:szCs w:val="24"/>
          <w:lang w:val="en-US"/>
        </w:rPr>
        <w:t xml:space="preserve">the income </w:t>
      </w:r>
      <w:r w:rsidR="00F31CCB">
        <w:rPr>
          <w:sz w:val="24"/>
          <w:szCs w:val="24"/>
          <w:lang w:val="en-US"/>
        </w:rPr>
        <w:t>distribution</w:t>
      </w:r>
      <w:r w:rsidR="00C07AE2">
        <w:rPr>
          <w:sz w:val="24"/>
          <w:szCs w:val="24"/>
          <w:lang w:val="en-US"/>
        </w:rPr>
        <w:t>.</w:t>
      </w:r>
    </w:p>
    <w:p w:rsidR="00B03642" w:rsidRPr="00F31CCB" w:rsidRDefault="00B03642" w:rsidP="00CF5358">
      <w:pPr>
        <w:rPr>
          <w:sz w:val="22"/>
          <w:szCs w:val="24"/>
          <w:lang w:val="en-GB"/>
        </w:rPr>
      </w:pPr>
    </w:p>
    <w:p w:rsidR="00BC4909" w:rsidRPr="005165D0" w:rsidRDefault="005318EF" w:rsidP="004435D2">
      <w:pPr>
        <w:numPr>
          <w:ilvl w:val="0"/>
          <w:numId w:val="5"/>
        </w:numPr>
        <w:spacing w:after="120" w:line="480" w:lineRule="auto"/>
        <w:rPr>
          <w:b/>
          <w:bCs/>
          <w:sz w:val="24"/>
          <w:szCs w:val="28"/>
          <w:lang w:val="en-US"/>
        </w:rPr>
      </w:pPr>
      <w:r>
        <w:rPr>
          <w:b/>
          <w:bCs/>
          <w:sz w:val="24"/>
          <w:szCs w:val="28"/>
          <w:lang w:val="en-US"/>
        </w:rPr>
        <w:t>The</w:t>
      </w:r>
      <w:r w:rsidR="00500A0B">
        <w:rPr>
          <w:b/>
          <w:bCs/>
          <w:sz w:val="24"/>
          <w:szCs w:val="28"/>
          <w:lang w:val="en-US"/>
        </w:rPr>
        <w:t xml:space="preserve"> </w:t>
      </w:r>
      <w:r w:rsidR="004435D2">
        <w:rPr>
          <w:b/>
          <w:bCs/>
          <w:sz w:val="24"/>
          <w:szCs w:val="28"/>
          <w:lang w:val="en-US"/>
        </w:rPr>
        <w:t xml:space="preserve">ABG method of </w:t>
      </w:r>
      <w:r w:rsidR="00F31CCB">
        <w:rPr>
          <w:b/>
          <w:bCs/>
          <w:sz w:val="24"/>
          <w:szCs w:val="28"/>
          <w:lang w:val="en-US"/>
        </w:rPr>
        <w:t xml:space="preserve">the </w:t>
      </w:r>
      <w:r w:rsidR="00500A0B">
        <w:rPr>
          <w:b/>
          <w:bCs/>
          <w:sz w:val="24"/>
          <w:szCs w:val="28"/>
          <w:lang w:val="en-US"/>
        </w:rPr>
        <w:t xml:space="preserve">parametric estimation </w:t>
      </w:r>
      <w:r>
        <w:rPr>
          <w:b/>
          <w:bCs/>
          <w:sz w:val="24"/>
          <w:szCs w:val="28"/>
          <w:lang w:val="en-US"/>
        </w:rPr>
        <w:t xml:space="preserve">of </w:t>
      </w:r>
      <w:r w:rsidR="00F31CCB">
        <w:rPr>
          <w:b/>
          <w:bCs/>
          <w:sz w:val="24"/>
          <w:szCs w:val="28"/>
          <w:lang w:val="en-US"/>
        </w:rPr>
        <w:t xml:space="preserve">the </w:t>
      </w:r>
      <w:r w:rsidR="00827753">
        <w:rPr>
          <w:b/>
          <w:bCs/>
          <w:sz w:val="24"/>
          <w:szCs w:val="28"/>
          <w:lang w:val="en-US"/>
        </w:rPr>
        <w:t xml:space="preserve">ISO </w:t>
      </w:r>
    </w:p>
    <w:p w:rsidR="007E216E" w:rsidRDefault="006A568B" w:rsidP="00F00FDF">
      <w:pPr>
        <w:spacing w:after="120" w:line="480" w:lineRule="auto"/>
        <w:rPr>
          <w:sz w:val="24"/>
          <w:szCs w:val="24"/>
          <w:lang w:val="en-US"/>
        </w:rPr>
      </w:pPr>
      <w:r>
        <w:rPr>
          <w:sz w:val="24"/>
          <w:szCs w:val="24"/>
          <w:lang w:val="en-US"/>
        </w:rPr>
        <w:t xml:space="preserve">The </w:t>
      </w:r>
      <w:r w:rsidR="00F31CCB" w:rsidRPr="00F31CCB">
        <w:rPr>
          <w:sz w:val="24"/>
          <w:szCs w:val="24"/>
          <w:lang w:val="en-US"/>
        </w:rPr>
        <w:t xml:space="preserve">shapes </w:t>
      </w:r>
      <w:r>
        <w:rPr>
          <w:sz w:val="24"/>
          <w:szCs w:val="24"/>
          <w:lang w:val="en-US"/>
        </w:rPr>
        <w:t xml:space="preserve">of </w:t>
      </w:r>
      <w:r w:rsidR="00F31CCB">
        <w:rPr>
          <w:sz w:val="24"/>
          <w:szCs w:val="24"/>
          <w:lang w:val="en-US"/>
        </w:rPr>
        <w:t xml:space="preserve">the </w:t>
      </w:r>
      <w:r w:rsidR="005423EC">
        <w:rPr>
          <w:sz w:val="24"/>
          <w:szCs w:val="24"/>
          <w:lang w:val="en-US"/>
        </w:rPr>
        <w:t>232</w:t>
      </w:r>
      <w:r>
        <w:rPr>
          <w:sz w:val="24"/>
          <w:szCs w:val="24"/>
          <w:lang w:val="en-US"/>
        </w:rPr>
        <w:t xml:space="preserve"> isograph</w:t>
      </w:r>
      <w:r w:rsidR="00F31CCB">
        <w:rPr>
          <w:sz w:val="24"/>
          <w:szCs w:val="24"/>
          <w:lang w:val="en-US"/>
        </w:rPr>
        <w:t>s</w:t>
      </w:r>
      <w:r>
        <w:rPr>
          <w:sz w:val="24"/>
          <w:szCs w:val="24"/>
          <w:lang w:val="en-US"/>
        </w:rPr>
        <w:t xml:space="preserve"> </w:t>
      </w:r>
      <w:r w:rsidR="00827753">
        <w:rPr>
          <w:sz w:val="24"/>
          <w:szCs w:val="24"/>
          <w:lang w:val="en-US"/>
        </w:rPr>
        <w:t>(</w:t>
      </w:r>
      <w:r w:rsidR="00DE578D">
        <w:rPr>
          <w:sz w:val="24"/>
          <w:szCs w:val="24"/>
          <w:lang w:val="en-GB"/>
        </w:rPr>
        <w:t>Appendix</w:t>
      </w:r>
      <w:r w:rsidR="00827753">
        <w:rPr>
          <w:sz w:val="24"/>
          <w:szCs w:val="24"/>
          <w:lang w:val="en-GB"/>
        </w:rPr>
        <w:t xml:space="preserve"> </w:t>
      </w:r>
      <w:r w:rsidR="00D744BB">
        <w:rPr>
          <w:sz w:val="24"/>
          <w:szCs w:val="24"/>
          <w:lang w:val="en-GB"/>
        </w:rPr>
        <w:t>1</w:t>
      </w:r>
      <w:r w:rsidR="00827753">
        <w:rPr>
          <w:sz w:val="24"/>
          <w:szCs w:val="24"/>
          <w:lang w:val="en-GB"/>
        </w:rPr>
        <w:t>:</w:t>
      </w:r>
      <w:r w:rsidR="00D744BB">
        <w:rPr>
          <w:sz w:val="24"/>
          <w:szCs w:val="24"/>
          <w:lang w:val="en-GB"/>
        </w:rPr>
        <w:t xml:space="preserve"> </w:t>
      </w:r>
      <w:r w:rsidR="005423EC">
        <w:rPr>
          <w:sz w:val="24"/>
          <w:szCs w:val="24"/>
          <w:lang w:val="en-GB"/>
        </w:rPr>
        <w:t>232</w:t>
      </w:r>
      <w:r w:rsidR="00827753">
        <w:rPr>
          <w:sz w:val="24"/>
          <w:szCs w:val="24"/>
          <w:lang w:val="en-GB"/>
        </w:rPr>
        <w:t xml:space="preserve"> Isograph</w:t>
      </w:r>
      <w:r w:rsidR="00A072FE">
        <w:rPr>
          <w:sz w:val="24"/>
          <w:szCs w:val="24"/>
          <w:lang w:val="en-GB"/>
        </w:rPr>
        <w:t>s</w:t>
      </w:r>
      <w:r w:rsidR="00827753">
        <w:rPr>
          <w:sz w:val="24"/>
          <w:szCs w:val="24"/>
          <w:lang w:val="en-GB"/>
        </w:rPr>
        <w:t>)</w:t>
      </w:r>
      <w:r w:rsidR="00827753">
        <w:rPr>
          <w:sz w:val="24"/>
          <w:szCs w:val="24"/>
          <w:lang w:val="en-US"/>
        </w:rPr>
        <w:t xml:space="preserve"> </w:t>
      </w:r>
      <w:r w:rsidR="00F31CCB">
        <w:rPr>
          <w:sz w:val="24"/>
          <w:szCs w:val="24"/>
          <w:lang w:val="en-US"/>
        </w:rPr>
        <w:t xml:space="preserve">show that </w:t>
      </w:r>
      <w:r w:rsidR="00827753">
        <w:rPr>
          <w:sz w:val="24"/>
          <w:szCs w:val="24"/>
          <w:lang w:val="en-US"/>
        </w:rPr>
        <w:t xml:space="preserve">they can be accurately </w:t>
      </w:r>
      <w:r w:rsidR="00F31CCB">
        <w:rPr>
          <w:sz w:val="24"/>
          <w:szCs w:val="24"/>
          <w:lang w:val="en-US"/>
        </w:rPr>
        <w:t xml:space="preserve">captured by </w:t>
      </w:r>
      <w:r w:rsidR="007E216E">
        <w:rPr>
          <w:sz w:val="24"/>
          <w:szCs w:val="24"/>
          <w:lang w:val="en-US"/>
        </w:rPr>
        <w:t xml:space="preserve">only </w:t>
      </w:r>
      <w:r>
        <w:rPr>
          <w:sz w:val="24"/>
          <w:szCs w:val="24"/>
          <w:lang w:val="en-US"/>
        </w:rPr>
        <w:t>three parameters</w:t>
      </w:r>
      <w:r w:rsidR="00C51D10">
        <w:rPr>
          <w:sz w:val="24"/>
          <w:szCs w:val="24"/>
          <w:lang w:val="en-US"/>
        </w:rPr>
        <w:t xml:space="preserve"> that I introduce here</w:t>
      </w:r>
      <w:r w:rsidR="007E216E">
        <w:rPr>
          <w:sz w:val="24"/>
          <w:szCs w:val="24"/>
          <w:lang w:val="en-US"/>
        </w:rPr>
        <w:t>.</w:t>
      </w:r>
      <w:r w:rsidR="003809CF">
        <w:rPr>
          <w:rStyle w:val="FootnoteReference"/>
          <w:sz w:val="24"/>
          <w:szCs w:val="24"/>
          <w:lang w:val="en-US"/>
        </w:rPr>
        <w:footnoteReference w:id="13"/>
      </w:r>
      <w:r w:rsidR="007E216E">
        <w:rPr>
          <w:sz w:val="24"/>
          <w:szCs w:val="24"/>
          <w:lang w:val="en-US"/>
        </w:rPr>
        <w:t xml:space="preserve"> The isograph</w:t>
      </w:r>
      <w:r w:rsidR="00F31CCB">
        <w:rPr>
          <w:sz w:val="24"/>
          <w:szCs w:val="24"/>
          <w:lang w:val="en-US"/>
        </w:rPr>
        <w:t xml:space="preserve"> shapes </w:t>
      </w:r>
      <w:r w:rsidR="00C51D10">
        <w:rPr>
          <w:sz w:val="24"/>
          <w:szCs w:val="24"/>
          <w:lang w:val="en-US"/>
        </w:rPr>
        <w:t xml:space="preserve">show that </w:t>
      </w:r>
      <w:r w:rsidR="007E216E">
        <w:rPr>
          <w:sz w:val="24"/>
          <w:szCs w:val="24"/>
          <w:lang w:val="en-US"/>
        </w:rPr>
        <w:t xml:space="preserve">a </w:t>
      </w:r>
      <w:r w:rsidR="00C51D10">
        <w:rPr>
          <w:sz w:val="24"/>
          <w:szCs w:val="24"/>
          <w:lang w:val="en-US"/>
        </w:rPr>
        <w:t xml:space="preserve">coefficient pertaining to the </w:t>
      </w:r>
      <w:r w:rsidR="007E216E">
        <w:rPr>
          <w:sz w:val="24"/>
          <w:szCs w:val="24"/>
          <w:lang w:val="en-US"/>
        </w:rPr>
        <w:t xml:space="preserve">level of </w:t>
      </w:r>
      <w:r>
        <w:rPr>
          <w:sz w:val="24"/>
          <w:szCs w:val="24"/>
          <w:lang w:val="en-US"/>
        </w:rPr>
        <w:t xml:space="preserve">local inequality </w:t>
      </w:r>
      <w:r w:rsidR="004B0D61">
        <w:rPr>
          <w:sz w:val="24"/>
          <w:szCs w:val="24"/>
          <w:lang w:val="en-US"/>
        </w:rPr>
        <w:t xml:space="preserve">close </w:t>
      </w:r>
      <w:r>
        <w:rPr>
          <w:sz w:val="24"/>
          <w:szCs w:val="24"/>
          <w:lang w:val="en-US"/>
        </w:rPr>
        <w:t>to the median (</w:t>
      </w:r>
      <w:r w:rsidR="00472786" w:rsidRPr="00472786">
        <w:rPr>
          <w:rFonts w:ascii="Symbol" w:hAnsi="Symbol"/>
          <w:sz w:val="24"/>
          <w:szCs w:val="24"/>
          <w:lang w:val="en-US"/>
        </w:rPr>
        <w:t></w:t>
      </w:r>
      <w:r>
        <w:rPr>
          <w:sz w:val="24"/>
          <w:szCs w:val="24"/>
          <w:lang w:val="en-US"/>
        </w:rPr>
        <w:t>)</w:t>
      </w:r>
      <w:r w:rsidR="007E216E">
        <w:rPr>
          <w:sz w:val="24"/>
          <w:szCs w:val="24"/>
          <w:lang w:val="en-US"/>
        </w:rPr>
        <w:t xml:space="preserve"> </w:t>
      </w:r>
      <w:r w:rsidR="00BE7F69">
        <w:rPr>
          <w:sz w:val="24"/>
          <w:szCs w:val="24"/>
          <w:lang w:val="en-US"/>
        </w:rPr>
        <w:t xml:space="preserve">can be defined along with </w:t>
      </w:r>
      <w:r w:rsidR="00C51D10">
        <w:rPr>
          <w:sz w:val="24"/>
          <w:szCs w:val="24"/>
          <w:lang w:val="en-US"/>
        </w:rPr>
        <w:t xml:space="preserve">two </w:t>
      </w:r>
      <w:r w:rsidR="003809CF">
        <w:rPr>
          <w:sz w:val="24"/>
          <w:szCs w:val="24"/>
          <w:lang w:val="en-US"/>
        </w:rPr>
        <w:t xml:space="preserve">shape parameters </w:t>
      </w:r>
      <w:r w:rsidR="00F31CCB">
        <w:rPr>
          <w:sz w:val="24"/>
          <w:szCs w:val="24"/>
          <w:lang w:val="en-US"/>
        </w:rPr>
        <w:t xml:space="preserve">reflecting </w:t>
      </w:r>
      <w:r w:rsidR="00C51D10">
        <w:rPr>
          <w:sz w:val="24"/>
          <w:szCs w:val="24"/>
          <w:lang w:val="en-US"/>
        </w:rPr>
        <w:t xml:space="preserve">isograph </w:t>
      </w:r>
      <w:r w:rsidR="00F31CCB">
        <w:rPr>
          <w:sz w:val="24"/>
          <w:szCs w:val="24"/>
          <w:lang w:val="en-US"/>
        </w:rPr>
        <w:t>curvature</w:t>
      </w:r>
      <w:r w:rsidR="00F31CCB" w:rsidRPr="00F31CCB">
        <w:rPr>
          <w:sz w:val="24"/>
          <w:szCs w:val="24"/>
          <w:lang w:val="en-US"/>
        </w:rPr>
        <w:t xml:space="preserve"> </w:t>
      </w:r>
      <w:r w:rsidR="007E216E">
        <w:rPr>
          <w:sz w:val="24"/>
          <w:szCs w:val="24"/>
          <w:lang w:val="en-US"/>
        </w:rPr>
        <w:t>at the two extremes</w:t>
      </w:r>
      <w:r w:rsidR="00C51D10">
        <w:rPr>
          <w:sz w:val="24"/>
          <w:szCs w:val="24"/>
          <w:lang w:val="en-US"/>
        </w:rPr>
        <w:t xml:space="preserve">. </w:t>
      </w:r>
      <w:r w:rsidR="00F31CCB">
        <w:rPr>
          <w:sz w:val="24"/>
          <w:szCs w:val="24"/>
          <w:lang w:val="en-US"/>
        </w:rPr>
        <w:t>T</w:t>
      </w:r>
      <w:r w:rsidR="00C51D10">
        <w:rPr>
          <w:sz w:val="24"/>
          <w:szCs w:val="24"/>
          <w:lang w:val="en-US"/>
        </w:rPr>
        <w:t xml:space="preserve">wo </w:t>
      </w:r>
      <w:r w:rsidR="00BE7F69">
        <w:rPr>
          <w:sz w:val="24"/>
          <w:szCs w:val="24"/>
          <w:lang w:val="en-US"/>
        </w:rPr>
        <w:t>correcti</w:t>
      </w:r>
      <w:r w:rsidR="00F67915">
        <w:rPr>
          <w:sz w:val="24"/>
          <w:szCs w:val="24"/>
          <w:lang w:val="en-US"/>
        </w:rPr>
        <w:t>on</w:t>
      </w:r>
      <w:r w:rsidR="00BE7F69">
        <w:rPr>
          <w:sz w:val="24"/>
          <w:szCs w:val="24"/>
          <w:lang w:val="en-US"/>
        </w:rPr>
        <w:t xml:space="preserve"> </w:t>
      </w:r>
      <w:r w:rsidR="00C51D10">
        <w:rPr>
          <w:sz w:val="24"/>
          <w:szCs w:val="24"/>
          <w:lang w:val="en-US"/>
        </w:rPr>
        <w:t xml:space="preserve">coefficients </w:t>
      </w:r>
      <w:r w:rsidR="00472786" w:rsidRPr="00472786">
        <w:rPr>
          <w:rFonts w:ascii="Symbol" w:hAnsi="Symbol"/>
          <w:sz w:val="24"/>
          <w:szCs w:val="24"/>
          <w:lang w:val="en-US"/>
        </w:rPr>
        <w:t></w:t>
      </w:r>
      <w:r w:rsidR="00C51D10">
        <w:rPr>
          <w:sz w:val="24"/>
          <w:szCs w:val="24"/>
          <w:lang w:val="en-US"/>
        </w:rPr>
        <w:t xml:space="preserve"> and </w:t>
      </w:r>
      <w:r w:rsidR="00472786" w:rsidRPr="00472786">
        <w:rPr>
          <w:rFonts w:ascii="Symbol" w:hAnsi="Symbol"/>
          <w:sz w:val="24"/>
          <w:szCs w:val="24"/>
          <w:lang w:val="en-US"/>
        </w:rPr>
        <w:t></w:t>
      </w:r>
      <w:r w:rsidR="00C51D10">
        <w:rPr>
          <w:sz w:val="24"/>
          <w:szCs w:val="24"/>
          <w:lang w:val="en-US"/>
        </w:rPr>
        <w:t xml:space="preserve"> </w:t>
      </w:r>
      <w:r w:rsidR="00BE7F69">
        <w:rPr>
          <w:sz w:val="24"/>
          <w:szCs w:val="24"/>
          <w:lang w:val="en-US"/>
        </w:rPr>
        <w:t xml:space="preserve">are </w:t>
      </w:r>
      <w:r w:rsidR="00F31CCB">
        <w:rPr>
          <w:sz w:val="24"/>
          <w:szCs w:val="24"/>
          <w:lang w:val="en-US"/>
        </w:rPr>
        <w:t>therefore</w:t>
      </w:r>
      <w:r w:rsidR="00F31CCB" w:rsidRPr="00F31CCB">
        <w:rPr>
          <w:sz w:val="24"/>
          <w:szCs w:val="24"/>
          <w:lang w:val="en-US"/>
        </w:rPr>
        <w:t xml:space="preserve"> </w:t>
      </w:r>
      <w:r w:rsidR="00BE7F69">
        <w:rPr>
          <w:sz w:val="24"/>
          <w:szCs w:val="24"/>
          <w:lang w:val="en-US"/>
        </w:rPr>
        <w:t>determined</w:t>
      </w:r>
      <w:r w:rsidR="004B0D61">
        <w:rPr>
          <w:sz w:val="24"/>
          <w:szCs w:val="24"/>
          <w:lang w:val="en-US"/>
        </w:rPr>
        <w:t>,</w:t>
      </w:r>
      <w:r w:rsidR="00BE7F69">
        <w:rPr>
          <w:sz w:val="24"/>
          <w:szCs w:val="24"/>
          <w:lang w:val="en-US"/>
        </w:rPr>
        <w:t xml:space="preserve"> </w:t>
      </w:r>
      <w:r w:rsidR="00C51D10">
        <w:rPr>
          <w:sz w:val="24"/>
          <w:szCs w:val="24"/>
          <w:lang w:val="en-US"/>
        </w:rPr>
        <w:t xml:space="preserve">where </w:t>
      </w:r>
      <w:r w:rsidR="00472786" w:rsidRPr="00472786">
        <w:rPr>
          <w:rFonts w:ascii="Symbol" w:hAnsi="Symbol"/>
          <w:sz w:val="24"/>
          <w:szCs w:val="24"/>
          <w:lang w:val="en-US"/>
        </w:rPr>
        <w:t></w:t>
      </w:r>
      <w:r w:rsidR="00C37C17">
        <w:rPr>
          <w:rFonts w:ascii="Symbol" w:hAnsi="Symbol"/>
          <w:sz w:val="24"/>
          <w:szCs w:val="24"/>
          <w:lang w:val="en-US"/>
        </w:rPr>
        <w:t></w:t>
      </w:r>
      <w:r w:rsidR="007E216E">
        <w:rPr>
          <w:sz w:val="24"/>
          <w:szCs w:val="24"/>
          <w:lang w:val="en-US"/>
        </w:rPr>
        <w:t>+</w:t>
      </w:r>
      <w:r w:rsidR="00C37C17">
        <w:rPr>
          <w:sz w:val="24"/>
          <w:szCs w:val="24"/>
          <w:lang w:val="en-US"/>
        </w:rPr>
        <w:t xml:space="preserve"> </w:t>
      </w:r>
      <w:r w:rsidR="00472786" w:rsidRPr="00472786">
        <w:rPr>
          <w:rFonts w:ascii="Symbol" w:hAnsi="Symbol"/>
          <w:sz w:val="24"/>
          <w:szCs w:val="24"/>
          <w:lang w:val="en-US"/>
        </w:rPr>
        <w:t></w:t>
      </w:r>
      <w:r w:rsidR="00C51D10">
        <w:rPr>
          <w:sz w:val="24"/>
          <w:szCs w:val="24"/>
          <w:lang w:val="en-US"/>
        </w:rPr>
        <w:t xml:space="preserve"> is the upper asymptote of </w:t>
      </w:r>
      <w:r w:rsidR="00F31CCB">
        <w:rPr>
          <w:sz w:val="24"/>
          <w:szCs w:val="24"/>
          <w:lang w:val="en-US"/>
        </w:rPr>
        <w:t xml:space="preserve">the </w:t>
      </w:r>
      <w:r w:rsidR="00C51D10">
        <w:rPr>
          <w:sz w:val="24"/>
          <w:szCs w:val="24"/>
          <w:lang w:val="en-US"/>
        </w:rPr>
        <w:t xml:space="preserve">ISO and </w:t>
      </w:r>
      <w:r w:rsidR="00472786" w:rsidRPr="00472786">
        <w:rPr>
          <w:rFonts w:ascii="Symbol" w:hAnsi="Symbol"/>
          <w:sz w:val="24"/>
          <w:szCs w:val="24"/>
          <w:lang w:val="en-US"/>
        </w:rPr>
        <w:t></w:t>
      </w:r>
      <w:r w:rsidR="00C37C17">
        <w:rPr>
          <w:rFonts w:ascii="Symbol" w:hAnsi="Symbol"/>
          <w:sz w:val="24"/>
          <w:szCs w:val="24"/>
          <w:lang w:val="en-US"/>
        </w:rPr>
        <w:t></w:t>
      </w:r>
      <w:r w:rsidR="007E216E">
        <w:rPr>
          <w:sz w:val="24"/>
          <w:szCs w:val="24"/>
          <w:lang w:val="en-US"/>
        </w:rPr>
        <w:t>+</w:t>
      </w:r>
      <w:r w:rsidR="00C37C17">
        <w:rPr>
          <w:sz w:val="24"/>
          <w:szCs w:val="24"/>
          <w:lang w:val="en-US"/>
        </w:rPr>
        <w:t xml:space="preserve"> </w:t>
      </w:r>
      <w:r w:rsidR="00472786" w:rsidRPr="00472786">
        <w:rPr>
          <w:rFonts w:ascii="Symbol" w:hAnsi="Symbol"/>
          <w:sz w:val="24"/>
          <w:szCs w:val="24"/>
          <w:lang w:val="en-US"/>
        </w:rPr>
        <w:t></w:t>
      </w:r>
      <w:r w:rsidR="00C51D10">
        <w:rPr>
          <w:sz w:val="24"/>
          <w:szCs w:val="24"/>
          <w:lang w:val="en-US"/>
        </w:rPr>
        <w:t xml:space="preserve"> </w:t>
      </w:r>
      <w:r w:rsidR="004A3C60">
        <w:rPr>
          <w:sz w:val="24"/>
          <w:szCs w:val="24"/>
          <w:lang w:val="en-US"/>
        </w:rPr>
        <w:t>the lower asymptote</w:t>
      </w:r>
      <w:r>
        <w:rPr>
          <w:sz w:val="24"/>
          <w:szCs w:val="24"/>
          <w:lang w:val="en-US"/>
        </w:rPr>
        <w:t>.</w:t>
      </w:r>
      <w:r w:rsidR="008404F0">
        <w:rPr>
          <w:sz w:val="24"/>
          <w:szCs w:val="24"/>
          <w:lang w:val="en-US"/>
        </w:rPr>
        <w:t xml:space="preserve"> </w:t>
      </w:r>
      <w:r w:rsidR="007E216E">
        <w:rPr>
          <w:sz w:val="24"/>
          <w:szCs w:val="24"/>
          <w:lang w:val="en-US"/>
        </w:rPr>
        <w:t xml:space="preserve">When </w:t>
      </w:r>
      <w:r w:rsidR="00472786" w:rsidRPr="00472786">
        <w:rPr>
          <w:rFonts w:ascii="Symbol" w:hAnsi="Symbol"/>
          <w:sz w:val="24"/>
          <w:szCs w:val="24"/>
          <w:lang w:val="en-US"/>
        </w:rPr>
        <w:t></w:t>
      </w:r>
      <w:r w:rsidR="007E216E">
        <w:rPr>
          <w:sz w:val="24"/>
          <w:szCs w:val="24"/>
          <w:lang w:val="en-US"/>
        </w:rPr>
        <w:t xml:space="preserve"> and </w:t>
      </w:r>
      <w:r w:rsidR="00472786" w:rsidRPr="00472786">
        <w:rPr>
          <w:rFonts w:ascii="Symbol" w:hAnsi="Symbol"/>
          <w:sz w:val="24"/>
          <w:szCs w:val="24"/>
          <w:lang w:val="en-US"/>
        </w:rPr>
        <w:t></w:t>
      </w:r>
      <w:r w:rsidR="007E216E">
        <w:rPr>
          <w:sz w:val="24"/>
          <w:szCs w:val="24"/>
          <w:lang w:val="en-US"/>
        </w:rPr>
        <w:t xml:space="preserve"> are </w:t>
      </w:r>
      <w:r w:rsidR="00F31CCB">
        <w:rPr>
          <w:sz w:val="24"/>
          <w:szCs w:val="24"/>
          <w:lang w:val="en-US"/>
        </w:rPr>
        <w:t>zero</w:t>
      </w:r>
      <w:r w:rsidR="007E216E">
        <w:rPr>
          <w:sz w:val="24"/>
          <w:szCs w:val="24"/>
          <w:lang w:val="en-US"/>
        </w:rPr>
        <w:t xml:space="preserve">, </w:t>
      </w:r>
      <w:r w:rsidR="00F31CCB">
        <w:rPr>
          <w:sz w:val="24"/>
          <w:szCs w:val="24"/>
          <w:lang w:val="en-US"/>
        </w:rPr>
        <w:t xml:space="preserve">the </w:t>
      </w:r>
      <w:r w:rsidR="00F31CCB" w:rsidRPr="00F31CCB">
        <w:rPr>
          <w:sz w:val="24"/>
          <w:szCs w:val="24"/>
          <w:lang w:val="en-US"/>
        </w:rPr>
        <w:t xml:space="preserve">distribution </w:t>
      </w:r>
      <w:r w:rsidR="00BE7F69">
        <w:rPr>
          <w:sz w:val="24"/>
          <w:szCs w:val="24"/>
          <w:lang w:val="en-US"/>
        </w:rPr>
        <w:t xml:space="preserve">is </w:t>
      </w:r>
      <w:r w:rsidR="00C37C17">
        <w:rPr>
          <w:sz w:val="24"/>
          <w:szCs w:val="24"/>
          <w:lang w:val="en-GB"/>
        </w:rPr>
        <w:t>CF</w:t>
      </w:r>
      <w:r w:rsidR="00C37C17" w:rsidRPr="00C37C17">
        <w:rPr>
          <w:rFonts w:ascii="Symbol" w:hAnsi="Symbol"/>
          <w:sz w:val="24"/>
          <w:szCs w:val="24"/>
          <w:vertAlign w:val="subscript"/>
          <w:lang w:val="en-GB"/>
        </w:rPr>
        <w:t></w:t>
      </w:r>
      <w:r w:rsidR="00C37C17">
        <w:rPr>
          <w:sz w:val="24"/>
          <w:szCs w:val="24"/>
          <w:lang w:val="en-US"/>
        </w:rPr>
        <w:t xml:space="preserve"> </w:t>
      </w:r>
      <w:r w:rsidR="00F31CCB">
        <w:rPr>
          <w:sz w:val="24"/>
          <w:szCs w:val="24"/>
          <w:lang w:val="en-US"/>
        </w:rPr>
        <w:t xml:space="preserve">with </w:t>
      </w:r>
      <w:r w:rsidR="007E216E">
        <w:rPr>
          <w:sz w:val="24"/>
          <w:szCs w:val="24"/>
          <w:lang w:val="en-US"/>
        </w:rPr>
        <w:t xml:space="preserve">coefficient </w:t>
      </w:r>
      <w:r w:rsidR="00937755" w:rsidRPr="00472786">
        <w:rPr>
          <w:rFonts w:ascii="Symbol" w:hAnsi="Symbol"/>
          <w:sz w:val="24"/>
          <w:szCs w:val="24"/>
          <w:lang w:val="en-US"/>
        </w:rPr>
        <w:t></w:t>
      </w:r>
      <w:r w:rsidR="00937755">
        <w:rPr>
          <w:rFonts w:ascii="Symbol" w:hAnsi="Symbol"/>
          <w:sz w:val="24"/>
          <w:szCs w:val="24"/>
          <w:lang w:val="en-US"/>
        </w:rPr>
        <w:t></w:t>
      </w:r>
      <w:r w:rsidR="00937755">
        <w:rPr>
          <w:rFonts w:ascii="Symbol" w:hAnsi="Symbol"/>
          <w:sz w:val="24"/>
          <w:szCs w:val="24"/>
          <w:lang w:val="en-US"/>
        </w:rPr>
        <w:t></w:t>
      </w:r>
      <w:r w:rsidR="00937755">
        <w:rPr>
          <w:rFonts w:ascii="Symbol" w:hAnsi="Symbol"/>
          <w:sz w:val="24"/>
          <w:szCs w:val="24"/>
          <w:lang w:val="en-US"/>
        </w:rPr>
        <w:t></w:t>
      </w:r>
      <w:r w:rsidR="007E216E">
        <w:rPr>
          <w:sz w:val="24"/>
          <w:szCs w:val="24"/>
          <w:lang w:val="en-US"/>
        </w:rPr>
        <w:t>Gini. The</w:t>
      </w:r>
      <w:r w:rsidR="004A3C60">
        <w:rPr>
          <w:sz w:val="24"/>
          <w:szCs w:val="24"/>
          <w:lang w:val="en-US"/>
        </w:rPr>
        <w:t xml:space="preserve"> added value</w:t>
      </w:r>
      <w:r w:rsidR="007E216E">
        <w:rPr>
          <w:sz w:val="24"/>
          <w:szCs w:val="24"/>
          <w:lang w:val="en-US"/>
        </w:rPr>
        <w:t xml:space="preserve"> of this </w:t>
      </w:r>
      <w:r w:rsidR="003809CF">
        <w:rPr>
          <w:sz w:val="24"/>
          <w:szCs w:val="24"/>
          <w:lang w:val="en-US"/>
        </w:rPr>
        <w:t xml:space="preserve">method </w:t>
      </w:r>
      <w:r w:rsidR="007E216E">
        <w:rPr>
          <w:sz w:val="24"/>
          <w:szCs w:val="24"/>
          <w:lang w:val="en-US"/>
        </w:rPr>
        <w:t xml:space="preserve">is to deliver </w:t>
      </w:r>
      <w:r w:rsidR="003809CF">
        <w:rPr>
          <w:sz w:val="24"/>
          <w:szCs w:val="24"/>
          <w:lang w:val="en-US"/>
        </w:rPr>
        <w:t xml:space="preserve">unambiguous </w:t>
      </w:r>
      <w:r w:rsidR="007E216E">
        <w:rPr>
          <w:sz w:val="24"/>
          <w:szCs w:val="24"/>
          <w:lang w:val="en-US"/>
        </w:rPr>
        <w:t>interpretable parameters of inequality</w:t>
      </w:r>
      <w:r w:rsidR="00937FFE">
        <w:rPr>
          <w:sz w:val="24"/>
          <w:szCs w:val="24"/>
          <w:lang w:val="en-US"/>
        </w:rPr>
        <w:t xml:space="preserve"> </w:t>
      </w:r>
      <w:r w:rsidR="00F31CCB">
        <w:rPr>
          <w:sz w:val="24"/>
          <w:szCs w:val="24"/>
          <w:lang w:val="en-US"/>
        </w:rPr>
        <w:t xml:space="preserve">showing both </w:t>
      </w:r>
      <w:r w:rsidR="007E216E">
        <w:rPr>
          <w:sz w:val="24"/>
          <w:szCs w:val="24"/>
          <w:lang w:val="en-US"/>
        </w:rPr>
        <w:t xml:space="preserve">local </w:t>
      </w:r>
      <w:r w:rsidR="004D30A6">
        <w:rPr>
          <w:sz w:val="24"/>
          <w:szCs w:val="24"/>
          <w:lang w:val="en-US"/>
        </w:rPr>
        <w:t xml:space="preserve">inequality at the median, </w:t>
      </w:r>
      <w:r w:rsidR="00A44E4F">
        <w:rPr>
          <w:sz w:val="24"/>
          <w:szCs w:val="24"/>
          <w:lang w:val="en-US"/>
        </w:rPr>
        <w:t xml:space="preserve">and </w:t>
      </w:r>
      <w:r w:rsidR="008E688E">
        <w:rPr>
          <w:sz w:val="24"/>
          <w:szCs w:val="24"/>
          <w:lang w:val="en-US"/>
        </w:rPr>
        <w:t>correction</w:t>
      </w:r>
      <w:r w:rsidR="00F31CCB">
        <w:rPr>
          <w:sz w:val="24"/>
          <w:szCs w:val="24"/>
          <w:lang w:val="en-US"/>
        </w:rPr>
        <w:t>s</w:t>
      </w:r>
      <w:r w:rsidR="008E688E">
        <w:rPr>
          <w:sz w:val="24"/>
          <w:szCs w:val="24"/>
          <w:lang w:val="en-US"/>
        </w:rPr>
        <w:t xml:space="preserve"> </w:t>
      </w:r>
      <w:r w:rsidR="004D30A6">
        <w:rPr>
          <w:sz w:val="24"/>
          <w:szCs w:val="24"/>
          <w:lang w:val="en-US"/>
        </w:rPr>
        <w:t>at the top and bottom of the income distribution.</w:t>
      </w:r>
      <w:r w:rsidR="00C51D10">
        <w:rPr>
          <w:rStyle w:val="FootnoteReference"/>
          <w:sz w:val="24"/>
          <w:szCs w:val="24"/>
          <w:lang w:val="en-US"/>
        </w:rPr>
        <w:footnoteReference w:id="14"/>
      </w:r>
      <w:r w:rsidR="008E688E">
        <w:rPr>
          <w:sz w:val="24"/>
          <w:szCs w:val="24"/>
          <w:lang w:val="en-US"/>
        </w:rPr>
        <w:t xml:space="preserve"> </w:t>
      </w:r>
    </w:p>
    <w:p w:rsidR="007C07AB" w:rsidRDefault="007E216E" w:rsidP="00F00FDF">
      <w:pPr>
        <w:spacing w:after="120" w:line="480" w:lineRule="auto"/>
        <w:rPr>
          <w:sz w:val="24"/>
          <w:szCs w:val="24"/>
          <w:lang w:val="en-US"/>
        </w:rPr>
      </w:pPr>
      <w:r>
        <w:rPr>
          <w:sz w:val="24"/>
          <w:szCs w:val="24"/>
          <w:lang w:val="en-US"/>
        </w:rPr>
        <w:t xml:space="preserve">The parameterization </w:t>
      </w:r>
      <w:r w:rsidR="00BE7F69">
        <w:rPr>
          <w:sz w:val="24"/>
          <w:szCs w:val="24"/>
          <w:lang w:val="en-US"/>
        </w:rPr>
        <w:t xml:space="preserve">proposed here </w:t>
      </w:r>
      <w:r>
        <w:rPr>
          <w:sz w:val="24"/>
          <w:szCs w:val="24"/>
          <w:lang w:val="en-US"/>
        </w:rPr>
        <w:t>is compatible with the well</w:t>
      </w:r>
      <w:r w:rsidR="004B0D61">
        <w:rPr>
          <w:sz w:val="24"/>
          <w:szCs w:val="24"/>
          <w:lang w:val="en-US"/>
        </w:rPr>
        <w:t>-established</w:t>
      </w:r>
      <w:r>
        <w:rPr>
          <w:sz w:val="24"/>
          <w:szCs w:val="24"/>
          <w:lang w:val="en-US"/>
        </w:rPr>
        <w:t xml:space="preserve"> hypothesis that the upper tail </w:t>
      </w:r>
      <w:r w:rsidR="00BC66FD">
        <w:rPr>
          <w:sz w:val="24"/>
          <w:szCs w:val="24"/>
          <w:lang w:val="en-US"/>
        </w:rPr>
        <w:t>ha</w:t>
      </w:r>
      <w:r w:rsidR="00F31CCB">
        <w:rPr>
          <w:sz w:val="24"/>
          <w:szCs w:val="24"/>
          <w:lang w:val="en-US"/>
        </w:rPr>
        <w:t>s a power-tailed Pareto-</w:t>
      </w:r>
      <w:r>
        <w:rPr>
          <w:sz w:val="24"/>
          <w:szCs w:val="24"/>
          <w:lang w:val="en-US"/>
        </w:rPr>
        <w:t xml:space="preserve">type </w:t>
      </w:r>
      <w:r w:rsidR="00BC66FD">
        <w:rPr>
          <w:sz w:val="24"/>
          <w:szCs w:val="24"/>
          <w:lang w:val="en-US"/>
        </w:rPr>
        <w:t>shape</w:t>
      </w:r>
      <w:r w:rsidR="00114645">
        <w:rPr>
          <w:sz w:val="24"/>
          <w:szCs w:val="24"/>
          <w:lang w:val="en-US"/>
        </w:rPr>
        <w:t xml:space="preserve"> </w:t>
      </w:r>
      <w:r w:rsidR="00250DF3">
        <w:rPr>
          <w:sz w:val="24"/>
          <w:szCs w:val="24"/>
          <w:lang w:val="en-US"/>
        </w:rPr>
        <w:t>(Piketty, 2001)</w:t>
      </w:r>
      <w:r w:rsidR="00114645">
        <w:rPr>
          <w:sz w:val="24"/>
          <w:szCs w:val="24"/>
          <w:lang w:val="en-US"/>
        </w:rPr>
        <w:t xml:space="preserve">, so </w:t>
      </w:r>
      <w:r w:rsidR="00BC66FD">
        <w:rPr>
          <w:sz w:val="24"/>
          <w:szCs w:val="24"/>
          <w:lang w:val="en-US"/>
        </w:rPr>
        <w:t xml:space="preserve">that </w:t>
      </w:r>
      <w:r w:rsidR="008E688E">
        <w:rPr>
          <w:sz w:val="24"/>
          <w:szCs w:val="24"/>
          <w:lang w:val="en-US"/>
        </w:rPr>
        <w:t xml:space="preserve">the </w:t>
      </w:r>
      <w:r w:rsidR="00114645">
        <w:rPr>
          <w:sz w:val="24"/>
          <w:szCs w:val="24"/>
          <w:lang w:val="en-US"/>
        </w:rPr>
        <w:t xml:space="preserve">upper </w:t>
      </w:r>
      <w:r w:rsidR="00D5531F">
        <w:rPr>
          <w:sz w:val="24"/>
          <w:szCs w:val="24"/>
          <w:lang w:val="en-US"/>
        </w:rPr>
        <w:t xml:space="preserve">asymptote </w:t>
      </w:r>
      <w:r w:rsidR="008E688E">
        <w:rPr>
          <w:sz w:val="24"/>
          <w:szCs w:val="24"/>
          <w:lang w:val="en-US"/>
        </w:rPr>
        <w:t xml:space="preserve">of the ISO(X) function should be a </w:t>
      </w:r>
      <w:r w:rsidR="00F31CCB">
        <w:rPr>
          <w:sz w:val="24"/>
          <w:szCs w:val="24"/>
          <w:lang w:val="en-US"/>
        </w:rPr>
        <w:t>zero-</w:t>
      </w:r>
      <w:r w:rsidR="003809CF">
        <w:rPr>
          <w:sz w:val="24"/>
          <w:szCs w:val="24"/>
          <w:lang w:val="en-US"/>
        </w:rPr>
        <w:t xml:space="preserve">slope </w:t>
      </w:r>
      <w:r w:rsidR="008E688E">
        <w:rPr>
          <w:sz w:val="24"/>
          <w:szCs w:val="24"/>
          <w:lang w:val="en-US"/>
        </w:rPr>
        <w:t xml:space="preserve">line </w:t>
      </w:r>
      <w:r w:rsidR="003809CF">
        <w:rPr>
          <w:sz w:val="24"/>
          <w:szCs w:val="24"/>
          <w:lang w:val="en-US"/>
        </w:rPr>
        <w:t xml:space="preserve">of </w:t>
      </w:r>
      <w:r w:rsidR="00F31CCB">
        <w:rPr>
          <w:sz w:val="24"/>
          <w:szCs w:val="24"/>
          <w:lang w:val="en-US"/>
        </w:rPr>
        <w:t xml:space="preserve">the </w:t>
      </w:r>
      <w:r w:rsidR="003809CF">
        <w:rPr>
          <w:sz w:val="24"/>
          <w:szCs w:val="24"/>
          <w:lang w:val="en-US"/>
        </w:rPr>
        <w:t>equation (</w:t>
      </w:r>
      <w:r w:rsidR="008E688E">
        <w:rPr>
          <w:sz w:val="24"/>
          <w:szCs w:val="24"/>
          <w:lang w:val="en-US"/>
        </w:rPr>
        <w:t xml:space="preserve">Y = </w:t>
      </w:r>
      <w:r w:rsidR="00472786" w:rsidRPr="00472786">
        <w:rPr>
          <w:rFonts w:ascii="Symbol" w:hAnsi="Symbol"/>
          <w:sz w:val="24"/>
          <w:szCs w:val="24"/>
          <w:lang w:val="en-US"/>
        </w:rPr>
        <w:t></w:t>
      </w:r>
      <w:r w:rsidR="00064D76">
        <w:rPr>
          <w:sz w:val="24"/>
          <w:szCs w:val="24"/>
          <w:lang w:val="en-US"/>
        </w:rPr>
        <w:t xml:space="preserve"> </w:t>
      </w:r>
      <w:r w:rsidR="00D5531F">
        <w:rPr>
          <w:sz w:val="24"/>
          <w:szCs w:val="24"/>
          <w:lang w:val="en-US"/>
        </w:rPr>
        <w:t>+</w:t>
      </w:r>
      <w:r w:rsidR="00064D76">
        <w:rPr>
          <w:sz w:val="24"/>
          <w:szCs w:val="24"/>
          <w:lang w:val="en-US"/>
        </w:rPr>
        <w:t xml:space="preserve"> </w:t>
      </w:r>
      <w:r w:rsidR="00472786" w:rsidRPr="00472786">
        <w:rPr>
          <w:rFonts w:ascii="Symbol" w:hAnsi="Symbol"/>
          <w:sz w:val="24"/>
          <w:szCs w:val="24"/>
          <w:lang w:val="en-US"/>
        </w:rPr>
        <w:t></w:t>
      </w:r>
      <w:r w:rsidR="003809CF">
        <w:rPr>
          <w:rFonts w:ascii="Symbol" w:hAnsi="Symbol"/>
          <w:sz w:val="24"/>
          <w:szCs w:val="24"/>
          <w:lang w:val="en-US"/>
        </w:rPr>
        <w:t></w:t>
      </w:r>
      <w:r w:rsidR="00D5531F">
        <w:rPr>
          <w:sz w:val="24"/>
          <w:szCs w:val="24"/>
          <w:lang w:val="en-US"/>
        </w:rPr>
        <w:t xml:space="preserve">. </w:t>
      </w:r>
      <w:r w:rsidR="00F31CCB">
        <w:rPr>
          <w:sz w:val="24"/>
          <w:szCs w:val="24"/>
          <w:lang w:val="en-US"/>
        </w:rPr>
        <w:t>We</w:t>
      </w:r>
      <w:r w:rsidR="00D5531F">
        <w:rPr>
          <w:sz w:val="24"/>
          <w:szCs w:val="24"/>
          <w:lang w:val="en-US"/>
        </w:rPr>
        <w:t xml:space="preserve"> </w:t>
      </w:r>
      <w:r w:rsidR="00D5531F">
        <w:rPr>
          <w:sz w:val="24"/>
          <w:szCs w:val="24"/>
          <w:lang w:val="en-US"/>
        </w:rPr>
        <w:lastRenderedPageBreak/>
        <w:t>hypothesize</w:t>
      </w:r>
      <w:r w:rsidR="00A44E4F">
        <w:rPr>
          <w:sz w:val="24"/>
          <w:szCs w:val="24"/>
          <w:lang w:val="en-US"/>
        </w:rPr>
        <w:t xml:space="preserve">, </w:t>
      </w:r>
      <w:r w:rsidR="005A5899">
        <w:rPr>
          <w:sz w:val="24"/>
          <w:szCs w:val="24"/>
          <w:lang w:val="en-US"/>
        </w:rPr>
        <w:t xml:space="preserve">following </w:t>
      </w:r>
      <w:r w:rsidR="00D5531F">
        <w:rPr>
          <w:sz w:val="24"/>
          <w:szCs w:val="24"/>
          <w:lang w:val="en-GB"/>
        </w:rPr>
        <w:t xml:space="preserve">Reed </w:t>
      </w:r>
      <w:r w:rsidR="008E688E">
        <w:rPr>
          <w:sz w:val="24"/>
          <w:szCs w:val="24"/>
          <w:lang w:val="en-GB"/>
        </w:rPr>
        <w:t>(</w:t>
      </w:r>
      <w:r w:rsidR="00D5531F">
        <w:rPr>
          <w:sz w:val="24"/>
          <w:szCs w:val="24"/>
          <w:lang w:val="en-GB"/>
        </w:rPr>
        <w:t>2001)</w:t>
      </w:r>
      <w:r w:rsidR="00A44E4F">
        <w:rPr>
          <w:sz w:val="24"/>
          <w:szCs w:val="24"/>
          <w:lang w:val="en-GB"/>
        </w:rPr>
        <w:t>,</w:t>
      </w:r>
      <w:r w:rsidR="00D5531F">
        <w:rPr>
          <w:sz w:val="24"/>
          <w:szCs w:val="24"/>
          <w:lang w:val="en-GB"/>
        </w:rPr>
        <w:t xml:space="preserve"> that </w:t>
      </w:r>
      <w:r w:rsidR="00D5531F">
        <w:rPr>
          <w:sz w:val="24"/>
          <w:szCs w:val="24"/>
          <w:lang w:val="en-US"/>
        </w:rPr>
        <w:t xml:space="preserve">the lower tail is </w:t>
      </w:r>
      <w:r w:rsidR="005A5899">
        <w:rPr>
          <w:sz w:val="24"/>
          <w:szCs w:val="24"/>
          <w:lang w:val="en-US"/>
        </w:rPr>
        <w:t>also Pareto-</w:t>
      </w:r>
      <w:r w:rsidR="00D5531F">
        <w:rPr>
          <w:sz w:val="24"/>
          <w:szCs w:val="24"/>
          <w:lang w:val="en-US"/>
        </w:rPr>
        <w:t>shaped</w:t>
      </w:r>
      <w:r w:rsidR="00C51D10">
        <w:rPr>
          <w:sz w:val="24"/>
          <w:szCs w:val="24"/>
          <w:lang w:val="en-US"/>
        </w:rPr>
        <w:t>.</w:t>
      </w:r>
      <w:r w:rsidR="006E3090">
        <w:rPr>
          <w:rStyle w:val="FootnoteReference"/>
          <w:sz w:val="24"/>
          <w:szCs w:val="24"/>
          <w:lang w:val="en-US"/>
        </w:rPr>
        <w:footnoteReference w:id="15"/>
      </w:r>
      <w:r w:rsidR="002203AB">
        <w:rPr>
          <w:sz w:val="24"/>
          <w:szCs w:val="24"/>
          <w:lang w:val="en-US"/>
        </w:rPr>
        <w:t xml:space="preserve"> Thus, </w:t>
      </w:r>
      <w:r w:rsidR="00D5531F">
        <w:rPr>
          <w:sz w:val="24"/>
          <w:szCs w:val="24"/>
          <w:lang w:val="en-US"/>
        </w:rPr>
        <w:t xml:space="preserve">the lower asymptote </w:t>
      </w:r>
      <w:r w:rsidR="008E688E">
        <w:rPr>
          <w:sz w:val="24"/>
          <w:szCs w:val="24"/>
          <w:lang w:val="en-US"/>
        </w:rPr>
        <w:t xml:space="preserve">of ISO(X) </w:t>
      </w:r>
      <w:r w:rsidR="00D5531F">
        <w:rPr>
          <w:sz w:val="24"/>
          <w:szCs w:val="24"/>
          <w:lang w:val="en-US"/>
        </w:rPr>
        <w:t xml:space="preserve">should be </w:t>
      </w:r>
      <w:r w:rsidR="00F67915">
        <w:rPr>
          <w:sz w:val="24"/>
          <w:szCs w:val="24"/>
          <w:lang w:val="en-US"/>
        </w:rPr>
        <w:t>the zero-</w:t>
      </w:r>
      <w:r w:rsidR="003809CF">
        <w:rPr>
          <w:sz w:val="24"/>
          <w:szCs w:val="24"/>
          <w:lang w:val="en-US"/>
        </w:rPr>
        <w:t xml:space="preserve">slope line of </w:t>
      </w:r>
      <w:r w:rsidR="005A5899">
        <w:rPr>
          <w:sz w:val="24"/>
          <w:szCs w:val="24"/>
          <w:lang w:val="en-US"/>
        </w:rPr>
        <w:t xml:space="preserve">the </w:t>
      </w:r>
      <w:r w:rsidR="003809CF">
        <w:rPr>
          <w:sz w:val="24"/>
          <w:szCs w:val="24"/>
          <w:lang w:val="en-US"/>
        </w:rPr>
        <w:t>equation (</w:t>
      </w:r>
      <w:r w:rsidR="008E688E">
        <w:rPr>
          <w:sz w:val="24"/>
          <w:szCs w:val="24"/>
          <w:lang w:val="en-US"/>
        </w:rPr>
        <w:t>Y</w:t>
      </w:r>
      <w:r w:rsidR="00064D76">
        <w:rPr>
          <w:sz w:val="24"/>
          <w:szCs w:val="24"/>
          <w:lang w:val="en-US"/>
        </w:rPr>
        <w:t xml:space="preserve"> </w:t>
      </w:r>
      <w:r w:rsidR="008E688E">
        <w:rPr>
          <w:sz w:val="24"/>
          <w:szCs w:val="24"/>
          <w:lang w:val="en-US"/>
        </w:rPr>
        <w:t>=</w:t>
      </w:r>
      <w:r w:rsidR="00D5531F">
        <w:rPr>
          <w:sz w:val="24"/>
          <w:szCs w:val="24"/>
          <w:lang w:val="en-US"/>
        </w:rPr>
        <w:t xml:space="preserve"> </w:t>
      </w:r>
      <w:r w:rsidR="00472786" w:rsidRPr="00472786">
        <w:rPr>
          <w:rFonts w:ascii="Symbol" w:hAnsi="Symbol"/>
          <w:sz w:val="24"/>
          <w:szCs w:val="24"/>
          <w:lang w:val="en-US"/>
        </w:rPr>
        <w:t></w:t>
      </w:r>
      <w:r w:rsidR="00064D76">
        <w:rPr>
          <w:sz w:val="24"/>
          <w:szCs w:val="24"/>
          <w:lang w:val="en-US"/>
        </w:rPr>
        <w:t xml:space="preserve"> </w:t>
      </w:r>
      <w:r w:rsidR="00D5531F">
        <w:rPr>
          <w:sz w:val="24"/>
          <w:szCs w:val="24"/>
          <w:lang w:val="en-US"/>
        </w:rPr>
        <w:t>+</w:t>
      </w:r>
      <w:r w:rsidR="00064D76">
        <w:rPr>
          <w:sz w:val="24"/>
          <w:szCs w:val="24"/>
          <w:lang w:val="en-US"/>
        </w:rPr>
        <w:t xml:space="preserve"> </w:t>
      </w:r>
      <w:r w:rsidR="00472786" w:rsidRPr="00472786">
        <w:rPr>
          <w:rFonts w:ascii="Symbol" w:hAnsi="Symbol"/>
          <w:sz w:val="24"/>
          <w:szCs w:val="24"/>
          <w:lang w:val="en-US"/>
        </w:rPr>
        <w:t></w:t>
      </w:r>
      <w:r w:rsidR="003809CF">
        <w:rPr>
          <w:rFonts w:ascii="Symbol" w:hAnsi="Symbol"/>
          <w:sz w:val="24"/>
          <w:szCs w:val="24"/>
          <w:lang w:val="en-US"/>
        </w:rPr>
        <w:t></w:t>
      </w:r>
      <w:r w:rsidR="00D5531F">
        <w:rPr>
          <w:sz w:val="24"/>
          <w:szCs w:val="24"/>
          <w:lang w:val="en-US"/>
        </w:rPr>
        <w:t xml:space="preserve">. </w:t>
      </w:r>
      <w:r w:rsidR="00451060">
        <w:rPr>
          <w:sz w:val="24"/>
          <w:szCs w:val="24"/>
          <w:lang w:val="en-US"/>
        </w:rPr>
        <w:t>Between</w:t>
      </w:r>
      <w:r w:rsidR="00A44E4F">
        <w:rPr>
          <w:sz w:val="24"/>
          <w:szCs w:val="24"/>
          <w:lang w:val="en-US"/>
        </w:rPr>
        <w:t xml:space="preserve"> th</w:t>
      </w:r>
      <w:r w:rsidR="005A5899">
        <w:rPr>
          <w:sz w:val="24"/>
          <w:szCs w:val="24"/>
          <w:lang w:val="en-US"/>
        </w:rPr>
        <w:t>ese two</w:t>
      </w:r>
      <w:r w:rsidR="00451060">
        <w:rPr>
          <w:sz w:val="24"/>
          <w:szCs w:val="24"/>
          <w:lang w:val="en-US"/>
        </w:rPr>
        <w:t xml:space="preserve">, </w:t>
      </w:r>
      <w:r w:rsidR="005A5899">
        <w:rPr>
          <w:sz w:val="24"/>
          <w:szCs w:val="24"/>
          <w:lang w:val="en-US"/>
        </w:rPr>
        <w:t xml:space="preserve">we </w:t>
      </w:r>
      <w:r w:rsidR="00F67915">
        <w:rPr>
          <w:sz w:val="24"/>
          <w:szCs w:val="24"/>
          <w:lang w:val="en-US"/>
        </w:rPr>
        <w:t xml:space="preserve">have </w:t>
      </w:r>
      <w:r w:rsidR="003809CF">
        <w:rPr>
          <w:sz w:val="24"/>
          <w:szCs w:val="24"/>
          <w:lang w:val="en-US"/>
        </w:rPr>
        <w:t xml:space="preserve">smooth </w:t>
      </w:r>
      <w:r w:rsidR="00F67915">
        <w:rPr>
          <w:sz w:val="24"/>
          <w:szCs w:val="24"/>
          <w:lang w:val="en-US"/>
        </w:rPr>
        <w:t>changes</w:t>
      </w:r>
      <w:r w:rsidR="00451060">
        <w:rPr>
          <w:sz w:val="24"/>
          <w:szCs w:val="24"/>
          <w:lang w:val="en-US"/>
        </w:rPr>
        <w:t xml:space="preserve">. </w:t>
      </w:r>
    </w:p>
    <w:p w:rsidR="00250DF3" w:rsidRDefault="005A5899" w:rsidP="00250DF3">
      <w:pPr>
        <w:spacing w:after="120" w:line="480" w:lineRule="auto"/>
        <w:rPr>
          <w:sz w:val="24"/>
          <w:szCs w:val="24"/>
          <w:lang w:val="en-US"/>
        </w:rPr>
      </w:pPr>
      <w:r>
        <w:rPr>
          <w:sz w:val="24"/>
          <w:szCs w:val="24"/>
          <w:lang w:val="en-US"/>
        </w:rPr>
        <w:t xml:space="preserve">The </w:t>
      </w:r>
      <w:r w:rsidR="00B00ACD">
        <w:rPr>
          <w:sz w:val="24"/>
          <w:szCs w:val="24"/>
          <w:lang w:val="en-US"/>
        </w:rPr>
        <w:t xml:space="preserve">parametric </w:t>
      </w:r>
      <w:r w:rsidR="00806AC9">
        <w:rPr>
          <w:sz w:val="24"/>
          <w:szCs w:val="24"/>
          <w:lang w:val="en-US"/>
        </w:rPr>
        <w:t>expression</w:t>
      </w:r>
      <w:r w:rsidR="00B00ACD">
        <w:rPr>
          <w:sz w:val="24"/>
          <w:szCs w:val="24"/>
          <w:lang w:val="en-US"/>
        </w:rPr>
        <w:t xml:space="preserve"> </w:t>
      </w:r>
      <w:r>
        <w:rPr>
          <w:sz w:val="24"/>
          <w:szCs w:val="24"/>
          <w:lang w:val="en-US"/>
        </w:rPr>
        <w:t xml:space="preserve">for these </w:t>
      </w:r>
      <w:r w:rsidR="00B00ACD">
        <w:rPr>
          <w:sz w:val="24"/>
          <w:szCs w:val="24"/>
          <w:lang w:val="en-US"/>
        </w:rPr>
        <w:t xml:space="preserve">curvatures </w:t>
      </w:r>
      <w:r w:rsidR="008E688E">
        <w:rPr>
          <w:sz w:val="24"/>
          <w:szCs w:val="24"/>
          <w:lang w:val="en-US"/>
        </w:rPr>
        <w:t xml:space="preserve">is based on two functions </w:t>
      </w:r>
      <w:r w:rsidR="004435D2">
        <w:rPr>
          <w:sz w:val="24"/>
          <w:szCs w:val="24"/>
          <w:lang w:val="en-US"/>
        </w:rPr>
        <w:t>θ</w:t>
      </w:r>
      <w:r w:rsidR="008E688E" w:rsidRPr="004435D2">
        <w:rPr>
          <w:sz w:val="24"/>
          <w:szCs w:val="24"/>
          <w:vertAlign w:val="subscript"/>
          <w:lang w:val="en-US"/>
        </w:rPr>
        <w:t>1</w:t>
      </w:r>
      <w:r w:rsidR="008E688E">
        <w:rPr>
          <w:sz w:val="24"/>
          <w:szCs w:val="24"/>
          <w:lang w:val="en-US"/>
        </w:rPr>
        <w:t xml:space="preserve"> and </w:t>
      </w:r>
      <w:r w:rsidR="004435D2">
        <w:rPr>
          <w:sz w:val="24"/>
          <w:szCs w:val="24"/>
          <w:lang w:val="en-US"/>
        </w:rPr>
        <w:t>θ</w:t>
      </w:r>
      <w:r w:rsidR="008E688E" w:rsidRPr="004435D2">
        <w:rPr>
          <w:sz w:val="24"/>
          <w:szCs w:val="24"/>
          <w:vertAlign w:val="subscript"/>
          <w:lang w:val="en-US"/>
        </w:rPr>
        <w:t>2</w:t>
      </w:r>
      <w:r w:rsidR="00C51D10">
        <w:rPr>
          <w:sz w:val="24"/>
          <w:szCs w:val="24"/>
          <w:lang w:val="en-US"/>
        </w:rPr>
        <w:t xml:space="preserve"> related to hyperbolic tangent functions</w:t>
      </w:r>
      <w:r w:rsidR="008E688E">
        <w:rPr>
          <w:sz w:val="24"/>
          <w:szCs w:val="24"/>
          <w:lang w:val="en-US"/>
        </w:rPr>
        <w:t>:</w:t>
      </w:r>
      <w:r w:rsidR="00E83553" w:rsidRPr="00E83553">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rPr>
              <m:t>θ</m:t>
            </m:r>
          </m:e>
          <m:sub>
            <m:r>
              <w:rPr>
                <w:rFonts w:ascii="Cambria Math" w:hAnsi="Cambria Math"/>
                <w:sz w:val="24"/>
                <w:szCs w:val="24"/>
                <w:lang w:val="en-US"/>
              </w:rPr>
              <m:t>1</m:t>
            </m:r>
          </m:sub>
        </m:sSub>
        <m:d>
          <m:dPr>
            <m:ctrlPr>
              <w:rPr>
                <w:rFonts w:ascii="Cambria Math" w:hAnsi="Cambria Math"/>
                <w:i/>
                <w:sz w:val="24"/>
                <w:szCs w:val="24"/>
                <w:lang w:val="en-US"/>
              </w:rPr>
            </m:ctrlPr>
          </m:dPr>
          <m:e>
            <m:r>
              <w:rPr>
                <w:rFonts w:ascii="Cambria Math" w:hAnsi="Cambria Math"/>
                <w:sz w:val="24"/>
                <w:szCs w:val="24"/>
                <w:lang w:val="en-US"/>
              </w:rPr>
              <m:t>X</m:t>
            </m:r>
          </m:e>
        </m:d>
        <m:r>
          <w:rPr>
            <w:rFonts w:ascii="Cambria Math" w:hAnsi="Cambria Math"/>
            <w:sz w:val="24"/>
            <w:szCs w:val="24"/>
            <w:lang w:val="en-US"/>
          </w:rPr>
          <m:t xml:space="preserve"> =tanh</m:t>
        </m:r>
        <m:d>
          <m:dPr>
            <m:ctrlPr>
              <w:rPr>
                <w:rFonts w:ascii="Cambria Math" w:hAnsi="Cambria Math"/>
                <w:sz w:val="24"/>
                <w:szCs w:val="24"/>
                <w:lang w:val="en-US"/>
              </w:rPr>
            </m:ctrlPr>
          </m:dPr>
          <m:e>
            <m:r>
              <w:rPr>
                <w:rFonts w:ascii="Cambria Math" w:hAnsi="Cambria Math"/>
                <w:sz w:val="24"/>
                <w:szCs w:val="24"/>
                <w:lang w:val="en-US"/>
              </w:rPr>
              <m:t>X/2</m:t>
            </m:r>
          </m:e>
        </m:d>
      </m:oMath>
      <w:r w:rsidR="00E83553">
        <w:rPr>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rPr>
              <m:t>θ</m:t>
            </m:r>
          </m:e>
          <m:sub>
            <m:r>
              <w:rPr>
                <w:rFonts w:ascii="Cambria Math" w:hAnsi="Cambria Math"/>
                <w:sz w:val="24"/>
                <w:szCs w:val="24"/>
                <w:lang w:val="en-US"/>
              </w:rPr>
              <m:t>2</m:t>
            </m:r>
          </m:sub>
        </m:sSub>
        <m:d>
          <m:dPr>
            <m:ctrlPr>
              <w:rPr>
                <w:rFonts w:ascii="Cambria Math" w:hAnsi="Cambria Math"/>
                <w:i/>
                <w:sz w:val="24"/>
                <w:szCs w:val="24"/>
                <w:lang w:val="en-US"/>
              </w:rPr>
            </m:ctrlPr>
          </m:dPr>
          <m:e>
            <m:r>
              <w:rPr>
                <w:rFonts w:ascii="Cambria Math" w:hAnsi="Cambria Math"/>
                <w:sz w:val="24"/>
                <w:szCs w:val="24"/>
                <w:lang w:val="en-US"/>
              </w:rPr>
              <m:t>X</m:t>
            </m:r>
          </m:e>
        </m:d>
        <m:r>
          <w:rPr>
            <w:rFonts w:ascii="Cambria Math"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tanh</m:t>
            </m:r>
          </m:e>
          <m:sup>
            <m:r>
              <w:rPr>
                <w:rFonts w:ascii="Cambria Math" w:hAnsi="Cambria Math"/>
                <w:sz w:val="24"/>
                <w:szCs w:val="24"/>
                <w:lang w:val="en-US"/>
              </w:rPr>
              <m:t>2</m:t>
            </m:r>
          </m:sup>
        </m:sSup>
        <m:d>
          <m:dPr>
            <m:ctrlPr>
              <w:rPr>
                <w:rFonts w:ascii="Cambria Math" w:hAnsi="Cambria Math"/>
                <w:sz w:val="24"/>
                <w:szCs w:val="24"/>
                <w:lang w:val="en-US"/>
              </w:rPr>
            </m:ctrlPr>
          </m:dPr>
          <m:e>
            <m:r>
              <w:rPr>
                <w:rFonts w:ascii="Cambria Math" w:hAnsi="Cambria Math"/>
                <w:sz w:val="24"/>
                <w:szCs w:val="24"/>
                <w:lang w:val="en-US"/>
              </w:rPr>
              <m:t>X/2</m:t>
            </m:r>
          </m:e>
        </m:d>
      </m:oMath>
      <w:r w:rsidR="00E83553">
        <w:rPr>
          <w:sz w:val="24"/>
          <w:szCs w:val="24"/>
          <w:lang w:val="en-US"/>
        </w:rPr>
        <w:t xml:space="preserve"> </w:t>
      </w:r>
      <w:r w:rsidR="008E688E">
        <w:rPr>
          <w:sz w:val="24"/>
          <w:szCs w:val="24"/>
          <w:lang w:val="en-US"/>
        </w:rPr>
        <w:t xml:space="preserve"> (</w:t>
      </w:r>
      <w:r w:rsidR="00BC66FD">
        <w:rPr>
          <w:sz w:val="24"/>
          <w:szCs w:val="24"/>
          <w:lang w:val="en-US"/>
        </w:rPr>
        <w:t xml:space="preserve">see </w:t>
      </w:r>
      <w:r>
        <w:rPr>
          <w:sz w:val="24"/>
          <w:szCs w:val="24"/>
          <w:lang w:val="en-US"/>
        </w:rPr>
        <w:t>F</w:t>
      </w:r>
      <w:r w:rsidR="008E688E">
        <w:rPr>
          <w:sz w:val="24"/>
          <w:szCs w:val="24"/>
          <w:lang w:val="en-US"/>
        </w:rPr>
        <w:t xml:space="preserve">igure </w:t>
      </w:r>
      <w:r w:rsidR="00912BEA">
        <w:rPr>
          <w:sz w:val="24"/>
          <w:szCs w:val="24"/>
          <w:lang w:val="en-US"/>
        </w:rPr>
        <w:t>2</w:t>
      </w:r>
      <w:r w:rsidR="008E688E">
        <w:rPr>
          <w:sz w:val="24"/>
          <w:szCs w:val="24"/>
          <w:lang w:val="en-US"/>
        </w:rPr>
        <w:t>)</w:t>
      </w:r>
      <w:r w:rsidR="008525F1">
        <w:rPr>
          <w:sz w:val="24"/>
          <w:szCs w:val="24"/>
          <w:lang w:val="en-US"/>
        </w:rPr>
        <w:t xml:space="preserve">. </w:t>
      </w:r>
    </w:p>
    <w:p w:rsidR="00113458" w:rsidRDefault="00113458" w:rsidP="00113458">
      <w:pPr>
        <w:rPr>
          <w:sz w:val="22"/>
          <w:szCs w:val="24"/>
          <w:lang w:val="en-US"/>
        </w:rPr>
      </w:pPr>
    </w:p>
    <w:p w:rsidR="00113458" w:rsidRDefault="00113458" w:rsidP="00113458">
      <w:pPr>
        <w:spacing w:after="120" w:line="480" w:lineRule="auto"/>
        <w:rPr>
          <w:b/>
          <w:sz w:val="24"/>
          <w:szCs w:val="24"/>
          <w:lang w:val="en-US"/>
        </w:rPr>
      </w:pPr>
      <w:r>
        <w:rPr>
          <w:b/>
          <w:sz w:val="24"/>
          <w:szCs w:val="24"/>
          <w:lang w:val="en-US"/>
        </w:rPr>
        <w:t>PLACE FIGURE 2 HERE</w:t>
      </w:r>
    </w:p>
    <w:p w:rsidR="00053362" w:rsidRDefault="005A5899" w:rsidP="00053362">
      <w:pPr>
        <w:spacing w:after="120" w:line="480" w:lineRule="auto"/>
        <w:rPr>
          <w:sz w:val="24"/>
          <w:szCs w:val="24"/>
          <w:lang w:val="en-US"/>
        </w:rPr>
      </w:pPr>
      <w:r>
        <w:rPr>
          <w:sz w:val="24"/>
          <w:szCs w:val="24"/>
          <w:lang w:val="en-GB"/>
        </w:rPr>
        <w:t xml:space="preserve">We </w:t>
      </w:r>
      <w:r w:rsidRPr="005A5899">
        <w:rPr>
          <w:sz w:val="24"/>
          <w:szCs w:val="24"/>
          <w:lang w:val="en-GB"/>
        </w:rPr>
        <w:t>use two simple linear combinations of these θ functions, B and G</w:t>
      </w:r>
      <w:r>
        <w:rPr>
          <w:sz w:val="24"/>
          <w:szCs w:val="24"/>
          <w:lang w:val="en-GB"/>
        </w:rPr>
        <w:t>, to make</w:t>
      </w:r>
      <w:r w:rsidRPr="005A5899">
        <w:rPr>
          <w:sz w:val="24"/>
          <w:szCs w:val="24"/>
          <w:lang w:val="en-GB"/>
        </w:rPr>
        <w:t xml:space="preserve"> </w:t>
      </w:r>
      <w:r w:rsidR="00BC66FD">
        <w:rPr>
          <w:sz w:val="24"/>
          <w:szCs w:val="24"/>
          <w:lang w:val="en-GB"/>
        </w:rPr>
        <w:t xml:space="preserve">the coefficients </w:t>
      </w:r>
      <w:r w:rsidRPr="005A5899">
        <w:rPr>
          <w:sz w:val="24"/>
          <w:szCs w:val="24"/>
          <w:lang w:val="en-GB"/>
        </w:rPr>
        <w:t>easier</w:t>
      </w:r>
      <w:r>
        <w:rPr>
          <w:sz w:val="24"/>
          <w:szCs w:val="24"/>
          <w:lang w:val="en-GB"/>
        </w:rPr>
        <w:t xml:space="preserve"> to interpret</w:t>
      </w:r>
      <w:r w:rsidR="00C725C9">
        <w:rPr>
          <w:sz w:val="24"/>
          <w:szCs w:val="24"/>
          <w:lang w:val="en-GB"/>
        </w:rPr>
        <w:t xml:space="preserve">. </w:t>
      </w:r>
      <w:r w:rsidR="00700A5D">
        <w:rPr>
          <w:sz w:val="24"/>
          <w:szCs w:val="24"/>
          <w:lang w:val="en-GB"/>
        </w:rPr>
        <w:t>C</w:t>
      </w:r>
      <w:r w:rsidR="00C725C9">
        <w:rPr>
          <w:sz w:val="24"/>
          <w:szCs w:val="24"/>
          <w:lang w:val="en-GB"/>
        </w:rPr>
        <w:t>onsider</w:t>
      </w:r>
      <w:r w:rsidR="00053362">
        <w:rPr>
          <w:sz w:val="24"/>
          <w:szCs w:val="24"/>
          <w:lang w:val="en-GB"/>
        </w:rPr>
        <w:t xml:space="preserve"> the </w:t>
      </w:r>
      <w:r w:rsidR="00D45551">
        <w:rPr>
          <w:sz w:val="24"/>
          <w:szCs w:val="24"/>
          <w:lang w:val="en-GB"/>
        </w:rPr>
        <w:t>adjustment of ISO defined by</w:t>
      </w:r>
      <w:r w:rsidR="004B049B">
        <w:rPr>
          <w:sz w:val="24"/>
          <w:szCs w:val="24"/>
          <w:lang w:val="en-US"/>
        </w:rPr>
        <w:t>:</w:t>
      </w:r>
      <w:r w:rsidR="00C725C9" w:rsidRPr="00C725C9">
        <w:rPr>
          <w:sz w:val="24"/>
          <w:szCs w:val="24"/>
          <w:lang w:val="en-US"/>
        </w:rPr>
        <w:t xml:space="preserve"> </w:t>
      </w:r>
    </w:p>
    <w:p w:rsidR="00C725C9" w:rsidRPr="00472786" w:rsidRDefault="00734698" w:rsidP="00BC66FD">
      <w:pPr>
        <w:spacing w:after="120" w:line="480" w:lineRule="auto"/>
        <w:jc w:val="center"/>
        <w:rPr>
          <w:sz w:val="24"/>
          <w:szCs w:val="24"/>
          <w:lang w:val="en-US"/>
        </w:rPr>
      </w:pPr>
      <w:r>
        <w:rPr>
          <w:sz w:val="24"/>
          <w:szCs w:val="24"/>
          <w:lang w:val="en-US"/>
        </w:rPr>
        <w:t xml:space="preserve">       </w:t>
      </w:r>
      <m:oMath>
        <m:sSub>
          <m:sSubPr>
            <m:ctrlPr>
              <w:rPr>
                <w:rFonts w:ascii="Cambria Math" w:hAnsi="Cambria Math"/>
                <w:i/>
                <w:sz w:val="24"/>
                <w:szCs w:val="24"/>
                <w:lang w:val="en-US"/>
              </w:rPr>
            </m:ctrlPr>
          </m:sSubPr>
          <m:e>
            <m:r>
              <m:rPr>
                <m:sty m:val="p"/>
              </m:rPr>
              <w:rPr>
                <w:rFonts w:ascii="Cambria Math" w:hAnsi="Cambria Math"/>
                <w:sz w:val="24"/>
                <w:szCs w:val="24"/>
                <w:lang w:val="en-US"/>
              </w:rPr>
              <m:t>ISO</m:t>
            </m:r>
            <m:d>
              <m:dPr>
                <m:ctrlPr>
                  <w:rPr>
                    <w:rFonts w:ascii="Cambria Math" w:hAnsi="Cambria Math"/>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m:t>
                    </m:r>
                  </m:sub>
                </m:sSub>
              </m:e>
            </m:d>
            <m:r>
              <m:rPr>
                <m:sty m:val="p"/>
              </m:rPr>
              <w:rPr>
                <w:rFonts w:ascii="Cambria Math" w:hAnsi="Cambria Math"/>
                <w:sz w:val="24"/>
                <w:szCs w:val="24"/>
                <w:lang w:val="en-US"/>
              </w:rPr>
              <m:t>= α+ β B</m:t>
            </m:r>
            <m:d>
              <m:dPr>
                <m:ctrlPr>
                  <w:rPr>
                    <w:rFonts w:ascii="Cambria Math" w:hAnsi="Cambria Math"/>
                    <w:sz w:val="24"/>
                    <w:szCs w:val="24"/>
                    <w:lang w:val="en-US"/>
                  </w:rPr>
                </m:ctrlPr>
              </m:dPr>
              <m:e>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e>
            </m:d>
            <m:r>
              <m:rPr>
                <m:sty m:val="p"/>
              </m:rPr>
              <w:rPr>
                <w:rFonts w:ascii="Cambria Math" w:hAnsi="Cambria Math"/>
                <w:sz w:val="24"/>
                <w:szCs w:val="24"/>
                <w:lang w:val="en-US"/>
              </w:rPr>
              <m:t>+ γ G</m:t>
            </m:r>
            <m:d>
              <m:dPr>
                <m:ctrlPr>
                  <w:rPr>
                    <w:rFonts w:ascii="Cambria Math" w:hAnsi="Cambria Math"/>
                    <w:sz w:val="24"/>
                    <w:szCs w:val="24"/>
                    <w:lang w:val="en-US"/>
                  </w:rPr>
                </m:ctrlPr>
              </m:dPr>
              <m:e>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e>
            </m:d>
          </m:e>
          <m:sub/>
        </m:sSub>
      </m:oMath>
      <w:r w:rsidR="00E83553" w:rsidRPr="00E83553">
        <w:rPr>
          <w:sz w:val="24"/>
          <w:szCs w:val="24"/>
          <w:lang w:val="en-US"/>
        </w:rPr>
        <w:tab/>
      </w:r>
      <w:r w:rsidR="00E83553">
        <w:rPr>
          <w:sz w:val="24"/>
          <w:szCs w:val="24"/>
          <w:lang w:val="en-US"/>
        </w:rPr>
        <w:t xml:space="preserve"> </w:t>
      </w:r>
      <w:r w:rsidR="005A5899" w:rsidRPr="005A5899">
        <w:rPr>
          <w:sz w:val="24"/>
          <w:szCs w:val="24"/>
          <w:lang w:val="en-US"/>
        </w:rPr>
        <w:t xml:space="preserve">  (4)</w:t>
      </w:r>
    </w:p>
    <w:p w:rsidR="00F158B2" w:rsidRDefault="00E41E70" w:rsidP="00F158B2">
      <w:pPr>
        <w:spacing w:after="120" w:line="480" w:lineRule="auto"/>
        <w:jc w:val="center"/>
        <w:rPr>
          <w:sz w:val="24"/>
          <w:szCs w:val="24"/>
          <w:lang w:val="en-US"/>
        </w:rPr>
      </w:pPr>
      <w:r>
        <w:rPr>
          <w:sz w:val="24"/>
          <w:szCs w:val="24"/>
          <w:lang w:val="en-GB"/>
        </w:rPr>
        <w:t>w</w:t>
      </w:r>
      <w:r w:rsidR="00053362">
        <w:rPr>
          <w:sz w:val="24"/>
          <w:szCs w:val="24"/>
          <w:lang w:val="en-GB"/>
        </w:rPr>
        <w:t xml:space="preserve">here </w:t>
      </w:r>
      <m:oMath>
        <m:r>
          <m:rPr>
            <m:sty m:val="p"/>
          </m:rPr>
          <w:rPr>
            <w:rFonts w:ascii="Cambria Math" w:hAnsi="Cambria Math"/>
            <w:sz w:val="24"/>
            <w:szCs w:val="24"/>
            <w:lang w:val="en-US"/>
          </w:rPr>
          <m:t xml:space="preserve"> B</m:t>
        </m:r>
        <m:d>
          <m:dPr>
            <m:ctrlPr>
              <w:rPr>
                <w:rFonts w:ascii="Cambria Math" w:hAnsi="Cambria Math"/>
                <w:sz w:val="24"/>
                <w:szCs w:val="24"/>
                <w:lang w:val="en-US"/>
              </w:rPr>
            </m:ctrlPr>
          </m:dPr>
          <m:e>
            <m:r>
              <m:rPr>
                <m:sty m:val="p"/>
              </m:rPr>
              <w:rPr>
                <w:rFonts w:ascii="Cambria Math" w:hAnsi="Cambria Math"/>
                <w:sz w:val="24"/>
                <w:szCs w:val="24"/>
                <w:lang w:val="en-US"/>
              </w:rPr>
              <m:t>X</m:t>
            </m:r>
          </m:e>
        </m:d>
        <m:r>
          <w:rPr>
            <w:rFonts w:ascii="Cambria Math" w:hAnsi="Cambria Math"/>
            <w:sz w:val="24"/>
            <w:szCs w:val="24"/>
            <w:lang w:val="en-US"/>
          </w:rPr>
          <m:t xml:space="preserve">= </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1</m:t>
                </m:r>
              </m:sub>
            </m:sSub>
            <m:r>
              <w:rPr>
                <w:rFonts w:ascii="Cambria Math" w:hAnsi="Cambria Math"/>
                <w:sz w:val="24"/>
                <w:szCs w:val="24"/>
                <w:lang w:val="en-US"/>
              </w:rPr>
              <m:t>(X)+</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2</m:t>
                </m:r>
              </m:sub>
            </m:sSub>
            <m:r>
              <w:rPr>
                <w:rFonts w:ascii="Cambria Math" w:hAnsi="Cambria Math"/>
                <w:sz w:val="24"/>
                <w:szCs w:val="24"/>
                <w:lang w:val="en-US"/>
              </w:rPr>
              <m:t>(X)</m:t>
            </m:r>
          </m:num>
          <m:den>
            <m:r>
              <w:rPr>
                <w:rFonts w:ascii="Cambria Math" w:hAnsi="Cambria Math"/>
                <w:sz w:val="24"/>
                <w:szCs w:val="24"/>
                <w:lang w:val="en-US"/>
              </w:rPr>
              <m:t>2</m:t>
            </m:r>
          </m:den>
        </m:f>
      </m:oMath>
      <w:r w:rsidR="00F158B2">
        <w:rPr>
          <w:sz w:val="24"/>
          <w:szCs w:val="24"/>
          <w:lang w:val="en-US"/>
        </w:rPr>
        <w:t xml:space="preserve"> </w:t>
      </w:r>
      <w:r w:rsidR="00053362">
        <w:rPr>
          <w:sz w:val="24"/>
          <w:szCs w:val="24"/>
          <w:lang w:val="en-US"/>
        </w:rPr>
        <w:t>and</w:t>
      </w:r>
      <w:r w:rsidR="00F158B2">
        <w:rPr>
          <w:sz w:val="24"/>
          <w:szCs w:val="24"/>
          <w:lang w:val="en-GB"/>
        </w:rPr>
        <w:t xml:space="preserve"> </w:t>
      </w:r>
      <m:oMath>
        <m:r>
          <m:rPr>
            <m:sty m:val="p"/>
          </m:rPr>
          <w:rPr>
            <w:rFonts w:ascii="Cambria Math" w:hAnsi="Cambria Math"/>
            <w:sz w:val="24"/>
            <w:szCs w:val="24"/>
            <w:lang w:val="en-US"/>
          </w:rPr>
          <m:t xml:space="preserve"> G</m:t>
        </m:r>
        <m:d>
          <m:dPr>
            <m:ctrlPr>
              <w:rPr>
                <w:rFonts w:ascii="Cambria Math" w:hAnsi="Cambria Math"/>
                <w:sz w:val="24"/>
                <w:szCs w:val="24"/>
                <w:lang w:val="en-US"/>
              </w:rPr>
            </m:ctrlPr>
          </m:dPr>
          <m:e>
            <m:r>
              <m:rPr>
                <m:sty m:val="p"/>
              </m:rPr>
              <w:rPr>
                <w:rFonts w:ascii="Cambria Math" w:hAnsi="Cambria Math"/>
                <w:sz w:val="24"/>
                <w:szCs w:val="24"/>
                <w:lang w:val="en-US"/>
              </w:rPr>
              <m:t>X</m:t>
            </m:r>
          </m:e>
        </m:d>
        <m:r>
          <w:rPr>
            <w:rFonts w:ascii="Cambria Math" w:hAnsi="Cambria Math"/>
            <w:sz w:val="24"/>
            <w:szCs w:val="24"/>
            <w:lang w:val="en-US"/>
          </w:rPr>
          <m:t xml:space="preserve">= </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1</m:t>
                </m:r>
              </m:sub>
            </m:sSub>
            <m:r>
              <w:rPr>
                <w:rFonts w:ascii="Cambria Math" w:hAnsi="Cambria Math"/>
                <w:sz w:val="24"/>
                <w:szCs w:val="24"/>
                <w:lang w:val="en-US"/>
              </w:rPr>
              <m:t>(X)+</m:t>
            </m:r>
            <m:sSub>
              <m:sSubPr>
                <m:ctrlPr>
                  <w:rPr>
                    <w:rFonts w:ascii="Cambria Math" w:hAnsi="Cambria Math"/>
                    <w:i/>
                    <w:sz w:val="24"/>
                    <w:szCs w:val="24"/>
                    <w:lang w:val="en-US"/>
                  </w:rPr>
                </m:ctrlPr>
              </m:sSubPr>
              <m:e>
                <m:r>
                  <w:rPr>
                    <w:rFonts w:ascii="Cambria Math" w:hAnsi="Cambria Math"/>
                    <w:sz w:val="24"/>
                    <w:szCs w:val="24"/>
                    <w:lang w:val="en-US"/>
                  </w:rPr>
                  <m:t>θ</m:t>
                </m:r>
              </m:e>
              <m:sub>
                <m:r>
                  <w:rPr>
                    <w:rFonts w:ascii="Cambria Math" w:hAnsi="Cambria Math"/>
                    <w:sz w:val="24"/>
                    <w:szCs w:val="24"/>
                    <w:lang w:val="en-US"/>
                  </w:rPr>
                  <m:t>2</m:t>
                </m:r>
              </m:sub>
            </m:sSub>
            <m:r>
              <w:rPr>
                <w:rFonts w:ascii="Cambria Math" w:hAnsi="Cambria Math"/>
                <w:sz w:val="24"/>
                <w:szCs w:val="24"/>
                <w:lang w:val="en-US"/>
              </w:rPr>
              <m:t>(X)</m:t>
            </m:r>
          </m:num>
          <m:den>
            <m:r>
              <w:rPr>
                <w:rFonts w:ascii="Cambria Math" w:hAnsi="Cambria Math"/>
                <w:sz w:val="24"/>
                <w:szCs w:val="24"/>
                <w:lang w:val="en-US"/>
              </w:rPr>
              <m:t>2</m:t>
            </m:r>
          </m:den>
        </m:f>
      </m:oMath>
      <w:r w:rsidR="00F158B2">
        <w:rPr>
          <w:sz w:val="24"/>
          <w:szCs w:val="24"/>
          <w:lang w:val="en-US"/>
        </w:rPr>
        <w:br/>
      </w:r>
      <w:r w:rsidR="00BC66FD">
        <w:rPr>
          <w:sz w:val="24"/>
          <w:szCs w:val="24"/>
          <w:lang w:val="en-US"/>
        </w:rPr>
        <w:t>a</w:t>
      </w:r>
      <w:r w:rsidR="00053362">
        <w:rPr>
          <w:sz w:val="24"/>
          <w:szCs w:val="24"/>
          <w:lang w:val="en-US"/>
        </w:rPr>
        <w:t xml:space="preserve">nd </w:t>
      </w:r>
      <w:r w:rsidR="00F158B2" w:rsidRPr="00E83553">
        <w:rPr>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rPr>
              <m:t>θ</m:t>
            </m:r>
          </m:e>
          <m:sub>
            <m:r>
              <w:rPr>
                <w:rFonts w:ascii="Cambria Math" w:hAnsi="Cambria Math"/>
                <w:sz w:val="24"/>
                <w:szCs w:val="24"/>
                <w:lang w:val="en-US"/>
              </w:rPr>
              <m:t>1</m:t>
            </m:r>
          </m:sub>
        </m:sSub>
        <m:d>
          <m:dPr>
            <m:ctrlPr>
              <w:rPr>
                <w:rFonts w:ascii="Cambria Math" w:hAnsi="Cambria Math"/>
                <w:i/>
                <w:sz w:val="24"/>
                <w:szCs w:val="24"/>
                <w:lang w:val="en-US"/>
              </w:rPr>
            </m:ctrlPr>
          </m:dPr>
          <m:e>
            <m:r>
              <w:rPr>
                <w:rFonts w:ascii="Cambria Math" w:hAnsi="Cambria Math"/>
                <w:sz w:val="24"/>
                <w:szCs w:val="24"/>
                <w:lang w:val="en-US"/>
              </w:rPr>
              <m:t>X</m:t>
            </m:r>
          </m:e>
        </m:d>
        <m:r>
          <w:rPr>
            <w:rFonts w:ascii="Cambria Math" w:hAnsi="Cambria Math"/>
            <w:sz w:val="24"/>
            <w:szCs w:val="24"/>
            <w:lang w:val="en-US"/>
          </w:rPr>
          <m:t xml:space="preserve"> =tanh</m:t>
        </m:r>
        <m:d>
          <m:dPr>
            <m:ctrlPr>
              <w:rPr>
                <w:rFonts w:ascii="Cambria Math" w:hAnsi="Cambria Math"/>
                <w:sz w:val="24"/>
                <w:szCs w:val="24"/>
                <w:lang w:val="en-US"/>
              </w:rPr>
            </m:ctrlPr>
          </m:dPr>
          <m:e>
            <m:r>
              <w:rPr>
                <w:rFonts w:ascii="Cambria Math" w:hAnsi="Cambria Math"/>
                <w:sz w:val="24"/>
                <w:szCs w:val="24"/>
                <w:lang w:val="en-US"/>
              </w:rPr>
              <m:t>X/2</m:t>
            </m:r>
          </m:e>
        </m:d>
      </m:oMath>
      <w:r w:rsidR="00F158B2">
        <w:rPr>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rPr>
              <m:t>θ</m:t>
            </m:r>
          </m:e>
          <m:sub>
            <m:r>
              <w:rPr>
                <w:rFonts w:ascii="Cambria Math" w:hAnsi="Cambria Math"/>
                <w:sz w:val="24"/>
                <w:szCs w:val="24"/>
                <w:lang w:val="en-US"/>
              </w:rPr>
              <m:t>2</m:t>
            </m:r>
          </m:sub>
        </m:sSub>
        <m:d>
          <m:dPr>
            <m:ctrlPr>
              <w:rPr>
                <w:rFonts w:ascii="Cambria Math" w:hAnsi="Cambria Math"/>
                <w:i/>
                <w:sz w:val="24"/>
                <w:szCs w:val="24"/>
                <w:lang w:val="en-US"/>
              </w:rPr>
            </m:ctrlPr>
          </m:dPr>
          <m:e>
            <m:r>
              <w:rPr>
                <w:rFonts w:ascii="Cambria Math" w:hAnsi="Cambria Math"/>
                <w:sz w:val="24"/>
                <w:szCs w:val="24"/>
                <w:lang w:val="en-US"/>
              </w:rPr>
              <m:t>X</m:t>
            </m:r>
          </m:e>
        </m:d>
        <m:r>
          <w:rPr>
            <w:rFonts w:ascii="Cambria Math"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tanh</m:t>
            </m:r>
          </m:e>
          <m:sup>
            <m:r>
              <w:rPr>
                <w:rFonts w:ascii="Cambria Math" w:hAnsi="Cambria Math"/>
                <w:sz w:val="24"/>
                <w:szCs w:val="24"/>
                <w:lang w:val="en-US"/>
              </w:rPr>
              <m:t>2</m:t>
            </m:r>
          </m:sup>
        </m:sSup>
        <m:d>
          <m:dPr>
            <m:ctrlPr>
              <w:rPr>
                <w:rFonts w:ascii="Cambria Math" w:hAnsi="Cambria Math"/>
                <w:sz w:val="24"/>
                <w:szCs w:val="24"/>
                <w:lang w:val="en-US"/>
              </w:rPr>
            </m:ctrlPr>
          </m:dPr>
          <m:e>
            <m:r>
              <w:rPr>
                <w:rFonts w:ascii="Cambria Math" w:hAnsi="Cambria Math"/>
                <w:sz w:val="24"/>
                <w:szCs w:val="24"/>
                <w:lang w:val="en-US"/>
              </w:rPr>
              <m:t>X/2</m:t>
            </m:r>
          </m:e>
        </m:d>
      </m:oMath>
    </w:p>
    <w:p w:rsidR="005A5899" w:rsidRPr="005A5899" w:rsidRDefault="00E41E70" w:rsidP="005A5899">
      <w:pPr>
        <w:spacing w:after="120" w:line="480" w:lineRule="auto"/>
        <w:rPr>
          <w:sz w:val="24"/>
          <w:szCs w:val="24"/>
          <w:lang w:val="en-US"/>
        </w:rPr>
      </w:pPr>
      <w:r>
        <w:rPr>
          <w:sz w:val="24"/>
          <w:szCs w:val="24"/>
          <w:lang w:val="en-GB"/>
        </w:rPr>
        <w:t>t</w:t>
      </w:r>
      <w:r w:rsidR="00053362">
        <w:rPr>
          <w:sz w:val="24"/>
          <w:szCs w:val="24"/>
          <w:lang w:val="en-GB"/>
        </w:rPr>
        <w:t>hen,</w:t>
      </w:r>
      <w:r w:rsidR="005A5899">
        <w:rPr>
          <w:sz w:val="24"/>
          <w:szCs w:val="24"/>
          <w:lang w:val="en-GB"/>
        </w:rPr>
        <w:t xml:space="preserve"> </w:t>
      </w:r>
      <w:r w:rsidR="00734698">
        <w:rPr>
          <w:sz w:val="24"/>
          <w:szCs w:val="24"/>
          <w:lang w:val="en-GB"/>
        </w:rPr>
        <w:t xml:space="preserve"> </w:t>
      </w:r>
      <m:oMath>
        <m:sSub>
          <m:sSubPr>
            <m:ctrlPr>
              <w:rPr>
                <w:rFonts w:ascii="Cambria Math" w:hAnsi="Cambria Math"/>
                <w:sz w:val="24"/>
                <w:szCs w:val="24"/>
                <w:lang w:val="en-US"/>
              </w:rPr>
            </m:ctrlPr>
          </m:sSubPr>
          <m:e>
            <m:r>
              <m:rPr>
                <m:sty m:val="p"/>
              </m:rPr>
              <w:rPr>
                <w:rFonts w:ascii="Cambria Math" w:hAnsi="Cambria Math"/>
                <w:sz w:val="24"/>
                <w:szCs w:val="24"/>
                <w:lang w:val="en-US"/>
              </w:rPr>
              <m:t>M</m:t>
            </m:r>
          </m:e>
          <m:sub>
            <m:r>
              <w:rPr>
                <w:rFonts w:ascii="Cambria Math" w:hAnsi="Cambria Math"/>
                <w:sz w:val="24"/>
                <w:szCs w:val="24"/>
                <w:lang w:val="en-US"/>
              </w:rPr>
              <m:t>i</m:t>
            </m:r>
          </m:sub>
        </m:sSub>
        <m:r>
          <m:rPr>
            <m:sty m:val="p"/>
          </m:rPr>
          <w:rPr>
            <w:rFonts w:ascii="Cambria Math" w:hAnsi="Cambria Math"/>
            <w:sz w:val="24"/>
            <w:szCs w:val="24"/>
            <w:lang w:val="en-US"/>
          </w:rPr>
          <m:t xml:space="preserve"> =α</m:t>
        </m:r>
        <m:sSub>
          <m:sSubPr>
            <m:ctrlPr>
              <w:rPr>
                <w:rFonts w:ascii="Cambria Math" w:hAnsi="Cambria Math"/>
                <w:sz w:val="24"/>
                <w:szCs w:val="24"/>
                <w:lang w:val="en-US"/>
              </w:rPr>
            </m:ctrlPr>
          </m:sSubPr>
          <m:e>
            <m:r>
              <m:rPr>
                <m:sty m:val="p"/>
              </m:rPr>
              <w:rPr>
                <w:rFonts w:ascii="Cambria Math" w:hAnsi="Cambria Math"/>
                <w:sz w:val="24"/>
                <w:szCs w:val="24"/>
                <w:lang w:val="en-US"/>
              </w:rPr>
              <m:t xml:space="preserve"> X</m:t>
            </m:r>
          </m:e>
          <m:sub>
            <m:r>
              <w:rPr>
                <w:rFonts w:ascii="Cambria Math" w:hAnsi="Cambria Math"/>
                <w:sz w:val="24"/>
                <w:szCs w:val="24"/>
                <w:lang w:val="en-US"/>
              </w:rPr>
              <m:t>i</m:t>
            </m:r>
          </m:sub>
        </m:sSub>
        <m:r>
          <m:rPr>
            <m:sty m:val="p"/>
          </m:rPr>
          <w:rPr>
            <w:rFonts w:ascii="Cambria Math" w:hAnsi="Cambria Math"/>
            <w:sz w:val="24"/>
            <w:szCs w:val="24"/>
            <w:lang w:val="en-US"/>
          </w:rPr>
          <m:t>+ β B</m:t>
        </m:r>
        <m:d>
          <m:dPr>
            <m:ctrlPr>
              <w:rPr>
                <w:rFonts w:ascii="Cambria Math" w:hAnsi="Cambria Math"/>
                <w:sz w:val="24"/>
                <w:szCs w:val="24"/>
                <w:lang w:val="en-US"/>
              </w:rPr>
            </m:ctrlPr>
          </m:dPr>
          <m:e>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e>
        </m:d>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r>
          <m:rPr>
            <m:sty m:val="p"/>
          </m:rPr>
          <w:rPr>
            <w:rFonts w:ascii="Cambria Math" w:hAnsi="Cambria Math"/>
            <w:sz w:val="24"/>
            <w:szCs w:val="24"/>
            <w:lang w:val="en-US"/>
          </w:rPr>
          <m:t>+ γ G</m:t>
        </m:r>
        <m:d>
          <m:dPr>
            <m:ctrlPr>
              <w:rPr>
                <w:rFonts w:ascii="Cambria Math" w:hAnsi="Cambria Math"/>
                <w:sz w:val="24"/>
                <w:szCs w:val="24"/>
                <w:lang w:val="en-US"/>
              </w:rPr>
            </m:ctrlPr>
          </m:dPr>
          <m:e>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e>
        </m:d>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oMath>
      <w:r w:rsidR="005A5899">
        <w:rPr>
          <w:sz w:val="24"/>
          <w:szCs w:val="24"/>
          <w:lang w:val="en-US"/>
        </w:rPr>
        <w:tab/>
      </w:r>
      <w:r w:rsidR="005A5899">
        <w:rPr>
          <w:sz w:val="24"/>
          <w:szCs w:val="24"/>
          <w:lang w:val="en-US"/>
        </w:rPr>
        <w:tab/>
      </w:r>
      <w:r w:rsidR="005A5899">
        <w:rPr>
          <w:sz w:val="24"/>
          <w:szCs w:val="24"/>
          <w:lang w:val="en-US"/>
        </w:rPr>
        <w:tab/>
      </w:r>
      <w:r w:rsidR="005A5899">
        <w:rPr>
          <w:sz w:val="24"/>
          <w:szCs w:val="24"/>
          <w:lang w:val="en-US"/>
        </w:rPr>
        <w:tab/>
      </w:r>
      <w:r w:rsidR="005A5899" w:rsidRPr="005A5899">
        <w:rPr>
          <w:sz w:val="24"/>
          <w:szCs w:val="24"/>
          <w:lang w:val="en-US"/>
        </w:rPr>
        <w:t>(</w:t>
      </w:r>
      <w:r w:rsidR="005A5899">
        <w:rPr>
          <w:sz w:val="24"/>
          <w:szCs w:val="24"/>
          <w:lang w:val="en-US"/>
        </w:rPr>
        <w:t>5</w:t>
      </w:r>
      <w:r w:rsidR="005A5899" w:rsidRPr="005A5899">
        <w:rPr>
          <w:sz w:val="24"/>
          <w:szCs w:val="24"/>
          <w:lang w:val="en-US"/>
        </w:rPr>
        <w:t>)</w:t>
      </w:r>
    </w:p>
    <w:p w:rsidR="00053362" w:rsidRDefault="00053362" w:rsidP="005A5899">
      <w:pPr>
        <w:spacing w:after="120" w:line="480" w:lineRule="auto"/>
        <w:rPr>
          <w:sz w:val="24"/>
          <w:szCs w:val="24"/>
          <w:lang w:val="it-IT"/>
        </w:rPr>
      </w:pPr>
      <w:r>
        <w:rPr>
          <w:sz w:val="24"/>
          <w:szCs w:val="24"/>
          <w:lang w:val="it-IT"/>
        </w:rPr>
        <w:t>where X</w:t>
      </w:r>
      <w:r w:rsidR="00F158B2" w:rsidRPr="00F158B2">
        <w:rPr>
          <w:sz w:val="24"/>
          <w:szCs w:val="24"/>
          <w:vertAlign w:val="subscript"/>
          <w:lang w:val="it-IT"/>
        </w:rPr>
        <w:t>i</w:t>
      </w:r>
      <w:r w:rsidR="00CD2257">
        <w:rPr>
          <w:sz w:val="24"/>
          <w:szCs w:val="24"/>
          <w:lang w:val="it-IT"/>
        </w:rPr>
        <w:t xml:space="preserve"> </w:t>
      </w:r>
      <w:r>
        <w:rPr>
          <w:sz w:val="24"/>
          <w:szCs w:val="24"/>
          <w:lang w:val="it-IT"/>
        </w:rPr>
        <w:t>= logit(</w:t>
      </w:r>
      <w:r w:rsidR="00F158B2">
        <w:rPr>
          <w:sz w:val="24"/>
          <w:szCs w:val="24"/>
          <w:lang w:val="en-GB"/>
        </w:rPr>
        <w:t>p</w:t>
      </w:r>
      <w:r w:rsidR="00F158B2" w:rsidRPr="001C0E13">
        <w:rPr>
          <w:sz w:val="24"/>
          <w:szCs w:val="24"/>
          <w:vertAlign w:val="subscript"/>
          <w:lang w:val="en-GB"/>
        </w:rPr>
        <w:t>i</w:t>
      </w:r>
      <w:r>
        <w:rPr>
          <w:sz w:val="24"/>
          <w:szCs w:val="24"/>
          <w:lang w:val="it-IT"/>
        </w:rPr>
        <w:t xml:space="preserve">) and </w:t>
      </w:r>
      <w:r w:rsidR="00DB5CED">
        <w:rPr>
          <w:sz w:val="24"/>
          <w:szCs w:val="24"/>
          <w:lang w:val="en-GB"/>
        </w:rPr>
        <w:t>M</w:t>
      </w:r>
      <w:r w:rsidR="00DB5CED" w:rsidRPr="00F158B2">
        <w:rPr>
          <w:sz w:val="24"/>
          <w:szCs w:val="24"/>
          <w:vertAlign w:val="subscript"/>
          <w:lang w:val="it-IT"/>
        </w:rPr>
        <w:t>i</w:t>
      </w:r>
      <w:r w:rsidR="00DB5CED">
        <w:rPr>
          <w:sz w:val="24"/>
          <w:szCs w:val="24"/>
          <w:lang w:val="en-GB"/>
        </w:rPr>
        <w:t xml:space="preserve"> </w:t>
      </w:r>
      <w:r>
        <w:rPr>
          <w:sz w:val="24"/>
          <w:szCs w:val="24"/>
          <w:lang w:val="en-GB"/>
        </w:rPr>
        <w:t>=</w:t>
      </w:r>
      <w:r w:rsidR="00CD2257">
        <w:rPr>
          <w:sz w:val="24"/>
          <w:szCs w:val="24"/>
          <w:lang w:val="en-GB"/>
        </w:rPr>
        <w:t xml:space="preserve"> </w:t>
      </w:r>
      <w:r>
        <w:rPr>
          <w:sz w:val="24"/>
          <w:szCs w:val="24"/>
          <w:lang w:val="en-GB"/>
        </w:rPr>
        <w:t>ln(</w:t>
      </w:r>
      <w:r w:rsidR="001C0E13">
        <w:rPr>
          <w:sz w:val="24"/>
          <w:szCs w:val="24"/>
          <w:lang w:val="en-GB"/>
        </w:rPr>
        <w:t>m</w:t>
      </w:r>
      <w:r w:rsidR="001C0E13" w:rsidRPr="001C0E13">
        <w:rPr>
          <w:sz w:val="24"/>
          <w:szCs w:val="24"/>
          <w:vertAlign w:val="subscript"/>
          <w:lang w:val="en-GB"/>
        </w:rPr>
        <w:t>i</w:t>
      </w:r>
      <w:r>
        <w:rPr>
          <w:sz w:val="24"/>
          <w:szCs w:val="24"/>
          <w:lang w:val="en-GB"/>
        </w:rPr>
        <w:t>)</w:t>
      </w:r>
    </w:p>
    <w:p w:rsidR="00C52542" w:rsidRDefault="005A5899" w:rsidP="00E975F0">
      <w:pPr>
        <w:spacing w:after="120" w:line="480" w:lineRule="auto"/>
        <w:rPr>
          <w:sz w:val="24"/>
          <w:szCs w:val="24"/>
          <w:lang w:val="en-US"/>
        </w:rPr>
      </w:pPr>
      <w:r>
        <w:rPr>
          <w:sz w:val="24"/>
          <w:szCs w:val="24"/>
          <w:lang w:val="en-US"/>
        </w:rPr>
        <w:t>Equat</w:t>
      </w:r>
      <w:r w:rsidR="00C52542">
        <w:rPr>
          <w:sz w:val="24"/>
          <w:szCs w:val="24"/>
          <w:lang w:val="en-US"/>
        </w:rPr>
        <w:t>ion (</w:t>
      </w:r>
      <w:r w:rsidR="00AE6D38">
        <w:rPr>
          <w:sz w:val="24"/>
          <w:szCs w:val="24"/>
          <w:lang w:val="en-US"/>
        </w:rPr>
        <w:t>5</w:t>
      </w:r>
      <w:r w:rsidR="00C52542">
        <w:rPr>
          <w:sz w:val="24"/>
          <w:szCs w:val="24"/>
          <w:lang w:val="en-US"/>
        </w:rPr>
        <w:t xml:space="preserve">) </w:t>
      </w:r>
      <w:r w:rsidR="00E40DC5">
        <w:rPr>
          <w:sz w:val="24"/>
          <w:szCs w:val="24"/>
          <w:lang w:val="en-US"/>
        </w:rPr>
        <w:t xml:space="preserve">is estimable </w:t>
      </w:r>
      <w:r w:rsidR="00F67915">
        <w:rPr>
          <w:sz w:val="24"/>
          <w:szCs w:val="24"/>
          <w:lang w:val="en-US"/>
        </w:rPr>
        <w:t xml:space="preserve">as </w:t>
      </w:r>
      <m:oMath>
        <m:sSub>
          <m:sSubPr>
            <m:ctrlPr>
              <w:rPr>
                <w:rFonts w:ascii="Cambria Math" w:hAnsi="Cambria Math"/>
                <w:sz w:val="24"/>
                <w:szCs w:val="24"/>
                <w:lang w:val="en-US"/>
              </w:rPr>
            </m:ctrlPr>
          </m:sSubPr>
          <m:e>
            <m:r>
              <m:rPr>
                <m:sty m:val="p"/>
              </m:rPr>
              <w:rPr>
                <w:rFonts w:ascii="Cambria Math" w:hAnsi="Cambria Math"/>
                <w:sz w:val="24"/>
                <w:szCs w:val="24"/>
                <w:lang w:val="en-US"/>
              </w:rPr>
              <m:t>X</m:t>
            </m:r>
          </m:e>
          <m:sub>
            <m:r>
              <w:rPr>
                <w:rFonts w:ascii="Cambria Math" w:hAnsi="Cambria Math"/>
                <w:sz w:val="24"/>
                <w:szCs w:val="24"/>
                <w:lang w:val="en-US"/>
              </w:rPr>
              <m:t>i</m:t>
            </m:r>
          </m:sub>
        </m:sSub>
      </m:oMath>
      <w:r w:rsidR="00E40DC5">
        <w:rPr>
          <w:sz w:val="24"/>
          <w:szCs w:val="24"/>
          <w:lang w:val="en-US"/>
        </w:rPr>
        <w:t xml:space="preserve"> and the functions are known</w:t>
      </w:r>
      <w:r>
        <w:rPr>
          <w:sz w:val="24"/>
          <w:szCs w:val="24"/>
          <w:lang w:val="en-US"/>
        </w:rPr>
        <w:t>,</w:t>
      </w:r>
      <w:r w:rsidR="00E40DC5">
        <w:rPr>
          <w:sz w:val="24"/>
          <w:szCs w:val="24"/>
          <w:lang w:val="en-US"/>
        </w:rPr>
        <w:t xml:space="preserve"> and </w:t>
      </w:r>
      <w:r>
        <w:rPr>
          <w:sz w:val="24"/>
          <w:szCs w:val="24"/>
          <w:lang w:val="en-US"/>
        </w:rPr>
        <w:t xml:space="preserve">there are </w:t>
      </w:r>
      <w:r w:rsidR="00E40DC5">
        <w:rPr>
          <w:sz w:val="24"/>
          <w:szCs w:val="24"/>
          <w:lang w:val="en-US"/>
        </w:rPr>
        <w:t xml:space="preserve">no collinearity issues. The </w:t>
      </w:r>
      <w:r w:rsidR="00E40DC5" w:rsidRPr="00FA44A0">
        <w:rPr>
          <w:rFonts w:ascii="Symbol" w:hAnsi="Symbol"/>
          <w:sz w:val="24"/>
          <w:szCs w:val="24"/>
          <w:lang w:val="en-US"/>
        </w:rPr>
        <w:t></w:t>
      </w:r>
      <w:r w:rsidR="00E40DC5">
        <w:rPr>
          <w:sz w:val="24"/>
          <w:szCs w:val="24"/>
          <w:lang w:val="en-US"/>
        </w:rPr>
        <w:t xml:space="preserve">, </w:t>
      </w:r>
      <w:r w:rsidR="00E40DC5" w:rsidRPr="00FA44A0">
        <w:rPr>
          <w:rFonts w:ascii="Symbol" w:hAnsi="Symbol"/>
          <w:sz w:val="24"/>
          <w:szCs w:val="24"/>
          <w:lang w:val="en-US"/>
        </w:rPr>
        <w:t></w:t>
      </w:r>
      <w:r w:rsidR="00E40DC5">
        <w:rPr>
          <w:sz w:val="24"/>
          <w:szCs w:val="24"/>
          <w:lang w:val="en-US"/>
        </w:rPr>
        <w:t xml:space="preserve">, </w:t>
      </w:r>
      <w:r w:rsidR="00E40DC5" w:rsidRPr="00FA44A0">
        <w:rPr>
          <w:rFonts w:ascii="Symbol" w:hAnsi="Symbol"/>
          <w:sz w:val="24"/>
          <w:szCs w:val="24"/>
          <w:lang w:val="en-US"/>
        </w:rPr>
        <w:t></w:t>
      </w:r>
      <w:r w:rsidR="00E40DC5">
        <w:rPr>
          <w:sz w:val="24"/>
          <w:szCs w:val="24"/>
          <w:lang w:val="en-US"/>
        </w:rPr>
        <w:t xml:space="preserve"> can be estimated in a single </w:t>
      </w:r>
      <w:r>
        <w:rPr>
          <w:sz w:val="24"/>
          <w:szCs w:val="24"/>
          <w:lang w:val="en-US"/>
        </w:rPr>
        <w:t xml:space="preserve">multivariate </w:t>
      </w:r>
      <w:r w:rsidR="00E40DC5">
        <w:rPr>
          <w:sz w:val="24"/>
          <w:szCs w:val="24"/>
          <w:lang w:val="en-US"/>
        </w:rPr>
        <w:t xml:space="preserve">OLS regression </w:t>
      </w:r>
      <w:r>
        <w:rPr>
          <w:sz w:val="24"/>
          <w:szCs w:val="24"/>
          <w:lang w:val="en-US"/>
        </w:rPr>
        <w:t xml:space="preserve">without a </w:t>
      </w:r>
      <w:r w:rsidR="00E40DC5">
        <w:rPr>
          <w:sz w:val="24"/>
          <w:szCs w:val="24"/>
          <w:lang w:val="en-US"/>
        </w:rPr>
        <w:t>constant.</w:t>
      </w:r>
      <w:r w:rsidR="00C52542">
        <w:rPr>
          <w:sz w:val="24"/>
          <w:szCs w:val="24"/>
          <w:lang w:val="en-US"/>
        </w:rPr>
        <w:t xml:space="preserve"> </w:t>
      </w:r>
      <w:r w:rsidR="00734698">
        <w:rPr>
          <w:sz w:val="24"/>
          <w:szCs w:val="24"/>
          <w:lang w:val="en-US"/>
        </w:rPr>
        <w:t xml:space="preserve"> </w:t>
      </w:r>
      <w:r w:rsidR="00F67915">
        <w:rPr>
          <w:sz w:val="24"/>
          <w:szCs w:val="24"/>
          <w:lang w:val="en-US"/>
        </w:rPr>
        <w:t>In the results:</w:t>
      </w:r>
    </w:p>
    <w:p w:rsidR="00C725C9" w:rsidRDefault="00C725C9" w:rsidP="00C725C9">
      <w:pPr>
        <w:numPr>
          <w:ilvl w:val="0"/>
          <w:numId w:val="3"/>
        </w:numPr>
        <w:spacing w:after="120" w:line="480" w:lineRule="auto"/>
        <w:rPr>
          <w:sz w:val="24"/>
          <w:szCs w:val="24"/>
          <w:lang w:val="en-US"/>
        </w:rPr>
      </w:pPr>
      <w:r>
        <w:rPr>
          <w:sz w:val="24"/>
          <w:szCs w:val="24"/>
          <w:lang w:val="en-US"/>
        </w:rPr>
        <w:t xml:space="preserve">the coefficient </w:t>
      </w:r>
      <w:r w:rsidR="00472786" w:rsidRPr="00472786">
        <w:rPr>
          <w:rFonts w:ascii="Symbol" w:hAnsi="Symbol"/>
          <w:sz w:val="24"/>
          <w:szCs w:val="24"/>
          <w:lang w:val="en-US"/>
        </w:rPr>
        <w:t></w:t>
      </w:r>
      <w:r>
        <w:rPr>
          <w:sz w:val="24"/>
          <w:szCs w:val="24"/>
          <w:lang w:val="en-US"/>
        </w:rPr>
        <w:t xml:space="preserve"> </w:t>
      </w:r>
      <w:r w:rsidR="00A35CE1">
        <w:rPr>
          <w:sz w:val="24"/>
          <w:szCs w:val="24"/>
          <w:lang w:val="en-US"/>
        </w:rPr>
        <w:t>measures</w:t>
      </w:r>
      <w:r w:rsidR="00C52542">
        <w:rPr>
          <w:sz w:val="24"/>
          <w:szCs w:val="24"/>
          <w:lang w:val="en-US"/>
        </w:rPr>
        <w:t xml:space="preserve"> </w:t>
      </w:r>
      <w:r>
        <w:rPr>
          <w:sz w:val="24"/>
          <w:szCs w:val="24"/>
          <w:lang w:val="en-US"/>
        </w:rPr>
        <w:t xml:space="preserve">inequality </w:t>
      </w:r>
      <w:r w:rsidR="005A5899">
        <w:rPr>
          <w:sz w:val="24"/>
          <w:szCs w:val="24"/>
          <w:lang w:val="en-US"/>
        </w:rPr>
        <w:t xml:space="preserve">close </w:t>
      </w:r>
      <w:r>
        <w:rPr>
          <w:sz w:val="24"/>
          <w:szCs w:val="24"/>
          <w:lang w:val="en-US"/>
        </w:rPr>
        <w:t>to the median</w:t>
      </w:r>
      <w:r w:rsidR="005A5899">
        <w:rPr>
          <w:sz w:val="24"/>
          <w:szCs w:val="24"/>
          <w:lang w:val="en-US"/>
        </w:rPr>
        <w:t>;</w:t>
      </w:r>
    </w:p>
    <w:p w:rsidR="00B00ACD" w:rsidRDefault="00472786" w:rsidP="00C725C9">
      <w:pPr>
        <w:numPr>
          <w:ilvl w:val="0"/>
          <w:numId w:val="3"/>
        </w:numPr>
        <w:spacing w:after="120" w:line="480" w:lineRule="auto"/>
        <w:rPr>
          <w:sz w:val="24"/>
          <w:szCs w:val="24"/>
          <w:lang w:val="en-US"/>
        </w:rPr>
      </w:pPr>
      <w:r w:rsidRPr="00472786">
        <w:rPr>
          <w:rFonts w:ascii="Symbol" w:hAnsi="Symbol"/>
          <w:sz w:val="24"/>
          <w:szCs w:val="24"/>
          <w:lang w:val="en-US"/>
        </w:rPr>
        <w:t></w:t>
      </w:r>
      <w:r w:rsidR="00C725C9">
        <w:rPr>
          <w:sz w:val="24"/>
          <w:szCs w:val="24"/>
          <w:lang w:val="en-US"/>
        </w:rPr>
        <w:t xml:space="preserve"> </w:t>
      </w:r>
      <w:r w:rsidR="00053362">
        <w:rPr>
          <w:sz w:val="24"/>
          <w:szCs w:val="24"/>
          <w:lang w:val="en-US"/>
        </w:rPr>
        <w:t xml:space="preserve">characterizes </w:t>
      </w:r>
      <w:r w:rsidR="00C725C9">
        <w:rPr>
          <w:sz w:val="24"/>
          <w:szCs w:val="24"/>
          <w:lang w:val="en-US"/>
        </w:rPr>
        <w:t xml:space="preserve">the additional inequality </w:t>
      </w:r>
      <w:r w:rsidR="00053362">
        <w:rPr>
          <w:sz w:val="24"/>
          <w:szCs w:val="24"/>
          <w:lang w:val="en-US"/>
        </w:rPr>
        <w:t xml:space="preserve">at </w:t>
      </w:r>
      <w:r w:rsidR="00C725C9">
        <w:rPr>
          <w:sz w:val="24"/>
          <w:szCs w:val="24"/>
          <w:lang w:val="en-US"/>
        </w:rPr>
        <w:t>the top</w:t>
      </w:r>
      <w:r w:rsidR="005A5899">
        <w:rPr>
          <w:sz w:val="24"/>
          <w:szCs w:val="24"/>
          <w:lang w:val="en-US"/>
        </w:rPr>
        <w:t xml:space="preserve"> of the distribution</w:t>
      </w:r>
      <w:r w:rsidR="00E312CE">
        <w:rPr>
          <w:sz w:val="24"/>
          <w:szCs w:val="24"/>
          <w:lang w:val="en-US"/>
        </w:rPr>
        <w:t xml:space="preserve">, </w:t>
      </w:r>
      <w:r w:rsidRPr="00472786">
        <w:rPr>
          <w:rFonts w:ascii="Symbol" w:hAnsi="Symbol"/>
          <w:sz w:val="24"/>
          <w:szCs w:val="24"/>
          <w:lang w:val="en-US"/>
        </w:rPr>
        <w:t></w:t>
      </w:r>
      <w:r w:rsidR="00E312CE">
        <w:rPr>
          <w:sz w:val="24"/>
          <w:szCs w:val="24"/>
          <w:lang w:val="en-US"/>
        </w:rPr>
        <w:t xml:space="preserve"> </w:t>
      </w:r>
      <w:r w:rsidR="005A5899">
        <w:rPr>
          <w:sz w:val="24"/>
          <w:szCs w:val="24"/>
          <w:lang w:val="en-US"/>
        </w:rPr>
        <w:t xml:space="preserve">being </w:t>
      </w:r>
      <w:r w:rsidR="00E312CE">
        <w:rPr>
          <w:sz w:val="24"/>
          <w:szCs w:val="24"/>
          <w:lang w:val="en-US"/>
        </w:rPr>
        <w:t xml:space="preserve">positive when the rich are richer than in the </w:t>
      </w:r>
      <w:r w:rsidR="00C37C17">
        <w:rPr>
          <w:sz w:val="24"/>
          <w:szCs w:val="24"/>
          <w:lang w:val="en-GB"/>
        </w:rPr>
        <w:t>CF</w:t>
      </w:r>
      <w:r w:rsidR="00C37C17" w:rsidRPr="00C37C17">
        <w:rPr>
          <w:rFonts w:ascii="Symbol" w:hAnsi="Symbol"/>
          <w:sz w:val="24"/>
          <w:szCs w:val="24"/>
          <w:vertAlign w:val="subscript"/>
          <w:lang w:val="en-GB"/>
        </w:rPr>
        <w:t></w:t>
      </w:r>
      <w:r w:rsidR="00CD2257">
        <w:rPr>
          <w:sz w:val="24"/>
          <w:szCs w:val="24"/>
          <w:lang w:val="en-US"/>
        </w:rPr>
        <w:t>,</w:t>
      </w:r>
      <w:r w:rsidR="00C52542">
        <w:rPr>
          <w:sz w:val="24"/>
          <w:szCs w:val="24"/>
          <w:lang w:val="en-US"/>
        </w:rPr>
        <w:t xml:space="preserve"> so </w:t>
      </w:r>
      <w:r w:rsidR="005A5899">
        <w:rPr>
          <w:sz w:val="24"/>
          <w:szCs w:val="24"/>
          <w:lang w:val="en-US"/>
        </w:rPr>
        <w:t xml:space="preserve">that </w:t>
      </w:r>
      <w:r w:rsidR="00C52542">
        <w:rPr>
          <w:sz w:val="24"/>
          <w:szCs w:val="24"/>
          <w:lang w:val="en-US"/>
        </w:rPr>
        <w:t>the upper tail is stretched</w:t>
      </w:r>
      <w:r w:rsidR="005A5899">
        <w:rPr>
          <w:sz w:val="24"/>
          <w:szCs w:val="24"/>
          <w:lang w:val="en-US"/>
        </w:rPr>
        <w:t>; and</w:t>
      </w:r>
    </w:p>
    <w:p w:rsidR="00C725C9" w:rsidRDefault="00472786" w:rsidP="00C725C9">
      <w:pPr>
        <w:numPr>
          <w:ilvl w:val="0"/>
          <w:numId w:val="3"/>
        </w:numPr>
        <w:spacing w:after="120" w:line="480" w:lineRule="auto"/>
        <w:rPr>
          <w:sz w:val="24"/>
          <w:szCs w:val="24"/>
          <w:lang w:val="en-US"/>
        </w:rPr>
      </w:pPr>
      <w:r w:rsidRPr="00472786">
        <w:rPr>
          <w:rFonts w:ascii="Symbol" w:hAnsi="Symbol"/>
          <w:sz w:val="24"/>
          <w:szCs w:val="24"/>
          <w:lang w:val="en-US"/>
        </w:rPr>
        <w:lastRenderedPageBreak/>
        <w:t></w:t>
      </w:r>
      <w:r w:rsidR="00C725C9">
        <w:rPr>
          <w:sz w:val="24"/>
          <w:szCs w:val="24"/>
          <w:lang w:val="en-US"/>
        </w:rPr>
        <w:t xml:space="preserve"> </w:t>
      </w:r>
      <w:r w:rsidR="00CD2257">
        <w:rPr>
          <w:sz w:val="24"/>
          <w:szCs w:val="24"/>
          <w:lang w:val="en-US"/>
        </w:rPr>
        <w:t xml:space="preserve">characterizes </w:t>
      </w:r>
      <w:r w:rsidR="00C725C9">
        <w:rPr>
          <w:sz w:val="24"/>
          <w:szCs w:val="24"/>
          <w:lang w:val="en-US"/>
        </w:rPr>
        <w:t>the additional inequality at the bottom</w:t>
      </w:r>
      <w:r w:rsidR="000E14DB">
        <w:rPr>
          <w:sz w:val="24"/>
          <w:szCs w:val="24"/>
          <w:lang w:val="en-US"/>
        </w:rPr>
        <w:t xml:space="preserve"> of the distribution</w:t>
      </w:r>
      <w:r w:rsidR="00E312CE">
        <w:rPr>
          <w:sz w:val="24"/>
          <w:szCs w:val="24"/>
          <w:lang w:val="en-US"/>
        </w:rPr>
        <w:t xml:space="preserve">, </w:t>
      </w:r>
      <w:r w:rsidR="000E14DB">
        <w:rPr>
          <w:sz w:val="24"/>
          <w:szCs w:val="24"/>
          <w:lang w:val="en-US"/>
        </w:rPr>
        <w:t xml:space="preserve">with </w:t>
      </w:r>
      <w:r w:rsidRPr="00472786">
        <w:rPr>
          <w:rFonts w:ascii="Symbol" w:hAnsi="Symbol"/>
          <w:sz w:val="24"/>
          <w:szCs w:val="24"/>
          <w:lang w:val="en-US"/>
        </w:rPr>
        <w:t></w:t>
      </w:r>
      <w:r w:rsidR="00E312CE">
        <w:rPr>
          <w:sz w:val="24"/>
          <w:szCs w:val="24"/>
          <w:lang w:val="en-US"/>
        </w:rPr>
        <w:t xml:space="preserve"> </w:t>
      </w:r>
      <w:r w:rsidR="000E14DB">
        <w:rPr>
          <w:sz w:val="24"/>
          <w:szCs w:val="24"/>
          <w:lang w:val="en-US"/>
        </w:rPr>
        <w:t xml:space="preserve">being </w:t>
      </w:r>
      <w:r w:rsidR="00E312CE">
        <w:rPr>
          <w:sz w:val="24"/>
          <w:szCs w:val="24"/>
          <w:lang w:val="en-US"/>
        </w:rPr>
        <w:t xml:space="preserve">positive when the poor are poorer than in the </w:t>
      </w:r>
      <w:r w:rsidR="00C37C17">
        <w:rPr>
          <w:sz w:val="24"/>
          <w:szCs w:val="24"/>
          <w:lang w:val="en-GB"/>
        </w:rPr>
        <w:t>CF</w:t>
      </w:r>
      <w:r w:rsidR="00C37C17" w:rsidRPr="00C37C17">
        <w:rPr>
          <w:rFonts w:ascii="Symbol" w:hAnsi="Symbol"/>
          <w:sz w:val="24"/>
          <w:szCs w:val="24"/>
          <w:vertAlign w:val="subscript"/>
          <w:lang w:val="en-GB"/>
        </w:rPr>
        <w:t></w:t>
      </w:r>
      <w:r w:rsidR="00C725C9">
        <w:rPr>
          <w:sz w:val="24"/>
          <w:szCs w:val="24"/>
          <w:lang w:val="en-US"/>
        </w:rPr>
        <w:t xml:space="preserve">. </w:t>
      </w:r>
    </w:p>
    <w:p w:rsidR="00AA7A76" w:rsidRDefault="000E14DB" w:rsidP="000506B7">
      <w:pPr>
        <w:spacing w:after="120" w:line="480" w:lineRule="auto"/>
        <w:rPr>
          <w:sz w:val="24"/>
          <w:szCs w:val="28"/>
          <w:lang w:val="en-US"/>
        </w:rPr>
      </w:pPr>
      <w:r>
        <w:rPr>
          <w:sz w:val="24"/>
          <w:szCs w:val="24"/>
          <w:lang w:val="en-US"/>
        </w:rPr>
        <w:t>T</w:t>
      </w:r>
      <w:r w:rsidRPr="000E14DB">
        <w:rPr>
          <w:sz w:val="24"/>
          <w:szCs w:val="24"/>
          <w:lang w:val="en-US"/>
        </w:rPr>
        <w:t xml:space="preserve">he first comparative example </w:t>
      </w:r>
      <w:r w:rsidR="00F67915">
        <w:rPr>
          <w:sz w:val="24"/>
          <w:szCs w:val="24"/>
          <w:lang w:val="en-US"/>
        </w:rPr>
        <w:t xml:space="preserve">refers to </w:t>
      </w:r>
      <w:r>
        <w:rPr>
          <w:sz w:val="24"/>
          <w:szCs w:val="24"/>
          <w:lang w:val="en-US"/>
        </w:rPr>
        <w:t xml:space="preserve">the </w:t>
      </w:r>
      <w:r w:rsidR="00AA7A76">
        <w:rPr>
          <w:sz w:val="24"/>
          <w:szCs w:val="24"/>
          <w:lang w:val="en-US"/>
        </w:rPr>
        <w:t xml:space="preserve">estimation of the </w:t>
      </w:r>
      <w:r w:rsidR="00AA7A76">
        <w:rPr>
          <w:sz w:val="24"/>
          <w:szCs w:val="28"/>
          <w:lang w:val="en-US"/>
        </w:rPr>
        <w:t>ABG (</w:t>
      </w:r>
      <w:r w:rsidR="00AA7A76" w:rsidRPr="00472786">
        <w:rPr>
          <w:rFonts w:ascii="Symbol" w:hAnsi="Symbol"/>
          <w:sz w:val="24"/>
          <w:szCs w:val="28"/>
          <w:lang w:val="en-US"/>
        </w:rPr>
        <w:t></w:t>
      </w:r>
      <w:r w:rsidR="00AA7A76">
        <w:rPr>
          <w:sz w:val="24"/>
          <w:szCs w:val="28"/>
          <w:lang w:val="en-US"/>
        </w:rPr>
        <w:t xml:space="preserve"> </w:t>
      </w:r>
      <w:r w:rsidR="00AA7A76" w:rsidRPr="00472786">
        <w:rPr>
          <w:rFonts w:ascii="Symbol" w:hAnsi="Symbol"/>
          <w:sz w:val="24"/>
          <w:szCs w:val="28"/>
          <w:lang w:val="en-US"/>
        </w:rPr>
        <w:t></w:t>
      </w:r>
      <w:r w:rsidR="00AA7A76">
        <w:rPr>
          <w:sz w:val="24"/>
          <w:szCs w:val="28"/>
          <w:lang w:val="en-US"/>
        </w:rPr>
        <w:t xml:space="preserve"> </w:t>
      </w:r>
      <w:r w:rsidR="00AA7A76" w:rsidRPr="00472786">
        <w:rPr>
          <w:rFonts w:ascii="Symbol" w:hAnsi="Symbol"/>
          <w:sz w:val="24"/>
          <w:szCs w:val="28"/>
          <w:lang w:val="en-US"/>
        </w:rPr>
        <w:t></w:t>
      </w:r>
      <w:r w:rsidR="00AA7A76">
        <w:rPr>
          <w:sz w:val="24"/>
          <w:szCs w:val="28"/>
          <w:lang w:val="en-US"/>
        </w:rPr>
        <w:t>) coefficients on Israel</w:t>
      </w:r>
      <w:r>
        <w:rPr>
          <w:sz w:val="24"/>
          <w:szCs w:val="28"/>
          <w:lang w:val="en-US"/>
        </w:rPr>
        <w:t>i</w:t>
      </w:r>
      <w:r w:rsidR="00AA7A76">
        <w:rPr>
          <w:sz w:val="24"/>
          <w:szCs w:val="28"/>
          <w:lang w:val="en-US"/>
        </w:rPr>
        <w:t xml:space="preserve"> and U.S. </w:t>
      </w:r>
      <w:r w:rsidR="00E41E70">
        <w:rPr>
          <w:sz w:val="24"/>
          <w:szCs w:val="28"/>
          <w:lang w:val="en-US"/>
        </w:rPr>
        <w:t xml:space="preserve">data </w:t>
      </w:r>
      <w:r w:rsidR="00AA7A76">
        <w:rPr>
          <w:sz w:val="24"/>
          <w:szCs w:val="28"/>
          <w:lang w:val="en-US"/>
        </w:rPr>
        <w:t xml:space="preserve">in 2010. In each sample, individuals are defined by their logit(quantile) of income and their related B and G functions. </w:t>
      </w:r>
      <w:r>
        <w:rPr>
          <w:sz w:val="24"/>
          <w:szCs w:val="28"/>
          <w:lang w:val="en-US"/>
        </w:rPr>
        <w:t>T</w:t>
      </w:r>
      <w:r w:rsidR="00480F1F">
        <w:rPr>
          <w:sz w:val="24"/>
          <w:szCs w:val="28"/>
          <w:lang w:val="en-US"/>
        </w:rPr>
        <w:t xml:space="preserve">he </w:t>
      </w:r>
      <w:r w:rsidR="00AA7A76">
        <w:rPr>
          <w:sz w:val="24"/>
          <w:szCs w:val="28"/>
          <w:lang w:val="en-US"/>
        </w:rPr>
        <w:t xml:space="preserve">OLS linear regression </w:t>
      </w:r>
      <w:r w:rsidR="00480F1F">
        <w:rPr>
          <w:sz w:val="24"/>
          <w:szCs w:val="28"/>
          <w:lang w:val="en-US"/>
        </w:rPr>
        <w:t xml:space="preserve">we propose is easy </w:t>
      </w:r>
      <w:r>
        <w:rPr>
          <w:sz w:val="24"/>
          <w:szCs w:val="28"/>
          <w:lang w:val="en-US"/>
        </w:rPr>
        <w:t xml:space="preserve">to carry out </w:t>
      </w:r>
      <w:r w:rsidR="00480F1F">
        <w:rPr>
          <w:sz w:val="24"/>
          <w:szCs w:val="28"/>
          <w:lang w:val="en-US"/>
        </w:rPr>
        <w:t xml:space="preserve">and </w:t>
      </w:r>
      <w:r w:rsidR="00AA7A76">
        <w:rPr>
          <w:sz w:val="24"/>
          <w:szCs w:val="28"/>
          <w:lang w:val="en-US"/>
        </w:rPr>
        <w:t>pro</w:t>
      </w:r>
      <w:r>
        <w:rPr>
          <w:sz w:val="24"/>
          <w:szCs w:val="28"/>
          <w:lang w:val="en-US"/>
        </w:rPr>
        <w:t>duc</w:t>
      </w:r>
      <w:r w:rsidR="00AA7A76">
        <w:rPr>
          <w:sz w:val="24"/>
          <w:szCs w:val="28"/>
          <w:lang w:val="en-US"/>
        </w:rPr>
        <w:t xml:space="preserve">es </w:t>
      </w:r>
      <w:r>
        <w:rPr>
          <w:sz w:val="24"/>
          <w:szCs w:val="28"/>
          <w:lang w:val="en-US"/>
        </w:rPr>
        <w:t xml:space="preserve">the </w:t>
      </w:r>
      <w:r w:rsidR="00AA7A76">
        <w:rPr>
          <w:sz w:val="24"/>
          <w:szCs w:val="28"/>
          <w:lang w:val="en-US"/>
        </w:rPr>
        <w:t xml:space="preserve">estimates of the ABG parameters </w:t>
      </w:r>
      <w:r w:rsidR="00480F1F">
        <w:rPr>
          <w:sz w:val="24"/>
          <w:szCs w:val="28"/>
          <w:lang w:val="en-US"/>
        </w:rPr>
        <w:t xml:space="preserve">and their standard </w:t>
      </w:r>
      <w:r>
        <w:rPr>
          <w:sz w:val="24"/>
          <w:szCs w:val="28"/>
          <w:lang w:val="en-US"/>
        </w:rPr>
        <w:t xml:space="preserve">errors </w:t>
      </w:r>
      <w:r w:rsidR="00F67915">
        <w:rPr>
          <w:sz w:val="24"/>
          <w:szCs w:val="28"/>
          <w:lang w:val="en-US"/>
        </w:rPr>
        <w:t xml:space="preserve">in </w:t>
      </w:r>
      <w:r>
        <w:rPr>
          <w:sz w:val="24"/>
          <w:szCs w:val="28"/>
          <w:lang w:val="en-US"/>
        </w:rPr>
        <w:t>T</w:t>
      </w:r>
      <w:r w:rsidR="00F67915">
        <w:rPr>
          <w:sz w:val="24"/>
          <w:szCs w:val="28"/>
          <w:lang w:val="en-US"/>
        </w:rPr>
        <w:t>able 2</w:t>
      </w:r>
      <w:r w:rsidR="00AA7A76">
        <w:rPr>
          <w:sz w:val="24"/>
          <w:szCs w:val="28"/>
          <w:lang w:val="en-US"/>
        </w:rPr>
        <w:t>.</w:t>
      </w:r>
      <w:r w:rsidR="003944E8">
        <w:rPr>
          <w:rStyle w:val="FootnoteReference"/>
          <w:sz w:val="24"/>
          <w:szCs w:val="28"/>
          <w:lang w:val="en-US"/>
        </w:rPr>
        <w:footnoteReference w:id="16"/>
      </w:r>
      <w:r w:rsidR="00034129">
        <w:rPr>
          <w:sz w:val="24"/>
          <w:szCs w:val="28"/>
          <w:lang w:val="en-US"/>
        </w:rPr>
        <w:t xml:space="preserve"> The results </w:t>
      </w:r>
      <w:r>
        <w:rPr>
          <w:sz w:val="24"/>
          <w:szCs w:val="28"/>
          <w:lang w:val="en-US"/>
        </w:rPr>
        <w:t xml:space="preserve">reveal </w:t>
      </w:r>
      <w:r w:rsidR="00034129">
        <w:rPr>
          <w:sz w:val="24"/>
          <w:szCs w:val="28"/>
          <w:lang w:val="en-US"/>
        </w:rPr>
        <w:t>that at the middle</w:t>
      </w:r>
      <w:r>
        <w:rPr>
          <w:sz w:val="24"/>
          <w:szCs w:val="28"/>
          <w:lang w:val="en-US"/>
        </w:rPr>
        <w:t xml:space="preserve"> of the distribution</w:t>
      </w:r>
      <w:r w:rsidR="00034129">
        <w:rPr>
          <w:sz w:val="24"/>
          <w:szCs w:val="28"/>
          <w:lang w:val="en-US"/>
        </w:rPr>
        <w:t>, the</w:t>
      </w:r>
      <w:r>
        <w:rPr>
          <w:sz w:val="24"/>
          <w:szCs w:val="28"/>
          <w:lang w:val="en-US"/>
        </w:rPr>
        <w:t xml:space="preserve">re is more </w:t>
      </w:r>
      <w:r w:rsidRPr="000E14DB">
        <w:rPr>
          <w:sz w:val="24"/>
          <w:szCs w:val="28"/>
          <w:lang w:val="en-US"/>
        </w:rPr>
        <w:t>inequality</w:t>
      </w:r>
      <w:r>
        <w:rPr>
          <w:sz w:val="24"/>
          <w:szCs w:val="28"/>
          <w:lang w:val="en-US"/>
        </w:rPr>
        <w:t xml:space="preserve"> in Israel</w:t>
      </w:r>
      <w:r w:rsidR="00034129">
        <w:rPr>
          <w:sz w:val="24"/>
          <w:szCs w:val="28"/>
          <w:lang w:val="en-US"/>
        </w:rPr>
        <w:t xml:space="preserve"> than </w:t>
      </w:r>
      <w:r>
        <w:rPr>
          <w:sz w:val="24"/>
          <w:szCs w:val="28"/>
          <w:lang w:val="en-US"/>
        </w:rPr>
        <w:t>in the U.S.</w:t>
      </w:r>
      <w:r w:rsidR="00034129">
        <w:rPr>
          <w:sz w:val="24"/>
          <w:szCs w:val="28"/>
          <w:lang w:val="en-US"/>
        </w:rPr>
        <w:t xml:space="preserve">, but </w:t>
      </w:r>
      <w:r>
        <w:rPr>
          <w:sz w:val="24"/>
          <w:szCs w:val="28"/>
          <w:lang w:val="en-US"/>
        </w:rPr>
        <w:t xml:space="preserve">the </w:t>
      </w:r>
      <w:r w:rsidR="00034129">
        <w:rPr>
          <w:sz w:val="24"/>
          <w:szCs w:val="28"/>
          <w:lang w:val="en-US"/>
        </w:rPr>
        <w:t xml:space="preserve">negative </w:t>
      </w:r>
      <w:r>
        <w:rPr>
          <w:sz w:val="24"/>
          <w:szCs w:val="28"/>
          <w:lang w:val="en-US"/>
        </w:rPr>
        <w:t>coefficients on the curvature</w:t>
      </w:r>
      <w:r w:rsidR="00034129">
        <w:rPr>
          <w:sz w:val="24"/>
          <w:szCs w:val="28"/>
          <w:lang w:val="en-US"/>
        </w:rPr>
        <w:t xml:space="preserve"> parameters </w:t>
      </w:r>
      <w:r w:rsidR="00034129" w:rsidRPr="00472786">
        <w:rPr>
          <w:rFonts w:ascii="Symbol" w:hAnsi="Symbol"/>
          <w:sz w:val="24"/>
          <w:szCs w:val="24"/>
          <w:lang w:val="en-US"/>
        </w:rPr>
        <w:t></w:t>
      </w:r>
      <w:r w:rsidR="00034129">
        <w:rPr>
          <w:sz w:val="24"/>
          <w:szCs w:val="24"/>
          <w:lang w:val="en-US"/>
        </w:rPr>
        <w:t xml:space="preserve"> and </w:t>
      </w:r>
      <w:r w:rsidR="00034129" w:rsidRPr="00472786">
        <w:rPr>
          <w:rFonts w:ascii="Symbol" w:hAnsi="Symbol"/>
          <w:sz w:val="24"/>
          <w:szCs w:val="24"/>
          <w:lang w:val="en-US"/>
        </w:rPr>
        <w:t></w:t>
      </w:r>
      <w:r w:rsidR="00034129">
        <w:rPr>
          <w:sz w:val="24"/>
          <w:szCs w:val="24"/>
          <w:lang w:val="en-US"/>
        </w:rPr>
        <w:t xml:space="preserve"> </w:t>
      </w:r>
      <w:r>
        <w:rPr>
          <w:sz w:val="24"/>
          <w:szCs w:val="24"/>
          <w:lang w:val="en-US"/>
        </w:rPr>
        <w:t xml:space="preserve">show that there is less inequality </w:t>
      </w:r>
      <w:r w:rsidR="00034129">
        <w:rPr>
          <w:sz w:val="24"/>
          <w:szCs w:val="24"/>
          <w:lang w:val="en-US"/>
        </w:rPr>
        <w:t>in Israel</w:t>
      </w:r>
      <w:r>
        <w:rPr>
          <w:sz w:val="24"/>
          <w:szCs w:val="24"/>
          <w:lang w:val="en-US"/>
        </w:rPr>
        <w:t xml:space="preserve"> at </w:t>
      </w:r>
      <w:r w:rsidR="00034129">
        <w:rPr>
          <w:sz w:val="24"/>
          <w:szCs w:val="24"/>
          <w:lang w:val="en-US"/>
        </w:rPr>
        <w:t>the extremes than in the U.S.</w:t>
      </w:r>
      <w:r>
        <w:rPr>
          <w:sz w:val="24"/>
          <w:szCs w:val="24"/>
          <w:lang w:val="en-US"/>
        </w:rPr>
        <w:t xml:space="preserve"> (</w:t>
      </w:r>
      <w:r w:rsidR="00034129">
        <w:rPr>
          <w:rFonts w:ascii="Symbol" w:hAnsi="Symbol"/>
          <w:sz w:val="24"/>
          <w:szCs w:val="24"/>
          <w:lang w:val="en-US"/>
        </w:rPr>
        <w:t></w:t>
      </w:r>
      <w:r w:rsidR="00034129">
        <w:rPr>
          <w:rFonts w:ascii="Symbol" w:hAnsi="Symbol"/>
          <w:sz w:val="24"/>
          <w:szCs w:val="24"/>
          <w:lang w:val="en-US"/>
        </w:rPr>
        <w:t></w:t>
      </w:r>
      <w:r w:rsidR="00034129">
        <w:rPr>
          <w:rFonts w:ascii="Symbol" w:hAnsi="Symbol"/>
          <w:sz w:val="24"/>
          <w:szCs w:val="24"/>
          <w:lang w:val="en-US"/>
        </w:rPr>
        <w:t></w:t>
      </w:r>
      <w:r w:rsidR="00034129">
        <w:rPr>
          <w:rFonts w:ascii="Symbol" w:hAnsi="Symbol"/>
          <w:sz w:val="24"/>
          <w:szCs w:val="24"/>
          <w:lang w:val="en-US"/>
        </w:rPr>
        <w:t></w:t>
      </w:r>
      <w:r w:rsidR="00034129">
        <w:rPr>
          <w:rFonts w:ascii="Symbol" w:hAnsi="Symbol"/>
          <w:sz w:val="24"/>
          <w:szCs w:val="24"/>
          <w:lang w:val="en-US"/>
        </w:rPr>
        <w:t></w:t>
      </w:r>
      <w:r w:rsidR="00034129">
        <w:rPr>
          <w:sz w:val="24"/>
          <w:szCs w:val="24"/>
          <w:lang w:val="en-US"/>
        </w:rPr>
        <w:t xml:space="preserve"> and </w:t>
      </w:r>
      <w:r w:rsidR="00034129">
        <w:rPr>
          <w:rFonts w:ascii="Symbol" w:hAnsi="Symbol"/>
          <w:sz w:val="24"/>
          <w:szCs w:val="24"/>
          <w:lang w:val="en-US"/>
        </w:rPr>
        <w:t></w:t>
      </w:r>
      <w:r w:rsidR="00034129">
        <w:rPr>
          <w:rFonts w:ascii="Symbol" w:hAnsi="Symbol"/>
          <w:sz w:val="24"/>
          <w:szCs w:val="24"/>
          <w:lang w:val="en-US"/>
        </w:rPr>
        <w:t></w:t>
      </w:r>
      <w:r w:rsidR="00034129">
        <w:rPr>
          <w:rFonts w:ascii="Symbol" w:hAnsi="Symbol"/>
          <w:sz w:val="24"/>
          <w:szCs w:val="24"/>
          <w:lang w:val="en-US"/>
        </w:rPr>
        <w:t></w:t>
      </w:r>
      <w:r w:rsidR="00034129">
        <w:rPr>
          <w:rFonts w:ascii="Symbol" w:hAnsi="Symbol"/>
          <w:sz w:val="24"/>
          <w:szCs w:val="24"/>
          <w:lang w:val="en-US"/>
        </w:rPr>
        <w:t></w:t>
      </w:r>
      <w:r w:rsidR="00034129">
        <w:rPr>
          <w:rFonts w:ascii="Symbol" w:hAnsi="Symbol"/>
          <w:sz w:val="24"/>
          <w:szCs w:val="24"/>
          <w:lang w:val="en-US"/>
        </w:rPr>
        <w:t></w:t>
      </w:r>
      <w:r w:rsidR="00034129">
        <w:rPr>
          <w:sz w:val="24"/>
          <w:szCs w:val="24"/>
          <w:lang w:val="en-US"/>
        </w:rPr>
        <w:t xml:space="preserve"> are </w:t>
      </w:r>
      <w:r>
        <w:rPr>
          <w:sz w:val="24"/>
          <w:szCs w:val="24"/>
          <w:lang w:val="en-US"/>
        </w:rPr>
        <w:t xml:space="preserve">both </w:t>
      </w:r>
      <w:r w:rsidR="00034129">
        <w:rPr>
          <w:sz w:val="24"/>
          <w:szCs w:val="24"/>
          <w:lang w:val="en-US"/>
        </w:rPr>
        <w:t>smaller in Israel</w:t>
      </w:r>
      <w:r>
        <w:rPr>
          <w:sz w:val="24"/>
          <w:szCs w:val="24"/>
          <w:lang w:val="en-US"/>
        </w:rPr>
        <w:t>)</w:t>
      </w:r>
      <w:r w:rsidR="00034129">
        <w:rPr>
          <w:sz w:val="24"/>
          <w:szCs w:val="24"/>
          <w:lang w:val="en-US"/>
        </w:rPr>
        <w:t xml:space="preserve">. These results </w:t>
      </w:r>
      <w:r>
        <w:rPr>
          <w:sz w:val="24"/>
          <w:szCs w:val="24"/>
          <w:lang w:val="en-US"/>
        </w:rPr>
        <w:t xml:space="preserve">reflect </w:t>
      </w:r>
      <w:r w:rsidR="00034129">
        <w:rPr>
          <w:sz w:val="24"/>
          <w:szCs w:val="24"/>
          <w:lang w:val="en-US"/>
        </w:rPr>
        <w:t>the complex</w:t>
      </w:r>
      <w:r>
        <w:rPr>
          <w:sz w:val="24"/>
          <w:szCs w:val="24"/>
          <w:lang w:val="en-US"/>
        </w:rPr>
        <w:t xml:space="preserve"> comparison </w:t>
      </w:r>
      <w:r w:rsidR="00034129">
        <w:rPr>
          <w:sz w:val="24"/>
          <w:szCs w:val="24"/>
          <w:lang w:val="en-US"/>
        </w:rPr>
        <w:t xml:space="preserve">of the U.S. </w:t>
      </w:r>
      <w:r>
        <w:rPr>
          <w:sz w:val="24"/>
          <w:szCs w:val="24"/>
          <w:lang w:val="en-US"/>
        </w:rPr>
        <w:t>to Israel in T</w:t>
      </w:r>
      <w:r w:rsidR="00034129">
        <w:rPr>
          <w:sz w:val="24"/>
          <w:szCs w:val="24"/>
          <w:lang w:val="en-US"/>
        </w:rPr>
        <w:t>able 1 above</w:t>
      </w:r>
      <w:r w:rsidR="005151D4">
        <w:rPr>
          <w:sz w:val="24"/>
          <w:szCs w:val="24"/>
          <w:lang w:val="en-US"/>
        </w:rPr>
        <w:t xml:space="preserve">, and </w:t>
      </w:r>
      <w:r>
        <w:rPr>
          <w:sz w:val="24"/>
          <w:szCs w:val="24"/>
          <w:lang w:val="en-US"/>
        </w:rPr>
        <w:t xml:space="preserve">underline the </w:t>
      </w:r>
      <w:r w:rsidR="00F67915">
        <w:rPr>
          <w:sz w:val="24"/>
          <w:szCs w:val="24"/>
          <w:lang w:val="en-US"/>
        </w:rPr>
        <w:t xml:space="preserve">particular </w:t>
      </w:r>
      <w:r w:rsidR="005151D4">
        <w:rPr>
          <w:sz w:val="24"/>
          <w:szCs w:val="24"/>
          <w:lang w:val="en-US"/>
        </w:rPr>
        <w:t xml:space="preserve">polarization </w:t>
      </w:r>
      <w:r>
        <w:rPr>
          <w:sz w:val="24"/>
          <w:szCs w:val="24"/>
          <w:lang w:val="en-US"/>
        </w:rPr>
        <w:t xml:space="preserve">in </w:t>
      </w:r>
      <w:r w:rsidRPr="000E14DB">
        <w:rPr>
          <w:sz w:val="24"/>
          <w:szCs w:val="24"/>
          <w:lang w:val="en-US"/>
        </w:rPr>
        <w:t xml:space="preserve">Israel </w:t>
      </w:r>
      <w:r w:rsidR="005151D4">
        <w:rPr>
          <w:sz w:val="24"/>
          <w:szCs w:val="24"/>
          <w:lang w:val="en-US"/>
        </w:rPr>
        <w:t>(</w:t>
      </w:r>
      <w:r w:rsidR="005151D4" w:rsidRPr="004646D5">
        <w:rPr>
          <w:sz w:val="24"/>
          <w:szCs w:val="24"/>
          <w:lang w:val="en-US"/>
        </w:rPr>
        <w:t>García-Fernández</w:t>
      </w:r>
      <w:r w:rsidR="005151D4">
        <w:rPr>
          <w:sz w:val="24"/>
          <w:szCs w:val="24"/>
          <w:lang w:val="en-US"/>
        </w:rPr>
        <w:t xml:space="preserve"> </w:t>
      </w:r>
      <w:r w:rsidR="005151D4" w:rsidRPr="000E14DB">
        <w:rPr>
          <w:i/>
          <w:sz w:val="24"/>
          <w:szCs w:val="24"/>
          <w:lang w:val="en-US"/>
        </w:rPr>
        <w:t>et al</w:t>
      </w:r>
      <w:r w:rsidR="005151D4">
        <w:rPr>
          <w:sz w:val="24"/>
          <w:szCs w:val="24"/>
          <w:lang w:val="en-US"/>
        </w:rPr>
        <w:t xml:space="preserve">., 2013); conversely, </w:t>
      </w:r>
      <w:r>
        <w:rPr>
          <w:sz w:val="24"/>
          <w:szCs w:val="24"/>
          <w:lang w:val="en-US"/>
        </w:rPr>
        <w:t xml:space="preserve">in </w:t>
      </w:r>
      <w:r w:rsidR="005151D4">
        <w:rPr>
          <w:sz w:val="24"/>
          <w:szCs w:val="24"/>
          <w:lang w:val="en-US"/>
        </w:rPr>
        <w:t xml:space="preserve">the </w:t>
      </w:r>
      <w:r>
        <w:rPr>
          <w:sz w:val="24"/>
          <w:szCs w:val="24"/>
          <w:lang w:val="en-US"/>
        </w:rPr>
        <w:t xml:space="preserve">U.S., </w:t>
      </w:r>
      <w:r w:rsidRPr="000E14DB">
        <w:rPr>
          <w:sz w:val="24"/>
          <w:szCs w:val="24"/>
          <w:lang w:val="en-US"/>
        </w:rPr>
        <w:t>the</w:t>
      </w:r>
      <w:r w:rsidR="0012756B">
        <w:rPr>
          <w:sz w:val="24"/>
          <w:szCs w:val="24"/>
          <w:lang w:val="en-US"/>
        </w:rPr>
        <w:t xml:space="preserve">re is </w:t>
      </w:r>
      <w:r w:rsidR="0012756B" w:rsidRPr="0012756B">
        <w:rPr>
          <w:sz w:val="24"/>
          <w:szCs w:val="24"/>
          <w:lang w:val="en-US"/>
        </w:rPr>
        <w:t>extreme inequality at the bottom (high values</w:t>
      </w:r>
      <w:r w:rsidR="0012756B">
        <w:rPr>
          <w:sz w:val="24"/>
          <w:szCs w:val="24"/>
          <w:lang w:val="en-US"/>
        </w:rPr>
        <w:t xml:space="preserve"> of </w:t>
      </w:r>
      <w:r w:rsidR="0012756B" w:rsidRPr="0012756B">
        <w:rPr>
          <w:sz w:val="24"/>
          <w:szCs w:val="24"/>
          <w:lang w:val="en-US"/>
        </w:rPr>
        <w:t xml:space="preserve">gamma) with very low values </w:t>
      </w:r>
      <w:r w:rsidR="0012756B">
        <w:rPr>
          <w:sz w:val="24"/>
          <w:szCs w:val="24"/>
          <w:lang w:val="en-US"/>
        </w:rPr>
        <w:t xml:space="preserve">for </w:t>
      </w:r>
      <w:r w:rsidR="0012756B" w:rsidRPr="0012756B">
        <w:rPr>
          <w:sz w:val="24"/>
          <w:szCs w:val="24"/>
          <w:lang w:val="en-US"/>
        </w:rPr>
        <w:t>the poorest centiles.</w:t>
      </w:r>
    </w:p>
    <w:p w:rsidR="00AA7A76" w:rsidRPr="00AA7A76" w:rsidRDefault="00AA7A76" w:rsidP="000506B7">
      <w:pPr>
        <w:spacing w:after="120" w:line="480" w:lineRule="auto"/>
        <w:rPr>
          <w:b/>
          <w:sz w:val="24"/>
          <w:szCs w:val="24"/>
          <w:lang w:val="en-US"/>
        </w:rPr>
      </w:pPr>
      <w:r>
        <w:rPr>
          <w:b/>
          <w:sz w:val="24"/>
          <w:szCs w:val="24"/>
          <w:lang w:val="en-US"/>
        </w:rPr>
        <w:t>PLACE TABLE 2 HERE</w:t>
      </w:r>
      <w:r>
        <w:rPr>
          <w:sz w:val="24"/>
          <w:szCs w:val="28"/>
          <w:lang w:val="en-US"/>
        </w:rPr>
        <w:t xml:space="preserve">  </w:t>
      </w:r>
    </w:p>
    <w:p w:rsidR="00866FE1" w:rsidRPr="000F641C" w:rsidRDefault="00034129" w:rsidP="000506B7">
      <w:pPr>
        <w:spacing w:after="120" w:line="480" w:lineRule="auto"/>
        <w:rPr>
          <w:sz w:val="24"/>
          <w:szCs w:val="24"/>
          <w:lang w:val="en-US"/>
        </w:rPr>
      </w:pPr>
      <w:r>
        <w:rPr>
          <w:sz w:val="24"/>
          <w:szCs w:val="24"/>
          <w:lang w:val="en-US"/>
        </w:rPr>
        <w:t>More generally, w</w:t>
      </w:r>
      <w:r w:rsidR="000506B7">
        <w:rPr>
          <w:sz w:val="24"/>
          <w:szCs w:val="24"/>
          <w:lang w:val="en-US"/>
        </w:rPr>
        <w:t xml:space="preserve">hen </w:t>
      </w:r>
      <w:r w:rsidR="00472786" w:rsidRPr="00472786">
        <w:rPr>
          <w:rFonts w:ascii="Symbol" w:hAnsi="Symbol"/>
          <w:sz w:val="24"/>
          <w:szCs w:val="24"/>
          <w:lang w:val="en-US"/>
        </w:rPr>
        <w:t></w:t>
      </w:r>
      <w:r w:rsidR="000506B7">
        <w:rPr>
          <w:sz w:val="24"/>
          <w:szCs w:val="24"/>
          <w:lang w:val="en-US"/>
        </w:rPr>
        <w:t xml:space="preserve"> and </w:t>
      </w:r>
      <w:r w:rsidR="00472786" w:rsidRPr="00472786">
        <w:rPr>
          <w:rFonts w:ascii="Symbol" w:hAnsi="Symbol"/>
          <w:sz w:val="24"/>
          <w:szCs w:val="24"/>
          <w:lang w:val="en-US"/>
        </w:rPr>
        <w:t></w:t>
      </w:r>
      <w:r w:rsidR="000506B7">
        <w:rPr>
          <w:sz w:val="24"/>
          <w:szCs w:val="24"/>
          <w:lang w:val="en-US"/>
        </w:rPr>
        <w:t xml:space="preserve"> equal zero, the distribution is a </w:t>
      </w:r>
      <w:r w:rsidR="00C37C17">
        <w:rPr>
          <w:sz w:val="24"/>
          <w:szCs w:val="24"/>
          <w:lang w:val="en-GB"/>
        </w:rPr>
        <w:t>CF</w:t>
      </w:r>
      <w:r w:rsidR="00C37C17" w:rsidRPr="00C37C17">
        <w:rPr>
          <w:rFonts w:ascii="Symbol" w:hAnsi="Symbol"/>
          <w:sz w:val="24"/>
          <w:szCs w:val="24"/>
          <w:vertAlign w:val="subscript"/>
          <w:lang w:val="en-GB"/>
        </w:rPr>
        <w:t></w:t>
      </w:r>
      <w:r w:rsidR="001C0E13">
        <w:rPr>
          <w:sz w:val="24"/>
          <w:szCs w:val="24"/>
          <w:lang w:val="en-US"/>
        </w:rPr>
        <w:t>, where</w:t>
      </w:r>
      <w:r w:rsidR="003D3717">
        <w:rPr>
          <w:sz w:val="24"/>
          <w:szCs w:val="24"/>
          <w:lang w:val="en-US"/>
        </w:rPr>
        <w:t xml:space="preserve"> </w:t>
      </w:r>
      <w:r w:rsidR="00472786" w:rsidRPr="00472786">
        <w:rPr>
          <w:rFonts w:ascii="Symbol" w:hAnsi="Symbol"/>
          <w:sz w:val="24"/>
          <w:szCs w:val="24"/>
          <w:lang w:val="en-US"/>
        </w:rPr>
        <w:t></w:t>
      </w:r>
      <w:r w:rsidR="00CD2257">
        <w:rPr>
          <w:sz w:val="24"/>
          <w:szCs w:val="24"/>
          <w:lang w:val="en-US"/>
        </w:rPr>
        <w:t xml:space="preserve"> </w:t>
      </w:r>
      <w:r w:rsidR="00E312CE">
        <w:rPr>
          <w:sz w:val="24"/>
          <w:szCs w:val="24"/>
          <w:lang w:val="en-US"/>
        </w:rPr>
        <w:t>=</w:t>
      </w:r>
      <w:r w:rsidR="00CD2257">
        <w:rPr>
          <w:sz w:val="24"/>
          <w:szCs w:val="24"/>
          <w:lang w:val="en-US"/>
        </w:rPr>
        <w:t xml:space="preserve"> </w:t>
      </w:r>
      <w:r w:rsidR="007A08A7">
        <w:rPr>
          <w:sz w:val="24"/>
          <w:szCs w:val="24"/>
          <w:lang w:val="en-US"/>
        </w:rPr>
        <w:t xml:space="preserve">the </w:t>
      </w:r>
      <w:r w:rsidR="00A70B2E">
        <w:rPr>
          <w:sz w:val="24"/>
          <w:szCs w:val="24"/>
          <w:lang w:val="en-US"/>
        </w:rPr>
        <w:t xml:space="preserve">Gini </w:t>
      </w:r>
      <w:r w:rsidR="007A08A7">
        <w:rPr>
          <w:sz w:val="24"/>
          <w:szCs w:val="24"/>
          <w:lang w:val="en-US"/>
        </w:rPr>
        <w:t>coefficient</w:t>
      </w:r>
      <w:r w:rsidR="000506B7">
        <w:rPr>
          <w:sz w:val="24"/>
          <w:szCs w:val="24"/>
          <w:lang w:val="en-US"/>
        </w:rPr>
        <w:t xml:space="preserve">. </w:t>
      </w:r>
      <w:r w:rsidR="001C0E13">
        <w:rPr>
          <w:sz w:val="24"/>
          <w:szCs w:val="24"/>
          <w:lang w:val="en-US"/>
        </w:rPr>
        <w:t>In the empirical analysis</w:t>
      </w:r>
      <w:r w:rsidR="00480F1F">
        <w:rPr>
          <w:sz w:val="24"/>
          <w:szCs w:val="24"/>
          <w:lang w:val="en-US"/>
        </w:rPr>
        <w:t xml:space="preserve"> of </w:t>
      </w:r>
      <w:r w:rsidR="005423EC">
        <w:rPr>
          <w:sz w:val="24"/>
          <w:szCs w:val="24"/>
          <w:lang w:val="en-US"/>
        </w:rPr>
        <w:t>232</w:t>
      </w:r>
      <w:r w:rsidR="00480F1F">
        <w:rPr>
          <w:sz w:val="24"/>
          <w:szCs w:val="24"/>
          <w:lang w:val="en-US"/>
        </w:rPr>
        <w:t xml:space="preserve"> cases</w:t>
      </w:r>
      <w:r w:rsidR="001C0E13">
        <w:rPr>
          <w:sz w:val="24"/>
          <w:szCs w:val="24"/>
          <w:lang w:val="en-US"/>
        </w:rPr>
        <w:t xml:space="preserve">, </w:t>
      </w:r>
      <w:r w:rsidR="00472786" w:rsidRPr="00472786">
        <w:rPr>
          <w:rFonts w:ascii="Symbol" w:hAnsi="Symbol"/>
          <w:sz w:val="24"/>
          <w:szCs w:val="24"/>
          <w:lang w:val="en-US"/>
        </w:rPr>
        <w:t></w:t>
      </w:r>
      <w:r w:rsidR="005E11CE">
        <w:rPr>
          <w:sz w:val="24"/>
          <w:szCs w:val="24"/>
          <w:lang w:val="en-US"/>
        </w:rPr>
        <w:t xml:space="preserve"> and </w:t>
      </w:r>
      <w:r w:rsidR="00472786" w:rsidRPr="00472786">
        <w:rPr>
          <w:rFonts w:ascii="Symbol" w:hAnsi="Symbol"/>
          <w:sz w:val="24"/>
          <w:szCs w:val="24"/>
          <w:lang w:val="en-US"/>
        </w:rPr>
        <w:t></w:t>
      </w:r>
      <w:r w:rsidR="005E11CE">
        <w:rPr>
          <w:sz w:val="24"/>
          <w:szCs w:val="24"/>
          <w:lang w:val="en-US"/>
        </w:rPr>
        <w:t xml:space="preserve"> </w:t>
      </w:r>
      <w:r w:rsidR="007A08A7">
        <w:rPr>
          <w:sz w:val="24"/>
          <w:szCs w:val="24"/>
          <w:lang w:val="en-US"/>
        </w:rPr>
        <w:t xml:space="preserve">are </w:t>
      </w:r>
      <w:r w:rsidR="00480F1F">
        <w:rPr>
          <w:sz w:val="24"/>
          <w:szCs w:val="24"/>
          <w:lang w:val="en-US"/>
        </w:rPr>
        <w:t xml:space="preserve">always </w:t>
      </w:r>
      <w:r w:rsidR="005E11CE">
        <w:rPr>
          <w:sz w:val="24"/>
          <w:szCs w:val="24"/>
          <w:lang w:val="en-US"/>
        </w:rPr>
        <w:t xml:space="preserve">much smaller than </w:t>
      </w:r>
      <w:r w:rsidR="00472786" w:rsidRPr="00472786">
        <w:rPr>
          <w:rFonts w:ascii="Symbol" w:hAnsi="Symbol"/>
          <w:sz w:val="24"/>
          <w:szCs w:val="24"/>
          <w:lang w:val="en-US"/>
        </w:rPr>
        <w:t></w:t>
      </w:r>
      <w:r w:rsidR="00AC4757">
        <w:rPr>
          <w:rFonts w:ascii="Symbol" w:hAnsi="Symbol"/>
          <w:sz w:val="24"/>
          <w:szCs w:val="24"/>
          <w:lang w:val="en-US"/>
        </w:rPr>
        <w:t></w:t>
      </w:r>
      <w:r w:rsidR="00AC4757">
        <w:rPr>
          <w:sz w:val="24"/>
          <w:szCs w:val="24"/>
          <w:lang w:val="en-US"/>
        </w:rPr>
        <w:t>(</w:t>
      </w:r>
      <w:r w:rsidR="00DE578D">
        <w:rPr>
          <w:sz w:val="24"/>
          <w:szCs w:val="24"/>
          <w:lang w:val="en-US"/>
        </w:rPr>
        <w:t>Appendix</w:t>
      </w:r>
      <w:r w:rsidR="00AC4757">
        <w:rPr>
          <w:sz w:val="24"/>
          <w:szCs w:val="24"/>
          <w:lang w:val="en-US"/>
        </w:rPr>
        <w:t xml:space="preserve"> </w:t>
      </w:r>
      <w:r w:rsidR="00D744BB">
        <w:rPr>
          <w:sz w:val="24"/>
          <w:szCs w:val="24"/>
          <w:lang w:val="en-US"/>
        </w:rPr>
        <w:t>2</w:t>
      </w:r>
      <w:r w:rsidR="00AC4757">
        <w:rPr>
          <w:sz w:val="24"/>
          <w:szCs w:val="24"/>
          <w:lang w:val="en-US"/>
        </w:rPr>
        <w:t xml:space="preserve">: </w:t>
      </w:r>
      <w:r w:rsidR="007A08A7">
        <w:rPr>
          <w:sz w:val="24"/>
          <w:szCs w:val="24"/>
          <w:lang w:val="en-US"/>
        </w:rPr>
        <w:t>T</w:t>
      </w:r>
      <w:r w:rsidR="00AC4757">
        <w:rPr>
          <w:sz w:val="24"/>
          <w:szCs w:val="24"/>
          <w:lang w:val="en-US"/>
        </w:rPr>
        <w:t xml:space="preserve">able of </w:t>
      </w:r>
      <w:r w:rsidR="00A35CE1">
        <w:rPr>
          <w:sz w:val="24"/>
          <w:szCs w:val="24"/>
          <w:lang w:val="en-US"/>
        </w:rPr>
        <w:t xml:space="preserve">30 </w:t>
      </w:r>
      <w:r w:rsidR="00AC4757">
        <w:rPr>
          <w:sz w:val="24"/>
          <w:szCs w:val="24"/>
          <w:lang w:val="en-US"/>
        </w:rPr>
        <w:t>inequality ind</w:t>
      </w:r>
      <w:r w:rsidR="007A08A7">
        <w:rPr>
          <w:sz w:val="24"/>
          <w:szCs w:val="24"/>
          <w:lang w:val="en-US"/>
        </w:rPr>
        <w:t>ic</w:t>
      </w:r>
      <w:r w:rsidR="00AC4757">
        <w:rPr>
          <w:sz w:val="24"/>
          <w:szCs w:val="24"/>
          <w:lang w:val="en-US"/>
        </w:rPr>
        <w:t>es)</w:t>
      </w:r>
      <w:r w:rsidR="001C0E13">
        <w:rPr>
          <w:sz w:val="24"/>
          <w:szCs w:val="24"/>
          <w:lang w:val="en-US"/>
        </w:rPr>
        <w:t xml:space="preserve">: </w:t>
      </w:r>
      <w:r w:rsidR="007A08A7">
        <w:rPr>
          <w:sz w:val="24"/>
          <w:szCs w:val="24"/>
          <w:lang w:val="en-US"/>
        </w:rPr>
        <w:t>i</w:t>
      </w:r>
      <w:r w:rsidR="006570CA">
        <w:rPr>
          <w:sz w:val="24"/>
          <w:szCs w:val="24"/>
          <w:lang w:val="en-US"/>
        </w:rPr>
        <w:t xml:space="preserve">n this case, </w:t>
      </w:r>
      <w:r w:rsidR="003B0335">
        <w:rPr>
          <w:sz w:val="24"/>
          <w:szCs w:val="24"/>
          <w:lang w:val="en-US"/>
        </w:rPr>
        <w:t xml:space="preserve">the </w:t>
      </w:r>
      <w:r w:rsidR="005E11CE">
        <w:rPr>
          <w:sz w:val="24"/>
          <w:szCs w:val="24"/>
          <w:lang w:val="en-US"/>
        </w:rPr>
        <w:t>CF</w:t>
      </w:r>
      <w:r w:rsidR="00CD2257">
        <w:rPr>
          <w:sz w:val="24"/>
          <w:szCs w:val="24"/>
          <w:lang w:val="en-US"/>
        </w:rPr>
        <w:t xml:space="preserve"> </w:t>
      </w:r>
      <w:r w:rsidR="005E11CE">
        <w:rPr>
          <w:sz w:val="24"/>
          <w:szCs w:val="24"/>
          <w:lang w:val="en-US"/>
        </w:rPr>
        <w:t>distribution is a</w:t>
      </w:r>
      <w:r w:rsidR="00DB1531">
        <w:rPr>
          <w:sz w:val="24"/>
          <w:szCs w:val="24"/>
          <w:lang w:val="en-US"/>
        </w:rPr>
        <w:t>n acceptable</w:t>
      </w:r>
      <w:r w:rsidR="005E11CE">
        <w:rPr>
          <w:sz w:val="24"/>
          <w:szCs w:val="24"/>
          <w:lang w:val="en-US"/>
        </w:rPr>
        <w:t xml:space="preserve"> </w:t>
      </w:r>
      <w:r w:rsidR="009C646A">
        <w:rPr>
          <w:sz w:val="24"/>
          <w:szCs w:val="24"/>
          <w:lang w:val="en-US"/>
        </w:rPr>
        <w:t xml:space="preserve">simplified </w:t>
      </w:r>
      <w:r w:rsidR="005E11CE">
        <w:rPr>
          <w:sz w:val="24"/>
          <w:szCs w:val="24"/>
          <w:lang w:val="en-US"/>
        </w:rPr>
        <w:t>first</w:t>
      </w:r>
      <w:r w:rsidR="00CD2257">
        <w:rPr>
          <w:sz w:val="24"/>
          <w:szCs w:val="24"/>
          <w:lang w:val="en-US"/>
        </w:rPr>
        <w:t>-</w:t>
      </w:r>
      <w:r w:rsidR="005E11CE">
        <w:rPr>
          <w:sz w:val="24"/>
          <w:szCs w:val="24"/>
          <w:lang w:val="en-US"/>
        </w:rPr>
        <w:t xml:space="preserve">order hypothesis, and </w:t>
      </w:r>
      <w:r w:rsidR="00472786" w:rsidRPr="00472786">
        <w:rPr>
          <w:rFonts w:ascii="Symbol" w:hAnsi="Symbol"/>
          <w:sz w:val="24"/>
          <w:szCs w:val="24"/>
          <w:lang w:val="en-US"/>
        </w:rPr>
        <w:t></w:t>
      </w:r>
      <w:r w:rsidR="005E11CE">
        <w:rPr>
          <w:sz w:val="24"/>
          <w:szCs w:val="24"/>
          <w:lang w:val="en-US"/>
        </w:rPr>
        <w:t xml:space="preserve"> and </w:t>
      </w:r>
      <w:r w:rsidR="00472786" w:rsidRPr="00472786">
        <w:rPr>
          <w:rFonts w:ascii="Symbol" w:hAnsi="Symbol"/>
          <w:sz w:val="24"/>
          <w:szCs w:val="24"/>
          <w:lang w:val="en-US"/>
        </w:rPr>
        <w:t></w:t>
      </w:r>
      <w:r w:rsidR="005E11CE">
        <w:rPr>
          <w:sz w:val="24"/>
          <w:szCs w:val="24"/>
          <w:lang w:val="en-US"/>
        </w:rPr>
        <w:t xml:space="preserve"> are correcti</w:t>
      </w:r>
      <w:r w:rsidR="007A08A7">
        <w:rPr>
          <w:sz w:val="24"/>
          <w:szCs w:val="24"/>
          <w:lang w:val="en-US"/>
        </w:rPr>
        <w:t>on</w:t>
      </w:r>
      <w:r w:rsidR="005E11CE">
        <w:rPr>
          <w:sz w:val="24"/>
          <w:szCs w:val="24"/>
          <w:lang w:val="en-US"/>
        </w:rPr>
        <w:t xml:space="preserve"> coefficients. </w:t>
      </w:r>
      <w:r w:rsidR="00053362">
        <w:rPr>
          <w:sz w:val="24"/>
          <w:szCs w:val="24"/>
          <w:lang w:val="en-US"/>
        </w:rPr>
        <w:t>W</w:t>
      </w:r>
      <w:r w:rsidR="00BB31AD">
        <w:rPr>
          <w:sz w:val="24"/>
          <w:szCs w:val="24"/>
          <w:lang w:val="en-US"/>
        </w:rPr>
        <w:t xml:space="preserve">hen </w:t>
      </w:r>
      <w:r w:rsidR="00472786" w:rsidRPr="00472786">
        <w:rPr>
          <w:rFonts w:ascii="Symbol" w:hAnsi="Symbol"/>
          <w:sz w:val="24"/>
          <w:szCs w:val="24"/>
          <w:lang w:val="en-US"/>
        </w:rPr>
        <w:t></w:t>
      </w:r>
      <w:r w:rsidR="00BB31AD">
        <w:rPr>
          <w:sz w:val="24"/>
          <w:szCs w:val="24"/>
          <w:lang w:val="en-US"/>
        </w:rPr>
        <w:t xml:space="preserve"> </w:t>
      </w:r>
      <w:r w:rsidR="008A5161">
        <w:rPr>
          <w:sz w:val="24"/>
          <w:szCs w:val="24"/>
          <w:lang w:val="en-US"/>
        </w:rPr>
        <w:t>(</w:t>
      </w:r>
      <w:r w:rsidR="00472786" w:rsidRPr="00472786">
        <w:rPr>
          <w:rFonts w:ascii="Symbol" w:hAnsi="Symbol"/>
          <w:sz w:val="24"/>
          <w:szCs w:val="24"/>
          <w:lang w:val="en-US"/>
        </w:rPr>
        <w:t></w:t>
      </w:r>
      <w:r w:rsidR="008A5161">
        <w:rPr>
          <w:sz w:val="24"/>
          <w:szCs w:val="24"/>
          <w:lang w:val="en-US"/>
        </w:rPr>
        <w:t xml:space="preserve">) </w:t>
      </w:r>
      <w:r w:rsidR="00BB31AD">
        <w:rPr>
          <w:sz w:val="24"/>
          <w:szCs w:val="24"/>
          <w:lang w:val="en-US"/>
        </w:rPr>
        <w:t>is 1%</w:t>
      </w:r>
      <w:r w:rsidR="008A5161">
        <w:rPr>
          <w:sz w:val="24"/>
          <w:szCs w:val="24"/>
          <w:lang w:val="en-US"/>
        </w:rPr>
        <w:t xml:space="preserve"> higher</w:t>
      </w:r>
      <w:r w:rsidR="00BB31AD">
        <w:rPr>
          <w:sz w:val="24"/>
          <w:szCs w:val="24"/>
          <w:lang w:val="en-US"/>
        </w:rPr>
        <w:t xml:space="preserve">, the ISO(X) </w:t>
      </w:r>
      <w:r w:rsidR="008A5161">
        <w:rPr>
          <w:sz w:val="24"/>
          <w:szCs w:val="24"/>
          <w:lang w:val="en-US"/>
        </w:rPr>
        <w:t xml:space="preserve">function </w:t>
      </w:r>
      <w:r w:rsidR="00BB31AD">
        <w:rPr>
          <w:sz w:val="24"/>
          <w:szCs w:val="24"/>
          <w:lang w:val="en-US"/>
        </w:rPr>
        <w:t xml:space="preserve">increases </w:t>
      </w:r>
      <w:r w:rsidR="008A5161">
        <w:rPr>
          <w:sz w:val="24"/>
          <w:szCs w:val="24"/>
          <w:lang w:val="en-US"/>
        </w:rPr>
        <w:t>by</w:t>
      </w:r>
      <w:r w:rsidR="00BB31AD">
        <w:rPr>
          <w:sz w:val="24"/>
          <w:szCs w:val="24"/>
          <w:lang w:val="en-US"/>
        </w:rPr>
        <w:t xml:space="preserve"> 1% at the upper </w:t>
      </w:r>
      <w:r w:rsidR="008A5161">
        <w:rPr>
          <w:sz w:val="24"/>
          <w:szCs w:val="24"/>
          <w:lang w:val="en-US"/>
        </w:rPr>
        <w:t xml:space="preserve">(lower) </w:t>
      </w:r>
      <w:r w:rsidR="00BB31AD">
        <w:rPr>
          <w:sz w:val="24"/>
          <w:szCs w:val="24"/>
          <w:lang w:val="en-US"/>
        </w:rPr>
        <w:t xml:space="preserve">asymptote. </w:t>
      </w:r>
      <w:r w:rsidR="00CD2257">
        <w:rPr>
          <w:sz w:val="24"/>
          <w:szCs w:val="24"/>
          <w:lang w:val="en-US"/>
        </w:rPr>
        <w:t>Th</w:t>
      </w:r>
      <w:r w:rsidR="007A08A7">
        <w:rPr>
          <w:sz w:val="24"/>
          <w:szCs w:val="24"/>
          <w:lang w:val="en-US"/>
        </w:rPr>
        <w:t xml:space="preserve">e </w:t>
      </w:r>
      <w:r w:rsidR="00700A5D">
        <w:rPr>
          <w:sz w:val="24"/>
          <w:szCs w:val="24"/>
          <w:lang w:val="en-US"/>
        </w:rPr>
        <w:lastRenderedPageBreak/>
        <w:t xml:space="preserve">ABG </w:t>
      </w:r>
      <w:r w:rsidR="007A08A7">
        <w:rPr>
          <w:sz w:val="24"/>
          <w:szCs w:val="24"/>
          <w:lang w:val="en-US"/>
        </w:rPr>
        <w:t xml:space="preserve">has </w:t>
      </w:r>
      <w:r w:rsidR="00E312CE">
        <w:rPr>
          <w:sz w:val="24"/>
          <w:szCs w:val="24"/>
          <w:lang w:val="en-US"/>
        </w:rPr>
        <w:t xml:space="preserve">three </w:t>
      </w:r>
      <w:r w:rsidR="00700A5D">
        <w:rPr>
          <w:sz w:val="24"/>
          <w:szCs w:val="24"/>
          <w:lang w:val="en-US"/>
        </w:rPr>
        <w:t xml:space="preserve">shape </w:t>
      </w:r>
      <w:r w:rsidR="00E312CE">
        <w:rPr>
          <w:sz w:val="24"/>
          <w:szCs w:val="24"/>
          <w:lang w:val="en-US"/>
        </w:rPr>
        <w:t>parameter</w:t>
      </w:r>
      <w:r w:rsidR="00700A5D">
        <w:rPr>
          <w:sz w:val="24"/>
          <w:szCs w:val="24"/>
          <w:lang w:val="en-US"/>
        </w:rPr>
        <w:t>s</w:t>
      </w:r>
      <w:r w:rsidR="007A08A7">
        <w:rPr>
          <w:sz w:val="24"/>
          <w:szCs w:val="24"/>
          <w:lang w:val="en-US"/>
        </w:rPr>
        <w:t>,</w:t>
      </w:r>
      <w:r w:rsidR="00700A5D">
        <w:rPr>
          <w:sz w:val="24"/>
          <w:szCs w:val="24"/>
          <w:lang w:val="en-US"/>
        </w:rPr>
        <w:t xml:space="preserve"> plus one scale parameter</w:t>
      </w:r>
      <w:r w:rsidR="00E312CE">
        <w:rPr>
          <w:sz w:val="24"/>
          <w:szCs w:val="24"/>
          <w:lang w:val="en-US"/>
        </w:rPr>
        <w:t xml:space="preserve"> </w:t>
      </w:r>
      <w:r w:rsidR="007A08A7">
        <w:rPr>
          <w:sz w:val="24"/>
          <w:szCs w:val="24"/>
          <w:lang w:val="en-US"/>
        </w:rPr>
        <w:t>derived</w:t>
      </w:r>
      <w:r w:rsidR="00CC7628">
        <w:rPr>
          <w:sz w:val="24"/>
          <w:szCs w:val="24"/>
          <w:lang w:val="en-US"/>
        </w:rPr>
        <w:t xml:space="preserve"> from </w:t>
      </w:r>
      <w:r w:rsidR="00E312CE">
        <w:rPr>
          <w:sz w:val="24"/>
          <w:szCs w:val="24"/>
          <w:lang w:val="en-US"/>
        </w:rPr>
        <w:t xml:space="preserve">the ISO(X) </w:t>
      </w:r>
      <w:r w:rsidR="007A08A7" w:rsidRPr="007A08A7">
        <w:rPr>
          <w:sz w:val="24"/>
          <w:szCs w:val="24"/>
          <w:lang w:val="en-US"/>
        </w:rPr>
        <w:t xml:space="preserve">estimation </w:t>
      </w:r>
      <w:r w:rsidR="00E312CE">
        <w:rPr>
          <w:sz w:val="24"/>
          <w:szCs w:val="24"/>
          <w:lang w:val="en-US"/>
        </w:rPr>
        <w:t>function</w:t>
      </w:r>
      <w:r w:rsidR="00CC7628">
        <w:rPr>
          <w:sz w:val="24"/>
          <w:szCs w:val="24"/>
          <w:lang w:val="en-US"/>
        </w:rPr>
        <w:t xml:space="preserve"> </w:t>
      </w:r>
      <w:r w:rsidR="00053362">
        <w:rPr>
          <w:sz w:val="24"/>
          <w:szCs w:val="24"/>
          <w:lang w:val="en-US"/>
        </w:rPr>
        <w:t>(</w:t>
      </w:r>
      <w:r w:rsidR="00AE6D38">
        <w:rPr>
          <w:sz w:val="24"/>
          <w:szCs w:val="24"/>
          <w:lang w:val="en-US"/>
        </w:rPr>
        <w:t>6</w:t>
      </w:r>
      <w:r w:rsidR="00053362">
        <w:rPr>
          <w:sz w:val="24"/>
          <w:szCs w:val="24"/>
          <w:lang w:val="en-US"/>
        </w:rPr>
        <w:t>)</w:t>
      </w:r>
      <w:r w:rsidR="00E312CE">
        <w:rPr>
          <w:sz w:val="24"/>
          <w:szCs w:val="24"/>
          <w:lang w:val="en-US"/>
        </w:rPr>
        <w:t>.</w:t>
      </w:r>
      <w:r w:rsidR="002203AB">
        <w:rPr>
          <w:rStyle w:val="FootnoteReference"/>
          <w:sz w:val="24"/>
          <w:szCs w:val="24"/>
          <w:lang w:val="en-US"/>
        </w:rPr>
        <w:footnoteReference w:id="17"/>
      </w:r>
    </w:p>
    <w:p w:rsidR="003B0335" w:rsidRDefault="00580992" w:rsidP="00580992">
      <w:pPr>
        <w:spacing w:after="120" w:line="480" w:lineRule="auto"/>
        <w:rPr>
          <w:sz w:val="24"/>
          <w:szCs w:val="24"/>
          <w:lang w:val="en-US"/>
        </w:rPr>
      </w:pPr>
      <w:r>
        <w:rPr>
          <w:sz w:val="24"/>
          <w:szCs w:val="24"/>
          <w:lang w:val="en-US"/>
        </w:rPr>
        <w:t xml:space="preserve">In this decomposition, </w:t>
      </w:r>
      <w:r w:rsidR="00472786" w:rsidRPr="00472786">
        <w:rPr>
          <w:rFonts w:ascii="Symbol" w:hAnsi="Symbol"/>
          <w:sz w:val="24"/>
          <w:szCs w:val="24"/>
          <w:lang w:val="en-US"/>
        </w:rPr>
        <w:t></w:t>
      </w:r>
      <w:r>
        <w:rPr>
          <w:sz w:val="24"/>
          <w:szCs w:val="24"/>
          <w:lang w:val="en-US"/>
        </w:rPr>
        <w:t xml:space="preserve">, </w:t>
      </w:r>
      <w:r w:rsidR="00472786" w:rsidRPr="00472786">
        <w:rPr>
          <w:rFonts w:ascii="Symbol" w:hAnsi="Symbol"/>
          <w:sz w:val="24"/>
          <w:szCs w:val="24"/>
          <w:lang w:val="en-US"/>
        </w:rPr>
        <w:t></w:t>
      </w:r>
      <w:r w:rsidR="00CD2257">
        <w:rPr>
          <w:sz w:val="24"/>
          <w:szCs w:val="24"/>
          <w:lang w:val="en-US"/>
        </w:rPr>
        <w:t xml:space="preserve"> </w:t>
      </w:r>
      <w:r>
        <w:rPr>
          <w:sz w:val="24"/>
          <w:szCs w:val="24"/>
          <w:lang w:val="en-US"/>
        </w:rPr>
        <w:t>+</w:t>
      </w:r>
      <w:r w:rsidR="00CD2257">
        <w:rPr>
          <w:sz w:val="24"/>
          <w:szCs w:val="24"/>
          <w:lang w:val="en-US"/>
        </w:rPr>
        <w:t xml:space="preserve"> </w:t>
      </w:r>
      <w:r w:rsidR="00472786" w:rsidRPr="00472786">
        <w:rPr>
          <w:rFonts w:ascii="Symbol" w:hAnsi="Symbol"/>
          <w:sz w:val="24"/>
          <w:szCs w:val="24"/>
          <w:lang w:val="en-US"/>
        </w:rPr>
        <w:t></w:t>
      </w:r>
      <w:r>
        <w:rPr>
          <w:sz w:val="24"/>
          <w:szCs w:val="24"/>
          <w:lang w:val="en-US"/>
        </w:rPr>
        <w:t xml:space="preserve"> and </w:t>
      </w:r>
      <w:r w:rsidR="00472786" w:rsidRPr="00472786">
        <w:rPr>
          <w:rFonts w:ascii="Symbol" w:hAnsi="Symbol"/>
          <w:sz w:val="24"/>
          <w:szCs w:val="24"/>
          <w:lang w:val="en-US"/>
        </w:rPr>
        <w:t></w:t>
      </w:r>
      <w:r w:rsidR="00CD2257">
        <w:rPr>
          <w:sz w:val="24"/>
          <w:szCs w:val="24"/>
          <w:lang w:val="en-US"/>
        </w:rPr>
        <w:t xml:space="preserve"> </w:t>
      </w:r>
      <w:r>
        <w:rPr>
          <w:sz w:val="24"/>
          <w:szCs w:val="24"/>
          <w:lang w:val="en-US"/>
        </w:rPr>
        <w:t>+</w:t>
      </w:r>
      <w:r w:rsidR="00CD2257">
        <w:rPr>
          <w:sz w:val="24"/>
          <w:szCs w:val="24"/>
          <w:lang w:val="en-US"/>
        </w:rPr>
        <w:t xml:space="preserve"> </w:t>
      </w:r>
      <w:r w:rsidR="00472786" w:rsidRPr="00472786">
        <w:rPr>
          <w:rFonts w:ascii="Symbol" w:hAnsi="Symbol"/>
          <w:sz w:val="24"/>
          <w:szCs w:val="24"/>
          <w:lang w:val="en-US"/>
        </w:rPr>
        <w:t></w:t>
      </w:r>
      <w:r>
        <w:rPr>
          <w:sz w:val="24"/>
          <w:szCs w:val="24"/>
          <w:lang w:val="en-US"/>
        </w:rPr>
        <w:t xml:space="preserve"> are </w:t>
      </w:r>
      <w:r w:rsidR="007A08A7">
        <w:rPr>
          <w:sz w:val="24"/>
          <w:szCs w:val="24"/>
          <w:lang w:val="en-US"/>
        </w:rPr>
        <w:t xml:space="preserve">the </w:t>
      </w:r>
      <w:r>
        <w:rPr>
          <w:sz w:val="24"/>
          <w:szCs w:val="24"/>
          <w:lang w:val="en-US"/>
        </w:rPr>
        <w:t xml:space="preserve">inequality </w:t>
      </w:r>
      <w:r w:rsidR="007A08A7" w:rsidRPr="007A08A7">
        <w:rPr>
          <w:sz w:val="24"/>
          <w:szCs w:val="24"/>
          <w:lang w:val="en-US"/>
        </w:rPr>
        <w:t xml:space="preserve">measures </w:t>
      </w:r>
      <w:r>
        <w:rPr>
          <w:sz w:val="24"/>
          <w:szCs w:val="24"/>
          <w:lang w:val="en-US"/>
        </w:rPr>
        <w:t>at the median, top and bottom of the distribution</w:t>
      </w:r>
      <w:r w:rsidR="004C54DE">
        <w:rPr>
          <w:sz w:val="24"/>
          <w:szCs w:val="24"/>
          <w:lang w:val="en-US"/>
        </w:rPr>
        <w:t xml:space="preserve">, </w:t>
      </w:r>
      <w:r w:rsidR="00CD2257">
        <w:rPr>
          <w:sz w:val="24"/>
          <w:szCs w:val="24"/>
          <w:lang w:val="en-US"/>
        </w:rPr>
        <w:t xml:space="preserve">respectively, and are </w:t>
      </w:r>
      <w:r w:rsidR="003B0335">
        <w:rPr>
          <w:sz w:val="24"/>
          <w:szCs w:val="24"/>
          <w:lang w:val="en-US"/>
        </w:rPr>
        <w:t>homogeneous</w:t>
      </w:r>
      <w:r w:rsidR="004C54DE">
        <w:rPr>
          <w:sz w:val="24"/>
          <w:szCs w:val="24"/>
          <w:lang w:val="en-US"/>
        </w:rPr>
        <w:t xml:space="preserve"> with </w:t>
      </w:r>
      <w:r w:rsidR="007A08A7">
        <w:rPr>
          <w:sz w:val="24"/>
          <w:szCs w:val="24"/>
          <w:lang w:val="en-US"/>
        </w:rPr>
        <w:t xml:space="preserve">the </w:t>
      </w:r>
      <w:r w:rsidR="00A70B2E">
        <w:rPr>
          <w:sz w:val="24"/>
          <w:szCs w:val="24"/>
          <w:lang w:val="en-US"/>
        </w:rPr>
        <w:t xml:space="preserve">Gini </w:t>
      </w:r>
      <w:r w:rsidR="007A08A7">
        <w:rPr>
          <w:sz w:val="24"/>
          <w:szCs w:val="24"/>
          <w:lang w:val="en-US"/>
        </w:rPr>
        <w:t xml:space="preserve">coefficient </w:t>
      </w:r>
      <w:r w:rsidR="003B0335">
        <w:rPr>
          <w:sz w:val="24"/>
          <w:szCs w:val="24"/>
          <w:lang w:val="en-US"/>
        </w:rPr>
        <w:t xml:space="preserve">in the sense that </w:t>
      </w:r>
      <w:r w:rsidR="002F736B">
        <w:rPr>
          <w:sz w:val="24"/>
          <w:szCs w:val="24"/>
          <w:lang w:val="en-US"/>
        </w:rPr>
        <w:t>the upper tail of a distribution of coefficient (</w:t>
      </w:r>
      <w:r w:rsidR="002F736B" w:rsidRPr="00472786">
        <w:rPr>
          <w:rFonts w:ascii="Symbol" w:hAnsi="Symbol"/>
          <w:sz w:val="24"/>
          <w:szCs w:val="24"/>
          <w:lang w:val="en-US"/>
        </w:rPr>
        <w:t></w:t>
      </w:r>
      <w:r w:rsidR="002F736B">
        <w:rPr>
          <w:sz w:val="24"/>
          <w:szCs w:val="24"/>
          <w:lang w:val="en-US"/>
        </w:rPr>
        <w:t xml:space="preserve"> + </w:t>
      </w:r>
      <w:r w:rsidR="002F736B" w:rsidRPr="00472786">
        <w:rPr>
          <w:rFonts w:ascii="Symbol" w:hAnsi="Symbol"/>
          <w:sz w:val="24"/>
          <w:szCs w:val="24"/>
          <w:lang w:val="en-US"/>
        </w:rPr>
        <w:t></w:t>
      </w:r>
      <w:r w:rsidR="002F736B">
        <w:rPr>
          <w:sz w:val="24"/>
          <w:szCs w:val="24"/>
          <w:lang w:val="en-US"/>
        </w:rPr>
        <w:t xml:space="preserve">) is similar to a </w:t>
      </w:r>
      <w:r w:rsidR="00C37C17">
        <w:rPr>
          <w:sz w:val="24"/>
          <w:szCs w:val="24"/>
          <w:lang w:val="en-GB"/>
        </w:rPr>
        <w:t>CF</w:t>
      </w:r>
      <w:r w:rsidR="00C37C17" w:rsidRPr="00C37C17">
        <w:rPr>
          <w:rFonts w:ascii="Symbol" w:hAnsi="Symbol"/>
          <w:sz w:val="24"/>
          <w:szCs w:val="24"/>
          <w:vertAlign w:val="subscript"/>
          <w:lang w:val="en-GB"/>
        </w:rPr>
        <w:t></w:t>
      </w:r>
      <w:r w:rsidR="00C37C17">
        <w:rPr>
          <w:rFonts w:ascii="Symbol" w:hAnsi="Symbol"/>
          <w:sz w:val="24"/>
          <w:szCs w:val="24"/>
          <w:vertAlign w:val="subscript"/>
          <w:lang w:val="en-GB"/>
        </w:rPr>
        <w:t></w:t>
      </w:r>
      <w:r w:rsidR="00C37C17">
        <w:rPr>
          <w:rFonts w:ascii="Symbol" w:hAnsi="Symbol"/>
          <w:sz w:val="24"/>
          <w:szCs w:val="24"/>
          <w:vertAlign w:val="subscript"/>
          <w:lang w:val="en-GB"/>
        </w:rPr>
        <w:t></w:t>
      </w:r>
      <w:r>
        <w:rPr>
          <w:sz w:val="24"/>
          <w:szCs w:val="24"/>
          <w:lang w:val="en-US"/>
        </w:rPr>
        <w:t xml:space="preserve">. </w:t>
      </w:r>
    </w:p>
    <w:p w:rsidR="00760241" w:rsidRDefault="00580992" w:rsidP="00760241">
      <w:pPr>
        <w:spacing w:after="120" w:line="480" w:lineRule="auto"/>
        <w:rPr>
          <w:sz w:val="24"/>
          <w:szCs w:val="24"/>
          <w:lang w:val="en-US"/>
        </w:rPr>
      </w:pPr>
      <w:r>
        <w:rPr>
          <w:sz w:val="24"/>
          <w:szCs w:val="24"/>
          <w:lang w:val="en-US"/>
        </w:rPr>
        <w:t xml:space="preserve">There is no </w:t>
      </w:r>
      <w:r w:rsidR="002F736B">
        <w:rPr>
          <w:sz w:val="24"/>
          <w:szCs w:val="24"/>
          <w:lang w:val="en-US"/>
        </w:rPr>
        <w:t xml:space="preserve">analytic expression </w:t>
      </w:r>
      <w:r>
        <w:rPr>
          <w:sz w:val="24"/>
          <w:szCs w:val="24"/>
          <w:lang w:val="en-US"/>
        </w:rPr>
        <w:t xml:space="preserve">for these measures since they </w:t>
      </w:r>
      <w:r w:rsidR="007A08A7">
        <w:rPr>
          <w:sz w:val="24"/>
          <w:szCs w:val="24"/>
          <w:lang w:val="en-US"/>
        </w:rPr>
        <w:t xml:space="preserve">come from </w:t>
      </w:r>
      <w:r w:rsidR="00AE4EF3">
        <w:rPr>
          <w:sz w:val="24"/>
          <w:szCs w:val="24"/>
          <w:lang w:val="en-US"/>
        </w:rPr>
        <w:t xml:space="preserve">a </w:t>
      </w:r>
      <w:r>
        <w:rPr>
          <w:sz w:val="24"/>
          <w:szCs w:val="24"/>
          <w:lang w:val="en-US"/>
        </w:rPr>
        <w:t>regression</w:t>
      </w:r>
      <w:r w:rsidR="004C54DE">
        <w:rPr>
          <w:sz w:val="24"/>
          <w:szCs w:val="24"/>
          <w:lang w:val="en-US"/>
        </w:rPr>
        <w:t xml:space="preserve"> of </w:t>
      </w:r>
      <w:r w:rsidR="00D6658F">
        <w:rPr>
          <w:sz w:val="24"/>
          <w:szCs w:val="24"/>
          <w:lang w:val="en-US"/>
        </w:rPr>
        <w:t>M</w:t>
      </w:r>
      <w:r w:rsidR="00AE4EF3">
        <w:rPr>
          <w:sz w:val="24"/>
          <w:szCs w:val="24"/>
          <w:lang w:val="en-US"/>
        </w:rPr>
        <w:t xml:space="preserve"> on </w:t>
      </w:r>
      <w:r w:rsidR="007A08A7">
        <w:rPr>
          <w:sz w:val="24"/>
          <w:szCs w:val="24"/>
          <w:lang w:val="en-US"/>
        </w:rPr>
        <w:t xml:space="preserve">the </w:t>
      </w:r>
      <w:r w:rsidR="00AE4EF3">
        <w:rPr>
          <w:sz w:val="24"/>
          <w:szCs w:val="24"/>
          <w:lang w:val="en-US"/>
        </w:rPr>
        <w:t xml:space="preserve">functions </w:t>
      </w:r>
      <w:r w:rsidR="00D6658F">
        <w:rPr>
          <w:sz w:val="24"/>
          <w:szCs w:val="24"/>
          <w:lang w:val="en-US"/>
        </w:rPr>
        <w:t>X</w:t>
      </w:r>
      <w:r w:rsidR="00AE4EF3">
        <w:rPr>
          <w:sz w:val="24"/>
          <w:szCs w:val="24"/>
          <w:lang w:val="en-US"/>
        </w:rPr>
        <w:t xml:space="preserve">B(X) and </w:t>
      </w:r>
      <w:r w:rsidR="00D6658F">
        <w:rPr>
          <w:sz w:val="24"/>
          <w:szCs w:val="24"/>
          <w:lang w:val="en-US"/>
        </w:rPr>
        <w:t>X</w:t>
      </w:r>
      <w:r w:rsidR="00AE4EF3">
        <w:rPr>
          <w:sz w:val="24"/>
          <w:szCs w:val="24"/>
          <w:lang w:val="en-US"/>
        </w:rPr>
        <w:t>G(X)</w:t>
      </w:r>
      <w:r w:rsidR="002F736B">
        <w:rPr>
          <w:sz w:val="24"/>
          <w:szCs w:val="24"/>
          <w:lang w:val="en-US"/>
        </w:rPr>
        <w:t xml:space="preserve">. </w:t>
      </w:r>
      <w:r w:rsidR="002F736B" w:rsidRPr="002F736B">
        <w:rPr>
          <w:sz w:val="24"/>
          <w:szCs w:val="24"/>
          <w:lang w:val="en-US"/>
        </w:rPr>
        <w:t>Similarly,</w:t>
      </w:r>
      <w:r w:rsidR="002F736B">
        <w:rPr>
          <w:sz w:val="24"/>
          <w:szCs w:val="24"/>
          <w:lang w:val="en-US"/>
        </w:rPr>
        <w:t xml:space="preserve"> </w:t>
      </w:r>
      <w:r w:rsidR="007A08A7">
        <w:rPr>
          <w:sz w:val="24"/>
          <w:szCs w:val="24"/>
          <w:lang w:val="en-US"/>
        </w:rPr>
        <w:t>equat</w:t>
      </w:r>
      <w:r w:rsidR="002F736B">
        <w:rPr>
          <w:sz w:val="24"/>
          <w:szCs w:val="24"/>
          <w:lang w:val="en-US"/>
        </w:rPr>
        <w:t>ion (</w:t>
      </w:r>
      <w:r w:rsidR="00480F1F">
        <w:rPr>
          <w:sz w:val="24"/>
          <w:szCs w:val="24"/>
          <w:lang w:val="en-US"/>
        </w:rPr>
        <w:t>5</w:t>
      </w:r>
      <w:r w:rsidR="002F736B">
        <w:rPr>
          <w:sz w:val="24"/>
          <w:szCs w:val="24"/>
          <w:lang w:val="en-US"/>
        </w:rPr>
        <w:t xml:space="preserve">) </w:t>
      </w:r>
      <w:r w:rsidR="007A08A7">
        <w:rPr>
          <w:sz w:val="24"/>
          <w:szCs w:val="24"/>
          <w:lang w:val="en-US"/>
        </w:rPr>
        <w:t xml:space="preserve">yields </w:t>
      </w:r>
      <w:r w:rsidR="00AE4EF3">
        <w:rPr>
          <w:sz w:val="24"/>
          <w:szCs w:val="24"/>
          <w:lang w:val="en-US"/>
        </w:rPr>
        <w:t xml:space="preserve">no </w:t>
      </w:r>
      <w:r w:rsidR="002F736B">
        <w:rPr>
          <w:sz w:val="24"/>
          <w:szCs w:val="24"/>
          <w:lang w:val="en-US"/>
        </w:rPr>
        <w:t>simple cumulative distribution function</w:t>
      </w:r>
      <w:r w:rsidR="00AE4EF3">
        <w:rPr>
          <w:sz w:val="24"/>
          <w:szCs w:val="24"/>
          <w:lang w:val="en-US"/>
        </w:rPr>
        <w:t xml:space="preserve"> (cdf), but </w:t>
      </w:r>
      <w:r w:rsidR="007A08A7">
        <w:rPr>
          <w:sz w:val="24"/>
          <w:szCs w:val="24"/>
          <w:lang w:val="en-US"/>
        </w:rPr>
        <w:t xml:space="preserve">when </w:t>
      </w:r>
      <w:r w:rsidR="00760241">
        <w:rPr>
          <w:rFonts w:ascii="Symbol" w:hAnsi="Symbol"/>
          <w:sz w:val="24"/>
          <w:szCs w:val="24"/>
          <w:lang w:val="en-US"/>
        </w:rPr>
        <w:t></w:t>
      </w:r>
      <w:r w:rsidR="00760241">
        <w:rPr>
          <w:sz w:val="24"/>
          <w:szCs w:val="24"/>
          <w:lang w:val="en-US"/>
        </w:rPr>
        <w:t xml:space="preserve"> = </w:t>
      </w:r>
      <w:r w:rsidR="00760241">
        <w:rPr>
          <w:rFonts w:ascii="Symbol" w:hAnsi="Symbol"/>
          <w:sz w:val="24"/>
          <w:szCs w:val="24"/>
          <w:lang w:val="en-US"/>
        </w:rPr>
        <w:t></w:t>
      </w:r>
      <w:r w:rsidR="00760241">
        <w:rPr>
          <w:rFonts w:ascii="Symbol" w:hAnsi="Symbol"/>
          <w:sz w:val="24"/>
          <w:szCs w:val="24"/>
          <w:lang w:val="en-US"/>
        </w:rPr>
        <w:t></w:t>
      </w:r>
      <w:r w:rsidR="00760241">
        <w:rPr>
          <w:rFonts w:ascii="Symbol" w:hAnsi="Symbol"/>
          <w:sz w:val="24"/>
          <w:szCs w:val="24"/>
          <w:lang w:val="en-US"/>
        </w:rPr>
        <w:t></w:t>
      </w:r>
      <w:r w:rsidR="00760241">
        <w:rPr>
          <w:rFonts w:ascii="Symbol" w:hAnsi="Symbol"/>
          <w:sz w:val="24"/>
          <w:szCs w:val="24"/>
          <w:lang w:val="en-US"/>
        </w:rPr>
        <w:t></w:t>
      </w:r>
      <w:r w:rsidR="00760241">
        <w:rPr>
          <w:rFonts w:ascii="Symbol" w:hAnsi="Symbol"/>
          <w:sz w:val="24"/>
          <w:szCs w:val="24"/>
          <w:lang w:val="en-US"/>
        </w:rPr>
        <w:t></w:t>
      </w:r>
      <w:r w:rsidR="00760241">
        <w:rPr>
          <w:sz w:val="24"/>
          <w:szCs w:val="24"/>
          <w:lang w:val="en-US"/>
        </w:rPr>
        <w:t xml:space="preserve"> </w:t>
      </w:r>
      <w:r w:rsidR="007A08A7">
        <w:rPr>
          <w:sz w:val="24"/>
          <w:szCs w:val="24"/>
          <w:lang w:val="en-US"/>
        </w:rPr>
        <w:t xml:space="preserve">equation </w:t>
      </w:r>
      <w:r w:rsidR="00760241">
        <w:rPr>
          <w:sz w:val="24"/>
          <w:szCs w:val="24"/>
          <w:lang w:val="en-US"/>
        </w:rPr>
        <w:t>(</w:t>
      </w:r>
      <w:r w:rsidR="00480F1F">
        <w:rPr>
          <w:sz w:val="24"/>
          <w:szCs w:val="24"/>
          <w:lang w:val="en-US"/>
        </w:rPr>
        <w:t>5</w:t>
      </w:r>
      <w:r w:rsidR="00760241">
        <w:rPr>
          <w:sz w:val="24"/>
          <w:szCs w:val="24"/>
          <w:lang w:val="en-US"/>
        </w:rPr>
        <w:t xml:space="preserve">) </w:t>
      </w:r>
      <w:r w:rsidR="007A08A7">
        <w:rPr>
          <w:sz w:val="24"/>
          <w:szCs w:val="24"/>
          <w:lang w:val="en-US"/>
        </w:rPr>
        <w:t xml:space="preserve">corresponds to </w:t>
      </w:r>
      <w:r w:rsidR="00760241">
        <w:rPr>
          <w:sz w:val="24"/>
          <w:szCs w:val="24"/>
          <w:lang w:val="en-US"/>
        </w:rPr>
        <w:t>a CF</w:t>
      </w:r>
      <w:r w:rsidR="00734698" w:rsidRPr="00C37C17">
        <w:rPr>
          <w:rFonts w:ascii="Symbol" w:hAnsi="Symbol"/>
          <w:sz w:val="24"/>
          <w:szCs w:val="24"/>
          <w:vertAlign w:val="subscript"/>
          <w:lang w:val="en-GB"/>
        </w:rPr>
        <w:t></w:t>
      </w:r>
      <w:r w:rsidR="00734698">
        <w:rPr>
          <w:rFonts w:ascii="Symbol" w:hAnsi="Symbol"/>
          <w:sz w:val="24"/>
          <w:szCs w:val="24"/>
          <w:vertAlign w:val="subscript"/>
          <w:lang w:val="en-GB"/>
        </w:rPr>
        <w:t></w:t>
      </w:r>
      <w:r w:rsidR="00760241">
        <w:rPr>
          <w:sz w:val="24"/>
          <w:szCs w:val="24"/>
          <w:lang w:val="en-US"/>
        </w:rPr>
        <w:t xml:space="preserve">distribution. The solutions are </w:t>
      </w:r>
      <w:r w:rsidR="00AE4EF3">
        <w:rPr>
          <w:sz w:val="24"/>
          <w:szCs w:val="24"/>
          <w:lang w:val="en-US"/>
        </w:rPr>
        <w:t xml:space="preserve">numerical </w:t>
      </w:r>
      <w:r w:rsidR="007A08A7">
        <w:rPr>
          <w:sz w:val="24"/>
          <w:szCs w:val="24"/>
          <w:lang w:val="en-US"/>
        </w:rPr>
        <w:t xml:space="preserve">whenever </w:t>
      </w:r>
      <w:r w:rsidR="00760241">
        <w:rPr>
          <w:rFonts w:ascii="Symbol" w:hAnsi="Symbol"/>
          <w:sz w:val="24"/>
          <w:szCs w:val="24"/>
          <w:lang w:val="en-US"/>
        </w:rPr>
        <w:t></w:t>
      </w:r>
      <w:r w:rsidR="00760241">
        <w:rPr>
          <w:sz w:val="24"/>
          <w:szCs w:val="24"/>
          <w:lang w:val="en-US"/>
        </w:rPr>
        <w:t xml:space="preserve"> or </w:t>
      </w:r>
      <w:r w:rsidR="00760241">
        <w:rPr>
          <w:rFonts w:ascii="Symbol" w:hAnsi="Symbol"/>
          <w:sz w:val="24"/>
          <w:szCs w:val="24"/>
          <w:lang w:val="en-US"/>
        </w:rPr>
        <w:t></w:t>
      </w:r>
      <w:r w:rsidR="00760241">
        <w:rPr>
          <w:rFonts w:ascii="Symbol" w:hAnsi="Symbol"/>
          <w:sz w:val="24"/>
          <w:szCs w:val="24"/>
          <w:lang w:val="en-US"/>
        </w:rPr>
        <w:t></w:t>
      </w:r>
      <w:r w:rsidR="00760241">
        <w:rPr>
          <w:sz w:val="24"/>
          <w:szCs w:val="24"/>
          <w:lang w:val="en-US"/>
        </w:rPr>
        <w:t>is no</w:t>
      </w:r>
      <w:r w:rsidR="007A08A7">
        <w:rPr>
          <w:sz w:val="24"/>
          <w:szCs w:val="24"/>
          <w:lang w:val="en-US"/>
        </w:rPr>
        <w:t>n-zero</w:t>
      </w:r>
      <w:r w:rsidR="00760241">
        <w:rPr>
          <w:sz w:val="24"/>
          <w:szCs w:val="24"/>
          <w:lang w:val="en-US"/>
        </w:rPr>
        <w:t>. Here, the CF can be underst</w:t>
      </w:r>
      <w:r w:rsidR="000D7F71">
        <w:rPr>
          <w:sz w:val="24"/>
          <w:szCs w:val="24"/>
          <w:lang w:val="en-US"/>
        </w:rPr>
        <w:t>oo</w:t>
      </w:r>
      <w:r w:rsidR="00760241">
        <w:rPr>
          <w:sz w:val="24"/>
          <w:szCs w:val="24"/>
          <w:lang w:val="en-US"/>
        </w:rPr>
        <w:t xml:space="preserve">d as a </w:t>
      </w:r>
      <w:r w:rsidR="007A08A7">
        <w:rPr>
          <w:sz w:val="24"/>
          <w:szCs w:val="24"/>
          <w:lang w:val="en-US"/>
        </w:rPr>
        <w:t xml:space="preserve">starting point </w:t>
      </w:r>
      <w:r w:rsidR="00760241">
        <w:rPr>
          <w:sz w:val="24"/>
          <w:szCs w:val="24"/>
          <w:lang w:val="en-US"/>
        </w:rPr>
        <w:t xml:space="preserve">with strong theoretical support (see above) that </w:t>
      </w:r>
      <w:r w:rsidR="007A08A7">
        <w:rPr>
          <w:sz w:val="24"/>
          <w:szCs w:val="24"/>
          <w:lang w:val="en-US"/>
        </w:rPr>
        <w:t xml:space="preserve">needs to </w:t>
      </w:r>
      <w:r w:rsidR="00700A5D">
        <w:rPr>
          <w:sz w:val="24"/>
          <w:szCs w:val="24"/>
          <w:lang w:val="en-US"/>
        </w:rPr>
        <w:t xml:space="preserve">be </w:t>
      </w:r>
      <w:r w:rsidR="00760241">
        <w:rPr>
          <w:sz w:val="24"/>
          <w:szCs w:val="24"/>
          <w:lang w:val="en-US"/>
        </w:rPr>
        <w:t>pragmatically adapt</w:t>
      </w:r>
      <w:r w:rsidR="000D7F71">
        <w:rPr>
          <w:sz w:val="24"/>
          <w:szCs w:val="24"/>
          <w:lang w:val="en-US"/>
        </w:rPr>
        <w:t>ed</w:t>
      </w:r>
      <w:r w:rsidR="00760241">
        <w:rPr>
          <w:sz w:val="24"/>
          <w:szCs w:val="24"/>
          <w:lang w:val="en-US"/>
        </w:rPr>
        <w:t xml:space="preserve"> to the complex realities of tax and transfers, and social power </w:t>
      </w:r>
      <w:r w:rsidR="007A08A7">
        <w:rPr>
          <w:sz w:val="24"/>
          <w:szCs w:val="24"/>
          <w:lang w:val="en-US"/>
        </w:rPr>
        <w:t>imbalances that generate</w:t>
      </w:r>
      <w:r w:rsidR="000D7F71">
        <w:rPr>
          <w:sz w:val="24"/>
          <w:szCs w:val="24"/>
          <w:lang w:val="en-US"/>
        </w:rPr>
        <w:t xml:space="preserve"> </w:t>
      </w:r>
      <w:r w:rsidR="007A08A7">
        <w:rPr>
          <w:sz w:val="24"/>
          <w:szCs w:val="24"/>
          <w:lang w:val="en-US"/>
        </w:rPr>
        <w:t>curvature</w:t>
      </w:r>
      <w:r w:rsidR="00760241">
        <w:rPr>
          <w:sz w:val="24"/>
          <w:szCs w:val="24"/>
          <w:lang w:val="en-US"/>
        </w:rPr>
        <w:t xml:space="preserve"> at the top and the bottom: the empirical situations are (more or less) far </w:t>
      </w:r>
      <w:r w:rsidR="007A08A7">
        <w:rPr>
          <w:sz w:val="24"/>
          <w:szCs w:val="24"/>
          <w:lang w:val="en-US"/>
        </w:rPr>
        <w:t xml:space="preserve">removed </w:t>
      </w:r>
      <w:r w:rsidR="00760241">
        <w:rPr>
          <w:sz w:val="24"/>
          <w:szCs w:val="24"/>
          <w:lang w:val="en-US"/>
        </w:rPr>
        <w:t xml:space="preserve">from </w:t>
      </w:r>
      <w:r w:rsidR="007A08A7">
        <w:rPr>
          <w:sz w:val="24"/>
          <w:szCs w:val="24"/>
          <w:lang w:val="en-US"/>
        </w:rPr>
        <w:t xml:space="preserve">the </w:t>
      </w:r>
      <w:r w:rsidR="000D7F71">
        <w:rPr>
          <w:sz w:val="24"/>
          <w:szCs w:val="24"/>
          <w:lang w:val="en-US"/>
        </w:rPr>
        <w:t>microeconomic equilibrium (Parker, 1999)</w:t>
      </w:r>
      <w:r w:rsidR="00760241">
        <w:rPr>
          <w:sz w:val="24"/>
          <w:szCs w:val="24"/>
          <w:lang w:val="en-US"/>
        </w:rPr>
        <w:t xml:space="preserve">. </w:t>
      </w:r>
    </w:p>
    <w:p w:rsidR="00783FA3" w:rsidRDefault="00580992" w:rsidP="00783FA3">
      <w:pPr>
        <w:spacing w:after="120" w:line="480" w:lineRule="auto"/>
        <w:rPr>
          <w:sz w:val="24"/>
          <w:szCs w:val="24"/>
          <w:lang w:val="en-US"/>
        </w:rPr>
      </w:pPr>
      <w:r>
        <w:rPr>
          <w:sz w:val="24"/>
          <w:szCs w:val="24"/>
          <w:lang w:val="en-US"/>
        </w:rPr>
        <w:t>The</w:t>
      </w:r>
      <w:r w:rsidR="000D7F71">
        <w:rPr>
          <w:sz w:val="24"/>
          <w:szCs w:val="24"/>
          <w:lang w:val="en-US"/>
        </w:rPr>
        <w:t xml:space="preserve"> coefficients </w:t>
      </w:r>
      <w:r w:rsidR="000D7F71" w:rsidRPr="00472786">
        <w:rPr>
          <w:rFonts w:ascii="Symbol" w:hAnsi="Symbol"/>
          <w:sz w:val="24"/>
          <w:szCs w:val="24"/>
          <w:lang w:val="en-US"/>
        </w:rPr>
        <w:t></w:t>
      </w:r>
      <w:r w:rsidR="000D7F71">
        <w:rPr>
          <w:sz w:val="24"/>
          <w:szCs w:val="24"/>
          <w:lang w:val="en-US"/>
        </w:rPr>
        <w:t xml:space="preserve">, </w:t>
      </w:r>
      <w:r w:rsidR="000D7F71" w:rsidRPr="00472786">
        <w:rPr>
          <w:rFonts w:ascii="Symbol" w:hAnsi="Symbol"/>
          <w:sz w:val="24"/>
          <w:szCs w:val="24"/>
          <w:lang w:val="en-US"/>
        </w:rPr>
        <w:t></w:t>
      </w:r>
      <w:r w:rsidR="007A08A7" w:rsidRPr="007A08A7">
        <w:rPr>
          <w:sz w:val="24"/>
          <w:szCs w:val="24"/>
          <w:lang w:val="en-US"/>
        </w:rPr>
        <w:t xml:space="preserve"> and </w:t>
      </w:r>
      <w:r w:rsidR="000D7F71">
        <w:rPr>
          <w:rFonts w:ascii="Symbol" w:hAnsi="Symbol"/>
          <w:sz w:val="24"/>
          <w:szCs w:val="24"/>
          <w:lang w:val="en-US"/>
        </w:rPr>
        <w:t></w:t>
      </w:r>
      <w:r w:rsidR="000D7F71">
        <w:rPr>
          <w:sz w:val="24"/>
          <w:szCs w:val="24"/>
          <w:lang w:val="en-US"/>
        </w:rPr>
        <w:t xml:space="preserve"> </w:t>
      </w:r>
      <w:r>
        <w:rPr>
          <w:sz w:val="24"/>
          <w:szCs w:val="24"/>
          <w:lang w:val="en-US"/>
        </w:rPr>
        <w:t xml:space="preserve">satisfy </w:t>
      </w:r>
      <w:r w:rsidR="00783FA3">
        <w:rPr>
          <w:sz w:val="24"/>
          <w:szCs w:val="24"/>
          <w:lang w:val="en-US"/>
        </w:rPr>
        <w:t xml:space="preserve">most of the </w:t>
      </w:r>
      <w:r>
        <w:rPr>
          <w:sz w:val="24"/>
          <w:szCs w:val="24"/>
          <w:lang w:val="en-US"/>
        </w:rPr>
        <w:t xml:space="preserve">criteria of </w:t>
      </w:r>
      <w:r w:rsidR="004F635A">
        <w:rPr>
          <w:sz w:val="24"/>
          <w:szCs w:val="24"/>
          <w:lang w:val="en-US"/>
        </w:rPr>
        <w:t xml:space="preserve">the </w:t>
      </w:r>
      <w:r w:rsidR="000F641C">
        <w:rPr>
          <w:sz w:val="24"/>
          <w:szCs w:val="24"/>
          <w:lang w:val="en-US"/>
        </w:rPr>
        <w:t xml:space="preserve">appropriate </w:t>
      </w:r>
      <w:r>
        <w:rPr>
          <w:sz w:val="24"/>
          <w:szCs w:val="24"/>
          <w:lang w:val="en-US"/>
        </w:rPr>
        <w:t xml:space="preserve">inequality measures </w:t>
      </w:r>
      <w:r w:rsidR="002F736B">
        <w:rPr>
          <w:sz w:val="24"/>
          <w:szCs w:val="24"/>
          <w:lang w:val="en-US"/>
        </w:rPr>
        <w:t xml:space="preserve">(see Jenkins, </w:t>
      </w:r>
      <w:r w:rsidR="00FC4D25">
        <w:rPr>
          <w:sz w:val="24"/>
          <w:szCs w:val="24"/>
          <w:lang w:val="en-US"/>
        </w:rPr>
        <w:t xml:space="preserve">1991, </w:t>
      </w:r>
      <w:r w:rsidR="004A5478">
        <w:rPr>
          <w:sz w:val="24"/>
          <w:szCs w:val="24"/>
          <w:lang w:val="en-US"/>
        </w:rPr>
        <w:t>1995</w:t>
      </w:r>
      <w:r w:rsidR="008C78BB">
        <w:rPr>
          <w:sz w:val="24"/>
          <w:szCs w:val="24"/>
          <w:lang w:val="en-US"/>
        </w:rPr>
        <w:t xml:space="preserve">, </w:t>
      </w:r>
      <w:r w:rsidR="004A5478">
        <w:rPr>
          <w:sz w:val="24"/>
          <w:szCs w:val="24"/>
          <w:lang w:val="en-US"/>
        </w:rPr>
        <w:t>Cowell and Jenkins,</w:t>
      </w:r>
      <w:r w:rsidR="00B132CF">
        <w:rPr>
          <w:sz w:val="24"/>
          <w:szCs w:val="24"/>
          <w:lang w:val="en-US"/>
        </w:rPr>
        <w:t xml:space="preserve"> </w:t>
      </w:r>
      <w:r w:rsidR="004A5478">
        <w:rPr>
          <w:sz w:val="24"/>
          <w:szCs w:val="24"/>
          <w:lang w:val="en-US"/>
        </w:rPr>
        <w:t>1995</w:t>
      </w:r>
      <w:r w:rsidR="008C78BB">
        <w:rPr>
          <w:sz w:val="24"/>
          <w:szCs w:val="24"/>
          <w:lang w:val="en-US"/>
        </w:rPr>
        <w:t xml:space="preserve">, </w:t>
      </w:r>
      <w:r w:rsidR="00783FA3" w:rsidRPr="00783FA3">
        <w:rPr>
          <w:sz w:val="24"/>
          <w:szCs w:val="24"/>
          <w:lang w:val="en-US"/>
        </w:rPr>
        <w:t>Haughton and Khandker</w:t>
      </w:r>
      <w:r w:rsidR="00DC713E">
        <w:rPr>
          <w:sz w:val="24"/>
          <w:szCs w:val="24"/>
          <w:lang w:val="en-US"/>
        </w:rPr>
        <w:t>,</w:t>
      </w:r>
      <w:r w:rsidR="00783FA3">
        <w:rPr>
          <w:sz w:val="24"/>
          <w:szCs w:val="24"/>
          <w:lang w:val="en-US"/>
        </w:rPr>
        <w:t xml:space="preserve"> 2009: 105 sqq.</w:t>
      </w:r>
      <w:r w:rsidR="004A5478">
        <w:rPr>
          <w:sz w:val="24"/>
          <w:szCs w:val="24"/>
          <w:lang w:val="en-US"/>
        </w:rPr>
        <w:t>)</w:t>
      </w:r>
      <w:r w:rsidR="000D7F71">
        <w:rPr>
          <w:sz w:val="24"/>
          <w:szCs w:val="24"/>
          <w:lang w:val="en-US"/>
        </w:rPr>
        <w:t xml:space="preserve">: </w:t>
      </w:r>
    </w:p>
    <w:p w:rsidR="005151D4" w:rsidRDefault="00783FA3" w:rsidP="00760241">
      <w:pPr>
        <w:spacing w:after="120" w:line="480" w:lineRule="auto"/>
        <w:rPr>
          <w:sz w:val="24"/>
          <w:szCs w:val="24"/>
          <w:lang w:val="en-US"/>
        </w:rPr>
      </w:pPr>
      <w:r w:rsidRPr="00783FA3">
        <w:rPr>
          <w:sz w:val="24"/>
          <w:szCs w:val="24"/>
          <w:lang w:val="en-US"/>
        </w:rPr>
        <w:t>• Mean independence</w:t>
      </w:r>
      <w:r w:rsidR="00FD5034">
        <w:rPr>
          <w:sz w:val="24"/>
          <w:szCs w:val="24"/>
          <w:lang w:val="en-US"/>
        </w:rPr>
        <w:t>: a proportional change in incomes does not affect the measures</w:t>
      </w:r>
      <w:r w:rsidRPr="00783FA3">
        <w:rPr>
          <w:sz w:val="24"/>
          <w:szCs w:val="24"/>
          <w:lang w:val="en-US"/>
        </w:rPr>
        <w:t xml:space="preserve">. </w:t>
      </w:r>
    </w:p>
    <w:p w:rsidR="005151D4" w:rsidRDefault="00F67915" w:rsidP="00760241">
      <w:pPr>
        <w:spacing w:after="120" w:line="480" w:lineRule="auto"/>
        <w:rPr>
          <w:sz w:val="24"/>
          <w:szCs w:val="24"/>
          <w:lang w:val="en-US"/>
        </w:rPr>
      </w:pPr>
      <w:r>
        <w:rPr>
          <w:sz w:val="24"/>
          <w:szCs w:val="24"/>
          <w:lang w:val="en-US"/>
        </w:rPr>
        <w:t>• Population-</w:t>
      </w:r>
      <w:r w:rsidR="00783FA3" w:rsidRPr="00783FA3">
        <w:rPr>
          <w:sz w:val="24"/>
          <w:szCs w:val="24"/>
          <w:lang w:val="en-US"/>
        </w:rPr>
        <w:t>size independence</w:t>
      </w:r>
      <w:r w:rsidR="00FD5034">
        <w:rPr>
          <w:sz w:val="24"/>
          <w:szCs w:val="24"/>
          <w:lang w:val="en-US"/>
        </w:rPr>
        <w:t xml:space="preserve">: </w:t>
      </w:r>
      <w:r w:rsidR="004F635A">
        <w:rPr>
          <w:sz w:val="24"/>
          <w:szCs w:val="24"/>
          <w:lang w:val="en-US"/>
        </w:rPr>
        <w:t xml:space="preserve">all else </w:t>
      </w:r>
      <w:r w:rsidR="00FD5034">
        <w:rPr>
          <w:sz w:val="24"/>
          <w:szCs w:val="24"/>
          <w:lang w:val="en-US"/>
        </w:rPr>
        <w:t xml:space="preserve">equal, a change in </w:t>
      </w:r>
      <w:r w:rsidR="004F635A" w:rsidRPr="004F635A">
        <w:rPr>
          <w:sz w:val="24"/>
          <w:szCs w:val="24"/>
          <w:lang w:val="en-US"/>
        </w:rPr>
        <w:t xml:space="preserve">population </w:t>
      </w:r>
      <w:r w:rsidR="00FD5034">
        <w:rPr>
          <w:sz w:val="24"/>
          <w:szCs w:val="24"/>
          <w:lang w:val="en-US"/>
        </w:rPr>
        <w:t>size does not affect the measures</w:t>
      </w:r>
      <w:r w:rsidR="00783FA3" w:rsidRPr="00783FA3">
        <w:rPr>
          <w:sz w:val="24"/>
          <w:szCs w:val="24"/>
          <w:lang w:val="en-US"/>
        </w:rPr>
        <w:t xml:space="preserve">. </w:t>
      </w:r>
    </w:p>
    <w:p w:rsidR="005151D4" w:rsidRDefault="00783FA3" w:rsidP="00760241">
      <w:pPr>
        <w:spacing w:after="120" w:line="480" w:lineRule="auto"/>
        <w:rPr>
          <w:sz w:val="24"/>
          <w:szCs w:val="24"/>
          <w:lang w:val="en-US"/>
        </w:rPr>
      </w:pPr>
      <w:r w:rsidRPr="00783FA3">
        <w:rPr>
          <w:sz w:val="24"/>
          <w:szCs w:val="24"/>
          <w:lang w:val="en-US"/>
        </w:rPr>
        <w:t>• Symmetry</w:t>
      </w:r>
      <w:r w:rsidR="00FD5034">
        <w:rPr>
          <w:sz w:val="24"/>
          <w:szCs w:val="24"/>
          <w:lang w:val="en-US"/>
        </w:rPr>
        <w:t xml:space="preserve">: if individual </w:t>
      </w:r>
      <w:r w:rsidR="00C37C17">
        <w:rPr>
          <w:sz w:val="24"/>
          <w:szCs w:val="24"/>
          <w:lang w:val="en-US"/>
        </w:rPr>
        <w:t>(</w:t>
      </w:r>
      <w:r w:rsidR="00FD5034">
        <w:rPr>
          <w:sz w:val="24"/>
          <w:szCs w:val="24"/>
          <w:lang w:val="en-US"/>
        </w:rPr>
        <w:t>a</w:t>
      </w:r>
      <w:r w:rsidR="00C37C17">
        <w:rPr>
          <w:sz w:val="24"/>
          <w:szCs w:val="24"/>
          <w:lang w:val="en-US"/>
        </w:rPr>
        <w:t>)</w:t>
      </w:r>
      <w:r w:rsidR="00FD5034">
        <w:rPr>
          <w:sz w:val="24"/>
          <w:szCs w:val="24"/>
          <w:lang w:val="en-US"/>
        </w:rPr>
        <w:t xml:space="preserve"> and </w:t>
      </w:r>
      <w:r w:rsidR="00C37C17">
        <w:rPr>
          <w:sz w:val="24"/>
          <w:szCs w:val="24"/>
          <w:lang w:val="en-US"/>
        </w:rPr>
        <w:t>(</w:t>
      </w:r>
      <w:r w:rsidR="00FD5034">
        <w:rPr>
          <w:sz w:val="24"/>
          <w:szCs w:val="24"/>
          <w:lang w:val="en-US"/>
        </w:rPr>
        <w:t>b</w:t>
      </w:r>
      <w:r w:rsidR="00C37C17">
        <w:rPr>
          <w:sz w:val="24"/>
          <w:szCs w:val="24"/>
          <w:lang w:val="en-US"/>
        </w:rPr>
        <w:t>)</w:t>
      </w:r>
      <w:r w:rsidR="00FD5034">
        <w:rPr>
          <w:sz w:val="24"/>
          <w:szCs w:val="24"/>
          <w:lang w:val="en-US"/>
        </w:rPr>
        <w:t xml:space="preserve"> exchange their income levels, the measures are not affected</w:t>
      </w:r>
      <w:r w:rsidRPr="00783FA3">
        <w:rPr>
          <w:sz w:val="24"/>
          <w:szCs w:val="24"/>
          <w:lang w:val="en-US"/>
        </w:rPr>
        <w:t xml:space="preserve">. </w:t>
      </w:r>
    </w:p>
    <w:p w:rsidR="005151D4" w:rsidRDefault="0042097E" w:rsidP="00760241">
      <w:pPr>
        <w:spacing w:after="120" w:line="480" w:lineRule="auto"/>
        <w:rPr>
          <w:sz w:val="24"/>
          <w:szCs w:val="24"/>
          <w:lang w:val="en-US"/>
        </w:rPr>
      </w:pPr>
      <w:r w:rsidRPr="0042097E">
        <w:rPr>
          <w:sz w:val="24"/>
          <w:szCs w:val="24"/>
          <w:lang w:val="en-US"/>
        </w:rPr>
        <w:lastRenderedPageBreak/>
        <w:t>• Statistical testability</w:t>
      </w:r>
      <w:r w:rsidR="00FD5034">
        <w:rPr>
          <w:sz w:val="24"/>
          <w:szCs w:val="24"/>
          <w:lang w:val="en-US"/>
        </w:rPr>
        <w:t>: it is possible to edit the confidence intervals of the OLS of (</w:t>
      </w:r>
      <w:r w:rsidR="00480F1F">
        <w:rPr>
          <w:sz w:val="24"/>
          <w:szCs w:val="24"/>
          <w:lang w:val="en-US"/>
        </w:rPr>
        <w:t>5</w:t>
      </w:r>
      <w:r w:rsidR="00FD5034">
        <w:rPr>
          <w:sz w:val="24"/>
          <w:szCs w:val="24"/>
          <w:lang w:val="en-US"/>
        </w:rPr>
        <w:t xml:space="preserve">) so that </w:t>
      </w:r>
      <w:r w:rsidR="00755A62">
        <w:rPr>
          <w:sz w:val="24"/>
          <w:szCs w:val="24"/>
          <w:lang w:val="en-US"/>
        </w:rPr>
        <w:t xml:space="preserve">we can statistically test differences in </w:t>
      </w:r>
      <w:r w:rsidR="00FD5034">
        <w:rPr>
          <w:sz w:val="24"/>
          <w:szCs w:val="24"/>
          <w:lang w:val="en-US"/>
        </w:rPr>
        <w:t>estimated parameters</w:t>
      </w:r>
      <w:r w:rsidR="00755A62">
        <w:rPr>
          <w:sz w:val="24"/>
          <w:szCs w:val="24"/>
          <w:lang w:val="en-US"/>
        </w:rPr>
        <w:t xml:space="preserve"> that </w:t>
      </w:r>
      <w:r w:rsidR="00DC713E">
        <w:rPr>
          <w:sz w:val="24"/>
          <w:szCs w:val="24"/>
          <w:lang w:val="en-US"/>
        </w:rPr>
        <w:t>are</w:t>
      </w:r>
      <w:r w:rsidR="00755A62">
        <w:rPr>
          <w:sz w:val="24"/>
          <w:szCs w:val="24"/>
          <w:lang w:val="en-US"/>
        </w:rPr>
        <w:t xml:space="preserve"> useful for comparison</w:t>
      </w:r>
      <w:r w:rsidR="004F635A">
        <w:rPr>
          <w:sz w:val="24"/>
          <w:szCs w:val="24"/>
          <w:lang w:val="en-US"/>
        </w:rPr>
        <w:t xml:space="preserve"> purposes</w:t>
      </w:r>
      <w:r w:rsidRPr="0042097E">
        <w:rPr>
          <w:sz w:val="24"/>
          <w:szCs w:val="24"/>
          <w:lang w:val="en-US"/>
        </w:rPr>
        <w:t xml:space="preserve">. </w:t>
      </w:r>
    </w:p>
    <w:p w:rsidR="005151D4" w:rsidRDefault="0042097E" w:rsidP="00760241">
      <w:pPr>
        <w:spacing w:after="120" w:line="480" w:lineRule="auto"/>
        <w:rPr>
          <w:sz w:val="24"/>
          <w:szCs w:val="24"/>
          <w:lang w:val="en-US"/>
        </w:rPr>
      </w:pPr>
      <w:r w:rsidRPr="0042097E">
        <w:rPr>
          <w:sz w:val="24"/>
          <w:szCs w:val="24"/>
          <w:lang w:val="en-US"/>
        </w:rPr>
        <w:t>• Decomposability</w:t>
      </w:r>
      <w:r w:rsidR="00FD5034">
        <w:rPr>
          <w:sz w:val="24"/>
          <w:szCs w:val="24"/>
          <w:lang w:val="en-US"/>
        </w:rPr>
        <w:t xml:space="preserve">: this possibility </w:t>
      </w:r>
      <w:r w:rsidR="00700A5D">
        <w:rPr>
          <w:sz w:val="24"/>
          <w:szCs w:val="24"/>
          <w:lang w:val="en-US"/>
        </w:rPr>
        <w:t xml:space="preserve">is not exploited </w:t>
      </w:r>
      <w:r w:rsidR="00FD5034">
        <w:rPr>
          <w:sz w:val="24"/>
          <w:szCs w:val="24"/>
          <w:lang w:val="en-US"/>
        </w:rPr>
        <w:t xml:space="preserve">in the limits of </w:t>
      </w:r>
      <w:r w:rsidR="00F67915">
        <w:rPr>
          <w:sz w:val="24"/>
          <w:szCs w:val="24"/>
          <w:lang w:val="en-US"/>
        </w:rPr>
        <w:t xml:space="preserve">the current </w:t>
      </w:r>
      <w:r w:rsidR="00FD5034">
        <w:rPr>
          <w:sz w:val="24"/>
          <w:szCs w:val="24"/>
          <w:lang w:val="en-US"/>
        </w:rPr>
        <w:t>paper, but covariates can be added to model (</w:t>
      </w:r>
      <w:r w:rsidR="00480F1F">
        <w:rPr>
          <w:sz w:val="24"/>
          <w:szCs w:val="24"/>
          <w:lang w:val="en-US"/>
        </w:rPr>
        <w:t>5</w:t>
      </w:r>
      <w:r w:rsidR="00FD5034">
        <w:rPr>
          <w:sz w:val="24"/>
          <w:szCs w:val="24"/>
          <w:lang w:val="en-US"/>
        </w:rPr>
        <w:t xml:space="preserve">) so that nested models can show how inequality </w:t>
      </w:r>
      <w:r w:rsidR="004F635A">
        <w:rPr>
          <w:sz w:val="24"/>
          <w:szCs w:val="24"/>
          <w:lang w:val="en-US"/>
        </w:rPr>
        <w:t xml:space="preserve">results </w:t>
      </w:r>
      <w:r w:rsidR="00FD5034">
        <w:rPr>
          <w:sz w:val="24"/>
          <w:szCs w:val="24"/>
          <w:lang w:val="en-US"/>
        </w:rPr>
        <w:t>from inter</w:t>
      </w:r>
      <w:r w:rsidR="00DC713E">
        <w:rPr>
          <w:sz w:val="24"/>
          <w:szCs w:val="24"/>
          <w:lang w:val="en-US"/>
        </w:rPr>
        <w:t>-</w:t>
      </w:r>
      <w:r w:rsidR="00FD5034">
        <w:rPr>
          <w:sz w:val="24"/>
          <w:szCs w:val="24"/>
          <w:lang w:val="en-US"/>
        </w:rPr>
        <w:t xml:space="preserve"> or intra</w:t>
      </w:r>
      <w:r w:rsidR="00DC713E">
        <w:rPr>
          <w:sz w:val="24"/>
          <w:szCs w:val="24"/>
          <w:lang w:val="en-US"/>
        </w:rPr>
        <w:t>-</w:t>
      </w:r>
      <w:r w:rsidR="00FD5034">
        <w:rPr>
          <w:sz w:val="24"/>
          <w:szCs w:val="24"/>
          <w:lang w:val="en-US"/>
        </w:rPr>
        <w:t xml:space="preserve">group variance, </w:t>
      </w:r>
      <w:r w:rsidR="004F635A">
        <w:rPr>
          <w:sz w:val="24"/>
          <w:szCs w:val="24"/>
          <w:lang w:val="en-US"/>
        </w:rPr>
        <w:t xml:space="preserve">with the </w:t>
      </w:r>
      <w:r w:rsidR="00FD5034">
        <w:rPr>
          <w:sz w:val="24"/>
          <w:szCs w:val="24"/>
          <w:lang w:val="en-US"/>
        </w:rPr>
        <w:t xml:space="preserve">“group” being potentially defined by gender, education, ethno-cultural origins, </w:t>
      </w:r>
      <w:r w:rsidR="004F635A">
        <w:rPr>
          <w:sz w:val="24"/>
          <w:szCs w:val="24"/>
          <w:lang w:val="en-US"/>
        </w:rPr>
        <w:t>and so on</w:t>
      </w:r>
      <w:r>
        <w:rPr>
          <w:sz w:val="24"/>
          <w:szCs w:val="24"/>
          <w:lang w:val="en-US"/>
        </w:rPr>
        <w:t xml:space="preserve">. </w:t>
      </w:r>
    </w:p>
    <w:p w:rsidR="000F641C" w:rsidRDefault="0042097E" w:rsidP="00760241">
      <w:pPr>
        <w:spacing w:after="120" w:line="480" w:lineRule="auto"/>
        <w:rPr>
          <w:sz w:val="24"/>
          <w:szCs w:val="24"/>
          <w:lang w:val="en-US"/>
        </w:rPr>
      </w:pPr>
      <w:r w:rsidRPr="0042097E">
        <w:rPr>
          <w:sz w:val="24"/>
          <w:szCs w:val="24"/>
          <w:lang w:val="en-US"/>
        </w:rPr>
        <w:t xml:space="preserve">• Pigou-Dalton Transfer </w:t>
      </w:r>
      <w:r w:rsidR="00D474E9">
        <w:rPr>
          <w:sz w:val="24"/>
          <w:szCs w:val="24"/>
          <w:lang w:val="en-US"/>
        </w:rPr>
        <w:t xml:space="preserve">(PDT) </w:t>
      </w:r>
      <w:r w:rsidRPr="0042097E">
        <w:rPr>
          <w:sz w:val="24"/>
          <w:szCs w:val="24"/>
          <w:lang w:val="en-US"/>
        </w:rPr>
        <w:t>sensitivity</w:t>
      </w:r>
      <w:r w:rsidR="00FD5034">
        <w:rPr>
          <w:sz w:val="24"/>
          <w:szCs w:val="24"/>
          <w:lang w:val="en-US"/>
        </w:rPr>
        <w:t xml:space="preserve">: the ABG method </w:t>
      </w:r>
      <w:r w:rsidR="00D474E9">
        <w:rPr>
          <w:sz w:val="24"/>
          <w:szCs w:val="24"/>
          <w:lang w:val="en-US"/>
        </w:rPr>
        <w:t xml:space="preserve">and the idea of local inequalities is not compatible with the strict PDT principle </w:t>
      </w:r>
      <w:r w:rsidR="004F635A">
        <w:rPr>
          <w:sz w:val="24"/>
          <w:szCs w:val="24"/>
          <w:lang w:val="en-US"/>
        </w:rPr>
        <w:t xml:space="preserve">which </w:t>
      </w:r>
      <w:r w:rsidR="00D474E9">
        <w:rPr>
          <w:sz w:val="24"/>
          <w:szCs w:val="24"/>
          <w:lang w:val="en-US"/>
        </w:rPr>
        <w:t xml:space="preserve">claims </w:t>
      </w:r>
      <w:r w:rsidR="004F635A">
        <w:rPr>
          <w:sz w:val="24"/>
          <w:szCs w:val="24"/>
          <w:lang w:val="en-US"/>
        </w:rPr>
        <w:t xml:space="preserve">that </w:t>
      </w:r>
      <w:r w:rsidR="00D474E9">
        <w:rPr>
          <w:sz w:val="24"/>
          <w:szCs w:val="24"/>
          <w:lang w:val="en-US"/>
        </w:rPr>
        <w:t xml:space="preserve">inequality </w:t>
      </w:r>
      <w:r w:rsidR="004F635A">
        <w:rPr>
          <w:sz w:val="24"/>
          <w:szCs w:val="24"/>
          <w:lang w:val="en-US"/>
        </w:rPr>
        <w:t xml:space="preserve">falls when </w:t>
      </w:r>
      <w:r w:rsidR="00D474E9">
        <w:rPr>
          <w:sz w:val="24"/>
          <w:szCs w:val="24"/>
          <w:lang w:val="en-US"/>
        </w:rPr>
        <w:t xml:space="preserve">a richer individual </w:t>
      </w:r>
      <w:r w:rsidR="00C37C17">
        <w:rPr>
          <w:sz w:val="24"/>
          <w:szCs w:val="24"/>
          <w:lang w:val="en-US"/>
        </w:rPr>
        <w:t>(</w:t>
      </w:r>
      <w:r w:rsidR="00EA29F7">
        <w:rPr>
          <w:sz w:val="24"/>
          <w:szCs w:val="24"/>
          <w:lang w:val="en-US"/>
        </w:rPr>
        <w:t>a</w:t>
      </w:r>
      <w:r w:rsidR="00C37C17">
        <w:rPr>
          <w:sz w:val="24"/>
          <w:szCs w:val="24"/>
          <w:lang w:val="en-US"/>
        </w:rPr>
        <w:t>)</w:t>
      </w:r>
      <w:r w:rsidR="00EA29F7">
        <w:rPr>
          <w:sz w:val="24"/>
          <w:szCs w:val="24"/>
          <w:lang w:val="en-US"/>
        </w:rPr>
        <w:t xml:space="preserve"> </w:t>
      </w:r>
      <w:r w:rsidR="00D474E9">
        <w:rPr>
          <w:sz w:val="24"/>
          <w:szCs w:val="24"/>
          <w:lang w:val="en-US"/>
        </w:rPr>
        <w:t>gives a part of her income to a poorer individual</w:t>
      </w:r>
      <w:r w:rsidR="00EA29F7">
        <w:rPr>
          <w:sz w:val="24"/>
          <w:szCs w:val="24"/>
          <w:lang w:val="en-US"/>
        </w:rPr>
        <w:t xml:space="preserve"> </w:t>
      </w:r>
      <w:r w:rsidR="00C37C17">
        <w:rPr>
          <w:sz w:val="24"/>
          <w:szCs w:val="24"/>
          <w:lang w:val="en-US"/>
        </w:rPr>
        <w:t>(</w:t>
      </w:r>
      <w:r w:rsidR="00EA29F7">
        <w:rPr>
          <w:sz w:val="24"/>
          <w:szCs w:val="24"/>
          <w:lang w:val="en-US"/>
        </w:rPr>
        <w:t>b</w:t>
      </w:r>
      <w:r w:rsidR="00C37C17">
        <w:rPr>
          <w:sz w:val="24"/>
          <w:szCs w:val="24"/>
          <w:lang w:val="en-US"/>
        </w:rPr>
        <w:t>)</w:t>
      </w:r>
      <w:r w:rsidR="00D474E9">
        <w:rPr>
          <w:sz w:val="24"/>
          <w:szCs w:val="24"/>
          <w:lang w:val="en-US"/>
        </w:rPr>
        <w:t>, provided that the hierarchy is not inver</w:t>
      </w:r>
      <w:r w:rsidR="004F635A">
        <w:rPr>
          <w:sz w:val="24"/>
          <w:szCs w:val="24"/>
          <w:lang w:val="en-US"/>
        </w:rPr>
        <w:t>t</w:t>
      </w:r>
      <w:r w:rsidR="00D474E9">
        <w:rPr>
          <w:sz w:val="24"/>
          <w:szCs w:val="24"/>
          <w:lang w:val="en-US"/>
        </w:rPr>
        <w:t>ed</w:t>
      </w:r>
      <w:r w:rsidRPr="0042097E">
        <w:rPr>
          <w:sz w:val="24"/>
          <w:szCs w:val="24"/>
          <w:lang w:val="en-US"/>
        </w:rPr>
        <w:t xml:space="preserve">. </w:t>
      </w:r>
      <w:r w:rsidR="00EA29F7">
        <w:rPr>
          <w:sz w:val="24"/>
          <w:szCs w:val="24"/>
          <w:lang w:val="en-US"/>
        </w:rPr>
        <w:t xml:space="preserve">If </w:t>
      </w:r>
      <w:r w:rsidR="00C37C17">
        <w:rPr>
          <w:sz w:val="24"/>
          <w:szCs w:val="24"/>
          <w:lang w:val="en-US"/>
        </w:rPr>
        <w:t>(</w:t>
      </w:r>
      <w:r w:rsidR="00EA29F7">
        <w:rPr>
          <w:sz w:val="24"/>
          <w:szCs w:val="24"/>
          <w:lang w:val="en-US"/>
        </w:rPr>
        <w:t>a</w:t>
      </w:r>
      <w:r w:rsidR="00C37C17">
        <w:rPr>
          <w:sz w:val="24"/>
          <w:szCs w:val="24"/>
          <w:lang w:val="en-US"/>
        </w:rPr>
        <w:t>)</w:t>
      </w:r>
      <w:r w:rsidR="00EA29F7">
        <w:rPr>
          <w:sz w:val="24"/>
          <w:szCs w:val="24"/>
          <w:lang w:val="en-US"/>
        </w:rPr>
        <w:t xml:space="preserve"> and </w:t>
      </w:r>
      <w:r w:rsidR="00C37C17">
        <w:rPr>
          <w:sz w:val="24"/>
          <w:szCs w:val="24"/>
          <w:lang w:val="en-US"/>
        </w:rPr>
        <w:t>(</w:t>
      </w:r>
      <w:r w:rsidR="00EA29F7">
        <w:rPr>
          <w:sz w:val="24"/>
          <w:szCs w:val="24"/>
          <w:lang w:val="en-US"/>
        </w:rPr>
        <w:t>b</w:t>
      </w:r>
      <w:r w:rsidR="00C37C17">
        <w:rPr>
          <w:sz w:val="24"/>
          <w:szCs w:val="24"/>
          <w:lang w:val="en-US"/>
        </w:rPr>
        <w:t>)</w:t>
      </w:r>
      <w:r w:rsidR="00EA29F7">
        <w:rPr>
          <w:sz w:val="24"/>
          <w:szCs w:val="24"/>
          <w:lang w:val="en-US"/>
        </w:rPr>
        <w:t xml:space="preserve"> are above the median, </w:t>
      </w:r>
      <w:r w:rsidR="004F635A">
        <w:rPr>
          <w:sz w:val="24"/>
          <w:szCs w:val="24"/>
          <w:lang w:val="en-US"/>
        </w:rPr>
        <w:t xml:space="preserve">and </w:t>
      </w:r>
      <w:r w:rsidR="00EA29F7">
        <w:rPr>
          <w:sz w:val="24"/>
          <w:szCs w:val="24"/>
          <w:lang w:val="en-US"/>
        </w:rPr>
        <w:t xml:space="preserve">if the local inequality between </w:t>
      </w:r>
      <w:r w:rsidR="00126B88">
        <w:rPr>
          <w:sz w:val="24"/>
          <w:szCs w:val="24"/>
          <w:lang w:val="en-US"/>
        </w:rPr>
        <w:t>(</w:t>
      </w:r>
      <w:r w:rsidR="00EA29F7">
        <w:rPr>
          <w:sz w:val="24"/>
          <w:szCs w:val="24"/>
          <w:lang w:val="en-US"/>
        </w:rPr>
        <w:t>a</w:t>
      </w:r>
      <w:r w:rsidR="00126B88">
        <w:rPr>
          <w:sz w:val="24"/>
          <w:szCs w:val="24"/>
          <w:lang w:val="en-US"/>
        </w:rPr>
        <w:t>)</w:t>
      </w:r>
      <w:r w:rsidR="00EA29F7">
        <w:rPr>
          <w:sz w:val="24"/>
          <w:szCs w:val="24"/>
          <w:lang w:val="en-US"/>
        </w:rPr>
        <w:t xml:space="preserve"> and </w:t>
      </w:r>
      <w:r w:rsidR="00126B88">
        <w:rPr>
          <w:sz w:val="24"/>
          <w:szCs w:val="24"/>
          <w:lang w:val="en-US"/>
        </w:rPr>
        <w:t>(</w:t>
      </w:r>
      <w:r w:rsidR="00EA29F7">
        <w:rPr>
          <w:sz w:val="24"/>
          <w:szCs w:val="24"/>
          <w:lang w:val="en-US"/>
        </w:rPr>
        <w:t>b</w:t>
      </w:r>
      <w:r w:rsidR="00126B88">
        <w:rPr>
          <w:sz w:val="24"/>
          <w:szCs w:val="24"/>
          <w:lang w:val="en-US"/>
        </w:rPr>
        <w:t>)</w:t>
      </w:r>
      <w:r w:rsidR="00EA29F7">
        <w:rPr>
          <w:sz w:val="24"/>
          <w:szCs w:val="24"/>
          <w:lang w:val="en-US"/>
        </w:rPr>
        <w:t xml:space="preserve"> </w:t>
      </w:r>
      <w:r w:rsidR="004F635A">
        <w:rPr>
          <w:sz w:val="24"/>
          <w:szCs w:val="24"/>
          <w:lang w:val="en-US"/>
        </w:rPr>
        <w:t>fall</w:t>
      </w:r>
      <w:r w:rsidR="00EA29F7">
        <w:rPr>
          <w:sz w:val="24"/>
          <w:szCs w:val="24"/>
          <w:lang w:val="en-US"/>
        </w:rPr>
        <w:t xml:space="preserve">s, inequality between the median and </w:t>
      </w:r>
      <w:r w:rsidR="00126B88">
        <w:rPr>
          <w:sz w:val="24"/>
          <w:szCs w:val="24"/>
          <w:lang w:val="en-US"/>
        </w:rPr>
        <w:t>(</w:t>
      </w:r>
      <w:r w:rsidR="00EA29F7">
        <w:rPr>
          <w:sz w:val="24"/>
          <w:szCs w:val="24"/>
          <w:lang w:val="en-US"/>
        </w:rPr>
        <w:t>b</w:t>
      </w:r>
      <w:r w:rsidR="00126B88">
        <w:rPr>
          <w:sz w:val="24"/>
          <w:szCs w:val="24"/>
          <w:lang w:val="en-US"/>
        </w:rPr>
        <w:t>)</w:t>
      </w:r>
      <w:r w:rsidR="00EA29F7">
        <w:rPr>
          <w:sz w:val="24"/>
          <w:szCs w:val="24"/>
          <w:lang w:val="en-US"/>
        </w:rPr>
        <w:t xml:space="preserve"> increases since </w:t>
      </w:r>
      <w:r w:rsidR="00126B88">
        <w:rPr>
          <w:sz w:val="24"/>
          <w:szCs w:val="24"/>
          <w:lang w:val="en-US"/>
        </w:rPr>
        <w:t>(</w:t>
      </w:r>
      <w:r w:rsidR="00EA29F7">
        <w:rPr>
          <w:sz w:val="24"/>
          <w:szCs w:val="24"/>
          <w:lang w:val="en-US"/>
        </w:rPr>
        <w:t>b</w:t>
      </w:r>
      <w:r w:rsidR="00126B88">
        <w:rPr>
          <w:sz w:val="24"/>
          <w:szCs w:val="24"/>
          <w:lang w:val="en-US"/>
        </w:rPr>
        <w:t>)</w:t>
      </w:r>
      <w:r w:rsidR="00EA29F7">
        <w:rPr>
          <w:sz w:val="24"/>
          <w:szCs w:val="24"/>
          <w:lang w:val="en-US"/>
        </w:rPr>
        <w:t xml:space="preserve"> gets richer, and </w:t>
      </w:r>
      <w:r w:rsidR="00DC713E">
        <w:rPr>
          <w:sz w:val="24"/>
          <w:szCs w:val="24"/>
          <w:lang w:val="en-US"/>
        </w:rPr>
        <w:t xml:space="preserve">thus </w:t>
      </w:r>
      <w:r w:rsidR="00EA29F7">
        <w:rPr>
          <w:sz w:val="24"/>
          <w:szCs w:val="24"/>
          <w:lang w:val="en-US"/>
        </w:rPr>
        <w:t>f</w:t>
      </w:r>
      <w:r w:rsidR="00DC713E">
        <w:rPr>
          <w:sz w:val="24"/>
          <w:szCs w:val="24"/>
          <w:lang w:val="en-US"/>
        </w:rPr>
        <w:t>u</w:t>
      </w:r>
      <w:r w:rsidR="00EA29F7">
        <w:rPr>
          <w:sz w:val="24"/>
          <w:szCs w:val="24"/>
          <w:lang w:val="en-US"/>
        </w:rPr>
        <w:t xml:space="preserve">rther from the median. </w:t>
      </w:r>
      <w:r w:rsidR="00CE30E4">
        <w:rPr>
          <w:sz w:val="24"/>
          <w:szCs w:val="24"/>
          <w:lang w:val="en-US"/>
        </w:rPr>
        <w:t xml:space="preserve">Such a transfer is ambiguous at the local level: even if the stretching between (a) and (b) is lower, meaning less inequality, the stretching between (b) and the median increases, meaning more inequality. </w:t>
      </w:r>
      <w:r w:rsidR="00EA29F7">
        <w:rPr>
          <w:sz w:val="24"/>
          <w:szCs w:val="24"/>
          <w:lang w:val="en-US"/>
        </w:rPr>
        <w:t xml:space="preserve">The ABG method </w:t>
      </w:r>
      <w:r w:rsidR="004F635A">
        <w:rPr>
          <w:sz w:val="24"/>
          <w:szCs w:val="24"/>
          <w:lang w:val="en-US"/>
        </w:rPr>
        <w:t xml:space="preserve">does </w:t>
      </w:r>
      <w:r w:rsidR="00EA29F7">
        <w:rPr>
          <w:sz w:val="24"/>
          <w:szCs w:val="24"/>
          <w:lang w:val="en-US"/>
        </w:rPr>
        <w:t>satisf</w:t>
      </w:r>
      <w:r w:rsidR="004F635A">
        <w:rPr>
          <w:sz w:val="24"/>
          <w:szCs w:val="24"/>
          <w:lang w:val="en-US"/>
        </w:rPr>
        <w:t>y</w:t>
      </w:r>
      <w:r w:rsidR="00DC713E">
        <w:rPr>
          <w:sz w:val="24"/>
          <w:szCs w:val="24"/>
          <w:lang w:val="en-US"/>
        </w:rPr>
        <w:t>,</w:t>
      </w:r>
      <w:r w:rsidR="00EA29F7">
        <w:rPr>
          <w:sz w:val="24"/>
          <w:szCs w:val="24"/>
          <w:lang w:val="en-US"/>
        </w:rPr>
        <w:t xml:space="preserve"> </w:t>
      </w:r>
      <w:r w:rsidR="00DC713E">
        <w:rPr>
          <w:sz w:val="24"/>
          <w:szCs w:val="24"/>
          <w:lang w:val="en-US"/>
        </w:rPr>
        <w:t xml:space="preserve">in any case, </w:t>
      </w:r>
      <w:r w:rsidR="00EA29F7">
        <w:rPr>
          <w:sz w:val="24"/>
          <w:szCs w:val="24"/>
          <w:lang w:val="en-US"/>
        </w:rPr>
        <w:t xml:space="preserve">a weaker form of the PDT principle provided that </w:t>
      </w:r>
      <w:r w:rsidR="00C37C17">
        <w:rPr>
          <w:sz w:val="24"/>
          <w:szCs w:val="24"/>
          <w:lang w:val="en-US"/>
        </w:rPr>
        <w:t>(</w:t>
      </w:r>
      <w:r w:rsidR="00EA29F7">
        <w:rPr>
          <w:sz w:val="24"/>
          <w:szCs w:val="24"/>
          <w:lang w:val="en-US"/>
        </w:rPr>
        <w:t>a</w:t>
      </w:r>
      <w:r w:rsidR="00C37C17">
        <w:rPr>
          <w:sz w:val="24"/>
          <w:szCs w:val="24"/>
          <w:lang w:val="en-US"/>
        </w:rPr>
        <w:t>)</w:t>
      </w:r>
      <w:r w:rsidR="00EA29F7">
        <w:rPr>
          <w:sz w:val="24"/>
          <w:szCs w:val="24"/>
          <w:lang w:val="en-US"/>
        </w:rPr>
        <w:t xml:space="preserve"> is above the median and </w:t>
      </w:r>
      <w:r w:rsidR="00C37C17">
        <w:rPr>
          <w:sz w:val="24"/>
          <w:szCs w:val="24"/>
          <w:lang w:val="en-US"/>
        </w:rPr>
        <w:t>(</w:t>
      </w:r>
      <w:r w:rsidR="00EA29F7">
        <w:rPr>
          <w:sz w:val="24"/>
          <w:szCs w:val="24"/>
          <w:lang w:val="en-US"/>
        </w:rPr>
        <w:t>b</w:t>
      </w:r>
      <w:r w:rsidR="00C37C17">
        <w:rPr>
          <w:sz w:val="24"/>
          <w:szCs w:val="24"/>
          <w:lang w:val="en-US"/>
        </w:rPr>
        <w:t>)</w:t>
      </w:r>
      <w:r w:rsidR="00EA29F7">
        <w:rPr>
          <w:sz w:val="24"/>
          <w:szCs w:val="24"/>
          <w:lang w:val="en-US"/>
        </w:rPr>
        <w:t xml:space="preserve"> below it</w:t>
      </w:r>
      <w:r w:rsidR="00525B1C">
        <w:rPr>
          <w:sz w:val="24"/>
          <w:szCs w:val="24"/>
          <w:lang w:val="en-US"/>
        </w:rPr>
        <w:t xml:space="preserve"> and that they</w:t>
      </w:r>
      <w:r w:rsidR="004F635A">
        <w:rPr>
          <w:sz w:val="24"/>
          <w:szCs w:val="24"/>
          <w:lang w:val="en-US"/>
        </w:rPr>
        <w:t xml:space="preserve"> remain in this order relative</w:t>
      </w:r>
      <w:r w:rsidR="00525B1C">
        <w:rPr>
          <w:sz w:val="24"/>
          <w:szCs w:val="24"/>
          <w:lang w:val="en-US"/>
        </w:rPr>
        <w:t xml:space="preserve"> to the median after the transfer</w:t>
      </w:r>
      <w:r w:rsidR="00EA29F7">
        <w:rPr>
          <w:sz w:val="24"/>
          <w:szCs w:val="24"/>
          <w:lang w:val="en-US"/>
        </w:rPr>
        <w:t xml:space="preserve">. </w:t>
      </w:r>
    </w:p>
    <w:p w:rsidR="00755ADB" w:rsidRPr="005165D0" w:rsidRDefault="004F635A" w:rsidP="00FC184D">
      <w:pPr>
        <w:numPr>
          <w:ilvl w:val="0"/>
          <w:numId w:val="5"/>
        </w:numPr>
        <w:spacing w:after="120" w:line="480" w:lineRule="auto"/>
        <w:rPr>
          <w:b/>
          <w:bCs/>
          <w:sz w:val="24"/>
          <w:szCs w:val="28"/>
          <w:lang w:val="en-US"/>
        </w:rPr>
      </w:pPr>
      <w:r>
        <w:rPr>
          <w:b/>
          <w:bCs/>
          <w:sz w:val="24"/>
          <w:szCs w:val="28"/>
          <w:lang w:val="en-US"/>
        </w:rPr>
        <w:t>The c</w:t>
      </w:r>
      <w:r w:rsidR="00711EB8" w:rsidRPr="00C91011">
        <w:rPr>
          <w:b/>
          <w:bCs/>
          <w:sz w:val="24"/>
          <w:szCs w:val="28"/>
          <w:lang w:val="en-US"/>
        </w:rPr>
        <w:t>omparative a</w:t>
      </w:r>
      <w:r w:rsidR="00755ADB" w:rsidRPr="00C91011">
        <w:rPr>
          <w:b/>
          <w:bCs/>
          <w:sz w:val="24"/>
          <w:szCs w:val="28"/>
          <w:lang w:val="en-US"/>
        </w:rPr>
        <w:t xml:space="preserve">nalysis of </w:t>
      </w:r>
      <w:r w:rsidR="005423EC">
        <w:rPr>
          <w:b/>
          <w:bCs/>
          <w:sz w:val="24"/>
          <w:szCs w:val="28"/>
          <w:lang w:val="en-US"/>
        </w:rPr>
        <w:t>232</w:t>
      </w:r>
      <w:r w:rsidR="00755ADB" w:rsidRPr="00C91011">
        <w:rPr>
          <w:b/>
          <w:bCs/>
          <w:sz w:val="24"/>
          <w:szCs w:val="28"/>
          <w:lang w:val="en-US"/>
        </w:rPr>
        <w:t xml:space="preserve"> datasets </w:t>
      </w:r>
      <w:r w:rsidR="00FC184D" w:rsidRPr="00C91011">
        <w:rPr>
          <w:b/>
          <w:bCs/>
          <w:sz w:val="24"/>
          <w:szCs w:val="28"/>
          <w:lang w:val="en-US"/>
        </w:rPr>
        <w:t>and inequality measures</w:t>
      </w:r>
      <w:r w:rsidR="00FC184D">
        <w:rPr>
          <w:b/>
          <w:bCs/>
          <w:sz w:val="24"/>
          <w:szCs w:val="28"/>
          <w:lang w:val="en-US"/>
        </w:rPr>
        <w:t xml:space="preserve"> </w:t>
      </w:r>
    </w:p>
    <w:p w:rsidR="00870DAA" w:rsidRDefault="00A20A9B" w:rsidP="00E85DD2">
      <w:pPr>
        <w:spacing w:after="120" w:line="480" w:lineRule="auto"/>
        <w:rPr>
          <w:sz w:val="24"/>
          <w:szCs w:val="24"/>
          <w:lang w:val="en-GB"/>
        </w:rPr>
      </w:pPr>
      <w:r>
        <w:rPr>
          <w:sz w:val="24"/>
          <w:szCs w:val="24"/>
          <w:lang w:val="en-GB"/>
        </w:rPr>
        <w:t>Section</w:t>
      </w:r>
      <w:r w:rsidR="004F635A">
        <w:rPr>
          <w:sz w:val="24"/>
          <w:szCs w:val="24"/>
          <w:lang w:val="en-GB"/>
        </w:rPr>
        <w:t>s</w:t>
      </w:r>
      <w:r>
        <w:rPr>
          <w:sz w:val="24"/>
          <w:szCs w:val="24"/>
          <w:lang w:val="en-GB"/>
        </w:rPr>
        <w:t xml:space="preserve"> 5 and 6 analys</w:t>
      </w:r>
      <w:r w:rsidR="004F635A">
        <w:rPr>
          <w:sz w:val="24"/>
          <w:szCs w:val="24"/>
          <w:lang w:val="en-GB"/>
        </w:rPr>
        <w:t>e</w:t>
      </w:r>
      <w:r>
        <w:rPr>
          <w:sz w:val="24"/>
          <w:szCs w:val="24"/>
          <w:lang w:val="en-GB"/>
        </w:rPr>
        <w:t xml:space="preserve"> the performance of th</w:t>
      </w:r>
      <w:r w:rsidR="004F635A">
        <w:rPr>
          <w:sz w:val="24"/>
          <w:szCs w:val="24"/>
          <w:lang w:val="en-GB"/>
        </w:rPr>
        <w:t>e ABG</w:t>
      </w:r>
      <w:r>
        <w:rPr>
          <w:sz w:val="24"/>
          <w:szCs w:val="24"/>
          <w:lang w:val="en-GB"/>
        </w:rPr>
        <w:t xml:space="preserve"> method compared to existing indicators (</w:t>
      </w:r>
      <w:r w:rsidR="004F635A">
        <w:rPr>
          <w:sz w:val="24"/>
          <w:szCs w:val="24"/>
          <w:lang w:val="en-GB"/>
        </w:rPr>
        <w:t>S</w:t>
      </w:r>
      <w:r>
        <w:rPr>
          <w:sz w:val="24"/>
          <w:szCs w:val="24"/>
          <w:lang w:val="en-GB"/>
        </w:rPr>
        <w:t>ection 5) and to the</w:t>
      </w:r>
      <w:r w:rsidR="0025622F">
        <w:rPr>
          <w:sz w:val="24"/>
          <w:szCs w:val="24"/>
          <w:lang w:val="en-GB"/>
        </w:rPr>
        <w:t xml:space="preserve"> well</w:t>
      </w:r>
      <w:r w:rsidR="004F635A">
        <w:rPr>
          <w:sz w:val="24"/>
          <w:szCs w:val="24"/>
          <w:lang w:val="en-GB"/>
        </w:rPr>
        <w:t xml:space="preserve">-known </w:t>
      </w:r>
      <w:r>
        <w:rPr>
          <w:sz w:val="24"/>
          <w:szCs w:val="24"/>
          <w:lang w:val="en-GB"/>
        </w:rPr>
        <w:t>GB2 distribution (</w:t>
      </w:r>
      <w:r w:rsidR="004F635A">
        <w:rPr>
          <w:sz w:val="24"/>
          <w:szCs w:val="24"/>
          <w:lang w:val="en-GB"/>
        </w:rPr>
        <w:t>S</w:t>
      </w:r>
      <w:r>
        <w:rPr>
          <w:sz w:val="24"/>
          <w:szCs w:val="24"/>
          <w:lang w:val="en-GB"/>
        </w:rPr>
        <w:t>ection 6)</w:t>
      </w:r>
      <w:r w:rsidR="0044303F">
        <w:rPr>
          <w:sz w:val="24"/>
          <w:szCs w:val="24"/>
          <w:lang w:val="en-GB"/>
        </w:rPr>
        <w:t>.</w:t>
      </w:r>
      <w:r>
        <w:rPr>
          <w:sz w:val="24"/>
          <w:szCs w:val="24"/>
          <w:lang w:val="en-GB"/>
        </w:rPr>
        <w:t xml:space="preserve"> </w:t>
      </w:r>
      <w:r w:rsidR="00912BEA">
        <w:rPr>
          <w:sz w:val="24"/>
          <w:szCs w:val="24"/>
          <w:lang w:val="en-GB"/>
        </w:rPr>
        <w:t>T</w:t>
      </w:r>
      <w:r w:rsidR="0098009A">
        <w:rPr>
          <w:sz w:val="24"/>
          <w:szCs w:val="24"/>
          <w:lang w:val="en-GB"/>
        </w:rPr>
        <w:t xml:space="preserve">he added value of </w:t>
      </w:r>
      <w:r w:rsidR="000F641C">
        <w:rPr>
          <w:sz w:val="24"/>
          <w:szCs w:val="24"/>
          <w:lang w:val="en-GB"/>
        </w:rPr>
        <w:t>the ABG method</w:t>
      </w:r>
      <w:r w:rsidR="00D75D07">
        <w:rPr>
          <w:sz w:val="24"/>
          <w:szCs w:val="24"/>
          <w:lang w:val="en-GB"/>
        </w:rPr>
        <w:t xml:space="preserve"> </w:t>
      </w:r>
      <w:r w:rsidR="00912BEA">
        <w:rPr>
          <w:sz w:val="24"/>
          <w:szCs w:val="24"/>
          <w:lang w:val="en-GB"/>
        </w:rPr>
        <w:t xml:space="preserve">over other measures </w:t>
      </w:r>
      <w:r w:rsidR="00A17EAA">
        <w:rPr>
          <w:sz w:val="24"/>
          <w:szCs w:val="24"/>
          <w:lang w:val="en-GB"/>
        </w:rPr>
        <w:t xml:space="preserve">is illustrated </w:t>
      </w:r>
      <w:r w:rsidR="004F635A">
        <w:rPr>
          <w:sz w:val="24"/>
          <w:szCs w:val="24"/>
          <w:lang w:val="en-GB"/>
        </w:rPr>
        <w:t xml:space="preserve">via its </w:t>
      </w:r>
      <w:r w:rsidR="000F641C">
        <w:rPr>
          <w:sz w:val="24"/>
          <w:szCs w:val="24"/>
          <w:lang w:val="en-GB"/>
        </w:rPr>
        <w:t xml:space="preserve">comparison </w:t>
      </w:r>
      <w:r w:rsidR="004F635A">
        <w:rPr>
          <w:sz w:val="24"/>
          <w:szCs w:val="24"/>
          <w:lang w:val="en-GB"/>
        </w:rPr>
        <w:t xml:space="preserve">to </w:t>
      </w:r>
      <w:r w:rsidR="0098009A">
        <w:rPr>
          <w:sz w:val="24"/>
          <w:szCs w:val="24"/>
          <w:lang w:val="en-GB"/>
        </w:rPr>
        <w:t xml:space="preserve">more </w:t>
      </w:r>
      <w:r w:rsidR="00A17EAA">
        <w:rPr>
          <w:sz w:val="24"/>
          <w:szCs w:val="24"/>
          <w:lang w:val="en-GB"/>
        </w:rPr>
        <w:t xml:space="preserve">customary </w:t>
      </w:r>
      <w:r w:rsidR="00912BEA">
        <w:rPr>
          <w:sz w:val="24"/>
          <w:szCs w:val="24"/>
          <w:lang w:val="en-GB"/>
        </w:rPr>
        <w:t>inequality</w:t>
      </w:r>
      <w:r w:rsidR="002203AB">
        <w:rPr>
          <w:sz w:val="24"/>
          <w:szCs w:val="24"/>
          <w:lang w:val="en-GB"/>
        </w:rPr>
        <w:t xml:space="preserve"> </w:t>
      </w:r>
      <w:r w:rsidR="004F635A" w:rsidRPr="004F635A">
        <w:rPr>
          <w:sz w:val="24"/>
          <w:szCs w:val="24"/>
          <w:lang w:val="en-GB"/>
        </w:rPr>
        <w:t xml:space="preserve">indices </w:t>
      </w:r>
      <w:r w:rsidR="002203AB">
        <w:rPr>
          <w:sz w:val="24"/>
          <w:szCs w:val="24"/>
          <w:lang w:val="en-GB"/>
        </w:rPr>
        <w:t xml:space="preserve">on a </w:t>
      </w:r>
      <w:r w:rsidR="000F641C">
        <w:rPr>
          <w:sz w:val="24"/>
          <w:szCs w:val="24"/>
          <w:lang w:val="en-GB"/>
        </w:rPr>
        <w:t xml:space="preserve">set of </w:t>
      </w:r>
      <w:r w:rsidR="005423EC">
        <w:rPr>
          <w:sz w:val="24"/>
          <w:szCs w:val="24"/>
          <w:lang w:val="en-GB"/>
        </w:rPr>
        <w:t>232</w:t>
      </w:r>
      <w:r w:rsidR="00711EB8">
        <w:rPr>
          <w:sz w:val="24"/>
          <w:szCs w:val="24"/>
          <w:lang w:val="en-GB"/>
        </w:rPr>
        <w:t xml:space="preserve"> </w:t>
      </w:r>
      <w:r w:rsidR="000F641C">
        <w:rPr>
          <w:sz w:val="24"/>
          <w:szCs w:val="24"/>
          <w:lang w:val="en-US"/>
        </w:rPr>
        <w:t>harmonized</w:t>
      </w:r>
      <w:r w:rsidR="000F641C">
        <w:rPr>
          <w:sz w:val="24"/>
          <w:szCs w:val="24"/>
          <w:lang w:val="en-GB"/>
        </w:rPr>
        <w:t xml:space="preserve"> microdata</w:t>
      </w:r>
      <w:r w:rsidR="00205789">
        <w:rPr>
          <w:sz w:val="24"/>
          <w:szCs w:val="24"/>
          <w:lang w:val="en-GB"/>
        </w:rPr>
        <w:t xml:space="preserve"> </w:t>
      </w:r>
      <w:r w:rsidR="000F641C">
        <w:rPr>
          <w:sz w:val="24"/>
          <w:szCs w:val="24"/>
          <w:lang w:val="en-GB"/>
        </w:rPr>
        <w:t>files</w:t>
      </w:r>
      <w:r w:rsidR="00A70052">
        <w:rPr>
          <w:sz w:val="24"/>
          <w:szCs w:val="24"/>
          <w:lang w:val="en-GB"/>
        </w:rPr>
        <w:t xml:space="preserve"> </w:t>
      </w:r>
      <w:r w:rsidR="00114D3B">
        <w:rPr>
          <w:sz w:val="24"/>
          <w:szCs w:val="24"/>
          <w:lang w:val="en-GB"/>
        </w:rPr>
        <w:t>covering 4</w:t>
      </w:r>
      <w:r w:rsidR="00B845D9">
        <w:rPr>
          <w:sz w:val="24"/>
          <w:szCs w:val="24"/>
          <w:lang w:val="en-GB"/>
        </w:rPr>
        <w:t>1</w:t>
      </w:r>
      <w:r w:rsidR="00114D3B">
        <w:rPr>
          <w:sz w:val="24"/>
          <w:szCs w:val="24"/>
          <w:lang w:val="en-GB"/>
        </w:rPr>
        <w:t xml:space="preserve"> countries </w:t>
      </w:r>
      <w:r w:rsidR="000F641C">
        <w:rPr>
          <w:sz w:val="24"/>
          <w:szCs w:val="24"/>
          <w:lang w:val="en-GB"/>
        </w:rPr>
        <w:t xml:space="preserve">provided by the </w:t>
      </w:r>
      <w:r w:rsidR="00A70052">
        <w:rPr>
          <w:sz w:val="24"/>
          <w:szCs w:val="24"/>
          <w:lang w:val="en-GB"/>
        </w:rPr>
        <w:t>LIS datacent</w:t>
      </w:r>
      <w:r w:rsidR="00711EB8">
        <w:rPr>
          <w:sz w:val="24"/>
          <w:szCs w:val="24"/>
          <w:lang w:val="en-GB"/>
        </w:rPr>
        <w:t>e</w:t>
      </w:r>
      <w:r w:rsidR="00A70052">
        <w:rPr>
          <w:sz w:val="24"/>
          <w:szCs w:val="24"/>
          <w:lang w:val="en-GB"/>
        </w:rPr>
        <w:t>r</w:t>
      </w:r>
      <w:r w:rsidR="00711EB8">
        <w:rPr>
          <w:sz w:val="24"/>
          <w:szCs w:val="24"/>
          <w:lang w:val="en-GB"/>
        </w:rPr>
        <w:t xml:space="preserve"> project</w:t>
      </w:r>
      <w:r w:rsidR="002203AB">
        <w:rPr>
          <w:sz w:val="24"/>
          <w:szCs w:val="24"/>
          <w:lang w:val="en-GB"/>
        </w:rPr>
        <w:t>.</w:t>
      </w:r>
      <w:r w:rsidR="002203AB">
        <w:rPr>
          <w:rStyle w:val="FootnoteReference"/>
          <w:sz w:val="24"/>
          <w:szCs w:val="24"/>
          <w:lang w:val="en-US"/>
        </w:rPr>
        <w:footnoteReference w:id="18"/>
      </w:r>
      <w:r w:rsidR="002203AB">
        <w:rPr>
          <w:sz w:val="24"/>
          <w:szCs w:val="24"/>
          <w:lang w:val="en-GB"/>
        </w:rPr>
        <w:t xml:space="preserve"> </w:t>
      </w:r>
      <w:r w:rsidR="002203AB">
        <w:rPr>
          <w:sz w:val="24"/>
          <w:szCs w:val="24"/>
          <w:lang w:val="en-US"/>
        </w:rPr>
        <w:t xml:space="preserve">This </w:t>
      </w:r>
      <w:r w:rsidR="004F635A">
        <w:rPr>
          <w:sz w:val="24"/>
          <w:szCs w:val="24"/>
          <w:lang w:val="en-US"/>
        </w:rPr>
        <w:t xml:space="preserve">data </w:t>
      </w:r>
      <w:r w:rsidR="00114D3B">
        <w:rPr>
          <w:sz w:val="24"/>
          <w:szCs w:val="24"/>
          <w:lang w:val="en-US"/>
        </w:rPr>
        <w:t xml:space="preserve">source is </w:t>
      </w:r>
      <w:r w:rsidR="006C53D6">
        <w:rPr>
          <w:sz w:val="24"/>
          <w:szCs w:val="24"/>
          <w:lang w:val="en-US"/>
        </w:rPr>
        <w:t xml:space="preserve">very frequently </w:t>
      </w:r>
      <w:r w:rsidR="00114D3B">
        <w:rPr>
          <w:sz w:val="24"/>
          <w:szCs w:val="24"/>
          <w:lang w:val="en-US"/>
        </w:rPr>
        <w:t xml:space="preserve">used in the </w:t>
      </w:r>
      <w:r w:rsidR="000F641C">
        <w:rPr>
          <w:sz w:val="24"/>
          <w:szCs w:val="24"/>
          <w:lang w:val="en-US"/>
        </w:rPr>
        <w:t xml:space="preserve">analysis </w:t>
      </w:r>
      <w:r w:rsidR="00114D3B">
        <w:rPr>
          <w:sz w:val="24"/>
          <w:szCs w:val="24"/>
          <w:lang w:val="en-US"/>
        </w:rPr>
        <w:t xml:space="preserve">of socioeconomic </w:t>
      </w:r>
      <w:r w:rsidR="00114D3B">
        <w:rPr>
          <w:sz w:val="24"/>
          <w:szCs w:val="24"/>
          <w:lang w:val="en-US"/>
        </w:rPr>
        <w:lastRenderedPageBreak/>
        <w:t>inequality</w:t>
      </w:r>
      <w:r w:rsidR="000F641C">
        <w:rPr>
          <w:sz w:val="24"/>
          <w:szCs w:val="24"/>
          <w:lang w:val="en-US"/>
        </w:rPr>
        <w:t xml:space="preserve"> (Brandolini and Atkinson</w:t>
      </w:r>
      <w:r w:rsidR="006C53D6">
        <w:rPr>
          <w:sz w:val="24"/>
          <w:szCs w:val="24"/>
          <w:lang w:val="en-US"/>
        </w:rPr>
        <w:t>,</w:t>
      </w:r>
      <w:r w:rsidR="000F641C">
        <w:rPr>
          <w:sz w:val="24"/>
          <w:szCs w:val="24"/>
          <w:lang w:val="en-US"/>
        </w:rPr>
        <w:t xml:space="preserve"> 2001, Gornick and </w:t>
      </w:r>
      <w:r w:rsidR="009C646A" w:rsidRPr="0048091F">
        <w:rPr>
          <w:sz w:val="24"/>
          <w:szCs w:val="24"/>
          <w:lang w:val="en-GB"/>
        </w:rPr>
        <w:t>Jäntti</w:t>
      </w:r>
      <w:r w:rsidR="006C53D6">
        <w:rPr>
          <w:sz w:val="24"/>
          <w:szCs w:val="24"/>
          <w:lang w:val="en-GB"/>
        </w:rPr>
        <w:t>,</w:t>
      </w:r>
      <w:r w:rsidR="009C646A">
        <w:rPr>
          <w:sz w:val="24"/>
          <w:szCs w:val="24"/>
          <w:lang w:val="en-US"/>
        </w:rPr>
        <w:t xml:space="preserve"> </w:t>
      </w:r>
      <w:r w:rsidR="000F641C">
        <w:rPr>
          <w:sz w:val="24"/>
          <w:szCs w:val="24"/>
          <w:lang w:val="en-US"/>
        </w:rPr>
        <w:t>2013)</w:t>
      </w:r>
      <w:r w:rsidR="00A17EAA">
        <w:rPr>
          <w:sz w:val="24"/>
          <w:szCs w:val="24"/>
          <w:lang w:val="en-US"/>
        </w:rPr>
        <w:t>,</w:t>
      </w:r>
      <w:r w:rsidR="002203AB">
        <w:rPr>
          <w:sz w:val="24"/>
          <w:szCs w:val="24"/>
          <w:lang w:val="en-US"/>
        </w:rPr>
        <w:t xml:space="preserve"> and the </w:t>
      </w:r>
      <w:r w:rsidR="004F635A">
        <w:rPr>
          <w:sz w:val="24"/>
          <w:szCs w:val="24"/>
          <w:lang w:val="en-US"/>
        </w:rPr>
        <w:t xml:space="preserve">data </w:t>
      </w:r>
      <w:r w:rsidR="000F641C">
        <w:rPr>
          <w:sz w:val="24"/>
          <w:szCs w:val="24"/>
          <w:lang w:val="en-GB"/>
        </w:rPr>
        <w:t xml:space="preserve">set </w:t>
      </w:r>
      <w:r w:rsidR="005A09AC">
        <w:rPr>
          <w:sz w:val="24"/>
          <w:szCs w:val="24"/>
          <w:lang w:val="en-GB"/>
        </w:rPr>
        <w:t xml:space="preserve">can be used as a </w:t>
      </w:r>
      <w:r w:rsidR="000F641C">
        <w:rPr>
          <w:sz w:val="24"/>
          <w:szCs w:val="24"/>
          <w:lang w:val="en-GB"/>
        </w:rPr>
        <w:t xml:space="preserve">large </w:t>
      </w:r>
      <w:r w:rsidR="005A09AC">
        <w:rPr>
          <w:sz w:val="24"/>
          <w:szCs w:val="24"/>
          <w:lang w:val="en-GB"/>
        </w:rPr>
        <w:t xml:space="preserve">sensitivity </w:t>
      </w:r>
      <w:r w:rsidR="00A70052">
        <w:rPr>
          <w:sz w:val="24"/>
          <w:szCs w:val="24"/>
          <w:lang w:val="en-GB"/>
        </w:rPr>
        <w:t>test</w:t>
      </w:r>
      <w:r w:rsidR="005A09AC">
        <w:rPr>
          <w:sz w:val="24"/>
          <w:szCs w:val="24"/>
          <w:lang w:val="en-GB"/>
        </w:rPr>
        <w:t xml:space="preserve"> for </w:t>
      </w:r>
      <w:r w:rsidR="000F641C">
        <w:rPr>
          <w:sz w:val="24"/>
          <w:szCs w:val="24"/>
          <w:lang w:val="en-GB"/>
        </w:rPr>
        <w:t xml:space="preserve">the </w:t>
      </w:r>
      <w:r w:rsidR="00A70052">
        <w:rPr>
          <w:sz w:val="24"/>
          <w:szCs w:val="24"/>
          <w:lang w:val="en-GB"/>
        </w:rPr>
        <w:t xml:space="preserve">three </w:t>
      </w:r>
      <w:r w:rsidR="005A09AC">
        <w:rPr>
          <w:sz w:val="24"/>
          <w:szCs w:val="24"/>
          <w:lang w:val="en-GB"/>
        </w:rPr>
        <w:t>indicators</w:t>
      </w:r>
      <w:r w:rsidR="00870DAA">
        <w:rPr>
          <w:sz w:val="24"/>
          <w:szCs w:val="24"/>
          <w:lang w:val="en-GB"/>
        </w:rPr>
        <w:t>. It covers a large proportion of advanced countries plus some emerg</w:t>
      </w:r>
      <w:r w:rsidR="004F635A">
        <w:rPr>
          <w:sz w:val="24"/>
          <w:szCs w:val="24"/>
          <w:lang w:val="en-GB"/>
        </w:rPr>
        <w:t>ing countri</w:t>
      </w:r>
      <w:r w:rsidR="00870DAA">
        <w:rPr>
          <w:sz w:val="24"/>
          <w:szCs w:val="24"/>
          <w:lang w:val="en-GB"/>
        </w:rPr>
        <w:t>es (</w:t>
      </w:r>
      <w:r w:rsidR="00A17EAA">
        <w:rPr>
          <w:sz w:val="24"/>
          <w:szCs w:val="24"/>
          <w:lang w:val="en-GB"/>
        </w:rPr>
        <w:t xml:space="preserve">e.g., </w:t>
      </w:r>
      <w:r w:rsidR="00870DAA">
        <w:rPr>
          <w:sz w:val="24"/>
          <w:szCs w:val="24"/>
          <w:lang w:val="en-GB"/>
        </w:rPr>
        <w:t>Brazil, China, India</w:t>
      </w:r>
      <w:r w:rsidR="004F635A">
        <w:rPr>
          <w:sz w:val="24"/>
          <w:szCs w:val="24"/>
          <w:lang w:val="en-GB"/>
        </w:rPr>
        <w:t xml:space="preserve"> and</w:t>
      </w:r>
      <w:r w:rsidR="00870DAA">
        <w:rPr>
          <w:sz w:val="24"/>
          <w:szCs w:val="24"/>
          <w:lang w:val="en-GB"/>
        </w:rPr>
        <w:t xml:space="preserve"> Mexico)</w:t>
      </w:r>
      <w:r w:rsidR="005A09AC">
        <w:rPr>
          <w:sz w:val="24"/>
          <w:szCs w:val="24"/>
          <w:lang w:val="en-GB"/>
        </w:rPr>
        <w:t xml:space="preserve">. </w:t>
      </w:r>
    </w:p>
    <w:p w:rsidR="00511757" w:rsidRPr="00912BEA" w:rsidRDefault="009C646A" w:rsidP="00831E1D">
      <w:pPr>
        <w:spacing w:after="120" w:line="480" w:lineRule="auto"/>
        <w:rPr>
          <w:sz w:val="24"/>
          <w:szCs w:val="24"/>
          <w:lang w:val="en-GB"/>
        </w:rPr>
      </w:pPr>
      <w:r>
        <w:rPr>
          <w:sz w:val="24"/>
          <w:szCs w:val="24"/>
          <w:lang w:val="en-US"/>
        </w:rPr>
        <w:t xml:space="preserve">The first result is </w:t>
      </w:r>
      <w:r w:rsidR="00222589">
        <w:rPr>
          <w:sz w:val="24"/>
          <w:szCs w:val="24"/>
          <w:lang w:val="en-US"/>
        </w:rPr>
        <w:t xml:space="preserve">that the </w:t>
      </w:r>
      <w:r w:rsidR="00E85DD2">
        <w:rPr>
          <w:sz w:val="24"/>
          <w:szCs w:val="24"/>
          <w:lang w:val="en-US"/>
        </w:rPr>
        <w:t xml:space="preserve">absolute values of </w:t>
      </w:r>
      <w:r w:rsidR="00472786" w:rsidRPr="00472786">
        <w:rPr>
          <w:rFonts w:ascii="Symbol" w:hAnsi="Symbol"/>
          <w:sz w:val="24"/>
          <w:szCs w:val="24"/>
          <w:lang w:val="en-US"/>
        </w:rPr>
        <w:t></w:t>
      </w:r>
      <w:r w:rsidR="00E85DD2">
        <w:rPr>
          <w:sz w:val="24"/>
          <w:szCs w:val="24"/>
          <w:lang w:val="en-US"/>
        </w:rPr>
        <w:t xml:space="preserve"> and </w:t>
      </w:r>
      <w:r w:rsidR="00472786" w:rsidRPr="00472786">
        <w:rPr>
          <w:rFonts w:ascii="Symbol" w:hAnsi="Symbol"/>
          <w:sz w:val="24"/>
          <w:szCs w:val="24"/>
          <w:lang w:val="en-US"/>
        </w:rPr>
        <w:t></w:t>
      </w:r>
      <w:r w:rsidR="00E85DD2">
        <w:rPr>
          <w:sz w:val="24"/>
          <w:szCs w:val="24"/>
          <w:lang w:val="en-US"/>
        </w:rPr>
        <w:t xml:space="preserve"> are small compared to </w:t>
      </w:r>
      <w:r w:rsidR="004F635A">
        <w:rPr>
          <w:sz w:val="24"/>
          <w:szCs w:val="24"/>
          <w:lang w:val="en-US"/>
        </w:rPr>
        <w:t xml:space="preserve">that of </w:t>
      </w:r>
      <w:r w:rsidR="00472786" w:rsidRPr="00472786">
        <w:rPr>
          <w:rFonts w:ascii="Symbol" w:hAnsi="Symbol"/>
          <w:sz w:val="24"/>
          <w:szCs w:val="24"/>
          <w:lang w:val="en-US"/>
        </w:rPr>
        <w:t></w:t>
      </w:r>
      <w:r w:rsidR="004F635A">
        <w:rPr>
          <w:rFonts w:ascii="Symbol" w:hAnsi="Symbol"/>
          <w:sz w:val="24"/>
          <w:szCs w:val="24"/>
          <w:lang w:val="en-US"/>
        </w:rPr>
        <w:t></w:t>
      </w:r>
      <w:r w:rsidR="00E85DD2">
        <w:rPr>
          <w:sz w:val="24"/>
          <w:szCs w:val="24"/>
          <w:lang w:val="en-US"/>
        </w:rPr>
        <w:t xml:space="preserve"> </w:t>
      </w:r>
      <w:r w:rsidR="00870DAA">
        <w:rPr>
          <w:sz w:val="24"/>
          <w:szCs w:val="24"/>
          <w:lang w:val="en-US"/>
        </w:rPr>
        <w:t xml:space="preserve">so that </w:t>
      </w:r>
      <w:r w:rsidR="00472786" w:rsidRPr="00472786">
        <w:rPr>
          <w:rFonts w:ascii="Symbol" w:hAnsi="Symbol"/>
          <w:sz w:val="24"/>
          <w:szCs w:val="24"/>
          <w:lang w:val="en-US"/>
        </w:rPr>
        <w:t></w:t>
      </w:r>
      <w:r w:rsidR="006C53D6">
        <w:rPr>
          <w:sz w:val="24"/>
          <w:szCs w:val="24"/>
          <w:lang w:val="en-US"/>
        </w:rPr>
        <w:t xml:space="preserve"> </w:t>
      </w:r>
      <w:r w:rsidR="00E85DD2">
        <w:rPr>
          <w:sz w:val="24"/>
          <w:szCs w:val="24"/>
          <w:lang w:val="en-US"/>
        </w:rPr>
        <w:t>+</w:t>
      </w:r>
      <w:r w:rsidR="006C53D6">
        <w:rPr>
          <w:sz w:val="24"/>
          <w:szCs w:val="24"/>
          <w:lang w:val="en-US"/>
        </w:rPr>
        <w:t xml:space="preserve"> </w:t>
      </w:r>
      <w:r w:rsidR="00472786" w:rsidRPr="00472786">
        <w:rPr>
          <w:rFonts w:ascii="Symbol" w:hAnsi="Symbol"/>
          <w:sz w:val="24"/>
          <w:szCs w:val="24"/>
          <w:lang w:val="en-US"/>
        </w:rPr>
        <w:t></w:t>
      </w:r>
      <w:r w:rsidR="00E85DD2">
        <w:rPr>
          <w:sz w:val="24"/>
          <w:szCs w:val="24"/>
          <w:lang w:val="en-US"/>
        </w:rPr>
        <w:t xml:space="preserve"> and </w:t>
      </w:r>
      <w:r w:rsidR="00472786" w:rsidRPr="00472786">
        <w:rPr>
          <w:rFonts w:ascii="Symbol" w:hAnsi="Symbol"/>
          <w:sz w:val="24"/>
          <w:szCs w:val="24"/>
          <w:lang w:val="en-US"/>
        </w:rPr>
        <w:t></w:t>
      </w:r>
      <w:r w:rsidR="006C53D6">
        <w:rPr>
          <w:sz w:val="24"/>
          <w:szCs w:val="24"/>
          <w:lang w:val="en-US"/>
        </w:rPr>
        <w:t xml:space="preserve"> </w:t>
      </w:r>
      <w:r w:rsidR="00E85DD2">
        <w:rPr>
          <w:sz w:val="24"/>
          <w:szCs w:val="24"/>
          <w:lang w:val="en-US"/>
        </w:rPr>
        <w:t>+</w:t>
      </w:r>
      <w:r w:rsidR="006C53D6">
        <w:rPr>
          <w:sz w:val="24"/>
          <w:szCs w:val="24"/>
          <w:lang w:val="en-US"/>
        </w:rPr>
        <w:t xml:space="preserve"> </w:t>
      </w:r>
      <w:r w:rsidR="00472786" w:rsidRPr="00472786">
        <w:rPr>
          <w:rFonts w:ascii="Symbol" w:hAnsi="Symbol"/>
          <w:sz w:val="24"/>
          <w:szCs w:val="24"/>
          <w:lang w:val="en-US"/>
        </w:rPr>
        <w:t></w:t>
      </w:r>
      <w:r w:rsidR="00E85DD2">
        <w:rPr>
          <w:sz w:val="24"/>
          <w:szCs w:val="24"/>
          <w:lang w:val="en-US"/>
        </w:rPr>
        <w:t xml:space="preserve"> are always in </w:t>
      </w:r>
      <w:r w:rsidR="00D26C4C">
        <w:rPr>
          <w:sz w:val="24"/>
          <w:szCs w:val="24"/>
          <w:lang w:val="en-US"/>
        </w:rPr>
        <w:t xml:space="preserve">the interval </w:t>
      </w:r>
      <w:r w:rsidR="00E85DD2">
        <w:rPr>
          <w:sz w:val="24"/>
          <w:szCs w:val="24"/>
          <w:lang w:val="en-US"/>
        </w:rPr>
        <w:t xml:space="preserve">[0,1]. </w:t>
      </w:r>
      <w:r w:rsidR="00D26C4C">
        <w:rPr>
          <w:sz w:val="24"/>
          <w:szCs w:val="24"/>
          <w:lang w:val="en-US"/>
        </w:rPr>
        <w:t xml:space="preserve">The signs of </w:t>
      </w:r>
      <w:r w:rsidR="00472786" w:rsidRPr="00472786">
        <w:rPr>
          <w:rFonts w:ascii="Symbol" w:hAnsi="Symbol"/>
          <w:sz w:val="24"/>
          <w:szCs w:val="24"/>
          <w:lang w:val="en-US"/>
        </w:rPr>
        <w:t></w:t>
      </w:r>
      <w:r w:rsidR="00D26C4C">
        <w:rPr>
          <w:sz w:val="24"/>
          <w:szCs w:val="24"/>
          <w:lang w:val="en-US"/>
        </w:rPr>
        <w:t xml:space="preserve"> and </w:t>
      </w:r>
      <w:r w:rsidR="00472786" w:rsidRPr="00472786">
        <w:rPr>
          <w:rFonts w:ascii="Symbol" w:hAnsi="Symbol"/>
          <w:sz w:val="24"/>
          <w:szCs w:val="24"/>
          <w:lang w:val="en-US"/>
        </w:rPr>
        <w:t></w:t>
      </w:r>
      <w:r w:rsidR="00D26C4C">
        <w:rPr>
          <w:sz w:val="24"/>
          <w:szCs w:val="24"/>
          <w:lang w:val="en-US"/>
        </w:rPr>
        <w:t xml:space="preserve"> can be positive </w:t>
      </w:r>
      <w:r w:rsidR="00BB31AD">
        <w:rPr>
          <w:sz w:val="24"/>
          <w:szCs w:val="24"/>
          <w:lang w:val="en-US"/>
        </w:rPr>
        <w:t>or</w:t>
      </w:r>
      <w:r w:rsidR="00D26C4C">
        <w:rPr>
          <w:sz w:val="24"/>
          <w:szCs w:val="24"/>
          <w:lang w:val="en-US"/>
        </w:rPr>
        <w:t xml:space="preserve"> negative</w:t>
      </w:r>
      <w:r w:rsidR="00ED504B">
        <w:rPr>
          <w:sz w:val="24"/>
          <w:szCs w:val="24"/>
          <w:lang w:val="en-US"/>
        </w:rPr>
        <w:t xml:space="preserve"> (</w:t>
      </w:r>
      <w:r w:rsidR="004F635A">
        <w:rPr>
          <w:sz w:val="24"/>
          <w:szCs w:val="24"/>
          <w:lang w:val="en-US"/>
        </w:rPr>
        <w:t>F</w:t>
      </w:r>
      <w:r w:rsidR="00ED504B">
        <w:rPr>
          <w:sz w:val="24"/>
          <w:szCs w:val="24"/>
          <w:lang w:val="en-US"/>
        </w:rPr>
        <w:t>igure 3)</w:t>
      </w:r>
      <w:r w:rsidR="00831E1D">
        <w:rPr>
          <w:sz w:val="24"/>
          <w:szCs w:val="24"/>
          <w:lang w:val="en-US"/>
        </w:rPr>
        <w:t xml:space="preserve">, and the point </w:t>
      </w:r>
      <w:r w:rsidR="00831E1D" w:rsidRPr="00472786">
        <w:rPr>
          <w:rFonts w:ascii="Symbol" w:hAnsi="Symbol"/>
          <w:sz w:val="24"/>
          <w:szCs w:val="24"/>
          <w:lang w:val="en-US"/>
        </w:rPr>
        <w:t></w:t>
      </w:r>
      <w:r w:rsidR="00831E1D">
        <w:rPr>
          <w:rFonts w:ascii="Symbol" w:hAnsi="Symbol"/>
          <w:sz w:val="24"/>
          <w:szCs w:val="24"/>
          <w:lang w:val="en-US"/>
        </w:rPr>
        <w:t></w:t>
      </w:r>
      <w:r w:rsidR="00831E1D">
        <w:rPr>
          <w:rFonts w:ascii="Symbol" w:hAnsi="Symbol"/>
          <w:sz w:val="24"/>
          <w:szCs w:val="24"/>
          <w:lang w:val="en-US"/>
        </w:rPr>
        <w:t></w:t>
      </w:r>
      <w:r w:rsidR="00831E1D">
        <w:rPr>
          <w:sz w:val="24"/>
          <w:szCs w:val="24"/>
          <w:lang w:val="en-US"/>
        </w:rPr>
        <w:t xml:space="preserve"> and </w:t>
      </w:r>
      <w:r w:rsidR="00831E1D" w:rsidRPr="00472786">
        <w:rPr>
          <w:rFonts w:ascii="Symbol" w:hAnsi="Symbol"/>
          <w:sz w:val="24"/>
          <w:szCs w:val="24"/>
          <w:lang w:val="en-US"/>
        </w:rPr>
        <w:t></w:t>
      </w:r>
      <w:r w:rsidR="00831E1D">
        <w:rPr>
          <w:rFonts w:ascii="Symbol" w:hAnsi="Symbol"/>
          <w:sz w:val="24"/>
          <w:szCs w:val="24"/>
          <w:lang w:val="en-US"/>
        </w:rPr>
        <w:t></w:t>
      </w:r>
      <w:r w:rsidR="00831E1D">
        <w:rPr>
          <w:rFonts w:ascii="Symbol" w:hAnsi="Symbol"/>
          <w:sz w:val="24"/>
          <w:szCs w:val="24"/>
          <w:lang w:val="en-US"/>
        </w:rPr>
        <w:t></w:t>
      </w:r>
      <w:r w:rsidR="00831E1D">
        <w:rPr>
          <w:sz w:val="24"/>
          <w:szCs w:val="24"/>
          <w:lang w:val="en-US"/>
        </w:rPr>
        <w:t xml:space="preserve"> is in the middle of the range of </w:t>
      </w:r>
      <w:r w:rsidR="00831E1D" w:rsidRPr="00472786">
        <w:rPr>
          <w:rFonts w:ascii="Symbol" w:hAnsi="Symbol"/>
          <w:sz w:val="24"/>
          <w:szCs w:val="24"/>
          <w:lang w:val="en-US"/>
        </w:rPr>
        <w:t></w:t>
      </w:r>
      <w:r w:rsidR="005E5204">
        <w:rPr>
          <w:sz w:val="24"/>
          <w:szCs w:val="24"/>
          <w:lang w:val="en-US"/>
        </w:rPr>
        <w:t>s</w:t>
      </w:r>
      <w:r w:rsidR="00831E1D">
        <w:rPr>
          <w:sz w:val="24"/>
          <w:szCs w:val="24"/>
          <w:lang w:val="en-US"/>
        </w:rPr>
        <w:t xml:space="preserve"> and </w:t>
      </w:r>
      <w:r w:rsidR="00831E1D" w:rsidRPr="00472786">
        <w:rPr>
          <w:rFonts w:ascii="Symbol" w:hAnsi="Symbol"/>
          <w:sz w:val="24"/>
          <w:szCs w:val="24"/>
          <w:lang w:val="en-US"/>
        </w:rPr>
        <w:t></w:t>
      </w:r>
      <w:r w:rsidR="005E5204">
        <w:rPr>
          <w:sz w:val="24"/>
          <w:szCs w:val="24"/>
          <w:lang w:val="en-US"/>
        </w:rPr>
        <w:t>s</w:t>
      </w:r>
      <w:r w:rsidR="00831E1D">
        <w:rPr>
          <w:sz w:val="24"/>
          <w:szCs w:val="24"/>
          <w:lang w:val="en-US"/>
        </w:rPr>
        <w:t xml:space="preserve"> (</w:t>
      </w:r>
      <w:r w:rsidR="008E31D9">
        <w:rPr>
          <w:sz w:val="24"/>
          <w:szCs w:val="24"/>
          <w:lang w:val="en-US"/>
        </w:rPr>
        <w:t xml:space="preserve">which </w:t>
      </w:r>
      <w:r w:rsidR="00831E1D">
        <w:rPr>
          <w:sz w:val="24"/>
          <w:szCs w:val="24"/>
          <w:lang w:val="en-US"/>
        </w:rPr>
        <w:t xml:space="preserve">confirms that </w:t>
      </w:r>
      <w:r w:rsidR="00831E1D" w:rsidRPr="008E31D9">
        <w:rPr>
          <w:sz w:val="24"/>
          <w:szCs w:val="24"/>
          <w:lang w:val="en-US"/>
        </w:rPr>
        <w:t xml:space="preserve">the </w:t>
      </w:r>
      <w:r w:rsidR="0042097E" w:rsidRPr="008E31D9">
        <w:rPr>
          <w:sz w:val="24"/>
          <w:szCs w:val="24"/>
          <w:lang w:val="en-US"/>
        </w:rPr>
        <w:t xml:space="preserve">CF is </w:t>
      </w:r>
      <w:r w:rsidR="00313038" w:rsidRPr="008E31D9">
        <w:rPr>
          <w:sz w:val="24"/>
          <w:szCs w:val="24"/>
          <w:lang w:val="en-US"/>
        </w:rPr>
        <w:t xml:space="preserve">like </w:t>
      </w:r>
      <w:r w:rsidR="0042097E" w:rsidRPr="008E31D9">
        <w:rPr>
          <w:sz w:val="24"/>
          <w:szCs w:val="24"/>
          <w:lang w:val="en-US"/>
        </w:rPr>
        <w:t xml:space="preserve">a </w:t>
      </w:r>
      <w:r w:rsidR="004F635A">
        <w:rPr>
          <w:sz w:val="24"/>
          <w:szCs w:val="24"/>
          <w:lang w:val="en-US"/>
        </w:rPr>
        <w:t xml:space="preserve">base </w:t>
      </w:r>
      <w:r w:rsidR="0074607E">
        <w:rPr>
          <w:sz w:val="24"/>
          <w:szCs w:val="24"/>
          <w:lang w:val="en-US"/>
        </w:rPr>
        <w:t>distribution,</w:t>
      </w:r>
      <w:r w:rsidR="004F635A">
        <w:rPr>
          <w:sz w:val="24"/>
          <w:szCs w:val="24"/>
          <w:lang w:val="en-US"/>
        </w:rPr>
        <w:t xml:space="preserve"> which </w:t>
      </w:r>
      <w:r w:rsidR="00F67915">
        <w:rPr>
          <w:sz w:val="24"/>
          <w:szCs w:val="24"/>
          <w:lang w:val="en-US"/>
        </w:rPr>
        <w:t>tax and transfer</w:t>
      </w:r>
      <w:r w:rsidR="0074607E">
        <w:rPr>
          <w:sz w:val="24"/>
          <w:szCs w:val="24"/>
          <w:lang w:val="en-US"/>
        </w:rPr>
        <w:t xml:space="preserve"> policies</w:t>
      </w:r>
      <w:r w:rsidR="00313038" w:rsidRPr="008E31D9">
        <w:rPr>
          <w:sz w:val="24"/>
          <w:szCs w:val="24"/>
          <w:lang w:val="en-US"/>
        </w:rPr>
        <w:t xml:space="preserve">, and </w:t>
      </w:r>
      <w:r w:rsidR="008E31D9">
        <w:rPr>
          <w:sz w:val="24"/>
          <w:szCs w:val="24"/>
          <w:lang w:val="en-US"/>
        </w:rPr>
        <w:t xml:space="preserve">the </w:t>
      </w:r>
      <w:r w:rsidR="00313038" w:rsidRPr="008E31D9">
        <w:rPr>
          <w:sz w:val="24"/>
          <w:szCs w:val="24"/>
          <w:lang w:val="en-US"/>
        </w:rPr>
        <w:t xml:space="preserve">relations of power </w:t>
      </w:r>
      <w:r w:rsidR="0074607E">
        <w:rPr>
          <w:sz w:val="24"/>
          <w:szCs w:val="24"/>
          <w:lang w:val="en-US"/>
        </w:rPr>
        <w:t xml:space="preserve">at different levels of the </w:t>
      </w:r>
      <w:r w:rsidR="004F635A">
        <w:rPr>
          <w:sz w:val="24"/>
          <w:szCs w:val="24"/>
          <w:lang w:val="en-US"/>
        </w:rPr>
        <w:t xml:space="preserve">income </w:t>
      </w:r>
      <w:r w:rsidR="0074607E">
        <w:rPr>
          <w:sz w:val="24"/>
          <w:szCs w:val="24"/>
          <w:lang w:val="en-US"/>
        </w:rPr>
        <w:t xml:space="preserve">distribution, </w:t>
      </w:r>
      <w:r w:rsidR="00313038" w:rsidRPr="008E31D9">
        <w:rPr>
          <w:sz w:val="24"/>
          <w:szCs w:val="24"/>
          <w:lang w:val="en-US"/>
        </w:rPr>
        <w:t xml:space="preserve">can </w:t>
      </w:r>
      <w:r w:rsidR="004F635A">
        <w:rPr>
          <w:sz w:val="24"/>
          <w:szCs w:val="24"/>
          <w:lang w:val="en-US"/>
        </w:rPr>
        <w:t xml:space="preserve">curve </w:t>
      </w:r>
      <w:r w:rsidR="00313038" w:rsidRPr="008E31D9">
        <w:rPr>
          <w:sz w:val="24"/>
          <w:szCs w:val="24"/>
          <w:lang w:val="en-US"/>
        </w:rPr>
        <w:t xml:space="preserve">in </w:t>
      </w:r>
      <w:r w:rsidR="004F635A">
        <w:rPr>
          <w:sz w:val="24"/>
          <w:szCs w:val="24"/>
          <w:lang w:val="en-US"/>
        </w:rPr>
        <w:t>different ways</w:t>
      </w:r>
      <w:r w:rsidR="00831E1D">
        <w:rPr>
          <w:sz w:val="24"/>
          <w:szCs w:val="24"/>
          <w:lang w:val="en-US"/>
        </w:rPr>
        <w:t>).</w:t>
      </w:r>
      <w:r w:rsidR="00D26C4C">
        <w:rPr>
          <w:sz w:val="24"/>
          <w:szCs w:val="24"/>
          <w:lang w:val="en-US"/>
        </w:rPr>
        <w:t xml:space="preserve"> </w:t>
      </w:r>
      <w:r w:rsidR="00700A5D">
        <w:rPr>
          <w:sz w:val="24"/>
          <w:szCs w:val="24"/>
          <w:lang w:val="en-US"/>
        </w:rPr>
        <w:t>A</w:t>
      </w:r>
      <w:r w:rsidR="00831E1D">
        <w:rPr>
          <w:sz w:val="24"/>
          <w:szCs w:val="24"/>
          <w:lang w:val="en-US"/>
        </w:rPr>
        <w:t xml:space="preserve"> simple empirical </w:t>
      </w:r>
      <w:r w:rsidR="00D26C4C">
        <w:rPr>
          <w:sz w:val="24"/>
          <w:szCs w:val="24"/>
          <w:lang w:val="en-US"/>
        </w:rPr>
        <w:t xml:space="preserve">typology </w:t>
      </w:r>
      <w:r w:rsidR="00831E1D">
        <w:rPr>
          <w:sz w:val="24"/>
          <w:szCs w:val="24"/>
          <w:lang w:val="en-US"/>
        </w:rPr>
        <w:t xml:space="preserve">based on the signs of </w:t>
      </w:r>
      <w:r w:rsidR="00831E1D" w:rsidRPr="00472786">
        <w:rPr>
          <w:rFonts w:ascii="Symbol" w:hAnsi="Symbol"/>
          <w:sz w:val="24"/>
          <w:szCs w:val="24"/>
          <w:lang w:val="en-US"/>
        </w:rPr>
        <w:t></w:t>
      </w:r>
      <w:r w:rsidR="00831E1D">
        <w:rPr>
          <w:sz w:val="24"/>
          <w:szCs w:val="24"/>
          <w:lang w:val="en-US"/>
        </w:rPr>
        <w:t xml:space="preserve"> and </w:t>
      </w:r>
      <w:r w:rsidR="00831E1D" w:rsidRPr="00472786">
        <w:rPr>
          <w:rFonts w:ascii="Symbol" w:hAnsi="Symbol"/>
          <w:sz w:val="24"/>
          <w:szCs w:val="24"/>
          <w:lang w:val="en-US"/>
        </w:rPr>
        <w:t></w:t>
      </w:r>
      <w:r w:rsidR="00831E1D">
        <w:rPr>
          <w:sz w:val="24"/>
          <w:szCs w:val="24"/>
          <w:lang w:val="en-US"/>
        </w:rPr>
        <w:t xml:space="preserve"> </w:t>
      </w:r>
      <w:r w:rsidR="00700A5D">
        <w:rPr>
          <w:sz w:val="24"/>
          <w:szCs w:val="24"/>
          <w:lang w:val="en-US"/>
        </w:rPr>
        <w:t xml:space="preserve">is </w:t>
      </w:r>
      <w:r w:rsidR="004F635A">
        <w:rPr>
          <w:sz w:val="24"/>
          <w:szCs w:val="24"/>
          <w:lang w:val="en-US"/>
        </w:rPr>
        <w:t>set out in T</w:t>
      </w:r>
      <w:r w:rsidR="00700A5D">
        <w:rPr>
          <w:sz w:val="24"/>
          <w:szCs w:val="24"/>
          <w:lang w:val="en-US"/>
        </w:rPr>
        <w:t xml:space="preserve">able </w:t>
      </w:r>
      <w:r w:rsidR="00AB0CFB">
        <w:rPr>
          <w:sz w:val="24"/>
          <w:szCs w:val="24"/>
          <w:lang w:val="en-US"/>
        </w:rPr>
        <w:t>3</w:t>
      </w:r>
      <w:r w:rsidR="00D26C4C">
        <w:rPr>
          <w:sz w:val="24"/>
          <w:szCs w:val="24"/>
          <w:lang w:val="en-US"/>
        </w:rPr>
        <w:t xml:space="preserve">. </w:t>
      </w:r>
    </w:p>
    <w:p w:rsidR="00B03642" w:rsidRPr="00AB0CFB" w:rsidRDefault="00B03642" w:rsidP="00B03642">
      <w:pPr>
        <w:rPr>
          <w:sz w:val="22"/>
          <w:szCs w:val="24"/>
          <w:lang w:val="en-GB"/>
        </w:rPr>
      </w:pPr>
    </w:p>
    <w:p w:rsidR="00222589" w:rsidRPr="00ED504B" w:rsidRDefault="00B03642" w:rsidP="00222589">
      <w:pPr>
        <w:spacing w:after="120" w:line="480" w:lineRule="auto"/>
        <w:rPr>
          <w:b/>
          <w:sz w:val="24"/>
          <w:szCs w:val="24"/>
          <w:lang w:val="en-US"/>
        </w:rPr>
      </w:pPr>
      <w:r>
        <w:rPr>
          <w:b/>
          <w:sz w:val="24"/>
          <w:szCs w:val="24"/>
          <w:lang w:val="en-US"/>
        </w:rPr>
        <w:t>PLACE FIGURE 3 HERE</w:t>
      </w:r>
    </w:p>
    <w:p w:rsidR="00B542BD" w:rsidRDefault="00B542BD" w:rsidP="00B542BD">
      <w:pPr>
        <w:spacing w:after="120" w:line="480" w:lineRule="auto"/>
        <w:rPr>
          <w:b/>
          <w:sz w:val="24"/>
          <w:szCs w:val="24"/>
          <w:lang w:val="en-US"/>
        </w:rPr>
      </w:pPr>
      <w:r>
        <w:rPr>
          <w:b/>
          <w:sz w:val="24"/>
          <w:szCs w:val="24"/>
          <w:lang w:val="en-US"/>
        </w:rPr>
        <w:t xml:space="preserve">PLACE TABLE </w:t>
      </w:r>
      <w:r w:rsidR="00AB0CFB">
        <w:rPr>
          <w:b/>
          <w:sz w:val="24"/>
          <w:szCs w:val="24"/>
          <w:lang w:val="en-US"/>
        </w:rPr>
        <w:t>3</w:t>
      </w:r>
      <w:r>
        <w:rPr>
          <w:b/>
          <w:sz w:val="24"/>
          <w:szCs w:val="24"/>
          <w:lang w:val="en-US"/>
        </w:rPr>
        <w:t xml:space="preserve"> HERE</w:t>
      </w:r>
    </w:p>
    <w:p w:rsidR="00B542BD" w:rsidRDefault="00B542BD" w:rsidP="007A2D1C">
      <w:pPr>
        <w:spacing w:after="120" w:line="480" w:lineRule="auto"/>
        <w:rPr>
          <w:sz w:val="24"/>
          <w:szCs w:val="24"/>
          <w:lang w:val="en-GB"/>
        </w:rPr>
      </w:pPr>
    </w:p>
    <w:p w:rsidR="007A2D1C" w:rsidRDefault="004F635A" w:rsidP="007A2D1C">
      <w:pPr>
        <w:spacing w:after="120" w:line="480" w:lineRule="auto"/>
        <w:rPr>
          <w:sz w:val="24"/>
          <w:szCs w:val="24"/>
          <w:lang w:val="en-GB"/>
        </w:rPr>
      </w:pPr>
      <w:r>
        <w:rPr>
          <w:sz w:val="24"/>
          <w:szCs w:val="24"/>
          <w:lang w:val="en-GB"/>
        </w:rPr>
        <w:t xml:space="preserve">We can compare the </w:t>
      </w:r>
      <w:r w:rsidR="00580992">
        <w:rPr>
          <w:sz w:val="24"/>
          <w:szCs w:val="24"/>
          <w:lang w:val="en-GB"/>
        </w:rPr>
        <w:t xml:space="preserve">three </w:t>
      </w:r>
      <w:r w:rsidR="009C646A">
        <w:rPr>
          <w:sz w:val="24"/>
          <w:szCs w:val="24"/>
          <w:lang w:val="en-GB"/>
        </w:rPr>
        <w:t xml:space="preserve">ABG </w:t>
      </w:r>
      <w:r w:rsidR="00580992">
        <w:rPr>
          <w:sz w:val="24"/>
          <w:szCs w:val="24"/>
          <w:lang w:val="en-GB"/>
        </w:rPr>
        <w:t>ind</w:t>
      </w:r>
      <w:r>
        <w:rPr>
          <w:sz w:val="24"/>
          <w:szCs w:val="24"/>
          <w:lang w:val="en-GB"/>
        </w:rPr>
        <w:t>ic</w:t>
      </w:r>
      <w:r w:rsidR="00580992">
        <w:rPr>
          <w:sz w:val="24"/>
          <w:szCs w:val="24"/>
          <w:lang w:val="en-GB"/>
        </w:rPr>
        <w:t xml:space="preserve">es </w:t>
      </w:r>
      <w:r w:rsidR="001257CD">
        <w:rPr>
          <w:sz w:val="24"/>
          <w:szCs w:val="24"/>
          <w:lang w:val="en-GB"/>
        </w:rPr>
        <w:t xml:space="preserve">to </w:t>
      </w:r>
      <w:r w:rsidR="00912BEA">
        <w:rPr>
          <w:sz w:val="24"/>
          <w:szCs w:val="24"/>
          <w:lang w:val="en-US"/>
        </w:rPr>
        <w:t>other</w:t>
      </w:r>
      <w:r w:rsidR="00B44B19">
        <w:rPr>
          <w:sz w:val="24"/>
          <w:szCs w:val="24"/>
          <w:lang w:val="en-US"/>
        </w:rPr>
        <w:t xml:space="preserve"> standardized </w:t>
      </w:r>
      <w:r w:rsidRPr="004F635A">
        <w:rPr>
          <w:sz w:val="24"/>
          <w:szCs w:val="24"/>
          <w:lang w:val="en-US"/>
        </w:rPr>
        <w:t xml:space="preserve">inequality </w:t>
      </w:r>
      <w:r w:rsidR="00B44B19">
        <w:rPr>
          <w:sz w:val="24"/>
          <w:szCs w:val="24"/>
          <w:lang w:val="en-US"/>
        </w:rPr>
        <w:t xml:space="preserve">measures </w:t>
      </w:r>
      <w:r w:rsidR="00912BEA">
        <w:rPr>
          <w:sz w:val="24"/>
          <w:szCs w:val="24"/>
          <w:lang w:val="en-US"/>
        </w:rPr>
        <w:t xml:space="preserve">(Jenkins, </w:t>
      </w:r>
      <w:r w:rsidR="00912BEA" w:rsidRPr="004D78DF">
        <w:rPr>
          <w:sz w:val="24"/>
          <w:szCs w:val="24"/>
          <w:lang w:val="en-US"/>
        </w:rPr>
        <w:t>1999/2010</w:t>
      </w:r>
      <w:r w:rsidR="008C78BB">
        <w:rPr>
          <w:sz w:val="24"/>
          <w:szCs w:val="24"/>
          <w:lang w:val="en-US"/>
        </w:rPr>
        <w:t xml:space="preserve">, </w:t>
      </w:r>
      <w:r w:rsidR="00912BEA">
        <w:rPr>
          <w:sz w:val="24"/>
          <w:szCs w:val="24"/>
          <w:lang w:val="en-US"/>
        </w:rPr>
        <w:t>Abdelkrim and Duclos, 2013). These</w:t>
      </w:r>
      <w:r w:rsidR="00126B88">
        <w:rPr>
          <w:sz w:val="24"/>
          <w:szCs w:val="24"/>
          <w:lang w:val="en-US"/>
        </w:rPr>
        <w:t xml:space="preserve"> selected</w:t>
      </w:r>
      <w:r w:rsidR="00912BEA">
        <w:rPr>
          <w:sz w:val="24"/>
          <w:szCs w:val="24"/>
          <w:lang w:val="en-US"/>
        </w:rPr>
        <w:t xml:space="preserve"> indicators are </w:t>
      </w:r>
      <w:r w:rsidR="00126B88">
        <w:rPr>
          <w:sz w:val="24"/>
          <w:szCs w:val="24"/>
          <w:lang w:val="en-US"/>
        </w:rPr>
        <w:t xml:space="preserve">well-known </w:t>
      </w:r>
      <w:r w:rsidR="00912BEA">
        <w:rPr>
          <w:sz w:val="24"/>
          <w:szCs w:val="24"/>
          <w:lang w:val="en-US"/>
        </w:rPr>
        <w:t xml:space="preserve">or based on </w:t>
      </w:r>
      <w:r w:rsidR="00D91D6F">
        <w:rPr>
          <w:sz w:val="24"/>
          <w:szCs w:val="24"/>
          <w:lang w:val="en-US"/>
        </w:rPr>
        <w:t xml:space="preserve">simple </w:t>
      </w:r>
      <w:r w:rsidR="00912BEA">
        <w:rPr>
          <w:sz w:val="24"/>
          <w:szCs w:val="24"/>
          <w:lang w:val="en-US"/>
        </w:rPr>
        <w:t>income ratios</w:t>
      </w:r>
      <w:r>
        <w:rPr>
          <w:sz w:val="24"/>
          <w:szCs w:val="24"/>
          <w:lang w:val="en-US"/>
        </w:rPr>
        <w:t xml:space="preserve">. We consider </w:t>
      </w:r>
      <w:r w:rsidRPr="004F635A">
        <w:rPr>
          <w:sz w:val="24"/>
          <w:szCs w:val="24"/>
          <w:lang w:val="en-US"/>
        </w:rPr>
        <w:t xml:space="preserve">added ISO </w:t>
      </w:r>
      <w:r w:rsidR="00912BEA">
        <w:rPr>
          <w:sz w:val="24"/>
          <w:szCs w:val="24"/>
          <w:lang w:val="en-US"/>
        </w:rPr>
        <w:t>indicators</w:t>
      </w:r>
      <w:r>
        <w:rPr>
          <w:sz w:val="24"/>
          <w:szCs w:val="24"/>
          <w:lang w:val="en-US"/>
        </w:rPr>
        <w:t xml:space="preserve"> </w:t>
      </w:r>
      <w:r w:rsidR="00912BEA">
        <w:rPr>
          <w:sz w:val="24"/>
          <w:szCs w:val="24"/>
          <w:lang w:val="en-US"/>
        </w:rPr>
        <w:t xml:space="preserve">at </w:t>
      </w:r>
      <w:r w:rsidR="00126B88">
        <w:rPr>
          <w:sz w:val="24"/>
          <w:szCs w:val="24"/>
          <w:lang w:val="en-US"/>
        </w:rPr>
        <w:t>five different</w:t>
      </w:r>
      <w:r w:rsidR="00D91D6F">
        <w:rPr>
          <w:sz w:val="24"/>
          <w:szCs w:val="24"/>
          <w:lang w:val="en-US"/>
        </w:rPr>
        <w:t xml:space="preserve"> </w:t>
      </w:r>
      <w:r w:rsidR="00912BEA">
        <w:rPr>
          <w:sz w:val="24"/>
          <w:szCs w:val="24"/>
          <w:lang w:val="en-US"/>
        </w:rPr>
        <w:t xml:space="preserve">levels. </w:t>
      </w:r>
      <w:r w:rsidR="008E31D9">
        <w:rPr>
          <w:sz w:val="24"/>
          <w:szCs w:val="24"/>
          <w:lang w:val="en-US"/>
        </w:rPr>
        <w:t>In addition</w:t>
      </w:r>
      <w:r w:rsidR="00912BEA">
        <w:rPr>
          <w:sz w:val="24"/>
          <w:szCs w:val="24"/>
          <w:lang w:val="en-US"/>
        </w:rPr>
        <w:t>, the size (</w:t>
      </w:r>
      <w:r>
        <w:rPr>
          <w:sz w:val="24"/>
          <w:szCs w:val="24"/>
          <w:lang w:val="en-US"/>
        </w:rPr>
        <w:t xml:space="preserve">as a </w:t>
      </w:r>
      <w:r w:rsidR="00912BEA">
        <w:rPr>
          <w:sz w:val="24"/>
          <w:szCs w:val="24"/>
          <w:lang w:val="en-US"/>
        </w:rPr>
        <w:t>proportion in the total population) of five income classes</w:t>
      </w:r>
      <w:r w:rsidR="008E31D9">
        <w:rPr>
          <w:sz w:val="24"/>
          <w:szCs w:val="24"/>
          <w:lang w:val="en-US"/>
        </w:rPr>
        <w:t xml:space="preserve"> are included</w:t>
      </w:r>
      <w:r w:rsidR="00912BEA">
        <w:rPr>
          <w:sz w:val="24"/>
          <w:szCs w:val="24"/>
          <w:lang w:val="en-US"/>
        </w:rPr>
        <w:t>: the poor (</w:t>
      </w:r>
      <w:r w:rsidR="00912BEA" w:rsidRPr="001005B8">
        <w:rPr>
          <w:sz w:val="24"/>
          <w:szCs w:val="24"/>
          <w:lang w:val="en-US"/>
        </w:rPr>
        <w:t>po</w:t>
      </w:r>
      <w:r w:rsidR="00912BEA">
        <w:rPr>
          <w:sz w:val="24"/>
          <w:szCs w:val="24"/>
          <w:lang w:val="en-US"/>
        </w:rPr>
        <w:t>)</w:t>
      </w:r>
      <w:r w:rsidR="00912BEA" w:rsidRPr="001005B8">
        <w:rPr>
          <w:sz w:val="24"/>
          <w:szCs w:val="24"/>
          <w:lang w:val="en-US"/>
        </w:rPr>
        <w:t xml:space="preserve">, </w:t>
      </w:r>
      <w:r w:rsidR="00912BEA">
        <w:rPr>
          <w:sz w:val="24"/>
          <w:szCs w:val="24"/>
          <w:lang w:val="en-US"/>
        </w:rPr>
        <w:t>lower middle class (</w:t>
      </w:r>
      <w:r w:rsidR="00912BEA" w:rsidRPr="001005B8">
        <w:rPr>
          <w:sz w:val="24"/>
          <w:szCs w:val="24"/>
          <w:lang w:val="en-US"/>
        </w:rPr>
        <w:t>mcl</w:t>
      </w:r>
      <w:r w:rsidR="00912BEA">
        <w:rPr>
          <w:sz w:val="24"/>
          <w:szCs w:val="24"/>
          <w:lang w:val="en-US"/>
        </w:rPr>
        <w:t>)</w:t>
      </w:r>
      <w:r w:rsidR="00912BEA" w:rsidRPr="001005B8">
        <w:rPr>
          <w:sz w:val="24"/>
          <w:szCs w:val="24"/>
          <w:lang w:val="en-US"/>
        </w:rPr>
        <w:t xml:space="preserve">, </w:t>
      </w:r>
      <w:r w:rsidR="00912BEA">
        <w:rPr>
          <w:sz w:val="24"/>
          <w:szCs w:val="24"/>
          <w:lang w:val="en-US"/>
        </w:rPr>
        <w:t>middle class (</w:t>
      </w:r>
      <w:r w:rsidR="00912BEA" w:rsidRPr="001005B8">
        <w:rPr>
          <w:sz w:val="24"/>
          <w:szCs w:val="24"/>
          <w:lang w:val="en-US"/>
        </w:rPr>
        <w:t>mc</w:t>
      </w:r>
      <w:r w:rsidR="00912BEA">
        <w:rPr>
          <w:sz w:val="24"/>
          <w:szCs w:val="24"/>
          <w:lang w:val="en-US"/>
        </w:rPr>
        <w:t>)</w:t>
      </w:r>
      <w:r w:rsidR="00912BEA" w:rsidRPr="001005B8">
        <w:rPr>
          <w:sz w:val="24"/>
          <w:szCs w:val="24"/>
          <w:lang w:val="en-US"/>
        </w:rPr>
        <w:t xml:space="preserve">, </w:t>
      </w:r>
      <w:r w:rsidR="00912BEA">
        <w:rPr>
          <w:sz w:val="24"/>
          <w:szCs w:val="24"/>
          <w:lang w:val="en-US"/>
        </w:rPr>
        <w:t>upper middle class (</w:t>
      </w:r>
      <w:r w:rsidR="00912BEA" w:rsidRPr="001005B8">
        <w:rPr>
          <w:sz w:val="24"/>
          <w:szCs w:val="24"/>
          <w:lang w:val="en-US"/>
        </w:rPr>
        <w:t>mcu</w:t>
      </w:r>
      <w:r w:rsidR="00912BEA">
        <w:rPr>
          <w:sz w:val="24"/>
          <w:szCs w:val="24"/>
          <w:lang w:val="en-US"/>
        </w:rPr>
        <w:t>)</w:t>
      </w:r>
      <w:r w:rsidR="00912BEA" w:rsidRPr="001005B8">
        <w:rPr>
          <w:sz w:val="24"/>
          <w:szCs w:val="24"/>
          <w:lang w:val="en-US"/>
        </w:rPr>
        <w:t>,</w:t>
      </w:r>
      <w:r w:rsidR="00912BEA">
        <w:rPr>
          <w:sz w:val="24"/>
          <w:szCs w:val="24"/>
          <w:lang w:val="en-US"/>
        </w:rPr>
        <w:t xml:space="preserve"> and the rich</w:t>
      </w:r>
      <w:r w:rsidR="00912BEA" w:rsidRPr="001005B8">
        <w:rPr>
          <w:sz w:val="24"/>
          <w:szCs w:val="24"/>
          <w:lang w:val="en-US"/>
        </w:rPr>
        <w:t xml:space="preserve"> </w:t>
      </w:r>
      <w:r w:rsidR="00912BEA">
        <w:rPr>
          <w:sz w:val="24"/>
          <w:szCs w:val="24"/>
          <w:lang w:val="en-US"/>
        </w:rPr>
        <w:t>(</w:t>
      </w:r>
      <w:r w:rsidR="00912BEA" w:rsidRPr="001005B8">
        <w:rPr>
          <w:sz w:val="24"/>
          <w:szCs w:val="24"/>
          <w:lang w:val="en-US"/>
        </w:rPr>
        <w:t>ri</w:t>
      </w:r>
      <w:r w:rsidR="00912BEA">
        <w:rPr>
          <w:sz w:val="24"/>
          <w:szCs w:val="24"/>
          <w:lang w:val="en-US"/>
        </w:rPr>
        <w:t>)</w:t>
      </w:r>
      <w:r w:rsidR="00B542BD">
        <w:rPr>
          <w:sz w:val="24"/>
          <w:szCs w:val="24"/>
          <w:lang w:val="en-US"/>
        </w:rPr>
        <w:t>.</w:t>
      </w:r>
      <w:r w:rsidR="00912BEA">
        <w:rPr>
          <w:sz w:val="24"/>
          <w:szCs w:val="24"/>
          <w:lang w:val="en-US"/>
        </w:rPr>
        <w:t xml:space="preserve"> </w:t>
      </w:r>
      <w:r w:rsidR="00612450">
        <w:rPr>
          <w:sz w:val="24"/>
          <w:szCs w:val="24"/>
          <w:lang w:val="en-GB"/>
        </w:rPr>
        <w:t xml:space="preserve">Overall, </w:t>
      </w:r>
      <w:r w:rsidR="00F67915">
        <w:rPr>
          <w:sz w:val="24"/>
          <w:szCs w:val="24"/>
          <w:lang w:val="en-GB"/>
        </w:rPr>
        <w:t xml:space="preserve">our analysis </w:t>
      </w:r>
      <w:r>
        <w:rPr>
          <w:sz w:val="24"/>
          <w:szCs w:val="24"/>
          <w:lang w:val="en-GB"/>
        </w:rPr>
        <w:t xml:space="preserve">covers a set </w:t>
      </w:r>
      <w:r w:rsidR="00580992">
        <w:rPr>
          <w:sz w:val="24"/>
          <w:szCs w:val="24"/>
          <w:lang w:val="en-GB"/>
        </w:rPr>
        <w:t xml:space="preserve">of </w:t>
      </w:r>
      <w:r w:rsidR="00700A5D">
        <w:rPr>
          <w:sz w:val="24"/>
          <w:szCs w:val="24"/>
          <w:lang w:val="en-GB"/>
        </w:rPr>
        <w:t xml:space="preserve">30 variables and </w:t>
      </w:r>
      <w:r w:rsidR="005423EC">
        <w:rPr>
          <w:sz w:val="24"/>
          <w:szCs w:val="24"/>
          <w:lang w:val="en-GB"/>
        </w:rPr>
        <w:t>232</w:t>
      </w:r>
      <w:r w:rsidR="00580992">
        <w:rPr>
          <w:sz w:val="24"/>
          <w:szCs w:val="24"/>
          <w:lang w:val="en-GB"/>
        </w:rPr>
        <w:t xml:space="preserve"> </w:t>
      </w:r>
      <w:r>
        <w:rPr>
          <w:sz w:val="24"/>
          <w:szCs w:val="24"/>
          <w:lang w:val="en-GB"/>
        </w:rPr>
        <w:t xml:space="preserve">data </w:t>
      </w:r>
      <w:r w:rsidR="00580992">
        <w:rPr>
          <w:sz w:val="24"/>
          <w:szCs w:val="24"/>
          <w:lang w:val="en-GB"/>
        </w:rPr>
        <w:t xml:space="preserve">samples </w:t>
      </w:r>
      <w:r w:rsidR="00700A5D">
        <w:rPr>
          <w:sz w:val="24"/>
          <w:szCs w:val="24"/>
          <w:lang w:val="en-GB"/>
        </w:rPr>
        <w:t>(</w:t>
      </w:r>
      <w:r w:rsidR="00DE578D">
        <w:rPr>
          <w:sz w:val="24"/>
          <w:szCs w:val="24"/>
          <w:lang w:val="en-GB"/>
        </w:rPr>
        <w:t>Appendix</w:t>
      </w:r>
      <w:r w:rsidR="004A3C60">
        <w:rPr>
          <w:sz w:val="24"/>
          <w:szCs w:val="24"/>
          <w:lang w:val="en-GB"/>
        </w:rPr>
        <w:t xml:space="preserve"> </w:t>
      </w:r>
      <w:r w:rsidR="00700A5D">
        <w:rPr>
          <w:sz w:val="24"/>
          <w:szCs w:val="24"/>
          <w:lang w:val="en-US"/>
        </w:rPr>
        <w:t>2</w:t>
      </w:r>
      <w:r w:rsidR="00700A5D">
        <w:rPr>
          <w:sz w:val="24"/>
          <w:szCs w:val="24"/>
          <w:lang w:val="en-GB"/>
        </w:rPr>
        <w:t>)</w:t>
      </w:r>
      <w:r>
        <w:rPr>
          <w:sz w:val="24"/>
          <w:szCs w:val="24"/>
          <w:lang w:val="en-GB"/>
        </w:rPr>
        <w:t>.</w:t>
      </w:r>
      <w:r w:rsidR="00B542BD">
        <w:rPr>
          <w:sz w:val="24"/>
          <w:szCs w:val="24"/>
          <w:lang w:val="en-GB"/>
        </w:rPr>
        <w:t xml:space="preserve"> </w:t>
      </w:r>
    </w:p>
    <w:p w:rsidR="007A2D1C" w:rsidRDefault="003E04AE" w:rsidP="00B542BD">
      <w:pPr>
        <w:numPr>
          <w:ilvl w:val="0"/>
          <w:numId w:val="4"/>
        </w:numPr>
        <w:rPr>
          <w:sz w:val="24"/>
          <w:szCs w:val="24"/>
          <w:lang w:val="en-US"/>
        </w:rPr>
      </w:pPr>
      <w:r w:rsidRPr="00FA44A0">
        <w:rPr>
          <w:b/>
          <w:sz w:val="24"/>
          <w:szCs w:val="24"/>
          <w:lang w:val="en-US"/>
        </w:rPr>
        <w:t xml:space="preserve">ABG class: </w:t>
      </w:r>
      <w:r w:rsidR="00B44B19" w:rsidRPr="00FA44A0">
        <w:rPr>
          <w:b/>
          <w:sz w:val="24"/>
          <w:szCs w:val="24"/>
          <w:lang w:val="en-US"/>
        </w:rPr>
        <w:br/>
      </w:r>
      <w:r w:rsidR="00472786" w:rsidRPr="00472786">
        <w:rPr>
          <w:rFonts w:ascii="Symbol" w:hAnsi="Symbol"/>
          <w:sz w:val="24"/>
          <w:szCs w:val="24"/>
          <w:lang w:val="en-US"/>
        </w:rPr>
        <w:t></w:t>
      </w:r>
      <w:r w:rsidR="001257CD">
        <w:rPr>
          <w:sz w:val="24"/>
          <w:szCs w:val="24"/>
          <w:lang w:val="en-US"/>
        </w:rPr>
        <w:t>,</w:t>
      </w:r>
      <w:r w:rsidR="007A2D1C">
        <w:rPr>
          <w:sz w:val="24"/>
          <w:szCs w:val="24"/>
          <w:lang w:val="en-US"/>
        </w:rPr>
        <w:t xml:space="preserve"> </w:t>
      </w:r>
      <w:r w:rsidR="00472786" w:rsidRPr="00472786">
        <w:rPr>
          <w:rFonts w:ascii="Symbol" w:hAnsi="Symbol"/>
          <w:sz w:val="24"/>
          <w:szCs w:val="24"/>
          <w:lang w:val="en-US"/>
        </w:rPr>
        <w:t></w:t>
      </w:r>
      <w:r w:rsidR="001257CD">
        <w:rPr>
          <w:sz w:val="24"/>
          <w:szCs w:val="24"/>
          <w:lang w:val="en-US"/>
        </w:rPr>
        <w:t>,</w:t>
      </w:r>
      <w:r w:rsidR="007A2D1C">
        <w:rPr>
          <w:sz w:val="24"/>
          <w:szCs w:val="24"/>
          <w:lang w:val="en-US"/>
        </w:rPr>
        <w:t xml:space="preserve"> </w:t>
      </w:r>
      <w:r w:rsidR="00472786" w:rsidRPr="00472786">
        <w:rPr>
          <w:rFonts w:ascii="Symbol" w:hAnsi="Symbol"/>
          <w:sz w:val="24"/>
          <w:szCs w:val="24"/>
          <w:lang w:val="en-US"/>
        </w:rPr>
        <w:t></w:t>
      </w:r>
      <w:r w:rsidR="00853DFB">
        <w:rPr>
          <w:sz w:val="24"/>
          <w:szCs w:val="24"/>
          <w:lang w:val="en-US"/>
        </w:rPr>
        <w:t>; i.e.,</w:t>
      </w:r>
      <w:r w:rsidR="00580992">
        <w:rPr>
          <w:sz w:val="24"/>
          <w:szCs w:val="24"/>
          <w:lang w:val="en-US"/>
        </w:rPr>
        <w:t xml:space="preserve"> </w:t>
      </w:r>
      <w:r w:rsidR="00853DFB">
        <w:rPr>
          <w:sz w:val="24"/>
          <w:szCs w:val="24"/>
          <w:lang w:val="en-US"/>
        </w:rPr>
        <w:t xml:space="preserve">the </w:t>
      </w:r>
      <w:r w:rsidR="00580992">
        <w:rPr>
          <w:sz w:val="24"/>
          <w:szCs w:val="24"/>
          <w:lang w:val="en-US"/>
        </w:rPr>
        <w:t xml:space="preserve">three coefficients from the </w:t>
      </w:r>
      <w:r w:rsidR="00AD67E4">
        <w:rPr>
          <w:sz w:val="24"/>
          <w:szCs w:val="24"/>
          <w:lang w:val="en-US"/>
        </w:rPr>
        <w:t xml:space="preserve">ABG </w:t>
      </w:r>
      <w:r w:rsidR="00580992">
        <w:rPr>
          <w:sz w:val="24"/>
          <w:szCs w:val="24"/>
          <w:lang w:val="en-US"/>
        </w:rPr>
        <w:t>method</w:t>
      </w:r>
      <w:r w:rsidR="00D91D6F">
        <w:rPr>
          <w:sz w:val="24"/>
          <w:szCs w:val="24"/>
          <w:lang w:val="en-US"/>
        </w:rPr>
        <w:t>.</w:t>
      </w:r>
      <w:r w:rsidR="00580992">
        <w:rPr>
          <w:sz w:val="24"/>
          <w:szCs w:val="24"/>
          <w:lang w:val="en-US"/>
        </w:rPr>
        <w:t xml:space="preserve"> </w:t>
      </w:r>
    </w:p>
    <w:p w:rsidR="007A2D1C" w:rsidRDefault="003E04AE" w:rsidP="00B542BD">
      <w:pPr>
        <w:numPr>
          <w:ilvl w:val="0"/>
          <w:numId w:val="4"/>
        </w:numPr>
        <w:rPr>
          <w:sz w:val="24"/>
          <w:szCs w:val="24"/>
          <w:lang w:val="en-US"/>
        </w:rPr>
      </w:pPr>
      <w:r w:rsidRPr="00FA44A0">
        <w:rPr>
          <w:b/>
          <w:sz w:val="24"/>
          <w:szCs w:val="24"/>
          <w:lang w:val="en-US"/>
        </w:rPr>
        <w:lastRenderedPageBreak/>
        <w:t xml:space="preserve">Atkinson class: </w:t>
      </w:r>
      <w:r w:rsidR="00B44B19" w:rsidRPr="00FA44A0">
        <w:rPr>
          <w:b/>
          <w:sz w:val="24"/>
          <w:szCs w:val="24"/>
          <w:lang w:val="en-US"/>
        </w:rPr>
        <w:br/>
      </w:r>
      <w:r w:rsidR="007A2D1C" w:rsidRPr="00270922">
        <w:rPr>
          <w:sz w:val="24"/>
          <w:szCs w:val="24"/>
          <w:lang w:val="en-US"/>
        </w:rPr>
        <w:t>a2</w:t>
      </w:r>
      <w:r w:rsidR="007A2D1C">
        <w:rPr>
          <w:sz w:val="24"/>
          <w:szCs w:val="24"/>
          <w:lang w:val="en-US"/>
        </w:rPr>
        <w:t xml:space="preserve">, </w:t>
      </w:r>
      <w:r w:rsidR="007A2D1C" w:rsidRPr="00270922">
        <w:rPr>
          <w:sz w:val="24"/>
          <w:szCs w:val="24"/>
          <w:lang w:val="en-US"/>
        </w:rPr>
        <w:t>a1</w:t>
      </w:r>
      <w:r w:rsidR="007A2D1C">
        <w:rPr>
          <w:sz w:val="24"/>
          <w:szCs w:val="24"/>
          <w:lang w:val="en-US"/>
        </w:rPr>
        <w:t xml:space="preserve">, </w:t>
      </w:r>
      <w:r w:rsidR="007A2D1C" w:rsidRPr="00270922">
        <w:rPr>
          <w:sz w:val="24"/>
          <w:szCs w:val="24"/>
          <w:lang w:val="en-US"/>
        </w:rPr>
        <w:t>ahalf</w:t>
      </w:r>
      <w:r w:rsidR="007A2D1C">
        <w:rPr>
          <w:sz w:val="24"/>
          <w:szCs w:val="24"/>
          <w:lang w:val="en-US"/>
        </w:rPr>
        <w:t xml:space="preserve"> = </w:t>
      </w:r>
      <w:r w:rsidR="007A2D1C" w:rsidRPr="00270922">
        <w:rPr>
          <w:sz w:val="24"/>
          <w:szCs w:val="24"/>
          <w:lang w:val="en-US"/>
        </w:rPr>
        <w:t xml:space="preserve">Atkinson </w:t>
      </w:r>
      <w:r w:rsidR="007A2D1C">
        <w:rPr>
          <w:sz w:val="24"/>
          <w:szCs w:val="24"/>
          <w:lang w:val="en-US"/>
        </w:rPr>
        <w:t>class of ind</w:t>
      </w:r>
      <w:r w:rsidR="00C817BD">
        <w:rPr>
          <w:sz w:val="24"/>
          <w:szCs w:val="24"/>
          <w:lang w:val="en-US"/>
        </w:rPr>
        <w:t>ic</w:t>
      </w:r>
      <w:r w:rsidR="007A2D1C">
        <w:rPr>
          <w:sz w:val="24"/>
          <w:szCs w:val="24"/>
          <w:lang w:val="en-US"/>
        </w:rPr>
        <w:t>es</w:t>
      </w:r>
      <w:r w:rsidR="007A2D1C" w:rsidRPr="00270922">
        <w:rPr>
          <w:sz w:val="24"/>
          <w:szCs w:val="24"/>
          <w:lang w:val="en-US"/>
        </w:rPr>
        <w:t xml:space="preserve">, </w:t>
      </w:r>
      <w:r w:rsidR="00A20A9B">
        <w:rPr>
          <w:sz w:val="24"/>
          <w:szCs w:val="24"/>
          <w:lang w:val="en-US"/>
        </w:rPr>
        <w:t xml:space="preserve">respectively </w:t>
      </w:r>
      <w:r w:rsidR="00F52A66">
        <w:rPr>
          <w:sz w:val="24"/>
          <w:szCs w:val="24"/>
          <w:lang w:val="en-US"/>
        </w:rPr>
        <w:t>with parameter</w:t>
      </w:r>
      <w:r w:rsidR="005B35E6">
        <w:rPr>
          <w:sz w:val="24"/>
          <w:szCs w:val="24"/>
          <w:lang w:val="en-US"/>
        </w:rPr>
        <w:t>s</w:t>
      </w:r>
      <w:r w:rsidR="00F52A66">
        <w:rPr>
          <w:sz w:val="24"/>
          <w:szCs w:val="24"/>
          <w:lang w:val="en-US"/>
        </w:rPr>
        <w:t xml:space="preserve"> </w:t>
      </w:r>
      <w:r w:rsidR="007A2D1C" w:rsidRPr="00270922">
        <w:rPr>
          <w:sz w:val="24"/>
          <w:szCs w:val="24"/>
          <w:lang w:val="en-US"/>
        </w:rPr>
        <w:t>2, 1,</w:t>
      </w:r>
      <w:r w:rsidR="00C817BD">
        <w:rPr>
          <w:sz w:val="24"/>
          <w:szCs w:val="24"/>
          <w:lang w:val="en-US"/>
        </w:rPr>
        <w:t xml:space="preserve"> and</w:t>
      </w:r>
      <w:r w:rsidR="007A2D1C" w:rsidRPr="00270922">
        <w:rPr>
          <w:sz w:val="24"/>
          <w:szCs w:val="24"/>
          <w:lang w:val="en-US"/>
        </w:rPr>
        <w:t xml:space="preserve"> </w:t>
      </w:r>
      <w:r w:rsidR="007A2D1C">
        <w:rPr>
          <w:sz w:val="24"/>
          <w:szCs w:val="24"/>
          <w:lang w:val="en-US"/>
        </w:rPr>
        <w:t>½ (Atkinson</w:t>
      </w:r>
      <w:r w:rsidR="001257CD">
        <w:rPr>
          <w:sz w:val="24"/>
          <w:szCs w:val="24"/>
          <w:lang w:val="en-US"/>
        </w:rPr>
        <w:t>,</w:t>
      </w:r>
      <w:r w:rsidR="007A2D1C">
        <w:rPr>
          <w:sz w:val="24"/>
          <w:szCs w:val="24"/>
          <w:lang w:val="en-US"/>
        </w:rPr>
        <w:t xml:space="preserve"> 1970</w:t>
      </w:r>
      <w:r w:rsidR="00F675DF">
        <w:rPr>
          <w:sz w:val="24"/>
          <w:szCs w:val="24"/>
          <w:lang w:val="en-US"/>
        </w:rPr>
        <w:t xml:space="preserve">, </w:t>
      </w:r>
      <w:r w:rsidR="001257CD">
        <w:rPr>
          <w:sz w:val="24"/>
          <w:szCs w:val="24"/>
          <w:lang w:val="en-US"/>
        </w:rPr>
        <w:t xml:space="preserve">also </w:t>
      </w:r>
      <w:r w:rsidR="00580992">
        <w:rPr>
          <w:sz w:val="24"/>
          <w:szCs w:val="24"/>
          <w:lang w:val="en-US"/>
        </w:rPr>
        <w:t xml:space="preserve">see </w:t>
      </w:r>
      <w:r w:rsidR="00F675DF" w:rsidRPr="00F675DF">
        <w:rPr>
          <w:sz w:val="24"/>
          <w:szCs w:val="24"/>
          <w:lang w:val="en-GB"/>
        </w:rPr>
        <w:t>Yitzhaki, 1983</w:t>
      </w:r>
      <w:r w:rsidR="007A2D1C">
        <w:rPr>
          <w:sz w:val="24"/>
          <w:szCs w:val="24"/>
          <w:lang w:val="en-US"/>
        </w:rPr>
        <w:t>)</w:t>
      </w:r>
      <w:r w:rsidR="001005B8">
        <w:rPr>
          <w:sz w:val="24"/>
          <w:szCs w:val="24"/>
          <w:lang w:val="en-US"/>
        </w:rPr>
        <w:t xml:space="preserve">, the </w:t>
      </w:r>
      <w:r w:rsidR="00F52A66">
        <w:rPr>
          <w:sz w:val="24"/>
          <w:szCs w:val="24"/>
          <w:lang w:val="en-US"/>
        </w:rPr>
        <w:t>higher parameter (2) overweigh</w:t>
      </w:r>
      <w:r w:rsidR="00C817BD">
        <w:rPr>
          <w:sz w:val="24"/>
          <w:szCs w:val="24"/>
          <w:lang w:val="en-US"/>
        </w:rPr>
        <w:t>t</w:t>
      </w:r>
      <w:r w:rsidR="00F52A66">
        <w:rPr>
          <w:sz w:val="24"/>
          <w:szCs w:val="24"/>
          <w:lang w:val="en-US"/>
        </w:rPr>
        <w:t>s the bottom of the distribution.</w:t>
      </w:r>
    </w:p>
    <w:p w:rsidR="007A2D1C" w:rsidRDefault="003E04AE" w:rsidP="00B542BD">
      <w:pPr>
        <w:numPr>
          <w:ilvl w:val="0"/>
          <w:numId w:val="4"/>
        </w:numPr>
        <w:rPr>
          <w:sz w:val="24"/>
          <w:szCs w:val="24"/>
          <w:lang w:val="en-US"/>
        </w:rPr>
      </w:pPr>
      <w:r w:rsidRPr="00FA44A0">
        <w:rPr>
          <w:b/>
          <w:sz w:val="24"/>
          <w:szCs w:val="24"/>
          <w:lang w:val="en-US"/>
        </w:rPr>
        <w:t xml:space="preserve">Generalized entropy class: </w:t>
      </w:r>
      <w:r w:rsidR="00A20A9B" w:rsidRPr="00FA44A0">
        <w:rPr>
          <w:b/>
          <w:sz w:val="24"/>
          <w:szCs w:val="24"/>
          <w:lang w:val="en-US"/>
        </w:rPr>
        <w:br/>
      </w:r>
      <w:r w:rsidR="007A2D1C" w:rsidRPr="00270922">
        <w:rPr>
          <w:sz w:val="24"/>
          <w:szCs w:val="24"/>
          <w:lang w:val="en-US"/>
        </w:rPr>
        <w:t>ge2</w:t>
      </w:r>
      <w:r w:rsidR="007A2D1C">
        <w:rPr>
          <w:sz w:val="24"/>
          <w:szCs w:val="24"/>
          <w:lang w:val="en-US"/>
        </w:rPr>
        <w:t xml:space="preserve">, </w:t>
      </w:r>
      <w:r w:rsidR="007A2D1C" w:rsidRPr="00270922">
        <w:rPr>
          <w:sz w:val="24"/>
          <w:szCs w:val="24"/>
          <w:lang w:val="en-US"/>
        </w:rPr>
        <w:t>ge1</w:t>
      </w:r>
      <w:r w:rsidR="007A2D1C">
        <w:rPr>
          <w:sz w:val="24"/>
          <w:szCs w:val="24"/>
          <w:lang w:val="en-US"/>
        </w:rPr>
        <w:t xml:space="preserve">, </w:t>
      </w:r>
      <w:r w:rsidR="007A2D1C" w:rsidRPr="00270922">
        <w:rPr>
          <w:sz w:val="24"/>
          <w:szCs w:val="24"/>
          <w:lang w:val="en-US"/>
        </w:rPr>
        <w:t>ge0</w:t>
      </w:r>
      <w:r w:rsidR="007A2D1C">
        <w:rPr>
          <w:sz w:val="24"/>
          <w:szCs w:val="24"/>
          <w:lang w:val="en-US"/>
        </w:rPr>
        <w:t xml:space="preserve">, </w:t>
      </w:r>
      <w:r w:rsidR="007A2D1C" w:rsidRPr="00270922">
        <w:rPr>
          <w:sz w:val="24"/>
          <w:szCs w:val="24"/>
          <w:lang w:val="en-US"/>
        </w:rPr>
        <w:t>gem1</w:t>
      </w:r>
      <w:r w:rsidR="007A2D1C">
        <w:rPr>
          <w:sz w:val="24"/>
          <w:szCs w:val="24"/>
          <w:lang w:val="en-US"/>
        </w:rPr>
        <w:t xml:space="preserve"> = </w:t>
      </w:r>
      <w:r w:rsidR="007A2D1C" w:rsidRPr="00270922">
        <w:rPr>
          <w:sz w:val="24"/>
          <w:szCs w:val="24"/>
          <w:lang w:val="en-US"/>
        </w:rPr>
        <w:t>Generalized entropy</w:t>
      </w:r>
      <w:r w:rsidR="007A2D1C">
        <w:rPr>
          <w:sz w:val="24"/>
          <w:szCs w:val="24"/>
          <w:lang w:val="en-US"/>
        </w:rPr>
        <w:t xml:space="preserve"> </w:t>
      </w:r>
      <w:r w:rsidR="007A2D1C" w:rsidRPr="00270922">
        <w:rPr>
          <w:sz w:val="24"/>
          <w:szCs w:val="24"/>
          <w:lang w:val="en-US"/>
        </w:rPr>
        <w:t>class of ind</w:t>
      </w:r>
      <w:r w:rsidR="00C817BD">
        <w:rPr>
          <w:sz w:val="24"/>
          <w:szCs w:val="24"/>
          <w:lang w:val="en-US"/>
        </w:rPr>
        <w:t>ic</w:t>
      </w:r>
      <w:r w:rsidR="007A2D1C" w:rsidRPr="00270922">
        <w:rPr>
          <w:sz w:val="24"/>
          <w:szCs w:val="24"/>
          <w:lang w:val="en-US"/>
        </w:rPr>
        <w:t xml:space="preserve">es, </w:t>
      </w:r>
      <w:r w:rsidR="00A20A9B">
        <w:rPr>
          <w:sz w:val="24"/>
          <w:szCs w:val="24"/>
          <w:lang w:val="en-US"/>
        </w:rPr>
        <w:t xml:space="preserve">respectively </w:t>
      </w:r>
      <w:r w:rsidR="00F52A66">
        <w:rPr>
          <w:sz w:val="24"/>
          <w:szCs w:val="24"/>
          <w:lang w:val="en-US"/>
        </w:rPr>
        <w:t>with parameter</w:t>
      </w:r>
      <w:r w:rsidR="005B35E6">
        <w:rPr>
          <w:sz w:val="24"/>
          <w:szCs w:val="24"/>
          <w:lang w:val="en-US"/>
        </w:rPr>
        <w:t>s</w:t>
      </w:r>
      <w:r w:rsidR="00F52A66">
        <w:rPr>
          <w:sz w:val="24"/>
          <w:szCs w:val="24"/>
          <w:lang w:val="en-US"/>
        </w:rPr>
        <w:t xml:space="preserve"> </w:t>
      </w:r>
      <w:r w:rsidR="007A2D1C" w:rsidRPr="00270922">
        <w:rPr>
          <w:sz w:val="24"/>
          <w:szCs w:val="24"/>
          <w:lang w:val="en-US"/>
        </w:rPr>
        <w:t>2, 1, 0, -1</w:t>
      </w:r>
      <w:r w:rsidR="007A2D1C">
        <w:rPr>
          <w:sz w:val="24"/>
          <w:szCs w:val="24"/>
          <w:lang w:val="en-US"/>
        </w:rPr>
        <w:t xml:space="preserve"> (Berry et al.</w:t>
      </w:r>
      <w:r w:rsidR="001257CD">
        <w:rPr>
          <w:sz w:val="24"/>
          <w:szCs w:val="24"/>
          <w:lang w:val="en-US"/>
        </w:rPr>
        <w:t>,</w:t>
      </w:r>
      <w:r w:rsidR="007A2D1C">
        <w:rPr>
          <w:sz w:val="24"/>
          <w:szCs w:val="24"/>
          <w:lang w:val="en-US"/>
        </w:rPr>
        <w:t xml:space="preserve"> 1983)</w:t>
      </w:r>
      <w:r w:rsidR="00F52A66">
        <w:rPr>
          <w:sz w:val="24"/>
          <w:szCs w:val="24"/>
          <w:lang w:val="en-US"/>
        </w:rPr>
        <w:t xml:space="preserve">. </w:t>
      </w:r>
      <w:r w:rsidR="00C817BD">
        <w:rPr>
          <w:sz w:val="24"/>
          <w:szCs w:val="24"/>
          <w:lang w:val="en-US"/>
        </w:rPr>
        <w:t>The l</w:t>
      </w:r>
      <w:r w:rsidR="00F52A66">
        <w:rPr>
          <w:sz w:val="24"/>
          <w:szCs w:val="24"/>
          <w:lang w:val="en-US"/>
        </w:rPr>
        <w:t xml:space="preserve">ower </w:t>
      </w:r>
      <w:r w:rsidR="00782166">
        <w:rPr>
          <w:sz w:val="24"/>
          <w:szCs w:val="24"/>
          <w:lang w:val="en-US"/>
        </w:rPr>
        <w:t xml:space="preserve">parameter </w:t>
      </w:r>
      <w:r w:rsidR="0091210C">
        <w:rPr>
          <w:sz w:val="24"/>
          <w:szCs w:val="24"/>
          <w:lang w:val="en-US"/>
        </w:rPr>
        <w:t xml:space="preserve">(-1) </w:t>
      </w:r>
      <w:r w:rsidR="00C817BD">
        <w:rPr>
          <w:sz w:val="24"/>
          <w:szCs w:val="24"/>
          <w:lang w:val="en-US"/>
        </w:rPr>
        <w:t xml:space="preserve">implies </w:t>
      </w:r>
      <w:r w:rsidR="00782166">
        <w:rPr>
          <w:sz w:val="24"/>
          <w:szCs w:val="24"/>
          <w:lang w:val="en-US"/>
        </w:rPr>
        <w:t xml:space="preserve">a focus on the bottom </w:t>
      </w:r>
      <w:r w:rsidR="00F52A66">
        <w:rPr>
          <w:sz w:val="24"/>
          <w:szCs w:val="24"/>
          <w:lang w:val="en-US"/>
        </w:rPr>
        <w:t>of the distribution.</w:t>
      </w:r>
    </w:p>
    <w:p w:rsidR="007A2D1C" w:rsidRDefault="00A70B2E" w:rsidP="00B542BD">
      <w:pPr>
        <w:numPr>
          <w:ilvl w:val="0"/>
          <w:numId w:val="4"/>
        </w:numPr>
        <w:rPr>
          <w:sz w:val="24"/>
          <w:szCs w:val="24"/>
          <w:lang w:val="en-US"/>
        </w:rPr>
      </w:pPr>
      <w:r w:rsidRPr="00FA44A0">
        <w:rPr>
          <w:b/>
          <w:sz w:val="24"/>
          <w:szCs w:val="24"/>
          <w:lang w:val="en-US"/>
        </w:rPr>
        <w:t xml:space="preserve">Gini </w:t>
      </w:r>
      <w:r w:rsidR="003E04AE" w:rsidRPr="00FA44A0">
        <w:rPr>
          <w:b/>
          <w:sz w:val="24"/>
          <w:szCs w:val="24"/>
          <w:lang w:val="en-US"/>
        </w:rPr>
        <w:t>inequality index</w:t>
      </w:r>
      <w:r w:rsidR="00A20A9B" w:rsidRPr="00FA44A0">
        <w:rPr>
          <w:b/>
          <w:sz w:val="24"/>
          <w:szCs w:val="24"/>
          <w:lang w:val="en-US"/>
        </w:rPr>
        <w:t>:</w:t>
      </w:r>
      <w:r w:rsidR="00A20A9B" w:rsidRPr="00FA44A0">
        <w:rPr>
          <w:b/>
          <w:sz w:val="24"/>
          <w:szCs w:val="24"/>
          <w:lang w:val="en-US"/>
        </w:rPr>
        <w:br/>
      </w:r>
      <w:r w:rsidR="00C817BD">
        <w:rPr>
          <w:sz w:val="24"/>
          <w:szCs w:val="24"/>
          <w:lang w:val="en-US"/>
        </w:rPr>
        <w:t>T</w:t>
      </w:r>
      <w:r w:rsidR="00A20A9B">
        <w:rPr>
          <w:sz w:val="24"/>
          <w:szCs w:val="24"/>
          <w:lang w:val="en-US"/>
        </w:rPr>
        <w:t xml:space="preserve">he value of the standard </w:t>
      </w:r>
      <w:r>
        <w:rPr>
          <w:sz w:val="24"/>
          <w:szCs w:val="24"/>
          <w:lang w:val="en-US"/>
        </w:rPr>
        <w:t xml:space="preserve">Gini </w:t>
      </w:r>
      <w:r w:rsidR="00205789">
        <w:rPr>
          <w:sz w:val="24"/>
          <w:szCs w:val="24"/>
          <w:lang w:val="en-US"/>
        </w:rPr>
        <w:t>index</w:t>
      </w:r>
      <w:r w:rsidR="007A2D1C">
        <w:rPr>
          <w:sz w:val="24"/>
          <w:szCs w:val="24"/>
          <w:lang w:val="en-US"/>
        </w:rPr>
        <w:t xml:space="preserve"> (</w:t>
      </w:r>
      <w:r>
        <w:rPr>
          <w:sz w:val="24"/>
          <w:szCs w:val="24"/>
          <w:lang w:val="en-US"/>
        </w:rPr>
        <w:t>Gini</w:t>
      </w:r>
      <w:r w:rsidR="007A2D1C">
        <w:rPr>
          <w:sz w:val="24"/>
          <w:szCs w:val="24"/>
          <w:lang w:val="en-US"/>
        </w:rPr>
        <w:t>, 1914)</w:t>
      </w:r>
      <w:r w:rsidR="00D91D6F">
        <w:rPr>
          <w:sz w:val="24"/>
          <w:szCs w:val="24"/>
          <w:lang w:val="en-US"/>
        </w:rPr>
        <w:t>.</w:t>
      </w:r>
    </w:p>
    <w:p w:rsidR="007A2D1C" w:rsidRDefault="003E04AE" w:rsidP="00B542BD">
      <w:pPr>
        <w:numPr>
          <w:ilvl w:val="0"/>
          <w:numId w:val="4"/>
        </w:numPr>
        <w:rPr>
          <w:sz w:val="24"/>
          <w:szCs w:val="24"/>
          <w:lang w:val="en-US"/>
        </w:rPr>
      </w:pPr>
      <w:r w:rsidRPr="00FA44A0">
        <w:rPr>
          <w:b/>
          <w:sz w:val="24"/>
          <w:szCs w:val="24"/>
          <w:lang w:val="en-US"/>
        </w:rPr>
        <w:t>W</w:t>
      </w:r>
      <w:r w:rsidR="007A2D1C" w:rsidRPr="00FA44A0">
        <w:rPr>
          <w:b/>
          <w:sz w:val="24"/>
          <w:szCs w:val="24"/>
          <w:lang w:val="en-US"/>
        </w:rPr>
        <w:t xml:space="preserve">olfson </w:t>
      </w:r>
      <w:r w:rsidRPr="00FA44A0">
        <w:rPr>
          <w:b/>
          <w:sz w:val="24"/>
          <w:szCs w:val="24"/>
          <w:lang w:val="en-US"/>
        </w:rPr>
        <w:t>polarization index</w:t>
      </w:r>
      <w:r w:rsidR="00A20A9B" w:rsidRPr="00FA44A0">
        <w:rPr>
          <w:b/>
          <w:sz w:val="24"/>
          <w:szCs w:val="24"/>
          <w:lang w:val="en-US"/>
        </w:rPr>
        <w:t>:</w:t>
      </w:r>
      <w:r w:rsidR="00A20A9B">
        <w:rPr>
          <w:sz w:val="24"/>
          <w:szCs w:val="24"/>
          <w:lang w:val="en-US"/>
        </w:rPr>
        <w:br/>
      </w:r>
      <w:r w:rsidR="00C817BD">
        <w:rPr>
          <w:sz w:val="24"/>
          <w:szCs w:val="24"/>
          <w:lang w:val="en-US"/>
        </w:rPr>
        <w:t xml:space="preserve">The </w:t>
      </w:r>
      <w:r w:rsidR="007A2D1C">
        <w:rPr>
          <w:sz w:val="24"/>
          <w:szCs w:val="24"/>
          <w:lang w:val="en-US"/>
        </w:rPr>
        <w:t xml:space="preserve">Wolfson index (Wolfson, </w:t>
      </w:r>
      <w:r w:rsidR="00F675DF">
        <w:rPr>
          <w:sz w:val="24"/>
          <w:szCs w:val="24"/>
          <w:lang w:val="en-US"/>
        </w:rPr>
        <w:t>1986</w:t>
      </w:r>
      <w:r w:rsidR="007A2D1C">
        <w:rPr>
          <w:sz w:val="24"/>
          <w:szCs w:val="24"/>
          <w:lang w:val="en-US"/>
        </w:rPr>
        <w:t>)</w:t>
      </w:r>
      <w:r w:rsidR="00580992">
        <w:rPr>
          <w:sz w:val="24"/>
          <w:szCs w:val="24"/>
          <w:lang w:val="en-US"/>
        </w:rPr>
        <w:t xml:space="preserve"> of polarization</w:t>
      </w:r>
      <w:r w:rsidR="002203AB">
        <w:rPr>
          <w:sz w:val="24"/>
          <w:szCs w:val="24"/>
          <w:lang w:val="en-US"/>
        </w:rPr>
        <w:t>.</w:t>
      </w:r>
      <w:r w:rsidR="00954DDF">
        <w:rPr>
          <w:rStyle w:val="FootnoteReference"/>
          <w:sz w:val="24"/>
          <w:szCs w:val="24"/>
          <w:lang w:val="en-US"/>
        </w:rPr>
        <w:footnoteReference w:id="19"/>
      </w:r>
      <w:r w:rsidR="00580992">
        <w:rPr>
          <w:sz w:val="24"/>
          <w:szCs w:val="24"/>
          <w:lang w:val="en-US"/>
        </w:rPr>
        <w:t xml:space="preserve"> </w:t>
      </w:r>
    </w:p>
    <w:p w:rsidR="007A2D1C" w:rsidRDefault="003E04AE" w:rsidP="00B542BD">
      <w:pPr>
        <w:numPr>
          <w:ilvl w:val="0"/>
          <w:numId w:val="4"/>
        </w:numPr>
        <w:rPr>
          <w:sz w:val="24"/>
          <w:szCs w:val="24"/>
          <w:lang w:val="en-US"/>
        </w:rPr>
      </w:pPr>
      <w:r w:rsidRPr="00FA44A0">
        <w:rPr>
          <w:b/>
          <w:sz w:val="24"/>
          <w:szCs w:val="24"/>
          <w:lang w:val="en-US"/>
        </w:rPr>
        <w:t>Foster</w:t>
      </w:r>
      <w:r w:rsidRPr="00FA44A0">
        <w:rPr>
          <w:rFonts w:ascii="Cambria Math" w:hAnsi="Cambria Math" w:cs="Cambria Math"/>
          <w:b/>
          <w:sz w:val="24"/>
          <w:szCs w:val="24"/>
          <w:lang w:val="en-US"/>
        </w:rPr>
        <w:t>‐</w:t>
      </w:r>
      <w:r w:rsidRPr="00FA44A0">
        <w:rPr>
          <w:b/>
          <w:sz w:val="24"/>
          <w:szCs w:val="24"/>
          <w:lang w:val="en-US"/>
        </w:rPr>
        <w:t>Greer</w:t>
      </w:r>
      <w:r w:rsidRPr="00FA44A0">
        <w:rPr>
          <w:rFonts w:ascii="Cambria Math" w:hAnsi="Cambria Math" w:cs="Cambria Math"/>
          <w:b/>
          <w:sz w:val="24"/>
          <w:szCs w:val="24"/>
          <w:lang w:val="en-US"/>
        </w:rPr>
        <w:t>‐</w:t>
      </w:r>
      <w:r w:rsidRPr="00FA44A0">
        <w:rPr>
          <w:b/>
          <w:sz w:val="24"/>
          <w:szCs w:val="24"/>
          <w:lang w:val="en-US"/>
        </w:rPr>
        <w:t>Thorbecke poverty</w:t>
      </w:r>
      <w:r w:rsidR="00813ED5" w:rsidRPr="00FA44A0">
        <w:rPr>
          <w:b/>
          <w:sz w:val="24"/>
          <w:szCs w:val="24"/>
          <w:lang w:val="en-US"/>
        </w:rPr>
        <w:t xml:space="preserve"> class</w:t>
      </w:r>
      <w:r w:rsidRPr="00FA44A0">
        <w:rPr>
          <w:b/>
          <w:sz w:val="24"/>
          <w:szCs w:val="24"/>
          <w:lang w:val="en-US"/>
        </w:rPr>
        <w:t xml:space="preserve">: </w:t>
      </w:r>
      <w:r w:rsidR="00A20A9B" w:rsidRPr="00FA44A0">
        <w:rPr>
          <w:b/>
          <w:sz w:val="24"/>
          <w:szCs w:val="24"/>
          <w:lang w:val="en-US"/>
        </w:rPr>
        <w:br/>
      </w:r>
      <w:r w:rsidR="0091210C">
        <w:rPr>
          <w:sz w:val="24"/>
          <w:szCs w:val="24"/>
          <w:lang w:val="en-US"/>
        </w:rPr>
        <w:t>fgt0</w:t>
      </w:r>
      <w:r w:rsidR="00F67915">
        <w:rPr>
          <w:sz w:val="24"/>
          <w:szCs w:val="24"/>
          <w:lang w:val="en-US"/>
        </w:rPr>
        <w:t>,</w:t>
      </w:r>
      <w:r w:rsidR="0091210C">
        <w:rPr>
          <w:sz w:val="24"/>
          <w:szCs w:val="24"/>
          <w:lang w:val="en-US"/>
        </w:rPr>
        <w:t xml:space="preserve"> 1</w:t>
      </w:r>
      <w:r w:rsidR="00F67915">
        <w:rPr>
          <w:sz w:val="24"/>
          <w:szCs w:val="24"/>
          <w:lang w:val="en-US"/>
        </w:rPr>
        <w:t xml:space="preserve"> and</w:t>
      </w:r>
      <w:r w:rsidR="0091210C">
        <w:rPr>
          <w:sz w:val="24"/>
          <w:szCs w:val="24"/>
          <w:lang w:val="en-US"/>
        </w:rPr>
        <w:t xml:space="preserve"> 2</w:t>
      </w:r>
      <w:r w:rsidR="00F675DF">
        <w:rPr>
          <w:sz w:val="24"/>
          <w:szCs w:val="24"/>
          <w:lang w:val="en-US"/>
        </w:rPr>
        <w:t xml:space="preserve"> </w:t>
      </w:r>
      <w:r w:rsidR="00C817BD">
        <w:rPr>
          <w:sz w:val="24"/>
          <w:szCs w:val="24"/>
          <w:lang w:val="en-US"/>
        </w:rPr>
        <w:t xml:space="preserve">show the </w:t>
      </w:r>
      <w:r w:rsidR="00F52A66" w:rsidRPr="00F52A66">
        <w:rPr>
          <w:sz w:val="24"/>
          <w:szCs w:val="24"/>
          <w:lang w:val="en-US"/>
        </w:rPr>
        <w:t>Foster</w:t>
      </w:r>
      <w:r w:rsidR="00F52A66" w:rsidRPr="00F52A66">
        <w:rPr>
          <w:rFonts w:ascii="Cambria Math" w:hAnsi="Cambria Math" w:cs="Cambria Math"/>
          <w:sz w:val="24"/>
          <w:szCs w:val="24"/>
          <w:lang w:val="en-US"/>
        </w:rPr>
        <w:t>‐</w:t>
      </w:r>
      <w:r w:rsidR="00F52A66" w:rsidRPr="00F52A66">
        <w:rPr>
          <w:sz w:val="24"/>
          <w:szCs w:val="24"/>
          <w:lang w:val="en-US"/>
        </w:rPr>
        <w:t>Greer</w:t>
      </w:r>
      <w:r w:rsidR="00F52A66" w:rsidRPr="00F52A66">
        <w:rPr>
          <w:rFonts w:ascii="Cambria Math" w:hAnsi="Cambria Math" w:cs="Cambria Math"/>
          <w:sz w:val="24"/>
          <w:szCs w:val="24"/>
          <w:lang w:val="en-US"/>
        </w:rPr>
        <w:t>‐</w:t>
      </w:r>
      <w:r w:rsidR="00F52A66" w:rsidRPr="00F52A66">
        <w:rPr>
          <w:sz w:val="24"/>
          <w:szCs w:val="24"/>
          <w:lang w:val="en-US"/>
        </w:rPr>
        <w:t xml:space="preserve">Thorbecke </w:t>
      </w:r>
      <w:r w:rsidR="00F675DF">
        <w:rPr>
          <w:sz w:val="24"/>
          <w:szCs w:val="24"/>
          <w:lang w:val="en-US"/>
        </w:rPr>
        <w:t>(</w:t>
      </w:r>
      <w:r w:rsidR="00F675DF" w:rsidRPr="00F675DF">
        <w:rPr>
          <w:sz w:val="24"/>
          <w:szCs w:val="24"/>
          <w:lang w:val="en-US"/>
        </w:rPr>
        <w:t>Foster</w:t>
      </w:r>
      <w:r w:rsidR="006C48CA">
        <w:rPr>
          <w:sz w:val="24"/>
          <w:szCs w:val="24"/>
          <w:lang w:val="en-US"/>
        </w:rPr>
        <w:t xml:space="preserve"> et al</w:t>
      </w:r>
      <w:r w:rsidR="001257CD">
        <w:rPr>
          <w:sz w:val="24"/>
          <w:szCs w:val="24"/>
          <w:lang w:val="en-US"/>
        </w:rPr>
        <w:t>.,</w:t>
      </w:r>
      <w:r w:rsidR="006C48CA">
        <w:rPr>
          <w:sz w:val="24"/>
          <w:szCs w:val="24"/>
          <w:lang w:val="en-US"/>
        </w:rPr>
        <w:t xml:space="preserve"> </w:t>
      </w:r>
      <w:r w:rsidR="00F675DF" w:rsidRPr="00F675DF">
        <w:rPr>
          <w:sz w:val="24"/>
          <w:szCs w:val="24"/>
          <w:lang w:val="en-US"/>
        </w:rPr>
        <w:t>1984</w:t>
      </w:r>
      <w:r w:rsidR="00F675DF">
        <w:rPr>
          <w:sz w:val="24"/>
          <w:szCs w:val="24"/>
          <w:lang w:val="en-US"/>
        </w:rPr>
        <w:t>)</w:t>
      </w:r>
      <w:r w:rsidR="00580992">
        <w:rPr>
          <w:sz w:val="24"/>
          <w:szCs w:val="24"/>
          <w:lang w:val="en-US"/>
        </w:rPr>
        <w:t xml:space="preserve"> poverty index</w:t>
      </w:r>
      <w:r w:rsidR="00F52A66">
        <w:rPr>
          <w:sz w:val="24"/>
          <w:szCs w:val="24"/>
          <w:lang w:val="en-US"/>
        </w:rPr>
        <w:t>,</w:t>
      </w:r>
      <w:r w:rsidR="00A20A9B" w:rsidRPr="00A20A9B">
        <w:rPr>
          <w:sz w:val="24"/>
          <w:szCs w:val="24"/>
          <w:lang w:val="en-US"/>
        </w:rPr>
        <w:t xml:space="preserve"> </w:t>
      </w:r>
      <w:r w:rsidR="00C817BD">
        <w:rPr>
          <w:sz w:val="24"/>
          <w:szCs w:val="24"/>
          <w:lang w:val="en-US"/>
        </w:rPr>
        <w:t xml:space="preserve">with </w:t>
      </w:r>
      <w:r w:rsidR="00A20A9B">
        <w:rPr>
          <w:sz w:val="24"/>
          <w:szCs w:val="24"/>
          <w:lang w:val="en-US"/>
        </w:rPr>
        <w:t>respectively</w:t>
      </w:r>
      <w:r w:rsidR="00F52A66">
        <w:rPr>
          <w:sz w:val="24"/>
          <w:szCs w:val="24"/>
          <w:lang w:val="en-US"/>
        </w:rPr>
        <w:t xml:space="preserve"> parameter</w:t>
      </w:r>
      <w:r w:rsidR="005B35E6">
        <w:rPr>
          <w:sz w:val="24"/>
          <w:szCs w:val="24"/>
          <w:lang w:val="en-US"/>
        </w:rPr>
        <w:t>s</w:t>
      </w:r>
      <w:r w:rsidR="00F52A66">
        <w:rPr>
          <w:sz w:val="24"/>
          <w:szCs w:val="24"/>
          <w:lang w:val="en-US"/>
        </w:rPr>
        <w:t xml:space="preserve"> 0, 1, </w:t>
      </w:r>
      <w:r w:rsidR="00F52A66" w:rsidRPr="00270922">
        <w:rPr>
          <w:sz w:val="24"/>
          <w:szCs w:val="24"/>
          <w:lang w:val="en-US"/>
        </w:rPr>
        <w:t xml:space="preserve">2, </w:t>
      </w:r>
      <w:r w:rsidR="00F52A66">
        <w:rPr>
          <w:sz w:val="24"/>
          <w:szCs w:val="24"/>
          <w:lang w:val="en-US"/>
        </w:rPr>
        <w:t xml:space="preserve">and </w:t>
      </w:r>
      <w:r w:rsidR="00C817BD">
        <w:rPr>
          <w:sz w:val="24"/>
          <w:szCs w:val="24"/>
          <w:lang w:val="en-US"/>
        </w:rPr>
        <w:t xml:space="preserve">the </w:t>
      </w:r>
      <w:r w:rsidR="00F52A66">
        <w:rPr>
          <w:sz w:val="24"/>
          <w:szCs w:val="24"/>
          <w:lang w:val="en-US"/>
        </w:rPr>
        <w:t xml:space="preserve">poverty threshold </w:t>
      </w:r>
      <w:r w:rsidR="00C817BD">
        <w:rPr>
          <w:sz w:val="24"/>
          <w:szCs w:val="24"/>
          <w:lang w:val="en-US"/>
        </w:rPr>
        <w:t xml:space="preserve">of </w:t>
      </w:r>
      <w:r w:rsidR="00F52A66">
        <w:rPr>
          <w:sz w:val="24"/>
          <w:szCs w:val="24"/>
          <w:lang w:val="en-US"/>
        </w:rPr>
        <w:t xml:space="preserve">60%. The higher the parameter, the </w:t>
      </w:r>
      <w:r w:rsidR="00C817BD">
        <w:rPr>
          <w:sz w:val="24"/>
          <w:szCs w:val="24"/>
          <w:lang w:val="en-US"/>
        </w:rPr>
        <w:t>great</w:t>
      </w:r>
      <w:r w:rsidR="00F52A66">
        <w:rPr>
          <w:sz w:val="24"/>
          <w:szCs w:val="24"/>
          <w:lang w:val="en-US"/>
        </w:rPr>
        <w:t>er t</w:t>
      </w:r>
      <w:r w:rsidR="00D91D6F">
        <w:rPr>
          <w:sz w:val="24"/>
          <w:szCs w:val="24"/>
          <w:lang w:val="en-US"/>
        </w:rPr>
        <w:t xml:space="preserve">he focus on </w:t>
      </w:r>
      <w:r w:rsidR="00C817BD">
        <w:rPr>
          <w:sz w:val="24"/>
          <w:szCs w:val="24"/>
          <w:lang w:val="en-US"/>
        </w:rPr>
        <w:t>very</w:t>
      </w:r>
      <w:r w:rsidR="00D91D6F">
        <w:rPr>
          <w:sz w:val="24"/>
          <w:szCs w:val="24"/>
          <w:lang w:val="en-US"/>
        </w:rPr>
        <w:t xml:space="preserve"> low income</w:t>
      </w:r>
      <w:r w:rsidR="00C817BD">
        <w:rPr>
          <w:sz w:val="24"/>
          <w:szCs w:val="24"/>
          <w:lang w:val="en-US"/>
        </w:rPr>
        <w:t>s</w:t>
      </w:r>
      <w:r w:rsidR="00D91D6F">
        <w:rPr>
          <w:sz w:val="24"/>
          <w:szCs w:val="24"/>
          <w:lang w:val="en-US"/>
        </w:rPr>
        <w:t>.</w:t>
      </w:r>
    </w:p>
    <w:p w:rsidR="004458A8" w:rsidRPr="00FA44A0" w:rsidRDefault="00813ED5" w:rsidP="0091210C">
      <w:pPr>
        <w:numPr>
          <w:ilvl w:val="0"/>
          <w:numId w:val="4"/>
        </w:numPr>
        <w:rPr>
          <w:b/>
          <w:sz w:val="24"/>
          <w:szCs w:val="24"/>
          <w:lang w:val="en-US"/>
        </w:rPr>
      </w:pPr>
      <w:r w:rsidRPr="00FA44A0">
        <w:rPr>
          <w:b/>
          <w:sz w:val="24"/>
          <w:szCs w:val="24"/>
          <w:lang w:val="en-US"/>
        </w:rPr>
        <w:t xml:space="preserve">Income ratios: </w:t>
      </w:r>
    </w:p>
    <w:p w:rsidR="004458A8" w:rsidRDefault="0091210C" w:rsidP="004458A8">
      <w:pPr>
        <w:numPr>
          <w:ilvl w:val="1"/>
          <w:numId w:val="4"/>
        </w:numPr>
        <w:rPr>
          <w:sz w:val="24"/>
          <w:szCs w:val="24"/>
          <w:lang w:val="en-US"/>
        </w:rPr>
      </w:pPr>
      <w:r w:rsidRPr="0091210C">
        <w:rPr>
          <w:sz w:val="24"/>
          <w:szCs w:val="24"/>
          <w:lang w:val="en-US"/>
        </w:rPr>
        <w:t>p</w:t>
      </w:r>
      <w:r w:rsidR="007A2D1C" w:rsidRPr="0091210C">
        <w:rPr>
          <w:sz w:val="24"/>
          <w:szCs w:val="24"/>
          <w:lang w:val="en-US"/>
        </w:rPr>
        <w:t>90</w:t>
      </w:r>
      <w:r w:rsidRPr="0091210C">
        <w:rPr>
          <w:sz w:val="24"/>
          <w:szCs w:val="24"/>
          <w:lang w:val="en-US"/>
        </w:rPr>
        <w:t>p</w:t>
      </w:r>
      <w:r w:rsidR="007A2D1C" w:rsidRPr="0091210C">
        <w:rPr>
          <w:sz w:val="24"/>
          <w:szCs w:val="24"/>
          <w:lang w:val="en-US"/>
        </w:rPr>
        <w:t xml:space="preserve">50 = </w:t>
      </w:r>
      <w:r w:rsidR="00C16133">
        <w:rPr>
          <w:sz w:val="24"/>
          <w:szCs w:val="24"/>
          <w:lang w:val="en-US"/>
        </w:rPr>
        <w:t>decile9/</w:t>
      </w:r>
      <w:r w:rsidR="004458A8">
        <w:rPr>
          <w:sz w:val="24"/>
          <w:szCs w:val="24"/>
          <w:lang w:val="en-US"/>
        </w:rPr>
        <w:t xml:space="preserve">median: this measures inequality at the </w:t>
      </w:r>
      <w:r w:rsidR="00580992" w:rsidRPr="0091210C">
        <w:rPr>
          <w:sz w:val="24"/>
          <w:szCs w:val="24"/>
          <w:lang w:val="en-US"/>
        </w:rPr>
        <w:t>top</w:t>
      </w:r>
      <w:r w:rsidR="00C817BD">
        <w:rPr>
          <w:sz w:val="24"/>
          <w:szCs w:val="24"/>
          <w:lang w:val="en-US"/>
        </w:rPr>
        <w:t>.</w:t>
      </w:r>
      <w:r w:rsidRPr="0091210C">
        <w:rPr>
          <w:sz w:val="24"/>
          <w:szCs w:val="24"/>
          <w:lang w:val="en-US"/>
        </w:rPr>
        <w:t xml:space="preserve"> </w:t>
      </w:r>
    </w:p>
    <w:p w:rsidR="004458A8" w:rsidRDefault="00C16133" w:rsidP="004458A8">
      <w:pPr>
        <w:numPr>
          <w:ilvl w:val="1"/>
          <w:numId w:val="4"/>
        </w:numPr>
        <w:rPr>
          <w:sz w:val="24"/>
          <w:szCs w:val="24"/>
          <w:lang w:val="en-US"/>
        </w:rPr>
      </w:pPr>
      <w:r>
        <w:rPr>
          <w:sz w:val="24"/>
          <w:szCs w:val="24"/>
          <w:lang w:val="en-US"/>
        </w:rPr>
        <w:t>p50p10</w:t>
      </w:r>
      <w:r w:rsidRPr="0091210C">
        <w:rPr>
          <w:sz w:val="24"/>
          <w:szCs w:val="24"/>
          <w:lang w:val="en-US"/>
        </w:rPr>
        <w:t xml:space="preserve"> = </w:t>
      </w:r>
      <w:r w:rsidR="004458A8">
        <w:rPr>
          <w:sz w:val="24"/>
          <w:szCs w:val="24"/>
          <w:lang w:val="en-US"/>
        </w:rPr>
        <w:t xml:space="preserve">median </w:t>
      </w:r>
      <w:r>
        <w:rPr>
          <w:sz w:val="24"/>
          <w:szCs w:val="24"/>
          <w:lang w:val="en-US"/>
        </w:rPr>
        <w:t>/decile1</w:t>
      </w:r>
      <w:r w:rsidR="004458A8">
        <w:rPr>
          <w:sz w:val="24"/>
          <w:szCs w:val="24"/>
          <w:lang w:val="en-US"/>
        </w:rPr>
        <w:t xml:space="preserve">: this measures inequality at the </w:t>
      </w:r>
      <w:r>
        <w:rPr>
          <w:sz w:val="24"/>
          <w:szCs w:val="24"/>
          <w:lang w:val="en-US"/>
        </w:rPr>
        <w:t>bottom</w:t>
      </w:r>
      <w:r w:rsidR="00C817BD">
        <w:rPr>
          <w:sz w:val="24"/>
          <w:szCs w:val="24"/>
          <w:lang w:val="en-US"/>
        </w:rPr>
        <w:t>.</w:t>
      </w:r>
      <w:r>
        <w:rPr>
          <w:sz w:val="24"/>
          <w:szCs w:val="24"/>
          <w:lang w:val="en-US"/>
        </w:rPr>
        <w:t xml:space="preserve"> </w:t>
      </w:r>
    </w:p>
    <w:p w:rsidR="007A2D1C" w:rsidRDefault="0091210C" w:rsidP="004458A8">
      <w:pPr>
        <w:numPr>
          <w:ilvl w:val="1"/>
          <w:numId w:val="4"/>
        </w:numPr>
        <w:rPr>
          <w:sz w:val="24"/>
          <w:szCs w:val="24"/>
          <w:lang w:val="en-US"/>
        </w:rPr>
      </w:pPr>
      <w:r w:rsidRPr="0091210C">
        <w:rPr>
          <w:sz w:val="24"/>
          <w:szCs w:val="24"/>
          <w:lang w:val="en-US"/>
        </w:rPr>
        <w:t xml:space="preserve">pp907550 </w:t>
      </w:r>
      <w:r w:rsidR="007A2D1C" w:rsidRPr="0091210C">
        <w:rPr>
          <w:sz w:val="24"/>
          <w:szCs w:val="24"/>
          <w:lang w:val="en-US"/>
        </w:rPr>
        <w:t>= (</w:t>
      </w:r>
      <w:r w:rsidR="004458A8">
        <w:rPr>
          <w:sz w:val="24"/>
          <w:szCs w:val="24"/>
          <w:lang w:val="en-US"/>
        </w:rPr>
        <w:t>decile9/quartile3</w:t>
      </w:r>
      <w:r w:rsidR="007A2D1C" w:rsidRPr="0091210C">
        <w:rPr>
          <w:sz w:val="24"/>
          <w:szCs w:val="24"/>
          <w:lang w:val="en-US"/>
        </w:rPr>
        <w:t>)</w:t>
      </w:r>
      <w:r w:rsidR="004458A8">
        <w:rPr>
          <w:sz w:val="24"/>
          <w:szCs w:val="24"/>
          <w:lang w:val="en-US"/>
        </w:rPr>
        <w:t xml:space="preserve"> /</w:t>
      </w:r>
      <w:r w:rsidR="007A2D1C" w:rsidRPr="0091210C">
        <w:rPr>
          <w:sz w:val="24"/>
          <w:szCs w:val="24"/>
          <w:lang w:val="en-US"/>
        </w:rPr>
        <w:t xml:space="preserve"> (quartile</w:t>
      </w:r>
      <w:r w:rsidR="004458A8">
        <w:rPr>
          <w:sz w:val="24"/>
          <w:szCs w:val="24"/>
          <w:lang w:val="en-US"/>
        </w:rPr>
        <w:t>3/</w:t>
      </w:r>
      <w:r w:rsidR="007A2D1C" w:rsidRPr="0091210C">
        <w:rPr>
          <w:sz w:val="24"/>
          <w:szCs w:val="24"/>
          <w:lang w:val="en-US"/>
        </w:rPr>
        <w:t>median)</w:t>
      </w:r>
      <w:r w:rsidR="00580992" w:rsidRPr="0091210C">
        <w:rPr>
          <w:sz w:val="24"/>
          <w:szCs w:val="24"/>
          <w:lang w:val="en-US"/>
        </w:rPr>
        <w:t xml:space="preserve">: this measures the degree to which </w:t>
      </w:r>
      <w:r w:rsidR="004458A8">
        <w:rPr>
          <w:sz w:val="24"/>
          <w:szCs w:val="24"/>
          <w:lang w:val="en-US"/>
        </w:rPr>
        <w:t xml:space="preserve">inequality accelerates near the top decile, compared to the degree of inequality between the median and the top quartile. This </w:t>
      </w:r>
      <w:r w:rsidR="00C817BD">
        <w:rPr>
          <w:sz w:val="24"/>
          <w:szCs w:val="24"/>
          <w:lang w:val="en-US"/>
        </w:rPr>
        <w:t xml:space="preserve">corresponds to </w:t>
      </w:r>
      <w:r w:rsidR="004458A8">
        <w:rPr>
          <w:sz w:val="24"/>
          <w:szCs w:val="24"/>
          <w:lang w:val="en-US"/>
        </w:rPr>
        <w:t>over-elongation at the top.</w:t>
      </w:r>
    </w:p>
    <w:p w:rsidR="004458A8" w:rsidRPr="004458A8" w:rsidRDefault="004458A8" w:rsidP="004458A8">
      <w:pPr>
        <w:numPr>
          <w:ilvl w:val="1"/>
          <w:numId w:val="4"/>
        </w:numPr>
        <w:rPr>
          <w:sz w:val="24"/>
          <w:szCs w:val="24"/>
          <w:lang w:val="en-US"/>
        </w:rPr>
      </w:pPr>
      <w:r w:rsidRPr="0091210C">
        <w:rPr>
          <w:sz w:val="24"/>
          <w:szCs w:val="24"/>
          <w:lang w:val="en-US"/>
        </w:rPr>
        <w:t>pp</w:t>
      </w:r>
      <w:r>
        <w:rPr>
          <w:sz w:val="24"/>
          <w:szCs w:val="24"/>
          <w:lang w:val="en-US"/>
        </w:rPr>
        <w:t>2510</w:t>
      </w:r>
      <w:r w:rsidRPr="0091210C">
        <w:rPr>
          <w:sz w:val="24"/>
          <w:szCs w:val="24"/>
          <w:lang w:val="en-US"/>
        </w:rPr>
        <w:t>50 = (</w:t>
      </w:r>
      <w:r>
        <w:rPr>
          <w:sz w:val="24"/>
          <w:szCs w:val="24"/>
          <w:lang w:val="en-US"/>
        </w:rPr>
        <w:t>quartile1/decile1</w:t>
      </w:r>
      <w:r w:rsidRPr="0091210C">
        <w:rPr>
          <w:sz w:val="24"/>
          <w:szCs w:val="24"/>
          <w:lang w:val="en-US"/>
        </w:rPr>
        <w:t>)</w:t>
      </w:r>
      <w:r>
        <w:rPr>
          <w:sz w:val="24"/>
          <w:szCs w:val="24"/>
          <w:lang w:val="en-US"/>
        </w:rPr>
        <w:t xml:space="preserve"> /</w:t>
      </w:r>
      <w:r w:rsidRPr="0091210C">
        <w:rPr>
          <w:sz w:val="24"/>
          <w:szCs w:val="24"/>
          <w:lang w:val="en-US"/>
        </w:rPr>
        <w:t xml:space="preserve"> (median</w:t>
      </w:r>
      <w:r>
        <w:rPr>
          <w:sz w:val="24"/>
          <w:szCs w:val="24"/>
          <w:lang w:val="en-US"/>
        </w:rPr>
        <w:t>/quartile1</w:t>
      </w:r>
      <w:r w:rsidRPr="0091210C">
        <w:rPr>
          <w:sz w:val="24"/>
          <w:szCs w:val="24"/>
          <w:lang w:val="en-US"/>
        </w:rPr>
        <w:t xml:space="preserve">): this measures the degree to which </w:t>
      </w:r>
      <w:r>
        <w:rPr>
          <w:sz w:val="24"/>
          <w:szCs w:val="24"/>
          <w:lang w:val="en-US"/>
        </w:rPr>
        <w:t xml:space="preserve">inequality accelerates </w:t>
      </w:r>
      <w:r w:rsidR="00C817BD">
        <w:rPr>
          <w:sz w:val="24"/>
          <w:szCs w:val="24"/>
          <w:lang w:val="en-US"/>
        </w:rPr>
        <w:t xml:space="preserve">at </w:t>
      </w:r>
      <w:r>
        <w:rPr>
          <w:sz w:val="24"/>
          <w:szCs w:val="24"/>
          <w:lang w:val="en-US"/>
        </w:rPr>
        <w:t>the lower decile, compared to the degree of inequality at the lower quartile</w:t>
      </w:r>
      <w:r w:rsidRPr="0091210C">
        <w:rPr>
          <w:sz w:val="24"/>
          <w:szCs w:val="24"/>
          <w:lang w:val="en-US"/>
        </w:rPr>
        <w:t>.</w:t>
      </w:r>
      <w:r>
        <w:rPr>
          <w:sz w:val="24"/>
          <w:szCs w:val="24"/>
          <w:lang w:val="en-US"/>
        </w:rPr>
        <w:t xml:space="preserve"> This </w:t>
      </w:r>
      <w:r w:rsidR="00F67915">
        <w:rPr>
          <w:sz w:val="24"/>
          <w:szCs w:val="24"/>
          <w:lang w:val="en-US"/>
        </w:rPr>
        <w:t xml:space="preserve">corresponds to </w:t>
      </w:r>
      <w:r>
        <w:rPr>
          <w:sz w:val="24"/>
          <w:szCs w:val="24"/>
          <w:lang w:val="en-US"/>
        </w:rPr>
        <w:t>over-elongation at the bottom.</w:t>
      </w:r>
    </w:p>
    <w:p w:rsidR="000C3FE7" w:rsidRDefault="00813ED5" w:rsidP="00B542BD">
      <w:pPr>
        <w:numPr>
          <w:ilvl w:val="0"/>
          <w:numId w:val="4"/>
        </w:numPr>
        <w:rPr>
          <w:sz w:val="24"/>
          <w:szCs w:val="24"/>
          <w:lang w:val="en-US"/>
        </w:rPr>
      </w:pPr>
      <w:r w:rsidRPr="00FA44A0">
        <w:rPr>
          <w:b/>
          <w:sz w:val="24"/>
          <w:szCs w:val="24"/>
          <w:lang w:val="en-US"/>
        </w:rPr>
        <w:t xml:space="preserve">ISO(X) class of measure of inequality: </w:t>
      </w:r>
      <w:r w:rsidR="00A20A9B" w:rsidRPr="00FA44A0">
        <w:rPr>
          <w:b/>
          <w:sz w:val="24"/>
          <w:szCs w:val="24"/>
          <w:lang w:val="en-US"/>
        </w:rPr>
        <w:br/>
      </w:r>
      <w:r w:rsidR="0091210C">
        <w:rPr>
          <w:sz w:val="24"/>
          <w:szCs w:val="24"/>
          <w:lang w:val="en-US"/>
        </w:rPr>
        <w:t>iso</w:t>
      </w:r>
      <w:r w:rsidR="000C3FE7">
        <w:rPr>
          <w:sz w:val="24"/>
          <w:szCs w:val="24"/>
          <w:lang w:val="en-US"/>
        </w:rPr>
        <w:t xml:space="preserve">2, </w:t>
      </w:r>
      <w:r w:rsidR="0091210C">
        <w:rPr>
          <w:sz w:val="24"/>
          <w:szCs w:val="24"/>
          <w:lang w:val="en-US"/>
        </w:rPr>
        <w:t>iso</w:t>
      </w:r>
      <w:r w:rsidR="000C3FE7">
        <w:rPr>
          <w:sz w:val="24"/>
          <w:szCs w:val="24"/>
          <w:lang w:val="en-US"/>
        </w:rPr>
        <w:t xml:space="preserve">6, </w:t>
      </w:r>
      <w:r w:rsidR="0091210C">
        <w:rPr>
          <w:sz w:val="24"/>
          <w:szCs w:val="24"/>
          <w:lang w:val="en-US"/>
        </w:rPr>
        <w:t>iso</w:t>
      </w:r>
      <w:r w:rsidR="000C3FE7">
        <w:rPr>
          <w:sz w:val="24"/>
          <w:szCs w:val="24"/>
          <w:lang w:val="en-US"/>
        </w:rPr>
        <w:t xml:space="preserve">10, </w:t>
      </w:r>
      <w:r w:rsidR="0091210C">
        <w:rPr>
          <w:sz w:val="24"/>
          <w:szCs w:val="24"/>
          <w:lang w:val="en-US"/>
        </w:rPr>
        <w:t>iso</w:t>
      </w:r>
      <w:r w:rsidR="000C3FE7">
        <w:rPr>
          <w:sz w:val="24"/>
          <w:szCs w:val="24"/>
          <w:lang w:val="en-US"/>
        </w:rPr>
        <w:t>14</w:t>
      </w:r>
      <w:r w:rsidR="0091210C">
        <w:rPr>
          <w:sz w:val="24"/>
          <w:szCs w:val="24"/>
          <w:lang w:val="en-US"/>
        </w:rPr>
        <w:t>, iso18</w:t>
      </w:r>
      <w:r w:rsidR="000C3FE7">
        <w:rPr>
          <w:sz w:val="24"/>
          <w:szCs w:val="24"/>
          <w:lang w:val="en-US"/>
        </w:rPr>
        <w:t xml:space="preserve"> </w:t>
      </w:r>
      <w:r w:rsidR="00A20A9B">
        <w:rPr>
          <w:sz w:val="24"/>
          <w:szCs w:val="24"/>
          <w:lang w:val="en-US"/>
        </w:rPr>
        <w:t xml:space="preserve">are respectively </w:t>
      </w:r>
      <w:r w:rsidR="00953BC8">
        <w:rPr>
          <w:sz w:val="24"/>
          <w:szCs w:val="24"/>
          <w:lang w:val="en-US"/>
        </w:rPr>
        <w:t>the values of ISO for the “vingtiles” (5% slices) 2, 6, 10, 14 and 18</w:t>
      </w:r>
      <w:r w:rsidR="00C817BD">
        <w:rPr>
          <w:sz w:val="24"/>
          <w:szCs w:val="24"/>
          <w:lang w:val="en-US"/>
        </w:rPr>
        <w:t xml:space="preserve">. These correspond to the </w:t>
      </w:r>
      <w:r w:rsidR="000C3FE7">
        <w:rPr>
          <w:sz w:val="24"/>
          <w:szCs w:val="24"/>
          <w:lang w:val="en-US"/>
        </w:rPr>
        <w:t xml:space="preserve">values </w:t>
      </w:r>
      <w:r w:rsidR="00953BC8">
        <w:rPr>
          <w:sz w:val="24"/>
          <w:szCs w:val="24"/>
          <w:lang w:val="en-US"/>
        </w:rPr>
        <w:t>of</w:t>
      </w:r>
      <w:r w:rsidR="000C3FE7">
        <w:rPr>
          <w:sz w:val="24"/>
          <w:szCs w:val="24"/>
          <w:lang w:val="en-US"/>
        </w:rPr>
        <w:t xml:space="preserve"> X </w:t>
      </w:r>
      <w:r w:rsidR="0091210C">
        <w:rPr>
          <w:sz w:val="24"/>
          <w:szCs w:val="24"/>
          <w:lang w:val="en-US"/>
        </w:rPr>
        <w:t>close to</w:t>
      </w:r>
      <w:r w:rsidR="000C3FE7">
        <w:rPr>
          <w:sz w:val="24"/>
          <w:szCs w:val="24"/>
          <w:lang w:val="en-US"/>
        </w:rPr>
        <w:t xml:space="preserve"> -3, -1, </w:t>
      </w:r>
      <w:r w:rsidR="00B446C5">
        <w:rPr>
          <w:sz w:val="24"/>
          <w:szCs w:val="24"/>
          <w:lang w:val="en-US"/>
        </w:rPr>
        <w:t xml:space="preserve">0, </w:t>
      </w:r>
      <w:r w:rsidR="000C3FE7">
        <w:rPr>
          <w:sz w:val="24"/>
          <w:szCs w:val="24"/>
          <w:lang w:val="en-US"/>
        </w:rPr>
        <w:t>+1 and +3</w:t>
      </w:r>
      <w:r w:rsidR="00853DFB">
        <w:rPr>
          <w:sz w:val="24"/>
          <w:szCs w:val="24"/>
          <w:lang w:val="en-US"/>
        </w:rPr>
        <w:t>,</w:t>
      </w:r>
      <w:r>
        <w:rPr>
          <w:sz w:val="24"/>
          <w:szCs w:val="24"/>
          <w:lang w:val="en-US"/>
        </w:rPr>
        <w:t xml:space="preserve"> </w:t>
      </w:r>
      <w:r w:rsidR="00953BC8">
        <w:rPr>
          <w:sz w:val="24"/>
          <w:szCs w:val="24"/>
          <w:lang w:val="en-US"/>
        </w:rPr>
        <w:t>respectively</w:t>
      </w:r>
      <w:r w:rsidR="00D91D6F">
        <w:rPr>
          <w:sz w:val="24"/>
          <w:szCs w:val="24"/>
          <w:lang w:val="en-US"/>
        </w:rPr>
        <w:t>.</w:t>
      </w:r>
    </w:p>
    <w:p w:rsidR="000C3FE7" w:rsidRDefault="00813ED5" w:rsidP="00B542BD">
      <w:pPr>
        <w:numPr>
          <w:ilvl w:val="0"/>
          <w:numId w:val="4"/>
        </w:numPr>
        <w:rPr>
          <w:sz w:val="24"/>
          <w:szCs w:val="24"/>
          <w:lang w:val="en-US"/>
        </w:rPr>
      </w:pPr>
      <w:r w:rsidRPr="00FA44A0">
        <w:rPr>
          <w:b/>
          <w:sz w:val="24"/>
          <w:szCs w:val="24"/>
          <w:lang w:val="en-US"/>
        </w:rPr>
        <w:t xml:space="preserve">Income class proportions: </w:t>
      </w:r>
      <w:r w:rsidR="00A20A9B" w:rsidRPr="00FA44A0">
        <w:rPr>
          <w:b/>
          <w:sz w:val="24"/>
          <w:szCs w:val="24"/>
          <w:lang w:val="en-US"/>
        </w:rPr>
        <w:br/>
      </w:r>
      <w:r w:rsidR="000C3FE7">
        <w:rPr>
          <w:sz w:val="24"/>
          <w:szCs w:val="24"/>
          <w:lang w:val="en-US"/>
        </w:rPr>
        <w:t>p</w:t>
      </w:r>
      <w:r w:rsidR="00953BC8">
        <w:rPr>
          <w:sz w:val="24"/>
          <w:szCs w:val="24"/>
          <w:lang w:val="en-US"/>
        </w:rPr>
        <w:t>o</w:t>
      </w:r>
      <w:r w:rsidR="000C3FE7">
        <w:rPr>
          <w:sz w:val="24"/>
          <w:szCs w:val="24"/>
          <w:lang w:val="en-US"/>
        </w:rPr>
        <w:t>, mcl, mc, mcu, ri</w:t>
      </w:r>
      <w:r w:rsidR="00C817BD">
        <w:rPr>
          <w:sz w:val="24"/>
          <w:szCs w:val="24"/>
          <w:lang w:val="en-US"/>
        </w:rPr>
        <w:t xml:space="preserve">. These are </w:t>
      </w:r>
      <w:r w:rsidR="000C3FE7">
        <w:rPr>
          <w:sz w:val="24"/>
          <w:szCs w:val="24"/>
          <w:lang w:val="en-US"/>
        </w:rPr>
        <w:t>respectively</w:t>
      </w:r>
      <w:r w:rsidR="001257CD">
        <w:rPr>
          <w:sz w:val="24"/>
          <w:szCs w:val="24"/>
          <w:lang w:val="en-US"/>
        </w:rPr>
        <w:t>,</w:t>
      </w:r>
      <w:r w:rsidR="000C3FE7">
        <w:rPr>
          <w:sz w:val="24"/>
          <w:szCs w:val="24"/>
          <w:lang w:val="en-US"/>
        </w:rPr>
        <w:t xml:space="preserve"> the proportion of </w:t>
      </w:r>
      <w:r w:rsidR="00C817BD">
        <w:rPr>
          <w:sz w:val="24"/>
          <w:szCs w:val="24"/>
          <w:lang w:val="en-US"/>
        </w:rPr>
        <w:t xml:space="preserve">the </w:t>
      </w:r>
      <w:r w:rsidR="000C3FE7">
        <w:rPr>
          <w:sz w:val="24"/>
          <w:szCs w:val="24"/>
          <w:lang w:val="en-US"/>
        </w:rPr>
        <w:t>poor (medi</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.5), lower middle class (.5</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medi</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.75), middle class (.75</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medi</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1.25),</w:t>
      </w:r>
      <w:r w:rsidR="000C3FE7" w:rsidRPr="000C3FE7">
        <w:rPr>
          <w:sz w:val="24"/>
          <w:szCs w:val="24"/>
          <w:lang w:val="en-US"/>
        </w:rPr>
        <w:t xml:space="preserve"> </w:t>
      </w:r>
      <w:r w:rsidR="000C3FE7">
        <w:rPr>
          <w:sz w:val="24"/>
          <w:szCs w:val="24"/>
          <w:lang w:val="en-US"/>
        </w:rPr>
        <w:t>upper middle class (1.25</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medi</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2)</w:t>
      </w:r>
      <w:r w:rsidR="000C3FE7" w:rsidRPr="000C3FE7">
        <w:rPr>
          <w:sz w:val="24"/>
          <w:szCs w:val="24"/>
          <w:lang w:val="en-US"/>
        </w:rPr>
        <w:t xml:space="preserve"> </w:t>
      </w:r>
      <w:r w:rsidR="000C3FE7">
        <w:rPr>
          <w:sz w:val="24"/>
          <w:szCs w:val="24"/>
          <w:lang w:val="en-US"/>
        </w:rPr>
        <w:t>and rich (2</w:t>
      </w:r>
      <w:r w:rsidR="001257CD">
        <w:rPr>
          <w:sz w:val="24"/>
          <w:szCs w:val="24"/>
          <w:lang w:val="en-US"/>
        </w:rPr>
        <w:t xml:space="preserve"> </w:t>
      </w:r>
      <w:r w:rsidR="000C3FE7">
        <w:rPr>
          <w:sz w:val="24"/>
          <w:szCs w:val="24"/>
          <w:lang w:val="en-US"/>
        </w:rPr>
        <w:t>&lt;=</w:t>
      </w:r>
      <w:r w:rsidR="001257CD">
        <w:rPr>
          <w:sz w:val="24"/>
          <w:szCs w:val="24"/>
          <w:lang w:val="en-US"/>
        </w:rPr>
        <w:t xml:space="preserve"> </w:t>
      </w:r>
      <w:r w:rsidR="000C3FE7">
        <w:rPr>
          <w:sz w:val="24"/>
          <w:szCs w:val="24"/>
          <w:lang w:val="en-US"/>
        </w:rPr>
        <w:t>medi) in the total population</w:t>
      </w:r>
      <w:r w:rsidR="002203AB">
        <w:rPr>
          <w:sz w:val="24"/>
          <w:szCs w:val="24"/>
          <w:lang w:val="en-US"/>
        </w:rPr>
        <w:t>.</w:t>
      </w:r>
      <w:r w:rsidR="002A7480">
        <w:rPr>
          <w:rStyle w:val="FootnoteReference"/>
          <w:sz w:val="24"/>
          <w:szCs w:val="24"/>
          <w:lang w:val="en-US"/>
        </w:rPr>
        <w:footnoteReference w:id="20"/>
      </w:r>
    </w:p>
    <w:p w:rsidR="003E04AE" w:rsidRDefault="00813ED5" w:rsidP="00B542BD">
      <w:pPr>
        <w:numPr>
          <w:ilvl w:val="0"/>
          <w:numId w:val="4"/>
        </w:numPr>
        <w:rPr>
          <w:sz w:val="24"/>
          <w:szCs w:val="24"/>
          <w:lang w:val="en-US"/>
        </w:rPr>
      </w:pPr>
      <w:r w:rsidRPr="00FA44A0">
        <w:rPr>
          <w:b/>
          <w:sz w:val="24"/>
          <w:szCs w:val="24"/>
          <w:lang w:val="en-US"/>
        </w:rPr>
        <w:t xml:space="preserve">Income class based indicator of polarization: </w:t>
      </w:r>
      <w:r w:rsidR="00A20A9B" w:rsidRPr="00FA44A0">
        <w:rPr>
          <w:b/>
          <w:sz w:val="24"/>
          <w:szCs w:val="24"/>
          <w:lang w:val="en-US"/>
        </w:rPr>
        <w:br/>
      </w:r>
      <w:r w:rsidR="003E04AE">
        <w:rPr>
          <w:sz w:val="24"/>
          <w:szCs w:val="24"/>
          <w:lang w:val="en-US"/>
        </w:rPr>
        <w:t>rpol = (mcl</w:t>
      </w:r>
      <w:r w:rsidR="001257CD">
        <w:rPr>
          <w:sz w:val="24"/>
          <w:szCs w:val="24"/>
          <w:lang w:val="en-US"/>
        </w:rPr>
        <w:t xml:space="preserve"> </w:t>
      </w:r>
      <w:r w:rsidR="003E04AE">
        <w:rPr>
          <w:sz w:val="24"/>
          <w:szCs w:val="24"/>
          <w:lang w:val="en-US"/>
        </w:rPr>
        <w:t>+</w:t>
      </w:r>
      <w:r w:rsidR="003E04AE" w:rsidRPr="00B54C36">
        <w:rPr>
          <w:sz w:val="24"/>
          <w:szCs w:val="24"/>
          <w:lang w:val="en-US"/>
        </w:rPr>
        <w:t xml:space="preserve"> </w:t>
      </w:r>
      <w:r w:rsidR="003E04AE">
        <w:rPr>
          <w:sz w:val="24"/>
          <w:szCs w:val="24"/>
          <w:lang w:val="en-US"/>
        </w:rPr>
        <w:t>mcu)/mc</w:t>
      </w:r>
      <w:r w:rsidR="00C817BD">
        <w:rPr>
          <w:sz w:val="24"/>
          <w:szCs w:val="24"/>
          <w:lang w:val="en-US"/>
        </w:rPr>
        <w:t>. T</w:t>
      </w:r>
      <w:r w:rsidR="002B0E5A">
        <w:rPr>
          <w:sz w:val="24"/>
          <w:szCs w:val="24"/>
          <w:lang w:val="en-US"/>
        </w:rPr>
        <w:t>his “</w:t>
      </w:r>
      <w:r w:rsidR="00C817BD" w:rsidRPr="00C817BD">
        <w:rPr>
          <w:sz w:val="24"/>
          <w:szCs w:val="24"/>
          <w:lang w:val="en-US"/>
        </w:rPr>
        <w:t xml:space="preserve">polarization </w:t>
      </w:r>
      <w:r w:rsidR="002B0E5A">
        <w:rPr>
          <w:sz w:val="24"/>
          <w:szCs w:val="24"/>
          <w:lang w:val="en-US"/>
        </w:rPr>
        <w:t xml:space="preserve">ratio” </w:t>
      </w:r>
      <w:r w:rsidR="00C817BD">
        <w:rPr>
          <w:sz w:val="24"/>
          <w:szCs w:val="24"/>
          <w:lang w:val="en-US"/>
        </w:rPr>
        <w:t xml:space="preserve">assesses the size of the </w:t>
      </w:r>
      <w:r w:rsidR="003E04AE">
        <w:rPr>
          <w:sz w:val="24"/>
          <w:szCs w:val="24"/>
          <w:lang w:val="en-US"/>
        </w:rPr>
        <w:t xml:space="preserve">lower </w:t>
      </w:r>
      <w:r w:rsidR="00700A5D">
        <w:rPr>
          <w:sz w:val="24"/>
          <w:szCs w:val="24"/>
          <w:lang w:val="en-US"/>
        </w:rPr>
        <w:t xml:space="preserve">and upper </w:t>
      </w:r>
      <w:r w:rsidR="003E04AE">
        <w:rPr>
          <w:sz w:val="24"/>
          <w:szCs w:val="24"/>
          <w:lang w:val="en-US"/>
        </w:rPr>
        <w:t xml:space="preserve">middle classes compared to the </w:t>
      </w:r>
      <w:r w:rsidR="00C817BD">
        <w:rPr>
          <w:sz w:val="24"/>
          <w:szCs w:val="24"/>
          <w:lang w:val="en-US"/>
        </w:rPr>
        <w:t>middle class</w:t>
      </w:r>
      <w:r w:rsidR="00700A5D">
        <w:rPr>
          <w:sz w:val="24"/>
          <w:szCs w:val="24"/>
          <w:lang w:val="en-US"/>
        </w:rPr>
        <w:t xml:space="preserve">, </w:t>
      </w:r>
      <w:r w:rsidR="00C817BD">
        <w:rPr>
          <w:sz w:val="24"/>
          <w:szCs w:val="24"/>
          <w:lang w:val="en-US"/>
        </w:rPr>
        <w:t xml:space="preserve">who are </w:t>
      </w:r>
      <w:r w:rsidR="00700A5D">
        <w:rPr>
          <w:sz w:val="24"/>
          <w:szCs w:val="24"/>
          <w:lang w:val="en-US"/>
        </w:rPr>
        <w:t>close to the median</w:t>
      </w:r>
      <w:r w:rsidR="003E04AE">
        <w:rPr>
          <w:sz w:val="24"/>
          <w:szCs w:val="24"/>
          <w:lang w:val="en-US"/>
        </w:rPr>
        <w:t>.</w:t>
      </w:r>
    </w:p>
    <w:p w:rsidR="00580992" w:rsidRDefault="00580992" w:rsidP="00580992">
      <w:pPr>
        <w:spacing w:after="120" w:line="480" w:lineRule="auto"/>
        <w:rPr>
          <w:sz w:val="24"/>
          <w:szCs w:val="24"/>
          <w:lang w:val="en-US"/>
        </w:rPr>
      </w:pPr>
    </w:p>
    <w:p w:rsidR="0042774B" w:rsidRDefault="00F67915" w:rsidP="00F4214B">
      <w:pPr>
        <w:spacing w:after="120" w:line="480" w:lineRule="auto"/>
        <w:rPr>
          <w:sz w:val="24"/>
          <w:szCs w:val="24"/>
          <w:lang w:val="en-US"/>
        </w:rPr>
      </w:pPr>
      <w:r>
        <w:rPr>
          <w:sz w:val="24"/>
          <w:szCs w:val="24"/>
          <w:lang w:val="en-GB"/>
        </w:rPr>
        <w:t xml:space="preserve">One </w:t>
      </w:r>
      <w:r w:rsidR="0044303F">
        <w:rPr>
          <w:sz w:val="24"/>
          <w:szCs w:val="24"/>
          <w:lang w:val="en-GB"/>
        </w:rPr>
        <w:t xml:space="preserve">important question is the relative position of the ABG parameters in the field of inequality measures. A first answer is given by an </w:t>
      </w:r>
      <w:r w:rsidR="00782166">
        <w:rPr>
          <w:sz w:val="24"/>
          <w:szCs w:val="24"/>
          <w:lang w:val="en-GB"/>
        </w:rPr>
        <w:t xml:space="preserve">analysis </w:t>
      </w:r>
      <w:r w:rsidR="0044303F">
        <w:rPr>
          <w:sz w:val="24"/>
          <w:szCs w:val="24"/>
          <w:lang w:val="en-GB"/>
        </w:rPr>
        <w:t xml:space="preserve">of </w:t>
      </w:r>
      <w:r w:rsidR="00782166">
        <w:rPr>
          <w:sz w:val="24"/>
          <w:szCs w:val="24"/>
          <w:lang w:val="en-GB"/>
        </w:rPr>
        <w:t xml:space="preserve">the correlation matrix </w:t>
      </w:r>
      <w:r w:rsidR="0044303F">
        <w:rPr>
          <w:sz w:val="24"/>
          <w:szCs w:val="24"/>
          <w:lang w:val="en-GB"/>
        </w:rPr>
        <w:t xml:space="preserve">of these </w:t>
      </w:r>
      <w:r w:rsidR="0044303F">
        <w:rPr>
          <w:sz w:val="24"/>
          <w:szCs w:val="24"/>
          <w:lang w:val="en-GB"/>
        </w:rPr>
        <w:lastRenderedPageBreak/>
        <w:t xml:space="preserve">indicators </w:t>
      </w:r>
      <w:r w:rsidR="00A072FE">
        <w:rPr>
          <w:sz w:val="24"/>
          <w:szCs w:val="24"/>
          <w:lang w:val="en-GB"/>
        </w:rPr>
        <w:t>(</w:t>
      </w:r>
      <w:r w:rsidR="00DE578D">
        <w:rPr>
          <w:sz w:val="24"/>
          <w:szCs w:val="24"/>
          <w:lang w:val="en-GB"/>
        </w:rPr>
        <w:t>Appendix</w:t>
      </w:r>
      <w:r w:rsidR="00D744BB">
        <w:rPr>
          <w:sz w:val="24"/>
          <w:szCs w:val="24"/>
          <w:lang w:val="en-GB"/>
        </w:rPr>
        <w:t>3</w:t>
      </w:r>
      <w:r w:rsidR="00A072FE">
        <w:rPr>
          <w:sz w:val="24"/>
          <w:szCs w:val="24"/>
          <w:lang w:val="en-GB"/>
        </w:rPr>
        <w:t xml:space="preserve">: </w:t>
      </w:r>
      <w:r w:rsidR="00C817BD">
        <w:rPr>
          <w:sz w:val="24"/>
          <w:szCs w:val="24"/>
          <w:lang w:val="en-GB"/>
        </w:rPr>
        <w:t xml:space="preserve">the </w:t>
      </w:r>
      <w:r w:rsidR="00A072FE">
        <w:rPr>
          <w:sz w:val="24"/>
          <w:szCs w:val="24"/>
          <w:lang w:val="en-GB"/>
        </w:rPr>
        <w:t xml:space="preserve">general correlation matrix of </w:t>
      </w:r>
      <w:r w:rsidR="00A35CE1">
        <w:rPr>
          <w:sz w:val="24"/>
          <w:szCs w:val="24"/>
          <w:lang w:val="en-GB"/>
        </w:rPr>
        <w:t xml:space="preserve">30 </w:t>
      </w:r>
      <w:r w:rsidR="00A072FE">
        <w:rPr>
          <w:sz w:val="24"/>
          <w:szCs w:val="24"/>
          <w:lang w:val="en-GB"/>
        </w:rPr>
        <w:t>inequality indicators)</w:t>
      </w:r>
      <w:r w:rsidR="0044303F">
        <w:rPr>
          <w:sz w:val="24"/>
          <w:szCs w:val="24"/>
          <w:lang w:val="en-GB"/>
        </w:rPr>
        <w:t xml:space="preserve">: </w:t>
      </w:r>
      <w:r w:rsidR="009C646A">
        <w:rPr>
          <w:sz w:val="24"/>
          <w:szCs w:val="24"/>
          <w:lang w:val="en-GB"/>
        </w:rPr>
        <w:t xml:space="preserve">there is a very strong relation between </w:t>
      </w:r>
      <w:r w:rsidR="00472786" w:rsidRPr="00472786">
        <w:rPr>
          <w:rFonts w:ascii="Symbol" w:hAnsi="Symbol"/>
          <w:sz w:val="24"/>
          <w:szCs w:val="24"/>
          <w:lang w:val="en-GB"/>
        </w:rPr>
        <w:t></w:t>
      </w:r>
      <w:r w:rsidR="009C646A">
        <w:rPr>
          <w:sz w:val="24"/>
          <w:szCs w:val="24"/>
          <w:lang w:val="en-GB"/>
        </w:rPr>
        <w:t xml:space="preserve"> and </w:t>
      </w:r>
      <w:r w:rsidR="00853DFB">
        <w:rPr>
          <w:sz w:val="24"/>
          <w:szCs w:val="24"/>
          <w:lang w:val="en-GB"/>
        </w:rPr>
        <w:t xml:space="preserve">the </w:t>
      </w:r>
      <w:r w:rsidR="00A70B2E">
        <w:rPr>
          <w:sz w:val="24"/>
          <w:szCs w:val="24"/>
          <w:lang w:val="en-GB"/>
        </w:rPr>
        <w:t>Gini index</w:t>
      </w:r>
      <w:r w:rsidR="009C646A">
        <w:rPr>
          <w:sz w:val="24"/>
          <w:szCs w:val="24"/>
          <w:lang w:val="en-GB"/>
        </w:rPr>
        <w:t xml:space="preserve"> (R</w:t>
      </w:r>
      <w:r w:rsidR="00612450">
        <w:rPr>
          <w:sz w:val="24"/>
          <w:szCs w:val="24"/>
          <w:lang w:val="en-GB"/>
        </w:rPr>
        <w:t xml:space="preserve"> </w:t>
      </w:r>
      <w:r w:rsidR="009C646A">
        <w:rPr>
          <w:sz w:val="24"/>
          <w:szCs w:val="24"/>
          <w:lang w:val="en-GB"/>
        </w:rPr>
        <w:t>=</w:t>
      </w:r>
      <w:r w:rsidR="00612450">
        <w:rPr>
          <w:sz w:val="24"/>
          <w:szCs w:val="24"/>
          <w:lang w:val="en-GB"/>
        </w:rPr>
        <w:t xml:space="preserve"> </w:t>
      </w:r>
      <w:r w:rsidR="009C646A">
        <w:rPr>
          <w:sz w:val="24"/>
          <w:szCs w:val="24"/>
          <w:lang w:val="en-GB"/>
        </w:rPr>
        <w:t>+.95)</w:t>
      </w:r>
      <w:r w:rsidR="005D4C60">
        <w:rPr>
          <w:sz w:val="24"/>
          <w:szCs w:val="24"/>
          <w:lang w:val="en-GB"/>
        </w:rPr>
        <w:t xml:space="preserve"> thus</w:t>
      </w:r>
      <w:r w:rsidR="009C646A">
        <w:rPr>
          <w:sz w:val="24"/>
          <w:szCs w:val="24"/>
          <w:lang w:val="en-GB"/>
        </w:rPr>
        <w:t xml:space="preserve"> confirm</w:t>
      </w:r>
      <w:r w:rsidR="005D4C60">
        <w:rPr>
          <w:sz w:val="24"/>
          <w:szCs w:val="24"/>
          <w:lang w:val="en-GB"/>
        </w:rPr>
        <w:t>ing</w:t>
      </w:r>
      <w:r w:rsidR="009C646A">
        <w:rPr>
          <w:sz w:val="24"/>
          <w:szCs w:val="24"/>
          <w:lang w:val="en-GB"/>
        </w:rPr>
        <w:t xml:space="preserve"> the relation of the</w:t>
      </w:r>
      <w:r w:rsidR="00C817BD">
        <w:rPr>
          <w:sz w:val="24"/>
          <w:szCs w:val="24"/>
          <w:lang w:val="en-GB"/>
        </w:rPr>
        <w:t>se</w:t>
      </w:r>
      <w:r w:rsidR="009C646A">
        <w:rPr>
          <w:sz w:val="24"/>
          <w:szCs w:val="24"/>
          <w:lang w:val="en-GB"/>
        </w:rPr>
        <w:t xml:space="preserve"> two </w:t>
      </w:r>
      <w:r w:rsidR="00C817BD" w:rsidRPr="00C817BD">
        <w:rPr>
          <w:sz w:val="24"/>
          <w:szCs w:val="24"/>
          <w:lang w:val="en-GB"/>
        </w:rPr>
        <w:t xml:space="preserve">inequality </w:t>
      </w:r>
      <w:r w:rsidR="009C646A">
        <w:rPr>
          <w:sz w:val="24"/>
          <w:szCs w:val="24"/>
          <w:lang w:val="en-GB"/>
        </w:rPr>
        <w:t xml:space="preserve">measures when the </w:t>
      </w:r>
      <w:r w:rsidR="00C37C17">
        <w:rPr>
          <w:sz w:val="24"/>
          <w:szCs w:val="24"/>
          <w:lang w:val="en-GB"/>
        </w:rPr>
        <w:t>CF</w:t>
      </w:r>
      <w:r w:rsidR="00C37C17" w:rsidRPr="00C37C17">
        <w:rPr>
          <w:rFonts w:ascii="Symbol" w:hAnsi="Symbol"/>
          <w:sz w:val="24"/>
          <w:szCs w:val="24"/>
          <w:vertAlign w:val="subscript"/>
          <w:lang w:val="en-GB"/>
        </w:rPr>
        <w:t></w:t>
      </w:r>
      <w:r w:rsidR="00C37C17">
        <w:rPr>
          <w:sz w:val="24"/>
          <w:szCs w:val="24"/>
          <w:lang w:val="en-GB"/>
        </w:rPr>
        <w:t xml:space="preserve"> </w:t>
      </w:r>
      <w:r w:rsidR="009C646A">
        <w:rPr>
          <w:sz w:val="24"/>
          <w:szCs w:val="24"/>
          <w:lang w:val="en-GB"/>
        </w:rPr>
        <w:t>approximation is acceptable</w:t>
      </w:r>
      <w:r w:rsidR="0044303F">
        <w:rPr>
          <w:sz w:val="24"/>
          <w:szCs w:val="24"/>
          <w:lang w:val="en-GB"/>
        </w:rPr>
        <w:t xml:space="preserve">. More generally, most of the measures </w:t>
      </w:r>
      <w:r w:rsidR="00C817BD">
        <w:rPr>
          <w:sz w:val="24"/>
          <w:szCs w:val="24"/>
          <w:lang w:val="en-GB"/>
        </w:rPr>
        <w:t>correlate</w:t>
      </w:r>
      <w:r w:rsidR="00C817BD" w:rsidRPr="00C817BD">
        <w:rPr>
          <w:sz w:val="24"/>
          <w:szCs w:val="24"/>
          <w:lang w:val="en-GB"/>
        </w:rPr>
        <w:t xml:space="preserve"> </w:t>
      </w:r>
      <w:r w:rsidR="0044303F">
        <w:rPr>
          <w:sz w:val="24"/>
          <w:szCs w:val="24"/>
          <w:lang w:val="en-GB"/>
        </w:rPr>
        <w:t xml:space="preserve">well with </w:t>
      </w:r>
      <w:r w:rsidR="0044303F" w:rsidRPr="00472786">
        <w:rPr>
          <w:rFonts w:ascii="Symbol" w:hAnsi="Symbol"/>
          <w:sz w:val="24"/>
          <w:szCs w:val="24"/>
          <w:lang w:val="en-GB"/>
        </w:rPr>
        <w:t></w:t>
      </w:r>
      <w:r w:rsidR="009C646A">
        <w:rPr>
          <w:sz w:val="24"/>
          <w:szCs w:val="24"/>
          <w:lang w:val="en-GB"/>
        </w:rPr>
        <w:t xml:space="preserve">. </w:t>
      </w:r>
      <w:r w:rsidR="0044303F">
        <w:rPr>
          <w:sz w:val="24"/>
          <w:szCs w:val="24"/>
          <w:lang w:val="en-GB"/>
        </w:rPr>
        <w:t xml:space="preserve">This is good </w:t>
      </w:r>
      <w:r w:rsidR="00C817BD">
        <w:rPr>
          <w:sz w:val="24"/>
          <w:szCs w:val="24"/>
          <w:lang w:val="en-GB"/>
        </w:rPr>
        <w:t xml:space="preserve">news </w:t>
      </w:r>
      <w:r w:rsidR="0044303F">
        <w:rPr>
          <w:sz w:val="24"/>
          <w:szCs w:val="24"/>
          <w:lang w:val="en-GB"/>
        </w:rPr>
        <w:t xml:space="preserve">for the ABG method, but </w:t>
      </w:r>
      <w:r w:rsidR="00C817BD">
        <w:rPr>
          <w:sz w:val="24"/>
          <w:szCs w:val="24"/>
          <w:lang w:val="en-GB"/>
        </w:rPr>
        <w:t xml:space="preserve">then </w:t>
      </w:r>
      <w:r w:rsidR="0044303F">
        <w:rPr>
          <w:sz w:val="24"/>
          <w:szCs w:val="24"/>
          <w:lang w:val="en-GB"/>
        </w:rPr>
        <w:t xml:space="preserve">what is its intrinsic added value? </w:t>
      </w:r>
      <w:r w:rsidR="0044303F">
        <w:rPr>
          <w:sz w:val="24"/>
          <w:szCs w:val="24"/>
          <w:lang w:val="en-US"/>
        </w:rPr>
        <w:t xml:space="preserve">A second answer is that we </w:t>
      </w:r>
      <w:r w:rsidR="00C817BD">
        <w:rPr>
          <w:sz w:val="24"/>
          <w:szCs w:val="24"/>
          <w:lang w:val="en-US"/>
        </w:rPr>
        <w:t xml:space="preserve">also see </w:t>
      </w:r>
      <w:r w:rsidR="0044303F">
        <w:rPr>
          <w:sz w:val="24"/>
          <w:szCs w:val="24"/>
          <w:lang w:val="en-US"/>
        </w:rPr>
        <w:t xml:space="preserve">interesting correlations for </w:t>
      </w:r>
      <w:r w:rsidR="00C817BD">
        <w:rPr>
          <w:sz w:val="24"/>
          <w:szCs w:val="24"/>
          <w:lang w:val="en-US"/>
        </w:rPr>
        <w:t xml:space="preserve">the </w:t>
      </w:r>
      <w:r w:rsidR="00472786" w:rsidRPr="00472786">
        <w:rPr>
          <w:rFonts w:ascii="Symbol" w:hAnsi="Symbol"/>
          <w:sz w:val="24"/>
          <w:szCs w:val="24"/>
          <w:lang w:val="en-US"/>
        </w:rPr>
        <w:t></w:t>
      </w:r>
      <w:r w:rsidR="009C646A">
        <w:rPr>
          <w:sz w:val="24"/>
          <w:szCs w:val="24"/>
          <w:lang w:val="en-US"/>
        </w:rPr>
        <w:t xml:space="preserve"> and </w:t>
      </w:r>
      <w:r w:rsidR="00472786" w:rsidRPr="00472786">
        <w:rPr>
          <w:rFonts w:ascii="Symbol" w:hAnsi="Symbol"/>
          <w:sz w:val="24"/>
          <w:szCs w:val="24"/>
          <w:lang w:val="en-US"/>
        </w:rPr>
        <w:t></w:t>
      </w:r>
      <w:r w:rsidR="009C646A">
        <w:rPr>
          <w:sz w:val="24"/>
          <w:szCs w:val="24"/>
          <w:lang w:val="en-US"/>
        </w:rPr>
        <w:t xml:space="preserve"> coefficients</w:t>
      </w:r>
      <w:r w:rsidR="00C817BD">
        <w:rPr>
          <w:sz w:val="24"/>
          <w:szCs w:val="24"/>
          <w:lang w:val="en-US"/>
        </w:rPr>
        <w:t>,</w:t>
      </w:r>
      <w:r w:rsidR="009C646A">
        <w:rPr>
          <w:sz w:val="24"/>
          <w:szCs w:val="24"/>
          <w:lang w:val="en-US"/>
        </w:rPr>
        <w:t xml:space="preserve"> </w:t>
      </w:r>
      <w:r w:rsidR="00C817BD">
        <w:rPr>
          <w:sz w:val="24"/>
          <w:szCs w:val="24"/>
          <w:lang w:val="en-US"/>
        </w:rPr>
        <w:t xml:space="preserve">which thus </w:t>
      </w:r>
      <w:r w:rsidR="00215F96">
        <w:rPr>
          <w:sz w:val="24"/>
          <w:szCs w:val="24"/>
          <w:lang w:val="en-US"/>
        </w:rPr>
        <w:t xml:space="preserve">provide </w:t>
      </w:r>
      <w:r w:rsidR="009C646A">
        <w:rPr>
          <w:sz w:val="24"/>
          <w:szCs w:val="24"/>
          <w:lang w:val="en-US"/>
        </w:rPr>
        <w:t>compl</w:t>
      </w:r>
      <w:r w:rsidR="00215F96">
        <w:rPr>
          <w:sz w:val="24"/>
          <w:szCs w:val="24"/>
          <w:lang w:val="en-US"/>
        </w:rPr>
        <w:t>e</w:t>
      </w:r>
      <w:r w:rsidR="009C646A">
        <w:rPr>
          <w:sz w:val="24"/>
          <w:szCs w:val="24"/>
          <w:lang w:val="en-US"/>
        </w:rPr>
        <w:t xml:space="preserve">mentary </w:t>
      </w:r>
      <w:r w:rsidR="00C817BD" w:rsidRPr="00C817BD">
        <w:rPr>
          <w:sz w:val="24"/>
          <w:szCs w:val="24"/>
          <w:lang w:val="en-US"/>
        </w:rPr>
        <w:t xml:space="preserve">information </w:t>
      </w:r>
      <w:r w:rsidR="009C646A">
        <w:rPr>
          <w:sz w:val="24"/>
          <w:szCs w:val="24"/>
          <w:lang w:val="en-US"/>
        </w:rPr>
        <w:t xml:space="preserve">to </w:t>
      </w:r>
      <w:r w:rsidR="00472786" w:rsidRPr="00472786">
        <w:rPr>
          <w:rFonts w:ascii="Symbol" w:hAnsi="Symbol"/>
          <w:sz w:val="24"/>
          <w:szCs w:val="24"/>
          <w:lang w:val="en-US"/>
        </w:rPr>
        <w:t></w:t>
      </w:r>
      <w:r w:rsidR="009C646A">
        <w:rPr>
          <w:sz w:val="24"/>
          <w:szCs w:val="24"/>
          <w:lang w:val="en-US"/>
        </w:rPr>
        <w:t xml:space="preserve">: the degree to which inequality </w:t>
      </w:r>
      <w:r w:rsidR="00C817BD">
        <w:rPr>
          <w:sz w:val="24"/>
          <w:szCs w:val="24"/>
          <w:lang w:val="en-US"/>
        </w:rPr>
        <w:t xml:space="preserve">moves </w:t>
      </w:r>
      <w:r w:rsidR="009C646A">
        <w:rPr>
          <w:sz w:val="24"/>
          <w:szCs w:val="24"/>
          <w:lang w:val="en-US"/>
        </w:rPr>
        <w:t>at the top and at the bottom of the distribution.</w:t>
      </w:r>
      <w:r w:rsidR="00D91D6F">
        <w:rPr>
          <w:sz w:val="24"/>
          <w:szCs w:val="24"/>
          <w:lang w:val="en-US"/>
        </w:rPr>
        <w:t xml:space="preserve"> </w:t>
      </w:r>
      <w:r w:rsidR="0044303F">
        <w:rPr>
          <w:sz w:val="24"/>
          <w:szCs w:val="24"/>
          <w:lang w:val="en-US"/>
        </w:rPr>
        <w:t xml:space="preserve">A third more systematic answer </w:t>
      </w:r>
      <w:r w:rsidR="00C817BD">
        <w:rPr>
          <w:sz w:val="24"/>
          <w:szCs w:val="24"/>
          <w:lang w:val="en-US"/>
        </w:rPr>
        <w:t xml:space="preserve">comes from the </w:t>
      </w:r>
      <w:r w:rsidR="00206422">
        <w:rPr>
          <w:sz w:val="24"/>
          <w:szCs w:val="24"/>
          <w:lang w:val="en-US"/>
        </w:rPr>
        <w:t>principal component analysis (</w:t>
      </w:r>
      <w:r w:rsidR="00F4214B">
        <w:rPr>
          <w:sz w:val="24"/>
          <w:szCs w:val="24"/>
          <w:lang w:val="en-US"/>
        </w:rPr>
        <w:t>PCA</w:t>
      </w:r>
      <w:r w:rsidR="00206422">
        <w:rPr>
          <w:sz w:val="24"/>
          <w:szCs w:val="24"/>
          <w:lang w:val="en-US"/>
        </w:rPr>
        <w:t xml:space="preserve">) of </w:t>
      </w:r>
      <w:r w:rsidR="007D7F1A">
        <w:rPr>
          <w:sz w:val="24"/>
          <w:szCs w:val="24"/>
          <w:lang w:val="en-US"/>
        </w:rPr>
        <w:t xml:space="preserve">the </w:t>
      </w:r>
      <w:r w:rsidR="00C817BD">
        <w:rPr>
          <w:sz w:val="24"/>
          <w:szCs w:val="24"/>
          <w:lang w:val="en-US"/>
        </w:rPr>
        <w:t xml:space="preserve">whole </w:t>
      </w:r>
      <w:r w:rsidR="007D7F1A">
        <w:rPr>
          <w:sz w:val="24"/>
          <w:szCs w:val="24"/>
          <w:lang w:val="en-US"/>
        </w:rPr>
        <w:t xml:space="preserve">table </w:t>
      </w:r>
      <w:r w:rsidR="00794AE3">
        <w:rPr>
          <w:sz w:val="24"/>
          <w:szCs w:val="24"/>
          <w:lang w:val="en-US"/>
        </w:rPr>
        <w:t>(</w:t>
      </w:r>
      <w:r w:rsidR="00C817BD">
        <w:rPr>
          <w:sz w:val="24"/>
          <w:szCs w:val="24"/>
          <w:lang w:val="en-US"/>
        </w:rPr>
        <w:t>F</w:t>
      </w:r>
      <w:r w:rsidR="00794AE3">
        <w:rPr>
          <w:sz w:val="24"/>
          <w:szCs w:val="24"/>
          <w:lang w:val="en-US"/>
        </w:rPr>
        <w:t xml:space="preserve">igure 4 </w:t>
      </w:r>
      <w:r w:rsidR="00C817BD">
        <w:rPr>
          <w:sz w:val="24"/>
          <w:szCs w:val="24"/>
          <w:lang w:val="en-US"/>
        </w:rPr>
        <w:t xml:space="preserve">depicts </w:t>
      </w:r>
      <w:r w:rsidR="00794AE3">
        <w:rPr>
          <w:sz w:val="24"/>
          <w:szCs w:val="24"/>
          <w:lang w:val="en-US"/>
        </w:rPr>
        <w:t>the correlation circle)</w:t>
      </w:r>
      <w:r w:rsidR="0044303F">
        <w:rPr>
          <w:sz w:val="24"/>
          <w:szCs w:val="24"/>
          <w:lang w:val="en-US"/>
        </w:rPr>
        <w:t xml:space="preserve">. The PCA is a type of </w:t>
      </w:r>
      <w:r w:rsidR="000A6011">
        <w:rPr>
          <w:sz w:val="24"/>
          <w:szCs w:val="24"/>
          <w:lang w:val="en-US"/>
        </w:rPr>
        <w:t xml:space="preserve">factor </w:t>
      </w:r>
      <w:r w:rsidR="00F4214B">
        <w:rPr>
          <w:sz w:val="24"/>
          <w:szCs w:val="24"/>
          <w:lang w:val="en-US"/>
        </w:rPr>
        <w:t>analysis</w:t>
      </w:r>
      <w:r w:rsidR="000A6011">
        <w:rPr>
          <w:rStyle w:val="FootnoteReference"/>
          <w:sz w:val="24"/>
          <w:szCs w:val="24"/>
          <w:lang w:val="en-US"/>
        </w:rPr>
        <w:footnoteReference w:id="21"/>
      </w:r>
      <w:r w:rsidR="00F4214B">
        <w:rPr>
          <w:sz w:val="24"/>
          <w:szCs w:val="24"/>
          <w:lang w:val="en-US"/>
        </w:rPr>
        <w:t xml:space="preserve"> </w:t>
      </w:r>
      <w:r w:rsidR="00C817BD">
        <w:rPr>
          <w:sz w:val="24"/>
          <w:szCs w:val="24"/>
          <w:lang w:val="en-US"/>
        </w:rPr>
        <w:t xml:space="preserve">used for </w:t>
      </w:r>
      <w:r w:rsidR="0044303F">
        <w:rPr>
          <w:sz w:val="24"/>
          <w:szCs w:val="24"/>
          <w:lang w:val="en-US"/>
        </w:rPr>
        <w:t>quantitative measures</w:t>
      </w:r>
      <w:r w:rsidR="002B0E5A">
        <w:rPr>
          <w:sz w:val="24"/>
          <w:szCs w:val="24"/>
          <w:lang w:val="en-US"/>
        </w:rPr>
        <w:t>, and its application to</w:t>
      </w:r>
      <w:r w:rsidR="00F4214B">
        <w:rPr>
          <w:sz w:val="24"/>
          <w:szCs w:val="24"/>
          <w:lang w:val="en-US"/>
        </w:rPr>
        <w:t xml:space="preserve"> </w:t>
      </w:r>
      <w:r w:rsidR="00C817BD">
        <w:rPr>
          <w:sz w:val="24"/>
          <w:szCs w:val="24"/>
          <w:lang w:val="en-US"/>
        </w:rPr>
        <w:t>our indicator set</w:t>
      </w:r>
      <w:r w:rsidR="007D1E5D">
        <w:rPr>
          <w:sz w:val="24"/>
          <w:szCs w:val="24"/>
          <w:lang w:val="en-US"/>
        </w:rPr>
        <w:t xml:space="preserve"> </w:t>
      </w:r>
      <w:r w:rsidR="00D51B69">
        <w:rPr>
          <w:sz w:val="24"/>
          <w:szCs w:val="24"/>
          <w:lang w:val="en-US"/>
        </w:rPr>
        <w:t>(</w:t>
      </w:r>
      <w:r w:rsidR="00C817BD">
        <w:rPr>
          <w:sz w:val="24"/>
          <w:szCs w:val="24"/>
          <w:lang w:val="en-US"/>
        </w:rPr>
        <w:t>in T</w:t>
      </w:r>
      <w:r w:rsidR="00D51B69">
        <w:rPr>
          <w:sz w:val="24"/>
          <w:szCs w:val="24"/>
          <w:lang w:val="en-US"/>
        </w:rPr>
        <w:t xml:space="preserve">able </w:t>
      </w:r>
      <w:r w:rsidR="00AB0CFB">
        <w:rPr>
          <w:sz w:val="24"/>
          <w:szCs w:val="24"/>
          <w:lang w:val="en-US"/>
        </w:rPr>
        <w:t>4</w:t>
      </w:r>
      <w:r w:rsidR="00D51B69">
        <w:rPr>
          <w:sz w:val="24"/>
          <w:szCs w:val="24"/>
          <w:lang w:val="en-US"/>
        </w:rPr>
        <w:t>)</w:t>
      </w:r>
      <w:r w:rsidR="002B0E5A">
        <w:rPr>
          <w:sz w:val="24"/>
          <w:szCs w:val="24"/>
          <w:lang w:val="en-US"/>
        </w:rPr>
        <w:t xml:space="preserve"> helps </w:t>
      </w:r>
      <w:r w:rsidR="00C817BD">
        <w:rPr>
          <w:sz w:val="24"/>
          <w:szCs w:val="24"/>
          <w:lang w:val="en-US"/>
        </w:rPr>
        <w:t>us to understand</w:t>
      </w:r>
      <w:r w:rsidR="002B0E5A">
        <w:rPr>
          <w:sz w:val="24"/>
          <w:szCs w:val="24"/>
          <w:lang w:val="en-US"/>
        </w:rPr>
        <w:t xml:space="preserve"> the multidimensional relations </w:t>
      </w:r>
      <w:r w:rsidR="00C817BD">
        <w:rPr>
          <w:sz w:val="24"/>
          <w:szCs w:val="24"/>
          <w:lang w:val="en-US"/>
        </w:rPr>
        <w:t xml:space="preserve">between </w:t>
      </w:r>
      <w:r w:rsidR="002B0E5A">
        <w:rPr>
          <w:sz w:val="24"/>
          <w:szCs w:val="24"/>
          <w:lang w:val="en-US"/>
        </w:rPr>
        <w:t>these indicators</w:t>
      </w:r>
      <w:r w:rsidR="00F4214B">
        <w:rPr>
          <w:sz w:val="24"/>
          <w:szCs w:val="24"/>
          <w:lang w:val="en-US"/>
        </w:rPr>
        <w:t xml:space="preserve">. The first </w:t>
      </w:r>
      <w:r w:rsidR="00937FFE">
        <w:rPr>
          <w:sz w:val="24"/>
          <w:szCs w:val="24"/>
          <w:lang w:val="en-US"/>
        </w:rPr>
        <w:t>axis</w:t>
      </w:r>
      <w:r w:rsidR="00F4214B">
        <w:rPr>
          <w:sz w:val="24"/>
          <w:szCs w:val="24"/>
          <w:lang w:val="en-US"/>
        </w:rPr>
        <w:t xml:space="preserve"> of the PCA </w:t>
      </w:r>
      <w:r w:rsidR="00A2615E">
        <w:rPr>
          <w:sz w:val="24"/>
          <w:szCs w:val="24"/>
          <w:lang w:val="en-US"/>
        </w:rPr>
        <w:t>(</w:t>
      </w:r>
      <w:r w:rsidR="004E3E9C">
        <w:rPr>
          <w:sz w:val="24"/>
          <w:szCs w:val="24"/>
          <w:lang w:val="en-US"/>
        </w:rPr>
        <w:t>69</w:t>
      </w:r>
      <w:r w:rsidR="00A2615E">
        <w:rPr>
          <w:sz w:val="24"/>
          <w:szCs w:val="24"/>
          <w:lang w:val="en-US"/>
        </w:rPr>
        <w:t xml:space="preserve">% of the total variance) </w:t>
      </w:r>
      <w:r w:rsidR="00C817BD">
        <w:rPr>
          <w:sz w:val="24"/>
          <w:szCs w:val="24"/>
          <w:lang w:val="en-US"/>
        </w:rPr>
        <w:t xml:space="preserve">reveals </w:t>
      </w:r>
      <w:r w:rsidR="002B0E5A">
        <w:rPr>
          <w:sz w:val="24"/>
          <w:szCs w:val="24"/>
          <w:lang w:val="en-US"/>
        </w:rPr>
        <w:t xml:space="preserve">the </w:t>
      </w:r>
      <w:r w:rsidR="00F4214B">
        <w:rPr>
          <w:sz w:val="24"/>
          <w:szCs w:val="24"/>
          <w:lang w:val="en-US"/>
        </w:rPr>
        <w:t xml:space="preserve">similar </w:t>
      </w:r>
      <w:r w:rsidR="00206422">
        <w:rPr>
          <w:sz w:val="24"/>
          <w:szCs w:val="24"/>
          <w:lang w:val="en-US"/>
        </w:rPr>
        <w:t xml:space="preserve">nature </w:t>
      </w:r>
      <w:r w:rsidR="002B0E5A">
        <w:rPr>
          <w:sz w:val="24"/>
          <w:szCs w:val="24"/>
          <w:lang w:val="en-US"/>
        </w:rPr>
        <w:t xml:space="preserve">of </w:t>
      </w:r>
      <w:r w:rsidR="00222589">
        <w:rPr>
          <w:sz w:val="24"/>
          <w:szCs w:val="24"/>
          <w:lang w:val="en-US"/>
        </w:rPr>
        <w:t>many</w:t>
      </w:r>
      <w:r w:rsidR="00F4214B">
        <w:rPr>
          <w:sz w:val="24"/>
          <w:szCs w:val="24"/>
          <w:lang w:val="en-US"/>
        </w:rPr>
        <w:t xml:space="preserve"> </w:t>
      </w:r>
      <w:r w:rsidR="00C817BD" w:rsidRPr="00C817BD">
        <w:rPr>
          <w:sz w:val="24"/>
          <w:szCs w:val="24"/>
          <w:lang w:val="en-US"/>
        </w:rPr>
        <w:t xml:space="preserve">inequality </w:t>
      </w:r>
      <w:r w:rsidR="00F4214B">
        <w:rPr>
          <w:sz w:val="24"/>
          <w:szCs w:val="24"/>
          <w:lang w:val="en-US"/>
        </w:rPr>
        <w:t>measures</w:t>
      </w:r>
      <w:r w:rsidR="00C817BD">
        <w:rPr>
          <w:sz w:val="24"/>
          <w:szCs w:val="24"/>
          <w:lang w:val="en-US"/>
        </w:rPr>
        <w:t>,</w:t>
      </w:r>
      <w:r w:rsidR="00F4214B">
        <w:rPr>
          <w:sz w:val="24"/>
          <w:szCs w:val="24"/>
          <w:lang w:val="en-US"/>
        </w:rPr>
        <w:t xml:space="preserve"> </w:t>
      </w:r>
      <w:r w:rsidR="002B0E5A">
        <w:rPr>
          <w:sz w:val="24"/>
          <w:szCs w:val="24"/>
          <w:lang w:val="en-US"/>
        </w:rPr>
        <w:t xml:space="preserve">including </w:t>
      </w:r>
      <w:r w:rsidR="002B0E5A" w:rsidRPr="00472786">
        <w:rPr>
          <w:rFonts w:ascii="Symbol" w:hAnsi="Symbol"/>
          <w:sz w:val="24"/>
          <w:szCs w:val="24"/>
          <w:lang w:val="en-GB"/>
        </w:rPr>
        <w:t></w:t>
      </w:r>
      <w:r w:rsidR="00961F7C">
        <w:rPr>
          <w:sz w:val="24"/>
          <w:szCs w:val="24"/>
          <w:lang w:val="en-US"/>
        </w:rPr>
        <w:t xml:space="preserve">; </w:t>
      </w:r>
      <w:r w:rsidR="00C817BD">
        <w:rPr>
          <w:sz w:val="24"/>
          <w:szCs w:val="24"/>
          <w:lang w:val="en-US"/>
        </w:rPr>
        <w:t xml:space="preserve">this </w:t>
      </w:r>
      <w:r w:rsidR="00961F7C">
        <w:rPr>
          <w:sz w:val="24"/>
          <w:szCs w:val="24"/>
          <w:lang w:val="en-US"/>
        </w:rPr>
        <w:t xml:space="preserve">axis </w:t>
      </w:r>
      <w:r w:rsidR="00C817BD">
        <w:rPr>
          <w:sz w:val="24"/>
          <w:szCs w:val="24"/>
          <w:lang w:val="en-US"/>
        </w:rPr>
        <w:t xml:space="preserve">picks up </w:t>
      </w:r>
      <w:r w:rsidR="00961F7C">
        <w:rPr>
          <w:sz w:val="24"/>
          <w:szCs w:val="24"/>
          <w:lang w:val="en-US"/>
        </w:rPr>
        <w:t>inequality intensity</w:t>
      </w:r>
      <w:r w:rsidR="00F4214B">
        <w:rPr>
          <w:sz w:val="24"/>
          <w:szCs w:val="24"/>
          <w:lang w:val="en-US"/>
        </w:rPr>
        <w:t xml:space="preserve">. </w:t>
      </w:r>
      <w:r w:rsidR="00C817BD">
        <w:rPr>
          <w:sz w:val="24"/>
          <w:szCs w:val="24"/>
          <w:lang w:val="en-US"/>
        </w:rPr>
        <w:t xml:space="preserve">The </w:t>
      </w:r>
      <w:r w:rsidR="00C817BD" w:rsidRPr="00C817BD">
        <w:rPr>
          <w:rFonts w:ascii="Symbol" w:hAnsi="Symbol"/>
          <w:sz w:val="24"/>
          <w:szCs w:val="24"/>
          <w:lang w:val="en-US"/>
        </w:rPr>
        <w:t></w:t>
      </w:r>
      <w:r w:rsidR="00C817BD" w:rsidRPr="00C817BD">
        <w:rPr>
          <w:rFonts w:ascii="Symbol" w:hAnsi="Symbol"/>
          <w:sz w:val="24"/>
          <w:szCs w:val="24"/>
          <w:lang w:val="en-US"/>
        </w:rPr>
        <w:t></w:t>
      </w:r>
      <w:r w:rsidR="00C817BD">
        <w:rPr>
          <w:sz w:val="24"/>
          <w:szCs w:val="24"/>
          <w:lang w:val="en-US"/>
        </w:rPr>
        <w:t>c</w:t>
      </w:r>
      <w:r w:rsidR="00D91D6F">
        <w:rPr>
          <w:sz w:val="24"/>
          <w:szCs w:val="24"/>
          <w:lang w:val="en-US"/>
        </w:rPr>
        <w:t xml:space="preserve">oefficient </w:t>
      </w:r>
      <w:r w:rsidR="00C817BD">
        <w:rPr>
          <w:sz w:val="24"/>
          <w:szCs w:val="24"/>
          <w:lang w:val="en-US"/>
        </w:rPr>
        <w:t xml:space="preserve">appears on </w:t>
      </w:r>
      <w:r w:rsidR="004227ED">
        <w:rPr>
          <w:sz w:val="24"/>
          <w:szCs w:val="24"/>
          <w:lang w:val="en-US"/>
        </w:rPr>
        <w:t>th</w:t>
      </w:r>
      <w:r w:rsidR="004B21BD">
        <w:rPr>
          <w:sz w:val="24"/>
          <w:szCs w:val="24"/>
          <w:lang w:val="en-US"/>
        </w:rPr>
        <w:t xml:space="preserve">e </w:t>
      </w:r>
      <w:r w:rsidR="004227ED">
        <w:rPr>
          <w:sz w:val="24"/>
          <w:szCs w:val="24"/>
          <w:lang w:val="en-US"/>
        </w:rPr>
        <w:t xml:space="preserve">first </w:t>
      </w:r>
      <w:r w:rsidR="00937FFE">
        <w:rPr>
          <w:sz w:val="24"/>
          <w:szCs w:val="24"/>
          <w:lang w:val="en-US"/>
        </w:rPr>
        <w:t>axis</w:t>
      </w:r>
      <w:r w:rsidR="00B92FE7">
        <w:rPr>
          <w:sz w:val="24"/>
          <w:szCs w:val="24"/>
          <w:lang w:val="en-US"/>
        </w:rPr>
        <w:t xml:space="preserve"> of the PCA</w:t>
      </w:r>
      <w:r w:rsidR="004227ED">
        <w:rPr>
          <w:sz w:val="24"/>
          <w:szCs w:val="24"/>
          <w:lang w:val="en-US"/>
        </w:rPr>
        <w:t xml:space="preserve">, </w:t>
      </w:r>
      <w:r w:rsidR="002B0E5A">
        <w:rPr>
          <w:sz w:val="24"/>
          <w:szCs w:val="24"/>
          <w:lang w:val="en-US"/>
        </w:rPr>
        <w:t xml:space="preserve">along </w:t>
      </w:r>
      <w:r w:rsidR="004227ED">
        <w:rPr>
          <w:sz w:val="24"/>
          <w:szCs w:val="24"/>
          <w:lang w:val="en-US"/>
        </w:rPr>
        <w:t xml:space="preserve">with the </w:t>
      </w:r>
      <w:r w:rsidR="0008428A">
        <w:rPr>
          <w:sz w:val="24"/>
          <w:szCs w:val="24"/>
          <w:lang w:val="en-US"/>
        </w:rPr>
        <w:t>Atkinson parameter</w:t>
      </w:r>
      <w:r w:rsidR="001C5E18">
        <w:rPr>
          <w:sz w:val="24"/>
          <w:szCs w:val="24"/>
          <w:lang w:val="en-US"/>
        </w:rPr>
        <w:t>s</w:t>
      </w:r>
      <w:r w:rsidR="0008428A">
        <w:rPr>
          <w:sz w:val="24"/>
          <w:szCs w:val="24"/>
          <w:lang w:val="en-US"/>
        </w:rPr>
        <w:t xml:space="preserve"> 1 (</w:t>
      </w:r>
      <w:r w:rsidR="004227ED">
        <w:rPr>
          <w:sz w:val="24"/>
          <w:szCs w:val="24"/>
          <w:lang w:val="en-US"/>
        </w:rPr>
        <w:t>a1</w:t>
      </w:r>
      <w:r w:rsidR="0008428A">
        <w:rPr>
          <w:sz w:val="24"/>
          <w:szCs w:val="24"/>
          <w:lang w:val="en-US"/>
        </w:rPr>
        <w:t>)</w:t>
      </w:r>
      <w:r w:rsidR="004227ED">
        <w:rPr>
          <w:sz w:val="24"/>
          <w:szCs w:val="24"/>
          <w:lang w:val="en-US"/>
        </w:rPr>
        <w:t xml:space="preserve"> and </w:t>
      </w:r>
      <w:r w:rsidR="0008428A">
        <w:rPr>
          <w:sz w:val="24"/>
          <w:szCs w:val="24"/>
          <w:lang w:val="en-US"/>
        </w:rPr>
        <w:t>½ (</w:t>
      </w:r>
      <w:r w:rsidR="004227ED">
        <w:rPr>
          <w:sz w:val="24"/>
          <w:szCs w:val="24"/>
          <w:lang w:val="en-US"/>
        </w:rPr>
        <w:t xml:space="preserve">ahalf), </w:t>
      </w:r>
      <w:r w:rsidR="001C5E18">
        <w:rPr>
          <w:sz w:val="24"/>
          <w:szCs w:val="24"/>
          <w:lang w:val="en-US"/>
        </w:rPr>
        <w:t xml:space="preserve">the </w:t>
      </w:r>
      <w:r w:rsidR="0008428A">
        <w:rPr>
          <w:sz w:val="24"/>
          <w:szCs w:val="24"/>
          <w:lang w:val="en-US"/>
        </w:rPr>
        <w:t>g</w:t>
      </w:r>
      <w:r w:rsidR="0008428A" w:rsidRPr="00270922">
        <w:rPr>
          <w:sz w:val="24"/>
          <w:szCs w:val="24"/>
          <w:lang w:val="en-US"/>
        </w:rPr>
        <w:t>eneralized entropy</w:t>
      </w:r>
      <w:r w:rsidR="0008428A">
        <w:rPr>
          <w:sz w:val="24"/>
          <w:szCs w:val="24"/>
          <w:lang w:val="en-US"/>
        </w:rPr>
        <w:t xml:space="preserve"> parameter</w:t>
      </w:r>
      <w:r w:rsidR="001C5E18">
        <w:rPr>
          <w:sz w:val="24"/>
          <w:szCs w:val="24"/>
          <w:lang w:val="en-US"/>
        </w:rPr>
        <w:t>s</w:t>
      </w:r>
      <w:r w:rsidR="0008428A">
        <w:rPr>
          <w:sz w:val="24"/>
          <w:szCs w:val="24"/>
          <w:lang w:val="en-US"/>
        </w:rPr>
        <w:t xml:space="preserve"> </w:t>
      </w:r>
      <w:r w:rsidR="0008428A" w:rsidRPr="00270922">
        <w:rPr>
          <w:sz w:val="24"/>
          <w:szCs w:val="24"/>
          <w:lang w:val="en-US"/>
        </w:rPr>
        <w:t>1</w:t>
      </w:r>
      <w:r w:rsidR="0008428A">
        <w:rPr>
          <w:sz w:val="24"/>
          <w:szCs w:val="24"/>
          <w:lang w:val="en-US"/>
        </w:rPr>
        <w:t xml:space="preserve"> (</w:t>
      </w:r>
      <w:r w:rsidR="004227ED">
        <w:rPr>
          <w:sz w:val="24"/>
          <w:szCs w:val="24"/>
          <w:lang w:val="en-US"/>
        </w:rPr>
        <w:t>ge1</w:t>
      </w:r>
      <w:r w:rsidR="0008428A">
        <w:rPr>
          <w:sz w:val="24"/>
          <w:szCs w:val="24"/>
          <w:lang w:val="en-US"/>
        </w:rPr>
        <w:t>)</w:t>
      </w:r>
      <w:r w:rsidR="004227ED">
        <w:rPr>
          <w:sz w:val="24"/>
          <w:szCs w:val="24"/>
          <w:lang w:val="en-US"/>
        </w:rPr>
        <w:t xml:space="preserve"> </w:t>
      </w:r>
      <w:r w:rsidR="0008428A">
        <w:rPr>
          <w:sz w:val="24"/>
          <w:szCs w:val="24"/>
          <w:lang w:val="en-US"/>
        </w:rPr>
        <w:t>and 0 (</w:t>
      </w:r>
      <w:r w:rsidR="004227ED">
        <w:rPr>
          <w:sz w:val="24"/>
          <w:szCs w:val="24"/>
          <w:lang w:val="en-US"/>
        </w:rPr>
        <w:t xml:space="preserve">ge0), </w:t>
      </w:r>
      <w:r w:rsidR="001C5E18">
        <w:rPr>
          <w:sz w:val="24"/>
          <w:szCs w:val="24"/>
          <w:lang w:val="en-US"/>
        </w:rPr>
        <w:t xml:space="preserve">the </w:t>
      </w:r>
      <w:r w:rsidR="00A70B2E">
        <w:rPr>
          <w:sz w:val="24"/>
          <w:szCs w:val="24"/>
          <w:lang w:val="en-US"/>
        </w:rPr>
        <w:t xml:space="preserve">Gini </w:t>
      </w:r>
      <w:r w:rsidR="001C5E18">
        <w:rPr>
          <w:sz w:val="24"/>
          <w:szCs w:val="24"/>
          <w:lang w:val="en-US"/>
        </w:rPr>
        <w:t>coefficient</w:t>
      </w:r>
      <w:r w:rsidR="00D91D6F">
        <w:rPr>
          <w:sz w:val="24"/>
          <w:szCs w:val="24"/>
          <w:lang w:val="en-US"/>
        </w:rPr>
        <w:t>,</w:t>
      </w:r>
      <w:r w:rsidR="004227ED">
        <w:rPr>
          <w:sz w:val="24"/>
          <w:szCs w:val="24"/>
          <w:lang w:val="en-US"/>
        </w:rPr>
        <w:t xml:space="preserve"> </w:t>
      </w:r>
      <w:r w:rsidR="001C5E18">
        <w:rPr>
          <w:sz w:val="24"/>
          <w:szCs w:val="24"/>
          <w:lang w:val="en-US"/>
        </w:rPr>
        <w:t xml:space="preserve">a number of </w:t>
      </w:r>
      <w:r w:rsidR="004227ED">
        <w:rPr>
          <w:sz w:val="24"/>
          <w:szCs w:val="24"/>
          <w:lang w:val="en-US"/>
        </w:rPr>
        <w:t>quantile ratios</w:t>
      </w:r>
      <w:r w:rsidR="00D91D6F">
        <w:rPr>
          <w:sz w:val="24"/>
          <w:szCs w:val="24"/>
          <w:lang w:val="en-US"/>
        </w:rPr>
        <w:t xml:space="preserve">, </w:t>
      </w:r>
      <w:r w:rsidR="001C5E18">
        <w:rPr>
          <w:sz w:val="24"/>
          <w:szCs w:val="24"/>
          <w:lang w:val="en-US"/>
        </w:rPr>
        <w:t xml:space="preserve">as well as the </w:t>
      </w:r>
      <w:r w:rsidR="00D91D6F">
        <w:rPr>
          <w:sz w:val="24"/>
          <w:szCs w:val="24"/>
          <w:lang w:val="en-US"/>
        </w:rPr>
        <w:t xml:space="preserve">Wolfson </w:t>
      </w:r>
      <w:r w:rsidR="001C5E18" w:rsidRPr="001C5E18">
        <w:rPr>
          <w:sz w:val="24"/>
          <w:szCs w:val="24"/>
          <w:lang w:val="en-US"/>
        </w:rPr>
        <w:t xml:space="preserve">polarization </w:t>
      </w:r>
      <w:r w:rsidR="00D91D6F">
        <w:rPr>
          <w:sz w:val="24"/>
          <w:szCs w:val="24"/>
          <w:lang w:val="en-US"/>
        </w:rPr>
        <w:t>index</w:t>
      </w:r>
      <w:r w:rsidR="00222589">
        <w:rPr>
          <w:sz w:val="24"/>
          <w:szCs w:val="24"/>
          <w:lang w:val="en-US"/>
        </w:rPr>
        <w:t xml:space="preserve">. </w:t>
      </w:r>
      <w:r w:rsidR="00B9194F">
        <w:rPr>
          <w:sz w:val="24"/>
          <w:szCs w:val="24"/>
          <w:lang w:val="en-US"/>
        </w:rPr>
        <w:t>Th</w:t>
      </w:r>
      <w:r w:rsidR="002B0E5A">
        <w:rPr>
          <w:sz w:val="24"/>
          <w:szCs w:val="24"/>
          <w:lang w:val="en-US"/>
        </w:rPr>
        <w:t xml:space="preserve">is confirms that </w:t>
      </w:r>
      <w:r w:rsidR="00472786" w:rsidRPr="00472786">
        <w:rPr>
          <w:rFonts w:ascii="Symbol" w:hAnsi="Symbol"/>
          <w:sz w:val="24"/>
          <w:szCs w:val="24"/>
          <w:lang w:val="en-US"/>
        </w:rPr>
        <w:t></w:t>
      </w:r>
      <w:r w:rsidR="00F36516">
        <w:rPr>
          <w:sz w:val="24"/>
          <w:szCs w:val="24"/>
          <w:lang w:val="en-US"/>
        </w:rPr>
        <w:t xml:space="preserve"> is </w:t>
      </w:r>
      <w:r w:rsidR="00B9194F">
        <w:rPr>
          <w:sz w:val="24"/>
          <w:szCs w:val="24"/>
          <w:lang w:val="en-US"/>
        </w:rPr>
        <w:t xml:space="preserve">a new inequality </w:t>
      </w:r>
      <w:r w:rsidR="001C5E18" w:rsidRPr="001C5E18">
        <w:rPr>
          <w:sz w:val="24"/>
          <w:szCs w:val="24"/>
          <w:lang w:val="en-US"/>
        </w:rPr>
        <w:t xml:space="preserve">parameter </w:t>
      </w:r>
      <w:r w:rsidR="001C5E18">
        <w:rPr>
          <w:sz w:val="24"/>
          <w:szCs w:val="24"/>
          <w:lang w:val="en-US"/>
        </w:rPr>
        <w:t xml:space="preserve">which is </w:t>
      </w:r>
      <w:r w:rsidR="00B9194F">
        <w:rPr>
          <w:sz w:val="24"/>
          <w:szCs w:val="24"/>
          <w:lang w:val="en-US"/>
        </w:rPr>
        <w:t xml:space="preserve">highly correlated with the main inequality measures, but is more sensitive (like </w:t>
      </w:r>
      <w:r w:rsidR="001C5E18">
        <w:rPr>
          <w:sz w:val="24"/>
          <w:szCs w:val="24"/>
          <w:lang w:val="en-US"/>
        </w:rPr>
        <w:t xml:space="preserve">the </w:t>
      </w:r>
      <w:r w:rsidR="00B9194F">
        <w:rPr>
          <w:sz w:val="24"/>
          <w:szCs w:val="24"/>
          <w:lang w:val="en-US"/>
        </w:rPr>
        <w:t>Wol</w:t>
      </w:r>
      <w:r w:rsidR="005D4C60">
        <w:rPr>
          <w:sz w:val="24"/>
          <w:szCs w:val="24"/>
          <w:lang w:val="en-US"/>
        </w:rPr>
        <w:t>f</w:t>
      </w:r>
      <w:r w:rsidR="00B9194F">
        <w:rPr>
          <w:sz w:val="24"/>
          <w:szCs w:val="24"/>
          <w:lang w:val="en-US"/>
        </w:rPr>
        <w:t>son</w:t>
      </w:r>
      <w:r w:rsidR="001C5E18">
        <w:rPr>
          <w:sz w:val="24"/>
          <w:szCs w:val="24"/>
          <w:lang w:val="en-US"/>
        </w:rPr>
        <w:t xml:space="preserve"> index</w:t>
      </w:r>
      <w:r w:rsidR="00B9194F">
        <w:rPr>
          <w:sz w:val="24"/>
          <w:szCs w:val="24"/>
          <w:lang w:val="en-US"/>
        </w:rPr>
        <w:t xml:space="preserve">) </w:t>
      </w:r>
      <w:r w:rsidR="00F36516">
        <w:rPr>
          <w:sz w:val="24"/>
          <w:szCs w:val="24"/>
          <w:lang w:val="en-US"/>
        </w:rPr>
        <w:t>to the median of the distribution</w:t>
      </w:r>
      <w:r w:rsidR="00700A5D">
        <w:rPr>
          <w:sz w:val="24"/>
          <w:szCs w:val="24"/>
          <w:lang w:val="en-US"/>
        </w:rPr>
        <w:t>.</w:t>
      </w:r>
      <w:r w:rsidR="00F36516">
        <w:rPr>
          <w:sz w:val="24"/>
          <w:szCs w:val="24"/>
          <w:lang w:val="en-US"/>
        </w:rPr>
        <w:t xml:space="preserve"> </w:t>
      </w:r>
    </w:p>
    <w:p w:rsidR="00B542BD" w:rsidRDefault="00B542BD" w:rsidP="00B542BD">
      <w:pPr>
        <w:spacing w:after="120" w:line="480" w:lineRule="auto"/>
        <w:rPr>
          <w:b/>
          <w:sz w:val="24"/>
          <w:szCs w:val="24"/>
          <w:lang w:val="en-US"/>
        </w:rPr>
      </w:pPr>
      <w:r>
        <w:rPr>
          <w:b/>
          <w:sz w:val="24"/>
          <w:szCs w:val="24"/>
          <w:lang w:val="en-US"/>
        </w:rPr>
        <w:t>PLACE TABLE</w:t>
      </w:r>
      <w:r w:rsidR="00AB0CFB">
        <w:rPr>
          <w:b/>
          <w:sz w:val="24"/>
          <w:szCs w:val="24"/>
          <w:lang w:val="en-US"/>
        </w:rPr>
        <w:t xml:space="preserve"> 4</w:t>
      </w:r>
      <w:r>
        <w:rPr>
          <w:b/>
          <w:sz w:val="24"/>
          <w:szCs w:val="24"/>
          <w:lang w:val="en-US"/>
        </w:rPr>
        <w:t xml:space="preserve"> HERE</w:t>
      </w:r>
    </w:p>
    <w:p w:rsidR="00A70B1E" w:rsidRDefault="001C5E18" w:rsidP="00BC0E0D">
      <w:pPr>
        <w:spacing w:after="120" w:line="480" w:lineRule="auto"/>
        <w:rPr>
          <w:sz w:val="24"/>
          <w:szCs w:val="24"/>
          <w:lang w:val="en-US"/>
        </w:rPr>
      </w:pPr>
      <w:r>
        <w:rPr>
          <w:sz w:val="24"/>
          <w:szCs w:val="24"/>
          <w:lang w:val="en-US"/>
        </w:rPr>
        <w:t>T</w:t>
      </w:r>
      <w:r w:rsidRPr="001C5E18">
        <w:rPr>
          <w:sz w:val="24"/>
          <w:szCs w:val="24"/>
          <w:lang w:val="en-US"/>
        </w:rPr>
        <w:t>he role of</w:t>
      </w:r>
      <w:r w:rsidRPr="001C5E18">
        <w:rPr>
          <w:rFonts w:ascii="Symbol" w:hAnsi="Symbol"/>
          <w:sz w:val="24"/>
          <w:szCs w:val="24"/>
          <w:lang w:val="en-US"/>
        </w:rPr>
        <w:t></w:t>
      </w:r>
      <w:r w:rsidRPr="001C5E18">
        <w:rPr>
          <w:rFonts w:ascii="Symbol" w:hAnsi="Symbol"/>
          <w:sz w:val="24"/>
          <w:szCs w:val="24"/>
          <w:lang w:val="en-US"/>
        </w:rPr>
        <w:t></w:t>
      </w:r>
      <w:r w:rsidRPr="001C5E18">
        <w:rPr>
          <w:sz w:val="24"/>
          <w:szCs w:val="24"/>
          <w:lang w:val="en-US"/>
        </w:rPr>
        <w:t xml:space="preserve"> and </w:t>
      </w:r>
      <w:r w:rsidRPr="001C5E18">
        <w:rPr>
          <w:rFonts w:ascii="Symbol" w:hAnsi="Symbol"/>
          <w:sz w:val="24"/>
          <w:szCs w:val="24"/>
          <w:lang w:val="en-US"/>
        </w:rPr>
        <w:t></w:t>
      </w:r>
      <w:r w:rsidRPr="001C5E18">
        <w:rPr>
          <w:sz w:val="24"/>
          <w:szCs w:val="24"/>
          <w:lang w:val="en-US"/>
        </w:rPr>
        <w:t xml:space="preserve"> </w:t>
      </w:r>
      <w:r>
        <w:rPr>
          <w:sz w:val="24"/>
          <w:szCs w:val="24"/>
          <w:lang w:val="en-US"/>
        </w:rPr>
        <w:t>becomes apparent o</w:t>
      </w:r>
      <w:r w:rsidR="00BC0E0D">
        <w:rPr>
          <w:sz w:val="24"/>
          <w:szCs w:val="24"/>
          <w:lang w:val="en-US"/>
        </w:rPr>
        <w:t>n axes 2 and 3</w:t>
      </w:r>
      <w:r w:rsidR="00A2615E">
        <w:rPr>
          <w:sz w:val="24"/>
          <w:szCs w:val="24"/>
          <w:lang w:val="en-US"/>
        </w:rPr>
        <w:t xml:space="preserve"> (1</w:t>
      </w:r>
      <w:r w:rsidR="00014A0C">
        <w:rPr>
          <w:sz w:val="24"/>
          <w:szCs w:val="24"/>
          <w:lang w:val="en-US"/>
        </w:rPr>
        <w:t>2</w:t>
      </w:r>
      <w:r w:rsidR="00F67915">
        <w:rPr>
          <w:sz w:val="24"/>
          <w:szCs w:val="24"/>
          <w:lang w:val="en-US"/>
        </w:rPr>
        <w:t>%</w:t>
      </w:r>
      <w:r w:rsidR="00A2615E">
        <w:rPr>
          <w:sz w:val="24"/>
          <w:szCs w:val="24"/>
          <w:lang w:val="en-US"/>
        </w:rPr>
        <w:t xml:space="preserve"> and </w:t>
      </w:r>
      <w:r w:rsidR="00014A0C">
        <w:rPr>
          <w:sz w:val="24"/>
          <w:szCs w:val="24"/>
          <w:lang w:val="en-US"/>
        </w:rPr>
        <w:t>7</w:t>
      </w:r>
      <w:r w:rsidR="00A2615E">
        <w:rPr>
          <w:sz w:val="24"/>
          <w:szCs w:val="24"/>
          <w:lang w:val="en-US"/>
        </w:rPr>
        <w:t>% of the variance</w:t>
      </w:r>
      <w:r w:rsidR="006B2BCB">
        <w:rPr>
          <w:sz w:val="24"/>
          <w:szCs w:val="24"/>
          <w:lang w:val="en-US"/>
        </w:rPr>
        <w:t>, respectively</w:t>
      </w:r>
      <w:r w:rsidR="00A2615E">
        <w:rPr>
          <w:sz w:val="24"/>
          <w:szCs w:val="24"/>
          <w:lang w:val="en-US"/>
        </w:rPr>
        <w:t>)</w:t>
      </w:r>
      <w:r w:rsidR="005D4C60">
        <w:rPr>
          <w:sz w:val="24"/>
          <w:szCs w:val="24"/>
          <w:lang w:val="en-US"/>
        </w:rPr>
        <w:t>,</w:t>
      </w:r>
      <w:r w:rsidR="00961F7C">
        <w:rPr>
          <w:sz w:val="24"/>
          <w:szCs w:val="24"/>
          <w:lang w:val="en-US"/>
        </w:rPr>
        <w:t xml:space="preserve"> </w:t>
      </w:r>
      <w:r w:rsidR="005D4C60">
        <w:rPr>
          <w:sz w:val="24"/>
          <w:szCs w:val="24"/>
          <w:lang w:val="en-US"/>
        </w:rPr>
        <w:t xml:space="preserve">which </w:t>
      </w:r>
      <w:r>
        <w:rPr>
          <w:sz w:val="24"/>
          <w:szCs w:val="24"/>
          <w:lang w:val="en-US"/>
        </w:rPr>
        <w:t>reveal</w:t>
      </w:r>
      <w:r w:rsidR="00961F7C">
        <w:rPr>
          <w:sz w:val="24"/>
          <w:szCs w:val="24"/>
          <w:lang w:val="en-US"/>
        </w:rPr>
        <w:t xml:space="preserve"> </w:t>
      </w:r>
      <w:r w:rsidR="005D4C60">
        <w:rPr>
          <w:sz w:val="24"/>
          <w:szCs w:val="24"/>
          <w:lang w:val="en-US"/>
        </w:rPr>
        <w:t xml:space="preserve">the </w:t>
      </w:r>
      <w:r w:rsidR="00961F7C">
        <w:rPr>
          <w:sz w:val="24"/>
          <w:szCs w:val="24"/>
          <w:lang w:val="en-US"/>
        </w:rPr>
        <w:t>shape of inequality</w:t>
      </w:r>
      <w:r w:rsidR="005D4C60" w:rsidRPr="005D4C60">
        <w:rPr>
          <w:sz w:val="24"/>
          <w:szCs w:val="24"/>
          <w:lang w:val="en-US"/>
        </w:rPr>
        <w:t xml:space="preserve"> </w:t>
      </w:r>
      <w:r w:rsidR="005D4C60">
        <w:rPr>
          <w:sz w:val="24"/>
          <w:szCs w:val="24"/>
          <w:lang w:val="en-US"/>
        </w:rPr>
        <w:t xml:space="preserve">but not </w:t>
      </w:r>
      <w:r>
        <w:rPr>
          <w:sz w:val="24"/>
          <w:szCs w:val="24"/>
          <w:lang w:val="en-US"/>
        </w:rPr>
        <w:t xml:space="preserve">its </w:t>
      </w:r>
      <w:r w:rsidR="005D4C60">
        <w:rPr>
          <w:sz w:val="24"/>
          <w:szCs w:val="24"/>
          <w:lang w:val="en-US"/>
        </w:rPr>
        <w:t>intensity</w:t>
      </w:r>
      <w:r w:rsidR="0015129D">
        <w:rPr>
          <w:sz w:val="24"/>
          <w:szCs w:val="24"/>
          <w:lang w:val="en-US"/>
        </w:rPr>
        <w:t>.</w:t>
      </w:r>
      <w:r w:rsidR="00BC0E0D">
        <w:rPr>
          <w:sz w:val="24"/>
          <w:szCs w:val="24"/>
          <w:lang w:val="en-US"/>
        </w:rPr>
        <w:t xml:space="preserve"> </w:t>
      </w:r>
    </w:p>
    <w:p w:rsidR="00A70B1E" w:rsidRDefault="00F23B50" w:rsidP="00E67404">
      <w:pPr>
        <w:numPr>
          <w:ilvl w:val="0"/>
          <w:numId w:val="3"/>
        </w:numPr>
        <w:spacing w:after="120" w:line="480" w:lineRule="auto"/>
        <w:rPr>
          <w:sz w:val="24"/>
          <w:szCs w:val="24"/>
          <w:lang w:val="en-US"/>
        </w:rPr>
      </w:pPr>
      <w:r>
        <w:rPr>
          <w:sz w:val="24"/>
          <w:szCs w:val="24"/>
          <w:lang w:val="en-US"/>
        </w:rPr>
        <w:lastRenderedPageBreak/>
        <w:t>On t</w:t>
      </w:r>
      <w:r w:rsidR="00BC0E0D">
        <w:rPr>
          <w:sz w:val="24"/>
          <w:szCs w:val="24"/>
          <w:lang w:val="en-US"/>
        </w:rPr>
        <w:t xml:space="preserve">he </w:t>
      </w:r>
      <w:r w:rsidR="00A24BDD">
        <w:rPr>
          <w:sz w:val="24"/>
          <w:szCs w:val="24"/>
          <w:lang w:val="en-US"/>
        </w:rPr>
        <w:t xml:space="preserve">second </w:t>
      </w:r>
      <w:r w:rsidR="0015129D" w:rsidRPr="0015129D">
        <w:rPr>
          <w:sz w:val="24"/>
          <w:szCs w:val="24"/>
          <w:lang w:val="en-US"/>
        </w:rPr>
        <w:t xml:space="preserve">PCA </w:t>
      </w:r>
      <w:r w:rsidR="00937FFE">
        <w:rPr>
          <w:sz w:val="24"/>
          <w:szCs w:val="24"/>
          <w:lang w:val="en-US"/>
        </w:rPr>
        <w:t>axis</w:t>
      </w:r>
      <w:r>
        <w:rPr>
          <w:sz w:val="24"/>
          <w:szCs w:val="24"/>
          <w:lang w:val="en-US"/>
        </w:rPr>
        <w:t>,</w:t>
      </w:r>
      <w:r w:rsidR="00BC0E0D">
        <w:rPr>
          <w:sz w:val="24"/>
          <w:szCs w:val="24"/>
          <w:lang w:val="en-US"/>
        </w:rPr>
        <w:t xml:space="preserve"> </w:t>
      </w:r>
      <w:r w:rsidR="00472786" w:rsidRPr="00472786">
        <w:rPr>
          <w:rFonts w:ascii="Symbol" w:hAnsi="Symbol"/>
          <w:sz w:val="24"/>
          <w:szCs w:val="24"/>
          <w:lang w:val="en-US"/>
        </w:rPr>
        <w:t></w:t>
      </w:r>
      <w:r w:rsidR="00A24BDD">
        <w:rPr>
          <w:sz w:val="24"/>
          <w:szCs w:val="24"/>
          <w:lang w:val="en-US"/>
        </w:rPr>
        <w:t xml:space="preserve"> </w:t>
      </w:r>
      <w:r>
        <w:rPr>
          <w:sz w:val="24"/>
          <w:szCs w:val="24"/>
          <w:lang w:val="en-US"/>
        </w:rPr>
        <w:t xml:space="preserve">and </w:t>
      </w:r>
      <w:r w:rsidR="00472786" w:rsidRPr="00472786">
        <w:rPr>
          <w:rFonts w:ascii="Symbol" w:hAnsi="Symbol"/>
          <w:sz w:val="24"/>
          <w:szCs w:val="24"/>
          <w:lang w:val="en-US"/>
        </w:rPr>
        <w:t></w:t>
      </w:r>
      <w:r>
        <w:rPr>
          <w:sz w:val="24"/>
          <w:szCs w:val="24"/>
          <w:lang w:val="en-US"/>
        </w:rPr>
        <w:t xml:space="preserve"> are </w:t>
      </w:r>
      <w:r w:rsidR="0015129D">
        <w:rPr>
          <w:sz w:val="24"/>
          <w:szCs w:val="24"/>
          <w:lang w:val="en-US"/>
        </w:rPr>
        <w:t xml:space="preserve">strongly </w:t>
      </w:r>
      <w:r w:rsidR="00A24BDD">
        <w:rPr>
          <w:sz w:val="24"/>
          <w:szCs w:val="24"/>
          <w:lang w:val="en-US"/>
        </w:rPr>
        <w:t xml:space="preserve">correlated </w:t>
      </w:r>
      <w:r w:rsidR="00C16133">
        <w:rPr>
          <w:sz w:val="24"/>
          <w:szCs w:val="24"/>
          <w:lang w:val="en-US"/>
        </w:rPr>
        <w:t xml:space="preserve">in the same direction </w:t>
      </w:r>
      <w:r w:rsidR="005D4C60">
        <w:rPr>
          <w:sz w:val="24"/>
          <w:szCs w:val="24"/>
          <w:lang w:val="en-US"/>
        </w:rPr>
        <w:t xml:space="preserve">as </w:t>
      </w:r>
      <w:r w:rsidR="00C16133" w:rsidRPr="0091210C">
        <w:rPr>
          <w:sz w:val="24"/>
          <w:szCs w:val="24"/>
          <w:lang w:val="en-US"/>
        </w:rPr>
        <w:t>pp</w:t>
      </w:r>
      <w:r w:rsidR="00C16133">
        <w:rPr>
          <w:sz w:val="24"/>
          <w:szCs w:val="24"/>
          <w:lang w:val="en-US"/>
        </w:rPr>
        <w:t>2510</w:t>
      </w:r>
      <w:r w:rsidR="00C16133" w:rsidRPr="0091210C">
        <w:rPr>
          <w:sz w:val="24"/>
          <w:szCs w:val="24"/>
          <w:lang w:val="en-US"/>
        </w:rPr>
        <w:t xml:space="preserve">50 </w:t>
      </w:r>
      <w:r w:rsidR="00C16133">
        <w:rPr>
          <w:sz w:val="24"/>
          <w:szCs w:val="24"/>
          <w:lang w:val="en-US"/>
        </w:rPr>
        <w:t xml:space="preserve">and </w:t>
      </w:r>
      <w:r w:rsidR="00C16133" w:rsidRPr="0091210C">
        <w:rPr>
          <w:sz w:val="24"/>
          <w:szCs w:val="24"/>
          <w:lang w:val="en-US"/>
        </w:rPr>
        <w:t>pp907550</w:t>
      </w:r>
      <w:r w:rsidR="0015129D">
        <w:rPr>
          <w:sz w:val="24"/>
          <w:szCs w:val="24"/>
          <w:lang w:val="en-US"/>
        </w:rPr>
        <w:t xml:space="preserve">, the two measures of the </w:t>
      </w:r>
      <w:r w:rsidR="00E12A4F">
        <w:rPr>
          <w:sz w:val="24"/>
          <w:szCs w:val="24"/>
          <w:lang w:val="en-US"/>
        </w:rPr>
        <w:t>over-elongation of the extreme deciles compared to the quartiles</w:t>
      </w:r>
      <w:r w:rsidR="00BC0E0D">
        <w:rPr>
          <w:sz w:val="24"/>
          <w:szCs w:val="24"/>
          <w:lang w:val="en-US"/>
        </w:rPr>
        <w:t xml:space="preserve">. </w:t>
      </w:r>
      <w:r w:rsidR="00E12A4F">
        <w:rPr>
          <w:sz w:val="24"/>
          <w:szCs w:val="24"/>
          <w:lang w:val="en-US"/>
        </w:rPr>
        <w:t>The correlation with mcu and mcl (respectively</w:t>
      </w:r>
      <w:r w:rsidR="005D4C60">
        <w:rPr>
          <w:sz w:val="24"/>
          <w:szCs w:val="24"/>
          <w:lang w:val="en-US"/>
        </w:rPr>
        <w:t>,</w:t>
      </w:r>
      <w:r w:rsidR="00E12A4F">
        <w:rPr>
          <w:sz w:val="24"/>
          <w:szCs w:val="24"/>
          <w:lang w:val="en-US"/>
        </w:rPr>
        <w:t xml:space="preserve"> </w:t>
      </w:r>
      <w:r w:rsidR="0015129D">
        <w:rPr>
          <w:sz w:val="24"/>
          <w:szCs w:val="24"/>
          <w:lang w:val="en-US"/>
        </w:rPr>
        <w:t xml:space="preserve">the </w:t>
      </w:r>
      <w:r w:rsidR="00E12A4F">
        <w:rPr>
          <w:sz w:val="24"/>
          <w:szCs w:val="24"/>
          <w:lang w:val="en-US"/>
        </w:rPr>
        <w:t xml:space="preserve">upper and lower middle classes) is negative: the elongation at the top (resp. bottom) </w:t>
      </w:r>
      <w:r w:rsidR="0015129D">
        <w:rPr>
          <w:sz w:val="24"/>
          <w:szCs w:val="24"/>
          <w:lang w:val="en-US"/>
        </w:rPr>
        <w:t>implie</w:t>
      </w:r>
      <w:r w:rsidR="00E12A4F">
        <w:rPr>
          <w:sz w:val="24"/>
          <w:szCs w:val="24"/>
          <w:lang w:val="en-US"/>
        </w:rPr>
        <w:t xml:space="preserve">s </w:t>
      </w:r>
      <w:r w:rsidR="007A23CA">
        <w:rPr>
          <w:sz w:val="24"/>
          <w:szCs w:val="24"/>
          <w:lang w:val="en-US"/>
        </w:rPr>
        <w:t xml:space="preserve">a </w:t>
      </w:r>
      <w:r w:rsidR="00E12A4F">
        <w:rPr>
          <w:sz w:val="24"/>
          <w:szCs w:val="24"/>
          <w:lang w:val="en-US"/>
        </w:rPr>
        <w:t xml:space="preserve">smaller upper (resp. the lower) middle class that </w:t>
      </w:r>
      <w:r w:rsidR="00126B88">
        <w:rPr>
          <w:sz w:val="24"/>
          <w:szCs w:val="24"/>
          <w:lang w:val="en-US"/>
        </w:rPr>
        <w:t>is</w:t>
      </w:r>
      <w:r w:rsidR="00E12A4F">
        <w:rPr>
          <w:sz w:val="24"/>
          <w:szCs w:val="24"/>
          <w:lang w:val="en-US"/>
        </w:rPr>
        <w:t xml:space="preserve"> stretched</w:t>
      </w:r>
      <w:r w:rsidR="007A23CA">
        <w:rPr>
          <w:sz w:val="24"/>
          <w:szCs w:val="24"/>
          <w:lang w:val="en-US"/>
        </w:rPr>
        <w:t xml:space="preserve"> out</w:t>
      </w:r>
      <w:r w:rsidR="00E12A4F">
        <w:rPr>
          <w:sz w:val="24"/>
          <w:szCs w:val="24"/>
          <w:lang w:val="en-US"/>
        </w:rPr>
        <w:t xml:space="preserve">. </w:t>
      </w:r>
      <w:r w:rsidR="007A23CA">
        <w:rPr>
          <w:sz w:val="24"/>
          <w:szCs w:val="24"/>
          <w:lang w:val="en-US"/>
        </w:rPr>
        <w:t>P</w:t>
      </w:r>
      <w:r w:rsidR="00797C18">
        <w:rPr>
          <w:sz w:val="24"/>
          <w:szCs w:val="24"/>
          <w:lang w:val="en-US"/>
        </w:rPr>
        <w:t xml:space="preserve">ositive values on the </w:t>
      </w:r>
      <w:r w:rsidR="00F5188B">
        <w:rPr>
          <w:sz w:val="24"/>
          <w:szCs w:val="24"/>
          <w:lang w:val="en-US"/>
        </w:rPr>
        <w:t xml:space="preserve">second </w:t>
      </w:r>
      <w:r w:rsidR="00937FFE">
        <w:rPr>
          <w:sz w:val="24"/>
          <w:szCs w:val="24"/>
          <w:lang w:val="en-US"/>
        </w:rPr>
        <w:t>axis</w:t>
      </w:r>
      <w:r w:rsidR="00F5188B">
        <w:rPr>
          <w:sz w:val="24"/>
          <w:szCs w:val="24"/>
          <w:lang w:val="en-US"/>
        </w:rPr>
        <w:t xml:space="preserve"> </w:t>
      </w:r>
      <w:r w:rsidR="007A23CA">
        <w:rPr>
          <w:sz w:val="24"/>
          <w:szCs w:val="24"/>
          <w:lang w:val="en-US"/>
        </w:rPr>
        <w:t xml:space="preserve">reflect greater </w:t>
      </w:r>
      <w:r w:rsidR="00E12A4F">
        <w:rPr>
          <w:sz w:val="24"/>
          <w:szCs w:val="24"/>
          <w:lang w:val="en-US"/>
        </w:rPr>
        <w:t>inequality at the extremes</w:t>
      </w:r>
      <w:r w:rsidR="00A24BDD">
        <w:rPr>
          <w:sz w:val="24"/>
          <w:szCs w:val="24"/>
          <w:lang w:val="en-US"/>
        </w:rPr>
        <w:t xml:space="preserve">. </w:t>
      </w:r>
      <w:r w:rsidR="009531FC">
        <w:rPr>
          <w:sz w:val="24"/>
          <w:szCs w:val="24"/>
          <w:lang w:val="en-US"/>
        </w:rPr>
        <w:t>H</w:t>
      </w:r>
      <w:r w:rsidR="00A24BDD">
        <w:rPr>
          <w:sz w:val="24"/>
          <w:szCs w:val="24"/>
          <w:lang w:val="en-US"/>
        </w:rPr>
        <w:t xml:space="preserve">ere, the generalized entropy index with </w:t>
      </w:r>
      <w:r w:rsidR="00014A0C">
        <w:rPr>
          <w:sz w:val="24"/>
          <w:szCs w:val="24"/>
          <w:lang w:val="en-US"/>
        </w:rPr>
        <w:t>parameter</w:t>
      </w:r>
      <w:r w:rsidR="00A24BDD">
        <w:rPr>
          <w:sz w:val="24"/>
          <w:szCs w:val="24"/>
          <w:lang w:val="en-US"/>
        </w:rPr>
        <w:t xml:space="preserve"> 2</w:t>
      </w:r>
      <w:r w:rsidR="00E67404" w:rsidRPr="00E67404">
        <w:rPr>
          <w:sz w:val="24"/>
          <w:szCs w:val="24"/>
          <w:lang w:val="en-US"/>
        </w:rPr>
        <w:t xml:space="preserve"> </w:t>
      </w:r>
      <w:r w:rsidR="007A23CA">
        <w:rPr>
          <w:sz w:val="24"/>
          <w:szCs w:val="24"/>
          <w:lang w:val="en-US"/>
        </w:rPr>
        <w:t xml:space="preserve">is more </w:t>
      </w:r>
      <w:r w:rsidR="00E67404" w:rsidRPr="00E67404">
        <w:rPr>
          <w:sz w:val="24"/>
          <w:szCs w:val="24"/>
          <w:lang w:val="en-US"/>
        </w:rPr>
        <w:t>strong</w:t>
      </w:r>
      <w:r w:rsidR="007A23CA">
        <w:rPr>
          <w:sz w:val="24"/>
          <w:szCs w:val="24"/>
          <w:lang w:val="en-US"/>
        </w:rPr>
        <w:t>ly correlated</w:t>
      </w:r>
      <w:r w:rsidR="00E67404" w:rsidRPr="00E67404">
        <w:rPr>
          <w:sz w:val="24"/>
          <w:szCs w:val="24"/>
          <w:lang w:val="en-US"/>
        </w:rPr>
        <w:t xml:space="preserve"> </w:t>
      </w:r>
      <w:r w:rsidR="00E67404">
        <w:rPr>
          <w:sz w:val="24"/>
          <w:szCs w:val="24"/>
          <w:lang w:val="en-US"/>
        </w:rPr>
        <w:t xml:space="preserve">on axis 2 </w:t>
      </w:r>
      <w:r w:rsidR="00A2615E">
        <w:rPr>
          <w:sz w:val="24"/>
          <w:szCs w:val="24"/>
          <w:lang w:val="en-US"/>
        </w:rPr>
        <w:t xml:space="preserve">than </w:t>
      </w:r>
      <w:r w:rsidR="007A23CA">
        <w:rPr>
          <w:sz w:val="24"/>
          <w:szCs w:val="24"/>
          <w:lang w:val="en-US"/>
        </w:rPr>
        <w:t xml:space="preserve">are </w:t>
      </w:r>
      <w:r w:rsidR="00A2615E">
        <w:rPr>
          <w:sz w:val="24"/>
          <w:szCs w:val="24"/>
          <w:lang w:val="en-US"/>
        </w:rPr>
        <w:t>the other traditional measures</w:t>
      </w:r>
      <w:r w:rsidR="00A24BDD">
        <w:rPr>
          <w:sz w:val="24"/>
          <w:szCs w:val="24"/>
          <w:lang w:val="en-US"/>
        </w:rPr>
        <w:t xml:space="preserve">. </w:t>
      </w:r>
    </w:p>
    <w:p w:rsidR="00BC0E0D" w:rsidRPr="005B53EC" w:rsidRDefault="00800A7D" w:rsidP="005425A1">
      <w:pPr>
        <w:numPr>
          <w:ilvl w:val="0"/>
          <w:numId w:val="3"/>
        </w:numPr>
        <w:spacing w:after="120" w:line="480" w:lineRule="auto"/>
        <w:rPr>
          <w:sz w:val="24"/>
          <w:szCs w:val="24"/>
          <w:lang w:val="en-US"/>
        </w:rPr>
      </w:pPr>
      <w:r w:rsidRPr="005B53EC">
        <w:rPr>
          <w:sz w:val="24"/>
          <w:szCs w:val="24"/>
          <w:lang w:val="en-US"/>
        </w:rPr>
        <w:t>A</w:t>
      </w:r>
      <w:r w:rsidR="00937FFE" w:rsidRPr="005B53EC">
        <w:rPr>
          <w:sz w:val="24"/>
          <w:szCs w:val="24"/>
          <w:lang w:val="en-US"/>
        </w:rPr>
        <w:t>xis</w:t>
      </w:r>
      <w:r w:rsidR="00A24BDD" w:rsidRPr="005B53EC">
        <w:rPr>
          <w:sz w:val="24"/>
          <w:szCs w:val="24"/>
          <w:lang w:val="en-US"/>
        </w:rPr>
        <w:t xml:space="preserve"> 3</w:t>
      </w:r>
      <w:r w:rsidR="00E67404" w:rsidRPr="005B53EC">
        <w:rPr>
          <w:sz w:val="24"/>
          <w:szCs w:val="24"/>
          <w:lang w:val="en-US"/>
        </w:rPr>
        <w:t xml:space="preserve"> </w:t>
      </w:r>
      <w:r w:rsidR="007A23CA" w:rsidRPr="005B53EC">
        <w:rPr>
          <w:sz w:val="24"/>
          <w:szCs w:val="24"/>
          <w:lang w:val="en-US"/>
        </w:rPr>
        <w:t xml:space="preserve">shows </w:t>
      </w:r>
      <w:r w:rsidR="00EC1576" w:rsidRPr="005B53EC">
        <w:rPr>
          <w:sz w:val="24"/>
          <w:szCs w:val="24"/>
          <w:lang w:val="en-US"/>
        </w:rPr>
        <w:t xml:space="preserve">the difference between </w:t>
      </w:r>
      <w:r w:rsidR="00472786" w:rsidRPr="005B53EC">
        <w:rPr>
          <w:rFonts w:ascii="Symbol" w:hAnsi="Symbol"/>
          <w:sz w:val="24"/>
          <w:szCs w:val="24"/>
          <w:lang w:val="en-US"/>
        </w:rPr>
        <w:t></w:t>
      </w:r>
      <w:r w:rsidR="00EC1576" w:rsidRPr="005B53EC">
        <w:rPr>
          <w:sz w:val="24"/>
          <w:szCs w:val="24"/>
          <w:lang w:val="en-US"/>
        </w:rPr>
        <w:t xml:space="preserve"> and </w:t>
      </w:r>
      <w:r w:rsidR="00472786" w:rsidRPr="005B53EC">
        <w:rPr>
          <w:rFonts w:ascii="Symbol" w:hAnsi="Symbol"/>
          <w:sz w:val="24"/>
          <w:szCs w:val="24"/>
          <w:lang w:val="en-US"/>
        </w:rPr>
        <w:t></w:t>
      </w:r>
      <w:r w:rsidR="00EC1576" w:rsidRPr="005B53EC">
        <w:rPr>
          <w:sz w:val="24"/>
          <w:szCs w:val="24"/>
          <w:lang w:val="en-US"/>
        </w:rPr>
        <w:t xml:space="preserve">, along with the </w:t>
      </w:r>
      <w:r w:rsidR="007A23CA" w:rsidRPr="005B53EC">
        <w:rPr>
          <w:sz w:val="24"/>
          <w:szCs w:val="24"/>
          <w:lang w:val="en-US"/>
        </w:rPr>
        <w:t xml:space="preserve">contrast </w:t>
      </w:r>
      <w:r w:rsidR="00EC1576" w:rsidRPr="005B53EC">
        <w:rPr>
          <w:sz w:val="24"/>
          <w:szCs w:val="24"/>
          <w:lang w:val="en-US"/>
        </w:rPr>
        <w:t xml:space="preserve">between </w:t>
      </w:r>
      <w:r w:rsidR="004359AC" w:rsidRPr="005B53EC">
        <w:rPr>
          <w:sz w:val="24"/>
          <w:szCs w:val="24"/>
          <w:lang w:val="en-US"/>
        </w:rPr>
        <w:t>pp251050 and pp907550</w:t>
      </w:r>
      <w:r w:rsidR="00A24BDD" w:rsidRPr="005B53EC">
        <w:rPr>
          <w:sz w:val="24"/>
          <w:szCs w:val="24"/>
          <w:lang w:val="en-US"/>
        </w:rPr>
        <w:t xml:space="preserve">. </w:t>
      </w:r>
      <w:r w:rsidR="005425A1" w:rsidRPr="005B53EC">
        <w:rPr>
          <w:sz w:val="24"/>
          <w:szCs w:val="24"/>
          <w:lang w:val="en-US"/>
        </w:rPr>
        <w:t xml:space="preserve">On this axis, the generalized entropy index with parameter 1 </w:t>
      </w:r>
      <w:r w:rsidR="005B53EC" w:rsidRPr="005B53EC">
        <w:rPr>
          <w:sz w:val="24"/>
          <w:szCs w:val="24"/>
          <w:lang w:val="en-US"/>
        </w:rPr>
        <w:t xml:space="preserve">(gem1) </w:t>
      </w:r>
      <w:r w:rsidR="005425A1" w:rsidRPr="005B53EC">
        <w:rPr>
          <w:sz w:val="24"/>
          <w:szCs w:val="24"/>
          <w:lang w:val="en-US"/>
        </w:rPr>
        <w:t xml:space="preserve">and the Atkinson index with parameter 2 </w:t>
      </w:r>
      <w:r w:rsidR="005B53EC" w:rsidRPr="005B53EC">
        <w:rPr>
          <w:sz w:val="24"/>
          <w:szCs w:val="24"/>
          <w:lang w:val="en-US"/>
        </w:rPr>
        <w:t xml:space="preserve">(a2) </w:t>
      </w:r>
      <w:r w:rsidR="005425A1" w:rsidRPr="005B53EC">
        <w:rPr>
          <w:sz w:val="24"/>
          <w:szCs w:val="24"/>
          <w:lang w:val="en-US"/>
        </w:rPr>
        <w:t xml:space="preserve">are located on the same side </w:t>
      </w:r>
      <w:r w:rsidR="005B53EC" w:rsidRPr="005B53EC">
        <w:rPr>
          <w:sz w:val="24"/>
          <w:szCs w:val="24"/>
          <w:lang w:val="en-US"/>
        </w:rPr>
        <w:t xml:space="preserve">of axis3 as </w:t>
      </w:r>
      <w:r w:rsidR="005425A1" w:rsidRPr="005B53EC">
        <w:rPr>
          <w:rFonts w:ascii="Symbol" w:hAnsi="Symbol"/>
          <w:sz w:val="24"/>
          <w:szCs w:val="24"/>
          <w:lang w:val="en-US"/>
        </w:rPr>
        <w:t></w:t>
      </w:r>
      <w:r w:rsidR="005425A1" w:rsidRPr="005B53EC">
        <w:rPr>
          <w:sz w:val="24"/>
          <w:szCs w:val="24"/>
          <w:lang w:val="en-US"/>
        </w:rPr>
        <w:t>. All of these indicators are relatively more sensitive to inequality at the bottom. Conversely, the generalized entropy index with parameter 2</w:t>
      </w:r>
      <w:r w:rsidR="005B53EC" w:rsidRPr="005B53EC">
        <w:rPr>
          <w:sz w:val="24"/>
          <w:szCs w:val="24"/>
          <w:lang w:val="en-US"/>
        </w:rPr>
        <w:t xml:space="preserve"> (ge2)</w:t>
      </w:r>
      <w:r w:rsidR="005425A1" w:rsidRPr="005B53EC">
        <w:rPr>
          <w:sz w:val="24"/>
          <w:szCs w:val="24"/>
          <w:lang w:val="en-US"/>
        </w:rPr>
        <w:t xml:space="preserve">, located on the same side </w:t>
      </w:r>
      <w:r w:rsidR="005B53EC" w:rsidRPr="005B53EC">
        <w:rPr>
          <w:sz w:val="24"/>
          <w:szCs w:val="24"/>
          <w:lang w:val="en-US"/>
        </w:rPr>
        <w:t xml:space="preserve">of axis3 as </w:t>
      </w:r>
      <w:r w:rsidR="005425A1" w:rsidRPr="005B53EC">
        <w:rPr>
          <w:rFonts w:ascii="Symbol" w:hAnsi="Symbol"/>
          <w:sz w:val="24"/>
          <w:szCs w:val="24"/>
          <w:lang w:val="en-US"/>
        </w:rPr>
        <w:t></w:t>
      </w:r>
      <w:r w:rsidR="005425A1" w:rsidRPr="005B53EC">
        <w:rPr>
          <w:sz w:val="24"/>
          <w:szCs w:val="24"/>
          <w:lang w:val="en-US"/>
        </w:rPr>
        <w:t>, is sensitive to inequality at the top</w:t>
      </w:r>
      <w:r w:rsidR="00EC1576" w:rsidRPr="005B53EC">
        <w:rPr>
          <w:sz w:val="24"/>
          <w:szCs w:val="24"/>
          <w:lang w:val="en-US"/>
        </w:rPr>
        <w:t xml:space="preserve">. </w:t>
      </w:r>
      <w:r w:rsidR="00A2615E" w:rsidRPr="005B53EC">
        <w:rPr>
          <w:sz w:val="24"/>
          <w:szCs w:val="24"/>
          <w:lang w:val="en-US"/>
        </w:rPr>
        <w:t>The</w:t>
      </w:r>
      <w:r w:rsidRPr="005B53EC">
        <w:rPr>
          <w:sz w:val="24"/>
          <w:szCs w:val="24"/>
          <w:lang w:val="en-US"/>
        </w:rPr>
        <w:t>refore,</w:t>
      </w:r>
      <w:r w:rsidR="00A2615E" w:rsidRPr="005B53EC">
        <w:rPr>
          <w:sz w:val="24"/>
          <w:szCs w:val="24"/>
          <w:lang w:val="en-US"/>
        </w:rPr>
        <w:t xml:space="preserve"> </w:t>
      </w:r>
      <w:r w:rsidR="00472786" w:rsidRPr="005B53EC">
        <w:rPr>
          <w:rFonts w:ascii="Symbol" w:hAnsi="Symbol"/>
          <w:sz w:val="24"/>
          <w:szCs w:val="24"/>
          <w:lang w:val="en-US"/>
        </w:rPr>
        <w:t></w:t>
      </w:r>
      <w:r w:rsidR="00A2615E" w:rsidRPr="005B53EC">
        <w:rPr>
          <w:sz w:val="24"/>
          <w:szCs w:val="24"/>
          <w:lang w:val="en-US"/>
        </w:rPr>
        <w:t xml:space="preserve"> and </w:t>
      </w:r>
      <w:r w:rsidR="00472786" w:rsidRPr="005B53EC">
        <w:rPr>
          <w:rFonts w:ascii="Symbol" w:hAnsi="Symbol"/>
          <w:sz w:val="24"/>
          <w:szCs w:val="24"/>
          <w:lang w:val="en-US"/>
        </w:rPr>
        <w:t></w:t>
      </w:r>
      <w:r w:rsidR="00A2615E" w:rsidRPr="005B53EC">
        <w:rPr>
          <w:sz w:val="24"/>
          <w:szCs w:val="24"/>
          <w:lang w:val="en-US"/>
        </w:rPr>
        <w:t xml:space="preserve"> </w:t>
      </w:r>
      <w:r w:rsidR="00910033" w:rsidRPr="005B53EC">
        <w:rPr>
          <w:sz w:val="24"/>
          <w:szCs w:val="24"/>
          <w:lang w:val="en-US"/>
        </w:rPr>
        <w:t xml:space="preserve">pick up salient </w:t>
      </w:r>
      <w:r w:rsidR="00A2615E" w:rsidRPr="005B53EC">
        <w:rPr>
          <w:sz w:val="24"/>
          <w:szCs w:val="24"/>
          <w:lang w:val="en-US"/>
        </w:rPr>
        <w:t xml:space="preserve">features </w:t>
      </w:r>
      <w:r w:rsidR="00910033" w:rsidRPr="005B53EC">
        <w:rPr>
          <w:sz w:val="24"/>
          <w:szCs w:val="24"/>
          <w:lang w:val="en-US"/>
        </w:rPr>
        <w:t xml:space="preserve">of the distribution </w:t>
      </w:r>
      <w:r w:rsidR="00BC1135" w:rsidRPr="005B53EC">
        <w:rPr>
          <w:sz w:val="24"/>
          <w:szCs w:val="24"/>
          <w:lang w:val="en-US"/>
        </w:rPr>
        <w:t xml:space="preserve">that </w:t>
      </w:r>
      <w:r w:rsidR="00910033" w:rsidRPr="005B53EC">
        <w:rPr>
          <w:sz w:val="24"/>
          <w:szCs w:val="24"/>
          <w:lang w:val="en-US"/>
        </w:rPr>
        <w:t>are less-well detected by other</w:t>
      </w:r>
      <w:r w:rsidR="00A2615E" w:rsidRPr="005B53EC">
        <w:rPr>
          <w:sz w:val="24"/>
          <w:szCs w:val="24"/>
          <w:lang w:val="en-US"/>
        </w:rPr>
        <w:t xml:space="preserve"> measures.</w:t>
      </w:r>
    </w:p>
    <w:p w:rsidR="00B03642" w:rsidRDefault="00B03642" w:rsidP="00B03642">
      <w:pPr>
        <w:ind w:left="720"/>
        <w:rPr>
          <w:sz w:val="22"/>
          <w:szCs w:val="24"/>
          <w:lang w:val="en-US"/>
        </w:rPr>
      </w:pPr>
    </w:p>
    <w:p w:rsidR="00B03642" w:rsidRDefault="00B03642" w:rsidP="00910033">
      <w:pPr>
        <w:spacing w:after="120" w:line="480" w:lineRule="auto"/>
        <w:rPr>
          <w:b/>
          <w:sz w:val="24"/>
          <w:szCs w:val="24"/>
          <w:lang w:val="en-US"/>
        </w:rPr>
      </w:pPr>
      <w:r>
        <w:rPr>
          <w:b/>
          <w:sz w:val="24"/>
          <w:szCs w:val="24"/>
          <w:lang w:val="en-US"/>
        </w:rPr>
        <w:t>PLACE FIGURE 4 HERE</w:t>
      </w:r>
    </w:p>
    <w:p w:rsidR="00B542BD" w:rsidRDefault="00B542BD" w:rsidP="00B542BD">
      <w:pPr>
        <w:spacing w:after="120" w:line="480" w:lineRule="auto"/>
        <w:rPr>
          <w:b/>
          <w:sz w:val="24"/>
          <w:szCs w:val="24"/>
          <w:lang w:val="en-US"/>
        </w:rPr>
      </w:pPr>
      <w:r>
        <w:rPr>
          <w:b/>
          <w:sz w:val="24"/>
          <w:szCs w:val="24"/>
          <w:lang w:val="en-US"/>
        </w:rPr>
        <w:t xml:space="preserve">PLACE TABLE </w:t>
      </w:r>
      <w:r w:rsidR="00AB0CFB">
        <w:rPr>
          <w:b/>
          <w:sz w:val="24"/>
          <w:szCs w:val="24"/>
          <w:lang w:val="en-US"/>
        </w:rPr>
        <w:t>5</w:t>
      </w:r>
      <w:r w:rsidR="00E10624">
        <w:rPr>
          <w:b/>
          <w:sz w:val="24"/>
          <w:szCs w:val="24"/>
          <w:lang w:val="en-US"/>
        </w:rPr>
        <w:t xml:space="preserve"> </w:t>
      </w:r>
      <w:r>
        <w:rPr>
          <w:b/>
          <w:sz w:val="24"/>
          <w:szCs w:val="24"/>
          <w:lang w:val="en-US"/>
        </w:rPr>
        <w:t>HERE</w:t>
      </w:r>
    </w:p>
    <w:p w:rsidR="00F4214B" w:rsidRPr="00F804A7" w:rsidRDefault="00F4214B" w:rsidP="00F4214B">
      <w:pPr>
        <w:rPr>
          <w:lang w:val="en-US"/>
        </w:rPr>
      </w:pPr>
    </w:p>
    <w:p w:rsidR="005320B1" w:rsidRDefault="00910033" w:rsidP="00F4214B">
      <w:pPr>
        <w:spacing w:after="120" w:line="480" w:lineRule="auto"/>
        <w:rPr>
          <w:sz w:val="24"/>
          <w:szCs w:val="24"/>
          <w:lang w:val="en-US"/>
        </w:rPr>
      </w:pPr>
      <w:r>
        <w:rPr>
          <w:sz w:val="24"/>
          <w:szCs w:val="24"/>
          <w:lang w:val="en-US"/>
        </w:rPr>
        <w:t>The</w:t>
      </w:r>
      <w:r w:rsidR="00553EE2">
        <w:rPr>
          <w:sz w:val="24"/>
          <w:szCs w:val="24"/>
          <w:lang w:val="en-US"/>
        </w:rPr>
        <w:t xml:space="preserve"> results </w:t>
      </w:r>
      <w:r>
        <w:rPr>
          <w:sz w:val="24"/>
          <w:szCs w:val="24"/>
          <w:lang w:val="en-US"/>
        </w:rPr>
        <w:t xml:space="preserve">here </w:t>
      </w:r>
      <w:r w:rsidR="00553EE2">
        <w:rPr>
          <w:sz w:val="24"/>
          <w:szCs w:val="24"/>
          <w:lang w:val="en-US"/>
        </w:rPr>
        <w:t xml:space="preserve">confirm that the </w:t>
      </w:r>
      <w:r>
        <w:rPr>
          <w:sz w:val="24"/>
          <w:szCs w:val="24"/>
          <w:lang w:val="en-US"/>
        </w:rPr>
        <w:t xml:space="preserve">estimated </w:t>
      </w:r>
      <w:r w:rsidR="00553EE2">
        <w:rPr>
          <w:sz w:val="24"/>
          <w:szCs w:val="24"/>
          <w:lang w:val="en-US"/>
        </w:rPr>
        <w:t xml:space="preserve">ABG parameters </w:t>
      </w:r>
      <w:r>
        <w:rPr>
          <w:sz w:val="24"/>
          <w:szCs w:val="24"/>
          <w:lang w:val="en-US"/>
        </w:rPr>
        <w:t xml:space="preserve">reflect central </w:t>
      </w:r>
      <w:r w:rsidR="00553EE2">
        <w:rPr>
          <w:sz w:val="24"/>
          <w:szCs w:val="24"/>
          <w:lang w:val="en-US"/>
        </w:rPr>
        <w:t>features of empirical distribution</w:t>
      </w:r>
      <w:r>
        <w:rPr>
          <w:sz w:val="24"/>
          <w:szCs w:val="24"/>
          <w:lang w:val="en-US"/>
        </w:rPr>
        <w:t>s</w:t>
      </w:r>
      <w:r w:rsidR="00553EE2">
        <w:rPr>
          <w:sz w:val="24"/>
          <w:szCs w:val="24"/>
          <w:lang w:val="en-US"/>
        </w:rPr>
        <w:t xml:space="preserve">, and help </w:t>
      </w:r>
      <w:r>
        <w:rPr>
          <w:sz w:val="24"/>
          <w:szCs w:val="24"/>
          <w:lang w:val="en-US"/>
        </w:rPr>
        <w:t xml:space="preserve">us </w:t>
      </w:r>
      <w:r w:rsidR="00553EE2">
        <w:rPr>
          <w:sz w:val="24"/>
          <w:szCs w:val="24"/>
          <w:lang w:val="en-US"/>
        </w:rPr>
        <w:t xml:space="preserve">to understand the role </w:t>
      </w:r>
      <w:r>
        <w:rPr>
          <w:sz w:val="24"/>
          <w:szCs w:val="24"/>
          <w:lang w:val="en-US"/>
        </w:rPr>
        <w:t xml:space="preserve">played by </w:t>
      </w:r>
      <w:r w:rsidR="00553EE2">
        <w:rPr>
          <w:sz w:val="24"/>
          <w:szCs w:val="24"/>
          <w:lang w:val="en-US"/>
        </w:rPr>
        <w:t xml:space="preserve">other indicators. </w:t>
      </w:r>
      <w:r w:rsidR="00DF2C97">
        <w:rPr>
          <w:sz w:val="24"/>
          <w:szCs w:val="24"/>
          <w:lang w:val="en-US"/>
        </w:rPr>
        <w:t>T</w:t>
      </w:r>
      <w:r>
        <w:rPr>
          <w:sz w:val="24"/>
          <w:szCs w:val="24"/>
          <w:lang w:val="en-US"/>
        </w:rPr>
        <w:t xml:space="preserve">able 5 uses the </w:t>
      </w:r>
      <w:r w:rsidR="00DF2C97">
        <w:rPr>
          <w:sz w:val="24"/>
          <w:szCs w:val="24"/>
          <w:lang w:val="en-US"/>
        </w:rPr>
        <w:t xml:space="preserve">results </w:t>
      </w:r>
      <w:r>
        <w:rPr>
          <w:sz w:val="24"/>
          <w:szCs w:val="24"/>
          <w:lang w:val="en-US"/>
        </w:rPr>
        <w:t xml:space="preserve">from our </w:t>
      </w:r>
      <w:r w:rsidR="005423EC">
        <w:rPr>
          <w:sz w:val="24"/>
          <w:szCs w:val="24"/>
          <w:lang w:val="en-US"/>
        </w:rPr>
        <w:t>232</w:t>
      </w:r>
      <w:r w:rsidR="008E2932">
        <w:rPr>
          <w:sz w:val="24"/>
          <w:szCs w:val="24"/>
          <w:lang w:val="en-US"/>
        </w:rPr>
        <w:t xml:space="preserve"> sample</w:t>
      </w:r>
      <w:r w:rsidR="00DF2C97">
        <w:rPr>
          <w:sz w:val="24"/>
          <w:szCs w:val="24"/>
          <w:lang w:val="en-US"/>
        </w:rPr>
        <w:t xml:space="preserve">s </w:t>
      </w:r>
      <w:r>
        <w:rPr>
          <w:sz w:val="24"/>
          <w:szCs w:val="24"/>
          <w:lang w:val="en-US"/>
        </w:rPr>
        <w:t>to shed</w:t>
      </w:r>
      <w:r w:rsidR="00986298">
        <w:rPr>
          <w:sz w:val="24"/>
          <w:szCs w:val="24"/>
          <w:lang w:val="en-US"/>
        </w:rPr>
        <w:t xml:space="preserve"> light on</w:t>
      </w:r>
      <w:r w:rsidR="00DF2C97">
        <w:rPr>
          <w:sz w:val="24"/>
          <w:szCs w:val="24"/>
          <w:lang w:val="en-US"/>
        </w:rPr>
        <w:t xml:space="preserve"> the </w:t>
      </w:r>
      <w:r w:rsidR="00F4214B">
        <w:rPr>
          <w:sz w:val="24"/>
          <w:szCs w:val="24"/>
          <w:lang w:val="en-US"/>
        </w:rPr>
        <w:t xml:space="preserve">relation between the </w:t>
      </w:r>
      <w:r w:rsidR="00A70B2E">
        <w:rPr>
          <w:sz w:val="24"/>
          <w:szCs w:val="24"/>
          <w:lang w:val="en-US"/>
        </w:rPr>
        <w:t>Gini index</w:t>
      </w:r>
      <w:r w:rsidR="00B91B85">
        <w:rPr>
          <w:sz w:val="24"/>
          <w:szCs w:val="24"/>
          <w:lang w:val="en-US"/>
        </w:rPr>
        <w:t xml:space="preserve">, </w:t>
      </w:r>
      <w:r w:rsidR="00986298">
        <w:rPr>
          <w:sz w:val="24"/>
          <w:szCs w:val="24"/>
          <w:lang w:val="en-US"/>
        </w:rPr>
        <w:t xml:space="preserve">the </w:t>
      </w:r>
      <w:r w:rsidR="00B91B85">
        <w:rPr>
          <w:sz w:val="24"/>
          <w:szCs w:val="24"/>
          <w:lang w:val="en-US"/>
        </w:rPr>
        <w:t>Atkinson 2</w:t>
      </w:r>
      <w:r w:rsidR="00986298">
        <w:rPr>
          <w:sz w:val="24"/>
          <w:szCs w:val="24"/>
          <w:lang w:val="en-US"/>
        </w:rPr>
        <w:t xml:space="preserve"> index</w:t>
      </w:r>
      <w:r w:rsidR="00F927A5">
        <w:rPr>
          <w:sz w:val="24"/>
          <w:szCs w:val="24"/>
          <w:lang w:val="en-US"/>
        </w:rPr>
        <w:t>,</w:t>
      </w:r>
      <w:r w:rsidR="00B91B85">
        <w:rPr>
          <w:sz w:val="24"/>
          <w:szCs w:val="24"/>
          <w:lang w:val="en-US"/>
        </w:rPr>
        <w:t xml:space="preserve"> </w:t>
      </w:r>
      <w:r>
        <w:rPr>
          <w:sz w:val="24"/>
          <w:szCs w:val="24"/>
          <w:lang w:val="en-US"/>
        </w:rPr>
        <w:t xml:space="preserve">the </w:t>
      </w:r>
      <w:r w:rsidR="00F927A5">
        <w:rPr>
          <w:sz w:val="24"/>
          <w:szCs w:val="24"/>
          <w:lang w:val="en-US"/>
        </w:rPr>
        <w:t>g</w:t>
      </w:r>
      <w:r w:rsidR="00B91B85">
        <w:rPr>
          <w:sz w:val="24"/>
          <w:szCs w:val="24"/>
          <w:lang w:val="en-US"/>
        </w:rPr>
        <w:t xml:space="preserve">eneralized entropy 2 </w:t>
      </w:r>
      <w:r w:rsidR="00986298">
        <w:rPr>
          <w:sz w:val="24"/>
          <w:szCs w:val="24"/>
          <w:lang w:val="en-US"/>
        </w:rPr>
        <w:t xml:space="preserve">index </w:t>
      </w:r>
      <w:r w:rsidR="00F4214B">
        <w:rPr>
          <w:sz w:val="24"/>
          <w:szCs w:val="24"/>
          <w:lang w:val="en-US"/>
        </w:rPr>
        <w:t xml:space="preserve">and the </w:t>
      </w:r>
      <w:r w:rsidR="00626B1A">
        <w:rPr>
          <w:sz w:val="24"/>
          <w:szCs w:val="24"/>
          <w:lang w:val="en-US"/>
        </w:rPr>
        <w:t>ABG coefficients</w:t>
      </w:r>
      <w:r>
        <w:rPr>
          <w:sz w:val="24"/>
          <w:szCs w:val="24"/>
          <w:lang w:val="en-US"/>
        </w:rPr>
        <w:t>.</w:t>
      </w:r>
      <w:r w:rsidR="005320B1">
        <w:rPr>
          <w:sz w:val="24"/>
          <w:szCs w:val="24"/>
          <w:lang w:val="en-US"/>
        </w:rPr>
        <w:t xml:space="preserve"> </w:t>
      </w:r>
    </w:p>
    <w:p w:rsidR="005320B1" w:rsidRDefault="005D4C60" w:rsidP="005320B1">
      <w:pPr>
        <w:numPr>
          <w:ilvl w:val="0"/>
          <w:numId w:val="3"/>
        </w:numPr>
        <w:spacing w:after="120" w:line="480" w:lineRule="auto"/>
        <w:rPr>
          <w:sz w:val="24"/>
          <w:szCs w:val="24"/>
          <w:lang w:val="en-US"/>
        </w:rPr>
      </w:pPr>
      <w:r>
        <w:rPr>
          <w:sz w:val="24"/>
          <w:szCs w:val="24"/>
          <w:lang w:val="en-US"/>
        </w:rPr>
        <w:lastRenderedPageBreak/>
        <w:t xml:space="preserve">The </w:t>
      </w:r>
      <w:r w:rsidR="00A70B2E">
        <w:rPr>
          <w:sz w:val="24"/>
          <w:szCs w:val="24"/>
          <w:lang w:val="en-US"/>
        </w:rPr>
        <w:t>Gini index</w:t>
      </w:r>
      <w:r w:rsidR="00F4214B">
        <w:rPr>
          <w:sz w:val="24"/>
          <w:szCs w:val="24"/>
          <w:lang w:val="en-US"/>
        </w:rPr>
        <w:t xml:space="preserve"> is very similar to </w:t>
      </w:r>
      <w:r w:rsidR="00472786" w:rsidRPr="00472786">
        <w:rPr>
          <w:rFonts w:ascii="Symbol" w:hAnsi="Symbol"/>
          <w:sz w:val="24"/>
          <w:szCs w:val="24"/>
          <w:lang w:val="en-US"/>
        </w:rPr>
        <w:t></w:t>
      </w:r>
      <w:r w:rsidR="00F4214B">
        <w:rPr>
          <w:sz w:val="24"/>
          <w:szCs w:val="24"/>
          <w:lang w:val="en-US"/>
        </w:rPr>
        <w:t xml:space="preserve"> </w:t>
      </w:r>
      <w:r w:rsidR="005320B1">
        <w:rPr>
          <w:sz w:val="24"/>
          <w:szCs w:val="24"/>
          <w:lang w:val="en-US"/>
        </w:rPr>
        <w:t xml:space="preserve">and </w:t>
      </w:r>
      <w:r w:rsidR="00F4214B">
        <w:rPr>
          <w:sz w:val="24"/>
          <w:szCs w:val="24"/>
          <w:lang w:val="en-US"/>
        </w:rPr>
        <w:t xml:space="preserve">is </w:t>
      </w:r>
      <w:r w:rsidR="00910033">
        <w:rPr>
          <w:sz w:val="24"/>
          <w:szCs w:val="24"/>
          <w:lang w:val="en-US"/>
        </w:rPr>
        <w:t xml:space="preserve">also correlated with </w:t>
      </w:r>
      <w:r w:rsidR="00F4214B">
        <w:rPr>
          <w:sz w:val="24"/>
          <w:szCs w:val="24"/>
          <w:lang w:val="en-US"/>
        </w:rPr>
        <w:t xml:space="preserve">the values of </w:t>
      </w:r>
      <w:r w:rsidR="00472786" w:rsidRPr="00472786">
        <w:rPr>
          <w:rFonts w:ascii="Symbol" w:hAnsi="Symbol"/>
          <w:sz w:val="24"/>
          <w:szCs w:val="24"/>
          <w:lang w:val="en-US"/>
        </w:rPr>
        <w:t></w:t>
      </w:r>
      <w:r w:rsidR="00B91B85">
        <w:rPr>
          <w:sz w:val="24"/>
          <w:szCs w:val="24"/>
          <w:lang w:val="en-US"/>
        </w:rPr>
        <w:t xml:space="preserve"> </w:t>
      </w:r>
      <w:r w:rsidR="00553EE2">
        <w:rPr>
          <w:sz w:val="24"/>
          <w:szCs w:val="24"/>
          <w:lang w:val="en-US"/>
        </w:rPr>
        <w:t>(</w:t>
      </w:r>
      <w:r w:rsidR="00910033">
        <w:rPr>
          <w:sz w:val="24"/>
          <w:szCs w:val="24"/>
          <w:lang w:val="en-US"/>
        </w:rPr>
        <w:t xml:space="preserve">showing </w:t>
      </w:r>
      <w:r w:rsidR="00553EE2">
        <w:rPr>
          <w:sz w:val="24"/>
          <w:szCs w:val="24"/>
          <w:lang w:val="en-US"/>
        </w:rPr>
        <w:t>inequality at the top)</w:t>
      </w:r>
      <w:r w:rsidR="00F4214B">
        <w:rPr>
          <w:sz w:val="24"/>
          <w:szCs w:val="24"/>
          <w:lang w:val="en-US"/>
        </w:rPr>
        <w:t xml:space="preserve">, but </w:t>
      </w:r>
      <w:r w:rsidR="00910033">
        <w:rPr>
          <w:sz w:val="24"/>
          <w:szCs w:val="24"/>
          <w:lang w:val="en-US"/>
        </w:rPr>
        <w:t xml:space="preserve">has </w:t>
      </w:r>
      <w:r w:rsidR="005320B1">
        <w:rPr>
          <w:sz w:val="24"/>
          <w:szCs w:val="24"/>
          <w:lang w:val="en-US"/>
        </w:rPr>
        <w:t xml:space="preserve">almost </w:t>
      </w:r>
      <w:r w:rsidR="00910033">
        <w:rPr>
          <w:sz w:val="24"/>
          <w:szCs w:val="24"/>
          <w:lang w:val="en-US"/>
        </w:rPr>
        <w:t xml:space="preserve">no relation to </w:t>
      </w:r>
      <w:r w:rsidR="00472786" w:rsidRPr="00472786">
        <w:rPr>
          <w:rFonts w:ascii="Symbol" w:hAnsi="Symbol"/>
          <w:sz w:val="24"/>
          <w:szCs w:val="24"/>
          <w:lang w:val="en-US"/>
        </w:rPr>
        <w:t></w:t>
      </w:r>
      <w:r w:rsidR="00126B88">
        <w:rPr>
          <w:sz w:val="24"/>
          <w:szCs w:val="24"/>
          <w:lang w:val="en-US"/>
        </w:rPr>
        <w:t>.</w:t>
      </w:r>
      <w:r w:rsidR="00F4214B">
        <w:rPr>
          <w:sz w:val="24"/>
          <w:szCs w:val="24"/>
          <w:lang w:val="en-US"/>
        </w:rPr>
        <w:t xml:space="preserve"> </w:t>
      </w:r>
      <w:r w:rsidR="00F927A5">
        <w:rPr>
          <w:sz w:val="24"/>
          <w:szCs w:val="24"/>
          <w:lang w:val="en-US"/>
        </w:rPr>
        <w:t>A</w:t>
      </w:r>
      <w:r w:rsidR="00F4214B">
        <w:rPr>
          <w:sz w:val="24"/>
          <w:szCs w:val="24"/>
          <w:lang w:val="en-US"/>
        </w:rPr>
        <w:t>s a measure of inequality,</w:t>
      </w:r>
      <w:r w:rsidR="00986298">
        <w:rPr>
          <w:sz w:val="24"/>
          <w:szCs w:val="24"/>
          <w:lang w:val="en-US"/>
        </w:rPr>
        <w:t xml:space="preserve"> the</w:t>
      </w:r>
      <w:r w:rsidR="00F4214B">
        <w:rPr>
          <w:sz w:val="24"/>
          <w:szCs w:val="24"/>
          <w:lang w:val="en-US"/>
        </w:rPr>
        <w:t xml:space="preserve"> </w:t>
      </w:r>
      <w:r w:rsidR="00A70B2E">
        <w:rPr>
          <w:sz w:val="24"/>
          <w:szCs w:val="24"/>
          <w:lang w:val="en-US"/>
        </w:rPr>
        <w:t>Gini index</w:t>
      </w:r>
      <w:r w:rsidR="00F4214B">
        <w:rPr>
          <w:sz w:val="24"/>
          <w:szCs w:val="24"/>
          <w:lang w:val="en-US"/>
        </w:rPr>
        <w:t xml:space="preserve"> is </w:t>
      </w:r>
      <w:r w:rsidR="00986298">
        <w:rPr>
          <w:sz w:val="24"/>
          <w:szCs w:val="24"/>
          <w:lang w:val="en-US"/>
        </w:rPr>
        <w:t xml:space="preserve">(1) </w:t>
      </w:r>
      <w:r w:rsidR="008E2932">
        <w:rPr>
          <w:sz w:val="24"/>
          <w:szCs w:val="24"/>
          <w:lang w:val="en-US"/>
        </w:rPr>
        <w:t xml:space="preserve">sensitive to </w:t>
      </w:r>
      <w:r w:rsidR="00910033">
        <w:rPr>
          <w:sz w:val="24"/>
          <w:szCs w:val="24"/>
          <w:lang w:val="en-US"/>
        </w:rPr>
        <w:t xml:space="preserve">the </w:t>
      </w:r>
      <w:r w:rsidR="008E2932">
        <w:rPr>
          <w:sz w:val="24"/>
          <w:szCs w:val="24"/>
          <w:lang w:val="en-US"/>
        </w:rPr>
        <w:t>median (as</w:t>
      </w:r>
      <w:r w:rsidR="00910033">
        <w:rPr>
          <w:sz w:val="24"/>
          <w:szCs w:val="24"/>
          <w:lang w:val="en-US"/>
        </w:rPr>
        <w:t xml:space="preserve"> is</w:t>
      </w:r>
      <w:r w:rsidR="008E2932">
        <w:rPr>
          <w:sz w:val="24"/>
          <w:szCs w:val="24"/>
          <w:lang w:val="en-US"/>
        </w:rPr>
        <w:t xml:space="preserve"> </w:t>
      </w:r>
      <w:r w:rsidR="008E2932" w:rsidRPr="00472786">
        <w:rPr>
          <w:rFonts w:ascii="Symbol" w:hAnsi="Symbol"/>
          <w:sz w:val="24"/>
          <w:szCs w:val="24"/>
          <w:lang w:val="en-US"/>
        </w:rPr>
        <w:t></w:t>
      </w:r>
      <w:r w:rsidR="008E2932">
        <w:rPr>
          <w:sz w:val="24"/>
          <w:szCs w:val="24"/>
          <w:lang w:val="en-US"/>
        </w:rPr>
        <w:t>)</w:t>
      </w:r>
      <w:r w:rsidR="00BC1135">
        <w:rPr>
          <w:sz w:val="24"/>
          <w:szCs w:val="24"/>
          <w:lang w:val="en-US"/>
        </w:rPr>
        <w:t xml:space="preserve">, and </w:t>
      </w:r>
      <w:r w:rsidR="00986298">
        <w:rPr>
          <w:sz w:val="24"/>
          <w:szCs w:val="24"/>
          <w:lang w:val="en-US"/>
        </w:rPr>
        <w:t xml:space="preserve">(2) </w:t>
      </w:r>
      <w:r w:rsidR="00F4214B">
        <w:rPr>
          <w:sz w:val="24"/>
          <w:szCs w:val="24"/>
          <w:lang w:val="en-US"/>
        </w:rPr>
        <w:t>rich</w:t>
      </w:r>
      <w:r w:rsidR="00910033">
        <w:rPr>
          <w:sz w:val="24"/>
          <w:szCs w:val="24"/>
          <w:lang w:val="en-US"/>
        </w:rPr>
        <w:t>-</w:t>
      </w:r>
      <w:r w:rsidR="00F4214B">
        <w:rPr>
          <w:sz w:val="24"/>
          <w:szCs w:val="24"/>
          <w:lang w:val="en-US"/>
        </w:rPr>
        <w:t>oriented</w:t>
      </w:r>
      <w:r w:rsidR="008E2932">
        <w:rPr>
          <w:sz w:val="24"/>
          <w:szCs w:val="24"/>
          <w:lang w:val="en-US"/>
        </w:rPr>
        <w:t xml:space="preserve"> (like </w:t>
      </w:r>
      <w:r w:rsidR="008E2932" w:rsidRPr="00472786">
        <w:rPr>
          <w:rFonts w:ascii="Symbol" w:hAnsi="Symbol"/>
          <w:sz w:val="24"/>
          <w:szCs w:val="24"/>
          <w:lang w:val="en-US"/>
        </w:rPr>
        <w:t></w:t>
      </w:r>
      <w:r w:rsidR="008E2932">
        <w:rPr>
          <w:sz w:val="24"/>
          <w:szCs w:val="24"/>
          <w:lang w:val="en-US"/>
        </w:rPr>
        <w:t>)</w:t>
      </w:r>
      <w:r w:rsidR="00F4214B">
        <w:rPr>
          <w:sz w:val="24"/>
          <w:szCs w:val="24"/>
          <w:lang w:val="en-US"/>
        </w:rPr>
        <w:t xml:space="preserve">. </w:t>
      </w:r>
    </w:p>
    <w:p w:rsidR="005320B1" w:rsidRDefault="005320B1" w:rsidP="005320B1">
      <w:pPr>
        <w:numPr>
          <w:ilvl w:val="0"/>
          <w:numId w:val="3"/>
        </w:numPr>
        <w:spacing w:after="120" w:line="480" w:lineRule="auto"/>
        <w:rPr>
          <w:sz w:val="24"/>
          <w:szCs w:val="24"/>
          <w:lang w:val="en-US"/>
        </w:rPr>
      </w:pPr>
      <w:r>
        <w:rPr>
          <w:sz w:val="24"/>
          <w:szCs w:val="24"/>
          <w:lang w:val="en-US"/>
        </w:rPr>
        <w:t>T</w:t>
      </w:r>
      <w:r w:rsidR="005D4E1F">
        <w:rPr>
          <w:sz w:val="24"/>
          <w:szCs w:val="24"/>
          <w:lang w:val="en-US"/>
        </w:rPr>
        <w:t>he Atkinson 2 index</w:t>
      </w:r>
      <w:r w:rsidR="00626B1A">
        <w:rPr>
          <w:sz w:val="24"/>
          <w:szCs w:val="24"/>
          <w:lang w:val="en-US"/>
        </w:rPr>
        <w:t xml:space="preserve"> is </w:t>
      </w:r>
      <w:r w:rsidR="00910033">
        <w:rPr>
          <w:sz w:val="24"/>
          <w:szCs w:val="24"/>
          <w:lang w:val="en-US"/>
        </w:rPr>
        <w:t>more sensitive to lower-</w:t>
      </w:r>
      <w:r w:rsidR="005D4E1F">
        <w:rPr>
          <w:sz w:val="24"/>
          <w:szCs w:val="24"/>
          <w:lang w:val="en-US"/>
        </w:rPr>
        <w:t>tail</w:t>
      </w:r>
      <w:r w:rsidR="00626B1A">
        <w:rPr>
          <w:sz w:val="24"/>
          <w:szCs w:val="24"/>
          <w:lang w:val="en-US"/>
        </w:rPr>
        <w:t xml:space="preserve"> inequality</w:t>
      </w:r>
      <w:r w:rsidR="00B91B85">
        <w:rPr>
          <w:sz w:val="24"/>
          <w:szCs w:val="24"/>
          <w:lang w:val="en-US"/>
        </w:rPr>
        <w:t xml:space="preserve">. </w:t>
      </w:r>
      <w:r w:rsidR="00910033">
        <w:rPr>
          <w:sz w:val="24"/>
          <w:szCs w:val="24"/>
          <w:lang w:val="en-US"/>
        </w:rPr>
        <w:t xml:space="preserve">In the </w:t>
      </w:r>
      <w:r w:rsidR="001D478F">
        <w:rPr>
          <w:sz w:val="24"/>
          <w:szCs w:val="24"/>
          <w:lang w:val="en-US"/>
        </w:rPr>
        <w:t xml:space="preserve">Atkinson 2 </w:t>
      </w:r>
      <w:r w:rsidR="00910033">
        <w:rPr>
          <w:sz w:val="24"/>
          <w:szCs w:val="24"/>
          <w:lang w:val="en-US"/>
        </w:rPr>
        <w:t>regressions</w:t>
      </w:r>
      <w:r w:rsidR="003D7AAA">
        <w:rPr>
          <w:sz w:val="24"/>
          <w:szCs w:val="24"/>
          <w:lang w:val="en-US"/>
        </w:rPr>
        <w:t xml:space="preserve"> </w:t>
      </w:r>
      <w:r w:rsidR="00472786" w:rsidRPr="00472786">
        <w:rPr>
          <w:rFonts w:ascii="Symbol" w:hAnsi="Symbol"/>
          <w:sz w:val="24"/>
          <w:szCs w:val="24"/>
          <w:lang w:val="en-US"/>
        </w:rPr>
        <w:t></w:t>
      </w:r>
      <w:r w:rsidR="003D7AAA">
        <w:rPr>
          <w:sz w:val="24"/>
          <w:szCs w:val="24"/>
          <w:lang w:val="en-US"/>
        </w:rPr>
        <w:t xml:space="preserve"> and </w:t>
      </w:r>
      <w:r w:rsidR="00472786" w:rsidRPr="00472786">
        <w:rPr>
          <w:rFonts w:ascii="Symbol" w:hAnsi="Symbol"/>
          <w:sz w:val="24"/>
          <w:szCs w:val="24"/>
          <w:lang w:val="en-US"/>
        </w:rPr>
        <w:t></w:t>
      </w:r>
      <w:r w:rsidR="00910033" w:rsidRPr="00910033">
        <w:rPr>
          <w:sz w:val="24"/>
          <w:szCs w:val="24"/>
          <w:lang w:val="en-US"/>
        </w:rPr>
        <w:t xml:space="preserve"> are </w:t>
      </w:r>
      <w:r w:rsidR="00910033">
        <w:rPr>
          <w:sz w:val="24"/>
          <w:szCs w:val="24"/>
          <w:lang w:val="en-US"/>
        </w:rPr>
        <w:t xml:space="preserve">very significant, but </w:t>
      </w:r>
      <w:r w:rsidR="00910033" w:rsidRPr="00910033">
        <w:rPr>
          <w:rFonts w:ascii="Symbol" w:hAnsi="Symbol"/>
          <w:sz w:val="24"/>
          <w:szCs w:val="24"/>
          <w:lang w:val="en-US"/>
        </w:rPr>
        <w:t></w:t>
      </w:r>
      <w:r w:rsidR="00910033">
        <w:rPr>
          <w:sz w:val="24"/>
          <w:szCs w:val="24"/>
          <w:lang w:val="en-US"/>
        </w:rPr>
        <w:t xml:space="preserve"> is not</w:t>
      </w:r>
      <w:r w:rsidR="003D7AAA">
        <w:rPr>
          <w:sz w:val="24"/>
          <w:szCs w:val="24"/>
          <w:lang w:val="en-US"/>
        </w:rPr>
        <w:t xml:space="preserve">: </w:t>
      </w:r>
      <w:r w:rsidR="00910033">
        <w:rPr>
          <w:sz w:val="24"/>
          <w:szCs w:val="24"/>
          <w:lang w:val="en-US"/>
        </w:rPr>
        <w:t xml:space="preserve">the </w:t>
      </w:r>
      <w:r w:rsidR="001D478F">
        <w:rPr>
          <w:sz w:val="24"/>
          <w:szCs w:val="24"/>
          <w:lang w:val="en-US"/>
        </w:rPr>
        <w:t xml:space="preserve">Atkinson 2 </w:t>
      </w:r>
      <w:r w:rsidR="00910033">
        <w:rPr>
          <w:sz w:val="24"/>
          <w:szCs w:val="24"/>
          <w:lang w:val="en-US"/>
        </w:rPr>
        <w:t xml:space="preserve">index </w:t>
      </w:r>
      <w:r w:rsidR="00E1511D">
        <w:rPr>
          <w:sz w:val="24"/>
          <w:szCs w:val="24"/>
          <w:lang w:val="en-US"/>
        </w:rPr>
        <w:t xml:space="preserve">is sensitive to </w:t>
      </w:r>
      <w:r w:rsidR="003B3C7B" w:rsidRPr="003B3C7B">
        <w:rPr>
          <w:sz w:val="24"/>
          <w:szCs w:val="24"/>
          <w:lang w:val="en-US"/>
        </w:rPr>
        <w:t xml:space="preserve">both </w:t>
      </w:r>
      <w:r w:rsidR="001D478F">
        <w:rPr>
          <w:sz w:val="24"/>
          <w:szCs w:val="24"/>
          <w:lang w:val="en-US"/>
        </w:rPr>
        <w:t xml:space="preserve">poverty and general inequality </w:t>
      </w:r>
      <w:r w:rsidR="00E1511D">
        <w:rPr>
          <w:sz w:val="24"/>
          <w:szCs w:val="24"/>
          <w:lang w:val="en-US"/>
        </w:rPr>
        <w:t>(</w:t>
      </w:r>
      <w:r w:rsidR="003B3C7B">
        <w:rPr>
          <w:sz w:val="24"/>
          <w:szCs w:val="24"/>
          <w:lang w:val="en-US"/>
        </w:rPr>
        <w:t xml:space="preserve">the </w:t>
      </w:r>
      <w:r w:rsidR="00A70B2E">
        <w:rPr>
          <w:sz w:val="24"/>
          <w:szCs w:val="24"/>
          <w:lang w:val="en-US"/>
        </w:rPr>
        <w:t xml:space="preserve">Gini </w:t>
      </w:r>
      <w:r w:rsidR="003B3C7B">
        <w:rPr>
          <w:sz w:val="24"/>
          <w:szCs w:val="24"/>
          <w:lang w:val="en-US"/>
        </w:rPr>
        <w:t>coefficient</w:t>
      </w:r>
      <w:r w:rsidR="00E1511D">
        <w:rPr>
          <w:sz w:val="24"/>
          <w:szCs w:val="24"/>
          <w:lang w:val="en-US"/>
        </w:rPr>
        <w:t>)</w:t>
      </w:r>
      <w:r w:rsidR="001D478F">
        <w:rPr>
          <w:sz w:val="24"/>
          <w:szCs w:val="24"/>
          <w:lang w:val="en-US"/>
        </w:rPr>
        <w:t xml:space="preserve">. </w:t>
      </w:r>
    </w:p>
    <w:p w:rsidR="00AF1FEC" w:rsidRDefault="004703A3" w:rsidP="005320B1">
      <w:pPr>
        <w:numPr>
          <w:ilvl w:val="0"/>
          <w:numId w:val="3"/>
        </w:numPr>
        <w:spacing w:after="120" w:line="480" w:lineRule="auto"/>
        <w:rPr>
          <w:sz w:val="24"/>
          <w:szCs w:val="24"/>
          <w:lang w:val="en-US"/>
        </w:rPr>
      </w:pPr>
      <w:r>
        <w:rPr>
          <w:sz w:val="24"/>
          <w:szCs w:val="24"/>
          <w:lang w:val="en-US"/>
        </w:rPr>
        <w:t>T</w:t>
      </w:r>
      <w:r w:rsidR="00AF1FEC">
        <w:rPr>
          <w:sz w:val="24"/>
          <w:szCs w:val="24"/>
          <w:lang w:val="en-US"/>
        </w:rPr>
        <w:t>he g</w:t>
      </w:r>
      <w:r w:rsidR="00AF1FEC" w:rsidRPr="00B91B85">
        <w:rPr>
          <w:sz w:val="24"/>
          <w:szCs w:val="24"/>
          <w:lang w:val="en-US"/>
        </w:rPr>
        <w:t>eneralized entropy 2</w:t>
      </w:r>
      <w:r w:rsidR="00AF1FEC">
        <w:rPr>
          <w:sz w:val="24"/>
          <w:szCs w:val="24"/>
          <w:lang w:val="en-US"/>
        </w:rPr>
        <w:t xml:space="preserve"> </w:t>
      </w:r>
      <w:r>
        <w:rPr>
          <w:sz w:val="24"/>
          <w:szCs w:val="24"/>
          <w:lang w:val="en-US"/>
        </w:rPr>
        <w:t xml:space="preserve">index is correlated with both </w:t>
      </w:r>
      <w:r w:rsidR="00472786" w:rsidRPr="00472786">
        <w:rPr>
          <w:rFonts w:ascii="Symbol" w:hAnsi="Symbol"/>
          <w:sz w:val="24"/>
          <w:szCs w:val="24"/>
          <w:lang w:val="en-US"/>
        </w:rPr>
        <w:t></w:t>
      </w:r>
      <w:r w:rsidR="00AF1FEC">
        <w:rPr>
          <w:sz w:val="24"/>
          <w:szCs w:val="24"/>
          <w:lang w:val="en-US"/>
        </w:rPr>
        <w:t xml:space="preserve"> and </w:t>
      </w:r>
      <w:r w:rsidR="00472786" w:rsidRPr="00472786">
        <w:rPr>
          <w:rFonts w:ascii="Symbol" w:hAnsi="Symbol"/>
          <w:sz w:val="24"/>
          <w:szCs w:val="24"/>
          <w:lang w:val="en-US"/>
        </w:rPr>
        <w:t></w:t>
      </w:r>
      <w:r w:rsidR="00AF1FEC">
        <w:rPr>
          <w:sz w:val="24"/>
          <w:szCs w:val="24"/>
          <w:lang w:val="en-US"/>
        </w:rPr>
        <w:t>.</w:t>
      </w:r>
    </w:p>
    <w:p w:rsidR="005320B1" w:rsidRDefault="004703A3" w:rsidP="00BE4C5A">
      <w:pPr>
        <w:spacing w:after="120" w:line="480" w:lineRule="auto"/>
        <w:rPr>
          <w:sz w:val="24"/>
          <w:szCs w:val="24"/>
          <w:lang w:val="en-US"/>
        </w:rPr>
      </w:pPr>
      <w:r>
        <w:rPr>
          <w:sz w:val="24"/>
          <w:szCs w:val="24"/>
          <w:lang w:val="en-US"/>
        </w:rPr>
        <w:t>T</w:t>
      </w:r>
      <w:r w:rsidR="00BE4C5A">
        <w:rPr>
          <w:sz w:val="24"/>
          <w:szCs w:val="24"/>
          <w:lang w:val="en-US"/>
        </w:rPr>
        <w:t>his analysis of correlations</w:t>
      </w:r>
      <w:r>
        <w:rPr>
          <w:sz w:val="24"/>
          <w:szCs w:val="24"/>
          <w:lang w:val="en-US"/>
        </w:rPr>
        <w:t xml:space="preserve"> then suggests that </w:t>
      </w:r>
      <w:r w:rsidR="00BE4C5A">
        <w:rPr>
          <w:sz w:val="24"/>
          <w:szCs w:val="24"/>
          <w:lang w:val="en-US"/>
        </w:rPr>
        <w:t>the triple ABG parameters can be seen as contender</w:t>
      </w:r>
      <w:r>
        <w:rPr>
          <w:sz w:val="24"/>
          <w:szCs w:val="24"/>
          <w:lang w:val="en-US"/>
        </w:rPr>
        <w:t>s</w:t>
      </w:r>
      <w:r w:rsidR="00BE4C5A">
        <w:rPr>
          <w:sz w:val="24"/>
          <w:szCs w:val="24"/>
          <w:lang w:val="en-US"/>
        </w:rPr>
        <w:t xml:space="preserve"> </w:t>
      </w:r>
      <w:r>
        <w:rPr>
          <w:sz w:val="24"/>
          <w:szCs w:val="24"/>
          <w:lang w:val="en-US"/>
        </w:rPr>
        <w:t xml:space="preserve">for </w:t>
      </w:r>
      <w:r w:rsidR="00BE4C5A">
        <w:rPr>
          <w:sz w:val="24"/>
          <w:szCs w:val="24"/>
          <w:lang w:val="en-US"/>
        </w:rPr>
        <w:t xml:space="preserve">the </w:t>
      </w:r>
      <w:r>
        <w:rPr>
          <w:sz w:val="24"/>
          <w:szCs w:val="24"/>
          <w:lang w:val="en-US"/>
        </w:rPr>
        <w:t xml:space="preserve">three </w:t>
      </w:r>
      <w:r w:rsidR="00BE4C5A">
        <w:rPr>
          <w:sz w:val="24"/>
          <w:szCs w:val="24"/>
          <w:lang w:val="en-US"/>
        </w:rPr>
        <w:t xml:space="preserve">coefficients </w:t>
      </w:r>
      <w:r>
        <w:rPr>
          <w:sz w:val="24"/>
          <w:szCs w:val="24"/>
          <w:lang w:val="en-US"/>
        </w:rPr>
        <w:t xml:space="preserve">of the </w:t>
      </w:r>
      <w:r w:rsidR="00BE4C5A">
        <w:rPr>
          <w:sz w:val="24"/>
          <w:szCs w:val="24"/>
          <w:lang w:val="en-US"/>
        </w:rPr>
        <w:t xml:space="preserve">Gini, Atkinson 2 and Generalized entropy 2 </w:t>
      </w:r>
      <w:r w:rsidRPr="004703A3">
        <w:rPr>
          <w:sz w:val="24"/>
          <w:szCs w:val="24"/>
          <w:lang w:val="en-US"/>
        </w:rPr>
        <w:t xml:space="preserve">indices </w:t>
      </w:r>
      <w:r w:rsidR="00BE4C5A">
        <w:rPr>
          <w:sz w:val="24"/>
          <w:szCs w:val="24"/>
          <w:lang w:val="en-US"/>
        </w:rPr>
        <w:t xml:space="preserve">(GA2GE2). </w:t>
      </w:r>
      <w:r>
        <w:rPr>
          <w:sz w:val="24"/>
          <w:szCs w:val="24"/>
          <w:lang w:val="en-US"/>
        </w:rPr>
        <w:t xml:space="preserve">To see </w:t>
      </w:r>
      <w:r w:rsidR="00BE4C5A">
        <w:rPr>
          <w:sz w:val="24"/>
          <w:szCs w:val="24"/>
          <w:lang w:val="en-US"/>
        </w:rPr>
        <w:t>which triple perform</w:t>
      </w:r>
      <w:r>
        <w:rPr>
          <w:sz w:val="24"/>
          <w:szCs w:val="24"/>
          <w:lang w:val="en-US"/>
        </w:rPr>
        <w:t>s</w:t>
      </w:r>
      <w:r w:rsidR="00BE4C5A">
        <w:rPr>
          <w:sz w:val="24"/>
          <w:szCs w:val="24"/>
          <w:lang w:val="en-US"/>
        </w:rPr>
        <w:t xml:space="preserve"> </w:t>
      </w:r>
      <w:r>
        <w:rPr>
          <w:sz w:val="24"/>
          <w:szCs w:val="24"/>
          <w:lang w:val="en-US"/>
        </w:rPr>
        <w:t xml:space="preserve">best, </w:t>
      </w:r>
      <w:r w:rsidR="00BE4C5A">
        <w:rPr>
          <w:sz w:val="24"/>
          <w:szCs w:val="24"/>
          <w:lang w:val="en-US"/>
        </w:rPr>
        <w:t>we consider</w:t>
      </w:r>
      <w:r w:rsidR="00895970">
        <w:rPr>
          <w:sz w:val="24"/>
          <w:szCs w:val="24"/>
          <w:lang w:val="en-US"/>
        </w:rPr>
        <w:t xml:space="preserve"> </w:t>
      </w:r>
      <w:r w:rsidR="008C19B8">
        <w:rPr>
          <w:sz w:val="24"/>
          <w:szCs w:val="24"/>
          <w:lang w:val="en-US"/>
        </w:rPr>
        <w:t>nested model</w:t>
      </w:r>
      <w:r w:rsidR="00BE4C5A">
        <w:rPr>
          <w:sz w:val="24"/>
          <w:szCs w:val="24"/>
          <w:lang w:val="en-US"/>
        </w:rPr>
        <w:t xml:space="preserve">s of the five </w:t>
      </w:r>
      <w:r>
        <w:rPr>
          <w:sz w:val="24"/>
          <w:szCs w:val="24"/>
          <w:lang w:val="en-US"/>
        </w:rPr>
        <w:t>income-</w:t>
      </w:r>
      <w:r w:rsidR="008C19B8">
        <w:rPr>
          <w:sz w:val="24"/>
          <w:szCs w:val="24"/>
          <w:lang w:val="en-US"/>
        </w:rPr>
        <w:t>class proportions (po, mcl, mc, mcu, ri)</w:t>
      </w:r>
      <w:r>
        <w:rPr>
          <w:sz w:val="24"/>
          <w:szCs w:val="24"/>
          <w:lang w:val="en-US"/>
        </w:rPr>
        <w:t>.</w:t>
      </w:r>
      <w:r w:rsidR="00BE4C5A">
        <w:rPr>
          <w:sz w:val="24"/>
          <w:szCs w:val="24"/>
          <w:lang w:val="en-US"/>
        </w:rPr>
        <w:t xml:space="preserve"> T</w:t>
      </w:r>
      <w:r>
        <w:rPr>
          <w:sz w:val="24"/>
          <w:szCs w:val="24"/>
          <w:lang w:val="en-US"/>
        </w:rPr>
        <w:t xml:space="preserve">able 6 </w:t>
      </w:r>
      <w:r w:rsidR="00BE4C5A">
        <w:rPr>
          <w:sz w:val="24"/>
          <w:szCs w:val="24"/>
          <w:lang w:val="en-US"/>
        </w:rPr>
        <w:t>compar</w:t>
      </w:r>
      <w:r>
        <w:rPr>
          <w:sz w:val="24"/>
          <w:szCs w:val="24"/>
          <w:lang w:val="en-US"/>
        </w:rPr>
        <w:t>es</w:t>
      </w:r>
      <w:r w:rsidR="00BE4C5A">
        <w:rPr>
          <w:sz w:val="24"/>
          <w:szCs w:val="24"/>
          <w:lang w:val="en-US"/>
        </w:rPr>
        <w:t xml:space="preserve"> the </w:t>
      </w:r>
      <w:r>
        <w:rPr>
          <w:sz w:val="24"/>
          <w:szCs w:val="24"/>
          <w:lang w:val="en-US"/>
        </w:rPr>
        <w:t xml:space="preserve">goodness of fit </w:t>
      </w:r>
      <w:r w:rsidR="00BE4C5A">
        <w:rPr>
          <w:sz w:val="24"/>
          <w:szCs w:val="24"/>
          <w:lang w:val="en-US"/>
        </w:rPr>
        <w:t xml:space="preserve">(in terms of </w:t>
      </w:r>
      <w:r w:rsidR="00BE4C5A" w:rsidRPr="005E5C91">
        <w:rPr>
          <w:color w:val="000000"/>
          <w:sz w:val="24"/>
          <w:szCs w:val="24"/>
          <w:lang w:val="en-US" w:eastAsia="en-US"/>
        </w:rPr>
        <w:t xml:space="preserve">delta </w:t>
      </w:r>
      <w:r w:rsidR="002A1BD0">
        <w:rPr>
          <w:color w:val="000000"/>
          <w:sz w:val="24"/>
          <w:szCs w:val="24"/>
          <w:lang w:val="en-US" w:eastAsia="en-US"/>
        </w:rPr>
        <w:t>r</w:t>
      </w:r>
      <w:r w:rsidR="002A1BD0" w:rsidRPr="005E5C91">
        <w:rPr>
          <w:color w:val="000000"/>
          <w:sz w:val="24"/>
          <w:szCs w:val="24"/>
          <w:vertAlign w:val="superscript"/>
          <w:lang w:val="en-US" w:eastAsia="en-US"/>
        </w:rPr>
        <w:t>2</w:t>
      </w:r>
      <w:r w:rsidR="00BE4C5A">
        <w:rPr>
          <w:sz w:val="24"/>
          <w:szCs w:val="24"/>
          <w:lang w:val="en-US"/>
        </w:rPr>
        <w:t xml:space="preserve">) when </w:t>
      </w:r>
      <w:r w:rsidR="008C19B8">
        <w:rPr>
          <w:sz w:val="24"/>
          <w:szCs w:val="24"/>
          <w:lang w:val="en-US"/>
        </w:rPr>
        <w:t>ABG</w:t>
      </w:r>
      <w:r w:rsidR="00700A5D">
        <w:rPr>
          <w:sz w:val="24"/>
          <w:szCs w:val="24"/>
          <w:lang w:val="en-US"/>
        </w:rPr>
        <w:t xml:space="preserve"> </w:t>
      </w:r>
      <w:r w:rsidR="00BE4C5A">
        <w:rPr>
          <w:sz w:val="24"/>
          <w:szCs w:val="24"/>
          <w:lang w:val="en-US"/>
        </w:rPr>
        <w:t xml:space="preserve">is </w:t>
      </w:r>
      <w:r w:rsidR="00700A5D">
        <w:rPr>
          <w:sz w:val="24"/>
          <w:szCs w:val="24"/>
          <w:lang w:val="en-US"/>
        </w:rPr>
        <w:t>first and</w:t>
      </w:r>
      <w:r w:rsidR="008C19B8">
        <w:rPr>
          <w:sz w:val="24"/>
          <w:szCs w:val="24"/>
          <w:lang w:val="en-US"/>
        </w:rPr>
        <w:t xml:space="preserve"> </w:t>
      </w:r>
      <w:r w:rsidR="00E1511D">
        <w:rPr>
          <w:sz w:val="24"/>
          <w:szCs w:val="24"/>
          <w:lang w:val="en-US"/>
        </w:rPr>
        <w:t>GA2GE2</w:t>
      </w:r>
      <w:r w:rsidR="00700A5D">
        <w:rPr>
          <w:sz w:val="24"/>
          <w:szCs w:val="24"/>
          <w:lang w:val="en-US"/>
        </w:rPr>
        <w:t xml:space="preserve"> secon</w:t>
      </w:r>
      <w:r w:rsidR="00700A5D" w:rsidRPr="00426749">
        <w:rPr>
          <w:sz w:val="24"/>
          <w:szCs w:val="24"/>
          <w:lang w:val="en-US"/>
        </w:rPr>
        <w:t>d</w:t>
      </w:r>
      <w:r>
        <w:rPr>
          <w:sz w:val="24"/>
          <w:szCs w:val="24"/>
          <w:lang w:val="en-US"/>
        </w:rPr>
        <w:t>,</w:t>
      </w:r>
      <w:r w:rsidR="00700A5D" w:rsidRPr="00426749">
        <w:rPr>
          <w:sz w:val="24"/>
          <w:szCs w:val="24"/>
          <w:lang w:val="en-US"/>
        </w:rPr>
        <w:t xml:space="preserve"> </w:t>
      </w:r>
      <w:r w:rsidR="00BE4C5A">
        <w:rPr>
          <w:sz w:val="24"/>
          <w:szCs w:val="24"/>
          <w:lang w:val="en-US"/>
        </w:rPr>
        <w:t xml:space="preserve">and </w:t>
      </w:r>
      <w:r>
        <w:rPr>
          <w:sz w:val="24"/>
          <w:szCs w:val="24"/>
          <w:lang w:val="en-US"/>
        </w:rPr>
        <w:t>vice versa</w:t>
      </w:r>
      <w:r w:rsidR="008B0DAB" w:rsidRPr="00426749">
        <w:rPr>
          <w:sz w:val="24"/>
          <w:szCs w:val="24"/>
          <w:lang w:val="en-US"/>
        </w:rPr>
        <w:t xml:space="preserve">. </w:t>
      </w:r>
      <w:r w:rsidR="006E595C">
        <w:rPr>
          <w:sz w:val="24"/>
          <w:szCs w:val="24"/>
          <w:lang w:val="en-US"/>
        </w:rPr>
        <w:t xml:space="preserve">This </w:t>
      </w:r>
      <w:r w:rsidR="00BE4C5A">
        <w:rPr>
          <w:sz w:val="24"/>
          <w:szCs w:val="24"/>
          <w:lang w:val="en-US"/>
        </w:rPr>
        <w:t xml:space="preserve">comparison </w:t>
      </w:r>
      <w:r>
        <w:rPr>
          <w:sz w:val="24"/>
          <w:szCs w:val="24"/>
          <w:lang w:val="en-US"/>
        </w:rPr>
        <w:t xml:space="preserve">shows </w:t>
      </w:r>
      <w:r w:rsidR="006E595C">
        <w:rPr>
          <w:sz w:val="24"/>
          <w:szCs w:val="24"/>
          <w:lang w:val="en-US"/>
        </w:rPr>
        <w:t>that t</w:t>
      </w:r>
      <w:r w:rsidR="008B0DAB">
        <w:rPr>
          <w:sz w:val="24"/>
          <w:szCs w:val="24"/>
          <w:lang w:val="en-US"/>
        </w:rPr>
        <w:t xml:space="preserve">he ABG </w:t>
      </w:r>
      <w:r>
        <w:rPr>
          <w:sz w:val="24"/>
          <w:szCs w:val="24"/>
          <w:lang w:val="en-US"/>
        </w:rPr>
        <w:t xml:space="preserve">triple </w:t>
      </w:r>
      <w:r w:rsidR="008B0DAB">
        <w:rPr>
          <w:sz w:val="24"/>
          <w:szCs w:val="24"/>
          <w:lang w:val="en-US"/>
        </w:rPr>
        <w:t xml:space="preserve">always </w:t>
      </w:r>
      <w:r>
        <w:rPr>
          <w:sz w:val="24"/>
          <w:szCs w:val="24"/>
          <w:lang w:val="en-US"/>
        </w:rPr>
        <w:t xml:space="preserve">outperforms </w:t>
      </w:r>
      <w:r w:rsidR="009D1CE9">
        <w:rPr>
          <w:sz w:val="24"/>
          <w:szCs w:val="24"/>
          <w:lang w:val="en-US"/>
        </w:rPr>
        <w:t xml:space="preserve">the </w:t>
      </w:r>
      <w:r w:rsidR="00E1511D">
        <w:rPr>
          <w:sz w:val="24"/>
          <w:szCs w:val="24"/>
          <w:lang w:val="en-US"/>
        </w:rPr>
        <w:t>GA2GE2 triple</w:t>
      </w:r>
      <w:r w:rsidR="002B7AA2">
        <w:rPr>
          <w:sz w:val="24"/>
          <w:szCs w:val="24"/>
          <w:lang w:val="en-US"/>
        </w:rPr>
        <w:t>,</w:t>
      </w:r>
      <w:r w:rsidR="00E1511D">
        <w:rPr>
          <w:sz w:val="24"/>
          <w:szCs w:val="24"/>
          <w:lang w:val="en-US"/>
        </w:rPr>
        <w:t xml:space="preserve"> </w:t>
      </w:r>
      <w:r>
        <w:rPr>
          <w:sz w:val="24"/>
          <w:szCs w:val="24"/>
          <w:lang w:val="en-US"/>
        </w:rPr>
        <w:t xml:space="preserve">with </w:t>
      </w:r>
      <w:r w:rsidR="00E1511D">
        <w:rPr>
          <w:sz w:val="24"/>
          <w:szCs w:val="24"/>
          <w:lang w:val="en-US"/>
        </w:rPr>
        <w:t xml:space="preserve">the </w:t>
      </w:r>
      <w:r>
        <w:rPr>
          <w:sz w:val="24"/>
          <w:szCs w:val="24"/>
          <w:lang w:val="en-US"/>
        </w:rPr>
        <w:t xml:space="preserve">advantage of </w:t>
      </w:r>
      <w:r w:rsidR="00E1511D">
        <w:rPr>
          <w:sz w:val="24"/>
          <w:szCs w:val="24"/>
          <w:lang w:val="en-US"/>
        </w:rPr>
        <w:t xml:space="preserve">ABG </w:t>
      </w:r>
      <w:r>
        <w:rPr>
          <w:sz w:val="24"/>
          <w:szCs w:val="24"/>
          <w:lang w:val="en-US"/>
        </w:rPr>
        <w:t xml:space="preserve">being </w:t>
      </w:r>
      <w:r w:rsidR="00E1511D">
        <w:rPr>
          <w:sz w:val="24"/>
          <w:szCs w:val="24"/>
          <w:lang w:val="en-US"/>
        </w:rPr>
        <w:t xml:space="preserve">particularly </w:t>
      </w:r>
      <w:r>
        <w:rPr>
          <w:sz w:val="24"/>
          <w:szCs w:val="24"/>
          <w:lang w:val="en-US"/>
        </w:rPr>
        <w:t xml:space="preserve">striking </w:t>
      </w:r>
      <w:r w:rsidR="00E1511D">
        <w:rPr>
          <w:sz w:val="24"/>
          <w:szCs w:val="24"/>
          <w:lang w:val="en-US"/>
        </w:rPr>
        <w:t>for the explanation of mcl and mcu, the lower and upper middle class</w:t>
      </w:r>
      <w:r>
        <w:rPr>
          <w:sz w:val="24"/>
          <w:szCs w:val="24"/>
          <w:lang w:val="en-US"/>
        </w:rPr>
        <w:t xml:space="preserve"> </w:t>
      </w:r>
      <w:r w:rsidRPr="004703A3">
        <w:rPr>
          <w:sz w:val="24"/>
          <w:szCs w:val="24"/>
          <w:lang w:val="en-US"/>
        </w:rPr>
        <w:t>respectively</w:t>
      </w:r>
      <w:r w:rsidR="008B0DAB">
        <w:rPr>
          <w:sz w:val="24"/>
          <w:szCs w:val="24"/>
          <w:lang w:val="en-US"/>
        </w:rPr>
        <w:t xml:space="preserve">. </w:t>
      </w:r>
      <w:r>
        <w:rPr>
          <w:sz w:val="24"/>
          <w:szCs w:val="24"/>
          <w:lang w:val="en-US"/>
        </w:rPr>
        <w:t xml:space="preserve">In these </w:t>
      </w:r>
      <w:r w:rsidR="005423EC">
        <w:rPr>
          <w:sz w:val="24"/>
          <w:szCs w:val="24"/>
          <w:lang w:val="en-US"/>
        </w:rPr>
        <w:t>232</w:t>
      </w:r>
      <w:r w:rsidR="00BE4C5A">
        <w:rPr>
          <w:sz w:val="24"/>
          <w:szCs w:val="24"/>
          <w:lang w:val="en-US"/>
        </w:rPr>
        <w:t xml:space="preserve"> cases, ABG generally outperforms the GA2GE2 triple in terms of </w:t>
      </w:r>
      <w:r>
        <w:rPr>
          <w:sz w:val="24"/>
          <w:szCs w:val="24"/>
          <w:lang w:val="en-US"/>
        </w:rPr>
        <w:t xml:space="preserve">the </w:t>
      </w:r>
      <w:r w:rsidRPr="004703A3">
        <w:rPr>
          <w:sz w:val="24"/>
          <w:szCs w:val="24"/>
          <w:lang w:val="en-US"/>
        </w:rPr>
        <w:t xml:space="preserve">prediction </w:t>
      </w:r>
      <w:r>
        <w:rPr>
          <w:sz w:val="24"/>
          <w:szCs w:val="24"/>
          <w:lang w:val="en-US"/>
        </w:rPr>
        <w:t xml:space="preserve">of </w:t>
      </w:r>
      <w:r w:rsidR="00F67915">
        <w:rPr>
          <w:sz w:val="24"/>
          <w:szCs w:val="24"/>
          <w:lang w:val="en-US"/>
        </w:rPr>
        <w:t>income-</w:t>
      </w:r>
      <w:r w:rsidR="00BE4C5A">
        <w:rPr>
          <w:sz w:val="24"/>
          <w:szCs w:val="24"/>
          <w:lang w:val="en-US"/>
        </w:rPr>
        <w:t xml:space="preserve">class </w:t>
      </w:r>
      <w:r w:rsidR="00845246">
        <w:rPr>
          <w:sz w:val="24"/>
          <w:szCs w:val="24"/>
          <w:lang w:val="en-US"/>
        </w:rPr>
        <w:t>size</w:t>
      </w:r>
      <w:r w:rsidR="00BE4C5A">
        <w:rPr>
          <w:sz w:val="24"/>
          <w:szCs w:val="24"/>
          <w:lang w:val="en-US"/>
        </w:rPr>
        <w:t xml:space="preserve">.  </w:t>
      </w:r>
      <w:r w:rsidR="008C19B8">
        <w:rPr>
          <w:sz w:val="24"/>
          <w:szCs w:val="24"/>
          <w:lang w:val="en-US"/>
        </w:rPr>
        <w:t xml:space="preserve"> </w:t>
      </w:r>
    </w:p>
    <w:p w:rsidR="008C0424" w:rsidRDefault="004703A3" w:rsidP="008C0424">
      <w:pPr>
        <w:spacing w:after="120" w:line="480" w:lineRule="auto"/>
        <w:rPr>
          <w:sz w:val="24"/>
          <w:szCs w:val="24"/>
          <w:lang w:val="en-US"/>
        </w:rPr>
      </w:pPr>
      <w:r>
        <w:rPr>
          <w:sz w:val="24"/>
          <w:szCs w:val="24"/>
          <w:lang w:val="en-US"/>
        </w:rPr>
        <w:t xml:space="preserve">We can also ask whether </w:t>
      </w:r>
      <w:r w:rsidR="008C0424">
        <w:rPr>
          <w:sz w:val="24"/>
          <w:szCs w:val="24"/>
          <w:lang w:val="en-US"/>
        </w:rPr>
        <w:t xml:space="preserve">the ABG </w:t>
      </w:r>
      <w:r w:rsidR="00845246">
        <w:rPr>
          <w:sz w:val="24"/>
          <w:szCs w:val="24"/>
          <w:lang w:val="en-US"/>
        </w:rPr>
        <w:t xml:space="preserve">method </w:t>
      </w:r>
      <w:r>
        <w:rPr>
          <w:sz w:val="24"/>
          <w:szCs w:val="24"/>
          <w:lang w:val="en-US"/>
        </w:rPr>
        <w:t xml:space="preserve">provides a </w:t>
      </w:r>
      <w:r w:rsidR="00845246">
        <w:rPr>
          <w:sz w:val="24"/>
          <w:szCs w:val="24"/>
          <w:lang w:val="en-US"/>
        </w:rPr>
        <w:t>better assessment of polarizatio</w:t>
      </w:r>
      <w:r w:rsidR="00A27EE3">
        <w:rPr>
          <w:sz w:val="24"/>
          <w:szCs w:val="24"/>
          <w:lang w:val="en-US"/>
        </w:rPr>
        <w:t xml:space="preserve">n </w:t>
      </w:r>
      <w:r>
        <w:rPr>
          <w:sz w:val="24"/>
          <w:szCs w:val="24"/>
          <w:lang w:val="en-US"/>
        </w:rPr>
        <w:t xml:space="preserve">than </w:t>
      </w:r>
      <w:r w:rsidR="00E45CD2">
        <w:rPr>
          <w:sz w:val="24"/>
          <w:szCs w:val="24"/>
          <w:lang w:val="en-US"/>
        </w:rPr>
        <w:t xml:space="preserve">the </w:t>
      </w:r>
      <w:r w:rsidR="008C0424">
        <w:rPr>
          <w:sz w:val="24"/>
          <w:szCs w:val="24"/>
          <w:lang w:val="en-US"/>
        </w:rPr>
        <w:t>Wolfson index (Wolfson</w:t>
      </w:r>
      <w:r w:rsidR="002B7AA2">
        <w:rPr>
          <w:sz w:val="24"/>
          <w:szCs w:val="24"/>
          <w:lang w:val="en-US"/>
        </w:rPr>
        <w:t>,</w:t>
      </w:r>
      <w:r w:rsidR="008C0424">
        <w:rPr>
          <w:sz w:val="24"/>
          <w:szCs w:val="24"/>
          <w:lang w:val="en-US"/>
        </w:rPr>
        <w:t xml:space="preserve"> 1986). </w:t>
      </w:r>
      <w:r w:rsidR="002B7AA2">
        <w:rPr>
          <w:sz w:val="24"/>
          <w:szCs w:val="24"/>
          <w:lang w:val="en-US"/>
        </w:rPr>
        <w:t xml:space="preserve">The </w:t>
      </w:r>
      <w:r w:rsidR="008C0424">
        <w:rPr>
          <w:sz w:val="24"/>
          <w:szCs w:val="24"/>
          <w:lang w:val="en-US"/>
        </w:rPr>
        <w:t xml:space="preserve">Wolfson </w:t>
      </w:r>
      <w:r w:rsidR="002B7AA2">
        <w:rPr>
          <w:sz w:val="24"/>
          <w:szCs w:val="24"/>
          <w:lang w:val="en-US"/>
        </w:rPr>
        <w:t xml:space="preserve">index </w:t>
      </w:r>
      <w:r>
        <w:rPr>
          <w:sz w:val="24"/>
          <w:szCs w:val="24"/>
          <w:lang w:val="en-US"/>
        </w:rPr>
        <w:t xml:space="preserve">was </w:t>
      </w:r>
      <w:r w:rsidR="002B7AA2">
        <w:rPr>
          <w:sz w:val="24"/>
          <w:szCs w:val="24"/>
          <w:lang w:val="en-US"/>
        </w:rPr>
        <w:t xml:space="preserve">developed </w:t>
      </w:r>
      <w:r>
        <w:rPr>
          <w:sz w:val="24"/>
          <w:szCs w:val="24"/>
          <w:lang w:val="en-US"/>
        </w:rPr>
        <w:t xml:space="preserve">from </w:t>
      </w:r>
      <w:r w:rsidR="002B7AA2">
        <w:rPr>
          <w:sz w:val="24"/>
          <w:szCs w:val="24"/>
          <w:lang w:val="en-US"/>
        </w:rPr>
        <w:t xml:space="preserve">the </w:t>
      </w:r>
      <w:r w:rsidR="00A70B2E">
        <w:rPr>
          <w:sz w:val="24"/>
          <w:szCs w:val="24"/>
          <w:lang w:val="en-US"/>
        </w:rPr>
        <w:t>Gini index</w:t>
      </w:r>
      <w:r>
        <w:rPr>
          <w:sz w:val="24"/>
          <w:szCs w:val="24"/>
          <w:lang w:val="en-US"/>
        </w:rPr>
        <w:t xml:space="preserve">, </w:t>
      </w:r>
      <w:r w:rsidR="00E1511D">
        <w:rPr>
          <w:sz w:val="24"/>
          <w:szCs w:val="24"/>
          <w:lang w:val="en-US"/>
        </w:rPr>
        <w:t>improv</w:t>
      </w:r>
      <w:r>
        <w:rPr>
          <w:sz w:val="24"/>
          <w:szCs w:val="24"/>
          <w:lang w:val="en-US"/>
        </w:rPr>
        <w:t>ing</w:t>
      </w:r>
      <w:r w:rsidR="00E1511D">
        <w:rPr>
          <w:sz w:val="24"/>
          <w:szCs w:val="24"/>
          <w:lang w:val="en-US"/>
        </w:rPr>
        <w:t xml:space="preserve"> its sensitivity to median </w:t>
      </w:r>
      <w:r w:rsidR="00503B8E">
        <w:rPr>
          <w:sz w:val="24"/>
          <w:szCs w:val="24"/>
          <w:lang w:val="en-US"/>
        </w:rPr>
        <w:t>stretches</w:t>
      </w:r>
      <w:r w:rsidR="008C0424">
        <w:rPr>
          <w:sz w:val="24"/>
          <w:szCs w:val="24"/>
          <w:lang w:val="en-US"/>
        </w:rPr>
        <w:t xml:space="preserve"> when the </w:t>
      </w:r>
      <w:r w:rsidR="009D784C">
        <w:rPr>
          <w:sz w:val="24"/>
          <w:szCs w:val="24"/>
          <w:lang w:val="en-US"/>
        </w:rPr>
        <w:t>other</w:t>
      </w:r>
      <w:r w:rsidR="009C60EB">
        <w:rPr>
          <w:sz w:val="24"/>
          <w:szCs w:val="24"/>
          <w:lang w:val="en-US"/>
        </w:rPr>
        <w:t xml:space="preserve"> indice</w:t>
      </w:r>
      <w:r w:rsidR="009D784C">
        <w:rPr>
          <w:sz w:val="24"/>
          <w:szCs w:val="24"/>
          <w:lang w:val="en-US"/>
        </w:rPr>
        <w:t>s remain</w:t>
      </w:r>
      <w:r w:rsidR="008C0424">
        <w:rPr>
          <w:sz w:val="24"/>
          <w:szCs w:val="24"/>
          <w:lang w:val="en-US"/>
        </w:rPr>
        <w:t xml:space="preserve"> </w:t>
      </w:r>
      <w:r w:rsidR="009D1CE9">
        <w:rPr>
          <w:sz w:val="24"/>
          <w:szCs w:val="24"/>
          <w:lang w:val="en-US"/>
        </w:rPr>
        <w:t xml:space="preserve">almost </w:t>
      </w:r>
      <w:r w:rsidR="008C0424">
        <w:rPr>
          <w:sz w:val="24"/>
          <w:szCs w:val="24"/>
          <w:lang w:val="en-US"/>
        </w:rPr>
        <w:t xml:space="preserve">unchanged. </w:t>
      </w:r>
      <w:r>
        <w:rPr>
          <w:sz w:val="24"/>
          <w:szCs w:val="24"/>
          <w:lang w:val="en-US"/>
        </w:rPr>
        <w:t xml:space="preserve">Here, </w:t>
      </w:r>
      <w:r w:rsidR="0051255B">
        <w:rPr>
          <w:sz w:val="24"/>
          <w:szCs w:val="24"/>
          <w:lang w:val="en-US"/>
        </w:rPr>
        <w:t>the ratio rpol = (mcl</w:t>
      </w:r>
      <w:r w:rsidR="009D784C">
        <w:rPr>
          <w:sz w:val="24"/>
          <w:szCs w:val="24"/>
          <w:lang w:val="en-US"/>
        </w:rPr>
        <w:t xml:space="preserve"> </w:t>
      </w:r>
      <w:r w:rsidR="0051255B">
        <w:rPr>
          <w:sz w:val="24"/>
          <w:szCs w:val="24"/>
          <w:lang w:val="en-US"/>
        </w:rPr>
        <w:t>+</w:t>
      </w:r>
      <w:r w:rsidR="00B54C36" w:rsidRPr="00B54C36">
        <w:rPr>
          <w:sz w:val="24"/>
          <w:szCs w:val="24"/>
          <w:lang w:val="en-US"/>
        </w:rPr>
        <w:t xml:space="preserve"> </w:t>
      </w:r>
      <w:r w:rsidR="0051255B">
        <w:rPr>
          <w:sz w:val="24"/>
          <w:szCs w:val="24"/>
          <w:lang w:val="en-US"/>
        </w:rPr>
        <w:t>mcu)/mc</w:t>
      </w:r>
      <w:r w:rsidR="006E595C">
        <w:rPr>
          <w:sz w:val="24"/>
          <w:szCs w:val="24"/>
          <w:lang w:val="en-US"/>
        </w:rPr>
        <w:t>,</w:t>
      </w:r>
      <w:r w:rsidR="0051255B">
        <w:rPr>
          <w:sz w:val="24"/>
          <w:szCs w:val="24"/>
          <w:lang w:val="en-US"/>
        </w:rPr>
        <w:t xml:space="preserve"> </w:t>
      </w:r>
      <w:r w:rsidR="009D1CE9">
        <w:rPr>
          <w:sz w:val="24"/>
          <w:szCs w:val="24"/>
          <w:lang w:val="en-US"/>
        </w:rPr>
        <w:t>as defined earlier</w:t>
      </w:r>
      <w:r w:rsidR="006E595C">
        <w:rPr>
          <w:sz w:val="24"/>
          <w:szCs w:val="24"/>
          <w:lang w:val="en-US"/>
        </w:rPr>
        <w:t>,</w:t>
      </w:r>
      <w:r w:rsidR="009D1CE9">
        <w:rPr>
          <w:sz w:val="24"/>
          <w:szCs w:val="24"/>
          <w:lang w:val="en-US"/>
        </w:rPr>
        <w:t xml:space="preserve"> </w:t>
      </w:r>
      <w:r w:rsidR="0051255B">
        <w:rPr>
          <w:sz w:val="24"/>
          <w:szCs w:val="24"/>
          <w:lang w:val="en-US"/>
        </w:rPr>
        <w:t xml:space="preserve">should </w:t>
      </w:r>
      <w:r>
        <w:rPr>
          <w:sz w:val="24"/>
          <w:szCs w:val="24"/>
          <w:lang w:val="en-US"/>
        </w:rPr>
        <w:t xml:space="preserve">rise with </w:t>
      </w:r>
      <w:r w:rsidR="0051255B">
        <w:rPr>
          <w:sz w:val="24"/>
          <w:szCs w:val="24"/>
          <w:lang w:val="en-US"/>
        </w:rPr>
        <w:t xml:space="preserve">polarization. </w:t>
      </w:r>
      <w:r w:rsidR="00A14D59">
        <w:rPr>
          <w:sz w:val="24"/>
          <w:szCs w:val="24"/>
          <w:lang w:val="en-US"/>
        </w:rPr>
        <w:t xml:space="preserve">The linear correlation matrix </w:t>
      </w:r>
      <w:r>
        <w:rPr>
          <w:sz w:val="24"/>
          <w:szCs w:val="24"/>
          <w:lang w:val="en-US"/>
        </w:rPr>
        <w:t>in T</w:t>
      </w:r>
      <w:r w:rsidR="00A14D59">
        <w:rPr>
          <w:sz w:val="24"/>
          <w:szCs w:val="24"/>
          <w:lang w:val="en-US"/>
        </w:rPr>
        <w:t xml:space="preserve">able </w:t>
      </w:r>
      <w:r w:rsidR="00AB0CFB">
        <w:rPr>
          <w:sz w:val="24"/>
          <w:szCs w:val="24"/>
          <w:lang w:val="en-US"/>
        </w:rPr>
        <w:t>7</w:t>
      </w:r>
      <w:r w:rsidR="00A14D59">
        <w:rPr>
          <w:sz w:val="24"/>
          <w:szCs w:val="24"/>
          <w:lang w:val="en-US"/>
        </w:rPr>
        <w:t xml:space="preserve"> shows that</w:t>
      </w:r>
      <w:r>
        <w:rPr>
          <w:sz w:val="24"/>
          <w:szCs w:val="24"/>
          <w:lang w:val="en-US"/>
        </w:rPr>
        <w:t>,</w:t>
      </w:r>
      <w:r w:rsidR="00A14D59">
        <w:rPr>
          <w:sz w:val="24"/>
          <w:szCs w:val="24"/>
          <w:lang w:val="en-US"/>
        </w:rPr>
        <w:t xml:space="preserve"> </w:t>
      </w:r>
      <w:r w:rsidR="003432D6">
        <w:rPr>
          <w:sz w:val="24"/>
          <w:szCs w:val="24"/>
          <w:lang w:val="en-US"/>
        </w:rPr>
        <w:t xml:space="preserve">in terms of </w:t>
      </w:r>
      <w:r w:rsidR="002A1BD0">
        <w:rPr>
          <w:sz w:val="24"/>
          <w:szCs w:val="24"/>
          <w:lang w:val="en-US"/>
        </w:rPr>
        <w:t>r</w:t>
      </w:r>
      <w:r w:rsidR="002A1BD0" w:rsidRPr="008F5DDE">
        <w:rPr>
          <w:sz w:val="24"/>
          <w:szCs w:val="24"/>
          <w:vertAlign w:val="superscript"/>
          <w:lang w:val="en-US"/>
        </w:rPr>
        <w:t>2</w:t>
      </w:r>
      <w:r>
        <w:rPr>
          <w:sz w:val="24"/>
          <w:szCs w:val="24"/>
          <w:lang w:val="en-US"/>
        </w:rPr>
        <w:t>, t</w:t>
      </w:r>
      <w:r w:rsidR="009D784C">
        <w:rPr>
          <w:sz w:val="24"/>
          <w:szCs w:val="24"/>
          <w:lang w:val="en-US"/>
        </w:rPr>
        <w:t xml:space="preserve">he </w:t>
      </w:r>
      <w:r w:rsidR="00A14D59">
        <w:rPr>
          <w:sz w:val="24"/>
          <w:szCs w:val="24"/>
          <w:lang w:val="en-US"/>
        </w:rPr>
        <w:t xml:space="preserve">Wolfson </w:t>
      </w:r>
      <w:r w:rsidR="009D784C">
        <w:rPr>
          <w:sz w:val="24"/>
          <w:szCs w:val="24"/>
          <w:lang w:val="en-US"/>
        </w:rPr>
        <w:t xml:space="preserve">index </w:t>
      </w:r>
      <w:r w:rsidR="00A14D59">
        <w:rPr>
          <w:sz w:val="24"/>
          <w:szCs w:val="24"/>
          <w:lang w:val="en-US"/>
        </w:rPr>
        <w:t xml:space="preserve">is </w:t>
      </w:r>
      <w:r>
        <w:rPr>
          <w:sz w:val="24"/>
          <w:szCs w:val="24"/>
          <w:lang w:val="en-US"/>
        </w:rPr>
        <w:t xml:space="preserve">indeed better than </w:t>
      </w:r>
      <w:r w:rsidR="00A14D59">
        <w:rPr>
          <w:sz w:val="24"/>
          <w:szCs w:val="24"/>
          <w:lang w:val="en-US"/>
        </w:rPr>
        <w:t xml:space="preserve">the </w:t>
      </w:r>
      <w:r w:rsidR="00A70B2E">
        <w:rPr>
          <w:sz w:val="24"/>
          <w:szCs w:val="24"/>
          <w:lang w:val="en-US"/>
        </w:rPr>
        <w:t xml:space="preserve">Gini </w:t>
      </w:r>
      <w:r>
        <w:rPr>
          <w:sz w:val="24"/>
          <w:szCs w:val="24"/>
          <w:lang w:val="en-US"/>
        </w:rPr>
        <w:t xml:space="preserve">in predicting the </w:t>
      </w:r>
      <w:r w:rsidR="00A14D59">
        <w:rPr>
          <w:sz w:val="24"/>
          <w:szCs w:val="24"/>
          <w:lang w:val="en-US"/>
        </w:rPr>
        <w:t>rpol ratio</w:t>
      </w:r>
      <w:r w:rsidR="009D1CE9">
        <w:rPr>
          <w:sz w:val="24"/>
          <w:szCs w:val="24"/>
          <w:lang w:val="en-US"/>
        </w:rPr>
        <w:t>, but</w:t>
      </w:r>
      <w:r w:rsidR="00A14D59">
        <w:rPr>
          <w:sz w:val="24"/>
          <w:szCs w:val="24"/>
          <w:lang w:val="en-US"/>
        </w:rPr>
        <w:t xml:space="preserve"> </w:t>
      </w:r>
      <w:r w:rsidR="00472786" w:rsidRPr="00472786">
        <w:rPr>
          <w:rFonts w:ascii="Symbol" w:hAnsi="Symbol"/>
          <w:sz w:val="24"/>
          <w:szCs w:val="24"/>
          <w:lang w:val="en-US"/>
        </w:rPr>
        <w:t></w:t>
      </w:r>
      <w:r w:rsidR="00A14D59">
        <w:rPr>
          <w:sz w:val="24"/>
          <w:szCs w:val="24"/>
          <w:lang w:val="en-US"/>
        </w:rPr>
        <w:t xml:space="preserve"> </w:t>
      </w:r>
      <w:r w:rsidR="00E45CD2">
        <w:rPr>
          <w:sz w:val="24"/>
          <w:szCs w:val="24"/>
          <w:lang w:val="en-US"/>
        </w:rPr>
        <w:t xml:space="preserve">is </w:t>
      </w:r>
      <w:r w:rsidR="00503B8E">
        <w:rPr>
          <w:sz w:val="24"/>
          <w:szCs w:val="24"/>
          <w:lang w:val="en-US"/>
        </w:rPr>
        <w:t xml:space="preserve">even </w:t>
      </w:r>
      <w:r>
        <w:rPr>
          <w:sz w:val="24"/>
          <w:szCs w:val="24"/>
          <w:lang w:val="en-US"/>
        </w:rPr>
        <w:t>better</w:t>
      </w:r>
      <w:r w:rsidR="00D718C7">
        <w:rPr>
          <w:sz w:val="24"/>
          <w:szCs w:val="24"/>
          <w:lang w:val="en-US"/>
        </w:rPr>
        <w:t>.</w:t>
      </w:r>
      <w:r w:rsidR="009D1CE9">
        <w:rPr>
          <w:sz w:val="24"/>
          <w:szCs w:val="24"/>
          <w:lang w:val="en-US"/>
        </w:rPr>
        <w:t xml:space="preserve"> </w:t>
      </w:r>
    </w:p>
    <w:p w:rsidR="00B542BD" w:rsidRDefault="00B542BD" w:rsidP="00B542BD">
      <w:pPr>
        <w:spacing w:after="120" w:line="480" w:lineRule="auto"/>
        <w:rPr>
          <w:b/>
          <w:sz w:val="24"/>
          <w:szCs w:val="24"/>
          <w:lang w:val="en-US"/>
        </w:rPr>
      </w:pPr>
      <w:r>
        <w:rPr>
          <w:b/>
          <w:sz w:val="24"/>
          <w:szCs w:val="24"/>
          <w:lang w:val="en-US"/>
        </w:rPr>
        <w:t xml:space="preserve">PLACE TABLE </w:t>
      </w:r>
      <w:r w:rsidR="00AB0CFB">
        <w:rPr>
          <w:b/>
          <w:sz w:val="24"/>
          <w:szCs w:val="24"/>
          <w:lang w:val="en-US"/>
        </w:rPr>
        <w:t>6</w:t>
      </w:r>
      <w:r w:rsidR="00E10624">
        <w:rPr>
          <w:b/>
          <w:sz w:val="24"/>
          <w:szCs w:val="24"/>
          <w:lang w:val="en-US"/>
        </w:rPr>
        <w:t xml:space="preserve"> </w:t>
      </w:r>
      <w:r>
        <w:rPr>
          <w:b/>
          <w:sz w:val="24"/>
          <w:szCs w:val="24"/>
          <w:lang w:val="en-US"/>
        </w:rPr>
        <w:t>HERE</w:t>
      </w:r>
    </w:p>
    <w:p w:rsidR="00B542BD" w:rsidRDefault="00B542BD" w:rsidP="00B542BD">
      <w:pPr>
        <w:spacing w:after="120" w:line="480" w:lineRule="auto"/>
        <w:rPr>
          <w:b/>
          <w:sz w:val="24"/>
          <w:szCs w:val="24"/>
          <w:lang w:val="en-US"/>
        </w:rPr>
      </w:pPr>
      <w:r>
        <w:rPr>
          <w:b/>
          <w:sz w:val="24"/>
          <w:szCs w:val="24"/>
          <w:lang w:val="en-US"/>
        </w:rPr>
        <w:t xml:space="preserve">PLACE TABLE </w:t>
      </w:r>
      <w:r w:rsidR="00AB0CFB">
        <w:rPr>
          <w:b/>
          <w:sz w:val="24"/>
          <w:szCs w:val="24"/>
          <w:lang w:val="en-US"/>
        </w:rPr>
        <w:t>7</w:t>
      </w:r>
      <w:r w:rsidR="00E10624">
        <w:rPr>
          <w:b/>
          <w:sz w:val="24"/>
          <w:szCs w:val="24"/>
          <w:lang w:val="en-US"/>
        </w:rPr>
        <w:t xml:space="preserve"> </w:t>
      </w:r>
      <w:r>
        <w:rPr>
          <w:b/>
          <w:sz w:val="24"/>
          <w:szCs w:val="24"/>
          <w:lang w:val="en-US"/>
        </w:rPr>
        <w:t>HERE</w:t>
      </w:r>
    </w:p>
    <w:p w:rsidR="005D7432" w:rsidRDefault="0080668E" w:rsidP="002550A1">
      <w:pPr>
        <w:spacing w:after="120" w:line="480" w:lineRule="auto"/>
        <w:rPr>
          <w:sz w:val="24"/>
          <w:szCs w:val="24"/>
          <w:lang w:val="en-US"/>
        </w:rPr>
      </w:pPr>
      <w:r>
        <w:rPr>
          <w:sz w:val="24"/>
          <w:szCs w:val="24"/>
          <w:lang w:val="en-US"/>
        </w:rPr>
        <w:lastRenderedPageBreak/>
        <w:t>We now consider a n</w:t>
      </w:r>
      <w:r w:rsidR="00D718C7">
        <w:rPr>
          <w:sz w:val="24"/>
          <w:szCs w:val="24"/>
          <w:lang w:val="en-US"/>
        </w:rPr>
        <w:t>ested model comparison o</w:t>
      </w:r>
      <w:r w:rsidR="006E595C">
        <w:rPr>
          <w:sz w:val="24"/>
          <w:szCs w:val="24"/>
          <w:lang w:val="en-US"/>
        </w:rPr>
        <w:t>f</w:t>
      </w:r>
      <w:r w:rsidR="00D718C7">
        <w:rPr>
          <w:sz w:val="24"/>
          <w:szCs w:val="24"/>
          <w:lang w:val="en-US"/>
        </w:rPr>
        <w:t xml:space="preserve"> the </w:t>
      </w:r>
      <w:r w:rsidR="005423EC">
        <w:rPr>
          <w:sz w:val="24"/>
          <w:szCs w:val="24"/>
          <w:lang w:val="en-US"/>
        </w:rPr>
        <w:t>232</w:t>
      </w:r>
      <w:r w:rsidR="00D718C7">
        <w:rPr>
          <w:sz w:val="24"/>
          <w:szCs w:val="24"/>
          <w:lang w:val="en-US"/>
        </w:rPr>
        <w:t xml:space="preserve"> datasets </w:t>
      </w:r>
      <w:r>
        <w:rPr>
          <w:sz w:val="24"/>
          <w:szCs w:val="24"/>
          <w:lang w:val="en-US"/>
        </w:rPr>
        <w:t>with respect to middle-</w:t>
      </w:r>
      <w:r w:rsidR="00426749" w:rsidRPr="00426749">
        <w:rPr>
          <w:sz w:val="24"/>
          <w:szCs w:val="24"/>
          <w:lang w:val="en-US"/>
        </w:rPr>
        <w:t xml:space="preserve">class polarization </w:t>
      </w:r>
      <w:r w:rsidR="00426749">
        <w:rPr>
          <w:sz w:val="24"/>
          <w:szCs w:val="24"/>
          <w:lang w:val="en-US"/>
        </w:rPr>
        <w:t>(rpol)</w:t>
      </w:r>
      <w:r>
        <w:rPr>
          <w:sz w:val="24"/>
          <w:szCs w:val="24"/>
          <w:lang w:val="en-US"/>
        </w:rPr>
        <w:t xml:space="preserve">. When entered first, </w:t>
      </w:r>
      <w:r w:rsidR="00426749" w:rsidRPr="00426749">
        <w:rPr>
          <w:sz w:val="24"/>
          <w:szCs w:val="24"/>
          <w:lang w:val="en-US"/>
        </w:rPr>
        <w:t>the Gini coefficient explains</w:t>
      </w:r>
      <w:r w:rsidR="00D6658F">
        <w:rPr>
          <w:sz w:val="24"/>
          <w:szCs w:val="24"/>
          <w:lang w:val="en-US"/>
        </w:rPr>
        <w:t xml:space="preserve"> more than half </w:t>
      </w:r>
      <w:r>
        <w:rPr>
          <w:sz w:val="24"/>
          <w:szCs w:val="24"/>
          <w:lang w:val="en-US"/>
        </w:rPr>
        <w:t xml:space="preserve">of the variation in rpol, with </w:t>
      </w:r>
      <w:r w:rsidR="00426749" w:rsidRPr="00426749">
        <w:rPr>
          <w:sz w:val="24"/>
          <w:szCs w:val="24"/>
          <w:lang w:val="en-US"/>
        </w:rPr>
        <w:t xml:space="preserve">the </w:t>
      </w:r>
      <w:r>
        <w:rPr>
          <w:sz w:val="24"/>
          <w:szCs w:val="24"/>
          <w:lang w:val="en-US"/>
        </w:rPr>
        <w:t xml:space="preserve">Wolfson adding a further </w:t>
      </w:r>
      <w:r w:rsidR="00D6658F">
        <w:rPr>
          <w:sz w:val="24"/>
          <w:szCs w:val="24"/>
          <w:lang w:val="en-US"/>
        </w:rPr>
        <w:t>4.2</w:t>
      </w:r>
      <w:r w:rsidR="00426749" w:rsidRPr="00426749">
        <w:rPr>
          <w:sz w:val="24"/>
          <w:szCs w:val="24"/>
          <w:lang w:val="en-US"/>
        </w:rPr>
        <w:t>%</w:t>
      </w:r>
      <w:r w:rsidR="00D6658F">
        <w:rPr>
          <w:sz w:val="24"/>
          <w:szCs w:val="24"/>
          <w:lang w:val="en-US"/>
        </w:rPr>
        <w:t xml:space="preserve">, </w:t>
      </w:r>
      <w:r>
        <w:rPr>
          <w:sz w:val="24"/>
          <w:szCs w:val="24"/>
          <w:lang w:val="en-US"/>
        </w:rPr>
        <w:t xml:space="preserve">which </w:t>
      </w:r>
      <w:r w:rsidR="00D6658F">
        <w:rPr>
          <w:sz w:val="24"/>
          <w:szCs w:val="24"/>
          <w:lang w:val="en-US"/>
        </w:rPr>
        <w:t>is significant</w:t>
      </w:r>
      <w:r w:rsidR="00426749" w:rsidRPr="00426749">
        <w:rPr>
          <w:sz w:val="24"/>
          <w:szCs w:val="24"/>
          <w:lang w:val="en-US"/>
        </w:rPr>
        <w:t xml:space="preserve">; when </w:t>
      </w:r>
      <w:r w:rsidR="00C44423">
        <w:rPr>
          <w:sz w:val="24"/>
          <w:szCs w:val="24"/>
          <w:lang w:val="en-US"/>
        </w:rPr>
        <w:t xml:space="preserve">the </w:t>
      </w:r>
      <w:r w:rsidR="00A27EE3">
        <w:rPr>
          <w:sz w:val="24"/>
          <w:szCs w:val="24"/>
          <w:lang w:val="en-US"/>
        </w:rPr>
        <w:t xml:space="preserve">Wolfson </w:t>
      </w:r>
      <w:r w:rsidR="00C44423">
        <w:rPr>
          <w:sz w:val="24"/>
          <w:szCs w:val="24"/>
          <w:lang w:val="en-US"/>
        </w:rPr>
        <w:t xml:space="preserve">index </w:t>
      </w:r>
      <w:r w:rsidR="00426749" w:rsidRPr="00426749">
        <w:rPr>
          <w:sz w:val="24"/>
          <w:szCs w:val="24"/>
          <w:lang w:val="en-US"/>
        </w:rPr>
        <w:t xml:space="preserve">is entered first, the </w:t>
      </w:r>
      <w:r w:rsidR="002A1BD0">
        <w:rPr>
          <w:sz w:val="24"/>
          <w:szCs w:val="24"/>
          <w:lang w:val="en-US"/>
        </w:rPr>
        <w:t>r</w:t>
      </w:r>
      <w:r w:rsidR="002A1BD0" w:rsidRPr="002550A1">
        <w:rPr>
          <w:sz w:val="24"/>
          <w:szCs w:val="24"/>
          <w:vertAlign w:val="superscript"/>
          <w:lang w:val="en-US"/>
        </w:rPr>
        <w:t>2</w:t>
      </w:r>
      <w:r w:rsidR="002A1BD0" w:rsidRPr="00426749">
        <w:rPr>
          <w:sz w:val="24"/>
          <w:szCs w:val="24"/>
          <w:lang w:val="en-US"/>
        </w:rPr>
        <w:t xml:space="preserve"> </w:t>
      </w:r>
      <w:r w:rsidR="00426749" w:rsidRPr="00426749">
        <w:rPr>
          <w:sz w:val="24"/>
          <w:szCs w:val="24"/>
          <w:lang w:val="en-US"/>
        </w:rPr>
        <w:t xml:space="preserve">is </w:t>
      </w:r>
      <w:r w:rsidR="00D6658F">
        <w:rPr>
          <w:sz w:val="24"/>
          <w:szCs w:val="24"/>
          <w:lang w:val="en-US"/>
        </w:rPr>
        <w:t>72</w:t>
      </w:r>
      <w:r w:rsidR="00426749" w:rsidRPr="00426749">
        <w:rPr>
          <w:sz w:val="24"/>
          <w:szCs w:val="24"/>
          <w:lang w:val="en-US"/>
        </w:rPr>
        <w:t>.</w:t>
      </w:r>
      <w:r w:rsidR="00A27EE3">
        <w:rPr>
          <w:sz w:val="24"/>
          <w:szCs w:val="24"/>
          <w:lang w:val="en-US"/>
        </w:rPr>
        <w:t>2</w:t>
      </w:r>
      <w:r w:rsidR="00426749" w:rsidRPr="00426749">
        <w:rPr>
          <w:sz w:val="24"/>
          <w:szCs w:val="24"/>
          <w:lang w:val="en-US"/>
        </w:rPr>
        <w:t>%</w:t>
      </w:r>
      <w:r w:rsidR="00C44423">
        <w:rPr>
          <w:sz w:val="24"/>
          <w:szCs w:val="24"/>
          <w:lang w:val="en-US"/>
        </w:rPr>
        <w:t>,</w:t>
      </w:r>
      <w:r w:rsidR="00426749" w:rsidRPr="00426749">
        <w:rPr>
          <w:sz w:val="24"/>
          <w:szCs w:val="24"/>
          <w:lang w:val="en-US"/>
        </w:rPr>
        <w:t xml:space="preserve"> </w:t>
      </w:r>
      <w:r w:rsidR="00C44423">
        <w:rPr>
          <w:sz w:val="24"/>
          <w:szCs w:val="24"/>
          <w:lang w:val="en-US"/>
        </w:rPr>
        <w:t xml:space="preserve">with the </w:t>
      </w:r>
      <w:r w:rsidR="00A27EE3">
        <w:rPr>
          <w:sz w:val="24"/>
          <w:szCs w:val="24"/>
          <w:lang w:val="en-US"/>
        </w:rPr>
        <w:t>Gini</w:t>
      </w:r>
      <w:r w:rsidR="00426749" w:rsidRPr="00426749">
        <w:rPr>
          <w:sz w:val="24"/>
          <w:szCs w:val="24"/>
          <w:lang w:val="en-US"/>
        </w:rPr>
        <w:t xml:space="preserve"> </w:t>
      </w:r>
      <w:r w:rsidR="00C44423">
        <w:rPr>
          <w:sz w:val="24"/>
          <w:szCs w:val="24"/>
          <w:lang w:val="en-US"/>
        </w:rPr>
        <w:t xml:space="preserve">adding no further </w:t>
      </w:r>
      <w:r w:rsidR="00D6658F">
        <w:rPr>
          <w:sz w:val="24"/>
          <w:szCs w:val="24"/>
          <w:lang w:val="en-US"/>
        </w:rPr>
        <w:t>significant</w:t>
      </w:r>
      <w:r w:rsidR="00C44423">
        <w:rPr>
          <w:sz w:val="24"/>
          <w:szCs w:val="24"/>
          <w:lang w:val="en-US"/>
        </w:rPr>
        <w:t xml:space="preserve"> explanatory power</w:t>
      </w:r>
      <w:r w:rsidR="00D718C7">
        <w:rPr>
          <w:sz w:val="24"/>
          <w:szCs w:val="24"/>
          <w:lang w:val="en-US"/>
        </w:rPr>
        <w:t xml:space="preserve">. </w:t>
      </w:r>
      <w:r w:rsidR="00C44423">
        <w:rPr>
          <w:sz w:val="24"/>
          <w:szCs w:val="24"/>
          <w:lang w:val="en-US"/>
        </w:rPr>
        <w:t>T</w:t>
      </w:r>
      <w:r w:rsidR="009D784C">
        <w:rPr>
          <w:sz w:val="24"/>
          <w:szCs w:val="24"/>
          <w:lang w:val="en-US"/>
        </w:rPr>
        <w:t xml:space="preserve">he </w:t>
      </w:r>
      <w:r w:rsidR="00EB235F">
        <w:rPr>
          <w:sz w:val="24"/>
          <w:szCs w:val="24"/>
          <w:lang w:val="en-US"/>
        </w:rPr>
        <w:t>Wolfson</w:t>
      </w:r>
      <w:r w:rsidR="009D784C">
        <w:rPr>
          <w:sz w:val="24"/>
          <w:szCs w:val="24"/>
          <w:lang w:val="en-US"/>
        </w:rPr>
        <w:t xml:space="preserve"> index </w:t>
      </w:r>
      <w:r w:rsidR="006E595C">
        <w:rPr>
          <w:sz w:val="24"/>
          <w:szCs w:val="24"/>
          <w:lang w:val="en-US"/>
        </w:rPr>
        <w:t xml:space="preserve">does </w:t>
      </w:r>
      <w:r w:rsidR="00C44423">
        <w:rPr>
          <w:sz w:val="24"/>
          <w:szCs w:val="24"/>
          <w:lang w:val="en-US"/>
        </w:rPr>
        <w:t xml:space="preserve">therefore act </w:t>
      </w:r>
      <w:r w:rsidR="00E52530">
        <w:rPr>
          <w:sz w:val="24"/>
          <w:szCs w:val="24"/>
          <w:lang w:val="en-US"/>
        </w:rPr>
        <w:t xml:space="preserve">as </w:t>
      </w:r>
      <w:r w:rsidR="00EB235F">
        <w:rPr>
          <w:sz w:val="24"/>
          <w:szCs w:val="24"/>
          <w:lang w:val="en-US"/>
        </w:rPr>
        <w:t xml:space="preserve">a </w:t>
      </w:r>
      <w:r w:rsidR="00A27EE3">
        <w:rPr>
          <w:sz w:val="24"/>
          <w:szCs w:val="24"/>
          <w:lang w:val="en-US"/>
        </w:rPr>
        <w:t xml:space="preserve">good </w:t>
      </w:r>
      <w:r w:rsidR="00EB235F">
        <w:rPr>
          <w:sz w:val="24"/>
          <w:szCs w:val="24"/>
          <w:lang w:val="en-US"/>
        </w:rPr>
        <w:t>measure of polarization</w:t>
      </w:r>
      <w:r w:rsidR="00913F36">
        <w:rPr>
          <w:sz w:val="24"/>
          <w:szCs w:val="24"/>
          <w:lang w:val="en-US"/>
        </w:rPr>
        <w:t>,</w:t>
      </w:r>
      <w:r w:rsidR="00EB235F">
        <w:rPr>
          <w:sz w:val="24"/>
          <w:szCs w:val="24"/>
          <w:lang w:val="en-US"/>
        </w:rPr>
        <w:t xml:space="preserve"> </w:t>
      </w:r>
      <w:r w:rsidR="009D784C">
        <w:rPr>
          <w:sz w:val="24"/>
          <w:szCs w:val="24"/>
          <w:lang w:val="en-US"/>
        </w:rPr>
        <w:t>although</w:t>
      </w:r>
      <w:r w:rsidR="00913F36">
        <w:rPr>
          <w:sz w:val="24"/>
          <w:szCs w:val="24"/>
          <w:lang w:val="en-US"/>
        </w:rPr>
        <w:t xml:space="preserve"> to this extent</w:t>
      </w:r>
      <w:r w:rsidR="00D6658F">
        <w:rPr>
          <w:sz w:val="24"/>
          <w:szCs w:val="24"/>
          <w:lang w:val="en-US"/>
        </w:rPr>
        <w:t xml:space="preserve"> </w:t>
      </w:r>
      <w:r w:rsidR="00472786" w:rsidRPr="00472786">
        <w:rPr>
          <w:rFonts w:ascii="Symbol" w:hAnsi="Symbol"/>
          <w:sz w:val="24"/>
          <w:szCs w:val="24"/>
          <w:lang w:val="en-US"/>
        </w:rPr>
        <w:t></w:t>
      </w:r>
      <w:r w:rsidR="00A27EE3" w:rsidRPr="00FA44A0">
        <w:rPr>
          <w:sz w:val="24"/>
          <w:szCs w:val="24"/>
          <w:lang w:val="en-US"/>
        </w:rPr>
        <w:t xml:space="preserve"> performs better</w:t>
      </w:r>
      <w:r w:rsidR="00D6658F">
        <w:rPr>
          <w:sz w:val="24"/>
          <w:szCs w:val="24"/>
          <w:lang w:val="en-US"/>
        </w:rPr>
        <w:t xml:space="preserve"> (</w:t>
      </w:r>
      <w:r w:rsidR="00913F36">
        <w:rPr>
          <w:sz w:val="24"/>
          <w:szCs w:val="24"/>
          <w:lang w:val="en-US"/>
        </w:rPr>
        <w:t>see T</w:t>
      </w:r>
      <w:r w:rsidR="00D6658F">
        <w:rPr>
          <w:sz w:val="24"/>
          <w:szCs w:val="24"/>
          <w:lang w:val="en-US"/>
        </w:rPr>
        <w:t>able 8)</w:t>
      </w:r>
      <w:r w:rsidR="000A0A27">
        <w:rPr>
          <w:sz w:val="24"/>
          <w:szCs w:val="24"/>
          <w:lang w:val="en-US"/>
        </w:rPr>
        <w:t xml:space="preserve">. </w:t>
      </w:r>
      <w:r w:rsidR="00913F36">
        <w:rPr>
          <w:sz w:val="24"/>
          <w:szCs w:val="24"/>
          <w:lang w:val="en-US"/>
        </w:rPr>
        <w:t xml:space="preserve">In general, for </w:t>
      </w:r>
      <w:r w:rsidR="004E52D3">
        <w:rPr>
          <w:sz w:val="24"/>
          <w:szCs w:val="24"/>
          <w:lang w:val="en-US"/>
        </w:rPr>
        <w:t xml:space="preserve">the different aspects of inequality measurement, the </w:t>
      </w:r>
      <w:r w:rsidR="003432D6">
        <w:rPr>
          <w:sz w:val="24"/>
          <w:szCs w:val="24"/>
          <w:lang w:val="en-US"/>
        </w:rPr>
        <w:t xml:space="preserve">ABG </w:t>
      </w:r>
      <w:r w:rsidR="0025622F">
        <w:rPr>
          <w:sz w:val="24"/>
          <w:szCs w:val="24"/>
          <w:lang w:val="en-US"/>
        </w:rPr>
        <w:t xml:space="preserve">method offers interpretable parameters that generally </w:t>
      </w:r>
      <w:r w:rsidR="003432D6">
        <w:rPr>
          <w:sz w:val="24"/>
          <w:szCs w:val="24"/>
          <w:lang w:val="en-US"/>
        </w:rPr>
        <w:t>outperform the other methods</w:t>
      </w:r>
      <w:r w:rsidR="0025622F">
        <w:rPr>
          <w:sz w:val="24"/>
          <w:szCs w:val="24"/>
          <w:lang w:val="en-US"/>
        </w:rPr>
        <w:t xml:space="preserve"> in terms of </w:t>
      </w:r>
      <w:r w:rsidR="00913F36">
        <w:rPr>
          <w:sz w:val="24"/>
          <w:szCs w:val="24"/>
          <w:lang w:val="en-US"/>
        </w:rPr>
        <w:t xml:space="preserve">the </w:t>
      </w:r>
      <w:r w:rsidR="0025622F">
        <w:rPr>
          <w:sz w:val="24"/>
          <w:szCs w:val="24"/>
          <w:lang w:val="en-US"/>
        </w:rPr>
        <w:t xml:space="preserve">description of </w:t>
      </w:r>
      <w:r w:rsidR="00913F36">
        <w:rPr>
          <w:sz w:val="24"/>
          <w:szCs w:val="24"/>
          <w:lang w:val="en-US"/>
        </w:rPr>
        <w:t xml:space="preserve">the </w:t>
      </w:r>
      <w:r w:rsidR="0025622F">
        <w:rPr>
          <w:sz w:val="24"/>
          <w:szCs w:val="24"/>
          <w:lang w:val="en-US"/>
        </w:rPr>
        <w:t>distribution</w:t>
      </w:r>
      <w:r w:rsidR="00346CF8">
        <w:rPr>
          <w:sz w:val="24"/>
          <w:szCs w:val="24"/>
          <w:lang w:val="en-US"/>
        </w:rPr>
        <w:t xml:space="preserve"> and</w:t>
      </w:r>
      <w:r w:rsidR="0025622F">
        <w:rPr>
          <w:sz w:val="24"/>
          <w:szCs w:val="24"/>
          <w:lang w:val="en-US"/>
        </w:rPr>
        <w:t xml:space="preserve"> </w:t>
      </w:r>
      <w:r w:rsidR="00913F36">
        <w:rPr>
          <w:sz w:val="24"/>
          <w:szCs w:val="24"/>
          <w:lang w:val="en-US"/>
        </w:rPr>
        <w:t xml:space="preserve">the </w:t>
      </w:r>
      <w:r w:rsidR="00346CF8">
        <w:rPr>
          <w:sz w:val="24"/>
          <w:szCs w:val="24"/>
          <w:lang w:val="en-US"/>
        </w:rPr>
        <w:t>size of income class</w:t>
      </w:r>
      <w:r w:rsidR="00913F36">
        <w:rPr>
          <w:sz w:val="24"/>
          <w:szCs w:val="24"/>
          <w:lang w:val="en-US"/>
        </w:rPr>
        <w:t>es</w:t>
      </w:r>
      <w:r w:rsidR="003432D6">
        <w:rPr>
          <w:sz w:val="24"/>
          <w:szCs w:val="24"/>
          <w:lang w:val="en-US"/>
        </w:rPr>
        <w:t xml:space="preserve">. </w:t>
      </w:r>
    </w:p>
    <w:p w:rsidR="007D1E5D" w:rsidRDefault="007D1E5D" w:rsidP="007D1E5D">
      <w:pPr>
        <w:spacing w:after="120" w:line="480" w:lineRule="auto"/>
        <w:rPr>
          <w:b/>
          <w:sz w:val="24"/>
          <w:szCs w:val="24"/>
          <w:lang w:val="en-US"/>
        </w:rPr>
      </w:pPr>
      <w:r>
        <w:rPr>
          <w:b/>
          <w:sz w:val="24"/>
          <w:szCs w:val="24"/>
          <w:lang w:val="en-US"/>
        </w:rPr>
        <w:t xml:space="preserve">PLACE TABLE </w:t>
      </w:r>
      <w:r w:rsidR="00AB0CFB">
        <w:rPr>
          <w:b/>
          <w:sz w:val="24"/>
          <w:szCs w:val="24"/>
          <w:lang w:val="en-US"/>
        </w:rPr>
        <w:t>8</w:t>
      </w:r>
      <w:r>
        <w:rPr>
          <w:b/>
          <w:sz w:val="24"/>
          <w:szCs w:val="24"/>
          <w:lang w:val="en-US"/>
        </w:rPr>
        <w:t xml:space="preserve"> HERE</w:t>
      </w:r>
    </w:p>
    <w:p w:rsidR="007D1E5D" w:rsidRDefault="007D1E5D" w:rsidP="005D7432">
      <w:pPr>
        <w:spacing w:after="120" w:line="480" w:lineRule="auto"/>
        <w:rPr>
          <w:sz w:val="24"/>
          <w:szCs w:val="24"/>
          <w:lang w:val="en-US"/>
        </w:rPr>
      </w:pPr>
    </w:p>
    <w:p w:rsidR="00A5340E" w:rsidRPr="005A1A92" w:rsidRDefault="00A5340E" w:rsidP="00A5340E">
      <w:pPr>
        <w:numPr>
          <w:ilvl w:val="0"/>
          <w:numId w:val="5"/>
        </w:numPr>
        <w:spacing w:after="120" w:line="480" w:lineRule="auto"/>
        <w:rPr>
          <w:b/>
          <w:sz w:val="24"/>
          <w:szCs w:val="24"/>
          <w:lang w:val="en-US"/>
        </w:rPr>
      </w:pPr>
      <w:r w:rsidRPr="005A1A92">
        <w:rPr>
          <w:b/>
          <w:sz w:val="24"/>
          <w:szCs w:val="24"/>
          <w:lang w:val="en-US"/>
        </w:rPr>
        <w:t xml:space="preserve">How </w:t>
      </w:r>
      <w:r w:rsidR="00913F36">
        <w:rPr>
          <w:b/>
          <w:sz w:val="24"/>
          <w:szCs w:val="24"/>
          <w:lang w:val="en-US"/>
        </w:rPr>
        <w:t xml:space="preserve">do the </w:t>
      </w:r>
      <w:r w:rsidRPr="005A1A92">
        <w:rPr>
          <w:b/>
          <w:sz w:val="24"/>
          <w:szCs w:val="24"/>
          <w:lang w:val="en-US"/>
        </w:rPr>
        <w:t>ABG</w:t>
      </w:r>
      <w:r w:rsidR="003432D6">
        <w:rPr>
          <w:b/>
          <w:sz w:val="24"/>
          <w:szCs w:val="24"/>
          <w:lang w:val="en-US"/>
        </w:rPr>
        <w:t>-distribution</w:t>
      </w:r>
      <w:r w:rsidRPr="005A1A92">
        <w:rPr>
          <w:b/>
          <w:sz w:val="24"/>
          <w:szCs w:val="24"/>
          <w:lang w:val="en-US"/>
        </w:rPr>
        <w:t xml:space="preserve"> and GB2 perform?</w:t>
      </w:r>
    </w:p>
    <w:p w:rsidR="00AC488D" w:rsidRDefault="00346CF8" w:rsidP="00A5340E">
      <w:pPr>
        <w:spacing w:after="120" w:line="480" w:lineRule="auto"/>
        <w:rPr>
          <w:sz w:val="24"/>
          <w:szCs w:val="24"/>
          <w:lang w:val="en-US"/>
        </w:rPr>
      </w:pPr>
      <w:r>
        <w:rPr>
          <w:sz w:val="24"/>
          <w:szCs w:val="24"/>
          <w:lang w:val="en-US"/>
        </w:rPr>
        <w:t xml:space="preserve">Another aspect of the ABG method is </w:t>
      </w:r>
      <w:r w:rsidR="00913F36">
        <w:rPr>
          <w:sz w:val="24"/>
          <w:szCs w:val="24"/>
          <w:lang w:val="en-US"/>
        </w:rPr>
        <w:t xml:space="preserve">its </w:t>
      </w:r>
      <w:r>
        <w:rPr>
          <w:sz w:val="24"/>
          <w:szCs w:val="24"/>
          <w:lang w:val="en-US"/>
        </w:rPr>
        <w:t xml:space="preserve">distributional shape: the three parameters </w:t>
      </w:r>
      <w:r w:rsidR="00913F36">
        <w:rPr>
          <w:sz w:val="24"/>
          <w:szCs w:val="24"/>
          <w:lang w:val="en-US"/>
        </w:rPr>
        <w:t xml:space="preserve">describe </w:t>
      </w:r>
      <w:r>
        <w:rPr>
          <w:sz w:val="24"/>
          <w:szCs w:val="24"/>
          <w:lang w:val="en-US"/>
        </w:rPr>
        <w:t xml:space="preserve">a distribution that is tailored to fit the </w:t>
      </w:r>
      <w:r w:rsidR="00913F36">
        <w:rPr>
          <w:sz w:val="24"/>
          <w:szCs w:val="24"/>
          <w:lang w:val="en-US"/>
        </w:rPr>
        <w:t>observed data</w:t>
      </w:r>
      <w:r>
        <w:rPr>
          <w:sz w:val="24"/>
          <w:szCs w:val="24"/>
          <w:lang w:val="en-US"/>
        </w:rPr>
        <w:t xml:space="preserve">. </w:t>
      </w:r>
      <w:r w:rsidR="00B23937">
        <w:rPr>
          <w:sz w:val="24"/>
          <w:szCs w:val="24"/>
          <w:lang w:val="en-US"/>
        </w:rPr>
        <w:t xml:space="preserve">How does </w:t>
      </w:r>
      <w:r>
        <w:rPr>
          <w:sz w:val="24"/>
          <w:szCs w:val="24"/>
          <w:lang w:val="en-US"/>
        </w:rPr>
        <w:t xml:space="preserve">ABG </w:t>
      </w:r>
      <w:r w:rsidR="00B23937">
        <w:rPr>
          <w:sz w:val="24"/>
          <w:szCs w:val="24"/>
          <w:lang w:val="en-US"/>
        </w:rPr>
        <w:t xml:space="preserve">perform </w:t>
      </w:r>
      <w:r>
        <w:rPr>
          <w:sz w:val="24"/>
          <w:szCs w:val="24"/>
          <w:lang w:val="en-US"/>
        </w:rPr>
        <w:t xml:space="preserve">in this respect? </w:t>
      </w:r>
      <w:r w:rsidR="00776FCD">
        <w:rPr>
          <w:sz w:val="24"/>
          <w:szCs w:val="24"/>
          <w:lang w:val="en-US"/>
        </w:rPr>
        <w:t xml:space="preserve">In the </w:t>
      </w:r>
      <w:r w:rsidR="000B5EB0">
        <w:rPr>
          <w:sz w:val="24"/>
          <w:szCs w:val="24"/>
          <w:lang w:val="en-US"/>
        </w:rPr>
        <w:t xml:space="preserve">contemporary </w:t>
      </w:r>
      <w:r w:rsidR="00B23937">
        <w:rPr>
          <w:sz w:val="24"/>
          <w:szCs w:val="24"/>
          <w:lang w:val="en-US"/>
        </w:rPr>
        <w:t>income-</w:t>
      </w:r>
      <w:r w:rsidR="00A8362F">
        <w:rPr>
          <w:sz w:val="24"/>
          <w:szCs w:val="24"/>
          <w:lang w:val="en-US"/>
        </w:rPr>
        <w:t xml:space="preserve">distribution </w:t>
      </w:r>
      <w:r w:rsidR="005A1A92">
        <w:rPr>
          <w:sz w:val="24"/>
          <w:szCs w:val="24"/>
          <w:lang w:val="en-US"/>
        </w:rPr>
        <w:t>literature</w:t>
      </w:r>
      <w:r w:rsidR="00776FCD">
        <w:rPr>
          <w:sz w:val="24"/>
          <w:szCs w:val="24"/>
          <w:lang w:val="en-US"/>
        </w:rPr>
        <w:t xml:space="preserve">, the GB2 is </w:t>
      </w:r>
      <w:r w:rsidR="00A8362F">
        <w:rPr>
          <w:sz w:val="24"/>
          <w:szCs w:val="24"/>
          <w:lang w:val="en-US"/>
        </w:rPr>
        <w:t>the</w:t>
      </w:r>
      <w:r w:rsidR="00A8362F" w:rsidRPr="00A8362F">
        <w:rPr>
          <w:sz w:val="24"/>
          <w:szCs w:val="24"/>
          <w:lang w:val="en-US"/>
        </w:rPr>
        <w:t xml:space="preserve"> leading contender for </w:t>
      </w:r>
      <w:r w:rsidR="00B23937">
        <w:rPr>
          <w:sz w:val="24"/>
          <w:szCs w:val="24"/>
          <w:lang w:val="en-US"/>
        </w:rPr>
        <w:t xml:space="preserve">the best measure </w:t>
      </w:r>
      <w:r w:rsidR="000B5EB0">
        <w:rPr>
          <w:sz w:val="24"/>
          <w:szCs w:val="24"/>
          <w:lang w:val="en-US"/>
        </w:rPr>
        <w:t>(Jenkins, 2009</w:t>
      </w:r>
      <w:r w:rsidR="008C78BB">
        <w:rPr>
          <w:sz w:val="24"/>
          <w:szCs w:val="24"/>
          <w:lang w:val="en-US"/>
        </w:rPr>
        <w:t xml:space="preserve">, </w:t>
      </w:r>
      <w:r w:rsidR="000B5EB0" w:rsidRPr="00DF0D2F">
        <w:rPr>
          <w:sz w:val="24"/>
          <w:szCs w:val="24"/>
          <w:lang w:val="en-GB"/>
        </w:rPr>
        <w:t>Graf</w:t>
      </w:r>
      <w:r w:rsidR="000B5EB0">
        <w:rPr>
          <w:sz w:val="24"/>
          <w:szCs w:val="24"/>
          <w:lang w:val="en-GB"/>
        </w:rPr>
        <w:t xml:space="preserve"> and </w:t>
      </w:r>
      <w:r w:rsidR="000B5EB0" w:rsidRPr="00DF0D2F">
        <w:rPr>
          <w:sz w:val="24"/>
          <w:szCs w:val="24"/>
          <w:lang w:val="en-GB"/>
        </w:rPr>
        <w:t>Nedyalkova</w:t>
      </w:r>
      <w:r w:rsidR="000B5EB0">
        <w:rPr>
          <w:sz w:val="24"/>
          <w:szCs w:val="24"/>
          <w:lang w:val="en-GB"/>
        </w:rPr>
        <w:t>, 201</w:t>
      </w:r>
      <w:r w:rsidR="00E9025B">
        <w:rPr>
          <w:sz w:val="24"/>
          <w:szCs w:val="24"/>
          <w:lang w:val="en-GB"/>
        </w:rPr>
        <w:t>4</w:t>
      </w:r>
      <w:r w:rsidR="000B5EB0">
        <w:rPr>
          <w:sz w:val="24"/>
          <w:szCs w:val="24"/>
          <w:lang w:val="en-US"/>
        </w:rPr>
        <w:t>)</w:t>
      </w:r>
      <w:r w:rsidR="00A8362F">
        <w:rPr>
          <w:sz w:val="24"/>
          <w:szCs w:val="24"/>
          <w:lang w:val="en-US"/>
        </w:rPr>
        <w:t>.</w:t>
      </w:r>
      <w:r w:rsidR="000B5EB0">
        <w:rPr>
          <w:sz w:val="24"/>
          <w:szCs w:val="24"/>
          <w:lang w:val="en-US"/>
        </w:rPr>
        <w:t xml:space="preserve"> </w:t>
      </w:r>
      <w:r w:rsidR="00D62A8D">
        <w:rPr>
          <w:sz w:val="24"/>
          <w:szCs w:val="24"/>
          <w:lang w:val="en-US"/>
        </w:rPr>
        <w:t xml:space="preserve">This distribution is </w:t>
      </w:r>
      <w:r w:rsidR="00B23937">
        <w:rPr>
          <w:sz w:val="24"/>
          <w:szCs w:val="24"/>
          <w:lang w:val="en-US"/>
        </w:rPr>
        <w:t xml:space="preserve">particular </w:t>
      </w:r>
      <w:r w:rsidR="00D62A8D">
        <w:rPr>
          <w:sz w:val="24"/>
          <w:szCs w:val="24"/>
          <w:lang w:val="en-US"/>
        </w:rPr>
        <w:t>in the universe of Beta-type laws</w:t>
      </w:r>
      <w:r w:rsidR="00126B88">
        <w:rPr>
          <w:sz w:val="24"/>
          <w:szCs w:val="24"/>
          <w:lang w:val="en-US"/>
        </w:rPr>
        <w:t>:</w:t>
      </w:r>
      <w:r w:rsidR="00D62A8D">
        <w:rPr>
          <w:sz w:val="24"/>
          <w:szCs w:val="24"/>
          <w:lang w:val="en-US"/>
        </w:rPr>
        <w:t xml:space="preserve"> it is the most general</w:t>
      </w:r>
      <w:r w:rsidR="00B23937">
        <w:rPr>
          <w:sz w:val="24"/>
          <w:szCs w:val="24"/>
          <w:lang w:val="en-US"/>
        </w:rPr>
        <w:t xml:space="preserve">, as </w:t>
      </w:r>
      <w:r w:rsidR="00D62A8D">
        <w:rPr>
          <w:sz w:val="24"/>
          <w:szCs w:val="24"/>
          <w:lang w:val="en-US"/>
        </w:rPr>
        <w:t xml:space="preserve">many other distributions are </w:t>
      </w:r>
      <w:r w:rsidR="00B23937">
        <w:rPr>
          <w:sz w:val="24"/>
          <w:szCs w:val="24"/>
          <w:lang w:val="en-US"/>
        </w:rPr>
        <w:t xml:space="preserve">special </w:t>
      </w:r>
      <w:r w:rsidR="00D62A8D">
        <w:rPr>
          <w:sz w:val="24"/>
          <w:szCs w:val="24"/>
          <w:lang w:val="en-US"/>
        </w:rPr>
        <w:t xml:space="preserve">cases. It has 4 parameters, one of scale (b) and three of shape (a,p,q), </w:t>
      </w:r>
      <w:r w:rsidR="00B23937">
        <w:rPr>
          <w:sz w:val="24"/>
          <w:szCs w:val="24"/>
          <w:lang w:val="en-US"/>
        </w:rPr>
        <w:t xml:space="preserve">which is </w:t>
      </w:r>
      <w:r w:rsidR="00D62A8D">
        <w:rPr>
          <w:sz w:val="24"/>
          <w:szCs w:val="24"/>
          <w:lang w:val="en-US"/>
        </w:rPr>
        <w:t xml:space="preserve">the same number </w:t>
      </w:r>
      <w:r w:rsidR="005A1A92">
        <w:rPr>
          <w:sz w:val="24"/>
          <w:szCs w:val="24"/>
          <w:lang w:val="en-US"/>
        </w:rPr>
        <w:t xml:space="preserve">as </w:t>
      </w:r>
      <w:r w:rsidR="00D62A8D">
        <w:rPr>
          <w:sz w:val="24"/>
          <w:szCs w:val="24"/>
          <w:lang w:val="en-US"/>
        </w:rPr>
        <w:t>the ABG distribution</w:t>
      </w:r>
      <w:r w:rsidR="000611AC">
        <w:rPr>
          <w:sz w:val="24"/>
          <w:szCs w:val="24"/>
          <w:lang w:val="en-US"/>
        </w:rPr>
        <w:t>, provided that we consider equation (5) above as a general expression of an empirical distribution where the fourth parameter (size) is the median</w:t>
      </w:r>
      <w:r w:rsidR="00D62A8D">
        <w:rPr>
          <w:sz w:val="24"/>
          <w:szCs w:val="24"/>
          <w:lang w:val="en-US"/>
        </w:rPr>
        <w:t xml:space="preserve">. </w:t>
      </w:r>
      <w:r w:rsidR="00777557">
        <w:rPr>
          <w:sz w:val="24"/>
          <w:szCs w:val="24"/>
          <w:lang w:val="en-US"/>
        </w:rPr>
        <w:t xml:space="preserve">In terms of microeconomic theory, the GB2 results from a simple model of firm behavior </w:t>
      </w:r>
      <w:r w:rsidR="009A7E6C">
        <w:rPr>
          <w:sz w:val="24"/>
          <w:szCs w:val="24"/>
          <w:lang w:val="en-US"/>
        </w:rPr>
        <w:lastRenderedPageBreak/>
        <w:t>(Parker 1999)</w:t>
      </w:r>
      <w:r w:rsidR="005A1A92">
        <w:rPr>
          <w:sz w:val="24"/>
          <w:szCs w:val="24"/>
          <w:lang w:val="en-US"/>
        </w:rPr>
        <w:t>,</w:t>
      </w:r>
      <w:r w:rsidR="009A7E6C">
        <w:rPr>
          <w:sz w:val="24"/>
          <w:szCs w:val="24"/>
          <w:lang w:val="en-US"/>
        </w:rPr>
        <w:t xml:space="preserve"> </w:t>
      </w:r>
      <w:r w:rsidR="00777557">
        <w:rPr>
          <w:sz w:val="24"/>
          <w:szCs w:val="24"/>
          <w:lang w:val="en-US"/>
        </w:rPr>
        <w:t xml:space="preserve">and </w:t>
      </w:r>
      <w:r w:rsidR="00D62A8D">
        <w:rPr>
          <w:sz w:val="24"/>
          <w:szCs w:val="24"/>
          <w:lang w:val="en-US"/>
        </w:rPr>
        <w:t xml:space="preserve">is acknowledged for its flexibility. </w:t>
      </w:r>
      <w:r w:rsidR="00777557">
        <w:rPr>
          <w:sz w:val="24"/>
          <w:szCs w:val="24"/>
          <w:lang w:val="en-US"/>
        </w:rPr>
        <w:t xml:space="preserve">Statistical tools to </w:t>
      </w:r>
      <w:r w:rsidR="00B23937">
        <w:rPr>
          <w:sz w:val="24"/>
          <w:szCs w:val="24"/>
          <w:lang w:val="en-US"/>
        </w:rPr>
        <w:t xml:space="preserve">estimate the </w:t>
      </w:r>
      <w:r w:rsidR="00777557">
        <w:rPr>
          <w:sz w:val="24"/>
          <w:szCs w:val="24"/>
          <w:lang w:val="en-US"/>
        </w:rPr>
        <w:t xml:space="preserve">GB2 </w:t>
      </w:r>
      <w:r w:rsidR="00B23937">
        <w:rPr>
          <w:sz w:val="24"/>
          <w:szCs w:val="24"/>
          <w:lang w:val="en-US"/>
        </w:rPr>
        <w:t xml:space="preserve">parameters </w:t>
      </w:r>
      <w:r w:rsidR="00777557">
        <w:rPr>
          <w:sz w:val="24"/>
          <w:szCs w:val="24"/>
          <w:lang w:val="en-US"/>
        </w:rPr>
        <w:t>are easily available</w:t>
      </w:r>
      <w:r w:rsidR="00B23937">
        <w:rPr>
          <w:sz w:val="24"/>
          <w:szCs w:val="24"/>
          <w:lang w:val="en-US"/>
        </w:rPr>
        <w:t>.</w:t>
      </w:r>
      <w:r w:rsidR="00777557">
        <w:rPr>
          <w:rStyle w:val="FootnoteReference"/>
          <w:sz w:val="24"/>
          <w:szCs w:val="24"/>
          <w:lang w:val="en-US"/>
        </w:rPr>
        <w:footnoteReference w:id="22"/>
      </w:r>
      <w:r w:rsidR="00BF5BA8">
        <w:rPr>
          <w:sz w:val="24"/>
          <w:szCs w:val="24"/>
          <w:lang w:val="en-US"/>
        </w:rPr>
        <w:t xml:space="preserve"> </w:t>
      </w:r>
    </w:p>
    <w:p w:rsidR="00A5340E" w:rsidRDefault="00AC488D" w:rsidP="00A5340E">
      <w:pPr>
        <w:spacing w:after="120" w:line="480" w:lineRule="auto"/>
        <w:rPr>
          <w:sz w:val="24"/>
          <w:szCs w:val="24"/>
          <w:lang w:val="en-US"/>
        </w:rPr>
      </w:pPr>
      <w:r>
        <w:rPr>
          <w:sz w:val="24"/>
          <w:szCs w:val="24"/>
          <w:lang w:val="en-US"/>
        </w:rPr>
        <w:t xml:space="preserve">To compare the respective performances of ABG and of GB2, </w:t>
      </w:r>
      <w:r w:rsidR="00B23937">
        <w:rPr>
          <w:sz w:val="24"/>
          <w:szCs w:val="24"/>
          <w:lang w:val="en-US"/>
        </w:rPr>
        <w:t xml:space="preserve">we consider </w:t>
      </w:r>
      <w:r>
        <w:rPr>
          <w:sz w:val="24"/>
          <w:szCs w:val="24"/>
          <w:lang w:val="en-US"/>
        </w:rPr>
        <w:t xml:space="preserve">the divergence from the empirical </w:t>
      </w:r>
      <w:r w:rsidR="00D6658F">
        <w:rPr>
          <w:sz w:val="24"/>
          <w:szCs w:val="24"/>
          <w:lang w:val="en-US"/>
        </w:rPr>
        <w:t xml:space="preserve">observed </w:t>
      </w:r>
      <w:r>
        <w:rPr>
          <w:sz w:val="24"/>
          <w:szCs w:val="24"/>
          <w:lang w:val="en-US"/>
        </w:rPr>
        <w:t>distribution (</w:t>
      </w:r>
      <w:r w:rsidR="000611AC">
        <w:rPr>
          <w:sz w:val="24"/>
          <w:szCs w:val="24"/>
          <w:lang w:val="en-US"/>
        </w:rPr>
        <w:t>OBS</w:t>
      </w:r>
      <w:r>
        <w:rPr>
          <w:sz w:val="24"/>
          <w:szCs w:val="24"/>
          <w:lang w:val="en-US"/>
        </w:rPr>
        <w:t xml:space="preserve">) of ABG, GB2 and CF. </w:t>
      </w:r>
      <w:r w:rsidR="0089541C">
        <w:rPr>
          <w:sz w:val="24"/>
          <w:szCs w:val="24"/>
          <w:lang w:val="en-US"/>
        </w:rPr>
        <w:t>This is no</w:t>
      </w:r>
      <w:r w:rsidR="00B23937">
        <w:rPr>
          <w:sz w:val="24"/>
          <w:szCs w:val="24"/>
          <w:lang w:val="en-US"/>
        </w:rPr>
        <w:t>t an</w:t>
      </w:r>
      <w:r w:rsidR="0089541C">
        <w:rPr>
          <w:sz w:val="24"/>
          <w:szCs w:val="24"/>
          <w:lang w:val="en-US"/>
        </w:rPr>
        <w:t xml:space="preserve"> easy task since the GB2 predicted values are based on a known cumulative distribution function (cdf) </w:t>
      </w:r>
      <w:r w:rsidR="00047964">
        <w:rPr>
          <w:sz w:val="24"/>
          <w:szCs w:val="24"/>
          <w:lang w:val="en-US"/>
        </w:rPr>
        <w:t xml:space="preserve">and </w:t>
      </w:r>
      <w:r w:rsidR="00B23937">
        <w:rPr>
          <w:sz w:val="24"/>
          <w:szCs w:val="24"/>
          <w:lang w:val="en-US"/>
        </w:rPr>
        <w:t xml:space="preserve">an </w:t>
      </w:r>
      <w:r w:rsidR="00047964">
        <w:rPr>
          <w:sz w:val="24"/>
          <w:szCs w:val="24"/>
          <w:lang w:val="en-US"/>
        </w:rPr>
        <w:t>unknown quantile function (</w:t>
      </w:r>
      <w:r w:rsidR="00B23937">
        <w:rPr>
          <w:sz w:val="24"/>
          <w:szCs w:val="24"/>
          <w:lang w:val="en-US"/>
        </w:rPr>
        <w:t xml:space="preserve">although </w:t>
      </w:r>
      <w:r w:rsidR="00047964">
        <w:rPr>
          <w:sz w:val="24"/>
          <w:szCs w:val="24"/>
          <w:lang w:val="en-US"/>
        </w:rPr>
        <w:t xml:space="preserve">its estimation via simulation is possible) </w:t>
      </w:r>
      <w:r w:rsidR="0089541C">
        <w:rPr>
          <w:sz w:val="24"/>
          <w:szCs w:val="24"/>
          <w:lang w:val="en-US"/>
        </w:rPr>
        <w:t>and the ABG provides a quantile function</w:t>
      </w:r>
      <w:r w:rsidR="00B23937">
        <w:rPr>
          <w:sz w:val="24"/>
          <w:szCs w:val="24"/>
          <w:lang w:val="en-US"/>
        </w:rPr>
        <w:t xml:space="preserve"> rather than </w:t>
      </w:r>
      <w:r w:rsidR="00047964">
        <w:rPr>
          <w:sz w:val="24"/>
          <w:szCs w:val="24"/>
          <w:lang w:val="en-US"/>
        </w:rPr>
        <w:t>a cdf</w:t>
      </w:r>
      <w:r w:rsidR="0089541C">
        <w:rPr>
          <w:sz w:val="24"/>
          <w:szCs w:val="24"/>
          <w:lang w:val="en-US"/>
        </w:rPr>
        <w:t>.</w:t>
      </w:r>
      <w:r w:rsidR="00777557">
        <w:rPr>
          <w:sz w:val="24"/>
          <w:szCs w:val="24"/>
          <w:lang w:val="en-US"/>
        </w:rPr>
        <w:t xml:space="preserve"> </w:t>
      </w:r>
      <w:r w:rsidR="00B23937">
        <w:rPr>
          <w:sz w:val="24"/>
          <w:szCs w:val="24"/>
          <w:lang w:val="en-US"/>
        </w:rPr>
        <w:t xml:space="preserve">Our </w:t>
      </w:r>
      <w:r w:rsidR="0089541C">
        <w:rPr>
          <w:sz w:val="24"/>
          <w:szCs w:val="24"/>
          <w:lang w:val="en-US"/>
        </w:rPr>
        <w:t>solution here is to compare the predicted values of each “vingtile”</w:t>
      </w:r>
      <w:r w:rsidR="00047964">
        <w:rPr>
          <w:sz w:val="24"/>
          <w:szCs w:val="24"/>
          <w:lang w:val="en-US"/>
        </w:rPr>
        <w:t xml:space="preserve"> level</w:t>
      </w:r>
      <w:r w:rsidR="0089541C">
        <w:rPr>
          <w:sz w:val="24"/>
          <w:szCs w:val="24"/>
          <w:lang w:val="en-US"/>
        </w:rPr>
        <w:t xml:space="preserve"> of logged incomes for four quantile function</w:t>
      </w:r>
      <w:r w:rsidR="00126B88">
        <w:rPr>
          <w:sz w:val="24"/>
          <w:szCs w:val="24"/>
          <w:lang w:val="en-US"/>
        </w:rPr>
        <w:t>s</w:t>
      </w:r>
      <w:r w:rsidR="0089541C">
        <w:rPr>
          <w:sz w:val="24"/>
          <w:szCs w:val="24"/>
          <w:lang w:val="en-US"/>
        </w:rPr>
        <w:t xml:space="preserve">: the empirical </w:t>
      </w:r>
      <w:r w:rsidR="00B23937">
        <w:rPr>
          <w:sz w:val="24"/>
          <w:szCs w:val="24"/>
          <w:lang w:val="en-US"/>
        </w:rPr>
        <w:t xml:space="preserve">distribution </w:t>
      </w:r>
      <w:r w:rsidR="0089541C">
        <w:rPr>
          <w:sz w:val="24"/>
          <w:szCs w:val="24"/>
          <w:lang w:val="en-US"/>
        </w:rPr>
        <w:t xml:space="preserve">as </w:t>
      </w:r>
      <w:r w:rsidR="00B23937">
        <w:rPr>
          <w:sz w:val="24"/>
          <w:szCs w:val="24"/>
          <w:lang w:val="en-US"/>
        </w:rPr>
        <w:t xml:space="preserve">the </w:t>
      </w:r>
      <w:r w:rsidR="0089541C">
        <w:rPr>
          <w:sz w:val="24"/>
          <w:szCs w:val="24"/>
          <w:lang w:val="en-US"/>
        </w:rPr>
        <w:t xml:space="preserve">target, the GB2 and ABG as competitors, and the </w:t>
      </w:r>
      <w:r w:rsidR="00937755">
        <w:rPr>
          <w:sz w:val="24"/>
          <w:szCs w:val="24"/>
          <w:lang w:val="en-GB"/>
        </w:rPr>
        <w:t>CF</w:t>
      </w:r>
      <w:r w:rsidR="00937755" w:rsidRPr="00C37C17">
        <w:rPr>
          <w:rFonts w:ascii="Symbol" w:hAnsi="Symbol"/>
          <w:sz w:val="24"/>
          <w:szCs w:val="24"/>
          <w:vertAlign w:val="subscript"/>
          <w:lang w:val="en-GB"/>
        </w:rPr>
        <w:t></w:t>
      </w:r>
      <w:r w:rsidR="00937755">
        <w:rPr>
          <w:sz w:val="24"/>
          <w:szCs w:val="24"/>
          <w:lang w:val="en-US"/>
        </w:rPr>
        <w:t xml:space="preserve"> with </w:t>
      </w:r>
      <w:r w:rsidR="00937755" w:rsidRPr="00937755">
        <w:rPr>
          <w:rFonts w:ascii="Symbol" w:hAnsi="Symbol"/>
          <w:sz w:val="24"/>
          <w:szCs w:val="24"/>
          <w:lang w:val="en-US"/>
        </w:rPr>
        <w:t></w:t>
      </w:r>
      <w:r w:rsidR="00937755">
        <w:rPr>
          <w:sz w:val="24"/>
          <w:szCs w:val="24"/>
          <w:lang w:val="en-US"/>
        </w:rPr>
        <w:t xml:space="preserve"> = G</w:t>
      </w:r>
      <w:r w:rsidR="0089541C">
        <w:rPr>
          <w:sz w:val="24"/>
          <w:szCs w:val="24"/>
          <w:lang w:val="en-US"/>
        </w:rPr>
        <w:t xml:space="preserve">ini as </w:t>
      </w:r>
      <w:r w:rsidR="00B23937">
        <w:rPr>
          <w:sz w:val="24"/>
          <w:szCs w:val="24"/>
          <w:lang w:val="en-US"/>
        </w:rPr>
        <w:t xml:space="preserve">the </w:t>
      </w:r>
      <w:r w:rsidR="0089541C">
        <w:rPr>
          <w:sz w:val="24"/>
          <w:szCs w:val="24"/>
          <w:lang w:val="en-US"/>
        </w:rPr>
        <w:t xml:space="preserve">baseline. </w:t>
      </w:r>
      <w:r w:rsidR="00B23937">
        <w:rPr>
          <w:sz w:val="24"/>
          <w:szCs w:val="24"/>
          <w:lang w:val="en-US"/>
        </w:rPr>
        <w:t xml:space="preserve">As </w:t>
      </w:r>
      <w:r w:rsidR="00047964">
        <w:rPr>
          <w:sz w:val="24"/>
          <w:szCs w:val="24"/>
          <w:lang w:val="en-US"/>
        </w:rPr>
        <w:t xml:space="preserve">they have more parameters (and are </w:t>
      </w:r>
      <w:r w:rsidR="00B23937" w:rsidRPr="00B23937">
        <w:rPr>
          <w:sz w:val="24"/>
          <w:szCs w:val="24"/>
          <w:lang w:val="en-US"/>
        </w:rPr>
        <w:t xml:space="preserve">thus </w:t>
      </w:r>
      <w:r w:rsidR="00047964">
        <w:rPr>
          <w:sz w:val="24"/>
          <w:szCs w:val="24"/>
          <w:lang w:val="en-US"/>
        </w:rPr>
        <w:t>more flexible),</w:t>
      </w:r>
      <w:r w:rsidR="0089541C">
        <w:rPr>
          <w:sz w:val="24"/>
          <w:szCs w:val="24"/>
          <w:lang w:val="en-US"/>
        </w:rPr>
        <w:t xml:space="preserve"> </w:t>
      </w:r>
      <w:r w:rsidR="00B23937">
        <w:rPr>
          <w:sz w:val="24"/>
          <w:szCs w:val="24"/>
          <w:lang w:val="en-US"/>
        </w:rPr>
        <w:t xml:space="preserve">the </w:t>
      </w:r>
      <w:r w:rsidR="0089541C">
        <w:rPr>
          <w:sz w:val="24"/>
          <w:szCs w:val="24"/>
          <w:lang w:val="en-US"/>
        </w:rPr>
        <w:t xml:space="preserve">GB2 and ABG </w:t>
      </w:r>
      <w:r w:rsidR="00B23937">
        <w:rPr>
          <w:sz w:val="24"/>
          <w:szCs w:val="24"/>
          <w:lang w:val="en-US"/>
        </w:rPr>
        <w:t xml:space="preserve">provide a </w:t>
      </w:r>
      <w:r w:rsidR="0089541C">
        <w:rPr>
          <w:sz w:val="24"/>
          <w:szCs w:val="24"/>
          <w:lang w:val="en-US"/>
        </w:rPr>
        <w:t xml:space="preserve">better </w:t>
      </w:r>
      <w:r w:rsidR="00B23937">
        <w:rPr>
          <w:sz w:val="24"/>
          <w:szCs w:val="24"/>
          <w:lang w:val="en-US"/>
        </w:rPr>
        <w:t xml:space="preserve">fit </w:t>
      </w:r>
      <w:r w:rsidR="007F2993" w:rsidRPr="007F2993">
        <w:rPr>
          <w:sz w:val="24"/>
          <w:szCs w:val="24"/>
          <w:lang w:val="en-US"/>
        </w:rPr>
        <w:t xml:space="preserve">to the OBS </w:t>
      </w:r>
      <w:r w:rsidR="0089541C">
        <w:rPr>
          <w:sz w:val="24"/>
          <w:szCs w:val="24"/>
          <w:lang w:val="en-US"/>
        </w:rPr>
        <w:t xml:space="preserve">than </w:t>
      </w:r>
      <w:r w:rsidR="00B23937">
        <w:rPr>
          <w:sz w:val="24"/>
          <w:szCs w:val="24"/>
          <w:lang w:val="en-US"/>
        </w:rPr>
        <w:t xml:space="preserve">does </w:t>
      </w:r>
      <w:r w:rsidR="00047964">
        <w:rPr>
          <w:sz w:val="24"/>
          <w:szCs w:val="24"/>
          <w:lang w:val="en-GB"/>
        </w:rPr>
        <w:t>CF</w:t>
      </w:r>
      <w:r w:rsidR="00047964" w:rsidRPr="00C37C17">
        <w:rPr>
          <w:rFonts w:ascii="Symbol" w:hAnsi="Symbol"/>
          <w:sz w:val="24"/>
          <w:szCs w:val="24"/>
          <w:vertAlign w:val="subscript"/>
          <w:lang w:val="en-GB"/>
        </w:rPr>
        <w:t></w:t>
      </w:r>
      <w:r w:rsidR="0089541C">
        <w:rPr>
          <w:sz w:val="24"/>
          <w:szCs w:val="24"/>
          <w:lang w:val="en-US"/>
        </w:rPr>
        <w:t xml:space="preserve">. </w:t>
      </w:r>
      <w:r w:rsidR="00B23937">
        <w:rPr>
          <w:sz w:val="24"/>
          <w:szCs w:val="24"/>
          <w:lang w:val="en-US"/>
        </w:rPr>
        <w:t xml:space="preserve">One </w:t>
      </w:r>
      <w:r w:rsidR="00047964">
        <w:rPr>
          <w:sz w:val="24"/>
          <w:szCs w:val="24"/>
          <w:lang w:val="en-US"/>
        </w:rPr>
        <w:t xml:space="preserve">measurement of the </w:t>
      </w:r>
      <w:r w:rsidR="00B23937">
        <w:rPr>
          <w:sz w:val="24"/>
          <w:szCs w:val="24"/>
          <w:lang w:val="en-US"/>
        </w:rPr>
        <w:t xml:space="preserve">goodness </w:t>
      </w:r>
      <w:r w:rsidR="00047964">
        <w:rPr>
          <w:sz w:val="24"/>
          <w:szCs w:val="24"/>
          <w:lang w:val="en-US"/>
        </w:rPr>
        <w:t xml:space="preserve">of fit is </w:t>
      </w:r>
      <w:r w:rsidR="00B23937">
        <w:rPr>
          <w:sz w:val="24"/>
          <w:szCs w:val="24"/>
          <w:lang w:val="en-US"/>
        </w:rPr>
        <w:t xml:space="preserve">the </w:t>
      </w:r>
      <w:r w:rsidR="00DE578D">
        <w:rPr>
          <w:sz w:val="24"/>
          <w:szCs w:val="24"/>
          <w:lang w:val="en-US"/>
        </w:rPr>
        <w:t>r</w:t>
      </w:r>
      <w:r w:rsidR="00DE578D" w:rsidRPr="000A5BE5">
        <w:rPr>
          <w:sz w:val="24"/>
          <w:szCs w:val="24"/>
          <w:vertAlign w:val="subscript"/>
          <w:lang w:val="en-US"/>
        </w:rPr>
        <w:t>a</w:t>
      </w:r>
      <w:r w:rsidR="00DE578D" w:rsidRPr="000A5BE5">
        <w:rPr>
          <w:sz w:val="24"/>
          <w:szCs w:val="24"/>
          <w:vertAlign w:val="superscript"/>
          <w:lang w:val="en-US"/>
        </w:rPr>
        <w:t>2</w:t>
      </w:r>
      <w:r w:rsidR="00DE578D">
        <w:rPr>
          <w:sz w:val="24"/>
          <w:szCs w:val="24"/>
          <w:lang w:val="en-US"/>
        </w:rPr>
        <w:t xml:space="preserve"> </w:t>
      </w:r>
      <w:r w:rsidR="00047964">
        <w:rPr>
          <w:sz w:val="24"/>
          <w:szCs w:val="24"/>
          <w:lang w:val="en-US"/>
        </w:rPr>
        <w:t>(the adjusted coefficient of determination)</w:t>
      </w:r>
      <w:r w:rsidR="00B23937">
        <w:rPr>
          <w:sz w:val="24"/>
          <w:szCs w:val="24"/>
          <w:lang w:val="en-US"/>
        </w:rPr>
        <w:t>: t</w:t>
      </w:r>
      <w:r w:rsidR="0089541C">
        <w:rPr>
          <w:sz w:val="24"/>
          <w:szCs w:val="24"/>
          <w:lang w:val="en-US"/>
        </w:rPr>
        <w:t xml:space="preserve">he higher </w:t>
      </w:r>
      <w:r w:rsidR="00B23937">
        <w:rPr>
          <w:sz w:val="24"/>
          <w:szCs w:val="24"/>
          <w:lang w:val="en-US"/>
        </w:rPr>
        <w:t xml:space="preserve">is </w:t>
      </w:r>
      <w:r w:rsidR="00DE578D">
        <w:rPr>
          <w:sz w:val="24"/>
          <w:szCs w:val="24"/>
          <w:lang w:val="en-US"/>
        </w:rPr>
        <w:t>r</w:t>
      </w:r>
      <w:r w:rsidR="00DE578D" w:rsidRPr="000A5BE5">
        <w:rPr>
          <w:sz w:val="24"/>
          <w:szCs w:val="24"/>
          <w:vertAlign w:val="subscript"/>
          <w:lang w:val="en-US"/>
        </w:rPr>
        <w:t>a</w:t>
      </w:r>
      <w:r w:rsidR="00DE578D" w:rsidRPr="000A5BE5">
        <w:rPr>
          <w:sz w:val="24"/>
          <w:szCs w:val="24"/>
          <w:vertAlign w:val="superscript"/>
          <w:lang w:val="en-US"/>
        </w:rPr>
        <w:t>2</w:t>
      </w:r>
      <w:r w:rsidR="0089541C">
        <w:rPr>
          <w:sz w:val="24"/>
          <w:szCs w:val="24"/>
          <w:lang w:val="en-US"/>
        </w:rPr>
        <w:t xml:space="preserve">, the better the fit </w:t>
      </w:r>
      <w:r w:rsidR="00B23937">
        <w:rPr>
          <w:sz w:val="24"/>
          <w:szCs w:val="24"/>
          <w:lang w:val="en-US"/>
        </w:rPr>
        <w:t xml:space="preserve">to the </w:t>
      </w:r>
      <w:r w:rsidR="000611AC">
        <w:rPr>
          <w:sz w:val="24"/>
          <w:szCs w:val="24"/>
          <w:lang w:val="en-US"/>
        </w:rPr>
        <w:t>OBS</w:t>
      </w:r>
      <w:r w:rsidR="0089541C">
        <w:rPr>
          <w:sz w:val="24"/>
          <w:szCs w:val="24"/>
          <w:lang w:val="en-US"/>
        </w:rPr>
        <w:t xml:space="preserve">. </w:t>
      </w:r>
      <w:r w:rsidR="003F6C10">
        <w:rPr>
          <w:sz w:val="24"/>
          <w:szCs w:val="24"/>
          <w:lang w:val="en-US"/>
        </w:rPr>
        <w:t xml:space="preserve">The most difficult issue </w:t>
      </w:r>
      <w:r w:rsidR="00B23937">
        <w:rPr>
          <w:sz w:val="24"/>
          <w:szCs w:val="24"/>
          <w:lang w:val="en-US"/>
        </w:rPr>
        <w:t xml:space="preserve">concerns </w:t>
      </w:r>
      <w:r w:rsidR="0068107E">
        <w:rPr>
          <w:sz w:val="24"/>
          <w:szCs w:val="24"/>
          <w:lang w:val="en-US"/>
        </w:rPr>
        <w:t xml:space="preserve">the estimation of </w:t>
      </w:r>
      <w:r w:rsidR="00B23937">
        <w:rPr>
          <w:sz w:val="24"/>
          <w:szCs w:val="24"/>
          <w:lang w:val="en-US"/>
        </w:rPr>
        <w:t xml:space="preserve">the </w:t>
      </w:r>
      <w:r w:rsidR="003F6C10">
        <w:rPr>
          <w:sz w:val="24"/>
          <w:szCs w:val="24"/>
          <w:lang w:val="en-US"/>
        </w:rPr>
        <w:t>GB2</w:t>
      </w:r>
      <w:r w:rsidR="0068107E">
        <w:rPr>
          <w:sz w:val="24"/>
          <w:szCs w:val="24"/>
          <w:lang w:val="en-US"/>
        </w:rPr>
        <w:t xml:space="preserve"> parameters (a, b, p, q)</w:t>
      </w:r>
      <w:r w:rsidR="003F6C10">
        <w:rPr>
          <w:sz w:val="24"/>
          <w:szCs w:val="24"/>
          <w:lang w:val="en-US"/>
        </w:rPr>
        <w:t xml:space="preserve"> for </w:t>
      </w:r>
      <w:r w:rsidR="00B23937">
        <w:rPr>
          <w:sz w:val="24"/>
          <w:szCs w:val="24"/>
          <w:lang w:val="en-US"/>
        </w:rPr>
        <w:t xml:space="preserve">the </w:t>
      </w:r>
      <w:r w:rsidR="005423EC">
        <w:rPr>
          <w:sz w:val="24"/>
          <w:szCs w:val="24"/>
          <w:lang w:val="en-US"/>
        </w:rPr>
        <w:t>232</w:t>
      </w:r>
      <w:r w:rsidR="003F6C10">
        <w:rPr>
          <w:sz w:val="24"/>
          <w:szCs w:val="24"/>
          <w:lang w:val="en-US"/>
        </w:rPr>
        <w:t xml:space="preserve"> samples</w:t>
      </w:r>
      <w:r w:rsidR="00A84BD6">
        <w:rPr>
          <w:sz w:val="24"/>
          <w:szCs w:val="24"/>
          <w:lang w:val="en-US"/>
        </w:rPr>
        <w:t>; here</w:t>
      </w:r>
      <w:r w:rsidR="003F6C10">
        <w:rPr>
          <w:sz w:val="24"/>
          <w:szCs w:val="24"/>
          <w:lang w:val="en-US"/>
        </w:rPr>
        <w:t xml:space="preserve"> the </w:t>
      </w:r>
      <w:r w:rsidR="000611AC">
        <w:rPr>
          <w:sz w:val="24"/>
          <w:szCs w:val="24"/>
          <w:lang w:val="en-US"/>
        </w:rPr>
        <w:t xml:space="preserve">STATA </w:t>
      </w:r>
      <w:r w:rsidR="00B845D9">
        <w:rPr>
          <w:sz w:val="24"/>
          <w:szCs w:val="24"/>
          <w:lang w:val="en-US"/>
        </w:rPr>
        <w:t>gb2lfit</w:t>
      </w:r>
      <w:r w:rsidR="003F6C10">
        <w:rPr>
          <w:sz w:val="24"/>
          <w:szCs w:val="24"/>
          <w:lang w:val="en-US"/>
        </w:rPr>
        <w:t xml:space="preserve"> </w:t>
      </w:r>
      <w:r w:rsidR="0068107E">
        <w:rPr>
          <w:sz w:val="24"/>
          <w:szCs w:val="24"/>
          <w:lang w:val="en-US"/>
        </w:rPr>
        <w:t xml:space="preserve">program </w:t>
      </w:r>
      <w:r w:rsidR="00B23937">
        <w:rPr>
          <w:sz w:val="24"/>
          <w:szCs w:val="24"/>
          <w:lang w:val="en-US"/>
        </w:rPr>
        <w:t>only converged</w:t>
      </w:r>
      <w:r w:rsidR="003F6C10">
        <w:rPr>
          <w:sz w:val="24"/>
          <w:szCs w:val="24"/>
          <w:lang w:val="en-US"/>
        </w:rPr>
        <w:t xml:space="preserve"> </w:t>
      </w:r>
      <w:r w:rsidR="00B23937">
        <w:rPr>
          <w:sz w:val="24"/>
          <w:szCs w:val="24"/>
          <w:lang w:val="en-US"/>
        </w:rPr>
        <w:t xml:space="preserve">quickly </w:t>
      </w:r>
      <w:r w:rsidR="0068107E">
        <w:rPr>
          <w:sz w:val="24"/>
          <w:szCs w:val="24"/>
          <w:lang w:val="en-US"/>
        </w:rPr>
        <w:t xml:space="preserve">in </w:t>
      </w:r>
      <w:r w:rsidR="00D10EBB">
        <w:rPr>
          <w:sz w:val="24"/>
          <w:szCs w:val="24"/>
          <w:lang w:val="en-US"/>
        </w:rPr>
        <w:t xml:space="preserve">205 </w:t>
      </w:r>
      <w:r w:rsidR="0068107E">
        <w:rPr>
          <w:sz w:val="24"/>
          <w:szCs w:val="24"/>
          <w:lang w:val="en-US"/>
        </w:rPr>
        <w:t xml:space="preserve">cases. </w:t>
      </w:r>
      <w:r w:rsidR="00047964">
        <w:rPr>
          <w:sz w:val="24"/>
          <w:szCs w:val="24"/>
          <w:lang w:val="en-US"/>
        </w:rPr>
        <w:t>T</w:t>
      </w:r>
      <w:r w:rsidR="0068107E">
        <w:rPr>
          <w:sz w:val="24"/>
          <w:szCs w:val="24"/>
          <w:lang w:val="en-US"/>
        </w:rPr>
        <w:t xml:space="preserve">he maximum number of iterations </w:t>
      </w:r>
      <w:r w:rsidR="00B23937">
        <w:rPr>
          <w:sz w:val="24"/>
          <w:szCs w:val="24"/>
          <w:lang w:val="en-US"/>
        </w:rPr>
        <w:t xml:space="preserve">was </w:t>
      </w:r>
      <w:r w:rsidR="00047964">
        <w:rPr>
          <w:sz w:val="24"/>
          <w:szCs w:val="24"/>
          <w:lang w:val="en-US"/>
        </w:rPr>
        <w:t xml:space="preserve">set </w:t>
      </w:r>
      <w:r w:rsidR="00B23937">
        <w:rPr>
          <w:sz w:val="24"/>
          <w:szCs w:val="24"/>
          <w:lang w:val="en-US"/>
        </w:rPr>
        <w:t xml:space="preserve">to </w:t>
      </w:r>
      <w:r w:rsidR="00D10EBB">
        <w:rPr>
          <w:sz w:val="24"/>
          <w:szCs w:val="24"/>
          <w:lang w:val="en-US"/>
        </w:rPr>
        <w:t>6</w:t>
      </w:r>
      <w:r w:rsidR="00B23937">
        <w:rPr>
          <w:sz w:val="24"/>
          <w:szCs w:val="24"/>
          <w:lang w:val="en-US"/>
        </w:rPr>
        <w:t>, since convergence</w:t>
      </w:r>
      <w:r w:rsidR="0068107E">
        <w:rPr>
          <w:sz w:val="24"/>
          <w:szCs w:val="24"/>
          <w:lang w:val="en-US"/>
        </w:rPr>
        <w:t xml:space="preserve"> after </w:t>
      </w:r>
      <w:r w:rsidR="00D10EBB">
        <w:rPr>
          <w:sz w:val="24"/>
          <w:szCs w:val="24"/>
          <w:lang w:val="en-US"/>
        </w:rPr>
        <w:t xml:space="preserve">7 or more </w:t>
      </w:r>
      <w:r w:rsidR="0068107E">
        <w:rPr>
          <w:sz w:val="24"/>
          <w:szCs w:val="24"/>
          <w:lang w:val="en-US"/>
        </w:rPr>
        <w:t xml:space="preserve">iterations </w:t>
      </w:r>
      <w:r w:rsidR="00B23937">
        <w:rPr>
          <w:sz w:val="24"/>
          <w:szCs w:val="24"/>
          <w:lang w:val="en-US"/>
        </w:rPr>
        <w:t xml:space="preserve">are </w:t>
      </w:r>
      <w:r w:rsidR="0068107E">
        <w:rPr>
          <w:sz w:val="24"/>
          <w:szCs w:val="24"/>
          <w:lang w:val="en-US"/>
        </w:rPr>
        <w:t>exception</w:t>
      </w:r>
      <w:r w:rsidR="00B23937">
        <w:rPr>
          <w:sz w:val="24"/>
          <w:szCs w:val="24"/>
          <w:lang w:val="en-US"/>
        </w:rPr>
        <w:t>al</w:t>
      </w:r>
      <w:r w:rsidR="00D10EBB">
        <w:rPr>
          <w:sz w:val="24"/>
          <w:szCs w:val="24"/>
          <w:lang w:val="en-US"/>
        </w:rPr>
        <w:t xml:space="preserve"> and </w:t>
      </w:r>
      <w:r w:rsidR="00B23937">
        <w:rPr>
          <w:sz w:val="24"/>
          <w:szCs w:val="24"/>
          <w:lang w:val="en-US"/>
        </w:rPr>
        <w:t xml:space="preserve">may be considered as </w:t>
      </w:r>
      <w:r w:rsidR="00D10EBB">
        <w:rPr>
          <w:sz w:val="24"/>
          <w:szCs w:val="24"/>
          <w:lang w:val="en-US"/>
        </w:rPr>
        <w:t>outliers</w:t>
      </w:r>
      <w:r w:rsidR="0068107E">
        <w:rPr>
          <w:sz w:val="24"/>
          <w:szCs w:val="24"/>
          <w:lang w:val="en-US"/>
        </w:rPr>
        <w:t xml:space="preserve">. </w:t>
      </w:r>
    </w:p>
    <w:p w:rsidR="00D66383" w:rsidRDefault="00D66383" w:rsidP="00D66383">
      <w:pPr>
        <w:spacing w:after="120" w:line="480" w:lineRule="auto"/>
        <w:rPr>
          <w:b/>
          <w:sz w:val="24"/>
          <w:szCs w:val="24"/>
          <w:lang w:val="en-US"/>
        </w:rPr>
      </w:pPr>
      <w:r w:rsidRPr="00D66383">
        <w:rPr>
          <w:b/>
          <w:sz w:val="24"/>
          <w:szCs w:val="24"/>
          <w:lang w:val="en-US"/>
        </w:rPr>
        <w:t xml:space="preserve"> </w:t>
      </w:r>
      <w:r>
        <w:rPr>
          <w:b/>
          <w:sz w:val="24"/>
          <w:szCs w:val="24"/>
          <w:lang w:val="en-US"/>
        </w:rPr>
        <w:t>PLACE TABLE 9 HERE</w:t>
      </w:r>
    </w:p>
    <w:p w:rsidR="000A5BE5" w:rsidRDefault="000A5BE5" w:rsidP="00D0055C">
      <w:pPr>
        <w:spacing w:after="120" w:line="480" w:lineRule="auto"/>
        <w:rPr>
          <w:sz w:val="24"/>
          <w:szCs w:val="24"/>
          <w:lang w:val="en-US"/>
        </w:rPr>
      </w:pPr>
    </w:p>
    <w:p w:rsidR="00CE2081" w:rsidRDefault="00B23937" w:rsidP="00A5340E">
      <w:pPr>
        <w:spacing w:after="120" w:line="480" w:lineRule="auto"/>
        <w:rPr>
          <w:sz w:val="24"/>
          <w:szCs w:val="24"/>
          <w:lang w:val="en-US"/>
        </w:rPr>
      </w:pPr>
      <w:r>
        <w:rPr>
          <w:sz w:val="24"/>
          <w:szCs w:val="24"/>
          <w:lang w:val="en-US"/>
        </w:rPr>
        <w:t xml:space="preserve">Our </w:t>
      </w:r>
      <w:r w:rsidR="00924D83">
        <w:rPr>
          <w:sz w:val="24"/>
          <w:szCs w:val="24"/>
          <w:lang w:val="en-US"/>
        </w:rPr>
        <w:t xml:space="preserve">analysis </w:t>
      </w:r>
      <w:r w:rsidR="00047964">
        <w:rPr>
          <w:sz w:val="24"/>
          <w:szCs w:val="24"/>
          <w:lang w:val="en-US"/>
        </w:rPr>
        <w:t>is restr</w:t>
      </w:r>
      <w:r>
        <w:rPr>
          <w:sz w:val="24"/>
          <w:szCs w:val="24"/>
          <w:lang w:val="en-US"/>
        </w:rPr>
        <w:t>icte</w:t>
      </w:r>
      <w:r w:rsidR="00047964">
        <w:rPr>
          <w:sz w:val="24"/>
          <w:szCs w:val="24"/>
          <w:lang w:val="en-US"/>
        </w:rPr>
        <w:t xml:space="preserve">d </w:t>
      </w:r>
      <w:r w:rsidR="00924D83">
        <w:rPr>
          <w:sz w:val="24"/>
          <w:szCs w:val="24"/>
          <w:lang w:val="en-US"/>
        </w:rPr>
        <w:t xml:space="preserve">to the </w:t>
      </w:r>
      <w:r w:rsidR="00D10EBB">
        <w:rPr>
          <w:sz w:val="24"/>
          <w:szCs w:val="24"/>
          <w:lang w:val="en-US"/>
        </w:rPr>
        <w:t>205</w:t>
      </w:r>
      <w:r w:rsidR="00924D83">
        <w:rPr>
          <w:sz w:val="24"/>
          <w:szCs w:val="24"/>
          <w:lang w:val="en-US"/>
        </w:rPr>
        <w:t xml:space="preserve"> converg</w:t>
      </w:r>
      <w:r>
        <w:rPr>
          <w:sz w:val="24"/>
          <w:szCs w:val="24"/>
          <w:lang w:val="en-US"/>
        </w:rPr>
        <w:t>ent</w:t>
      </w:r>
      <w:r w:rsidR="00924D83">
        <w:rPr>
          <w:sz w:val="24"/>
          <w:szCs w:val="24"/>
          <w:lang w:val="en-US"/>
        </w:rPr>
        <w:t xml:space="preserve"> cases</w:t>
      </w:r>
      <w:r>
        <w:rPr>
          <w:sz w:val="24"/>
          <w:szCs w:val="24"/>
          <w:lang w:val="en-US"/>
        </w:rPr>
        <w:t xml:space="preserve">. We have </w:t>
      </w:r>
      <w:r w:rsidR="001F173E">
        <w:rPr>
          <w:sz w:val="24"/>
          <w:szCs w:val="24"/>
          <w:lang w:val="en-US"/>
        </w:rPr>
        <w:t>for each country the vectors of 19</w:t>
      </w:r>
      <w:r w:rsidR="007F2993">
        <w:rPr>
          <w:sz w:val="24"/>
          <w:szCs w:val="24"/>
          <w:lang w:val="en-US"/>
        </w:rPr>
        <w:t xml:space="preserve"> vingtiles of log income levels for the </w:t>
      </w:r>
      <w:r w:rsidR="007F2993" w:rsidRPr="007F2993">
        <w:rPr>
          <w:sz w:val="24"/>
          <w:szCs w:val="24"/>
          <w:lang w:val="en-US"/>
        </w:rPr>
        <w:t>CF-Gini</w:t>
      </w:r>
      <w:r w:rsidR="001F173E">
        <w:rPr>
          <w:sz w:val="24"/>
          <w:szCs w:val="24"/>
          <w:lang w:val="en-US"/>
        </w:rPr>
        <w:t xml:space="preserve"> (</w:t>
      </w:r>
      <w:r w:rsidR="00924D83">
        <w:rPr>
          <w:sz w:val="24"/>
          <w:szCs w:val="24"/>
          <w:lang w:val="en-US"/>
        </w:rPr>
        <w:t>linc</w:t>
      </w:r>
      <w:r w:rsidR="001F173E" w:rsidRPr="001F173E">
        <w:rPr>
          <w:sz w:val="24"/>
          <w:szCs w:val="24"/>
          <w:vertAlign w:val="subscript"/>
          <w:lang w:val="en-US"/>
        </w:rPr>
        <w:t>q</w:t>
      </w:r>
      <w:r w:rsidR="001F173E">
        <w:rPr>
          <w:sz w:val="24"/>
          <w:szCs w:val="24"/>
          <w:lang w:val="en-US"/>
        </w:rPr>
        <w:t>)</w:t>
      </w:r>
      <w:r w:rsidR="007F2993">
        <w:rPr>
          <w:sz w:val="24"/>
          <w:szCs w:val="24"/>
          <w:lang w:val="en-US"/>
        </w:rPr>
        <w:t>,</w:t>
      </w:r>
      <w:r w:rsidR="001F173E">
        <w:rPr>
          <w:sz w:val="24"/>
          <w:szCs w:val="24"/>
          <w:lang w:val="en-US"/>
        </w:rPr>
        <w:t xml:space="preserve"> </w:t>
      </w:r>
      <w:r w:rsidR="007F2993" w:rsidRPr="007F2993">
        <w:rPr>
          <w:sz w:val="24"/>
          <w:szCs w:val="24"/>
          <w:lang w:val="en-US"/>
        </w:rPr>
        <w:t xml:space="preserve">ABG </w:t>
      </w:r>
      <w:r w:rsidR="001F173E">
        <w:rPr>
          <w:sz w:val="24"/>
          <w:szCs w:val="24"/>
          <w:lang w:val="en-US"/>
        </w:rPr>
        <w:t>(lina</w:t>
      </w:r>
      <w:r w:rsidR="001F173E" w:rsidRPr="001F173E">
        <w:rPr>
          <w:sz w:val="24"/>
          <w:szCs w:val="24"/>
          <w:vertAlign w:val="subscript"/>
          <w:lang w:val="en-US"/>
        </w:rPr>
        <w:t>q</w:t>
      </w:r>
      <w:r w:rsidR="001F173E">
        <w:rPr>
          <w:sz w:val="24"/>
          <w:szCs w:val="24"/>
          <w:lang w:val="en-US"/>
        </w:rPr>
        <w:t>)</w:t>
      </w:r>
      <w:r w:rsidR="007F2993">
        <w:rPr>
          <w:sz w:val="24"/>
          <w:szCs w:val="24"/>
          <w:lang w:val="en-US"/>
        </w:rPr>
        <w:t>,</w:t>
      </w:r>
      <w:r w:rsidR="001F173E">
        <w:rPr>
          <w:sz w:val="24"/>
          <w:szCs w:val="24"/>
          <w:lang w:val="en-US"/>
        </w:rPr>
        <w:t xml:space="preserve"> </w:t>
      </w:r>
      <w:r w:rsidR="007F2993" w:rsidRPr="007F2993">
        <w:rPr>
          <w:sz w:val="24"/>
          <w:szCs w:val="24"/>
          <w:lang w:val="en-US"/>
        </w:rPr>
        <w:t xml:space="preserve">GB2 </w:t>
      </w:r>
      <w:r w:rsidR="001F173E">
        <w:rPr>
          <w:sz w:val="24"/>
          <w:szCs w:val="24"/>
          <w:lang w:val="en-US"/>
        </w:rPr>
        <w:t>(ling</w:t>
      </w:r>
      <w:r w:rsidR="001F173E" w:rsidRPr="001F173E">
        <w:rPr>
          <w:sz w:val="24"/>
          <w:szCs w:val="24"/>
          <w:vertAlign w:val="subscript"/>
          <w:lang w:val="en-US"/>
        </w:rPr>
        <w:t>q</w:t>
      </w:r>
      <w:r w:rsidR="001F173E">
        <w:rPr>
          <w:sz w:val="24"/>
          <w:szCs w:val="24"/>
          <w:lang w:val="en-US"/>
        </w:rPr>
        <w:t>)</w:t>
      </w:r>
      <w:r w:rsidR="007F2993">
        <w:rPr>
          <w:sz w:val="24"/>
          <w:szCs w:val="24"/>
          <w:lang w:val="en-US"/>
        </w:rPr>
        <w:t>,</w:t>
      </w:r>
      <w:r w:rsidR="001F173E">
        <w:rPr>
          <w:sz w:val="24"/>
          <w:szCs w:val="24"/>
          <w:lang w:val="en-US"/>
        </w:rPr>
        <w:t xml:space="preserve"> and </w:t>
      </w:r>
      <w:r w:rsidR="007F2993" w:rsidRPr="007F2993">
        <w:rPr>
          <w:sz w:val="24"/>
          <w:szCs w:val="24"/>
          <w:lang w:val="en-US"/>
        </w:rPr>
        <w:t xml:space="preserve">the empirical OBS distribution </w:t>
      </w:r>
      <w:r w:rsidR="001F173E">
        <w:rPr>
          <w:sz w:val="24"/>
          <w:szCs w:val="24"/>
          <w:lang w:val="en-US"/>
        </w:rPr>
        <w:t>(lino</w:t>
      </w:r>
      <w:r w:rsidR="001F173E" w:rsidRPr="001F173E">
        <w:rPr>
          <w:sz w:val="24"/>
          <w:szCs w:val="24"/>
          <w:vertAlign w:val="subscript"/>
          <w:lang w:val="en-US"/>
        </w:rPr>
        <w:t>q</w:t>
      </w:r>
      <w:r w:rsidR="001F173E">
        <w:rPr>
          <w:sz w:val="24"/>
          <w:szCs w:val="24"/>
          <w:vertAlign w:val="subscript"/>
          <w:lang w:val="en-US"/>
        </w:rPr>
        <w:t xml:space="preserve"> </w:t>
      </w:r>
      <w:r w:rsidR="007F2993">
        <w:rPr>
          <w:sz w:val="24"/>
          <w:szCs w:val="24"/>
          <w:lang w:val="en-US"/>
        </w:rPr>
        <w:t xml:space="preserve">: </w:t>
      </w:r>
      <w:r w:rsidR="00047964">
        <w:rPr>
          <w:sz w:val="24"/>
          <w:szCs w:val="24"/>
          <w:lang w:val="en-US"/>
        </w:rPr>
        <w:t xml:space="preserve">o </w:t>
      </w:r>
      <w:r>
        <w:rPr>
          <w:sz w:val="24"/>
          <w:szCs w:val="24"/>
          <w:lang w:val="en-US"/>
        </w:rPr>
        <w:t xml:space="preserve">for </w:t>
      </w:r>
      <w:r w:rsidR="00047964">
        <w:rPr>
          <w:sz w:val="24"/>
          <w:szCs w:val="24"/>
          <w:lang w:val="en-US"/>
        </w:rPr>
        <w:t>observed)</w:t>
      </w:r>
      <w:r>
        <w:rPr>
          <w:sz w:val="24"/>
          <w:szCs w:val="24"/>
          <w:lang w:val="en-US"/>
        </w:rPr>
        <w:t>,</w:t>
      </w:r>
      <w:r w:rsidR="001F173E">
        <w:rPr>
          <w:sz w:val="24"/>
          <w:szCs w:val="24"/>
          <w:lang w:val="en-US"/>
        </w:rPr>
        <w:t xml:space="preserve"> with q </w:t>
      </w:r>
      <w:r w:rsidR="001F173E" w:rsidRPr="001F173E">
        <w:rPr>
          <w:sz w:val="24"/>
          <w:szCs w:val="24"/>
          <w:lang w:val="en-US"/>
        </w:rPr>
        <w:t>=</w:t>
      </w:r>
      <w:r w:rsidR="001F173E">
        <w:rPr>
          <w:sz w:val="24"/>
          <w:szCs w:val="24"/>
          <w:lang w:val="en-US"/>
        </w:rPr>
        <w:t xml:space="preserve"> </w:t>
      </w:r>
      <w:r w:rsidR="001F173E" w:rsidRPr="001F173E">
        <w:rPr>
          <w:sz w:val="24"/>
          <w:szCs w:val="24"/>
          <w:lang w:val="en-US"/>
        </w:rPr>
        <w:t>1…19</w:t>
      </w:r>
      <w:r w:rsidR="001F173E">
        <w:rPr>
          <w:sz w:val="24"/>
          <w:szCs w:val="24"/>
          <w:lang w:val="en-US"/>
        </w:rPr>
        <w:t xml:space="preserve">. The adjusted </w:t>
      </w:r>
      <w:r w:rsidR="00DE578D">
        <w:rPr>
          <w:sz w:val="24"/>
          <w:szCs w:val="24"/>
          <w:lang w:val="en-US"/>
        </w:rPr>
        <w:t>r</w:t>
      </w:r>
      <w:r w:rsidR="00DE578D" w:rsidRPr="000A5BE5">
        <w:rPr>
          <w:sz w:val="24"/>
          <w:szCs w:val="24"/>
          <w:vertAlign w:val="subscript"/>
          <w:lang w:val="en-US"/>
        </w:rPr>
        <w:t>a</w:t>
      </w:r>
      <w:r w:rsidR="00DE578D" w:rsidRPr="000A5BE5">
        <w:rPr>
          <w:sz w:val="24"/>
          <w:szCs w:val="24"/>
          <w:vertAlign w:val="superscript"/>
          <w:lang w:val="en-US"/>
        </w:rPr>
        <w:t>2</w:t>
      </w:r>
      <w:r w:rsidR="00DE578D">
        <w:rPr>
          <w:sz w:val="24"/>
          <w:szCs w:val="24"/>
          <w:vertAlign w:val="superscript"/>
          <w:lang w:val="en-US"/>
        </w:rPr>
        <w:t xml:space="preserve"> </w:t>
      </w:r>
      <w:r w:rsidR="001F173E">
        <w:rPr>
          <w:sz w:val="24"/>
          <w:szCs w:val="24"/>
          <w:lang w:val="en-US"/>
        </w:rPr>
        <w:t>of the OLS regression of (linc</w:t>
      </w:r>
      <w:r w:rsidR="001F173E" w:rsidRPr="001F173E">
        <w:rPr>
          <w:sz w:val="24"/>
          <w:szCs w:val="24"/>
          <w:vertAlign w:val="subscript"/>
          <w:lang w:val="en-US"/>
        </w:rPr>
        <w:t>q</w:t>
      </w:r>
      <w:r w:rsidR="001F173E">
        <w:rPr>
          <w:sz w:val="24"/>
          <w:szCs w:val="24"/>
          <w:lang w:val="en-US"/>
        </w:rPr>
        <w:t>) on (lino</w:t>
      </w:r>
      <w:r w:rsidR="001F173E" w:rsidRPr="001F173E">
        <w:rPr>
          <w:sz w:val="24"/>
          <w:szCs w:val="24"/>
          <w:vertAlign w:val="subscript"/>
          <w:lang w:val="en-US"/>
        </w:rPr>
        <w:t>q</w:t>
      </w:r>
      <w:r w:rsidR="001F173E">
        <w:rPr>
          <w:sz w:val="24"/>
          <w:szCs w:val="24"/>
          <w:lang w:val="en-US"/>
        </w:rPr>
        <w:t xml:space="preserve">) </w:t>
      </w:r>
      <w:r w:rsidR="00EA6AA6">
        <w:rPr>
          <w:sz w:val="24"/>
          <w:szCs w:val="24"/>
          <w:lang w:val="en-US"/>
        </w:rPr>
        <w:t xml:space="preserve">reflects </w:t>
      </w:r>
      <w:r w:rsidR="001F173E">
        <w:rPr>
          <w:sz w:val="24"/>
          <w:szCs w:val="24"/>
          <w:lang w:val="en-US"/>
        </w:rPr>
        <w:t xml:space="preserve">the quality of the CF hypothesis: the </w:t>
      </w:r>
      <w:r w:rsidR="00CE2081">
        <w:rPr>
          <w:sz w:val="24"/>
          <w:szCs w:val="24"/>
          <w:lang w:val="en-US"/>
        </w:rPr>
        <w:t>higher</w:t>
      </w:r>
      <w:r w:rsidR="001F173E">
        <w:rPr>
          <w:sz w:val="24"/>
          <w:szCs w:val="24"/>
          <w:lang w:val="en-US"/>
        </w:rPr>
        <w:t xml:space="preserve"> </w:t>
      </w:r>
      <w:r w:rsidR="00A84BD6">
        <w:rPr>
          <w:sz w:val="24"/>
          <w:szCs w:val="24"/>
          <w:lang w:val="en-US"/>
        </w:rPr>
        <w:t>the value</w:t>
      </w:r>
      <w:r w:rsidR="004A2995">
        <w:rPr>
          <w:sz w:val="24"/>
          <w:szCs w:val="24"/>
          <w:lang w:val="en-US"/>
        </w:rPr>
        <w:t>,</w:t>
      </w:r>
      <w:r w:rsidR="00A84BD6">
        <w:rPr>
          <w:sz w:val="24"/>
          <w:szCs w:val="24"/>
          <w:lang w:val="en-US"/>
        </w:rPr>
        <w:t xml:space="preserve"> </w:t>
      </w:r>
      <w:r w:rsidR="001F173E">
        <w:rPr>
          <w:sz w:val="24"/>
          <w:szCs w:val="24"/>
          <w:lang w:val="en-US"/>
        </w:rPr>
        <w:t>the better</w:t>
      </w:r>
      <w:r w:rsidR="00A84BD6">
        <w:rPr>
          <w:sz w:val="24"/>
          <w:szCs w:val="24"/>
          <w:lang w:val="en-US"/>
        </w:rPr>
        <w:t xml:space="preserve"> the </w:t>
      </w:r>
      <w:r w:rsidR="004A2995">
        <w:rPr>
          <w:sz w:val="24"/>
          <w:szCs w:val="24"/>
          <w:lang w:val="en-US"/>
        </w:rPr>
        <w:t xml:space="preserve">fit </w:t>
      </w:r>
      <w:r w:rsidR="007D1E5D">
        <w:rPr>
          <w:sz w:val="24"/>
          <w:szCs w:val="24"/>
          <w:lang w:val="en-US"/>
        </w:rPr>
        <w:t>(</w:t>
      </w:r>
      <w:r w:rsidR="004A2995">
        <w:rPr>
          <w:sz w:val="24"/>
          <w:szCs w:val="24"/>
          <w:lang w:val="en-US"/>
        </w:rPr>
        <w:t>T</w:t>
      </w:r>
      <w:r w:rsidR="007D1E5D">
        <w:rPr>
          <w:sz w:val="24"/>
          <w:szCs w:val="24"/>
          <w:lang w:val="en-US"/>
        </w:rPr>
        <w:t xml:space="preserve">able </w:t>
      </w:r>
      <w:r w:rsidR="00AB0CFB">
        <w:rPr>
          <w:sz w:val="24"/>
          <w:szCs w:val="24"/>
          <w:lang w:val="en-US"/>
        </w:rPr>
        <w:t>9</w:t>
      </w:r>
      <w:r w:rsidR="007D1E5D">
        <w:rPr>
          <w:sz w:val="24"/>
          <w:szCs w:val="24"/>
          <w:lang w:val="en-US"/>
        </w:rPr>
        <w:t>)</w:t>
      </w:r>
      <w:r w:rsidR="001F173E">
        <w:rPr>
          <w:sz w:val="24"/>
          <w:szCs w:val="24"/>
          <w:lang w:val="en-US"/>
        </w:rPr>
        <w:t>.</w:t>
      </w:r>
      <w:r w:rsidR="00CE2081">
        <w:rPr>
          <w:sz w:val="24"/>
          <w:szCs w:val="24"/>
          <w:lang w:val="en-US"/>
        </w:rPr>
        <w:t xml:space="preserve"> </w:t>
      </w:r>
      <w:r w:rsidR="00A84BD6">
        <w:rPr>
          <w:sz w:val="24"/>
          <w:szCs w:val="24"/>
          <w:lang w:val="en-US"/>
        </w:rPr>
        <w:t>O</w:t>
      </w:r>
      <w:r w:rsidR="00065E76">
        <w:rPr>
          <w:sz w:val="24"/>
          <w:szCs w:val="24"/>
          <w:lang w:val="en-US"/>
        </w:rPr>
        <w:t xml:space="preserve">n average, </w:t>
      </w:r>
      <w:r w:rsidR="004A2995">
        <w:rPr>
          <w:sz w:val="24"/>
          <w:szCs w:val="24"/>
          <w:lang w:val="en-US"/>
        </w:rPr>
        <w:t xml:space="preserve">the </w:t>
      </w:r>
      <w:r w:rsidR="00065E76">
        <w:rPr>
          <w:sz w:val="24"/>
          <w:szCs w:val="24"/>
          <w:lang w:val="en-US"/>
        </w:rPr>
        <w:t xml:space="preserve">CF is </w:t>
      </w:r>
      <w:r w:rsidR="004A2995">
        <w:rPr>
          <w:sz w:val="24"/>
          <w:szCs w:val="24"/>
          <w:lang w:val="en-US"/>
        </w:rPr>
        <w:t xml:space="preserve">a </w:t>
      </w:r>
      <w:r w:rsidR="00065E76">
        <w:rPr>
          <w:sz w:val="24"/>
          <w:szCs w:val="24"/>
          <w:lang w:val="en-US"/>
        </w:rPr>
        <w:t xml:space="preserve">good </w:t>
      </w:r>
      <w:r w:rsidR="004A2995">
        <w:rPr>
          <w:sz w:val="24"/>
          <w:szCs w:val="24"/>
          <w:lang w:val="en-US"/>
        </w:rPr>
        <w:t>first-</w:t>
      </w:r>
      <w:r w:rsidR="001E455C">
        <w:rPr>
          <w:sz w:val="24"/>
          <w:szCs w:val="24"/>
          <w:lang w:val="en-US"/>
        </w:rPr>
        <w:t xml:space="preserve">order </w:t>
      </w:r>
      <w:r w:rsidR="00345763">
        <w:rPr>
          <w:sz w:val="24"/>
          <w:szCs w:val="24"/>
          <w:lang w:val="en-US"/>
        </w:rPr>
        <w:t xml:space="preserve">approximation </w:t>
      </w:r>
      <w:r w:rsidR="00065E76">
        <w:rPr>
          <w:sz w:val="24"/>
          <w:szCs w:val="24"/>
          <w:lang w:val="en-US"/>
        </w:rPr>
        <w:t>(</w:t>
      </w:r>
      <w:r w:rsidR="00DE578D">
        <w:rPr>
          <w:sz w:val="24"/>
          <w:szCs w:val="24"/>
          <w:lang w:val="en-US"/>
        </w:rPr>
        <w:t>r</w:t>
      </w:r>
      <w:r w:rsidR="00DE578D" w:rsidRPr="000A5BE5">
        <w:rPr>
          <w:sz w:val="24"/>
          <w:szCs w:val="24"/>
          <w:vertAlign w:val="subscript"/>
          <w:lang w:val="en-US"/>
        </w:rPr>
        <w:t>a</w:t>
      </w:r>
      <w:r w:rsidR="00DE578D" w:rsidRPr="000A5BE5">
        <w:rPr>
          <w:sz w:val="24"/>
          <w:szCs w:val="24"/>
          <w:vertAlign w:val="superscript"/>
          <w:lang w:val="en-US"/>
        </w:rPr>
        <w:t>2</w:t>
      </w:r>
      <w:r w:rsidR="00DE578D">
        <w:rPr>
          <w:sz w:val="24"/>
          <w:szCs w:val="24"/>
          <w:vertAlign w:val="superscript"/>
          <w:lang w:val="en-US"/>
        </w:rPr>
        <w:t xml:space="preserve"> </w:t>
      </w:r>
      <w:r w:rsidR="00065E76">
        <w:rPr>
          <w:sz w:val="24"/>
          <w:szCs w:val="24"/>
          <w:lang w:val="en-US"/>
        </w:rPr>
        <w:t xml:space="preserve">= </w:t>
      </w:r>
      <w:r w:rsidR="00065E76">
        <w:rPr>
          <w:sz w:val="24"/>
          <w:szCs w:val="24"/>
          <w:lang w:val="en-US"/>
        </w:rPr>
        <w:lastRenderedPageBreak/>
        <w:t xml:space="preserve">.996), </w:t>
      </w:r>
      <w:r w:rsidR="00D10EBB">
        <w:rPr>
          <w:sz w:val="24"/>
          <w:szCs w:val="24"/>
          <w:lang w:val="en-US"/>
        </w:rPr>
        <w:t xml:space="preserve">and </w:t>
      </w:r>
      <w:r w:rsidR="00065E76">
        <w:rPr>
          <w:sz w:val="24"/>
          <w:szCs w:val="24"/>
          <w:lang w:val="en-US"/>
        </w:rPr>
        <w:t xml:space="preserve">both GB2 and ABG </w:t>
      </w:r>
      <w:r w:rsidR="00153449">
        <w:rPr>
          <w:sz w:val="24"/>
          <w:szCs w:val="24"/>
          <w:lang w:val="en-US"/>
        </w:rPr>
        <w:t>improve the fit</w:t>
      </w:r>
      <w:r w:rsidR="004A2995">
        <w:rPr>
          <w:sz w:val="24"/>
          <w:szCs w:val="24"/>
          <w:lang w:val="en-US"/>
        </w:rPr>
        <w:t xml:space="preserve"> further</w:t>
      </w:r>
      <w:r w:rsidR="00065E76">
        <w:rPr>
          <w:sz w:val="24"/>
          <w:szCs w:val="24"/>
          <w:lang w:val="en-US"/>
        </w:rPr>
        <w:t xml:space="preserve">, </w:t>
      </w:r>
      <w:r w:rsidR="004A2995">
        <w:rPr>
          <w:sz w:val="24"/>
          <w:szCs w:val="24"/>
          <w:lang w:val="en-US"/>
        </w:rPr>
        <w:t xml:space="preserve">with </w:t>
      </w:r>
      <w:r w:rsidR="00A84BD6">
        <w:rPr>
          <w:sz w:val="24"/>
          <w:szCs w:val="24"/>
          <w:lang w:val="en-US"/>
        </w:rPr>
        <w:t>a clear</w:t>
      </w:r>
      <w:r w:rsidR="00065E76">
        <w:rPr>
          <w:sz w:val="24"/>
          <w:szCs w:val="24"/>
          <w:lang w:val="en-US"/>
        </w:rPr>
        <w:t xml:space="preserve"> advantage for the latter. In </w:t>
      </w:r>
      <w:r w:rsidR="00D061DE">
        <w:rPr>
          <w:sz w:val="24"/>
          <w:szCs w:val="24"/>
          <w:lang w:val="en-US"/>
        </w:rPr>
        <w:t>67.8</w:t>
      </w:r>
      <w:r w:rsidR="00065E76">
        <w:rPr>
          <w:sz w:val="24"/>
          <w:szCs w:val="24"/>
          <w:lang w:val="en-US"/>
        </w:rPr>
        <w:t>% of case</w:t>
      </w:r>
      <w:r w:rsidR="00A84BD6">
        <w:rPr>
          <w:sz w:val="24"/>
          <w:szCs w:val="24"/>
          <w:lang w:val="en-US"/>
        </w:rPr>
        <w:t>s</w:t>
      </w:r>
      <w:r w:rsidR="00065E76">
        <w:rPr>
          <w:sz w:val="24"/>
          <w:szCs w:val="24"/>
          <w:lang w:val="en-US"/>
        </w:rPr>
        <w:t>, GB2 is better than CF</w:t>
      </w:r>
      <w:r w:rsidR="004A2995">
        <w:rPr>
          <w:sz w:val="24"/>
          <w:szCs w:val="24"/>
          <w:lang w:val="en-US"/>
        </w:rPr>
        <w:t>,</w:t>
      </w:r>
      <w:r w:rsidR="00D10EBB">
        <w:rPr>
          <w:sz w:val="24"/>
          <w:szCs w:val="24"/>
          <w:lang w:val="en-US"/>
        </w:rPr>
        <w:t xml:space="preserve"> but</w:t>
      </w:r>
      <w:r w:rsidR="00065E76">
        <w:rPr>
          <w:sz w:val="24"/>
          <w:szCs w:val="24"/>
          <w:lang w:val="en-US"/>
        </w:rPr>
        <w:t xml:space="preserve"> </w:t>
      </w:r>
      <w:r w:rsidR="00DA4E5E">
        <w:rPr>
          <w:sz w:val="24"/>
          <w:szCs w:val="24"/>
          <w:lang w:val="en-US"/>
        </w:rPr>
        <w:t xml:space="preserve">AGB outperforms </w:t>
      </w:r>
      <w:r w:rsidR="00D061DE">
        <w:rPr>
          <w:sz w:val="24"/>
          <w:szCs w:val="24"/>
          <w:lang w:val="en-US"/>
        </w:rPr>
        <w:t xml:space="preserve">CF </w:t>
      </w:r>
      <w:r w:rsidR="00DA4E5E">
        <w:rPr>
          <w:sz w:val="24"/>
          <w:szCs w:val="24"/>
          <w:lang w:val="en-US"/>
        </w:rPr>
        <w:t>in 8</w:t>
      </w:r>
      <w:r w:rsidR="00D061DE">
        <w:rPr>
          <w:sz w:val="24"/>
          <w:szCs w:val="24"/>
          <w:lang w:val="en-US"/>
        </w:rPr>
        <w:t>5.8</w:t>
      </w:r>
      <w:r w:rsidR="00DA4E5E">
        <w:rPr>
          <w:sz w:val="24"/>
          <w:szCs w:val="24"/>
          <w:lang w:val="en-US"/>
        </w:rPr>
        <w:t>%</w:t>
      </w:r>
      <w:r w:rsidR="00D10EBB">
        <w:rPr>
          <w:sz w:val="24"/>
          <w:szCs w:val="24"/>
          <w:lang w:val="en-US"/>
        </w:rPr>
        <w:t xml:space="preserve"> of cases</w:t>
      </w:r>
      <w:r w:rsidR="00D061DE">
        <w:rPr>
          <w:sz w:val="24"/>
          <w:szCs w:val="24"/>
          <w:lang w:val="en-US"/>
        </w:rPr>
        <w:t xml:space="preserve"> and GB2 in 76.5</w:t>
      </w:r>
      <w:r w:rsidR="004A2995">
        <w:rPr>
          <w:sz w:val="24"/>
          <w:szCs w:val="24"/>
          <w:lang w:val="en-US"/>
        </w:rPr>
        <w:t>%</w:t>
      </w:r>
      <w:r w:rsidR="00D10EBB">
        <w:rPr>
          <w:sz w:val="24"/>
          <w:szCs w:val="24"/>
          <w:lang w:val="en-US"/>
        </w:rPr>
        <w:t>.</w:t>
      </w:r>
    </w:p>
    <w:p w:rsidR="0090419C" w:rsidRDefault="004A2995" w:rsidP="00A5340E">
      <w:pPr>
        <w:spacing w:after="120" w:line="480" w:lineRule="auto"/>
        <w:rPr>
          <w:sz w:val="24"/>
          <w:szCs w:val="24"/>
          <w:lang w:val="en-US"/>
        </w:rPr>
      </w:pPr>
      <w:r>
        <w:rPr>
          <w:sz w:val="24"/>
          <w:szCs w:val="24"/>
          <w:lang w:val="en-US"/>
        </w:rPr>
        <w:t xml:space="preserve">We can explain the better fit of </w:t>
      </w:r>
      <w:r w:rsidR="00BA6BEF">
        <w:rPr>
          <w:sz w:val="24"/>
          <w:szCs w:val="24"/>
          <w:lang w:val="en-US"/>
        </w:rPr>
        <w:t>the ABG methodology</w:t>
      </w:r>
      <w:r w:rsidR="00126B88">
        <w:rPr>
          <w:sz w:val="24"/>
          <w:szCs w:val="24"/>
          <w:lang w:val="en-US"/>
        </w:rPr>
        <w:t xml:space="preserve">. </w:t>
      </w:r>
      <w:r w:rsidR="0074607E">
        <w:rPr>
          <w:sz w:val="24"/>
          <w:szCs w:val="24"/>
          <w:lang w:val="en-US"/>
        </w:rPr>
        <w:t xml:space="preserve">We simulated many </w:t>
      </w:r>
      <w:r w:rsidR="00BA6BEF">
        <w:rPr>
          <w:sz w:val="24"/>
          <w:szCs w:val="24"/>
          <w:lang w:val="en-US"/>
        </w:rPr>
        <w:t xml:space="preserve">GB2 </w:t>
      </w:r>
      <w:r>
        <w:rPr>
          <w:sz w:val="24"/>
          <w:szCs w:val="24"/>
          <w:lang w:val="en-US"/>
        </w:rPr>
        <w:t xml:space="preserve">distributions from the </w:t>
      </w:r>
      <w:r w:rsidR="00BA6BEF">
        <w:rPr>
          <w:sz w:val="24"/>
          <w:szCs w:val="24"/>
          <w:lang w:val="en-US"/>
        </w:rPr>
        <w:t>shape parameters a, p and q</w:t>
      </w:r>
      <w:r w:rsidR="0074607E">
        <w:rPr>
          <w:sz w:val="24"/>
          <w:szCs w:val="24"/>
          <w:lang w:val="en-US"/>
        </w:rPr>
        <w:t>,</w:t>
      </w:r>
      <w:r w:rsidR="00126B88">
        <w:rPr>
          <w:sz w:val="24"/>
          <w:szCs w:val="24"/>
          <w:lang w:val="en-US"/>
        </w:rPr>
        <w:t xml:space="preserve"> </w:t>
      </w:r>
      <w:r w:rsidR="0074607E">
        <w:rPr>
          <w:sz w:val="24"/>
          <w:szCs w:val="24"/>
          <w:lang w:val="en-US"/>
        </w:rPr>
        <w:t xml:space="preserve">each </w:t>
      </w:r>
      <w:r>
        <w:rPr>
          <w:sz w:val="24"/>
          <w:szCs w:val="24"/>
          <w:lang w:val="en-US"/>
        </w:rPr>
        <w:t>randomly-</w:t>
      </w:r>
      <w:r w:rsidR="00126B88">
        <w:rPr>
          <w:sz w:val="24"/>
          <w:szCs w:val="24"/>
          <w:lang w:val="en-US"/>
        </w:rPr>
        <w:t>defined</w:t>
      </w:r>
      <w:r w:rsidR="0074607E">
        <w:rPr>
          <w:sz w:val="24"/>
          <w:szCs w:val="24"/>
          <w:lang w:val="en-US"/>
        </w:rPr>
        <w:t>;</w:t>
      </w:r>
      <w:r w:rsidR="00126B88">
        <w:rPr>
          <w:sz w:val="24"/>
          <w:szCs w:val="24"/>
          <w:lang w:val="en-US"/>
        </w:rPr>
        <w:t xml:space="preserve"> we </w:t>
      </w:r>
      <w:r w:rsidR="0074607E">
        <w:rPr>
          <w:sz w:val="24"/>
          <w:szCs w:val="24"/>
          <w:lang w:val="en-US"/>
        </w:rPr>
        <w:t xml:space="preserve">then </w:t>
      </w:r>
      <w:r w:rsidR="00EA1DAC">
        <w:rPr>
          <w:sz w:val="24"/>
          <w:szCs w:val="24"/>
          <w:lang w:val="en-US"/>
        </w:rPr>
        <w:t>fit</w:t>
      </w:r>
      <w:r w:rsidR="0074607E">
        <w:rPr>
          <w:sz w:val="24"/>
          <w:szCs w:val="24"/>
          <w:lang w:val="en-US"/>
        </w:rPr>
        <w:t>ted the</w:t>
      </w:r>
      <w:r>
        <w:rPr>
          <w:sz w:val="24"/>
          <w:szCs w:val="24"/>
          <w:lang w:val="en-US"/>
        </w:rPr>
        <w:t>se</w:t>
      </w:r>
      <w:r w:rsidR="00EA1DAC">
        <w:rPr>
          <w:sz w:val="24"/>
          <w:szCs w:val="24"/>
          <w:lang w:val="en-US"/>
        </w:rPr>
        <w:t xml:space="preserve"> </w:t>
      </w:r>
      <w:r w:rsidR="0074607E">
        <w:rPr>
          <w:sz w:val="24"/>
          <w:szCs w:val="24"/>
          <w:lang w:val="en-US"/>
        </w:rPr>
        <w:t xml:space="preserve">with the </w:t>
      </w:r>
      <w:r w:rsidR="00EA1DAC">
        <w:rPr>
          <w:sz w:val="24"/>
          <w:szCs w:val="24"/>
          <w:lang w:val="en-US"/>
        </w:rPr>
        <w:t>ABG</w:t>
      </w:r>
      <w:r w:rsidR="0074607E">
        <w:rPr>
          <w:sz w:val="24"/>
          <w:szCs w:val="24"/>
          <w:lang w:val="en-US"/>
        </w:rPr>
        <w:t xml:space="preserve"> method</w:t>
      </w:r>
      <w:r w:rsidR="00EA1DAC">
        <w:rPr>
          <w:sz w:val="24"/>
          <w:szCs w:val="24"/>
          <w:lang w:val="en-US"/>
        </w:rPr>
        <w:t>,</w:t>
      </w:r>
      <w:r w:rsidR="0074607E">
        <w:rPr>
          <w:sz w:val="24"/>
          <w:szCs w:val="24"/>
          <w:lang w:val="en-US"/>
        </w:rPr>
        <w:t xml:space="preserve"> and</w:t>
      </w:r>
      <w:r w:rsidR="00EA1DAC">
        <w:rPr>
          <w:sz w:val="24"/>
          <w:szCs w:val="24"/>
          <w:lang w:val="en-US"/>
        </w:rPr>
        <w:t xml:space="preserve"> </w:t>
      </w:r>
      <w:r>
        <w:rPr>
          <w:sz w:val="24"/>
          <w:szCs w:val="24"/>
          <w:lang w:val="en-US"/>
        </w:rPr>
        <w:t xml:space="preserve">found </w:t>
      </w:r>
      <w:r w:rsidR="007E2CC4">
        <w:rPr>
          <w:sz w:val="24"/>
          <w:szCs w:val="24"/>
          <w:lang w:val="en-US"/>
        </w:rPr>
        <w:t>no case</w:t>
      </w:r>
      <w:r>
        <w:rPr>
          <w:sz w:val="24"/>
          <w:szCs w:val="24"/>
          <w:lang w:val="en-US"/>
        </w:rPr>
        <w:t>s</w:t>
      </w:r>
      <w:r w:rsidR="007E2CC4">
        <w:rPr>
          <w:sz w:val="24"/>
          <w:szCs w:val="24"/>
          <w:lang w:val="en-US"/>
        </w:rPr>
        <w:t xml:space="preserve"> </w:t>
      </w:r>
      <w:r w:rsidR="00126B88">
        <w:rPr>
          <w:sz w:val="24"/>
          <w:szCs w:val="24"/>
          <w:lang w:val="en-US"/>
        </w:rPr>
        <w:t xml:space="preserve">where </w:t>
      </w:r>
      <w:r>
        <w:rPr>
          <w:sz w:val="24"/>
          <w:szCs w:val="24"/>
          <w:lang w:val="en-US"/>
        </w:rPr>
        <w:t xml:space="preserve">the </w:t>
      </w:r>
      <w:r w:rsidR="00EA1DAC" w:rsidRPr="00EA1DAC">
        <w:rPr>
          <w:rFonts w:ascii="Symbol" w:hAnsi="Symbol"/>
          <w:sz w:val="24"/>
          <w:szCs w:val="24"/>
          <w:lang w:val="en-US"/>
        </w:rPr>
        <w:t></w:t>
      </w:r>
      <w:r w:rsidR="00EA1DAC">
        <w:rPr>
          <w:sz w:val="24"/>
          <w:szCs w:val="24"/>
          <w:lang w:val="en-US"/>
        </w:rPr>
        <w:t xml:space="preserve"> and </w:t>
      </w:r>
      <w:r w:rsidR="00EA1DAC" w:rsidRPr="00EA1DAC">
        <w:rPr>
          <w:rFonts w:ascii="Symbol" w:hAnsi="Symbol"/>
          <w:sz w:val="24"/>
          <w:szCs w:val="24"/>
          <w:lang w:val="en-US"/>
        </w:rPr>
        <w:t></w:t>
      </w:r>
      <w:r w:rsidR="00EA1DAC">
        <w:rPr>
          <w:sz w:val="24"/>
          <w:szCs w:val="24"/>
          <w:lang w:val="en-US"/>
        </w:rPr>
        <w:t xml:space="preserve"> coefficients</w:t>
      </w:r>
      <w:r w:rsidR="007E2CC4">
        <w:rPr>
          <w:sz w:val="24"/>
          <w:szCs w:val="24"/>
          <w:lang w:val="en-US"/>
        </w:rPr>
        <w:t xml:space="preserve"> </w:t>
      </w:r>
      <w:r w:rsidR="0074607E">
        <w:rPr>
          <w:sz w:val="24"/>
          <w:szCs w:val="24"/>
          <w:lang w:val="en-US"/>
        </w:rPr>
        <w:t xml:space="preserve">were </w:t>
      </w:r>
      <w:r w:rsidR="007E2CC4">
        <w:rPr>
          <w:sz w:val="24"/>
          <w:szCs w:val="24"/>
          <w:lang w:val="en-US"/>
        </w:rPr>
        <w:t>strongly negative</w:t>
      </w:r>
      <w:r>
        <w:rPr>
          <w:sz w:val="24"/>
          <w:szCs w:val="24"/>
          <w:lang w:val="en-US"/>
        </w:rPr>
        <w:t xml:space="preserve"> at the same time</w:t>
      </w:r>
      <w:r w:rsidR="00126B88">
        <w:rPr>
          <w:sz w:val="24"/>
          <w:szCs w:val="24"/>
          <w:lang w:val="en-US"/>
        </w:rPr>
        <w:t>.</w:t>
      </w:r>
      <w:r w:rsidR="00126B88" w:rsidRPr="00126B88">
        <w:rPr>
          <w:rStyle w:val="CommentReference"/>
          <w:lang w:val="en-US"/>
        </w:rPr>
        <w:t xml:space="preserve"> </w:t>
      </w:r>
      <w:r w:rsidR="00126B88">
        <w:rPr>
          <w:sz w:val="24"/>
          <w:szCs w:val="24"/>
          <w:lang w:val="en-US"/>
        </w:rPr>
        <w:t>Th</w:t>
      </w:r>
      <w:r w:rsidR="007E2CC4">
        <w:rPr>
          <w:sz w:val="24"/>
          <w:szCs w:val="24"/>
          <w:lang w:val="en-US"/>
        </w:rPr>
        <w:t xml:space="preserve">is means </w:t>
      </w:r>
      <w:r w:rsidR="00C32B3F">
        <w:rPr>
          <w:sz w:val="24"/>
          <w:szCs w:val="24"/>
          <w:lang w:val="en-US"/>
        </w:rPr>
        <w:t xml:space="preserve">that </w:t>
      </w:r>
      <w:r w:rsidR="0090419C">
        <w:rPr>
          <w:sz w:val="24"/>
          <w:szCs w:val="24"/>
          <w:lang w:val="en-US"/>
        </w:rPr>
        <w:t>strong</w:t>
      </w:r>
      <w:r w:rsidR="007E2CC4">
        <w:rPr>
          <w:sz w:val="24"/>
          <w:szCs w:val="24"/>
          <w:lang w:val="en-US"/>
        </w:rPr>
        <w:t>ly</w:t>
      </w:r>
      <w:r w:rsidR="0090419C">
        <w:rPr>
          <w:sz w:val="24"/>
          <w:szCs w:val="24"/>
          <w:lang w:val="en-US"/>
        </w:rPr>
        <w:t xml:space="preserve"> polariz</w:t>
      </w:r>
      <w:r w:rsidR="007E2CC4">
        <w:rPr>
          <w:sz w:val="24"/>
          <w:szCs w:val="24"/>
          <w:lang w:val="en-US"/>
        </w:rPr>
        <w:t xml:space="preserve">ed distributions </w:t>
      </w:r>
      <w:r w:rsidR="00EA1DAC">
        <w:rPr>
          <w:sz w:val="24"/>
          <w:szCs w:val="24"/>
          <w:lang w:val="en-US"/>
        </w:rPr>
        <w:t xml:space="preserve">such as </w:t>
      </w:r>
      <w:r w:rsidR="007C436E">
        <w:rPr>
          <w:sz w:val="24"/>
          <w:szCs w:val="24"/>
          <w:lang w:val="en-US"/>
        </w:rPr>
        <w:t xml:space="preserve">than in Israel in </w:t>
      </w:r>
      <w:r w:rsidR="00EA1DAC">
        <w:rPr>
          <w:sz w:val="24"/>
          <w:szCs w:val="24"/>
          <w:lang w:val="en-US"/>
        </w:rPr>
        <w:t>2010</w:t>
      </w:r>
      <w:r w:rsidR="007E2CC4">
        <w:rPr>
          <w:sz w:val="24"/>
          <w:szCs w:val="24"/>
          <w:lang w:val="en-US"/>
        </w:rPr>
        <w:t xml:space="preserve">, with </w:t>
      </w:r>
      <w:r w:rsidR="00C32B3F">
        <w:rPr>
          <w:sz w:val="24"/>
          <w:szCs w:val="24"/>
          <w:lang w:val="en-US"/>
        </w:rPr>
        <w:t xml:space="preserve">its </w:t>
      </w:r>
      <w:r w:rsidR="007E2CC4">
        <w:rPr>
          <w:sz w:val="24"/>
          <w:szCs w:val="24"/>
          <w:lang w:val="en-US"/>
        </w:rPr>
        <w:t xml:space="preserve">stretched middle class and relatively more equality at the top and the bottom, cannot be generated </w:t>
      </w:r>
      <w:r w:rsidR="007C436E">
        <w:rPr>
          <w:sz w:val="24"/>
          <w:szCs w:val="24"/>
          <w:lang w:val="en-US"/>
        </w:rPr>
        <w:t xml:space="preserve">from the </w:t>
      </w:r>
      <w:r w:rsidR="007E2CC4">
        <w:rPr>
          <w:sz w:val="24"/>
          <w:szCs w:val="24"/>
          <w:lang w:val="en-US"/>
        </w:rPr>
        <w:t>GB2</w:t>
      </w:r>
      <w:r w:rsidR="007C436E">
        <w:rPr>
          <w:sz w:val="24"/>
          <w:szCs w:val="24"/>
          <w:lang w:val="en-US"/>
        </w:rPr>
        <w:t xml:space="preserve"> distribution</w:t>
      </w:r>
      <w:r w:rsidR="0090419C">
        <w:rPr>
          <w:sz w:val="24"/>
          <w:szCs w:val="24"/>
          <w:lang w:val="en-US"/>
        </w:rPr>
        <w:t xml:space="preserve">. </w:t>
      </w:r>
      <w:r w:rsidR="007E2CC4">
        <w:rPr>
          <w:sz w:val="24"/>
          <w:szCs w:val="24"/>
          <w:lang w:val="en-US"/>
        </w:rPr>
        <w:t>T</w:t>
      </w:r>
      <w:r w:rsidR="0090419C">
        <w:rPr>
          <w:sz w:val="24"/>
          <w:szCs w:val="24"/>
          <w:lang w:val="en-US"/>
        </w:rPr>
        <w:t xml:space="preserve">he GB2 is flexible, </w:t>
      </w:r>
      <w:r w:rsidR="007E2CC4">
        <w:rPr>
          <w:sz w:val="24"/>
          <w:szCs w:val="24"/>
          <w:lang w:val="en-US"/>
        </w:rPr>
        <w:t xml:space="preserve">but </w:t>
      </w:r>
      <w:r w:rsidR="00F46C33">
        <w:rPr>
          <w:sz w:val="24"/>
          <w:szCs w:val="24"/>
          <w:lang w:val="en-US"/>
        </w:rPr>
        <w:t>does not</w:t>
      </w:r>
      <w:r w:rsidR="0090419C">
        <w:rPr>
          <w:sz w:val="24"/>
          <w:szCs w:val="24"/>
          <w:lang w:val="en-US"/>
        </w:rPr>
        <w:t xml:space="preserve"> </w:t>
      </w:r>
      <w:r w:rsidR="007C436E">
        <w:rPr>
          <w:sz w:val="24"/>
          <w:szCs w:val="24"/>
          <w:lang w:val="en-US"/>
        </w:rPr>
        <w:t>cover every case</w:t>
      </w:r>
      <w:r w:rsidR="0090419C">
        <w:rPr>
          <w:sz w:val="24"/>
          <w:szCs w:val="24"/>
          <w:lang w:val="en-US"/>
        </w:rPr>
        <w:t>,</w:t>
      </w:r>
      <w:r w:rsidR="00C32B3F">
        <w:rPr>
          <w:sz w:val="24"/>
          <w:szCs w:val="24"/>
          <w:lang w:val="en-US"/>
        </w:rPr>
        <w:t xml:space="preserve"> and </w:t>
      </w:r>
      <w:r w:rsidR="0090419C">
        <w:rPr>
          <w:sz w:val="24"/>
          <w:szCs w:val="24"/>
          <w:lang w:val="en-US"/>
        </w:rPr>
        <w:t xml:space="preserve">in particular </w:t>
      </w:r>
      <w:r w:rsidR="007F2993">
        <w:rPr>
          <w:sz w:val="24"/>
          <w:szCs w:val="24"/>
          <w:lang w:val="en-US"/>
        </w:rPr>
        <w:t xml:space="preserve">those of </w:t>
      </w:r>
      <w:r w:rsidR="0090419C">
        <w:rPr>
          <w:sz w:val="24"/>
          <w:szCs w:val="24"/>
          <w:lang w:val="en-US"/>
        </w:rPr>
        <w:t xml:space="preserve">type 2 of the typology </w:t>
      </w:r>
      <w:r w:rsidR="007C436E">
        <w:rPr>
          <w:sz w:val="24"/>
          <w:szCs w:val="24"/>
          <w:lang w:val="en-US"/>
        </w:rPr>
        <w:t>in T</w:t>
      </w:r>
      <w:r w:rsidR="0090419C">
        <w:rPr>
          <w:sz w:val="24"/>
          <w:szCs w:val="24"/>
          <w:lang w:val="en-US"/>
        </w:rPr>
        <w:t>able 2</w:t>
      </w:r>
      <w:r w:rsidR="00AB0CFB">
        <w:rPr>
          <w:sz w:val="24"/>
          <w:szCs w:val="24"/>
          <w:lang w:val="en-US"/>
        </w:rPr>
        <w:t xml:space="preserve"> above</w:t>
      </w:r>
      <w:r w:rsidR="0090419C">
        <w:rPr>
          <w:sz w:val="24"/>
          <w:szCs w:val="24"/>
          <w:lang w:val="en-US"/>
        </w:rPr>
        <w:t xml:space="preserve">. This means that </w:t>
      </w:r>
      <w:r w:rsidR="007C436E">
        <w:rPr>
          <w:sz w:val="24"/>
          <w:szCs w:val="24"/>
          <w:lang w:val="en-US"/>
        </w:rPr>
        <w:t xml:space="preserve">the </w:t>
      </w:r>
      <w:r w:rsidR="0090419C">
        <w:rPr>
          <w:sz w:val="24"/>
          <w:szCs w:val="24"/>
          <w:lang w:val="en-US"/>
        </w:rPr>
        <w:t xml:space="preserve">GB2 with parameters a, p, q </w:t>
      </w:r>
      <w:r w:rsidR="007C436E">
        <w:rPr>
          <w:sz w:val="24"/>
          <w:szCs w:val="24"/>
          <w:lang w:val="en-US"/>
        </w:rPr>
        <w:t>is less general</w:t>
      </w:r>
      <w:r w:rsidR="0090419C">
        <w:rPr>
          <w:sz w:val="24"/>
          <w:szCs w:val="24"/>
          <w:lang w:val="en-US"/>
        </w:rPr>
        <w:t xml:space="preserve"> </w:t>
      </w:r>
      <w:r w:rsidR="007C436E">
        <w:rPr>
          <w:sz w:val="24"/>
          <w:szCs w:val="24"/>
          <w:lang w:val="en-US"/>
        </w:rPr>
        <w:t xml:space="preserve">than the </w:t>
      </w:r>
      <w:r w:rsidR="0090419C">
        <w:rPr>
          <w:sz w:val="24"/>
          <w:szCs w:val="24"/>
          <w:lang w:val="en-US"/>
        </w:rPr>
        <w:t xml:space="preserve">ABG with coefficients </w:t>
      </w:r>
      <w:r w:rsidR="0090419C" w:rsidRPr="0090419C">
        <w:rPr>
          <w:rFonts w:ascii="Symbol" w:hAnsi="Symbol"/>
          <w:sz w:val="24"/>
          <w:szCs w:val="24"/>
          <w:lang w:val="en-US"/>
        </w:rPr>
        <w:t></w:t>
      </w:r>
      <w:r w:rsidR="0090419C" w:rsidRPr="0090419C">
        <w:rPr>
          <w:rFonts w:ascii="Symbol" w:hAnsi="Symbol"/>
          <w:sz w:val="24"/>
          <w:szCs w:val="24"/>
          <w:lang w:val="en-US"/>
        </w:rPr>
        <w:t></w:t>
      </w:r>
      <w:r w:rsidR="0090419C" w:rsidRPr="0090419C">
        <w:rPr>
          <w:rFonts w:ascii="Symbol" w:hAnsi="Symbol"/>
          <w:sz w:val="24"/>
          <w:szCs w:val="24"/>
          <w:lang w:val="en-US"/>
        </w:rPr>
        <w:t></w:t>
      </w:r>
      <w:r w:rsidR="0090419C" w:rsidRPr="0090419C">
        <w:rPr>
          <w:rFonts w:ascii="Symbol" w:hAnsi="Symbol"/>
          <w:sz w:val="24"/>
          <w:szCs w:val="24"/>
          <w:lang w:val="en-US"/>
        </w:rPr>
        <w:t></w:t>
      </w:r>
      <w:r w:rsidR="007C436E">
        <w:rPr>
          <w:rFonts w:ascii="Symbol" w:hAnsi="Symbol"/>
          <w:sz w:val="24"/>
          <w:szCs w:val="24"/>
          <w:lang w:val="en-US"/>
        </w:rPr>
        <w:t></w:t>
      </w:r>
      <w:r w:rsidR="007C436E" w:rsidRPr="007C436E">
        <w:rPr>
          <w:sz w:val="24"/>
          <w:szCs w:val="24"/>
          <w:lang w:val="en-US"/>
        </w:rPr>
        <w:t>and</w:t>
      </w:r>
      <w:r w:rsidR="0090419C" w:rsidRPr="0090419C">
        <w:rPr>
          <w:rFonts w:ascii="Symbol" w:hAnsi="Symbol"/>
          <w:sz w:val="24"/>
          <w:szCs w:val="24"/>
          <w:lang w:val="en-US"/>
        </w:rPr>
        <w:t></w:t>
      </w:r>
      <w:r w:rsidR="0090419C" w:rsidRPr="0090419C">
        <w:rPr>
          <w:rFonts w:ascii="Symbol" w:hAnsi="Symbol"/>
          <w:sz w:val="24"/>
          <w:szCs w:val="24"/>
          <w:lang w:val="en-US"/>
        </w:rPr>
        <w:t></w:t>
      </w:r>
      <w:r w:rsidR="007C436E">
        <w:rPr>
          <w:sz w:val="24"/>
          <w:szCs w:val="24"/>
          <w:lang w:val="en-US"/>
        </w:rPr>
        <w:t xml:space="preserve">, which </w:t>
      </w:r>
      <w:r w:rsidR="0090419C">
        <w:rPr>
          <w:sz w:val="24"/>
          <w:szCs w:val="24"/>
          <w:lang w:val="en-US"/>
        </w:rPr>
        <w:t xml:space="preserve">is more flexible with the same number of parameters. </w:t>
      </w:r>
    </w:p>
    <w:p w:rsidR="00924D83" w:rsidRDefault="00126B88" w:rsidP="00A5340E">
      <w:pPr>
        <w:spacing w:after="120" w:line="480" w:lineRule="auto"/>
        <w:rPr>
          <w:sz w:val="24"/>
          <w:szCs w:val="24"/>
          <w:lang w:val="en-US"/>
        </w:rPr>
      </w:pPr>
      <w:r>
        <w:rPr>
          <w:sz w:val="24"/>
          <w:szCs w:val="24"/>
          <w:lang w:val="en-US"/>
        </w:rPr>
        <w:t>T</w:t>
      </w:r>
      <w:r w:rsidR="0090419C">
        <w:rPr>
          <w:sz w:val="24"/>
          <w:szCs w:val="24"/>
          <w:lang w:val="en-US"/>
        </w:rPr>
        <w:t xml:space="preserve">he GB2 is </w:t>
      </w:r>
      <w:r>
        <w:rPr>
          <w:sz w:val="24"/>
          <w:szCs w:val="24"/>
          <w:lang w:val="en-US"/>
        </w:rPr>
        <w:t>a good tool</w:t>
      </w:r>
      <w:r w:rsidR="0090419C">
        <w:rPr>
          <w:sz w:val="24"/>
          <w:szCs w:val="24"/>
          <w:lang w:val="en-US"/>
        </w:rPr>
        <w:t xml:space="preserve">, and has the advantage of being theoretically more solid </w:t>
      </w:r>
      <w:r w:rsidR="00345763">
        <w:rPr>
          <w:sz w:val="24"/>
          <w:szCs w:val="24"/>
          <w:lang w:val="en-US"/>
        </w:rPr>
        <w:t xml:space="preserve">and mathematically purer </w:t>
      </w:r>
      <w:r w:rsidR="0090419C">
        <w:rPr>
          <w:sz w:val="24"/>
          <w:szCs w:val="24"/>
          <w:lang w:val="en-US"/>
        </w:rPr>
        <w:t xml:space="preserve">than the ABG, but </w:t>
      </w:r>
      <w:r w:rsidR="007C436E">
        <w:rPr>
          <w:sz w:val="24"/>
          <w:szCs w:val="24"/>
          <w:lang w:val="en-US"/>
        </w:rPr>
        <w:t xml:space="preserve">does </w:t>
      </w:r>
      <w:r w:rsidR="007F2993">
        <w:rPr>
          <w:sz w:val="24"/>
          <w:szCs w:val="24"/>
          <w:lang w:val="en-US"/>
        </w:rPr>
        <w:t xml:space="preserve">nonetheless </w:t>
      </w:r>
      <w:r w:rsidR="007C436E">
        <w:rPr>
          <w:sz w:val="24"/>
          <w:szCs w:val="24"/>
          <w:lang w:val="en-US"/>
        </w:rPr>
        <w:t xml:space="preserve">present </w:t>
      </w:r>
      <w:r w:rsidR="0090419C">
        <w:rPr>
          <w:sz w:val="24"/>
          <w:szCs w:val="24"/>
          <w:lang w:val="en-US"/>
        </w:rPr>
        <w:t>some difficulties</w:t>
      </w:r>
      <w:r>
        <w:rPr>
          <w:sz w:val="24"/>
          <w:szCs w:val="24"/>
          <w:lang w:val="en-US"/>
        </w:rPr>
        <w:t>. T</w:t>
      </w:r>
      <w:r w:rsidR="0090419C">
        <w:rPr>
          <w:sz w:val="24"/>
          <w:szCs w:val="24"/>
          <w:lang w:val="en-US"/>
        </w:rPr>
        <w:t xml:space="preserve">he interpretation of </w:t>
      </w:r>
      <w:r w:rsidR="007C436E">
        <w:rPr>
          <w:sz w:val="24"/>
          <w:szCs w:val="24"/>
          <w:lang w:val="en-US"/>
        </w:rPr>
        <w:t xml:space="preserve">the </w:t>
      </w:r>
      <w:r w:rsidR="00345763">
        <w:rPr>
          <w:sz w:val="24"/>
          <w:szCs w:val="24"/>
          <w:lang w:val="en-US"/>
        </w:rPr>
        <w:t xml:space="preserve">GB2 </w:t>
      </w:r>
      <w:r w:rsidR="0090419C">
        <w:rPr>
          <w:sz w:val="24"/>
          <w:szCs w:val="24"/>
          <w:lang w:val="en-US"/>
        </w:rPr>
        <w:t xml:space="preserve">parameters a, p, q is not </w:t>
      </w:r>
      <w:r w:rsidR="007C436E">
        <w:rPr>
          <w:sz w:val="24"/>
          <w:szCs w:val="24"/>
          <w:lang w:val="en-US"/>
        </w:rPr>
        <w:t>obvious</w:t>
      </w:r>
      <w:r w:rsidR="0090419C">
        <w:rPr>
          <w:sz w:val="24"/>
          <w:szCs w:val="24"/>
          <w:lang w:val="en-US"/>
        </w:rPr>
        <w:t xml:space="preserve">, </w:t>
      </w:r>
      <w:r w:rsidR="006A1357">
        <w:rPr>
          <w:sz w:val="24"/>
          <w:szCs w:val="24"/>
          <w:lang w:val="en-US"/>
        </w:rPr>
        <w:t xml:space="preserve">with the </w:t>
      </w:r>
      <w:r>
        <w:rPr>
          <w:sz w:val="24"/>
          <w:szCs w:val="24"/>
          <w:lang w:val="en-US"/>
        </w:rPr>
        <w:t xml:space="preserve">exception </w:t>
      </w:r>
      <w:r w:rsidR="006A1357">
        <w:rPr>
          <w:sz w:val="24"/>
          <w:szCs w:val="24"/>
          <w:lang w:val="en-US"/>
        </w:rPr>
        <w:t>of</w:t>
      </w:r>
      <w:r>
        <w:rPr>
          <w:sz w:val="24"/>
          <w:szCs w:val="24"/>
          <w:lang w:val="en-US"/>
        </w:rPr>
        <w:t xml:space="preserve"> the case where </w:t>
      </w:r>
      <w:r w:rsidR="0090419C">
        <w:rPr>
          <w:sz w:val="24"/>
          <w:szCs w:val="24"/>
          <w:lang w:val="en-US"/>
        </w:rPr>
        <w:t xml:space="preserve">p=q=1. </w:t>
      </w:r>
      <w:r w:rsidR="00F0546E">
        <w:rPr>
          <w:sz w:val="24"/>
          <w:szCs w:val="24"/>
          <w:lang w:val="en-US"/>
        </w:rPr>
        <w:t xml:space="preserve">The ABG method is </w:t>
      </w:r>
      <w:r w:rsidR="007C436E">
        <w:rPr>
          <w:sz w:val="24"/>
          <w:szCs w:val="24"/>
          <w:lang w:val="en-US"/>
        </w:rPr>
        <w:t xml:space="preserve">on the other hand </w:t>
      </w:r>
      <w:r w:rsidR="007F2993">
        <w:rPr>
          <w:sz w:val="24"/>
          <w:szCs w:val="24"/>
          <w:lang w:val="en-US"/>
        </w:rPr>
        <w:t>less theoretically-</w:t>
      </w:r>
      <w:r w:rsidR="00345763">
        <w:rPr>
          <w:sz w:val="24"/>
          <w:szCs w:val="24"/>
          <w:lang w:val="en-US"/>
        </w:rPr>
        <w:t>satisfying</w:t>
      </w:r>
      <w:r>
        <w:rPr>
          <w:sz w:val="24"/>
          <w:szCs w:val="24"/>
          <w:lang w:val="en-US"/>
        </w:rPr>
        <w:t>:</w:t>
      </w:r>
      <w:r w:rsidR="00F0546E">
        <w:rPr>
          <w:sz w:val="24"/>
          <w:szCs w:val="24"/>
          <w:lang w:val="en-US"/>
        </w:rPr>
        <w:t xml:space="preserve"> </w:t>
      </w:r>
      <w:r w:rsidR="007E2CC4">
        <w:rPr>
          <w:sz w:val="24"/>
          <w:szCs w:val="24"/>
          <w:lang w:val="en-US"/>
        </w:rPr>
        <w:t xml:space="preserve">it has </w:t>
      </w:r>
      <w:r w:rsidR="00F0546E">
        <w:rPr>
          <w:sz w:val="24"/>
          <w:szCs w:val="24"/>
          <w:lang w:val="en-US"/>
        </w:rPr>
        <w:t xml:space="preserve">no </w:t>
      </w:r>
      <w:r w:rsidR="007C436E">
        <w:rPr>
          <w:sz w:val="24"/>
          <w:szCs w:val="24"/>
          <w:lang w:val="en-US"/>
        </w:rPr>
        <w:t xml:space="preserve">simple </w:t>
      </w:r>
      <w:r w:rsidR="00F0546E">
        <w:rPr>
          <w:sz w:val="24"/>
          <w:szCs w:val="24"/>
          <w:lang w:val="en-US"/>
        </w:rPr>
        <w:t xml:space="preserve">analytical expression, </w:t>
      </w:r>
      <w:r w:rsidR="007E2CC4">
        <w:rPr>
          <w:sz w:val="24"/>
          <w:szCs w:val="24"/>
          <w:lang w:val="en-US"/>
        </w:rPr>
        <w:t xml:space="preserve">is </w:t>
      </w:r>
      <w:r w:rsidR="00F0546E">
        <w:rPr>
          <w:sz w:val="24"/>
          <w:szCs w:val="24"/>
          <w:lang w:val="en-US"/>
        </w:rPr>
        <w:t xml:space="preserve">very empirical, </w:t>
      </w:r>
      <w:r w:rsidR="007C436E">
        <w:rPr>
          <w:sz w:val="24"/>
          <w:szCs w:val="24"/>
          <w:lang w:val="en-US"/>
        </w:rPr>
        <w:t>and is a computer-</w:t>
      </w:r>
      <w:r w:rsidR="00F0546E">
        <w:rPr>
          <w:sz w:val="24"/>
          <w:szCs w:val="24"/>
          <w:lang w:val="en-US"/>
        </w:rPr>
        <w:t>oriented fitt</w:t>
      </w:r>
      <w:r>
        <w:rPr>
          <w:sz w:val="24"/>
          <w:szCs w:val="24"/>
          <w:lang w:val="en-US"/>
        </w:rPr>
        <w:t>ing tool</w:t>
      </w:r>
      <w:r w:rsidR="00F0546E">
        <w:rPr>
          <w:sz w:val="24"/>
          <w:szCs w:val="24"/>
          <w:lang w:val="en-US"/>
        </w:rPr>
        <w:t xml:space="preserve">. However, ABG </w:t>
      </w:r>
      <w:r w:rsidR="007C436E">
        <w:rPr>
          <w:sz w:val="24"/>
          <w:szCs w:val="24"/>
          <w:lang w:val="en-US"/>
        </w:rPr>
        <w:t xml:space="preserve">produces </w:t>
      </w:r>
      <w:r w:rsidR="00F0546E">
        <w:rPr>
          <w:sz w:val="24"/>
          <w:szCs w:val="24"/>
          <w:lang w:val="en-US"/>
        </w:rPr>
        <w:t xml:space="preserve">three </w:t>
      </w:r>
      <w:r w:rsidR="007E2CC4">
        <w:rPr>
          <w:sz w:val="24"/>
          <w:szCs w:val="24"/>
          <w:lang w:val="en-US"/>
        </w:rPr>
        <w:t xml:space="preserve">easy to estimate </w:t>
      </w:r>
      <w:r w:rsidR="00D10EBB">
        <w:rPr>
          <w:sz w:val="24"/>
          <w:szCs w:val="24"/>
          <w:lang w:val="en-US"/>
        </w:rPr>
        <w:t xml:space="preserve">and interpret </w:t>
      </w:r>
      <w:r w:rsidR="00F0546E">
        <w:rPr>
          <w:sz w:val="24"/>
          <w:szCs w:val="24"/>
          <w:lang w:val="en-US"/>
        </w:rPr>
        <w:t xml:space="preserve">coefficients </w:t>
      </w:r>
      <w:r w:rsidR="007C436E">
        <w:rPr>
          <w:sz w:val="24"/>
          <w:szCs w:val="24"/>
          <w:lang w:val="en-US"/>
        </w:rPr>
        <w:t xml:space="preserve">that </w:t>
      </w:r>
      <w:r w:rsidR="00F0546E">
        <w:rPr>
          <w:sz w:val="24"/>
          <w:szCs w:val="24"/>
          <w:lang w:val="en-US"/>
        </w:rPr>
        <w:t>make sense of the distribution of inequality</w:t>
      </w:r>
      <w:r w:rsidR="007C436E">
        <w:rPr>
          <w:sz w:val="24"/>
          <w:szCs w:val="24"/>
          <w:lang w:val="en-US"/>
        </w:rPr>
        <w:t>,</w:t>
      </w:r>
      <w:r w:rsidR="00F0546E">
        <w:rPr>
          <w:sz w:val="24"/>
          <w:szCs w:val="24"/>
          <w:lang w:val="en-US"/>
        </w:rPr>
        <w:t xml:space="preserve"> with values that are compatible with </w:t>
      </w:r>
      <w:r w:rsidR="007E2CC4">
        <w:rPr>
          <w:sz w:val="24"/>
          <w:szCs w:val="24"/>
          <w:lang w:val="en-US"/>
        </w:rPr>
        <w:t>the</w:t>
      </w:r>
      <w:r w:rsidR="00F0546E">
        <w:rPr>
          <w:sz w:val="24"/>
          <w:szCs w:val="24"/>
          <w:lang w:val="en-US"/>
        </w:rPr>
        <w:t xml:space="preserve"> Gini tradition</w:t>
      </w:r>
      <w:r w:rsidR="000A6C94">
        <w:rPr>
          <w:sz w:val="24"/>
          <w:szCs w:val="24"/>
          <w:lang w:val="en-US"/>
        </w:rPr>
        <w:t xml:space="preserve"> since </w:t>
      </w:r>
      <w:r w:rsidR="000A6C94" w:rsidRPr="0090419C">
        <w:rPr>
          <w:rFonts w:ascii="Symbol" w:hAnsi="Symbol"/>
          <w:sz w:val="24"/>
          <w:szCs w:val="24"/>
          <w:lang w:val="en-US"/>
        </w:rPr>
        <w:t></w:t>
      </w:r>
      <w:r w:rsidR="000A6C94">
        <w:rPr>
          <w:rFonts w:ascii="Symbol" w:hAnsi="Symbol"/>
          <w:sz w:val="24"/>
          <w:szCs w:val="24"/>
          <w:lang w:val="en-US"/>
        </w:rPr>
        <w:t></w:t>
      </w:r>
      <w:r w:rsidR="000A6C94">
        <w:rPr>
          <w:rFonts w:ascii="Symbol" w:hAnsi="Symbol"/>
          <w:sz w:val="24"/>
          <w:szCs w:val="24"/>
          <w:lang w:val="en-US"/>
        </w:rPr>
        <w:t></w:t>
      </w:r>
      <w:r w:rsidR="000A6C94">
        <w:rPr>
          <w:rFonts w:ascii="Symbol" w:hAnsi="Symbol"/>
          <w:sz w:val="24"/>
          <w:szCs w:val="24"/>
          <w:lang w:val="en-US"/>
        </w:rPr>
        <w:t></w:t>
      </w:r>
      <w:r w:rsidR="000A6C94" w:rsidRPr="000A6C94">
        <w:rPr>
          <w:sz w:val="24"/>
          <w:szCs w:val="24"/>
          <w:lang w:val="en-US"/>
        </w:rPr>
        <w:t>Gini</w:t>
      </w:r>
      <w:r w:rsidR="000A6C94">
        <w:rPr>
          <w:sz w:val="24"/>
          <w:szCs w:val="24"/>
          <w:lang w:val="en-US"/>
        </w:rPr>
        <w:t xml:space="preserve"> if</w:t>
      </w:r>
      <w:r w:rsidR="000A6C94" w:rsidRPr="0090419C">
        <w:rPr>
          <w:rFonts w:ascii="Symbol" w:hAnsi="Symbol"/>
          <w:sz w:val="24"/>
          <w:szCs w:val="24"/>
          <w:lang w:val="en-US"/>
        </w:rPr>
        <w:t></w:t>
      </w:r>
      <w:r w:rsidR="000A6C94" w:rsidRPr="0090419C">
        <w:rPr>
          <w:rFonts w:ascii="Symbol" w:hAnsi="Symbol"/>
          <w:sz w:val="24"/>
          <w:szCs w:val="24"/>
          <w:lang w:val="en-US"/>
        </w:rPr>
        <w:t></w:t>
      </w:r>
      <w:r w:rsidR="000A6C94">
        <w:rPr>
          <w:rFonts w:ascii="Symbol" w:hAnsi="Symbol"/>
          <w:sz w:val="24"/>
          <w:szCs w:val="24"/>
          <w:lang w:val="en-US"/>
        </w:rPr>
        <w:t></w:t>
      </w:r>
      <w:r w:rsidR="000A6C94" w:rsidRPr="000A6C94">
        <w:rPr>
          <w:sz w:val="24"/>
          <w:szCs w:val="24"/>
          <w:lang w:val="en-US"/>
        </w:rPr>
        <w:t>and</w:t>
      </w:r>
      <w:r w:rsidR="000A6C94">
        <w:rPr>
          <w:sz w:val="24"/>
          <w:szCs w:val="24"/>
          <w:lang w:val="en-US"/>
        </w:rPr>
        <w:t xml:space="preserve"> </w:t>
      </w:r>
      <w:r w:rsidR="000A6C94" w:rsidRPr="0090419C">
        <w:rPr>
          <w:rFonts w:ascii="Symbol" w:hAnsi="Symbol"/>
          <w:sz w:val="24"/>
          <w:szCs w:val="24"/>
          <w:lang w:val="en-US"/>
        </w:rPr>
        <w:t></w:t>
      </w:r>
      <w:r w:rsidR="000A6C94">
        <w:rPr>
          <w:sz w:val="24"/>
          <w:szCs w:val="24"/>
          <w:lang w:val="en-US"/>
        </w:rPr>
        <w:t xml:space="preserve"> are close to 0.</w:t>
      </w:r>
      <w:r w:rsidR="00F0546E">
        <w:rPr>
          <w:sz w:val="24"/>
          <w:szCs w:val="24"/>
          <w:lang w:val="en-US"/>
        </w:rPr>
        <w:t xml:space="preserve"> </w:t>
      </w:r>
    </w:p>
    <w:p w:rsidR="00C43336" w:rsidRPr="00F4214B" w:rsidRDefault="007C436E" w:rsidP="00A5340E">
      <w:pPr>
        <w:numPr>
          <w:ilvl w:val="0"/>
          <w:numId w:val="5"/>
        </w:numPr>
        <w:spacing w:after="120" w:line="480" w:lineRule="auto"/>
        <w:rPr>
          <w:b/>
          <w:sz w:val="24"/>
          <w:szCs w:val="24"/>
          <w:lang w:val="en-US"/>
        </w:rPr>
      </w:pPr>
      <w:r>
        <w:rPr>
          <w:b/>
          <w:sz w:val="24"/>
          <w:szCs w:val="24"/>
          <w:lang w:val="en-US"/>
        </w:rPr>
        <w:t>Representing the shape</w:t>
      </w:r>
      <w:r w:rsidR="00C43336">
        <w:rPr>
          <w:b/>
          <w:sz w:val="24"/>
          <w:szCs w:val="24"/>
          <w:lang w:val="en-US"/>
        </w:rPr>
        <w:t xml:space="preserve"> of </w:t>
      </w:r>
      <w:r>
        <w:rPr>
          <w:b/>
          <w:sz w:val="24"/>
          <w:szCs w:val="24"/>
          <w:lang w:val="en-US"/>
        </w:rPr>
        <w:t xml:space="preserve">the </w:t>
      </w:r>
      <w:r w:rsidR="00C43336">
        <w:rPr>
          <w:b/>
          <w:sz w:val="24"/>
          <w:szCs w:val="24"/>
          <w:lang w:val="en-US"/>
        </w:rPr>
        <w:t xml:space="preserve">income distribution: the strobiloid </w:t>
      </w:r>
    </w:p>
    <w:p w:rsidR="00AF1FEC" w:rsidRDefault="00C43336" w:rsidP="008870B3">
      <w:pPr>
        <w:spacing w:after="120" w:line="480" w:lineRule="auto"/>
        <w:rPr>
          <w:sz w:val="24"/>
          <w:szCs w:val="24"/>
          <w:lang w:val="en-US"/>
        </w:rPr>
      </w:pPr>
      <w:r w:rsidRPr="00C43336">
        <w:rPr>
          <w:sz w:val="24"/>
          <w:szCs w:val="24"/>
          <w:lang w:val="en-US"/>
        </w:rPr>
        <w:t xml:space="preserve">The </w:t>
      </w:r>
      <w:r>
        <w:rPr>
          <w:sz w:val="24"/>
          <w:szCs w:val="24"/>
          <w:lang w:val="en-US"/>
        </w:rPr>
        <w:t xml:space="preserve">ABG decomposition provides a </w:t>
      </w:r>
      <w:r w:rsidR="003E2509">
        <w:rPr>
          <w:sz w:val="24"/>
          <w:szCs w:val="24"/>
          <w:lang w:val="en-US"/>
        </w:rPr>
        <w:t xml:space="preserve">method </w:t>
      </w:r>
      <w:r w:rsidR="004E3150">
        <w:rPr>
          <w:sz w:val="24"/>
          <w:szCs w:val="24"/>
          <w:lang w:val="en-US"/>
        </w:rPr>
        <w:t xml:space="preserve">for </w:t>
      </w:r>
      <w:r>
        <w:rPr>
          <w:sz w:val="24"/>
          <w:szCs w:val="24"/>
          <w:lang w:val="en-US"/>
        </w:rPr>
        <w:t xml:space="preserve">smoothing the </w:t>
      </w:r>
      <w:r w:rsidR="00D718C7">
        <w:rPr>
          <w:sz w:val="24"/>
          <w:szCs w:val="24"/>
          <w:lang w:val="en-US"/>
        </w:rPr>
        <w:t xml:space="preserve">empirical </w:t>
      </w:r>
      <w:r>
        <w:rPr>
          <w:sz w:val="24"/>
          <w:szCs w:val="24"/>
          <w:lang w:val="en-US"/>
        </w:rPr>
        <w:t xml:space="preserve">quantile </w:t>
      </w:r>
      <w:r w:rsidR="007C436E" w:rsidRPr="007C436E">
        <w:rPr>
          <w:sz w:val="24"/>
          <w:szCs w:val="24"/>
          <w:lang w:val="en-US"/>
        </w:rPr>
        <w:t xml:space="preserve">distribution </w:t>
      </w:r>
      <w:r>
        <w:rPr>
          <w:sz w:val="24"/>
          <w:szCs w:val="24"/>
          <w:lang w:val="en-US"/>
        </w:rPr>
        <w:t>function. If</w:t>
      </w:r>
      <w:r w:rsidR="004E3150">
        <w:rPr>
          <w:sz w:val="24"/>
          <w:szCs w:val="24"/>
          <w:lang w:val="en-US"/>
        </w:rPr>
        <w:t>, for instance,</w:t>
      </w:r>
      <w:r>
        <w:rPr>
          <w:sz w:val="24"/>
          <w:szCs w:val="24"/>
          <w:lang w:val="en-US"/>
        </w:rPr>
        <w:t xml:space="preserve"> </w:t>
      </w:r>
      <w:r w:rsidR="007C436E">
        <w:rPr>
          <w:sz w:val="24"/>
          <w:szCs w:val="24"/>
          <w:lang w:val="en-US"/>
        </w:rPr>
        <w:t xml:space="preserve">we are </w:t>
      </w:r>
      <w:r>
        <w:rPr>
          <w:sz w:val="24"/>
          <w:szCs w:val="24"/>
          <w:lang w:val="en-US"/>
        </w:rPr>
        <w:t xml:space="preserve">interested in the architecture of societies </w:t>
      </w:r>
      <w:r w:rsidR="007C436E">
        <w:rPr>
          <w:sz w:val="24"/>
          <w:szCs w:val="24"/>
          <w:lang w:val="en-US"/>
        </w:rPr>
        <w:t xml:space="preserve">represented by </w:t>
      </w:r>
      <w:r>
        <w:rPr>
          <w:sz w:val="24"/>
          <w:szCs w:val="24"/>
          <w:lang w:val="en-US"/>
        </w:rPr>
        <w:t xml:space="preserve">the </w:t>
      </w:r>
      <w:r w:rsidR="007C436E">
        <w:rPr>
          <w:sz w:val="24"/>
          <w:szCs w:val="24"/>
          <w:lang w:val="en-US"/>
        </w:rPr>
        <w:t>distribution</w:t>
      </w:r>
      <w:r w:rsidR="007C436E" w:rsidRPr="007C436E">
        <w:rPr>
          <w:sz w:val="24"/>
          <w:szCs w:val="24"/>
          <w:lang w:val="en-US"/>
        </w:rPr>
        <w:t xml:space="preserve"> </w:t>
      </w:r>
      <w:r>
        <w:rPr>
          <w:sz w:val="24"/>
          <w:szCs w:val="24"/>
          <w:lang w:val="en-US"/>
        </w:rPr>
        <w:t xml:space="preserve">density curve, </w:t>
      </w:r>
      <w:r w:rsidR="007C436E">
        <w:rPr>
          <w:sz w:val="24"/>
          <w:szCs w:val="24"/>
          <w:lang w:val="en-US"/>
        </w:rPr>
        <w:t>as in the seminal work</w:t>
      </w:r>
      <w:r>
        <w:rPr>
          <w:sz w:val="24"/>
          <w:szCs w:val="24"/>
          <w:lang w:val="en-US"/>
        </w:rPr>
        <w:t xml:space="preserve"> of Pareto (</w:t>
      </w:r>
      <w:r w:rsidR="00D226D8">
        <w:rPr>
          <w:sz w:val="24"/>
          <w:szCs w:val="24"/>
          <w:lang w:val="en-US"/>
        </w:rPr>
        <w:t>189</w:t>
      </w:r>
      <w:r w:rsidR="004D78DF">
        <w:rPr>
          <w:sz w:val="24"/>
          <w:szCs w:val="24"/>
          <w:lang w:val="en-US"/>
        </w:rPr>
        <w:t>7</w:t>
      </w:r>
      <w:r w:rsidR="00540B8C">
        <w:rPr>
          <w:sz w:val="24"/>
          <w:szCs w:val="24"/>
          <w:lang w:val="en-US"/>
        </w:rPr>
        <w:t>:</w:t>
      </w:r>
      <w:r>
        <w:rPr>
          <w:sz w:val="24"/>
          <w:szCs w:val="24"/>
          <w:lang w:val="en-US"/>
        </w:rPr>
        <w:t xml:space="preserve"> </w:t>
      </w:r>
      <w:r w:rsidR="005A09AC">
        <w:rPr>
          <w:sz w:val="24"/>
          <w:szCs w:val="24"/>
          <w:lang w:val="en-US"/>
        </w:rPr>
        <w:t>315</w:t>
      </w:r>
      <w:r>
        <w:rPr>
          <w:sz w:val="24"/>
          <w:szCs w:val="24"/>
          <w:lang w:val="en-US"/>
        </w:rPr>
        <w:t xml:space="preserve">), </w:t>
      </w:r>
      <w:r w:rsidR="007C436E">
        <w:rPr>
          <w:sz w:val="24"/>
          <w:szCs w:val="24"/>
          <w:lang w:val="en-US"/>
        </w:rPr>
        <w:t>we can plot income</w:t>
      </w:r>
      <w:r>
        <w:rPr>
          <w:sz w:val="24"/>
          <w:szCs w:val="24"/>
          <w:lang w:val="en-US"/>
        </w:rPr>
        <w:t xml:space="preserve"> </w:t>
      </w:r>
      <w:r w:rsidR="000A6C94">
        <w:rPr>
          <w:sz w:val="24"/>
          <w:szCs w:val="24"/>
          <w:lang w:val="en-US"/>
        </w:rPr>
        <w:lastRenderedPageBreak/>
        <w:t xml:space="preserve">on </w:t>
      </w:r>
      <w:r w:rsidR="007C436E">
        <w:rPr>
          <w:sz w:val="24"/>
          <w:szCs w:val="24"/>
          <w:lang w:val="en-US"/>
        </w:rPr>
        <w:t xml:space="preserve">the </w:t>
      </w:r>
      <w:r>
        <w:rPr>
          <w:sz w:val="24"/>
          <w:szCs w:val="24"/>
          <w:lang w:val="en-US"/>
        </w:rPr>
        <w:t xml:space="preserve">vertical hierarchical </w:t>
      </w:r>
      <w:r w:rsidR="00937FFE">
        <w:rPr>
          <w:sz w:val="24"/>
          <w:szCs w:val="24"/>
          <w:lang w:val="en-US"/>
        </w:rPr>
        <w:t>axis</w:t>
      </w:r>
      <w:r>
        <w:rPr>
          <w:sz w:val="24"/>
          <w:szCs w:val="24"/>
          <w:lang w:val="en-US"/>
        </w:rPr>
        <w:t xml:space="preserve"> and the density value </w:t>
      </w:r>
      <w:r w:rsidR="007C436E">
        <w:rPr>
          <w:sz w:val="24"/>
          <w:szCs w:val="24"/>
          <w:lang w:val="en-US"/>
        </w:rPr>
        <w:t xml:space="preserve">on the </w:t>
      </w:r>
      <w:r>
        <w:rPr>
          <w:sz w:val="24"/>
          <w:szCs w:val="24"/>
          <w:lang w:val="en-US"/>
        </w:rPr>
        <w:t>horizontal</w:t>
      </w:r>
      <w:r w:rsidR="007C436E">
        <w:rPr>
          <w:sz w:val="24"/>
          <w:szCs w:val="24"/>
          <w:lang w:val="en-US"/>
        </w:rPr>
        <w:t xml:space="preserve"> axis, as in F</w:t>
      </w:r>
      <w:r w:rsidR="00FD07B6">
        <w:rPr>
          <w:sz w:val="24"/>
          <w:szCs w:val="24"/>
          <w:lang w:val="en-US"/>
        </w:rPr>
        <w:t xml:space="preserve">igure </w:t>
      </w:r>
      <w:r w:rsidR="00B03642">
        <w:rPr>
          <w:sz w:val="24"/>
          <w:szCs w:val="24"/>
          <w:lang w:val="en-US"/>
        </w:rPr>
        <w:t>5</w:t>
      </w:r>
      <w:r>
        <w:rPr>
          <w:sz w:val="24"/>
          <w:szCs w:val="24"/>
          <w:lang w:val="en-US"/>
        </w:rPr>
        <w:t xml:space="preserve">. </w:t>
      </w:r>
      <w:r w:rsidR="007C436E">
        <w:rPr>
          <w:sz w:val="24"/>
          <w:szCs w:val="24"/>
          <w:lang w:val="en-US"/>
        </w:rPr>
        <w:t xml:space="preserve">One </w:t>
      </w:r>
      <w:r w:rsidR="00D718C7">
        <w:rPr>
          <w:sz w:val="24"/>
          <w:szCs w:val="24"/>
          <w:lang w:val="en-US"/>
        </w:rPr>
        <w:t>convenient</w:t>
      </w:r>
      <w:r>
        <w:rPr>
          <w:sz w:val="24"/>
          <w:szCs w:val="24"/>
          <w:lang w:val="en-US"/>
        </w:rPr>
        <w:t xml:space="preserve"> way of standardizing the representations</w:t>
      </w:r>
      <w:r w:rsidR="003E2509">
        <w:rPr>
          <w:sz w:val="24"/>
          <w:szCs w:val="24"/>
          <w:lang w:val="en-US"/>
        </w:rPr>
        <w:t xml:space="preserve">, </w:t>
      </w:r>
      <w:r w:rsidR="007C436E">
        <w:rPr>
          <w:sz w:val="24"/>
          <w:szCs w:val="24"/>
          <w:lang w:val="en-US"/>
        </w:rPr>
        <w:t xml:space="preserve">for </w:t>
      </w:r>
      <w:r>
        <w:rPr>
          <w:sz w:val="24"/>
          <w:szCs w:val="24"/>
          <w:lang w:val="en-US"/>
        </w:rPr>
        <w:t>comparison</w:t>
      </w:r>
      <w:r w:rsidR="007C436E">
        <w:rPr>
          <w:sz w:val="24"/>
          <w:szCs w:val="24"/>
          <w:lang w:val="en-US"/>
        </w:rPr>
        <w:t xml:space="preserve"> purposes</w:t>
      </w:r>
      <w:r w:rsidR="003E2509">
        <w:rPr>
          <w:sz w:val="24"/>
          <w:szCs w:val="24"/>
          <w:lang w:val="en-US"/>
        </w:rPr>
        <w:t xml:space="preserve">, </w:t>
      </w:r>
      <w:r>
        <w:rPr>
          <w:sz w:val="24"/>
          <w:szCs w:val="24"/>
          <w:lang w:val="en-US"/>
        </w:rPr>
        <w:t>is to normalize the income curve</w:t>
      </w:r>
      <w:r w:rsidR="00126B88">
        <w:rPr>
          <w:sz w:val="24"/>
          <w:szCs w:val="24"/>
          <w:lang w:val="en-US"/>
        </w:rPr>
        <w:t>.</w:t>
      </w:r>
      <w:r w:rsidR="003E2509">
        <w:rPr>
          <w:sz w:val="24"/>
          <w:szCs w:val="24"/>
          <w:lang w:val="en-US"/>
        </w:rPr>
        <w:t xml:space="preserve"> </w:t>
      </w:r>
      <w:r w:rsidR="003A6EA3">
        <w:rPr>
          <w:sz w:val="24"/>
          <w:szCs w:val="24"/>
          <w:lang w:val="en-US"/>
        </w:rPr>
        <w:t>W</w:t>
      </w:r>
      <w:r w:rsidR="003E2509">
        <w:rPr>
          <w:sz w:val="24"/>
          <w:szCs w:val="24"/>
          <w:lang w:val="en-US"/>
        </w:rPr>
        <w:t xml:space="preserve">ith both </w:t>
      </w:r>
      <w:r w:rsidR="007C436E">
        <w:rPr>
          <w:sz w:val="24"/>
          <w:szCs w:val="24"/>
          <w:lang w:val="en-US"/>
        </w:rPr>
        <w:t xml:space="preserve">the </w:t>
      </w:r>
      <w:r w:rsidR="003E2509">
        <w:rPr>
          <w:sz w:val="24"/>
          <w:szCs w:val="24"/>
          <w:lang w:val="en-US"/>
        </w:rPr>
        <w:t xml:space="preserve">medianization of income </w:t>
      </w:r>
      <w:r>
        <w:rPr>
          <w:sz w:val="24"/>
          <w:szCs w:val="24"/>
          <w:lang w:val="en-US"/>
        </w:rPr>
        <w:t xml:space="preserve">and </w:t>
      </w:r>
      <w:r w:rsidR="003E2509">
        <w:rPr>
          <w:sz w:val="24"/>
          <w:szCs w:val="24"/>
          <w:lang w:val="en-US"/>
        </w:rPr>
        <w:t>the normalization of the surface to 1 (</w:t>
      </w:r>
      <w:r w:rsidR="00D718C7">
        <w:rPr>
          <w:sz w:val="24"/>
          <w:szCs w:val="24"/>
          <w:lang w:val="en-US"/>
        </w:rPr>
        <w:t>so that it defines</w:t>
      </w:r>
      <w:r>
        <w:rPr>
          <w:sz w:val="24"/>
          <w:szCs w:val="24"/>
          <w:lang w:val="en-US"/>
        </w:rPr>
        <w:t xml:space="preserve"> the density</w:t>
      </w:r>
      <w:r w:rsidR="003E2509">
        <w:rPr>
          <w:sz w:val="24"/>
          <w:szCs w:val="24"/>
          <w:lang w:val="en-US"/>
        </w:rPr>
        <w:t xml:space="preserve"> of the distribution), </w:t>
      </w:r>
      <w:r w:rsidR="007C436E">
        <w:rPr>
          <w:sz w:val="24"/>
          <w:szCs w:val="24"/>
          <w:lang w:val="en-US"/>
        </w:rPr>
        <w:t xml:space="preserve">we </w:t>
      </w:r>
      <w:r w:rsidR="003E2509">
        <w:rPr>
          <w:sz w:val="24"/>
          <w:szCs w:val="24"/>
          <w:lang w:val="en-US"/>
        </w:rPr>
        <w:t xml:space="preserve">can superpose the </w:t>
      </w:r>
      <w:r w:rsidR="007C436E">
        <w:rPr>
          <w:sz w:val="24"/>
          <w:szCs w:val="24"/>
          <w:lang w:val="en-US"/>
        </w:rPr>
        <w:t xml:space="preserve">curves for different </w:t>
      </w:r>
      <w:r w:rsidR="00540B8C">
        <w:rPr>
          <w:sz w:val="24"/>
          <w:szCs w:val="24"/>
          <w:lang w:val="en-US"/>
        </w:rPr>
        <w:t xml:space="preserve">periods or </w:t>
      </w:r>
      <w:r w:rsidR="007C436E">
        <w:rPr>
          <w:sz w:val="24"/>
          <w:szCs w:val="24"/>
          <w:lang w:val="en-US"/>
        </w:rPr>
        <w:t>countries</w:t>
      </w:r>
      <w:r>
        <w:rPr>
          <w:sz w:val="24"/>
          <w:szCs w:val="24"/>
          <w:lang w:val="en-US"/>
        </w:rPr>
        <w:t xml:space="preserve">. This is the </w:t>
      </w:r>
      <w:r w:rsidR="00E64248">
        <w:rPr>
          <w:sz w:val="24"/>
          <w:szCs w:val="24"/>
          <w:lang w:val="en-US"/>
        </w:rPr>
        <w:t>s</w:t>
      </w:r>
      <w:r>
        <w:rPr>
          <w:sz w:val="24"/>
          <w:szCs w:val="24"/>
          <w:lang w:val="en-US"/>
        </w:rPr>
        <w:t>trobiloid representation (Chauvel</w:t>
      </w:r>
      <w:r w:rsidR="003A6EA3">
        <w:rPr>
          <w:sz w:val="24"/>
          <w:szCs w:val="24"/>
          <w:lang w:val="en-US"/>
        </w:rPr>
        <w:t>,</w:t>
      </w:r>
      <w:r>
        <w:rPr>
          <w:sz w:val="24"/>
          <w:szCs w:val="24"/>
          <w:lang w:val="en-US"/>
        </w:rPr>
        <w:t xml:space="preserve"> </w:t>
      </w:r>
      <w:r w:rsidR="00D226D8">
        <w:rPr>
          <w:sz w:val="24"/>
          <w:szCs w:val="24"/>
          <w:lang w:val="en-US"/>
        </w:rPr>
        <w:t>1995</w:t>
      </w:r>
      <w:r>
        <w:rPr>
          <w:sz w:val="24"/>
          <w:szCs w:val="24"/>
          <w:lang w:val="en-US"/>
        </w:rPr>
        <w:t xml:space="preserve">, </w:t>
      </w:r>
      <w:r w:rsidR="00E64248">
        <w:rPr>
          <w:sz w:val="24"/>
          <w:szCs w:val="24"/>
          <w:lang w:val="en-US"/>
        </w:rPr>
        <w:t>Lipietz</w:t>
      </w:r>
      <w:r w:rsidR="003A6EA3">
        <w:rPr>
          <w:sz w:val="24"/>
          <w:szCs w:val="24"/>
          <w:lang w:val="en-US"/>
        </w:rPr>
        <w:t>,</w:t>
      </w:r>
      <w:r w:rsidR="00E64248">
        <w:rPr>
          <w:sz w:val="24"/>
          <w:szCs w:val="24"/>
          <w:lang w:val="en-US"/>
        </w:rPr>
        <w:t xml:space="preserve"> 1996, Chauvel</w:t>
      </w:r>
      <w:r w:rsidR="003A6EA3">
        <w:rPr>
          <w:sz w:val="24"/>
          <w:szCs w:val="24"/>
          <w:lang w:val="en-US"/>
        </w:rPr>
        <w:t>,</w:t>
      </w:r>
      <w:r w:rsidR="00E64248">
        <w:rPr>
          <w:sz w:val="24"/>
          <w:szCs w:val="24"/>
          <w:lang w:val="en-US"/>
        </w:rPr>
        <w:t xml:space="preserve"> 2013</w:t>
      </w:r>
      <w:r>
        <w:rPr>
          <w:sz w:val="24"/>
          <w:szCs w:val="24"/>
          <w:lang w:val="en-US"/>
        </w:rPr>
        <w:t>).</w:t>
      </w:r>
      <w:r w:rsidR="002203AB" w:rsidRPr="002203AB">
        <w:rPr>
          <w:rStyle w:val="FootnoteReference"/>
          <w:sz w:val="24"/>
          <w:szCs w:val="24"/>
          <w:lang w:val="en-US"/>
        </w:rPr>
        <w:t xml:space="preserve"> </w:t>
      </w:r>
      <w:r w:rsidR="002203AB">
        <w:rPr>
          <w:rStyle w:val="FootnoteReference"/>
          <w:sz w:val="24"/>
          <w:szCs w:val="24"/>
          <w:lang w:val="en-US"/>
        </w:rPr>
        <w:footnoteReference w:id="23"/>
      </w:r>
      <w:r>
        <w:rPr>
          <w:sz w:val="24"/>
          <w:szCs w:val="24"/>
          <w:lang w:val="en-US"/>
        </w:rPr>
        <w:t xml:space="preserve"> </w:t>
      </w:r>
    </w:p>
    <w:p w:rsidR="00B03642" w:rsidRDefault="00B03642" w:rsidP="00B03642">
      <w:pPr>
        <w:rPr>
          <w:sz w:val="22"/>
          <w:szCs w:val="24"/>
          <w:lang w:val="en-US"/>
        </w:rPr>
      </w:pPr>
    </w:p>
    <w:p w:rsidR="00B03642" w:rsidRDefault="00B03642" w:rsidP="00B03642">
      <w:pPr>
        <w:spacing w:after="120" w:line="480" w:lineRule="auto"/>
        <w:rPr>
          <w:b/>
          <w:sz w:val="24"/>
          <w:szCs w:val="24"/>
          <w:lang w:val="en-US"/>
        </w:rPr>
      </w:pPr>
      <w:r>
        <w:rPr>
          <w:b/>
          <w:sz w:val="24"/>
          <w:szCs w:val="24"/>
          <w:lang w:val="en-US"/>
        </w:rPr>
        <w:t>PLACE FIGURE 5 HERE</w:t>
      </w:r>
    </w:p>
    <w:p w:rsidR="00AF1FEC" w:rsidRDefault="00AF1FEC" w:rsidP="00AF1FEC">
      <w:pPr>
        <w:spacing w:after="120" w:line="480" w:lineRule="auto"/>
        <w:rPr>
          <w:sz w:val="24"/>
          <w:szCs w:val="24"/>
          <w:lang w:val="en-US"/>
        </w:rPr>
      </w:pPr>
    </w:p>
    <w:p w:rsidR="00D718C7" w:rsidRDefault="001961E7" w:rsidP="00D718C7">
      <w:pPr>
        <w:spacing w:after="120" w:line="480" w:lineRule="auto"/>
        <w:rPr>
          <w:sz w:val="24"/>
          <w:szCs w:val="24"/>
          <w:lang w:val="en-US"/>
        </w:rPr>
      </w:pPr>
      <w:r>
        <w:rPr>
          <w:sz w:val="24"/>
          <w:szCs w:val="24"/>
          <w:lang w:val="en-US"/>
        </w:rPr>
        <w:t>The</w:t>
      </w:r>
      <w:r w:rsidR="00D72EFC">
        <w:rPr>
          <w:sz w:val="24"/>
          <w:szCs w:val="24"/>
          <w:lang w:val="en-US"/>
        </w:rPr>
        <w:t>se</w:t>
      </w:r>
      <w:r>
        <w:rPr>
          <w:sz w:val="24"/>
          <w:szCs w:val="24"/>
          <w:lang w:val="en-US"/>
        </w:rPr>
        <w:t xml:space="preserve"> empirical </w:t>
      </w:r>
      <w:r w:rsidR="008405DA">
        <w:rPr>
          <w:sz w:val="24"/>
          <w:szCs w:val="24"/>
          <w:lang w:val="en-US"/>
        </w:rPr>
        <w:t xml:space="preserve">strobiloids </w:t>
      </w:r>
      <w:r>
        <w:rPr>
          <w:sz w:val="24"/>
          <w:szCs w:val="24"/>
          <w:lang w:val="en-US"/>
        </w:rPr>
        <w:t>reveal the diversity of income distribution</w:t>
      </w:r>
      <w:r w:rsidR="00D72EFC">
        <w:rPr>
          <w:sz w:val="24"/>
          <w:szCs w:val="24"/>
          <w:lang w:val="en-US"/>
        </w:rPr>
        <w:t>s</w:t>
      </w:r>
      <w:r>
        <w:rPr>
          <w:sz w:val="24"/>
          <w:szCs w:val="24"/>
          <w:lang w:val="en-US"/>
        </w:rPr>
        <w:t xml:space="preserve"> </w:t>
      </w:r>
      <w:r w:rsidR="00D72EFC">
        <w:rPr>
          <w:sz w:val="24"/>
          <w:szCs w:val="24"/>
          <w:lang w:val="en-US"/>
        </w:rPr>
        <w:t xml:space="preserve">across countries </w:t>
      </w:r>
      <w:r>
        <w:rPr>
          <w:sz w:val="24"/>
          <w:szCs w:val="24"/>
          <w:lang w:val="en-US"/>
        </w:rPr>
        <w:t xml:space="preserve">and </w:t>
      </w:r>
      <w:r w:rsidR="00D72EFC">
        <w:rPr>
          <w:sz w:val="24"/>
          <w:szCs w:val="24"/>
          <w:lang w:val="en-US"/>
        </w:rPr>
        <w:t xml:space="preserve">reflect the change </w:t>
      </w:r>
      <w:r>
        <w:rPr>
          <w:sz w:val="24"/>
          <w:szCs w:val="24"/>
          <w:lang w:val="en-US"/>
        </w:rPr>
        <w:t>in socioeconomic architecture</w:t>
      </w:r>
      <w:r w:rsidR="007F2993" w:rsidRPr="007F2993">
        <w:rPr>
          <w:sz w:val="24"/>
          <w:szCs w:val="24"/>
          <w:lang w:val="en-US"/>
        </w:rPr>
        <w:t xml:space="preserve"> within countries</w:t>
      </w:r>
      <w:r>
        <w:rPr>
          <w:sz w:val="24"/>
          <w:szCs w:val="24"/>
          <w:lang w:val="en-US"/>
        </w:rPr>
        <w:t xml:space="preserve">. </w:t>
      </w:r>
      <w:r w:rsidR="00D72EFC">
        <w:rPr>
          <w:sz w:val="24"/>
          <w:szCs w:val="24"/>
          <w:lang w:val="en-US"/>
        </w:rPr>
        <w:t xml:space="preserve">In the strobiloid, </w:t>
      </w:r>
      <w:r w:rsidR="00D718C7">
        <w:rPr>
          <w:sz w:val="24"/>
          <w:szCs w:val="24"/>
          <w:lang w:val="en-US"/>
        </w:rPr>
        <w:t xml:space="preserve">the </w:t>
      </w:r>
      <w:r w:rsidR="00D72EFC">
        <w:rPr>
          <w:sz w:val="24"/>
          <w:szCs w:val="24"/>
          <w:lang w:val="en-US"/>
        </w:rPr>
        <w:t xml:space="preserve">wider the </w:t>
      </w:r>
      <w:r w:rsidR="00D718C7">
        <w:rPr>
          <w:sz w:val="24"/>
          <w:szCs w:val="24"/>
          <w:lang w:val="en-US"/>
        </w:rPr>
        <w:t>curve</w:t>
      </w:r>
      <w:r w:rsidR="00540B8C">
        <w:rPr>
          <w:sz w:val="24"/>
          <w:szCs w:val="24"/>
          <w:lang w:val="en-US"/>
        </w:rPr>
        <w:t>,</w:t>
      </w:r>
      <w:r w:rsidR="00D718C7">
        <w:rPr>
          <w:sz w:val="24"/>
          <w:szCs w:val="24"/>
          <w:lang w:val="en-US"/>
        </w:rPr>
        <w:t xml:space="preserve"> </w:t>
      </w:r>
      <w:r w:rsidR="00FA75E3">
        <w:rPr>
          <w:sz w:val="24"/>
          <w:szCs w:val="24"/>
          <w:lang w:val="en-US"/>
        </w:rPr>
        <w:t xml:space="preserve">the </w:t>
      </w:r>
      <w:r w:rsidR="00D718C7">
        <w:rPr>
          <w:sz w:val="24"/>
          <w:szCs w:val="24"/>
          <w:lang w:val="en-US"/>
        </w:rPr>
        <w:t xml:space="preserve">more individuals </w:t>
      </w:r>
      <w:r w:rsidR="00D72EFC">
        <w:rPr>
          <w:sz w:val="24"/>
          <w:szCs w:val="24"/>
          <w:lang w:val="en-US"/>
        </w:rPr>
        <w:t xml:space="preserve">there </w:t>
      </w:r>
      <w:r w:rsidR="00D718C7">
        <w:rPr>
          <w:sz w:val="24"/>
          <w:szCs w:val="24"/>
          <w:lang w:val="en-US"/>
        </w:rPr>
        <w:t xml:space="preserve">are </w:t>
      </w:r>
      <w:r w:rsidR="00D72EFC">
        <w:rPr>
          <w:sz w:val="24"/>
          <w:szCs w:val="24"/>
          <w:lang w:val="en-US"/>
        </w:rPr>
        <w:t xml:space="preserve">at </w:t>
      </w:r>
      <w:r w:rsidR="00D718C7">
        <w:rPr>
          <w:sz w:val="24"/>
          <w:szCs w:val="24"/>
          <w:lang w:val="en-US"/>
        </w:rPr>
        <w:t xml:space="preserve">this level of the graph: </w:t>
      </w:r>
      <w:r w:rsidR="00D72EFC">
        <w:rPr>
          <w:sz w:val="24"/>
          <w:szCs w:val="24"/>
          <w:lang w:val="en-US"/>
        </w:rPr>
        <w:t>middle-</w:t>
      </w:r>
      <w:r w:rsidR="00D718C7">
        <w:rPr>
          <w:sz w:val="24"/>
          <w:szCs w:val="24"/>
          <w:lang w:val="en-US"/>
        </w:rPr>
        <w:t>class societ</w:t>
      </w:r>
      <w:r w:rsidR="00D72EFC">
        <w:rPr>
          <w:sz w:val="24"/>
          <w:szCs w:val="24"/>
          <w:lang w:val="en-US"/>
        </w:rPr>
        <w:t>ies</w:t>
      </w:r>
      <w:r w:rsidR="00D718C7">
        <w:rPr>
          <w:sz w:val="24"/>
          <w:szCs w:val="24"/>
          <w:lang w:val="en-US"/>
        </w:rPr>
        <w:t xml:space="preserve"> will </w:t>
      </w:r>
      <w:r w:rsidR="00D72EFC">
        <w:rPr>
          <w:sz w:val="24"/>
          <w:szCs w:val="24"/>
          <w:lang w:val="en-US"/>
        </w:rPr>
        <w:t xml:space="preserve">have </w:t>
      </w:r>
      <w:r w:rsidR="00D718C7">
        <w:rPr>
          <w:sz w:val="24"/>
          <w:szCs w:val="24"/>
          <w:lang w:val="en-US"/>
        </w:rPr>
        <w:t>a large belly (</w:t>
      </w:r>
      <w:r w:rsidR="004E3E9C">
        <w:rPr>
          <w:sz w:val="24"/>
          <w:szCs w:val="24"/>
          <w:lang w:val="en-US"/>
        </w:rPr>
        <w:t>Denmark</w:t>
      </w:r>
      <w:r w:rsidR="00D718C7">
        <w:rPr>
          <w:sz w:val="24"/>
          <w:szCs w:val="24"/>
          <w:lang w:val="en-US"/>
        </w:rPr>
        <w:t>)</w:t>
      </w:r>
      <w:r w:rsidR="00D72EFC">
        <w:rPr>
          <w:sz w:val="24"/>
          <w:szCs w:val="24"/>
          <w:lang w:val="en-US"/>
        </w:rPr>
        <w:t xml:space="preserve">, whereas in </w:t>
      </w:r>
      <w:r w:rsidR="00D718C7">
        <w:rPr>
          <w:sz w:val="24"/>
          <w:szCs w:val="24"/>
          <w:lang w:val="en-US"/>
        </w:rPr>
        <w:t>the contemporary American distribution a large proportion of the population is close to the bottom.</w:t>
      </w:r>
      <w:r w:rsidR="00AF1FEC">
        <w:rPr>
          <w:sz w:val="24"/>
          <w:szCs w:val="24"/>
          <w:lang w:val="en-US"/>
        </w:rPr>
        <w:t xml:space="preserve"> </w:t>
      </w:r>
      <w:r w:rsidR="00D718C7">
        <w:rPr>
          <w:sz w:val="24"/>
          <w:szCs w:val="24"/>
          <w:lang w:val="en-US"/>
        </w:rPr>
        <w:t xml:space="preserve">Kernel smoothing can produce similar curves, but </w:t>
      </w:r>
      <w:r w:rsidR="00D9426C">
        <w:rPr>
          <w:sz w:val="24"/>
          <w:szCs w:val="24"/>
          <w:lang w:val="en-US"/>
        </w:rPr>
        <w:t>the ABG</w:t>
      </w:r>
      <w:r w:rsidR="00D718C7">
        <w:rPr>
          <w:sz w:val="24"/>
          <w:szCs w:val="24"/>
          <w:lang w:val="en-US"/>
        </w:rPr>
        <w:t xml:space="preserve"> method relies on a Pareto power-tail compatible methodology </w:t>
      </w:r>
      <w:r w:rsidR="00D72EFC">
        <w:rPr>
          <w:sz w:val="24"/>
          <w:szCs w:val="24"/>
          <w:lang w:val="en-US"/>
        </w:rPr>
        <w:t>to produce</w:t>
      </w:r>
      <w:r w:rsidR="00D718C7">
        <w:rPr>
          <w:sz w:val="24"/>
          <w:szCs w:val="24"/>
          <w:lang w:val="en-US"/>
        </w:rPr>
        <w:t xml:space="preserve"> interpretable parameters.</w:t>
      </w:r>
      <w:r w:rsidR="002203AB">
        <w:rPr>
          <w:rStyle w:val="FootnoteReference"/>
          <w:sz w:val="24"/>
          <w:szCs w:val="24"/>
          <w:lang w:val="en-US"/>
        </w:rPr>
        <w:footnoteReference w:id="24"/>
      </w:r>
      <w:r w:rsidR="00D718C7">
        <w:rPr>
          <w:sz w:val="24"/>
          <w:szCs w:val="24"/>
          <w:lang w:val="en-US"/>
        </w:rPr>
        <w:t xml:space="preserve"> This </w:t>
      </w:r>
      <w:r w:rsidR="00126B88">
        <w:rPr>
          <w:sz w:val="24"/>
          <w:szCs w:val="24"/>
          <w:lang w:val="en-US"/>
        </w:rPr>
        <w:t xml:space="preserve">new </w:t>
      </w:r>
      <w:r w:rsidR="00D718C7">
        <w:rPr>
          <w:sz w:val="24"/>
          <w:szCs w:val="24"/>
          <w:lang w:val="en-US"/>
        </w:rPr>
        <w:t xml:space="preserve">tool allows </w:t>
      </w:r>
      <w:r w:rsidR="00D72EFC">
        <w:rPr>
          <w:sz w:val="24"/>
          <w:szCs w:val="24"/>
          <w:lang w:val="en-US"/>
        </w:rPr>
        <w:t xml:space="preserve">the </w:t>
      </w:r>
      <w:r w:rsidR="00D718C7">
        <w:rPr>
          <w:sz w:val="24"/>
          <w:szCs w:val="24"/>
          <w:lang w:val="en-US"/>
        </w:rPr>
        <w:t xml:space="preserve">country and time comparison of the </w:t>
      </w:r>
      <w:r w:rsidR="00D72EFC">
        <w:rPr>
          <w:sz w:val="24"/>
          <w:szCs w:val="24"/>
          <w:lang w:val="en-US"/>
        </w:rPr>
        <w:t xml:space="preserve">considerable developments </w:t>
      </w:r>
      <w:r w:rsidR="00D718C7">
        <w:rPr>
          <w:sz w:val="24"/>
          <w:szCs w:val="24"/>
          <w:lang w:val="en-US"/>
        </w:rPr>
        <w:t>in the intensity and shape of inequalit</w:t>
      </w:r>
      <w:r w:rsidR="00D72EFC">
        <w:rPr>
          <w:sz w:val="24"/>
          <w:szCs w:val="24"/>
          <w:lang w:val="en-US"/>
        </w:rPr>
        <w:t>y</w:t>
      </w:r>
      <w:r w:rsidR="00D718C7">
        <w:rPr>
          <w:sz w:val="24"/>
          <w:szCs w:val="24"/>
          <w:lang w:val="en-US"/>
        </w:rPr>
        <w:t xml:space="preserve">. </w:t>
      </w:r>
    </w:p>
    <w:p w:rsidR="00B03642" w:rsidRDefault="00B03642" w:rsidP="00B03642">
      <w:pPr>
        <w:rPr>
          <w:sz w:val="22"/>
          <w:szCs w:val="24"/>
          <w:lang w:val="en-US"/>
        </w:rPr>
      </w:pPr>
    </w:p>
    <w:p w:rsidR="00B03642" w:rsidRDefault="00B03642" w:rsidP="00B03642">
      <w:pPr>
        <w:spacing w:after="120" w:line="480" w:lineRule="auto"/>
        <w:rPr>
          <w:b/>
          <w:sz w:val="24"/>
          <w:szCs w:val="24"/>
          <w:lang w:val="en-US"/>
        </w:rPr>
      </w:pPr>
      <w:r>
        <w:rPr>
          <w:b/>
          <w:sz w:val="24"/>
          <w:szCs w:val="24"/>
          <w:lang w:val="en-US"/>
        </w:rPr>
        <w:t>PLACE FIGURE 6 HERE</w:t>
      </w:r>
    </w:p>
    <w:p w:rsidR="00B446C5" w:rsidRDefault="00B446C5">
      <w:pPr>
        <w:rPr>
          <w:sz w:val="24"/>
          <w:szCs w:val="24"/>
          <w:lang w:val="en-US" w:bidi="en-US"/>
        </w:rPr>
      </w:pPr>
    </w:p>
    <w:p w:rsidR="00AF1FEC" w:rsidRDefault="008405DA" w:rsidP="008870B3">
      <w:pPr>
        <w:spacing w:after="120" w:line="480" w:lineRule="auto"/>
        <w:rPr>
          <w:sz w:val="24"/>
          <w:szCs w:val="24"/>
          <w:lang w:val="en-US"/>
        </w:rPr>
      </w:pPr>
      <w:r>
        <w:rPr>
          <w:sz w:val="24"/>
          <w:szCs w:val="24"/>
          <w:lang w:val="en-US"/>
        </w:rPr>
        <w:t>The strobiloid shows that i</w:t>
      </w:r>
      <w:r w:rsidR="00AF1FEC">
        <w:rPr>
          <w:sz w:val="24"/>
          <w:szCs w:val="24"/>
          <w:lang w:val="en-US"/>
        </w:rPr>
        <w:t xml:space="preserve">ncomes in </w:t>
      </w:r>
      <w:r w:rsidR="00180791">
        <w:rPr>
          <w:sz w:val="24"/>
          <w:szCs w:val="24"/>
          <w:lang w:val="en-US"/>
        </w:rPr>
        <w:t>Denmark</w:t>
      </w:r>
      <w:r w:rsidR="0025622D">
        <w:rPr>
          <w:sz w:val="24"/>
          <w:szCs w:val="24"/>
          <w:lang w:val="en-US"/>
        </w:rPr>
        <w:t xml:space="preserve"> in </w:t>
      </w:r>
      <w:r w:rsidR="00AF1FEC">
        <w:rPr>
          <w:sz w:val="24"/>
          <w:szCs w:val="24"/>
          <w:lang w:val="en-US"/>
        </w:rPr>
        <w:t xml:space="preserve">1987 are generally “more equal” than elsewhere, </w:t>
      </w:r>
      <w:r w:rsidR="0025622D">
        <w:rPr>
          <w:sz w:val="24"/>
          <w:szCs w:val="24"/>
          <w:lang w:val="en-US"/>
        </w:rPr>
        <w:t xml:space="preserve">although the particularity of </w:t>
      </w:r>
      <w:r w:rsidR="00180791">
        <w:rPr>
          <w:sz w:val="24"/>
          <w:szCs w:val="24"/>
          <w:lang w:val="en-US"/>
        </w:rPr>
        <w:t>D</w:t>
      </w:r>
      <w:r w:rsidR="0025622D">
        <w:rPr>
          <w:sz w:val="24"/>
          <w:szCs w:val="24"/>
          <w:lang w:val="en-US"/>
        </w:rPr>
        <w:t xml:space="preserve">enmark </w:t>
      </w:r>
      <w:r w:rsidR="00B446C5" w:rsidRPr="00B446C5">
        <w:rPr>
          <w:sz w:val="24"/>
          <w:szCs w:val="24"/>
          <w:lang w:val="en-US" w:bidi="en-US"/>
        </w:rPr>
        <w:t xml:space="preserve">(due to its low </w:t>
      </w:r>
      <w:r w:rsidR="00B446C5" w:rsidRPr="00B446C5">
        <w:rPr>
          <w:rFonts w:ascii="Symbol" w:hAnsi="Symbol"/>
          <w:sz w:val="24"/>
          <w:szCs w:val="24"/>
          <w:lang w:val="en-US" w:bidi="en-US"/>
        </w:rPr>
        <w:t></w:t>
      </w:r>
      <w:r w:rsidR="00B446C5">
        <w:rPr>
          <w:sz w:val="24"/>
          <w:szCs w:val="24"/>
          <w:lang w:val="en-US" w:bidi="en-US"/>
        </w:rPr>
        <w:t xml:space="preserve"> </w:t>
      </w:r>
      <w:r w:rsidR="00B446C5" w:rsidRPr="00B446C5">
        <w:rPr>
          <w:sz w:val="24"/>
          <w:szCs w:val="24"/>
          <w:lang w:val="en-US" w:bidi="en-US"/>
        </w:rPr>
        <w:t xml:space="preserve">and high positive </w:t>
      </w:r>
      <w:r w:rsidR="00B446C5" w:rsidRPr="00B446C5">
        <w:rPr>
          <w:rFonts w:ascii="Symbol" w:hAnsi="Symbol"/>
          <w:sz w:val="24"/>
          <w:szCs w:val="24"/>
          <w:lang w:val="en-US" w:bidi="en-US"/>
        </w:rPr>
        <w:t></w:t>
      </w:r>
      <w:r w:rsidR="00B446C5" w:rsidRPr="00B446C5">
        <w:rPr>
          <w:sz w:val="24"/>
          <w:szCs w:val="24"/>
          <w:lang w:val="en-US" w:bidi="en-US"/>
        </w:rPr>
        <w:t>)</w:t>
      </w:r>
      <w:r w:rsidR="00B446C5">
        <w:rPr>
          <w:sz w:val="24"/>
          <w:szCs w:val="24"/>
          <w:lang w:val="en-US" w:bidi="en-US"/>
        </w:rPr>
        <w:t xml:space="preserve"> </w:t>
      </w:r>
      <w:r w:rsidR="0025622D">
        <w:rPr>
          <w:sz w:val="24"/>
          <w:szCs w:val="24"/>
          <w:lang w:val="en-US"/>
        </w:rPr>
        <w:t xml:space="preserve">is </w:t>
      </w:r>
      <w:r w:rsidR="00AF1FEC">
        <w:rPr>
          <w:sz w:val="24"/>
          <w:szCs w:val="24"/>
          <w:lang w:val="en-US"/>
        </w:rPr>
        <w:t xml:space="preserve">its lack of rich </w:t>
      </w:r>
      <w:r w:rsidR="0025622D">
        <w:rPr>
          <w:sz w:val="24"/>
          <w:szCs w:val="24"/>
          <w:lang w:val="en-US"/>
        </w:rPr>
        <w:t xml:space="preserve">rather </w:t>
      </w:r>
      <w:r w:rsidR="00AF1FEC">
        <w:rPr>
          <w:sz w:val="24"/>
          <w:szCs w:val="24"/>
          <w:lang w:val="en-US"/>
        </w:rPr>
        <w:t>than its lack of poor</w:t>
      </w:r>
      <w:r w:rsidR="00B446C5">
        <w:rPr>
          <w:sz w:val="24"/>
          <w:szCs w:val="24"/>
          <w:lang w:val="en-US"/>
        </w:rPr>
        <w:t>,</w:t>
      </w:r>
      <w:r>
        <w:rPr>
          <w:sz w:val="24"/>
          <w:szCs w:val="24"/>
          <w:lang w:val="en-US"/>
        </w:rPr>
        <w:t xml:space="preserve"> </w:t>
      </w:r>
      <w:r w:rsidR="00B446C5">
        <w:rPr>
          <w:sz w:val="24"/>
          <w:szCs w:val="24"/>
          <w:lang w:val="en-US"/>
        </w:rPr>
        <w:t xml:space="preserve">with </w:t>
      </w:r>
      <w:r w:rsidR="00B446C5" w:rsidRPr="00B446C5">
        <w:rPr>
          <w:sz w:val="24"/>
          <w:szCs w:val="24"/>
          <w:lang w:val="en-US" w:bidi="en-US"/>
        </w:rPr>
        <w:t xml:space="preserve">some of the latter being stretched far to the </w:t>
      </w:r>
      <w:r w:rsidR="00B446C5" w:rsidRPr="00B446C5">
        <w:rPr>
          <w:sz w:val="24"/>
          <w:szCs w:val="24"/>
          <w:lang w:val="en-US" w:bidi="en-US"/>
        </w:rPr>
        <w:lastRenderedPageBreak/>
        <w:t>bottom of the distribution.</w:t>
      </w:r>
      <w:r w:rsidR="00AF1FEC">
        <w:rPr>
          <w:sz w:val="24"/>
          <w:szCs w:val="24"/>
          <w:lang w:val="en-US"/>
        </w:rPr>
        <w:t xml:space="preserve"> The bottom part of the curve in Germany</w:t>
      </w:r>
      <w:r w:rsidR="0025622D">
        <w:rPr>
          <w:sz w:val="24"/>
          <w:szCs w:val="24"/>
          <w:lang w:val="en-US"/>
        </w:rPr>
        <w:t xml:space="preserve"> in </w:t>
      </w:r>
      <w:r w:rsidR="00AF1FEC">
        <w:rPr>
          <w:sz w:val="24"/>
          <w:szCs w:val="24"/>
          <w:lang w:val="en-US"/>
        </w:rPr>
        <w:t xml:space="preserve">1983 shows the same level of inequality as in </w:t>
      </w:r>
      <w:r w:rsidR="00180791">
        <w:rPr>
          <w:sz w:val="24"/>
          <w:szCs w:val="24"/>
          <w:lang w:val="en-US"/>
        </w:rPr>
        <w:t>Denmark</w:t>
      </w:r>
      <w:r w:rsidR="00A16817">
        <w:rPr>
          <w:sz w:val="24"/>
          <w:szCs w:val="24"/>
          <w:lang w:val="en-US"/>
        </w:rPr>
        <w:t xml:space="preserve"> in </w:t>
      </w:r>
      <w:r w:rsidR="00AF1FEC">
        <w:rPr>
          <w:sz w:val="24"/>
          <w:szCs w:val="24"/>
          <w:lang w:val="en-US"/>
        </w:rPr>
        <w:t>1987 (</w:t>
      </w:r>
      <w:r>
        <w:rPr>
          <w:sz w:val="24"/>
          <w:szCs w:val="24"/>
          <w:lang w:val="en-US"/>
        </w:rPr>
        <w:t xml:space="preserve">as can be seen from </w:t>
      </w:r>
      <w:r w:rsidR="00AF1FEC">
        <w:rPr>
          <w:sz w:val="24"/>
          <w:szCs w:val="24"/>
          <w:lang w:val="en-US"/>
        </w:rPr>
        <w:t>the isograph</w:t>
      </w:r>
      <w:r>
        <w:rPr>
          <w:sz w:val="24"/>
          <w:szCs w:val="24"/>
          <w:lang w:val="en-US"/>
        </w:rPr>
        <w:t xml:space="preserve"> in Figure 6</w:t>
      </w:r>
      <w:r w:rsidR="00AF1FEC">
        <w:rPr>
          <w:sz w:val="24"/>
          <w:szCs w:val="24"/>
          <w:lang w:val="en-US"/>
        </w:rPr>
        <w:t xml:space="preserve">), </w:t>
      </w:r>
      <w:r w:rsidR="00A16817">
        <w:rPr>
          <w:sz w:val="24"/>
          <w:szCs w:val="24"/>
          <w:lang w:val="en-US"/>
        </w:rPr>
        <w:t>al</w:t>
      </w:r>
      <w:r w:rsidR="00AF1FEC">
        <w:rPr>
          <w:sz w:val="24"/>
          <w:szCs w:val="24"/>
          <w:lang w:val="en-US"/>
        </w:rPr>
        <w:t>though the</w:t>
      </w:r>
      <w:r w:rsidR="00A16817">
        <w:rPr>
          <w:sz w:val="24"/>
          <w:szCs w:val="24"/>
          <w:lang w:val="en-US"/>
        </w:rPr>
        <w:t xml:space="preserve">re is more inequality </w:t>
      </w:r>
      <w:r w:rsidR="00AF1FEC">
        <w:rPr>
          <w:sz w:val="24"/>
          <w:szCs w:val="24"/>
          <w:lang w:val="en-US"/>
        </w:rPr>
        <w:t>in Germany</w:t>
      </w:r>
      <w:r w:rsidR="00A16817">
        <w:rPr>
          <w:sz w:val="24"/>
          <w:szCs w:val="24"/>
          <w:lang w:val="en-US"/>
        </w:rPr>
        <w:t xml:space="preserve"> in </w:t>
      </w:r>
      <w:r w:rsidR="00AF1FEC">
        <w:rPr>
          <w:sz w:val="24"/>
          <w:szCs w:val="24"/>
          <w:lang w:val="en-US"/>
        </w:rPr>
        <w:t>1983</w:t>
      </w:r>
      <w:r w:rsidR="00A16817">
        <w:rPr>
          <w:sz w:val="24"/>
          <w:szCs w:val="24"/>
          <w:lang w:val="en-US"/>
        </w:rPr>
        <w:t xml:space="preserve"> for higher income levels</w:t>
      </w:r>
      <w:r w:rsidR="00AF1FEC">
        <w:rPr>
          <w:sz w:val="24"/>
          <w:szCs w:val="24"/>
          <w:lang w:val="en-US"/>
        </w:rPr>
        <w:t xml:space="preserve">. In terms of public policy, </w:t>
      </w:r>
      <w:r w:rsidR="00A16817">
        <w:rPr>
          <w:sz w:val="24"/>
          <w:szCs w:val="24"/>
          <w:lang w:val="en-US"/>
        </w:rPr>
        <w:t xml:space="preserve">the </w:t>
      </w:r>
      <w:r w:rsidR="00AF1FEC">
        <w:rPr>
          <w:sz w:val="24"/>
          <w:szCs w:val="24"/>
          <w:lang w:val="en-US"/>
        </w:rPr>
        <w:t xml:space="preserve">structure </w:t>
      </w:r>
      <w:r w:rsidR="00A16817">
        <w:rPr>
          <w:sz w:val="24"/>
          <w:szCs w:val="24"/>
          <w:lang w:val="en-US"/>
        </w:rPr>
        <w:t xml:space="preserve">of </w:t>
      </w:r>
      <w:r w:rsidR="00A16817" w:rsidRPr="00A16817">
        <w:rPr>
          <w:sz w:val="24"/>
          <w:szCs w:val="24"/>
          <w:lang w:val="en-US"/>
        </w:rPr>
        <w:t>Germany</w:t>
      </w:r>
      <w:r w:rsidR="00A16817">
        <w:rPr>
          <w:sz w:val="24"/>
          <w:szCs w:val="24"/>
          <w:lang w:val="en-US"/>
        </w:rPr>
        <w:t xml:space="preserve"> in </w:t>
      </w:r>
      <w:r w:rsidR="00A16817" w:rsidRPr="00A16817">
        <w:rPr>
          <w:sz w:val="24"/>
          <w:szCs w:val="24"/>
          <w:lang w:val="en-US"/>
        </w:rPr>
        <w:t xml:space="preserve">1983 </w:t>
      </w:r>
      <w:r w:rsidR="00AF1FEC">
        <w:rPr>
          <w:sz w:val="24"/>
          <w:szCs w:val="24"/>
          <w:lang w:val="en-US"/>
        </w:rPr>
        <w:t xml:space="preserve">is a </w:t>
      </w:r>
      <w:r w:rsidR="00A16817">
        <w:rPr>
          <w:sz w:val="24"/>
          <w:szCs w:val="24"/>
          <w:lang w:val="en-US"/>
        </w:rPr>
        <w:t xml:space="preserve">particular </w:t>
      </w:r>
      <w:r w:rsidR="00AF1FEC">
        <w:rPr>
          <w:sz w:val="24"/>
          <w:szCs w:val="24"/>
          <w:lang w:val="en-US"/>
        </w:rPr>
        <w:t xml:space="preserve">model of homogeneity below the median with a high implicit </w:t>
      </w:r>
      <w:r w:rsidR="00A16817">
        <w:rPr>
          <w:sz w:val="24"/>
          <w:szCs w:val="24"/>
          <w:lang w:val="en-US"/>
        </w:rPr>
        <w:t xml:space="preserve">level of </w:t>
      </w:r>
      <w:r w:rsidR="00AF1FEC">
        <w:rPr>
          <w:sz w:val="24"/>
          <w:szCs w:val="24"/>
          <w:lang w:val="en-US"/>
        </w:rPr>
        <w:t xml:space="preserve">minimum income. </w:t>
      </w:r>
    </w:p>
    <w:p w:rsidR="00295E90" w:rsidRDefault="00BC1135" w:rsidP="008870B3">
      <w:pPr>
        <w:spacing w:after="120" w:line="480" w:lineRule="auto"/>
        <w:rPr>
          <w:sz w:val="24"/>
          <w:szCs w:val="24"/>
          <w:lang w:val="en-US"/>
        </w:rPr>
      </w:pPr>
      <w:r>
        <w:rPr>
          <w:sz w:val="24"/>
          <w:szCs w:val="24"/>
          <w:lang w:val="en-US"/>
        </w:rPr>
        <w:t>The F</w:t>
      </w:r>
      <w:r w:rsidR="00FD07B6">
        <w:rPr>
          <w:sz w:val="24"/>
          <w:szCs w:val="24"/>
          <w:lang w:val="en-US"/>
        </w:rPr>
        <w:t>r</w:t>
      </w:r>
      <w:r>
        <w:rPr>
          <w:sz w:val="24"/>
          <w:szCs w:val="24"/>
          <w:lang w:val="en-US"/>
        </w:rPr>
        <w:t xml:space="preserve">ench distribution is </w:t>
      </w:r>
      <w:r w:rsidR="00A16817">
        <w:rPr>
          <w:sz w:val="24"/>
          <w:szCs w:val="24"/>
          <w:lang w:val="en-US"/>
        </w:rPr>
        <w:t>fairly common</w:t>
      </w:r>
      <w:r w:rsidR="00E45CD2">
        <w:rPr>
          <w:sz w:val="24"/>
          <w:szCs w:val="24"/>
          <w:lang w:val="en-US"/>
        </w:rPr>
        <w:t xml:space="preserve"> </w:t>
      </w:r>
      <w:r w:rsidR="00FD07B6">
        <w:rPr>
          <w:sz w:val="24"/>
          <w:szCs w:val="24"/>
          <w:lang w:val="en-US"/>
        </w:rPr>
        <w:t xml:space="preserve">in Europe </w:t>
      </w:r>
      <w:r w:rsidR="00253A8A">
        <w:rPr>
          <w:sz w:val="24"/>
          <w:szCs w:val="24"/>
          <w:lang w:val="en-US"/>
        </w:rPr>
        <w:t xml:space="preserve">and </w:t>
      </w:r>
      <w:r w:rsidR="00A16817">
        <w:rPr>
          <w:sz w:val="24"/>
          <w:szCs w:val="24"/>
          <w:lang w:val="en-US"/>
        </w:rPr>
        <w:t xml:space="preserve">is </w:t>
      </w:r>
      <w:r w:rsidR="00FD07B6">
        <w:rPr>
          <w:sz w:val="24"/>
          <w:szCs w:val="24"/>
          <w:lang w:val="en-US"/>
        </w:rPr>
        <w:t xml:space="preserve">stable over </w:t>
      </w:r>
      <w:r w:rsidR="00A16817">
        <w:rPr>
          <w:sz w:val="24"/>
          <w:szCs w:val="24"/>
          <w:lang w:val="en-US"/>
        </w:rPr>
        <w:t>the period under consideration</w:t>
      </w:r>
      <w:r w:rsidR="00FD07B6">
        <w:rPr>
          <w:sz w:val="24"/>
          <w:szCs w:val="24"/>
          <w:lang w:val="en-US"/>
        </w:rPr>
        <w:t xml:space="preserve">. </w:t>
      </w:r>
      <w:r w:rsidR="006C7D90">
        <w:rPr>
          <w:sz w:val="24"/>
          <w:szCs w:val="24"/>
          <w:lang w:val="en-US"/>
        </w:rPr>
        <w:t xml:space="preserve">On </w:t>
      </w:r>
      <w:r w:rsidR="00224D98">
        <w:rPr>
          <w:sz w:val="24"/>
          <w:szCs w:val="24"/>
          <w:lang w:val="en-US"/>
        </w:rPr>
        <w:t xml:space="preserve">the contrary, </w:t>
      </w:r>
      <w:r w:rsidR="00A16817">
        <w:rPr>
          <w:sz w:val="24"/>
          <w:szCs w:val="24"/>
          <w:lang w:val="en-US"/>
        </w:rPr>
        <w:t xml:space="preserve">there is a </w:t>
      </w:r>
      <w:r w:rsidR="00224D98">
        <w:rPr>
          <w:sz w:val="24"/>
          <w:szCs w:val="24"/>
          <w:lang w:val="en-US"/>
        </w:rPr>
        <w:t>strong polarization</w:t>
      </w:r>
      <w:r w:rsidR="00A16817" w:rsidRPr="00A16817">
        <w:rPr>
          <w:sz w:val="24"/>
          <w:szCs w:val="24"/>
          <w:lang w:val="en-US"/>
        </w:rPr>
        <w:t xml:space="preserve"> trend</w:t>
      </w:r>
      <w:r w:rsidR="00A16817">
        <w:rPr>
          <w:sz w:val="24"/>
          <w:szCs w:val="24"/>
          <w:lang w:val="en-US"/>
        </w:rPr>
        <w:t xml:space="preserve"> in the U.K.</w:t>
      </w:r>
      <w:r w:rsidR="00224D98">
        <w:rPr>
          <w:sz w:val="24"/>
          <w:szCs w:val="24"/>
          <w:lang w:val="en-US"/>
        </w:rPr>
        <w:t xml:space="preserve">, </w:t>
      </w:r>
      <w:r w:rsidR="00A16817">
        <w:rPr>
          <w:sz w:val="24"/>
          <w:szCs w:val="24"/>
          <w:lang w:val="en-US"/>
        </w:rPr>
        <w:t xml:space="preserve">which is </w:t>
      </w:r>
      <w:r w:rsidR="00D718C7">
        <w:rPr>
          <w:sz w:val="24"/>
          <w:szCs w:val="24"/>
          <w:lang w:val="en-US"/>
        </w:rPr>
        <w:t>converg</w:t>
      </w:r>
      <w:r w:rsidR="00A16817">
        <w:rPr>
          <w:sz w:val="24"/>
          <w:szCs w:val="24"/>
          <w:lang w:val="en-US"/>
        </w:rPr>
        <w:t>ing</w:t>
      </w:r>
      <w:r w:rsidR="00791BFA">
        <w:rPr>
          <w:sz w:val="24"/>
          <w:szCs w:val="24"/>
          <w:lang w:val="en-US"/>
        </w:rPr>
        <w:t xml:space="preserve"> to the </w:t>
      </w:r>
      <w:r w:rsidR="006C7D90">
        <w:rPr>
          <w:sz w:val="24"/>
          <w:szCs w:val="24"/>
          <w:lang w:val="en-US"/>
        </w:rPr>
        <w:t xml:space="preserve">onion-shaped strobiloid of the </w:t>
      </w:r>
      <w:r w:rsidR="00791BFA">
        <w:rPr>
          <w:sz w:val="24"/>
          <w:szCs w:val="24"/>
          <w:lang w:val="en-US"/>
        </w:rPr>
        <w:t>U.S.</w:t>
      </w:r>
      <w:r w:rsidR="00224D98">
        <w:rPr>
          <w:sz w:val="24"/>
          <w:szCs w:val="24"/>
          <w:lang w:val="en-US"/>
        </w:rPr>
        <w:t xml:space="preserve"> The U.S. </w:t>
      </w:r>
      <w:r w:rsidR="00D718C7">
        <w:rPr>
          <w:sz w:val="24"/>
          <w:szCs w:val="24"/>
          <w:lang w:val="en-US"/>
        </w:rPr>
        <w:t xml:space="preserve">itself </w:t>
      </w:r>
      <w:r w:rsidR="00224D98">
        <w:rPr>
          <w:sz w:val="24"/>
          <w:szCs w:val="24"/>
          <w:lang w:val="en-US"/>
        </w:rPr>
        <w:t>has an eve</w:t>
      </w:r>
      <w:r w:rsidR="001D3DFC">
        <w:rPr>
          <w:sz w:val="24"/>
          <w:szCs w:val="24"/>
          <w:lang w:val="en-US"/>
        </w:rPr>
        <w:t>n</w:t>
      </w:r>
      <w:r w:rsidR="00224D98">
        <w:rPr>
          <w:sz w:val="24"/>
          <w:szCs w:val="24"/>
          <w:lang w:val="en-US"/>
        </w:rPr>
        <w:t xml:space="preserve"> more </w:t>
      </w:r>
      <w:r w:rsidR="00A16817">
        <w:rPr>
          <w:sz w:val="24"/>
          <w:szCs w:val="24"/>
          <w:lang w:val="en-US"/>
        </w:rPr>
        <w:t xml:space="preserve">pronounced </w:t>
      </w:r>
      <w:r w:rsidR="00224D98">
        <w:rPr>
          <w:sz w:val="24"/>
          <w:szCs w:val="24"/>
          <w:lang w:val="en-US"/>
        </w:rPr>
        <w:t xml:space="preserve">onion shape </w:t>
      </w:r>
      <w:r w:rsidR="00AE1BCA">
        <w:rPr>
          <w:sz w:val="24"/>
          <w:szCs w:val="24"/>
          <w:lang w:val="en-US"/>
        </w:rPr>
        <w:t>w</w:t>
      </w:r>
      <w:r w:rsidR="00540B8C">
        <w:rPr>
          <w:sz w:val="24"/>
          <w:szCs w:val="24"/>
          <w:lang w:val="en-US"/>
        </w:rPr>
        <w:t>ith increasing inequality</w:t>
      </w:r>
      <w:r w:rsidR="00AE1BCA">
        <w:rPr>
          <w:sz w:val="24"/>
          <w:szCs w:val="24"/>
          <w:lang w:val="en-US"/>
        </w:rPr>
        <w:t xml:space="preserve">. </w:t>
      </w:r>
      <w:r w:rsidR="00A16817">
        <w:rPr>
          <w:sz w:val="24"/>
          <w:szCs w:val="24"/>
          <w:lang w:val="en-US"/>
        </w:rPr>
        <w:t xml:space="preserve">One feature of </w:t>
      </w:r>
      <w:r w:rsidR="00AE1BCA">
        <w:rPr>
          <w:sz w:val="24"/>
          <w:szCs w:val="24"/>
          <w:lang w:val="en-US"/>
        </w:rPr>
        <w:t xml:space="preserve">this shape is less the extreme values at the top </w:t>
      </w:r>
      <w:r w:rsidR="006C7D90">
        <w:rPr>
          <w:sz w:val="24"/>
          <w:szCs w:val="24"/>
          <w:lang w:val="en-US"/>
        </w:rPr>
        <w:t xml:space="preserve">but rather </w:t>
      </w:r>
      <w:r w:rsidR="00AE1BCA">
        <w:rPr>
          <w:sz w:val="24"/>
          <w:szCs w:val="24"/>
          <w:lang w:val="en-US"/>
        </w:rPr>
        <w:t xml:space="preserve">the </w:t>
      </w:r>
      <w:r w:rsidR="00D718C7">
        <w:rPr>
          <w:sz w:val="24"/>
          <w:szCs w:val="24"/>
          <w:lang w:val="en-US"/>
        </w:rPr>
        <w:t xml:space="preserve">lower </w:t>
      </w:r>
      <w:r w:rsidR="00AE1BCA">
        <w:rPr>
          <w:sz w:val="24"/>
          <w:szCs w:val="24"/>
          <w:lang w:val="en-US"/>
        </w:rPr>
        <w:t xml:space="preserve">values with a </w:t>
      </w:r>
      <w:r w:rsidR="00126B88">
        <w:rPr>
          <w:sz w:val="24"/>
          <w:szCs w:val="24"/>
          <w:lang w:val="en-US"/>
        </w:rPr>
        <w:t xml:space="preserve">very </w:t>
      </w:r>
      <w:r w:rsidR="00A16817">
        <w:rPr>
          <w:sz w:val="24"/>
          <w:szCs w:val="24"/>
          <w:lang w:val="en-US"/>
        </w:rPr>
        <w:t xml:space="preserve">high </w:t>
      </w:r>
      <w:r w:rsidR="00472786" w:rsidRPr="00472786">
        <w:rPr>
          <w:rFonts w:ascii="Symbol" w:hAnsi="Symbol"/>
          <w:sz w:val="24"/>
          <w:szCs w:val="24"/>
          <w:lang w:val="en-US"/>
        </w:rPr>
        <w:t></w:t>
      </w:r>
      <w:r w:rsidR="00AE1BCA">
        <w:rPr>
          <w:sz w:val="24"/>
          <w:szCs w:val="24"/>
          <w:lang w:val="en-US"/>
        </w:rPr>
        <w:t>. Israel</w:t>
      </w:r>
      <w:r w:rsidR="006C7D90">
        <w:rPr>
          <w:sz w:val="24"/>
          <w:szCs w:val="24"/>
          <w:lang w:val="en-US"/>
        </w:rPr>
        <w:t>,</w:t>
      </w:r>
      <w:r w:rsidR="00AE1BCA">
        <w:rPr>
          <w:sz w:val="24"/>
          <w:szCs w:val="24"/>
          <w:lang w:val="en-US"/>
        </w:rPr>
        <w:t xml:space="preserve"> the </w:t>
      </w:r>
      <w:r w:rsidR="00A16817">
        <w:rPr>
          <w:sz w:val="24"/>
          <w:szCs w:val="24"/>
          <w:lang w:val="en-US"/>
        </w:rPr>
        <w:t xml:space="preserve">final </w:t>
      </w:r>
      <w:r w:rsidR="00AE1BCA">
        <w:rPr>
          <w:sz w:val="24"/>
          <w:szCs w:val="24"/>
          <w:lang w:val="en-US"/>
        </w:rPr>
        <w:t xml:space="preserve">case, may be the most </w:t>
      </w:r>
      <w:r w:rsidR="006C7D90">
        <w:rPr>
          <w:sz w:val="24"/>
          <w:szCs w:val="24"/>
          <w:lang w:val="en-US"/>
        </w:rPr>
        <w:t xml:space="preserve">symbolic </w:t>
      </w:r>
      <w:r w:rsidR="00AE1BCA">
        <w:rPr>
          <w:sz w:val="24"/>
          <w:szCs w:val="24"/>
          <w:lang w:val="en-US"/>
        </w:rPr>
        <w:t xml:space="preserve">in terms of </w:t>
      </w:r>
      <w:r w:rsidR="00A16817">
        <w:rPr>
          <w:sz w:val="24"/>
          <w:szCs w:val="24"/>
          <w:lang w:val="en-US"/>
        </w:rPr>
        <w:t xml:space="preserve">the </w:t>
      </w:r>
      <w:r w:rsidR="00AE1BCA">
        <w:rPr>
          <w:sz w:val="24"/>
          <w:szCs w:val="24"/>
          <w:lang w:val="en-US"/>
        </w:rPr>
        <w:t xml:space="preserve">shift from </w:t>
      </w:r>
      <w:r w:rsidR="00A16817">
        <w:rPr>
          <w:sz w:val="24"/>
          <w:szCs w:val="24"/>
          <w:lang w:val="en-US"/>
        </w:rPr>
        <w:t xml:space="preserve">a more </w:t>
      </w:r>
      <w:r w:rsidR="00AE1BCA">
        <w:rPr>
          <w:sz w:val="24"/>
          <w:szCs w:val="24"/>
          <w:lang w:val="en-US"/>
        </w:rPr>
        <w:t xml:space="preserve">equal to </w:t>
      </w:r>
      <w:r w:rsidR="00A16817">
        <w:rPr>
          <w:sz w:val="24"/>
          <w:szCs w:val="24"/>
          <w:lang w:val="en-US"/>
        </w:rPr>
        <w:t xml:space="preserve">a far less equal </w:t>
      </w:r>
      <w:r w:rsidR="00AE1BCA">
        <w:rPr>
          <w:sz w:val="24"/>
          <w:szCs w:val="24"/>
          <w:lang w:val="en-US"/>
        </w:rPr>
        <w:t>distribution</w:t>
      </w:r>
      <w:r w:rsidR="00A16817">
        <w:rPr>
          <w:sz w:val="24"/>
          <w:szCs w:val="24"/>
          <w:lang w:val="en-US"/>
        </w:rPr>
        <w:t>,</w:t>
      </w:r>
      <w:r w:rsidR="00AE1BCA">
        <w:rPr>
          <w:sz w:val="24"/>
          <w:szCs w:val="24"/>
          <w:lang w:val="en-US"/>
        </w:rPr>
        <w:t xml:space="preserve"> with </w:t>
      </w:r>
      <w:r w:rsidR="00A16817">
        <w:rPr>
          <w:sz w:val="24"/>
          <w:szCs w:val="24"/>
          <w:lang w:val="en-US"/>
        </w:rPr>
        <w:t>one particular feature: a steady decline</w:t>
      </w:r>
      <w:r w:rsidR="00AE1BCA">
        <w:rPr>
          <w:sz w:val="24"/>
          <w:szCs w:val="24"/>
          <w:lang w:val="en-US"/>
        </w:rPr>
        <w:t xml:space="preserve"> </w:t>
      </w:r>
      <w:r w:rsidR="00A16817">
        <w:rPr>
          <w:sz w:val="24"/>
          <w:szCs w:val="24"/>
          <w:lang w:val="en-US"/>
        </w:rPr>
        <w:t xml:space="preserve">in the </w:t>
      </w:r>
      <w:r w:rsidR="00AE1BCA">
        <w:rPr>
          <w:sz w:val="24"/>
          <w:szCs w:val="24"/>
          <w:lang w:val="en-US"/>
        </w:rPr>
        <w:t>median class of incomes w</w:t>
      </w:r>
      <w:r w:rsidR="007F2993">
        <w:rPr>
          <w:sz w:val="24"/>
          <w:szCs w:val="24"/>
          <w:lang w:val="en-US"/>
        </w:rPr>
        <w:t>ith a relatively strong minimum-</w:t>
      </w:r>
      <w:r w:rsidR="00AE1BCA">
        <w:rPr>
          <w:sz w:val="24"/>
          <w:szCs w:val="24"/>
          <w:lang w:val="en-US"/>
        </w:rPr>
        <w:t xml:space="preserve">income scheme, </w:t>
      </w:r>
      <w:r w:rsidR="00791BFA">
        <w:rPr>
          <w:sz w:val="24"/>
          <w:szCs w:val="24"/>
          <w:lang w:val="en-US"/>
        </w:rPr>
        <w:t xml:space="preserve">leading to the </w:t>
      </w:r>
      <w:r w:rsidR="00A16817">
        <w:rPr>
          <w:sz w:val="24"/>
          <w:szCs w:val="24"/>
          <w:lang w:val="en-US"/>
        </w:rPr>
        <w:t xml:space="preserve">development </w:t>
      </w:r>
      <w:r w:rsidR="00791BFA">
        <w:rPr>
          <w:sz w:val="24"/>
          <w:szCs w:val="24"/>
          <w:lang w:val="en-US"/>
        </w:rPr>
        <w:t xml:space="preserve">of </w:t>
      </w:r>
      <w:r w:rsidR="00AE1BCA">
        <w:rPr>
          <w:sz w:val="24"/>
          <w:szCs w:val="24"/>
          <w:lang w:val="en-US"/>
        </w:rPr>
        <w:t xml:space="preserve">an unprecedented arrowhead-shaped curve. </w:t>
      </w:r>
      <w:r w:rsidR="004646D5">
        <w:rPr>
          <w:sz w:val="24"/>
          <w:szCs w:val="24"/>
          <w:lang w:val="en-US"/>
        </w:rPr>
        <w:t xml:space="preserve">Israel appears then as an extreme case of rapid polarization </w:t>
      </w:r>
      <w:r w:rsidR="00A16817">
        <w:rPr>
          <w:sz w:val="24"/>
          <w:szCs w:val="24"/>
          <w:lang w:val="en-US"/>
        </w:rPr>
        <w:t xml:space="preserve">over </w:t>
      </w:r>
      <w:r w:rsidR="00E45CD2">
        <w:rPr>
          <w:sz w:val="24"/>
          <w:szCs w:val="24"/>
          <w:lang w:val="en-US"/>
        </w:rPr>
        <w:t xml:space="preserve">recent </w:t>
      </w:r>
      <w:r w:rsidR="004646D5">
        <w:rPr>
          <w:sz w:val="24"/>
          <w:szCs w:val="24"/>
          <w:lang w:val="en-US"/>
        </w:rPr>
        <w:t xml:space="preserve">decades, </w:t>
      </w:r>
      <w:r w:rsidR="00A16817">
        <w:rPr>
          <w:sz w:val="24"/>
          <w:szCs w:val="24"/>
          <w:lang w:val="en-US"/>
        </w:rPr>
        <w:t xml:space="preserve">which </w:t>
      </w:r>
      <w:r w:rsidR="004646D5">
        <w:rPr>
          <w:sz w:val="24"/>
          <w:szCs w:val="24"/>
          <w:lang w:val="en-US"/>
        </w:rPr>
        <w:t xml:space="preserve">is confirmed by the isograph </w:t>
      </w:r>
      <w:r w:rsidR="00C763CB">
        <w:rPr>
          <w:sz w:val="24"/>
          <w:szCs w:val="24"/>
          <w:lang w:val="en-US"/>
        </w:rPr>
        <w:t xml:space="preserve">in </w:t>
      </w:r>
      <w:r w:rsidR="00A16817">
        <w:rPr>
          <w:sz w:val="24"/>
          <w:szCs w:val="24"/>
          <w:lang w:val="en-US"/>
        </w:rPr>
        <w:t>F</w:t>
      </w:r>
      <w:r w:rsidR="00C763CB">
        <w:rPr>
          <w:sz w:val="24"/>
          <w:szCs w:val="24"/>
          <w:lang w:val="en-US"/>
        </w:rPr>
        <w:t xml:space="preserve">igure </w:t>
      </w:r>
      <w:r w:rsidR="00B03642">
        <w:rPr>
          <w:sz w:val="24"/>
          <w:szCs w:val="24"/>
          <w:lang w:val="en-US"/>
        </w:rPr>
        <w:t>6</w:t>
      </w:r>
      <w:r w:rsidR="004646D5">
        <w:rPr>
          <w:sz w:val="24"/>
          <w:szCs w:val="24"/>
          <w:lang w:val="en-US"/>
        </w:rPr>
        <w:t>.</w:t>
      </w:r>
      <w:r w:rsidR="00AE1BCA">
        <w:rPr>
          <w:sz w:val="24"/>
          <w:szCs w:val="24"/>
          <w:lang w:val="en-US"/>
        </w:rPr>
        <w:t xml:space="preserve"> </w:t>
      </w:r>
      <w:r w:rsidR="00AD199B">
        <w:rPr>
          <w:sz w:val="24"/>
          <w:szCs w:val="24"/>
          <w:lang w:val="en-US"/>
        </w:rPr>
        <w:t xml:space="preserve">A </w:t>
      </w:r>
      <w:r w:rsidR="00A16817">
        <w:rPr>
          <w:sz w:val="24"/>
          <w:szCs w:val="24"/>
          <w:lang w:val="en-US"/>
        </w:rPr>
        <w:t xml:space="preserve">broader </w:t>
      </w:r>
      <w:r w:rsidR="00AD199B">
        <w:rPr>
          <w:sz w:val="24"/>
          <w:szCs w:val="24"/>
          <w:lang w:val="en-US"/>
        </w:rPr>
        <w:t xml:space="preserve">international comparison </w:t>
      </w:r>
      <w:r w:rsidR="00A16817">
        <w:rPr>
          <w:sz w:val="24"/>
          <w:szCs w:val="24"/>
          <w:lang w:val="en-US"/>
        </w:rPr>
        <w:t xml:space="preserve">reveals </w:t>
      </w:r>
      <w:r w:rsidR="00AD328E">
        <w:rPr>
          <w:sz w:val="24"/>
          <w:szCs w:val="24"/>
          <w:lang w:val="en-US"/>
        </w:rPr>
        <w:t xml:space="preserve">the diversity </w:t>
      </w:r>
      <w:r w:rsidR="00A16817">
        <w:rPr>
          <w:sz w:val="24"/>
          <w:szCs w:val="24"/>
          <w:lang w:val="en-US"/>
        </w:rPr>
        <w:t xml:space="preserve">of </w:t>
      </w:r>
      <w:r w:rsidR="00AD328E">
        <w:rPr>
          <w:sz w:val="24"/>
          <w:szCs w:val="24"/>
          <w:lang w:val="en-US"/>
        </w:rPr>
        <w:t xml:space="preserve">distributions </w:t>
      </w:r>
      <w:r w:rsidR="00A16817">
        <w:rPr>
          <w:sz w:val="24"/>
          <w:szCs w:val="24"/>
          <w:lang w:val="en-US"/>
        </w:rPr>
        <w:t xml:space="preserve">across countries </w:t>
      </w:r>
      <w:r w:rsidR="00AD328E">
        <w:rPr>
          <w:sz w:val="24"/>
          <w:szCs w:val="24"/>
          <w:lang w:val="en-US"/>
        </w:rPr>
        <w:t>(</w:t>
      </w:r>
      <w:r w:rsidR="00DE578D">
        <w:rPr>
          <w:sz w:val="24"/>
          <w:szCs w:val="24"/>
          <w:lang w:val="en-GB"/>
        </w:rPr>
        <w:t>Appendix</w:t>
      </w:r>
      <w:r w:rsidR="00AD328E">
        <w:rPr>
          <w:sz w:val="24"/>
          <w:szCs w:val="24"/>
          <w:lang w:val="en-US"/>
        </w:rPr>
        <w:t xml:space="preserve"> 4: </w:t>
      </w:r>
      <w:r w:rsidR="00AD199B">
        <w:rPr>
          <w:sz w:val="24"/>
          <w:szCs w:val="24"/>
          <w:lang w:val="en-US"/>
        </w:rPr>
        <w:t xml:space="preserve">strobiloids </w:t>
      </w:r>
      <w:r w:rsidR="00A16817">
        <w:rPr>
          <w:sz w:val="24"/>
          <w:szCs w:val="24"/>
          <w:lang w:val="en-US"/>
        </w:rPr>
        <w:t xml:space="preserve">in </w:t>
      </w:r>
      <w:r w:rsidR="00AD199B">
        <w:rPr>
          <w:sz w:val="24"/>
          <w:szCs w:val="24"/>
          <w:lang w:val="en-US"/>
        </w:rPr>
        <w:t>32 countries)</w:t>
      </w:r>
      <w:r w:rsidR="00E24B8F">
        <w:rPr>
          <w:sz w:val="24"/>
          <w:szCs w:val="24"/>
          <w:lang w:val="en-US"/>
        </w:rPr>
        <w:t>.</w:t>
      </w:r>
    </w:p>
    <w:p w:rsidR="006C0712" w:rsidRDefault="006C0712" w:rsidP="00F64983">
      <w:pPr>
        <w:spacing w:after="120" w:line="480" w:lineRule="auto"/>
        <w:rPr>
          <w:b/>
          <w:sz w:val="24"/>
          <w:szCs w:val="24"/>
          <w:lang w:val="en-US"/>
        </w:rPr>
      </w:pPr>
    </w:p>
    <w:p w:rsidR="00F64983" w:rsidRPr="00F4214B" w:rsidRDefault="00F64983" w:rsidP="00A5340E">
      <w:pPr>
        <w:numPr>
          <w:ilvl w:val="0"/>
          <w:numId w:val="5"/>
        </w:numPr>
        <w:spacing w:after="120" w:line="480" w:lineRule="auto"/>
        <w:rPr>
          <w:b/>
          <w:sz w:val="24"/>
          <w:szCs w:val="24"/>
          <w:lang w:val="en-US"/>
        </w:rPr>
      </w:pPr>
      <w:r>
        <w:rPr>
          <w:b/>
          <w:sz w:val="24"/>
          <w:szCs w:val="24"/>
          <w:lang w:val="en-US"/>
        </w:rPr>
        <w:t xml:space="preserve">Conclusion: </w:t>
      </w:r>
      <w:r w:rsidR="00A16817">
        <w:rPr>
          <w:b/>
          <w:sz w:val="24"/>
          <w:szCs w:val="24"/>
          <w:lang w:val="en-US"/>
        </w:rPr>
        <w:t>The a</w:t>
      </w:r>
      <w:r>
        <w:rPr>
          <w:b/>
          <w:sz w:val="24"/>
          <w:szCs w:val="24"/>
          <w:lang w:val="en-US"/>
        </w:rPr>
        <w:t>dded value and further extension</w:t>
      </w:r>
      <w:r w:rsidR="00A16817">
        <w:rPr>
          <w:b/>
          <w:sz w:val="24"/>
          <w:szCs w:val="24"/>
          <w:lang w:val="en-US"/>
        </w:rPr>
        <w:t>s</w:t>
      </w:r>
      <w:r w:rsidR="00791BFA">
        <w:rPr>
          <w:b/>
          <w:sz w:val="24"/>
          <w:szCs w:val="24"/>
          <w:lang w:val="en-US"/>
        </w:rPr>
        <w:t xml:space="preserve"> of the ABG method</w:t>
      </w:r>
    </w:p>
    <w:p w:rsidR="00203C7A" w:rsidRDefault="00F64983" w:rsidP="00773309">
      <w:pPr>
        <w:spacing w:after="120" w:line="480" w:lineRule="auto"/>
        <w:rPr>
          <w:sz w:val="24"/>
          <w:szCs w:val="24"/>
          <w:lang w:val="en-US"/>
        </w:rPr>
      </w:pPr>
      <w:r>
        <w:rPr>
          <w:sz w:val="24"/>
          <w:szCs w:val="24"/>
          <w:lang w:val="en-US"/>
        </w:rPr>
        <w:t>Th</w:t>
      </w:r>
      <w:r w:rsidR="00A16817">
        <w:rPr>
          <w:sz w:val="24"/>
          <w:szCs w:val="24"/>
          <w:lang w:val="en-US"/>
        </w:rPr>
        <w:t>e</w:t>
      </w:r>
      <w:r>
        <w:rPr>
          <w:sz w:val="24"/>
          <w:szCs w:val="24"/>
          <w:lang w:val="en-US"/>
        </w:rPr>
        <w:t xml:space="preserve"> ABG methodology </w:t>
      </w:r>
      <w:r w:rsidR="00C763CB">
        <w:rPr>
          <w:sz w:val="24"/>
          <w:szCs w:val="24"/>
          <w:lang w:val="en-US"/>
        </w:rPr>
        <w:t xml:space="preserve">represents </w:t>
      </w:r>
      <w:r>
        <w:rPr>
          <w:sz w:val="24"/>
          <w:szCs w:val="24"/>
          <w:lang w:val="en-US"/>
        </w:rPr>
        <w:t xml:space="preserve">progress in terms of </w:t>
      </w:r>
      <w:r w:rsidR="00A16817">
        <w:rPr>
          <w:sz w:val="24"/>
          <w:szCs w:val="24"/>
          <w:lang w:val="en-US"/>
        </w:rPr>
        <w:t xml:space="preserve">both </w:t>
      </w:r>
      <w:r w:rsidR="00791BFA">
        <w:rPr>
          <w:sz w:val="24"/>
          <w:szCs w:val="24"/>
          <w:lang w:val="en-US"/>
        </w:rPr>
        <w:t xml:space="preserve">measurement and </w:t>
      </w:r>
      <w:r>
        <w:rPr>
          <w:sz w:val="24"/>
          <w:szCs w:val="24"/>
          <w:lang w:val="en-US"/>
        </w:rPr>
        <w:t>graphical representation</w:t>
      </w:r>
      <w:r w:rsidR="008C0424">
        <w:rPr>
          <w:sz w:val="24"/>
          <w:szCs w:val="24"/>
          <w:lang w:val="en-US"/>
        </w:rPr>
        <w:t xml:space="preserve"> (CF curve</w:t>
      </w:r>
      <w:r w:rsidR="00791BFA">
        <w:rPr>
          <w:sz w:val="24"/>
          <w:szCs w:val="24"/>
          <w:lang w:val="en-US"/>
        </w:rPr>
        <w:t>,</w:t>
      </w:r>
      <w:r w:rsidR="008C0424">
        <w:rPr>
          <w:sz w:val="24"/>
          <w:szCs w:val="24"/>
          <w:lang w:val="en-US"/>
        </w:rPr>
        <w:t xml:space="preserve"> isograph</w:t>
      </w:r>
      <w:r w:rsidR="007F2993">
        <w:rPr>
          <w:sz w:val="24"/>
          <w:szCs w:val="24"/>
          <w:lang w:val="en-US"/>
        </w:rPr>
        <w:t xml:space="preserve"> and </w:t>
      </w:r>
      <w:r w:rsidR="00791BFA">
        <w:rPr>
          <w:sz w:val="24"/>
          <w:szCs w:val="24"/>
          <w:lang w:val="en-US"/>
        </w:rPr>
        <w:t>strobiloid</w:t>
      </w:r>
      <w:r w:rsidR="008C0424">
        <w:rPr>
          <w:sz w:val="24"/>
          <w:szCs w:val="24"/>
          <w:lang w:val="en-US"/>
        </w:rPr>
        <w:t>)</w:t>
      </w:r>
      <w:r w:rsidR="00791BFA">
        <w:rPr>
          <w:sz w:val="24"/>
          <w:szCs w:val="24"/>
          <w:lang w:val="en-US"/>
        </w:rPr>
        <w:t xml:space="preserve"> </w:t>
      </w:r>
      <w:r w:rsidR="00937FFE">
        <w:rPr>
          <w:sz w:val="24"/>
          <w:szCs w:val="24"/>
          <w:lang w:val="en-US"/>
        </w:rPr>
        <w:t>of the diversity of inequalit</w:t>
      </w:r>
      <w:r w:rsidR="00A16817">
        <w:rPr>
          <w:sz w:val="24"/>
          <w:szCs w:val="24"/>
          <w:lang w:val="en-US"/>
        </w:rPr>
        <w:t>y</w:t>
      </w:r>
      <w:r w:rsidR="00937FFE">
        <w:rPr>
          <w:sz w:val="24"/>
          <w:szCs w:val="24"/>
          <w:lang w:val="en-US"/>
        </w:rPr>
        <w:t xml:space="preserve"> at different levels of income, since in many cases inequality is anisotropic </w:t>
      </w:r>
      <w:r w:rsidR="001A514C">
        <w:rPr>
          <w:sz w:val="24"/>
          <w:szCs w:val="24"/>
          <w:lang w:val="en-US"/>
        </w:rPr>
        <w:t>along the income scale</w:t>
      </w:r>
      <w:r w:rsidR="008C0424">
        <w:rPr>
          <w:sz w:val="24"/>
          <w:szCs w:val="24"/>
          <w:lang w:val="en-US"/>
        </w:rPr>
        <w:t xml:space="preserve">. </w:t>
      </w:r>
      <w:r w:rsidR="00203C7A">
        <w:rPr>
          <w:sz w:val="24"/>
          <w:szCs w:val="24"/>
          <w:lang w:val="en-US"/>
        </w:rPr>
        <w:t xml:space="preserve">In terms of public policies, it can </w:t>
      </w:r>
      <w:r w:rsidR="00BC6747">
        <w:rPr>
          <w:sz w:val="24"/>
          <w:szCs w:val="24"/>
          <w:lang w:val="en-US"/>
        </w:rPr>
        <w:t xml:space="preserve">reveal useful information </w:t>
      </w:r>
      <w:r w:rsidR="00203C7A">
        <w:rPr>
          <w:sz w:val="24"/>
          <w:szCs w:val="24"/>
          <w:lang w:val="en-US"/>
        </w:rPr>
        <w:t xml:space="preserve">about the </w:t>
      </w:r>
      <w:r w:rsidR="00BC6747">
        <w:rPr>
          <w:sz w:val="24"/>
          <w:szCs w:val="24"/>
          <w:lang w:val="en-US"/>
        </w:rPr>
        <w:t xml:space="preserve">different </w:t>
      </w:r>
      <w:r w:rsidR="00203C7A">
        <w:rPr>
          <w:sz w:val="24"/>
          <w:szCs w:val="24"/>
          <w:lang w:val="en-US"/>
        </w:rPr>
        <w:t xml:space="preserve">dynamics of </w:t>
      </w:r>
      <w:r w:rsidR="00203C7A">
        <w:rPr>
          <w:sz w:val="24"/>
          <w:szCs w:val="24"/>
          <w:lang w:val="en-US"/>
        </w:rPr>
        <w:lastRenderedPageBreak/>
        <w:t>inequalit</w:t>
      </w:r>
      <w:r w:rsidR="00BC6747">
        <w:rPr>
          <w:sz w:val="24"/>
          <w:szCs w:val="24"/>
          <w:lang w:val="en-US"/>
        </w:rPr>
        <w:t>y</w:t>
      </w:r>
      <w:r w:rsidR="00C763CB">
        <w:rPr>
          <w:sz w:val="24"/>
          <w:szCs w:val="24"/>
          <w:lang w:val="en-US"/>
        </w:rPr>
        <w:t>,</w:t>
      </w:r>
      <w:r w:rsidR="00203C7A">
        <w:rPr>
          <w:sz w:val="24"/>
          <w:szCs w:val="24"/>
          <w:lang w:val="en-US"/>
        </w:rPr>
        <w:t xml:space="preserve"> where </w:t>
      </w:r>
      <w:r w:rsidR="0074607E">
        <w:rPr>
          <w:sz w:val="24"/>
          <w:szCs w:val="24"/>
          <w:lang w:val="en-US"/>
        </w:rPr>
        <w:t xml:space="preserve">inequality at the </w:t>
      </w:r>
      <w:r w:rsidR="00203C7A">
        <w:rPr>
          <w:sz w:val="24"/>
          <w:szCs w:val="24"/>
          <w:lang w:val="en-US"/>
        </w:rPr>
        <w:t>median</w:t>
      </w:r>
      <w:r w:rsidR="00BC6747">
        <w:rPr>
          <w:sz w:val="24"/>
          <w:szCs w:val="24"/>
          <w:lang w:val="en-US"/>
        </w:rPr>
        <w:t>,</w:t>
      </w:r>
      <w:r w:rsidR="00203C7A">
        <w:rPr>
          <w:sz w:val="24"/>
          <w:szCs w:val="24"/>
          <w:lang w:val="en-US"/>
        </w:rPr>
        <w:t xml:space="preserve"> </w:t>
      </w:r>
      <w:r w:rsidR="00472786" w:rsidRPr="00472786">
        <w:rPr>
          <w:rFonts w:ascii="Symbol" w:hAnsi="Symbol"/>
          <w:sz w:val="24"/>
          <w:szCs w:val="24"/>
          <w:lang w:val="en-US"/>
        </w:rPr>
        <w:t></w:t>
      </w:r>
      <w:r w:rsidR="00BC6747">
        <w:rPr>
          <w:sz w:val="24"/>
          <w:szCs w:val="24"/>
          <w:lang w:val="en-US"/>
        </w:rPr>
        <w:t xml:space="preserve">, can </w:t>
      </w:r>
      <w:r w:rsidR="00203C7A">
        <w:rPr>
          <w:sz w:val="24"/>
          <w:szCs w:val="24"/>
          <w:lang w:val="en-US"/>
        </w:rPr>
        <w:t xml:space="preserve">be analyzed in parallel with </w:t>
      </w:r>
      <w:r w:rsidR="00BC6747">
        <w:rPr>
          <w:sz w:val="24"/>
          <w:szCs w:val="24"/>
          <w:lang w:val="en-US"/>
        </w:rPr>
        <w:t xml:space="preserve">that at </w:t>
      </w:r>
      <w:r w:rsidR="00203C7A">
        <w:rPr>
          <w:sz w:val="24"/>
          <w:szCs w:val="24"/>
          <w:lang w:val="en-US"/>
        </w:rPr>
        <w:t xml:space="preserve">the extremes described by </w:t>
      </w:r>
      <w:r w:rsidR="00472786" w:rsidRPr="00472786">
        <w:rPr>
          <w:rFonts w:ascii="Symbol" w:hAnsi="Symbol"/>
          <w:sz w:val="24"/>
          <w:szCs w:val="24"/>
          <w:lang w:val="en-US"/>
        </w:rPr>
        <w:t></w:t>
      </w:r>
      <w:r w:rsidR="00203C7A">
        <w:rPr>
          <w:sz w:val="24"/>
          <w:szCs w:val="24"/>
          <w:lang w:val="en-US"/>
        </w:rPr>
        <w:t xml:space="preserve"> and </w:t>
      </w:r>
      <w:r w:rsidR="00472786" w:rsidRPr="00472786">
        <w:rPr>
          <w:rFonts w:ascii="Symbol" w:hAnsi="Symbol"/>
          <w:sz w:val="24"/>
          <w:szCs w:val="24"/>
          <w:lang w:val="en-US"/>
        </w:rPr>
        <w:t></w:t>
      </w:r>
      <w:r w:rsidR="00203C7A">
        <w:rPr>
          <w:sz w:val="24"/>
          <w:szCs w:val="24"/>
          <w:lang w:val="en-US"/>
        </w:rPr>
        <w:t xml:space="preserve">. </w:t>
      </w:r>
    </w:p>
    <w:p w:rsidR="00890824" w:rsidRDefault="00BC6747" w:rsidP="00773309">
      <w:pPr>
        <w:spacing w:after="120" w:line="480" w:lineRule="auto"/>
        <w:rPr>
          <w:sz w:val="24"/>
          <w:szCs w:val="24"/>
          <w:lang w:val="en-US"/>
        </w:rPr>
      </w:pPr>
      <w:r w:rsidRPr="00BC6747">
        <w:rPr>
          <w:sz w:val="24"/>
          <w:szCs w:val="24"/>
          <w:lang w:val="en-US"/>
        </w:rPr>
        <w:t xml:space="preserve">The ABG </w:t>
      </w:r>
      <w:r>
        <w:rPr>
          <w:sz w:val="24"/>
          <w:szCs w:val="24"/>
          <w:lang w:val="en-US"/>
        </w:rPr>
        <w:t xml:space="preserve">approach relies on an </w:t>
      </w:r>
      <w:r w:rsidR="00890824">
        <w:rPr>
          <w:sz w:val="24"/>
          <w:szCs w:val="24"/>
          <w:lang w:val="en-US"/>
        </w:rPr>
        <w:t>easy</w:t>
      </w:r>
      <w:r w:rsidR="005C76CD">
        <w:rPr>
          <w:sz w:val="24"/>
          <w:szCs w:val="24"/>
          <w:lang w:val="en-US"/>
        </w:rPr>
        <w:t>-</w:t>
      </w:r>
      <w:r w:rsidR="00890824">
        <w:rPr>
          <w:sz w:val="24"/>
          <w:szCs w:val="24"/>
          <w:lang w:val="en-US"/>
        </w:rPr>
        <w:t>to</w:t>
      </w:r>
      <w:r w:rsidR="005C76CD">
        <w:rPr>
          <w:sz w:val="24"/>
          <w:szCs w:val="24"/>
          <w:lang w:val="en-US"/>
        </w:rPr>
        <w:t>-</w:t>
      </w:r>
      <w:r w:rsidR="00890824">
        <w:rPr>
          <w:sz w:val="24"/>
          <w:szCs w:val="24"/>
          <w:lang w:val="en-US"/>
        </w:rPr>
        <w:t>use family of distribution</w:t>
      </w:r>
      <w:r w:rsidR="008C0424">
        <w:rPr>
          <w:sz w:val="24"/>
          <w:szCs w:val="24"/>
          <w:lang w:val="en-US"/>
        </w:rPr>
        <w:t>s</w:t>
      </w:r>
      <w:r w:rsidR="00890824">
        <w:rPr>
          <w:sz w:val="24"/>
          <w:szCs w:val="24"/>
          <w:lang w:val="en-US"/>
        </w:rPr>
        <w:t xml:space="preserve"> </w:t>
      </w:r>
      <w:r>
        <w:rPr>
          <w:sz w:val="24"/>
          <w:szCs w:val="24"/>
          <w:lang w:val="en-US"/>
        </w:rPr>
        <w:t xml:space="preserve">to </w:t>
      </w:r>
      <w:r w:rsidR="00890824">
        <w:rPr>
          <w:sz w:val="24"/>
          <w:szCs w:val="24"/>
          <w:lang w:val="en-US"/>
        </w:rPr>
        <w:t>model</w:t>
      </w:r>
      <w:r w:rsidR="005C76CD">
        <w:rPr>
          <w:sz w:val="24"/>
          <w:szCs w:val="24"/>
          <w:lang w:val="en-US"/>
        </w:rPr>
        <w:t xml:space="preserve"> </w:t>
      </w:r>
      <w:r w:rsidR="005B2B23">
        <w:rPr>
          <w:sz w:val="24"/>
          <w:szCs w:val="24"/>
          <w:lang w:val="en-US"/>
        </w:rPr>
        <w:t>income distributions</w:t>
      </w:r>
      <w:r w:rsidR="001D3DFC">
        <w:rPr>
          <w:sz w:val="24"/>
          <w:szCs w:val="24"/>
          <w:lang w:val="en-US"/>
        </w:rPr>
        <w:t>.</w:t>
      </w:r>
      <w:r w:rsidR="00890824">
        <w:rPr>
          <w:sz w:val="24"/>
          <w:szCs w:val="24"/>
          <w:lang w:val="en-US"/>
        </w:rPr>
        <w:t xml:space="preserve"> </w:t>
      </w:r>
      <w:r w:rsidR="001D3DFC">
        <w:rPr>
          <w:sz w:val="24"/>
          <w:szCs w:val="24"/>
          <w:lang w:val="en-US"/>
        </w:rPr>
        <w:t>I</w:t>
      </w:r>
      <w:r w:rsidR="00890824">
        <w:rPr>
          <w:sz w:val="24"/>
          <w:szCs w:val="24"/>
          <w:lang w:val="en-US"/>
        </w:rPr>
        <w:t xml:space="preserve">t </w:t>
      </w:r>
      <w:r>
        <w:rPr>
          <w:sz w:val="24"/>
          <w:szCs w:val="24"/>
          <w:lang w:val="en-US"/>
        </w:rPr>
        <w:t xml:space="preserve">can </w:t>
      </w:r>
      <w:r w:rsidR="00890824">
        <w:rPr>
          <w:sz w:val="24"/>
          <w:szCs w:val="24"/>
          <w:lang w:val="en-US"/>
        </w:rPr>
        <w:t>be use</w:t>
      </w:r>
      <w:r>
        <w:rPr>
          <w:sz w:val="24"/>
          <w:szCs w:val="24"/>
          <w:lang w:val="en-US"/>
        </w:rPr>
        <w:t>d</w:t>
      </w:r>
      <w:r w:rsidR="005C76CD">
        <w:rPr>
          <w:sz w:val="24"/>
          <w:szCs w:val="24"/>
          <w:lang w:val="en-US"/>
        </w:rPr>
        <w:t>,</w:t>
      </w:r>
      <w:r w:rsidR="00890824">
        <w:rPr>
          <w:sz w:val="24"/>
          <w:szCs w:val="24"/>
          <w:lang w:val="en-US"/>
        </w:rPr>
        <w:t xml:space="preserve"> for </w:t>
      </w:r>
      <w:r>
        <w:rPr>
          <w:sz w:val="24"/>
          <w:szCs w:val="24"/>
          <w:lang w:val="en-US"/>
        </w:rPr>
        <w:t>example</w:t>
      </w:r>
      <w:r w:rsidR="005C76CD">
        <w:rPr>
          <w:sz w:val="24"/>
          <w:szCs w:val="24"/>
          <w:lang w:val="en-US"/>
        </w:rPr>
        <w:t>,</w:t>
      </w:r>
      <w:r w:rsidR="00890824">
        <w:rPr>
          <w:sz w:val="24"/>
          <w:szCs w:val="24"/>
          <w:lang w:val="en-US"/>
        </w:rPr>
        <w:t xml:space="preserve"> </w:t>
      </w:r>
      <w:r>
        <w:rPr>
          <w:sz w:val="24"/>
          <w:szCs w:val="24"/>
          <w:lang w:val="en-US"/>
        </w:rPr>
        <w:t xml:space="preserve">to </w:t>
      </w:r>
      <w:r w:rsidR="00890824">
        <w:rPr>
          <w:sz w:val="24"/>
          <w:szCs w:val="24"/>
          <w:lang w:val="en-US"/>
        </w:rPr>
        <w:t>model</w:t>
      </w:r>
      <w:r w:rsidR="005C76CD">
        <w:rPr>
          <w:sz w:val="24"/>
          <w:szCs w:val="24"/>
          <w:lang w:val="en-US"/>
        </w:rPr>
        <w:t xml:space="preserve"> </w:t>
      </w:r>
      <w:r w:rsidR="00890824">
        <w:rPr>
          <w:sz w:val="24"/>
          <w:szCs w:val="24"/>
          <w:lang w:val="en-US"/>
        </w:rPr>
        <w:t>extremely unequal distribution</w:t>
      </w:r>
      <w:r w:rsidR="005C76CD">
        <w:rPr>
          <w:sz w:val="24"/>
          <w:szCs w:val="24"/>
          <w:lang w:val="en-US"/>
        </w:rPr>
        <w:t>s</w:t>
      </w:r>
      <w:r w:rsidR="00890824">
        <w:rPr>
          <w:sz w:val="24"/>
          <w:szCs w:val="24"/>
          <w:lang w:val="en-US"/>
        </w:rPr>
        <w:t xml:space="preserve"> such as Zipf laws</w:t>
      </w:r>
      <w:r w:rsidR="00F076E9">
        <w:rPr>
          <w:sz w:val="24"/>
          <w:szCs w:val="24"/>
          <w:lang w:val="en-US"/>
        </w:rPr>
        <w:t xml:space="preserve"> (Gabaix</w:t>
      </w:r>
      <w:r w:rsidR="005C76CD">
        <w:rPr>
          <w:sz w:val="24"/>
          <w:szCs w:val="24"/>
          <w:lang w:val="en-US"/>
        </w:rPr>
        <w:t>,</w:t>
      </w:r>
      <w:r w:rsidR="00F076E9">
        <w:rPr>
          <w:sz w:val="24"/>
          <w:szCs w:val="24"/>
          <w:lang w:val="en-US"/>
        </w:rPr>
        <w:t xml:space="preserve"> 1999)</w:t>
      </w:r>
      <w:r>
        <w:rPr>
          <w:sz w:val="24"/>
          <w:szCs w:val="24"/>
          <w:lang w:val="en-US"/>
        </w:rPr>
        <w:t xml:space="preserve">, which </w:t>
      </w:r>
      <w:r w:rsidR="00F076E9">
        <w:rPr>
          <w:sz w:val="24"/>
          <w:szCs w:val="24"/>
          <w:lang w:val="en-US"/>
        </w:rPr>
        <w:t xml:space="preserve">are extreme Pareto distributions with </w:t>
      </w:r>
      <w:r w:rsidR="00472786" w:rsidRPr="00472786">
        <w:rPr>
          <w:rFonts w:ascii="Symbol" w:hAnsi="Symbol"/>
          <w:sz w:val="24"/>
          <w:szCs w:val="24"/>
          <w:lang w:val="en-US"/>
        </w:rPr>
        <w:t></w:t>
      </w:r>
      <w:r w:rsidR="00E45CD2">
        <w:rPr>
          <w:sz w:val="24"/>
          <w:szCs w:val="24"/>
          <w:lang w:val="en-US"/>
        </w:rPr>
        <w:t xml:space="preserve"> close to</w:t>
      </w:r>
      <w:r w:rsidR="00F076E9">
        <w:rPr>
          <w:sz w:val="24"/>
          <w:szCs w:val="24"/>
          <w:lang w:val="en-US"/>
        </w:rPr>
        <w:t xml:space="preserve"> 1</w:t>
      </w:r>
      <w:r>
        <w:rPr>
          <w:sz w:val="24"/>
          <w:szCs w:val="24"/>
          <w:lang w:val="en-US"/>
        </w:rPr>
        <w:t>. It also helps us to understand</w:t>
      </w:r>
      <w:r w:rsidR="00890824">
        <w:rPr>
          <w:sz w:val="24"/>
          <w:szCs w:val="24"/>
          <w:lang w:val="en-US"/>
        </w:rPr>
        <w:t xml:space="preserve"> why </w:t>
      </w:r>
      <w:r w:rsidR="005C76CD">
        <w:rPr>
          <w:sz w:val="24"/>
          <w:szCs w:val="24"/>
          <w:lang w:val="en-US"/>
        </w:rPr>
        <w:t xml:space="preserve">the </w:t>
      </w:r>
      <w:r w:rsidR="00A70B2E">
        <w:rPr>
          <w:sz w:val="24"/>
          <w:szCs w:val="24"/>
          <w:lang w:val="en-US"/>
        </w:rPr>
        <w:t xml:space="preserve">Gini </w:t>
      </w:r>
      <w:r>
        <w:rPr>
          <w:sz w:val="24"/>
          <w:szCs w:val="24"/>
          <w:lang w:val="en-US"/>
        </w:rPr>
        <w:t>coefficient can pose problems</w:t>
      </w:r>
      <w:r w:rsidR="00890824">
        <w:rPr>
          <w:sz w:val="24"/>
          <w:szCs w:val="24"/>
          <w:lang w:val="en-US"/>
        </w:rPr>
        <w:t xml:space="preserve"> </w:t>
      </w:r>
      <w:r w:rsidR="00F076E9">
        <w:rPr>
          <w:sz w:val="24"/>
          <w:szCs w:val="24"/>
          <w:lang w:val="en-US"/>
        </w:rPr>
        <w:t xml:space="preserve">when the isograph is far from </w:t>
      </w:r>
      <w:r>
        <w:rPr>
          <w:sz w:val="24"/>
          <w:szCs w:val="24"/>
          <w:lang w:val="en-US"/>
        </w:rPr>
        <w:t xml:space="preserve">being </w:t>
      </w:r>
      <w:r w:rsidR="00F076E9">
        <w:rPr>
          <w:sz w:val="24"/>
          <w:szCs w:val="24"/>
          <w:lang w:val="en-US"/>
        </w:rPr>
        <w:t xml:space="preserve">a constant (when </w:t>
      </w:r>
      <w:r w:rsidR="00472786" w:rsidRPr="00472786">
        <w:rPr>
          <w:rFonts w:ascii="Symbol" w:hAnsi="Symbol"/>
          <w:sz w:val="24"/>
          <w:szCs w:val="24"/>
          <w:lang w:val="en-US"/>
        </w:rPr>
        <w:t></w:t>
      </w:r>
      <w:r w:rsidR="00F076E9">
        <w:rPr>
          <w:sz w:val="24"/>
          <w:szCs w:val="24"/>
          <w:lang w:val="en-US"/>
        </w:rPr>
        <w:t xml:space="preserve"> and </w:t>
      </w:r>
      <w:r w:rsidR="00472786" w:rsidRPr="00472786">
        <w:rPr>
          <w:rFonts w:ascii="Symbol" w:hAnsi="Symbol"/>
          <w:sz w:val="24"/>
          <w:szCs w:val="24"/>
          <w:lang w:val="en-US"/>
        </w:rPr>
        <w:t></w:t>
      </w:r>
      <w:r w:rsidR="00F076E9">
        <w:rPr>
          <w:sz w:val="24"/>
          <w:szCs w:val="24"/>
          <w:lang w:val="en-US"/>
        </w:rPr>
        <w:t xml:space="preserve"> differ</w:t>
      </w:r>
      <w:r w:rsidR="005C76CD">
        <w:rPr>
          <w:sz w:val="24"/>
          <w:szCs w:val="24"/>
          <w:lang w:val="en-US"/>
        </w:rPr>
        <w:t xml:space="preserve"> greatly</w:t>
      </w:r>
      <w:r w:rsidR="00F076E9">
        <w:rPr>
          <w:sz w:val="24"/>
          <w:szCs w:val="24"/>
          <w:lang w:val="en-US"/>
        </w:rPr>
        <w:t xml:space="preserve"> from 0)</w:t>
      </w:r>
      <w:r w:rsidR="00890824">
        <w:rPr>
          <w:sz w:val="24"/>
          <w:szCs w:val="24"/>
          <w:lang w:val="en-US"/>
        </w:rPr>
        <w:t xml:space="preserve">. </w:t>
      </w:r>
    </w:p>
    <w:p w:rsidR="00890824" w:rsidRDefault="00BC6747" w:rsidP="00773309">
      <w:pPr>
        <w:spacing w:after="120" w:line="480" w:lineRule="auto"/>
        <w:rPr>
          <w:sz w:val="24"/>
          <w:szCs w:val="24"/>
          <w:lang w:val="en-US"/>
        </w:rPr>
      </w:pPr>
      <w:r>
        <w:rPr>
          <w:sz w:val="24"/>
          <w:szCs w:val="24"/>
          <w:lang w:val="en-US"/>
        </w:rPr>
        <w:t xml:space="preserve">In this approach, the </w:t>
      </w:r>
      <w:r w:rsidR="00890824">
        <w:rPr>
          <w:sz w:val="24"/>
          <w:szCs w:val="24"/>
          <w:lang w:val="en-US"/>
        </w:rPr>
        <w:t>magnitudes of ranks and incomes</w:t>
      </w:r>
      <w:r>
        <w:rPr>
          <w:sz w:val="24"/>
          <w:szCs w:val="24"/>
          <w:lang w:val="en-US"/>
        </w:rPr>
        <w:t>,</w:t>
      </w:r>
      <w:r w:rsidR="00890824">
        <w:rPr>
          <w:sz w:val="24"/>
          <w:szCs w:val="24"/>
          <w:lang w:val="en-US"/>
        </w:rPr>
        <w:t xml:space="preserve"> defined by logit(quantile) and log(income)</w:t>
      </w:r>
      <w:r>
        <w:rPr>
          <w:sz w:val="24"/>
          <w:szCs w:val="24"/>
          <w:lang w:val="en-US"/>
        </w:rPr>
        <w:t>,</w:t>
      </w:r>
      <w:r w:rsidR="00890824">
        <w:rPr>
          <w:sz w:val="24"/>
          <w:szCs w:val="24"/>
          <w:lang w:val="en-US"/>
        </w:rPr>
        <w:t xml:space="preserve"> are </w:t>
      </w:r>
      <w:r>
        <w:rPr>
          <w:sz w:val="24"/>
          <w:szCs w:val="24"/>
          <w:lang w:val="en-US"/>
        </w:rPr>
        <w:t>almost linearly-</w:t>
      </w:r>
      <w:r w:rsidR="00890824">
        <w:rPr>
          <w:sz w:val="24"/>
          <w:szCs w:val="24"/>
          <w:lang w:val="en-US"/>
        </w:rPr>
        <w:t>related</w:t>
      </w:r>
      <w:r w:rsidR="005B2B23">
        <w:rPr>
          <w:sz w:val="24"/>
          <w:szCs w:val="24"/>
          <w:lang w:val="en-US"/>
        </w:rPr>
        <w:t xml:space="preserve">. </w:t>
      </w:r>
      <w:r w:rsidR="005C76CD">
        <w:rPr>
          <w:sz w:val="24"/>
          <w:szCs w:val="24"/>
          <w:lang w:val="en-US"/>
        </w:rPr>
        <w:t>The</w:t>
      </w:r>
      <w:r>
        <w:rPr>
          <w:sz w:val="24"/>
          <w:szCs w:val="24"/>
          <w:lang w:val="en-US"/>
        </w:rPr>
        <w:t xml:space="preserve"> </w:t>
      </w:r>
      <w:r w:rsidR="00F076E9">
        <w:rPr>
          <w:sz w:val="24"/>
          <w:szCs w:val="24"/>
          <w:lang w:val="en-US"/>
        </w:rPr>
        <w:t xml:space="preserve">logit(quantile) </w:t>
      </w:r>
      <w:r>
        <w:rPr>
          <w:sz w:val="24"/>
          <w:szCs w:val="24"/>
          <w:lang w:val="en-US"/>
        </w:rPr>
        <w:t xml:space="preserve">may therefore </w:t>
      </w:r>
      <w:r w:rsidR="00890824">
        <w:rPr>
          <w:sz w:val="24"/>
          <w:szCs w:val="24"/>
          <w:lang w:val="en-US"/>
        </w:rPr>
        <w:t>be a</w:t>
      </w:r>
      <w:r w:rsidR="00F076E9">
        <w:rPr>
          <w:sz w:val="24"/>
          <w:szCs w:val="24"/>
          <w:lang w:val="en-US"/>
        </w:rPr>
        <w:t xml:space="preserve">n important tool </w:t>
      </w:r>
      <w:r>
        <w:rPr>
          <w:sz w:val="24"/>
          <w:szCs w:val="24"/>
          <w:lang w:val="en-US"/>
        </w:rPr>
        <w:t xml:space="preserve">for the </w:t>
      </w:r>
      <w:r w:rsidR="00F076E9">
        <w:rPr>
          <w:sz w:val="24"/>
          <w:szCs w:val="24"/>
          <w:lang w:val="en-US"/>
        </w:rPr>
        <w:t>measurement of</w:t>
      </w:r>
      <w:r w:rsidR="00890824">
        <w:rPr>
          <w:sz w:val="24"/>
          <w:szCs w:val="24"/>
          <w:lang w:val="en-US"/>
        </w:rPr>
        <w:t xml:space="preserve"> inequalit</w:t>
      </w:r>
      <w:r>
        <w:rPr>
          <w:sz w:val="24"/>
          <w:szCs w:val="24"/>
          <w:lang w:val="en-US"/>
        </w:rPr>
        <w:t>y</w:t>
      </w:r>
      <w:r w:rsidR="005B2B23">
        <w:rPr>
          <w:sz w:val="24"/>
          <w:szCs w:val="24"/>
          <w:lang w:val="en-US"/>
        </w:rPr>
        <w:t xml:space="preserve">, and </w:t>
      </w:r>
      <w:r w:rsidR="00890824">
        <w:rPr>
          <w:sz w:val="24"/>
          <w:szCs w:val="24"/>
          <w:lang w:val="en-US"/>
        </w:rPr>
        <w:t xml:space="preserve">could be </w:t>
      </w:r>
      <w:r>
        <w:rPr>
          <w:sz w:val="24"/>
          <w:szCs w:val="24"/>
          <w:lang w:val="en-US"/>
        </w:rPr>
        <w:t xml:space="preserve">used </w:t>
      </w:r>
      <w:r w:rsidR="00890824">
        <w:rPr>
          <w:sz w:val="24"/>
          <w:szCs w:val="24"/>
          <w:lang w:val="en-US"/>
        </w:rPr>
        <w:t xml:space="preserve">in other fields such as income mobility. </w:t>
      </w:r>
      <w:r>
        <w:rPr>
          <w:sz w:val="24"/>
          <w:szCs w:val="24"/>
          <w:lang w:val="en-US"/>
        </w:rPr>
        <w:t xml:space="preserve">The further </w:t>
      </w:r>
      <w:r w:rsidR="008C0424">
        <w:rPr>
          <w:sz w:val="24"/>
          <w:szCs w:val="24"/>
          <w:lang w:val="en-US"/>
        </w:rPr>
        <w:t>development</w:t>
      </w:r>
      <w:r w:rsidR="005B2B23">
        <w:rPr>
          <w:sz w:val="24"/>
          <w:szCs w:val="24"/>
          <w:lang w:val="en-US"/>
        </w:rPr>
        <w:t xml:space="preserve"> of the ABG</w:t>
      </w:r>
      <w:r w:rsidR="008C0424">
        <w:rPr>
          <w:sz w:val="24"/>
          <w:szCs w:val="24"/>
          <w:lang w:val="en-US"/>
        </w:rPr>
        <w:t xml:space="preserve"> should include </w:t>
      </w:r>
      <w:r>
        <w:rPr>
          <w:sz w:val="24"/>
          <w:szCs w:val="24"/>
          <w:lang w:val="en-US"/>
        </w:rPr>
        <w:t xml:space="preserve">the analysis </w:t>
      </w:r>
      <w:r w:rsidR="008C0424">
        <w:rPr>
          <w:sz w:val="24"/>
          <w:szCs w:val="24"/>
          <w:lang w:val="en-US"/>
        </w:rPr>
        <w:t xml:space="preserve">of </w:t>
      </w:r>
      <w:r w:rsidR="005B2B23">
        <w:rPr>
          <w:sz w:val="24"/>
          <w:szCs w:val="24"/>
          <w:lang w:val="en-US"/>
        </w:rPr>
        <w:t xml:space="preserve">statistical significance </w:t>
      </w:r>
      <w:r>
        <w:rPr>
          <w:sz w:val="24"/>
          <w:szCs w:val="24"/>
          <w:lang w:val="en-US"/>
        </w:rPr>
        <w:t xml:space="preserve">and </w:t>
      </w:r>
      <w:r w:rsidR="008C0424">
        <w:rPr>
          <w:sz w:val="24"/>
          <w:szCs w:val="24"/>
          <w:lang w:val="en-US"/>
        </w:rPr>
        <w:t>group decomposability</w:t>
      </w:r>
      <w:r w:rsidR="00126B88">
        <w:rPr>
          <w:sz w:val="24"/>
          <w:szCs w:val="24"/>
          <w:lang w:val="en-US"/>
        </w:rPr>
        <w:t>.</w:t>
      </w:r>
      <w:r w:rsidR="005B2B23">
        <w:rPr>
          <w:sz w:val="24"/>
          <w:szCs w:val="24"/>
          <w:lang w:val="en-US"/>
        </w:rPr>
        <w:t xml:space="preserve"> </w:t>
      </w:r>
      <w:r>
        <w:rPr>
          <w:sz w:val="24"/>
          <w:szCs w:val="24"/>
          <w:lang w:val="en-US"/>
        </w:rPr>
        <w:t xml:space="preserve">As the </w:t>
      </w:r>
      <w:r w:rsidR="005B2B23">
        <w:rPr>
          <w:sz w:val="24"/>
          <w:szCs w:val="24"/>
          <w:lang w:val="en-US"/>
        </w:rPr>
        <w:t xml:space="preserve">ABG </w:t>
      </w:r>
      <w:r w:rsidR="008C0424">
        <w:rPr>
          <w:sz w:val="24"/>
          <w:szCs w:val="24"/>
          <w:lang w:val="en-US"/>
        </w:rPr>
        <w:t xml:space="preserve">coefficients </w:t>
      </w:r>
      <w:r>
        <w:rPr>
          <w:sz w:val="24"/>
          <w:szCs w:val="24"/>
          <w:lang w:val="en-US"/>
        </w:rPr>
        <w:t xml:space="preserve">come </w:t>
      </w:r>
      <w:r w:rsidR="008C0424">
        <w:rPr>
          <w:sz w:val="24"/>
          <w:szCs w:val="24"/>
          <w:lang w:val="en-US"/>
        </w:rPr>
        <w:t>from linear regression</w:t>
      </w:r>
      <w:r>
        <w:rPr>
          <w:sz w:val="24"/>
          <w:szCs w:val="24"/>
          <w:lang w:val="en-US"/>
        </w:rPr>
        <w:t>s</w:t>
      </w:r>
      <w:r w:rsidR="005B2B23">
        <w:rPr>
          <w:sz w:val="24"/>
          <w:szCs w:val="24"/>
          <w:lang w:val="en-US"/>
        </w:rPr>
        <w:t>,</w:t>
      </w:r>
      <w:r w:rsidR="008C0424">
        <w:rPr>
          <w:sz w:val="24"/>
          <w:szCs w:val="24"/>
          <w:lang w:val="en-US"/>
        </w:rPr>
        <w:t xml:space="preserve"> </w:t>
      </w:r>
      <w:r>
        <w:rPr>
          <w:sz w:val="24"/>
          <w:szCs w:val="24"/>
          <w:lang w:val="en-US"/>
        </w:rPr>
        <w:t xml:space="preserve">we </w:t>
      </w:r>
      <w:r w:rsidRPr="00BC6747">
        <w:rPr>
          <w:sz w:val="24"/>
          <w:szCs w:val="24"/>
          <w:lang w:val="en-US"/>
        </w:rPr>
        <w:t xml:space="preserve">can </w:t>
      </w:r>
      <w:r>
        <w:rPr>
          <w:sz w:val="24"/>
          <w:szCs w:val="24"/>
          <w:lang w:val="en-US"/>
        </w:rPr>
        <w:t>add</w:t>
      </w:r>
      <w:r w:rsidRPr="00BC6747">
        <w:rPr>
          <w:sz w:val="24"/>
          <w:szCs w:val="24"/>
          <w:lang w:val="en-US"/>
        </w:rPr>
        <w:t xml:space="preserve"> </w:t>
      </w:r>
      <w:r w:rsidR="008C0424">
        <w:rPr>
          <w:sz w:val="24"/>
          <w:szCs w:val="24"/>
          <w:lang w:val="en-US"/>
        </w:rPr>
        <w:t xml:space="preserve">control variables </w:t>
      </w:r>
      <w:r w:rsidR="005B2B23">
        <w:rPr>
          <w:sz w:val="24"/>
          <w:szCs w:val="24"/>
          <w:lang w:val="en-US"/>
        </w:rPr>
        <w:t xml:space="preserve">to understand how </w:t>
      </w:r>
      <w:r>
        <w:rPr>
          <w:sz w:val="24"/>
          <w:szCs w:val="24"/>
          <w:lang w:val="en-US"/>
        </w:rPr>
        <w:t xml:space="preserve">the </w:t>
      </w:r>
      <w:r w:rsidR="005B2B23">
        <w:rPr>
          <w:sz w:val="24"/>
          <w:szCs w:val="24"/>
          <w:lang w:val="en-US"/>
        </w:rPr>
        <w:t>gap</w:t>
      </w:r>
      <w:r w:rsidR="00540B8C">
        <w:rPr>
          <w:sz w:val="24"/>
          <w:szCs w:val="24"/>
          <w:lang w:val="en-US"/>
        </w:rPr>
        <w:t>s</w:t>
      </w:r>
      <w:r w:rsidR="005B2B23">
        <w:rPr>
          <w:sz w:val="24"/>
          <w:szCs w:val="24"/>
          <w:lang w:val="en-US"/>
        </w:rPr>
        <w:t xml:space="preserve"> between groups </w:t>
      </w:r>
      <w:r w:rsidR="00755A62">
        <w:rPr>
          <w:sz w:val="24"/>
          <w:szCs w:val="24"/>
          <w:lang w:val="en-US"/>
        </w:rPr>
        <w:t xml:space="preserve">(education, gender, etc.) </w:t>
      </w:r>
      <w:r>
        <w:rPr>
          <w:sz w:val="24"/>
          <w:szCs w:val="24"/>
          <w:lang w:val="en-US"/>
        </w:rPr>
        <w:t xml:space="preserve">contribute to </w:t>
      </w:r>
      <w:r w:rsidR="005B2B23">
        <w:rPr>
          <w:sz w:val="24"/>
          <w:szCs w:val="24"/>
          <w:lang w:val="en-US"/>
        </w:rPr>
        <w:t>overall inequality</w:t>
      </w:r>
      <w:r w:rsidR="008C0424">
        <w:rPr>
          <w:sz w:val="24"/>
          <w:szCs w:val="24"/>
          <w:lang w:val="en-US"/>
        </w:rPr>
        <w:t xml:space="preserve">. </w:t>
      </w:r>
      <w:r>
        <w:rPr>
          <w:sz w:val="24"/>
          <w:szCs w:val="24"/>
          <w:lang w:val="en-US"/>
        </w:rPr>
        <w:t xml:space="preserve">Last, we also need further analysis </w:t>
      </w:r>
      <w:r w:rsidR="00D135FD">
        <w:rPr>
          <w:sz w:val="24"/>
          <w:szCs w:val="24"/>
          <w:lang w:val="en-US"/>
        </w:rPr>
        <w:t xml:space="preserve">of isograph shapes when the absolute value of X is over 5, for the </w:t>
      </w:r>
      <w:r>
        <w:rPr>
          <w:sz w:val="24"/>
          <w:szCs w:val="24"/>
          <w:lang w:val="en-US"/>
        </w:rPr>
        <w:t xml:space="preserve">very </w:t>
      </w:r>
      <w:r w:rsidR="00D135FD">
        <w:rPr>
          <w:sz w:val="24"/>
          <w:szCs w:val="24"/>
          <w:lang w:val="en-US"/>
        </w:rPr>
        <w:t xml:space="preserve">rich and </w:t>
      </w:r>
      <w:r>
        <w:rPr>
          <w:sz w:val="24"/>
          <w:szCs w:val="24"/>
          <w:lang w:val="en-US"/>
        </w:rPr>
        <w:t xml:space="preserve">very </w:t>
      </w:r>
      <w:r w:rsidR="00D135FD">
        <w:rPr>
          <w:sz w:val="24"/>
          <w:szCs w:val="24"/>
          <w:lang w:val="en-US"/>
        </w:rPr>
        <w:t xml:space="preserve">poor. </w:t>
      </w:r>
    </w:p>
    <w:p w:rsidR="00791BFA" w:rsidRDefault="00791BFA" w:rsidP="00791BFA">
      <w:pPr>
        <w:spacing w:after="120" w:line="480" w:lineRule="auto"/>
        <w:rPr>
          <w:sz w:val="24"/>
          <w:szCs w:val="24"/>
          <w:lang w:val="en-US"/>
        </w:rPr>
      </w:pPr>
      <w:r>
        <w:rPr>
          <w:sz w:val="24"/>
          <w:szCs w:val="24"/>
          <w:lang w:val="en-US"/>
        </w:rPr>
        <w:t xml:space="preserve">The results </w:t>
      </w:r>
      <w:r w:rsidR="00BC6747">
        <w:rPr>
          <w:sz w:val="24"/>
          <w:szCs w:val="24"/>
          <w:lang w:val="en-US"/>
        </w:rPr>
        <w:t xml:space="preserve">that we presented </w:t>
      </w:r>
      <w:r>
        <w:rPr>
          <w:sz w:val="24"/>
          <w:szCs w:val="24"/>
          <w:lang w:val="en-US"/>
        </w:rPr>
        <w:t xml:space="preserve">here can </w:t>
      </w:r>
      <w:r w:rsidR="00BC6747">
        <w:rPr>
          <w:sz w:val="24"/>
          <w:szCs w:val="24"/>
          <w:lang w:val="en-US"/>
        </w:rPr>
        <w:t xml:space="preserve">also be found </w:t>
      </w:r>
      <w:r>
        <w:rPr>
          <w:sz w:val="24"/>
          <w:szCs w:val="24"/>
          <w:lang w:val="en-US"/>
        </w:rPr>
        <w:t xml:space="preserve">with more traditional tools, but the </w:t>
      </w:r>
      <w:r w:rsidR="00D135FD" w:rsidRPr="00472786">
        <w:rPr>
          <w:rFonts w:ascii="Symbol" w:hAnsi="Symbol"/>
          <w:sz w:val="24"/>
          <w:szCs w:val="24"/>
          <w:lang w:val="en-US"/>
        </w:rPr>
        <w:t></w:t>
      </w:r>
      <w:r w:rsidR="007F2993">
        <w:rPr>
          <w:rFonts w:ascii="Symbol" w:hAnsi="Symbol"/>
          <w:sz w:val="24"/>
          <w:szCs w:val="24"/>
          <w:lang w:val="en-US"/>
        </w:rPr>
        <w:t></w:t>
      </w:r>
      <w:r w:rsidR="00D135FD">
        <w:rPr>
          <w:sz w:val="24"/>
          <w:szCs w:val="24"/>
          <w:lang w:val="en-US"/>
        </w:rPr>
        <w:t xml:space="preserve"> </w:t>
      </w:r>
      <w:r w:rsidR="00D135FD" w:rsidRPr="00472786">
        <w:rPr>
          <w:rFonts w:ascii="Symbol" w:hAnsi="Symbol"/>
          <w:sz w:val="24"/>
          <w:szCs w:val="24"/>
          <w:lang w:val="en-US"/>
        </w:rPr>
        <w:t></w:t>
      </w:r>
      <w:r w:rsidR="007F2993">
        <w:rPr>
          <w:rFonts w:ascii="Symbol" w:hAnsi="Symbol"/>
          <w:sz w:val="24"/>
          <w:szCs w:val="24"/>
          <w:lang w:val="en-US"/>
        </w:rPr>
        <w:t></w:t>
      </w:r>
      <w:r w:rsidR="00D135FD">
        <w:rPr>
          <w:sz w:val="24"/>
          <w:szCs w:val="24"/>
          <w:lang w:val="en-US"/>
        </w:rPr>
        <w:t xml:space="preserve"> </w:t>
      </w:r>
      <w:r w:rsidR="00D135FD" w:rsidRPr="00472786">
        <w:rPr>
          <w:rFonts w:ascii="Symbol" w:hAnsi="Symbol"/>
          <w:sz w:val="24"/>
          <w:szCs w:val="24"/>
          <w:lang w:val="en-US"/>
        </w:rPr>
        <w:t></w:t>
      </w:r>
      <w:r w:rsidR="00D135FD">
        <w:rPr>
          <w:sz w:val="24"/>
          <w:szCs w:val="24"/>
          <w:lang w:val="en-US"/>
        </w:rPr>
        <w:t xml:space="preserve"> </w:t>
      </w:r>
      <w:r>
        <w:rPr>
          <w:sz w:val="24"/>
          <w:szCs w:val="24"/>
          <w:lang w:val="en-US"/>
        </w:rPr>
        <w:t>ABG method, the CF and the isograph, and the associated strobiloid</w:t>
      </w:r>
      <w:r w:rsidR="00BC6747">
        <w:rPr>
          <w:sz w:val="24"/>
          <w:szCs w:val="24"/>
          <w:lang w:val="en-US"/>
        </w:rPr>
        <w:t xml:space="preserve">, represent </w:t>
      </w:r>
      <w:r>
        <w:rPr>
          <w:sz w:val="24"/>
          <w:szCs w:val="24"/>
          <w:lang w:val="en-US"/>
        </w:rPr>
        <w:t xml:space="preserve">more systematic and easier </w:t>
      </w:r>
      <w:r w:rsidR="00BC6747">
        <w:rPr>
          <w:sz w:val="24"/>
          <w:szCs w:val="24"/>
          <w:lang w:val="en-US"/>
        </w:rPr>
        <w:t xml:space="preserve">to use </w:t>
      </w:r>
      <w:r>
        <w:rPr>
          <w:sz w:val="24"/>
          <w:szCs w:val="24"/>
          <w:lang w:val="en-US"/>
        </w:rPr>
        <w:t xml:space="preserve">tools for the detection of </w:t>
      </w:r>
      <w:r w:rsidR="00BC6747">
        <w:rPr>
          <w:sz w:val="24"/>
          <w:szCs w:val="24"/>
          <w:lang w:val="en-US"/>
        </w:rPr>
        <w:t>particular shapes</w:t>
      </w:r>
      <w:r>
        <w:rPr>
          <w:sz w:val="24"/>
          <w:szCs w:val="24"/>
          <w:lang w:val="en-US"/>
        </w:rPr>
        <w:t xml:space="preserve">, </w:t>
      </w:r>
      <w:r w:rsidR="00540B8C">
        <w:rPr>
          <w:sz w:val="24"/>
          <w:szCs w:val="24"/>
          <w:lang w:val="en-US"/>
        </w:rPr>
        <w:t xml:space="preserve">propose </w:t>
      </w:r>
      <w:r w:rsidR="005B2B23">
        <w:rPr>
          <w:sz w:val="24"/>
          <w:szCs w:val="24"/>
          <w:lang w:val="en-US"/>
        </w:rPr>
        <w:t xml:space="preserve">better </w:t>
      </w:r>
      <w:r>
        <w:rPr>
          <w:sz w:val="24"/>
          <w:szCs w:val="24"/>
          <w:lang w:val="en-US"/>
        </w:rPr>
        <w:t>measure</w:t>
      </w:r>
      <w:r w:rsidR="005B2B23">
        <w:rPr>
          <w:sz w:val="24"/>
          <w:szCs w:val="24"/>
          <w:lang w:val="en-US"/>
        </w:rPr>
        <w:t>s</w:t>
      </w:r>
      <w:r>
        <w:rPr>
          <w:sz w:val="24"/>
          <w:szCs w:val="24"/>
          <w:lang w:val="en-US"/>
        </w:rPr>
        <w:t xml:space="preserve"> of </w:t>
      </w:r>
      <w:r w:rsidR="005B2B23">
        <w:rPr>
          <w:sz w:val="24"/>
          <w:szCs w:val="24"/>
          <w:lang w:val="en-US"/>
        </w:rPr>
        <w:t>the income distribution</w:t>
      </w:r>
      <w:r w:rsidR="00BC6747">
        <w:rPr>
          <w:sz w:val="24"/>
          <w:szCs w:val="24"/>
          <w:lang w:val="en-US"/>
        </w:rPr>
        <w:t>,</w:t>
      </w:r>
      <w:r w:rsidR="005B2B23">
        <w:rPr>
          <w:sz w:val="24"/>
          <w:szCs w:val="24"/>
          <w:lang w:val="en-US"/>
        </w:rPr>
        <w:t xml:space="preserve"> and help us to </w:t>
      </w:r>
      <w:r w:rsidR="001D3DFC">
        <w:rPr>
          <w:sz w:val="24"/>
          <w:szCs w:val="24"/>
          <w:lang w:val="en-US"/>
        </w:rPr>
        <w:t xml:space="preserve">better </w:t>
      </w:r>
      <w:r w:rsidR="005B2B23">
        <w:rPr>
          <w:sz w:val="24"/>
          <w:szCs w:val="24"/>
          <w:lang w:val="en-US"/>
        </w:rPr>
        <w:t>understand the anisotropy of inequalit</w:t>
      </w:r>
      <w:r w:rsidR="00BC6747">
        <w:rPr>
          <w:sz w:val="24"/>
          <w:szCs w:val="24"/>
          <w:lang w:val="en-US"/>
        </w:rPr>
        <w:t>y</w:t>
      </w:r>
      <w:r>
        <w:rPr>
          <w:sz w:val="24"/>
          <w:szCs w:val="24"/>
          <w:lang w:val="en-US"/>
        </w:rPr>
        <w:t xml:space="preserve">. </w:t>
      </w:r>
    </w:p>
    <w:p w:rsidR="007308A1" w:rsidRDefault="007308A1" w:rsidP="00773309">
      <w:pPr>
        <w:spacing w:after="120" w:line="480" w:lineRule="auto"/>
        <w:rPr>
          <w:sz w:val="24"/>
          <w:szCs w:val="24"/>
          <w:lang w:val="en-US"/>
        </w:rPr>
      </w:pPr>
    </w:p>
    <w:p w:rsidR="00864748" w:rsidRDefault="00864748" w:rsidP="00864748">
      <w:pPr>
        <w:spacing w:line="276" w:lineRule="auto"/>
        <w:rPr>
          <w:b/>
          <w:bCs/>
          <w:sz w:val="24"/>
          <w:szCs w:val="24"/>
          <w:lang w:val="en-US"/>
        </w:rPr>
      </w:pPr>
      <w:r w:rsidRPr="00DF0D2F">
        <w:rPr>
          <w:b/>
          <w:bCs/>
          <w:sz w:val="24"/>
          <w:szCs w:val="24"/>
          <w:lang w:val="en-US"/>
        </w:rPr>
        <w:t xml:space="preserve">References </w:t>
      </w:r>
    </w:p>
    <w:p w:rsidR="00864748" w:rsidRPr="00DF0D2F" w:rsidRDefault="00864748" w:rsidP="00864748">
      <w:pPr>
        <w:spacing w:line="276" w:lineRule="auto"/>
        <w:rPr>
          <w:b/>
          <w:bCs/>
          <w:sz w:val="24"/>
          <w:szCs w:val="24"/>
          <w:lang w:val="en-US"/>
        </w:rPr>
      </w:pPr>
    </w:p>
    <w:p w:rsidR="00CC3374" w:rsidRDefault="00CC3374" w:rsidP="00864748">
      <w:pPr>
        <w:spacing w:line="276" w:lineRule="auto"/>
        <w:ind w:left="720" w:hanging="720"/>
        <w:rPr>
          <w:sz w:val="24"/>
          <w:szCs w:val="24"/>
          <w:lang w:val="en-US"/>
        </w:rPr>
      </w:pPr>
      <w:r w:rsidRPr="00CC3374">
        <w:rPr>
          <w:sz w:val="24"/>
          <w:szCs w:val="24"/>
          <w:lang w:val="en-US"/>
        </w:rPr>
        <w:t>Abdelkrim</w:t>
      </w:r>
      <w:r>
        <w:rPr>
          <w:sz w:val="24"/>
          <w:szCs w:val="24"/>
          <w:lang w:val="en-US"/>
        </w:rPr>
        <w:t xml:space="preserve">, A. and </w:t>
      </w:r>
      <w:r w:rsidRPr="00CC3374">
        <w:rPr>
          <w:sz w:val="24"/>
          <w:szCs w:val="24"/>
          <w:lang w:val="en-US"/>
        </w:rPr>
        <w:t>J</w:t>
      </w:r>
      <w:r>
        <w:rPr>
          <w:sz w:val="24"/>
          <w:szCs w:val="24"/>
          <w:lang w:val="en-US"/>
        </w:rPr>
        <w:t>.</w:t>
      </w:r>
      <w:r w:rsidRPr="00CC3374">
        <w:rPr>
          <w:sz w:val="24"/>
          <w:szCs w:val="24"/>
          <w:lang w:val="en-US"/>
        </w:rPr>
        <w:t>-Y</w:t>
      </w:r>
      <w:r>
        <w:rPr>
          <w:sz w:val="24"/>
          <w:szCs w:val="24"/>
          <w:lang w:val="en-US"/>
        </w:rPr>
        <w:t xml:space="preserve">. </w:t>
      </w:r>
      <w:r w:rsidRPr="00CC3374">
        <w:rPr>
          <w:sz w:val="24"/>
          <w:szCs w:val="24"/>
          <w:lang w:val="en-US"/>
        </w:rPr>
        <w:t xml:space="preserve">Duclos </w:t>
      </w:r>
      <w:r w:rsidRPr="00FC4D25">
        <w:rPr>
          <w:i/>
          <w:sz w:val="24"/>
          <w:szCs w:val="24"/>
          <w:lang w:val="en-US"/>
        </w:rPr>
        <w:t>User Manual for Stata Package DASP: Version 2.3</w:t>
      </w:r>
      <w:r w:rsidRPr="00CC3374">
        <w:rPr>
          <w:sz w:val="24"/>
          <w:szCs w:val="24"/>
          <w:lang w:val="en-US"/>
        </w:rPr>
        <w:t>, PEP, World Bank, UNDP and Université Laval</w:t>
      </w:r>
      <w:r>
        <w:rPr>
          <w:sz w:val="24"/>
          <w:szCs w:val="24"/>
          <w:lang w:val="en-US"/>
        </w:rPr>
        <w:t xml:space="preserve">, </w:t>
      </w:r>
      <w:r w:rsidRPr="00CC3374">
        <w:rPr>
          <w:sz w:val="24"/>
          <w:szCs w:val="24"/>
          <w:lang w:val="en-US"/>
        </w:rPr>
        <w:t>2013.</w:t>
      </w:r>
    </w:p>
    <w:p w:rsidR="00DA4EBA" w:rsidRDefault="00DA4EBA" w:rsidP="00864748">
      <w:pPr>
        <w:spacing w:line="276" w:lineRule="auto"/>
        <w:ind w:left="720" w:hanging="720"/>
        <w:rPr>
          <w:sz w:val="24"/>
          <w:szCs w:val="24"/>
          <w:lang w:val="en-US"/>
        </w:rPr>
      </w:pPr>
      <w:r w:rsidRPr="00DA4EBA">
        <w:rPr>
          <w:sz w:val="24"/>
          <w:szCs w:val="24"/>
          <w:lang w:val="en-US"/>
        </w:rPr>
        <w:lastRenderedPageBreak/>
        <w:t>Alderson, A</w:t>
      </w:r>
      <w:r>
        <w:rPr>
          <w:sz w:val="24"/>
          <w:szCs w:val="24"/>
          <w:lang w:val="en-US"/>
        </w:rPr>
        <w:t xml:space="preserve">. </w:t>
      </w:r>
      <w:r w:rsidRPr="00DA4EBA">
        <w:rPr>
          <w:sz w:val="24"/>
          <w:szCs w:val="24"/>
          <w:lang w:val="en-US"/>
        </w:rPr>
        <w:t>S., J</w:t>
      </w:r>
      <w:r>
        <w:rPr>
          <w:sz w:val="24"/>
          <w:szCs w:val="24"/>
          <w:lang w:val="en-US"/>
        </w:rPr>
        <w:t xml:space="preserve">. </w:t>
      </w:r>
      <w:r w:rsidRPr="00DA4EBA">
        <w:rPr>
          <w:sz w:val="24"/>
          <w:szCs w:val="24"/>
          <w:lang w:val="en-US"/>
        </w:rPr>
        <w:t>Beckfield and F</w:t>
      </w:r>
      <w:r>
        <w:rPr>
          <w:sz w:val="24"/>
          <w:szCs w:val="24"/>
          <w:lang w:val="en-US"/>
        </w:rPr>
        <w:t xml:space="preserve">. </w:t>
      </w:r>
      <w:r w:rsidRPr="00DA4EBA">
        <w:rPr>
          <w:sz w:val="24"/>
          <w:szCs w:val="24"/>
          <w:lang w:val="en-US"/>
        </w:rPr>
        <w:t>Nielsen</w:t>
      </w:r>
      <w:r w:rsidR="006E3090">
        <w:rPr>
          <w:sz w:val="24"/>
          <w:szCs w:val="24"/>
          <w:lang w:val="en-US"/>
        </w:rPr>
        <w:t xml:space="preserve">, </w:t>
      </w:r>
      <w:r>
        <w:rPr>
          <w:sz w:val="24"/>
          <w:szCs w:val="24"/>
          <w:lang w:val="en-US"/>
        </w:rPr>
        <w:t>"</w:t>
      </w:r>
      <w:r w:rsidRPr="00DA4EBA">
        <w:rPr>
          <w:sz w:val="24"/>
          <w:szCs w:val="24"/>
          <w:lang w:val="en-US"/>
        </w:rPr>
        <w:t>Exactly How Has Income Inequality Changed?  Patterns of Distributional Change in Core Societies.</w:t>
      </w:r>
      <w:r>
        <w:rPr>
          <w:sz w:val="24"/>
          <w:szCs w:val="24"/>
          <w:lang w:val="en-US"/>
        </w:rPr>
        <w:t xml:space="preserve">" </w:t>
      </w:r>
      <w:r w:rsidRPr="00DA4EBA">
        <w:rPr>
          <w:i/>
          <w:sz w:val="24"/>
          <w:szCs w:val="24"/>
          <w:lang w:val="en-US"/>
        </w:rPr>
        <w:t>International Journal of Comparative Sociology</w:t>
      </w:r>
      <w:r w:rsidR="006E3090">
        <w:rPr>
          <w:sz w:val="24"/>
          <w:szCs w:val="24"/>
          <w:lang w:val="en-US"/>
        </w:rPr>
        <w:t>,</w:t>
      </w:r>
      <w:r w:rsidRPr="00DA4EBA">
        <w:rPr>
          <w:sz w:val="24"/>
          <w:szCs w:val="24"/>
          <w:lang w:val="en-US"/>
        </w:rPr>
        <w:t xml:space="preserve"> 46</w:t>
      </w:r>
      <w:r w:rsidR="008D71A1">
        <w:rPr>
          <w:sz w:val="24"/>
          <w:szCs w:val="24"/>
          <w:lang w:val="en-US"/>
        </w:rPr>
        <w:t xml:space="preserve">, </w:t>
      </w:r>
      <w:r w:rsidRPr="00DA4EBA">
        <w:rPr>
          <w:sz w:val="24"/>
          <w:szCs w:val="24"/>
          <w:lang w:val="en-US"/>
        </w:rPr>
        <w:t>405-423</w:t>
      </w:r>
      <w:r w:rsidR="006E3090">
        <w:rPr>
          <w:sz w:val="24"/>
          <w:szCs w:val="24"/>
          <w:lang w:val="en-US"/>
        </w:rPr>
        <w:t xml:space="preserve">, </w:t>
      </w:r>
      <w:r w:rsidR="006E3090" w:rsidRPr="00DA4EBA">
        <w:rPr>
          <w:sz w:val="24"/>
          <w:szCs w:val="24"/>
          <w:lang w:val="en-US"/>
        </w:rPr>
        <w:t>2005</w:t>
      </w:r>
      <w:r w:rsidRPr="00DA4EBA">
        <w:rPr>
          <w:sz w:val="24"/>
          <w:szCs w:val="24"/>
          <w:lang w:val="en-US"/>
        </w:rPr>
        <w:t>.</w:t>
      </w:r>
    </w:p>
    <w:p w:rsidR="00E66910" w:rsidRDefault="00E66910" w:rsidP="00E66910">
      <w:pPr>
        <w:spacing w:line="276" w:lineRule="auto"/>
        <w:ind w:left="720" w:hanging="720"/>
        <w:rPr>
          <w:sz w:val="24"/>
          <w:szCs w:val="24"/>
          <w:lang w:val="en-US"/>
        </w:rPr>
      </w:pPr>
      <w:r w:rsidRPr="00E66910">
        <w:rPr>
          <w:sz w:val="24"/>
          <w:szCs w:val="24"/>
          <w:lang w:val="en-US"/>
        </w:rPr>
        <w:t>Aristotle</w:t>
      </w:r>
      <w:r w:rsidR="00685D39">
        <w:rPr>
          <w:sz w:val="24"/>
          <w:szCs w:val="24"/>
          <w:lang w:val="en-US"/>
        </w:rPr>
        <w:t xml:space="preserve">, </w:t>
      </w:r>
      <w:r w:rsidRPr="00685D39">
        <w:rPr>
          <w:i/>
          <w:sz w:val="24"/>
          <w:szCs w:val="24"/>
          <w:lang w:val="en-US"/>
        </w:rPr>
        <w:t>Politics</w:t>
      </w:r>
      <w:r>
        <w:rPr>
          <w:sz w:val="24"/>
          <w:szCs w:val="24"/>
          <w:lang w:val="en-US"/>
        </w:rPr>
        <w:t xml:space="preserve">, Loeb classical library, </w:t>
      </w:r>
      <w:r w:rsidRPr="00E66910">
        <w:rPr>
          <w:sz w:val="24"/>
          <w:szCs w:val="24"/>
          <w:lang w:val="en-US"/>
        </w:rPr>
        <w:t>Harvard University Press, Cambridge, M</w:t>
      </w:r>
      <w:r w:rsidR="00445233">
        <w:rPr>
          <w:sz w:val="24"/>
          <w:szCs w:val="24"/>
          <w:lang w:val="en-US"/>
        </w:rPr>
        <w:t>A</w:t>
      </w:r>
      <w:r>
        <w:rPr>
          <w:sz w:val="24"/>
          <w:szCs w:val="24"/>
          <w:lang w:val="en-US"/>
        </w:rPr>
        <w:t xml:space="preserve">, </w:t>
      </w:r>
      <w:r w:rsidRPr="00E66910">
        <w:rPr>
          <w:sz w:val="24"/>
          <w:szCs w:val="24"/>
          <w:lang w:val="en-US"/>
        </w:rPr>
        <w:t>1944</w:t>
      </w:r>
      <w:r>
        <w:rPr>
          <w:sz w:val="24"/>
          <w:szCs w:val="24"/>
          <w:lang w:val="en-US"/>
        </w:rPr>
        <w:t>.</w:t>
      </w:r>
    </w:p>
    <w:p w:rsidR="00864748" w:rsidRPr="00DF0D2F" w:rsidRDefault="00864748" w:rsidP="00864748">
      <w:pPr>
        <w:spacing w:line="276" w:lineRule="auto"/>
        <w:ind w:left="720" w:hanging="720"/>
        <w:rPr>
          <w:sz w:val="24"/>
          <w:szCs w:val="24"/>
          <w:lang w:val="en-US"/>
        </w:rPr>
      </w:pPr>
      <w:r w:rsidRPr="00DF0D2F">
        <w:rPr>
          <w:sz w:val="24"/>
          <w:szCs w:val="24"/>
          <w:lang w:val="en-US"/>
        </w:rPr>
        <w:t>Atkinson, A.</w:t>
      </w:r>
      <w:r>
        <w:rPr>
          <w:sz w:val="24"/>
          <w:szCs w:val="24"/>
          <w:lang w:val="en-US"/>
        </w:rPr>
        <w:t xml:space="preserve"> </w:t>
      </w:r>
      <w:r w:rsidRPr="00DF0D2F">
        <w:rPr>
          <w:sz w:val="24"/>
          <w:szCs w:val="24"/>
          <w:lang w:val="en-US"/>
        </w:rPr>
        <w:t>B.</w:t>
      </w:r>
      <w:r>
        <w:rPr>
          <w:sz w:val="24"/>
          <w:szCs w:val="24"/>
          <w:lang w:val="en-US"/>
        </w:rPr>
        <w:t>,</w:t>
      </w:r>
      <w:r w:rsidRPr="00DF0D2F">
        <w:rPr>
          <w:sz w:val="24"/>
          <w:szCs w:val="24"/>
          <w:lang w:val="en-US"/>
        </w:rPr>
        <w:t xml:space="preserve"> </w:t>
      </w:r>
      <w:r w:rsidRPr="00DF0D2F">
        <w:rPr>
          <w:sz w:val="24"/>
          <w:szCs w:val="24"/>
          <w:lang w:val="en-GB"/>
        </w:rPr>
        <w:t>"</w:t>
      </w:r>
      <w:r w:rsidRPr="00DF0D2F">
        <w:rPr>
          <w:sz w:val="24"/>
          <w:szCs w:val="24"/>
          <w:lang w:val="en-US"/>
        </w:rPr>
        <w:t xml:space="preserve">On </w:t>
      </w:r>
      <w:r>
        <w:rPr>
          <w:sz w:val="24"/>
          <w:szCs w:val="24"/>
          <w:lang w:val="en-US"/>
        </w:rPr>
        <w:t>the Measurement of Inequality,</w:t>
      </w:r>
      <w:r w:rsidRPr="00DF0D2F">
        <w:rPr>
          <w:sz w:val="24"/>
          <w:szCs w:val="24"/>
          <w:lang w:val="en-GB"/>
        </w:rPr>
        <w:t>"</w:t>
      </w:r>
      <w:r w:rsidRPr="005F7B8F">
        <w:rPr>
          <w:i/>
          <w:sz w:val="24"/>
          <w:szCs w:val="24"/>
          <w:lang w:val="en-US"/>
        </w:rPr>
        <w:t xml:space="preserve"> Journal of Economic Theory</w:t>
      </w:r>
      <w:r>
        <w:rPr>
          <w:i/>
          <w:sz w:val="24"/>
          <w:szCs w:val="24"/>
          <w:lang w:val="en-US"/>
        </w:rPr>
        <w:t>,</w:t>
      </w:r>
      <w:r w:rsidRPr="00DF0D2F">
        <w:rPr>
          <w:sz w:val="24"/>
          <w:szCs w:val="24"/>
          <w:lang w:val="en-US"/>
        </w:rPr>
        <w:t xml:space="preserve"> 2</w:t>
      </w:r>
      <w:r>
        <w:rPr>
          <w:sz w:val="24"/>
          <w:szCs w:val="24"/>
          <w:lang w:val="en-US"/>
        </w:rPr>
        <w:t>,</w:t>
      </w:r>
      <w:r w:rsidRPr="00DF0D2F">
        <w:rPr>
          <w:sz w:val="24"/>
          <w:szCs w:val="24"/>
          <w:lang w:val="en-US"/>
        </w:rPr>
        <w:t xml:space="preserve"> 244–63</w:t>
      </w:r>
      <w:r>
        <w:rPr>
          <w:sz w:val="24"/>
          <w:szCs w:val="24"/>
          <w:lang w:val="en-US"/>
        </w:rPr>
        <w:t xml:space="preserve">, </w:t>
      </w:r>
      <w:r w:rsidRPr="00DF0D2F">
        <w:rPr>
          <w:sz w:val="24"/>
          <w:szCs w:val="24"/>
          <w:lang w:val="en-US"/>
        </w:rPr>
        <w:t>1970.</w:t>
      </w:r>
    </w:p>
    <w:p w:rsidR="002A2B95" w:rsidRPr="00DF0D2F" w:rsidRDefault="002A2B95" w:rsidP="002A2B95">
      <w:pPr>
        <w:spacing w:line="276" w:lineRule="auto"/>
        <w:ind w:left="720" w:hanging="720"/>
        <w:rPr>
          <w:sz w:val="24"/>
          <w:szCs w:val="24"/>
          <w:lang w:val="en-US"/>
        </w:rPr>
      </w:pPr>
      <w:r w:rsidRPr="00DF0D2F">
        <w:rPr>
          <w:sz w:val="24"/>
          <w:szCs w:val="24"/>
          <w:lang w:val="en-US"/>
        </w:rPr>
        <w:t>Atkinson, A.</w:t>
      </w:r>
      <w:r>
        <w:rPr>
          <w:sz w:val="24"/>
          <w:szCs w:val="24"/>
          <w:lang w:val="en-US"/>
        </w:rPr>
        <w:t xml:space="preserve"> </w:t>
      </w:r>
      <w:r w:rsidRPr="00DF0D2F">
        <w:rPr>
          <w:sz w:val="24"/>
          <w:szCs w:val="24"/>
          <w:lang w:val="en-US"/>
        </w:rPr>
        <w:t>B.</w:t>
      </w:r>
      <w:r>
        <w:rPr>
          <w:sz w:val="24"/>
          <w:szCs w:val="24"/>
          <w:lang w:val="en-US"/>
        </w:rPr>
        <w:t xml:space="preserve"> and </w:t>
      </w:r>
      <w:r w:rsidRPr="00DF0D2F">
        <w:rPr>
          <w:sz w:val="24"/>
          <w:szCs w:val="24"/>
          <w:lang w:val="en-US"/>
        </w:rPr>
        <w:t>F.</w:t>
      </w:r>
      <w:r>
        <w:rPr>
          <w:sz w:val="24"/>
          <w:szCs w:val="24"/>
          <w:lang w:val="en-US"/>
        </w:rPr>
        <w:t xml:space="preserve"> Bourguignon,</w:t>
      </w:r>
      <w:r w:rsidRPr="00DF0D2F">
        <w:rPr>
          <w:sz w:val="24"/>
          <w:szCs w:val="24"/>
          <w:lang w:val="en-US"/>
        </w:rPr>
        <w:t xml:space="preserve"> </w:t>
      </w:r>
      <w:r w:rsidRPr="00DF0D2F">
        <w:rPr>
          <w:sz w:val="24"/>
          <w:szCs w:val="24"/>
          <w:lang w:val="en-GB"/>
        </w:rPr>
        <w:t>"</w:t>
      </w:r>
      <w:r w:rsidRPr="002A2B95">
        <w:rPr>
          <w:sz w:val="24"/>
          <w:szCs w:val="24"/>
          <w:lang w:val="en-US"/>
        </w:rPr>
        <w:t>The Comparison of Multi-Dimensioned Distributions of Economic Status</w:t>
      </w:r>
      <w:r>
        <w:rPr>
          <w:sz w:val="24"/>
          <w:szCs w:val="24"/>
          <w:lang w:val="en-US"/>
        </w:rPr>
        <w:t>,</w:t>
      </w:r>
      <w:r w:rsidRPr="00DF0D2F">
        <w:rPr>
          <w:sz w:val="24"/>
          <w:szCs w:val="24"/>
          <w:lang w:val="en-GB"/>
        </w:rPr>
        <w:t>"</w:t>
      </w:r>
      <w:r w:rsidRPr="005F7B8F">
        <w:rPr>
          <w:i/>
          <w:sz w:val="24"/>
          <w:szCs w:val="24"/>
          <w:lang w:val="en-US"/>
        </w:rPr>
        <w:t xml:space="preserve"> </w:t>
      </w:r>
      <w:r w:rsidRPr="002A2B95">
        <w:rPr>
          <w:i/>
          <w:sz w:val="24"/>
          <w:szCs w:val="24"/>
          <w:lang w:val="en-US"/>
        </w:rPr>
        <w:t>Review of Economic Studies</w:t>
      </w:r>
      <w:r>
        <w:rPr>
          <w:i/>
          <w:sz w:val="24"/>
          <w:szCs w:val="24"/>
          <w:lang w:val="en-US"/>
        </w:rPr>
        <w:t>,</w:t>
      </w:r>
      <w:r w:rsidRPr="00DF0D2F">
        <w:rPr>
          <w:sz w:val="24"/>
          <w:szCs w:val="24"/>
          <w:lang w:val="en-US"/>
        </w:rPr>
        <w:t xml:space="preserve"> </w:t>
      </w:r>
      <w:r>
        <w:rPr>
          <w:sz w:val="24"/>
          <w:szCs w:val="24"/>
          <w:lang w:val="en-US"/>
        </w:rPr>
        <w:t>49,</w:t>
      </w:r>
      <w:r w:rsidRPr="00DF0D2F">
        <w:rPr>
          <w:sz w:val="24"/>
          <w:szCs w:val="24"/>
          <w:lang w:val="en-US"/>
        </w:rPr>
        <w:t xml:space="preserve"> </w:t>
      </w:r>
      <w:r>
        <w:rPr>
          <w:sz w:val="24"/>
          <w:szCs w:val="24"/>
          <w:lang w:val="en-US"/>
        </w:rPr>
        <w:t>183</w:t>
      </w:r>
      <w:r w:rsidRPr="00DF0D2F">
        <w:rPr>
          <w:sz w:val="24"/>
          <w:szCs w:val="24"/>
          <w:lang w:val="en-US"/>
        </w:rPr>
        <w:t>–</w:t>
      </w:r>
      <w:r>
        <w:rPr>
          <w:sz w:val="24"/>
          <w:szCs w:val="24"/>
          <w:lang w:val="en-US"/>
        </w:rPr>
        <w:t xml:space="preserve">201, </w:t>
      </w:r>
      <w:r w:rsidRPr="00DF0D2F">
        <w:rPr>
          <w:sz w:val="24"/>
          <w:szCs w:val="24"/>
          <w:lang w:val="en-US"/>
        </w:rPr>
        <w:t>19</w:t>
      </w:r>
      <w:r>
        <w:rPr>
          <w:sz w:val="24"/>
          <w:szCs w:val="24"/>
          <w:lang w:val="en-US"/>
        </w:rPr>
        <w:t>82</w:t>
      </w:r>
      <w:r w:rsidRPr="00DF0D2F">
        <w:rPr>
          <w:sz w:val="24"/>
          <w:szCs w:val="24"/>
          <w:lang w:val="en-US"/>
        </w:rPr>
        <w:t>.</w:t>
      </w:r>
    </w:p>
    <w:p w:rsidR="00864748" w:rsidRPr="00DF0D2F" w:rsidRDefault="00864748" w:rsidP="00864748">
      <w:pPr>
        <w:spacing w:line="276" w:lineRule="auto"/>
        <w:ind w:left="720" w:hanging="720"/>
        <w:rPr>
          <w:sz w:val="24"/>
          <w:szCs w:val="24"/>
          <w:lang w:val="en-US"/>
        </w:rPr>
      </w:pPr>
      <w:r w:rsidRPr="00DF0D2F">
        <w:rPr>
          <w:sz w:val="24"/>
          <w:szCs w:val="24"/>
          <w:lang w:val="en-US"/>
        </w:rPr>
        <w:t>Berry, A., F.</w:t>
      </w:r>
      <w:r>
        <w:rPr>
          <w:sz w:val="24"/>
          <w:szCs w:val="24"/>
          <w:lang w:val="en-US"/>
        </w:rPr>
        <w:t xml:space="preserve"> Bourguignon, and C. Morrisson,</w:t>
      </w:r>
      <w:r w:rsidRPr="00DF0D2F">
        <w:rPr>
          <w:sz w:val="24"/>
          <w:szCs w:val="24"/>
          <w:lang w:val="en-US"/>
        </w:rPr>
        <w:t xml:space="preserve"> </w:t>
      </w:r>
      <w:r w:rsidRPr="00DF0D2F">
        <w:rPr>
          <w:sz w:val="24"/>
          <w:szCs w:val="24"/>
          <w:lang w:val="en-GB"/>
        </w:rPr>
        <w:t>"</w:t>
      </w:r>
      <w:r w:rsidRPr="00DF0D2F">
        <w:rPr>
          <w:sz w:val="24"/>
          <w:szCs w:val="24"/>
          <w:lang w:val="en-US"/>
        </w:rPr>
        <w:t xml:space="preserve">Changes in the </w:t>
      </w:r>
      <w:r>
        <w:rPr>
          <w:sz w:val="24"/>
          <w:szCs w:val="24"/>
          <w:lang w:val="en-US"/>
        </w:rPr>
        <w:t>World Distributions of Income B</w:t>
      </w:r>
      <w:r w:rsidRPr="00DF0D2F">
        <w:rPr>
          <w:sz w:val="24"/>
          <w:szCs w:val="24"/>
          <w:lang w:val="en-US"/>
        </w:rPr>
        <w:t>etween 1950 and 1977</w:t>
      </w:r>
      <w:r>
        <w:rPr>
          <w:sz w:val="24"/>
          <w:szCs w:val="24"/>
          <w:lang w:val="en-US"/>
        </w:rPr>
        <w:t>,</w:t>
      </w:r>
      <w:r w:rsidRPr="00DF0D2F">
        <w:rPr>
          <w:sz w:val="24"/>
          <w:szCs w:val="24"/>
          <w:lang w:val="en-GB"/>
        </w:rPr>
        <w:t>"</w:t>
      </w:r>
      <w:r w:rsidRPr="00DF0D2F">
        <w:rPr>
          <w:sz w:val="24"/>
          <w:szCs w:val="24"/>
          <w:lang w:val="en-US"/>
        </w:rPr>
        <w:t xml:space="preserve"> </w:t>
      </w:r>
      <w:r w:rsidRPr="00B36250">
        <w:rPr>
          <w:i/>
          <w:sz w:val="24"/>
          <w:szCs w:val="24"/>
          <w:lang w:val="en-US"/>
        </w:rPr>
        <w:t>Economic Journal</w:t>
      </w:r>
      <w:r w:rsidRPr="004576EF">
        <w:rPr>
          <w:sz w:val="24"/>
          <w:szCs w:val="24"/>
          <w:lang w:val="en-US"/>
        </w:rPr>
        <w:t>, 93,</w:t>
      </w:r>
      <w:r w:rsidRPr="00DF0D2F">
        <w:rPr>
          <w:sz w:val="24"/>
          <w:szCs w:val="24"/>
          <w:lang w:val="en-US"/>
        </w:rPr>
        <w:t xml:space="preserve"> 331–50</w:t>
      </w:r>
      <w:r>
        <w:rPr>
          <w:sz w:val="24"/>
          <w:szCs w:val="24"/>
          <w:lang w:val="en-US"/>
        </w:rPr>
        <w:t>,</w:t>
      </w:r>
      <w:r w:rsidRPr="00DF0D2F">
        <w:rPr>
          <w:sz w:val="24"/>
          <w:szCs w:val="24"/>
          <w:lang w:val="en-US"/>
        </w:rPr>
        <w:t xml:space="preserve"> 1983.</w:t>
      </w:r>
    </w:p>
    <w:p w:rsidR="00864748" w:rsidRPr="00DF0D2F" w:rsidRDefault="00864748" w:rsidP="00864748">
      <w:pPr>
        <w:spacing w:line="276" w:lineRule="auto"/>
        <w:ind w:left="720" w:hanging="720"/>
        <w:rPr>
          <w:sz w:val="24"/>
          <w:szCs w:val="24"/>
          <w:lang w:val="en-GB"/>
        </w:rPr>
      </w:pPr>
      <w:r w:rsidRPr="00DF0D2F">
        <w:rPr>
          <w:sz w:val="24"/>
          <w:szCs w:val="24"/>
          <w:lang w:val="en-GB"/>
        </w:rPr>
        <w:t>Brandolini</w:t>
      </w:r>
      <w:r>
        <w:rPr>
          <w:sz w:val="24"/>
          <w:szCs w:val="24"/>
          <w:lang w:val="en-GB"/>
        </w:rPr>
        <w:t>,</w:t>
      </w:r>
      <w:r w:rsidRPr="00DF0D2F">
        <w:rPr>
          <w:sz w:val="24"/>
          <w:szCs w:val="24"/>
          <w:lang w:val="en-GB"/>
        </w:rPr>
        <w:t xml:space="preserve"> </w:t>
      </w:r>
      <w:r>
        <w:rPr>
          <w:sz w:val="24"/>
          <w:szCs w:val="24"/>
          <w:lang w:val="en-GB"/>
        </w:rPr>
        <w:t xml:space="preserve">A. and </w:t>
      </w:r>
      <w:r w:rsidRPr="00DF0D2F">
        <w:rPr>
          <w:sz w:val="24"/>
          <w:szCs w:val="24"/>
          <w:lang w:val="en-GB"/>
        </w:rPr>
        <w:t>A</w:t>
      </w:r>
      <w:r>
        <w:rPr>
          <w:sz w:val="24"/>
          <w:szCs w:val="24"/>
          <w:lang w:val="en-GB"/>
        </w:rPr>
        <w:t>.</w:t>
      </w:r>
      <w:r w:rsidRPr="00DF0D2F">
        <w:rPr>
          <w:sz w:val="24"/>
          <w:szCs w:val="24"/>
          <w:lang w:val="en-GB"/>
        </w:rPr>
        <w:t xml:space="preserve"> B. Atkinson, "Promise and Pitfalls in the Use of "Secondary" Data-Sets: Income Inequality in OECD Countries </w:t>
      </w:r>
      <w:r>
        <w:rPr>
          <w:sz w:val="24"/>
          <w:szCs w:val="24"/>
          <w:lang w:val="en-GB"/>
        </w:rPr>
        <w:t>a</w:t>
      </w:r>
      <w:r w:rsidRPr="00DF0D2F">
        <w:rPr>
          <w:sz w:val="24"/>
          <w:szCs w:val="24"/>
          <w:lang w:val="en-GB"/>
        </w:rPr>
        <w:t xml:space="preserve">s a Case Study," </w:t>
      </w:r>
      <w:r w:rsidRPr="00B36250">
        <w:rPr>
          <w:i/>
          <w:sz w:val="24"/>
          <w:szCs w:val="24"/>
          <w:lang w:val="en-GB"/>
        </w:rPr>
        <w:t>Journal of Economic Literature</w:t>
      </w:r>
      <w:r w:rsidR="00445233" w:rsidRPr="00445233">
        <w:rPr>
          <w:sz w:val="24"/>
          <w:szCs w:val="24"/>
          <w:lang w:val="en-GB"/>
        </w:rPr>
        <w:t xml:space="preserve">, </w:t>
      </w:r>
      <w:r w:rsidRPr="00DF0D2F">
        <w:rPr>
          <w:sz w:val="24"/>
          <w:szCs w:val="24"/>
          <w:lang w:val="en-GB"/>
        </w:rPr>
        <w:t>39, 771</w:t>
      </w:r>
      <w:r w:rsidRPr="00DF0D2F">
        <w:rPr>
          <w:sz w:val="24"/>
          <w:szCs w:val="24"/>
          <w:lang w:val="en-US"/>
        </w:rPr>
        <w:t>–</w:t>
      </w:r>
      <w:r w:rsidRPr="00DF0D2F">
        <w:rPr>
          <w:sz w:val="24"/>
          <w:szCs w:val="24"/>
          <w:lang w:val="en-GB"/>
        </w:rPr>
        <w:t>99, 2001</w:t>
      </w:r>
      <w:r>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C</w:t>
      </w:r>
      <w:r>
        <w:rPr>
          <w:sz w:val="24"/>
          <w:szCs w:val="24"/>
          <w:lang w:val="en-GB"/>
        </w:rPr>
        <w:t>ederman,</w:t>
      </w:r>
      <w:r w:rsidRPr="00DF0D2F">
        <w:rPr>
          <w:sz w:val="24"/>
          <w:szCs w:val="24"/>
          <w:lang w:val="en-GB"/>
        </w:rPr>
        <w:t xml:space="preserve"> </w:t>
      </w:r>
      <w:r>
        <w:rPr>
          <w:sz w:val="24"/>
          <w:szCs w:val="24"/>
          <w:lang w:val="en-GB"/>
        </w:rPr>
        <w:t>L.-E.,</w:t>
      </w:r>
      <w:r w:rsidRPr="00DF0D2F">
        <w:rPr>
          <w:sz w:val="24"/>
          <w:szCs w:val="24"/>
          <w:lang w:val="en-GB"/>
        </w:rPr>
        <w:t xml:space="preserve"> "Modeling the Size of Wars: From Billiard Balls to Sandpiles</w:t>
      </w:r>
      <w:r>
        <w:rPr>
          <w:sz w:val="24"/>
          <w:szCs w:val="24"/>
          <w:lang w:val="en-GB"/>
        </w:rPr>
        <w:t>,</w:t>
      </w:r>
      <w:r w:rsidRPr="00DF0D2F">
        <w:rPr>
          <w:sz w:val="24"/>
          <w:szCs w:val="24"/>
          <w:lang w:val="en-GB"/>
        </w:rPr>
        <w:t xml:space="preserve">" </w:t>
      </w:r>
      <w:r w:rsidRPr="00B36250">
        <w:rPr>
          <w:i/>
          <w:sz w:val="24"/>
          <w:szCs w:val="24"/>
          <w:lang w:val="en-GB"/>
        </w:rPr>
        <w:t>American Political Science Review</w:t>
      </w:r>
      <w:r w:rsidRPr="00DF0D2F">
        <w:rPr>
          <w:sz w:val="24"/>
          <w:szCs w:val="24"/>
          <w:lang w:val="en-GB"/>
        </w:rPr>
        <w:t xml:space="preserve">, </w:t>
      </w:r>
      <w:r>
        <w:rPr>
          <w:sz w:val="24"/>
          <w:szCs w:val="24"/>
          <w:lang w:val="en-GB"/>
        </w:rPr>
        <w:t xml:space="preserve">97, </w:t>
      </w:r>
      <w:r w:rsidRPr="00DF0D2F">
        <w:rPr>
          <w:sz w:val="24"/>
          <w:szCs w:val="24"/>
          <w:lang w:val="en-GB"/>
        </w:rPr>
        <w:t>135</w:t>
      </w:r>
      <w:r w:rsidRPr="00DF0D2F">
        <w:rPr>
          <w:sz w:val="24"/>
          <w:szCs w:val="24"/>
          <w:lang w:val="en-US"/>
        </w:rPr>
        <w:t>–</w:t>
      </w:r>
      <w:r w:rsidRPr="00DF0D2F">
        <w:rPr>
          <w:sz w:val="24"/>
          <w:szCs w:val="24"/>
          <w:lang w:val="en-GB"/>
        </w:rPr>
        <w:t>50</w:t>
      </w:r>
      <w:r>
        <w:rPr>
          <w:sz w:val="24"/>
          <w:szCs w:val="24"/>
          <w:lang w:val="en-GB"/>
        </w:rPr>
        <w:t xml:space="preserve">, </w:t>
      </w:r>
      <w:r w:rsidRPr="00DF0D2F">
        <w:rPr>
          <w:sz w:val="24"/>
          <w:szCs w:val="24"/>
          <w:lang w:val="en-GB"/>
        </w:rPr>
        <w:t xml:space="preserve">2003. </w:t>
      </w:r>
    </w:p>
    <w:p w:rsidR="000967DD" w:rsidRDefault="000967DD" w:rsidP="000967DD">
      <w:pPr>
        <w:spacing w:line="276" w:lineRule="auto"/>
        <w:ind w:left="720" w:hanging="720"/>
        <w:rPr>
          <w:sz w:val="24"/>
          <w:szCs w:val="24"/>
          <w:lang w:val="en-GB"/>
        </w:rPr>
      </w:pPr>
      <w:r w:rsidRPr="00DF0D2F">
        <w:rPr>
          <w:sz w:val="24"/>
          <w:szCs w:val="24"/>
          <w:lang w:val="en-GB"/>
        </w:rPr>
        <w:t>Champernowne, D.</w:t>
      </w:r>
      <w:r>
        <w:rPr>
          <w:sz w:val="24"/>
          <w:szCs w:val="24"/>
          <w:lang w:val="en-GB"/>
        </w:rPr>
        <w:t xml:space="preserve"> G.</w:t>
      </w:r>
      <w:r w:rsidR="0050149B">
        <w:rPr>
          <w:sz w:val="24"/>
          <w:szCs w:val="24"/>
          <w:lang w:val="en-GB"/>
        </w:rPr>
        <w:t>,</w:t>
      </w:r>
      <w:r w:rsidRPr="000967DD">
        <w:rPr>
          <w:sz w:val="24"/>
          <w:szCs w:val="24"/>
          <w:lang w:val="en-GB"/>
        </w:rPr>
        <w:t xml:space="preserve"> "The Theory of Income Distribution," </w:t>
      </w:r>
      <w:r w:rsidR="00032596" w:rsidRPr="004E58E7">
        <w:rPr>
          <w:i/>
          <w:sz w:val="24"/>
          <w:szCs w:val="24"/>
          <w:lang w:val="en-GB"/>
        </w:rPr>
        <w:t>E</w:t>
      </w:r>
      <w:r w:rsidRPr="004E58E7">
        <w:rPr>
          <w:i/>
          <w:sz w:val="24"/>
          <w:szCs w:val="24"/>
          <w:lang w:val="en-GB"/>
        </w:rPr>
        <w:t>conometrica</w:t>
      </w:r>
      <w:r w:rsidRPr="000967DD">
        <w:rPr>
          <w:sz w:val="24"/>
          <w:szCs w:val="24"/>
          <w:lang w:val="en-GB"/>
        </w:rPr>
        <w:t>,</w:t>
      </w:r>
      <w:r>
        <w:rPr>
          <w:sz w:val="24"/>
          <w:szCs w:val="24"/>
          <w:lang w:val="en-GB"/>
        </w:rPr>
        <w:t xml:space="preserve"> </w:t>
      </w:r>
      <w:r w:rsidRPr="000967DD">
        <w:rPr>
          <w:sz w:val="24"/>
          <w:szCs w:val="24"/>
          <w:lang w:val="en-GB"/>
        </w:rPr>
        <w:t xml:space="preserve">5, </w:t>
      </w:r>
      <w:r w:rsidR="00032596">
        <w:rPr>
          <w:sz w:val="24"/>
          <w:szCs w:val="24"/>
          <w:lang w:val="en-GB"/>
        </w:rPr>
        <w:t>379</w:t>
      </w:r>
      <w:r w:rsidR="00032596" w:rsidRPr="004E58E7">
        <w:rPr>
          <w:sz w:val="24"/>
          <w:szCs w:val="24"/>
          <w:lang w:val="en-US"/>
        </w:rPr>
        <w:t>–</w:t>
      </w:r>
      <w:r w:rsidRPr="000967DD">
        <w:rPr>
          <w:sz w:val="24"/>
          <w:szCs w:val="24"/>
          <w:lang w:val="en-GB"/>
        </w:rPr>
        <w:t>81</w:t>
      </w:r>
      <w:r w:rsidR="00032596" w:rsidRPr="000967DD">
        <w:rPr>
          <w:sz w:val="24"/>
          <w:szCs w:val="24"/>
          <w:lang w:val="en-GB"/>
        </w:rPr>
        <w:t>, 1937</w:t>
      </w:r>
      <w:r w:rsidRPr="000967DD">
        <w:rPr>
          <w:sz w:val="24"/>
          <w:szCs w:val="24"/>
          <w:lang w:val="en-GB"/>
        </w:rPr>
        <w:t>.</w:t>
      </w:r>
    </w:p>
    <w:p w:rsidR="00D0055C" w:rsidRDefault="0050149B" w:rsidP="0050149B">
      <w:pPr>
        <w:spacing w:line="276" w:lineRule="auto"/>
        <w:ind w:left="720" w:hanging="720"/>
        <w:rPr>
          <w:sz w:val="24"/>
          <w:szCs w:val="24"/>
          <w:lang w:val="en-GB"/>
        </w:rPr>
      </w:pPr>
      <w:r w:rsidRPr="00FA3B0D">
        <w:rPr>
          <w:sz w:val="24"/>
          <w:szCs w:val="24"/>
          <w:lang w:val="en-GB"/>
        </w:rPr>
        <w:t>———,</w:t>
      </w:r>
      <w:r>
        <w:rPr>
          <w:sz w:val="24"/>
          <w:szCs w:val="24"/>
          <w:lang w:val="en-GB"/>
        </w:rPr>
        <w:t xml:space="preserve"> </w:t>
      </w:r>
      <w:r w:rsidR="00D0055C" w:rsidRPr="000967DD">
        <w:rPr>
          <w:sz w:val="24"/>
          <w:szCs w:val="24"/>
          <w:lang w:val="en-GB"/>
        </w:rPr>
        <w:t xml:space="preserve"> "</w:t>
      </w:r>
      <w:r w:rsidR="00D0055C" w:rsidRPr="00D0055C">
        <w:rPr>
          <w:sz w:val="24"/>
          <w:szCs w:val="24"/>
          <w:lang w:val="en-GB"/>
        </w:rPr>
        <w:t>The Graduation of Income Distributions</w:t>
      </w:r>
      <w:r>
        <w:rPr>
          <w:sz w:val="24"/>
          <w:szCs w:val="24"/>
          <w:lang w:val="en-GB"/>
        </w:rPr>
        <w:t xml:space="preserve">", </w:t>
      </w:r>
      <w:r w:rsidR="00D0055C" w:rsidRPr="004E58E7">
        <w:rPr>
          <w:i/>
          <w:sz w:val="24"/>
          <w:szCs w:val="24"/>
          <w:lang w:val="en-GB"/>
        </w:rPr>
        <w:t>Econometrica</w:t>
      </w:r>
      <w:r w:rsidR="00D0055C" w:rsidRPr="000967DD">
        <w:rPr>
          <w:sz w:val="24"/>
          <w:szCs w:val="24"/>
          <w:lang w:val="en-GB"/>
        </w:rPr>
        <w:t>,</w:t>
      </w:r>
      <w:r w:rsidR="00D0055C">
        <w:rPr>
          <w:sz w:val="24"/>
          <w:szCs w:val="24"/>
          <w:lang w:val="en-GB"/>
        </w:rPr>
        <w:t xml:space="preserve"> </w:t>
      </w:r>
      <w:r w:rsidR="00445233" w:rsidRPr="00445233">
        <w:rPr>
          <w:sz w:val="24"/>
          <w:szCs w:val="24"/>
          <w:lang w:val="en-GB"/>
        </w:rPr>
        <w:t>20, 591</w:t>
      </w:r>
      <w:r w:rsidR="00445233" w:rsidRPr="00445233">
        <w:rPr>
          <w:sz w:val="24"/>
          <w:szCs w:val="24"/>
          <w:lang w:val="en-US"/>
        </w:rPr>
        <w:t>–</w:t>
      </w:r>
      <w:r w:rsidR="00445233" w:rsidRPr="00445233">
        <w:rPr>
          <w:sz w:val="24"/>
          <w:szCs w:val="24"/>
          <w:lang w:val="en-GB"/>
        </w:rPr>
        <w:t>615</w:t>
      </w:r>
      <w:r w:rsidR="00D0055C" w:rsidRPr="000967DD">
        <w:rPr>
          <w:sz w:val="24"/>
          <w:szCs w:val="24"/>
          <w:lang w:val="en-GB"/>
        </w:rPr>
        <w:t>, 19</w:t>
      </w:r>
      <w:r w:rsidR="00D0055C">
        <w:rPr>
          <w:sz w:val="24"/>
          <w:szCs w:val="24"/>
          <w:lang w:val="en-GB"/>
        </w:rPr>
        <w:t>52</w:t>
      </w:r>
      <w:r w:rsidR="00D0055C" w:rsidRPr="000967DD">
        <w:rPr>
          <w:sz w:val="24"/>
          <w:szCs w:val="24"/>
          <w:lang w:val="en-GB"/>
        </w:rPr>
        <w:t>.</w:t>
      </w:r>
    </w:p>
    <w:p w:rsidR="0050149B" w:rsidRDefault="0050149B" w:rsidP="0050149B">
      <w:pPr>
        <w:spacing w:line="276" w:lineRule="auto"/>
        <w:rPr>
          <w:sz w:val="24"/>
          <w:szCs w:val="24"/>
          <w:lang w:val="en-GB"/>
        </w:rPr>
      </w:pPr>
      <w:r w:rsidRPr="00FA3B0D">
        <w:rPr>
          <w:sz w:val="24"/>
          <w:szCs w:val="24"/>
          <w:lang w:val="en-GB"/>
        </w:rPr>
        <w:t>———,</w:t>
      </w:r>
      <w:r w:rsidRPr="0050149B">
        <w:rPr>
          <w:sz w:val="24"/>
          <w:szCs w:val="24"/>
          <w:lang w:val="en-GB"/>
        </w:rPr>
        <w:t>"A Model of Income Distribution</w:t>
      </w:r>
      <w:r>
        <w:rPr>
          <w:sz w:val="24"/>
          <w:szCs w:val="24"/>
          <w:lang w:val="en-GB"/>
        </w:rPr>
        <w:t>,</w:t>
      </w:r>
      <w:r w:rsidRPr="0050149B">
        <w:rPr>
          <w:sz w:val="24"/>
          <w:szCs w:val="24"/>
          <w:lang w:val="en-GB"/>
        </w:rPr>
        <w:t>"</w:t>
      </w:r>
      <w:r>
        <w:rPr>
          <w:sz w:val="24"/>
          <w:szCs w:val="24"/>
          <w:lang w:val="en-GB"/>
        </w:rPr>
        <w:t xml:space="preserve"> </w:t>
      </w:r>
      <w:r w:rsidRPr="0050149B">
        <w:rPr>
          <w:i/>
          <w:sz w:val="24"/>
          <w:szCs w:val="24"/>
          <w:lang w:val="en-GB"/>
        </w:rPr>
        <w:t>Economic Journal</w:t>
      </w:r>
      <w:r>
        <w:rPr>
          <w:sz w:val="24"/>
          <w:szCs w:val="24"/>
          <w:lang w:val="en-GB"/>
        </w:rPr>
        <w:t>,</w:t>
      </w:r>
      <w:r w:rsidRPr="0050149B">
        <w:rPr>
          <w:sz w:val="24"/>
          <w:szCs w:val="24"/>
          <w:lang w:val="en-GB"/>
        </w:rPr>
        <w:t xml:space="preserve"> 63</w:t>
      </w:r>
      <w:r>
        <w:rPr>
          <w:sz w:val="24"/>
          <w:szCs w:val="24"/>
          <w:lang w:val="en-GB"/>
        </w:rPr>
        <w:t>,</w:t>
      </w:r>
      <w:r w:rsidRPr="0050149B">
        <w:rPr>
          <w:sz w:val="24"/>
          <w:szCs w:val="24"/>
          <w:lang w:val="en-GB"/>
        </w:rPr>
        <w:t xml:space="preserve"> 318–51</w:t>
      </w:r>
      <w:r>
        <w:rPr>
          <w:sz w:val="24"/>
          <w:szCs w:val="24"/>
          <w:lang w:val="en-GB"/>
        </w:rPr>
        <w:t>, 1953</w:t>
      </w:r>
      <w:r w:rsidRPr="0050149B">
        <w:rPr>
          <w:sz w:val="24"/>
          <w:szCs w:val="24"/>
          <w:lang w:val="en-GB"/>
        </w:rPr>
        <w:t>.</w:t>
      </w:r>
      <w:r>
        <w:rPr>
          <w:sz w:val="24"/>
          <w:szCs w:val="24"/>
          <w:lang w:val="en-GB"/>
        </w:rPr>
        <w:t xml:space="preserve"> </w:t>
      </w:r>
    </w:p>
    <w:p w:rsidR="00864748" w:rsidRPr="00DF0D2F" w:rsidRDefault="00864748" w:rsidP="00864748">
      <w:pPr>
        <w:spacing w:line="276" w:lineRule="auto"/>
        <w:ind w:left="720" w:hanging="720"/>
        <w:rPr>
          <w:sz w:val="24"/>
          <w:szCs w:val="24"/>
          <w:lang w:val="en-GB"/>
        </w:rPr>
      </w:pPr>
      <w:r w:rsidRPr="00DF0D2F">
        <w:rPr>
          <w:sz w:val="24"/>
          <w:szCs w:val="24"/>
          <w:lang w:val="en-GB"/>
        </w:rPr>
        <w:t>Champernowne, D.</w:t>
      </w:r>
      <w:r>
        <w:rPr>
          <w:sz w:val="24"/>
          <w:szCs w:val="24"/>
          <w:lang w:val="en-GB"/>
        </w:rPr>
        <w:t xml:space="preserve"> G. and</w:t>
      </w:r>
      <w:r w:rsidRPr="00DF0D2F">
        <w:rPr>
          <w:sz w:val="24"/>
          <w:szCs w:val="24"/>
          <w:lang w:val="en-GB"/>
        </w:rPr>
        <w:t xml:space="preserve"> F.</w:t>
      </w:r>
      <w:r>
        <w:rPr>
          <w:sz w:val="24"/>
          <w:szCs w:val="24"/>
          <w:lang w:val="en-GB"/>
        </w:rPr>
        <w:t xml:space="preserve"> </w:t>
      </w:r>
      <w:r w:rsidRPr="00DF0D2F">
        <w:rPr>
          <w:sz w:val="24"/>
          <w:szCs w:val="24"/>
          <w:lang w:val="en-GB"/>
        </w:rPr>
        <w:t>A. Cowell</w:t>
      </w:r>
      <w:r>
        <w:rPr>
          <w:sz w:val="24"/>
          <w:szCs w:val="24"/>
          <w:lang w:val="en-GB"/>
        </w:rPr>
        <w:t xml:space="preserve">, </w:t>
      </w:r>
      <w:r w:rsidRPr="00972625">
        <w:rPr>
          <w:i/>
          <w:sz w:val="24"/>
          <w:szCs w:val="24"/>
          <w:lang w:val="en-GB"/>
        </w:rPr>
        <w:t>Economic Inequality and Income Distribution</w:t>
      </w:r>
      <w:r>
        <w:rPr>
          <w:sz w:val="24"/>
          <w:szCs w:val="24"/>
          <w:lang w:val="en-GB"/>
        </w:rPr>
        <w:t xml:space="preserve">, Cambridge University Press, Cambridge, UK, </w:t>
      </w:r>
      <w:r w:rsidRPr="00DF0D2F">
        <w:rPr>
          <w:sz w:val="24"/>
          <w:szCs w:val="24"/>
          <w:lang w:val="en-GB"/>
        </w:rPr>
        <w:t>1998</w:t>
      </w:r>
      <w:r>
        <w:rPr>
          <w:sz w:val="24"/>
          <w:szCs w:val="24"/>
          <w:lang w:val="en-GB"/>
        </w:rPr>
        <w:t>.</w:t>
      </w:r>
      <w:r w:rsidRPr="00DF0D2F">
        <w:rPr>
          <w:sz w:val="24"/>
          <w:szCs w:val="24"/>
          <w:lang w:val="en-GB"/>
        </w:rPr>
        <w:t xml:space="preserve"> </w:t>
      </w:r>
    </w:p>
    <w:p w:rsidR="00954DDF" w:rsidRDefault="00954DDF" w:rsidP="00864748">
      <w:pPr>
        <w:spacing w:line="276" w:lineRule="auto"/>
        <w:ind w:left="720" w:hanging="720"/>
        <w:rPr>
          <w:sz w:val="24"/>
          <w:szCs w:val="24"/>
          <w:lang w:val="en-US"/>
        </w:rPr>
      </w:pPr>
      <w:r w:rsidRPr="00954DDF">
        <w:rPr>
          <w:sz w:val="24"/>
          <w:szCs w:val="24"/>
          <w:lang w:val="en-US"/>
        </w:rPr>
        <w:t>Chakravarty, S.</w:t>
      </w:r>
      <w:r w:rsidR="00A228D7">
        <w:rPr>
          <w:sz w:val="24"/>
          <w:szCs w:val="24"/>
          <w:lang w:val="en-US"/>
        </w:rPr>
        <w:t xml:space="preserve"> </w:t>
      </w:r>
      <w:r w:rsidRPr="00954DDF">
        <w:rPr>
          <w:sz w:val="24"/>
          <w:szCs w:val="24"/>
          <w:lang w:val="en-US"/>
        </w:rPr>
        <w:t>R. and C</w:t>
      </w:r>
      <w:r>
        <w:rPr>
          <w:sz w:val="24"/>
          <w:szCs w:val="24"/>
          <w:lang w:val="en-US"/>
        </w:rPr>
        <w:t xml:space="preserve">. </w:t>
      </w:r>
      <w:r w:rsidRPr="00954DDF">
        <w:rPr>
          <w:sz w:val="24"/>
          <w:szCs w:val="24"/>
          <w:lang w:val="en-US"/>
        </w:rPr>
        <w:t>D'Ambrosio</w:t>
      </w:r>
      <w:r>
        <w:rPr>
          <w:sz w:val="24"/>
          <w:szCs w:val="24"/>
          <w:lang w:val="en-US"/>
        </w:rPr>
        <w:t>,</w:t>
      </w:r>
      <w:r w:rsidRPr="00954DDF">
        <w:rPr>
          <w:sz w:val="24"/>
          <w:szCs w:val="24"/>
          <w:lang w:val="en-US"/>
        </w:rPr>
        <w:t xml:space="preserve"> "Polarization Orderings Of Income Distributions," </w:t>
      </w:r>
      <w:r w:rsidRPr="00954DDF">
        <w:rPr>
          <w:i/>
          <w:sz w:val="24"/>
          <w:szCs w:val="24"/>
          <w:lang w:val="en-US"/>
        </w:rPr>
        <w:t>Review of Income and Wealth</w:t>
      </w:r>
      <w:r w:rsidRPr="00954DDF">
        <w:rPr>
          <w:sz w:val="24"/>
          <w:szCs w:val="24"/>
          <w:lang w:val="en-US"/>
        </w:rPr>
        <w:t>, 56</w:t>
      </w:r>
      <w:r w:rsidR="008D71A1">
        <w:rPr>
          <w:sz w:val="24"/>
          <w:szCs w:val="24"/>
          <w:lang w:val="en-US"/>
        </w:rPr>
        <w:t>,</w:t>
      </w:r>
      <w:r>
        <w:rPr>
          <w:sz w:val="24"/>
          <w:szCs w:val="24"/>
          <w:lang w:val="en-US"/>
        </w:rPr>
        <w:t xml:space="preserve"> </w:t>
      </w:r>
      <w:r w:rsidRPr="00954DDF">
        <w:rPr>
          <w:sz w:val="24"/>
          <w:szCs w:val="24"/>
          <w:lang w:val="en-US"/>
        </w:rPr>
        <w:t>47–64, 2010.</w:t>
      </w:r>
    </w:p>
    <w:p w:rsidR="00864748" w:rsidRPr="000967DD" w:rsidRDefault="00864748" w:rsidP="00864748">
      <w:pPr>
        <w:spacing w:line="276" w:lineRule="auto"/>
        <w:ind w:left="720" w:hanging="720"/>
        <w:rPr>
          <w:sz w:val="24"/>
          <w:szCs w:val="24"/>
        </w:rPr>
      </w:pPr>
      <w:r w:rsidRPr="00254CAF">
        <w:rPr>
          <w:sz w:val="24"/>
          <w:szCs w:val="24"/>
        </w:rPr>
        <w:t>Chauvel, L.</w:t>
      </w:r>
      <w:r>
        <w:rPr>
          <w:sz w:val="24"/>
          <w:szCs w:val="24"/>
        </w:rPr>
        <w:t>,</w:t>
      </w:r>
      <w:r w:rsidRPr="00254CAF">
        <w:rPr>
          <w:sz w:val="24"/>
          <w:szCs w:val="24"/>
        </w:rPr>
        <w:t xml:space="preserve"> </w:t>
      </w:r>
      <w:r w:rsidRPr="000967DD">
        <w:rPr>
          <w:sz w:val="24"/>
          <w:szCs w:val="24"/>
        </w:rPr>
        <w:t>"</w:t>
      </w:r>
      <w:r w:rsidRPr="00254CAF">
        <w:rPr>
          <w:sz w:val="24"/>
          <w:szCs w:val="24"/>
        </w:rPr>
        <w:t>Inégalités singulières et plurielles : l’évolution de la co</w:t>
      </w:r>
      <w:r>
        <w:rPr>
          <w:sz w:val="24"/>
          <w:szCs w:val="24"/>
        </w:rPr>
        <w:t>urbe de répartition des revenus,</w:t>
      </w:r>
      <w:r w:rsidRPr="000967DD">
        <w:rPr>
          <w:sz w:val="24"/>
          <w:szCs w:val="24"/>
        </w:rPr>
        <w:t>"</w:t>
      </w:r>
      <w:r w:rsidRPr="00254CAF">
        <w:rPr>
          <w:sz w:val="24"/>
          <w:szCs w:val="24"/>
        </w:rPr>
        <w:t xml:space="preserve"> </w:t>
      </w:r>
      <w:r w:rsidRPr="000967DD">
        <w:rPr>
          <w:i/>
          <w:sz w:val="24"/>
          <w:szCs w:val="24"/>
        </w:rPr>
        <w:t>Revue de l'OFCE</w:t>
      </w:r>
      <w:r w:rsidRPr="000967DD">
        <w:rPr>
          <w:sz w:val="24"/>
          <w:szCs w:val="24"/>
        </w:rPr>
        <w:t>, 55</w:t>
      </w:r>
      <w:r w:rsidR="008D71A1">
        <w:rPr>
          <w:sz w:val="24"/>
          <w:szCs w:val="24"/>
        </w:rPr>
        <w:t xml:space="preserve">, </w:t>
      </w:r>
      <w:r w:rsidRPr="000967DD">
        <w:rPr>
          <w:sz w:val="24"/>
          <w:szCs w:val="24"/>
        </w:rPr>
        <w:t xml:space="preserve">211–40, </w:t>
      </w:r>
      <w:r w:rsidRPr="00254CAF">
        <w:rPr>
          <w:sz w:val="24"/>
          <w:szCs w:val="24"/>
        </w:rPr>
        <w:t>1995</w:t>
      </w:r>
      <w:r w:rsidR="00445233">
        <w:rPr>
          <w:sz w:val="24"/>
          <w:szCs w:val="24"/>
        </w:rPr>
        <w:t xml:space="preserve">, </w:t>
      </w:r>
      <w:r w:rsidRPr="008D71A1">
        <w:rPr>
          <w:sz w:val="22"/>
          <w:szCs w:val="24"/>
        </w:rPr>
        <w:t>http://lou</w:t>
      </w:r>
      <w:r w:rsidR="00445233">
        <w:rPr>
          <w:sz w:val="22"/>
          <w:szCs w:val="24"/>
        </w:rPr>
        <w:t>is.chauvel.free.fr/STROFCED.pdf.</w:t>
      </w:r>
      <w:r w:rsidRPr="008D71A1">
        <w:rPr>
          <w:sz w:val="22"/>
          <w:szCs w:val="24"/>
        </w:rPr>
        <w:t xml:space="preserve"> </w:t>
      </w:r>
    </w:p>
    <w:p w:rsidR="00864748" w:rsidRDefault="00864748" w:rsidP="00864748">
      <w:pPr>
        <w:spacing w:line="276" w:lineRule="auto"/>
        <w:ind w:left="720" w:hanging="720"/>
        <w:rPr>
          <w:sz w:val="24"/>
          <w:szCs w:val="24"/>
          <w:lang w:val="en-GB"/>
        </w:rPr>
      </w:pPr>
      <w:r w:rsidRPr="00FA3B0D">
        <w:rPr>
          <w:sz w:val="24"/>
          <w:szCs w:val="24"/>
          <w:lang w:val="en-GB"/>
        </w:rPr>
        <w:t>———,</w:t>
      </w:r>
      <w:r>
        <w:rPr>
          <w:sz w:val="24"/>
          <w:szCs w:val="24"/>
          <w:lang w:val="en-GB"/>
        </w:rPr>
        <w:t xml:space="preserve"> </w:t>
      </w:r>
      <w:r w:rsidRPr="00DF0D2F">
        <w:rPr>
          <w:sz w:val="24"/>
          <w:szCs w:val="24"/>
          <w:lang w:val="en-GB"/>
        </w:rPr>
        <w:t>"</w:t>
      </w:r>
      <w:r w:rsidRPr="00254CAF">
        <w:rPr>
          <w:sz w:val="24"/>
          <w:szCs w:val="24"/>
          <w:lang w:val="en-GB"/>
        </w:rPr>
        <w:t>Welfare Regimes, Cohorts and the Middle Classes,</w:t>
      </w:r>
      <w:r w:rsidRPr="00DF0D2F">
        <w:rPr>
          <w:sz w:val="24"/>
          <w:szCs w:val="24"/>
          <w:lang w:val="en-GB"/>
        </w:rPr>
        <w:t>"</w:t>
      </w:r>
      <w:r>
        <w:rPr>
          <w:sz w:val="24"/>
          <w:szCs w:val="24"/>
          <w:lang w:val="en-GB"/>
        </w:rPr>
        <w:t xml:space="preserve"> </w:t>
      </w:r>
      <w:r w:rsidRPr="00254CAF">
        <w:rPr>
          <w:sz w:val="24"/>
          <w:szCs w:val="24"/>
          <w:lang w:val="en-GB"/>
        </w:rPr>
        <w:t>in J. Gornick and M. J</w:t>
      </w:r>
      <w:r w:rsidR="000A6645" w:rsidRPr="000A6645">
        <w:rPr>
          <w:sz w:val="24"/>
          <w:szCs w:val="24"/>
          <w:lang w:val="en-US"/>
        </w:rPr>
        <w:t>ä</w:t>
      </w:r>
      <w:r w:rsidRPr="00254CAF">
        <w:rPr>
          <w:sz w:val="24"/>
          <w:szCs w:val="24"/>
          <w:lang w:val="en-GB"/>
        </w:rPr>
        <w:t xml:space="preserve">ntti (eds), </w:t>
      </w:r>
      <w:r w:rsidRPr="00FA3B0D">
        <w:rPr>
          <w:i/>
          <w:sz w:val="24"/>
          <w:szCs w:val="24"/>
          <w:lang w:val="en-GB"/>
        </w:rPr>
        <w:t>Economic Inequality in Cross-National Perspective</w:t>
      </w:r>
      <w:r w:rsidRPr="00254CAF">
        <w:rPr>
          <w:sz w:val="24"/>
          <w:szCs w:val="24"/>
          <w:lang w:val="en-GB"/>
        </w:rPr>
        <w:t xml:space="preserve">, </w:t>
      </w:r>
      <w:r>
        <w:rPr>
          <w:sz w:val="24"/>
          <w:szCs w:val="24"/>
          <w:lang w:val="en-GB"/>
        </w:rPr>
        <w:t>Stanford, CA, Stanford University Press,</w:t>
      </w:r>
      <w:r w:rsidRPr="00FA3B0D">
        <w:rPr>
          <w:sz w:val="24"/>
          <w:szCs w:val="24"/>
          <w:lang w:val="en-GB"/>
        </w:rPr>
        <w:t xml:space="preserve"> </w:t>
      </w:r>
      <w:r>
        <w:rPr>
          <w:sz w:val="24"/>
          <w:szCs w:val="24"/>
          <w:lang w:val="en-GB"/>
        </w:rPr>
        <w:t>115</w:t>
      </w:r>
      <w:r w:rsidRPr="00DF0D2F">
        <w:rPr>
          <w:sz w:val="24"/>
          <w:szCs w:val="24"/>
          <w:lang w:val="en-US"/>
        </w:rPr>
        <w:t>–</w:t>
      </w:r>
      <w:r>
        <w:rPr>
          <w:sz w:val="24"/>
          <w:szCs w:val="24"/>
          <w:lang w:val="en-GB"/>
        </w:rPr>
        <w:t xml:space="preserve">41, </w:t>
      </w:r>
      <w:r w:rsidRPr="00254CAF">
        <w:rPr>
          <w:sz w:val="24"/>
          <w:szCs w:val="24"/>
          <w:lang w:val="en-GB"/>
        </w:rPr>
        <w:t>2013</w:t>
      </w:r>
      <w:r>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Clementi, F</w:t>
      </w:r>
      <w:r>
        <w:rPr>
          <w:sz w:val="24"/>
          <w:szCs w:val="24"/>
          <w:lang w:val="en-GB"/>
        </w:rPr>
        <w:t>.,</w:t>
      </w:r>
      <w:r w:rsidRPr="00DF0D2F">
        <w:rPr>
          <w:sz w:val="24"/>
          <w:szCs w:val="24"/>
          <w:lang w:val="en-GB"/>
        </w:rPr>
        <w:t xml:space="preserve"> M</w:t>
      </w:r>
      <w:r>
        <w:rPr>
          <w:sz w:val="24"/>
          <w:szCs w:val="24"/>
          <w:lang w:val="en-GB"/>
        </w:rPr>
        <w:t>.</w:t>
      </w:r>
      <w:r w:rsidRPr="00DF0D2F">
        <w:rPr>
          <w:sz w:val="24"/>
          <w:szCs w:val="24"/>
          <w:lang w:val="en-GB"/>
        </w:rPr>
        <w:t xml:space="preserve"> Gallegati </w:t>
      </w:r>
      <w:r>
        <w:rPr>
          <w:sz w:val="24"/>
          <w:szCs w:val="24"/>
          <w:lang w:val="en-GB"/>
        </w:rPr>
        <w:t xml:space="preserve">and </w:t>
      </w:r>
      <w:r w:rsidRPr="00DF0D2F">
        <w:rPr>
          <w:sz w:val="24"/>
          <w:szCs w:val="24"/>
          <w:lang w:val="en-GB"/>
        </w:rPr>
        <w:t>G</w:t>
      </w:r>
      <w:r>
        <w:rPr>
          <w:sz w:val="24"/>
          <w:szCs w:val="24"/>
          <w:lang w:val="en-GB"/>
        </w:rPr>
        <w:t>.</w:t>
      </w:r>
      <w:r w:rsidRPr="00DF0D2F">
        <w:rPr>
          <w:sz w:val="24"/>
          <w:szCs w:val="24"/>
          <w:lang w:val="en-GB"/>
        </w:rPr>
        <w:t xml:space="preserve"> Kaniadakis</w:t>
      </w:r>
      <w:r>
        <w:rPr>
          <w:sz w:val="24"/>
          <w:szCs w:val="24"/>
          <w:lang w:val="en-GB"/>
        </w:rPr>
        <w:t>,</w:t>
      </w:r>
      <w:r w:rsidRPr="00DF0D2F">
        <w:rPr>
          <w:sz w:val="24"/>
          <w:szCs w:val="24"/>
          <w:lang w:val="en-GB"/>
        </w:rPr>
        <w:t xml:space="preserve"> "</w:t>
      </w:r>
      <w:r>
        <w:rPr>
          <w:sz w:val="24"/>
          <w:szCs w:val="24"/>
          <w:lang w:val="en-GB"/>
        </w:rPr>
        <w:t>A New M</w:t>
      </w:r>
      <w:r w:rsidRPr="00DF0D2F">
        <w:rPr>
          <w:sz w:val="24"/>
          <w:szCs w:val="24"/>
          <w:lang w:val="en-GB"/>
        </w:rPr>
        <w:t xml:space="preserve">odel of </w:t>
      </w:r>
      <w:r>
        <w:rPr>
          <w:sz w:val="24"/>
          <w:szCs w:val="24"/>
          <w:lang w:val="en-GB"/>
        </w:rPr>
        <w:t>Income Distribution: The κ-G</w:t>
      </w:r>
      <w:r w:rsidRPr="00DF0D2F">
        <w:rPr>
          <w:sz w:val="24"/>
          <w:szCs w:val="24"/>
          <w:lang w:val="en-GB"/>
        </w:rPr>
        <w:t xml:space="preserve">eneralized </w:t>
      </w:r>
      <w:r>
        <w:rPr>
          <w:sz w:val="24"/>
          <w:szCs w:val="24"/>
          <w:lang w:val="en-GB"/>
        </w:rPr>
        <w:t>D</w:t>
      </w:r>
      <w:r w:rsidRPr="00DF0D2F">
        <w:rPr>
          <w:sz w:val="24"/>
          <w:szCs w:val="24"/>
          <w:lang w:val="en-GB"/>
        </w:rPr>
        <w:t xml:space="preserve">istribution," </w:t>
      </w:r>
      <w:r w:rsidRPr="005C6F87">
        <w:rPr>
          <w:i/>
          <w:sz w:val="24"/>
          <w:szCs w:val="24"/>
          <w:lang w:val="en-GB"/>
        </w:rPr>
        <w:t>Journal of Economics</w:t>
      </w:r>
      <w:r w:rsidRPr="00DF0D2F">
        <w:rPr>
          <w:sz w:val="24"/>
          <w:szCs w:val="24"/>
          <w:lang w:val="en-GB"/>
        </w:rPr>
        <w:t>, 105, 63</w:t>
      </w:r>
      <w:r w:rsidRPr="00DF0D2F">
        <w:rPr>
          <w:sz w:val="24"/>
          <w:szCs w:val="24"/>
          <w:lang w:val="en-US"/>
        </w:rPr>
        <w:t>–</w:t>
      </w:r>
      <w:r w:rsidRPr="00DF0D2F">
        <w:rPr>
          <w:sz w:val="24"/>
          <w:szCs w:val="24"/>
          <w:lang w:val="en-GB"/>
        </w:rPr>
        <w:t>91</w:t>
      </w:r>
      <w:r>
        <w:rPr>
          <w:sz w:val="24"/>
          <w:szCs w:val="24"/>
          <w:lang w:val="en-GB"/>
        </w:rPr>
        <w:t>,</w:t>
      </w:r>
      <w:r w:rsidRPr="005C6F87">
        <w:rPr>
          <w:sz w:val="24"/>
          <w:szCs w:val="24"/>
          <w:lang w:val="en-GB"/>
        </w:rPr>
        <w:t xml:space="preserve"> </w:t>
      </w:r>
      <w:r>
        <w:rPr>
          <w:sz w:val="24"/>
          <w:szCs w:val="24"/>
          <w:lang w:val="en-GB"/>
        </w:rPr>
        <w:t>2012.</w:t>
      </w:r>
    </w:p>
    <w:p w:rsidR="00864748" w:rsidRDefault="00864748" w:rsidP="00864748">
      <w:pPr>
        <w:spacing w:line="276" w:lineRule="auto"/>
        <w:ind w:left="720" w:hanging="720"/>
        <w:rPr>
          <w:sz w:val="24"/>
          <w:szCs w:val="24"/>
          <w:lang w:val="en-GB"/>
        </w:rPr>
      </w:pPr>
      <w:r w:rsidRPr="00840710">
        <w:rPr>
          <w:sz w:val="24"/>
          <w:szCs w:val="24"/>
          <w:lang w:val="en-GB"/>
        </w:rPr>
        <w:t>Copas</w:t>
      </w:r>
      <w:r>
        <w:rPr>
          <w:sz w:val="24"/>
          <w:szCs w:val="24"/>
          <w:lang w:val="en-GB"/>
        </w:rPr>
        <w:t>,</w:t>
      </w:r>
      <w:r w:rsidRPr="00840710">
        <w:rPr>
          <w:sz w:val="24"/>
          <w:szCs w:val="24"/>
          <w:lang w:val="en-GB"/>
        </w:rPr>
        <w:t xml:space="preserve"> J</w:t>
      </w:r>
      <w:r>
        <w:rPr>
          <w:sz w:val="24"/>
          <w:szCs w:val="24"/>
          <w:lang w:val="en-GB"/>
        </w:rPr>
        <w:t>.</w:t>
      </w:r>
      <w:r w:rsidRPr="00840710">
        <w:rPr>
          <w:sz w:val="24"/>
          <w:szCs w:val="24"/>
          <w:lang w:val="en-GB"/>
        </w:rPr>
        <w:t xml:space="preserve"> </w:t>
      </w:r>
      <w:r w:rsidRPr="00DF0D2F">
        <w:rPr>
          <w:sz w:val="24"/>
          <w:szCs w:val="24"/>
          <w:lang w:val="en-GB"/>
        </w:rPr>
        <w:t>"</w:t>
      </w:r>
      <w:r w:rsidRPr="00840710">
        <w:rPr>
          <w:sz w:val="24"/>
          <w:szCs w:val="24"/>
          <w:lang w:val="en-GB"/>
        </w:rPr>
        <w:t xml:space="preserve">The Effectiveness of Risk Scores: The Logit Rank Plot </w:t>
      </w:r>
      <w:r>
        <w:rPr>
          <w:sz w:val="24"/>
          <w:szCs w:val="24"/>
          <w:lang w:val="en-GB"/>
        </w:rPr>
        <w:t>Q</w:t>
      </w:r>
      <w:r w:rsidRPr="00840710">
        <w:rPr>
          <w:sz w:val="24"/>
          <w:szCs w:val="24"/>
          <w:lang w:val="en-GB"/>
        </w:rPr>
        <w:t xml:space="preserve">uick </w:t>
      </w:r>
      <w:r>
        <w:rPr>
          <w:sz w:val="24"/>
          <w:szCs w:val="24"/>
          <w:lang w:val="en-GB"/>
        </w:rPr>
        <w:t>V</w:t>
      </w:r>
      <w:r w:rsidRPr="00840710">
        <w:rPr>
          <w:sz w:val="24"/>
          <w:szCs w:val="24"/>
          <w:lang w:val="en-GB"/>
        </w:rPr>
        <w:t>iew</w:t>
      </w:r>
      <w:r w:rsidRPr="005C6F87">
        <w:rPr>
          <w:i/>
          <w:sz w:val="24"/>
          <w:szCs w:val="24"/>
          <w:lang w:val="en-GB"/>
        </w:rPr>
        <w:t>,"</w:t>
      </w:r>
      <w:r>
        <w:rPr>
          <w:i/>
          <w:sz w:val="24"/>
          <w:szCs w:val="24"/>
          <w:lang w:val="en-GB"/>
        </w:rPr>
        <w:t xml:space="preserve"> </w:t>
      </w:r>
      <w:r w:rsidRPr="005C6F87">
        <w:rPr>
          <w:i/>
          <w:sz w:val="24"/>
          <w:szCs w:val="24"/>
          <w:lang w:val="en-GB"/>
        </w:rPr>
        <w:t>Journal of the Royal Statistical Society. Series C (Applied Statistics)</w:t>
      </w:r>
      <w:r>
        <w:rPr>
          <w:sz w:val="24"/>
          <w:szCs w:val="24"/>
          <w:lang w:val="en-GB"/>
        </w:rPr>
        <w:t>, 48,</w:t>
      </w:r>
      <w:r w:rsidRPr="00840710">
        <w:rPr>
          <w:sz w:val="24"/>
          <w:szCs w:val="24"/>
          <w:lang w:val="en-GB"/>
        </w:rPr>
        <w:t xml:space="preserve"> 165</w:t>
      </w:r>
      <w:r w:rsidRPr="00DF0D2F">
        <w:rPr>
          <w:sz w:val="24"/>
          <w:szCs w:val="24"/>
          <w:lang w:val="en-US"/>
        </w:rPr>
        <w:t>–</w:t>
      </w:r>
      <w:r w:rsidRPr="00840710">
        <w:rPr>
          <w:sz w:val="24"/>
          <w:szCs w:val="24"/>
          <w:lang w:val="en-GB"/>
        </w:rPr>
        <w:t>8</w:t>
      </w:r>
      <w:r>
        <w:rPr>
          <w:sz w:val="24"/>
          <w:szCs w:val="24"/>
          <w:lang w:val="en-GB"/>
        </w:rPr>
        <w:t>3, 1999.</w:t>
      </w:r>
    </w:p>
    <w:p w:rsidR="00864748" w:rsidRPr="00DF0D2F" w:rsidRDefault="00864748" w:rsidP="00864748">
      <w:pPr>
        <w:spacing w:line="276" w:lineRule="auto"/>
        <w:ind w:left="720" w:hanging="720"/>
        <w:rPr>
          <w:sz w:val="24"/>
          <w:szCs w:val="24"/>
          <w:lang w:val="en-US"/>
        </w:rPr>
      </w:pPr>
      <w:r w:rsidRPr="00DF0D2F">
        <w:rPr>
          <w:sz w:val="24"/>
          <w:szCs w:val="24"/>
          <w:lang w:val="en-US"/>
        </w:rPr>
        <w:t>Cowell, F.</w:t>
      </w:r>
      <w:r>
        <w:rPr>
          <w:sz w:val="24"/>
          <w:szCs w:val="24"/>
          <w:lang w:val="en-US"/>
        </w:rPr>
        <w:t xml:space="preserve"> </w:t>
      </w:r>
      <w:r w:rsidRPr="00DF0D2F">
        <w:rPr>
          <w:sz w:val="24"/>
          <w:szCs w:val="24"/>
          <w:lang w:val="en-US"/>
        </w:rPr>
        <w:t>A.</w:t>
      </w:r>
      <w:r>
        <w:rPr>
          <w:sz w:val="24"/>
          <w:szCs w:val="24"/>
          <w:lang w:val="en-US"/>
        </w:rPr>
        <w:t>,</w:t>
      </w:r>
      <w:r w:rsidRPr="00DF0D2F">
        <w:rPr>
          <w:sz w:val="24"/>
          <w:szCs w:val="24"/>
          <w:lang w:val="en-US"/>
        </w:rPr>
        <w:t xml:space="preserve"> </w:t>
      </w:r>
      <w:r w:rsidRPr="008C520C">
        <w:rPr>
          <w:i/>
          <w:sz w:val="24"/>
          <w:szCs w:val="24"/>
          <w:lang w:val="en-US"/>
        </w:rPr>
        <w:t>Measuring Inequality</w:t>
      </w:r>
      <w:r>
        <w:rPr>
          <w:sz w:val="24"/>
          <w:szCs w:val="24"/>
          <w:lang w:val="en-US"/>
        </w:rPr>
        <w:t>, 2</w:t>
      </w:r>
      <w:r w:rsidRPr="004576EF">
        <w:rPr>
          <w:sz w:val="24"/>
          <w:szCs w:val="24"/>
          <w:lang w:val="en-US"/>
        </w:rPr>
        <w:t>nd</w:t>
      </w:r>
      <w:r>
        <w:rPr>
          <w:sz w:val="24"/>
          <w:szCs w:val="24"/>
          <w:lang w:val="en-US"/>
        </w:rPr>
        <w:t xml:space="preserve"> edition,</w:t>
      </w:r>
      <w:r w:rsidRPr="000967DD">
        <w:rPr>
          <w:lang w:val="en-US"/>
        </w:rPr>
        <w:t xml:space="preserve"> </w:t>
      </w:r>
      <w:r w:rsidRPr="00DF0D2F">
        <w:rPr>
          <w:sz w:val="24"/>
          <w:szCs w:val="24"/>
          <w:lang w:val="en-US"/>
        </w:rPr>
        <w:t>Harvester</w:t>
      </w:r>
      <w:r>
        <w:rPr>
          <w:sz w:val="24"/>
          <w:szCs w:val="24"/>
          <w:lang w:val="en-US"/>
        </w:rPr>
        <w:t xml:space="preserve"> </w:t>
      </w:r>
      <w:r w:rsidRPr="00DF0D2F">
        <w:rPr>
          <w:sz w:val="24"/>
          <w:szCs w:val="24"/>
          <w:lang w:val="en-US"/>
        </w:rPr>
        <w:t>Wheatsheaf</w:t>
      </w:r>
      <w:r>
        <w:rPr>
          <w:sz w:val="24"/>
          <w:szCs w:val="24"/>
          <w:lang w:val="en-US"/>
        </w:rPr>
        <w:t xml:space="preserve">, </w:t>
      </w:r>
      <w:r w:rsidRPr="00DF0D2F">
        <w:rPr>
          <w:sz w:val="24"/>
          <w:szCs w:val="24"/>
          <w:lang w:val="en-US"/>
        </w:rPr>
        <w:t>Hemel Hempstead</w:t>
      </w:r>
      <w:r>
        <w:rPr>
          <w:sz w:val="24"/>
          <w:szCs w:val="24"/>
          <w:lang w:val="en-US"/>
        </w:rPr>
        <w:t xml:space="preserve">, </w:t>
      </w:r>
      <w:r w:rsidRPr="00DF0D2F">
        <w:rPr>
          <w:sz w:val="24"/>
          <w:szCs w:val="24"/>
          <w:lang w:val="en-US"/>
        </w:rPr>
        <w:t xml:space="preserve">1995. </w:t>
      </w:r>
    </w:p>
    <w:p w:rsidR="00864748" w:rsidRPr="00DF0D2F" w:rsidRDefault="00864748" w:rsidP="00864748">
      <w:pPr>
        <w:spacing w:line="276" w:lineRule="auto"/>
        <w:ind w:left="720" w:hanging="720"/>
        <w:rPr>
          <w:sz w:val="24"/>
          <w:szCs w:val="24"/>
          <w:lang w:val="en-US"/>
        </w:rPr>
      </w:pPr>
      <w:r w:rsidRPr="00FA3B0D">
        <w:rPr>
          <w:sz w:val="24"/>
          <w:szCs w:val="24"/>
          <w:lang w:val="en-GB"/>
        </w:rPr>
        <w:t>———,</w:t>
      </w:r>
      <w:r>
        <w:rPr>
          <w:sz w:val="24"/>
          <w:szCs w:val="24"/>
          <w:lang w:val="en-US"/>
        </w:rPr>
        <w:t xml:space="preserve"> </w:t>
      </w:r>
      <w:r w:rsidRPr="00DF0D2F">
        <w:rPr>
          <w:sz w:val="24"/>
          <w:szCs w:val="24"/>
          <w:lang w:val="en-GB"/>
        </w:rPr>
        <w:t>"</w:t>
      </w:r>
      <w:r>
        <w:rPr>
          <w:sz w:val="24"/>
          <w:szCs w:val="24"/>
          <w:lang w:val="en-US"/>
        </w:rPr>
        <w:t>Measurement of I</w:t>
      </w:r>
      <w:r w:rsidRPr="00DF0D2F">
        <w:rPr>
          <w:sz w:val="24"/>
          <w:szCs w:val="24"/>
          <w:lang w:val="en-US"/>
        </w:rPr>
        <w:t>nequality</w:t>
      </w:r>
      <w:r>
        <w:rPr>
          <w:sz w:val="24"/>
          <w:szCs w:val="24"/>
          <w:lang w:val="en-US"/>
        </w:rPr>
        <w:t>,</w:t>
      </w:r>
      <w:r w:rsidRPr="00DF0D2F">
        <w:rPr>
          <w:sz w:val="24"/>
          <w:szCs w:val="24"/>
          <w:lang w:val="en-GB"/>
        </w:rPr>
        <w:t>"</w:t>
      </w:r>
      <w:r>
        <w:rPr>
          <w:sz w:val="24"/>
          <w:szCs w:val="24"/>
          <w:lang w:val="en-US"/>
        </w:rPr>
        <w:t xml:space="preserve"> in </w:t>
      </w:r>
      <w:r w:rsidRPr="00DF0D2F">
        <w:rPr>
          <w:sz w:val="24"/>
          <w:szCs w:val="24"/>
          <w:lang w:val="en-US"/>
        </w:rPr>
        <w:t>A.</w:t>
      </w:r>
      <w:r>
        <w:rPr>
          <w:sz w:val="24"/>
          <w:szCs w:val="24"/>
          <w:lang w:val="en-US"/>
        </w:rPr>
        <w:t xml:space="preserve"> </w:t>
      </w:r>
      <w:r w:rsidRPr="00DF0D2F">
        <w:rPr>
          <w:sz w:val="24"/>
          <w:szCs w:val="24"/>
          <w:lang w:val="en-US"/>
        </w:rPr>
        <w:t>B. Atkinson and F. Bourguignon</w:t>
      </w:r>
      <w:r>
        <w:rPr>
          <w:sz w:val="24"/>
          <w:szCs w:val="24"/>
          <w:lang w:val="en-US"/>
        </w:rPr>
        <w:t xml:space="preserve"> (</w:t>
      </w:r>
      <w:r w:rsidRPr="00DF0D2F">
        <w:rPr>
          <w:sz w:val="24"/>
          <w:szCs w:val="24"/>
          <w:lang w:val="en-US"/>
        </w:rPr>
        <w:t>eds.</w:t>
      </w:r>
      <w:r>
        <w:rPr>
          <w:sz w:val="24"/>
          <w:szCs w:val="24"/>
          <w:lang w:val="en-US"/>
        </w:rPr>
        <w:t xml:space="preserve">), </w:t>
      </w:r>
      <w:r w:rsidRPr="005700F5">
        <w:rPr>
          <w:i/>
          <w:sz w:val="24"/>
          <w:szCs w:val="24"/>
          <w:lang w:val="en-US"/>
        </w:rPr>
        <w:t>Handbook of Income Distribution Volume 1</w:t>
      </w:r>
      <w:r w:rsidRPr="00DF0D2F">
        <w:rPr>
          <w:sz w:val="24"/>
          <w:szCs w:val="24"/>
          <w:lang w:val="en-US"/>
        </w:rPr>
        <w:t>, Elsevier Science, Amsterdam</w:t>
      </w:r>
      <w:r>
        <w:rPr>
          <w:sz w:val="24"/>
          <w:szCs w:val="24"/>
          <w:lang w:val="en-US"/>
        </w:rPr>
        <w:t xml:space="preserve">, </w:t>
      </w:r>
      <w:r w:rsidRPr="00DF0D2F">
        <w:rPr>
          <w:sz w:val="24"/>
          <w:szCs w:val="24"/>
          <w:lang w:val="en-US"/>
        </w:rPr>
        <w:t>59–85</w:t>
      </w:r>
      <w:r>
        <w:rPr>
          <w:sz w:val="24"/>
          <w:szCs w:val="24"/>
          <w:lang w:val="en-US"/>
        </w:rPr>
        <w:t xml:space="preserve">, </w:t>
      </w:r>
      <w:r w:rsidRPr="00DF0D2F">
        <w:rPr>
          <w:sz w:val="24"/>
          <w:szCs w:val="24"/>
          <w:lang w:val="en-US"/>
        </w:rPr>
        <w:t>2000.</w:t>
      </w:r>
    </w:p>
    <w:p w:rsidR="00864748" w:rsidRPr="00DF0D2F" w:rsidRDefault="00864748" w:rsidP="00864748">
      <w:pPr>
        <w:spacing w:line="276" w:lineRule="auto"/>
        <w:ind w:left="720" w:hanging="720"/>
        <w:rPr>
          <w:sz w:val="24"/>
          <w:szCs w:val="24"/>
          <w:lang w:val="en-US"/>
        </w:rPr>
      </w:pPr>
      <w:r w:rsidRPr="00FA3B0D">
        <w:rPr>
          <w:sz w:val="24"/>
          <w:szCs w:val="24"/>
          <w:lang w:val="en-GB"/>
        </w:rPr>
        <w:t>———,</w:t>
      </w:r>
      <w:r w:rsidRPr="00DF0D2F">
        <w:rPr>
          <w:sz w:val="24"/>
          <w:szCs w:val="24"/>
          <w:lang w:val="en-GB"/>
        </w:rPr>
        <w:t xml:space="preserve"> </w:t>
      </w:r>
      <w:r w:rsidRPr="008C520C">
        <w:rPr>
          <w:i/>
          <w:sz w:val="24"/>
          <w:szCs w:val="24"/>
          <w:lang w:val="en-GB"/>
        </w:rPr>
        <w:t xml:space="preserve">The Economics of Poverty and Inequality: </w:t>
      </w:r>
      <w:r w:rsidRPr="008C520C">
        <w:rPr>
          <w:i/>
          <w:sz w:val="24"/>
          <w:szCs w:val="24"/>
          <w:lang w:val="en-US"/>
        </w:rPr>
        <w:t>Introduction</w:t>
      </w:r>
      <w:r>
        <w:rPr>
          <w:sz w:val="24"/>
          <w:szCs w:val="24"/>
          <w:lang w:val="en-GB"/>
        </w:rPr>
        <w:t>, London School of Economics, mimeo,</w:t>
      </w:r>
      <w:r w:rsidRPr="00DF0D2F">
        <w:rPr>
          <w:sz w:val="24"/>
          <w:szCs w:val="24"/>
          <w:lang w:val="en-GB"/>
        </w:rPr>
        <w:t xml:space="preserve"> 2002</w:t>
      </w:r>
      <w:r>
        <w:rPr>
          <w:sz w:val="24"/>
          <w:szCs w:val="24"/>
          <w:lang w:val="en-GB"/>
        </w:rPr>
        <w:t>.</w:t>
      </w:r>
    </w:p>
    <w:p w:rsidR="00864748" w:rsidRPr="00DF0D2F" w:rsidRDefault="00864748" w:rsidP="00864748">
      <w:pPr>
        <w:spacing w:line="276" w:lineRule="auto"/>
        <w:ind w:left="720" w:hanging="720"/>
        <w:rPr>
          <w:sz w:val="24"/>
          <w:szCs w:val="24"/>
          <w:lang w:val="en-US"/>
        </w:rPr>
      </w:pPr>
      <w:r w:rsidRPr="00FA3B0D">
        <w:rPr>
          <w:sz w:val="24"/>
          <w:szCs w:val="24"/>
          <w:lang w:val="en-GB"/>
        </w:rPr>
        <w:t>———,</w:t>
      </w:r>
      <w:r>
        <w:rPr>
          <w:sz w:val="24"/>
          <w:szCs w:val="24"/>
          <w:lang w:val="en-GB"/>
        </w:rPr>
        <w:t xml:space="preserve"> </w:t>
      </w:r>
      <w:r w:rsidRPr="00DF0D2F">
        <w:rPr>
          <w:sz w:val="24"/>
          <w:szCs w:val="24"/>
          <w:lang w:val="en-US"/>
        </w:rPr>
        <w:t xml:space="preserve">(ed.), </w:t>
      </w:r>
      <w:r w:rsidRPr="0062215E">
        <w:rPr>
          <w:i/>
          <w:sz w:val="24"/>
          <w:szCs w:val="24"/>
          <w:lang w:val="en-US"/>
        </w:rPr>
        <w:t>The Economics of Poverty and Inequality, Volume I Inequality</w:t>
      </w:r>
      <w:r w:rsidRPr="00DF0D2F">
        <w:rPr>
          <w:sz w:val="24"/>
          <w:szCs w:val="24"/>
          <w:lang w:val="en-US"/>
        </w:rPr>
        <w:t xml:space="preserve">. Edward Elgar, </w:t>
      </w:r>
      <w:r>
        <w:rPr>
          <w:sz w:val="24"/>
          <w:szCs w:val="24"/>
          <w:lang w:val="en-US"/>
        </w:rPr>
        <w:t xml:space="preserve">Cheltenham, UK, </w:t>
      </w:r>
      <w:r w:rsidRPr="00DF0D2F">
        <w:rPr>
          <w:sz w:val="24"/>
          <w:szCs w:val="24"/>
          <w:lang w:val="en-US"/>
        </w:rPr>
        <w:t>2003.</w:t>
      </w:r>
    </w:p>
    <w:p w:rsidR="00864748" w:rsidRPr="00DF0D2F" w:rsidRDefault="00864748" w:rsidP="00864748">
      <w:pPr>
        <w:spacing w:line="276" w:lineRule="auto"/>
        <w:ind w:left="720" w:hanging="720"/>
        <w:rPr>
          <w:sz w:val="24"/>
          <w:szCs w:val="24"/>
          <w:lang w:val="en-US"/>
        </w:rPr>
      </w:pPr>
      <w:r w:rsidRPr="00DF0D2F">
        <w:rPr>
          <w:sz w:val="24"/>
          <w:szCs w:val="24"/>
          <w:lang w:val="en-US"/>
        </w:rPr>
        <w:t>Cowell, F.</w:t>
      </w:r>
      <w:r>
        <w:rPr>
          <w:sz w:val="24"/>
          <w:szCs w:val="24"/>
          <w:lang w:val="en-US"/>
        </w:rPr>
        <w:t xml:space="preserve"> </w:t>
      </w:r>
      <w:r w:rsidRPr="00DF0D2F">
        <w:rPr>
          <w:sz w:val="24"/>
          <w:szCs w:val="24"/>
          <w:lang w:val="en-US"/>
        </w:rPr>
        <w:t>A. and S.</w:t>
      </w:r>
      <w:r>
        <w:rPr>
          <w:sz w:val="24"/>
          <w:szCs w:val="24"/>
          <w:lang w:val="en-US"/>
        </w:rPr>
        <w:t xml:space="preserve"> </w:t>
      </w:r>
      <w:r w:rsidRPr="00DF0D2F">
        <w:rPr>
          <w:sz w:val="24"/>
          <w:szCs w:val="24"/>
          <w:lang w:val="en-US"/>
        </w:rPr>
        <w:t xml:space="preserve">P. Jenkins, </w:t>
      </w:r>
      <w:r w:rsidRPr="00DF0D2F">
        <w:rPr>
          <w:sz w:val="24"/>
          <w:szCs w:val="24"/>
          <w:lang w:val="en-GB"/>
        </w:rPr>
        <w:t>"</w:t>
      </w:r>
      <w:r w:rsidRPr="00DF0D2F">
        <w:rPr>
          <w:sz w:val="24"/>
          <w:szCs w:val="24"/>
          <w:lang w:val="en-US"/>
        </w:rPr>
        <w:t xml:space="preserve">How </w:t>
      </w:r>
      <w:r>
        <w:rPr>
          <w:sz w:val="24"/>
          <w:szCs w:val="24"/>
          <w:lang w:val="en-US"/>
        </w:rPr>
        <w:t>M</w:t>
      </w:r>
      <w:r w:rsidRPr="00DF0D2F">
        <w:rPr>
          <w:sz w:val="24"/>
          <w:szCs w:val="24"/>
          <w:lang w:val="en-US"/>
        </w:rPr>
        <w:t xml:space="preserve">uch </w:t>
      </w:r>
      <w:r>
        <w:rPr>
          <w:sz w:val="24"/>
          <w:szCs w:val="24"/>
          <w:lang w:val="en-US"/>
        </w:rPr>
        <w:t>Inequality C</w:t>
      </w:r>
      <w:r w:rsidRPr="00DF0D2F">
        <w:rPr>
          <w:sz w:val="24"/>
          <w:szCs w:val="24"/>
          <w:lang w:val="en-US"/>
        </w:rPr>
        <w:t xml:space="preserve">an </w:t>
      </w:r>
      <w:r>
        <w:rPr>
          <w:sz w:val="24"/>
          <w:szCs w:val="24"/>
          <w:lang w:val="en-US"/>
        </w:rPr>
        <w:t>W</w:t>
      </w:r>
      <w:r w:rsidRPr="00DF0D2F">
        <w:rPr>
          <w:sz w:val="24"/>
          <w:szCs w:val="24"/>
          <w:lang w:val="en-US"/>
        </w:rPr>
        <w:t xml:space="preserve">e </w:t>
      </w:r>
      <w:r>
        <w:rPr>
          <w:sz w:val="24"/>
          <w:szCs w:val="24"/>
          <w:lang w:val="en-US"/>
        </w:rPr>
        <w:t>E</w:t>
      </w:r>
      <w:r w:rsidRPr="00DF0D2F">
        <w:rPr>
          <w:sz w:val="24"/>
          <w:szCs w:val="24"/>
          <w:lang w:val="en-US"/>
        </w:rPr>
        <w:t xml:space="preserve">xplain? A </w:t>
      </w:r>
      <w:r>
        <w:rPr>
          <w:sz w:val="24"/>
          <w:szCs w:val="24"/>
          <w:lang w:val="en-US"/>
        </w:rPr>
        <w:t>M</w:t>
      </w:r>
      <w:r w:rsidRPr="00DF0D2F">
        <w:rPr>
          <w:sz w:val="24"/>
          <w:szCs w:val="24"/>
          <w:lang w:val="en-US"/>
        </w:rPr>
        <w:t xml:space="preserve">ethodology and an </w:t>
      </w:r>
      <w:r>
        <w:rPr>
          <w:sz w:val="24"/>
          <w:szCs w:val="24"/>
          <w:lang w:val="en-US"/>
        </w:rPr>
        <w:t>A</w:t>
      </w:r>
      <w:r w:rsidRPr="00DF0D2F">
        <w:rPr>
          <w:sz w:val="24"/>
          <w:szCs w:val="24"/>
          <w:lang w:val="en-US"/>
        </w:rPr>
        <w:t>pplication to the U</w:t>
      </w:r>
      <w:r>
        <w:rPr>
          <w:sz w:val="24"/>
          <w:szCs w:val="24"/>
          <w:lang w:val="en-US"/>
        </w:rPr>
        <w:t>SA,</w:t>
      </w:r>
      <w:r w:rsidRPr="00DF0D2F">
        <w:rPr>
          <w:sz w:val="24"/>
          <w:szCs w:val="24"/>
          <w:lang w:val="en-GB"/>
        </w:rPr>
        <w:t>"</w:t>
      </w:r>
      <w:r>
        <w:rPr>
          <w:sz w:val="24"/>
          <w:szCs w:val="24"/>
          <w:lang w:val="en-US"/>
        </w:rPr>
        <w:t xml:space="preserve"> </w:t>
      </w:r>
      <w:r w:rsidRPr="0062215E">
        <w:rPr>
          <w:i/>
          <w:sz w:val="24"/>
          <w:szCs w:val="24"/>
          <w:lang w:val="en-US"/>
        </w:rPr>
        <w:t>Economic Journal</w:t>
      </w:r>
      <w:r>
        <w:rPr>
          <w:sz w:val="24"/>
          <w:szCs w:val="24"/>
          <w:lang w:val="en-US"/>
        </w:rPr>
        <w:t>, 105, 421</w:t>
      </w:r>
      <w:r w:rsidRPr="00DF0D2F">
        <w:rPr>
          <w:sz w:val="24"/>
          <w:szCs w:val="24"/>
          <w:lang w:val="en-US"/>
        </w:rPr>
        <w:t>–30</w:t>
      </w:r>
      <w:r>
        <w:rPr>
          <w:sz w:val="24"/>
          <w:szCs w:val="24"/>
          <w:lang w:val="en-US"/>
        </w:rPr>
        <w:t xml:space="preserve">, </w:t>
      </w:r>
      <w:r w:rsidRPr="00DF0D2F">
        <w:rPr>
          <w:sz w:val="24"/>
          <w:szCs w:val="24"/>
          <w:lang w:val="en-US"/>
        </w:rPr>
        <w:t>1995.</w:t>
      </w:r>
    </w:p>
    <w:p w:rsidR="00864748" w:rsidRDefault="00864748" w:rsidP="00864748">
      <w:pPr>
        <w:spacing w:line="276" w:lineRule="auto"/>
        <w:ind w:left="720" w:hanging="720"/>
        <w:rPr>
          <w:sz w:val="24"/>
          <w:szCs w:val="24"/>
          <w:lang w:val="en-GB"/>
        </w:rPr>
      </w:pPr>
      <w:r w:rsidRPr="00DF0D2F">
        <w:rPr>
          <w:sz w:val="24"/>
          <w:szCs w:val="24"/>
          <w:lang w:val="en-GB"/>
        </w:rPr>
        <w:lastRenderedPageBreak/>
        <w:t>Dagum, C.</w:t>
      </w:r>
      <w:r>
        <w:rPr>
          <w:sz w:val="24"/>
          <w:szCs w:val="24"/>
          <w:lang w:val="en-GB"/>
        </w:rPr>
        <w:t>,</w:t>
      </w:r>
      <w:r w:rsidRPr="00DF0D2F">
        <w:rPr>
          <w:sz w:val="24"/>
          <w:szCs w:val="24"/>
          <w:lang w:val="en-GB"/>
        </w:rPr>
        <w:t xml:space="preserve"> "</w:t>
      </w:r>
      <w:r w:rsidRPr="00583E7D">
        <w:rPr>
          <w:sz w:val="24"/>
          <w:szCs w:val="24"/>
          <w:lang w:val="en-GB"/>
        </w:rPr>
        <w:t xml:space="preserve">A </w:t>
      </w:r>
      <w:r w:rsidR="00A228D7">
        <w:rPr>
          <w:sz w:val="24"/>
          <w:szCs w:val="24"/>
          <w:lang w:val="en-GB"/>
        </w:rPr>
        <w:t>M</w:t>
      </w:r>
      <w:r w:rsidRPr="00583E7D">
        <w:rPr>
          <w:sz w:val="24"/>
          <w:szCs w:val="24"/>
          <w:lang w:val="en-GB"/>
        </w:rPr>
        <w:t xml:space="preserve">odel of </w:t>
      </w:r>
      <w:r w:rsidR="00A228D7">
        <w:rPr>
          <w:sz w:val="24"/>
          <w:szCs w:val="24"/>
          <w:lang w:val="en-GB"/>
        </w:rPr>
        <w:t>I</w:t>
      </w:r>
      <w:r w:rsidRPr="00583E7D">
        <w:rPr>
          <w:sz w:val="24"/>
          <w:szCs w:val="24"/>
          <w:lang w:val="en-GB"/>
        </w:rPr>
        <w:t xml:space="preserve">ncome </w:t>
      </w:r>
      <w:r w:rsidR="00A228D7">
        <w:rPr>
          <w:sz w:val="24"/>
          <w:szCs w:val="24"/>
          <w:lang w:val="en-GB"/>
        </w:rPr>
        <w:t>D</w:t>
      </w:r>
      <w:r w:rsidRPr="00583E7D">
        <w:rPr>
          <w:sz w:val="24"/>
          <w:szCs w:val="24"/>
          <w:lang w:val="en-GB"/>
        </w:rPr>
        <w:t>i</w:t>
      </w:r>
      <w:r>
        <w:rPr>
          <w:sz w:val="24"/>
          <w:szCs w:val="24"/>
          <w:lang w:val="en-GB"/>
        </w:rPr>
        <w:t xml:space="preserve">stribution and the </w:t>
      </w:r>
      <w:r w:rsidR="00A228D7">
        <w:rPr>
          <w:sz w:val="24"/>
          <w:szCs w:val="24"/>
          <w:lang w:val="en-GB"/>
        </w:rPr>
        <w:t>C</w:t>
      </w:r>
      <w:r>
        <w:rPr>
          <w:sz w:val="24"/>
          <w:szCs w:val="24"/>
          <w:lang w:val="en-GB"/>
        </w:rPr>
        <w:t>onditions o</w:t>
      </w:r>
      <w:r w:rsidRPr="00583E7D">
        <w:rPr>
          <w:sz w:val="24"/>
          <w:szCs w:val="24"/>
          <w:lang w:val="en-GB"/>
        </w:rPr>
        <w:t xml:space="preserve">f </w:t>
      </w:r>
      <w:r w:rsidR="00A228D7">
        <w:rPr>
          <w:sz w:val="24"/>
          <w:szCs w:val="24"/>
          <w:lang w:val="en-GB"/>
        </w:rPr>
        <w:t>E</w:t>
      </w:r>
      <w:r w:rsidRPr="00583E7D">
        <w:rPr>
          <w:sz w:val="24"/>
          <w:szCs w:val="24"/>
          <w:lang w:val="en-GB"/>
        </w:rPr>
        <w:t xml:space="preserve">xistence of </w:t>
      </w:r>
      <w:r w:rsidR="00A228D7">
        <w:rPr>
          <w:sz w:val="24"/>
          <w:szCs w:val="24"/>
          <w:lang w:val="en-GB"/>
        </w:rPr>
        <w:t>M</w:t>
      </w:r>
      <w:r w:rsidRPr="00583E7D">
        <w:rPr>
          <w:sz w:val="24"/>
          <w:szCs w:val="24"/>
          <w:lang w:val="en-GB"/>
        </w:rPr>
        <w:t xml:space="preserve">oments of </w:t>
      </w:r>
      <w:r w:rsidR="00A228D7">
        <w:rPr>
          <w:sz w:val="24"/>
          <w:szCs w:val="24"/>
          <w:lang w:val="en-GB"/>
        </w:rPr>
        <w:t>F</w:t>
      </w:r>
      <w:r w:rsidRPr="00583E7D">
        <w:rPr>
          <w:sz w:val="24"/>
          <w:szCs w:val="24"/>
          <w:lang w:val="en-GB"/>
        </w:rPr>
        <w:t>inite</w:t>
      </w:r>
      <w:r>
        <w:rPr>
          <w:sz w:val="24"/>
          <w:szCs w:val="24"/>
          <w:lang w:val="en-GB"/>
        </w:rPr>
        <w:t xml:space="preserve"> </w:t>
      </w:r>
      <w:r w:rsidR="00A228D7">
        <w:rPr>
          <w:sz w:val="24"/>
          <w:szCs w:val="24"/>
          <w:lang w:val="en-GB"/>
        </w:rPr>
        <w:t>O</w:t>
      </w:r>
      <w:r w:rsidRPr="00583E7D">
        <w:rPr>
          <w:sz w:val="24"/>
          <w:szCs w:val="24"/>
          <w:lang w:val="en-GB"/>
        </w:rPr>
        <w:t>rder</w:t>
      </w:r>
      <w:r w:rsidRPr="00DF0D2F">
        <w:rPr>
          <w:sz w:val="24"/>
          <w:szCs w:val="24"/>
          <w:lang w:val="en-GB"/>
        </w:rPr>
        <w:t>"</w:t>
      </w:r>
      <w:r w:rsidRPr="00583E7D">
        <w:rPr>
          <w:sz w:val="24"/>
          <w:szCs w:val="24"/>
          <w:lang w:val="en-GB"/>
        </w:rPr>
        <w:t xml:space="preserve">, </w:t>
      </w:r>
      <w:r w:rsidRPr="00583E7D">
        <w:rPr>
          <w:i/>
          <w:sz w:val="24"/>
          <w:szCs w:val="24"/>
          <w:lang w:val="en-GB"/>
        </w:rPr>
        <w:t>Proce</w:t>
      </w:r>
      <w:r w:rsidR="00C6630C">
        <w:rPr>
          <w:i/>
          <w:sz w:val="24"/>
          <w:szCs w:val="24"/>
          <w:lang w:val="en-GB"/>
        </w:rPr>
        <w:t>e</w:t>
      </w:r>
      <w:r w:rsidRPr="00583E7D">
        <w:rPr>
          <w:i/>
          <w:sz w:val="24"/>
          <w:szCs w:val="24"/>
          <w:lang w:val="en-GB"/>
        </w:rPr>
        <w:t>dings of the 40th session of the International Statistical Ins</w:t>
      </w:r>
      <w:r w:rsidR="00C6630C">
        <w:rPr>
          <w:i/>
          <w:sz w:val="24"/>
          <w:szCs w:val="24"/>
          <w:lang w:val="en-GB"/>
        </w:rPr>
        <w:t>t</w:t>
      </w:r>
      <w:r w:rsidRPr="00583E7D">
        <w:rPr>
          <w:i/>
          <w:sz w:val="24"/>
          <w:szCs w:val="24"/>
          <w:lang w:val="en-GB"/>
        </w:rPr>
        <w:t>itute</w:t>
      </w:r>
      <w:r w:rsidRPr="00583E7D">
        <w:rPr>
          <w:sz w:val="24"/>
          <w:szCs w:val="24"/>
          <w:lang w:val="en-GB"/>
        </w:rPr>
        <w:t>,</w:t>
      </w:r>
      <w:r>
        <w:rPr>
          <w:sz w:val="24"/>
          <w:szCs w:val="24"/>
          <w:lang w:val="en-GB"/>
        </w:rPr>
        <w:t xml:space="preserve"> </w:t>
      </w:r>
      <w:r w:rsidRPr="00583E7D">
        <w:rPr>
          <w:sz w:val="24"/>
          <w:szCs w:val="24"/>
          <w:lang w:val="en-GB"/>
        </w:rPr>
        <w:t>Vol.</w:t>
      </w:r>
      <w:r>
        <w:rPr>
          <w:sz w:val="24"/>
          <w:szCs w:val="24"/>
          <w:lang w:val="en-GB"/>
        </w:rPr>
        <w:t xml:space="preserve"> </w:t>
      </w:r>
      <w:r w:rsidRPr="00583E7D">
        <w:rPr>
          <w:sz w:val="24"/>
          <w:szCs w:val="24"/>
          <w:lang w:val="en-GB"/>
        </w:rPr>
        <w:t>XLVI, Book 3, Warsaw, 196-202</w:t>
      </w:r>
      <w:r>
        <w:rPr>
          <w:sz w:val="24"/>
          <w:szCs w:val="24"/>
          <w:lang w:val="en-GB"/>
        </w:rPr>
        <w:t>, 1975</w:t>
      </w:r>
      <w:r w:rsidRPr="00583E7D">
        <w:rPr>
          <w:sz w:val="24"/>
          <w:szCs w:val="24"/>
          <w:lang w:val="en-GB"/>
        </w:rPr>
        <w:t>.</w:t>
      </w:r>
    </w:p>
    <w:p w:rsidR="00864748" w:rsidRPr="00DF0D2F" w:rsidRDefault="00864748" w:rsidP="00864748">
      <w:pPr>
        <w:spacing w:line="276" w:lineRule="auto"/>
        <w:ind w:left="720" w:hanging="720"/>
        <w:rPr>
          <w:sz w:val="24"/>
          <w:szCs w:val="24"/>
          <w:lang w:val="en-GB"/>
        </w:rPr>
      </w:pPr>
      <w:r>
        <w:rPr>
          <w:sz w:val="24"/>
          <w:szCs w:val="24"/>
          <w:lang w:val="en-GB"/>
        </w:rPr>
        <w:t>———,</w:t>
      </w:r>
      <w:r w:rsidRPr="00DF0D2F">
        <w:rPr>
          <w:sz w:val="24"/>
          <w:szCs w:val="24"/>
          <w:lang w:val="en-GB"/>
        </w:rPr>
        <w:t xml:space="preserve"> "</w:t>
      </w:r>
      <w:r>
        <w:rPr>
          <w:sz w:val="24"/>
          <w:szCs w:val="24"/>
          <w:lang w:val="en-GB"/>
        </w:rPr>
        <w:t>A New M</w:t>
      </w:r>
      <w:r w:rsidRPr="00DF0D2F">
        <w:rPr>
          <w:sz w:val="24"/>
          <w:szCs w:val="24"/>
          <w:lang w:val="en-GB"/>
        </w:rPr>
        <w:t xml:space="preserve">odel of </w:t>
      </w:r>
      <w:r>
        <w:rPr>
          <w:sz w:val="24"/>
          <w:szCs w:val="24"/>
          <w:lang w:val="en-GB"/>
        </w:rPr>
        <w:t>P</w:t>
      </w:r>
      <w:r w:rsidRPr="00DF0D2F">
        <w:rPr>
          <w:sz w:val="24"/>
          <w:szCs w:val="24"/>
          <w:lang w:val="en-GB"/>
        </w:rPr>
        <w:t xml:space="preserve">ersonal </w:t>
      </w:r>
      <w:r>
        <w:rPr>
          <w:sz w:val="24"/>
          <w:szCs w:val="24"/>
          <w:lang w:val="en-GB"/>
        </w:rPr>
        <w:t>I</w:t>
      </w:r>
      <w:r w:rsidRPr="00DF0D2F">
        <w:rPr>
          <w:sz w:val="24"/>
          <w:szCs w:val="24"/>
          <w:lang w:val="en-GB"/>
        </w:rPr>
        <w:t xml:space="preserve">ncome </w:t>
      </w:r>
      <w:r>
        <w:rPr>
          <w:sz w:val="24"/>
          <w:szCs w:val="24"/>
          <w:lang w:val="en-GB"/>
        </w:rPr>
        <w:t>D</w:t>
      </w:r>
      <w:r w:rsidRPr="00DF0D2F">
        <w:rPr>
          <w:sz w:val="24"/>
          <w:szCs w:val="24"/>
          <w:lang w:val="en-GB"/>
        </w:rPr>
        <w:t>istribution: Sp</w:t>
      </w:r>
      <w:r>
        <w:rPr>
          <w:sz w:val="24"/>
          <w:szCs w:val="24"/>
          <w:lang w:val="en-GB"/>
        </w:rPr>
        <w:t>ecification and E</w:t>
      </w:r>
      <w:r w:rsidRPr="00DF0D2F">
        <w:rPr>
          <w:sz w:val="24"/>
          <w:szCs w:val="24"/>
          <w:lang w:val="en-GB"/>
        </w:rPr>
        <w:t>stimation</w:t>
      </w:r>
      <w:r>
        <w:rPr>
          <w:sz w:val="24"/>
          <w:szCs w:val="24"/>
          <w:lang w:val="en-GB"/>
        </w:rPr>
        <w:t>,</w:t>
      </w:r>
      <w:r w:rsidRPr="00DF0D2F">
        <w:rPr>
          <w:sz w:val="24"/>
          <w:szCs w:val="24"/>
          <w:lang w:val="en-GB"/>
        </w:rPr>
        <w:t xml:space="preserve">" </w:t>
      </w:r>
      <w:r w:rsidRPr="0062215E">
        <w:rPr>
          <w:i/>
          <w:sz w:val="24"/>
          <w:szCs w:val="24"/>
          <w:lang w:val="en-GB"/>
        </w:rPr>
        <w:t>Economie Appliquée</w:t>
      </w:r>
      <w:r>
        <w:rPr>
          <w:sz w:val="24"/>
          <w:szCs w:val="24"/>
          <w:lang w:val="en-GB"/>
        </w:rPr>
        <w:t>,</w:t>
      </w:r>
      <w:r w:rsidRPr="00DF0D2F">
        <w:rPr>
          <w:sz w:val="24"/>
          <w:szCs w:val="24"/>
          <w:lang w:val="en-GB"/>
        </w:rPr>
        <w:t xml:space="preserve"> 30, 413</w:t>
      </w:r>
      <w:r w:rsidRPr="00DF0D2F">
        <w:rPr>
          <w:sz w:val="24"/>
          <w:szCs w:val="24"/>
          <w:lang w:val="en-US"/>
        </w:rPr>
        <w:t>–</w:t>
      </w:r>
      <w:r w:rsidRPr="00DF0D2F">
        <w:rPr>
          <w:sz w:val="24"/>
          <w:szCs w:val="24"/>
          <w:lang w:val="en-GB"/>
        </w:rPr>
        <w:t>36</w:t>
      </w:r>
      <w:r>
        <w:rPr>
          <w:sz w:val="24"/>
          <w:szCs w:val="24"/>
          <w:lang w:val="en-GB"/>
        </w:rPr>
        <w:t>, 1977</w:t>
      </w:r>
      <w:r w:rsidRPr="00DF0D2F">
        <w:rPr>
          <w:sz w:val="24"/>
          <w:szCs w:val="24"/>
          <w:lang w:val="en-GB"/>
        </w:rPr>
        <w:t>.</w:t>
      </w:r>
    </w:p>
    <w:p w:rsidR="00864748" w:rsidRPr="00583E7D" w:rsidRDefault="00864748" w:rsidP="00864748">
      <w:pPr>
        <w:spacing w:line="276" w:lineRule="auto"/>
        <w:ind w:left="720" w:hanging="720"/>
        <w:rPr>
          <w:sz w:val="24"/>
          <w:szCs w:val="24"/>
          <w:lang w:val="en-US"/>
        </w:rPr>
      </w:pPr>
      <w:r>
        <w:rPr>
          <w:sz w:val="24"/>
          <w:szCs w:val="24"/>
          <w:lang w:val="en-GB"/>
        </w:rPr>
        <w:t>———,</w:t>
      </w:r>
      <w:r w:rsidRPr="00DF0D2F">
        <w:rPr>
          <w:sz w:val="24"/>
          <w:szCs w:val="24"/>
          <w:lang w:val="en-GB"/>
        </w:rPr>
        <w:t xml:space="preserve"> "</w:t>
      </w:r>
      <w:r w:rsidRPr="00583E7D">
        <w:rPr>
          <w:sz w:val="24"/>
          <w:szCs w:val="24"/>
          <w:lang w:val="en-GB"/>
        </w:rPr>
        <w:t xml:space="preserve">Wealth </w:t>
      </w:r>
      <w:r w:rsidR="00A228D7">
        <w:rPr>
          <w:sz w:val="24"/>
          <w:szCs w:val="24"/>
          <w:lang w:val="en-GB"/>
        </w:rPr>
        <w:t>D</w:t>
      </w:r>
      <w:r w:rsidRPr="00583E7D">
        <w:rPr>
          <w:sz w:val="24"/>
          <w:szCs w:val="24"/>
          <w:lang w:val="en-GB"/>
        </w:rPr>
        <w:t xml:space="preserve">istribution </w:t>
      </w:r>
      <w:r w:rsidR="00A228D7">
        <w:rPr>
          <w:sz w:val="24"/>
          <w:szCs w:val="24"/>
          <w:lang w:val="en-GB"/>
        </w:rPr>
        <w:t>M</w:t>
      </w:r>
      <w:r w:rsidRPr="00583E7D">
        <w:rPr>
          <w:sz w:val="24"/>
          <w:szCs w:val="24"/>
          <w:lang w:val="en-GB"/>
        </w:rPr>
        <w:t xml:space="preserve">odels: </w:t>
      </w:r>
      <w:r w:rsidR="00A228D7">
        <w:rPr>
          <w:sz w:val="24"/>
          <w:szCs w:val="24"/>
          <w:lang w:val="en-GB"/>
        </w:rPr>
        <w:t>A</w:t>
      </w:r>
      <w:r w:rsidRPr="00583E7D">
        <w:rPr>
          <w:sz w:val="24"/>
          <w:szCs w:val="24"/>
          <w:lang w:val="en-GB"/>
        </w:rPr>
        <w:t>nal</w:t>
      </w:r>
      <w:r>
        <w:rPr>
          <w:sz w:val="24"/>
          <w:szCs w:val="24"/>
          <w:lang w:val="en-GB"/>
        </w:rPr>
        <w:t>y</w:t>
      </w:r>
      <w:r w:rsidRPr="00583E7D">
        <w:rPr>
          <w:sz w:val="24"/>
          <w:szCs w:val="24"/>
          <w:lang w:val="en-GB"/>
        </w:rPr>
        <w:t>s</w:t>
      </w:r>
      <w:r>
        <w:rPr>
          <w:sz w:val="24"/>
          <w:szCs w:val="24"/>
          <w:lang w:val="en-GB"/>
        </w:rPr>
        <w:t>i</w:t>
      </w:r>
      <w:r w:rsidRPr="00583E7D">
        <w:rPr>
          <w:sz w:val="24"/>
          <w:szCs w:val="24"/>
          <w:lang w:val="en-GB"/>
        </w:rPr>
        <w:t xml:space="preserve">s and </w:t>
      </w:r>
      <w:r w:rsidR="00A228D7">
        <w:rPr>
          <w:sz w:val="24"/>
          <w:szCs w:val="24"/>
          <w:lang w:val="en-GB"/>
        </w:rPr>
        <w:t>A</w:t>
      </w:r>
      <w:r w:rsidRPr="00583E7D">
        <w:rPr>
          <w:sz w:val="24"/>
          <w:szCs w:val="24"/>
          <w:lang w:val="en-GB"/>
        </w:rPr>
        <w:t>pplications</w:t>
      </w:r>
      <w:r>
        <w:rPr>
          <w:sz w:val="24"/>
          <w:szCs w:val="24"/>
          <w:lang w:val="en-GB"/>
        </w:rPr>
        <w:t>,</w:t>
      </w:r>
      <w:r w:rsidRPr="00DF0D2F">
        <w:rPr>
          <w:sz w:val="24"/>
          <w:szCs w:val="24"/>
          <w:lang w:val="en-GB"/>
        </w:rPr>
        <w:t xml:space="preserve">" </w:t>
      </w:r>
      <w:r>
        <w:rPr>
          <w:i/>
          <w:sz w:val="24"/>
          <w:szCs w:val="24"/>
          <w:lang w:val="en-GB"/>
        </w:rPr>
        <w:t>Statistica</w:t>
      </w:r>
      <w:r>
        <w:rPr>
          <w:sz w:val="24"/>
          <w:szCs w:val="24"/>
          <w:lang w:val="en-GB"/>
        </w:rPr>
        <w:t>,</w:t>
      </w:r>
      <w:r w:rsidRPr="00DF0D2F">
        <w:rPr>
          <w:sz w:val="24"/>
          <w:szCs w:val="24"/>
          <w:lang w:val="en-GB"/>
        </w:rPr>
        <w:t xml:space="preserve"> </w:t>
      </w:r>
      <w:r>
        <w:rPr>
          <w:sz w:val="24"/>
          <w:szCs w:val="24"/>
          <w:lang w:val="en-GB"/>
        </w:rPr>
        <w:t>6</w:t>
      </w:r>
      <w:r w:rsidRPr="00DF0D2F">
        <w:rPr>
          <w:sz w:val="24"/>
          <w:szCs w:val="24"/>
          <w:lang w:val="en-GB"/>
        </w:rPr>
        <w:t xml:space="preserve">, </w:t>
      </w:r>
      <w:r>
        <w:rPr>
          <w:sz w:val="24"/>
          <w:szCs w:val="24"/>
          <w:lang w:val="en-GB"/>
        </w:rPr>
        <w:t>235</w:t>
      </w:r>
      <w:r w:rsidRPr="00DF0D2F">
        <w:rPr>
          <w:sz w:val="24"/>
          <w:szCs w:val="24"/>
          <w:lang w:val="en-US"/>
        </w:rPr>
        <w:t>–</w:t>
      </w:r>
      <w:r w:rsidRPr="00DF0D2F">
        <w:rPr>
          <w:sz w:val="24"/>
          <w:szCs w:val="24"/>
          <w:lang w:val="en-GB"/>
        </w:rPr>
        <w:t>6</w:t>
      </w:r>
      <w:r>
        <w:rPr>
          <w:sz w:val="24"/>
          <w:szCs w:val="24"/>
          <w:lang w:val="en-GB"/>
        </w:rPr>
        <w:t>8, 2006</w:t>
      </w:r>
      <w:r w:rsidRPr="00DF0D2F">
        <w:rPr>
          <w:sz w:val="24"/>
          <w:szCs w:val="24"/>
          <w:lang w:val="en-GB"/>
        </w:rPr>
        <w:t>.</w:t>
      </w:r>
    </w:p>
    <w:p w:rsidR="002A7480" w:rsidRDefault="002A7480" w:rsidP="002A7480">
      <w:pPr>
        <w:spacing w:line="276" w:lineRule="auto"/>
        <w:ind w:left="720" w:hanging="720"/>
        <w:rPr>
          <w:sz w:val="24"/>
          <w:szCs w:val="24"/>
          <w:lang w:val="en-GB"/>
        </w:rPr>
      </w:pPr>
      <w:r w:rsidRPr="002A7480">
        <w:rPr>
          <w:sz w:val="24"/>
          <w:szCs w:val="24"/>
          <w:lang w:val="en-GB"/>
        </w:rPr>
        <w:t>Dallinger</w:t>
      </w:r>
      <w:r>
        <w:rPr>
          <w:sz w:val="24"/>
          <w:szCs w:val="24"/>
          <w:lang w:val="en-GB"/>
        </w:rPr>
        <w:t>, U.</w:t>
      </w:r>
      <w:r w:rsidRPr="002A7480">
        <w:rPr>
          <w:sz w:val="24"/>
          <w:szCs w:val="24"/>
          <w:lang w:val="en-GB"/>
        </w:rPr>
        <w:t xml:space="preserve">, </w:t>
      </w:r>
      <w:r>
        <w:rPr>
          <w:sz w:val="24"/>
          <w:szCs w:val="24"/>
          <w:lang w:val="en-GB"/>
        </w:rPr>
        <w:t>"</w:t>
      </w:r>
      <w:r w:rsidRPr="002A7480">
        <w:rPr>
          <w:sz w:val="24"/>
          <w:szCs w:val="24"/>
          <w:lang w:val="en-GB"/>
        </w:rPr>
        <w:t>The Endangered Middle Class? A Comparative Analysis of the Role Public Redistribution Plays</w:t>
      </w:r>
      <w:r>
        <w:rPr>
          <w:sz w:val="24"/>
          <w:szCs w:val="24"/>
          <w:lang w:val="en-GB"/>
        </w:rPr>
        <w:t>"</w:t>
      </w:r>
      <w:r w:rsidRPr="002A7480">
        <w:rPr>
          <w:sz w:val="24"/>
          <w:szCs w:val="24"/>
          <w:lang w:val="en-GB"/>
        </w:rPr>
        <w:t xml:space="preserve">, </w:t>
      </w:r>
      <w:r w:rsidRPr="002A7480">
        <w:rPr>
          <w:i/>
          <w:sz w:val="24"/>
          <w:szCs w:val="24"/>
          <w:lang w:val="en-GB"/>
        </w:rPr>
        <w:t>Journal of European Social Policy</w:t>
      </w:r>
      <w:r w:rsidRPr="002A7480">
        <w:rPr>
          <w:sz w:val="24"/>
          <w:szCs w:val="24"/>
          <w:lang w:val="en-GB"/>
        </w:rPr>
        <w:t>, 23</w:t>
      </w:r>
      <w:r>
        <w:rPr>
          <w:sz w:val="24"/>
          <w:szCs w:val="24"/>
          <w:lang w:val="en-GB"/>
        </w:rPr>
        <w:t>(</w:t>
      </w:r>
      <w:r w:rsidRPr="002A7480">
        <w:rPr>
          <w:sz w:val="24"/>
          <w:szCs w:val="24"/>
          <w:lang w:val="en-GB"/>
        </w:rPr>
        <w:t>1</w:t>
      </w:r>
      <w:r>
        <w:rPr>
          <w:sz w:val="24"/>
          <w:szCs w:val="24"/>
          <w:lang w:val="en-GB"/>
        </w:rPr>
        <w:t xml:space="preserve">), </w:t>
      </w:r>
      <w:r w:rsidRPr="002A7480">
        <w:rPr>
          <w:sz w:val="24"/>
          <w:szCs w:val="24"/>
          <w:lang w:val="en-GB"/>
        </w:rPr>
        <w:t>83</w:t>
      </w:r>
      <w:r w:rsidRPr="00DF0D2F">
        <w:rPr>
          <w:sz w:val="24"/>
          <w:szCs w:val="24"/>
          <w:lang w:val="en-US"/>
        </w:rPr>
        <w:t>–</w:t>
      </w:r>
      <w:r w:rsidRPr="002A7480">
        <w:rPr>
          <w:sz w:val="24"/>
          <w:szCs w:val="24"/>
          <w:lang w:val="en-GB"/>
        </w:rPr>
        <w:t>101</w:t>
      </w:r>
      <w:r>
        <w:rPr>
          <w:sz w:val="24"/>
          <w:szCs w:val="24"/>
          <w:lang w:val="en-GB"/>
        </w:rPr>
        <w:t>, 2013.</w:t>
      </w:r>
    </w:p>
    <w:p w:rsidR="00864748" w:rsidRPr="00DF0D2F" w:rsidRDefault="00864748" w:rsidP="00864748">
      <w:pPr>
        <w:spacing w:line="276" w:lineRule="auto"/>
        <w:ind w:left="720" w:hanging="720"/>
        <w:rPr>
          <w:sz w:val="24"/>
          <w:szCs w:val="24"/>
          <w:lang w:val="en-GB"/>
        </w:rPr>
      </w:pPr>
      <w:r w:rsidRPr="00DF0D2F">
        <w:rPr>
          <w:sz w:val="24"/>
          <w:szCs w:val="24"/>
          <w:lang w:val="en-GB"/>
        </w:rPr>
        <w:t>Dombos, P</w:t>
      </w:r>
      <w:r>
        <w:rPr>
          <w:sz w:val="24"/>
          <w:szCs w:val="24"/>
          <w:lang w:val="en-GB"/>
        </w:rPr>
        <w:t>.,</w:t>
      </w:r>
      <w:r w:rsidRPr="00DF0D2F">
        <w:rPr>
          <w:sz w:val="24"/>
          <w:szCs w:val="24"/>
          <w:lang w:val="en-GB"/>
        </w:rPr>
        <w:t xml:space="preserve"> "</w:t>
      </w:r>
      <w:r>
        <w:rPr>
          <w:sz w:val="24"/>
          <w:szCs w:val="24"/>
          <w:lang w:val="en-GB"/>
        </w:rPr>
        <w:t>S</w:t>
      </w:r>
      <w:r w:rsidRPr="00DF0D2F">
        <w:rPr>
          <w:sz w:val="24"/>
          <w:szCs w:val="24"/>
          <w:lang w:val="en-GB"/>
        </w:rPr>
        <w:t xml:space="preserve">ome Ways of Examining Dimensional Distributions," </w:t>
      </w:r>
      <w:r w:rsidRPr="008B3D0D">
        <w:rPr>
          <w:i/>
          <w:sz w:val="24"/>
          <w:szCs w:val="24"/>
          <w:lang w:val="en-GB"/>
        </w:rPr>
        <w:t>Acta Sociologica</w:t>
      </w:r>
      <w:r w:rsidRPr="00DF0D2F">
        <w:rPr>
          <w:sz w:val="24"/>
          <w:szCs w:val="24"/>
          <w:lang w:val="en-GB"/>
        </w:rPr>
        <w:t xml:space="preserve">, </w:t>
      </w:r>
      <w:r>
        <w:rPr>
          <w:sz w:val="24"/>
          <w:szCs w:val="24"/>
          <w:lang w:val="en-GB"/>
        </w:rPr>
        <w:t xml:space="preserve">25, </w:t>
      </w:r>
      <w:r w:rsidRPr="00DF0D2F">
        <w:rPr>
          <w:sz w:val="24"/>
          <w:szCs w:val="24"/>
          <w:lang w:val="en-GB"/>
        </w:rPr>
        <w:t>49</w:t>
      </w:r>
      <w:r w:rsidRPr="00DF0D2F">
        <w:rPr>
          <w:sz w:val="24"/>
          <w:szCs w:val="24"/>
          <w:lang w:val="en-US"/>
        </w:rPr>
        <w:t>–</w:t>
      </w:r>
      <w:r w:rsidRPr="00DF0D2F">
        <w:rPr>
          <w:sz w:val="24"/>
          <w:szCs w:val="24"/>
          <w:lang w:val="en-GB"/>
        </w:rPr>
        <w:t>64</w:t>
      </w:r>
      <w:r>
        <w:rPr>
          <w:sz w:val="24"/>
          <w:szCs w:val="24"/>
          <w:lang w:val="en-GB"/>
        </w:rPr>
        <w:t xml:space="preserve">, </w:t>
      </w:r>
      <w:r w:rsidRPr="00DF0D2F">
        <w:rPr>
          <w:sz w:val="24"/>
          <w:szCs w:val="24"/>
          <w:lang w:val="en-GB"/>
        </w:rPr>
        <w:t>1982</w:t>
      </w:r>
      <w:r>
        <w:rPr>
          <w:sz w:val="24"/>
          <w:szCs w:val="24"/>
          <w:lang w:val="en-GB"/>
        </w:rPr>
        <w:t>.</w:t>
      </w:r>
    </w:p>
    <w:p w:rsidR="000A6011" w:rsidRDefault="000A6011" w:rsidP="000A6011">
      <w:pPr>
        <w:spacing w:line="276" w:lineRule="auto"/>
        <w:ind w:left="720" w:hanging="720"/>
        <w:rPr>
          <w:sz w:val="24"/>
          <w:szCs w:val="24"/>
          <w:lang w:val="en-GB"/>
        </w:rPr>
      </w:pPr>
      <w:r w:rsidRPr="000A6011">
        <w:rPr>
          <w:sz w:val="24"/>
          <w:szCs w:val="24"/>
          <w:lang w:val="en-US"/>
        </w:rPr>
        <w:t xml:space="preserve">Everitt, B. S. and G. Dunn, </w:t>
      </w:r>
      <w:r w:rsidRPr="000A6011">
        <w:rPr>
          <w:i/>
          <w:sz w:val="24"/>
          <w:szCs w:val="24"/>
          <w:lang w:val="en-GB"/>
        </w:rPr>
        <w:t>Applied Multivariate Data Analysis</w:t>
      </w:r>
      <w:r>
        <w:rPr>
          <w:sz w:val="24"/>
          <w:szCs w:val="24"/>
          <w:lang w:val="en-GB"/>
        </w:rPr>
        <w:t>,</w:t>
      </w:r>
      <w:r w:rsidRPr="000A6011">
        <w:rPr>
          <w:sz w:val="24"/>
          <w:szCs w:val="24"/>
          <w:lang w:val="en-GB"/>
        </w:rPr>
        <w:t xml:space="preserve"> Edward Arnold</w:t>
      </w:r>
      <w:r>
        <w:rPr>
          <w:sz w:val="24"/>
          <w:szCs w:val="24"/>
          <w:lang w:val="en-GB"/>
        </w:rPr>
        <w:t>,</w:t>
      </w:r>
      <w:r w:rsidRPr="000A6011">
        <w:rPr>
          <w:sz w:val="24"/>
          <w:szCs w:val="24"/>
          <w:lang w:val="en-GB"/>
        </w:rPr>
        <w:t xml:space="preserve"> London</w:t>
      </w:r>
      <w:r>
        <w:rPr>
          <w:sz w:val="24"/>
          <w:szCs w:val="24"/>
          <w:lang w:val="en-GB"/>
        </w:rPr>
        <w:t>, 2001</w:t>
      </w:r>
      <w:r w:rsidRPr="000A6011">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Fisk, P. R.</w:t>
      </w:r>
      <w:r>
        <w:rPr>
          <w:sz w:val="24"/>
          <w:szCs w:val="24"/>
          <w:lang w:val="en-GB"/>
        </w:rPr>
        <w:t>,</w:t>
      </w:r>
      <w:r w:rsidRPr="00DF0D2F">
        <w:rPr>
          <w:sz w:val="24"/>
          <w:szCs w:val="24"/>
          <w:lang w:val="en-GB"/>
        </w:rPr>
        <w:t xml:space="preserve"> "</w:t>
      </w:r>
      <w:r>
        <w:rPr>
          <w:sz w:val="24"/>
          <w:szCs w:val="24"/>
          <w:lang w:val="en-GB"/>
        </w:rPr>
        <w:t>The G</w:t>
      </w:r>
      <w:r w:rsidRPr="00DF0D2F">
        <w:rPr>
          <w:sz w:val="24"/>
          <w:szCs w:val="24"/>
          <w:lang w:val="en-GB"/>
        </w:rPr>
        <w:t xml:space="preserve">raduation of </w:t>
      </w:r>
      <w:r>
        <w:rPr>
          <w:sz w:val="24"/>
          <w:szCs w:val="24"/>
          <w:lang w:val="en-GB"/>
        </w:rPr>
        <w:t>Income D</w:t>
      </w:r>
      <w:r w:rsidRPr="00DF0D2F">
        <w:rPr>
          <w:sz w:val="24"/>
          <w:szCs w:val="24"/>
          <w:lang w:val="en-GB"/>
        </w:rPr>
        <w:t>istributions</w:t>
      </w:r>
      <w:r>
        <w:rPr>
          <w:sz w:val="24"/>
          <w:szCs w:val="24"/>
          <w:lang w:val="en-GB"/>
        </w:rPr>
        <w:t>,</w:t>
      </w:r>
      <w:r w:rsidRPr="00DF0D2F">
        <w:rPr>
          <w:sz w:val="24"/>
          <w:szCs w:val="24"/>
          <w:lang w:val="en-GB"/>
        </w:rPr>
        <w:t xml:space="preserve">" </w:t>
      </w:r>
      <w:r w:rsidRPr="008B3D0D">
        <w:rPr>
          <w:i/>
          <w:sz w:val="24"/>
          <w:szCs w:val="24"/>
          <w:lang w:val="en-GB"/>
        </w:rPr>
        <w:t>Econometrica</w:t>
      </w:r>
      <w:r w:rsidRPr="00445233">
        <w:rPr>
          <w:sz w:val="24"/>
          <w:szCs w:val="24"/>
          <w:lang w:val="en-GB"/>
        </w:rPr>
        <w:t xml:space="preserve">, 29, </w:t>
      </w:r>
      <w:r w:rsidRPr="00DF0D2F">
        <w:rPr>
          <w:sz w:val="24"/>
          <w:szCs w:val="24"/>
          <w:lang w:val="en-GB"/>
        </w:rPr>
        <w:t>171–85</w:t>
      </w:r>
      <w:r>
        <w:rPr>
          <w:sz w:val="24"/>
          <w:szCs w:val="24"/>
          <w:lang w:val="en-GB"/>
        </w:rPr>
        <w:t>,</w:t>
      </w:r>
      <w:r w:rsidRPr="008B3D0D">
        <w:rPr>
          <w:sz w:val="24"/>
          <w:szCs w:val="24"/>
          <w:lang w:val="en-GB"/>
        </w:rPr>
        <w:t xml:space="preserve"> </w:t>
      </w:r>
      <w:r w:rsidRPr="00DF0D2F">
        <w:rPr>
          <w:sz w:val="24"/>
          <w:szCs w:val="24"/>
          <w:lang w:val="en-GB"/>
        </w:rPr>
        <w:t xml:space="preserve">1961. </w:t>
      </w:r>
    </w:p>
    <w:p w:rsidR="00864748" w:rsidRDefault="00864748" w:rsidP="00864748">
      <w:pPr>
        <w:spacing w:line="276" w:lineRule="auto"/>
        <w:ind w:left="720" w:hanging="720"/>
        <w:rPr>
          <w:sz w:val="24"/>
          <w:szCs w:val="24"/>
          <w:lang w:val="en-GB"/>
        </w:rPr>
      </w:pPr>
      <w:r>
        <w:rPr>
          <w:sz w:val="24"/>
          <w:szCs w:val="24"/>
          <w:lang w:val="en-GB"/>
        </w:rPr>
        <w:t>Foster, J.,</w:t>
      </w:r>
      <w:r w:rsidRPr="006C48CA">
        <w:rPr>
          <w:sz w:val="24"/>
          <w:szCs w:val="24"/>
          <w:lang w:val="en-GB"/>
        </w:rPr>
        <w:t xml:space="preserve"> J</w:t>
      </w:r>
      <w:r>
        <w:rPr>
          <w:sz w:val="24"/>
          <w:szCs w:val="24"/>
          <w:lang w:val="en-GB"/>
        </w:rPr>
        <w:t>.</w:t>
      </w:r>
      <w:r w:rsidRPr="006C48CA">
        <w:rPr>
          <w:sz w:val="24"/>
          <w:szCs w:val="24"/>
          <w:lang w:val="en-GB"/>
        </w:rPr>
        <w:t xml:space="preserve"> Greer</w:t>
      </w:r>
      <w:r>
        <w:rPr>
          <w:sz w:val="24"/>
          <w:szCs w:val="24"/>
          <w:lang w:val="en-GB"/>
        </w:rPr>
        <w:t>,</w:t>
      </w:r>
      <w:r w:rsidRPr="006C48CA">
        <w:rPr>
          <w:sz w:val="24"/>
          <w:szCs w:val="24"/>
          <w:lang w:val="en-GB"/>
        </w:rPr>
        <w:t xml:space="preserve"> and E</w:t>
      </w:r>
      <w:r>
        <w:rPr>
          <w:sz w:val="24"/>
          <w:szCs w:val="24"/>
          <w:lang w:val="en-GB"/>
        </w:rPr>
        <w:t>. Thorbecke,</w:t>
      </w:r>
      <w:r w:rsidRPr="006C48CA">
        <w:rPr>
          <w:sz w:val="24"/>
          <w:szCs w:val="24"/>
          <w:lang w:val="en-GB"/>
        </w:rPr>
        <w:t xml:space="preserve"> "A </w:t>
      </w:r>
      <w:r>
        <w:rPr>
          <w:sz w:val="24"/>
          <w:szCs w:val="24"/>
          <w:lang w:val="en-GB"/>
        </w:rPr>
        <w:t>C</w:t>
      </w:r>
      <w:r w:rsidRPr="006C48CA">
        <w:rPr>
          <w:sz w:val="24"/>
          <w:szCs w:val="24"/>
          <w:lang w:val="en-GB"/>
        </w:rPr>
        <w:t xml:space="preserve">lass of </w:t>
      </w:r>
      <w:r>
        <w:rPr>
          <w:sz w:val="24"/>
          <w:szCs w:val="24"/>
          <w:lang w:val="en-GB"/>
        </w:rPr>
        <w:t>D</w:t>
      </w:r>
      <w:r w:rsidRPr="006C48CA">
        <w:rPr>
          <w:sz w:val="24"/>
          <w:szCs w:val="24"/>
          <w:lang w:val="en-GB"/>
        </w:rPr>
        <w:t>ecomposable</w:t>
      </w:r>
      <w:r>
        <w:rPr>
          <w:sz w:val="24"/>
          <w:szCs w:val="24"/>
          <w:lang w:val="en-GB"/>
        </w:rPr>
        <w:t xml:space="preserve"> P</w:t>
      </w:r>
      <w:r w:rsidRPr="006C48CA">
        <w:rPr>
          <w:sz w:val="24"/>
          <w:szCs w:val="24"/>
          <w:lang w:val="en-GB"/>
        </w:rPr>
        <w:t xml:space="preserve">overty </w:t>
      </w:r>
      <w:r>
        <w:rPr>
          <w:sz w:val="24"/>
          <w:szCs w:val="24"/>
          <w:lang w:val="en-GB"/>
        </w:rPr>
        <w:t xml:space="preserve">Measures," </w:t>
      </w:r>
      <w:r w:rsidRPr="008F4B94">
        <w:rPr>
          <w:i/>
          <w:sz w:val="24"/>
          <w:szCs w:val="24"/>
          <w:lang w:val="en-GB"/>
        </w:rPr>
        <w:t>Econometrica,</w:t>
      </w:r>
      <w:r w:rsidRPr="006C48CA">
        <w:rPr>
          <w:sz w:val="24"/>
          <w:szCs w:val="24"/>
          <w:lang w:val="en-GB"/>
        </w:rPr>
        <w:t xml:space="preserve"> </w:t>
      </w:r>
      <w:r>
        <w:rPr>
          <w:sz w:val="24"/>
          <w:szCs w:val="24"/>
          <w:lang w:val="en-GB"/>
        </w:rPr>
        <w:t>52,</w:t>
      </w:r>
      <w:r w:rsidRPr="006C48CA">
        <w:rPr>
          <w:sz w:val="24"/>
          <w:szCs w:val="24"/>
          <w:lang w:val="en-GB"/>
        </w:rPr>
        <w:t xml:space="preserve"> 761–</w:t>
      </w:r>
      <w:r>
        <w:rPr>
          <w:sz w:val="24"/>
          <w:szCs w:val="24"/>
          <w:lang w:val="en-GB"/>
        </w:rPr>
        <w:t>66,</w:t>
      </w:r>
      <w:r w:rsidRPr="008B3D0D">
        <w:rPr>
          <w:sz w:val="24"/>
          <w:szCs w:val="24"/>
          <w:lang w:val="en-GB"/>
        </w:rPr>
        <w:t xml:space="preserve"> </w:t>
      </w:r>
      <w:r w:rsidRPr="006C48CA">
        <w:rPr>
          <w:sz w:val="24"/>
          <w:szCs w:val="24"/>
          <w:lang w:val="en-GB"/>
        </w:rPr>
        <w:t>1984</w:t>
      </w:r>
      <w:r>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Gabaix, X</w:t>
      </w:r>
      <w:r>
        <w:rPr>
          <w:sz w:val="24"/>
          <w:szCs w:val="24"/>
          <w:lang w:val="en-GB"/>
        </w:rPr>
        <w:t>.,</w:t>
      </w:r>
      <w:r w:rsidRPr="00DF0D2F">
        <w:rPr>
          <w:sz w:val="24"/>
          <w:szCs w:val="24"/>
          <w:lang w:val="en-GB"/>
        </w:rPr>
        <w:t xml:space="preserve"> </w:t>
      </w:r>
      <w:r w:rsidRPr="006C48CA">
        <w:rPr>
          <w:sz w:val="24"/>
          <w:szCs w:val="24"/>
          <w:lang w:val="en-GB"/>
        </w:rPr>
        <w:t>"</w:t>
      </w:r>
      <w:r w:rsidRPr="00DF0D2F">
        <w:rPr>
          <w:sz w:val="24"/>
          <w:szCs w:val="24"/>
          <w:lang w:val="en-GB"/>
        </w:rPr>
        <w:t>Zipf’s Law for Cities: An Explanation,</w:t>
      </w:r>
      <w:r w:rsidRPr="006C48CA">
        <w:rPr>
          <w:sz w:val="24"/>
          <w:szCs w:val="24"/>
          <w:lang w:val="en-GB"/>
        </w:rPr>
        <w:t>"</w:t>
      </w:r>
      <w:r w:rsidRPr="00DF0D2F">
        <w:rPr>
          <w:sz w:val="24"/>
          <w:szCs w:val="24"/>
          <w:lang w:val="en-GB"/>
        </w:rPr>
        <w:t xml:space="preserve"> </w:t>
      </w:r>
      <w:r w:rsidRPr="008B3D0D">
        <w:rPr>
          <w:i/>
          <w:sz w:val="24"/>
          <w:szCs w:val="24"/>
          <w:lang w:val="en-GB"/>
        </w:rPr>
        <w:t>Quarterly Journal of Economics</w:t>
      </w:r>
      <w:r>
        <w:rPr>
          <w:sz w:val="24"/>
          <w:szCs w:val="24"/>
          <w:lang w:val="en-GB"/>
        </w:rPr>
        <w:t>, 114</w:t>
      </w:r>
      <w:r w:rsidRPr="00DF0D2F">
        <w:rPr>
          <w:sz w:val="24"/>
          <w:szCs w:val="24"/>
          <w:lang w:val="en-GB"/>
        </w:rPr>
        <w:t>, 739</w:t>
      </w:r>
      <w:r w:rsidRPr="006C48CA">
        <w:rPr>
          <w:sz w:val="24"/>
          <w:szCs w:val="24"/>
          <w:lang w:val="en-GB"/>
        </w:rPr>
        <w:t>–</w:t>
      </w:r>
      <w:r w:rsidRPr="00DF0D2F">
        <w:rPr>
          <w:sz w:val="24"/>
          <w:szCs w:val="24"/>
          <w:lang w:val="en-GB"/>
        </w:rPr>
        <w:t>67, 1999.</w:t>
      </w:r>
    </w:p>
    <w:p w:rsidR="00864748" w:rsidRPr="00DF0D2F" w:rsidRDefault="00864748" w:rsidP="00864748">
      <w:pPr>
        <w:spacing w:line="276" w:lineRule="auto"/>
        <w:ind w:left="720" w:hanging="720"/>
        <w:rPr>
          <w:sz w:val="24"/>
          <w:szCs w:val="24"/>
          <w:lang w:val="en-GB"/>
        </w:rPr>
      </w:pPr>
      <w:r w:rsidRPr="00FA3B0D">
        <w:rPr>
          <w:sz w:val="24"/>
          <w:szCs w:val="24"/>
          <w:lang w:val="en-GB"/>
        </w:rPr>
        <w:t>———,</w:t>
      </w:r>
      <w:r>
        <w:rPr>
          <w:sz w:val="24"/>
          <w:szCs w:val="24"/>
          <w:lang w:val="en-GB"/>
        </w:rPr>
        <w:t xml:space="preserve"> </w:t>
      </w:r>
      <w:r w:rsidRPr="006C48CA">
        <w:rPr>
          <w:sz w:val="24"/>
          <w:szCs w:val="24"/>
          <w:lang w:val="en-GB"/>
        </w:rPr>
        <w:t>"</w:t>
      </w:r>
      <w:r w:rsidRPr="00DF0D2F">
        <w:rPr>
          <w:sz w:val="24"/>
          <w:szCs w:val="24"/>
          <w:lang w:val="en-GB"/>
        </w:rPr>
        <w:t>Power Laws in Economics and Finance</w:t>
      </w:r>
      <w:r>
        <w:rPr>
          <w:sz w:val="24"/>
          <w:szCs w:val="24"/>
          <w:lang w:val="en-GB"/>
        </w:rPr>
        <w:t>,</w:t>
      </w:r>
      <w:r w:rsidRPr="006C48CA">
        <w:rPr>
          <w:sz w:val="24"/>
          <w:szCs w:val="24"/>
          <w:lang w:val="en-GB"/>
        </w:rPr>
        <w:t>"</w:t>
      </w:r>
      <w:r w:rsidRPr="00DF0D2F">
        <w:rPr>
          <w:sz w:val="24"/>
          <w:szCs w:val="24"/>
          <w:lang w:val="en-GB"/>
        </w:rPr>
        <w:t xml:space="preserve"> </w:t>
      </w:r>
      <w:r w:rsidRPr="008F4B94">
        <w:rPr>
          <w:i/>
          <w:sz w:val="24"/>
          <w:szCs w:val="24"/>
          <w:lang w:val="en-GB"/>
        </w:rPr>
        <w:t>Annual Review of Economics</w:t>
      </w:r>
      <w:r>
        <w:rPr>
          <w:sz w:val="24"/>
          <w:szCs w:val="24"/>
          <w:lang w:val="en-GB"/>
        </w:rPr>
        <w:t>,</w:t>
      </w:r>
      <w:r w:rsidRPr="00DF0D2F">
        <w:rPr>
          <w:sz w:val="24"/>
          <w:szCs w:val="24"/>
          <w:lang w:val="en-GB"/>
        </w:rPr>
        <w:t xml:space="preserve"> </w:t>
      </w:r>
      <w:r>
        <w:rPr>
          <w:sz w:val="24"/>
          <w:szCs w:val="24"/>
          <w:lang w:val="en-GB"/>
        </w:rPr>
        <w:t>1, 255</w:t>
      </w:r>
      <w:r w:rsidRPr="006C48CA">
        <w:rPr>
          <w:sz w:val="24"/>
          <w:szCs w:val="24"/>
          <w:lang w:val="en-GB"/>
        </w:rPr>
        <w:t>–</w:t>
      </w:r>
      <w:r w:rsidRPr="00DF0D2F">
        <w:rPr>
          <w:sz w:val="24"/>
          <w:szCs w:val="24"/>
          <w:lang w:val="en-GB"/>
        </w:rPr>
        <w:t>94</w:t>
      </w:r>
      <w:r>
        <w:rPr>
          <w:sz w:val="24"/>
          <w:szCs w:val="24"/>
          <w:lang w:val="en-GB"/>
        </w:rPr>
        <w:t xml:space="preserve">, </w:t>
      </w:r>
      <w:r w:rsidRPr="00DF0D2F">
        <w:rPr>
          <w:sz w:val="24"/>
          <w:szCs w:val="24"/>
          <w:lang w:val="en-GB"/>
        </w:rPr>
        <w:t>2009.</w:t>
      </w:r>
      <w:r w:rsidRPr="00DF0D2F">
        <w:rPr>
          <w:sz w:val="24"/>
          <w:szCs w:val="24"/>
          <w:lang w:val="en-US"/>
        </w:rPr>
        <w:t xml:space="preserve"> </w:t>
      </w:r>
    </w:p>
    <w:p w:rsidR="00864748" w:rsidRPr="008F4B94" w:rsidRDefault="00864748" w:rsidP="00864748">
      <w:pPr>
        <w:spacing w:line="276" w:lineRule="auto"/>
        <w:ind w:left="720" w:hanging="720"/>
        <w:rPr>
          <w:sz w:val="24"/>
          <w:szCs w:val="24"/>
          <w:lang w:val="en-US"/>
        </w:rPr>
      </w:pPr>
      <w:r w:rsidRPr="004646D5">
        <w:rPr>
          <w:sz w:val="24"/>
          <w:szCs w:val="24"/>
          <w:lang w:val="en-US"/>
        </w:rPr>
        <w:t>García-Fernández, R</w:t>
      </w:r>
      <w:r>
        <w:rPr>
          <w:sz w:val="24"/>
          <w:szCs w:val="24"/>
          <w:lang w:val="en-US"/>
        </w:rPr>
        <w:t>. M.,</w:t>
      </w:r>
      <w:r w:rsidRPr="004646D5">
        <w:rPr>
          <w:sz w:val="24"/>
          <w:szCs w:val="24"/>
          <w:lang w:val="en-US"/>
        </w:rPr>
        <w:t xml:space="preserve"> D</w:t>
      </w:r>
      <w:r>
        <w:rPr>
          <w:sz w:val="24"/>
          <w:szCs w:val="24"/>
          <w:lang w:val="en-US"/>
        </w:rPr>
        <w:t>.</w:t>
      </w:r>
      <w:r w:rsidRPr="004646D5">
        <w:rPr>
          <w:sz w:val="24"/>
          <w:szCs w:val="24"/>
          <w:lang w:val="en-US"/>
        </w:rPr>
        <w:t xml:space="preserve"> Gottlieb and F</w:t>
      </w:r>
      <w:r>
        <w:rPr>
          <w:sz w:val="24"/>
          <w:szCs w:val="24"/>
          <w:lang w:val="en-US"/>
        </w:rPr>
        <w:t>.</w:t>
      </w:r>
      <w:r w:rsidRPr="004646D5">
        <w:rPr>
          <w:sz w:val="24"/>
          <w:szCs w:val="24"/>
          <w:lang w:val="en-US"/>
        </w:rPr>
        <w:t xml:space="preserve"> Palacios-González</w:t>
      </w:r>
      <w:r>
        <w:rPr>
          <w:sz w:val="24"/>
          <w:szCs w:val="24"/>
          <w:lang w:val="en-US"/>
        </w:rPr>
        <w:t xml:space="preserve">, </w:t>
      </w:r>
      <w:r w:rsidRPr="006C48CA">
        <w:rPr>
          <w:sz w:val="24"/>
          <w:szCs w:val="24"/>
          <w:lang w:val="en-GB"/>
        </w:rPr>
        <w:t>"</w:t>
      </w:r>
      <w:r w:rsidRPr="004646D5">
        <w:rPr>
          <w:sz w:val="24"/>
          <w:szCs w:val="24"/>
          <w:lang w:val="en-US"/>
        </w:rPr>
        <w:t xml:space="preserve">Polarization, Growth and </w:t>
      </w:r>
      <w:r w:rsidRPr="008F4B94">
        <w:rPr>
          <w:sz w:val="24"/>
          <w:szCs w:val="24"/>
          <w:lang w:val="en-US"/>
        </w:rPr>
        <w:t>Social Policy in the Case of Israel, 1997–2008,</w:t>
      </w:r>
      <w:r w:rsidRPr="008F4B94">
        <w:rPr>
          <w:sz w:val="24"/>
          <w:szCs w:val="24"/>
          <w:lang w:val="en-GB"/>
        </w:rPr>
        <w:t>"</w:t>
      </w:r>
      <w:r w:rsidRPr="008F4B94">
        <w:rPr>
          <w:sz w:val="24"/>
          <w:szCs w:val="24"/>
          <w:lang w:val="en-US"/>
        </w:rPr>
        <w:t xml:space="preserve"> </w:t>
      </w:r>
      <w:r w:rsidRPr="008F4B94">
        <w:rPr>
          <w:i/>
          <w:sz w:val="24"/>
          <w:szCs w:val="24"/>
          <w:lang w:val="en-US"/>
        </w:rPr>
        <w:t>Economics Discussion Papers</w:t>
      </w:r>
      <w:r w:rsidRPr="008F4B94">
        <w:rPr>
          <w:sz w:val="24"/>
          <w:szCs w:val="24"/>
          <w:lang w:val="en-US"/>
        </w:rPr>
        <w:t xml:space="preserve">, </w:t>
      </w:r>
      <w:r w:rsidRPr="00583E7D">
        <w:rPr>
          <w:sz w:val="24"/>
          <w:szCs w:val="24"/>
          <w:lang w:val="en-US"/>
        </w:rPr>
        <w:t>No</w:t>
      </w:r>
      <w:r w:rsidR="00445233">
        <w:rPr>
          <w:sz w:val="24"/>
          <w:szCs w:val="24"/>
          <w:lang w:val="en-US"/>
        </w:rPr>
        <w:t>.</w:t>
      </w:r>
      <w:r w:rsidRPr="00583E7D">
        <w:rPr>
          <w:sz w:val="24"/>
          <w:szCs w:val="24"/>
          <w:lang w:val="en-US"/>
        </w:rPr>
        <w:t xml:space="preserve"> 2012-55, Kiel Institute for the Worl</w:t>
      </w:r>
      <w:r w:rsidRPr="00583E7D">
        <w:rPr>
          <w:rStyle w:val="highlightedsearchterm"/>
          <w:sz w:val="24"/>
          <w:szCs w:val="24"/>
          <w:lang w:val="en-US"/>
        </w:rPr>
        <w:t>d</w:t>
      </w:r>
      <w:r w:rsidRPr="00583E7D">
        <w:rPr>
          <w:sz w:val="24"/>
          <w:szCs w:val="24"/>
          <w:lang w:val="en-US"/>
        </w:rPr>
        <w:t xml:space="preserve"> Economy, </w:t>
      </w:r>
      <w:r w:rsidRPr="008F4B94">
        <w:rPr>
          <w:sz w:val="24"/>
          <w:szCs w:val="24"/>
          <w:lang w:val="en-US"/>
        </w:rPr>
        <w:t>2013</w:t>
      </w:r>
      <w:r>
        <w:rPr>
          <w:sz w:val="24"/>
          <w:szCs w:val="24"/>
          <w:lang w:val="en-US"/>
        </w:rPr>
        <w:t xml:space="preserve">. </w:t>
      </w:r>
    </w:p>
    <w:p w:rsidR="00864748" w:rsidRPr="00DF0D2F" w:rsidRDefault="00864748" w:rsidP="00864748">
      <w:pPr>
        <w:spacing w:line="276" w:lineRule="auto"/>
        <w:ind w:left="720" w:hanging="720"/>
        <w:rPr>
          <w:sz w:val="24"/>
          <w:szCs w:val="24"/>
          <w:lang w:val="en-US"/>
        </w:rPr>
      </w:pPr>
      <w:r w:rsidRPr="000967DD">
        <w:rPr>
          <w:sz w:val="24"/>
          <w:szCs w:val="24"/>
        </w:rPr>
        <w:t>Gini</w:t>
      </w:r>
      <w:r w:rsidR="00ED6177">
        <w:rPr>
          <w:sz w:val="24"/>
          <w:szCs w:val="24"/>
        </w:rPr>
        <w:t>,</w:t>
      </w:r>
      <w:r w:rsidRPr="000967DD">
        <w:rPr>
          <w:sz w:val="24"/>
          <w:szCs w:val="24"/>
        </w:rPr>
        <w:t xml:space="preserve"> C., Sulla misura della concentrazione e della variabilità dei caratteri. </w:t>
      </w:r>
      <w:r w:rsidRPr="00DF0D2F">
        <w:rPr>
          <w:sz w:val="24"/>
          <w:szCs w:val="24"/>
          <w:lang w:val="en-US"/>
        </w:rPr>
        <w:t xml:space="preserve">Atti del Reale Istituto Veneto di Scienze, </w:t>
      </w:r>
      <w:r>
        <w:rPr>
          <w:sz w:val="24"/>
          <w:szCs w:val="24"/>
          <w:lang w:val="en-US"/>
        </w:rPr>
        <w:t>Lettere ed A</w:t>
      </w:r>
      <w:r w:rsidRPr="00DF0D2F">
        <w:rPr>
          <w:sz w:val="24"/>
          <w:szCs w:val="24"/>
          <w:lang w:val="en-US"/>
        </w:rPr>
        <w:t>rti</w:t>
      </w:r>
      <w:r>
        <w:rPr>
          <w:sz w:val="24"/>
          <w:szCs w:val="24"/>
          <w:lang w:val="en-US"/>
        </w:rPr>
        <w:t>,</w:t>
      </w:r>
      <w:r w:rsidRPr="00DF0D2F">
        <w:rPr>
          <w:sz w:val="24"/>
          <w:szCs w:val="24"/>
          <w:lang w:val="en-US"/>
        </w:rPr>
        <w:t xml:space="preserve"> </w:t>
      </w:r>
      <w:r w:rsidRPr="00020138">
        <w:rPr>
          <w:sz w:val="24"/>
          <w:szCs w:val="24"/>
          <w:lang w:val="en-US"/>
        </w:rPr>
        <w:t>LXXIII, parte II,</w:t>
      </w:r>
      <w:r>
        <w:rPr>
          <w:sz w:val="24"/>
          <w:szCs w:val="24"/>
          <w:lang w:val="en-US"/>
        </w:rPr>
        <w:t xml:space="preserve"> </w:t>
      </w:r>
      <w:r w:rsidRPr="00DF0D2F">
        <w:rPr>
          <w:sz w:val="24"/>
          <w:szCs w:val="24"/>
          <w:lang w:val="en-US"/>
        </w:rPr>
        <w:t>73</w:t>
      </w:r>
      <w:r>
        <w:rPr>
          <w:sz w:val="24"/>
          <w:szCs w:val="24"/>
          <w:lang w:val="en-US"/>
        </w:rPr>
        <w:t xml:space="preserve">, </w:t>
      </w:r>
      <w:r w:rsidRPr="00DF0D2F">
        <w:rPr>
          <w:sz w:val="24"/>
          <w:szCs w:val="24"/>
          <w:lang w:val="en-US"/>
        </w:rPr>
        <w:t>120</w:t>
      </w:r>
      <w:r>
        <w:rPr>
          <w:sz w:val="24"/>
          <w:szCs w:val="24"/>
          <w:lang w:val="en-US"/>
        </w:rPr>
        <w:t>3</w:t>
      </w:r>
      <w:r w:rsidRPr="00DF0D2F">
        <w:rPr>
          <w:sz w:val="24"/>
          <w:szCs w:val="24"/>
          <w:lang w:val="en-US"/>
        </w:rPr>
        <w:t>–</w:t>
      </w:r>
      <w:r>
        <w:rPr>
          <w:sz w:val="24"/>
          <w:szCs w:val="24"/>
          <w:lang w:val="en-US"/>
        </w:rPr>
        <w:t>48,</w:t>
      </w:r>
      <w:r w:rsidRPr="00DF0D2F">
        <w:rPr>
          <w:sz w:val="24"/>
          <w:szCs w:val="24"/>
          <w:lang w:val="en-US"/>
        </w:rPr>
        <w:t xml:space="preserve"> </w:t>
      </w:r>
      <w:r w:rsidRPr="00020138">
        <w:rPr>
          <w:sz w:val="24"/>
          <w:szCs w:val="24"/>
          <w:lang w:val="en-US"/>
        </w:rPr>
        <w:t>1914.</w:t>
      </w:r>
    </w:p>
    <w:p w:rsidR="00864748" w:rsidRDefault="00864748" w:rsidP="00864748">
      <w:pPr>
        <w:spacing w:line="276" w:lineRule="auto"/>
        <w:ind w:left="720" w:hanging="720"/>
        <w:rPr>
          <w:sz w:val="24"/>
          <w:szCs w:val="24"/>
          <w:lang w:val="en-GB"/>
        </w:rPr>
      </w:pPr>
      <w:r w:rsidRPr="0048091F">
        <w:rPr>
          <w:sz w:val="24"/>
          <w:szCs w:val="24"/>
          <w:lang w:val="en-GB"/>
        </w:rPr>
        <w:t>Gornick</w:t>
      </w:r>
      <w:r w:rsidR="00ED6177">
        <w:rPr>
          <w:sz w:val="24"/>
          <w:szCs w:val="24"/>
          <w:lang w:val="en-GB"/>
        </w:rPr>
        <w:t>,</w:t>
      </w:r>
      <w:r w:rsidRPr="0048091F">
        <w:rPr>
          <w:sz w:val="24"/>
          <w:szCs w:val="24"/>
          <w:lang w:val="en-GB"/>
        </w:rPr>
        <w:t xml:space="preserve"> J</w:t>
      </w:r>
      <w:r>
        <w:rPr>
          <w:sz w:val="24"/>
          <w:szCs w:val="24"/>
          <w:lang w:val="en-GB"/>
        </w:rPr>
        <w:t>.</w:t>
      </w:r>
      <w:r w:rsidRPr="0048091F">
        <w:rPr>
          <w:sz w:val="24"/>
          <w:szCs w:val="24"/>
          <w:lang w:val="en-GB"/>
        </w:rPr>
        <w:t xml:space="preserve"> C. and M</w:t>
      </w:r>
      <w:r>
        <w:rPr>
          <w:sz w:val="24"/>
          <w:szCs w:val="24"/>
          <w:lang w:val="en-GB"/>
        </w:rPr>
        <w:t>.</w:t>
      </w:r>
      <w:r w:rsidRPr="0048091F">
        <w:rPr>
          <w:sz w:val="24"/>
          <w:szCs w:val="24"/>
          <w:lang w:val="en-GB"/>
        </w:rPr>
        <w:t xml:space="preserve"> Jäntti</w:t>
      </w:r>
      <w:r>
        <w:rPr>
          <w:sz w:val="24"/>
          <w:szCs w:val="24"/>
          <w:lang w:val="en-GB"/>
        </w:rPr>
        <w:t xml:space="preserve"> (eds.), </w:t>
      </w:r>
      <w:r w:rsidRPr="00FE63F0">
        <w:rPr>
          <w:i/>
          <w:sz w:val="24"/>
          <w:szCs w:val="24"/>
          <w:lang w:val="en-GB"/>
        </w:rPr>
        <w:t>Income Inequality: Economic Disparities and the Middle Class in Affluent Countries</w:t>
      </w:r>
      <w:r>
        <w:rPr>
          <w:sz w:val="24"/>
          <w:szCs w:val="24"/>
          <w:lang w:val="en-GB"/>
        </w:rPr>
        <w:t xml:space="preserve">, </w:t>
      </w:r>
      <w:r w:rsidRPr="0048091F">
        <w:rPr>
          <w:sz w:val="24"/>
          <w:szCs w:val="24"/>
          <w:lang w:val="en-GB"/>
        </w:rPr>
        <w:t>Stanford University Press</w:t>
      </w:r>
      <w:r>
        <w:rPr>
          <w:sz w:val="24"/>
          <w:szCs w:val="24"/>
          <w:lang w:val="en-GB"/>
        </w:rPr>
        <w:t>,</w:t>
      </w:r>
      <w:r w:rsidRPr="0048091F">
        <w:rPr>
          <w:sz w:val="24"/>
          <w:szCs w:val="24"/>
          <w:lang w:val="en-GB"/>
        </w:rPr>
        <w:t xml:space="preserve"> Stanford, </w:t>
      </w:r>
      <w:r>
        <w:rPr>
          <w:sz w:val="24"/>
          <w:szCs w:val="24"/>
          <w:lang w:val="en-GB"/>
        </w:rPr>
        <w:t>CA,</w:t>
      </w:r>
      <w:r w:rsidRPr="0048091F">
        <w:rPr>
          <w:sz w:val="24"/>
          <w:szCs w:val="24"/>
          <w:lang w:val="en-GB"/>
        </w:rPr>
        <w:t xml:space="preserve"> </w:t>
      </w:r>
      <w:r>
        <w:rPr>
          <w:sz w:val="24"/>
          <w:szCs w:val="24"/>
          <w:lang w:val="en-GB"/>
        </w:rPr>
        <w:t>2013.</w:t>
      </w:r>
    </w:p>
    <w:p w:rsidR="00864748" w:rsidRPr="00DF0D2F" w:rsidRDefault="00864748" w:rsidP="00864748">
      <w:pPr>
        <w:spacing w:line="276" w:lineRule="auto"/>
        <w:ind w:left="720" w:hanging="720"/>
        <w:rPr>
          <w:sz w:val="24"/>
          <w:szCs w:val="24"/>
          <w:lang w:val="en-GB"/>
        </w:rPr>
      </w:pPr>
      <w:r w:rsidRPr="00DF0D2F">
        <w:rPr>
          <w:sz w:val="24"/>
          <w:szCs w:val="24"/>
          <w:lang w:val="en-GB"/>
        </w:rPr>
        <w:t>Graf, M.</w:t>
      </w:r>
      <w:r>
        <w:rPr>
          <w:sz w:val="24"/>
          <w:szCs w:val="24"/>
          <w:lang w:val="en-GB"/>
        </w:rPr>
        <w:t xml:space="preserve"> and D.</w:t>
      </w:r>
      <w:r w:rsidRPr="00DF0D2F">
        <w:rPr>
          <w:sz w:val="24"/>
          <w:szCs w:val="24"/>
          <w:lang w:val="en-GB"/>
        </w:rPr>
        <w:t xml:space="preserve"> Nedyalkova, </w:t>
      </w:r>
      <w:r w:rsidRPr="006C48CA">
        <w:rPr>
          <w:sz w:val="24"/>
          <w:szCs w:val="24"/>
          <w:lang w:val="en-GB"/>
        </w:rPr>
        <w:t>"</w:t>
      </w:r>
      <w:r w:rsidRPr="00DF0D2F">
        <w:rPr>
          <w:sz w:val="24"/>
          <w:szCs w:val="24"/>
          <w:lang w:val="en-GB"/>
        </w:rPr>
        <w:t xml:space="preserve">Modeling of </w:t>
      </w:r>
      <w:r>
        <w:rPr>
          <w:sz w:val="24"/>
          <w:szCs w:val="24"/>
          <w:lang w:val="en-GB"/>
        </w:rPr>
        <w:t>I</w:t>
      </w:r>
      <w:r w:rsidRPr="00DF0D2F">
        <w:rPr>
          <w:sz w:val="24"/>
          <w:szCs w:val="24"/>
          <w:lang w:val="en-GB"/>
        </w:rPr>
        <w:t xml:space="preserve">ncome and </w:t>
      </w:r>
      <w:r>
        <w:rPr>
          <w:sz w:val="24"/>
          <w:szCs w:val="24"/>
          <w:lang w:val="en-GB"/>
        </w:rPr>
        <w:t>Indicators of P</w:t>
      </w:r>
      <w:r w:rsidRPr="00DF0D2F">
        <w:rPr>
          <w:sz w:val="24"/>
          <w:szCs w:val="24"/>
          <w:lang w:val="en-GB"/>
        </w:rPr>
        <w:t xml:space="preserve">overty and </w:t>
      </w:r>
      <w:r>
        <w:rPr>
          <w:sz w:val="24"/>
          <w:szCs w:val="24"/>
          <w:lang w:val="en-GB"/>
        </w:rPr>
        <w:t>S</w:t>
      </w:r>
      <w:r w:rsidRPr="00DF0D2F">
        <w:rPr>
          <w:sz w:val="24"/>
          <w:szCs w:val="24"/>
          <w:lang w:val="en-GB"/>
        </w:rPr>
        <w:t xml:space="preserve">ocial </w:t>
      </w:r>
      <w:r>
        <w:rPr>
          <w:sz w:val="24"/>
          <w:szCs w:val="24"/>
          <w:lang w:val="en-GB"/>
        </w:rPr>
        <w:t>E</w:t>
      </w:r>
      <w:r w:rsidRPr="00DF0D2F">
        <w:rPr>
          <w:sz w:val="24"/>
          <w:szCs w:val="24"/>
          <w:lang w:val="en-GB"/>
        </w:rPr>
        <w:t xml:space="preserve">xclusion using the Generalized </w:t>
      </w:r>
      <w:r w:rsidR="00472786" w:rsidRPr="00472786">
        <w:rPr>
          <w:rFonts w:ascii="Symbol" w:hAnsi="Symbol"/>
          <w:sz w:val="24"/>
          <w:szCs w:val="24"/>
          <w:lang w:val="en-GB"/>
        </w:rPr>
        <w:t></w:t>
      </w:r>
      <w:r w:rsidRPr="00DF0D2F">
        <w:rPr>
          <w:sz w:val="24"/>
          <w:szCs w:val="24"/>
          <w:lang w:val="en-GB"/>
        </w:rPr>
        <w:t xml:space="preserve"> Distribution of the Second Kind</w:t>
      </w:r>
      <w:r>
        <w:rPr>
          <w:sz w:val="24"/>
          <w:szCs w:val="24"/>
          <w:lang w:val="en-GB"/>
        </w:rPr>
        <w:t>,</w:t>
      </w:r>
      <w:r w:rsidRPr="006C48CA">
        <w:rPr>
          <w:sz w:val="24"/>
          <w:szCs w:val="24"/>
          <w:lang w:val="en-GB"/>
        </w:rPr>
        <w:t>"</w:t>
      </w:r>
      <w:r w:rsidRPr="00DF0D2F">
        <w:rPr>
          <w:sz w:val="24"/>
          <w:szCs w:val="24"/>
          <w:lang w:val="en-GB"/>
        </w:rPr>
        <w:t xml:space="preserve"> </w:t>
      </w:r>
      <w:r w:rsidRPr="00FE63F0">
        <w:rPr>
          <w:i/>
          <w:sz w:val="24"/>
          <w:szCs w:val="24"/>
          <w:lang w:val="en-GB"/>
        </w:rPr>
        <w:t>Review of Income and Wealth</w:t>
      </w:r>
      <w:r w:rsidRPr="00DF0D2F">
        <w:rPr>
          <w:sz w:val="24"/>
          <w:szCs w:val="24"/>
          <w:lang w:val="en-GB"/>
        </w:rPr>
        <w:t xml:space="preserve">, </w:t>
      </w:r>
      <w:r w:rsidR="00E9025B">
        <w:rPr>
          <w:sz w:val="24"/>
          <w:szCs w:val="24"/>
          <w:lang w:val="en-GB"/>
        </w:rPr>
        <w:t>forthcoming</w:t>
      </w:r>
      <w:r>
        <w:rPr>
          <w:sz w:val="24"/>
          <w:szCs w:val="24"/>
          <w:lang w:val="en-GB"/>
        </w:rPr>
        <w:t xml:space="preserve">, </w:t>
      </w:r>
      <w:r w:rsidRPr="00DF0D2F">
        <w:rPr>
          <w:sz w:val="24"/>
          <w:szCs w:val="24"/>
          <w:lang w:val="en-GB"/>
        </w:rPr>
        <w:t>201</w:t>
      </w:r>
      <w:r w:rsidR="00E9025B">
        <w:rPr>
          <w:sz w:val="24"/>
          <w:szCs w:val="24"/>
          <w:lang w:val="en-GB"/>
        </w:rPr>
        <w:t>4</w:t>
      </w:r>
      <w:r w:rsidRPr="00DF0D2F">
        <w:rPr>
          <w:sz w:val="24"/>
          <w:szCs w:val="24"/>
          <w:lang w:val="en-GB"/>
        </w:rPr>
        <w:t xml:space="preserve">. </w:t>
      </w:r>
    </w:p>
    <w:p w:rsidR="00783FA3" w:rsidRDefault="00783FA3" w:rsidP="00783FA3">
      <w:pPr>
        <w:spacing w:line="276" w:lineRule="auto"/>
        <w:ind w:left="720" w:hanging="720"/>
        <w:rPr>
          <w:sz w:val="24"/>
          <w:szCs w:val="24"/>
          <w:lang w:val="en-GB"/>
        </w:rPr>
      </w:pPr>
      <w:r w:rsidRPr="00783FA3">
        <w:rPr>
          <w:sz w:val="24"/>
          <w:szCs w:val="24"/>
          <w:lang w:val="en-GB"/>
        </w:rPr>
        <w:t>Haughton, J</w:t>
      </w:r>
      <w:r>
        <w:rPr>
          <w:sz w:val="24"/>
          <w:szCs w:val="24"/>
          <w:lang w:val="en-GB"/>
        </w:rPr>
        <w:t>.</w:t>
      </w:r>
      <w:r w:rsidR="00200E18">
        <w:rPr>
          <w:sz w:val="24"/>
          <w:szCs w:val="24"/>
          <w:lang w:val="en-GB"/>
        </w:rPr>
        <w:t xml:space="preserve"> </w:t>
      </w:r>
      <w:r w:rsidRPr="00783FA3">
        <w:rPr>
          <w:sz w:val="24"/>
          <w:szCs w:val="24"/>
          <w:lang w:val="en-GB"/>
        </w:rPr>
        <w:t xml:space="preserve">H. </w:t>
      </w:r>
      <w:r>
        <w:rPr>
          <w:sz w:val="24"/>
          <w:szCs w:val="24"/>
          <w:lang w:val="en-GB"/>
        </w:rPr>
        <w:t xml:space="preserve">and </w:t>
      </w:r>
      <w:r w:rsidRPr="00783FA3">
        <w:rPr>
          <w:sz w:val="24"/>
          <w:szCs w:val="24"/>
          <w:lang w:val="en-GB"/>
        </w:rPr>
        <w:t>S</w:t>
      </w:r>
      <w:r>
        <w:rPr>
          <w:sz w:val="24"/>
          <w:szCs w:val="24"/>
          <w:lang w:val="en-GB"/>
        </w:rPr>
        <w:t>.</w:t>
      </w:r>
      <w:r w:rsidR="00200E18">
        <w:rPr>
          <w:sz w:val="24"/>
          <w:szCs w:val="24"/>
          <w:lang w:val="en-GB"/>
        </w:rPr>
        <w:t xml:space="preserve"> </w:t>
      </w:r>
      <w:r w:rsidRPr="00783FA3">
        <w:rPr>
          <w:sz w:val="24"/>
          <w:szCs w:val="24"/>
          <w:lang w:val="en-GB"/>
        </w:rPr>
        <w:t>R. Khandker</w:t>
      </w:r>
      <w:r>
        <w:rPr>
          <w:sz w:val="24"/>
          <w:szCs w:val="24"/>
          <w:lang w:val="en-GB"/>
        </w:rPr>
        <w:t xml:space="preserve">, </w:t>
      </w:r>
      <w:r w:rsidRPr="00783FA3">
        <w:rPr>
          <w:i/>
          <w:sz w:val="24"/>
          <w:szCs w:val="24"/>
          <w:lang w:val="en-GB"/>
        </w:rPr>
        <w:t xml:space="preserve">Handbook on </w:t>
      </w:r>
      <w:r w:rsidR="00200E18">
        <w:rPr>
          <w:i/>
          <w:sz w:val="24"/>
          <w:szCs w:val="24"/>
          <w:lang w:val="en-GB"/>
        </w:rPr>
        <w:t>P</w:t>
      </w:r>
      <w:r w:rsidRPr="00783FA3">
        <w:rPr>
          <w:i/>
          <w:sz w:val="24"/>
          <w:szCs w:val="24"/>
          <w:lang w:val="en-GB"/>
        </w:rPr>
        <w:t xml:space="preserve">overty and </w:t>
      </w:r>
      <w:r w:rsidR="00445233">
        <w:rPr>
          <w:i/>
          <w:sz w:val="24"/>
          <w:szCs w:val="24"/>
          <w:lang w:val="en-GB"/>
        </w:rPr>
        <w:t>I</w:t>
      </w:r>
      <w:r w:rsidRPr="00783FA3">
        <w:rPr>
          <w:i/>
          <w:sz w:val="24"/>
          <w:szCs w:val="24"/>
          <w:lang w:val="en-GB"/>
        </w:rPr>
        <w:t>nequality</w:t>
      </w:r>
      <w:r>
        <w:rPr>
          <w:sz w:val="24"/>
          <w:szCs w:val="24"/>
          <w:lang w:val="en-GB"/>
        </w:rPr>
        <w:t>.</w:t>
      </w:r>
      <w:r w:rsidRPr="00783FA3">
        <w:rPr>
          <w:sz w:val="24"/>
          <w:szCs w:val="24"/>
          <w:lang w:val="en-GB"/>
        </w:rPr>
        <w:t xml:space="preserve"> The World Bank</w:t>
      </w:r>
      <w:r>
        <w:rPr>
          <w:sz w:val="24"/>
          <w:szCs w:val="24"/>
          <w:lang w:val="en-GB"/>
        </w:rPr>
        <w:t>, Washington D.C., 2009.</w:t>
      </w:r>
    </w:p>
    <w:p w:rsidR="00954DDF" w:rsidRDefault="000A6645" w:rsidP="00864748">
      <w:pPr>
        <w:spacing w:line="276" w:lineRule="auto"/>
        <w:ind w:left="720" w:hanging="720"/>
        <w:rPr>
          <w:sz w:val="24"/>
          <w:szCs w:val="24"/>
          <w:lang w:val="en-US"/>
        </w:rPr>
      </w:pPr>
      <w:r w:rsidRPr="000A6645">
        <w:rPr>
          <w:sz w:val="24"/>
          <w:szCs w:val="24"/>
          <w:lang w:val="en-GB"/>
        </w:rPr>
        <w:t>J</w:t>
      </w:r>
      <w:r w:rsidRPr="000A6645">
        <w:rPr>
          <w:sz w:val="24"/>
          <w:szCs w:val="24"/>
          <w:lang w:val="en-US"/>
        </w:rPr>
        <w:t>ä</w:t>
      </w:r>
      <w:r w:rsidRPr="000A6645">
        <w:rPr>
          <w:sz w:val="24"/>
          <w:szCs w:val="24"/>
          <w:lang w:val="en-GB"/>
        </w:rPr>
        <w:t>ntti</w:t>
      </w:r>
      <w:r w:rsidR="00ED6177">
        <w:rPr>
          <w:sz w:val="24"/>
          <w:szCs w:val="24"/>
          <w:lang w:val="en-GB"/>
        </w:rPr>
        <w:t>,</w:t>
      </w:r>
      <w:r w:rsidRPr="000A6645">
        <w:rPr>
          <w:sz w:val="24"/>
          <w:szCs w:val="24"/>
          <w:lang w:val="en-GB"/>
        </w:rPr>
        <w:t xml:space="preserve"> </w:t>
      </w:r>
      <w:r>
        <w:rPr>
          <w:sz w:val="24"/>
          <w:szCs w:val="24"/>
          <w:lang w:val="en-GB"/>
        </w:rPr>
        <w:t xml:space="preserve">M., E. Sierminska </w:t>
      </w:r>
      <w:r w:rsidRPr="000A6645">
        <w:rPr>
          <w:sz w:val="24"/>
          <w:szCs w:val="24"/>
          <w:lang w:val="en-GB"/>
        </w:rPr>
        <w:t>and P</w:t>
      </w:r>
      <w:r>
        <w:rPr>
          <w:sz w:val="24"/>
          <w:szCs w:val="24"/>
          <w:lang w:val="en-GB"/>
        </w:rPr>
        <w:t xml:space="preserve">. </w:t>
      </w:r>
      <w:r w:rsidRPr="000A6645">
        <w:rPr>
          <w:sz w:val="24"/>
          <w:szCs w:val="24"/>
          <w:lang w:val="en-GB"/>
        </w:rPr>
        <w:t>Van Kerm</w:t>
      </w:r>
      <w:r>
        <w:rPr>
          <w:sz w:val="24"/>
          <w:szCs w:val="24"/>
          <w:lang w:val="en-GB"/>
        </w:rPr>
        <w:t>, "</w:t>
      </w:r>
      <w:r w:rsidRPr="000A6645">
        <w:rPr>
          <w:sz w:val="24"/>
          <w:szCs w:val="24"/>
          <w:lang w:val="en-GB"/>
        </w:rPr>
        <w:t>The Joint Distribution of Income and Wealth</w:t>
      </w:r>
      <w:r>
        <w:rPr>
          <w:sz w:val="24"/>
          <w:szCs w:val="24"/>
          <w:lang w:val="en-GB"/>
        </w:rPr>
        <w:t>"</w:t>
      </w:r>
      <w:r w:rsidRPr="000A6645">
        <w:rPr>
          <w:sz w:val="24"/>
          <w:szCs w:val="24"/>
          <w:lang w:val="en-GB"/>
        </w:rPr>
        <w:t xml:space="preserve"> </w:t>
      </w:r>
      <w:r w:rsidR="00954DDF" w:rsidRPr="00254CAF">
        <w:rPr>
          <w:sz w:val="24"/>
          <w:szCs w:val="24"/>
          <w:lang w:val="en-GB"/>
        </w:rPr>
        <w:t>in J. Gornick and M. J</w:t>
      </w:r>
      <w:r w:rsidRPr="000A6645">
        <w:rPr>
          <w:sz w:val="24"/>
          <w:szCs w:val="24"/>
          <w:lang w:val="en-US"/>
        </w:rPr>
        <w:t>ä</w:t>
      </w:r>
      <w:r w:rsidR="00954DDF" w:rsidRPr="00254CAF">
        <w:rPr>
          <w:sz w:val="24"/>
          <w:szCs w:val="24"/>
          <w:lang w:val="en-GB"/>
        </w:rPr>
        <w:t xml:space="preserve">ntti (eds), </w:t>
      </w:r>
      <w:r w:rsidR="00954DDF" w:rsidRPr="00FA3B0D">
        <w:rPr>
          <w:i/>
          <w:sz w:val="24"/>
          <w:szCs w:val="24"/>
          <w:lang w:val="en-GB"/>
        </w:rPr>
        <w:t>Economic Inequality in Cross-National Perspective</w:t>
      </w:r>
      <w:r w:rsidR="00954DDF" w:rsidRPr="00254CAF">
        <w:rPr>
          <w:sz w:val="24"/>
          <w:szCs w:val="24"/>
          <w:lang w:val="en-GB"/>
        </w:rPr>
        <w:t xml:space="preserve">, </w:t>
      </w:r>
      <w:r w:rsidR="00954DDF">
        <w:rPr>
          <w:sz w:val="24"/>
          <w:szCs w:val="24"/>
          <w:lang w:val="en-GB"/>
        </w:rPr>
        <w:t>Stanford, CA, Stanford University Press,</w:t>
      </w:r>
      <w:r w:rsidR="00954DDF" w:rsidRPr="00FA3B0D">
        <w:rPr>
          <w:sz w:val="24"/>
          <w:szCs w:val="24"/>
          <w:lang w:val="en-GB"/>
        </w:rPr>
        <w:t xml:space="preserve"> </w:t>
      </w:r>
      <w:r>
        <w:rPr>
          <w:sz w:val="24"/>
          <w:szCs w:val="24"/>
          <w:lang w:val="en-GB"/>
        </w:rPr>
        <w:t>312</w:t>
      </w:r>
      <w:r w:rsidR="00954DDF" w:rsidRPr="00DF0D2F">
        <w:rPr>
          <w:sz w:val="24"/>
          <w:szCs w:val="24"/>
          <w:lang w:val="en-US"/>
        </w:rPr>
        <w:t>–</w:t>
      </w:r>
      <w:r>
        <w:rPr>
          <w:sz w:val="24"/>
          <w:szCs w:val="24"/>
          <w:lang w:val="en-GB"/>
        </w:rPr>
        <w:t>33</w:t>
      </w:r>
      <w:r w:rsidR="00954DDF">
        <w:rPr>
          <w:sz w:val="24"/>
          <w:szCs w:val="24"/>
          <w:lang w:val="en-GB"/>
        </w:rPr>
        <w:t xml:space="preserve">, </w:t>
      </w:r>
      <w:r w:rsidR="00954DDF" w:rsidRPr="00254CAF">
        <w:rPr>
          <w:sz w:val="24"/>
          <w:szCs w:val="24"/>
          <w:lang w:val="en-GB"/>
        </w:rPr>
        <w:t>2013</w:t>
      </w:r>
      <w:r w:rsidR="00954DDF">
        <w:rPr>
          <w:sz w:val="24"/>
          <w:szCs w:val="24"/>
          <w:lang w:val="en-GB"/>
        </w:rPr>
        <w:t>.</w:t>
      </w:r>
    </w:p>
    <w:p w:rsidR="00864748" w:rsidRPr="00DF0D2F" w:rsidRDefault="00864748" w:rsidP="00864748">
      <w:pPr>
        <w:spacing w:line="276" w:lineRule="auto"/>
        <w:ind w:left="720" w:hanging="720"/>
        <w:rPr>
          <w:sz w:val="24"/>
          <w:szCs w:val="24"/>
          <w:lang w:val="en-US"/>
        </w:rPr>
      </w:pPr>
      <w:r>
        <w:rPr>
          <w:sz w:val="24"/>
          <w:szCs w:val="24"/>
          <w:lang w:val="en-US"/>
        </w:rPr>
        <w:t>Jenkins,</w:t>
      </w:r>
      <w:r w:rsidRPr="00DF0D2F">
        <w:rPr>
          <w:sz w:val="24"/>
          <w:szCs w:val="24"/>
          <w:lang w:val="en-US"/>
        </w:rPr>
        <w:t xml:space="preserve"> S.</w:t>
      </w:r>
      <w:r>
        <w:rPr>
          <w:sz w:val="24"/>
          <w:szCs w:val="24"/>
          <w:lang w:val="en-US"/>
        </w:rPr>
        <w:t xml:space="preserve"> </w:t>
      </w:r>
      <w:r w:rsidRPr="00DF0D2F">
        <w:rPr>
          <w:sz w:val="24"/>
          <w:szCs w:val="24"/>
          <w:lang w:val="en-US"/>
        </w:rPr>
        <w:t>P.</w:t>
      </w:r>
      <w:r>
        <w:rPr>
          <w:sz w:val="24"/>
          <w:szCs w:val="24"/>
          <w:lang w:val="en-US"/>
        </w:rPr>
        <w:t>,</w:t>
      </w:r>
      <w:r w:rsidRPr="00DF0D2F">
        <w:rPr>
          <w:sz w:val="24"/>
          <w:szCs w:val="24"/>
          <w:lang w:val="en-US"/>
        </w:rPr>
        <w:t xml:space="preserve"> </w:t>
      </w:r>
      <w:r w:rsidRPr="006C48CA">
        <w:rPr>
          <w:sz w:val="24"/>
          <w:szCs w:val="24"/>
          <w:lang w:val="en-GB"/>
        </w:rPr>
        <w:t>"</w:t>
      </w:r>
      <w:r>
        <w:rPr>
          <w:sz w:val="24"/>
          <w:szCs w:val="24"/>
          <w:lang w:val="en-US"/>
        </w:rPr>
        <w:t>The M</w:t>
      </w:r>
      <w:r w:rsidRPr="00DF0D2F">
        <w:rPr>
          <w:sz w:val="24"/>
          <w:szCs w:val="24"/>
          <w:lang w:val="en-US"/>
        </w:rPr>
        <w:t>e</w:t>
      </w:r>
      <w:r>
        <w:rPr>
          <w:sz w:val="24"/>
          <w:szCs w:val="24"/>
          <w:lang w:val="en-US"/>
        </w:rPr>
        <w:t>asurement of Income I</w:t>
      </w:r>
      <w:r w:rsidRPr="00DF0D2F">
        <w:rPr>
          <w:sz w:val="24"/>
          <w:szCs w:val="24"/>
          <w:lang w:val="en-US"/>
        </w:rPr>
        <w:t>nequality</w:t>
      </w:r>
      <w:r>
        <w:rPr>
          <w:sz w:val="24"/>
          <w:szCs w:val="24"/>
          <w:lang w:val="en-US"/>
        </w:rPr>
        <w:t>,</w:t>
      </w:r>
      <w:r w:rsidRPr="006C48CA">
        <w:rPr>
          <w:sz w:val="24"/>
          <w:szCs w:val="24"/>
          <w:lang w:val="en-GB"/>
        </w:rPr>
        <w:t>"</w:t>
      </w:r>
      <w:r w:rsidRPr="00DF0D2F">
        <w:rPr>
          <w:sz w:val="24"/>
          <w:szCs w:val="24"/>
          <w:lang w:val="en-US"/>
        </w:rPr>
        <w:t xml:space="preserve"> </w:t>
      </w:r>
      <w:r>
        <w:rPr>
          <w:sz w:val="24"/>
          <w:szCs w:val="24"/>
          <w:lang w:val="en-US"/>
        </w:rPr>
        <w:t>in</w:t>
      </w:r>
      <w:r w:rsidRPr="00DF0D2F">
        <w:rPr>
          <w:sz w:val="24"/>
          <w:szCs w:val="24"/>
          <w:lang w:val="en-US"/>
        </w:rPr>
        <w:t xml:space="preserve"> L. Osberg (ed.)</w:t>
      </w:r>
      <w:r>
        <w:rPr>
          <w:sz w:val="24"/>
          <w:szCs w:val="24"/>
          <w:lang w:val="en-US"/>
        </w:rPr>
        <w:t>,</w:t>
      </w:r>
      <w:r w:rsidRPr="00DF0D2F">
        <w:rPr>
          <w:sz w:val="24"/>
          <w:szCs w:val="24"/>
          <w:lang w:val="en-US"/>
        </w:rPr>
        <w:t xml:space="preserve"> </w:t>
      </w:r>
      <w:r w:rsidRPr="00FE63F0">
        <w:rPr>
          <w:i/>
          <w:sz w:val="24"/>
          <w:szCs w:val="24"/>
          <w:lang w:val="en-US"/>
        </w:rPr>
        <w:t>Economic Inequality and Poverty: International Perspectives</w:t>
      </w:r>
      <w:r>
        <w:rPr>
          <w:sz w:val="24"/>
          <w:szCs w:val="24"/>
          <w:lang w:val="en-US"/>
        </w:rPr>
        <w:t>,</w:t>
      </w:r>
      <w:r w:rsidRPr="00DF0D2F">
        <w:rPr>
          <w:sz w:val="24"/>
          <w:szCs w:val="24"/>
          <w:lang w:val="en-US"/>
        </w:rPr>
        <w:t xml:space="preserve"> M.</w:t>
      </w:r>
      <w:r>
        <w:rPr>
          <w:sz w:val="24"/>
          <w:szCs w:val="24"/>
          <w:lang w:val="en-US"/>
        </w:rPr>
        <w:t xml:space="preserve"> </w:t>
      </w:r>
      <w:r w:rsidRPr="00DF0D2F">
        <w:rPr>
          <w:sz w:val="24"/>
          <w:szCs w:val="24"/>
          <w:lang w:val="en-US"/>
        </w:rPr>
        <w:t>E. Sharpe</w:t>
      </w:r>
      <w:r>
        <w:rPr>
          <w:sz w:val="24"/>
          <w:szCs w:val="24"/>
          <w:lang w:val="en-US"/>
        </w:rPr>
        <w:t xml:space="preserve"> Inc., </w:t>
      </w:r>
      <w:r w:rsidRPr="00DF0D2F">
        <w:rPr>
          <w:sz w:val="24"/>
          <w:szCs w:val="24"/>
          <w:lang w:val="en-US"/>
        </w:rPr>
        <w:t>Armonk, NY</w:t>
      </w:r>
      <w:r>
        <w:rPr>
          <w:sz w:val="24"/>
          <w:szCs w:val="24"/>
          <w:lang w:val="en-US"/>
        </w:rPr>
        <w:t>,</w:t>
      </w:r>
      <w:r w:rsidRPr="00DF0D2F">
        <w:rPr>
          <w:sz w:val="24"/>
          <w:szCs w:val="24"/>
          <w:lang w:val="en-US"/>
        </w:rPr>
        <w:t xml:space="preserve"> 1991.</w:t>
      </w:r>
    </w:p>
    <w:p w:rsidR="00864748" w:rsidRPr="00DF0D2F" w:rsidRDefault="00864748" w:rsidP="00864748">
      <w:pPr>
        <w:spacing w:line="276" w:lineRule="auto"/>
        <w:ind w:left="720" w:hanging="720"/>
        <w:rPr>
          <w:sz w:val="24"/>
          <w:szCs w:val="24"/>
          <w:lang w:val="en-US"/>
        </w:rPr>
      </w:pPr>
      <w:r w:rsidRPr="00FA3B0D">
        <w:rPr>
          <w:sz w:val="24"/>
          <w:szCs w:val="24"/>
          <w:lang w:val="en-GB"/>
        </w:rPr>
        <w:t>———,</w:t>
      </w:r>
      <w:r>
        <w:rPr>
          <w:sz w:val="24"/>
          <w:szCs w:val="24"/>
          <w:lang w:val="en-GB"/>
        </w:rPr>
        <w:t xml:space="preserve"> "</w:t>
      </w:r>
      <w:r w:rsidRPr="00DF0D2F">
        <w:rPr>
          <w:sz w:val="24"/>
          <w:szCs w:val="24"/>
          <w:lang w:val="en-US"/>
        </w:rPr>
        <w:t xml:space="preserve">Accounting for </w:t>
      </w:r>
      <w:r>
        <w:rPr>
          <w:sz w:val="24"/>
          <w:szCs w:val="24"/>
          <w:lang w:val="en-US"/>
        </w:rPr>
        <w:t>I</w:t>
      </w:r>
      <w:r w:rsidRPr="00DF0D2F">
        <w:rPr>
          <w:sz w:val="24"/>
          <w:szCs w:val="24"/>
          <w:lang w:val="en-US"/>
        </w:rPr>
        <w:t xml:space="preserve">nequality </w:t>
      </w:r>
      <w:r>
        <w:rPr>
          <w:sz w:val="24"/>
          <w:szCs w:val="24"/>
          <w:lang w:val="en-US"/>
        </w:rPr>
        <w:t>T</w:t>
      </w:r>
      <w:r w:rsidRPr="00DF0D2F">
        <w:rPr>
          <w:sz w:val="24"/>
          <w:szCs w:val="24"/>
          <w:lang w:val="en-US"/>
        </w:rPr>
        <w:t xml:space="preserve">rends: </w:t>
      </w:r>
      <w:r>
        <w:rPr>
          <w:sz w:val="24"/>
          <w:szCs w:val="24"/>
          <w:lang w:val="en-US"/>
        </w:rPr>
        <w:t>D</w:t>
      </w:r>
      <w:r w:rsidRPr="00DF0D2F">
        <w:rPr>
          <w:sz w:val="24"/>
          <w:szCs w:val="24"/>
          <w:lang w:val="en-US"/>
        </w:rPr>
        <w:t xml:space="preserve">ecomposition </w:t>
      </w:r>
      <w:r>
        <w:rPr>
          <w:sz w:val="24"/>
          <w:szCs w:val="24"/>
          <w:lang w:val="en-US"/>
        </w:rPr>
        <w:t>Analyses for the UK, 1971-86,</w:t>
      </w:r>
      <w:r w:rsidRPr="00DF0D2F">
        <w:rPr>
          <w:sz w:val="24"/>
          <w:szCs w:val="24"/>
          <w:lang w:val="en-GB"/>
        </w:rPr>
        <w:t>"</w:t>
      </w:r>
      <w:r w:rsidRPr="00DF0D2F">
        <w:rPr>
          <w:sz w:val="24"/>
          <w:szCs w:val="24"/>
          <w:lang w:val="en-US"/>
        </w:rPr>
        <w:t xml:space="preserve"> </w:t>
      </w:r>
      <w:r w:rsidRPr="007D1E64">
        <w:rPr>
          <w:i/>
          <w:sz w:val="24"/>
          <w:szCs w:val="24"/>
          <w:lang w:val="en-US"/>
        </w:rPr>
        <w:t>Economica</w:t>
      </w:r>
      <w:r>
        <w:rPr>
          <w:sz w:val="24"/>
          <w:szCs w:val="24"/>
          <w:lang w:val="en-US"/>
        </w:rPr>
        <w:t>,</w:t>
      </w:r>
      <w:r w:rsidRPr="00DF0D2F">
        <w:rPr>
          <w:sz w:val="24"/>
          <w:szCs w:val="24"/>
          <w:lang w:val="en-US"/>
        </w:rPr>
        <w:t xml:space="preserve"> 62</w:t>
      </w:r>
      <w:r>
        <w:rPr>
          <w:sz w:val="24"/>
          <w:szCs w:val="24"/>
          <w:lang w:val="en-US"/>
        </w:rPr>
        <w:t>,</w:t>
      </w:r>
      <w:r w:rsidRPr="00DF0D2F">
        <w:rPr>
          <w:sz w:val="24"/>
          <w:szCs w:val="24"/>
          <w:lang w:val="en-US"/>
        </w:rPr>
        <w:t xml:space="preserve"> 29</w:t>
      </w:r>
      <w:r w:rsidRPr="006C48CA">
        <w:rPr>
          <w:sz w:val="24"/>
          <w:szCs w:val="24"/>
          <w:lang w:val="en-GB"/>
        </w:rPr>
        <w:t>–</w:t>
      </w:r>
      <w:r w:rsidRPr="00DF0D2F">
        <w:rPr>
          <w:sz w:val="24"/>
          <w:szCs w:val="24"/>
          <w:lang w:val="en-US"/>
        </w:rPr>
        <w:t>63</w:t>
      </w:r>
      <w:r>
        <w:rPr>
          <w:sz w:val="24"/>
          <w:szCs w:val="24"/>
          <w:lang w:val="en-US"/>
        </w:rPr>
        <w:t xml:space="preserve">, </w:t>
      </w:r>
      <w:r w:rsidRPr="00DF0D2F">
        <w:rPr>
          <w:sz w:val="24"/>
          <w:szCs w:val="24"/>
          <w:lang w:val="en-US"/>
        </w:rPr>
        <w:t>1995.</w:t>
      </w:r>
    </w:p>
    <w:p w:rsidR="00864748" w:rsidRPr="00DF0D2F" w:rsidRDefault="00864748" w:rsidP="00864748">
      <w:pPr>
        <w:pStyle w:val="NormalWeb"/>
        <w:shd w:val="clear" w:color="auto" w:fill="FFFFFF"/>
        <w:spacing w:before="0" w:beforeAutospacing="0" w:after="0" w:afterAutospacing="0" w:line="276" w:lineRule="auto"/>
        <w:ind w:left="720" w:hanging="720"/>
        <w:rPr>
          <w:color w:val="000000"/>
        </w:rPr>
      </w:pPr>
      <w:r w:rsidRPr="00FA3B0D">
        <w:rPr>
          <w:lang w:val="en-GB"/>
        </w:rPr>
        <w:t>———,</w:t>
      </w:r>
      <w:r>
        <w:rPr>
          <w:lang w:val="en-GB"/>
        </w:rPr>
        <w:t xml:space="preserve"> "</w:t>
      </w:r>
      <w:r>
        <w:rPr>
          <w:color w:val="000000"/>
        </w:rPr>
        <w:t>Distributionally-S</w:t>
      </w:r>
      <w:r w:rsidRPr="00DF0D2F">
        <w:rPr>
          <w:color w:val="000000"/>
        </w:rPr>
        <w:t xml:space="preserve">ensitive </w:t>
      </w:r>
      <w:r>
        <w:rPr>
          <w:color w:val="000000"/>
        </w:rPr>
        <w:t>Inequality Indices and the GB2 Income D</w:t>
      </w:r>
      <w:r w:rsidRPr="00DF0D2F">
        <w:rPr>
          <w:color w:val="000000"/>
        </w:rPr>
        <w:t>istribution,</w:t>
      </w:r>
      <w:r>
        <w:rPr>
          <w:lang w:val="en-GB"/>
        </w:rPr>
        <w:t>"</w:t>
      </w:r>
      <w:r w:rsidRPr="00DF0D2F">
        <w:rPr>
          <w:color w:val="000000"/>
        </w:rPr>
        <w:t xml:space="preserve"> </w:t>
      </w:r>
      <w:r w:rsidRPr="007D1E64">
        <w:rPr>
          <w:i/>
          <w:color w:val="000000"/>
        </w:rPr>
        <w:t>Review of Income and Wealth</w:t>
      </w:r>
      <w:r>
        <w:rPr>
          <w:color w:val="000000"/>
        </w:rPr>
        <w:t>, 55</w:t>
      </w:r>
      <w:r w:rsidRPr="00DF0D2F">
        <w:rPr>
          <w:color w:val="000000"/>
        </w:rPr>
        <w:t>, 392</w:t>
      </w:r>
      <w:r w:rsidRPr="006C48CA">
        <w:rPr>
          <w:lang w:val="en-GB"/>
        </w:rPr>
        <w:t>–</w:t>
      </w:r>
      <w:r w:rsidRPr="00DF0D2F">
        <w:rPr>
          <w:color w:val="000000"/>
        </w:rPr>
        <w:t>98,</w:t>
      </w:r>
      <w:r w:rsidRPr="007D1E64">
        <w:rPr>
          <w:color w:val="000000"/>
        </w:rPr>
        <w:t xml:space="preserve"> </w:t>
      </w:r>
      <w:r w:rsidRPr="00DF0D2F">
        <w:rPr>
          <w:color w:val="000000"/>
        </w:rPr>
        <w:t>2009</w:t>
      </w:r>
      <w:r>
        <w:rPr>
          <w:color w:val="000000"/>
        </w:rPr>
        <w:t>.</w:t>
      </w:r>
    </w:p>
    <w:p w:rsidR="00864748" w:rsidRPr="00DF0D2F" w:rsidRDefault="00864748" w:rsidP="00864748">
      <w:pPr>
        <w:pStyle w:val="NormalWeb"/>
        <w:shd w:val="clear" w:color="auto" w:fill="FFFFFF"/>
        <w:spacing w:before="0" w:beforeAutospacing="0" w:after="0" w:afterAutospacing="0" w:line="276" w:lineRule="auto"/>
        <w:ind w:left="720" w:hanging="720"/>
        <w:rPr>
          <w:color w:val="000000"/>
        </w:rPr>
      </w:pPr>
      <w:r w:rsidRPr="004576EF">
        <w:rPr>
          <w:lang w:val="en-GB"/>
        </w:rPr>
        <w:lastRenderedPageBreak/>
        <w:t>———, "</w:t>
      </w:r>
      <w:r w:rsidRPr="004576EF">
        <w:rPr>
          <w:color w:val="000000"/>
        </w:rPr>
        <w:t>INEQDECO: Stata Module to Calculate Inequality Indices with Decomposition by Subgroup,</w:t>
      </w:r>
      <w:r w:rsidRPr="004576EF">
        <w:rPr>
          <w:lang w:val="en-GB"/>
        </w:rPr>
        <w:t>"</w:t>
      </w:r>
      <w:r w:rsidRPr="004576EF">
        <w:rPr>
          <w:color w:val="000000"/>
        </w:rPr>
        <w:t xml:space="preserve"> Statistical Software Components S36600</w:t>
      </w:r>
      <w:r>
        <w:rPr>
          <w:color w:val="000000"/>
        </w:rPr>
        <w:t>7</w:t>
      </w:r>
      <w:r w:rsidRPr="004576EF">
        <w:rPr>
          <w:color w:val="000000"/>
        </w:rPr>
        <w:t>, Boston College Department of Economics, revised 19 Apr 2001, 1999/2010.</w:t>
      </w:r>
    </w:p>
    <w:p w:rsidR="00B845D9" w:rsidRDefault="00B845D9" w:rsidP="00D62A8D">
      <w:pPr>
        <w:pStyle w:val="NormalWeb"/>
        <w:shd w:val="clear" w:color="auto" w:fill="FFFFFF"/>
        <w:spacing w:before="0" w:beforeAutospacing="0" w:after="0" w:afterAutospacing="0" w:line="276" w:lineRule="auto"/>
        <w:ind w:left="720" w:hanging="720"/>
        <w:rPr>
          <w:lang w:val="en-GB"/>
        </w:rPr>
      </w:pPr>
      <w:r w:rsidRPr="00B845D9">
        <w:rPr>
          <w:lang w:val="en-GB"/>
        </w:rPr>
        <w:t>Jenkins, Stephen P., (2014), GB2LFIT: Stata module to fit Generalized Beta of the Second Kind distribution by maximum likelihood (log parameter metric), http://EconPapers.repec.org/RePEc:boc:bocode:s457897.</w:t>
      </w:r>
    </w:p>
    <w:p w:rsidR="00D62A8D" w:rsidRPr="00DF0D2F" w:rsidRDefault="00D62A8D" w:rsidP="00D62A8D">
      <w:pPr>
        <w:pStyle w:val="NormalWeb"/>
        <w:shd w:val="clear" w:color="auto" w:fill="FFFFFF"/>
        <w:spacing w:before="0" w:beforeAutospacing="0" w:after="0" w:afterAutospacing="0" w:line="276" w:lineRule="auto"/>
        <w:ind w:left="720" w:hanging="720"/>
        <w:rPr>
          <w:color w:val="000000"/>
        </w:rPr>
      </w:pPr>
      <w:r w:rsidRPr="004576EF">
        <w:rPr>
          <w:lang w:val="en-GB"/>
        </w:rPr>
        <w:t>———, "</w:t>
      </w:r>
      <w:r w:rsidR="00B845D9" w:rsidRPr="00B845D9">
        <w:rPr>
          <w:lang w:val="en-GB"/>
        </w:rPr>
        <w:t xml:space="preserve"> GB2LFIT: Stata module to fit Generalized Beta of the Second Kind distribution by maximum likelihood (log parameter metric)</w:t>
      </w:r>
      <w:r w:rsidR="00B845D9">
        <w:rPr>
          <w:lang w:val="en-GB"/>
        </w:rPr>
        <w:t>,</w:t>
      </w:r>
      <w:r w:rsidRPr="004576EF">
        <w:rPr>
          <w:lang w:val="en-GB"/>
        </w:rPr>
        <w:t>"</w:t>
      </w:r>
      <w:r w:rsidRPr="004576EF">
        <w:rPr>
          <w:color w:val="000000"/>
        </w:rPr>
        <w:t xml:space="preserve"> Statistical Software Components</w:t>
      </w:r>
      <w:r w:rsidRPr="00D62A8D">
        <w:t xml:space="preserve"> </w:t>
      </w:r>
      <w:r>
        <w:rPr>
          <w:color w:val="000000"/>
        </w:rPr>
        <w:t>S</w:t>
      </w:r>
      <w:r w:rsidR="00B845D9" w:rsidRPr="00B845D9">
        <w:rPr>
          <w:lang w:val="en-GB"/>
        </w:rPr>
        <w:t>457897</w:t>
      </w:r>
      <w:r w:rsidRPr="00D62A8D">
        <w:rPr>
          <w:color w:val="000000"/>
        </w:rPr>
        <w:t>‎</w:t>
      </w:r>
      <w:r w:rsidRPr="004576EF">
        <w:rPr>
          <w:color w:val="000000"/>
        </w:rPr>
        <w:t xml:space="preserve">, Boston College Department of Economics, </w:t>
      </w:r>
      <w:r w:rsidR="00B845D9">
        <w:rPr>
          <w:color w:val="000000"/>
        </w:rPr>
        <w:t>29-08-2014</w:t>
      </w:r>
      <w:r w:rsidRPr="004576EF">
        <w:rPr>
          <w:color w:val="000000"/>
        </w:rPr>
        <w:t xml:space="preserve">, </w:t>
      </w:r>
      <w:r w:rsidR="00B845D9" w:rsidRPr="004576EF">
        <w:rPr>
          <w:color w:val="000000"/>
        </w:rPr>
        <w:t>201</w:t>
      </w:r>
      <w:r w:rsidR="00B845D9">
        <w:rPr>
          <w:color w:val="000000"/>
        </w:rPr>
        <w:t>4</w:t>
      </w:r>
      <w:r w:rsidRPr="004576EF">
        <w:rPr>
          <w:color w:val="000000"/>
        </w:rPr>
        <w:t>.</w:t>
      </w:r>
    </w:p>
    <w:p w:rsidR="009537E1" w:rsidRDefault="009537E1" w:rsidP="00864748">
      <w:pPr>
        <w:spacing w:line="276" w:lineRule="auto"/>
        <w:ind w:left="720" w:hanging="720"/>
        <w:rPr>
          <w:sz w:val="24"/>
          <w:szCs w:val="24"/>
          <w:lang w:val="en-GB"/>
        </w:rPr>
      </w:pPr>
      <w:r>
        <w:rPr>
          <w:sz w:val="24"/>
          <w:szCs w:val="24"/>
          <w:lang w:val="en-US"/>
        </w:rPr>
        <w:t>Jenkins,</w:t>
      </w:r>
      <w:r w:rsidRPr="00DF0D2F">
        <w:rPr>
          <w:sz w:val="24"/>
          <w:szCs w:val="24"/>
          <w:lang w:val="en-US"/>
        </w:rPr>
        <w:t xml:space="preserve"> S.</w:t>
      </w:r>
      <w:r>
        <w:rPr>
          <w:sz w:val="24"/>
          <w:szCs w:val="24"/>
          <w:lang w:val="en-US"/>
        </w:rPr>
        <w:t xml:space="preserve"> </w:t>
      </w:r>
      <w:r w:rsidRPr="00DF0D2F">
        <w:rPr>
          <w:sz w:val="24"/>
          <w:szCs w:val="24"/>
          <w:lang w:val="en-US"/>
        </w:rPr>
        <w:t>P.</w:t>
      </w:r>
      <w:r>
        <w:rPr>
          <w:sz w:val="24"/>
          <w:szCs w:val="24"/>
          <w:lang w:val="en-US"/>
        </w:rPr>
        <w:t xml:space="preserve"> </w:t>
      </w:r>
      <w:r w:rsidRPr="000A6645">
        <w:rPr>
          <w:sz w:val="24"/>
          <w:szCs w:val="24"/>
          <w:lang w:val="en-GB"/>
        </w:rPr>
        <w:t>and P</w:t>
      </w:r>
      <w:r>
        <w:rPr>
          <w:sz w:val="24"/>
          <w:szCs w:val="24"/>
          <w:lang w:val="en-GB"/>
        </w:rPr>
        <w:t xml:space="preserve">. </w:t>
      </w:r>
      <w:r w:rsidRPr="000A6645">
        <w:rPr>
          <w:sz w:val="24"/>
          <w:szCs w:val="24"/>
          <w:lang w:val="en-GB"/>
        </w:rPr>
        <w:t>Van Kerm</w:t>
      </w:r>
      <w:r w:rsidRPr="009537E1">
        <w:rPr>
          <w:sz w:val="24"/>
          <w:szCs w:val="24"/>
          <w:lang w:val="en-GB"/>
        </w:rPr>
        <w:t xml:space="preserve"> </w:t>
      </w:r>
      <w:r>
        <w:rPr>
          <w:sz w:val="24"/>
          <w:szCs w:val="24"/>
          <w:lang w:val="en-GB"/>
        </w:rPr>
        <w:t xml:space="preserve">, </w:t>
      </w:r>
      <w:r w:rsidRPr="009537E1">
        <w:rPr>
          <w:sz w:val="24"/>
          <w:szCs w:val="24"/>
          <w:lang w:val="en-GB"/>
        </w:rPr>
        <w:t>"DSGINIDECO: Stata module to compute decomposition of inequality change into pro-poor growth and mobility components," Statistical Software Components S457009, ‎, Boston College Department of Economics</w:t>
      </w:r>
      <w:r>
        <w:rPr>
          <w:sz w:val="24"/>
          <w:szCs w:val="24"/>
          <w:lang w:val="en-GB"/>
        </w:rPr>
        <w:t>, 2009</w:t>
      </w:r>
      <w:r w:rsidRPr="009537E1">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Kleiber, C</w:t>
      </w:r>
      <w:r>
        <w:rPr>
          <w:sz w:val="24"/>
          <w:szCs w:val="24"/>
          <w:lang w:val="en-GB"/>
        </w:rPr>
        <w:t>. and</w:t>
      </w:r>
      <w:r w:rsidRPr="00DF0D2F">
        <w:rPr>
          <w:sz w:val="24"/>
          <w:szCs w:val="24"/>
          <w:lang w:val="en-GB"/>
        </w:rPr>
        <w:t xml:space="preserve"> S</w:t>
      </w:r>
      <w:r>
        <w:rPr>
          <w:sz w:val="24"/>
          <w:szCs w:val="24"/>
          <w:lang w:val="en-GB"/>
        </w:rPr>
        <w:t xml:space="preserve">. Kotz, </w:t>
      </w:r>
      <w:r w:rsidRPr="003E0467">
        <w:rPr>
          <w:i/>
          <w:sz w:val="24"/>
          <w:szCs w:val="24"/>
          <w:lang w:val="en-GB"/>
        </w:rPr>
        <w:t>Statistical Size Distributions in Economics and Actuarial Sciences</w:t>
      </w:r>
      <w:r w:rsidRPr="00DF0D2F">
        <w:rPr>
          <w:sz w:val="24"/>
          <w:szCs w:val="24"/>
          <w:lang w:val="en-GB"/>
        </w:rPr>
        <w:t>, John Wiley</w:t>
      </w:r>
      <w:r>
        <w:rPr>
          <w:sz w:val="24"/>
          <w:szCs w:val="24"/>
          <w:lang w:val="en-GB"/>
        </w:rPr>
        <w:t>,</w:t>
      </w:r>
      <w:r w:rsidRPr="00DF0D2F">
        <w:rPr>
          <w:sz w:val="24"/>
          <w:szCs w:val="24"/>
          <w:lang w:val="en-GB"/>
        </w:rPr>
        <w:t xml:space="preserve"> Hoboken, NJ, 2003. </w:t>
      </w:r>
    </w:p>
    <w:p w:rsidR="00864748" w:rsidRPr="00C34B90" w:rsidRDefault="00864748" w:rsidP="00864748">
      <w:pPr>
        <w:spacing w:line="276" w:lineRule="auto"/>
        <w:ind w:left="720" w:hanging="720"/>
        <w:rPr>
          <w:sz w:val="24"/>
          <w:szCs w:val="24"/>
        </w:rPr>
      </w:pPr>
      <w:r w:rsidRPr="00DF0D2F">
        <w:rPr>
          <w:sz w:val="24"/>
          <w:szCs w:val="24"/>
        </w:rPr>
        <w:t>Lipietz, A</w:t>
      </w:r>
      <w:r>
        <w:rPr>
          <w:sz w:val="24"/>
          <w:szCs w:val="24"/>
        </w:rPr>
        <w:t>.,</w:t>
      </w:r>
      <w:r w:rsidRPr="00DF0D2F">
        <w:rPr>
          <w:sz w:val="24"/>
          <w:szCs w:val="24"/>
        </w:rPr>
        <w:t xml:space="preserve"> </w:t>
      </w:r>
      <w:r w:rsidRPr="003E0467">
        <w:rPr>
          <w:i/>
          <w:sz w:val="24"/>
          <w:szCs w:val="24"/>
        </w:rPr>
        <w:t>La Société en sablier. Le partage du travail contre la déchirure sociale</w:t>
      </w:r>
      <w:r w:rsidRPr="00DF0D2F">
        <w:rPr>
          <w:sz w:val="24"/>
          <w:szCs w:val="24"/>
        </w:rPr>
        <w:t>.</w:t>
      </w:r>
      <w:r>
        <w:rPr>
          <w:sz w:val="24"/>
          <w:szCs w:val="24"/>
        </w:rPr>
        <w:t xml:space="preserve"> </w:t>
      </w:r>
      <w:r w:rsidRPr="00C34B90">
        <w:rPr>
          <w:sz w:val="24"/>
          <w:szCs w:val="24"/>
        </w:rPr>
        <w:t xml:space="preserve">La Découverte, </w:t>
      </w:r>
      <w:r w:rsidR="00433DC2" w:rsidRPr="00C34B90">
        <w:rPr>
          <w:sz w:val="24"/>
          <w:szCs w:val="24"/>
        </w:rPr>
        <w:t xml:space="preserve">Paris, </w:t>
      </w:r>
      <w:r w:rsidRPr="00C34B90">
        <w:rPr>
          <w:sz w:val="24"/>
          <w:szCs w:val="24"/>
        </w:rPr>
        <w:t>1996</w:t>
      </w:r>
    </w:p>
    <w:p w:rsidR="0079373B" w:rsidRPr="00472690" w:rsidRDefault="0079373B" w:rsidP="0079373B">
      <w:pPr>
        <w:spacing w:line="276" w:lineRule="auto"/>
        <w:ind w:left="720" w:hanging="720"/>
        <w:rPr>
          <w:sz w:val="24"/>
          <w:szCs w:val="24"/>
          <w:lang w:val="en-US"/>
        </w:rPr>
      </w:pPr>
      <w:r w:rsidRPr="00472690">
        <w:rPr>
          <w:sz w:val="24"/>
          <w:szCs w:val="24"/>
          <w:lang w:val="en-US"/>
        </w:rPr>
        <w:t xml:space="preserve">Luxembourg Income Study (LIS) Database. 2014. http://www.lisdatacenter.org (multiple countries; waves for 1985-2005, microdata runs completed in </w:t>
      </w:r>
      <w:r w:rsidR="00B44B19" w:rsidRPr="00472690">
        <w:rPr>
          <w:sz w:val="24"/>
          <w:szCs w:val="24"/>
          <w:lang w:val="en-US"/>
        </w:rPr>
        <w:t>April</w:t>
      </w:r>
      <w:r w:rsidR="00445233" w:rsidRPr="00472690">
        <w:rPr>
          <w:sz w:val="24"/>
          <w:szCs w:val="24"/>
          <w:lang w:val="en-US"/>
        </w:rPr>
        <w:t xml:space="preserve"> 2014),</w:t>
      </w:r>
      <w:r w:rsidRPr="00472690">
        <w:rPr>
          <w:sz w:val="24"/>
          <w:szCs w:val="24"/>
          <w:lang w:val="en-US"/>
        </w:rPr>
        <w:t xml:space="preserve"> Luxembourg: LIS.</w:t>
      </w:r>
    </w:p>
    <w:p w:rsidR="00864748" w:rsidRPr="002C67C5" w:rsidRDefault="00864748" w:rsidP="00864748">
      <w:pPr>
        <w:spacing w:line="276" w:lineRule="auto"/>
        <w:ind w:left="720" w:hanging="720"/>
        <w:rPr>
          <w:sz w:val="24"/>
          <w:szCs w:val="24"/>
          <w:lang w:val="en-US"/>
        </w:rPr>
      </w:pPr>
      <w:r w:rsidRPr="002C67C5">
        <w:rPr>
          <w:sz w:val="24"/>
          <w:szCs w:val="24"/>
          <w:lang w:val="en-GB"/>
        </w:rPr>
        <w:t>Lorenz</w:t>
      </w:r>
      <w:r>
        <w:rPr>
          <w:sz w:val="24"/>
          <w:szCs w:val="24"/>
          <w:lang w:val="en-GB"/>
        </w:rPr>
        <w:t>,</w:t>
      </w:r>
      <w:r w:rsidRPr="002C67C5">
        <w:rPr>
          <w:sz w:val="24"/>
          <w:szCs w:val="24"/>
          <w:lang w:val="en-GB"/>
        </w:rPr>
        <w:t xml:space="preserve"> M. O.</w:t>
      </w:r>
      <w:r>
        <w:rPr>
          <w:sz w:val="24"/>
          <w:szCs w:val="24"/>
          <w:lang w:val="en-GB"/>
        </w:rPr>
        <w:t>, "</w:t>
      </w:r>
      <w:r w:rsidRPr="002C67C5">
        <w:rPr>
          <w:sz w:val="24"/>
          <w:szCs w:val="24"/>
          <w:lang w:val="en-GB"/>
        </w:rPr>
        <w:t>Methods of Measuring the Concentration of Wealth</w:t>
      </w:r>
      <w:r>
        <w:rPr>
          <w:sz w:val="24"/>
          <w:szCs w:val="24"/>
          <w:lang w:val="en-GB"/>
        </w:rPr>
        <w:t xml:space="preserve">," </w:t>
      </w:r>
      <w:r w:rsidRPr="005F54CF">
        <w:rPr>
          <w:i/>
          <w:sz w:val="24"/>
          <w:szCs w:val="24"/>
          <w:lang w:val="en-GB"/>
        </w:rPr>
        <w:t>Publications of the American Statistical Association</w:t>
      </w:r>
      <w:r w:rsidRPr="002C67C5">
        <w:rPr>
          <w:sz w:val="24"/>
          <w:szCs w:val="24"/>
          <w:lang w:val="en-GB"/>
        </w:rPr>
        <w:t>, 9</w:t>
      </w:r>
      <w:r>
        <w:rPr>
          <w:sz w:val="24"/>
          <w:szCs w:val="24"/>
          <w:lang w:val="en-GB"/>
        </w:rPr>
        <w:t>,</w:t>
      </w:r>
      <w:r w:rsidRPr="002C67C5">
        <w:rPr>
          <w:sz w:val="24"/>
          <w:szCs w:val="24"/>
          <w:lang w:val="en-GB"/>
        </w:rPr>
        <w:t xml:space="preserve"> 209</w:t>
      </w:r>
      <w:r w:rsidRPr="006C48CA">
        <w:rPr>
          <w:sz w:val="24"/>
          <w:szCs w:val="24"/>
          <w:lang w:val="en-GB"/>
        </w:rPr>
        <w:t>–</w:t>
      </w:r>
      <w:r w:rsidRPr="002C67C5">
        <w:rPr>
          <w:sz w:val="24"/>
          <w:szCs w:val="24"/>
          <w:lang w:val="en-GB"/>
        </w:rPr>
        <w:t>19</w:t>
      </w:r>
      <w:r>
        <w:rPr>
          <w:sz w:val="24"/>
          <w:szCs w:val="24"/>
          <w:lang w:val="en-GB"/>
        </w:rPr>
        <w:t>, 1905.</w:t>
      </w:r>
    </w:p>
    <w:p w:rsidR="00F82BAE" w:rsidRDefault="00F82BAE" w:rsidP="002F7C8D">
      <w:pPr>
        <w:spacing w:line="276" w:lineRule="auto"/>
        <w:ind w:left="720" w:hanging="720"/>
        <w:rPr>
          <w:sz w:val="24"/>
          <w:szCs w:val="24"/>
          <w:lang w:val="en-GB"/>
        </w:rPr>
      </w:pPr>
      <w:r w:rsidRPr="00F82BAE">
        <w:rPr>
          <w:sz w:val="24"/>
          <w:szCs w:val="24"/>
          <w:lang w:val="en-GB"/>
        </w:rPr>
        <w:t>McDonald</w:t>
      </w:r>
      <w:r>
        <w:rPr>
          <w:sz w:val="24"/>
          <w:szCs w:val="24"/>
          <w:lang w:val="en-GB"/>
        </w:rPr>
        <w:t>,</w:t>
      </w:r>
      <w:r w:rsidRPr="00F82BAE">
        <w:rPr>
          <w:sz w:val="24"/>
          <w:szCs w:val="24"/>
          <w:lang w:val="en-GB"/>
        </w:rPr>
        <w:t xml:space="preserve"> J</w:t>
      </w:r>
      <w:r>
        <w:rPr>
          <w:sz w:val="24"/>
          <w:szCs w:val="24"/>
          <w:lang w:val="en-GB"/>
        </w:rPr>
        <w:t>.</w:t>
      </w:r>
      <w:r w:rsidRPr="00F82BAE">
        <w:rPr>
          <w:sz w:val="24"/>
          <w:szCs w:val="24"/>
          <w:lang w:val="en-GB"/>
        </w:rPr>
        <w:t xml:space="preserve">, </w:t>
      </w:r>
      <w:r>
        <w:rPr>
          <w:sz w:val="24"/>
          <w:szCs w:val="24"/>
          <w:lang w:val="en-GB"/>
        </w:rPr>
        <w:t>“</w:t>
      </w:r>
      <w:r w:rsidRPr="00F82BAE">
        <w:rPr>
          <w:sz w:val="24"/>
          <w:szCs w:val="24"/>
          <w:lang w:val="en-GB"/>
        </w:rPr>
        <w:t>Some Generalized Functions for the Size Distribution of Income</w:t>
      </w:r>
      <w:r>
        <w:rPr>
          <w:sz w:val="24"/>
          <w:szCs w:val="24"/>
          <w:lang w:val="en-GB"/>
        </w:rPr>
        <w:t>”</w:t>
      </w:r>
      <w:r w:rsidRPr="00F82BAE">
        <w:rPr>
          <w:sz w:val="24"/>
          <w:szCs w:val="24"/>
          <w:lang w:val="en-GB"/>
        </w:rPr>
        <w:t xml:space="preserve">, </w:t>
      </w:r>
      <w:r w:rsidRPr="00FC4D25">
        <w:rPr>
          <w:i/>
          <w:sz w:val="24"/>
          <w:szCs w:val="24"/>
          <w:lang w:val="en-GB"/>
        </w:rPr>
        <w:t>Econometrica</w:t>
      </w:r>
      <w:r w:rsidRPr="00F82BAE">
        <w:rPr>
          <w:sz w:val="24"/>
          <w:szCs w:val="24"/>
          <w:lang w:val="en-GB"/>
        </w:rPr>
        <w:t>, 52, 647-63, 1984.</w:t>
      </w:r>
    </w:p>
    <w:p w:rsidR="001C1648" w:rsidRDefault="001C1648" w:rsidP="002F7C8D">
      <w:pPr>
        <w:spacing w:line="276" w:lineRule="auto"/>
        <w:ind w:left="720" w:hanging="720"/>
        <w:rPr>
          <w:sz w:val="24"/>
          <w:szCs w:val="24"/>
          <w:lang w:val="en-GB"/>
        </w:rPr>
      </w:pPr>
      <w:r w:rsidRPr="001C1648">
        <w:rPr>
          <w:sz w:val="24"/>
          <w:szCs w:val="24"/>
          <w:lang w:val="en-GB"/>
        </w:rPr>
        <w:t>McDonald, J</w:t>
      </w:r>
      <w:r>
        <w:rPr>
          <w:sz w:val="24"/>
          <w:szCs w:val="24"/>
          <w:lang w:val="en-GB"/>
        </w:rPr>
        <w:t>.</w:t>
      </w:r>
      <w:r w:rsidR="00200E18">
        <w:rPr>
          <w:sz w:val="24"/>
          <w:szCs w:val="24"/>
          <w:lang w:val="en-GB"/>
        </w:rPr>
        <w:t xml:space="preserve"> </w:t>
      </w:r>
      <w:r w:rsidRPr="001C1648">
        <w:rPr>
          <w:sz w:val="24"/>
          <w:szCs w:val="24"/>
          <w:lang w:val="en-GB"/>
        </w:rPr>
        <w:t xml:space="preserve">B. </w:t>
      </w:r>
      <w:r>
        <w:rPr>
          <w:sz w:val="24"/>
          <w:szCs w:val="24"/>
          <w:lang w:val="en-GB"/>
        </w:rPr>
        <w:t>and</w:t>
      </w:r>
      <w:r w:rsidRPr="001C1648">
        <w:rPr>
          <w:sz w:val="24"/>
          <w:szCs w:val="24"/>
          <w:lang w:val="en-GB"/>
        </w:rPr>
        <w:t xml:space="preserve"> </w:t>
      </w:r>
      <w:r>
        <w:rPr>
          <w:sz w:val="24"/>
          <w:szCs w:val="24"/>
          <w:lang w:val="en-GB"/>
        </w:rPr>
        <w:t xml:space="preserve">Y. </w:t>
      </w:r>
      <w:r w:rsidRPr="001C1648">
        <w:rPr>
          <w:sz w:val="24"/>
          <w:szCs w:val="24"/>
          <w:lang w:val="en-GB"/>
        </w:rPr>
        <w:t>Xu</w:t>
      </w:r>
      <w:r>
        <w:rPr>
          <w:sz w:val="24"/>
          <w:szCs w:val="24"/>
          <w:lang w:val="en-GB"/>
        </w:rPr>
        <w:t>,</w:t>
      </w:r>
      <w:r w:rsidRPr="001C1648">
        <w:rPr>
          <w:sz w:val="24"/>
          <w:szCs w:val="24"/>
          <w:lang w:val="en-GB"/>
        </w:rPr>
        <w:t xml:space="preserve"> "A </w:t>
      </w:r>
      <w:r w:rsidR="00200E18">
        <w:rPr>
          <w:sz w:val="24"/>
          <w:szCs w:val="24"/>
          <w:lang w:val="en-GB"/>
        </w:rPr>
        <w:t>G</w:t>
      </w:r>
      <w:r w:rsidRPr="001C1648">
        <w:rPr>
          <w:sz w:val="24"/>
          <w:szCs w:val="24"/>
          <w:lang w:val="en-GB"/>
        </w:rPr>
        <w:t xml:space="preserve">eneralization of the </w:t>
      </w:r>
      <w:r w:rsidR="00200E18">
        <w:rPr>
          <w:sz w:val="24"/>
          <w:szCs w:val="24"/>
          <w:lang w:val="en-GB"/>
        </w:rPr>
        <w:t>B</w:t>
      </w:r>
      <w:r w:rsidRPr="001C1648">
        <w:rPr>
          <w:sz w:val="24"/>
          <w:szCs w:val="24"/>
          <w:lang w:val="en-GB"/>
        </w:rPr>
        <w:t xml:space="preserve">eta </w:t>
      </w:r>
      <w:r w:rsidR="00D66F5D">
        <w:rPr>
          <w:sz w:val="24"/>
          <w:szCs w:val="24"/>
          <w:lang w:val="en-GB"/>
        </w:rPr>
        <w:t>D</w:t>
      </w:r>
      <w:r w:rsidRPr="001C1648">
        <w:rPr>
          <w:sz w:val="24"/>
          <w:szCs w:val="24"/>
          <w:lang w:val="en-GB"/>
        </w:rPr>
        <w:t xml:space="preserve">istribution with </w:t>
      </w:r>
      <w:r w:rsidR="00D66F5D">
        <w:rPr>
          <w:sz w:val="24"/>
          <w:szCs w:val="24"/>
          <w:lang w:val="en-GB"/>
        </w:rPr>
        <w:t>A</w:t>
      </w:r>
      <w:r w:rsidRPr="001C1648">
        <w:rPr>
          <w:sz w:val="24"/>
          <w:szCs w:val="24"/>
          <w:lang w:val="en-GB"/>
        </w:rPr>
        <w:t xml:space="preserve">pplications," </w:t>
      </w:r>
      <w:r w:rsidRPr="00FC4D25">
        <w:rPr>
          <w:i/>
          <w:sz w:val="24"/>
          <w:szCs w:val="24"/>
          <w:lang w:val="en-GB"/>
        </w:rPr>
        <w:t>Journal of Econometrics</w:t>
      </w:r>
      <w:r w:rsidRPr="00FD494A">
        <w:rPr>
          <w:sz w:val="24"/>
          <w:szCs w:val="24"/>
          <w:lang w:val="en-GB"/>
        </w:rPr>
        <w:t>, 66,</w:t>
      </w:r>
      <w:r w:rsidRPr="001C1648">
        <w:rPr>
          <w:sz w:val="24"/>
          <w:szCs w:val="24"/>
          <w:lang w:val="en-GB"/>
        </w:rPr>
        <w:t xml:space="preserve"> 133–52</w:t>
      </w:r>
      <w:r>
        <w:rPr>
          <w:sz w:val="24"/>
          <w:szCs w:val="24"/>
          <w:lang w:val="en-GB"/>
        </w:rPr>
        <w:t>, 1995.</w:t>
      </w:r>
    </w:p>
    <w:p w:rsidR="006E3090" w:rsidRDefault="006E3090" w:rsidP="002F7C8D">
      <w:pPr>
        <w:spacing w:line="276" w:lineRule="auto"/>
        <w:ind w:left="720" w:hanging="720"/>
        <w:rPr>
          <w:sz w:val="24"/>
          <w:szCs w:val="24"/>
          <w:lang w:val="en-GB"/>
        </w:rPr>
      </w:pPr>
      <w:r w:rsidRPr="006E3090">
        <w:rPr>
          <w:sz w:val="24"/>
          <w:szCs w:val="24"/>
          <w:lang w:val="en-GB"/>
        </w:rPr>
        <w:t>Milanovic</w:t>
      </w:r>
      <w:r w:rsidR="00CF410E">
        <w:rPr>
          <w:sz w:val="24"/>
          <w:szCs w:val="24"/>
          <w:lang w:val="en-GB"/>
        </w:rPr>
        <w:t>,</w:t>
      </w:r>
      <w:r w:rsidRPr="006E3090">
        <w:rPr>
          <w:sz w:val="24"/>
          <w:szCs w:val="24"/>
          <w:lang w:val="en-GB"/>
        </w:rPr>
        <w:t xml:space="preserve"> B</w:t>
      </w:r>
      <w:r>
        <w:rPr>
          <w:sz w:val="24"/>
          <w:szCs w:val="24"/>
          <w:lang w:val="en-GB"/>
        </w:rPr>
        <w:t>.</w:t>
      </w:r>
      <w:r w:rsidRPr="006E3090">
        <w:rPr>
          <w:sz w:val="24"/>
          <w:szCs w:val="24"/>
          <w:lang w:val="en-GB"/>
        </w:rPr>
        <w:t xml:space="preserve">, </w:t>
      </w:r>
      <w:r>
        <w:rPr>
          <w:sz w:val="24"/>
          <w:szCs w:val="24"/>
          <w:lang w:val="en-GB"/>
        </w:rPr>
        <w:t>P.</w:t>
      </w:r>
      <w:r w:rsidR="00D66F5D">
        <w:rPr>
          <w:sz w:val="24"/>
          <w:szCs w:val="24"/>
          <w:lang w:val="en-GB"/>
        </w:rPr>
        <w:t xml:space="preserve"> </w:t>
      </w:r>
      <w:r>
        <w:rPr>
          <w:sz w:val="24"/>
          <w:szCs w:val="24"/>
          <w:lang w:val="en-GB"/>
        </w:rPr>
        <w:t xml:space="preserve">H. </w:t>
      </w:r>
      <w:r w:rsidRPr="006E3090">
        <w:rPr>
          <w:sz w:val="24"/>
          <w:szCs w:val="24"/>
          <w:lang w:val="en-GB"/>
        </w:rPr>
        <w:t>Lindert</w:t>
      </w:r>
      <w:r w:rsidR="00D66F5D">
        <w:rPr>
          <w:sz w:val="24"/>
          <w:szCs w:val="24"/>
          <w:lang w:val="en-GB"/>
        </w:rPr>
        <w:t xml:space="preserve"> and</w:t>
      </w:r>
      <w:r w:rsidRPr="006E3090">
        <w:rPr>
          <w:sz w:val="24"/>
          <w:szCs w:val="24"/>
          <w:lang w:val="en-GB"/>
        </w:rPr>
        <w:t xml:space="preserve"> </w:t>
      </w:r>
      <w:r>
        <w:rPr>
          <w:sz w:val="24"/>
          <w:szCs w:val="24"/>
          <w:lang w:val="en-GB"/>
        </w:rPr>
        <w:t>J.</w:t>
      </w:r>
      <w:r w:rsidR="00D66F5D">
        <w:rPr>
          <w:sz w:val="24"/>
          <w:szCs w:val="24"/>
          <w:lang w:val="en-GB"/>
        </w:rPr>
        <w:t xml:space="preserve"> </w:t>
      </w:r>
      <w:r>
        <w:rPr>
          <w:sz w:val="24"/>
          <w:szCs w:val="24"/>
          <w:lang w:val="en-GB"/>
        </w:rPr>
        <w:t xml:space="preserve">G. </w:t>
      </w:r>
      <w:r w:rsidRPr="006E3090">
        <w:rPr>
          <w:sz w:val="24"/>
          <w:szCs w:val="24"/>
          <w:lang w:val="en-GB"/>
        </w:rPr>
        <w:t xml:space="preserve">Williamson, </w:t>
      </w:r>
      <w:r>
        <w:rPr>
          <w:sz w:val="24"/>
          <w:szCs w:val="24"/>
          <w:lang w:val="en-GB"/>
        </w:rPr>
        <w:t>"</w:t>
      </w:r>
      <w:r w:rsidRPr="006E3090">
        <w:rPr>
          <w:sz w:val="24"/>
          <w:szCs w:val="24"/>
          <w:lang w:val="en-GB"/>
        </w:rPr>
        <w:t xml:space="preserve">Pre-industrial </w:t>
      </w:r>
      <w:r w:rsidR="00D66F5D">
        <w:rPr>
          <w:sz w:val="24"/>
          <w:szCs w:val="24"/>
          <w:lang w:val="en-GB"/>
        </w:rPr>
        <w:t>I</w:t>
      </w:r>
      <w:r w:rsidRPr="006E3090">
        <w:rPr>
          <w:sz w:val="24"/>
          <w:szCs w:val="24"/>
          <w:lang w:val="en-GB"/>
        </w:rPr>
        <w:t>nequality</w:t>
      </w:r>
      <w:r>
        <w:rPr>
          <w:sz w:val="24"/>
          <w:szCs w:val="24"/>
          <w:lang w:val="en-GB"/>
        </w:rPr>
        <w:t xml:space="preserve">", </w:t>
      </w:r>
      <w:r w:rsidRPr="006E3090">
        <w:rPr>
          <w:i/>
          <w:sz w:val="24"/>
          <w:szCs w:val="24"/>
          <w:lang w:val="en-GB"/>
        </w:rPr>
        <w:t>Economic Journal</w:t>
      </w:r>
      <w:r w:rsidRPr="006E3090">
        <w:rPr>
          <w:sz w:val="24"/>
          <w:szCs w:val="24"/>
          <w:lang w:val="en-GB"/>
        </w:rPr>
        <w:t xml:space="preserve">, </w:t>
      </w:r>
      <w:r w:rsidR="002155C8">
        <w:rPr>
          <w:sz w:val="24"/>
          <w:szCs w:val="24"/>
          <w:lang w:val="en-GB"/>
        </w:rPr>
        <w:t>121</w:t>
      </w:r>
      <w:r w:rsidRPr="006E3090">
        <w:rPr>
          <w:sz w:val="24"/>
          <w:szCs w:val="24"/>
          <w:lang w:val="en-GB"/>
        </w:rPr>
        <w:t>, 255–72</w:t>
      </w:r>
      <w:r>
        <w:rPr>
          <w:sz w:val="24"/>
          <w:szCs w:val="24"/>
          <w:lang w:val="en-GB"/>
        </w:rPr>
        <w:t>, 2011</w:t>
      </w:r>
      <w:r w:rsidRPr="006E3090">
        <w:rPr>
          <w:sz w:val="24"/>
          <w:szCs w:val="24"/>
          <w:lang w:val="en-GB"/>
        </w:rPr>
        <w:t>.</w:t>
      </w:r>
    </w:p>
    <w:p w:rsidR="00DA4EBA" w:rsidRDefault="00DA4EBA" w:rsidP="002F7C8D">
      <w:pPr>
        <w:spacing w:line="276" w:lineRule="auto"/>
        <w:ind w:left="720" w:hanging="720"/>
        <w:rPr>
          <w:sz w:val="24"/>
          <w:szCs w:val="24"/>
          <w:lang w:val="en-GB"/>
        </w:rPr>
      </w:pPr>
      <w:r w:rsidRPr="00CB7BBA">
        <w:rPr>
          <w:sz w:val="24"/>
          <w:szCs w:val="24"/>
          <w:lang w:val="en-GB"/>
        </w:rPr>
        <w:t>Nielsen</w:t>
      </w:r>
      <w:r w:rsidR="00CF410E" w:rsidRPr="00CB7BBA">
        <w:rPr>
          <w:sz w:val="24"/>
          <w:szCs w:val="24"/>
          <w:lang w:val="en-GB"/>
        </w:rPr>
        <w:t>,</w:t>
      </w:r>
      <w:r w:rsidRPr="00CB7BBA">
        <w:rPr>
          <w:sz w:val="24"/>
          <w:szCs w:val="24"/>
          <w:lang w:val="en-GB"/>
        </w:rPr>
        <w:t xml:space="preserve"> F., "Economic Inequality, Pareto, and Sociology: The Route Not Taken"</w:t>
      </w:r>
      <w:r w:rsidR="002F7C8D" w:rsidRPr="00CB7BBA">
        <w:rPr>
          <w:sz w:val="24"/>
          <w:szCs w:val="24"/>
          <w:lang w:val="en-GB"/>
        </w:rPr>
        <w:t xml:space="preserve">, </w:t>
      </w:r>
      <w:r w:rsidRPr="00CB7BBA">
        <w:rPr>
          <w:i/>
          <w:sz w:val="24"/>
          <w:szCs w:val="24"/>
          <w:lang w:val="en-GB"/>
        </w:rPr>
        <w:t>American</w:t>
      </w:r>
      <w:r w:rsidRPr="002F7C8D">
        <w:rPr>
          <w:i/>
          <w:sz w:val="24"/>
          <w:szCs w:val="24"/>
          <w:lang w:val="en-GB"/>
        </w:rPr>
        <w:t xml:space="preserve"> Behavioral Scientist</w:t>
      </w:r>
      <w:r w:rsidR="004F706D">
        <w:rPr>
          <w:i/>
          <w:sz w:val="24"/>
          <w:szCs w:val="24"/>
          <w:lang w:val="en-GB"/>
        </w:rPr>
        <w:t>,</w:t>
      </w:r>
      <w:r w:rsidRPr="00DA4EBA">
        <w:rPr>
          <w:sz w:val="24"/>
          <w:szCs w:val="24"/>
          <w:lang w:val="en-GB"/>
        </w:rPr>
        <w:t xml:space="preserve"> 50</w:t>
      </w:r>
      <w:r w:rsidR="00E64C01">
        <w:rPr>
          <w:sz w:val="24"/>
          <w:szCs w:val="24"/>
          <w:lang w:val="en-GB"/>
        </w:rPr>
        <w:t>,</w:t>
      </w:r>
      <w:r w:rsidRPr="00DA4EBA">
        <w:rPr>
          <w:sz w:val="24"/>
          <w:szCs w:val="24"/>
          <w:lang w:val="en-GB"/>
        </w:rPr>
        <w:t xml:space="preserve"> 619–38</w:t>
      </w:r>
      <w:r w:rsidR="006E3090">
        <w:rPr>
          <w:sz w:val="24"/>
          <w:szCs w:val="24"/>
          <w:lang w:val="en-GB"/>
        </w:rPr>
        <w:t>,</w:t>
      </w:r>
      <w:r w:rsidR="006E3090" w:rsidRPr="00DA4EBA">
        <w:rPr>
          <w:sz w:val="24"/>
          <w:szCs w:val="24"/>
          <w:lang w:val="en-GB"/>
        </w:rPr>
        <w:t xml:space="preserve"> 2007</w:t>
      </w:r>
      <w:r w:rsidRPr="00DA4EBA">
        <w:rPr>
          <w:sz w:val="24"/>
          <w:szCs w:val="24"/>
          <w:lang w:val="en-GB"/>
        </w:rPr>
        <w:t>.</w:t>
      </w:r>
    </w:p>
    <w:p w:rsidR="00864748" w:rsidRDefault="00864748" w:rsidP="00864748">
      <w:pPr>
        <w:spacing w:line="276" w:lineRule="auto"/>
        <w:ind w:left="720" w:hanging="720"/>
        <w:rPr>
          <w:sz w:val="24"/>
          <w:szCs w:val="24"/>
          <w:lang w:val="en-GB"/>
        </w:rPr>
      </w:pPr>
      <w:r w:rsidRPr="00DF0D2F">
        <w:rPr>
          <w:sz w:val="24"/>
          <w:szCs w:val="24"/>
          <w:lang w:val="en-GB"/>
        </w:rPr>
        <w:t>Nirei, M</w:t>
      </w:r>
      <w:r>
        <w:rPr>
          <w:sz w:val="24"/>
          <w:szCs w:val="24"/>
          <w:lang w:val="en-GB"/>
        </w:rPr>
        <w:t xml:space="preserve">. </w:t>
      </w:r>
      <w:r w:rsidRPr="00DF0D2F">
        <w:rPr>
          <w:sz w:val="24"/>
          <w:szCs w:val="24"/>
          <w:lang w:val="en-GB"/>
        </w:rPr>
        <w:t>and W</w:t>
      </w:r>
      <w:r>
        <w:rPr>
          <w:sz w:val="24"/>
          <w:szCs w:val="24"/>
          <w:lang w:val="en-GB"/>
        </w:rPr>
        <w:t>. Souma,</w:t>
      </w:r>
      <w:r w:rsidRPr="00DF0D2F">
        <w:rPr>
          <w:sz w:val="24"/>
          <w:szCs w:val="24"/>
          <w:lang w:val="en-GB"/>
        </w:rPr>
        <w:t xml:space="preserve"> </w:t>
      </w:r>
      <w:r>
        <w:rPr>
          <w:sz w:val="24"/>
          <w:szCs w:val="24"/>
          <w:lang w:val="en-GB"/>
        </w:rPr>
        <w:t>"</w:t>
      </w:r>
      <w:r w:rsidRPr="00DF0D2F">
        <w:rPr>
          <w:sz w:val="24"/>
          <w:szCs w:val="24"/>
          <w:lang w:val="en-GB"/>
        </w:rPr>
        <w:t xml:space="preserve">A Two Factor Model </w:t>
      </w:r>
      <w:r>
        <w:rPr>
          <w:sz w:val="24"/>
          <w:szCs w:val="24"/>
          <w:lang w:val="en-GB"/>
        </w:rPr>
        <w:t>o</w:t>
      </w:r>
      <w:r w:rsidRPr="00DF0D2F">
        <w:rPr>
          <w:sz w:val="24"/>
          <w:szCs w:val="24"/>
          <w:lang w:val="en-GB"/>
        </w:rPr>
        <w:t xml:space="preserve">f Income Distribution Dynamics,'' </w:t>
      </w:r>
      <w:r w:rsidRPr="003E0467">
        <w:rPr>
          <w:i/>
          <w:sz w:val="24"/>
          <w:szCs w:val="24"/>
          <w:lang w:val="en-GB"/>
        </w:rPr>
        <w:t>Review of Income and Wealth,</w:t>
      </w:r>
      <w:r w:rsidRPr="00DF0D2F">
        <w:rPr>
          <w:sz w:val="24"/>
          <w:szCs w:val="24"/>
          <w:lang w:val="en-GB"/>
        </w:rPr>
        <w:t xml:space="preserve"> 53, 440–59</w:t>
      </w:r>
      <w:r>
        <w:rPr>
          <w:sz w:val="24"/>
          <w:szCs w:val="24"/>
          <w:lang w:val="en-GB"/>
        </w:rPr>
        <w:t xml:space="preserve">, </w:t>
      </w:r>
      <w:r w:rsidRPr="00DF0D2F">
        <w:rPr>
          <w:sz w:val="24"/>
          <w:szCs w:val="24"/>
          <w:lang w:val="en-GB"/>
        </w:rPr>
        <w:t>2007.</w:t>
      </w:r>
    </w:p>
    <w:p w:rsidR="00864748" w:rsidRDefault="00864748" w:rsidP="00864748">
      <w:pPr>
        <w:spacing w:line="276" w:lineRule="auto"/>
        <w:ind w:left="720" w:hanging="720"/>
        <w:rPr>
          <w:sz w:val="24"/>
          <w:szCs w:val="24"/>
          <w:lang w:val="en-GB"/>
        </w:rPr>
      </w:pPr>
      <w:r w:rsidRPr="00156426">
        <w:rPr>
          <w:sz w:val="24"/>
          <w:szCs w:val="24"/>
          <w:lang w:val="en-GB"/>
        </w:rPr>
        <w:t>O'Brien</w:t>
      </w:r>
      <w:r>
        <w:rPr>
          <w:sz w:val="24"/>
          <w:szCs w:val="24"/>
          <w:lang w:val="en-GB"/>
        </w:rPr>
        <w:t xml:space="preserve">, </w:t>
      </w:r>
      <w:r w:rsidRPr="00156426">
        <w:rPr>
          <w:sz w:val="24"/>
          <w:szCs w:val="24"/>
          <w:lang w:val="en-GB"/>
        </w:rPr>
        <w:t>P</w:t>
      </w:r>
      <w:r>
        <w:rPr>
          <w:sz w:val="24"/>
          <w:szCs w:val="24"/>
          <w:lang w:val="en-GB"/>
        </w:rPr>
        <w:t>.</w:t>
      </w:r>
      <w:r w:rsidRPr="00156426">
        <w:rPr>
          <w:sz w:val="24"/>
          <w:szCs w:val="24"/>
          <w:lang w:val="en-GB"/>
        </w:rPr>
        <w:t xml:space="preserve"> C.</w:t>
      </w:r>
      <w:r>
        <w:rPr>
          <w:sz w:val="24"/>
          <w:szCs w:val="24"/>
          <w:lang w:val="en-GB"/>
        </w:rPr>
        <w:t>,</w:t>
      </w:r>
      <w:r w:rsidRPr="00156426">
        <w:rPr>
          <w:sz w:val="24"/>
          <w:szCs w:val="24"/>
          <w:lang w:val="en-GB"/>
        </w:rPr>
        <w:t xml:space="preserve"> </w:t>
      </w:r>
      <w:r>
        <w:rPr>
          <w:sz w:val="24"/>
          <w:szCs w:val="24"/>
          <w:lang w:val="en-GB"/>
        </w:rPr>
        <w:t>"</w:t>
      </w:r>
      <w:r w:rsidRPr="00156426">
        <w:rPr>
          <w:sz w:val="24"/>
          <w:szCs w:val="24"/>
          <w:lang w:val="en-GB"/>
        </w:rPr>
        <w:t>A Nonparametric Test for Association with Censored Data</w:t>
      </w:r>
      <w:r>
        <w:rPr>
          <w:sz w:val="24"/>
          <w:szCs w:val="24"/>
          <w:lang w:val="en-GB"/>
        </w:rPr>
        <w:t xml:space="preserve">," </w:t>
      </w:r>
      <w:r w:rsidRPr="007B2A5B">
        <w:rPr>
          <w:i/>
          <w:sz w:val="24"/>
          <w:szCs w:val="24"/>
          <w:lang w:val="en-GB"/>
        </w:rPr>
        <w:t>Biometrics</w:t>
      </w:r>
      <w:r w:rsidRPr="00156426">
        <w:rPr>
          <w:sz w:val="24"/>
          <w:szCs w:val="24"/>
          <w:lang w:val="en-GB"/>
        </w:rPr>
        <w:t>, 34, 243</w:t>
      </w:r>
      <w:r w:rsidRPr="006C48CA">
        <w:rPr>
          <w:sz w:val="24"/>
          <w:szCs w:val="24"/>
          <w:lang w:val="en-GB"/>
        </w:rPr>
        <w:t>–</w:t>
      </w:r>
      <w:r w:rsidRPr="00156426">
        <w:rPr>
          <w:sz w:val="24"/>
          <w:szCs w:val="24"/>
          <w:lang w:val="en-GB"/>
        </w:rPr>
        <w:t>50</w:t>
      </w:r>
      <w:r>
        <w:rPr>
          <w:sz w:val="24"/>
          <w:szCs w:val="24"/>
          <w:lang w:val="en-GB"/>
        </w:rPr>
        <w:t>, 1978.</w:t>
      </w:r>
    </w:p>
    <w:p w:rsidR="00864748" w:rsidRDefault="00864748" w:rsidP="00864748">
      <w:pPr>
        <w:spacing w:line="276" w:lineRule="auto"/>
        <w:ind w:left="720" w:hanging="720"/>
        <w:rPr>
          <w:sz w:val="24"/>
          <w:szCs w:val="24"/>
          <w:lang w:val="en-GB"/>
        </w:rPr>
      </w:pPr>
      <w:r w:rsidRPr="00DC1D17">
        <w:rPr>
          <w:sz w:val="24"/>
          <w:szCs w:val="24"/>
          <w:lang w:val="en-GB"/>
        </w:rPr>
        <w:t>Orsini</w:t>
      </w:r>
      <w:r>
        <w:rPr>
          <w:sz w:val="24"/>
          <w:szCs w:val="24"/>
          <w:lang w:val="en-GB"/>
        </w:rPr>
        <w:t>,</w:t>
      </w:r>
      <w:r w:rsidRPr="00DC1D17">
        <w:rPr>
          <w:sz w:val="24"/>
          <w:szCs w:val="24"/>
          <w:lang w:val="en-GB"/>
        </w:rPr>
        <w:t xml:space="preserve"> N</w:t>
      </w:r>
      <w:r>
        <w:rPr>
          <w:sz w:val="24"/>
          <w:szCs w:val="24"/>
          <w:lang w:val="en-GB"/>
        </w:rPr>
        <w:t>. and</w:t>
      </w:r>
      <w:r w:rsidRPr="00DC1D17">
        <w:rPr>
          <w:sz w:val="24"/>
          <w:szCs w:val="24"/>
          <w:lang w:val="en-GB"/>
        </w:rPr>
        <w:t xml:space="preserve"> M</w:t>
      </w:r>
      <w:r>
        <w:rPr>
          <w:sz w:val="24"/>
          <w:szCs w:val="24"/>
          <w:lang w:val="en-GB"/>
        </w:rPr>
        <w:t>.</w:t>
      </w:r>
      <w:r w:rsidRPr="00DC1D17">
        <w:rPr>
          <w:sz w:val="24"/>
          <w:szCs w:val="24"/>
          <w:lang w:val="en-GB"/>
        </w:rPr>
        <w:t xml:space="preserve"> Bottai, "Logistic </w:t>
      </w:r>
      <w:r>
        <w:rPr>
          <w:sz w:val="24"/>
          <w:szCs w:val="24"/>
          <w:lang w:val="en-GB"/>
        </w:rPr>
        <w:t>Quantile R</w:t>
      </w:r>
      <w:r w:rsidRPr="00DC1D17">
        <w:rPr>
          <w:sz w:val="24"/>
          <w:szCs w:val="24"/>
          <w:lang w:val="en-GB"/>
        </w:rPr>
        <w:t xml:space="preserve">egression in Stata," </w:t>
      </w:r>
      <w:r w:rsidRPr="007B2A5B">
        <w:rPr>
          <w:i/>
          <w:sz w:val="24"/>
          <w:szCs w:val="24"/>
          <w:lang w:val="en-GB"/>
        </w:rPr>
        <w:t>The Stata Journal</w:t>
      </w:r>
      <w:r w:rsidRPr="00DC1D17">
        <w:rPr>
          <w:sz w:val="24"/>
          <w:szCs w:val="24"/>
          <w:lang w:val="en-GB"/>
        </w:rPr>
        <w:t>, 11, 327</w:t>
      </w:r>
      <w:r w:rsidRPr="006C48CA">
        <w:rPr>
          <w:sz w:val="24"/>
          <w:szCs w:val="24"/>
          <w:lang w:val="en-GB"/>
        </w:rPr>
        <w:t>–</w:t>
      </w:r>
      <w:r w:rsidRPr="00DC1D17">
        <w:rPr>
          <w:sz w:val="24"/>
          <w:szCs w:val="24"/>
          <w:lang w:val="en-GB"/>
        </w:rPr>
        <w:t>44, 2011</w:t>
      </w:r>
      <w:r>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Osberg, L</w:t>
      </w:r>
      <w:r>
        <w:rPr>
          <w:sz w:val="24"/>
          <w:szCs w:val="24"/>
          <w:lang w:val="en-GB"/>
        </w:rPr>
        <w:t>.</w:t>
      </w:r>
      <w:r w:rsidRPr="00DF0D2F">
        <w:rPr>
          <w:sz w:val="24"/>
          <w:szCs w:val="24"/>
          <w:lang w:val="en-GB"/>
        </w:rPr>
        <w:t xml:space="preserve"> S</w:t>
      </w:r>
      <w:r>
        <w:rPr>
          <w:sz w:val="24"/>
          <w:szCs w:val="24"/>
          <w:lang w:val="en-GB"/>
        </w:rPr>
        <w:t>.</w:t>
      </w:r>
      <w:r w:rsidRPr="00DF0D2F">
        <w:rPr>
          <w:sz w:val="24"/>
          <w:szCs w:val="24"/>
          <w:lang w:val="en-GB"/>
        </w:rPr>
        <w:t xml:space="preserve">, "Stochastic Process Models and the Distribution of Earnings," </w:t>
      </w:r>
      <w:r w:rsidRPr="007B2A5B">
        <w:rPr>
          <w:i/>
          <w:sz w:val="24"/>
          <w:szCs w:val="24"/>
          <w:lang w:val="en-GB"/>
        </w:rPr>
        <w:t>Review of Income and Wealth</w:t>
      </w:r>
      <w:r w:rsidRPr="00DF0D2F">
        <w:rPr>
          <w:sz w:val="24"/>
          <w:szCs w:val="24"/>
          <w:lang w:val="en-GB"/>
        </w:rPr>
        <w:t>, 23, 205</w:t>
      </w:r>
      <w:r w:rsidRPr="006C48CA">
        <w:rPr>
          <w:sz w:val="24"/>
          <w:szCs w:val="24"/>
          <w:lang w:val="en-GB"/>
        </w:rPr>
        <w:t>–</w:t>
      </w:r>
      <w:r w:rsidRPr="00DF0D2F">
        <w:rPr>
          <w:sz w:val="24"/>
          <w:szCs w:val="24"/>
          <w:lang w:val="en-GB"/>
        </w:rPr>
        <w:t>15</w:t>
      </w:r>
      <w:r>
        <w:rPr>
          <w:sz w:val="24"/>
          <w:szCs w:val="24"/>
          <w:lang w:val="en-GB"/>
        </w:rPr>
        <w:t>,</w:t>
      </w:r>
      <w:r w:rsidRPr="00DF0D2F">
        <w:rPr>
          <w:sz w:val="24"/>
          <w:szCs w:val="24"/>
          <w:lang w:val="en-GB"/>
        </w:rPr>
        <w:t xml:space="preserve"> 1977</w:t>
      </w:r>
      <w:r>
        <w:rPr>
          <w:sz w:val="24"/>
          <w:szCs w:val="24"/>
          <w:lang w:val="en-GB"/>
        </w:rPr>
        <w:t>.</w:t>
      </w:r>
    </w:p>
    <w:p w:rsidR="00864748" w:rsidRDefault="00864748" w:rsidP="00864748">
      <w:pPr>
        <w:spacing w:line="276" w:lineRule="auto"/>
        <w:ind w:left="720" w:hanging="720"/>
        <w:rPr>
          <w:sz w:val="24"/>
          <w:szCs w:val="24"/>
        </w:rPr>
      </w:pPr>
      <w:r w:rsidRPr="00DF0D2F">
        <w:rPr>
          <w:sz w:val="24"/>
          <w:szCs w:val="24"/>
        </w:rPr>
        <w:t>Pareto</w:t>
      </w:r>
      <w:r>
        <w:rPr>
          <w:sz w:val="24"/>
          <w:szCs w:val="24"/>
        </w:rPr>
        <w:t>, V.</w:t>
      </w:r>
      <w:r w:rsidRPr="00DF0D2F">
        <w:rPr>
          <w:sz w:val="24"/>
          <w:szCs w:val="24"/>
        </w:rPr>
        <w:t xml:space="preserve">, "La courbe des revenus", </w:t>
      </w:r>
      <w:r w:rsidRPr="002D330A">
        <w:rPr>
          <w:i/>
          <w:sz w:val="24"/>
          <w:szCs w:val="24"/>
        </w:rPr>
        <w:t>Le Monde economique</w:t>
      </w:r>
      <w:r w:rsidRPr="00DF0D2F">
        <w:rPr>
          <w:sz w:val="24"/>
          <w:szCs w:val="24"/>
        </w:rPr>
        <w:t>, juillet, 99</w:t>
      </w:r>
      <w:r w:rsidRPr="002D330A">
        <w:rPr>
          <w:sz w:val="24"/>
          <w:szCs w:val="24"/>
        </w:rPr>
        <w:t>–</w:t>
      </w:r>
      <w:r w:rsidRPr="00DF0D2F">
        <w:rPr>
          <w:sz w:val="24"/>
          <w:szCs w:val="24"/>
        </w:rPr>
        <w:t>100, 189</w:t>
      </w:r>
      <w:r>
        <w:rPr>
          <w:sz w:val="24"/>
          <w:szCs w:val="24"/>
        </w:rPr>
        <w:t>6.</w:t>
      </w:r>
      <w:r w:rsidRPr="00DF0D2F">
        <w:rPr>
          <w:sz w:val="24"/>
          <w:szCs w:val="24"/>
        </w:rPr>
        <w:t xml:space="preserve"> </w:t>
      </w:r>
    </w:p>
    <w:p w:rsidR="00864748" w:rsidRDefault="00864748" w:rsidP="00864748">
      <w:pPr>
        <w:spacing w:line="276" w:lineRule="auto"/>
        <w:ind w:left="720" w:hanging="720"/>
        <w:rPr>
          <w:sz w:val="24"/>
          <w:szCs w:val="24"/>
        </w:rPr>
      </w:pPr>
      <w:r w:rsidRPr="002D330A">
        <w:t xml:space="preserve">———, </w:t>
      </w:r>
      <w:r w:rsidRPr="00FC4D25">
        <w:rPr>
          <w:i/>
          <w:sz w:val="24"/>
          <w:szCs w:val="24"/>
        </w:rPr>
        <w:t>Cours d’</w:t>
      </w:r>
      <w:r w:rsidR="008A40C9" w:rsidRPr="00FC4D25">
        <w:rPr>
          <w:i/>
          <w:sz w:val="24"/>
          <w:szCs w:val="24"/>
        </w:rPr>
        <w:t>é</w:t>
      </w:r>
      <w:r w:rsidRPr="00FC4D25">
        <w:rPr>
          <w:i/>
          <w:sz w:val="24"/>
          <w:szCs w:val="24"/>
        </w:rPr>
        <w:t>conomie politique</w:t>
      </w:r>
      <w:r>
        <w:rPr>
          <w:sz w:val="24"/>
          <w:szCs w:val="24"/>
        </w:rPr>
        <w:t>, Rouge,</w:t>
      </w:r>
      <w:r w:rsidRPr="002D330A">
        <w:rPr>
          <w:sz w:val="24"/>
          <w:szCs w:val="24"/>
        </w:rPr>
        <w:t xml:space="preserve"> Lausanne</w:t>
      </w:r>
      <w:r>
        <w:rPr>
          <w:sz w:val="24"/>
          <w:szCs w:val="24"/>
        </w:rPr>
        <w:t>, 1897.</w:t>
      </w:r>
    </w:p>
    <w:p w:rsidR="008A40C9" w:rsidRPr="003528BA" w:rsidRDefault="008A40C9" w:rsidP="003528BA">
      <w:pPr>
        <w:spacing w:line="276" w:lineRule="auto"/>
        <w:ind w:left="720" w:hanging="720"/>
        <w:rPr>
          <w:sz w:val="24"/>
          <w:szCs w:val="24"/>
        </w:rPr>
      </w:pPr>
      <w:r w:rsidRPr="002D330A">
        <w:t xml:space="preserve">———, </w:t>
      </w:r>
      <w:r w:rsidRPr="00FC4D25">
        <w:rPr>
          <w:i/>
          <w:sz w:val="24"/>
          <w:szCs w:val="24"/>
        </w:rPr>
        <w:t>Manuel d'économie politique</w:t>
      </w:r>
      <w:r w:rsidR="003528BA">
        <w:rPr>
          <w:sz w:val="24"/>
          <w:szCs w:val="24"/>
        </w:rPr>
        <w:t xml:space="preserve">, </w:t>
      </w:r>
      <w:r w:rsidRPr="008A40C9">
        <w:rPr>
          <w:sz w:val="24"/>
          <w:szCs w:val="24"/>
        </w:rPr>
        <w:t>V. Giard et E. Brière</w:t>
      </w:r>
      <w:r w:rsidR="003528BA">
        <w:rPr>
          <w:sz w:val="24"/>
          <w:szCs w:val="24"/>
        </w:rPr>
        <w:t xml:space="preserve">, </w:t>
      </w:r>
      <w:r w:rsidRPr="008A40C9">
        <w:rPr>
          <w:sz w:val="24"/>
          <w:szCs w:val="24"/>
        </w:rPr>
        <w:t>Paris</w:t>
      </w:r>
      <w:r w:rsidR="003528BA">
        <w:rPr>
          <w:sz w:val="24"/>
          <w:szCs w:val="24"/>
        </w:rPr>
        <w:t xml:space="preserve">, </w:t>
      </w:r>
      <w:r w:rsidRPr="003528BA">
        <w:rPr>
          <w:sz w:val="24"/>
          <w:szCs w:val="24"/>
        </w:rPr>
        <w:t>1909</w:t>
      </w:r>
      <w:r w:rsidR="003528BA">
        <w:rPr>
          <w:sz w:val="24"/>
          <w:szCs w:val="24"/>
        </w:rPr>
        <w:t>.</w:t>
      </w:r>
    </w:p>
    <w:p w:rsidR="00BC4424" w:rsidRDefault="00BC4424" w:rsidP="00BC4424">
      <w:pPr>
        <w:spacing w:line="276" w:lineRule="auto"/>
        <w:ind w:left="720" w:hanging="720"/>
        <w:rPr>
          <w:sz w:val="24"/>
          <w:szCs w:val="24"/>
          <w:lang w:val="en-GB"/>
        </w:rPr>
      </w:pPr>
      <w:r w:rsidRPr="00BC4424">
        <w:rPr>
          <w:sz w:val="24"/>
          <w:szCs w:val="24"/>
          <w:lang w:val="en-GB"/>
        </w:rPr>
        <w:t>Parker, S.C., "The generalized beta as a model for the distribution</w:t>
      </w:r>
      <w:r>
        <w:rPr>
          <w:sz w:val="24"/>
          <w:szCs w:val="24"/>
          <w:lang w:val="en-GB"/>
        </w:rPr>
        <w:t xml:space="preserve"> </w:t>
      </w:r>
      <w:r w:rsidRPr="00BC4424">
        <w:rPr>
          <w:sz w:val="24"/>
          <w:szCs w:val="24"/>
          <w:lang w:val="en-GB"/>
        </w:rPr>
        <w:t xml:space="preserve">of earnings", </w:t>
      </w:r>
      <w:r w:rsidRPr="00BC4424">
        <w:rPr>
          <w:i/>
          <w:sz w:val="24"/>
          <w:szCs w:val="24"/>
          <w:lang w:val="en-GB"/>
        </w:rPr>
        <w:t>Economics Letters</w:t>
      </w:r>
      <w:r>
        <w:rPr>
          <w:sz w:val="24"/>
          <w:szCs w:val="24"/>
          <w:lang w:val="en-GB"/>
        </w:rPr>
        <w:t>,</w:t>
      </w:r>
      <w:r w:rsidRPr="00BC4424">
        <w:rPr>
          <w:sz w:val="24"/>
          <w:szCs w:val="24"/>
          <w:lang w:val="en-GB"/>
        </w:rPr>
        <w:t xml:space="preserve"> 62, 197</w:t>
      </w:r>
      <w:r w:rsidRPr="006C48CA">
        <w:rPr>
          <w:sz w:val="24"/>
          <w:szCs w:val="24"/>
          <w:lang w:val="en-GB"/>
        </w:rPr>
        <w:t>–</w:t>
      </w:r>
      <w:r w:rsidRPr="00BC4424">
        <w:rPr>
          <w:sz w:val="24"/>
          <w:szCs w:val="24"/>
          <w:lang w:val="en-GB"/>
        </w:rPr>
        <w:t>200</w:t>
      </w:r>
      <w:r>
        <w:rPr>
          <w:sz w:val="24"/>
          <w:szCs w:val="24"/>
          <w:lang w:val="en-GB"/>
        </w:rPr>
        <w:t>, 1999</w:t>
      </w:r>
      <w:r w:rsidRPr="00BC4424">
        <w:rPr>
          <w:sz w:val="24"/>
          <w:szCs w:val="24"/>
          <w:lang w:val="en-GB"/>
        </w:rPr>
        <w:t>.</w:t>
      </w:r>
    </w:p>
    <w:p w:rsidR="00864748" w:rsidRPr="00DF0D2F" w:rsidRDefault="00864748" w:rsidP="00BC4424">
      <w:pPr>
        <w:spacing w:line="276" w:lineRule="auto"/>
        <w:ind w:left="720" w:hanging="720"/>
        <w:rPr>
          <w:sz w:val="24"/>
          <w:szCs w:val="24"/>
          <w:lang w:val="en-GB"/>
        </w:rPr>
      </w:pPr>
      <w:r w:rsidRPr="00DF0D2F">
        <w:rPr>
          <w:sz w:val="24"/>
          <w:szCs w:val="24"/>
          <w:lang w:val="en-GB"/>
        </w:rPr>
        <w:t xml:space="preserve">Pen, J., </w:t>
      </w:r>
      <w:r w:rsidRPr="007B2A5B">
        <w:rPr>
          <w:i/>
          <w:sz w:val="24"/>
          <w:szCs w:val="24"/>
          <w:lang w:val="en-GB"/>
        </w:rPr>
        <w:t>Income Distribution: Facts, Theories, Policies</w:t>
      </w:r>
      <w:r w:rsidRPr="007B2A5B">
        <w:rPr>
          <w:sz w:val="24"/>
          <w:szCs w:val="24"/>
          <w:lang w:val="en-GB"/>
        </w:rPr>
        <w:t xml:space="preserve">, </w:t>
      </w:r>
      <w:r>
        <w:rPr>
          <w:sz w:val="24"/>
          <w:szCs w:val="24"/>
          <w:lang w:val="en-GB"/>
        </w:rPr>
        <w:t>Praeger Publishers, New York</w:t>
      </w:r>
      <w:r w:rsidRPr="00DF0D2F">
        <w:rPr>
          <w:sz w:val="24"/>
          <w:szCs w:val="24"/>
          <w:lang w:val="en-GB"/>
        </w:rPr>
        <w:t xml:space="preserve">, 1971. </w:t>
      </w:r>
    </w:p>
    <w:p w:rsidR="00250DF3" w:rsidRPr="00250DF3" w:rsidRDefault="00250DF3" w:rsidP="00864748">
      <w:pPr>
        <w:spacing w:line="276" w:lineRule="auto"/>
        <w:ind w:left="720" w:hanging="720"/>
        <w:rPr>
          <w:sz w:val="24"/>
          <w:szCs w:val="24"/>
        </w:rPr>
      </w:pPr>
      <w:r w:rsidRPr="00250DF3">
        <w:rPr>
          <w:sz w:val="24"/>
          <w:szCs w:val="24"/>
        </w:rPr>
        <w:lastRenderedPageBreak/>
        <w:t>Piketty</w:t>
      </w:r>
      <w:r>
        <w:rPr>
          <w:sz w:val="24"/>
          <w:szCs w:val="24"/>
        </w:rPr>
        <w:t>,</w:t>
      </w:r>
      <w:r w:rsidRPr="00250DF3">
        <w:rPr>
          <w:sz w:val="24"/>
          <w:szCs w:val="24"/>
        </w:rPr>
        <w:t xml:space="preserve"> T., </w:t>
      </w:r>
      <w:r w:rsidRPr="00250DF3">
        <w:rPr>
          <w:i/>
          <w:sz w:val="24"/>
          <w:szCs w:val="24"/>
        </w:rPr>
        <w:t>Les hauts revenus en France au XX ème siècle. Inégalités et redistributions, 1901-1998</w:t>
      </w:r>
      <w:r w:rsidRPr="00250DF3">
        <w:rPr>
          <w:sz w:val="24"/>
          <w:szCs w:val="24"/>
        </w:rPr>
        <w:t>, Grasset, Paris</w:t>
      </w:r>
      <w:r>
        <w:rPr>
          <w:sz w:val="24"/>
          <w:szCs w:val="24"/>
        </w:rPr>
        <w:t xml:space="preserve">, </w:t>
      </w:r>
      <w:r w:rsidRPr="00250DF3">
        <w:rPr>
          <w:sz w:val="24"/>
          <w:szCs w:val="24"/>
        </w:rPr>
        <w:t>2001</w:t>
      </w:r>
      <w:r>
        <w:rPr>
          <w:sz w:val="24"/>
          <w:szCs w:val="24"/>
        </w:rPr>
        <w:t>.</w:t>
      </w:r>
    </w:p>
    <w:p w:rsidR="00864748" w:rsidRDefault="00864748" w:rsidP="00864748">
      <w:pPr>
        <w:spacing w:line="276" w:lineRule="auto"/>
        <w:ind w:left="720" w:hanging="720"/>
        <w:rPr>
          <w:sz w:val="24"/>
          <w:szCs w:val="24"/>
          <w:lang w:val="en-GB"/>
        </w:rPr>
      </w:pPr>
      <w:r w:rsidRPr="00B54C36">
        <w:rPr>
          <w:sz w:val="24"/>
          <w:szCs w:val="24"/>
          <w:lang w:val="en-GB"/>
        </w:rPr>
        <w:t>Pressman, S.</w:t>
      </w:r>
      <w:r>
        <w:rPr>
          <w:sz w:val="24"/>
          <w:szCs w:val="24"/>
          <w:lang w:val="en-GB"/>
        </w:rPr>
        <w:t>,</w:t>
      </w:r>
      <w:r w:rsidRPr="00B54C36">
        <w:rPr>
          <w:sz w:val="24"/>
          <w:szCs w:val="24"/>
          <w:lang w:val="en-GB"/>
        </w:rPr>
        <w:t xml:space="preserve"> </w:t>
      </w:r>
      <w:r w:rsidRPr="000967DD">
        <w:rPr>
          <w:sz w:val="24"/>
          <w:szCs w:val="24"/>
          <w:lang w:val="en-US"/>
        </w:rPr>
        <w:t>"</w:t>
      </w:r>
      <w:r w:rsidRPr="00B54C36">
        <w:rPr>
          <w:sz w:val="24"/>
          <w:szCs w:val="24"/>
          <w:lang w:val="en-GB"/>
        </w:rPr>
        <w:t>The Decline of the Middle Class: An International Perspective,</w:t>
      </w:r>
      <w:r w:rsidRPr="000967DD">
        <w:rPr>
          <w:sz w:val="24"/>
          <w:szCs w:val="24"/>
          <w:lang w:val="en-US"/>
        </w:rPr>
        <w:t>"</w:t>
      </w:r>
      <w:r w:rsidRPr="00B54C36">
        <w:rPr>
          <w:sz w:val="24"/>
          <w:szCs w:val="24"/>
          <w:lang w:val="en-GB"/>
        </w:rPr>
        <w:t xml:space="preserve"> </w:t>
      </w:r>
      <w:r w:rsidRPr="007B2A5B">
        <w:rPr>
          <w:i/>
          <w:sz w:val="24"/>
          <w:szCs w:val="24"/>
          <w:lang w:val="en-GB"/>
        </w:rPr>
        <w:t>Journal of Economic Issues</w:t>
      </w:r>
      <w:r w:rsidRPr="00B54C36">
        <w:rPr>
          <w:sz w:val="24"/>
          <w:szCs w:val="24"/>
          <w:lang w:val="en-GB"/>
        </w:rPr>
        <w:t>, 41, 181</w:t>
      </w:r>
      <w:r w:rsidRPr="006C48CA">
        <w:rPr>
          <w:sz w:val="24"/>
          <w:szCs w:val="24"/>
          <w:lang w:val="en-GB"/>
        </w:rPr>
        <w:t>–</w:t>
      </w:r>
      <w:r w:rsidRPr="00B54C36">
        <w:rPr>
          <w:sz w:val="24"/>
          <w:szCs w:val="24"/>
          <w:lang w:val="en-GB"/>
        </w:rPr>
        <w:t>200</w:t>
      </w:r>
      <w:r>
        <w:rPr>
          <w:sz w:val="24"/>
          <w:szCs w:val="24"/>
          <w:lang w:val="en-GB"/>
        </w:rPr>
        <w:t xml:space="preserve">, </w:t>
      </w:r>
      <w:r w:rsidRPr="00B54C36">
        <w:rPr>
          <w:sz w:val="24"/>
          <w:szCs w:val="24"/>
          <w:lang w:val="en-GB"/>
        </w:rPr>
        <w:t>2007.</w:t>
      </w:r>
    </w:p>
    <w:p w:rsidR="00864748" w:rsidRPr="00DF0D2F" w:rsidRDefault="00864748" w:rsidP="00864748">
      <w:pPr>
        <w:spacing w:line="276" w:lineRule="auto"/>
        <w:ind w:left="720" w:hanging="720"/>
        <w:rPr>
          <w:sz w:val="24"/>
          <w:szCs w:val="24"/>
          <w:lang w:val="en-GB"/>
        </w:rPr>
      </w:pPr>
      <w:r w:rsidRPr="00DF0D2F">
        <w:rPr>
          <w:sz w:val="24"/>
          <w:szCs w:val="24"/>
          <w:lang w:val="en-GB"/>
        </w:rPr>
        <w:t>Reed, W</w:t>
      </w:r>
      <w:r>
        <w:rPr>
          <w:sz w:val="24"/>
          <w:szCs w:val="24"/>
          <w:lang w:val="en-GB"/>
        </w:rPr>
        <w:t>.</w:t>
      </w:r>
      <w:r w:rsidRPr="00DF0D2F">
        <w:rPr>
          <w:sz w:val="24"/>
          <w:szCs w:val="24"/>
          <w:lang w:val="en-GB"/>
        </w:rPr>
        <w:t xml:space="preserve"> J</w:t>
      </w:r>
      <w:r>
        <w:rPr>
          <w:sz w:val="24"/>
          <w:szCs w:val="24"/>
          <w:lang w:val="en-GB"/>
        </w:rPr>
        <w:t>.,</w:t>
      </w:r>
      <w:r w:rsidRPr="00DF0D2F">
        <w:rPr>
          <w:sz w:val="24"/>
          <w:szCs w:val="24"/>
          <w:lang w:val="en-GB"/>
        </w:rPr>
        <w:t xml:space="preserve"> </w:t>
      </w:r>
      <w:r w:rsidRPr="000967DD">
        <w:rPr>
          <w:sz w:val="24"/>
          <w:szCs w:val="24"/>
          <w:lang w:val="en-US"/>
        </w:rPr>
        <w:t>"</w:t>
      </w:r>
      <w:r w:rsidRPr="00DF0D2F">
        <w:rPr>
          <w:sz w:val="24"/>
          <w:szCs w:val="24"/>
          <w:lang w:val="en-GB"/>
        </w:rPr>
        <w:t xml:space="preserve">The Pareto, Zipf and </w:t>
      </w:r>
      <w:r>
        <w:rPr>
          <w:sz w:val="24"/>
          <w:szCs w:val="24"/>
          <w:lang w:val="en-GB"/>
        </w:rPr>
        <w:t>O</w:t>
      </w:r>
      <w:r w:rsidRPr="00DF0D2F">
        <w:rPr>
          <w:sz w:val="24"/>
          <w:szCs w:val="24"/>
          <w:lang w:val="en-GB"/>
        </w:rPr>
        <w:t xml:space="preserve">ther </w:t>
      </w:r>
      <w:r>
        <w:rPr>
          <w:sz w:val="24"/>
          <w:szCs w:val="24"/>
          <w:lang w:val="en-GB"/>
        </w:rPr>
        <w:t>P</w:t>
      </w:r>
      <w:r w:rsidRPr="00DF0D2F">
        <w:rPr>
          <w:sz w:val="24"/>
          <w:szCs w:val="24"/>
          <w:lang w:val="en-GB"/>
        </w:rPr>
        <w:t xml:space="preserve">ower </w:t>
      </w:r>
      <w:r>
        <w:rPr>
          <w:sz w:val="24"/>
          <w:szCs w:val="24"/>
          <w:lang w:val="en-GB"/>
        </w:rPr>
        <w:t>L</w:t>
      </w:r>
      <w:r w:rsidRPr="00DF0D2F">
        <w:rPr>
          <w:sz w:val="24"/>
          <w:szCs w:val="24"/>
          <w:lang w:val="en-GB"/>
        </w:rPr>
        <w:t>aws,</w:t>
      </w:r>
      <w:r w:rsidRPr="000967DD">
        <w:rPr>
          <w:sz w:val="24"/>
          <w:szCs w:val="24"/>
          <w:lang w:val="en-US"/>
        </w:rPr>
        <w:t>"</w:t>
      </w:r>
      <w:r w:rsidRPr="00DF0D2F">
        <w:rPr>
          <w:sz w:val="24"/>
          <w:szCs w:val="24"/>
          <w:lang w:val="en-GB"/>
        </w:rPr>
        <w:t xml:space="preserve"> </w:t>
      </w:r>
      <w:r w:rsidRPr="00377348">
        <w:rPr>
          <w:i/>
          <w:sz w:val="24"/>
          <w:szCs w:val="24"/>
          <w:lang w:val="en-GB"/>
        </w:rPr>
        <w:t>Economics Letters</w:t>
      </w:r>
      <w:r w:rsidRPr="00DF0D2F">
        <w:rPr>
          <w:sz w:val="24"/>
          <w:szCs w:val="24"/>
          <w:lang w:val="en-GB"/>
        </w:rPr>
        <w:t>, 74, 15–</w:t>
      </w:r>
      <w:r>
        <w:rPr>
          <w:sz w:val="24"/>
          <w:szCs w:val="24"/>
          <w:lang w:val="en-GB"/>
        </w:rPr>
        <w:t>1</w:t>
      </w:r>
      <w:r w:rsidRPr="00DF0D2F">
        <w:rPr>
          <w:sz w:val="24"/>
          <w:szCs w:val="24"/>
          <w:lang w:val="en-GB"/>
        </w:rPr>
        <w:t>9</w:t>
      </w:r>
      <w:r>
        <w:rPr>
          <w:sz w:val="24"/>
          <w:szCs w:val="24"/>
          <w:lang w:val="en-GB"/>
        </w:rPr>
        <w:t xml:space="preserve">, </w:t>
      </w:r>
      <w:r w:rsidRPr="00DF0D2F">
        <w:rPr>
          <w:sz w:val="24"/>
          <w:szCs w:val="24"/>
          <w:lang w:val="en-GB"/>
        </w:rPr>
        <w:t>2001</w:t>
      </w:r>
      <w:r>
        <w:rPr>
          <w:sz w:val="24"/>
          <w:szCs w:val="24"/>
          <w:lang w:val="en-GB"/>
        </w:rPr>
        <w:t>.</w:t>
      </w:r>
    </w:p>
    <w:p w:rsidR="00864748" w:rsidRPr="00DF0D2F" w:rsidRDefault="00864748" w:rsidP="00864748">
      <w:pPr>
        <w:spacing w:line="276" w:lineRule="auto"/>
        <w:ind w:left="720" w:hanging="720"/>
        <w:rPr>
          <w:sz w:val="24"/>
          <w:szCs w:val="24"/>
          <w:lang w:val="en-GB"/>
        </w:rPr>
      </w:pPr>
      <w:r w:rsidRPr="00DF0D2F">
        <w:rPr>
          <w:sz w:val="24"/>
          <w:szCs w:val="24"/>
          <w:lang w:val="en-GB"/>
        </w:rPr>
        <w:t>Shoukri, M. M.</w:t>
      </w:r>
      <w:r>
        <w:rPr>
          <w:sz w:val="24"/>
          <w:szCs w:val="24"/>
          <w:lang w:val="en-GB"/>
        </w:rPr>
        <w:t>,</w:t>
      </w:r>
      <w:r w:rsidRPr="00DF0D2F">
        <w:rPr>
          <w:sz w:val="24"/>
          <w:szCs w:val="24"/>
          <w:lang w:val="en-GB"/>
        </w:rPr>
        <w:t xml:space="preserve"> I. U. M. Mian and D. S. Tracy, </w:t>
      </w:r>
      <w:r w:rsidRPr="000967DD">
        <w:rPr>
          <w:sz w:val="24"/>
          <w:szCs w:val="24"/>
          <w:lang w:val="en-US"/>
        </w:rPr>
        <w:t>"</w:t>
      </w:r>
      <w:r w:rsidRPr="00DF0D2F">
        <w:rPr>
          <w:sz w:val="24"/>
          <w:szCs w:val="24"/>
          <w:lang w:val="en-GB"/>
        </w:rPr>
        <w:t>Sampling Properties of Estimators of the Log-Logistic Distribution with Application to Canadian Precipitation Data,</w:t>
      </w:r>
      <w:r w:rsidRPr="000967DD">
        <w:rPr>
          <w:sz w:val="24"/>
          <w:szCs w:val="24"/>
          <w:lang w:val="en-US"/>
        </w:rPr>
        <w:t>"</w:t>
      </w:r>
      <w:r w:rsidRPr="00DF0D2F">
        <w:rPr>
          <w:sz w:val="24"/>
          <w:szCs w:val="24"/>
          <w:lang w:val="en-GB"/>
        </w:rPr>
        <w:t xml:space="preserve"> </w:t>
      </w:r>
      <w:r w:rsidRPr="00377348">
        <w:rPr>
          <w:i/>
          <w:sz w:val="24"/>
          <w:szCs w:val="24"/>
          <w:lang w:val="en-GB"/>
        </w:rPr>
        <w:t>The Canadian Journal of Statistics/La Revue Canadienne de Statistique</w:t>
      </w:r>
      <w:r w:rsidRPr="00DF0D2F">
        <w:rPr>
          <w:sz w:val="24"/>
          <w:szCs w:val="24"/>
          <w:lang w:val="en-GB"/>
        </w:rPr>
        <w:t>, 16</w:t>
      </w:r>
      <w:r>
        <w:rPr>
          <w:sz w:val="24"/>
          <w:szCs w:val="24"/>
          <w:lang w:val="en-GB"/>
        </w:rPr>
        <w:t>,</w:t>
      </w:r>
      <w:r w:rsidRPr="00DF0D2F">
        <w:rPr>
          <w:sz w:val="24"/>
          <w:szCs w:val="24"/>
          <w:lang w:val="en-GB"/>
        </w:rPr>
        <w:t xml:space="preserve"> 223</w:t>
      </w:r>
      <w:r w:rsidRPr="006C48CA">
        <w:rPr>
          <w:sz w:val="24"/>
          <w:szCs w:val="24"/>
          <w:lang w:val="en-GB"/>
        </w:rPr>
        <w:t>–</w:t>
      </w:r>
      <w:r w:rsidRPr="00DF0D2F">
        <w:rPr>
          <w:sz w:val="24"/>
          <w:szCs w:val="24"/>
          <w:lang w:val="en-GB"/>
        </w:rPr>
        <w:t>36</w:t>
      </w:r>
      <w:r>
        <w:rPr>
          <w:sz w:val="24"/>
          <w:szCs w:val="24"/>
          <w:lang w:val="en-GB"/>
        </w:rPr>
        <w:t xml:space="preserve">, </w:t>
      </w:r>
      <w:r w:rsidRPr="00DF0D2F">
        <w:rPr>
          <w:sz w:val="24"/>
          <w:szCs w:val="24"/>
          <w:lang w:val="en-GB"/>
        </w:rPr>
        <w:t>1988</w:t>
      </w:r>
      <w:r>
        <w:rPr>
          <w:sz w:val="24"/>
          <w:szCs w:val="24"/>
          <w:lang w:val="en-GB"/>
        </w:rPr>
        <w:t>.</w:t>
      </w:r>
    </w:p>
    <w:p w:rsidR="00032596" w:rsidRDefault="00032596" w:rsidP="00864748">
      <w:pPr>
        <w:spacing w:line="276" w:lineRule="auto"/>
        <w:ind w:left="720" w:hanging="720"/>
        <w:rPr>
          <w:sz w:val="24"/>
          <w:szCs w:val="24"/>
          <w:lang w:val="en-GB"/>
        </w:rPr>
      </w:pPr>
      <w:r w:rsidRPr="00032596">
        <w:rPr>
          <w:sz w:val="24"/>
          <w:szCs w:val="24"/>
          <w:lang w:val="en-GB"/>
        </w:rPr>
        <w:t>Shorrocks</w:t>
      </w:r>
      <w:r>
        <w:rPr>
          <w:sz w:val="24"/>
          <w:szCs w:val="24"/>
          <w:lang w:val="en-GB"/>
        </w:rPr>
        <w:t>, A.</w:t>
      </w:r>
      <w:r w:rsidR="004F706D">
        <w:rPr>
          <w:sz w:val="24"/>
          <w:szCs w:val="24"/>
          <w:lang w:val="en-GB"/>
        </w:rPr>
        <w:t xml:space="preserve"> </w:t>
      </w:r>
      <w:r>
        <w:rPr>
          <w:sz w:val="24"/>
          <w:szCs w:val="24"/>
          <w:lang w:val="en-GB"/>
        </w:rPr>
        <w:t>F., "</w:t>
      </w:r>
      <w:r w:rsidRPr="00032596">
        <w:rPr>
          <w:sz w:val="24"/>
          <w:szCs w:val="24"/>
          <w:lang w:val="en-GB"/>
        </w:rPr>
        <w:t>On Stochastic Models of Size Distributions</w:t>
      </w:r>
      <w:r>
        <w:rPr>
          <w:sz w:val="24"/>
          <w:szCs w:val="24"/>
          <w:lang w:val="en-GB"/>
        </w:rPr>
        <w:t xml:space="preserve">", </w:t>
      </w:r>
      <w:r w:rsidRPr="004E58E7">
        <w:rPr>
          <w:i/>
          <w:sz w:val="24"/>
          <w:szCs w:val="24"/>
          <w:lang w:val="en-GB"/>
        </w:rPr>
        <w:t>Review of Economic Studies</w:t>
      </w:r>
      <w:r w:rsidRPr="00032596">
        <w:rPr>
          <w:sz w:val="24"/>
          <w:szCs w:val="24"/>
          <w:lang w:val="en-GB"/>
        </w:rPr>
        <w:t>, 42</w:t>
      </w:r>
      <w:r w:rsidR="002155C8">
        <w:rPr>
          <w:sz w:val="24"/>
          <w:szCs w:val="24"/>
          <w:lang w:val="en-GB"/>
        </w:rPr>
        <w:t xml:space="preserve">, </w:t>
      </w:r>
      <w:r w:rsidRPr="00032596">
        <w:rPr>
          <w:sz w:val="24"/>
          <w:szCs w:val="24"/>
          <w:lang w:val="en-GB"/>
        </w:rPr>
        <w:t>631</w:t>
      </w:r>
      <w:r w:rsidRPr="00F675DF">
        <w:rPr>
          <w:sz w:val="24"/>
          <w:szCs w:val="24"/>
          <w:lang w:val="en-GB"/>
        </w:rPr>
        <w:t>–</w:t>
      </w:r>
      <w:r w:rsidRPr="00032596">
        <w:rPr>
          <w:sz w:val="24"/>
          <w:szCs w:val="24"/>
          <w:lang w:val="en-GB"/>
        </w:rPr>
        <w:t>41</w:t>
      </w:r>
      <w:r>
        <w:rPr>
          <w:sz w:val="24"/>
          <w:szCs w:val="24"/>
          <w:lang w:val="en-GB"/>
        </w:rPr>
        <w:t xml:space="preserve">, </w:t>
      </w:r>
      <w:r w:rsidRPr="00032596">
        <w:rPr>
          <w:sz w:val="24"/>
          <w:szCs w:val="24"/>
          <w:lang w:val="en-GB"/>
        </w:rPr>
        <w:t>1975</w:t>
      </w:r>
      <w:r>
        <w:rPr>
          <w:sz w:val="24"/>
          <w:szCs w:val="24"/>
          <w:lang w:val="en-GB"/>
        </w:rPr>
        <w:t>.</w:t>
      </w:r>
    </w:p>
    <w:p w:rsidR="002A2B95" w:rsidRDefault="00DB1120" w:rsidP="002A2B95">
      <w:pPr>
        <w:spacing w:line="276" w:lineRule="auto"/>
        <w:ind w:left="720" w:hanging="720"/>
        <w:rPr>
          <w:sz w:val="24"/>
          <w:szCs w:val="24"/>
          <w:lang w:val="en-GB"/>
        </w:rPr>
      </w:pPr>
      <w:r w:rsidRPr="00617984">
        <w:rPr>
          <w:lang w:val="en-US"/>
        </w:rPr>
        <w:t>———</w:t>
      </w:r>
      <w:r w:rsidR="002A2B95">
        <w:rPr>
          <w:sz w:val="24"/>
          <w:szCs w:val="24"/>
          <w:lang w:val="en-GB"/>
        </w:rPr>
        <w:t>, "</w:t>
      </w:r>
      <w:r w:rsidR="002A2B95" w:rsidRPr="002A2B95">
        <w:rPr>
          <w:sz w:val="24"/>
          <w:szCs w:val="24"/>
          <w:lang w:val="en-GB"/>
        </w:rPr>
        <w:t>Ranking Income Distributions</w:t>
      </w:r>
      <w:r w:rsidR="002A2B95">
        <w:rPr>
          <w:sz w:val="24"/>
          <w:szCs w:val="24"/>
          <w:lang w:val="en-GB"/>
        </w:rPr>
        <w:t xml:space="preserve">", </w:t>
      </w:r>
      <w:r>
        <w:rPr>
          <w:i/>
          <w:sz w:val="24"/>
          <w:szCs w:val="24"/>
          <w:lang w:val="en-GB"/>
        </w:rPr>
        <w:t>Economica</w:t>
      </w:r>
      <w:r w:rsidR="002A2B95" w:rsidRPr="00032596">
        <w:rPr>
          <w:sz w:val="24"/>
          <w:szCs w:val="24"/>
          <w:lang w:val="en-GB"/>
        </w:rPr>
        <w:t xml:space="preserve">, </w:t>
      </w:r>
      <w:r>
        <w:rPr>
          <w:sz w:val="24"/>
          <w:szCs w:val="24"/>
          <w:lang w:val="en-GB"/>
        </w:rPr>
        <w:t>50</w:t>
      </w:r>
      <w:r w:rsidR="002A2B95">
        <w:rPr>
          <w:sz w:val="24"/>
          <w:szCs w:val="24"/>
          <w:lang w:val="en-GB"/>
        </w:rPr>
        <w:t xml:space="preserve">, </w:t>
      </w:r>
      <w:r>
        <w:rPr>
          <w:sz w:val="24"/>
          <w:szCs w:val="24"/>
          <w:lang w:val="en-GB"/>
        </w:rPr>
        <w:t>3</w:t>
      </w:r>
      <w:r w:rsidR="002A2B95" w:rsidRPr="00F675DF">
        <w:rPr>
          <w:sz w:val="24"/>
          <w:szCs w:val="24"/>
          <w:lang w:val="en-GB"/>
        </w:rPr>
        <w:t>–</w:t>
      </w:r>
      <w:r w:rsidR="002A2B95" w:rsidRPr="00032596">
        <w:rPr>
          <w:sz w:val="24"/>
          <w:szCs w:val="24"/>
          <w:lang w:val="en-GB"/>
        </w:rPr>
        <w:t>1</w:t>
      </w:r>
      <w:r>
        <w:rPr>
          <w:sz w:val="24"/>
          <w:szCs w:val="24"/>
          <w:lang w:val="en-GB"/>
        </w:rPr>
        <w:t>7</w:t>
      </w:r>
      <w:r w:rsidR="002A2B95">
        <w:rPr>
          <w:sz w:val="24"/>
          <w:szCs w:val="24"/>
          <w:lang w:val="en-GB"/>
        </w:rPr>
        <w:t xml:space="preserve">, </w:t>
      </w:r>
      <w:r w:rsidR="002A2B95" w:rsidRPr="00032596">
        <w:rPr>
          <w:sz w:val="24"/>
          <w:szCs w:val="24"/>
          <w:lang w:val="en-GB"/>
        </w:rPr>
        <w:t>19</w:t>
      </w:r>
      <w:r w:rsidR="002A2B95">
        <w:rPr>
          <w:sz w:val="24"/>
          <w:szCs w:val="24"/>
          <w:lang w:val="en-GB"/>
        </w:rPr>
        <w:t>83.</w:t>
      </w:r>
    </w:p>
    <w:p w:rsidR="004A3C60" w:rsidRDefault="004A3C60" w:rsidP="004A3C60">
      <w:pPr>
        <w:spacing w:line="276" w:lineRule="auto"/>
        <w:ind w:left="720" w:hanging="720"/>
        <w:rPr>
          <w:sz w:val="24"/>
          <w:szCs w:val="24"/>
          <w:lang w:val="en-GB"/>
        </w:rPr>
      </w:pPr>
      <w:r w:rsidRPr="004A3C60">
        <w:rPr>
          <w:sz w:val="24"/>
          <w:szCs w:val="24"/>
          <w:lang w:val="en-GB"/>
        </w:rPr>
        <w:t>Tam</w:t>
      </w:r>
      <w:r w:rsidR="007E3724">
        <w:rPr>
          <w:sz w:val="24"/>
          <w:szCs w:val="24"/>
          <w:lang w:val="en-GB"/>
        </w:rPr>
        <w:t>,</w:t>
      </w:r>
      <w:r w:rsidRPr="004A3C60">
        <w:rPr>
          <w:sz w:val="24"/>
          <w:szCs w:val="24"/>
          <w:lang w:val="en-GB"/>
        </w:rPr>
        <w:t xml:space="preserve"> </w:t>
      </w:r>
      <w:r>
        <w:rPr>
          <w:sz w:val="24"/>
          <w:szCs w:val="24"/>
          <w:lang w:val="en-GB"/>
        </w:rPr>
        <w:t>T., "</w:t>
      </w:r>
      <w:r w:rsidRPr="004A3C60">
        <w:rPr>
          <w:sz w:val="24"/>
          <w:szCs w:val="24"/>
          <w:lang w:val="en-GB"/>
        </w:rPr>
        <w:t>A Paradoxical Latent Structure of Educational Inequality:</w:t>
      </w:r>
      <w:r>
        <w:rPr>
          <w:sz w:val="24"/>
          <w:szCs w:val="24"/>
          <w:lang w:val="en-GB"/>
        </w:rPr>
        <w:t xml:space="preserve"> </w:t>
      </w:r>
      <w:r w:rsidRPr="004A3C60">
        <w:rPr>
          <w:sz w:val="24"/>
          <w:szCs w:val="24"/>
          <w:lang w:val="en-GB"/>
        </w:rPr>
        <w:t>Cognitive Ability and Family Background across Diverse Societies</w:t>
      </w:r>
      <w:r>
        <w:rPr>
          <w:sz w:val="24"/>
          <w:szCs w:val="24"/>
          <w:lang w:val="en-GB"/>
        </w:rPr>
        <w:t xml:space="preserve">", </w:t>
      </w:r>
      <w:r w:rsidRPr="004A3C60">
        <w:rPr>
          <w:sz w:val="24"/>
          <w:szCs w:val="24"/>
          <w:lang w:val="en-GB"/>
        </w:rPr>
        <w:t>Paper Presented at the</w:t>
      </w:r>
      <w:r>
        <w:rPr>
          <w:sz w:val="24"/>
          <w:szCs w:val="24"/>
          <w:lang w:val="en-GB"/>
        </w:rPr>
        <w:t xml:space="preserve"> </w:t>
      </w:r>
      <w:r w:rsidRPr="004A3C60">
        <w:rPr>
          <w:sz w:val="24"/>
          <w:szCs w:val="24"/>
          <w:lang w:val="en-GB"/>
        </w:rPr>
        <w:t>RC28 Spring Meeting, 2007</w:t>
      </w:r>
      <w:r>
        <w:rPr>
          <w:sz w:val="24"/>
          <w:szCs w:val="24"/>
          <w:lang w:val="en-GB"/>
        </w:rPr>
        <w:t>.</w:t>
      </w:r>
    </w:p>
    <w:p w:rsidR="00B17EB9" w:rsidRDefault="00B17EB9" w:rsidP="004A3C60">
      <w:pPr>
        <w:spacing w:line="276" w:lineRule="auto"/>
        <w:ind w:left="720" w:hanging="720"/>
        <w:rPr>
          <w:sz w:val="24"/>
          <w:szCs w:val="24"/>
          <w:lang w:val="en-GB"/>
        </w:rPr>
      </w:pPr>
      <w:r w:rsidRPr="00B17EB9">
        <w:rPr>
          <w:sz w:val="24"/>
          <w:szCs w:val="24"/>
          <w:lang w:val="en-GB"/>
        </w:rPr>
        <w:t>Weeden</w:t>
      </w:r>
      <w:r>
        <w:rPr>
          <w:sz w:val="24"/>
          <w:szCs w:val="24"/>
          <w:lang w:val="en-GB"/>
        </w:rPr>
        <w:t>,</w:t>
      </w:r>
      <w:r w:rsidRPr="00B17EB9">
        <w:rPr>
          <w:sz w:val="24"/>
          <w:szCs w:val="24"/>
          <w:lang w:val="en-GB"/>
        </w:rPr>
        <w:t xml:space="preserve"> K</w:t>
      </w:r>
      <w:r>
        <w:rPr>
          <w:sz w:val="24"/>
          <w:szCs w:val="24"/>
          <w:lang w:val="en-GB"/>
        </w:rPr>
        <w:t xml:space="preserve">. </w:t>
      </w:r>
      <w:r w:rsidRPr="00B17EB9">
        <w:rPr>
          <w:sz w:val="24"/>
          <w:szCs w:val="24"/>
          <w:lang w:val="en-GB"/>
        </w:rPr>
        <w:t>A.</w:t>
      </w:r>
      <w:r>
        <w:rPr>
          <w:sz w:val="24"/>
          <w:szCs w:val="24"/>
          <w:lang w:val="en-GB"/>
        </w:rPr>
        <w:t>,</w:t>
      </w:r>
      <w:r w:rsidRPr="00B17EB9">
        <w:rPr>
          <w:sz w:val="24"/>
          <w:szCs w:val="24"/>
          <w:lang w:val="en-GB"/>
        </w:rPr>
        <w:t xml:space="preserve"> and D</w:t>
      </w:r>
      <w:r>
        <w:rPr>
          <w:sz w:val="24"/>
          <w:szCs w:val="24"/>
          <w:lang w:val="en-GB"/>
        </w:rPr>
        <w:t>.</w:t>
      </w:r>
      <w:r w:rsidR="004F706D">
        <w:rPr>
          <w:sz w:val="24"/>
          <w:szCs w:val="24"/>
          <w:lang w:val="en-GB"/>
        </w:rPr>
        <w:t xml:space="preserve"> </w:t>
      </w:r>
      <w:r w:rsidRPr="00B17EB9">
        <w:rPr>
          <w:sz w:val="24"/>
          <w:szCs w:val="24"/>
          <w:lang w:val="en-GB"/>
        </w:rPr>
        <w:t>B. Grusky</w:t>
      </w:r>
      <w:r>
        <w:rPr>
          <w:sz w:val="24"/>
          <w:szCs w:val="24"/>
          <w:lang w:val="en-GB"/>
        </w:rPr>
        <w:t>, "</w:t>
      </w:r>
      <w:r w:rsidRPr="00B17EB9">
        <w:rPr>
          <w:sz w:val="24"/>
          <w:szCs w:val="24"/>
          <w:lang w:val="en-GB"/>
        </w:rPr>
        <w:t>The Three Worlds of Inequality</w:t>
      </w:r>
      <w:r>
        <w:rPr>
          <w:sz w:val="24"/>
          <w:szCs w:val="24"/>
          <w:lang w:val="en-GB"/>
        </w:rPr>
        <w:t xml:space="preserve">", </w:t>
      </w:r>
      <w:r w:rsidRPr="00FC4D25">
        <w:rPr>
          <w:i/>
          <w:sz w:val="24"/>
          <w:szCs w:val="24"/>
          <w:lang w:val="en-GB"/>
        </w:rPr>
        <w:t>American Journal of Sociology</w:t>
      </w:r>
      <w:r>
        <w:rPr>
          <w:sz w:val="24"/>
          <w:szCs w:val="24"/>
          <w:lang w:val="en-GB"/>
        </w:rPr>
        <w:t xml:space="preserve">, </w:t>
      </w:r>
      <w:r w:rsidRPr="00B17EB9">
        <w:rPr>
          <w:sz w:val="24"/>
          <w:szCs w:val="24"/>
          <w:lang w:val="en-GB"/>
        </w:rPr>
        <w:t>117</w:t>
      </w:r>
      <w:r w:rsidR="00E64C01">
        <w:rPr>
          <w:sz w:val="24"/>
          <w:szCs w:val="24"/>
          <w:lang w:val="en-GB"/>
        </w:rPr>
        <w:t>,</w:t>
      </w:r>
      <w:r>
        <w:rPr>
          <w:sz w:val="24"/>
          <w:szCs w:val="24"/>
          <w:lang w:val="en-GB"/>
        </w:rPr>
        <w:t xml:space="preserve"> </w:t>
      </w:r>
      <w:r w:rsidRPr="00B17EB9">
        <w:rPr>
          <w:sz w:val="24"/>
          <w:szCs w:val="24"/>
          <w:lang w:val="en-GB"/>
        </w:rPr>
        <w:t>1723</w:t>
      </w:r>
      <w:r w:rsidRPr="00F675DF">
        <w:rPr>
          <w:sz w:val="24"/>
          <w:szCs w:val="24"/>
          <w:lang w:val="en-GB"/>
        </w:rPr>
        <w:t>–</w:t>
      </w:r>
      <w:r w:rsidRPr="00B17EB9">
        <w:rPr>
          <w:sz w:val="24"/>
          <w:szCs w:val="24"/>
          <w:lang w:val="en-GB"/>
        </w:rPr>
        <w:t>85</w:t>
      </w:r>
      <w:r>
        <w:rPr>
          <w:sz w:val="24"/>
          <w:szCs w:val="24"/>
          <w:lang w:val="en-GB"/>
        </w:rPr>
        <w:t>, 2012.</w:t>
      </w:r>
    </w:p>
    <w:p w:rsidR="00864748" w:rsidRDefault="00864748" w:rsidP="00864748">
      <w:pPr>
        <w:spacing w:line="276" w:lineRule="auto"/>
        <w:ind w:left="720" w:hanging="720"/>
        <w:rPr>
          <w:sz w:val="24"/>
          <w:szCs w:val="24"/>
          <w:lang w:val="en-GB"/>
        </w:rPr>
      </w:pPr>
      <w:r w:rsidRPr="00F675DF">
        <w:rPr>
          <w:sz w:val="24"/>
          <w:szCs w:val="24"/>
          <w:lang w:val="en-GB"/>
        </w:rPr>
        <w:t>Wolfson, M. C.</w:t>
      </w:r>
      <w:r>
        <w:rPr>
          <w:sz w:val="24"/>
          <w:szCs w:val="24"/>
          <w:lang w:val="en-GB"/>
        </w:rPr>
        <w:t>,</w:t>
      </w:r>
      <w:r w:rsidRPr="00F675DF">
        <w:rPr>
          <w:sz w:val="24"/>
          <w:szCs w:val="24"/>
          <w:lang w:val="en-GB"/>
        </w:rPr>
        <w:t xml:space="preserve"> </w:t>
      </w:r>
      <w:r w:rsidRPr="002D330A">
        <w:rPr>
          <w:sz w:val="24"/>
          <w:szCs w:val="24"/>
          <w:lang w:val="en-US"/>
        </w:rPr>
        <w:t>"</w:t>
      </w:r>
      <w:r w:rsidRPr="00F675DF">
        <w:rPr>
          <w:sz w:val="24"/>
          <w:szCs w:val="24"/>
          <w:lang w:val="en-GB"/>
        </w:rPr>
        <w:t xml:space="preserve">Stasis </w:t>
      </w:r>
      <w:r>
        <w:rPr>
          <w:sz w:val="24"/>
          <w:szCs w:val="24"/>
          <w:lang w:val="en-GB"/>
        </w:rPr>
        <w:t>a</w:t>
      </w:r>
      <w:r w:rsidRPr="00F675DF">
        <w:rPr>
          <w:sz w:val="24"/>
          <w:szCs w:val="24"/>
          <w:lang w:val="en-GB"/>
        </w:rPr>
        <w:t>mid Change: Income Inequality in Canada, 1965-1983</w:t>
      </w:r>
      <w:r>
        <w:rPr>
          <w:sz w:val="24"/>
          <w:szCs w:val="24"/>
          <w:lang w:val="en-GB"/>
        </w:rPr>
        <w:t>,</w:t>
      </w:r>
      <w:r w:rsidRPr="002D330A">
        <w:rPr>
          <w:sz w:val="24"/>
          <w:szCs w:val="24"/>
          <w:lang w:val="en-US"/>
        </w:rPr>
        <w:t xml:space="preserve">" </w:t>
      </w:r>
      <w:r w:rsidRPr="00377348">
        <w:rPr>
          <w:i/>
          <w:sz w:val="24"/>
          <w:szCs w:val="24"/>
          <w:lang w:val="en-GB"/>
        </w:rPr>
        <w:t>Review of Income and Wealth</w:t>
      </w:r>
      <w:r w:rsidRPr="00F675DF">
        <w:rPr>
          <w:sz w:val="24"/>
          <w:szCs w:val="24"/>
          <w:lang w:val="en-GB"/>
        </w:rPr>
        <w:t>,</w:t>
      </w:r>
      <w:r>
        <w:rPr>
          <w:sz w:val="24"/>
          <w:szCs w:val="24"/>
          <w:lang w:val="en-GB"/>
        </w:rPr>
        <w:t xml:space="preserve"> 32, 337</w:t>
      </w:r>
      <w:r w:rsidRPr="00F675DF">
        <w:rPr>
          <w:sz w:val="24"/>
          <w:szCs w:val="24"/>
          <w:lang w:val="en-GB"/>
        </w:rPr>
        <w:t>–69</w:t>
      </w:r>
      <w:r>
        <w:rPr>
          <w:sz w:val="24"/>
          <w:szCs w:val="24"/>
          <w:lang w:val="en-GB"/>
        </w:rPr>
        <w:t xml:space="preserve">, </w:t>
      </w:r>
      <w:r w:rsidRPr="00F675DF">
        <w:rPr>
          <w:sz w:val="24"/>
          <w:szCs w:val="24"/>
          <w:lang w:val="en-GB"/>
        </w:rPr>
        <w:t>1986.</w:t>
      </w:r>
    </w:p>
    <w:p w:rsidR="00BC1135" w:rsidRDefault="00864748" w:rsidP="00DB1120">
      <w:pPr>
        <w:spacing w:line="276" w:lineRule="auto"/>
        <w:ind w:left="720" w:hanging="720"/>
        <w:rPr>
          <w:sz w:val="24"/>
          <w:szCs w:val="24"/>
          <w:lang w:val="en-GB"/>
        </w:rPr>
      </w:pPr>
      <w:r w:rsidRPr="00F675DF">
        <w:rPr>
          <w:sz w:val="24"/>
          <w:szCs w:val="24"/>
          <w:lang w:val="en-GB"/>
        </w:rPr>
        <w:t>Yitzhaki, S</w:t>
      </w:r>
      <w:r>
        <w:rPr>
          <w:sz w:val="24"/>
          <w:szCs w:val="24"/>
          <w:lang w:val="en-GB"/>
        </w:rPr>
        <w:t>.</w:t>
      </w:r>
      <w:r w:rsidRPr="00F675DF">
        <w:rPr>
          <w:sz w:val="24"/>
          <w:szCs w:val="24"/>
          <w:lang w:val="en-GB"/>
        </w:rPr>
        <w:t xml:space="preserve">, </w:t>
      </w:r>
      <w:r w:rsidR="00DB1120" w:rsidRPr="00F675DF">
        <w:rPr>
          <w:sz w:val="24"/>
          <w:szCs w:val="24"/>
          <w:lang w:val="en-GB"/>
        </w:rPr>
        <w:t>"</w:t>
      </w:r>
      <w:r w:rsidR="00DB1120" w:rsidRPr="00DB1120">
        <w:rPr>
          <w:sz w:val="24"/>
          <w:szCs w:val="24"/>
          <w:lang w:val="en-GB"/>
        </w:rPr>
        <w:t>Stochastic Dominance, Mean Variance, and Gini's Mean Difference</w:t>
      </w:r>
      <w:r w:rsidR="00DB1120" w:rsidRPr="00F675DF">
        <w:rPr>
          <w:sz w:val="24"/>
          <w:szCs w:val="24"/>
          <w:lang w:val="en-GB"/>
        </w:rPr>
        <w:t xml:space="preserve">," </w:t>
      </w:r>
      <w:r w:rsidR="00DB1120">
        <w:rPr>
          <w:i/>
          <w:sz w:val="24"/>
          <w:szCs w:val="24"/>
          <w:lang w:val="en-GB"/>
        </w:rPr>
        <w:t xml:space="preserve">American </w:t>
      </w:r>
      <w:r w:rsidR="00DB1120" w:rsidRPr="00377348">
        <w:rPr>
          <w:i/>
          <w:sz w:val="24"/>
          <w:szCs w:val="24"/>
          <w:lang w:val="en-GB"/>
        </w:rPr>
        <w:t>Economic Review</w:t>
      </w:r>
      <w:r w:rsidR="00DB1120" w:rsidRPr="00F675DF">
        <w:rPr>
          <w:sz w:val="24"/>
          <w:szCs w:val="24"/>
          <w:lang w:val="en-GB"/>
        </w:rPr>
        <w:t xml:space="preserve">, </w:t>
      </w:r>
      <w:r w:rsidR="00DB1120">
        <w:rPr>
          <w:sz w:val="24"/>
          <w:szCs w:val="24"/>
          <w:lang w:val="en-GB"/>
        </w:rPr>
        <w:t>72</w:t>
      </w:r>
      <w:r w:rsidR="00DB1120" w:rsidRPr="00F675DF">
        <w:rPr>
          <w:sz w:val="24"/>
          <w:szCs w:val="24"/>
          <w:lang w:val="en-GB"/>
        </w:rPr>
        <w:t xml:space="preserve">, </w:t>
      </w:r>
      <w:r w:rsidR="00DB1120">
        <w:rPr>
          <w:sz w:val="24"/>
          <w:szCs w:val="24"/>
          <w:lang w:val="en-GB"/>
        </w:rPr>
        <w:t>178</w:t>
      </w:r>
      <w:r w:rsidR="00DB1120" w:rsidRPr="006C48CA">
        <w:rPr>
          <w:sz w:val="24"/>
          <w:szCs w:val="24"/>
          <w:lang w:val="en-GB"/>
        </w:rPr>
        <w:t>–</w:t>
      </w:r>
      <w:r w:rsidR="00DB1120">
        <w:rPr>
          <w:sz w:val="24"/>
          <w:szCs w:val="24"/>
          <w:lang w:val="en-GB"/>
        </w:rPr>
        <w:t>85, 1982</w:t>
      </w:r>
      <w:r w:rsidR="00DB1120" w:rsidRPr="00F675DF">
        <w:rPr>
          <w:sz w:val="24"/>
          <w:szCs w:val="24"/>
          <w:lang w:val="en-GB"/>
        </w:rPr>
        <w:t>.</w:t>
      </w:r>
    </w:p>
    <w:p w:rsidR="00DB1120" w:rsidRDefault="00DB1120" w:rsidP="00DB1120">
      <w:pPr>
        <w:spacing w:line="276" w:lineRule="auto"/>
        <w:ind w:left="720" w:hanging="720"/>
        <w:rPr>
          <w:sz w:val="24"/>
          <w:szCs w:val="24"/>
          <w:lang w:val="en-GB"/>
        </w:rPr>
      </w:pPr>
      <w:r w:rsidRPr="00DB1120">
        <w:rPr>
          <w:lang w:val="en-US"/>
        </w:rPr>
        <w:t>———</w:t>
      </w:r>
      <w:r w:rsidRPr="00F675DF">
        <w:rPr>
          <w:sz w:val="24"/>
          <w:szCs w:val="24"/>
          <w:lang w:val="en-GB"/>
        </w:rPr>
        <w:t xml:space="preserve">, "On an Extension of the Gini Inequality Index," </w:t>
      </w:r>
      <w:r w:rsidRPr="00377348">
        <w:rPr>
          <w:i/>
          <w:sz w:val="24"/>
          <w:szCs w:val="24"/>
          <w:lang w:val="en-GB"/>
        </w:rPr>
        <w:t>International Economic Review</w:t>
      </w:r>
      <w:r w:rsidRPr="00F675DF">
        <w:rPr>
          <w:sz w:val="24"/>
          <w:szCs w:val="24"/>
          <w:lang w:val="en-GB"/>
        </w:rPr>
        <w:t>, 24, 617</w:t>
      </w:r>
      <w:r w:rsidRPr="006C48CA">
        <w:rPr>
          <w:sz w:val="24"/>
          <w:szCs w:val="24"/>
          <w:lang w:val="en-GB"/>
        </w:rPr>
        <w:t>–</w:t>
      </w:r>
      <w:r w:rsidRPr="00F675DF">
        <w:rPr>
          <w:sz w:val="24"/>
          <w:szCs w:val="24"/>
          <w:lang w:val="en-GB"/>
        </w:rPr>
        <w:t>28</w:t>
      </w:r>
      <w:r>
        <w:rPr>
          <w:sz w:val="24"/>
          <w:szCs w:val="24"/>
          <w:lang w:val="en-GB"/>
        </w:rPr>
        <w:t xml:space="preserve">, </w:t>
      </w:r>
      <w:r w:rsidRPr="00F675DF">
        <w:rPr>
          <w:sz w:val="24"/>
          <w:szCs w:val="24"/>
          <w:lang w:val="en-GB"/>
        </w:rPr>
        <w:t>1983.</w:t>
      </w:r>
    </w:p>
    <w:p w:rsidR="00B542BD" w:rsidRDefault="00B542BD" w:rsidP="0096075D">
      <w:pPr>
        <w:spacing w:line="276" w:lineRule="auto"/>
        <w:ind w:left="720" w:hanging="720"/>
        <w:rPr>
          <w:sz w:val="24"/>
          <w:szCs w:val="24"/>
          <w:lang w:val="en-GB"/>
        </w:rPr>
      </w:pPr>
    </w:p>
    <w:p w:rsidR="00B542BD" w:rsidRDefault="005D57E5" w:rsidP="0096075D">
      <w:pPr>
        <w:spacing w:line="276" w:lineRule="auto"/>
        <w:ind w:left="720" w:hanging="720"/>
        <w:rPr>
          <w:sz w:val="24"/>
          <w:szCs w:val="24"/>
          <w:lang w:val="en-GB"/>
        </w:rPr>
      </w:pPr>
      <w:r>
        <w:rPr>
          <w:sz w:val="24"/>
          <w:szCs w:val="24"/>
          <w:lang w:val="en-GB"/>
        </w:rPr>
        <w:br w:type="column"/>
      </w:r>
    </w:p>
    <w:p w:rsidR="00B542BD" w:rsidRPr="00353C6B" w:rsidRDefault="00B542BD" w:rsidP="00B542BD">
      <w:pPr>
        <w:spacing w:after="120" w:line="480" w:lineRule="auto"/>
        <w:rPr>
          <w:b/>
          <w:sz w:val="24"/>
          <w:szCs w:val="24"/>
          <w:lang w:val="en-US"/>
        </w:rPr>
      </w:pPr>
      <w:r w:rsidRPr="00353C6B">
        <w:rPr>
          <w:b/>
          <w:sz w:val="24"/>
          <w:szCs w:val="24"/>
          <w:lang w:val="en-US"/>
        </w:rPr>
        <w:t xml:space="preserve">Table 1: </w:t>
      </w:r>
      <w:r>
        <w:rPr>
          <w:b/>
          <w:sz w:val="24"/>
          <w:szCs w:val="24"/>
          <w:lang w:val="en-US"/>
        </w:rPr>
        <w:t xml:space="preserve">Percentiles of </w:t>
      </w:r>
      <w:r w:rsidR="00D8145D">
        <w:rPr>
          <w:b/>
          <w:sz w:val="24"/>
          <w:szCs w:val="24"/>
          <w:lang w:val="en-US"/>
        </w:rPr>
        <w:t>I</w:t>
      </w:r>
      <w:r>
        <w:rPr>
          <w:b/>
          <w:sz w:val="24"/>
          <w:szCs w:val="24"/>
          <w:lang w:val="en-US"/>
        </w:rPr>
        <w:t>ncomes in Israel and the U.S.</w:t>
      </w:r>
      <w:r w:rsidR="00126B88">
        <w:rPr>
          <w:b/>
          <w:sz w:val="24"/>
          <w:szCs w:val="24"/>
          <w:lang w:val="en-US"/>
        </w:rPr>
        <w:t xml:space="preserve"> </w:t>
      </w:r>
      <w:r w:rsidR="00433DC2">
        <w:rPr>
          <w:b/>
          <w:sz w:val="24"/>
          <w:szCs w:val="24"/>
          <w:lang w:val="en-US"/>
        </w:rPr>
        <w:t xml:space="preserve">in </w:t>
      </w:r>
      <w:r w:rsidR="00126B88">
        <w:rPr>
          <w:b/>
          <w:sz w:val="24"/>
          <w:szCs w:val="24"/>
          <w:lang w:val="en-US"/>
        </w:rPr>
        <w:t>2010</w:t>
      </w:r>
      <w:r>
        <w:rPr>
          <w:b/>
          <w:sz w:val="24"/>
          <w:szCs w:val="24"/>
          <w:lang w:val="en-US"/>
        </w:rPr>
        <w:t xml:space="preserve"> and </w:t>
      </w:r>
      <w:r w:rsidR="00D8145D">
        <w:rPr>
          <w:b/>
          <w:sz w:val="24"/>
          <w:szCs w:val="24"/>
          <w:lang w:val="en-US"/>
        </w:rPr>
        <w:t>the D</w:t>
      </w:r>
      <w:r w:rsidR="0094312C">
        <w:rPr>
          <w:b/>
          <w:sz w:val="24"/>
          <w:szCs w:val="24"/>
          <w:lang w:val="en-US"/>
        </w:rPr>
        <w:t>ifference</w:t>
      </w:r>
      <w:r w:rsidR="00D8145D">
        <w:rPr>
          <w:b/>
          <w:sz w:val="24"/>
          <w:szCs w:val="24"/>
          <w:lang w:val="en-US"/>
        </w:rPr>
        <w:t xml:space="preserve"> between </w:t>
      </w:r>
      <w:r w:rsidR="00E9025B">
        <w:rPr>
          <w:b/>
          <w:sz w:val="24"/>
          <w:szCs w:val="24"/>
          <w:lang w:val="en-US"/>
        </w:rPr>
        <w:t>T</w:t>
      </w:r>
      <w:r w:rsidR="00D8145D">
        <w:rPr>
          <w:b/>
          <w:sz w:val="24"/>
          <w:szCs w:val="24"/>
          <w:lang w:val="en-US"/>
        </w:rPr>
        <w:t>he</w:t>
      </w:r>
      <w:r w:rsidR="0094312C">
        <w:rPr>
          <w:b/>
          <w:sz w:val="24"/>
          <w:szCs w:val="24"/>
          <w:lang w:val="en-US"/>
        </w:rPr>
        <w:t>m</w:t>
      </w:r>
    </w:p>
    <w:tbl>
      <w:tblPr>
        <w:tblW w:w="9600" w:type="dxa"/>
        <w:jc w:val="center"/>
        <w:tblLook w:val="04A0" w:firstRow="1" w:lastRow="0" w:firstColumn="1" w:lastColumn="0" w:noHBand="0" w:noVBand="1"/>
      </w:tblPr>
      <w:tblGrid>
        <w:gridCol w:w="960"/>
        <w:gridCol w:w="960"/>
        <w:gridCol w:w="960"/>
        <w:gridCol w:w="960"/>
        <w:gridCol w:w="960"/>
        <w:gridCol w:w="960"/>
        <w:gridCol w:w="960"/>
        <w:gridCol w:w="960"/>
        <w:gridCol w:w="960"/>
        <w:gridCol w:w="960"/>
      </w:tblGrid>
      <w:tr w:rsidR="00B542BD" w:rsidRPr="00C67605" w:rsidTr="00D51B69">
        <w:trPr>
          <w:trHeight w:val="300"/>
          <w:jc w:val="center"/>
        </w:trPr>
        <w:tc>
          <w:tcPr>
            <w:tcW w:w="960" w:type="dxa"/>
            <w:tcBorders>
              <w:top w:val="nil"/>
              <w:left w:val="nil"/>
              <w:bottom w:val="single" w:sz="4" w:space="0" w:color="auto"/>
              <w:right w:val="single" w:sz="4" w:space="0" w:color="auto"/>
            </w:tcBorders>
            <w:shd w:val="clear" w:color="auto" w:fill="auto"/>
            <w:noWrap/>
            <w:vAlign w:val="bottom"/>
            <w:hideMark/>
          </w:tcPr>
          <w:p w:rsidR="00B542BD" w:rsidRPr="00C67605" w:rsidRDefault="00B542BD" w:rsidP="00D51B69">
            <w:pPr>
              <w:jc w:val="center"/>
              <w:rPr>
                <w:color w:val="000000"/>
                <w:sz w:val="22"/>
                <w:szCs w:val="22"/>
                <w:lang w:val="en-US" w:eastAsia="en-US"/>
              </w:rPr>
            </w:pP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1</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5</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10</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25</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50</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75</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90</w:t>
            </w:r>
          </w:p>
        </w:tc>
        <w:tc>
          <w:tcPr>
            <w:tcW w:w="960" w:type="dxa"/>
            <w:tcBorders>
              <w:top w:val="single" w:sz="4" w:space="0" w:color="auto"/>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95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542BD" w:rsidRPr="00C67605" w:rsidRDefault="00B542BD" w:rsidP="00D51B69">
            <w:pPr>
              <w:jc w:val="center"/>
              <w:rPr>
                <w:color w:val="000000"/>
                <w:sz w:val="22"/>
                <w:szCs w:val="22"/>
                <w:lang w:val="en-US" w:eastAsia="en-US"/>
              </w:rPr>
            </w:pPr>
            <w:r>
              <w:rPr>
                <w:color w:val="000000"/>
                <w:sz w:val="22"/>
                <w:szCs w:val="22"/>
                <w:lang w:val="en-US" w:eastAsia="en-US"/>
              </w:rPr>
              <w:t>p</w:t>
            </w:r>
            <w:r w:rsidRPr="00C67605">
              <w:rPr>
                <w:color w:val="000000"/>
                <w:sz w:val="22"/>
                <w:szCs w:val="22"/>
                <w:lang w:val="en-US" w:eastAsia="en-US"/>
              </w:rPr>
              <w:t>99</w:t>
            </w:r>
          </w:p>
        </w:tc>
      </w:tr>
      <w:tr w:rsidR="00B542BD" w:rsidRPr="00C67605" w:rsidTr="00D51B69">
        <w:trPr>
          <w:trHeight w:val="300"/>
          <w:jc w:val="center"/>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B542BD" w:rsidRPr="00C67605" w:rsidRDefault="002A2D76" w:rsidP="00D51B69">
            <w:pPr>
              <w:jc w:val="center"/>
              <w:rPr>
                <w:color w:val="000000"/>
                <w:sz w:val="22"/>
                <w:szCs w:val="22"/>
                <w:lang w:val="en-US" w:eastAsia="en-US"/>
              </w:rPr>
            </w:pPr>
            <w:r>
              <w:rPr>
                <w:color w:val="000000"/>
                <w:sz w:val="22"/>
                <w:szCs w:val="22"/>
                <w:lang w:val="en-US" w:eastAsia="en-US"/>
              </w:rPr>
              <w:t>il10</w:t>
            </w:r>
          </w:p>
        </w:tc>
        <w:tc>
          <w:tcPr>
            <w:tcW w:w="960" w:type="dxa"/>
            <w:tcBorders>
              <w:top w:val="single" w:sz="4" w:space="0" w:color="auto"/>
              <w:left w:val="single" w:sz="4" w:space="0" w:color="auto"/>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w:t>
            </w:r>
            <w:r w:rsidR="005E476C">
              <w:rPr>
                <w:color w:val="000000"/>
                <w:sz w:val="22"/>
                <w:szCs w:val="22"/>
                <w:lang w:val="en-US" w:eastAsia="en-US"/>
              </w:rPr>
              <w:t>173</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0.30</w:t>
            </w:r>
            <w:r w:rsidR="005E476C">
              <w:rPr>
                <w:color w:val="000000"/>
                <w:sz w:val="22"/>
                <w:szCs w:val="22"/>
                <w:lang w:val="en-US" w:eastAsia="en-US"/>
              </w:rPr>
              <w:t>1</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0.3</w:t>
            </w:r>
            <w:r w:rsidR="005E476C">
              <w:rPr>
                <w:color w:val="000000"/>
                <w:sz w:val="22"/>
                <w:szCs w:val="22"/>
                <w:lang w:val="en-US" w:eastAsia="en-US"/>
              </w:rPr>
              <w:t>68</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0.5</w:t>
            </w:r>
            <w:r w:rsidR="005E476C">
              <w:rPr>
                <w:color w:val="000000"/>
                <w:sz w:val="22"/>
                <w:szCs w:val="22"/>
                <w:lang w:val="en-US" w:eastAsia="en-US"/>
              </w:rPr>
              <w:t>68</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sidRPr="00C67605">
              <w:rPr>
                <w:color w:val="000000"/>
                <w:sz w:val="22"/>
                <w:szCs w:val="22"/>
                <w:lang w:val="en-US" w:eastAsia="en-US"/>
              </w:rPr>
              <w:t>1.000</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1.</w:t>
            </w:r>
            <w:r w:rsidR="005E476C">
              <w:rPr>
                <w:color w:val="000000"/>
                <w:sz w:val="22"/>
                <w:szCs w:val="22"/>
                <w:lang w:val="en-US" w:eastAsia="en-US"/>
              </w:rPr>
              <w:t>637</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2.</w:t>
            </w:r>
            <w:r w:rsidR="005E476C">
              <w:rPr>
                <w:color w:val="000000"/>
                <w:sz w:val="22"/>
                <w:szCs w:val="22"/>
                <w:lang w:val="en-US" w:eastAsia="en-US"/>
              </w:rPr>
              <w:t>366</w:t>
            </w:r>
          </w:p>
        </w:tc>
        <w:tc>
          <w:tcPr>
            <w:tcW w:w="960" w:type="dxa"/>
            <w:tcBorders>
              <w:top w:val="single" w:sz="4" w:space="0" w:color="auto"/>
              <w:left w:val="nil"/>
              <w:bottom w:val="nil"/>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2.</w:t>
            </w:r>
            <w:r w:rsidR="005E476C">
              <w:rPr>
                <w:color w:val="000000"/>
                <w:sz w:val="22"/>
                <w:szCs w:val="22"/>
                <w:lang w:val="en-US" w:eastAsia="en-US"/>
              </w:rPr>
              <w:t>945</w:t>
            </w:r>
          </w:p>
        </w:tc>
        <w:tc>
          <w:tcPr>
            <w:tcW w:w="960" w:type="dxa"/>
            <w:tcBorders>
              <w:top w:val="single" w:sz="4" w:space="0" w:color="auto"/>
              <w:left w:val="nil"/>
              <w:bottom w:val="nil"/>
              <w:right w:val="single" w:sz="4" w:space="0" w:color="auto"/>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4.4</w:t>
            </w:r>
            <w:r w:rsidR="005E476C">
              <w:rPr>
                <w:color w:val="000000"/>
                <w:sz w:val="22"/>
                <w:szCs w:val="22"/>
                <w:lang w:val="en-US" w:eastAsia="en-US"/>
              </w:rPr>
              <w:t>44</w:t>
            </w:r>
          </w:p>
        </w:tc>
      </w:tr>
      <w:tr w:rsidR="00B542BD" w:rsidRPr="00C67605" w:rsidTr="00D51B6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542BD" w:rsidRPr="00C67605" w:rsidRDefault="00B542BD" w:rsidP="00D51B69">
            <w:pPr>
              <w:jc w:val="center"/>
              <w:rPr>
                <w:color w:val="000000"/>
                <w:sz w:val="22"/>
                <w:szCs w:val="22"/>
                <w:lang w:val="en-US" w:eastAsia="en-US"/>
              </w:rPr>
            </w:pPr>
            <w:r w:rsidRPr="00C67605">
              <w:rPr>
                <w:color w:val="000000"/>
                <w:sz w:val="22"/>
                <w:szCs w:val="22"/>
                <w:lang w:val="en-US" w:eastAsia="en-US"/>
              </w:rPr>
              <w:t>us10</w:t>
            </w:r>
          </w:p>
        </w:tc>
        <w:tc>
          <w:tcPr>
            <w:tcW w:w="960" w:type="dxa"/>
            <w:tcBorders>
              <w:top w:val="nil"/>
              <w:left w:val="single" w:sz="4" w:space="0" w:color="auto"/>
              <w:bottom w:val="single" w:sz="4" w:space="0" w:color="auto"/>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0.0</w:t>
            </w:r>
            <w:r w:rsidR="005E476C">
              <w:rPr>
                <w:color w:val="000000"/>
                <w:sz w:val="22"/>
                <w:szCs w:val="22"/>
                <w:lang w:val="en-US" w:eastAsia="en-US"/>
              </w:rPr>
              <w:t>57</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0.23</w:t>
            </w:r>
            <w:r w:rsidR="005E476C">
              <w:rPr>
                <w:color w:val="000000"/>
                <w:sz w:val="22"/>
                <w:szCs w:val="22"/>
                <w:lang w:val="en-US" w:eastAsia="en-US"/>
              </w:rPr>
              <w:t>5</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0.36</w:t>
            </w:r>
            <w:r w:rsidR="005E476C">
              <w:rPr>
                <w:color w:val="000000"/>
                <w:sz w:val="22"/>
                <w:szCs w:val="22"/>
                <w:lang w:val="en-US" w:eastAsia="en-US"/>
              </w:rPr>
              <w:t>2</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0.6</w:t>
            </w:r>
            <w:r w:rsidR="005E476C">
              <w:rPr>
                <w:color w:val="000000"/>
                <w:sz w:val="22"/>
                <w:szCs w:val="22"/>
                <w:lang w:val="en-US" w:eastAsia="en-US"/>
              </w:rPr>
              <w:t>11</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sidRPr="00C67605">
              <w:rPr>
                <w:color w:val="000000"/>
                <w:sz w:val="22"/>
                <w:szCs w:val="22"/>
                <w:lang w:val="en-US" w:eastAsia="en-US"/>
              </w:rPr>
              <w:t>1.000</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1.53</w:t>
            </w:r>
            <w:r w:rsidR="005E476C">
              <w:rPr>
                <w:color w:val="000000"/>
                <w:sz w:val="22"/>
                <w:szCs w:val="22"/>
                <w:lang w:val="en-US" w:eastAsia="en-US"/>
              </w:rPr>
              <w:t>1</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2.1</w:t>
            </w:r>
            <w:r w:rsidR="005E476C">
              <w:rPr>
                <w:color w:val="000000"/>
                <w:sz w:val="22"/>
                <w:szCs w:val="22"/>
                <w:lang w:val="en-US" w:eastAsia="en-US"/>
              </w:rPr>
              <w:t>71</w:t>
            </w:r>
          </w:p>
        </w:tc>
        <w:tc>
          <w:tcPr>
            <w:tcW w:w="960" w:type="dxa"/>
            <w:tcBorders>
              <w:top w:val="nil"/>
              <w:left w:val="nil"/>
              <w:bottom w:val="single" w:sz="4" w:space="0" w:color="auto"/>
              <w:right w:val="nil"/>
            </w:tcBorders>
            <w:shd w:val="clear" w:color="auto" w:fill="auto"/>
            <w:noWrap/>
            <w:vAlign w:val="bottom"/>
            <w:hideMark/>
          </w:tcPr>
          <w:p w:rsidR="00B542BD" w:rsidRPr="00C67605" w:rsidRDefault="00B542BD" w:rsidP="00D51B69">
            <w:pPr>
              <w:jc w:val="center"/>
              <w:rPr>
                <w:color w:val="000000"/>
                <w:sz w:val="22"/>
                <w:szCs w:val="22"/>
                <w:lang w:val="en-US" w:eastAsia="en-US"/>
              </w:rPr>
            </w:pPr>
            <w:r w:rsidRPr="00C67605">
              <w:rPr>
                <w:color w:val="000000"/>
                <w:sz w:val="22"/>
                <w:szCs w:val="22"/>
                <w:lang w:val="en-US" w:eastAsia="en-US"/>
              </w:rPr>
              <w:t>2.731</w:t>
            </w:r>
          </w:p>
        </w:tc>
        <w:tc>
          <w:tcPr>
            <w:tcW w:w="960" w:type="dxa"/>
            <w:tcBorders>
              <w:top w:val="nil"/>
              <w:left w:val="nil"/>
              <w:bottom w:val="single" w:sz="4" w:space="0" w:color="auto"/>
              <w:right w:val="single" w:sz="4" w:space="0" w:color="auto"/>
            </w:tcBorders>
            <w:shd w:val="clear" w:color="auto" w:fill="auto"/>
            <w:noWrap/>
            <w:vAlign w:val="bottom"/>
            <w:hideMark/>
          </w:tcPr>
          <w:p w:rsidR="00B542BD" w:rsidRPr="00C67605" w:rsidRDefault="00B542BD" w:rsidP="005E476C">
            <w:pPr>
              <w:jc w:val="center"/>
              <w:rPr>
                <w:color w:val="000000"/>
                <w:sz w:val="22"/>
                <w:szCs w:val="22"/>
                <w:lang w:val="en-US" w:eastAsia="en-US"/>
              </w:rPr>
            </w:pPr>
            <w:r w:rsidRPr="00C67605">
              <w:rPr>
                <w:color w:val="000000"/>
                <w:sz w:val="22"/>
                <w:szCs w:val="22"/>
                <w:lang w:val="en-US" w:eastAsia="en-US"/>
              </w:rPr>
              <w:t>4.5</w:t>
            </w:r>
            <w:r w:rsidR="005E476C">
              <w:rPr>
                <w:color w:val="000000"/>
                <w:sz w:val="22"/>
                <w:szCs w:val="22"/>
                <w:lang w:val="en-US" w:eastAsia="en-US"/>
              </w:rPr>
              <w:t>0</w:t>
            </w:r>
            <w:r w:rsidRPr="00C67605">
              <w:rPr>
                <w:color w:val="000000"/>
                <w:sz w:val="22"/>
                <w:szCs w:val="22"/>
                <w:lang w:val="en-US" w:eastAsia="en-US"/>
              </w:rPr>
              <w:t>1</w:t>
            </w:r>
          </w:p>
        </w:tc>
      </w:tr>
      <w:tr w:rsidR="005E476C" w:rsidRPr="00C67605" w:rsidTr="00E14B45">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76C" w:rsidRPr="00C67605" w:rsidRDefault="005E476C" w:rsidP="00D51B69">
            <w:pPr>
              <w:jc w:val="center"/>
              <w:rPr>
                <w:color w:val="000000"/>
                <w:sz w:val="22"/>
                <w:szCs w:val="22"/>
                <w:lang w:val="en-US" w:eastAsia="en-US"/>
              </w:rPr>
            </w:pPr>
            <w:r w:rsidRPr="00C67605">
              <w:rPr>
                <w:color w:val="000000"/>
                <w:sz w:val="22"/>
                <w:szCs w:val="22"/>
                <w:lang w:val="en-US" w:eastAsia="en-US"/>
              </w:rPr>
              <w:t>Diff.</w:t>
            </w:r>
          </w:p>
        </w:tc>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-0.116</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-0.066</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-0.006</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0.043</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-0.106</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-0.195</w:t>
            </w:r>
          </w:p>
        </w:tc>
        <w:tc>
          <w:tcPr>
            <w:tcW w:w="960" w:type="dxa"/>
            <w:tcBorders>
              <w:top w:val="single" w:sz="4" w:space="0" w:color="auto"/>
              <w:left w:val="nil"/>
              <w:bottom w:val="single" w:sz="4" w:space="0" w:color="auto"/>
              <w:right w:val="nil"/>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-0.214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5E476C" w:rsidRPr="005E476C" w:rsidRDefault="005E476C" w:rsidP="00E14B45">
            <w:pPr>
              <w:jc w:val="center"/>
              <w:rPr>
                <w:color w:val="000000"/>
                <w:sz w:val="22"/>
                <w:szCs w:val="22"/>
                <w:lang w:val="en-US" w:eastAsia="en-US"/>
              </w:rPr>
            </w:pPr>
            <w:r w:rsidRPr="005E476C">
              <w:rPr>
                <w:color w:val="000000"/>
                <w:sz w:val="22"/>
                <w:szCs w:val="22"/>
                <w:lang w:val="en-US" w:eastAsia="en-US"/>
              </w:rPr>
              <w:t>0.057</w:t>
            </w:r>
          </w:p>
        </w:tc>
      </w:tr>
    </w:tbl>
    <w:p w:rsidR="003944E8" w:rsidRDefault="00426749" w:rsidP="00B542BD">
      <w:pPr>
        <w:spacing w:after="120"/>
        <w:rPr>
          <w:sz w:val="22"/>
          <w:szCs w:val="24"/>
          <w:lang w:val="en-US"/>
        </w:rPr>
      </w:pPr>
      <w:r>
        <w:rPr>
          <w:sz w:val="22"/>
          <w:szCs w:val="24"/>
          <w:lang w:val="en-US"/>
        </w:rPr>
        <w:t>Note: D</w:t>
      </w:r>
      <w:r w:rsidRPr="009B2E25">
        <w:rPr>
          <w:sz w:val="22"/>
          <w:szCs w:val="24"/>
          <w:lang w:val="en-US"/>
        </w:rPr>
        <w:t xml:space="preserve">iff. </w:t>
      </w:r>
      <w:r w:rsidR="0094312C">
        <w:rPr>
          <w:sz w:val="22"/>
          <w:szCs w:val="24"/>
          <w:lang w:val="en-US"/>
        </w:rPr>
        <w:t xml:space="preserve">shows </w:t>
      </w:r>
      <w:r w:rsidRPr="009B2E25">
        <w:rPr>
          <w:sz w:val="22"/>
          <w:szCs w:val="24"/>
          <w:lang w:val="en-US"/>
        </w:rPr>
        <w:t xml:space="preserve">the simple </w:t>
      </w:r>
      <w:r>
        <w:rPr>
          <w:sz w:val="22"/>
          <w:szCs w:val="24"/>
          <w:lang w:val="en-US"/>
        </w:rPr>
        <w:t xml:space="preserve">percentile level </w:t>
      </w:r>
      <w:r w:rsidRPr="009B2E25">
        <w:rPr>
          <w:sz w:val="22"/>
          <w:szCs w:val="24"/>
          <w:lang w:val="en-US"/>
        </w:rPr>
        <w:t>difference between the U.S. and Israel.</w:t>
      </w:r>
    </w:p>
    <w:p w:rsidR="005D57E5" w:rsidRDefault="005D57E5" w:rsidP="00B542BD">
      <w:pPr>
        <w:spacing w:after="120"/>
        <w:rPr>
          <w:sz w:val="22"/>
          <w:szCs w:val="24"/>
          <w:lang w:val="en-US"/>
        </w:rPr>
      </w:pPr>
    </w:p>
    <w:p w:rsidR="005D57E5" w:rsidRDefault="005D57E5" w:rsidP="00B542BD">
      <w:pPr>
        <w:spacing w:after="120"/>
        <w:rPr>
          <w:sz w:val="22"/>
          <w:szCs w:val="24"/>
          <w:lang w:val="en-US"/>
        </w:rPr>
      </w:pPr>
    </w:p>
    <w:p w:rsidR="00AA7A76" w:rsidRPr="00AA7A76" w:rsidRDefault="00AA7A76" w:rsidP="00AA7A76">
      <w:pPr>
        <w:spacing w:after="120" w:line="480" w:lineRule="auto"/>
        <w:rPr>
          <w:b/>
          <w:sz w:val="24"/>
          <w:szCs w:val="24"/>
          <w:lang w:val="en-US"/>
        </w:rPr>
      </w:pPr>
      <w:r w:rsidRPr="00353C6B">
        <w:rPr>
          <w:b/>
          <w:sz w:val="24"/>
          <w:szCs w:val="24"/>
          <w:lang w:val="en-US"/>
        </w:rPr>
        <w:t xml:space="preserve">Table </w:t>
      </w:r>
      <w:r>
        <w:rPr>
          <w:b/>
          <w:sz w:val="24"/>
          <w:szCs w:val="24"/>
          <w:lang w:val="en-US"/>
        </w:rPr>
        <w:t>2</w:t>
      </w:r>
      <w:r w:rsidRPr="00353C6B">
        <w:rPr>
          <w:b/>
          <w:sz w:val="24"/>
          <w:szCs w:val="24"/>
          <w:lang w:val="en-US"/>
        </w:rPr>
        <w:t xml:space="preserve">: </w:t>
      </w:r>
      <w:r>
        <w:rPr>
          <w:b/>
          <w:sz w:val="24"/>
          <w:szCs w:val="24"/>
          <w:lang w:val="en-US"/>
        </w:rPr>
        <w:t xml:space="preserve">Estimates </w:t>
      </w:r>
      <w:r w:rsidRPr="00AA7A76">
        <w:rPr>
          <w:b/>
          <w:sz w:val="24"/>
          <w:szCs w:val="24"/>
          <w:lang w:val="en-US"/>
        </w:rPr>
        <w:t xml:space="preserve">of </w:t>
      </w:r>
      <w:r>
        <w:rPr>
          <w:b/>
          <w:sz w:val="24"/>
          <w:szCs w:val="24"/>
          <w:lang w:val="en-US"/>
        </w:rPr>
        <w:t>ABG</w:t>
      </w:r>
      <w:r w:rsidRPr="00AA7A76">
        <w:rPr>
          <w:b/>
          <w:sz w:val="24"/>
          <w:szCs w:val="24"/>
          <w:lang w:val="en-US"/>
        </w:rPr>
        <w:t xml:space="preserve"> Parameters</w:t>
      </w:r>
      <w:r>
        <w:rPr>
          <w:b/>
          <w:sz w:val="24"/>
          <w:szCs w:val="24"/>
          <w:lang w:val="en-US"/>
        </w:rPr>
        <w:t xml:space="preserve"> in</w:t>
      </w:r>
      <w:r w:rsidRPr="00AA7A76">
        <w:rPr>
          <w:b/>
          <w:sz w:val="24"/>
          <w:szCs w:val="24"/>
          <w:lang w:val="en-US"/>
        </w:rPr>
        <w:t xml:space="preserve"> </w:t>
      </w:r>
      <w:r>
        <w:rPr>
          <w:b/>
          <w:sz w:val="24"/>
          <w:szCs w:val="24"/>
          <w:lang w:val="en-US"/>
        </w:rPr>
        <w:t xml:space="preserve">Israel and the U.S. </w:t>
      </w:r>
      <w:r w:rsidR="00D8145D">
        <w:rPr>
          <w:b/>
          <w:sz w:val="24"/>
          <w:szCs w:val="24"/>
          <w:lang w:val="en-US"/>
        </w:rPr>
        <w:t xml:space="preserve">in </w:t>
      </w:r>
      <w:r>
        <w:rPr>
          <w:b/>
          <w:sz w:val="24"/>
          <w:szCs w:val="24"/>
          <w:lang w:val="en-US"/>
        </w:rPr>
        <w:t>2010</w:t>
      </w:r>
    </w:p>
    <w:tbl>
      <w:tblPr>
        <w:tblW w:w="0" w:type="auto"/>
        <w:tblInd w:w="93" w:type="dxa"/>
        <w:tblLook w:val="04A0" w:firstRow="1" w:lastRow="0" w:firstColumn="1" w:lastColumn="0" w:noHBand="0" w:noVBand="1"/>
      </w:tblPr>
      <w:tblGrid>
        <w:gridCol w:w="938"/>
        <w:gridCol w:w="1206"/>
        <w:gridCol w:w="931"/>
        <w:gridCol w:w="1402"/>
        <w:gridCol w:w="1439"/>
      </w:tblGrid>
      <w:tr w:rsidR="00AA7A76" w:rsidRPr="00AA7A76" w:rsidTr="00AA7A76">
        <w:trPr>
          <w:trHeight w:val="315"/>
        </w:trPr>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IL2010</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D8145D">
            <w:pPr>
              <w:jc w:val="center"/>
              <w:rPr>
                <w:color w:val="000000"/>
                <w:sz w:val="22"/>
                <w:szCs w:val="22"/>
                <w:lang w:val="en-US" w:eastAsia="en-US"/>
              </w:rPr>
            </w:pPr>
            <w:r w:rsidRPr="00AA7A76">
              <w:rPr>
                <w:color w:val="000000"/>
                <w:sz w:val="22"/>
                <w:szCs w:val="22"/>
                <w:lang w:val="en-US" w:eastAsia="en-US"/>
              </w:rPr>
              <w:t>Coef</w:t>
            </w:r>
            <w:r w:rsidR="00D8145D">
              <w:rPr>
                <w:color w:val="000000"/>
                <w:sz w:val="22"/>
                <w:szCs w:val="22"/>
                <w:lang w:val="en-US" w:eastAsia="en-US"/>
              </w:rPr>
              <w:t>ficent</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S.E.</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95% C.I. min</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95% C.I. max</w:t>
            </w:r>
          </w:p>
        </w:tc>
      </w:tr>
      <w:tr w:rsidR="00AA7A76" w:rsidRPr="00AA7A76" w:rsidTr="00AA7A76">
        <w:trPr>
          <w:trHeight w:val="315"/>
        </w:trPr>
        <w:tc>
          <w:tcPr>
            <w:tcW w:w="0" w:type="auto"/>
            <w:tcBorders>
              <w:top w:val="nil"/>
              <w:left w:val="nil"/>
              <w:bottom w:val="nil"/>
              <w:right w:val="nil"/>
            </w:tcBorders>
            <w:shd w:val="clear" w:color="auto" w:fill="auto"/>
            <w:noWrap/>
            <w:vAlign w:val="bottom"/>
            <w:hideMark/>
          </w:tcPr>
          <w:p w:rsidR="00AA7A76" w:rsidRPr="00AA7A76" w:rsidRDefault="00553EE2" w:rsidP="00553EE2">
            <w:pPr>
              <w:jc w:val="center"/>
              <w:rPr>
                <w:color w:val="000000"/>
                <w:sz w:val="22"/>
                <w:szCs w:val="22"/>
                <w:lang w:val="en-US" w:eastAsia="en-US"/>
              </w:rPr>
            </w:pPr>
            <w:r>
              <w:rPr>
                <w:rFonts w:ascii="Symbol" w:hAnsi="Symbol"/>
                <w:color w:val="000000"/>
                <w:sz w:val="22"/>
                <w:szCs w:val="22"/>
                <w:lang w:val="en-US" w:eastAsia="en-US"/>
              </w:rPr>
              <w:t></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0.53852</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0.00059</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0.53737</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0.53968</w:t>
            </w:r>
          </w:p>
        </w:tc>
      </w:tr>
      <w:tr w:rsidR="00AA7A76" w:rsidRPr="00AA7A76" w:rsidTr="00AA7A76">
        <w:trPr>
          <w:trHeight w:val="330"/>
        </w:trPr>
        <w:tc>
          <w:tcPr>
            <w:tcW w:w="0" w:type="auto"/>
            <w:tcBorders>
              <w:top w:val="nil"/>
              <w:left w:val="nil"/>
              <w:bottom w:val="nil"/>
              <w:right w:val="nil"/>
            </w:tcBorders>
            <w:shd w:val="clear" w:color="auto" w:fill="auto"/>
            <w:noWrap/>
            <w:vAlign w:val="bottom"/>
            <w:hideMark/>
          </w:tcPr>
          <w:p w:rsidR="00AA7A76" w:rsidRPr="00AA7A76" w:rsidRDefault="00553EE2" w:rsidP="00553EE2">
            <w:pPr>
              <w:jc w:val="center"/>
              <w:rPr>
                <w:color w:val="000000"/>
                <w:sz w:val="22"/>
                <w:szCs w:val="22"/>
                <w:lang w:val="en-US" w:eastAsia="en-US"/>
              </w:rPr>
            </w:pPr>
            <w:r>
              <w:rPr>
                <w:rFonts w:ascii="Symbol" w:hAnsi="Symbol"/>
                <w:color w:val="000000"/>
                <w:sz w:val="22"/>
                <w:szCs w:val="22"/>
                <w:lang w:val="en-US" w:eastAsia="en-US"/>
              </w:rPr>
              <w:t></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-0.23972</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0.00124</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-0.24215</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-0.23728</w:t>
            </w:r>
          </w:p>
        </w:tc>
      </w:tr>
      <w:tr w:rsidR="00AA7A76" w:rsidRPr="00AA7A76" w:rsidTr="00AA7A76">
        <w:trPr>
          <w:trHeight w:val="315"/>
        </w:trPr>
        <w:tc>
          <w:tcPr>
            <w:tcW w:w="0" w:type="auto"/>
            <w:tcBorders>
              <w:top w:val="nil"/>
              <w:left w:val="nil"/>
              <w:bottom w:val="nil"/>
              <w:right w:val="nil"/>
            </w:tcBorders>
            <w:shd w:val="clear" w:color="auto" w:fill="auto"/>
            <w:noWrap/>
            <w:vAlign w:val="bottom"/>
            <w:hideMark/>
          </w:tcPr>
          <w:p w:rsidR="00AA7A76" w:rsidRPr="00AA7A76" w:rsidRDefault="00553EE2" w:rsidP="00553EE2">
            <w:pPr>
              <w:jc w:val="center"/>
              <w:rPr>
                <w:color w:val="000000"/>
                <w:sz w:val="22"/>
                <w:szCs w:val="22"/>
                <w:lang w:val="en-US" w:eastAsia="en-US"/>
              </w:rPr>
            </w:pPr>
            <w:r>
              <w:rPr>
                <w:rFonts w:ascii="Symbol" w:hAnsi="Symbol"/>
                <w:color w:val="000000"/>
                <w:sz w:val="22"/>
                <w:szCs w:val="22"/>
                <w:lang w:val="en-US" w:eastAsia="en-US"/>
              </w:rPr>
              <w:t></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-0.14505</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0.00114</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-0.14728</w:t>
            </w:r>
          </w:p>
        </w:tc>
        <w:tc>
          <w:tcPr>
            <w:tcW w:w="0" w:type="auto"/>
            <w:tcBorders>
              <w:top w:val="nil"/>
              <w:left w:val="nil"/>
              <w:bottom w:val="nil"/>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-0.14282</w:t>
            </w:r>
          </w:p>
        </w:tc>
      </w:tr>
      <w:tr w:rsidR="00AA7A76" w:rsidRPr="00AA7A76" w:rsidTr="00AA7A76">
        <w:trPr>
          <w:trHeight w:val="315"/>
        </w:trPr>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jc w:val="right"/>
              <w:rPr>
                <w:color w:val="000000"/>
                <w:sz w:val="22"/>
                <w:szCs w:val="22"/>
                <w:lang w:val="en-US" w:eastAsia="en-US"/>
              </w:rPr>
            </w:pPr>
            <w:r w:rsidRPr="00AA7A76">
              <w:rPr>
                <w:color w:val="000000"/>
                <w:sz w:val="22"/>
                <w:szCs w:val="22"/>
                <w:lang w:val="en-US" w:eastAsia="en-US"/>
              </w:rPr>
              <w:t>N</w:t>
            </w:r>
            <w:r w:rsidR="0094312C">
              <w:rPr>
                <w:color w:val="000000"/>
                <w:sz w:val="22"/>
                <w:szCs w:val="22"/>
                <w:lang w:val="en-US" w:eastAsia="en-US"/>
              </w:rPr>
              <w:t xml:space="preserve"> </w:t>
            </w:r>
            <w:r w:rsidRPr="00AA7A76">
              <w:rPr>
                <w:color w:val="000000"/>
                <w:sz w:val="22"/>
                <w:szCs w:val="22"/>
                <w:lang w:val="en-US" w:eastAsia="en-US"/>
              </w:rPr>
              <w:t>=</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FC4D25">
            <w:pPr>
              <w:rPr>
                <w:color w:val="000000"/>
                <w:sz w:val="22"/>
                <w:szCs w:val="22"/>
                <w:lang w:val="en-US" w:eastAsia="en-US"/>
              </w:rPr>
            </w:pPr>
            <w:r w:rsidRPr="00AA7A76">
              <w:rPr>
                <w:color w:val="000000"/>
                <w:sz w:val="22"/>
                <w:szCs w:val="22"/>
                <w:lang w:val="en-US" w:eastAsia="en-US"/>
              </w:rPr>
              <w:t>18</w:t>
            </w:r>
            <w:r w:rsidR="00FC4D25">
              <w:rPr>
                <w:color w:val="000000"/>
                <w:sz w:val="22"/>
                <w:szCs w:val="22"/>
                <w:lang w:val="en-US" w:eastAsia="en-US"/>
              </w:rPr>
              <w:t>,</w:t>
            </w:r>
            <w:r w:rsidRPr="00AA7A76">
              <w:rPr>
                <w:color w:val="000000"/>
                <w:sz w:val="22"/>
                <w:szCs w:val="22"/>
                <w:lang w:val="en-US" w:eastAsia="en-US"/>
              </w:rPr>
              <w:t>936</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2A1BD0" w:rsidP="00AA7A76">
            <w:pPr>
              <w:jc w:val="right"/>
              <w:rPr>
                <w:color w:val="000000"/>
                <w:sz w:val="22"/>
                <w:szCs w:val="22"/>
                <w:lang w:val="en-US" w:eastAsia="en-US"/>
              </w:rPr>
            </w:pPr>
            <w:r>
              <w:rPr>
                <w:color w:val="000000"/>
                <w:sz w:val="22"/>
                <w:szCs w:val="22"/>
                <w:lang w:eastAsia="en-US"/>
              </w:rPr>
              <w:t>r</w:t>
            </w:r>
            <w:r w:rsidRPr="0094312C">
              <w:rPr>
                <w:color w:val="000000"/>
                <w:sz w:val="22"/>
                <w:szCs w:val="22"/>
                <w:vertAlign w:val="superscript"/>
                <w:lang w:eastAsia="en-US"/>
              </w:rPr>
              <w:t>2</w:t>
            </w:r>
            <w:r>
              <w:rPr>
                <w:color w:val="000000"/>
                <w:sz w:val="22"/>
                <w:szCs w:val="22"/>
                <w:vertAlign w:val="superscript"/>
                <w:lang w:eastAsia="en-US"/>
              </w:rPr>
              <w:t xml:space="preserve"> </w:t>
            </w:r>
            <w:r w:rsidR="00AA7A76" w:rsidRPr="00AA7A76">
              <w:rPr>
                <w:color w:val="000000"/>
                <w:sz w:val="22"/>
                <w:szCs w:val="22"/>
                <w:lang w:val="en-US" w:eastAsia="en-US"/>
              </w:rPr>
              <w:t>=</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rPr>
                <w:color w:val="000000"/>
                <w:sz w:val="22"/>
                <w:szCs w:val="22"/>
                <w:lang w:val="en-US" w:eastAsia="en-US"/>
              </w:rPr>
            </w:pPr>
            <w:r w:rsidRPr="00AA7A76">
              <w:rPr>
                <w:color w:val="000000"/>
                <w:sz w:val="22"/>
                <w:szCs w:val="22"/>
                <w:lang w:val="en-US" w:eastAsia="en-US"/>
              </w:rPr>
              <w:t>0.9959</w:t>
            </w:r>
          </w:p>
        </w:tc>
        <w:tc>
          <w:tcPr>
            <w:tcW w:w="0" w:type="auto"/>
            <w:tcBorders>
              <w:top w:val="single" w:sz="4" w:space="0" w:color="auto"/>
              <w:left w:val="nil"/>
              <w:bottom w:val="single" w:sz="4" w:space="0" w:color="auto"/>
              <w:right w:val="nil"/>
            </w:tcBorders>
            <w:shd w:val="clear" w:color="auto" w:fill="auto"/>
            <w:noWrap/>
            <w:vAlign w:val="bottom"/>
            <w:hideMark/>
          </w:tcPr>
          <w:p w:rsidR="00AA7A76" w:rsidRPr="00AA7A76" w:rsidRDefault="00AA7A76" w:rsidP="00AA7A76">
            <w:pPr>
              <w:rPr>
                <w:color w:val="000000"/>
                <w:sz w:val="22"/>
                <w:szCs w:val="22"/>
                <w:lang w:val="en-US" w:eastAsia="en-US"/>
              </w:rPr>
            </w:pPr>
            <w:r w:rsidRPr="00AA7A76">
              <w:rPr>
                <w:color w:val="000000"/>
                <w:sz w:val="22"/>
                <w:szCs w:val="22"/>
                <w:lang w:val="en-US" w:eastAsia="en-US"/>
              </w:rPr>
              <w:t> </w:t>
            </w:r>
          </w:p>
        </w:tc>
      </w:tr>
      <w:tr w:rsidR="00AA7A76" w:rsidRPr="00AA7A76" w:rsidTr="00AA7A76">
        <w:trPr>
          <w:trHeight w:val="315"/>
        </w:trPr>
        <w:tc>
          <w:tcPr>
            <w:tcW w:w="0" w:type="auto"/>
            <w:tcBorders>
              <w:top w:val="nil"/>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US2010</w:t>
            </w:r>
          </w:p>
        </w:tc>
        <w:tc>
          <w:tcPr>
            <w:tcW w:w="0" w:type="auto"/>
            <w:tcBorders>
              <w:top w:val="nil"/>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Coef</w:t>
            </w:r>
            <w:r w:rsidR="00D8145D">
              <w:rPr>
                <w:color w:val="000000"/>
                <w:sz w:val="22"/>
                <w:szCs w:val="22"/>
                <w:lang w:val="en-US" w:eastAsia="en-US"/>
              </w:rPr>
              <w:t>ficient</w:t>
            </w:r>
          </w:p>
        </w:tc>
        <w:tc>
          <w:tcPr>
            <w:tcW w:w="0" w:type="auto"/>
            <w:tcBorders>
              <w:top w:val="nil"/>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S.E.</w:t>
            </w:r>
          </w:p>
        </w:tc>
        <w:tc>
          <w:tcPr>
            <w:tcW w:w="0" w:type="auto"/>
            <w:tcBorders>
              <w:top w:val="nil"/>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95% C.I. min</w:t>
            </w:r>
          </w:p>
        </w:tc>
        <w:tc>
          <w:tcPr>
            <w:tcW w:w="0" w:type="auto"/>
            <w:tcBorders>
              <w:top w:val="nil"/>
              <w:left w:val="nil"/>
              <w:bottom w:val="single" w:sz="4" w:space="0" w:color="auto"/>
              <w:right w:val="nil"/>
            </w:tcBorders>
            <w:shd w:val="clear" w:color="auto" w:fill="auto"/>
            <w:noWrap/>
            <w:vAlign w:val="bottom"/>
            <w:hideMark/>
          </w:tcPr>
          <w:p w:rsidR="00AA7A76" w:rsidRPr="00AA7A76" w:rsidRDefault="00AA7A76" w:rsidP="00AA7A76">
            <w:pPr>
              <w:jc w:val="center"/>
              <w:rPr>
                <w:color w:val="000000"/>
                <w:sz w:val="22"/>
                <w:szCs w:val="22"/>
                <w:lang w:val="en-US" w:eastAsia="en-US"/>
              </w:rPr>
            </w:pPr>
            <w:r w:rsidRPr="00AA7A76">
              <w:rPr>
                <w:color w:val="000000"/>
                <w:sz w:val="22"/>
                <w:szCs w:val="22"/>
                <w:lang w:val="en-US" w:eastAsia="en-US"/>
              </w:rPr>
              <w:t>95% C.I. max</w:t>
            </w:r>
          </w:p>
        </w:tc>
      </w:tr>
      <w:tr w:rsidR="00553EE2" w:rsidRPr="00AA7A76" w:rsidTr="00AA7A76">
        <w:trPr>
          <w:trHeight w:val="315"/>
        </w:trPr>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Pr>
                <w:rFonts w:ascii="Symbol" w:hAnsi="Symbol"/>
                <w:color w:val="000000"/>
                <w:sz w:val="22"/>
                <w:szCs w:val="22"/>
                <w:lang w:val="en-US" w:eastAsia="en-US"/>
              </w:rPr>
              <w:t></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0.42699</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0.00005</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0.42689</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0.42709</w:t>
            </w:r>
          </w:p>
        </w:tc>
      </w:tr>
      <w:tr w:rsidR="00553EE2" w:rsidRPr="00AA7A76" w:rsidTr="00AA7A76">
        <w:trPr>
          <w:trHeight w:val="330"/>
        </w:trPr>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Pr>
                <w:rFonts w:ascii="Symbol" w:hAnsi="Symbol"/>
                <w:color w:val="000000"/>
                <w:sz w:val="22"/>
                <w:szCs w:val="22"/>
                <w:lang w:val="en-US" w:eastAsia="en-US"/>
              </w:rPr>
              <w:t></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-0.09251</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0.00015</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-0.09280</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-0.09223</w:t>
            </w:r>
          </w:p>
        </w:tc>
      </w:tr>
      <w:tr w:rsidR="00553EE2" w:rsidRPr="00AA7A76" w:rsidTr="00AA7A76">
        <w:trPr>
          <w:trHeight w:val="315"/>
        </w:trPr>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Pr>
                <w:rFonts w:ascii="Symbol" w:hAnsi="Symbol"/>
                <w:color w:val="000000"/>
                <w:sz w:val="22"/>
                <w:szCs w:val="22"/>
                <w:lang w:val="en-US" w:eastAsia="en-US"/>
              </w:rPr>
              <w:t></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0.05202</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0.00031</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0.05141</w:t>
            </w:r>
          </w:p>
        </w:tc>
        <w:tc>
          <w:tcPr>
            <w:tcW w:w="0" w:type="auto"/>
            <w:tcBorders>
              <w:top w:val="nil"/>
              <w:left w:val="nil"/>
              <w:bottom w:val="nil"/>
              <w:right w:val="nil"/>
            </w:tcBorders>
            <w:shd w:val="clear" w:color="auto" w:fill="auto"/>
            <w:noWrap/>
            <w:vAlign w:val="bottom"/>
            <w:hideMark/>
          </w:tcPr>
          <w:p w:rsidR="00553EE2" w:rsidRPr="00AA7A76" w:rsidRDefault="00553EE2" w:rsidP="00AA7A76">
            <w:pPr>
              <w:jc w:val="center"/>
              <w:rPr>
                <w:color w:val="000000"/>
                <w:sz w:val="22"/>
                <w:szCs w:val="22"/>
                <w:lang w:val="en-US" w:eastAsia="en-US"/>
              </w:rPr>
            </w:pPr>
            <w:r w:rsidRPr="00AA7A76">
              <w:rPr>
                <w:color w:val="000000"/>
                <w:sz w:val="22"/>
                <w:szCs w:val="22"/>
                <w:lang w:val="en-US" w:eastAsia="en-US"/>
              </w:rPr>
              <w:t>0.05263</w:t>
            </w:r>
          </w:p>
        </w:tc>
      </w:tr>
      <w:tr w:rsidR="00553EE2" w:rsidRPr="00AA7A76" w:rsidTr="00AA7A76">
        <w:trPr>
          <w:trHeight w:val="315"/>
        </w:trPr>
        <w:tc>
          <w:tcPr>
            <w:tcW w:w="0" w:type="auto"/>
            <w:tcBorders>
              <w:top w:val="single" w:sz="4" w:space="0" w:color="auto"/>
              <w:left w:val="nil"/>
              <w:bottom w:val="single" w:sz="4" w:space="0" w:color="auto"/>
              <w:right w:val="nil"/>
            </w:tcBorders>
            <w:shd w:val="clear" w:color="auto" w:fill="auto"/>
            <w:noWrap/>
            <w:vAlign w:val="bottom"/>
            <w:hideMark/>
          </w:tcPr>
          <w:p w:rsidR="00553EE2" w:rsidRPr="00AA7A76" w:rsidRDefault="00553EE2" w:rsidP="00AA7A76">
            <w:pPr>
              <w:jc w:val="right"/>
              <w:rPr>
                <w:color w:val="000000"/>
                <w:sz w:val="22"/>
                <w:szCs w:val="22"/>
                <w:lang w:val="en-US" w:eastAsia="en-US"/>
              </w:rPr>
            </w:pPr>
            <w:r w:rsidRPr="00AA7A76">
              <w:rPr>
                <w:color w:val="000000"/>
                <w:sz w:val="22"/>
                <w:szCs w:val="22"/>
                <w:lang w:val="en-US" w:eastAsia="en-US"/>
              </w:rPr>
              <w:t>N</w:t>
            </w:r>
            <w:r w:rsidR="0094312C">
              <w:rPr>
                <w:color w:val="000000"/>
                <w:sz w:val="22"/>
                <w:szCs w:val="22"/>
                <w:lang w:val="en-US" w:eastAsia="en-US"/>
              </w:rPr>
              <w:t xml:space="preserve"> </w:t>
            </w:r>
            <w:r w:rsidRPr="00AA7A76">
              <w:rPr>
                <w:color w:val="000000"/>
                <w:sz w:val="22"/>
                <w:szCs w:val="22"/>
                <w:lang w:val="en-US" w:eastAsia="en-US"/>
              </w:rPr>
              <w:t>=</w:t>
            </w:r>
          </w:p>
        </w:tc>
        <w:tc>
          <w:tcPr>
            <w:tcW w:w="0" w:type="auto"/>
            <w:tcBorders>
              <w:top w:val="single" w:sz="4" w:space="0" w:color="auto"/>
              <w:left w:val="nil"/>
              <w:bottom w:val="single" w:sz="4" w:space="0" w:color="auto"/>
              <w:right w:val="nil"/>
            </w:tcBorders>
            <w:shd w:val="clear" w:color="auto" w:fill="auto"/>
            <w:noWrap/>
            <w:vAlign w:val="bottom"/>
            <w:hideMark/>
          </w:tcPr>
          <w:p w:rsidR="00553EE2" w:rsidRPr="00AA7A76" w:rsidRDefault="00553EE2" w:rsidP="00FC4D25">
            <w:pPr>
              <w:rPr>
                <w:color w:val="000000"/>
                <w:sz w:val="22"/>
                <w:szCs w:val="22"/>
                <w:lang w:val="en-US" w:eastAsia="en-US"/>
              </w:rPr>
            </w:pPr>
            <w:r w:rsidRPr="00AA7A76">
              <w:rPr>
                <w:color w:val="000000"/>
                <w:sz w:val="22"/>
                <w:szCs w:val="22"/>
                <w:lang w:val="en-US" w:eastAsia="en-US"/>
              </w:rPr>
              <w:t>191</w:t>
            </w:r>
            <w:r>
              <w:rPr>
                <w:color w:val="000000"/>
                <w:sz w:val="22"/>
                <w:szCs w:val="22"/>
                <w:lang w:val="en-US" w:eastAsia="en-US"/>
              </w:rPr>
              <w:t>,</w:t>
            </w:r>
            <w:r w:rsidRPr="00AA7A76">
              <w:rPr>
                <w:color w:val="000000"/>
                <w:sz w:val="22"/>
                <w:szCs w:val="22"/>
                <w:lang w:val="en-US" w:eastAsia="en-US"/>
              </w:rPr>
              <w:t>055</w:t>
            </w:r>
          </w:p>
        </w:tc>
        <w:tc>
          <w:tcPr>
            <w:tcW w:w="0" w:type="auto"/>
            <w:tcBorders>
              <w:top w:val="single" w:sz="4" w:space="0" w:color="auto"/>
              <w:left w:val="nil"/>
              <w:bottom w:val="single" w:sz="4" w:space="0" w:color="auto"/>
              <w:right w:val="nil"/>
            </w:tcBorders>
            <w:shd w:val="clear" w:color="auto" w:fill="auto"/>
            <w:noWrap/>
            <w:vAlign w:val="bottom"/>
            <w:hideMark/>
          </w:tcPr>
          <w:p w:rsidR="00553EE2" w:rsidRPr="00AA7A76" w:rsidRDefault="002A1BD0" w:rsidP="00AA7A76">
            <w:pPr>
              <w:jc w:val="right"/>
              <w:rPr>
                <w:color w:val="000000"/>
                <w:sz w:val="22"/>
                <w:szCs w:val="22"/>
                <w:lang w:val="en-US" w:eastAsia="en-US"/>
              </w:rPr>
            </w:pPr>
            <w:r>
              <w:rPr>
                <w:color w:val="000000"/>
                <w:sz w:val="22"/>
                <w:szCs w:val="22"/>
                <w:lang w:eastAsia="en-US"/>
              </w:rPr>
              <w:t>r</w:t>
            </w:r>
            <w:r w:rsidRPr="0094312C">
              <w:rPr>
                <w:color w:val="000000"/>
                <w:sz w:val="22"/>
                <w:szCs w:val="22"/>
                <w:vertAlign w:val="superscript"/>
                <w:lang w:eastAsia="en-US"/>
              </w:rPr>
              <w:t>2</w:t>
            </w:r>
            <w:r>
              <w:rPr>
                <w:color w:val="000000"/>
                <w:sz w:val="22"/>
                <w:szCs w:val="22"/>
                <w:vertAlign w:val="superscript"/>
                <w:lang w:eastAsia="en-US"/>
              </w:rPr>
              <w:t xml:space="preserve"> </w:t>
            </w:r>
            <w:r w:rsidR="00553EE2" w:rsidRPr="00AA7A76">
              <w:rPr>
                <w:color w:val="000000"/>
                <w:sz w:val="22"/>
                <w:szCs w:val="22"/>
                <w:lang w:val="en-US" w:eastAsia="en-US"/>
              </w:rPr>
              <w:t>=</w:t>
            </w:r>
          </w:p>
        </w:tc>
        <w:tc>
          <w:tcPr>
            <w:tcW w:w="0" w:type="auto"/>
            <w:tcBorders>
              <w:top w:val="single" w:sz="4" w:space="0" w:color="auto"/>
              <w:left w:val="nil"/>
              <w:bottom w:val="single" w:sz="4" w:space="0" w:color="auto"/>
              <w:right w:val="nil"/>
            </w:tcBorders>
            <w:shd w:val="clear" w:color="auto" w:fill="auto"/>
            <w:noWrap/>
            <w:vAlign w:val="bottom"/>
            <w:hideMark/>
          </w:tcPr>
          <w:p w:rsidR="00553EE2" w:rsidRPr="00AA7A76" w:rsidRDefault="00553EE2" w:rsidP="00AA7A76">
            <w:pPr>
              <w:rPr>
                <w:color w:val="000000"/>
                <w:sz w:val="22"/>
                <w:szCs w:val="22"/>
                <w:lang w:val="en-US" w:eastAsia="en-US"/>
              </w:rPr>
            </w:pPr>
            <w:r w:rsidRPr="00AA7A76">
              <w:rPr>
                <w:color w:val="000000"/>
                <w:sz w:val="22"/>
                <w:szCs w:val="22"/>
                <w:lang w:val="en-US" w:eastAsia="en-US"/>
              </w:rPr>
              <w:t>0.9991</w:t>
            </w:r>
          </w:p>
        </w:tc>
        <w:tc>
          <w:tcPr>
            <w:tcW w:w="0" w:type="auto"/>
            <w:tcBorders>
              <w:top w:val="single" w:sz="4" w:space="0" w:color="auto"/>
              <w:left w:val="nil"/>
              <w:bottom w:val="single" w:sz="4" w:space="0" w:color="auto"/>
              <w:right w:val="nil"/>
            </w:tcBorders>
            <w:shd w:val="clear" w:color="auto" w:fill="auto"/>
            <w:noWrap/>
            <w:vAlign w:val="bottom"/>
            <w:hideMark/>
          </w:tcPr>
          <w:p w:rsidR="00553EE2" w:rsidRPr="00AA7A76" w:rsidRDefault="00553EE2" w:rsidP="00AA7A76">
            <w:pPr>
              <w:rPr>
                <w:color w:val="000000"/>
                <w:sz w:val="22"/>
                <w:szCs w:val="22"/>
                <w:lang w:val="en-US" w:eastAsia="en-US"/>
              </w:rPr>
            </w:pPr>
            <w:r w:rsidRPr="00AA7A76">
              <w:rPr>
                <w:color w:val="000000"/>
                <w:sz w:val="22"/>
                <w:szCs w:val="22"/>
                <w:lang w:val="en-US" w:eastAsia="en-US"/>
              </w:rPr>
              <w:t> </w:t>
            </w:r>
          </w:p>
        </w:tc>
      </w:tr>
    </w:tbl>
    <w:p w:rsidR="005E476C" w:rsidRDefault="005E476C" w:rsidP="00B542BD">
      <w:pPr>
        <w:spacing w:after="120"/>
        <w:rPr>
          <w:sz w:val="22"/>
          <w:szCs w:val="24"/>
          <w:lang w:val="en-US"/>
        </w:rPr>
      </w:pPr>
    </w:p>
    <w:p w:rsidR="00AA7A76" w:rsidRPr="009B2E25" w:rsidRDefault="00AA7A76" w:rsidP="00B542BD">
      <w:pPr>
        <w:spacing w:after="120"/>
        <w:rPr>
          <w:sz w:val="22"/>
          <w:szCs w:val="24"/>
          <w:lang w:val="en-US"/>
        </w:rPr>
      </w:pPr>
    </w:p>
    <w:p w:rsidR="00B542BD" w:rsidRPr="00AE1BCA" w:rsidRDefault="00B542BD" w:rsidP="00B542BD">
      <w:pPr>
        <w:spacing w:after="120" w:line="480" w:lineRule="auto"/>
        <w:rPr>
          <w:b/>
          <w:sz w:val="24"/>
          <w:szCs w:val="24"/>
          <w:lang w:val="en-US"/>
        </w:rPr>
      </w:pPr>
      <w:r w:rsidRPr="00AE1BCA">
        <w:rPr>
          <w:b/>
          <w:sz w:val="24"/>
          <w:szCs w:val="24"/>
          <w:lang w:val="en-US"/>
        </w:rPr>
        <w:t xml:space="preserve">Table </w:t>
      </w:r>
      <w:r w:rsidR="00AB0CFB">
        <w:rPr>
          <w:b/>
          <w:sz w:val="24"/>
          <w:szCs w:val="24"/>
          <w:lang w:val="en-US"/>
        </w:rPr>
        <w:t>3</w:t>
      </w:r>
      <w:r w:rsidRPr="00AE1BCA">
        <w:rPr>
          <w:b/>
          <w:sz w:val="24"/>
          <w:szCs w:val="24"/>
          <w:lang w:val="en-US"/>
        </w:rPr>
        <w:t xml:space="preserve">: Typology of </w:t>
      </w:r>
      <w:r w:rsidR="00D8145D">
        <w:rPr>
          <w:b/>
          <w:sz w:val="24"/>
          <w:szCs w:val="24"/>
          <w:lang w:val="en-US"/>
        </w:rPr>
        <w:t>I</w:t>
      </w:r>
      <w:r w:rsidRPr="00AE1BCA">
        <w:rPr>
          <w:b/>
          <w:sz w:val="24"/>
          <w:szCs w:val="24"/>
          <w:lang w:val="en-US"/>
        </w:rPr>
        <w:t xml:space="preserve">ncome </w:t>
      </w:r>
      <w:r w:rsidR="00D8145D">
        <w:rPr>
          <w:b/>
          <w:sz w:val="24"/>
          <w:szCs w:val="24"/>
          <w:lang w:val="en-US"/>
        </w:rPr>
        <w:t>S</w:t>
      </w:r>
      <w:r w:rsidRPr="00AE1BCA">
        <w:rPr>
          <w:b/>
          <w:sz w:val="24"/>
          <w:szCs w:val="24"/>
          <w:lang w:val="en-US"/>
        </w:rPr>
        <w:t xml:space="preserve">hapes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B542BD" w:rsidRPr="00266F84" w:rsidTr="00D51B69">
        <w:tc>
          <w:tcPr>
            <w:tcW w:w="3096" w:type="dxa"/>
            <w:shd w:val="clear" w:color="auto" w:fill="auto"/>
          </w:tcPr>
          <w:p w:rsidR="00B542BD" w:rsidRPr="00266F84" w:rsidRDefault="00B542BD" w:rsidP="00D51B69">
            <w:pPr>
              <w:rPr>
                <w:sz w:val="24"/>
                <w:szCs w:val="24"/>
                <w:lang w:val="en-US"/>
              </w:rPr>
            </w:pPr>
          </w:p>
        </w:tc>
        <w:tc>
          <w:tcPr>
            <w:tcW w:w="3096" w:type="dxa"/>
            <w:shd w:val="clear" w:color="auto" w:fill="auto"/>
          </w:tcPr>
          <w:p w:rsidR="00B542BD" w:rsidRPr="00266F84" w:rsidRDefault="00213E33" w:rsidP="00D51B69">
            <w:pPr>
              <w:rPr>
                <w:sz w:val="24"/>
                <w:szCs w:val="24"/>
                <w:lang w:val="en-US"/>
              </w:rPr>
            </w:pPr>
            <w:r>
              <w:rPr>
                <w:rFonts w:ascii="Symbol" w:hAnsi="Symbol"/>
                <w:sz w:val="24"/>
                <w:szCs w:val="24"/>
                <w:lang w:val="en-US"/>
              </w:rPr>
              <w:t></w:t>
            </w:r>
            <w:r w:rsidR="00B542BD" w:rsidRPr="00266F84">
              <w:rPr>
                <w:sz w:val="24"/>
                <w:szCs w:val="24"/>
                <w:lang w:val="en-US"/>
              </w:rPr>
              <w:t xml:space="preserve"> negative </w:t>
            </w:r>
          </w:p>
        </w:tc>
        <w:tc>
          <w:tcPr>
            <w:tcW w:w="3096" w:type="dxa"/>
            <w:shd w:val="clear" w:color="auto" w:fill="auto"/>
          </w:tcPr>
          <w:p w:rsidR="00B542BD" w:rsidRPr="00266F84" w:rsidRDefault="00213E33" w:rsidP="00D51B69">
            <w:pPr>
              <w:rPr>
                <w:sz w:val="24"/>
                <w:szCs w:val="24"/>
                <w:lang w:val="en-US"/>
              </w:rPr>
            </w:pPr>
            <w:r>
              <w:rPr>
                <w:rFonts w:ascii="Symbol" w:hAnsi="Symbol"/>
                <w:sz w:val="24"/>
                <w:szCs w:val="24"/>
                <w:lang w:val="en-US"/>
              </w:rPr>
              <w:t></w:t>
            </w:r>
            <w:r w:rsidR="00B542BD" w:rsidRPr="00266F84">
              <w:rPr>
                <w:sz w:val="24"/>
                <w:szCs w:val="24"/>
                <w:lang w:val="en-US"/>
              </w:rPr>
              <w:t xml:space="preserve"> positive </w:t>
            </w:r>
          </w:p>
        </w:tc>
      </w:tr>
      <w:tr w:rsidR="00B542BD" w:rsidRPr="006D1FE0" w:rsidTr="00D51B69">
        <w:tc>
          <w:tcPr>
            <w:tcW w:w="3096" w:type="dxa"/>
            <w:shd w:val="clear" w:color="auto" w:fill="auto"/>
          </w:tcPr>
          <w:p w:rsidR="00B542BD" w:rsidRPr="00266F84" w:rsidRDefault="00213E33" w:rsidP="00D51B69">
            <w:pPr>
              <w:rPr>
                <w:sz w:val="24"/>
                <w:szCs w:val="24"/>
                <w:lang w:val="en-US"/>
              </w:rPr>
            </w:pPr>
            <w:r>
              <w:rPr>
                <w:rFonts w:ascii="Symbol" w:hAnsi="Symbol"/>
                <w:sz w:val="24"/>
                <w:szCs w:val="24"/>
                <w:lang w:val="en-US"/>
              </w:rPr>
              <w:t></w:t>
            </w:r>
            <w:r w:rsidR="00B542BD" w:rsidRPr="00266F84">
              <w:rPr>
                <w:sz w:val="24"/>
                <w:szCs w:val="24"/>
                <w:lang w:val="en-US"/>
              </w:rPr>
              <w:t xml:space="preserve"> positive</w:t>
            </w:r>
          </w:p>
        </w:tc>
        <w:tc>
          <w:tcPr>
            <w:tcW w:w="3096" w:type="dxa"/>
            <w:shd w:val="clear" w:color="auto" w:fill="auto"/>
          </w:tcPr>
          <w:p w:rsidR="00B542BD" w:rsidRPr="00266F84" w:rsidRDefault="00B542BD" w:rsidP="0094312C">
            <w:pPr>
              <w:rPr>
                <w:sz w:val="24"/>
                <w:szCs w:val="24"/>
                <w:lang w:val="en-US"/>
              </w:rPr>
            </w:pPr>
            <w:r w:rsidRPr="00266F84">
              <w:rPr>
                <w:sz w:val="24"/>
                <w:szCs w:val="24"/>
                <w:lang w:val="en-US"/>
              </w:rPr>
              <w:t>Type 1</w:t>
            </w:r>
            <w:r>
              <w:rPr>
                <w:sz w:val="24"/>
                <w:szCs w:val="24"/>
                <w:lang w:val="en-US"/>
              </w:rPr>
              <w:t>:</w:t>
            </w:r>
            <w:r w:rsidRPr="00266F84">
              <w:rPr>
                <w:sz w:val="24"/>
                <w:szCs w:val="24"/>
                <w:lang w:val="en-US"/>
              </w:rPr>
              <w:t xml:space="preserve"> Rich are richer and the poor </w:t>
            </w:r>
            <w:r>
              <w:rPr>
                <w:sz w:val="24"/>
                <w:szCs w:val="24"/>
                <w:lang w:val="en-US"/>
              </w:rPr>
              <w:t xml:space="preserve">richer than </w:t>
            </w:r>
            <w:r w:rsidR="0094312C">
              <w:rPr>
                <w:sz w:val="24"/>
                <w:szCs w:val="24"/>
                <w:lang w:val="en-US"/>
              </w:rPr>
              <w:t xml:space="preserve">under </w:t>
            </w:r>
            <w:r>
              <w:rPr>
                <w:sz w:val="24"/>
                <w:szCs w:val="24"/>
                <w:lang w:val="en-US"/>
              </w:rPr>
              <w:t xml:space="preserve"> the CF</w:t>
            </w:r>
            <w:r w:rsidRPr="00266F84">
              <w:rPr>
                <w:sz w:val="24"/>
                <w:szCs w:val="24"/>
                <w:lang w:val="en-US"/>
              </w:rPr>
              <w:t xml:space="preserve">. The </w:t>
            </w:r>
            <w:r>
              <w:rPr>
                <w:sz w:val="24"/>
                <w:szCs w:val="24"/>
                <w:lang w:val="en-US"/>
              </w:rPr>
              <w:t>iso</w:t>
            </w:r>
            <w:r w:rsidRPr="00266F84">
              <w:rPr>
                <w:sz w:val="24"/>
                <w:szCs w:val="24"/>
                <w:lang w:val="en-US"/>
              </w:rPr>
              <w:t xml:space="preserve">graph </w:t>
            </w:r>
            <w:r>
              <w:rPr>
                <w:sz w:val="24"/>
                <w:szCs w:val="24"/>
                <w:lang w:val="en-US"/>
              </w:rPr>
              <w:t>ha</w:t>
            </w:r>
            <w:r w:rsidRPr="00266F84">
              <w:rPr>
                <w:sz w:val="24"/>
                <w:szCs w:val="24"/>
                <w:lang w:val="en-US"/>
              </w:rPr>
              <w:t xml:space="preserve">s </w:t>
            </w:r>
            <w:r>
              <w:rPr>
                <w:sz w:val="24"/>
                <w:szCs w:val="24"/>
                <w:lang w:val="en-US"/>
              </w:rPr>
              <w:t>a positive slope</w:t>
            </w:r>
            <w:r w:rsidRPr="00266F84">
              <w:rPr>
                <w:sz w:val="24"/>
                <w:szCs w:val="24"/>
                <w:lang w:val="en-US"/>
              </w:rPr>
              <w:t xml:space="preserve">. </w:t>
            </w:r>
            <w:r w:rsidR="00D10EBB" w:rsidRPr="00266F84">
              <w:rPr>
                <w:sz w:val="24"/>
                <w:szCs w:val="24"/>
                <w:lang w:val="en-US"/>
              </w:rPr>
              <w:t>1</w:t>
            </w:r>
            <w:r w:rsidR="00D10EBB">
              <w:rPr>
                <w:sz w:val="24"/>
                <w:szCs w:val="24"/>
                <w:lang w:val="en-US"/>
              </w:rPr>
              <w:t>3</w:t>
            </w:r>
            <w:r w:rsidR="00D10EBB" w:rsidRPr="00266F84">
              <w:rPr>
                <w:sz w:val="24"/>
                <w:szCs w:val="24"/>
                <w:lang w:val="en-US"/>
              </w:rPr>
              <w:t xml:space="preserve"> </w:t>
            </w:r>
            <w:r w:rsidRPr="00266F84">
              <w:rPr>
                <w:sz w:val="24"/>
                <w:szCs w:val="24"/>
                <w:lang w:val="en-US"/>
              </w:rPr>
              <w:t>cases</w:t>
            </w:r>
            <w:r>
              <w:rPr>
                <w:sz w:val="24"/>
                <w:szCs w:val="24"/>
                <w:lang w:val="en-US"/>
              </w:rPr>
              <w:t>. Typical country: za08</w:t>
            </w:r>
          </w:p>
        </w:tc>
        <w:tc>
          <w:tcPr>
            <w:tcW w:w="3096" w:type="dxa"/>
            <w:shd w:val="clear" w:color="auto" w:fill="auto"/>
          </w:tcPr>
          <w:p w:rsidR="00B542BD" w:rsidRPr="00266F84" w:rsidRDefault="00B542BD" w:rsidP="00D10EBB">
            <w:pPr>
              <w:rPr>
                <w:sz w:val="24"/>
                <w:szCs w:val="24"/>
                <w:lang w:val="en-US"/>
              </w:rPr>
            </w:pPr>
            <w:r w:rsidRPr="00266F84">
              <w:rPr>
                <w:sz w:val="24"/>
                <w:szCs w:val="24"/>
                <w:lang w:val="en-US"/>
              </w:rPr>
              <w:t>Type 2</w:t>
            </w:r>
            <w:r>
              <w:rPr>
                <w:sz w:val="24"/>
                <w:szCs w:val="24"/>
                <w:lang w:val="en-US"/>
              </w:rPr>
              <w:t>:</w:t>
            </w:r>
            <w:r w:rsidRPr="00266F84">
              <w:rPr>
                <w:sz w:val="24"/>
                <w:szCs w:val="24"/>
                <w:lang w:val="en-US"/>
              </w:rPr>
              <w:t xml:space="preserve"> Rich are richer and the poor poorer</w:t>
            </w:r>
            <w:r>
              <w:rPr>
                <w:sz w:val="24"/>
                <w:szCs w:val="24"/>
                <w:lang w:val="en-US"/>
              </w:rPr>
              <w:t xml:space="preserve">, but the </w:t>
            </w:r>
            <w:r w:rsidRPr="00266F84">
              <w:rPr>
                <w:sz w:val="24"/>
                <w:szCs w:val="24"/>
                <w:lang w:val="en-US"/>
              </w:rPr>
              <w:t xml:space="preserve">middle class </w:t>
            </w:r>
            <w:r>
              <w:rPr>
                <w:sz w:val="24"/>
                <w:szCs w:val="24"/>
                <w:lang w:val="en-US"/>
              </w:rPr>
              <w:t xml:space="preserve">is </w:t>
            </w:r>
            <w:r w:rsidRPr="00266F84">
              <w:rPr>
                <w:sz w:val="24"/>
                <w:szCs w:val="24"/>
                <w:lang w:val="en-US"/>
              </w:rPr>
              <w:t>relatively homogeneous</w:t>
            </w:r>
            <w:r>
              <w:rPr>
                <w:sz w:val="24"/>
                <w:szCs w:val="24"/>
                <w:lang w:val="en-US"/>
              </w:rPr>
              <w:t>.</w:t>
            </w:r>
            <w:r w:rsidRPr="00266F84">
              <w:rPr>
                <w:sz w:val="24"/>
                <w:szCs w:val="24"/>
                <w:lang w:val="en-US"/>
              </w:rPr>
              <w:t xml:space="preserve"> </w:t>
            </w:r>
            <w:r>
              <w:rPr>
                <w:sz w:val="24"/>
                <w:szCs w:val="24"/>
                <w:lang w:val="en-US"/>
              </w:rPr>
              <w:t xml:space="preserve">The isograph has a U shape. </w:t>
            </w:r>
            <w:r w:rsidR="00D10EBB">
              <w:rPr>
                <w:sz w:val="24"/>
                <w:szCs w:val="24"/>
                <w:lang w:val="en-US"/>
              </w:rPr>
              <w:t>35</w:t>
            </w:r>
            <w:r w:rsidR="00D10EBB" w:rsidRPr="00266F84">
              <w:rPr>
                <w:sz w:val="24"/>
                <w:szCs w:val="24"/>
                <w:lang w:val="en-US"/>
              </w:rPr>
              <w:t xml:space="preserve"> </w:t>
            </w:r>
            <w:r w:rsidRPr="00266F84">
              <w:rPr>
                <w:sz w:val="24"/>
                <w:szCs w:val="24"/>
                <w:lang w:val="en-US"/>
              </w:rPr>
              <w:t>cases</w:t>
            </w:r>
            <w:r>
              <w:rPr>
                <w:sz w:val="24"/>
                <w:szCs w:val="24"/>
                <w:lang w:val="en-US"/>
              </w:rPr>
              <w:t>. Typical country: de04</w:t>
            </w:r>
          </w:p>
        </w:tc>
      </w:tr>
      <w:tr w:rsidR="00B542BD" w:rsidRPr="00266F84" w:rsidTr="00D51B69">
        <w:tc>
          <w:tcPr>
            <w:tcW w:w="3096" w:type="dxa"/>
            <w:shd w:val="clear" w:color="auto" w:fill="auto"/>
          </w:tcPr>
          <w:p w:rsidR="00B542BD" w:rsidRPr="00266F84" w:rsidRDefault="00213E33" w:rsidP="00D51B69">
            <w:pPr>
              <w:rPr>
                <w:sz w:val="24"/>
                <w:szCs w:val="24"/>
                <w:lang w:val="en-US"/>
              </w:rPr>
            </w:pPr>
            <w:r>
              <w:rPr>
                <w:rFonts w:ascii="Symbol" w:hAnsi="Symbol"/>
                <w:sz w:val="24"/>
                <w:szCs w:val="24"/>
                <w:lang w:val="en-US"/>
              </w:rPr>
              <w:t></w:t>
            </w:r>
            <w:r w:rsidR="00B542BD" w:rsidRPr="00266F84">
              <w:rPr>
                <w:sz w:val="24"/>
                <w:szCs w:val="24"/>
                <w:lang w:val="en-US"/>
              </w:rPr>
              <w:t xml:space="preserve"> negative </w:t>
            </w:r>
          </w:p>
        </w:tc>
        <w:tc>
          <w:tcPr>
            <w:tcW w:w="3096" w:type="dxa"/>
            <w:shd w:val="clear" w:color="auto" w:fill="auto"/>
          </w:tcPr>
          <w:p w:rsidR="00B542BD" w:rsidRPr="00266F84" w:rsidRDefault="00B542BD" w:rsidP="0094312C">
            <w:pPr>
              <w:rPr>
                <w:sz w:val="24"/>
                <w:szCs w:val="24"/>
                <w:lang w:val="en-US"/>
              </w:rPr>
            </w:pPr>
            <w:r w:rsidRPr="00266F84">
              <w:rPr>
                <w:sz w:val="24"/>
                <w:szCs w:val="24"/>
                <w:lang w:val="en-US"/>
              </w:rPr>
              <w:t>Type 3</w:t>
            </w:r>
            <w:r>
              <w:rPr>
                <w:sz w:val="24"/>
                <w:szCs w:val="24"/>
                <w:lang w:val="en-US"/>
              </w:rPr>
              <w:t>:</w:t>
            </w:r>
            <w:r w:rsidRPr="00266F84">
              <w:rPr>
                <w:sz w:val="24"/>
                <w:szCs w:val="24"/>
                <w:lang w:val="en-US"/>
              </w:rPr>
              <w:t xml:space="preserve"> Rich are </w:t>
            </w:r>
            <w:r>
              <w:rPr>
                <w:sz w:val="24"/>
                <w:szCs w:val="24"/>
                <w:lang w:val="en-US"/>
              </w:rPr>
              <w:t xml:space="preserve">poorer </w:t>
            </w:r>
            <w:r w:rsidRPr="00266F84">
              <w:rPr>
                <w:sz w:val="24"/>
                <w:szCs w:val="24"/>
                <w:lang w:val="en-US"/>
              </w:rPr>
              <w:t xml:space="preserve">and the poor </w:t>
            </w:r>
            <w:r>
              <w:rPr>
                <w:sz w:val="24"/>
                <w:szCs w:val="24"/>
                <w:lang w:val="en-US"/>
              </w:rPr>
              <w:t xml:space="preserve">are richer than </w:t>
            </w:r>
            <w:r w:rsidR="0094312C">
              <w:rPr>
                <w:sz w:val="24"/>
                <w:szCs w:val="24"/>
                <w:lang w:val="en-US"/>
              </w:rPr>
              <w:t xml:space="preserve">under </w:t>
            </w:r>
            <w:r>
              <w:rPr>
                <w:sz w:val="24"/>
                <w:szCs w:val="24"/>
                <w:lang w:val="en-US"/>
              </w:rPr>
              <w:t>the CF</w:t>
            </w:r>
            <w:r w:rsidRPr="00266F84">
              <w:rPr>
                <w:sz w:val="24"/>
                <w:szCs w:val="24"/>
                <w:lang w:val="en-US"/>
              </w:rPr>
              <w:t xml:space="preserve">. The </w:t>
            </w:r>
            <w:r>
              <w:rPr>
                <w:sz w:val="24"/>
                <w:szCs w:val="24"/>
                <w:lang w:val="en-US"/>
              </w:rPr>
              <w:t>iso</w:t>
            </w:r>
            <w:r w:rsidRPr="00266F84">
              <w:rPr>
                <w:sz w:val="24"/>
                <w:szCs w:val="24"/>
                <w:lang w:val="en-US"/>
              </w:rPr>
              <w:t xml:space="preserve">graph </w:t>
            </w:r>
            <w:r>
              <w:rPr>
                <w:sz w:val="24"/>
                <w:szCs w:val="24"/>
                <w:lang w:val="en-US"/>
              </w:rPr>
              <w:t>ha</w:t>
            </w:r>
            <w:r w:rsidRPr="00266F84">
              <w:rPr>
                <w:sz w:val="24"/>
                <w:szCs w:val="24"/>
                <w:lang w:val="en-US"/>
              </w:rPr>
              <w:t xml:space="preserve">s </w:t>
            </w:r>
            <w:r>
              <w:rPr>
                <w:sz w:val="24"/>
                <w:szCs w:val="24"/>
                <w:lang w:val="en-US"/>
              </w:rPr>
              <w:t>an inver</w:t>
            </w:r>
            <w:r w:rsidR="0094312C">
              <w:rPr>
                <w:sz w:val="24"/>
                <w:szCs w:val="24"/>
                <w:lang w:val="en-US"/>
              </w:rPr>
              <w:t>ted-</w:t>
            </w:r>
            <w:r>
              <w:rPr>
                <w:sz w:val="24"/>
                <w:szCs w:val="24"/>
                <w:lang w:val="en-US"/>
              </w:rPr>
              <w:t>U shape</w:t>
            </w:r>
            <w:r w:rsidRPr="00266F84">
              <w:rPr>
                <w:sz w:val="24"/>
                <w:szCs w:val="24"/>
                <w:lang w:val="en-US"/>
              </w:rPr>
              <w:t xml:space="preserve">. </w:t>
            </w:r>
            <w:r w:rsidR="00D10EBB">
              <w:rPr>
                <w:sz w:val="24"/>
                <w:szCs w:val="24"/>
                <w:lang w:val="en-US"/>
              </w:rPr>
              <w:t>83</w:t>
            </w:r>
            <w:r w:rsidR="00D10EBB" w:rsidRPr="00266F84">
              <w:rPr>
                <w:sz w:val="24"/>
                <w:szCs w:val="24"/>
                <w:lang w:val="en-US"/>
              </w:rPr>
              <w:t xml:space="preserve"> </w:t>
            </w:r>
            <w:r w:rsidRPr="00266F84">
              <w:rPr>
                <w:sz w:val="24"/>
                <w:szCs w:val="24"/>
                <w:lang w:val="en-US"/>
              </w:rPr>
              <w:t>cases</w:t>
            </w:r>
            <w:r>
              <w:rPr>
                <w:sz w:val="24"/>
                <w:szCs w:val="24"/>
                <w:lang w:val="en-US"/>
              </w:rPr>
              <w:t xml:space="preserve">. Typical country: </w:t>
            </w:r>
            <w:r w:rsidR="002A2D76">
              <w:rPr>
                <w:sz w:val="24"/>
                <w:szCs w:val="24"/>
                <w:lang w:val="en-US"/>
              </w:rPr>
              <w:t>il10</w:t>
            </w:r>
            <w:r w:rsidRPr="00266F84">
              <w:rPr>
                <w:sz w:val="24"/>
                <w:szCs w:val="24"/>
                <w:lang w:val="en-US"/>
              </w:rPr>
              <w:t xml:space="preserve"> </w:t>
            </w:r>
          </w:p>
        </w:tc>
        <w:tc>
          <w:tcPr>
            <w:tcW w:w="3096" w:type="dxa"/>
            <w:shd w:val="clear" w:color="auto" w:fill="auto"/>
          </w:tcPr>
          <w:p w:rsidR="00B542BD" w:rsidRPr="00266F84" w:rsidRDefault="00B542BD" w:rsidP="00D10EBB">
            <w:pPr>
              <w:rPr>
                <w:sz w:val="24"/>
                <w:szCs w:val="24"/>
                <w:lang w:val="en-US"/>
              </w:rPr>
            </w:pPr>
            <w:r w:rsidRPr="00266F84">
              <w:rPr>
                <w:sz w:val="24"/>
                <w:szCs w:val="24"/>
                <w:lang w:val="en-US"/>
              </w:rPr>
              <w:t>Type 4</w:t>
            </w:r>
            <w:r>
              <w:rPr>
                <w:sz w:val="24"/>
                <w:szCs w:val="24"/>
                <w:lang w:val="en-US"/>
              </w:rPr>
              <w:t>:</w:t>
            </w:r>
            <w:r w:rsidRPr="00266F84">
              <w:rPr>
                <w:sz w:val="24"/>
                <w:szCs w:val="24"/>
                <w:lang w:val="en-US"/>
              </w:rPr>
              <w:t xml:space="preserve"> Rich are </w:t>
            </w:r>
            <w:r>
              <w:rPr>
                <w:sz w:val="24"/>
                <w:szCs w:val="24"/>
                <w:lang w:val="en-US"/>
              </w:rPr>
              <w:t>poorer</w:t>
            </w:r>
            <w:r w:rsidRPr="00266F84">
              <w:rPr>
                <w:sz w:val="24"/>
                <w:szCs w:val="24"/>
                <w:lang w:val="en-US"/>
              </w:rPr>
              <w:t xml:space="preserve"> and the poor are poorer. The </w:t>
            </w:r>
            <w:r>
              <w:rPr>
                <w:sz w:val="24"/>
                <w:szCs w:val="24"/>
                <w:lang w:val="en-US"/>
              </w:rPr>
              <w:t>isograph has a negative slope</w:t>
            </w:r>
            <w:r w:rsidRPr="00266F84">
              <w:rPr>
                <w:sz w:val="24"/>
                <w:szCs w:val="24"/>
                <w:lang w:val="en-US"/>
              </w:rPr>
              <w:t xml:space="preserve">. </w:t>
            </w:r>
            <w:r w:rsidR="00D10EBB">
              <w:rPr>
                <w:sz w:val="24"/>
                <w:szCs w:val="24"/>
                <w:lang w:val="en-US"/>
              </w:rPr>
              <w:t>101</w:t>
            </w:r>
            <w:r w:rsidR="00D10EBB" w:rsidRPr="00266F84">
              <w:rPr>
                <w:sz w:val="24"/>
                <w:szCs w:val="24"/>
                <w:lang w:val="en-US"/>
              </w:rPr>
              <w:t xml:space="preserve"> </w:t>
            </w:r>
            <w:r w:rsidRPr="00266F84">
              <w:rPr>
                <w:sz w:val="24"/>
                <w:szCs w:val="24"/>
                <w:lang w:val="en-US"/>
              </w:rPr>
              <w:t>cases</w:t>
            </w:r>
            <w:r>
              <w:rPr>
                <w:sz w:val="24"/>
                <w:szCs w:val="24"/>
                <w:lang w:val="en-US"/>
              </w:rPr>
              <w:t>. Typical country: us10</w:t>
            </w:r>
            <w:r w:rsidRPr="00266F84">
              <w:rPr>
                <w:sz w:val="24"/>
                <w:szCs w:val="24"/>
                <w:lang w:val="en-US"/>
              </w:rPr>
              <w:t xml:space="preserve"> </w:t>
            </w:r>
          </w:p>
        </w:tc>
      </w:tr>
    </w:tbl>
    <w:p w:rsidR="00D86998" w:rsidRDefault="00D86998" w:rsidP="00B542BD">
      <w:pPr>
        <w:spacing w:after="120" w:line="480" w:lineRule="auto"/>
        <w:rPr>
          <w:sz w:val="24"/>
          <w:szCs w:val="24"/>
          <w:lang w:val="en-US"/>
        </w:rPr>
      </w:pPr>
    </w:p>
    <w:p w:rsidR="00B542BD" w:rsidRDefault="00D86998" w:rsidP="00B542BD">
      <w:pPr>
        <w:spacing w:after="120" w:line="480" w:lineRule="auto"/>
        <w:rPr>
          <w:sz w:val="24"/>
          <w:szCs w:val="24"/>
          <w:lang w:val="en-US"/>
        </w:rPr>
      </w:pPr>
      <w:r>
        <w:rPr>
          <w:sz w:val="24"/>
          <w:szCs w:val="24"/>
          <w:lang w:val="en-US"/>
        </w:rPr>
        <w:br w:type="column"/>
      </w:r>
    </w:p>
    <w:p w:rsidR="00D51B69" w:rsidRDefault="00D51B69" w:rsidP="00D51B69">
      <w:pPr>
        <w:spacing w:after="120" w:line="480" w:lineRule="auto"/>
        <w:rPr>
          <w:b/>
          <w:sz w:val="24"/>
          <w:szCs w:val="24"/>
          <w:lang w:val="en-US"/>
        </w:rPr>
      </w:pPr>
      <w:r>
        <w:rPr>
          <w:b/>
          <w:sz w:val="24"/>
          <w:szCs w:val="24"/>
          <w:lang w:val="en-US"/>
        </w:rPr>
        <w:t xml:space="preserve">Table </w:t>
      </w:r>
      <w:r w:rsidR="00AB0CFB">
        <w:rPr>
          <w:b/>
          <w:sz w:val="24"/>
          <w:szCs w:val="24"/>
          <w:lang w:val="en-US"/>
        </w:rPr>
        <w:t>4</w:t>
      </w:r>
      <w:r>
        <w:rPr>
          <w:b/>
          <w:sz w:val="24"/>
          <w:szCs w:val="24"/>
          <w:lang w:val="en-US"/>
        </w:rPr>
        <w:t xml:space="preserve">: </w:t>
      </w:r>
      <w:r w:rsidR="0091210C">
        <w:rPr>
          <w:b/>
          <w:sz w:val="24"/>
          <w:szCs w:val="24"/>
          <w:lang w:val="en-US"/>
        </w:rPr>
        <w:t xml:space="preserve">PCA </w:t>
      </w:r>
      <w:r w:rsidR="00D8145D">
        <w:rPr>
          <w:b/>
          <w:sz w:val="24"/>
          <w:szCs w:val="24"/>
          <w:lang w:val="en-US"/>
        </w:rPr>
        <w:t>S</w:t>
      </w:r>
      <w:r w:rsidR="0091210C">
        <w:rPr>
          <w:b/>
          <w:sz w:val="24"/>
          <w:szCs w:val="24"/>
          <w:lang w:val="en-US"/>
        </w:rPr>
        <w:t xml:space="preserve">cores: </w:t>
      </w:r>
      <w:r w:rsidR="00D8145D">
        <w:rPr>
          <w:b/>
          <w:sz w:val="24"/>
          <w:szCs w:val="24"/>
          <w:lang w:val="en-US"/>
        </w:rPr>
        <w:t>C</w:t>
      </w:r>
      <w:r w:rsidRPr="004227ED">
        <w:rPr>
          <w:b/>
          <w:sz w:val="24"/>
          <w:szCs w:val="24"/>
          <w:lang w:val="en-US"/>
        </w:rPr>
        <w:t xml:space="preserve">orrelation between the </w:t>
      </w:r>
      <w:r w:rsidR="00D8145D">
        <w:rPr>
          <w:b/>
          <w:sz w:val="24"/>
          <w:szCs w:val="24"/>
          <w:lang w:val="en-US"/>
        </w:rPr>
        <w:t>P</w:t>
      </w:r>
      <w:r>
        <w:rPr>
          <w:b/>
          <w:sz w:val="24"/>
          <w:szCs w:val="24"/>
          <w:lang w:val="en-US"/>
        </w:rPr>
        <w:t xml:space="preserve">rincipal </w:t>
      </w:r>
      <w:r w:rsidR="00D8145D">
        <w:rPr>
          <w:b/>
          <w:sz w:val="24"/>
          <w:szCs w:val="24"/>
          <w:lang w:val="en-US"/>
        </w:rPr>
        <w:t>C</w:t>
      </w:r>
      <w:r>
        <w:rPr>
          <w:b/>
          <w:sz w:val="24"/>
          <w:szCs w:val="24"/>
          <w:lang w:val="en-US"/>
        </w:rPr>
        <w:t xml:space="preserve">omponents and 30 </w:t>
      </w:r>
      <w:r w:rsidR="00D8145D">
        <w:rPr>
          <w:b/>
          <w:sz w:val="24"/>
          <w:szCs w:val="24"/>
          <w:lang w:val="en-US"/>
        </w:rPr>
        <w:t>I</w:t>
      </w:r>
      <w:r w:rsidRPr="004227ED">
        <w:rPr>
          <w:b/>
          <w:sz w:val="24"/>
          <w:szCs w:val="24"/>
          <w:lang w:val="en-US"/>
        </w:rPr>
        <w:t xml:space="preserve">ndicators of </w:t>
      </w:r>
      <w:r w:rsidR="00D8145D">
        <w:rPr>
          <w:b/>
          <w:sz w:val="24"/>
          <w:szCs w:val="24"/>
          <w:lang w:val="en-US"/>
        </w:rPr>
        <w:t>I</w:t>
      </w:r>
      <w:r w:rsidRPr="004227ED">
        <w:rPr>
          <w:b/>
          <w:sz w:val="24"/>
          <w:szCs w:val="24"/>
          <w:lang w:val="en-US"/>
        </w:rPr>
        <w:t xml:space="preserve">nequality </w:t>
      </w:r>
    </w:p>
    <w:tbl>
      <w:tblPr>
        <w:tblStyle w:val="TableGrid"/>
        <w:tblW w:w="0" w:type="auto"/>
        <w:tblLook w:val="04A0" w:firstRow="1" w:lastRow="0" w:firstColumn="1" w:lastColumn="0" w:noHBand="0" w:noVBand="1"/>
      </w:tblPr>
      <w:tblGrid>
        <w:gridCol w:w="1176"/>
        <w:gridCol w:w="895"/>
        <w:gridCol w:w="895"/>
        <w:gridCol w:w="895"/>
      </w:tblGrid>
      <w:tr w:rsidR="0091210C" w:rsidRPr="0091210C" w:rsidTr="0091210C">
        <w:tc>
          <w:tcPr>
            <w:tcW w:w="0" w:type="auto"/>
          </w:tcPr>
          <w:p w:rsidR="0091210C" w:rsidRPr="000967DD" w:rsidRDefault="0091210C" w:rsidP="009D2C81">
            <w:pPr>
              <w:rPr>
                <w:color w:val="000000"/>
                <w:sz w:val="22"/>
                <w:szCs w:val="22"/>
                <w:lang w:val="en-US" w:eastAsia="en-US"/>
              </w:rPr>
            </w:pPr>
            <w:r w:rsidRPr="000967DD">
              <w:rPr>
                <w:color w:val="000000"/>
                <w:sz w:val="22"/>
                <w:szCs w:val="22"/>
                <w:lang w:val="en-US" w:eastAsia="en-US"/>
              </w:rPr>
              <w:t>Indic</w:t>
            </w:r>
            <w:r w:rsidR="00D8145D">
              <w:rPr>
                <w:color w:val="000000"/>
                <w:sz w:val="22"/>
                <w:szCs w:val="22"/>
                <w:lang w:val="en-US" w:eastAsia="en-US"/>
              </w:rPr>
              <w:t>ator</w:t>
            </w:r>
          </w:p>
        </w:tc>
        <w:tc>
          <w:tcPr>
            <w:tcW w:w="0" w:type="auto"/>
          </w:tcPr>
          <w:p w:rsidR="0091210C" w:rsidRPr="0025622F" w:rsidRDefault="0091210C" w:rsidP="009D2C81">
            <w:pPr>
              <w:rPr>
                <w:color w:val="000000"/>
                <w:sz w:val="22"/>
                <w:szCs w:val="22"/>
                <w:lang w:val="en-US" w:eastAsia="en-US"/>
              </w:rPr>
            </w:pPr>
            <w:r w:rsidRPr="00D135FD">
              <w:rPr>
                <w:color w:val="000000"/>
                <w:sz w:val="22"/>
                <w:szCs w:val="22"/>
                <w:lang w:val="en-US" w:eastAsia="en-US"/>
              </w:rPr>
              <w:t>v1</w:t>
            </w:r>
          </w:p>
        </w:tc>
        <w:tc>
          <w:tcPr>
            <w:tcW w:w="0" w:type="auto"/>
          </w:tcPr>
          <w:p w:rsidR="0091210C" w:rsidRPr="00346CF8" w:rsidRDefault="0091210C" w:rsidP="009D2C81">
            <w:pPr>
              <w:rPr>
                <w:color w:val="000000"/>
                <w:sz w:val="22"/>
                <w:szCs w:val="22"/>
                <w:lang w:val="en-US" w:eastAsia="en-US"/>
              </w:rPr>
            </w:pPr>
            <w:r w:rsidRPr="00346CF8">
              <w:rPr>
                <w:color w:val="000000"/>
                <w:sz w:val="22"/>
                <w:szCs w:val="22"/>
                <w:lang w:val="en-US" w:eastAsia="en-US"/>
              </w:rPr>
              <w:t>v2</w:t>
            </w:r>
          </w:p>
        </w:tc>
        <w:tc>
          <w:tcPr>
            <w:tcW w:w="0" w:type="auto"/>
          </w:tcPr>
          <w:p w:rsidR="0091210C" w:rsidRPr="005D57E5" w:rsidRDefault="0091210C" w:rsidP="009D2C81">
            <w:pPr>
              <w:rPr>
                <w:color w:val="000000"/>
                <w:sz w:val="22"/>
                <w:szCs w:val="22"/>
                <w:lang w:val="en-US" w:eastAsia="en-US"/>
              </w:rPr>
            </w:pPr>
            <w:r w:rsidRPr="005D57E5">
              <w:rPr>
                <w:color w:val="000000"/>
                <w:sz w:val="22"/>
                <w:szCs w:val="22"/>
                <w:lang w:val="en-US" w:eastAsia="en-US"/>
              </w:rPr>
              <w:t>v3</w:t>
            </w:r>
          </w:p>
        </w:tc>
      </w:tr>
      <w:tr w:rsidR="00D86998" w:rsidRPr="0091210C" w:rsidTr="000C09E3">
        <w:tc>
          <w:tcPr>
            <w:tcW w:w="0" w:type="auto"/>
            <w:vAlign w:val="bottom"/>
          </w:tcPr>
          <w:p w:rsidR="00D86998" w:rsidRPr="00553EE2" w:rsidRDefault="00D86998" w:rsidP="00553EE2">
            <w:pPr>
              <w:rPr>
                <w:sz w:val="24"/>
                <w:szCs w:val="24"/>
                <w:lang w:val="en-US"/>
              </w:rPr>
            </w:pPr>
            <w:r w:rsidRPr="00FA44A0">
              <w:rPr>
                <w:rFonts w:ascii="Symbol" w:hAnsi="Symbol"/>
                <w:color w:val="000000"/>
                <w:sz w:val="24"/>
                <w:szCs w:val="24"/>
                <w:lang w:val="en-US" w:eastAsia="en-US"/>
              </w:rPr>
              <w:t></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0.2143</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-0.1114</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0.0138</w:t>
            </w:r>
          </w:p>
        </w:tc>
      </w:tr>
      <w:tr w:rsidR="00D86998" w:rsidRPr="0091210C" w:rsidTr="000C09E3">
        <w:tc>
          <w:tcPr>
            <w:tcW w:w="0" w:type="auto"/>
            <w:vAlign w:val="bottom"/>
          </w:tcPr>
          <w:p w:rsidR="00D86998" w:rsidRPr="00553EE2" w:rsidRDefault="00D86998" w:rsidP="00553EE2">
            <w:pPr>
              <w:rPr>
                <w:sz w:val="24"/>
                <w:szCs w:val="24"/>
                <w:lang w:val="en-US"/>
              </w:rPr>
            </w:pPr>
            <w:r w:rsidRPr="00FA44A0">
              <w:rPr>
                <w:rFonts w:ascii="Symbol" w:hAnsi="Symbol"/>
                <w:color w:val="000000"/>
                <w:sz w:val="24"/>
                <w:szCs w:val="24"/>
                <w:lang w:val="en-US" w:eastAsia="en-US"/>
              </w:rPr>
              <w:t></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-0.0548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0.4194</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-0.244</w:t>
            </w:r>
          </w:p>
        </w:tc>
      </w:tr>
      <w:tr w:rsidR="00D86998" w:rsidRPr="0091210C" w:rsidTr="000C09E3">
        <w:tc>
          <w:tcPr>
            <w:tcW w:w="0" w:type="auto"/>
            <w:vAlign w:val="bottom"/>
          </w:tcPr>
          <w:p w:rsidR="00D86998" w:rsidRPr="00553EE2" w:rsidRDefault="00D86998" w:rsidP="00553EE2">
            <w:pPr>
              <w:rPr>
                <w:sz w:val="24"/>
                <w:szCs w:val="24"/>
                <w:lang w:val="en-US"/>
              </w:rPr>
            </w:pPr>
            <w:r w:rsidRPr="00FA44A0">
              <w:rPr>
                <w:rFonts w:ascii="Symbol" w:hAnsi="Symbol"/>
                <w:color w:val="000000"/>
                <w:sz w:val="24"/>
                <w:szCs w:val="24"/>
                <w:lang w:val="en-US" w:eastAsia="en-US"/>
              </w:rPr>
              <w:t></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-0.0565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0.3174</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0.4321</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a2</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0.1166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0.0958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0.3377</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a1</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0.2171</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0.0666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-0.0154</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Ahalf</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0.2145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0.0875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-0.0738</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ge2</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0.1373</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0.1738</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-0.1968</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ge1</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0.2092</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0.1123</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-0.1184</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ge0</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0.2154</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0.0879</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-0.0416</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gem1</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-0.0002</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0.131</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0.2562</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Gini</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0.2174</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0.0239</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-0.0381</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Wolfson</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0.2183</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-0.0179</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-0.0404</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fgt0</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0.2183</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0.0094</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0.0044</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fgt1</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0.215</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0.0889</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0.0055</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fgt2</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0.2096</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0.123</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0.0089</w:t>
            </w:r>
          </w:p>
        </w:tc>
      </w:tr>
      <w:tr w:rsidR="00D86998" w:rsidRPr="0091210C" w:rsidTr="000C09E3">
        <w:tc>
          <w:tcPr>
            <w:tcW w:w="0" w:type="auto"/>
          </w:tcPr>
          <w:p w:rsidR="00D86998" w:rsidRPr="0091210C" w:rsidRDefault="00D86998" w:rsidP="009D2C81">
            <w:pPr>
              <w:rPr>
                <w:sz w:val="24"/>
                <w:szCs w:val="24"/>
                <w:lang w:val="de-DE"/>
              </w:rPr>
            </w:pPr>
            <w:r w:rsidRPr="0091210C">
              <w:rPr>
                <w:sz w:val="24"/>
                <w:szCs w:val="24"/>
                <w:lang w:val="de-DE"/>
              </w:rPr>
              <w:t>p90p50</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0.2108</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0.0632</w:t>
            </w:r>
          </w:p>
        </w:tc>
        <w:tc>
          <w:tcPr>
            <w:tcW w:w="0" w:type="auto"/>
            <w:vAlign w:val="bottom"/>
          </w:tcPr>
          <w:p w:rsidR="00D86998" w:rsidRPr="00D135FD" w:rsidRDefault="00D86998" w:rsidP="009D2C81">
            <w:pPr>
              <w:rPr>
                <w:sz w:val="24"/>
                <w:szCs w:val="24"/>
                <w:lang w:val="de-DE"/>
              </w:rPr>
            </w:pPr>
            <w:r w:rsidRPr="005D57E5">
              <w:rPr>
                <w:color w:val="000000"/>
                <w:sz w:val="22"/>
                <w:szCs w:val="22"/>
                <w:lang w:val="en-US" w:eastAsia="en-US"/>
              </w:rPr>
              <w:t>-0.1424</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p50p10</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0.2098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0.0245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0.1522</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pp907550</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-0.0266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0.3587</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-0.355</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pp251050</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-0.0451</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0.3495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0.3557</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iso2</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0.2096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-0.0046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0.1789</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iso6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0.2118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-0.103</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0.0745</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iso10</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0.2115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-0.1105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0.0226</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iso14</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0.2148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-0.0662</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-0.0305</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iso18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0.2147</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0.0142</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-0.1062</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Po</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0.2085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-0.0219</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0.1833</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Mc</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-0.2015</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0.1644</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-0.0753</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Mcl</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-0.0646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-0.3677</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-0.2298</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Mcu</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-0.1162</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-0.298</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0.2478</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Ric</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0.2146</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-0.0182</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-0.0723</w:t>
            </w:r>
          </w:p>
        </w:tc>
      </w:tr>
      <w:tr w:rsidR="00D86998" w:rsidRPr="0091210C" w:rsidTr="000C09E3">
        <w:tc>
          <w:tcPr>
            <w:tcW w:w="0" w:type="auto"/>
          </w:tcPr>
          <w:p w:rsidR="00D86998" w:rsidRPr="0091210C" w:rsidRDefault="00D86998" w:rsidP="009D2C81">
            <w:pPr>
              <w:rPr>
                <w:sz w:val="24"/>
                <w:szCs w:val="24"/>
                <w:lang w:val="en-US"/>
              </w:rPr>
            </w:pPr>
            <w:r w:rsidRPr="0091210C">
              <w:rPr>
                <w:sz w:val="24"/>
                <w:szCs w:val="24"/>
                <w:lang w:val="en-US"/>
              </w:rPr>
              <w:t>Rpol</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0.1859</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-0.2517</w:t>
            </w:r>
          </w:p>
        </w:tc>
        <w:tc>
          <w:tcPr>
            <w:tcW w:w="0" w:type="auto"/>
            <w:vAlign w:val="bottom"/>
          </w:tcPr>
          <w:p w:rsidR="00D86998" w:rsidRPr="00D135FD" w:rsidRDefault="00D86998" w:rsidP="009D2C81">
            <w:pPr>
              <w:rPr>
                <w:sz w:val="24"/>
                <w:szCs w:val="24"/>
                <w:lang w:val="en-US"/>
              </w:rPr>
            </w:pPr>
            <w:r w:rsidRPr="005D57E5">
              <w:rPr>
                <w:color w:val="000000"/>
                <w:sz w:val="22"/>
                <w:szCs w:val="22"/>
                <w:lang w:val="en-US" w:eastAsia="en-US"/>
              </w:rPr>
              <w:t>0.0745</w:t>
            </w:r>
          </w:p>
        </w:tc>
      </w:tr>
    </w:tbl>
    <w:p w:rsidR="0091210C" w:rsidRDefault="0091210C" w:rsidP="00E10624">
      <w:pPr>
        <w:spacing w:after="120" w:line="480" w:lineRule="auto"/>
        <w:rPr>
          <w:b/>
          <w:bCs/>
          <w:sz w:val="24"/>
          <w:szCs w:val="24"/>
          <w:lang w:val="en-GB"/>
        </w:rPr>
      </w:pPr>
    </w:p>
    <w:p w:rsidR="00D86998" w:rsidRDefault="005D57E5" w:rsidP="00E10624">
      <w:pPr>
        <w:spacing w:after="120" w:line="480" w:lineRule="auto"/>
        <w:rPr>
          <w:b/>
          <w:bCs/>
          <w:sz w:val="24"/>
          <w:szCs w:val="24"/>
          <w:lang w:val="en-GB"/>
        </w:rPr>
      </w:pPr>
      <w:r>
        <w:rPr>
          <w:b/>
          <w:bCs/>
          <w:sz w:val="24"/>
          <w:szCs w:val="24"/>
          <w:lang w:val="en-GB"/>
        </w:rPr>
        <w:br w:type="column"/>
      </w:r>
    </w:p>
    <w:p w:rsidR="00E10624" w:rsidRPr="00B2141B" w:rsidRDefault="00E10624" w:rsidP="00E10624">
      <w:pPr>
        <w:spacing w:after="120" w:line="480" w:lineRule="auto"/>
        <w:rPr>
          <w:b/>
          <w:bCs/>
          <w:sz w:val="24"/>
          <w:szCs w:val="24"/>
          <w:lang w:val="en-GB"/>
        </w:rPr>
      </w:pPr>
      <w:r>
        <w:rPr>
          <w:b/>
          <w:bCs/>
          <w:sz w:val="24"/>
          <w:szCs w:val="24"/>
          <w:lang w:val="en-GB"/>
        </w:rPr>
        <w:t xml:space="preserve">Table </w:t>
      </w:r>
      <w:r w:rsidR="00AB0CFB">
        <w:rPr>
          <w:b/>
          <w:bCs/>
          <w:sz w:val="24"/>
          <w:szCs w:val="24"/>
          <w:lang w:val="en-GB"/>
        </w:rPr>
        <w:t>5</w:t>
      </w:r>
      <w:r>
        <w:rPr>
          <w:b/>
          <w:bCs/>
          <w:sz w:val="24"/>
          <w:szCs w:val="24"/>
          <w:lang w:val="en-GB"/>
        </w:rPr>
        <w:t xml:space="preserve">: OLS </w:t>
      </w:r>
      <w:r w:rsidR="00D8145D">
        <w:rPr>
          <w:b/>
          <w:bCs/>
          <w:sz w:val="24"/>
          <w:szCs w:val="24"/>
          <w:lang w:val="en-GB"/>
        </w:rPr>
        <w:t>C</w:t>
      </w:r>
      <w:r>
        <w:rPr>
          <w:b/>
          <w:bCs/>
          <w:sz w:val="24"/>
          <w:szCs w:val="24"/>
          <w:lang w:val="en-GB"/>
        </w:rPr>
        <w:t xml:space="preserve">oefficients: </w:t>
      </w:r>
      <w:r w:rsidR="0094312C">
        <w:rPr>
          <w:b/>
          <w:bCs/>
          <w:sz w:val="24"/>
          <w:szCs w:val="24"/>
          <w:lang w:val="en-GB"/>
        </w:rPr>
        <w:t xml:space="preserve">Regression of the </w:t>
      </w:r>
      <w:r>
        <w:rPr>
          <w:b/>
          <w:bCs/>
          <w:sz w:val="24"/>
          <w:szCs w:val="24"/>
          <w:lang w:val="en-GB"/>
        </w:rPr>
        <w:t xml:space="preserve">Gini, Atkinson 2 and Generalized </w:t>
      </w:r>
      <w:r w:rsidR="00D8145D">
        <w:rPr>
          <w:b/>
          <w:bCs/>
          <w:sz w:val="24"/>
          <w:szCs w:val="24"/>
          <w:lang w:val="en-GB"/>
        </w:rPr>
        <w:t>E</w:t>
      </w:r>
      <w:r>
        <w:rPr>
          <w:b/>
          <w:bCs/>
          <w:sz w:val="24"/>
          <w:szCs w:val="24"/>
          <w:lang w:val="en-GB"/>
        </w:rPr>
        <w:t xml:space="preserve">ntropy 2 </w:t>
      </w:r>
      <w:r w:rsidR="0094312C">
        <w:rPr>
          <w:b/>
          <w:bCs/>
          <w:sz w:val="24"/>
          <w:szCs w:val="24"/>
          <w:lang w:val="en-GB"/>
        </w:rPr>
        <w:t xml:space="preserve">indices </w:t>
      </w:r>
      <w:r w:rsidR="00B358DA">
        <w:rPr>
          <w:b/>
          <w:bCs/>
          <w:sz w:val="24"/>
          <w:szCs w:val="24"/>
          <w:lang w:val="en-GB"/>
        </w:rPr>
        <w:t>on</w:t>
      </w:r>
      <w:r>
        <w:rPr>
          <w:b/>
          <w:bCs/>
          <w:sz w:val="24"/>
          <w:szCs w:val="24"/>
          <w:lang w:val="en-GB"/>
        </w:rPr>
        <w:t xml:space="preserve"> the ABG </w:t>
      </w:r>
      <w:r w:rsidR="00D8145D">
        <w:rPr>
          <w:b/>
          <w:bCs/>
          <w:sz w:val="24"/>
          <w:szCs w:val="24"/>
          <w:lang w:val="en-GB"/>
        </w:rPr>
        <w:t>C</w:t>
      </w:r>
      <w:r>
        <w:rPr>
          <w:b/>
          <w:bCs/>
          <w:sz w:val="24"/>
          <w:szCs w:val="24"/>
          <w:lang w:val="en-GB"/>
        </w:rPr>
        <w:t xml:space="preserve">oefficients </w:t>
      </w:r>
    </w:p>
    <w:tbl>
      <w:tblPr>
        <w:tblW w:w="9207" w:type="dxa"/>
        <w:tblInd w:w="93" w:type="dxa"/>
        <w:tblLook w:val="04A0" w:firstRow="1" w:lastRow="0" w:firstColumn="1" w:lastColumn="0" w:noHBand="0" w:noVBand="1"/>
      </w:tblPr>
      <w:tblGrid>
        <w:gridCol w:w="944"/>
        <w:gridCol w:w="1362"/>
        <w:gridCol w:w="1363"/>
        <w:gridCol w:w="1449"/>
        <w:gridCol w:w="1363"/>
        <w:gridCol w:w="1363"/>
        <w:gridCol w:w="1363"/>
      </w:tblGrid>
      <w:tr w:rsidR="00FC4D25" w:rsidRPr="00A117C2" w:rsidTr="00D86998">
        <w:trPr>
          <w:trHeight w:val="315"/>
        </w:trPr>
        <w:tc>
          <w:tcPr>
            <w:tcW w:w="944" w:type="dxa"/>
            <w:tcBorders>
              <w:top w:val="single" w:sz="8" w:space="0" w:color="auto"/>
              <w:left w:val="nil"/>
              <w:bottom w:val="single" w:sz="8" w:space="0" w:color="auto"/>
              <w:right w:val="nil"/>
            </w:tcBorders>
            <w:shd w:val="clear" w:color="auto" w:fill="auto"/>
            <w:noWrap/>
            <w:vAlign w:val="center"/>
            <w:hideMark/>
          </w:tcPr>
          <w:p w:rsidR="00FC4D25" w:rsidRPr="00A117C2" w:rsidRDefault="00FC4D25" w:rsidP="00A117C2">
            <w:pPr>
              <w:jc w:val="center"/>
              <w:rPr>
                <w:color w:val="000000"/>
                <w:lang w:val="en-US" w:eastAsia="en-US"/>
              </w:rPr>
            </w:pPr>
            <w:r w:rsidRPr="00AB0CFB">
              <w:rPr>
                <w:rFonts w:eastAsia="MS Mincho"/>
                <w:color w:val="000000"/>
                <w:lang w:val="en-US" w:eastAsia="ja-JP"/>
              </w:rPr>
              <w:t> </w:t>
            </w:r>
          </w:p>
        </w:tc>
        <w:tc>
          <w:tcPr>
            <w:tcW w:w="1362" w:type="dxa"/>
            <w:tcBorders>
              <w:top w:val="single" w:sz="8" w:space="0" w:color="auto"/>
              <w:left w:val="nil"/>
              <w:bottom w:val="single" w:sz="8" w:space="0" w:color="auto"/>
              <w:right w:val="nil"/>
            </w:tcBorders>
            <w:shd w:val="clear" w:color="auto" w:fill="auto"/>
            <w:noWrap/>
            <w:vAlign w:val="center"/>
            <w:hideMark/>
          </w:tcPr>
          <w:p w:rsidR="00FC4D25" w:rsidRPr="00A117C2" w:rsidRDefault="00FC4D25" w:rsidP="00D8145D">
            <w:pPr>
              <w:jc w:val="center"/>
              <w:rPr>
                <w:color w:val="000000"/>
                <w:lang w:val="en-US" w:eastAsia="en-US"/>
              </w:rPr>
            </w:pPr>
            <w:r w:rsidRPr="00A117C2">
              <w:rPr>
                <w:rFonts w:eastAsia="MS Mincho"/>
                <w:color w:val="000000"/>
                <w:lang w:eastAsia="ja-JP"/>
              </w:rPr>
              <w:t>Coef</w:t>
            </w:r>
            <w:r>
              <w:rPr>
                <w:rFonts w:eastAsia="MS Mincho"/>
                <w:color w:val="000000"/>
                <w:lang w:eastAsia="ja-JP"/>
              </w:rPr>
              <w:t>ficient</w:t>
            </w:r>
          </w:p>
        </w:tc>
        <w:tc>
          <w:tcPr>
            <w:tcW w:w="1363" w:type="dxa"/>
            <w:tcBorders>
              <w:top w:val="single" w:sz="8" w:space="0" w:color="auto"/>
              <w:left w:val="nil"/>
              <w:bottom w:val="single" w:sz="8" w:space="0" w:color="auto"/>
              <w:right w:val="nil"/>
            </w:tcBorders>
            <w:shd w:val="clear" w:color="auto" w:fill="auto"/>
            <w:noWrap/>
            <w:vAlign w:val="center"/>
            <w:hideMark/>
          </w:tcPr>
          <w:p w:rsidR="00FC4D25" w:rsidRPr="00A117C2" w:rsidRDefault="00FC4D25" w:rsidP="00A117C2">
            <w:pPr>
              <w:jc w:val="center"/>
              <w:rPr>
                <w:color w:val="000000"/>
                <w:lang w:val="en-US" w:eastAsia="en-US"/>
              </w:rPr>
            </w:pPr>
            <w:r>
              <w:rPr>
                <w:rFonts w:eastAsia="MS Mincho"/>
                <w:color w:val="000000"/>
                <w:lang w:eastAsia="ja-JP"/>
              </w:rPr>
              <w:t>S.E</w:t>
            </w:r>
            <w:r w:rsidRPr="00A117C2">
              <w:rPr>
                <w:rFonts w:eastAsia="MS Mincho"/>
                <w:color w:val="000000"/>
                <w:lang w:eastAsia="ja-JP"/>
              </w:rPr>
              <w:t>.</w:t>
            </w:r>
          </w:p>
        </w:tc>
        <w:tc>
          <w:tcPr>
            <w:tcW w:w="1449" w:type="dxa"/>
            <w:tcBorders>
              <w:top w:val="single" w:sz="8" w:space="0" w:color="auto"/>
              <w:left w:val="nil"/>
              <w:bottom w:val="single" w:sz="8" w:space="0" w:color="auto"/>
              <w:right w:val="nil"/>
            </w:tcBorders>
            <w:shd w:val="clear" w:color="auto" w:fill="auto"/>
            <w:noWrap/>
            <w:vAlign w:val="center"/>
            <w:hideMark/>
          </w:tcPr>
          <w:p w:rsidR="00FC4D25" w:rsidRPr="00A117C2" w:rsidRDefault="00FC4D25" w:rsidP="00A117C2">
            <w:pPr>
              <w:jc w:val="center"/>
              <w:rPr>
                <w:color w:val="000000"/>
                <w:lang w:val="en-US" w:eastAsia="en-US"/>
              </w:rPr>
            </w:pPr>
            <w:r w:rsidRPr="00A117C2">
              <w:rPr>
                <w:rFonts w:eastAsia="MS Mincho"/>
                <w:color w:val="000000"/>
                <w:lang w:eastAsia="ja-JP"/>
              </w:rPr>
              <w:t>T</w:t>
            </w:r>
          </w:p>
        </w:tc>
        <w:tc>
          <w:tcPr>
            <w:tcW w:w="1363" w:type="dxa"/>
            <w:tcBorders>
              <w:top w:val="single" w:sz="8" w:space="0" w:color="auto"/>
              <w:left w:val="nil"/>
              <w:bottom w:val="single" w:sz="8" w:space="0" w:color="auto"/>
              <w:right w:val="nil"/>
            </w:tcBorders>
            <w:shd w:val="clear" w:color="auto" w:fill="auto"/>
            <w:noWrap/>
            <w:vAlign w:val="center"/>
            <w:hideMark/>
          </w:tcPr>
          <w:p w:rsidR="00FC4D25" w:rsidRPr="00A117C2" w:rsidRDefault="00FC4D25" w:rsidP="00A117C2">
            <w:pPr>
              <w:jc w:val="center"/>
              <w:rPr>
                <w:color w:val="000000"/>
                <w:lang w:val="en-US" w:eastAsia="en-US"/>
              </w:rPr>
            </w:pPr>
            <w:r w:rsidRPr="00A117C2">
              <w:rPr>
                <w:rFonts w:eastAsia="MS Mincho"/>
                <w:color w:val="000000"/>
                <w:lang w:eastAsia="ja-JP"/>
              </w:rPr>
              <w:t>P &gt; t</w:t>
            </w:r>
          </w:p>
        </w:tc>
        <w:tc>
          <w:tcPr>
            <w:tcW w:w="1363" w:type="dxa"/>
            <w:tcBorders>
              <w:top w:val="single" w:sz="8" w:space="0" w:color="auto"/>
              <w:left w:val="nil"/>
              <w:bottom w:val="single" w:sz="8" w:space="0" w:color="auto"/>
              <w:right w:val="nil"/>
            </w:tcBorders>
            <w:shd w:val="clear" w:color="auto" w:fill="auto"/>
            <w:noWrap/>
            <w:vAlign w:val="bottom"/>
            <w:hideMark/>
          </w:tcPr>
          <w:p w:rsidR="00FC4D25" w:rsidRPr="00A117C2" w:rsidRDefault="00FC4D25" w:rsidP="00A117C2">
            <w:pPr>
              <w:jc w:val="center"/>
              <w:rPr>
                <w:color w:val="000000"/>
                <w:lang w:val="en-US" w:eastAsia="en-US"/>
              </w:rPr>
            </w:pPr>
            <w:r w:rsidRPr="00AA7A76">
              <w:rPr>
                <w:color w:val="000000"/>
                <w:sz w:val="22"/>
                <w:szCs w:val="22"/>
                <w:lang w:val="en-US" w:eastAsia="en-US"/>
              </w:rPr>
              <w:t>95% C.I. min</w:t>
            </w:r>
          </w:p>
        </w:tc>
        <w:tc>
          <w:tcPr>
            <w:tcW w:w="1363" w:type="dxa"/>
            <w:tcBorders>
              <w:top w:val="single" w:sz="8" w:space="0" w:color="auto"/>
              <w:left w:val="nil"/>
              <w:bottom w:val="single" w:sz="8" w:space="0" w:color="auto"/>
              <w:right w:val="nil"/>
            </w:tcBorders>
            <w:shd w:val="clear" w:color="auto" w:fill="auto"/>
            <w:noWrap/>
            <w:vAlign w:val="bottom"/>
            <w:hideMark/>
          </w:tcPr>
          <w:p w:rsidR="00FC4D25" w:rsidRPr="00A117C2" w:rsidRDefault="00FC4D25" w:rsidP="00A117C2">
            <w:pPr>
              <w:jc w:val="center"/>
              <w:rPr>
                <w:color w:val="000000"/>
                <w:lang w:val="en-US" w:eastAsia="en-US"/>
              </w:rPr>
            </w:pPr>
            <w:r w:rsidRPr="00AA7A76">
              <w:rPr>
                <w:color w:val="000000"/>
                <w:sz w:val="22"/>
                <w:szCs w:val="22"/>
                <w:lang w:val="en-US" w:eastAsia="en-US"/>
              </w:rPr>
              <w:t>95% C.I. max</w:t>
            </w:r>
          </w:p>
        </w:tc>
      </w:tr>
      <w:tr w:rsidR="00FC4D25" w:rsidRPr="00A117C2" w:rsidTr="00D86998">
        <w:trPr>
          <w:trHeight w:val="330"/>
        </w:trPr>
        <w:tc>
          <w:tcPr>
            <w:tcW w:w="9207" w:type="dxa"/>
            <w:gridSpan w:val="7"/>
            <w:tcBorders>
              <w:top w:val="single" w:sz="8" w:space="0" w:color="auto"/>
              <w:left w:val="nil"/>
              <w:bottom w:val="single" w:sz="8" w:space="0" w:color="auto"/>
              <w:right w:val="nil"/>
            </w:tcBorders>
            <w:shd w:val="clear" w:color="auto" w:fill="auto"/>
            <w:noWrap/>
            <w:vAlign w:val="center"/>
            <w:hideMark/>
          </w:tcPr>
          <w:p w:rsidR="00FC4D25" w:rsidRPr="00A117C2" w:rsidRDefault="00FC4D25" w:rsidP="00A117C2">
            <w:pPr>
              <w:jc w:val="center"/>
              <w:rPr>
                <w:color w:val="000000"/>
                <w:lang w:val="en-US" w:eastAsia="en-US"/>
              </w:rPr>
            </w:pPr>
            <w:r w:rsidRPr="00A117C2">
              <w:rPr>
                <w:rFonts w:eastAsia="MS Mincho"/>
                <w:color w:val="000000"/>
                <w:lang w:eastAsia="ja-JP"/>
              </w:rPr>
              <w:t xml:space="preserve">Gini index </w:t>
            </w:r>
            <w:r w:rsidR="002A1BD0">
              <w:rPr>
                <w:rFonts w:eastAsia="MS Mincho"/>
                <w:color w:val="000000"/>
                <w:lang w:eastAsia="ja-JP"/>
              </w:rPr>
              <w:t>r</w:t>
            </w:r>
            <w:r w:rsidRPr="00A117C2">
              <w:rPr>
                <w:rFonts w:eastAsia="MS Mincho"/>
                <w:color w:val="000000"/>
                <w:vertAlign w:val="superscript"/>
                <w:lang w:eastAsia="ja-JP"/>
              </w:rPr>
              <w:t>2</w:t>
            </w:r>
            <w:r w:rsidRPr="00A117C2">
              <w:rPr>
                <w:rFonts w:eastAsia="MS Mincho"/>
                <w:color w:val="000000"/>
                <w:lang w:eastAsia="ja-JP"/>
              </w:rPr>
              <w:t xml:space="preserve"> = </w:t>
            </w:r>
            <w:r w:rsidR="00D86998" w:rsidRPr="00D86998">
              <w:rPr>
                <w:rFonts w:eastAsia="MS Mincho"/>
                <w:color w:val="000000"/>
                <w:lang w:eastAsia="ja-JP"/>
              </w:rPr>
              <w:t>0.9849</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0.8978</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0.0076</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117.9</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0.8828</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0.9128</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0.4839</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0.0160</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30.2</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0.4523</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0.5154</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0.1192</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0.0141</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8.4</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0.0913</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0.1471</w:t>
            </w:r>
          </w:p>
        </w:tc>
      </w:tr>
      <w:tr w:rsidR="00D86998" w:rsidRPr="00A117C2" w:rsidTr="000C09E3">
        <w:trPr>
          <w:trHeight w:val="315"/>
        </w:trPr>
        <w:tc>
          <w:tcPr>
            <w:tcW w:w="944" w:type="dxa"/>
            <w:tcBorders>
              <w:top w:val="nil"/>
              <w:left w:val="nil"/>
              <w:bottom w:val="single" w:sz="8" w:space="0" w:color="auto"/>
              <w:right w:val="nil"/>
            </w:tcBorders>
            <w:shd w:val="clear" w:color="auto" w:fill="auto"/>
            <w:noWrap/>
            <w:vAlign w:val="center"/>
            <w:hideMark/>
          </w:tcPr>
          <w:p w:rsidR="00D86998" w:rsidRPr="00A117C2" w:rsidRDefault="00D86998" w:rsidP="00A117C2">
            <w:pPr>
              <w:rPr>
                <w:color w:val="000000"/>
                <w:lang w:val="en-US" w:eastAsia="en-US"/>
              </w:rPr>
            </w:pPr>
            <w:r w:rsidRPr="00A117C2">
              <w:rPr>
                <w:color w:val="000000"/>
                <w:lang w:val="en-US" w:eastAsia="en-US"/>
              </w:rPr>
              <w:t>Cons</w:t>
            </w:r>
            <w:r w:rsidR="00E9025B">
              <w:rPr>
                <w:color w:val="000000"/>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0.0277</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0.0024</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11.3</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0.0228</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0.0325</w:t>
            </w:r>
          </w:p>
        </w:tc>
      </w:tr>
      <w:tr w:rsidR="00D86998" w:rsidRPr="00A117C2" w:rsidTr="00D86998">
        <w:trPr>
          <w:trHeight w:val="330"/>
        </w:trPr>
        <w:tc>
          <w:tcPr>
            <w:tcW w:w="9207" w:type="dxa"/>
            <w:gridSpan w:val="7"/>
            <w:tcBorders>
              <w:top w:val="single" w:sz="8" w:space="0" w:color="auto"/>
              <w:left w:val="nil"/>
              <w:bottom w:val="single" w:sz="8" w:space="0" w:color="auto"/>
              <w:right w:val="nil"/>
            </w:tcBorders>
            <w:shd w:val="clear" w:color="auto" w:fill="auto"/>
            <w:noWrap/>
            <w:vAlign w:val="center"/>
            <w:hideMark/>
          </w:tcPr>
          <w:p w:rsidR="00D86998" w:rsidRPr="00A117C2" w:rsidRDefault="00D86998" w:rsidP="00A117C2">
            <w:pPr>
              <w:jc w:val="center"/>
              <w:rPr>
                <w:color w:val="000000"/>
                <w:lang w:val="en-US" w:eastAsia="en-US"/>
              </w:rPr>
            </w:pPr>
            <w:r w:rsidRPr="00A117C2">
              <w:rPr>
                <w:rFonts w:eastAsia="MS Mincho"/>
                <w:color w:val="000000"/>
                <w:lang w:eastAsia="ja-JP"/>
              </w:rPr>
              <w:t xml:space="preserve">Atkinson 2 </w:t>
            </w:r>
            <w:r w:rsidR="002A1BD0">
              <w:rPr>
                <w:rFonts w:eastAsia="MS Mincho"/>
                <w:color w:val="000000"/>
                <w:lang w:eastAsia="ja-JP"/>
              </w:rPr>
              <w:t>r</w:t>
            </w:r>
            <w:r w:rsidRPr="00A117C2">
              <w:rPr>
                <w:rFonts w:eastAsia="MS Mincho"/>
                <w:color w:val="000000"/>
                <w:vertAlign w:val="superscript"/>
                <w:lang w:eastAsia="ja-JP"/>
              </w:rPr>
              <w:t>2</w:t>
            </w:r>
            <w:r w:rsidRPr="00A117C2">
              <w:rPr>
                <w:rFonts w:eastAsia="MS Mincho"/>
                <w:color w:val="000000"/>
                <w:lang w:eastAsia="ja-JP"/>
              </w:rPr>
              <w:t xml:space="preserve"> = </w:t>
            </w:r>
            <w:r w:rsidRPr="00D86998">
              <w:rPr>
                <w:rFonts w:eastAsia="MS Mincho"/>
                <w:color w:val="000000"/>
                <w:lang w:eastAsia="ja-JP"/>
              </w:rPr>
              <w:t>0.3964</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1.4425</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0.1322</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10.9</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1.1820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1.7030</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0.0293</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0.2778</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0.1</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0.9160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-0.5182</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0.5767</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1.9340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0.2457</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7.9</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1.4500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2.4181</w:t>
            </w:r>
          </w:p>
        </w:tc>
      </w:tr>
      <w:tr w:rsidR="00D86998" w:rsidRPr="00A117C2" w:rsidTr="000C09E3">
        <w:trPr>
          <w:trHeight w:val="315"/>
        </w:trPr>
        <w:tc>
          <w:tcPr>
            <w:tcW w:w="944" w:type="dxa"/>
            <w:tcBorders>
              <w:top w:val="nil"/>
              <w:left w:val="nil"/>
              <w:bottom w:val="single" w:sz="8" w:space="0" w:color="auto"/>
              <w:right w:val="nil"/>
            </w:tcBorders>
            <w:shd w:val="clear" w:color="auto" w:fill="auto"/>
            <w:noWrap/>
            <w:vAlign w:val="center"/>
            <w:hideMark/>
          </w:tcPr>
          <w:p w:rsidR="00D86998" w:rsidRPr="00A117C2" w:rsidRDefault="00E9025B" w:rsidP="00A117C2">
            <w:pPr>
              <w:rPr>
                <w:color w:val="000000"/>
                <w:lang w:val="en-US" w:eastAsia="en-US"/>
              </w:rPr>
            </w:pPr>
            <w:r w:rsidRPr="00E9025B">
              <w:rPr>
                <w:color w:val="000000"/>
                <w:lang w:val="en-US" w:eastAsia="en-US"/>
              </w:rPr>
              <w:t>Cons</w:t>
            </w:r>
            <w:r>
              <w:rPr>
                <w:color w:val="000000"/>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-0.0506</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0.0425</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-1.2</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0.2350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-0.1344</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0.0331</w:t>
            </w:r>
          </w:p>
        </w:tc>
      </w:tr>
      <w:tr w:rsidR="00D86998" w:rsidRPr="00A117C2" w:rsidTr="00D86998">
        <w:trPr>
          <w:trHeight w:val="330"/>
        </w:trPr>
        <w:tc>
          <w:tcPr>
            <w:tcW w:w="9207" w:type="dxa"/>
            <w:gridSpan w:val="7"/>
            <w:tcBorders>
              <w:top w:val="single" w:sz="8" w:space="0" w:color="auto"/>
              <w:left w:val="nil"/>
              <w:bottom w:val="single" w:sz="8" w:space="0" w:color="auto"/>
              <w:right w:val="nil"/>
            </w:tcBorders>
            <w:shd w:val="clear" w:color="auto" w:fill="auto"/>
            <w:noWrap/>
            <w:vAlign w:val="center"/>
            <w:hideMark/>
          </w:tcPr>
          <w:p w:rsidR="00D86998" w:rsidRPr="00A117C2" w:rsidRDefault="00D86998" w:rsidP="00D86998">
            <w:pPr>
              <w:jc w:val="center"/>
              <w:rPr>
                <w:color w:val="000000"/>
                <w:lang w:val="en-US" w:eastAsia="en-US"/>
              </w:rPr>
            </w:pPr>
            <w:r w:rsidRPr="00A117C2">
              <w:rPr>
                <w:rFonts w:eastAsia="MS Mincho"/>
                <w:color w:val="000000"/>
                <w:lang w:eastAsia="ja-JP"/>
              </w:rPr>
              <w:t xml:space="preserve">Generalized entropy 2 </w:t>
            </w:r>
            <w:r w:rsidR="002A1BD0">
              <w:rPr>
                <w:rFonts w:eastAsia="MS Mincho"/>
                <w:color w:val="000000"/>
                <w:lang w:eastAsia="ja-JP"/>
              </w:rPr>
              <w:t>r</w:t>
            </w:r>
            <w:r w:rsidRPr="00A117C2">
              <w:rPr>
                <w:rFonts w:eastAsia="MS Mincho"/>
                <w:color w:val="000000"/>
                <w:vertAlign w:val="superscript"/>
                <w:lang w:eastAsia="ja-JP"/>
              </w:rPr>
              <w:t>2</w:t>
            </w:r>
            <w:r w:rsidRPr="00A117C2">
              <w:rPr>
                <w:rFonts w:eastAsia="MS Mincho"/>
                <w:color w:val="000000"/>
                <w:lang w:eastAsia="ja-JP"/>
              </w:rPr>
              <w:t xml:space="preserve"> = </w:t>
            </w:r>
            <w:r w:rsidRPr="00D86998">
              <w:rPr>
                <w:rFonts w:eastAsia="MS Mincho"/>
                <w:color w:val="000000"/>
                <w:lang w:eastAsia="ja-JP"/>
              </w:rPr>
              <w:t>0.4131</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3.0979</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0.2582</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12.0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2.5891</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3.6067</w:t>
            </w:r>
          </w:p>
        </w:tc>
      </w:tr>
      <w:tr w:rsidR="00D86998" w:rsidRPr="00A117C2" w:rsidTr="000C09E3">
        <w:trPr>
          <w:trHeight w:val="315"/>
        </w:trPr>
        <w:tc>
          <w:tcPr>
            <w:tcW w:w="944" w:type="dxa"/>
            <w:tcBorders>
              <w:top w:val="nil"/>
              <w:left w:val="nil"/>
              <w:bottom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3.8710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0.5426</w:t>
            </w:r>
          </w:p>
        </w:tc>
        <w:tc>
          <w:tcPr>
            <w:tcW w:w="1449"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7.1</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2.8018</w:t>
            </w:r>
          </w:p>
        </w:tc>
        <w:tc>
          <w:tcPr>
            <w:tcW w:w="1363" w:type="dxa"/>
            <w:tcBorders>
              <w:top w:val="nil"/>
              <w:left w:val="nil"/>
              <w:bottom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4.9403</w:t>
            </w:r>
          </w:p>
        </w:tc>
      </w:tr>
      <w:tr w:rsidR="00D86998" w:rsidRPr="00A117C2" w:rsidTr="000C09E3">
        <w:trPr>
          <w:trHeight w:val="315"/>
        </w:trPr>
        <w:tc>
          <w:tcPr>
            <w:tcW w:w="944" w:type="dxa"/>
            <w:tcBorders>
              <w:top w:val="nil"/>
              <w:left w:val="nil"/>
              <w:right w:val="nil"/>
            </w:tcBorders>
            <w:shd w:val="clear" w:color="auto" w:fill="auto"/>
            <w:noWrap/>
            <w:vAlign w:val="bottom"/>
            <w:hideMark/>
          </w:tcPr>
          <w:p w:rsidR="00D86998" w:rsidRPr="00A117C2" w:rsidRDefault="00D86998" w:rsidP="00A117C2">
            <w:pPr>
              <w:rPr>
                <w:color w:val="000000"/>
                <w:lang w:val="en-US" w:eastAsia="en-US"/>
              </w:rPr>
            </w:pPr>
            <w:r>
              <w:rPr>
                <w:rFonts w:ascii="Symbol" w:hAnsi="Symbol"/>
                <w:color w:val="000000"/>
                <w:sz w:val="22"/>
                <w:szCs w:val="22"/>
                <w:lang w:val="en-US" w:eastAsia="en-US"/>
              </w:rPr>
              <w:t></w:t>
            </w:r>
          </w:p>
        </w:tc>
        <w:tc>
          <w:tcPr>
            <w:tcW w:w="1362" w:type="dxa"/>
            <w:tcBorders>
              <w:top w:val="nil"/>
              <w:left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-0.0388</w:t>
            </w:r>
          </w:p>
        </w:tc>
        <w:tc>
          <w:tcPr>
            <w:tcW w:w="1363" w:type="dxa"/>
            <w:tcBorders>
              <w:top w:val="nil"/>
              <w:left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0.4798</w:t>
            </w:r>
          </w:p>
        </w:tc>
        <w:tc>
          <w:tcPr>
            <w:tcW w:w="1449" w:type="dxa"/>
            <w:tcBorders>
              <w:top w:val="nil"/>
              <w:left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-0.1</w:t>
            </w:r>
          </w:p>
        </w:tc>
        <w:tc>
          <w:tcPr>
            <w:tcW w:w="1363" w:type="dxa"/>
            <w:tcBorders>
              <w:top w:val="nil"/>
              <w:left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0.9360</w:t>
            </w:r>
          </w:p>
        </w:tc>
        <w:tc>
          <w:tcPr>
            <w:tcW w:w="1363" w:type="dxa"/>
            <w:tcBorders>
              <w:top w:val="nil"/>
              <w:left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-0.9842</w:t>
            </w:r>
          </w:p>
        </w:tc>
        <w:tc>
          <w:tcPr>
            <w:tcW w:w="1363" w:type="dxa"/>
            <w:tcBorders>
              <w:top w:val="nil"/>
              <w:left w:val="nil"/>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0.9067</w:t>
            </w:r>
          </w:p>
        </w:tc>
      </w:tr>
      <w:tr w:rsidR="00D86998" w:rsidRPr="00A117C2" w:rsidTr="000C09E3">
        <w:trPr>
          <w:trHeight w:val="315"/>
        </w:trPr>
        <w:tc>
          <w:tcPr>
            <w:tcW w:w="944" w:type="dxa"/>
            <w:tcBorders>
              <w:top w:val="nil"/>
              <w:left w:val="nil"/>
              <w:bottom w:val="single" w:sz="4" w:space="0" w:color="auto"/>
              <w:right w:val="nil"/>
            </w:tcBorders>
            <w:shd w:val="clear" w:color="auto" w:fill="auto"/>
            <w:noWrap/>
            <w:vAlign w:val="center"/>
            <w:hideMark/>
          </w:tcPr>
          <w:p w:rsidR="00D86998" w:rsidRPr="00A117C2" w:rsidRDefault="00E9025B" w:rsidP="00A117C2">
            <w:pPr>
              <w:rPr>
                <w:color w:val="000000"/>
                <w:lang w:val="en-US" w:eastAsia="en-US"/>
              </w:rPr>
            </w:pPr>
            <w:r w:rsidRPr="00E9025B">
              <w:rPr>
                <w:color w:val="000000"/>
                <w:lang w:val="en-US" w:eastAsia="en-US"/>
              </w:rPr>
              <w:t>Cons</w:t>
            </w:r>
            <w:r>
              <w:rPr>
                <w:color w:val="000000"/>
                <w:lang w:val="en-US" w:eastAsia="en-US"/>
              </w:rPr>
              <w:t>.</w:t>
            </w:r>
          </w:p>
        </w:tc>
        <w:tc>
          <w:tcPr>
            <w:tcW w:w="1362" w:type="dxa"/>
            <w:tcBorders>
              <w:top w:val="nil"/>
              <w:left w:val="nil"/>
              <w:bottom w:val="single" w:sz="4" w:space="0" w:color="auto"/>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-0.5315</w:t>
            </w:r>
          </w:p>
        </w:tc>
        <w:tc>
          <w:tcPr>
            <w:tcW w:w="1363" w:type="dxa"/>
            <w:tcBorders>
              <w:top w:val="nil"/>
              <w:left w:val="nil"/>
              <w:bottom w:val="single" w:sz="4" w:space="0" w:color="auto"/>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0.0830</w:t>
            </w:r>
          </w:p>
        </w:tc>
        <w:tc>
          <w:tcPr>
            <w:tcW w:w="1449" w:type="dxa"/>
            <w:tcBorders>
              <w:top w:val="nil"/>
              <w:left w:val="nil"/>
              <w:bottom w:val="single" w:sz="4" w:space="0" w:color="auto"/>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-6.4</w:t>
            </w:r>
          </w:p>
        </w:tc>
        <w:tc>
          <w:tcPr>
            <w:tcW w:w="1363" w:type="dxa"/>
            <w:tcBorders>
              <w:top w:val="nil"/>
              <w:left w:val="nil"/>
              <w:bottom w:val="single" w:sz="4" w:space="0" w:color="auto"/>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0.0000</w:t>
            </w:r>
          </w:p>
        </w:tc>
        <w:tc>
          <w:tcPr>
            <w:tcW w:w="1363" w:type="dxa"/>
            <w:tcBorders>
              <w:top w:val="nil"/>
              <w:left w:val="nil"/>
              <w:bottom w:val="single" w:sz="4" w:space="0" w:color="auto"/>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-0.6951</w:t>
            </w:r>
          </w:p>
        </w:tc>
        <w:tc>
          <w:tcPr>
            <w:tcW w:w="1363" w:type="dxa"/>
            <w:tcBorders>
              <w:top w:val="nil"/>
              <w:left w:val="nil"/>
              <w:bottom w:val="single" w:sz="4" w:space="0" w:color="auto"/>
              <w:right w:val="nil"/>
            </w:tcBorders>
            <w:shd w:val="clear" w:color="auto" w:fill="auto"/>
            <w:noWrap/>
            <w:vAlign w:val="bottom"/>
            <w:hideMark/>
          </w:tcPr>
          <w:p w:rsidR="00D86998" w:rsidRPr="00D135FD" w:rsidRDefault="00D86998" w:rsidP="00A117C2">
            <w:pPr>
              <w:jc w:val="right"/>
              <w:rPr>
                <w:color w:val="000000"/>
                <w:lang w:val="en-US" w:eastAsia="en-US"/>
              </w:rPr>
            </w:pPr>
            <w:r w:rsidRPr="005D57E5">
              <w:rPr>
                <w:color w:val="000000"/>
                <w:sz w:val="22"/>
                <w:szCs w:val="22"/>
                <w:lang w:val="en-US" w:eastAsia="en-US"/>
              </w:rPr>
              <w:t>-0.3680</w:t>
            </w:r>
          </w:p>
        </w:tc>
      </w:tr>
    </w:tbl>
    <w:p w:rsidR="00A117C2" w:rsidRDefault="00A117C2" w:rsidP="00E10624">
      <w:pPr>
        <w:rPr>
          <w:lang w:val="en-US"/>
        </w:rPr>
      </w:pPr>
    </w:p>
    <w:p w:rsidR="00E10624" w:rsidRDefault="00E10624" w:rsidP="00E10624">
      <w:pPr>
        <w:rPr>
          <w:lang w:val="en-US"/>
        </w:rPr>
      </w:pPr>
      <w:r w:rsidRPr="005D4E1F">
        <w:rPr>
          <w:lang w:val="en-US"/>
        </w:rPr>
        <w:t>Note:</w:t>
      </w:r>
      <w:r>
        <w:rPr>
          <w:lang w:val="en-US"/>
        </w:rPr>
        <w:t xml:space="preserve"> V</w:t>
      </w:r>
      <w:r w:rsidR="0094312C">
        <w:rPr>
          <w:lang w:val="en-US"/>
        </w:rPr>
        <w:t>IF</w:t>
      </w:r>
      <w:r>
        <w:rPr>
          <w:lang w:val="en-US"/>
        </w:rPr>
        <w:t xml:space="preserve">  &lt; 1.</w:t>
      </w:r>
      <w:r w:rsidR="00D86998">
        <w:rPr>
          <w:lang w:val="en-US"/>
        </w:rPr>
        <w:t>28</w:t>
      </w:r>
      <w:r>
        <w:rPr>
          <w:lang w:val="en-US"/>
        </w:rPr>
        <w:t xml:space="preserve">; N = </w:t>
      </w:r>
      <w:r w:rsidR="005423EC">
        <w:rPr>
          <w:lang w:val="en-US"/>
        </w:rPr>
        <w:t>232</w:t>
      </w:r>
    </w:p>
    <w:p w:rsidR="00D86998" w:rsidRDefault="00D86998" w:rsidP="00E10624">
      <w:pPr>
        <w:rPr>
          <w:lang w:val="en-US"/>
        </w:rPr>
      </w:pPr>
    </w:p>
    <w:p w:rsidR="00E10624" w:rsidRDefault="00E10624" w:rsidP="00E10624">
      <w:pPr>
        <w:rPr>
          <w:lang w:val="en-US"/>
        </w:rPr>
      </w:pPr>
    </w:p>
    <w:p w:rsidR="00953BC8" w:rsidRDefault="00953BC8" w:rsidP="00E10624">
      <w:pPr>
        <w:rPr>
          <w:lang w:val="en-US"/>
        </w:rPr>
      </w:pPr>
    </w:p>
    <w:p w:rsidR="00E10624" w:rsidRPr="008B0DAB" w:rsidRDefault="00E10624" w:rsidP="00E10624">
      <w:pPr>
        <w:spacing w:after="120" w:line="480" w:lineRule="auto"/>
        <w:rPr>
          <w:b/>
          <w:bCs/>
          <w:sz w:val="24"/>
          <w:szCs w:val="24"/>
          <w:lang w:val="en-GB"/>
        </w:rPr>
      </w:pPr>
      <w:r>
        <w:rPr>
          <w:b/>
          <w:bCs/>
          <w:sz w:val="24"/>
          <w:szCs w:val="24"/>
          <w:lang w:val="en-GB"/>
        </w:rPr>
        <w:t xml:space="preserve">Table </w:t>
      </w:r>
      <w:r w:rsidR="00AB0CFB">
        <w:rPr>
          <w:b/>
          <w:bCs/>
          <w:sz w:val="24"/>
          <w:szCs w:val="24"/>
          <w:lang w:val="en-GB"/>
        </w:rPr>
        <w:t>6</w:t>
      </w:r>
      <w:r>
        <w:rPr>
          <w:b/>
          <w:bCs/>
          <w:sz w:val="24"/>
          <w:szCs w:val="24"/>
          <w:lang w:val="en-GB"/>
        </w:rPr>
        <w:t>: R</w:t>
      </w:r>
      <w:r w:rsidRPr="008B0DAB">
        <w:rPr>
          <w:b/>
          <w:bCs/>
          <w:sz w:val="24"/>
          <w:szCs w:val="24"/>
          <w:vertAlign w:val="superscript"/>
          <w:lang w:val="en-GB"/>
        </w:rPr>
        <w:t>2</w:t>
      </w:r>
      <w:r>
        <w:rPr>
          <w:b/>
          <w:bCs/>
          <w:sz w:val="24"/>
          <w:szCs w:val="24"/>
          <w:lang w:val="en-GB"/>
        </w:rPr>
        <w:t xml:space="preserve"> </w:t>
      </w:r>
      <w:r w:rsidR="00671405">
        <w:rPr>
          <w:b/>
          <w:bCs/>
          <w:sz w:val="24"/>
          <w:szCs w:val="24"/>
          <w:lang w:val="en-GB"/>
        </w:rPr>
        <w:t>A</w:t>
      </w:r>
      <w:r>
        <w:rPr>
          <w:b/>
          <w:bCs/>
          <w:sz w:val="24"/>
          <w:szCs w:val="24"/>
          <w:lang w:val="en-GB"/>
        </w:rPr>
        <w:t xml:space="preserve">dded </w:t>
      </w:r>
      <w:r w:rsidR="00671405">
        <w:rPr>
          <w:b/>
          <w:bCs/>
          <w:sz w:val="24"/>
          <w:szCs w:val="24"/>
          <w:lang w:val="en-GB"/>
        </w:rPr>
        <w:t>V</w:t>
      </w:r>
      <w:r>
        <w:rPr>
          <w:b/>
          <w:bCs/>
          <w:sz w:val="24"/>
          <w:szCs w:val="24"/>
          <w:lang w:val="en-GB"/>
        </w:rPr>
        <w:t xml:space="preserve">alue in </w:t>
      </w:r>
      <w:r w:rsidR="00671405">
        <w:rPr>
          <w:b/>
          <w:bCs/>
          <w:sz w:val="24"/>
          <w:szCs w:val="24"/>
          <w:lang w:val="en-GB"/>
        </w:rPr>
        <w:t>N</w:t>
      </w:r>
      <w:r>
        <w:rPr>
          <w:b/>
          <w:bCs/>
          <w:sz w:val="24"/>
          <w:szCs w:val="24"/>
          <w:lang w:val="en-GB"/>
        </w:rPr>
        <w:t xml:space="preserve">ested </w:t>
      </w:r>
      <w:r w:rsidR="00671405">
        <w:rPr>
          <w:b/>
          <w:bCs/>
          <w:sz w:val="24"/>
          <w:szCs w:val="24"/>
          <w:lang w:val="en-GB"/>
        </w:rPr>
        <w:t>M</w:t>
      </w:r>
      <w:r>
        <w:rPr>
          <w:b/>
          <w:bCs/>
          <w:sz w:val="24"/>
          <w:szCs w:val="24"/>
          <w:lang w:val="en-GB"/>
        </w:rPr>
        <w:t xml:space="preserve">odels of </w:t>
      </w:r>
      <w:r w:rsidR="00671405">
        <w:rPr>
          <w:b/>
          <w:bCs/>
          <w:sz w:val="24"/>
          <w:szCs w:val="24"/>
          <w:lang w:val="en-GB"/>
        </w:rPr>
        <w:t>I</w:t>
      </w:r>
      <w:r w:rsidR="00E9025B">
        <w:rPr>
          <w:b/>
          <w:bCs/>
          <w:sz w:val="24"/>
          <w:szCs w:val="24"/>
          <w:lang w:val="en-GB"/>
        </w:rPr>
        <w:t>ncome-</w:t>
      </w:r>
      <w:r w:rsidR="0094312C">
        <w:rPr>
          <w:b/>
          <w:bCs/>
          <w:sz w:val="24"/>
          <w:szCs w:val="24"/>
          <w:lang w:val="en-GB"/>
        </w:rPr>
        <w:t>C</w:t>
      </w:r>
      <w:r>
        <w:rPr>
          <w:b/>
          <w:bCs/>
          <w:sz w:val="24"/>
          <w:szCs w:val="24"/>
          <w:lang w:val="en-GB"/>
        </w:rPr>
        <w:t xml:space="preserve">lass </w:t>
      </w:r>
      <w:r w:rsidR="00671405">
        <w:rPr>
          <w:b/>
          <w:bCs/>
          <w:sz w:val="24"/>
          <w:szCs w:val="24"/>
          <w:lang w:val="en-GB"/>
        </w:rPr>
        <w:t>P</w:t>
      </w:r>
      <w:r>
        <w:rPr>
          <w:b/>
          <w:bCs/>
          <w:sz w:val="24"/>
          <w:szCs w:val="24"/>
          <w:lang w:val="en-GB"/>
        </w:rPr>
        <w:t xml:space="preserve">roportions of </w:t>
      </w:r>
      <w:r w:rsidR="0094312C">
        <w:rPr>
          <w:b/>
          <w:bCs/>
          <w:sz w:val="24"/>
          <w:szCs w:val="24"/>
          <w:lang w:val="en-GB"/>
        </w:rPr>
        <w:t xml:space="preserve">the </w:t>
      </w:r>
      <w:r>
        <w:rPr>
          <w:b/>
          <w:bCs/>
          <w:sz w:val="24"/>
          <w:szCs w:val="24"/>
          <w:lang w:val="en-GB"/>
        </w:rPr>
        <w:t xml:space="preserve">ABG </w:t>
      </w:r>
      <w:r w:rsidR="00671405">
        <w:rPr>
          <w:b/>
          <w:bCs/>
          <w:sz w:val="24"/>
          <w:szCs w:val="24"/>
          <w:lang w:val="en-GB"/>
        </w:rPr>
        <w:t>C</w:t>
      </w:r>
      <w:r>
        <w:rPr>
          <w:b/>
          <w:bCs/>
          <w:sz w:val="24"/>
          <w:szCs w:val="24"/>
          <w:lang w:val="en-GB"/>
        </w:rPr>
        <w:t xml:space="preserve">oefficients and </w:t>
      </w:r>
      <w:r w:rsidR="0094312C">
        <w:rPr>
          <w:b/>
          <w:bCs/>
          <w:sz w:val="24"/>
          <w:szCs w:val="24"/>
          <w:lang w:val="en-GB"/>
        </w:rPr>
        <w:t xml:space="preserve">the </w:t>
      </w:r>
      <w:r w:rsidRPr="00FC4D25">
        <w:rPr>
          <w:b/>
          <w:sz w:val="24"/>
          <w:szCs w:val="24"/>
          <w:lang w:val="en-US"/>
        </w:rPr>
        <w:t xml:space="preserve">GA2GE2 </w:t>
      </w:r>
      <w:r w:rsidR="00671405">
        <w:rPr>
          <w:b/>
          <w:sz w:val="24"/>
          <w:szCs w:val="24"/>
          <w:lang w:val="en-US"/>
        </w:rPr>
        <w:t>T</w:t>
      </w:r>
      <w:r w:rsidRPr="00FC4D25">
        <w:rPr>
          <w:b/>
          <w:sz w:val="24"/>
          <w:szCs w:val="24"/>
          <w:lang w:val="en-US"/>
        </w:rPr>
        <w:t xml:space="preserve">riple </w:t>
      </w:r>
      <w:r w:rsidR="00671405">
        <w:rPr>
          <w:b/>
          <w:sz w:val="24"/>
          <w:szCs w:val="24"/>
          <w:lang w:val="en-US"/>
        </w:rPr>
        <w:t>C</w:t>
      </w:r>
      <w:r w:rsidRPr="00FC4D25">
        <w:rPr>
          <w:b/>
          <w:sz w:val="24"/>
          <w:szCs w:val="24"/>
          <w:lang w:val="en-US"/>
        </w:rPr>
        <w:t>oefficients</w:t>
      </w:r>
      <w:r>
        <w:rPr>
          <w:sz w:val="24"/>
          <w:szCs w:val="24"/>
          <w:lang w:val="en-US"/>
        </w:rPr>
        <w:t xml:space="preserve"> </w:t>
      </w:r>
      <w:r w:rsidRPr="008B0DAB">
        <w:rPr>
          <w:b/>
          <w:bCs/>
          <w:sz w:val="24"/>
          <w:szCs w:val="24"/>
          <w:lang w:val="en-GB"/>
        </w:rPr>
        <w:t>(</w:t>
      </w:r>
      <w:r>
        <w:rPr>
          <w:b/>
          <w:bCs/>
          <w:sz w:val="24"/>
          <w:szCs w:val="24"/>
          <w:lang w:val="en-GB"/>
        </w:rPr>
        <w:t xml:space="preserve">Gini </w:t>
      </w:r>
      <w:r w:rsidR="00671405">
        <w:rPr>
          <w:b/>
          <w:bCs/>
          <w:sz w:val="24"/>
          <w:szCs w:val="24"/>
          <w:lang w:val="en-GB"/>
        </w:rPr>
        <w:t>I</w:t>
      </w:r>
      <w:r>
        <w:rPr>
          <w:b/>
          <w:bCs/>
          <w:sz w:val="24"/>
          <w:szCs w:val="24"/>
          <w:lang w:val="en-GB"/>
        </w:rPr>
        <w:t>ndex</w:t>
      </w:r>
      <w:r w:rsidRPr="008B0DAB">
        <w:rPr>
          <w:b/>
          <w:bCs/>
          <w:sz w:val="24"/>
          <w:szCs w:val="24"/>
          <w:lang w:val="en-GB"/>
        </w:rPr>
        <w:t xml:space="preserve">, Atkinson 2, </w:t>
      </w:r>
      <w:r w:rsidR="00671405">
        <w:rPr>
          <w:b/>
          <w:bCs/>
          <w:sz w:val="24"/>
          <w:szCs w:val="24"/>
          <w:lang w:val="en-GB"/>
        </w:rPr>
        <w:t>G</w:t>
      </w:r>
      <w:r w:rsidRPr="008B0DAB">
        <w:rPr>
          <w:b/>
          <w:bCs/>
          <w:sz w:val="24"/>
          <w:szCs w:val="24"/>
          <w:lang w:val="en-GB"/>
        </w:rPr>
        <w:t xml:space="preserve">eneralized </w:t>
      </w:r>
      <w:r w:rsidR="00671405">
        <w:rPr>
          <w:b/>
          <w:bCs/>
          <w:sz w:val="24"/>
          <w:szCs w:val="24"/>
          <w:lang w:val="en-GB"/>
        </w:rPr>
        <w:t>E</w:t>
      </w:r>
      <w:r w:rsidRPr="008B0DAB">
        <w:rPr>
          <w:b/>
          <w:bCs/>
          <w:sz w:val="24"/>
          <w:szCs w:val="24"/>
          <w:lang w:val="en-GB"/>
        </w:rPr>
        <w:t>ntropy 2)</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60"/>
        <w:gridCol w:w="1360"/>
        <w:gridCol w:w="1387"/>
        <w:gridCol w:w="268"/>
        <w:gridCol w:w="1701"/>
        <w:gridCol w:w="919"/>
        <w:gridCol w:w="1387"/>
      </w:tblGrid>
      <w:tr w:rsidR="000C16AC" w:rsidRPr="000967DD" w:rsidTr="00D86998">
        <w:trPr>
          <w:trHeight w:val="300"/>
        </w:trPr>
        <w:tc>
          <w:tcPr>
            <w:tcW w:w="928" w:type="dxa"/>
            <w:shd w:val="clear" w:color="auto" w:fill="auto"/>
            <w:noWrap/>
            <w:hideMark/>
          </w:tcPr>
          <w:p w:rsidR="000C16AC" w:rsidRPr="000967DD" w:rsidRDefault="000C16AC" w:rsidP="00190A84">
            <w:pPr>
              <w:rPr>
                <w:color w:val="000000"/>
                <w:sz w:val="22"/>
                <w:szCs w:val="22"/>
                <w:lang w:val="en-US" w:eastAsia="en-US"/>
              </w:rPr>
            </w:pPr>
          </w:p>
        </w:tc>
        <w:tc>
          <w:tcPr>
            <w:tcW w:w="1375" w:type="dxa"/>
            <w:shd w:val="clear" w:color="auto" w:fill="auto"/>
            <w:noWrap/>
            <w:hideMark/>
          </w:tcPr>
          <w:p w:rsidR="000C16AC" w:rsidRPr="000967DD" w:rsidRDefault="000C16AC" w:rsidP="00190A84">
            <w:pPr>
              <w:rPr>
                <w:color w:val="000000"/>
                <w:sz w:val="22"/>
                <w:szCs w:val="22"/>
                <w:lang w:val="en-US" w:eastAsia="en-US"/>
              </w:rPr>
            </w:pPr>
            <w:r w:rsidRPr="000967DD">
              <w:rPr>
                <w:color w:val="000000"/>
                <w:sz w:val="22"/>
                <w:szCs w:val="22"/>
                <w:lang w:val="en-US" w:eastAsia="en-US"/>
              </w:rPr>
              <w:t>ABG first</w:t>
            </w:r>
          </w:p>
        </w:tc>
        <w:tc>
          <w:tcPr>
            <w:tcW w:w="1375" w:type="dxa"/>
            <w:shd w:val="clear" w:color="auto" w:fill="auto"/>
            <w:noWrap/>
            <w:hideMark/>
          </w:tcPr>
          <w:p w:rsidR="000C16AC" w:rsidRPr="000967DD" w:rsidRDefault="000C16AC" w:rsidP="00190A84">
            <w:pPr>
              <w:rPr>
                <w:color w:val="000000"/>
                <w:sz w:val="22"/>
                <w:szCs w:val="22"/>
                <w:lang w:val="en-US" w:eastAsia="en-US"/>
              </w:rPr>
            </w:pPr>
            <w:r w:rsidRPr="000967DD">
              <w:rPr>
                <w:color w:val="000000"/>
                <w:sz w:val="22"/>
                <w:szCs w:val="22"/>
                <w:lang w:val="en-US" w:eastAsia="en-US"/>
              </w:rPr>
              <w:t>GA2GE2 delta r</w:t>
            </w:r>
            <w:r w:rsidRPr="000967DD">
              <w:rPr>
                <w:color w:val="000000"/>
                <w:sz w:val="22"/>
                <w:szCs w:val="22"/>
                <w:vertAlign w:val="superscript"/>
                <w:lang w:val="en-US" w:eastAsia="en-US"/>
              </w:rPr>
              <w:t>2</w:t>
            </w:r>
            <w:r w:rsidRPr="000967DD">
              <w:rPr>
                <w:color w:val="000000"/>
                <w:sz w:val="22"/>
                <w:szCs w:val="22"/>
                <w:lang w:val="en-US" w:eastAsia="en-US"/>
              </w:rPr>
              <w:t xml:space="preserve"> </w:t>
            </w:r>
          </w:p>
        </w:tc>
        <w:tc>
          <w:tcPr>
            <w:tcW w:w="1352" w:type="dxa"/>
          </w:tcPr>
          <w:p w:rsidR="000C16AC" w:rsidRPr="000967DD" w:rsidRDefault="000C16AC" w:rsidP="000C16AC">
            <w:pPr>
              <w:jc w:val="center"/>
              <w:rPr>
                <w:color w:val="000000"/>
                <w:sz w:val="22"/>
                <w:szCs w:val="22"/>
                <w:lang w:val="en-US" w:eastAsia="en-US"/>
              </w:rPr>
            </w:pPr>
            <w:r>
              <w:rPr>
                <w:color w:val="000000"/>
                <w:sz w:val="22"/>
                <w:szCs w:val="22"/>
                <w:lang w:val="en-US" w:eastAsia="en-US"/>
              </w:rPr>
              <w:t>Improvement sig. p</w:t>
            </w:r>
          </w:p>
        </w:tc>
        <w:tc>
          <w:tcPr>
            <w:tcW w:w="269" w:type="dxa"/>
            <w:shd w:val="clear" w:color="auto" w:fill="auto"/>
            <w:noWrap/>
          </w:tcPr>
          <w:p w:rsidR="000C16AC" w:rsidRPr="000967DD" w:rsidRDefault="000C16AC" w:rsidP="00190A84">
            <w:pPr>
              <w:jc w:val="right"/>
              <w:rPr>
                <w:color w:val="000000"/>
                <w:sz w:val="22"/>
                <w:szCs w:val="22"/>
                <w:lang w:val="en-US" w:eastAsia="en-US"/>
              </w:rPr>
            </w:pPr>
          </w:p>
        </w:tc>
        <w:tc>
          <w:tcPr>
            <w:tcW w:w="1721" w:type="dxa"/>
            <w:shd w:val="clear" w:color="auto" w:fill="auto"/>
            <w:noWrap/>
            <w:hideMark/>
          </w:tcPr>
          <w:p w:rsidR="000C16AC" w:rsidRPr="000967DD" w:rsidRDefault="000C16AC" w:rsidP="00190A84">
            <w:pPr>
              <w:rPr>
                <w:color w:val="000000"/>
                <w:sz w:val="22"/>
                <w:szCs w:val="22"/>
                <w:lang w:val="en-US" w:eastAsia="en-US"/>
              </w:rPr>
            </w:pPr>
            <w:r w:rsidRPr="000967DD">
              <w:rPr>
                <w:color w:val="000000"/>
                <w:sz w:val="22"/>
                <w:szCs w:val="22"/>
                <w:lang w:val="en-US" w:eastAsia="en-US"/>
              </w:rPr>
              <w:t>GA2GE2 first</w:t>
            </w:r>
          </w:p>
        </w:tc>
        <w:tc>
          <w:tcPr>
            <w:tcW w:w="928" w:type="dxa"/>
            <w:shd w:val="clear" w:color="auto" w:fill="auto"/>
            <w:noWrap/>
            <w:hideMark/>
          </w:tcPr>
          <w:p w:rsidR="000C16AC" w:rsidRPr="000967DD" w:rsidRDefault="000C16AC" w:rsidP="00190A84">
            <w:pPr>
              <w:rPr>
                <w:color w:val="000000"/>
                <w:sz w:val="22"/>
                <w:szCs w:val="22"/>
                <w:lang w:val="en-US" w:eastAsia="en-US"/>
              </w:rPr>
            </w:pPr>
            <w:r w:rsidRPr="000967DD">
              <w:rPr>
                <w:color w:val="000000"/>
                <w:sz w:val="22"/>
                <w:szCs w:val="22"/>
                <w:lang w:val="en-US" w:eastAsia="en-US"/>
              </w:rPr>
              <w:t>ABG delta r</w:t>
            </w:r>
            <w:r w:rsidRPr="000967DD">
              <w:rPr>
                <w:color w:val="000000"/>
                <w:sz w:val="22"/>
                <w:szCs w:val="22"/>
                <w:vertAlign w:val="superscript"/>
                <w:lang w:val="en-US" w:eastAsia="en-US"/>
              </w:rPr>
              <w:t>2</w:t>
            </w:r>
          </w:p>
        </w:tc>
        <w:tc>
          <w:tcPr>
            <w:tcW w:w="1352" w:type="dxa"/>
          </w:tcPr>
          <w:p w:rsidR="000C16AC" w:rsidRPr="000C16AC" w:rsidRDefault="000C16AC" w:rsidP="000C16AC">
            <w:pPr>
              <w:jc w:val="center"/>
              <w:rPr>
                <w:color w:val="000000"/>
                <w:sz w:val="22"/>
                <w:szCs w:val="22"/>
                <w:lang w:eastAsia="en-US"/>
              </w:rPr>
            </w:pPr>
            <w:r w:rsidRPr="000C16AC">
              <w:rPr>
                <w:color w:val="000000"/>
                <w:sz w:val="22"/>
                <w:szCs w:val="22"/>
                <w:lang w:eastAsia="en-US"/>
              </w:rPr>
              <w:t>Improvement sig. p</w:t>
            </w:r>
          </w:p>
        </w:tc>
      </w:tr>
      <w:tr w:rsidR="00D86998" w:rsidRPr="005D57E5" w:rsidTr="000C09E3">
        <w:trPr>
          <w:trHeight w:val="300"/>
        </w:trPr>
        <w:tc>
          <w:tcPr>
            <w:tcW w:w="928" w:type="dxa"/>
            <w:shd w:val="clear" w:color="auto" w:fill="auto"/>
            <w:noWrap/>
            <w:vAlign w:val="center"/>
            <w:hideMark/>
          </w:tcPr>
          <w:p w:rsidR="00D86998" w:rsidRPr="00D135FD" w:rsidRDefault="00D86998" w:rsidP="009D2C81">
            <w:pPr>
              <w:rPr>
                <w:color w:val="000000"/>
                <w:sz w:val="22"/>
                <w:szCs w:val="22"/>
                <w:lang w:eastAsia="en-US"/>
              </w:rPr>
            </w:pPr>
            <w:r w:rsidRPr="00D135FD">
              <w:rPr>
                <w:color w:val="000000"/>
                <w:sz w:val="22"/>
                <w:szCs w:val="22"/>
                <w:lang w:eastAsia="en-US"/>
              </w:rPr>
              <w:t>Po</w:t>
            </w:r>
          </w:p>
        </w:tc>
        <w:tc>
          <w:tcPr>
            <w:tcW w:w="1375"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0.9775</w:t>
            </w:r>
          </w:p>
        </w:tc>
        <w:tc>
          <w:tcPr>
            <w:tcW w:w="1375"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0.0011</w:t>
            </w:r>
          </w:p>
        </w:tc>
        <w:tc>
          <w:tcPr>
            <w:tcW w:w="1352" w:type="dxa"/>
            <w:vAlign w:val="bottom"/>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0.0110</w:t>
            </w:r>
          </w:p>
        </w:tc>
        <w:tc>
          <w:tcPr>
            <w:tcW w:w="269" w:type="dxa"/>
            <w:shd w:val="clear" w:color="auto" w:fill="auto"/>
            <w:noWrap/>
            <w:vAlign w:val="bottom"/>
          </w:tcPr>
          <w:p w:rsidR="00D86998" w:rsidRPr="0025622F" w:rsidRDefault="00D86998" w:rsidP="000C16AC">
            <w:pPr>
              <w:jc w:val="center"/>
              <w:rPr>
                <w:color w:val="000000"/>
                <w:sz w:val="22"/>
                <w:szCs w:val="22"/>
                <w:lang w:eastAsia="en-US"/>
              </w:rPr>
            </w:pPr>
          </w:p>
        </w:tc>
        <w:tc>
          <w:tcPr>
            <w:tcW w:w="1721"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0.8855</w:t>
            </w:r>
          </w:p>
        </w:tc>
        <w:tc>
          <w:tcPr>
            <w:tcW w:w="928"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0.0931</w:t>
            </w:r>
          </w:p>
        </w:tc>
        <w:tc>
          <w:tcPr>
            <w:tcW w:w="1352" w:type="dxa"/>
            <w:vAlign w:val="bottom"/>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0.0000</w:t>
            </w:r>
          </w:p>
        </w:tc>
      </w:tr>
      <w:tr w:rsidR="00D86998" w:rsidRPr="005D57E5" w:rsidTr="000C09E3">
        <w:trPr>
          <w:trHeight w:val="300"/>
        </w:trPr>
        <w:tc>
          <w:tcPr>
            <w:tcW w:w="928" w:type="dxa"/>
            <w:shd w:val="clear" w:color="auto" w:fill="auto"/>
            <w:noWrap/>
            <w:vAlign w:val="center"/>
            <w:hideMark/>
          </w:tcPr>
          <w:p w:rsidR="00D86998" w:rsidRPr="005D57E5" w:rsidRDefault="00D86998" w:rsidP="009D2C81">
            <w:pPr>
              <w:rPr>
                <w:color w:val="000000"/>
                <w:sz w:val="22"/>
                <w:szCs w:val="22"/>
                <w:lang w:eastAsia="en-US"/>
              </w:rPr>
            </w:pPr>
            <w:r w:rsidRPr="005D57E5">
              <w:rPr>
                <w:color w:val="000000"/>
                <w:sz w:val="22"/>
                <w:szCs w:val="22"/>
                <w:lang w:eastAsia="en-US"/>
              </w:rPr>
              <w:t>Mcl</w:t>
            </w:r>
          </w:p>
        </w:tc>
        <w:tc>
          <w:tcPr>
            <w:tcW w:w="1375"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0.3642</w:t>
            </w:r>
          </w:p>
        </w:tc>
        <w:tc>
          <w:tcPr>
            <w:tcW w:w="1375"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0.0460</w:t>
            </w:r>
          </w:p>
        </w:tc>
        <w:tc>
          <w:tcPr>
            <w:tcW w:w="1352" w:type="dxa"/>
            <w:vAlign w:val="bottom"/>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0.0007</w:t>
            </w:r>
          </w:p>
        </w:tc>
        <w:tc>
          <w:tcPr>
            <w:tcW w:w="269" w:type="dxa"/>
            <w:shd w:val="clear" w:color="auto" w:fill="auto"/>
            <w:noWrap/>
            <w:vAlign w:val="bottom"/>
          </w:tcPr>
          <w:p w:rsidR="00D86998" w:rsidRPr="0025622F" w:rsidRDefault="00D86998" w:rsidP="000C16AC">
            <w:pPr>
              <w:jc w:val="center"/>
              <w:rPr>
                <w:color w:val="000000"/>
                <w:sz w:val="22"/>
                <w:szCs w:val="22"/>
                <w:lang w:eastAsia="en-US"/>
              </w:rPr>
            </w:pPr>
          </w:p>
        </w:tc>
        <w:tc>
          <w:tcPr>
            <w:tcW w:w="1721"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0.1139</w:t>
            </w:r>
          </w:p>
        </w:tc>
        <w:tc>
          <w:tcPr>
            <w:tcW w:w="928"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0.2963</w:t>
            </w:r>
          </w:p>
        </w:tc>
        <w:tc>
          <w:tcPr>
            <w:tcW w:w="1352" w:type="dxa"/>
            <w:vAlign w:val="bottom"/>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0.0000</w:t>
            </w:r>
          </w:p>
        </w:tc>
      </w:tr>
      <w:tr w:rsidR="00D86998" w:rsidRPr="005D57E5" w:rsidTr="000C09E3">
        <w:trPr>
          <w:trHeight w:val="300"/>
        </w:trPr>
        <w:tc>
          <w:tcPr>
            <w:tcW w:w="928" w:type="dxa"/>
            <w:shd w:val="clear" w:color="auto" w:fill="auto"/>
            <w:noWrap/>
            <w:vAlign w:val="center"/>
            <w:hideMark/>
          </w:tcPr>
          <w:p w:rsidR="00D86998" w:rsidRPr="005D57E5" w:rsidRDefault="00D86998" w:rsidP="009D2C81">
            <w:pPr>
              <w:rPr>
                <w:color w:val="000000"/>
                <w:sz w:val="22"/>
                <w:szCs w:val="22"/>
                <w:lang w:eastAsia="en-US"/>
              </w:rPr>
            </w:pPr>
            <w:r w:rsidRPr="005D57E5">
              <w:rPr>
                <w:color w:val="000000"/>
                <w:sz w:val="22"/>
                <w:szCs w:val="22"/>
                <w:lang w:eastAsia="en-US"/>
              </w:rPr>
              <w:t>Mc</w:t>
            </w:r>
          </w:p>
        </w:tc>
        <w:tc>
          <w:tcPr>
            <w:tcW w:w="1375"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0.9231</w:t>
            </w:r>
          </w:p>
        </w:tc>
        <w:tc>
          <w:tcPr>
            <w:tcW w:w="1375" w:type="dxa"/>
            <w:shd w:val="clear" w:color="auto" w:fill="auto"/>
            <w:noWrap/>
            <w:vAlign w:val="bottom"/>
            <w:hideMark/>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0.0091</w:t>
            </w:r>
          </w:p>
        </w:tc>
        <w:tc>
          <w:tcPr>
            <w:tcW w:w="1352" w:type="dxa"/>
            <w:vAlign w:val="bottom"/>
          </w:tcPr>
          <w:p w:rsidR="00D86998" w:rsidRPr="00D135FD" w:rsidRDefault="00D86998" w:rsidP="000C16AC">
            <w:pPr>
              <w:jc w:val="center"/>
              <w:rPr>
                <w:color w:val="000000"/>
                <w:sz w:val="22"/>
                <w:szCs w:val="22"/>
                <w:lang w:eastAsia="en-US"/>
              </w:rPr>
            </w:pPr>
            <w:r w:rsidRPr="005D57E5">
              <w:rPr>
                <w:color w:val="000000"/>
                <w:sz w:val="22"/>
                <w:szCs w:val="22"/>
                <w:lang w:val="en-US" w:eastAsia="en-US"/>
              </w:rPr>
              <w:t>0.0000</w:t>
            </w:r>
          </w:p>
        </w:tc>
        <w:tc>
          <w:tcPr>
            <w:tcW w:w="269" w:type="dxa"/>
            <w:shd w:val="clear" w:color="auto" w:fill="auto"/>
            <w:noWrap/>
            <w:vAlign w:val="bottom"/>
          </w:tcPr>
          <w:p w:rsidR="00D86998" w:rsidRPr="0025622F" w:rsidRDefault="00D86998" w:rsidP="000C16AC">
            <w:pPr>
              <w:jc w:val="center"/>
              <w:rPr>
                <w:color w:val="000000"/>
                <w:sz w:val="22"/>
                <w:szCs w:val="22"/>
                <w:lang w:eastAsia="en-US"/>
              </w:rPr>
            </w:pPr>
          </w:p>
        </w:tc>
        <w:tc>
          <w:tcPr>
            <w:tcW w:w="1721"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0.8668</w:t>
            </w:r>
          </w:p>
        </w:tc>
        <w:tc>
          <w:tcPr>
            <w:tcW w:w="928"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0.0654</w:t>
            </w:r>
          </w:p>
        </w:tc>
        <w:tc>
          <w:tcPr>
            <w:tcW w:w="1352" w:type="dxa"/>
            <w:vAlign w:val="bottom"/>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0.0000</w:t>
            </w:r>
          </w:p>
        </w:tc>
      </w:tr>
      <w:tr w:rsidR="00D86998" w:rsidRPr="005D57E5" w:rsidTr="000C09E3">
        <w:trPr>
          <w:trHeight w:val="300"/>
        </w:trPr>
        <w:tc>
          <w:tcPr>
            <w:tcW w:w="928" w:type="dxa"/>
            <w:shd w:val="clear" w:color="auto" w:fill="auto"/>
            <w:noWrap/>
            <w:vAlign w:val="center"/>
            <w:hideMark/>
          </w:tcPr>
          <w:p w:rsidR="00D86998" w:rsidRPr="005D57E5" w:rsidRDefault="00D86998" w:rsidP="009D2C81">
            <w:pPr>
              <w:rPr>
                <w:color w:val="000000"/>
                <w:sz w:val="22"/>
                <w:szCs w:val="22"/>
                <w:lang w:val="en-US" w:eastAsia="en-US"/>
              </w:rPr>
            </w:pPr>
            <w:r w:rsidRPr="005D57E5">
              <w:rPr>
                <w:color w:val="000000"/>
                <w:sz w:val="22"/>
                <w:szCs w:val="22"/>
                <w:lang w:val="en-US" w:eastAsia="en-US"/>
              </w:rPr>
              <w:t>Mcu</w:t>
            </w:r>
          </w:p>
        </w:tc>
        <w:tc>
          <w:tcPr>
            <w:tcW w:w="1375"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0.4566</w:t>
            </w:r>
          </w:p>
        </w:tc>
        <w:tc>
          <w:tcPr>
            <w:tcW w:w="1375"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0.0490</w:t>
            </w:r>
          </w:p>
        </w:tc>
        <w:tc>
          <w:tcPr>
            <w:tcW w:w="1352" w:type="dxa"/>
            <w:vAlign w:val="bottom"/>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0.0001</w:t>
            </w:r>
          </w:p>
        </w:tc>
        <w:tc>
          <w:tcPr>
            <w:tcW w:w="269" w:type="dxa"/>
            <w:shd w:val="clear" w:color="auto" w:fill="auto"/>
            <w:noWrap/>
            <w:vAlign w:val="bottom"/>
          </w:tcPr>
          <w:p w:rsidR="00D86998" w:rsidRPr="0025622F" w:rsidRDefault="00D86998" w:rsidP="000C16AC">
            <w:pPr>
              <w:jc w:val="center"/>
              <w:rPr>
                <w:color w:val="000000"/>
                <w:sz w:val="22"/>
                <w:szCs w:val="22"/>
                <w:lang w:val="en-US" w:eastAsia="en-US"/>
              </w:rPr>
            </w:pPr>
          </w:p>
        </w:tc>
        <w:tc>
          <w:tcPr>
            <w:tcW w:w="1721"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0.3753</w:t>
            </w:r>
          </w:p>
        </w:tc>
        <w:tc>
          <w:tcPr>
            <w:tcW w:w="928"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0.1302</w:t>
            </w:r>
          </w:p>
        </w:tc>
        <w:tc>
          <w:tcPr>
            <w:tcW w:w="1352" w:type="dxa"/>
            <w:vAlign w:val="bottom"/>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0.0000</w:t>
            </w:r>
          </w:p>
        </w:tc>
      </w:tr>
      <w:tr w:rsidR="00D86998" w:rsidRPr="005D57E5" w:rsidTr="000C09E3">
        <w:trPr>
          <w:trHeight w:val="300"/>
        </w:trPr>
        <w:tc>
          <w:tcPr>
            <w:tcW w:w="928" w:type="dxa"/>
            <w:shd w:val="clear" w:color="auto" w:fill="auto"/>
            <w:noWrap/>
            <w:vAlign w:val="center"/>
            <w:hideMark/>
          </w:tcPr>
          <w:p w:rsidR="00D86998" w:rsidRPr="005D57E5" w:rsidRDefault="00D86998" w:rsidP="009D2C81">
            <w:pPr>
              <w:rPr>
                <w:color w:val="000000"/>
                <w:sz w:val="22"/>
                <w:szCs w:val="22"/>
                <w:lang w:val="en-US" w:eastAsia="en-US"/>
              </w:rPr>
            </w:pPr>
            <w:r w:rsidRPr="005D57E5">
              <w:rPr>
                <w:color w:val="000000"/>
                <w:sz w:val="22"/>
                <w:szCs w:val="22"/>
                <w:lang w:val="en-US" w:eastAsia="en-US"/>
              </w:rPr>
              <w:t>Ri</w:t>
            </w:r>
          </w:p>
        </w:tc>
        <w:tc>
          <w:tcPr>
            <w:tcW w:w="1375"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0.9837</w:t>
            </w:r>
          </w:p>
        </w:tc>
        <w:tc>
          <w:tcPr>
            <w:tcW w:w="1375"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0.0006</w:t>
            </w:r>
          </w:p>
        </w:tc>
        <w:tc>
          <w:tcPr>
            <w:tcW w:w="1352" w:type="dxa"/>
            <w:vAlign w:val="bottom"/>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0.0400</w:t>
            </w:r>
          </w:p>
        </w:tc>
        <w:tc>
          <w:tcPr>
            <w:tcW w:w="269" w:type="dxa"/>
            <w:shd w:val="clear" w:color="auto" w:fill="auto"/>
            <w:noWrap/>
            <w:vAlign w:val="bottom"/>
          </w:tcPr>
          <w:p w:rsidR="00D86998" w:rsidRPr="0025622F" w:rsidRDefault="00D86998" w:rsidP="000C16AC">
            <w:pPr>
              <w:jc w:val="center"/>
              <w:rPr>
                <w:color w:val="000000"/>
                <w:sz w:val="22"/>
                <w:szCs w:val="22"/>
                <w:lang w:val="en-US" w:eastAsia="en-US"/>
              </w:rPr>
            </w:pPr>
          </w:p>
        </w:tc>
        <w:tc>
          <w:tcPr>
            <w:tcW w:w="1721"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0.9655</w:t>
            </w:r>
          </w:p>
        </w:tc>
        <w:tc>
          <w:tcPr>
            <w:tcW w:w="928" w:type="dxa"/>
            <w:shd w:val="clear" w:color="auto" w:fill="auto"/>
            <w:noWrap/>
            <w:vAlign w:val="bottom"/>
            <w:hideMark/>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0.0187</w:t>
            </w:r>
          </w:p>
        </w:tc>
        <w:tc>
          <w:tcPr>
            <w:tcW w:w="1352" w:type="dxa"/>
            <w:vAlign w:val="bottom"/>
          </w:tcPr>
          <w:p w:rsidR="00D86998" w:rsidRPr="00D135FD" w:rsidRDefault="00D86998" w:rsidP="000C16AC">
            <w:pPr>
              <w:jc w:val="center"/>
              <w:rPr>
                <w:color w:val="000000"/>
                <w:sz w:val="22"/>
                <w:szCs w:val="22"/>
                <w:lang w:val="en-US" w:eastAsia="en-US"/>
              </w:rPr>
            </w:pPr>
            <w:r w:rsidRPr="005D57E5">
              <w:rPr>
                <w:color w:val="000000"/>
                <w:sz w:val="22"/>
                <w:szCs w:val="22"/>
                <w:lang w:val="en-US" w:eastAsia="en-US"/>
              </w:rPr>
              <w:t>0.0000</w:t>
            </w:r>
          </w:p>
        </w:tc>
      </w:tr>
    </w:tbl>
    <w:p w:rsidR="00D86998" w:rsidRDefault="00D86998" w:rsidP="00E10624">
      <w:pPr>
        <w:rPr>
          <w:sz w:val="24"/>
          <w:szCs w:val="24"/>
          <w:lang w:val="en-US"/>
        </w:rPr>
      </w:pPr>
    </w:p>
    <w:p w:rsidR="00D86998" w:rsidRDefault="005D57E5" w:rsidP="00E10624">
      <w:pPr>
        <w:rPr>
          <w:sz w:val="24"/>
          <w:szCs w:val="24"/>
          <w:lang w:val="en-US"/>
        </w:rPr>
      </w:pPr>
      <w:r>
        <w:rPr>
          <w:sz w:val="24"/>
          <w:szCs w:val="24"/>
          <w:lang w:val="en-US"/>
        </w:rPr>
        <w:br w:type="column"/>
      </w:r>
    </w:p>
    <w:p w:rsidR="00E10624" w:rsidRDefault="00E10624" w:rsidP="00E10624">
      <w:pPr>
        <w:spacing w:after="120" w:line="480" w:lineRule="auto"/>
        <w:rPr>
          <w:b/>
          <w:sz w:val="24"/>
          <w:szCs w:val="24"/>
          <w:lang w:val="en-US"/>
        </w:rPr>
      </w:pPr>
      <w:r>
        <w:rPr>
          <w:b/>
          <w:sz w:val="24"/>
          <w:szCs w:val="24"/>
          <w:lang w:val="en-US"/>
        </w:rPr>
        <w:t xml:space="preserve">Table </w:t>
      </w:r>
      <w:r w:rsidR="00AB0CFB">
        <w:rPr>
          <w:b/>
          <w:sz w:val="24"/>
          <w:szCs w:val="24"/>
          <w:lang w:val="en-US"/>
        </w:rPr>
        <w:t>7</w:t>
      </w:r>
      <w:r>
        <w:rPr>
          <w:b/>
          <w:sz w:val="24"/>
          <w:szCs w:val="24"/>
          <w:lang w:val="en-US"/>
        </w:rPr>
        <w:t xml:space="preserve">: Correlation between the </w:t>
      </w:r>
      <w:r w:rsidR="00671405">
        <w:rPr>
          <w:b/>
          <w:sz w:val="24"/>
          <w:szCs w:val="24"/>
          <w:lang w:val="en-US"/>
        </w:rPr>
        <w:t>R</w:t>
      </w:r>
      <w:r>
        <w:rPr>
          <w:b/>
          <w:sz w:val="24"/>
          <w:szCs w:val="24"/>
          <w:lang w:val="en-US"/>
        </w:rPr>
        <w:t xml:space="preserve">atio of </w:t>
      </w:r>
      <w:r w:rsidR="00671405">
        <w:rPr>
          <w:b/>
          <w:sz w:val="24"/>
          <w:szCs w:val="24"/>
          <w:lang w:val="en-US"/>
        </w:rPr>
        <w:t>P</w:t>
      </w:r>
      <w:r>
        <w:rPr>
          <w:b/>
          <w:sz w:val="24"/>
          <w:szCs w:val="24"/>
          <w:lang w:val="en-US"/>
        </w:rPr>
        <w:t xml:space="preserve">olarization, Gini, Wolfson </w:t>
      </w:r>
      <w:r w:rsidR="00671405">
        <w:rPr>
          <w:b/>
          <w:sz w:val="24"/>
          <w:szCs w:val="24"/>
          <w:lang w:val="en-US"/>
        </w:rPr>
        <w:t>I</w:t>
      </w:r>
      <w:r>
        <w:rPr>
          <w:b/>
          <w:sz w:val="24"/>
          <w:szCs w:val="24"/>
          <w:lang w:val="en-US"/>
        </w:rPr>
        <w:t>ndex and ABG</w:t>
      </w:r>
      <w:r w:rsidR="0094312C">
        <w:rPr>
          <w:b/>
          <w:sz w:val="24"/>
          <w:szCs w:val="24"/>
          <w:lang w:val="en-US"/>
        </w:rPr>
        <w:t xml:space="preserve"> coefficients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28"/>
        <w:gridCol w:w="1328"/>
        <w:gridCol w:w="1329"/>
        <w:gridCol w:w="1329"/>
        <w:gridCol w:w="1329"/>
        <w:gridCol w:w="1329"/>
      </w:tblGrid>
      <w:tr w:rsidR="00E10624" w:rsidRPr="00191E63" w:rsidTr="00190A84">
        <w:trPr>
          <w:jc w:val="center"/>
        </w:trPr>
        <w:tc>
          <w:tcPr>
            <w:tcW w:w="1328" w:type="dxa"/>
            <w:shd w:val="clear" w:color="auto" w:fill="auto"/>
          </w:tcPr>
          <w:p w:rsidR="00E10624" w:rsidRPr="00191E63" w:rsidRDefault="00A072FE" w:rsidP="00190A84">
            <w:pPr>
              <w:jc w:val="center"/>
              <w:rPr>
                <w:sz w:val="24"/>
                <w:szCs w:val="24"/>
                <w:lang w:val="en-US"/>
              </w:rPr>
            </w:pPr>
            <w:r w:rsidRPr="00191E63">
              <w:rPr>
                <w:sz w:val="24"/>
                <w:szCs w:val="24"/>
                <w:lang w:val="en-US"/>
              </w:rPr>
              <w:t>V</w:t>
            </w:r>
            <w:r w:rsidR="00E10624" w:rsidRPr="00191E63">
              <w:rPr>
                <w:sz w:val="24"/>
                <w:szCs w:val="24"/>
                <w:lang w:val="en-US"/>
              </w:rPr>
              <w:t>ar</w:t>
            </w:r>
          </w:p>
        </w:tc>
        <w:tc>
          <w:tcPr>
            <w:tcW w:w="1328" w:type="dxa"/>
            <w:shd w:val="clear" w:color="auto" w:fill="auto"/>
          </w:tcPr>
          <w:p w:rsidR="00E10624" w:rsidRPr="00191E63" w:rsidRDefault="00AA7B70" w:rsidP="00190A84">
            <w:pPr>
              <w:jc w:val="center"/>
              <w:rPr>
                <w:sz w:val="24"/>
                <w:szCs w:val="24"/>
                <w:lang w:val="en-US"/>
              </w:rPr>
            </w:pPr>
            <w:r w:rsidRPr="00191E63">
              <w:rPr>
                <w:sz w:val="24"/>
                <w:szCs w:val="24"/>
                <w:lang w:val="en-US"/>
              </w:rPr>
              <w:t>R</w:t>
            </w:r>
            <w:r w:rsidR="00E10624" w:rsidRPr="00191E63">
              <w:rPr>
                <w:sz w:val="24"/>
                <w:szCs w:val="24"/>
                <w:lang w:val="en-US"/>
              </w:rPr>
              <w:t>pol</w:t>
            </w:r>
          </w:p>
        </w:tc>
        <w:tc>
          <w:tcPr>
            <w:tcW w:w="1328" w:type="dxa"/>
            <w:shd w:val="clear" w:color="auto" w:fill="auto"/>
          </w:tcPr>
          <w:p w:rsidR="00E10624" w:rsidRPr="00191E63" w:rsidRDefault="00671405" w:rsidP="00190A84">
            <w:pPr>
              <w:jc w:val="center"/>
              <w:rPr>
                <w:sz w:val="24"/>
                <w:szCs w:val="24"/>
                <w:lang w:val="en-US"/>
              </w:rPr>
            </w:pPr>
            <w:r>
              <w:rPr>
                <w:sz w:val="24"/>
                <w:szCs w:val="24"/>
                <w:lang w:val="en-US"/>
              </w:rPr>
              <w:t>G</w:t>
            </w:r>
            <w:r w:rsidR="00E10624" w:rsidRPr="00191E63">
              <w:rPr>
                <w:sz w:val="24"/>
                <w:szCs w:val="24"/>
                <w:lang w:val="en-US"/>
              </w:rPr>
              <w:t>ini</w:t>
            </w:r>
          </w:p>
        </w:tc>
        <w:tc>
          <w:tcPr>
            <w:tcW w:w="1329" w:type="dxa"/>
            <w:shd w:val="clear" w:color="auto" w:fill="auto"/>
          </w:tcPr>
          <w:p w:rsidR="00E10624" w:rsidRPr="00191E63" w:rsidRDefault="00671405" w:rsidP="00190A84">
            <w:pPr>
              <w:jc w:val="center"/>
              <w:rPr>
                <w:sz w:val="24"/>
                <w:szCs w:val="24"/>
                <w:lang w:val="en-US"/>
              </w:rPr>
            </w:pPr>
            <w:r>
              <w:rPr>
                <w:sz w:val="24"/>
                <w:szCs w:val="24"/>
                <w:lang w:val="en-US"/>
              </w:rPr>
              <w:t>W</w:t>
            </w:r>
            <w:r w:rsidR="00E10624" w:rsidRPr="00191E63">
              <w:rPr>
                <w:sz w:val="24"/>
                <w:szCs w:val="24"/>
                <w:lang w:val="en-US"/>
              </w:rPr>
              <w:t>olfson</w:t>
            </w:r>
          </w:p>
        </w:tc>
        <w:tc>
          <w:tcPr>
            <w:tcW w:w="1329" w:type="dxa"/>
            <w:shd w:val="clear" w:color="auto" w:fill="auto"/>
          </w:tcPr>
          <w:p w:rsidR="00E10624" w:rsidRPr="00191E63" w:rsidRDefault="00553EE2" w:rsidP="00553EE2">
            <w:pPr>
              <w:jc w:val="center"/>
              <w:rPr>
                <w:sz w:val="24"/>
                <w:szCs w:val="24"/>
                <w:lang w:val="en-US"/>
              </w:rPr>
            </w:pPr>
            <w:r>
              <w:rPr>
                <w:rFonts w:ascii="Symbol" w:hAnsi="Symbol"/>
                <w:sz w:val="24"/>
                <w:szCs w:val="24"/>
                <w:lang w:val="en-US"/>
              </w:rPr>
              <w:t></w:t>
            </w:r>
          </w:p>
        </w:tc>
        <w:tc>
          <w:tcPr>
            <w:tcW w:w="1329" w:type="dxa"/>
            <w:shd w:val="clear" w:color="auto" w:fill="auto"/>
          </w:tcPr>
          <w:p w:rsidR="00E10624" w:rsidRPr="00191E63" w:rsidRDefault="00553EE2" w:rsidP="00553EE2">
            <w:pPr>
              <w:jc w:val="center"/>
              <w:rPr>
                <w:sz w:val="24"/>
                <w:szCs w:val="24"/>
                <w:lang w:val="en-US"/>
              </w:rPr>
            </w:pPr>
            <w:r>
              <w:rPr>
                <w:rFonts w:ascii="Symbol" w:hAnsi="Symbol"/>
                <w:sz w:val="24"/>
                <w:szCs w:val="24"/>
                <w:lang w:val="en-US"/>
              </w:rPr>
              <w:t></w:t>
            </w:r>
          </w:p>
        </w:tc>
        <w:tc>
          <w:tcPr>
            <w:tcW w:w="1329" w:type="dxa"/>
            <w:shd w:val="clear" w:color="auto" w:fill="auto"/>
          </w:tcPr>
          <w:p w:rsidR="00E10624" w:rsidRPr="00191E63" w:rsidRDefault="00553EE2" w:rsidP="00553EE2">
            <w:pPr>
              <w:jc w:val="center"/>
              <w:rPr>
                <w:sz w:val="24"/>
                <w:szCs w:val="24"/>
                <w:lang w:val="en-US"/>
              </w:rPr>
            </w:pPr>
            <w:r>
              <w:rPr>
                <w:rFonts w:ascii="Symbol" w:hAnsi="Symbol"/>
                <w:sz w:val="24"/>
                <w:szCs w:val="24"/>
                <w:lang w:val="en-US"/>
              </w:rPr>
              <w:t></w:t>
            </w:r>
          </w:p>
        </w:tc>
      </w:tr>
      <w:tr w:rsidR="00CB108F" w:rsidRPr="00191E63" w:rsidTr="00EF3045">
        <w:trPr>
          <w:jc w:val="center"/>
        </w:trPr>
        <w:tc>
          <w:tcPr>
            <w:tcW w:w="1328" w:type="dxa"/>
            <w:shd w:val="clear" w:color="auto" w:fill="auto"/>
          </w:tcPr>
          <w:p w:rsidR="00CB108F" w:rsidRPr="00191E63" w:rsidRDefault="00CB108F" w:rsidP="00190A84">
            <w:pPr>
              <w:jc w:val="center"/>
              <w:rPr>
                <w:sz w:val="24"/>
                <w:szCs w:val="24"/>
                <w:lang w:val="en-US"/>
              </w:rPr>
            </w:pPr>
            <w:r w:rsidRPr="00191E63">
              <w:rPr>
                <w:sz w:val="24"/>
                <w:szCs w:val="24"/>
                <w:lang w:val="en-US"/>
              </w:rPr>
              <w:t>Rpol</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1</w:t>
            </w:r>
          </w:p>
        </w:tc>
        <w:tc>
          <w:tcPr>
            <w:tcW w:w="1328"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r>
      <w:tr w:rsidR="00CB108F" w:rsidRPr="00191E63" w:rsidTr="00EF3045">
        <w:trPr>
          <w:jc w:val="center"/>
        </w:trPr>
        <w:tc>
          <w:tcPr>
            <w:tcW w:w="1328" w:type="dxa"/>
            <w:shd w:val="clear" w:color="auto" w:fill="auto"/>
          </w:tcPr>
          <w:p w:rsidR="00CB108F" w:rsidRPr="00191E63" w:rsidRDefault="00CB108F" w:rsidP="00190A84">
            <w:pPr>
              <w:jc w:val="center"/>
              <w:rPr>
                <w:sz w:val="24"/>
                <w:szCs w:val="24"/>
                <w:lang w:val="en-US"/>
              </w:rPr>
            </w:pPr>
            <w:r w:rsidRPr="00191E63">
              <w:rPr>
                <w:sz w:val="24"/>
                <w:szCs w:val="24"/>
                <w:lang w:val="en-US"/>
              </w:rPr>
              <w:t>Gini</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0.8263</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1</w:t>
            </w: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r>
      <w:tr w:rsidR="00CB108F" w:rsidRPr="00191E63" w:rsidTr="00EF3045">
        <w:trPr>
          <w:jc w:val="center"/>
        </w:trPr>
        <w:tc>
          <w:tcPr>
            <w:tcW w:w="1328" w:type="dxa"/>
            <w:shd w:val="clear" w:color="auto" w:fill="auto"/>
          </w:tcPr>
          <w:p w:rsidR="00CB108F" w:rsidRPr="00191E63" w:rsidRDefault="00CB108F" w:rsidP="00190A84">
            <w:pPr>
              <w:jc w:val="center"/>
              <w:rPr>
                <w:sz w:val="24"/>
                <w:szCs w:val="24"/>
                <w:lang w:val="en-US"/>
              </w:rPr>
            </w:pPr>
            <w:r>
              <w:rPr>
                <w:sz w:val="24"/>
                <w:szCs w:val="24"/>
                <w:lang w:val="en-US"/>
              </w:rPr>
              <w:t>W</w:t>
            </w:r>
            <w:r w:rsidRPr="00191E63">
              <w:rPr>
                <w:sz w:val="24"/>
                <w:szCs w:val="24"/>
                <w:lang w:val="en-US"/>
              </w:rPr>
              <w:t>olfson</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0.8499</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0.9831</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1</w:t>
            </w: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r>
      <w:tr w:rsidR="00CB108F" w:rsidRPr="00191E63" w:rsidTr="00FA44A0">
        <w:trPr>
          <w:jc w:val="center"/>
        </w:trPr>
        <w:tc>
          <w:tcPr>
            <w:tcW w:w="1328" w:type="dxa"/>
            <w:shd w:val="clear" w:color="auto" w:fill="auto"/>
            <w:vAlign w:val="bottom"/>
          </w:tcPr>
          <w:p w:rsidR="00CB108F" w:rsidRPr="00553EE2" w:rsidRDefault="00CB108F" w:rsidP="00190A84">
            <w:pPr>
              <w:jc w:val="center"/>
              <w:rPr>
                <w:sz w:val="24"/>
                <w:szCs w:val="24"/>
                <w:lang w:val="en-US"/>
              </w:rPr>
            </w:pPr>
            <w:r w:rsidRPr="00FA44A0">
              <w:rPr>
                <w:rFonts w:ascii="Symbol" w:hAnsi="Symbol"/>
                <w:color w:val="000000"/>
                <w:sz w:val="24"/>
                <w:szCs w:val="24"/>
                <w:lang w:val="en-US" w:eastAsia="en-US"/>
              </w:rPr>
              <w:t></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0.9197</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0.9524</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0.9778</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1</w:t>
            </w:r>
          </w:p>
        </w:tc>
        <w:tc>
          <w:tcPr>
            <w:tcW w:w="1329" w:type="dxa"/>
            <w:shd w:val="clear" w:color="auto" w:fill="auto"/>
            <w:vAlign w:val="bottom"/>
          </w:tcPr>
          <w:p w:rsidR="00CB108F" w:rsidRPr="005D57E5" w:rsidRDefault="00CB108F" w:rsidP="00EF3045">
            <w:pPr>
              <w:rPr>
                <w:color w:val="000000"/>
                <w:sz w:val="24"/>
                <w:szCs w:val="24"/>
                <w:lang w:val="en-US" w:eastAsia="en-US"/>
              </w:rPr>
            </w:pPr>
          </w:p>
        </w:tc>
        <w:tc>
          <w:tcPr>
            <w:tcW w:w="1329" w:type="dxa"/>
            <w:shd w:val="clear" w:color="auto" w:fill="auto"/>
            <w:vAlign w:val="bottom"/>
          </w:tcPr>
          <w:p w:rsidR="00CB108F" w:rsidRPr="005D57E5" w:rsidRDefault="00CB108F" w:rsidP="00EF3045">
            <w:pPr>
              <w:rPr>
                <w:color w:val="000000"/>
                <w:sz w:val="24"/>
                <w:szCs w:val="24"/>
                <w:lang w:val="en-US" w:eastAsia="en-US"/>
              </w:rPr>
            </w:pPr>
          </w:p>
        </w:tc>
      </w:tr>
      <w:tr w:rsidR="00CB108F" w:rsidRPr="00191E63" w:rsidTr="00FA44A0">
        <w:trPr>
          <w:jc w:val="center"/>
        </w:trPr>
        <w:tc>
          <w:tcPr>
            <w:tcW w:w="1328" w:type="dxa"/>
            <w:shd w:val="clear" w:color="auto" w:fill="auto"/>
            <w:vAlign w:val="bottom"/>
          </w:tcPr>
          <w:p w:rsidR="00CB108F" w:rsidRPr="00553EE2" w:rsidRDefault="00CB108F" w:rsidP="00190A84">
            <w:pPr>
              <w:jc w:val="center"/>
              <w:rPr>
                <w:sz w:val="24"/>
                <w:szCs w:val="24"/>
                <w:lang w:val="en-US"/>
              </w:rPr>
            </w:pPr>
            <w:r w:rsidRPr="00FA44A0">
              <w:rPr>
                <w:rFonts w:ascii="Symbol" w:hAnsi="Symbol"/>
                <w:color w:val="000000"/>
                <w:sz w:val="24"/>
                <w:szCs w:val="24"/>
                <w:lang w:val="en-US" w:eastAsia="en-US"/>
              </w:rPr>
              <w:t></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-0.5652</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-0.1603</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-0.2373</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-0.4252</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1</w:t>
            </w:r>
          </w:p>
        </w:tc>
        <w:tc>
          <w:tcPr>
            <w:tcW w:w="1329" w:type="dxa"/>
            <w:shd w:val="clear" w:color="auto" w:fill="auto"/>
            <w:vAlign w:val="bottom"/>
          </w:tcPr>
          <w:p w:rsidR="00CB108F" w:rsidRPr="005D57E5" w:rsidRDefault="00CB108F" w:rsidP="00EF3045">
            <w:pPr>
              <w:rPr>
                <w:color w:val="000000"/>
                <w:sz w:val="24"/>
                <w:szCs w:val="24"/>
                <w:lang w:val="en-US" w:eastAsia="en-US"/>
              </w:rPr>
            </w:pPr>
          </w:p>
        </w:tc>
      </w:tr>
      <w:tr w:rsidR="00CB108F" w:rsidRPr="00191E63" w:rsidTr="00FA44A0">
        <w:trPr>
          <w:jc w:val="center"/>
        </w:trPr>
        <w:tc>
          <w:tcPr>
            <w:tcW w:w="1328" w:type="dxa"/>
            <w:shd w:val="clear" w:color="auto" w:fill="auto"/>
            <w:vAlign w:val="bottom"/>
          </w:tcPr>
          <w:p w:rsidR="00CB108F" w:rsidRPr="00553EE2" w:rsidRDefault="00CB108F" w:rsidP="00190A84">
            <w:pPr>
              <w:jc w:val="center"/>
              <w:rPr>
                <w:sz w:val="24"/>
                <w:szCs w:val="24"/>
                <w:lang w:val="en-US"/>
              </w:rPr>
            </w:pPr>
            <w:r w:rsidRPr="00FA44A0">
              <w:rPr>
                <w:rFonts w:ascii="Symbol" w:hAnsi="Symbol"/>
                <w:color w:val="000000"/>
                <w:sz w:val="24"/>
                <w:szCs w:val="24"/>
                <w:lang w:val="en-US" w:eastAsia="en-US"/>
              </w:rPr>
              <w:t></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-0.3861</w:t>
            </w:r>
          </w:p>
        </w:tc>
        <w:tc>
          <w:tcPr>
            <w:tcW w:w="1328"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-0.2392</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-0.3229</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-0.3784</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0.3605</w:t>
            </w:r>
          </w:p>
        </w:tc>
        <w:tc>
          <w:tcPr>
            <w:tcW w:w="1329" w:type="dxa"/>
            <w:shd w:val="clear" w:color="auto" w:fill="auto"/>
            <w:vAlign w:val="bottom"/>
          </w:tcPr>
          <w:p w:rsidR="00CB108F" w:rsidRPr="005D57E5" w:rsidRDefault="00CB108F" w:rsidP="00EF3045">
            <w:pPr>
              <w:jc w:val="right"/>
              <w:rPr>
                <w:color w:val="000000"/>
                <w:sz w:val="24"/>
                <w:szCs w:val="24"/>
                <w:lang w:val="en-US" w:eastAsia="en-US"/>
              </w:rPr>
            </w:pPr>
            <w:r w:rsidRPr="005D57E5">
              <w:rPr>
                <w:color w:val="000000"/>
                <w:sz w:val="22"/>
                <w:szCs w:val="22"/>
                <w:lang w:val="en-US" w:eastAsia="en-US"/>
              </w:rPr>
              <w:t>1</w:t>
            </w:r>
          </w:p>
        </w:tc>
      </w:tr>
    </w:tbl>
    <w:p w:rsidR="00735127" w:rsidRDefault="00735127" w:rsidP="00735127">
      <w:pPr>
        <w:spacing w:after="120" w:line="480" w:lineRule="auto"/>
        <w:rPr>
          <w:b/>
          <w:bCs/>
          <w:sz w:val="24"/>
          <w:szCs w:val="24"/>
          <w:lang w:val="en-GB"/>
        </w:rPr>
      </w:pPr>
    </w:p>
    <w:p w:rsidR="00735127" w:rsidRPr="008B0DAB" w:rsidRDefault="00735127" w:rsidP="00735127">
      <w:pPr>
        <w:spacing w:after="120" w:line="480" w:lineRule="auto"/>
        <w:rPr>
          <w:b/>
          <w:bCs/>
          <w:sz w:val="24"/>
          <w:szCs w:val="24"/>
          <w:lang w:val="en-GB"/>
        </w:rPr>
      </w:pPr>
      <w:r>
        <w:rPr>
          <w:b/>
          <w:bCs/>
          <w:sz w:val="24"/>
          <w:szCs w:val="24"/>
          <w:lang w:val="en-GB"/>
        </w:rPr>
        <w:t xml:space="preserve">Table </w:t>
      </w:r>
      <w:r w:rsidR="00AB0CFB">
        <w:rPr>
          <w:b/>
          <w:bCs/>
          <w:sz w:val="24"/>
          <w:szCs w:val="24"/>
          <w:lang w:val="en-GB"/>
        </w:rPr>
        <w:t>8</w:t>
      </w:r>
      <w:r>
        <w:rPr>
          <w:b/>
          <w:bCs/>
          <w:sz w:val="24"/>
          <w:szCs w:val="24"/>
          <w:lang w:val="en-GB"/>
        </w:rPr>
        <w:t>: R</w:t>
      </w:r>
      <w:r w:rsidRPr="008B0DAB">
        <w:rPr>
          <w:b/>
          <w:bCs/>
          <w:sz w:val="24"/>
          <w:szCs w:val="24"/>
          <w:vertAlign w:val="superscript"/>
          <w:lang w:val="en-GB"/>
        </w:rPr>
        <w:t>2</w:t>
      </w:r>
      <w:r>
        <w:rPr>
          <w:b/>
          <w:bCs/>
          <w:sz w:val="24"/>
          <w:szCs w:val="24"/>
          <w:lang w:val="en-GB"/>
        </w:rPr>
        <w:t xml:space="preserve"> </w:t>
      </w:r>
      <w:r w:rsidR="001377AD">
        <w:rPr>
          <w:b/>
          <w:bCs/>
          <w:sz w:val="24"/>
          <w:szCs w:val="24"/>
          <w:lang w:val="en-GB"/>
        </w:rPr>
        <w:t>A</w:t>
      </w:r>
      <w:r>
        <w:rPr>
          <w:b/>
          <w:bCs/>
          <w:sz w:val="24"/>
          <w:szCs w:val="24"/>
          <w:lang w:val="en-GB"/>
        </w:rPr>
        <w:t xml:space="preserve">dded </w:t>
      </w:r>
      <w:r w:rsidR="001377AD">
        <w:rPr>
          <w:b/>
          <w:bCs/>
          <w:sz w:val="24"/>
          <w:szCs w:val="24"/>
          <w:lang w:val="en-GB"/>
        </w:rPr>
        <w:t>V</w:t>
      </w:r>
      <w:r>
        <w:rPr>
          <w:b/>
          <w:bCs/>
          <w:sz w:val="24"/>
          <w:szCs w:val="24"/>
          <w:lang w:val="en-GB"/>
        </w:rPr>
        <w:t xml:space="preserve">alue in </w:t>
      </w:r>
      <w:r w:rsidR="001377AD">
        <w:rPr>
          <w:b/>
          <w:bCs/>
          <w:sz w:val="24"/>
          <w:szCs w:val="24"/>
          <w:lang w:val="en-GB"/>
        </w:rPr>
        <w:t>N</w:t>
      </w:r>
      <w:r>
        <w:rPr>
          <w:b/>
          <w:bCs/>
          <w:sz w:val="24"/>
          <w:szCs w:val="24"/>
          <w:lang w:val="en-GB"/>
        </w:rPr>
        <w:t xml:space="preserve">ested </w:t>
      </w:r>
      <w:r w:rsidR="001377AD">
        <w:rPr>
          <w:b/>
          <w:bCs/>
          <w:sz w:val="24"/>
          <w:szCs w:val="24"/>
          <w:lang w:val="en-GB"/>
        </w:rPr>
        <w:t>M</w:t>
      </w:r>
      <w:r>
        <w:rPr>
          <w:b/>
          <w:bCs/>
          <w:sz w:val="24"/>
          <w:szCs w:val="24"/>
          <w:lang w:val="en-GB"/>
        </w:rPr>
        <w:t>odels of Rpol (</w:t>
      </w:r>
      <w:r w:rsidR="001377AD">
        <w:rPr>
          <w:b/>
          <w:bCs/>
          <w:sz w:val="24"/>
          <w:szCs w:val="24"/>
          <w:lang w:val="en-GB"/>
        </w:rPr>
        <w:t>M</w:t>
      </w:r>
      <w:r>
        <w:rPr>
          <w:b/>
          <w:bCs/>
          <w:sz w:val="24"/>
          <w:szCs w:val="24"/>
          <w:lang w:val="en-GB"/>
        </w:rPr>
        <w:t xml:space="preserve">iddle </w:t>
      </w:r>
      <w:r w:rsidR="001377AD">
        <w:rPr>
          <w:b/>
          <w:bCs/>
          <w:sz w:val="24"/>
          <w:szCs w:val="24"/>
          <w:lang w:val="en-GB"/>
        </w:rPr>
        <w:t>C</w:t>
      </w:r>
      <w:r>
        <w:rPr>
          <w:b/>
          <w:bCs/>
          <w:sz w:val="24"/>
          <w:szCs w:val="24"/>
          <w:lang w:val="en-GB"/>
        </w:rPr>
        <w:t xml:space="preserve">lass </w:t>
      </w:r>
      <w:r w:rsidR="001377AD">
        <w:rPr>
          <w:b/>
          <w:bCs/>
          <w:sz w:val="24"/>
          <w:szCs w:val="24"/>
          <w:lang w:val="en-GB"/>
        </w:rPr>
        <w:t>P</w:t>
      </w:r>
      <w:r>
        <w:rPr>
          <w:b/>
          <w:bCs/>
          <w:sz w:val="24"/>
          <w:szCs w:val="24"/>
          <w:lang w:val="en-GB"/>
        </w:rPr>
        <w:t>olari</w:t>
      </w:r>
      <w:r w:rsidR="001377AD">
        <w:rPr>
          <w:b/>
          <w:bCs/>
          <w:sz w:val="24"/>
          <w:szCs w:val="24"/>
          <w:lang w:val="en-GB"/>
        </w:rPr>
        <w:t>z</w:t>
      </w:r>
      <w:r>
        <w:rPr>
          <w:b/>
          <w:bCs/>
          <w:sz w:val="24"/>
          <w:szCs w:val="24"/>
          <w:lang w:val="en-GB"/>
        </w:rPr>
        <w:t xml:space="preserve">ation) </w:t>
      </w:r>
      <w:r w:rsidR="0094312C">
        <w:rPr>
          <w:b/>
          <w:bCs/>
          <w:sz w:val="24"/>
          <w:szCs w:val="24"/>
          <w:lang w:val="en-GB"/>
        </w:rPr>
        <w:t xml:space="preserve">of the </w:t>
      </w:r>
      <w:r w:rsidR="00A27EE3">
        <w:rPr>
          <w:b/>
          <w:bCs/>
          <w:sz w:val="24"/>
          <w:szCs w:val="24"/>
          <w:lang w:val="en-GB"/>
        </w:rPr>
        <w:t xml:space="preserve">Gini </w:t>
      </w:r>
      <w:r w:rsidR="00E9025B">
        <w:rPr>
          <w:b/>
          <w:bCs/>
          <w:sz w:val="24"/>
          <w:szCs w:val="24"/>
          <w:lang w:val="en-GB"/>
        </w:rPr>
        <w:t xml:space="preserve">Coefficient </w:t>
      </w:r>
      <w:r w:rsidR="0094312C">
        <w:rPr>
          <w:b/>
          <w:bCs/>
          <w:sz w:val="24"/>
          <w:szCs w:val="24"/>
          <w:lang w:val="en-GB"/>
        </w:rPr>
        <w:t xml:space="preserve">and </w:t>
      </w:r>
      <w:r w:rsidR="00E9025B">
        <w:rPr>
          <w:b/>
          <w:bCs/>
          <w:sz w:val="24"/>
          <w:szCs w:val="24"/>
          <w:lang w:val="en-GB"/>
        </w:rPr>
        <w:t>Wolfson Index</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26"/>
        <w:gridCol w:w="1048"/>
        <w:gridCol w:w="1402"/>
        <w:gridCol w:w="271"/>
        <w:gridCol w:w="1426"/>
        <w:gridCol w:w="960"/>
        <w:gridCol w:w="1402"/>
      </w:tblGrid>
      <w:tr w:rsidR="002534C8" w:rsidRPr="000967DD" w:rsidTr="00FA44A0">
        <w:trPr>
          <w:trHeight w:val="300"/>
        </w:trPr>
        <w:tc>
          <w:tcPr>
            <w:tcW w:w="960" w:type="dxa"/>
            <w:shd w:val="clear" w:color="auto" w:fill="auto"/>
            <w:noWrap/>
            <w:hideMark/>
          </w:tcPr>
          <w:p w:rsidR="002534C8" w:rsidRPr="000967DD" w:rsidRDefault="002534C8" w:rsidP="00EF3045">
            <w:pPr>
              <w:rPr>
                <w:color w:val="000000"/>
                <w:sz w:val="22"/>
                <w:szCs w:val="22"/>
                <w:lang w:val="en-US" w:eastAsia="en-US"/>
              </w:rPr>
            </w:pPr>
          </w:p>
        </w:tc>
        <w:tc>
          <w:tcPr>
            <w:tcW w:w="1426" w:type="dxa"/>
            <w:shd w:val="clear" w:color="auto" w:fill="auto"/>
            <w:noWrap/>
            <w:hideMark/>
          </w:tcPr>
          <w:p w:rsidR="002534C8" w:rsidRPr="000967DD" w:rsidRDefault="002534C8" w:rsidP="00EF3045">
            <w:pPr>
              <w:rPr>
                <w:color w:val="000000"/>
                <w:sz w:val="22"/>
                <w:szCs w:val="22"/>
                <w:lang w:val="en-US" w:eastAsia="en-US"/>
              </w:rPr>
            </w:pPr>
            <w:r>
              <w:rPr>
                <w:color w:val="000000"/>
                <w:sz w:val="22"/>
                <w:szCs w:val="22"/>
                <w:lang w:val="en-US" w:eastAsia="en-US"/>
              </w:rPr>
              <w:t xml:space="preserve">Gini </w:t>
            </w:r>
            <w:r w:rsidRPr="000967DD">
              <w:rPr>
                <w:color w:val="000000"/>
                <w:sz w:val="22"/>
                <w:szCs w:val="22"/>
                <w:lang w:val="en-US" w:eastAsia="en-US"/>
              </w:rPr>
              <w:t xml:space="preserve"> first</w:t>
            </w:r>
          </w:p>
        </w:tc>
        <w:tc>
          <w:tcPr>
            <w:tcW w:w="1048" w:type="dxa"/>
            <w:shd w:val="clear" w:color="auto" w:fill="auto"/>
            <w:noWrap/>
            <w:hideMark/>
          </w:tcPr>
          <w:p w:rsidR="002534C8" w:rsidRPr="000967DD" w:rsidRDefault="002534C8" w:rsidP="00735127">
            <w:pPr>
              <w:rPr>
                <w:color w:val="000000"/>
                <w:sz w:val="22"/>
                <w:szCs w:val="22"/>
                <w:lang w:val="en-US" w:eastAsia="en-US"/>
              </w:rPr>
            </w:pPr>
            <w:r>
              <w:rPr>
                <w:color w:val="000000"/>
                <w:sz w:val="22"/>
                <w:szCs w:val="22"/>
                <w:lang w:val="en-US" w:eastAsia="en-US"/>
              </w:rPr>
              <w:t xml:space="preserve">Wolfson </w:t>
            </w:r>
            <w:r w:rsidRPr="000967DD">
              <w:rPr>
                <w:color w:val="000000"/>
                <w:sz w:val="22"/>
                <w:szCs w:val="22"/>
                <w:lang w:val="en-US" w:eastAsia="en-US"/>
              </w:rPr>
              <w:t xml:space="preserve"> delta </w:t>
            </w:r>
            <w:r w:rsidR="002A1BD0">
              <w:rPr>
                <w:color w:val="000000"/>
                <w:sz w:val="22"/>
                <w:szCs w:val="22"/>
                <w:lang w:val="en-US" w:eastAsia="en-US"/>
              </w:rPr>
              <w:t>r</w:t>
            </w:r>
            <w:r w:rsidRPr="000967DD">
              <w:rPr>
                <w:color w:val="000000"/>
                <w:sz w:val="22"/>
                <w:szCs w:val="22"/>
                <w:vertAlign w:val="superscript"/>
                <w:lang w:val="en-US" w:eastAsia="en-US"/>
              </w:rPr>
              <w:t>2</w:t>
            </w:r>
            <w:r w:rsidRPr="000967DD">
              <w:rPr>
                <w:color w:val="000000"/>
                <w:sz w:val="22"/>
                <w:szCs w:val="22"/>
                <w:lang w:val="en-US" w:eastAsia="en-US"/>
              </w:rPr>
              <w:t xml:space="preserve"> </w:t>
            </w:r>
          </w:p>
        </w:tc>
        <w:tc>
          <w:tcPr>
            <w:tcW w:w="1402" w:type="dxa"/>
          </w:tcPr>
          <w:p w:rsidR="002534C8" w:rsidRPr="000967DD" w:rsidRDefault="002534C8" w:rsidP="00EF3045">
            <w:pPr>
              <w:jc w:val="right"/>
              <w:rPr>
                <w:color w:val="000000"/>
                <w:sz w:val="22"/>
                <w:szCs w:val="22"/>
                <w:lang w:val="en-US" w:eastAsia="en-US"/>
              </w:rPr>
            </w:pPr>
            <w:r>
              <w:rPr>
                <w:color w:val="000000"/>
                <w:sz w:val="22"/>
                <w:szCs w:val="22"/>
                <w:lang w:val="en-US" w:eastAsia="en-US"/>
              </w:rPr>
              <w:t>Improvement sig. p</w:t>
            </w:r>
          </w:p>
        </w:tc>
        <w:tc>
          <w:tcPr>
            <w:tcW w:w="271" w:type="dxa"/>
            <w:shd w:val="clear" w:color="auto" w:fill="auto"/>
            <w:noWrap/>
          </w:tcPr>
          <w:p w:rsidR="002534C8" w:rsidRPr="000967DD" w:rsidRDefault="002534C8" w:rsidP="00EF3045">
            <w:pPr>
              <w:jc w:val="right"/>
              <w:rPr>
                <w:color w:val="000000"/>
                <w:sz w:val="22"/>
                <w:szCs w:val="22"/>
                <w:lang w:val="en-US" w:eastAsia="en-US"/>
              </w:rPr>
            </w:pPr>
          </w:p>
        </w:tc>
        <w:tc>
          <w:tcPr>
            <w:tcW w:w="1426" w:type="dxa"/>
            <w:shd w:val="clear" w:color="auto" w:fill="auto"/>
            <w:noWrap/>
            <w:hideMark/>
          </w:tcPr>
          <w:p w:rsidR="002534C8" w:rsidRPr="000967DD" w:rsidRDefault="002534C8" w:rsidP="00EF3045">
            <w:pPr>
              <w:rPr>
                <w:color w:val="000000"/>
                <w:sz w:val="22"/>
                <w:szCs w:val="22"/>
                <w:lang w:val="en-US" w:eastAsia="en-US"/>
              </w:rPr>
            </w:pPr>
            <w:r>
              <w:rPr>
                <w:color w:val="000000"/>
                <w:sz w:val="22"/>
                <w:szCs w:val="22"/>
                <w:lang w:val="en-US" w:eastAsia="en-US"/>
              </w:rPr>
              <w:t xml:space="preserve">Wolfson </w:t>
            </w:r>
            <w:r w:rsidRPr="000967DD">
              <w:rPr>
                <w:color w:val="000000"/>
                <w:sz w:val="22"/>
                <w:szCs w:val="22"/>
                <w:lang w:val="en-US" w:eastAsia="en-US"/>
              </w:rPr>
              <w:t xml:space="preserve"> first</w:t>
            </w:r>
          </w:p>
        </w:tc>
        <w:tc>
          <w:tcPr>
            <w:tcW w:w="960" w:type="dxa"/>
            <w:shd w:val="clear" w:color="auto" w:fill="auto"/>
            <w:noWrap/>
            <w:hideMark/>
          </w:tcPr>
          <w:p w:rsidR="002534C8" w:rsidRPr="000967DD" w:rsidRDefault="002534C8" w:rsidP="002A1BD0">
            <w:pPr>
              <w:rPr>
                <w:color w:val="000000"/>
                <w:sz w:val="22"/>
                <w:szCs w:val="22"/>
                <w:lang w:val="en-US" w:eastAsia="en-US"/>
              </w:rPr>
            </w:pPr>
            <w:r>
              <w:rPr>
                <w:color w:val="000000"/>
                <w:sz w:val="22"/>
                <w:szCs w:val="22"/>
                <w:lang w:val="en-US" w:eastAsia="en-US"/>
              </w:rPr>
              <w:t xml:space="preserve">Gini </w:t>
            </w:r>
            <w:r w:rsidRPr="000967DD">
              <w:rPr>
                <w:color w:val="000000"/>
                <w:sz w:val="22"/>
                <w:szCs w:val="22"/>
                <w:lang w:val="en-US" w:eastAsia="en-US"/>
              </w:rPr>
              <w:t xml:space="preserve"> delta </w:t>
            </w:r>
            <w:r w:rsidR="002A1BD0">
              <w:rPr>
                <w:color w:val="000000"/>
                <w:sz w:val="22"/>
                <w:szCs w:val="22"/>
                <w:lang w:val="en-US" w:eastAsia="en-US"/>
              </w:rPr>
              <w:t>r</w:t>
            </w:r>
            <w:r w:rsidR="002A1BD0" w:rsidRPr="000967DD">
              <w:rPr>
                <w:color w:val="000000"/>
                <w:sz w:val="22"/>
                <w:szCs w:val="22"/>
                <w:vertAlign w:val="superscript"/>
                <w:lang w:val="en-US" w:eastAsia="en-US"/>
              </w:rPr>
              <w:t>2</w:t>
            </w:r>
          </w:p>
        </w:tc>
        <w:tc>
          <w:tcPr>
            <w:tcW w:w="1402" w:type="dxa"/>
          </w:tcPr>
          <w:p w:rsidR="002534C8" w:rsidRDefault="002534C8" w:rsidP="00735127">
            <w:pPr>
              <w:rPr>
                <w:color w:val="000000"/>
                <w:sz w:val="22"/>
                <w:szCs w:val="22"/>
                <w:lang w:val="en-US" w:eastAsia="en-US"/>
              </w:rPr>
            </w:pPr>
            <w:r>
              <w:rPr>
                <w:color w:val="000000"/>
                <w:sz w:val="22"/>
                <w:szCs w:val="22"/>
                <w:lang w:val="en-US" w:eastAsia="en-US"/>
              </w:rPr>
              <w:t>Improvement sig. p</w:t>
            </w:r>
          </w:p>
        </w:tc>
      </w:tr>
      <w:tr w:rsidR="002534C8" w:rsidRPr="000967DD" w:rsidTr="00FA44A0">
        <w:trPr>
          <w:trHeight w:val="300"/>
        </w:trPr>
        <w:tc>
          <w:tcPr>
            <w:tcW w:w="960" w:type="dxa"/>
            <w:shd w:val="clear" w:color="auto" w:fill="auto"/>
            <w:noWrap/>
            <w:vAlign w:val="center"/>
            <w:hideMark/>
          </w:tcPr>
          <w:p w:rsidR="002534C8" w:rsidRPr="009D2C81" w:rsidRDefault="002534C8" w:rsidP="00EF3045">
            <w:pPr>
              <w:rPr>
                <w:color w:val="000000"/>
                <w:sz w:val="22"/>
                <w:szCs w:val="22"/>
                <w:lang w:val="en-US" w:eastAsia="en-US"/>
              </w:rPr>
            </w:pPr>
            <w:r>
              <w:rPr>
                <w:color w:val="000000"/>
                <w:sz w:val="22"/>
                <w:szCs w:val="22"/>
                <w:lang w:val="en-US" w:eastAsia="en-US"/>
              </w:rPr>
              <w:t>Rpol</w:t>
            </w:r>
          </w:p>
        </w:tc>
        <w:tc>
          <w:tcPr>
            <w:tcW w:w="1426" w:type="dxa"/>
            <w:shd w:val="clear" w:color="auto" w:fill="auto"/>
            <w:noWrap/>
            <w:vAlign w:val="center"/>
            <w:hideMark/>
          </w:tcPr>
          <w:p w:rsidR="002534C8" w:rsidRPr="009D2C81" w:rsidRDefault="00AB0207" w:rsidP="00EF3045">
            <w:pPr>
              <w:jc w:val="right"/>
              <w:rPr>
                <w:color w:val="000000"/>
                <w:sz w:val="22"/>
                <w:szCs w:val="22"/>
                <w:lang w:val="en-US" w:eastAsia="en-US"/>
              </w:rPr>
            </w:pPr>
            <w:r w:rsidRPr="00AB0207">
              <w:rPr>
                <w:color w:val="000000"/>
                <w:sz w:val="22"/>
                <w:szCs w:val="22"/>
                <w:lang w:val="en-US" w:eastAsia="en-US"/>
              </w:rPr>
              <w:t>0.6828</w:t>
            </w:r>
          </w:p>
        </w:tc>
        <w:tc>
          <w:tcPr>
            <w:tcW w:w="1048" w:type="dxa"/>
            <w:shd w:val="clear" w:color="auto" w:fill="auto"/>
            <w:noWrap/>
            <w:vAlign w:val="center"/>
            <w:hideMark/>
          </w:tcPr>
          <w:p w:rsidR="002534C8" w:rsidRPr="009D2C81" w:rsidRDefault="00AB0207" w:rsidP="00EF3045">
            <w:pPr>
              <w:jc w:val="right"/>
              <w:rPr>
                <w:color w:val="000000"/>
                <w:sz w:val="22"/>
                <w:szCs w:val="22"/>
                <w:lang w:val="en-US" w:eastAsia="en-US"/>
              </w:rPr>
            </w:pPr>
            <w:r w:rsidRPr="00AB0207">
              <w:rPr>
                <w:rFonts w:ascii="Calibri" w:hAnsi="Calibri"/>
                <w:color w:val="000000"/>
                <w:sz w:val="22"/>
                <w:szCs w:val="22"/>
              </w:rPr>
              <w:t>0.0422</w:t>
            </w:r>
          </w:p>
        </w:tc>
        <w:tc>
          <w:tcPr>
            <w:tcW w:w="1402" w:type="dxa"/>
            <w:vAlign w:val="center"/>
          </w:tcPr>
          <w:p w:rsidR="002534C8" w:rsidRPr="009D2C81" w:rsidRDefault="00F707C6" w:rsidP="002534C8">
            <w:pPr>
              <w:jc w:val="right"/>
              <w:rPr>
                <w:color w:val="000000"/>
                <w:sz w:val="22"/>
                <w:szCs w:val="22"/>
                <w:lang w:val="en-US" w:eastAsia="en-US"/>
              </w:rPr>
            </w:pPr>
            <w:r w:rsidRPr="00F707C6">
              <w:rPr>
                <w:color w:val="000000"/>
                <w:sz w:val="22"/>
                <w:szCs w:val="22"/>
                <w:lang w:eastAsia="en-US"/>
              </w:rPr>
              <w:t>0.0000</w:t>
            </w:r>
          </w:p>
        </w:tc>
        <w:tc>
          <w:tcPr>
            <w:tcW w:w="271" w:type="dxa"/>
            <w:shd w:val="clear" w:color="auto" w:fill="auto"/>
            <w:noWrap/>
            <w:vAlign w:val="center"/>
          </w:tcPr>
          <w:p w:rsidR="002534C8" w:rsidRPr="009D2C81" w:rsidRDefault="002534C8" w:rsidP="00EF3045">
            <w:pPr>
              <w:jc w:val="right"/>
              <w:rPr>
                <w:color w:val="000000"/>
                <w:sz w:val="22"/>
                <w:szCs w:val="22"/>
                <w:lang w:val="en-US" w:eastAsia="en-US"/>
              </w:rPr>
            </w:pPr>
            <w:r w:rsidRPr="009D2C81">
              <w:rPr>
                <w:color w:val="000000"/>
                <w:sz w:val="22"/>
                <w:szCs w:val="22"/>
                <w:lang w:val="en-US" w:eastAsia="en-US"/>
              </w:rPr>
              <w:t> </w:t>
            </w:r>
          </w:p>
        </w:tc>
        <w:tc>
          <w:tcPr>
            <w:tcW w:w="1426" w:type="dxa"/>
            <w:shd w:val="clear" w:color="auto" w:fill="auto"/>
            <w:noWrap/>
            <w:vAlign w:val="center"/>
            <w:hideMark/>
          </w:tcPr>
          <w:p w:rsidR="002534C8" w:rsidRPr="009D2C81" w:rsidRDefault="00AB0207" w:rsidP="00EF3045">
            <w:pPr>
              <w:jc w:val="right"/>
              <w:rPr>
                <w:color w:val="000000"/>
                <w:sz w:val="22"/>
                <w:szCs w:val="22"/>
                <w:lang w:val="en-US" w:eastAsia="en-US"/>
              </w:rPr>
            </w:pPr>
            <w:r w:rsidRPr="00AB0207">
              <w:rPr>
                <w:color w:val="000000"/>
                <w:sz w:val="22"/>
                <w:szCs w:val="22"/>
                <w:lang w:val="en-US" w:eastAsia="en-US"/>
              </w:rPr>
              <w:t>0.7224</w:t>
            </w:r>
          </w:p>
        </w:tc>
        <w:tc>
          <w:tcPr>
            <w:tcW w:w="960" w:type="dxa"/>
            <w:shd w:val="clear" w:color="auto" w:fill="auto"/>
            <w:noWrap/>
            <w:vAlign w:val="center"/>
            <w:hideMark/>
          </w:tcPr>
          <w:p w:rsidR="002534C8" w:rsidRPr="009D2C81" w:rsidRDefault="00AB0207" w:rsidP="00EF3045">
            <w:pPr>
              <w:jc w:val="right"/>
              <w:rPr>
                <w:color w:val="000000"/>
                <w:sz w:val="22"/>
                <w:szCs w:val="22"/>
                <w:lang w:val="en-US" w:eastAsia="en-US"/>
              </w:rPr>
            </w:pPr>
            <w:r w:rsidRPr="00AB0207">
              <w:rPr>
                <w:rFonts w:ascii="Calibri" w:hAnsi="Calibri"/>
                <w:color w:val="000000"/>
                <w:sz w:val="22"/>
                <w:szCs w:val="22"/>
              </w:rPr>
              <w:t>0.0026</w:t>
            </w:r>
          </w:p>
        </w:tc>
        <w:tc>
          <w:tcPr>
            <w:tcW w:w="1402" w:type="dxa"/>
            <w:vAlign w:val="center"/>
          </w:tcPr>
          <w:p w:rsidR="002534C8" w:rsidRPr="00735127" w:rsidRDefault="00AB0207" w:rsidP="002534C8">
            <w:pPr>
              <w:jc w:val="right"/>
              <w:rPr>
                <w:color w:val="000000"/>
                <w:sz w:val="22"/>
                <w:szCs w:val="22"/>
                <w:lang w:val="en-US" w:eastAsia="en-US"/>
              </w:rPr>
            </w:pPr>
            <w:r w:rsidRPr="00AB0207">
              <w:rPr>
                <w:color w:val="000000"/>
                <w:sz w:val="22"/>
                <w:szCs w:val="22"/>
                <w:lang w:eastAsia="en-US"/>
              </w:rPr>
              <w:t>0.1430</w:t>
            </w:r>
          </w:p>
        </w:tc>
      </w:tr>
      <w:tr w:rsidR="00F44566" w:rsidRPr="000967DD" w:rsidTr="00F4456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0967DD" w:rsidRDefault="00F44566" w:rsidP="00F95F89">
            <w:pPr>
              <w:rPr>
                <w:color w:val="000000"/>
                <w:sz w:val="22"/>
                <w:szCs w:val="22"/>
                <w:lang w:val="en-US" w:eastAsia="en-US"/>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0967DD" w:rsidRDefault="00F44566" w:rsidP="00F44566">
            <w:pPr>
              <w:jc w:val="right"/>
              <w:rPr>
                <w:color w:val="000000"/>
                <w:sz w:val="22"/>
                <w:szCs w:val="22"/>
                <w:lang w:val="en-US" w:eastAsia="en-US"/>
              </w:rPr>
            </w:pPr>
            <w:r w:rsidRPr="00FA44A0">
              <w:rPr>
                <w:rFonts w:ascii="Symbol" w:hAnsi="Symbol"/>
                <w:color w:val="000000"/>
                <w:sz w:val="22"/>
                <w:szCs w:val="22"/>
              </w:rPr>
              <w:t></w:t>
            </w:r>
            <w:r w:rsidRPr="00FA44A0">
              <w:rPr>
                <w:rFonts w:ascii="Symbol" w:hAnsi="Symbol"/>
                <w:color w:val="000000"/>
                <w:sz w:val="22"/>
                <w:szCs w:val="22"/>
              </w:rPr>
              <w:t></w:t>
            </w:r>
            <w:r w:rsidRPr="000967DD">
              <w:rPr>
                <w:color w:val="000000"/>
                <w:sz w:val="22"/>
                <w:szCs w:val="22"/>
                <w:lang w:val="en-US" w:eastAsia="en-US"/>
              </w:rPr>
              <w:t>first</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F44566" w:rsidRDefault="00F44566" w:rsidP="00F44566">
            <w:pPr>
              <w:jc w:val="right"/>
              <w:rPr>
                <w:rFonts w:ascii="Calibri" w:hAnsi="Calibri"/>
                <w:color w:val="000000"/>
                <w:sz w:val="22"/>
                <w:szCs w:val="22"/>
              </w:rPr>
            </w:pPr>
            <w:r w:rsidRPr="00F44566">
              <w:rPr>
                <w:rFonts w:ascii="Calibri" w:hAnsi="Calibri"/>
                <w:color w:val="000000"/>
                <w:sz w:val="22"/>
                <w:szCs w:val="22"/>
              </w:rPr>
              <w:t xml:space="preserve">Wolfson  </w:t>
            </w:r>
            <w:r w:rsidRPr="000967DD">
              <w:rPr>
                <w:color w:val="000000"/>
                <w:sz w:val="22"/>
                <w:szCs w:val="22"/>
                <w:lang w:val="en-US" w:eastAsia="en-US"/>
              </w:rPr>
              <w:t xml:space="preserve">delta </w:t>
            </w:r>
            <w:r w:rsidR="002A1BD0">
              <w:rPr>
                <w:color w:val="000000"/>
                <w:sz w:val="22"/>
                <w:szCs w:val="22"/>
                <w:lang w:val="en-US" w:eastAsia="en-US"/>
              </w:rPr>
              <w:t>r</w:t>
            </w:r>
            <w:r w:rsidRPr="000967DD">
              <w:rPr>
                <w:color w:val="000000"/>
                <w:sz w:val="22"/>
                <w:szCs w:val="22"/>
                <w:vertAlign w:val="superscript"/>
                <w:lang w:val="en-US" w:eastAsia="en-US"/>
              </w:rPr>
              <w:t>2</w:t>
            </w:r>
          </w:p>
        </w:tc>
        <w:tc>
          <w:tcPr>
            <w:tcW w:w="1402" w:type="dxa"/>
            <w:tcBorders>
              <w:top w:val="single" w:sz="4" w:space="0" w:color="auto"/>
              <w:left w:val="single" w:sz="4" w:space="0" w:color="auto"/>
              <w:bottom w:val="single" w:sz="4" w:space="0" w:color="auto"/>
              <w:right w:val="single" w:sz="4" w:space="0" w:color="auto"/>
            </w:tcBorders>
            <w:vAlign w:val="center"/>
          </w:tcPr>
          <w:p w:rsidR="00F44566" w:rsidRPr="00F44566" w:rsidRDefault="00F44566" w:rsidP="00F95F89">
            <w:pPr>
              <w:jc w:val="right"/>
              <w:rPr>
                <w:color w:val="000000"/>
                <w:sz w:val="22"/>
                <w:szCs w:val="22"/>
                <w:lang w:eastAsia="en-US"/>
              </w:rPr>
            </w:pPr>
            <w:r w:rsidRPr="00F44566">
              <w:rPr>
                <w:color w:val="000000"/>
                <w:sz w:val="22"/>
                <w:szCs w:val="22"/>
                <w:lang w:eastAsia="en-US"/>
              </w:rPr>
              <w:t>Improvement sig. p</w:t>
            </w:r>
          </w:p>
        </w:tc>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4566" w:rsidRPr="000967DD" w:rsidRDefault="00F44566" w:rsidP="00F95F89">
            <w:pPr>
              <w:jc w:val="right"/>
              <w:rPr>
                <w:color w:val="000000"/>
                <w:sz w:val="22"/>
                <w:szCs w:val="22"/>
                <w:lang w:val="en-US" w:eastAsia="en-US"/>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0967DD" w:rsidRDefault="00F44566" w:rsidP="00F44566">
            <w:pPr>
              <w:jc w:val="right"/>
              <w:rPr>
                <w:color w:val="000000"/>
                <w:sz w:val="22"/>
                <w:szCs w:val="22"/>
                <w:lang w:val="en-US" w:eastAsia="en-US"/>
              </w:rPr>
            </w:pPr>
            <w:r>
              <w:rPr>
                <w:color w:val="000000"/>
                <w:sz w:val="22"/>
                <w:szCs w:val="22"/>
                <w:lang w:val="en-US" w:eastAsia="en-US"/>
              </w:rPr>
              <w:t xml:space="preserve">Wolfson </w:t>
            </w:r>
            <w:r w:rsidRPr="000967DD">
              <w:rPr>
                <w:color w:val="000000"/>
                <w:sz w:val="22"/>
                <w:szCs w:val="22"/>
                <w:lang w:val="en-US" w:eastAsia="en-US"/>
              </w:rPr>
              <w:t xml:space="preserve"> first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F44566" w:rsidRDefault="00F44566" w:rsidP="002A1BD0">
            <w:pPr>
              <w:jc w:val="right"/>
              <w:rPr>
                <w:rFonts w:ascii="Calibri" w:hAnsi="Calibri"/>
                <w:color w:val="000000"/>
                <w:sz w:val="22"/>
                <w:szCs w:val="22"/>
              </w:rPr>
            </w:pPr>
            <w:r w:rsidRPr="00FA44A0">
              <w:rPr>
                <w:rFonts w:ascii="Symbol" w:hAnsi="Symbol"/>
                <w:color w:val="000000"/>
                <w:sz w:val="22"/>
                <w:szCs w:val="22"/>
              </w:rPr>
              <w:t></w:t>
            </w:r>
            <w:r w:rsidRPr="00FA44A0">
              <w:rPr>
                <w:rFonts w:ascii="Symbol" w:hAnsi="Symbol"/>
                <w:color w:val="000000"/>
                <w:sz w:val="22"/>
                <w:szCs w:val="22"/>
              </w:rPr>
              <w:t></w:t>
            </w:r>
            <w:r w:rsidRPr="000967DD">
              <w:rPr>
                <w:color w:val="000000"/>
                <w:sz w:val="22"/>
                <w:szCs w:val="22"/>
                <w:lang w:val="en-US" w:eastAsia="en-US"/>
              </w:rPr>
              <w:t xml:space="preserve">delta </w:t>
            </w:r>
            <w:r w:rsidR="002A1BD0">
              <w:rPr>
                <w:color w:val="000000"/>
                <w:sz w:val="22"/>
                <w:szCs w:val="22"/>
                <w:lang w:val="en-US" w:eastAsia="en-US"/>
              </w:rPr>
              <w:t>r</w:t>
            </w:r>
            <w:r w:rsidR="002A1BD0" w:rsidRPr="000967DD">
              <w:rPr>
                <w:color w:val="000000"/>
                <w:sz w:val="22"/>
                <w:szCs w:val="22"/>
                <w:vertAlign w:val="superscript"/>
                <w:lang w:val="en-US" w:eastAsia="en-US"/>
              </w:rPr>
              <w:t>2</w:t>
            </w:r>
          </w:p>
        </w:tc>
        <w:tc>
          <w:tcPr>
            <w:tcW w:w="1402" w:type="dxa"/>
            <w:tcBorders>
              <w:top w:val="single" w:sz="4" w:space="0" w:color="auto"/>
              <w:left w:val="single" w:sz="4" w:space="0" w:color="auto"/>
              <w:bottom w:val="single" w:sz="4" w:space="0" w:color="auto"/>
              <w:right w:val="single" w:sz="4" w:space="0" w:color="auto"/>
            </w:tcBorders>
            <w:vAlign w:val="center"/>
          </w:tcPr>
          <w:p w:rsidR="00F44566" w:rsidRPr="00F44566" w:rsidRDefault="00F44566" w:rsidP="00F44566">
            <w:pPr>
              <w:jc w:val="right"/>
              <w:rPr>
                <w:color w:val="000000"/>
                <w:sz w:val="22"/>
                <w:szCs w:val="22"/>
                <w:lang w:eastAsia="en-US"/>
              </w:rPr>
            </w:pPr>
            <w:r w:rsidRPr="00F44566">
              <w:rPr>
                <w:color w:val="000000"/>
                <w:sz w:val="22"/>
                <w:szCs w:val="22"/>
                <w:lang w:eastAsia="en-US"/>
              </w:rPr>
              <w:t>Improvement sig. p</w:t>
            </w:r>
          </w:p>
        </w:tc>
      </w:tr>
      <w:tr w:rsidR="00F44566" w:rsidRPr="000967DD" w:rsidTr="00F4456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9D2C81" w:rsidRDefault="00F44566" w:rsidP="00F95F89">
            <w:pPr>
              <w:rPr>
                <w:color w:val="000000"/>
                <w:sz w:val="22"/>
                <w:szCs w:val="22"/>
                <w:lang w:val="en-US" w:eastAsia="en-US"/>
              </w:rPr>
            </w:pPr>
            <w:r>
              <w:rPr>
                <w:color w:val="000000"/>
                <w:sz w:val="22"/>
                <w:szCs w:val="22"/>
                <w:lang w:val="en-US" w:eastAsia="en-US"/>
              </w:rPr>
              <w:t>Rpol</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9D2C81" w:rsidRDefault="00CB108F" w:rsidP="00F95F89">
            <w:pPr>
              <w:jc w:val="right"/>
              <w:rPr>
                <w:color w:val="000000"/>
                <w:sz w:val="22"/>
                <w:szCs w:val="22"/>
                <w:lang w:val="en-US" w:eastAsia="en-US"/>
              </w:rPr>
            </w:pPr>
            <w:r w:rsidRPr="00CB108F">
              <w:rPr>
                <w:color w:val="000000"/>
                <w:sz w:val="22"/>
                <w:szCs w:val="22"/>
                <w:lang w:val="en-US" w:eastAsia="en-US"/>
              </w:rPr>
              <w:t>0.8458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F44566" w:rsidRDefault="00CB108F" w:rsidP="00F95F89">
            <w:pPr>
              <w:jc w:val="right"/>
              <w:rPr>
                <w:rFonts w:ascii="Calibri" w:hAnsi="Calibri"/>
                <w:color w:val="000000"/>
                <w:sz w:val="22"/>
                <w:szCs w:val="22"/>
              </w:rPr>
            </w:pPr>
            <w:r w:rsidRPr="00CB108F">
              <w:rPr>
                <w:rFonts w:ascii="Calibri" w:hAnsi="Calibri"/>
                <w:color w:val="000000"/>
                <w:sz w:val="22"/>
                <w:szCs w:val="22"/>
              </w:rPr>
              <w:t>0.0556</w:t>
            </w:r>
          </w:p>
        </w:tc>
        <w:tc>
          <w:tcPr>
            <w:tcW w:w="1402" w:type="dxa"/>
            <w:tcBorders>
              <w:top w:val="single" w:sz="4" w:space="0" w:color="auto"/>
              <w:left w:val="single" w:sz="4" w:space="0" w:color="auto"/>
              <w:bottom w:val="single" w:sz="4" w:space="0" w:color="auto"/>
              <w:right w:val="single" w:sz="4" w:space="0" w:color="auto"/>
            </w:tcBorders>
            <w:vAlign w:val="center"/>
          </w:tcPr>
          <w:p w:rsidR="00F44566" w:rsidRPr="00F44566" w:rsidRDefault="00F44566" w:rsidP="00F95F89">
            <w:pPr>
              <w:jc w:val="right"/>
              <w:rPr>
                <w:color w:val="000000"/>
                <w:sz w:val="22"/>
                <w:szCs w:val="22"/>
                <w:lang w:eastAsia="en-US"/>
              </w:rPr>
            </w:pPr>
            <w:r w:rsidRPr="00F707C6">
              <w:rPr>
                <w:color w:val="000000"/>
                <w:sz w:val="22"/>
                <w:szCs w:val="22"/>
                <w:lang w:eastAsia="en-US"/>
              </w:rPr>
              <w:t>0.0000</w:t>
            </w:r>
          </w:p>
        </w:tc>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4566" w:rsidRPr="009D2C81" w:rsidRDefault="00F44566" w:rsidP="00F95F89">
            <w:pPr>
              <w:jc w:val="right"/>
              <w:rPr>
                <w:color w:val="000000"/>
                <w:sz w:val="22"/>
                <w:szCs w:val="22"/>
                <w:lang w:val="en-US" w:eastAsia="en-US"/>
              </w:rPr>
            </w:pPr>
            <w:r w:rsidRPr="009D2C81">
              <w:rPr>
                <w:color w:val="000000"/>
                <w:sz w:val="22"/>
                <w:szCs w:val="22"/>
                <w:lang w:val="en-US" w:eastAsia="en-US"/>
              </w:rPr>
              <w:t> </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9D2C81" w:rsidRDefault="00CB108F" w:rsidP="00F95F89">
            <w:pPr>
              <w:jc w:val="right"/>
              <w:rPr>
                <w:color w:val="000000"/>
                <w:sz w:val="22"/>
                <w:szCs w:val="22"/>
                <w:lang w:val="en-US" w:eastAsia="en-US"/>
              </w:rPr>
            </w:pPr>
            <w:r w:rsidRPr="00CB108F">
              <w:rPr>
                <w:color w:val="000000"/>
                <w:sz w:val="22"/>
                <w:szCs w:val="22"/>
                <w:lang w:val="en-US" w:eastAsia="en-US"/>
              </w:rPr>
              <w:t>0.7224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566" w:rsidRPr="00F44566" w:rsidRDefault="00CB108F" w:rsidP="00F95F89">
            <w:pPr>
              <w:jc w:val="right"/>
              <w:rPr>
                <w:rFonts w:ascii="Calibri" w:hAnsi="Calibri"/>
                <w:color w:val="000000"/>
                <w:sz w:val="22"/>
                <w:szCs w:val="22"/>
              </w:rPr>
            </w:pPr>
            <w:r w:rsidRPr="00CB108F">
              <w:rPr>
                <w:rFonts w:ascii="Calibri" w:hAnsi="Calibri"/>
                <w:color w:val="000000"/>
                <w:sz w:val="22"/>
                <w:szCs w:val="22"/>
              </w:rPr>
              <w:t>0.1789</w:t>
            </w:r>
          </w:p>
        </w:tc>
        <w:tc>
          <w:tcPr>
            <w:tcW w:w="1402" w:type="dxa"/>
            <w:tcBorders>
              <w:top w:val="single" w:sz="4" w:space="0" w:color="auto"/>
              <w:left w:val="single" w:sz="4" w:space="0" w:color="auto"/>
              <w:bottom w:val="single" w:sz="4" w:space="0" w:color="auto"/>
              <w:right w:val="single" w:sz="4" w:space="0" w:color="auto"/>
            </w:tcBorders>
            <w:vAlign w:val="center"/>
          </w:tcPr>
          <w:p w:rsidR="00F44566" w:rsidRPr="00F44566" w:rsidRDefault="00CB108F" w:rsidP="00CB108F">
            <w:pPr>
              <w:jc w:val="right"/>
              <w:rPr>
                <w:color w:val="000000"/>
                <w:sz w:val="22"/>
                <w:szCs w:val="22"/>
                <w:lang w:eastAsia="en-US"/>
              </w:rPr>
            </w:pPr>
            <w:r w:rsidRPr="00CB108F">
              <w:rPr>
                <w:color w:val="000000"/>
                <w:sz w:val="22"/>
                <w:szCs w:val="22"/>
                <w:lang w:eastAsia="en-US"/>
              </w:rPr>
              <w:t>0.0000</w:t>
            </w:r>
          </w:p>
        </w:tc>
      </w:tr>
    </w:tbl>
    <w:p w:rsidR="005D57E5" w:rsidRDefault="005D57E5" w:rsidP="00E10624">
      <w:pPr>
        <w:spacing w:after="120" w:line="480" w:lineRule="auto"/>
        <w:rPr>
          <w:b/>
          <w:sz w:val="24"/>
          <w:szCs w:val="24"/>
          <w:lang w:val="en-US"/>
        </w:rPr>
      </w:pPr>
    </w:p>
    <w:p w:rsidR="00191E63" w:rsidRDefault="005D57E5" w:rsidP="00E10624">
      <w:pPr>
        <w:spacing w:after="120" w:line="480" w:lineRule="auto"/>
        <w:rPr>
          <w:b/>
          <w:sz w:val="24"/>
          <w:szCs w:val="24"/>
          <w:lang w:val="en-US"/>
        </w:rPr>
      </w:pPr>
      <w:r>
        <w:rPr>
          <w:b/>
          <w:sz w:val="24"/>
          <w:szCs w:val="24"/>
          <w:lang w:val="en-US"/>
        </w:rPr>
        <w:br w:type="column"/>
      </w:r>
    </w:p>
    <w:p w:rsidR="00B03642" w:rsidRDefault="00B03642" w:rsidP="00B03642">
      <w:pPr>
        <w:spacing w:after="120" w:line="480" w:lineRule="auto"/>
        <w:rPr>
          <w:b/>
          <w:bCs/>
          <w:sz w:val="24"/>
          <w:szCs w:val="24"/>
          <w:lang w:val="en-GB"/>
        </w:rPr>
      </w:pPr>
      <w:r>
        <w:rPr>
          <w:b/>
          <w:bCs/>
          <w:sz w:val="24"/>
          <w:szCs w:val="24"/>
          <w:lang w:val="en-GB"/>
        </w:rPr>
        <w:t xml:space="preserve">Figure 1: </w:t>
      </w:r>
      <w:r w:rsidR="00E9025B">
        <w:rPr>
          <w:b/>
          <w:bCs/>
          <w:sz w:val="24"/>
          <w:szCs w:val="24"/>
          <w:lang w:val="en-GB"/>
        </w:rPr>
        <w:t xml:space="preserve">The </w:t>
      </w:r>
      <w:r>
        <w:rPr>
          <w:b/>
          <w:bCs/>
          <w:sz w:val="24"/>
          <w:szCs w:val="24"/>
          <w:lang w:val="en-GB"/>
        </w:rPr>
        <w:t>Isograph in 10 contrast</w:t>
      </w:r>
      <w:r w:rsidR="0094312C">
        <w:rPr>
          <w:b/>
          <w:bCs/>
          <w:sz w:val="24"/>
          <w:szCs w:val="24"/>
          <w:lang w:val="en-GB"/>
        </w:rPr>
        <w:t>ing</w:t>
      </w:r>
      <w:r>
        <w:rPr>
          <w:b/>
          <w:bCs/>
          <w:sz w:val="24"/>
          <w:szCs w:val="24"/>
          <w:lang w:val="en-GB"/>
        </w:rPr>
        <w:t xml:space="preserve"> cases </w:t>
      </w:r>
    </w:p>
    <w:p w:rsidR="00B03642" w:rsidRDefault="002A75E4" w:rsidP="00B03642">
      <w:pPr>
        <w:spacing w:after="120" w:line="480" w:lineRule="auto"/>
        <w:rPr>
          <w:lang w:val="en-US"/>
        </w:rPr>
      </w:pPr>
      <w:r>
        <w:rPr>
          <w:noProof/>
          <w:lang w:val="en-US" w:eastAsia="en-US"/>
        </w:rPr>
        <mc:AlternateContent>
          <mc:Choice Requires="wps">
            <w:drawing>
              <wp:anchor distT="0" distB="0" distL="114300" distR="114300" simplePos="0" relativeHeight="251661312" behindDoc="0" locked="0" layoutInCell="1" allowOverlap="1" wp14:anchorId="72681328" wp14:editId="1DB3CAFD">
                <wp:simplePos x="0" y="0"/>
                <wp:positionH relativeFrom="column">
                  <wp:posOffset>437515</wp:posOffset>
                </wp:positionH>
                <wp:positionV relativeFrom="paragraph">
                  <wp:posOffset>256540</wp:posOffset>
                </wp:positionV>
                <wp:extent cx="1181100" cy="2571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AA7B70">
                            <w:pPr>
                              <w:rPr>
                                <w:lang w:val="en-US"/>
                              </w:rPr>
                            </w:pPr>
                            <w:r>
                              <w:rPr>
                                <w:lang w:val="en-US"/>
                              </w:rPr>
                              <w:t>ISO(X)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4.45pt;margin-top:20.2pt;width:93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" filled="f" stroked="f" strokeweight=".5pt">
                <v:path arrowok="t"/>
                <v:textbox>
                  <w:txbxContent>
                    <w:p w:rsidR="002B668D" w:rsidRPr="00AA7B70" w:rsidRDefault="002B668D" w:rsidP="00AA7B70">
                      <w:pPr>
                        <w:rPr>
                          <w:lang w:val="en-US"/>
                        </w:rPr>
                      </w:pPr>
                      <w:r>
                        <w:rPr>
                          <w:lang w:val="en-US"/>
                        </w:rPr>
                        <w:t>ISO(X)</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157EFD24" wp14:editId="43C20E84">
                <wp:simplePos x="0" y="0"/>
                <wp:positionH relativeFrom="column">
                  <wp:posOffset>3847465</wp:posOffset>
                </wp:positionH>
                <wp:positionV relativeFrom="paragraph">
                  <wp:posOffset>3428365</wp:posOffset>
                </wp:positionV>
                <wp:extent cx="1181100" cy="2571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pPr>
                              <w:rPr>
                                <w:lang w:val="en-US"/>
                              </w:rPr>
                            </w:pPr>
                            <w:r>
                              <w:rPr>
                                <w:lang w:val="en-US"/>
                              </w:rPr>
                              <w:t>X=logit(quantile)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7" type="#_x0000_t202" style="position:absolute;margin-left:302.95pt;margin-top:269.95pt;width:93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" filled="f" stroked="f" strokeweight=".5pt">
                <v:path arrowok="t"/>
                <v:textbox>
                  <w:txbxContent>
                    <w:p w:rsidR="002B668D" w:rsidRPr="00AA7B70" w:rsidRDefault="002B668D">
                      <w:pPr>
                        <w:rPr>
                          <w:lang w:val="en-US"/>
                        </w:rPr>
                      </w:pPr>
                      <w:r>
                        <w:rPr>
                          <w:lang w:val="en-US"/>
                        </w:rPr>
                        <w:t>X=</w:t>
                      </w:r>
                      <w:proofErr w:type="gramStart"/>
                      <w:r>
                        <w:rPr>
                          <w:lang w:val="en-US"/>
                        </w:rPr>
                        <w:t>logit(</w:t>
                      </w:r>
                      <w:proofErr w:type="gramEnd"/>
                      <w:r>
                        <w:rPr>
                          <w:lang w:val="en-US"/>
                        </w:rPr>
                        <w:t>quantile)</w:t>
                      </w:r>
                    </w:p>
                  </w:txbxContent>
                </v:textbox>
              </v:shape>
            </w:pict>
          </mc:Fallback>
        </mc:AlternateContent>
      </w:r>
      <w:r w:rsidR="00CE30E4" w:rsidRPr="00CE30E4">
        <w:rPr>
          <w:lang w:val="en-US"/>
        </w:rPr>
        <w:t xml:space="preserve"> </w:t>
      </w:r>
      <w:r w:rsidR="00CE30E4">
        <w:rPr>
          <w:noProof/>
          <w:lang w:val="en-US" w:eastAsia="en-US"/>
        </w:rPr>
        <w:drawing>
          <wp:inline distT="0" distB="0" distL="0" distR="0" wp14:anchorId="06B3BFE3" wp14:editId="38D52A74">
            <wp:extent cx="5111750" cy="37458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1750" cy="3745865"/>
                    </a:xfrm>
                    <a:prstGeom prst="rect">
                      <a:avLst/>
                    </a:prstGeom>
                    <a:noFill/>
                    <a:ln>
                      <a:noFill/>
                    </a:ln>
                  </pic:spPr>
                </pic:pic>
              </a:graphicData>
            </a:graphic>
          </wp:inline>
        </w:drawing>
      </w:r>
    </w:p>
    <w:p w:rsidR="005D57E5" w:rsidRDefault="005D57E5" w:rsidP="00B03642">
      <w:pPr>
        <w:spacing w:after="120" w:line="480" w:lineRule="auto"/>
        <w:rPr>
          <w:lang w:val="en-US"/>
        </w:rPr>
      </w:pPr>
      <w:r>
        <w:rPr>
          <w:lang w:val="en-US"/>
        </w:rPr>
        <w:br w:type="column"/>
      </w:r>
    </w:p>
    <w:p w:rsidR="00B03642" w:rsidRPr="00B2141B" w:rsidRDefault="00B03642" w:rsidP="00B03642">
      <w:pPr>
        <w:spacing w:after="120" w:line="480" w:lineRule="auto"/>
        <w:rPr>
          <w:b/>
          <w:bCs/>
          <w:sz w:val="24"/>
          <w:szCs w:val="24"/>
          <w:lang w:val="en-GB"/>
        </w:rPr>
      </w:pPr>
      <w:r>
        <w:rPr>
          <w:b/>
          <w:bCs/>
          <w:sz w:val="24"/>
          <w:szCs w:val="24"/>
          <w:lang w:val="en-GB"/>
        </w:rPr>
        <w:t xml:space="preserve">Figure 2: </w:t>
      </w:r>
      <w:r w:rsidR="005D57E5">
        <w:rPr>
          <w:b/>
          <w:bCs/>
          <w:sz w:val="24"/>
          <w:szCs w:val="24"/>
          <w:lang w:val="en-GB"/>
        </w:rPr>
        <w:t>T</w:t>
      </w:r>
      <w:r w:rsidRPr="00B2141B">
        <w:rPr>
          <w:b/>
          <w:bCs/>
          <w:sz w:val="24"/>
          <w:szCs w:val="24"/>
          <w:lang w:val="en-GB"/>
        </w:rPr>
        <w:t xml:space="preserve">he </w:t>
      </w:r>
      <w:r w:rsidR="004435D2">
        <w:rPr>
          <w:b/>
          <w:bCs/>
          <w:sz w:val="24"/>
          <w:szCs w:val="24"/>
          <w:lang w:val="en-GB"/>
        </w:rPr>
        <w:t>θ</w:t>
      </w:r>
      <w:r>
        <w:rPr>
          <w:b/>
          <w:bCs/>
          <w:sz w:val="24"/>
          <w:szCs w:val="24"/>
          <w:lang w:val="en-GB"/>
        </w:rPr>
        <w:t xml:space="preserve">1 and </w:t>
      </w:r>
      <w:r w:rsidR="004435D2">
        <w:rPr>
          <w:b/>
          <w:bCs/>
          <w:sz w:val="24"/>
          <w:szCs w:val="24"/>
          <w:lang w:val="en-GB"/>
        </w:rPr>
        <w:t>θ</w:t>
      </w:r>
      <w:r>
        <w:rPr>
          <w:b/>
          <w:bCs/>
          <w:sz w:val="24"/>
          <w:szCs w:val="24"/>
          <w:lang w:val="en-GB"/>
        </w:rPr>
        <w:t>2</w:t>
      </w:r>
      <w:r w:rsidRPr="00B2141B">
        <w:rPr>
          <w:b/>
          <w:bCs/>
          <w:sz w:val="24"/>
          <w:szCs w:val="24"/>
          <w:lang w:val="en-GB"/>
        </w:rPr>
        <w:t xml:space="preserve"> function</w:t>
      </w:r>
      <w:r>
        <w:rPr>
          <w:b/>
          <w:bCs/>
          <w:sz w:val="24"/>
          <w:szCs w:val="24"/>
          <w:lang w:val="en-GB"/>
        </w:rPr>
        <w:t>s</w:t>
      </w:r>
      <w:r w:rsidRPr="00B2141B">
        <w:rPr>
          <w:b/>
          <w:bCs/>
          <w:sz w:val="24"/>
          <w:szCs w:val="24"/>
          <w:lang w:val="en-GB"/>
        </w:rPr>
        <w:t xml:space="preserve"> </w:t>
      </w:r>
    </w:p>
    <w:p w:rsidR="00B03642" w:rsidRPr="00145429" w:rsidRDefault="002A75E4" w:rsidP="00B03642">
      <w:pPr>
        <w:spacing w:after="120" w:line="480" w:lineRule="auto"/>
        <w:rPr>
          <w:sz w:val="24"/>
          <w:szCs w:val="24"/>
          <w:lang w:val="en-GB"/>
        </w:rPr>
      </w:pPr>
      <w:r>
        <w:rPr>
          <w:noProof/>
          <w:lang w:val="en-US" w:eastAsia="en-US"/>
        </w:rPr>
        <mc:AlternateContent>
          <mc:Choice Requires="wps">
            <w:drawing>
              <wp:anchor distT="0" distB="0" distL="114300" distR="114300" simplePos="0" relativeHeight="251657216" behindDoc="0" locked="0" layoutInCell="1" allowOverlap="1" wp14:anchorId="64CA6673" wp14:editId="43C94077">
                <wp:simplePos x="0" y="0"/>
                <wp:positionH relativeFrom="column">
                  <wp:posOffset>2567305</wp:posOffset>
                </wp:positionH>
                <wp:positionV relativeFrom="paragraph">
                  <wp:posOffset>216535</wp:posOffset>
                </wp:positionV>
                <wp:extent cx="771525" cy="342900"/>
                <wp:effectExtent l="0" t="0" r="0" b="0"/>
                <wp:wrapNone/>
                <wp:docPr id="5"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8D" w:rsidRPr="00AA7B70" w:rsidRDefault="002B668D" w:rsidP="00B03642">
                            <w:r w:rsidRPr="00AA7B70">
                              <w:rPr>
                                <w:bCs/>
                                <w:sz w:val="24"/>
                                <w:szCs w:val="24"/>
                                <w:lang w:val="en-GB"/>
                              </w:rPr>
                              <w:t>θ</w:t>
                            </w:r>
                            <w:r w:rsidRPr="00AA7B70">
                              <w:rPr>
                                <w:bCs/>
                                <w:sz w:val="24"/>
                                <w:szCs w:val="24"/>
                                <w:vertAlign w:val="subscript"/>
                                <w:lang w:val="en-GB"/>
                              </w:rPr>
                              <w:t>1</w:t>
                            </w:r>
                            <w:r w:rsidRPr="00AA7B70">
                              <w:rPr>
                                <w:bCs/>
                                <w:sz w:val="24"/>
                                <w:szCs w:val="24"/>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28" type="#_x0000_t202" style="position:absolute;margin-left:202.15pt;margin-top:17.05pt;width:60.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7J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" filled="f" stroked="f">
                <v:textbox>
                  <w:txbxContent>
                    <w:p w:rsidR="002B668D" w:rsidRPr="00AA7B70" w:rsidRDefault="002B668D" w:rsidP="00B03642">
                      <w:r w:rsidRPr="00AA7B70">
                        <w:rPr>
                          <w:bCs/>
                          <w:sz w:val="24"/>
                          <w:szCs w:val="24"/>
                          <w:lang w:val="en-GB"/>
                        </w:rPr>
                        <w:t>θ</w:t>
                      </w:r>
                      <w:r w:rsidRPr="00AA7B70">
                        <w:rPr>
                          <w:bCs/>
                          <w:sz w:val="24"/>
                          <w:szCs w:val="24"/>
                          <w:vertAlign w:val="subscript"/>
                          <w:lang w:val="en-GB"/>
                        </w:rPr>
                        <w:t>1</w:t>
                      </w:r>
                      <w:r w:rsidRPr="00AA7B70">
                        <w:rPr>
                          <w:bCs/>
                          <w:sz w:val="24"/>
                          <w:szCs w:val="24"/>
                          <w:lang w:val="en-GB"/>
                        </w:rPr>
                        <w:t>(X)</w:t>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1ABAE448" wp14:editId="0ED469D6">
                <wp:simplePos x="0" y="0"/>
                <wp:positionH relativeFrom="column">
                  <wp:posOffset>3262630</wp:posOffset>
                </wp:positionH>
                <wp:positionV relativeFrom="paragraph">
                  <wp:posOffset>559435</wp:posOffset>
                </wp:positionV>
                <wp:extent cx="771525" cy="342900"/>
                <wp:effectExtent l="0" t="0" r="0" b="0"/>
                <wp:wrapNone/>
                <wp:docPr id="1"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8D" w:rsidRPr="00AA7B70" w:rsidRDefault="002B668D" w:rsidP="00B03642">
                            <w:r w:rsidRPr="00AA7B70">
                              <w:rPr>
                                <w:bCs/>
                                <w:sz w:val="24"/>
                                <w:szCs w:val="24"/>
                                <w:lang w:val="en-GB"/>
                              </w:rPr>
                              <w:t>θ</w:t>
                            </w:r>
                            <w:r w:rsidRPr="00AA7B70">
                              <w:rPr>
                                <w:bCs/>
                                <w:sz w:val="24"/>
                                <w:szCs w:val="24"/>
                                <w:vertAlign w:val="subscript"/>
                                <w:lang w:val="en-GB"/>
                              </w:rPr>
                              <w:t>2</w:t>
                            </w:r>
                            <w:r w:rsidRPr="00AA7B70">
                              <w:rPr>
                                <w:bCs/>
                                <w:sz w:val="24"/>
                                <w:szCs w:val="24"/>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29" type="#_x0000_t202" style="position:absolute;margin-left:256.9pt;margin-top:44.05pt;width:60.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GxuwIAAME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" filled="f" stroked="f">
                <v:textbox>
                  <w:txbxContent>
                    <w:p w:rsidR="002B668D" w:rsidRPr="00AA7B70" w:rsidRDefault="002B668D" w:rsidP="00B03642">
                      <w:r w:rsidRPr="00AA7B70">
                        <w:rPr>
                          <w:bCs/>
                          <w:sz w:val="24"/>
                          <w:szCs w:val="24"/>
                          <w:lang w:val="en-GB"/>
                        </w:rPr>
                        <w:t>θ</w:t>
                      </w:r>
                      <w:r w:rsidRPr="00AA7B70">
                        <w:rPr>
                          <w:bCs/>
                          <w:sz w:val="24"/>
                          <w:szCs w:val="24"/>
                          <w:vertAlign w:val="subscript"/>
                          <w:lang w:val="en-GB"/>
                        </w:rPr>
                        <w:t>2</w:t>
                      </w:r>
                      <w:r w:rsidRPr="00AA7B70">
                        <w:rPr>
                          <w:bCs/>
                          <w:sz w:val="24"/>
                          <w:szCs w:val="24"/>
                          <w:lang w:val="en-GB"/>
                        </w:rPr>
                        <w:t>(X)</w:t>
                      </w:r>
                    </w:p>
                  </w:txbxContent>
                </v:textbox>
              </v:shape>
            </w:pict>
          </mc:Fallback>
        </mc:AlternateContent>
      </w:r>
      <w:r w:rsidR="00256CFD">
        <w:rPr>
          <w:noProof/>
          <w:lang w:val="en-US" w:eastAsia="en-US"/>
        </w:rPr>
        <w:drawing>
          <wp:inline distT="0" distB="0" distL="0" distR="0" wp14:anchorId="05ECFBC1" wp14:editId="6F82D9C0">
            <wp:extent cx="4702810" cy="2740025"/>
            <wp:effectExtent l="0" t="0" r="21590" b="2222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3642" w:rsidRPr="00353C6B" w:rsidRDefault="00B03642" w:rsidP="00B03642">
      <w:pPr>
        <w:spacing w:after="120" w:line="480" w:lineRule="auto"/>
        <w:rPr>
          <w:b/>
          <w:sz w:val="24"/>
          <w:szCs w:val="24"/>
          <w:lang w:val="en-GB"/>
        </w:rPr>
      </w:pPr>
      <w:r w:rsidRPr="00353C6B">
        <w:rPr>
          <w:b/>
          <w:sz w:val="24"/>
          <w:szCs w:val="24"/>
          <w:lang w:val="en-GB"/>
        </w:rPr>
        <w:t xml:space="preserve">Figure </w:t>
      </w:r>
      <w:r>
        <w:rPr>
          <w:b/>
          <w:sz w:val="24"/>
          <w:szCs w:val="24"/>
          <w:lang w:val="en-GB"/>
        </w:rPr>
        <w:t>3</w:t>
      </w:r>
      <w:r w:rsidRPr="00353C6B">
        <w:rPr>
          <w:b/>
          <w:sz w:val="24"/>
          <w:szCs w:val="24"/>
          <w:lang w:val="en-GB"/>
        </w:rPr>
        <w:t>:</w:t>
      </w:r>
      <w:r w:rsidR="005D57E5" w:rsidRPr="005D57E5">
        <w:rPr>
          <w:noProof/>
          <w:lang w:val="en-US" w:eastAsia="en-US"/>
        </w:rPr>
        <w:t xml:space="preserve"> </w:t>
      </w:r>
      <w:r w:rsidRPr="00353C6B">
        <w:rPr>
          <w:b/>
          <w:sz w:val="24"/>
          <w:szCs w:val="24"/>
          <w:lang w:val="en-GB"/>
        </w:rPr>
        <w:t xml:space="preserve"> </w:t>
      </w:r>
      <w:r>
        <w:rPr>
          <w:b/>
          <w:sz w:val="24"/>
          <w:szCs w:val="24"/>
          <w:lang w:val="en-GB"/>
        </w:rPr>
        <w:t xml:space="preserve">The </w:t>
      </w:r>
      <w:r w:rsidRPr="00353C6B">
        <w:rPr>
          <w:b/>
          <w:sz w:val="24"/>
          <w:szCs w:val="24"/>
          <w:lang w:val="en-GB"/>
        </w:rPr>
        <w:t xml:space="preserve">relation between </w:t>
      </w:r>
      <w:r w:rsidR="00472786" w:rsidRPr="00472786">
        <w:rPr>
          <w:rFonts w:ascii="Symbol" w:hAnsi="Symbol"/>
          <w:b/>
          <w:sz w:val="24"/>
          <w:szCs w:val="24"/>
          <w:lang w:val="en-GB"/>
        </w:rPr>
        <w:t></w:t>
      </w:r>
      <w:r w:rsidRPr="00353C6B">
        <w:rPr>
          <w:b/>
          <w:sz w:val="24"/>
          <w:szCs w:val="24"/>
          <w:lang w:val="en-GB"/>
        </w:rPr>
        <w:t xml:space="preserve"> and </w:t>
      </w:r>
      <w:r w:rsidR="00472786" w:rsidRPr="00472786">
        <w:rPr>
          <w:rFonts w:ascii="Symbol" w:hAnsi="Symbol"/>
          <w:b/>
          <w:sz w:val="24"/>
          <w:szCs w:val="24"/>
          <w:lang w:val="en-GB"/>
        </w:rPr>
        <w:t></w:t>
      </w:r>
      <w:r w:rsidRPr="00353C6B">
        <w:rPr>
          <w:b/>
          <w:sz w:val="24"/>
          <w:szCs w:val="24"/>
          <w:lang w:val="en-GB"/>
        </w:rPr>
        <w:t xml:space="preserve"> </w:t>
      </w:r>
    </w:p>
    <w:p w:rsidR="005D57E5" w:rsidRDefault="002A75E4" w:rsidP="00B03642">
      <w:pPr>
        <w:spacing w:after="120" w:line="480" w:lineRule="auto"/>
        <w:rPr>
          <w:sz w:val="24"/>
          <w:szCs w:val="24"/>
          <w:lang w:val="en-US"/>
        </w:rPr>
      </w:pPr>
      <w:r>
        <w:rPr>
          <w:noProof/>
          <w:lang w:val="en-US" w:eastAsia="en-US"/>
        </w:rPr>
        <mc:AlternateContent>
          <mc:Choice Requires="wps">
            <w:drawing>
              <wp:anchor distT="0" distB="0" distL="114300" distR="114300" simplePos="0" relativeHeight="251679744" behindDoc="0" locked="0" layoutInCell="1" allowOverlap="1" wp14:anchorId="09E89543" wp14:editId="3AB2DE38">
                <wp:simplePos x="0" y="0"/>
                <wp:positionH relativeFrom="column">
                  <wp:posOffset>3597910</wp:posOffset>
                </wp:positionH>
                <wp:positionV relativeFrom="paragraph">
                  <wp:posOffset>3054985</wp:posOffset>
                </wp:positionV>
                <wp:extent cx="1181100" cy="2571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5D57E5">
                            <w:pPr>
                              <w:rPr>
                                <w:lang w:val="en-US"/>
                              </w:rPr>
                            </w:pPr>
                            <w:r>
                              <w:rPr>
                                <w:lang w:val="en-US"/>
                              </w:rPr>
                              <w:t xml:space="preserve">Value of </w:t>
                            </w:r>
                            <w:r>
                              <w:rPr>
                                <w:rFonts w:ascii="Symbol" w:hAnsi="Symbol"/>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7" o:spid="_x0000_s1030" type="#_x0000_t202" style="position:absolute;margin-left:283.3pt;margin-top:240.55pt;width:93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" filled="f" stroked="f" strokeweight=".5pt">
                <v:path arrowok="t"/>
                <v:textbox>
                  <w:txbxContent>
                    <w:p w:rsidR="002B668D" w:rsidRPr="00AA7B70" w:rsidRDefault="002B668D" w:rsidP="005D57E5">
                      <w:pPr>
                        <w:rPr>
                          <w:lang w:val="en-US"/>
                        </w:rPr>
                      </w:pPr>
                      <w:r>
                        <w:rPr>
                          <w:lang w:val="en-US"/>
                        </w:rPr>
                        <w:t xml:space="preserve">Value of </w:t>
                      </w:r>
                      <w:r>
                        <w:rPr>
                          <w:rFonts w:ascii="Symbol" w:hAnsi="Symbol"/>
                          <w:lang w:val="en-US"/>
                        </w:rPr>
                        <w:t></w:t>
                      </w:r>
                    </w:p>
                  </w:txbxContent>
                </v:textbox>
              </v:shape>
            </w:pict>
          </mc:Fallback>
        </mc:AlternateContent>
      </w:r>
      <w:r>
        <w:rPr>
          <w:noProof/>
          <w:lang w:val="en-US" w:eastAsia="en-US"/>
        </w:rPr>
        <mc:AlternateContent>
          <mc:Choice Requires="wps">
            <w:drawing>
              <wp:anchor distT="0" distB="0" distL="114300" distR="114300" simplePos="0" relativeHeight="251677696" behindDoc="0" locked="0" layoutInCell="1" allowOverlap="1" wp14:anchorId="7B03CAA1" wp14:editId="5B817CD8">
                <wp:simplePos x="0" y="0"/>
                <wp:positionH relativeFrom="column">
                  <wp:posOffset>471170</wp:posOffset>
                </wp:positionH>
                <wp:positionV relativeFrom="paragraph">
                  <wp:posOffset>236220</wp:posOffset>
                </wp:positionV>
                <wp:extent cx="1181100" cy="2571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5D57E5">
                            <w:pPr>
                              <w:rPr>
                                <w:lang w:val="en-US"/>
                              </w:rPr>
                            </w:pPr>
                            <w:r>
                              <w:rPr>
                                <w:lang w:val="en-US"/>
                              </w:rPr>
                              <w:t xml:space="preserve">Value of </w:t>
                            </w:r>
                            <w:r>
                              <w:rPr>
                                <w:rFonts w:ascii="Symbol" w:hAnsi="Symbol"/>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 o:spid="_x0000_s1031" type="#_x0000_t202" style="position:absolute;margin-left:37.1pt;margin-top:18.6pt;width:93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" filled="f" stroked="f" strokeweight=".5pt">
                <v:path arrowok="t"/>
                <v:textbox>
                  <w:txbxContent>
                    <w:p w:rsidR="002B668D" w:rsidRPr="00AA7B70" w:rsidRDefault="002B668D" w:rsidP="005D57E5">
                      <w:pPr>
                        <w:rPr>
                          <w:lang w:val="en-US"/>
                        </w:rPr>
                      </w:pPr>
                      <w:r>
                        <w:rPr>
                          <w:lang w:val="en-US"/>
                        </w:rPr>
                        <w:t xml:space="preserve">Value of </w:t>
                      </w:r>
                      <w:r>
                        <w:rPr>
                          <w:rFonts w:ascii="Symbol" w:hAnsi="Symbol"/>
                          <w:lang w:val="en-US"/>
                        </w:rPr>
                        <w:t></w:t>
                      </w:r>
                    </w:p>
                  </w:txbxContent>
                </v:textbox>
              </v:shape>
            </w:pict>
          </mc:Fallback>
        </mc:AlternateContent>
      </w:r>
      <w:r w:rsidR="00AD7454" w:rsidRPr="00AD7454">
        <w:rPr>
          <w:noProof/>
          <w:lang w:val="en-US" w:eastAsia="en-US"/>
        </w:rPr>
        <w:drawing>
          <wp:inline distT="0" distB="0" distL="0" distR="0" wp14:anchorId="119F5C23" wp14:editId="299E733F">
            <wp:extent cx="5111750" cy="37458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1750" cy="3745865"/>
                    </a:xfrm>
                    <a:prstGeom prst="rect">
                      <a:avLst/>
                    </a:prstGeom>
                    <a:noFill/>
                    <a:ln>
                      <a:noFill/>
                    </a:ln>
                  </pic:spPr>
                </pic:pic>
              </a:graphicData>
            </a:graphic>
          </wp:inline>
        </w:drawing>
      </w:r>
    </w:p>
    <w:p w:rsidR="00B03642" w:rsidRDefault="005D57E5" w:rsidP="00B03642">
      <w:pPr>
        <w:spacing w:after="120" w:line="480" w:lineRule="auto"/>
        <w:rPr>
          <w:sz w:val="24"/>
          <w:szCs w:val="24"/>
          <w:lang w:val="en-US"/>
        </w:rPr>
      </w:pPr>
      <w:r>
        <w:rPr>
          <w:sz w:val="24"/>
          <w:szCs w:val="24"/>
          <w:lang w:val="en-US"/>
        </w:rPr>
        <w:br w:type="column"/>
      </w:r>
      <w:r w:rsidR="002A75E4">
        <w:rPr>
          <w:noProof/>
          <w:lang w:val="en-US" w:eastAsia="en-US"/>
        </w:rPr>
        <w:lastRenderedPageBreak/>
        <mc:AlternateContent>
          <mc:Choice Requires="wps">
            <w:drawing>
              <wp:anchor distT="0" distB="0" distL="114300" distR="114300" simplePos="0" relativeHeight="251663360" behindDoc="0" locked="0" layoutInCell="1" allowOverlap="1" wp14:anchorId="3EB80B22" wp14:editId="358FE9A0">
                <wp:simplePos x="0" y="0"/>
                <wp:positionH relativeFrom="column">
                  <wp:posOffset>3780790</wp:posOffset>
                </wp:positionH>
                <wp:positionV relativeFrom="paragraph">
                  <wp:posOffset>3409315</wp:posOffset>
                </wp:positionV>
                <wp:extent cx="1181100" cy="2571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AA7B70">
                            <w:pPr>
                              <w:rPr>
                                <w:lang w:val="en-US"/>
                              </w:rPr>
                            </w:pPr>
                            <w:r>
                              <w:rPr>
                                <w:lang w:val="en-US"/>
                              </w:rPr>
                              <w:t xml:space="preserve">Value of </w:t>
                            </w:r>
                            <w:r w:rsidRPr="00AA7B70">
                              <w:rPr>
                                <w:rFonts w:ascii="Symbol" w:hAnsi="Symbol"/>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32" type="#_x0000_t202" style="position:absolute;margin-left:297.7pt;margin-top:268.45pt;width:93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" filled="f" stroked="f" strokeweight=".5pt">
                <v:path arrowok="t"/>
                <v:textbox>
                  <w:txbxContent>
                    <w:p w:rsidR="002B668D" w:rsidRPr="00AA7B70" w:rsidRDefault="002B668D" w:rsidP="00AA7B70">
                      <w:pPr>
                        <w:rPr>
                          <w:lang w:val="en-US"/>
                        </w:rPr>
                      </w:pPr>
                      <w:r>
                        <w:rPr>
                          <w:lang w:val="en-US"/>
                        </w:rPr>
                        <w:t xml:space="preserve">Value of </w:t>
                      </w:r>
                      <w:r w:rsidRPr="00AA7B70">
                        <w:rPr>
                          <w:rFonts w:ascii="Symbol" w:hAnsi="Symbol"/>
                          <w:lang w:val="en-US"/>
                        </w:rPr>
                        <w:t></w:t>
                      </w:r>
                    </w:p>
                  </w:txbxContent>
                </v:textbox>
              </v:shape>
            </w:pict>
          </mc:Fallback>
        </mc:AlternateContent>
      </w:r>
    </w:p>
    <w:p w:rsidR="00B03642" w:rsidRPr="00B2141B" w:rsidRDefault="00B03642" w:rsidP="00B03642">
      <w:pPr>
        <w:spacing w:after="120" w:line="480" w:lineRule="auto"/>
        <w:ind w:left="360"/>
        <w:rPr>
          <w:b/>
          <w:bCs/>
          <w:sz w:val="24"/>
          <w:szCs w:val="24"/>
          <w:lang w:val="en-GB"/>
        </w:rPr>
      </w:pPr>
      <w:r>
        <w:rPr>
          <w:b/>
          <w:sz w:val="24"/>
          <w:szCs w:val="24"/>
          <w:lang w:val="en-US"/>
        </w:rPr>
        <w:t xml:space="preserve">Figure 4: </w:t>
      </w:r>
      <w:r w:rsidR="0094312C">
        <w:rPr>
          <w:b/>
          <w:sz w:val="24"/>
          <w:szCs w:val="24"/>
          <w:lang w:val="en-US"/>
        </w:rPr>
        <w:t>The u</w:t>
      </w:r>
      <w:r>
        <w:rPr>
          <w:b/>
          <w:sz w:val="24"/>
          <w:szCs w:val="24"/>
          <w:lang w:val="en-US"/>
        </w:rPr>
        <w:t xml:space="preserve">nrotated </w:t>
      </w:r>
      <w:r w:rsidR="00AA7B70">
        <w:rPr>
          <w:b/>
          <w:sz w:val="24"/>
          <w:szCs w:val="24"/>
          <w:lang w:val="en-US"/>
        </w:rPr>
        <w:t xml:space="preserve">PCA </w:t>
      </w:r>
      <w:r>
        <w:rPr>
          <w:b/>
          <w:sz w:val="24"/>
          <w:szCs w:val="24"/>
          <w:lang w:val="en-US"/>
        </w:rPr>
        <w:t xml:space="preserve">components </w:t>
      </w:r>
      <w:r w:rsidRPr="004227ED">
        <w:rPr>
          <w:b/>
          <w:sz w:val="24"/>
          <w:szCs w:val="24"/>
          <w:lang w:val="en-US"/>
        </w:rPr>
        <w:t xml:space="preserve">of the </w:t>
      </w:r>
      <w:r>
        <w:rPr>
          <w:b/>
          <w:sz w:val="24"/>
          <w:szCs w:val="24"/>
          <w:lang w:val="en-US"/>
        </w:rPr>
        <w:t xml:space="preserve">30 </w:t>
      </w:r>
      <w:r w:rsidRPr="004227ED">
        <w:rPr>
          <w:b/>
          <w:sz w:val="24"/>
          <w:szCs w:val="24"/>
          <w:lang w:val="en-US"/>
        </w:rPr>
        <w:t>indicators of inequality</w:t>
      </w:r>
      <w:r w:rsidR="00AA7B70">
        <w:rPr>
          <w:b/>
          <w:sz w:val="24"/>
          <w:szCs w:val="24"/>
          <w:lang w:val="en-US"/>
        </w:rPr>
        <w:t xml:space="preserve"> (</w:t>
      </w:r>
      <w:r w:rsidR="00CE3D9A">
        <w:rPr>
          <w:b/>
          <w:sz w:val="24"/>
          <w:szCs w:val="24"/>
          <w:lang w:val="en-US"/>
        </w:rPr>
        <w:t xml:space="preserve">PCA </w:t>
      </w:r>
      <w:r w:rsidR="00AA7B70">
        <w:rPr>
          <w:b/>
          <w:sz w:val="24"/>
          <w:szCs w:val="24"/>
          <w:lang w:val="en-US"/>
        </w:rPr>
        <w:t>scores)</w:t>
      </w:r>
    </w:p>
    <w:p w:rsidR="00B03642" w:rsidRDefault="002A75E4" w:rsidP="00B03642">
      <w:pPr>
        <w:spacing w:after="120" w:line="480" w:lineRule="auto"/>
        <w:rPr>
          <w:sz w:val="24"/>
          <w:szCs w:val="24"/>
          <w:lang w:val="en-US"/>
        </w:rPr>
      </w:pPr>
      <w:r>
        <w:rPr>
          <w:noProof/>
          <w:lang w:val="en-US" w:eastAsia="en-US"/>
        </w:rPr>
        <mc:AlternateContent>
          <mc:Choice Requires="wps">
            <w:drawing>
              <wp:anchor distT="0" distB="0" distL="114300" distR="114300" simplePos="0" relativeHeight="251667456" behindDoc="0" locked="0" layoutInCell="1" allowOverlap="1" wp14:anchorId="6D026388" wp14:editId="0FB15265">
                <wp:simplePos x="0" y="0"/>
                <wp:positionH relativeFrom="column">
                  <wp:posOffset>3783330</wp:posOffset>
                </wp:positionH>
                <wp:positionV relativeFrom="paragraph">
                  <wp:posOffset>3034665</wp:posOffset>
                </wp:positionV>
                <wp:extent cx="600075" cy="2571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AA7B70">
                            <w:pPr>
                              <w:rPr>
                                <w:lang w:val="en-US"/>
                              </w:rPr>
                            </w:pPr>
                            <w:r>
                              <w:rPr>
                                <w:lang w:val="en-US"/>
                              </w:rPr>
                              <w:t>Axis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6" o:spid="_x0000_s1033" type="#_x0000_t202" style="position:absolute;margin-left:297.9pt;margin-top:238.95pt;width:47.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" filled="f" stroked="f" strokeweight=".5pt">
                <v:path arrowok="t"/>
                <v:textbox>
                  <w:txbxContent>
                    <w:p w:rsidR="002B668D" w:rsidRPr="00AA7B70" w:rsidRDefault="002B668D" w:rsidP="00AA7B70">
                      <w:pPr>
                        <w:rPr>
                          <w:lang w:val="en-US"/>
                        </w:rPr>
                      </w:pPr>
                      <w:r>
                        <w:rPr>
                          <w:lang w:val="en-US"/>
                        </w:rPr>
                        <w:t>Axis 2</w:t>
                      </w:r>
                    </w:p>
                  </w:txbxContent>
                </v:textbox>
              </v:shape>
            </w:pict>
          </mc:Fallback>
        </mc:AlternateContent>
      </w:r>
      <w:r w:rsidR="00AD7454" w:rsidRPr="00AD7454">
        <w:rPr>
          <w:noProof/>
          <w:lang w:val="en-US" w:eastAsia="en-US"/>
        </w:rPr>
        <w:drawing>
          <wp:inline distT="0" distB="0" distL="0" distR="0" wp14:anchorId="20B29514" wp14:editId="7E0DF66E">
            <wp:extent cx="5111750" cy="37458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1750" cy="3745865"/>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69504" behindDoc="0" locked="0" layoutInCell="1" allowOverlap="1" wp14:anchorId="78B3D5D0" wp14:editId="261E9682">
                <wp:simplePos x="0" y="0"/>
                <wp:positionH relativeFrom="column">
                  <wp:posOffset>475615</wp:posOffset>
                </wp:positionH>
                <wp:positionV relativeFrom="paragraph">
                  <wp:posOffset>294640</wp:posOffset>
                </wp:positionV>
                <wp:extent cx="1181100" cy="2571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D0055C">
                            <w:pPr>
                              <w:rPr>
                                <w:lang w:val="en-US"/>
                              </w:rPr>
                            </w:pPr>
                            <w:r>
                              <w:rPr>
                                <w:lang w:val="en-US"/>
                              </w:rPr>
                              <w:t>Axis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8" o:spid="_x0000_s1034" type="#_x0000_t202" style="position:absolute;margin-left:37.45pt;margin-top:23.2pt;width:93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" filled="f" stroked="f" strokeweight=".5pt">
                <v:path arrowok="t"/>
                <v:textbox>
                  <w:txbxContent>
                    <w:p w:rsidR="002B668D" w:rsidRPr="00AA7B70" w:rsidRDefault="002B668D" w:rsidP="00D0055C">
                      <w:pPr>
                        <w:rPr>
                          <w:lang w:val="en-US"/>
                        </w:rPr>
                      </w:pPr>
                      <w:r>
                        <w:rPr>
                          <w:lang w:val="en-US"/>
                        </w:rPr>
                        <w:t>Axis 3</w:t>
                      </w:r>
                    </w:p>
                  </w:txbxContent>
                </v:textbox>
              </v:shape>
            </w:pict>
          </mc:Fallback>
        </mc:AlternateContent>
      </w:r>
    </w:p>
    <w:p w:rsidR="00D51B69" w:rsidRDefault="00D51B69" w:rsidP="00D51B69">
      <w:pPr>
        <w:spacing w:after="120" w:line="480" w:lineRule="auto"/>
        <w:rPr>
          <w:sz w:val="24"/>
          <w:szCs w:val="24"/>
          <w:lang w:val="en-US"/>
        </w:rPr>
      </w:pPr>
    </w:p>
    <w:p w:rsidR="000D5F6A" w:rsidRDefault="000D5F6A" w:rsidP="000D5F6A">
      <w:pPr>
        <w:spacing w:after="120" w:line="480" w:lineRule="auto"/>
        <w:rPr>
          <w:b/>
          <w:sz w:val="24"/>
          <w:szCs w:val="24"/>
          <w:lang w:val="en-US"/>
        </w:rPr>
      </w:pPr>
      <w:r>
        <w:rPr>
          <w:b/>
          <w:sz w:val="24"/>
          <w:szCs w:val="24"/>
          <w:lang w:val="en-US"/>
        </w:rPr>
        <w:t xml:space="preserve">Table </w:t>
      </w:r>
      <w:r w:rsidR="00AB0CFB">
        <w:rPr>
          <w:b/>
          <w:sz w:val="24"/>
          <w:szCs w:val="24"/>
          <w:lang w:val="en-US"/>
        </w:rPr>
        <w:t>9</w:t>
      </w:r>
      <w:r>
        <w:rPr>
          <w:b/>
          <w:sz w:val="24"/>
          <w:szCs w:val="24"/>
          <w:lang w:val="en-US"/>
        </w:rPr>
        <w:t xml:space="preserve">: </w:t>
      </w:r>
      <w:r w:rsidR="0094312C">
        <w:rPr>
          <w:b/>
          <w:sz w:val="24"/>
          <w:szCs w:val="24"/>
          <w:lang w:val="en-US"/>
        </w:rPr>
        <w:t xml:space="preserve">The </w:t>
      </w:r>
      <w:r w:rsidR="00DA4E5E">
        <w:rPr>
          <w:b/>
          <w:sz w:val="24"/>
          <w:szCs w:val="24"/>
          <w:lang w:val="en-US"/>
        </w:rPr>
        <w:t xml:space="preserve">frequency of </w:t>
      </w:r>
      <w:r w:rsidR="0094312C">
        <w:rPr>
          <w:b/>
          <w:sz w:val="24"/>
          <w:szCs w:val="24"/>
          <w:lang w:val="en-US"/>
        </w:rPr>
        <w:t xml:space="preserve">a </w:t>
      </w:r>
      <w:r w:rsidR="00DA4E5E">
        <w:rPr>
          <w:b/>
          <w:sz w:val="24"/>
          <w:szCs w:val="24"/>
          <w:lang w:val="en-US"/>
        </w:rPr>
        <w:t xml:space="preserve">better fit of distribution D1 compared to D2 </w:t>
      </w:r>
      <w:r>
        <w:rPr>
          <w:b/>
          <w:sz w:val="24"/>
          <w:szCs w:val="24"/>
          <w:lang w:val="en-US"/>
        </w:rPr>
        <w:t xml:space="preserve">(%) on </w:t>
      </w:r>
      <w:r w:rsidR="00E9025B">
        <w:rPr>
          <w:b/>
          <w:sz w:val="24"/>
          <w:szCs w:val="24"/>
          <w:lang w:val="en-US"/>
        </w:rPr>
        <w:t>205</w:t>
      </w:r>
      <w:r w:rsidR="001377AD">
        <w:rPr>
          <w:b/>
          <w:sz w:val="24"/>
          <w:szCs w:val="24"/>
          <w:lang w:val="en-US"/>
        </w:rPr>
        <w:t>S</w:t>
      </w:r>
      <w:r>
        <w:rPr>
          <w:b/>
          <w:sz w:val="24"/>
          <w:szCs w:val="24"/>
          <w:lang w:val="en-US"/>
        </w:rPr>
        <w:t xml:space="preserve">amples </w:t>
      </w:r>
      <w:r w:rsidR="00191E63">
        <w:rPr>
          <w:b/>
          <w:sz w:val="24"/>
          <w:szCs w:val="24"/>
          <w:lang w:val="en-US"/>
        </w:rPr>
        <w:t>(</w:t>
      </w:r>
      <w:r w:rsidR="005423EC">
        <w:rPr>
          <w:b/>
          <w:sz w:val="24"/>
          <w:szCs w:val="24"/>
          <w:lang w:val="en-US"/>
        </w:rPr>
        <w:t xml:space="preserve">27 </w:t>
      </w:r>
      <w:r w:rsidR="0094312C" w:rsidRPr="0094312C">
        <w:rPr>
          <w:b/>
          <w:sz w:val="24"/>
          <w:szCs w:val="24"/>
          <w:lang w:val="en-US"/>
        </w:rPr>
        <w:t xml:space="preserve">excluded </w:t>
      </w:r>
      <w:r w:rsidR="005423EC">
        <w:rPr>
          <w:b/>
          <w:sz w:val="24"/>
          <w:szCs w:val="24"/>
          <w:lang w:val="en-US"/>
        </w:rPr>
        <w:t xml:space="preserve">cases </w:t>
      </w:r>
      <w:r w:rsidR="0094312C">
        <w:rPr>
          <w:b/>
          <w:sz w:val="24"/>
          <w:szCs w:val="24"/>
          <w:lang w:val="en-US"/>
        </w:rPr>
        <w:t xml:space="preserve">with more than 6 </w:t>
      </w:r>
      <w:r w:rsidR="005D57E5">
        <w:rPr>
          <w:b/>
          <w:sz w:val="24"/>
          <w:szCs w:val="24"/>
          <w:lang w:val="en-US"/>
        </w:rPr>
        <w:t>iterations</w:t>
      </w:r>
      <w:r w:rsidR="00191E63">
        <w:rPr>
          <w:b/>
          <w:sz w:val="24"/>
          <w:szCs w:val="24"/>
          <w:lang w:val="en-US"/>
        </w:rPr>
        <w:t>)</w:t>
      </w:r>
    </w:p>
    <w:tbl>
      <w:tblPr>
        <w:tblW w:w="7305" w:type="dxa"/>
        <w:tblInd w:w="93" w:type="dxa"/>
        <w:tblLook w:val="04A0" w:firstRow="1" w:lastRow="0" w:firstColumn="1" w:lastColumn="0" w:noHBand="0" w:noVBand="1"/>
      </w:tblPr>
      <w:tblGrid>
        <w:gridCol w:w="960"/>
        <w:gridCol w:w="2475"/>
        <w:gridCol w:w="3870"/>
      </w:tblGrid>
      <w:tr w:rsidR="00237AFF" w:rsidRPr="006D1FE0" w:rsidTr="000C09E3">
        <w:trPr>
          <w:trHeight w:val="300"/>
        </w:trPr>
        <w:tc>
          <w:tcPr>
            <w:tcW w:w="960" w:type="dxa"/>
            <w:tcBorders>
              <w:top w:val="nil"/>
              <w:left w:val="nil"/>
              <w:bottom w:val="nil"/>
              <w:right w:val="nil"/>
            </w:tcBorders>
            <w:shd w:val="clear" w:color="auto" w:fill="auto"/>
            <w:noWrap/>
            <w:vAlign w:val="bottom"/>
            <w:hideMark/>
          </w:tcPr>
          <w:p w:rsidR="00237AFF" w:rsidRPr="000C09E3" w:rsidRDefault="00237AFF" w:rsidP="00237AFF">
            <w:pPr>
              <w:rPr>
                <w:color w:val="000000"/>
                <w:sz w:val="22"/>
                <w:szCs w:val="22"/>
                <w:lang w:val="en-US" w:eastAsia="en-US"/>
              </w:rPr>
            </w:pP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AFF" w:rsidRPr="000C09E3" w:rsidRDefault="00CF3531" w:rsidP="002A1BD0">
            <w:pPr>
              <w:rPr>
                <w:color w:val="000000"/>
                <w:sz w:val="22"/>
                <w:szCs w:val="22"/>
                <w:lang w:val="en-US" w:eastAsia="en-US"/>
              </w:rPr>
            </w:pPr>
            <w:r>
              <w:rPr>
                <w:color w:val="000000"/>
                <w:sz w:val="22"/>
                <w:szCs w:val="22"/>
                <w:lang w:val="en-US" w:eastAsia="en-US"/>
              </w:rPr>
              <w:t>A</w:t>
            </w:r>
            <w:r w:rsidRPr="000A5BE5">
              <w:rPr>
                <w:color w:val="000000"/>
                <w:sz w:val="22"/>
                <w:szCs w:val="22"/>
                <w:lang w:val="en-US" w:eastAsia="en-US"/>
              </w:rPr>
              <w:t xml:space="preserve">verage adjusted </w:t>
            </w:r>
            <w:r w:rsidR="002A1BD0">
              <w:rPr>
                <w:color w:val="000000"/>
                <w:sz w:val="22"/>
                <w:szCs w:val="22"/>
                <w:lang w:val="en-US" w:eastAsia="en-US"/>
              </w:rPr>
              <w:t>r</w:t>
            </w:r>
            <w:r w:rsidRPr="000A5BE5">
              <w:rPr>
                <w:color w:val="000000"/>
                <w:sz w:val="22"/>
                <w:szCs w:val="22"/>
                <w:vertAlign w:val="superscript"/>
                <w:lang w:val="en-US" w:eastAsia="en-US"/>
              </w:rPr>
              <w:t>2</w:t>
            </w:r>
            <w:r>
              <w:rPr>
                <w:color w:val="000000"/>
                <w:sz w:val="22"/>
                <w:szCs w:val="22"/>
                <w:lang w:val="en-US" w:eastAsia="en-US"/>
              </w:rPr>
              <w:t xml:space="preserve">  </w:t>
            </w:r>
            <w:r>
              <w:rPr>
                <w:color w:val="000000"/>
                <w:sz w:val="22"/>
                <w:szCs w:val="22"/>
                <w:lang w:val="en-US" w:eastAsia="en-US"/>
              </w:rPr>
              <w:br/>
              <w:t>of the fit of OBS</w:t>
            </w: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rsidR="00237AFF" w:rsidRPr="000C09E3" w:rsidRDefault="00237AFF" w:rsidP="00CF3531">
            <w:pPr>
              <w:rPr>
                <w:color w:val="000000"/>
                <w:sz w:val="22"/>
                <w:szCs w:val="22"/>
                <w:lang w:val="en-US" w:eastAsia="en-US"/>
              </w:rPr>
            </w:pPr>
            <w:r>
              <w:rPr>
                <w:color w:val="000000"/>
                <w:sz w:val="22"/>
                <w:szCs w:val="22"/>
                <w:lang w:val="en-US" w:eastAsia="en-US"/>
              </w:rPr>
              <w:t>P</w:t>
            </w:r>
            <w:r w:rsidRPr="000C09E3">
              <w:rPr>
                <w:color w:val="000000"/>
                <w:sz w:val="22"/>
                <w:szCs w:val="22"/>
                <w:lang w:val="en-US" w:eastAsia="en-US"/>
              </w:rPr>
              <w:t>air comparison</w:t>
            </w:r>
            <w:r w:rsidR="00CF3531">
              <w:rPr>
                <w:color w:val="000000"/>
                <w:sz w:val="22"/>
                <w:szCs w:val="22"/>
                <w:lang w:val="en-US" w:eastAsia="en-US"/>
              </w:rPr>
              <w:t xml:space="preserve">: % of cases where the fit of A is worse than </w:t>
            </w:r>
            <w:r w:rsidR="0094312C">
              <w:rPr>
                <w:color w:val="000000"/>
                <w:sz w:val="22"/>
                <w:szCs w:val="22"/>
                <w:lang w:val="en-US" w:eastAsia="en-US"/>
              </w:rPr>
              <w:t xml:space="preserve">that of </w:t>
            </w:r>
            <w:r w:rsidR="00CF3531">
              <w:rPr>
                <w:color w:val="000000"/>
                <w:sz w:val="22"/>
                <w:szCs w:val="22"/>
                <w:lang w:val="en-US" w:eastAsia="en-US"/>
              </w:rPr>
              <w:t>B</w:t>
            </w:r>
          </w:p>
        </w:tc>
      </w:tr>
      <w:tr w:rsidR="00237AFF" w:rsidRPr="00237AFF" w:rsidTr="000C09E3">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237AFF" w:rsidRPr="000C09E3" w:rsidRDefault="00237AFF" w:rsidP="00237AFF">
            <w:pPr>
              <w:rPr>
                <w:color w:val="000000"/>
                <w:sz w:val="22"/>
                <w:szCs w:val="22"/>
                <w:lang w:val="en-US" w:eastAsia="en-US"/>
              </w:rPr>
            </w:pPr>
            <w:r w:rsidRPr="000C09E3">
              <w:rPr>
                <w:color w:val="000000"/>
                <w:sz w:val="22"/>
                <w:szCs w:val="22"/>
                <w:lang w:val="en-US" w:eastAsia="en-US"/>
              </w:rPr>
              <w:t>CF</w:t>
            </w:r>
          </w:p>
        </w:tc>
        <w:tc>
          <w:tcPr>
            <w:tcW w:w="2475" w:type="dxa"/>
            <w:tcBorders>
              <w:top w:val="nil"/>
              <w:left w:val="nil"/>
              <w:bottom w:val="nil"/>
              <w:right w:val="single" w:sz="4" w:space="0" w:color="auto"/>
            </w:tcBorders>
            <w:shd w:val="clear" w:color="auto" w:fill="auto"/>
            <w:noWrap/>
            <w:vAlign w:val="bottom"/>
            <w:hideMark/>
          </w:tcPr>
          <w:p w:rsidR="00237AFF" w:rsidRPr="000C09E3" w:rsidRDefault="005423EC" w:rsidP="00237AFF">
            <w:pPr>
              <w:jc w:val="right"/>
              <w:rPr>
                <w:color w:val="000000"/>
                <w:sz w:val="22"/>
                <w:szCs w:val="22"/>
                <w:lang w:val="en-US" w:eastAsia="en-US"/>
              </w:rPr>
            </w:pPr>
            <w:r w:rsidRPr="00F578D6">
              <w:rPr>
                <w:color w:val="000000"/>
                <w:sz w:val="22"/>
                <w:szCs w:val="22"/>
                <w:lang w:val="en-US" w:eastAsia="en-US"/>
              </w:rPr>
              <w:t>0.9959</w:t>
            </w:r>
          </w:p>
        </w:tc>
        <w:tc>
          <w:tcPr>
            <w:tcW w:w="3870" w:type="dxa"/>
            <w:tcBorders>
              <w:top w:val="nil"/>
              <w:left w:val="nil"/>
              <w:bottom w:val="nil"/>
              <w:right w:val="single" w:sz="4" w:space="0" w:color="auto"/>
            </w:tcBorders>
            <w:shd w:val="clear" w:color="auto" w:fill="auto"/>
            <w:noWrap/>
            <w:vAlign w:val="bottom"/>
            <w:hideMark/>
          </w:tcPr>
          <w:p w:rsidR="00237AFF" w:rsidRPr="000C09E3" w:rsidRDefault="00CF3531" w:rsidP="00CF3531">
            <w:pPr>
              <w:rPr>
                <w:color w:val="000000"/>
                <w:sz w:val="22"/>
                <w:szCs w:val="22"/>
                <w:lang w:val="en-US" w:eastAsia="en-US"/>
              </w:rPr>
            </w:pPr>
            <w:r w:rsidRPr="00CF3531">
              <w:rPr>
                <w:color w:val="000000"/>
                <w:sz w:val="22"/>
                <w:szCs w:val="22"/>
                <w:lang w:val="en-US" w:eastAsia="en-US"/>
              </w:rPr>
              <w:t>CF worse than GB2</w:t>
            </w:r>
            <w:r>
              <w:rPr>
                <w:color w:val="000000"/>
                <w:sz w:val="22"/>
                <w:szCs w:val="22"/>
                <w:lang w:val="en-US" w:eastAsia="en-US"/>
              </w:rPr>
              <w:t>:</w:t>
            </w:r>
            <w:r w:rsidR="00237AFF" w:rsidRPr="000C09E3">
              <w:rPr>
                <w:color w:val="000000"/>
                <w:sz w:val="22"/>
                <w:szCs w:val="22"/>
                <w:lang w:val="en-US" w:eastAsia="en-US"/>
              </w:rPr>
              <w:t xml:space="preserve"> </w:t>
            </w:r>
            <w:r w:rsidR="005423EC" w:rsidRPr="005423EC">
              <w:rPr>
                <w:color w:val="000000"/>
                <w:sz w:val="22"/>
                <w:szCs w:val="22"/>
                <w:lang w:val="en-US" w:eastAsia="en-US"/>
              </w:rPr>
              <w:t>67</w:t>
            </w:r>
            <w:r w:rsidR="005423EC">
              <w:rPr>
                <w:color w:val="000000"/>
                <w:sz w:val="22"/>
                <w:szCs w:val="22"/>
                <w:lang w:val="en-US" w:eastAsia="en-US"/>
              </w:rPr>
              <w:t>.</w:t>
            </w:r>
            <w:r w:rsidR="005423EC" w:rsidRPr="005423EC">
              <w:rPr>
                <w:color w:val="000000"/>
                <w:sz w:val="22"/>
                <w:szCs w:val="22"/>
                <w:lang w:val="en-US" w:eastAsia="en-US"/>
              </w:rPr>
              <w:t>8</w:t>
            </w:r>
            <w:r w:rsidR="00237AFF" w:rsidRPr="000C09E3">
              <w:rPr>
                <w:color w:val="000000"/>
                <w:sz w:val="22"/>
                <w:szCs w:val="22"/>
                <w:lang w:val="en-US" w:eastAsia="en-US"/>
              </w:rPr>
              <w:t xml:space="preserve">% </w:t>
            </w:r>
          </w:p>
        </w:tc>
      </w:tr>
      <w:tr w:rsidR="00237AFF" w:rsidRPr="00237AFF" w:rsidTr="000C09E3">
        <w:trPr>
          <w:trHeight w:val="315"/>
        </w:trPr>
        <w:tc>
          <w:tcPr>
            <w:tcW w:w="960" w:type="dxa"/>
            <w:tcBorders>
              <w:top w:val="nil"/>
              <w:left w:val="single" w:sz="4" w:space="0" w:color="auto"/>
              <w:bottom w:val="nil"/>
              <w:right w:val="single" w:sz="4" w:space="0" w:color="auto"/>
            </w:tcBorders>
            <w:shd w:val="clear" w:color="auto" w:fill="auto"/>
            <w:noWrap/>
            <w:vAlign w:val="bottom"/>
            <w:hideMark/>
          </w:tcPr>
          <w:p w:rsidR="00237AFF" w:rsidRPr="000C09E3" w:rsidRDefault="00237AFF" w:rsidP="00237AFF">
            <w:pPr>
              <w:rPr>
                <w:color w:val="000000"/>
                <w:sz w:val="22"/>
                <w:szCs w:val="22"/>
                <w:lang w:val="en-US" w:eastAsia="en-US"/>
              </w:rPr>
            </w:pPr>
            <w:r w:rsidRPr="000C09E3">
              <w:rPr>
                <w:color w:val="000000"/>
                <w:sz w:val="22"/>
                <w:szCs w:val="22"/>
                <w:lang w:val="en-US" w:eastAsia="en-US"/>
              </w:rPr>
              <w:t>GB2</w:t>
            </w:r>
          </w:p>
        </w:tc>
        <w:tc>
          <w:tcPr>
            <w:tcW w:w="2475" w:type="dxa"/>
            <w:tcBorders>
              <w:top w:val="nil"/>
              <w:left w:val="nil"/>
              <w:bottom w:val="nil"/>
              <w:right w:val="single" w:sz="4" w:space="0" w:color="auto"/>
            </w:tcBorders>
            <w:shd w:val="clear" w:color="auto" w:fill="auto"/>
            <w:noWrap/>
            <w:vAlign w:val="bottom"/>
            <w:hideMark/>
          </w:tcPr>
          <w:p w:rsidR="00237AFF" w:rsidRPr="000C09E3" w:rsidRDefault="005423EC" w:rsidP="00237AFF">
            <w:pPr>
              <w:jc w:val="right"/>
              <w:rPr>
                <w:color w:val="000000"/>
                <w:sz w:val="22"/>
                <w:szCs w:val="22"/>
                <w:lang w:val="en-US" w:eastAsia="en-US"/>
              </w:rPr>
            </w:pPr>
            <w:r>
              <w:rPr>
                <w:color w:val="000000"/>
                <w:sz w:val="22"/>
                <w:szCs w:val="22"/>
                <w:lang w:val="en-US" w:eastAsia="en-US"/>
              </w:rPr>
              <w:t>0</w:t>
            </w:r>
            <w:r w:rsidRPr="005423EC">
              <w:rPr>
                <w:color w:val="000000"/>
                <w:sz w:val="22"/>
                <w:szCs w:val="22"/>
                <w:lang w:val="en-US" w:eastAsia="en-US"/>
              </w:rPr>
              <w:t>.9975</w:t>
            </w:r>
          </w:p>
        </w:tc>
        <w:tc>
          <w:tcPr>
            <w:tcW w:w="3870" w:type="dxa"/>
            <w:tcBorders>
              <w:top w:val="nil"/>
              <w:left w:val="nil"/>
              <w:bottom w:val="nil"/>
              <w:right w:val="single" w:sz="4" w:space="0" w:color="auto"/>
            </w:tcBorders>
            <w:shd w:val="clear" w:color="auto" w:fill="auto"/>
            <w:noWrap/>
            <w:vAlign w:val="bottom"/>
            <w:hideMark/>
          </w:tcPr>
          <w:p w:rsidR="00237AFF" w:rsidRPr="000C09E3" w:rsidRDefault="00237AFF" w:rsidP="00CF3531">
            <w:pPr>
              <w:rPr>
                <w:color w:val="000000"/>
                <w:sz w:val="22"/>
                <w:szCs w:val="22"/>
                <w:lang w:val="en-US" w:eastAsia="en-US"/>
              </w:rPr>
            </w:pPr>
            <w:r w:rsidRPr="000C09E3">
              <w:rPr>
                <w:color w:val="000000"/>
                <w:sz w:val="22"/>
                <w:szCs w:val="22"/>
                <w:lang w:val="en-US" w:eastAsia="en-US"/>
              </w:rPr>
              <w:t>GB2 worse than ABG</w:t>
            </w:r>
            <w:r w:rsidR="00CF3531">
              <w:rPr>
                <w:color w:val="000000"/>
                <w:sz w:val="22"/>
                <w:szCs w:val="22"/>
                <w:lang w:val="en-US" w:eastAsia="en-US"/>
              </w:rPr>
              <w:t>:</w:t>
            </w:r>
            <w:r w:rsidRPr="000C09E3">
              <w:rPr>
                <w:color w:val="000000"/>
                <w:sz w:val="22"/>
                <w:szCs w:val="22"/>
                <w:lang w:val="en-US" w:eastAsia="en-US"/>
              </w:rPr>
              <w:t xml:space="preserve"> </w:t>
            </w:r>
            <w:r w:rsidR="005423EC" w:rsidRPr="005423EC">
              <w:rPr>
                <w:color w:val="000000"/>
                <w:sz w:val="22"/>
                <w:szCs w:val="22"/>
                <w:lang w:val="en-US" w:eastAsia="en-US"/>
              </w:rPr>
              <w:t>76</w:t>
            </w:r>
            <w:r w:rsidR="005423EC">
              <w:rPr>
                <w:color w:val="000000"/>
                <w:sz w:val="22"/>
                <w:szCs w:val="22"/>
                <w:lang w:val="en-US" w:eastAsia="en-US"/>
              </w:rPr>
              <w:t>.</w:t>
            </w:r>
            <w:r w:rsidR="005423EC" w:rsidRPr="005423EC">
              <w:rPr>
                <w:color w:val="000000"/>
                <w:sz w:val="22"/>
                <w:szCs w:val="22"/>
                <w:lang w:val="en-US" w:eastAsia="en-US"/>
              </w:rPr>
              <w:t>5</w:t>
            </w:r>
            <w:r w:rsidRPr="000C09E3">
              <w:rPr>
                <w:color w:val="000000"/>
                <w:sz w:val="22"/>
                <w:szCs w:val="22"/>
                <w:lang w:val="en-US" w:eastAsia="en-US"/>
              </w:rPr>
              <w:t xml:space="preserve">% </w:t>
            </w:r>
          </w:p>
        </w:tc>
      </w:tr>
      <w:tr w:rsidR="00237AFF" w:rsidRPr="00237AFF" w:rsidTr="000C09E3">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37AFF" w:rsidRPr="000C09E3" w:rsidRDefault="00237AFF" w:rsidP="00237AFF">
            <w:pPr>
              <w:rPr>
                <w:color w:val="000000"/>
                <w:sz w:val="22"/>
                <w:szCs w:val="22"/>
                <w:lang w:val="en-US" w:eastAsia="en-US"/>
              </w:rPr>
            </w:pPr>
            <w:r w:rsidRPr="000C09E3">
              <w:rPr>
                <w:color w:val="000000"/>
                <w:sz w:val="22"/>
                <w:szCs w:val="22"/>
                <w:lang w:val="en-US" w:eastAsia="en-US"/>
              </w:rPr>
              <w:t>ABG</w:t>
            </w:r>
          </w:p>
        </w:tc>
        <w:tc>
          <w:tcPr>
            <w:tcW w:w="2475" w:type="dxa"/>
            <w:tcBorders>
              <w:top w:val="nil"/>
              <w:left w:val="nil"/>
              <w:bottom w:val="single" w:sz="4" w:space="0" w:color="auto"/>
              <w:right w:val="single" w:sz="4" w:space="0" w:color="auto"/>
            </w:tcBorders>
            <w:shd w:val="clear" w:color="auto" w:fill="auto"/>
            <w:noWrap/>
            <w:vAlign w:val="bottom"/>
            <w:hideMark/>
          </w:tcPr>
          <w:p w:rsidR="00237AFF" w:rsidRPr="000C09E3" w:rsidRDefault="00237AFF" w:rsidP="00237AFF">
            <w:pPr>
              <w:jc w:val="right"/>
              <w:rPr>
                <w:color w:val="000000"/>
                <w:sz w:val="22"/>
                <w:szCs w:val="22"/>
                <w:lang w:val="en-US" w:eastAsia="en-US"/>
              </w:rPr>
            </w:pPr>
            <w:r w:rsidRPr="000C09E3">
              <w:rPr>
                <w:color w:val="000000"/>
                <w:sz w:val="22"/>
                <w:szCs w:val="22"/>
                <w:lang w:val="en-US" w:eastAsia="en-US"/>
              </w:rPr>
              <w:t>0</w:t>
            </w:r>
            <w:r w:rsidR="005423EC" w:rsidRPr="005423EC">
              <w:rPr>
                <w:color w:val="000000"/>
                <w:sz w:val="22"/>
                <w:szCs w:val="22"/>
                <w:lang w:val="en-US" w:eastAsia="en-US"/>
              </w:rPr>
              <w:t>.9989</w:t>
            </w:r>
          </w:p>
        </w:tc>
        <w:tc>
          <w:tcPr>
            <w:tcW w:w="3870" w:type="dxa"/>
            <w:tcBorders>
              <w:top w:val="nil"/>
              <w:left w:val="nil"/>
              <w:bottom w:val="single" w:sz="4" w:space="0" w:color="auto"/>
              <w:right w:val="single" w:sz="4" w:space="0" w:color="auto"/>
            </w:tcBorders>
            <w:shd w:val="clear" w:color="auto" w:fill="auto"/>
            <w:noWrap/>
            <w:vAlign w:val="bottom"/>
            <w:hideMark/>
          </w:tcPr>
          <w:p w:rsidR="00237AFF" w:rsidRPr="000C09E3" w:rsidRDefault="00237AFF" w:rsidP="005423EC">
            <w:pPr>
              <w:rPr>
                <w:color w:val="000000"/>
                <w:sz w:val="22"/>
                <w:szCs w:val="22"/>
                <w:lang w:val="en-US" w:eastAsia="en-US"/>
              </w:rPr>
            </w:pPr>
            <w:r w:rsidRPr="000C09E3">
              <w:rPr>
                <w:color w:val="000000"/>
                <w:sz w:val="22"/>
                <w:szCs w:val="22"/>
                <w:lang w:val="en-US" w:eastAsia="en-US"/>
              </w:rPr>
              <w:t>CF worse than ABG</w:t>
            </w:r>
            <w:r w:rsidR="00CF3531">
              <w:rPr>
                <w:color w:val="000000"/>
                <w:sz w:val="22"/>
                <w:szCs w:val="22"/>
                <w:lang w:val="en-US" w:eastAsia="en-US"/>
              </w:rPr>
              <w:t>:</w:t>
            </w:r>
            <w:r w:rsidRPr="000C09E3">
              <w:rPr>
                <w:color w:val="000000"/>
                <w:sz w:val="22"/>
                <w:szCs w:val="22"/>
                <w:lang w:val="en-US" w:eastAsia="en-US"/>
              </w:rPr>
              <w:t xml:space="preserve"> </w:t>
            </w:r>
            <w:r w:rsidR="005423EC" w:rsidRPr="005423EC">
              <w:rPr>
                <w:color w:val="000000"/>
                <w:sz w:val="22"/>
                <w:szCs w:val="22"/>
                <w:lang w:val="en-US" w:eastAsia="en-US"/>
              </w:rPr>
              <w:t>85</w:t>
            </w:r>
            <w:r w:rsidR="005423EC">
              <w:rPr>
                <w:color w:val="000000"/>
                <w:sz w:val="22"/>
                <w:szCs w:val="22"/>
                <w:lang w:val="en-US" w:eastAsia="en-US"/>
              </w:rPr>
              <w:t>.</w:t>
            </w:r>
            <w:r w:rsidR="005423EC" w:rsidRPr="005423EC">
              <w:rPr>
                <w:color w:val="000000"/>
                <w:sz w:val="22"/>
                <w:szCs w:val="22"/>
                <w:lang w:val="en-US" w:eastAsia="en-US"/>
              </w:rPr>
              <w:t>8</w:t>
            </w:r>
            <w:r w:rsidRPr="000C09E3">
              <w:rPr>
                <w:color w:val="000000"/>
                <w:sz w:val="22"/>
                <w:szCs w:val="22"/>
                <w:lang w:val="en-US" w:eastAsia="en-US"/>
              </w:rPr>
              <w:t xml:space="preserve">% </w:t>
            </w:r>
          </w:p>
        </w:tc>
      </w:tr>
    </w:tbl>
    <w:p w:rsidR="000D5F6A" w:rsidRDefault="000D5F6A" w:rsidP="000D5F6A">
      <w:pPr>
        <w:spacing w:after="120" w:line="480" w:lineRule="auto"/>
        <w:rPr>
          <w:sz w:val="24"/>
          <w:szCs w:val="24"/>
          <w:lang w:val="en-US"/>
        </w:rPr>
      </w:pPr>
    </w:p>
    <w:p w:rsidR="00D0055C" w:rsidRDefault="005D57E5" w:rsidP="000D5F6A">
      <w:pPr>
        <w:spacing w:after="120" w:line="480" w:lineRule="auto"/>
        <w:rPr>
          <w:sz w:val="24"/>
          <w:szCs w:val="24"/>
          <w:lang w:val="en-US"/>
        </w:rPr>
      </w:pPr>
      <w:r>
        <w:rPr>
          <w:sz w:val="24"/>
          <w:szCs w:val="24"/>
          <w:lang w:val="en-US"/>
        </w:rPr>
        <w:br w:type="column"/>
      </w:r>
    </w:p>
    <w:p w:rsidR="000D5F6A" w:rsidRPr="00B2141B" w:rsidRDefault="000D5F6A" w:rsidP="000D5F6A">
      <w:pPr>
        <w:spacing w:after="120" w:line="480" w:lineRule="auto"/>
        <w:rPr>
          <w:b/>
          <w:bCs/>
          <w:sz w:val="24"/>
          <w:szCs w:val="24"/>
          <w:lang w:val="en-GB"/>
        </w:rPr>
      </w:pPr>
      <w:r>
        <w:rPr>
          <w:b/>
          <w:sz w:val="24"/>
          <w:szCs w:val="24"/>
          <w:lang w:val="en-US"/>
        </w:rPr>
        <w:t>Figure 5: Six typical strobiloids (</w:t>
      </w:r>
      <w:r w:rsidR="00CB108F">
        <w:rPr>
          <w:b/>
          <w:sz w:val="24"/>
          <w:szCs w:val="24"/>
          <w:lang w:val="en-US"/>
        </w:rPr>
        <w:t>Denmark</w:t>
      </w:r>
      <w:r>
        <w:rPr>
          <w:b/>
          <w:sz w:val="24"/>
          <w:szCs w:val="24"/>
          <w:lang w:val="en-US"/>
        </w:rPr>
        <w:t>, Germany, France, U.K., U.S.</w:t>
      </w:r>
      <w:r w:rsidR="0094312C">
        <w:rPr>
          <w:b/>
          <w:sz w:val="24"/>
          <w:szCs w:val="24"/>
          <w:lang w:val="en-US"/>
        </w:rPr>
        <w:t xml:space="preserve"> and</w:t>
      </w:r>
      <w:r>
        <w:rPr>
          <w:b/>
          <w:sz w:val="24"/>
          <w:szCs w:val="24"/>
          <w:lang w:val="en-US"/>
        </w:rPr>
        <w:t xml:space="preserve"> Israel) </w:t>
      </w:r>
    </w:p>
    <w:p w:rsidR="000D5F6A" w:rsidRDefault="000D5F6A" w:rsidP="000D5F6A">
      <w:pPr>
        <w:spacing w:after="120" w:line="480" w:lineRule="auto"/>
        <w:rPr>
          <w:sz w:val="24"/>
          <w:szCs w:val="24"/>
          <w:lang w:val="en-US"/>
        </w:rPr>
      </w:pPr>
    </w:p>
    <w:p w:rsidR="00541A8C" w:rsidRDefault="002A75E4" w:rsidP="000D5F6A">
      <w:pPr>
        <w:spacing w:after="120" w:line="480" w:lineRule="auto"/>
        <w:rPr>
          <w:sz w:val="24"/>
          <w:szCs w:val="24"/>
          <w:lang w:val="en-US"/>
        </w:rPr>
      </w:pPr>
      <w:r>
        <w:rPr>
          <w:noProof/>
          <w:sz w:val="24"/>
          <w:szCs w:val="24"/>
          <w:lang w:val="en-US" w:eastAsia="en-US"/>
        </w:rPr>
        <mc:AlternateContent>
          <mc:Choice Requires="wps">
            <w:drawing>
              <wp:anchor distT="0" distB="0" distL="114300" distR="114300" simplePos="0" relativeHeight="251675648" behindDoc="0" locked="0" layoutInCell="1" allowOverlap="1" wp14:anchorId="577AC18C" wp14:editId="1B5FF4A0">
                <wp:simplePos x="0" y="0"/>
                <wp:positionH relativeFrom="column">
                  <wp:posOffset>418465</wp:posOffset>
                </wp:positionH>
                <wp:positionV relativeFrom="paragraph">
                  <wp:posOffset>177800</wp:posOffset>
                </wp:positionV>
                <wp:extent cx="1181100" cy="2571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CE3D9A">
                            <w:pPr>
                              <w:rPr>
                                <w:lang w:val="en-US"/>
                              </w:rPr>
                            </w:pPr>
                            <w:r>
                              <w:rPr>
                                <w:lang w:val="en-US"/>
                              </w:rPr>
                              <w:t>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2" o:spid="_x0000_s1035" type="#_x0000_t202" style="position:absolute;margin-left:32.95pt;margin-top:14pt;width:93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" filled="f" stroked="f" strokeweight=".5pt">
                <v:path arrowok="t"/>
                <v:textbox>
                  <w:txbxContent>
                    <w:p w:rsidR="002B668D" w:rsidRPr="00AA7B70" w:rsidRDefault="002B668D" w:rsidP="00CE3D9A">
                      <w:pPr>
                        <w:rPr>
                          <w:lang w:val="en-US"/>
                        </w:rPr>
                      </w:pPr>
                      <w:r>
                        <w:rPr>
                          <w:lang w:val="en-US"/>
                        </w:rPr>
                        <w:t>Income</w:t>
                      </w:r>
                    </w:p>
                  </w:txbxContent>
                </v:textbox>
              </v:shape>
            </w:pict>
          </mc:Fallback>
        </mc:AlternateContent>
      </w:r>
      <w:r>
        <w:rPr>
          <w:noProof/>
          <w:sz w:val="24"/>
          <w:szCs w:val="24"/>
          <w:lang w:val="en-US" w:eastAsia="en-US"/>
        </w:rPr>
        <mc:AlternateContent>
          <mc:Choice Requires="wps">
            <w:drawing>
              <wp:anchor distT="0" distB="0" distL="114300" distR="114300" simplePos="0" relativeHeight="251674624" behindDoc="0" locked="0" layoutInCell="1" allowOverlap="1" wp14:anchorId="4B384CA8" wp14:editId="49E19B27">
                <wp:simplePos x="0" y="0"/>
                <wp:positionH relativeFrom="column">
                  <wp:posOffset>2255520</wp:posOffset>
                </wp:positionH>
                <wp:positionV relativeFrom="paragraph">
                  <wp:posOffset>3450590</wp:posOffset>
                </wp:positionV>
                <wp:extent cx="1181100" cy="2571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CE3D9A">
                            <w:pPr>
                              <w:rPr>
                                <w:lang w:val="en-US"/>
                              </w:rPr>
                            </w:pPr>
                            <w:r>
                              <w:rPr>
                                <w:lang w:val="en-US"/>
                              </w:rPr>
                              <w:t>Density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8" o:spid="_x0000_s1036" type="#_x0000_t202" style="position:absolute;margin-left:177.6pt;margin-top:271.7pt;width:93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" filled="f" stroked="f" strokeweight=".5pt">
                <v:path arrowok="t"/>
                <v:textbox>
                  <w:txbxContent>
                    <w:p w:rsidR="002B668D" w:rsidRPr="00AA7B70" w:rsidRDefault="002B668D" w:rsidP="00CE3D9A">
                      <w:pPr>
                        <w:rPr>
                          <w:lang w:val="en-US"/>
                        </w:rPr>
                      </w:pPr>
                      <w:r>
                        <w:rPr>
                          <w:lang w:val="en-US"/>
                        </w:rPr>
                        <w:t>Density</w:t>
                      </w:r>
                    </w:p>
                  </w:txbxContent>
                </v:textbox>
              </v:shape>
            </w:pict>
          </mc:Fallback>
        </mc:AlternateContent>
      </w:r>
      <w:r w:rsidR="00541A8C">
        <w:rPr>
          <w:noProof/>
          <w:sz w:val="24"/>
          <w:szCs w:val="24"/>
          <w:lang w:val="en-US" w:eastAsia="en-US"/>
        </w:rPr>
        <w:drawing>
          <wp:inline distT="0" distB="0" distL="0" distR="0" wp14:anchorId="6F0A0400" wp14:editId="6E487639">
            <wp:extent cx="5056742" cy="371324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57156" cy="3713550"/>
                    </a:xfrm>
                    <a:prstGeom prst="rect">
                      <a:avLst/>
                    </a:prstGeom>
                    <a:noFill/>
                    <a:ln>
                      <a:noFill/>
                    </a:ln>
                  </pic:spPr>
                </pic:pic>
              </a:graphicData>
            </a:graphic>
          </wp:inline>
        </w:drawing>
      </w:r>
    </w:p>
    <w:p w:rsidR="000D5F6A" w:rsidRPr="00D718C7" w:rsidRDefault="0094312C" w:rsidP="000D5F6A">
      <w:pPr>
        <w:rPr>
          <w:sz w:val="22"/>
          <w:szCs w:val="24"/>
          <w:lang w:val="en-US"/>
        </w:rPr>
      </w:pPr>
      <w:r>
        <w:rPr>
          <w:sz w:val="22"/>
          <w:szCs w:val="24"/>
          <w:lang w:val="en-US"/>
        </w:rPr>
        <w:t>N</w:t>
      </w:r>
      <w:r w:rsidR="000D5F6A" w:rsidRPr="00D718C7">
        <w:rPr>
          <w:sz w:val="22"/>
          <w:szCs w:val="24"/>
          <w:lang w:val="en-US"/>
        </w:rPr>
        <w:t xml:space="preserve">ote: The strobiloid </w:t>
      </w:r>
      <w:r>
        <w:rPr>
          <w:sz w:val="22"/>
          <w:szCs w:val="24"/>
          <w:lang w:val="en-US"/>
        </w:rPr>
        <w:t xml:space="preserve">shows </w:t>
      </w:r>
      <w:r w:rsidR="000D5F6A" w:rsidRPr="00D718C7">
        <w:rPr>
          <w:sz w:val="22"/>
          <w:szCs w:val="24"/>
          <w:lang w:val="en-US"/>
        </w:rPr>
        <w:t xml:space="preserve">the income hierarchy (on the </w:t>
      </w:r>
      <w:r w:rsidR="00CE3D9A">
        <w:rPr>
          <w:sz w:val="22"/>
          <w:szCs w:val="24"/>
          <w:lang w:val="en-US"/>
        </w:rPr>
        <w:t>vertical</w:t>
      </w:r>
      <w:r w:rsidR="000D5F6A" w:rsidRPr="00D718C7">
        <w:rPr>
          <w:sz w:val="22"/>
          <w:szCs w:val="24"/>
          <w:lang w:val="en-US"/>
        </w:rPr>
        <w:t xml:space="preserve"> axis, 1</w:t>
      </w:r>
      <w:r w:rsidR="000D5F6A">
        <w:rPr>
          <w:sz w:val="22"/>
          <w:szCs w:val="24"/>
          <w:lang w:val="en-US"/>
        </w:rPr>
        <w:t xml:space="preserve"> </w:t>
      </w:r>
      <w:r w:rsidR="000D5F6A" w:rsidRPr="00D718C7">
        <w:rPr>
          <w:sz w:val="22"/>
          <w:szCs w:val="24"/>
          <w:lang w:val="en-US"/>
        </w:rPr>
        <w:t>=</w:t>
      </w:r>
      <w:r w:rsidR="000D5F6A">
        <w:rPr>
          <w:sz w:val="22"/>
          <w:szCs w:val="24"/>
          <w:lang w:val="en-US"/>
        </w:rPr>
        <w:t xml:space="preserve"> </w:t>
      </w:r>
      <w:r w:rsidR="000D5F6A" w:rsidRPr="00D718C7">
        <w:rPr>
          <w:sz w:val="22"/>
          <w:szCs w:val="24"/>
          <w:lang w:val="en-US"/>
        </w:rPr>
        <w:t>median). The curve is larger (</w:t>
      </w:r>
      <w:r w:rsidR="00CE3D9A">
        <w:rPr>
          <w:sz w:val="22"/>
          <w:szCs w:val="24"/>
          <w:lang w:val="en-US"/>
        </w:rPr>
        <w:t xml:space="preserve">horizontal </w:t>
      </w:r>
      <w:r w:rsidR="000D5F6A" w:rsidRPr="00D718C7">
        <w:rPr>
          <w:sz w:val="22"/>
          <w:szCs w:val="24"/>
          <w:lang w:val="en-US"/>
        </w:rPr>
        <w:t xml:space="preserve">axis) when the density at this level </w:t>
      </w:r>
      <w:r w:rsidR="00CE3D9A">
        <w:rPr>
          <w:sz w:val="22"/>
          <w:szCs w:val="24"/>
          <w:lang w:val="en-US"/>
        </w:rPr>
        <w:t xml:space="preserve">of income </w:t>
      </w:r>
      <w:r w:rsidR="000D5F6A" w:rsidRPr="00D718C7">
        <w:rPr>
          <w:sz w:val="22"/>
          <w:szCs w:val="24"/>
          <w:lang w:val="en-US"/>
        </w:rPr>
        <w:t xml:space="preserve">is </w:t>
      </w:r>
      <w:r w:rsidR="00CE3D9A">
        <w:rPr>
          <w:sz w:val="22"/>
          <w:szCs w:val="24"/>
          <w:lang w:val="en-US"/>
        </w:rPr>
        <w:t>higher</w:t>
      </w:r>
      <w:r w:rsidR="000D5F6A" w:rsidRPr="00D718C7">
        <w:rPr>
          <w:sz w:val="22"/>
          <w:szCs w:val="24"/>
          <w:lang w:val="en-US"/>
        </w:rPr>
        <w:t xml:space="preserve">: </w:t>
      </w:r>
      <w:r w:rsidR="000D5F6A">
        <w:rPr>
          <w:sz w:val="22"/>
          <w:szCs w:val="24"/>
          <w:lang w:val="en-US"/>
        </w:rPr>
        <w:t>M</w:t>
      </w:r>
      <w:r w:rsidR="000D5F6A" w:rsidRPr="00D718C7">
        <w:rPr>
          <w:sz w:val="22"/>
          <w:szCs w:val="24"/>
          <w:lang w:val="en-US"/>
        </w:rPr>
        <w:t xml:space="preserve">any individuals are at the intermediate level </w:t>
      </w:r>
      <w:r w:rsidR="00CE3D9A">
        <w:rPr>
          <w:sz w:val="22"/>
          <w:szCs w:val="24"/>
          <w:lang w:val="en-US"/>
        </w:rPr>
        <w:t xml:space="preserve">near to the median </w:t>
      </w:r>
      <w:r w:rsidR="000D5F6A" w:rsidRPr="00D718C7">
        <w:rPr>
          <w:sz w:val="22"/>
          <w:szCs w:val="24"/>
          <w:lang w:val="en-US"/>
        </w:rPr>
        <w:t xml:space="preserve">and their number diminishes at the top and at the bottom. </w:t>
      </w:r>
      <w:r w:rsidR="000D5F6A" w:rsidRPr="00E45CD2">
        <w:rPr>
          <w:sz w:val="22"/>
          <w:szCs w:val="24"/>
          <w:lang w:val="en-US"/>
        </w:rPr>
        <w:t xml:space="preserve">Thus, </w:t>
      </w:r>
      <w:r w:rsidR="00D66383">
        <w:rPr>
          <w:sz w:val="22"/>
          <w:szCs w:val="24"/>
          <w:lang w:val="en-US"/>
        </w:rPr>
        <w:t xml:space="preserve">in strobiloids with a larger belly, </w:t>
      </w:r>
      <w:r w:rsidR="000D5F6A" w:rsidRPr="00E45CD2">
        <w:rPr>
          <w:sz w:val="22"/>
          <w:szCs w:val="24"/>
          <w:lang w:val="en-US"/>
        </w:rPr>
        <w:t xml:space="preserve">the intermediate middle class is </w:t>
      </w:r>
      <w:r w:rsidR="00E9025B">
        <w:rPr>
          <w:sz w:val="22"/>
          <w:szCs w:val="24"/>
          <w:lang w:val="en-US"/>
        </w:rPr>
        <w:t xml:space="preserve">larger </w:t>
      </w:r>
      <w:r w:rsidR="000D5F6A" w:rsidRPr="00E45CD2">
        <w:rPr>
          <w:sz w:val="22"/>
          <w:szCs w:val="24"/>
          <w:lang w:val="en-US"/>
        </w:rPr>
        <w:t xml:space="preserve">with </w:t>
      </w:r>
      <w:r w:rsidR="00E9025B">
        <w:rPr>
          <w:sz w:val="22"/>
          <w:szCs w:val="24"/>
          <w:lang w:val="en-US"/>
        </w:rPr>
        <w:t xml:space="preserve">a </w:t>
      </w:r>
      <w:r w:rsidR="00CE3D9A">
        <w:rPr>
          <w:sz w:val="22"/>
          <w:szCs w:val="24"/>
          <w:lang w:val="en-US"/>
        </w:rPr>
        <w:t>more equal distributions</w:t>
      </w:r>
      <w:r w:rsidR="000D5F6A" w:rsidRPr="00E45CD2">
        <w:rPr>
          <w:sz w:val="22"/>
          <w:szCs w:val="24"/>
          <w:lang w:val="en-US"/>
        </w:rPr>
        <w:t>.</w:t>
      </w:r>
      <w:r w:rsidR="000D5F6A" w:rsidRPr="00D718C7">
        <w:rPr>
          <w:sz w:val="22"/>
          <w:szCs w:val="24"/>
          <w:lang w:val="en-US"/>
        </w:rPr>
        <w:t xml:space="preserve"> </w:t>
      </w:r>
    </w:p>
    <w:p w:rsidR="000D5F6A" w:rsidRDefault="000D5F6A" w:rsidP="000D5F6A">
      <w:pPr>
        <w:spacing w:after="120" w:line="480" w:lineRule="auto"/>
        <w:rPr>
          <w:b/>
          <w:sz w:val="24"/>
          <w:szCs w:val="24"/>
          <w:lang w:val="en-US"/>
        </w:rPr>
      </w:pPr>
    </w:p>
    <w:p w:rsidR="005D57E5" w:rsidRDefault="005D57E5" w:rsidP="000D5F6A">
      <w:pPr>
        <w:spacing w:after="120" w:line="480" w:lineRule="auto"/>
        <w:rPr>
          <w:b/>
          <w:sz w:val="24"/>
          <w:szCs w:val="24"/>
          <w:lang w:val="en-US"/>
        </w:rPr>
      </w:pPr>
      <w:r>
        <w:rPr>
          <w:b/>
          <w:sz w:val="24"/>
          <w:szCs w:val="24"/>
          <w:lang w:val="en-US"/>
        </w:rPr>
        <w:br w:type="column"/>
      </w:r>
    </w:p>
    <w:p w:rsidR="000D5F6A" w:rsidRPr="00B2141B" w:rsidRDefault="000D5F6A" w:rsidP="000D5F6A">
      <w:pPr>
        <w:spacing w:after="120" w:line="480" w:lineRule="auto"/>
        <w:rPr>
          <w:b/>
          <w:bCs/>
          <w:sz w:val="24"/>
          <w:szCs w:val="24"/>
          <w:lang w:val="en-GB"/>
        </w:rPr>
      </w:pPr>
      <w:r>
        <w:rPr>
          <w:b/>
          <w:sz w:val="24"/>
          <w:szCs w:val="24"/>
          <w:lang w:val="en-US"/>
        </w:rPr>
        <w:t xml:space="preserve">Figure 6: </w:t>
      </w:r>
      <w:r w:rsidR="00E9025B">
        <w:rPr>
          <w:b/>
          <w:sz w:val="24"/>
          <w:szCs w:val="24"/>
          <w:lang w:val="en-US"/>
        </w:rPr>
        <w:t xml:space="preserve">The </w:t>
      </w:r>
      <w:r>
        <w:rPr>
          <w:b/>
          <w:sz w:val="24"/>
          <w:szCs w:val="24"/>
          <w:lang w:val="en-US"/>
        </w:rPr>
        <w:t xml:space="preserve">Isographs </w:t>
      </w:r>
      <w:r w:rsidR="0094312C">
        <w:rPr>
          <w:b/>
          <w:sz w:val="24"/>
          <w:szCs w:val="24"/>
          <w:lang w:val="en-US"/>
        </w:rPr>
        <w:t xml:space="preserve">for </w:t>
      </w:r>
      <w:r>
        <w:rPr>
          <w:b/>
          <w:sz w:val="24"/>
          <w:szCs w:val="24"/>
          <w:lang w:val="en-US"/>
        </w:rPr>
        <w:t xml:space="preserve">six typical countries </w:t>
      </w:r>
    </w:p>
    <w:p w:rsidR="00BD0275" w:rsidRDefault="002A75E4" w:rsidP="000D5F6A">
      <w:pPr>
        <w:spacing w:after="120" w:line="480" w:lineRule="auto"/>
        <w:rPr>
          <w:sz w:val="24"/>
          <w:szCs w:val="24"/>
          <w:lang w:val="en-US"/>
        </w:rPr>
      </w:pPr>
      <w:r>
        <w:rPr>
          <w:noProof/>
          <w:sz w:val="24"/>
          <w:szCs w:val="24"/>
          <w:lang w:val="en-US" w:eastAsia="en-US"/>
        </w:rPr>
        <mc:AlternateContent>
          <mc:Choice Requires="wps">
            <w:drawing>
              <wp:anchor distT="0" distB="0" distL="114300" distR="114300" simplePos="0" relativeHeight="251672576" behindDoc="0" locked="0" layoutInCell="1" allowOverlap="1" wp14:anchorId="6CEC5D11" wp14:editId="42BB58D3">
                <wp:simplePos x="0" y="0"/>
                <wp:positionH relativeFrom="column">
                  <wp:posOffset>400685</wp:posOffset>
                </wp:positionH>
                <wp:positionV relativeFrom="paragraph">
                  <wp:posOffset>572135</wp:posOffset>
                </wp:positionV>
                <wp:extent cx="1181100" cy="2571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CE3D9A">
                            <w:pPr>
                              <w:rPr>
                                <w:lang w:val="en-US"/>
                              </w:rPr>
                            </w:pPr>
                            <w:r>
                              <w:rPr>
                                <w:lang w:val="en-US"/>
                              </w:rPr>
                              <w:t>ISO(X)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37" type="#_x0000_t202" style="position:absolute;margin-left:31.55pt;margin-top:45.05pt;width:93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" filled="f" stroked="f" strokeweight=".5pt">
                <v:path arrowok="t"/>
                <v:textbox>
                  <w:txbxContent>
                    <w:p w:rsidR="002B668D" w:rsidRPr="00AA7B70" w:rsidRDefault="002B668D" w:rsidP="00CE3D9A">
                      <w:pPr>
                        <w:rPr>
                          <w:lang w:val="en-US"/>
                        </w:rPr>
                      </w:pPr>
                      <w:r>
                        <w:rPr>
                          <w:lang w:val="en-US"/>
                        </w:rPr>
                        <w:t>ISO(X)</w:t>
                      </w:r>
                    </w:p>
                  </w:txbxContent>
                </v:textbox>
              </v:shape>
            </w:pict>
          </mc:Fallback>
        </mc:AlternateContent>
      </w:r>
      <w:r>
        <w:rPr>
          <w:noProof/>
          <w:sz w:val="24"/>
          <w:szCs w:val="24"/>
          <w:lang w:val="en-US" w:eastAsia="en-US"/>
        </w:rPr>
        <mc:AlternateContent>
          <mc:Choice Requires="wps">
            <w:drawing>
              <wp:anchor distT="0" distB="0" distL="114300" distR="114300" simplePos="0" relativeHeight="251671552" behindDoc="0" locked="0" layoutInCell="1" allowOverlap="1" wp14:anchorId="284B760A" wp14:editId="71FC19DF">
                <wp:simplePos x="0" y="0"/>
                <wp:positionH relativeFrom="column">
                  <wp:posOffset>2024380</wp:posOffset>
                </wp:positionH>
                <wp:positionV relativeFrom="paragraph">
                  <wp:posOffset>3354070</wp:posOffset>
                </wp:positionV>
                <wp:extent cx="1181100" cy="2571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668D" w:rsidRPr="00AA7B70" w:rsidRDefault="002B668D" w:rsidP="00CE3D9A">
                            <w:pPr>
                              <w:rPr>
                                <w:lang w:val="en-US"/>
                              </w:rPr>
                            </w:pPr>
                            <w:r>
                              <w:rPr>
                                <w:lang w:val="en-US"/>
                              </w:rPr>
                              <w:t>X=logit(quantile)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 o:spid="_x0000_s1038" type="#_x0000_t202" style="position:absolute;margin-left:159.4pt;margin-top:264.1pt;width:93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" filled="f" stroked="f" strokeweight=".5pt">
                <v:path arrowok="t"/>
                <v:textbox>
                  <w:txbxContent>
                    <w:p w:rsidR="002B668D" w:rsidRPr="00AA7B70" w:rsidRDefault="002B668D" w:rsidP="00CE3D9A">
                      <w:pPr>
                        <w:rPr>
                          <w:lang w:val="en-US"/>
                        </w:rPr>
                      </w:pPr>
                      <w:r>
                        <w:rPr>
                          <w:lang w:val="en-US"/>
                        </w:rPr>
                        <w:t>X=</w:t>
                      </w:r>
                      <w:proofErr w:type="gramStart"/>
                      <w:r>
                        <w:rPr>
                          <w:lang w:val="en-US"/>
                        </w:rPr>
                        <w:t>logit(</w:t>
                      </w:r>
                      <w:proofErr w:type="gramEnd"/>
                      <w:r>
                        <w:rPr>
                          <w:lang w:val="en-US"/>
                        </w:rPr>
                        <w:t>quantile)</w:t>
                      </w:r>
                    </w:p>
                  </w:txbxContent>
                </v:textbox>
              </v:shape>
            </w:pict>
          </mc:Fallback>
        </mc:AlternateContent>
      </w:r>
      <w:r w:rsidR="00BD0275">
        <w:rPr>
          <w:noProof/>
          <w:sz w:val="24"/>
          <w:szCs w:val="24"/>
          <w:lang w:val="en-US" w:eastAsia="en-US"/>
        </w:rPr>
        <w:drawing>
          <wp:inline distT="0" distB="0" distL="0" distR="0" wp14:anchorId="6F7981B6" wp14:editId="23720D25">
            <wp:extent cx="5111750" cy="37458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1750" cy="3745865"/>
                    </a:xfrm>
                    <a:prstGeom prst="rect">
                      <a:avLst/>
                    </a:prstGeom>
                    <a:noFill/>
                    <a:ln>
                      <a:noFill/>
                    </a:ln>
                  </pic:spPr>
                </pic:pic>
              </a:graphicData>
            </a:graphic>
          </wp:inline>
        </w:drawing>
      </w:r>
    </w:p>
    <w:p w:rsidR="000D5F6A" w:rsidRDefault="0094312C" w:rsidP="000D5F6A">
      <w:pPr>
        <w:rPr>
          <w:sz w:val="22"/>
          <w:szCs w:val="24"/>
          <w:lang w:val="en-US"/>
        </w:rPr>
      </w:pPr>
      <w:r>
        <w:rPr>
          <w:sz w:val="22"/>
          <w:szCs w:val="24"/>
          <w:lang w:val="en-US"/>
        </w:rPr>
        <w:t>N</w:t>
      </w:r>
      <w:r w:rsidR="000D5F6A" w:rsidRPr="00D718C7">
        <w:rPr>
          <w:sz w:val="22"/>
          <w:szCs w:val="24"/>
          <w:lang w:val="en-US"/>
        </w:rPr>
        <w:t xml:space="preserve">ote: </w:t>
      </w:r>
      <w:r w:rsidR="00D66383">
        <w:rPr>
          <w:sz w:val="22"/>
          <w:szCs w:val="24"/>
          <w:lang w:val="en-US"/>
        </w:rPr>
        <w:t>T</w:t>
      </w:r>
      <w:r w:rsidR="00DD6683">
        <w:rPr>
          <w:sz w:val="22"/>
          <w:szCs w:val="24"/>
          <w:lang w:val="en-US"/>
        </w:rPr>
        <w:t xml:space="preserve">he dots represent </w:t>
      </w:r>
      <w:r w:rsidR="00DD6683" w:rsidRPr="00D718C7">
        <w:rPr>
          <w:sz w:val="22"/>
          <w:szCs w:val="24"/>
          <w:lang w:val="en-US"/>
        </w:rPr>
        <w:t xml:space="preserve">the empirical </w:t>
      </w:r>
      <w:r w:rsidR="00DD6683">
        <w:rPr>
          <w:sz w:val="22"/>
          <w:szCs w:val="24"/>
          <w:lang w:val="en-US"/>
        </w:rPr>
        <w:t xml:space="preserve">values and </w:t>
      </w:r>
      <w:r>
        <w:rPr>
          <w:sz w:val="22"/>
          <w:szCs w:val="24"/>
          <w:lang w:val="en-US"/>
        </w:rPr>
        <w:t xml:space="preserve">the </w:t>
      </w:r>
      <w:r w:rsidR="00191E63">
        <w:rPr>
          <w:sz w:val="22"/>
          <w:szCs w:val="24"/>
          <w:lang w:val="en-US"/>
        </w:rPr>
        <w:t xml:space="preserve">lines </w:t>
      </w:r>
      <w:r w:rsidR="00DD6683">
        <w:rPr>
          <w:sz w:val="22"/>
          <w:szCs w:val="24"/>
          <w:lang w:val="en-US"/>
        </w:rPr>
        <w:t xml:space="preserve">are </w:t>
      </w:r>
      <w:r w:rsidR="000D5F6A" w:rsidRPr="00D718C7">
        <w:rPr>
          <w:sz w:val="22"/>
          <w:szCs w:val="24"/>
          <w:lang w:val="en-US"/>
        </w:rPr>
        <w:t xml:space="preserve">the fitted isographs (ABG method). </w:t>
      </w:r>
      <w:r w:rsidR="00191E63">
        <w:rPr>
          <w:sz w:val="22"/>
          <w:szCs w:val="24"/>
          <w:lang w:val="en-US"/>
        </w:rPr>
        <w:t xml:space="preserve">For each country, two periods are considered: </w:t>
      </w:r>
      <w:r w:rsidR="00E9025B">
        <w:rPr>
          <w:sz w:val="22"/>
          <w:szCs w:val="24"/>
          <w:lang w:val="en-US"/>
        </w:rPr>
        <w:t xml:space="preserve">the </w:t>
      </w:r>
      <w:r w:rsidR="00191E63">
        <w:rPr>
          <w:sz w:val="22"/>
          <w:szCs w:val="24"/>
          <w:lang w:val="en-US"/>
        </w:rPr>
        <w:t xml:space="preserve">dashed line and white dots pertain to the older years, </w:t>
      </w:r>
      <w:r w:rsidR="00E9025B">
        <w:rPr>
          <w:sz w:val="22"/>
          <w:szCs w:val="24"/>
          <w:lang w:val="en-US"/>
        </w:rPr>
        <w:t xml:space="preserve">the </w:t>
      </w:r>
      <w:r w:rsidR="00191E63">
        <w:rPr>
          <w:sz w:val="22"/>
          <w:szCs w:val="24"/>
          <w:lang w:val="en-US"/>
        </w:rPr>
        <w:t>full line and gr</w:t>
      </w:r>
      <w:r w:rsidR="00D66383">
        <w:rPr>
          <w:sz w:val="22"/>
          <w:szCs w:val="24"/>
          <w:lang w:val="en-US"/>
        </w:rPr>
        <w:t>a</w:t>
      </w:r>
      <w:r w:rsidR="00191E63">
        <w:rPr>
          <w:sz w:val="22"/>
          <w:szCs w:val="24"/>
          <w:lang w:val="en-US"/>
        </w:rPr>
        <w:t xml:space="preserve">y dots </w:t>
      </w:r>
      <w:r>
        <w:rPr>
          <w:sz w:val="22"/>
          <w:szCs w:val="24"/>
          <w:lang w:val="en-US"/>
        </w:rPr>
        <w:t xml:space="preserve">refer to </w:t>
      </w:r>
      <w:r w:rsidR="00E9025B">
        <w:rPr>
          <w:sz w:val="22"/>
          <w:szCs w:val="24"/>
          <w:lang w:val="en-US"/>
        </w:rPr>
        <w:t xml:space="preserve">more recent </w:t>
      </w:r>
      <w:r>
        <w:rPr>
          <w:sz w:val="22"/>
          <w:szCs w:val="24"/>
          <w:lang w:val="en-US"/>
        </w:rPr>
        <w:t>year</w:t>
      </w:r>
      <w:r w:rsidR="00191E63">
        <w:rPr>
          <w:sz w:val="22"/>
          <w:szCs w:val="24"/>
          <w:lang w:val="en-US"/>
        </w:rPr>
        <w:t xml:space="preserve">s. </w:t>
      </w:r>
      <w:r w:rsidR="000D5F6A" w:rsidRPr="00D718C7">
        <w:rPr>
          <w:sz w:val="22"/>
          <w:szCs w:val="24"/>
          <w:lang w:val="en-US"/>
        </w:rPr>
        <w:t xml:space="preserve">The higher the curve at a given level of X (logit rank), the </w:t>
      </w:r>
      <w:r>
        <w:rPr>
          <w:sz w:val="22"/>
          <w:szCs w:val="24"/>
          <w:lang w:val="en-US"/>
        </w:rPr>
        <w:t>great</w:t>
      </w:r>
      <w:r w:rsidR="000D5F6A" w:rsidRPr="00D718C7">
        <w:rPr>
          <w:sz w:val="22"/>
          <w:szCs w:val="24"/>
          <w:lang w:val="en-US"/>
        </w:rPr>
        <w:t xml:space="preserve">er are the income inequalities at this level. Israel </w:t>
      </w:r>
      <w:r>
        <w:rPr>
          <w:sz w:val="22"/>
          <w:szCs w:val="24"/>
          <w:lang w:val="en-US"/>
        </w:rPr>
        <w:t xml:space="preserve">over </w:t>
      </w:r>
      <w:r w:rsidR="000D5F6A" w:rsidRPr="00D718C7">
        <w:rPr>
          <w:sz w:val="22"/>
          <w:szCs w:val="24"/>
          <w:lang w:val="en-US"/>
        </w:rPr>
        <w:t xml:space="preserve">1986-2010 </w:t>
      </w:r>
      <w:r>
        <w:rPr>
          <w:sz w:val="22"/>
          <w:szCs w:val="24"/>
          <w:lang w:val="en-US"/>
        </w:rPr>
        <w:t xml:space="preserve">is </w:t>
      </w:r>
      <w:r w:rsidR="000D5F6A" w:rsidRPr="00D718C7">
        <w:rPr>
          <w:sz w:val="22"/>
          <w:szCs w:val="24"/>
          <w:lang w:val="en-US"/>
        </w:rPr>
        <w:t xml:space="preserve">an obvious case of </w:t>
      </w:r>
      <w:r w:rsidR="000D5F6A">
        <w:rPr>
          <w:sz w:val="22"/>
          <w:szCs w:val="24"/>
          <w:lang w:val="en-US"/>
        </w:rPr>
        <w:t xml:space="preserve">extreme </w:t>
      </w:r>
      <w:r w:rsidR="000D5F6A" w:rsidRPr="00D718C7">
        <w:rPr>
          <w:sz w:val="22"/>
          <w:szCs w:val="24"/>
          <w:lang w:val="en-US"/>
        </w:rPr>
        <w:t>polarization.</w:t>
      </w:r>
    </w:p>
    <w:p w:rsidR="00D73CBE" w:rsidRDefault="00D73CBE" w:rsidP="000D5F6A">
      <w:pPr>
        <w:rPr>
          <w:sz w:val="22"/>
          <w:szCs w:val="24"/>
          <w:lang w:val="en-US"/>
        </w:rPr>
      </w:pPr>
    </w:p>
    <w:p w:rsidR="00D73CBE" w:rsidRDefault="00D73CBE" w:rsidP="000D5F6A">
      <w:pPr>
        <w:rPr>
          <w:sz w:val="22"/>
          <w:szCs w:val="24"/>
          <w:lang w:val="en-US"/>
        </w:rPr>
      </w:pPr>
    </w:p>
    <w:p w:rsidR="00D73CBE" w:rsidRPr="00335DEE" w:rsidRDefault="00D73CBE" w:rsidP="00D73CBE">
      <w:pPr>
        <w:rPr>
          <w:sz w:val="24"/>
          <w:szCs w:val="24"/>
          <w:lang w:val="en-US"/>
        </w:rPr>
      </w:pPr>
      <w:r w:rsidRPr="00335DEE">
        <w:rPr>
          <w:sz w:val="24"/>
          <w:szCs w:val="24"/>
          <w:lang w:val="en-US"/>
        </w:rPr>
        <w:t>Supporting Information</w:t>
      </w:r>
    </w:p>
    <w:p w:rsidR="00D73CBE" w:rsidRPr="00335DEE" w:rsidRDefault="00D73CBE" w:rsidP="00D73CBE">
      <w:pPr>
        <w:rPr>
          <w:sz w:val="24"/>
          <w:szCs w:val="24"/>
          <w:lang w:val="en-US"/>
        </w:rPr>
      </w:pPr>
    </w:p>
    <w:p w:rsidR="00D73CBE" w:rsidRPr="00335DEE" w:rsidRDefault="00D73CBE" w:rsidP="00D73CBE">
      <w:pPr>
        <w:rPr>
          <w:sz w:val="24"/>
          <w:szCs w:val="24"/>
          <w:lang w:val="en-US"/>
        </w:rPr>
      </w:pPr>
      <w:r w:rsidRPr="00335DEE">
        <w:rPr>
          <w:sz w:val="24"/>
          <w:szCs w:val="24"/>
          <w:lang w:val="en-US"/>
        </w:rPr>
        <w:t>Additional Supporting Information may be found in the online version of this article at the</w:t>
      </w:r>
    </w:p>
    <w:p w:rsidR="00D73CBE" w:rsidRPr="00335DEE" w:rsidRDefault="00D73CBE" w:rsidP="00D73CBE">
      <w:pPr>
        <w:rPr>
          <w:sz w:val="24"/>
          <w:szCs w:val="24"/>
          <w:lang w:val="en-US"/>
        </w:rPr>
      </w:pPr>
      <w:r w:rsidRPr="00335DEE">
        <w:rPr>
          <w:sz w:val="24"/>
          <w:szCs w:val="24"/>
          <w:lang w:val="en-US"/>
        </w:rPr>
        <w:t>publisher’s web-site:</w:t>
      </w:r>
    </w:p>
    <w:p w:rsidR="00D73CBE" w:rsidRPr="00335DEE" w:rsidRDefault="00D73CBE" w:rsidP="00D73CBE">
      <w:pPr>
        <w:rPr>
          <w:sz w:val="24"/>
          <w:szCs w:val="24"/>
          <w:lang w:val="en-US"/>
        </w:rPr>
      </w:pPr>
    </w:p>
    <w:p w:rsidR="00D73CBE" w:rsidRPr="00335DEE" w:rsidRDefault="00D73CBE" w:rsidP="00D73CBE">
      <w:pPr>
        <w:rPr>
          <w:sz w:val="24"/>
          <w:szCs w:val="24"/>
          <w:lang w:val="en-US"/>
        </w:rPr>
      </w:pPr>
      <w:r w:rsidRPr="00335DEE">
        <w:rPr>
          <w:sz w:val="24"/>
          <w:szCs w:val="24"/>
          <w:lang w:val="en-US"/>
        </w:rPr>
        <w:t xml:space="preserve">Appendix 1: </w:t>
      </w:r>
      <w:r w:rsidR="00AC0A6C">
        <w:rPr>
          <w:sz w:val="24"/>
          <w:szCs w:val="24"/>
          <w:lang w:val="en-US"/>
        </w:rPr>
        <w:t xml:space="preserve">Figure of </w:t>
      </w:r>
      <w:r w:rsidR="00DE578D" w:rsidRPr="00DE578D">
        <w:rPr>
          <w:sz w:val="24"/>
          <w:szCs w:val="24"/>
          <w:lang w:val="en-GB"/>
        </w:rPr>
        <w:t>232 Isographs</w:t>
      </w:r>
      <w:r w:rsidR="00DE578D">
        <w:rPr>
          <w:sz w:val="24"/>
          <w:szCs w:val="24"/>
          <w:lang w:val="en-GB"/>
        </w:rPr>
        <w:t xml:space="preserve"> </w:t>
      </w:r>
      <w:r w:rsidR="00DE578D">
        <w:rPr>
          <w:sz w:val="24"/>
          <w:szCs w:val="24"/>
          <w:lang w:val="en-US"/>
        </w:rPr>
        <w:t>(MS Word .doc)</w:t>
      </w:r>
    </w:p>
    <w:p w:rsidR="00D73CBE" w:rsidRPr="00335DEE" w:rsidRDefault="00D73CBE" w:rsidP="00D73CBE">
      <w:pPr>
        <w:rPr>
          <w:sz w:val="24"/>
          <w:szCs w:val="24"/>
          <w:lang w:val="en-US"/>
        </w:rPr>
      </w:pPr>
      <w:r w:rsidRPr="00335DEE">
        <w:rPr>
          <w:sz w:val="24"/>
          <w:szCs w:val="24"/>
          <w:lang w:val="en-US"/>
        </w:rPr>
        <w:t xml:space="preserve">Appendix 2: </w:t>
      </w:r>
      <w:r w:rsidR="00DE578D" w:rsidRPr="00DE578D">
        <w:rPr>
          <w:sz w:val="24"/>
          <w:szCs w:val="24"/>
          <w:lang w:val="en-US"/>
        </w:rPr>
        <w:t xml:space="preserve">Table of 30 </w:t>
      </w:r>
      <w:r w:rsidR="00DE578D">
        <w:rPr>
          <w:sz w:val="24"/>
          <w:szCs w:val="24"/>
          <w:lang w:val="en-US"/>
        </w:rPr>
        <w:t>I</w:t>
      </w:r>
      <w:r w:rsidR="00DE578D" w:rsidRPr="00DE578D">
        <w:rPr>
          <w:sz w:val="24"/>
          <w:szCs w:val="24"/>
          <w:lang w:val="en-US"/>
        </w:rPr>
        <w:t xml:space="preserve">nequality </w:t>
      </w:r>
      <w:r w:rsidR="00DE578D">
        <w:rPr>
          <w:sz w:val="24"/>
          <w:szCs w:val="24"/>
          <w:lang w:val="en-US"/>
        </w:rPr>
        <w:t>I</w:t>
      </w:r>
      <w:r w:rsidR="00DE578D" w:rsidRPr="00DE578D">
        <w:rPr>
          <w:sz w:val="24"/>
          <w:szCs w:val="24"/>
          <w:lang w:val="en-US"/>
        </w:rPr>
        <w:t>ndices</w:t>
      </w:r>
      <w:r w:rsidR="00DE578D">
        <w:rPr>
          <w:sz w:val="24"/>
          <w:szCs w:val="24"/>
          <w:lang w:val="en-US"/>
        </w:rPr>
        <w:t xml:space="preserve"> </w:t>
      </w:r>
      <w:r w:rsidR="00DE578D">
        <w:rPr>
          <w:sz w:val="24"/>
          <w:szCs w:val="24"/>
          <w:lang w:val="en-GB"/>
        </w:rPr>
        <w:t xml:space="preserve"> </w:t>
      </w:r>
      <w:r w:rsidR="00DE578D">
        <w:rPr>
          <w:sz w:val="24"/>
          <w:szCs w:val="24"/>
          <w:lang w:val="en-US"/>
        </w:rPr>
        <w:t>(Stata 12 .dta)</w:t>
      </w:r>
      <w:r w:rsidR="00DE578D" w:rsidRPr="00DE578D">
        <w:rPr>
          <w:sz w:val="24"/>
          <w:szCs w:val="24"/>
          <w:lang w:val="en-US"/>
        </w:rPr>
        <w:t xml:space="preserve"> </w:t>
      </w:r>
    </w:p>
    <w:p w:rsidR="00D73CBE" w:rsidRPr="00335DEE" w:rsidRDefault="00D73CBE" w:rsidP="00D73CBE">
      <w:pPr>
        <w:rPr>
          <w:sz w:val="24"/>
          <w:szCs w:val="24"/>
          <w:lang w:val="en-US"/>
        </w:rPr>
      </w:pPr>
      <w:r w:rsidRPr="00335DEE">
        <w:rPr>
          <w:sz w:val="24"/>
          <w:szCs w:val="24"/>
          <w:lang w:val="en-US"/>
        </w:rPr>
        <w:t xml:space="preserve">Appendix 3: </w:t>
      </w:r>
      <w:r w:rsidR="00DE578D">
        <w:rPr>
          <w:sz w:val="24"/>
          <w:szCs w:val="24"/>
          <w:lang w:val="en-US"/>
        </w:rPr>
        <w:t>G</w:t>
      </w:r>
      <w:r w:rsidR="00DE578D" w:rsidRPr="00DE578D">
        <w:rPr>
          <w:sz w:val="24"/>
          <w:szCs w:val="24"/>
          <w:lang w:val="en-US"/>
        </w:rPr>
        <w:t xml:space="preserve">eneral </w:t>
      </w:r>
      <w:r w:rsidR="00DE578D">
        <w:rPr>
          <w:sz w:val="24"/>
          <w:szCs w:val="24"/>
          <w:lang w:val="en-US"/>
        </w:rPr>
        <w:t>C</w:t>
      </w:r>
      <w:r w:rsidR="00DE578D" w:rsidRPr="00DE578D">
        <w:rPr>
          <w:sz w:val="24"/>
          <w:szCs w:val="24"/>
          <w:lang w:val="en-US"/>
        </w:rPr>
        <w:t xml:space="preserve">orrelation </w:t>
      </w:r>
      <w:r w:rsidR="00DE578D">
        <w:rPr>
          <w:sz w:val="24"/>
          <w:szCs w:val="24"/>
          <w:lang w:val="en-US"/>
        </w:rPr>
        <w:t>M</w:t>
      </w:r>
      <w:r w:rsidR="00DE578D" w:rsidRPr="00DE578D">
        <w:rPr>
          <w:sz w:val="24"/>
          <w:szCs w:val="24"/>
          <w:lang w:val="en-US"/>
        </w:rPr>
        <w:t xml:space="preserve">atrix of 30 </w:t>
      </w:r>
      <w:r w:rsidR="00DE578D">
        <w:rPr>
          <w:sz w:val="24"/>
          <w:szCs w:val="24"/>
          <w:lang w:val="en-US"/>
        </w:rPr>
        <w:t>I</w:t>
      </w:r>
      <w:r w:rsidR="00DE578D" w:rsidRPr="00DE578D">
        <w:rPr>
          <w:sz w:val="24"/>
          <w:szCs w:val="24"/>
          <w:lang w:val="en-US"/>
        </w:rPr>
        <w:t xml:space="preserve">nequality </w:t>
      </w:r>
      <w:r w:rsidR="00DE578D">
        <w:rPr>
          <w:sz w:val="24"/>
          <w:szCs w:val="24"/>
          <w:lang w:val="en-US"/>
        </w:rPr>
        <w:t>I</w:t>
      </w:r>
      <w:r w:rsidR="00DE578D" w:rsidRPr="00DE578D">
        <w:rPr>
          <w:sz w:val="24"/>
          <w:szCs w:val="24"/>
          <w:lang w:val="en-US"/>
        </w:rPr>
        <w:t>ndicators</w:t>
      </w:r>
      <w:r w:rsidR="00DE578D">
        <w:rPr>
          <w:sz w:val="24"/>
          <w:szCs w:val="24"/>
          <w:lang w:val="en-GB"/>
        </w:rPr>
        <w:t xml:space="preserve"> </w:t>
      </w:r>
      <w:r w:rsidR="00DE578D">
        <w:rPr>
          <w:sz w:val="24"/>
          <w:szCs w:val="24"/>
          <w:lang w:val="en-US"/>
        </w:rPr>
        <w:t>(MS Excel .xls)</w:t>
      </w:r>
    </w:p>
    <w:p w:rsidR="00D73CBE" w:rsidRPr="00335DEE" w:rsidRDefault="00D73CBE" w:rsidP="00D73CBE">
      <w:pPr>
        <w:rPr>
          <w:sz w:val="24"/>
          <w:szCs w:val="24"/>
          <w:lang w:val="en-US"/>
        </w:rPr>
      </w:pPr>
      <w:r w:rsidRPr="00335DEE">
        <w:rPr>
          <w:sz w:val="24"/>
          <w:szCs w:val="24"/>
          <w:lang w:val="en-US"/>
        </w:rPr>
        <w:t xml:space="preserve">Appendix 4: </w:t>
      </w:r>
      <w:r w:rsidR="00AC0A6C">
        <w:rPr>
          <w:sz w:val="24"/>
          <w:szCs w:val="24"/>
          <w:lang w:val="en-US"/>
        </w:rPr>
        <w:t>Figure of 32 Countries</w:t>
      </w:r>
      <w:r w:rsidR="00AC0A6C">
        <w:rPr>
          <w:sz w:val="24"/>
          <w:szCs w:val="24"/>
          <w:lang w:val="en-GB"/>
        </w:rPr>
        <w:t xml:space="preserve"> </w:t>
      </w:r>
      <w:r w:rsidR="00DE578D">
        <w:rPr>
          <w:sz w:val="24"/>
          <w:szCs w:val="24"/>
          <w:lang w:val="en-US"/>
        </w:rPr>
        <w:t>Strobiloids (MS Word .doc)</w:t>
      </w:r>
    </w:p>
    <w:p w:rsidR="00D73CBE" w:rsidRPr="00335DEE" w:rsidRDefault="00D73CBE" w:rsidP="00D73CBE">
      <w:pPr>
        <w:rPr>
          <w:sz w:val="24"/>
          <w:szCs w:val="24"/>
          <w:lang w:val="en-US"/>
        </w:rPr>
      </w:pPr>
      <w:r w:rsidRPr="00335DEE">
        <w:rPr>
          <w:sz w:val="24"/>
          <w:szCs w:val="24"/>
          <w:lang w:val="en-US"/>
        </w:rPr>
        <w:t xml:space="preserve">Appendix 5: </w:t>
      </w:r>
      <w:r w:rsidR="00DE578D">
        <w:rPr>
          <w:sz w:val="24"/>
          <w:szCs w:val="24"/>
          <w:lang w:val="en-US"/>
        </w:rPr>
        <w:t>Distribution Simulator for ABG</w:t>
      </w:r>
      <w:r w:rsidR="00DE578D">
        <w:rPr>
          <w:sz w:val="24"/>
          <w:szCs w:val="24"/>
          <w:lang w:val="en-GB"/>
        </w:rPr>
        <w:t xml:space="preserve"> </w:t>
      </w:r>
      <w:r w:rsidR="00DE578D">
        <w:rPr>
          <w:sz w:val="24"/>
          <w:szCs w:val="24"/>
          <w:lang w:val="en-US"/>
        </w:rPr>
        <w:t>(MS Excel .xls)</w:t>
      </w:r>
    </w:p>
    <w:p w:rsidR="00D73CBE" w:rsidRPr="00335DEE" w:rsidRDefault="00D73CBE" w:rsidP="00D73CBE">
      <w:pPr>
        <w:rPr>
          <w:sz w:val="24"/>
          <w:szCs w:val="24"/>
          <w:lang w:val="en-US"/>
        </w:rPr>
      </w:pPr>
    </w:p>
    <w:p w:rsidR="00D73CBE" w:rsidRPr="00335DEE" w:rsidRDefault="00335DEE" w:rsidP="00D73CBE">
      <w:pPr>
        <w:rPr>
          <w:sz w:val="24"/>
          <w:szCs w:val="24"/>
          <w:lang w:val="en-US"/>
        </w:rPr>
      </w:pPr>
      <w:r>
        <w:rPr>
          <w:sz w:val="24"/>
          <w:szCs w:val="24"/>
          <w:lang w:val="en-US"/>
        </w:rPr>
        <w:t xml:space="preserve">These appendixes can be downloaded at </w:t>
      </w:r>
      <w:hyperlink r:id="rId15" w:history="1">
        <w:r w:rsidRPr="004B65B0">
          <w:rPr>
            <w:rStyle w:val="Hyperlink"/>
            <w:sz w:val="24"/>
            <w:szCs w:val="24"/>
            <w:lang w:val="en-US"/>
          </w:rPr>
          <w:t>http://www.louischauvel.org/roiw.zip</w:t>
        </w:r>
      </w:hyperlink>
      <w:r>
        <w:rPr>
          <w:sz w:val="24"/>
          <w:szCs w:val="24"/>
          <w:lang w:val="en-US"/>
        </w:rPr>
        <w:t xml:space="preserve"> </w:t>
      </w:r>
      <w:bookmarkStart w:id="0" w:name="_GoBack"/>
      <w:bookmarkEnd w:id="0"/>
    </w:p>
    <w:sectPr w:rsidR="00D73CBE" w:rsidRPr="00335DEE" w:rsidSect="00751770">
      <w:footerReference w:type="default" r:id="rId16"/>
      <w:pgSz w:w="11906" w:h="16838"/>
      <w:pgMar w:top="1411" w:right="1411" w:bottom="1411" w:left="1411"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DFF649" w15:done="0"/>
  <w15:commentEx w15:paraId="2997EA75" w15:done="0"/>
  <w15:commentEx w15:paraId="6B301103" w15:done="0"/>
  <w15:commentEx w15:paraId="2BF0DBDD" w15:done="0"/>
  <w15:commentEx w15:paraId="04D1E866" w15:done="0"/>
  <w15:commentEx w15:paraId="034D0FD6" w15:done="0"/>
  <w15:commentEx w15:paraId="0B736EDD" w15:done="0"/>
  <w15:commentEx w15:paraId="57E2C650" w15:done="0"/>
  <w15:commentEx w15:paraId="3BA7CB8A" w15:done="0"/>
  <w15:commentEx w15:paraId="4FE9D56E" w15:done="0"/>
  <w15:commentEx w15:paraId="3D8AFC3B" w15:done="0"/>
  <w15:commentEx w15:paraId="59A25BC2" w15:done="0"/>
  <w15:commentEx w15:paraId="1B10BC53" w15:done="0"/>
  <w15:commentEx w15:paraId="3AEB55AF" w15:done="0"/>
  <w15:commentEx w15:paraId="2608D31C" w15:done="0"/>
  <w15:commentEx w15:paraId="70625125" w15:done="0"/>
  <w15:commentEx w15:paraId="17A369B1" w15:done="0"/>
  <w15:commentEx w15:paraId="423783B3" w15:done="0"/>
  <w15:commentEx w15:paraId="4C3496D5" w15:done="0"/>
  <w15:commentEx w15:paraId="13636FA3" w15:done="0"/>
  <w15:commentEx w15:paraId="01CC2825" w15:done="0"/>
  <w15:commentEx w15:paraId="0A528675" w15:done="0"/>
  <w15:commentEx w15:paraId="389CD478" w15:done="0"/>
  <w15:commentEx w15:paraId="18EC24A4" w15:done="0"/>
  <w15:commentEx w15:paraId="3DB06EB6" w15:done="0"/>
  <w15:commentEx w15:paraId="11FDB40A" w15:done="0"/>
  <w15:commentEx w15:paraId="5C580FF3" w15:done="0"/>
  <w15:commentEx w15:paraId="4A481B5A" w15:done="0"/>
  <w15:commentEx w15:paraId="2FC5D4F3" w15:done="0"/>
  <w15:commentEx w15:paraId="51D42C1E" w15:done="0"/>
  <w15:commentEx w15:paraId="244D8694" w15:done="0"/>
  <w15:commentEx w15:paraId="345FE5EE" w15:done="0"/>
  <w15:commentEx w15:paraId="1A68C800" w15:done="0"/>
  <w15:commentEx w15:paraId="4F810C77" w15:done="0"/>
  <w15:commentEx w15:paraId="0335B54D" w15:done="0"/>
  <w15:commentEx w15:paraId="556AEE74" w15:done="0"/>
  <w15:commentEx w15:paraId="60730DF7" w15:done="0"/>
  <w15:commentEx w15:paraId="14FACE4C" w15:done="0"/>
  <w15:commentEx w15:paraId="700D6E74" w15:done="0"/>
  <w15:commentEx w15:paraId="462114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D3" w:rsidRDefault="005B04D3">
      <w:r>
        <w:separator/>
      </w:r>
    </w:p>
  </w:endnote>
  <w:endnote w:type="continuationSeparator" w:id="0">
    <w:p w:rsidR="005B04D3" w:rsidRDefault="005B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8D" w:rsidRDefault="002B668D">
    <w:pPr>
      <w:pStyle w:val="Foot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472690">
      <w:rPr>
        <w:rStyle w:val="PageNumber"/>
        <w:noProof/>
      </w:rPr>
      <w:t>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D3" w:rsidRDefault="005B04D3">
      <w:r>
        <w:separator/>
      </w:r>
    </w:p>
  </w:footnote>
  <w:footnote w:type="continuationSeparator" w:id="0">
    <w:p w:rsidR="005B04D3" w:rsidRDefault="005B04D3">
      <w:r>
        <w:continuationSeparator/>
      </w:r>
    </w:p>
  </w:footnote>
  <w:footnote w:id="1">
    <w:p w:rsidR="002B668D" w:rsidRPr="005D57E5" w:rsidRDefault="002B668D">
      <w:pPr>
        <w:pStyle w:val="FootnoteText"/>
        <w:rPr>
          <w:lang w:val="en-US"/>
        </w:rPr>
      </w:pPr>
      <w:r>
        <w:rPr>
          <w:rStyle w:val="FootnoteReference"/>
        </w:rPr>
        <w:footnoteRef/>
      </w:r>
      <w:r w:rsidRPr="005D57E5">
        <w:rPr>
          <w:lang w:val="en-US"/>
        </w:rPr>
        <w:t xml:space="preserve"> </w:t>
      </w:r>
      <w:r>
        <w:rPr>
          <w:lang w:val="en-US"/>
        </w:rPr>
        <w:t xml:space="preserve">I would like to thank two anonymous referees for very fruitful exchanges, Stephen Jenkins for several references and a methodological debate on log-logistic distributions, Conchita D’Ambrosio for an overview on polarization measures. This work was supported by the </w:t>
      </w:r>
      <w:r>
        <w:rPr>
          <w:i/>
          <w:lang w:val="en-US"/>
        </w:rPr>
        <w:t>Fonds national de la recherche</w:t>
      </w:r>
      <w:r>
        <w:rPr>
          <w:lang w:val="en-US"/>
        </w:rPr>
        <w:t xml:space="preserve"> (National Research Fund), Luxembourg – Social Inequalities Pearl project. . </w:t>
      </w:r>
    </w:p>
  </w:footnote>
  <w:footnote w:id="2">
    <w:p w:rsidR="002B668D" w:rsidRPr="007C283F" w:rsidRDefault="002B668D" w:rsidP="00BF62E1">
      <w:pPr>
        <w:pStyle w:val="FootnoteText"/>
        <w:rPr>
          <w:lang w:val="en-US"/>
        </w:rPr>
      </w:pPr>
      <w:r>
        <w:rPr>
          <w:rStyle w:val="FootnoteReference"/>
        </w:rPr>
        <w:footnoteRef/>
      </w:r>
      <w:r w:rsidRPr="007C283F">
        <w:rPr>
          <w:lang w:val="en-US"/>
        </w:rPr>
        <w:t xml:space="preserve"> </w:t>
      </w:r>
      <w:r>
        <w:rPr>
          <w:lang w:val="en-US"/>
        </w:rPr>
        <w:t>There have been obvious i</w:t>
      </w:r>
      <w:r w:rsidRPr="00AC5D69">
        <w:rPr>
          <w:lang w:val="en-US"/>
        </w:rPr>
        <w:t xml:space="preserve">mprovements </w:t>
      </w:r>
      <w:r>
        <w:rPr>
          <w:lang w:val="en-US"/>
        </w:rPr>
        <w:t>in our understanding</w:t>
      </w:r>
      <w:r w:rsidRPr="007C283F">
        <w:rPr>
          <w:lang w:val="en-US"/>
        </w:rPr>
        <w:t xml:space="preserve"> of the socioeconomic processes </w:t>
      </w:r>
      <w:r>
        <w:rPr>
          <w:lang w:val="en-US"/>
        </w:rPr>
        <w:t xml:space="preserve">which can </w:t>
      </w:r>
      <w:r w:rsidRPr="007C283F">
        <w:rPr>
          <w:lang w:val="en-US"/>
        </w:rPr>
        <w:t>generate these Pareto distributions (Gabaix, 20</w:t>
      </w:r>
      <w:r>
        <w:rPr>
          <w:lang w:val="en-US"/>
        </w:rPr>
        <w:t>09</w:t>
      </w:r>
      <w:r w:rsidRPr="007C283F">
        <w:rPr>
          <w:lang w:val="en-US"/>
        </w:rPr>
        <w:t xml:space="preserve">), and even </w:t>
      </w:r>
      <w:r>
        <w:rPr>
          <w:lang w:val="en-US"/>
        </w:rPr>
        <w:t xml:space="preserve">the </w:t>
      </w:r>
      <w:r w:rsidRPr="007C283F">
        <w:rPr>
          <w:lang w:val="en-US"/>
        </w:rPr>
        <w:t>double Pareto (Reed</w:t>
      </w:r>
      <w:r>
        <w:rPr>
          <w:lang w:val="en-US"/>
        </w:rPr>
        <w:t>,</w:t>
      </w:r>
      <w:r w:rsidRPr="007C283F">
        <w:rPr>
          <w:lang w:val="en-US"/>
        </w:rPr>
        <w:t xml:space="preserve"> 2001) since the lower tail has </w:t>
      </w:r>
      <w:r>
        <w:rPr>
          <w:lang w:val="en-US"/>
        </w:rPr>
        <w:t>this</w:t>
      </w:r>
      <w:r w:rsidRPr="007C283F">
        <w:rPr>
          <w:lang w:val="en-US"/>
        </w:rPr>
        <w:t xml:space="preserve"> </w:t>
      </w:r>
      <w:r>
        <w:rPr>
          <w:lang w:val="en-US"/>
        </w:rPr>
        <w:t>particular shape</w:t>
      </w:r>
      <w:r w:rsidRPr="007C283F">
        <w:rPr>
          <w:lang w:val="en-US"/>
        </w:rPr>
        <w:t xml:space="preserve"> as well.</w:t>
      </w:r>
      <w:r>
        <w:rPr>
          <w:lang w:val="en-US"/>
        </w:rPr>
        <w:t xml:space="preserve"> </w:t>
      </w:r>
      <w:r w:rsidRPr="007C283F">
        <w:rPr>
          <w:lang w:val="en-US"/>
        </w:rPr>
        <w:t>In this field</w:t>
      </w:r>
      <w:r>
        <w:rPr>
          <w:lang w:val="en-US"/>
        </w:rPr>
        <w:t xml:space="preserve">, general surveys </w:t>
      </w:r>
      <w:r w:rsidRPr="006022DB">
        <w:rPr>
          <w:lang w:val="en-US"/>
        </w:rPr>
        <w:t xml:space="preserve">(Kleiber </w:t>
      </w:r>
      <w:r>
        <w:rPr>
          <w:lang w:val="en-US"/>
        </w:rPr>
        <w:t>and</w:t>
      </w:r>
      <w:r w:rsidRPr="006022DB">
        <w:rPr>
          <w:lang w:val="en-US"/>
        </w:rPr>
        <w:t xml:space="preserve"> Kotz</w:t>
      </w:r>
      <w:r>
        <w:rPr>
          <w:lang w:val="en-US"/>
        </w:rPr>
        <w:t>,</w:t>
      </w:r>
      <w:r w:rsidRPr="006022DB">
        <w:rPr>
          <w:lang w:val="en-US"/>
        </w:rPr>
        <w:t xml:space="preserve"> 2003)</w:t>
      </w:r>
      <w:r>
        <w:rPr>
          <w:lang w:val="en-US"/>
        </w:rPr>
        <w:t xml:space="preserve"> illustrate the diversity of approaches. Over time</w:t>
      </w:r>
      <w:r w:rsidRPr="007C283F">
        <w:rPr>
          <w:lang w:val="en-US"/>
        </w:rPr>
        <w:t>, more appropriate and more general statistical distributions ha</w:t>
      </w:r>
      <w:r>
        <w:rPr>
          <w:lang w:val="en-US"/>
        </w:rPr>
        <w:t>ve</w:t>
      </w:r>
      <w:r w:rsidRPr="007C283F">
        <w:rPr>
          <w:lang w:val="en-US"/>
        </w:rPr>
        <w:t xml:space="preserve"> been developed</w:t>
      </w:r>
      <w:r>
        <w:rPr>
          <w:lang w:val="en-US"/>
        </w:rPr>
        <w:t>,</w:t>
      </w:r>
      <w:r w:rsidRPr="007C283F">
        <w:rPr>
          <w:lang w:val="en-US"/>
        </w:rPr>
        <w:t xml:space="preserve"> from the </w:t>
      </w:r>
      <w:r>
        <w:rPr>
          <w:lang w:val="en-US"/>
        </w:rPr>
        <w:t xml:space="preserve">Champernowne-I (1937) and Fisk </w:t>
      </w:r>
      <w:r w:rsidRPr="007C283F">
        <w:rPr>
          <w:lang w:val="en-US"/>
        </w:rPr>
        <w:t xml:space="preserve">(1961) distributions to the Generalized </w:t>
      </w:r>
      <w:r w:rsidRPr="00472786">
        <w:rPr>
          <w:rFonts w:ascii="Symbol" w:hAnsi="Symbol"/>
          <w:lang w:val="en-US"/>
        </w:rPr>
        <w:t></w:t>
      </w:r>
      <w:r w:rsidRPr="007C283F">
        <w:rPr>
          <w:lang w:val="en-US"/>
        </w:rPr>
        <w:t xml:space="preserve"> of the second kind (GB2) that are becoming standard tools (Jenkins</w:t>
      </w:r>
      <w:r>
        <w:rPr>
          <w:lang w:val="en-US"/>
        </w:rPr>
        <w:t>,</w:t>
      </w:r>
      <w:r w:rsidRPr="007C283F">
        <w:rPr>
          <w:lang w:val="en-US"/>
        </w:rPr>
        <w:t xml:space="preserve"> 2009).</w:t>
      </w:r>
      <w:r>
        <w:rPr>
          <w:lang w:val="en-US"/>
        </w:rPr>
        <w:t xml:space="preserve"> </w:t>
      </w:r>
      <w:r w:rsidRPr="007C283F">
        <w:rPr>
          <w:lang w:val="en-US"/>
        </w:rPr>
        <w:t xml:space="preserve">In parallel, many </w:t>
      </w:r>
      <w:r w:rsidRPr="00AC5D69">
        <w:rPr>
          <w:lang w:val="en-US"/>
        </w:rPr>
        <w:t xml:space="preserve">inequality </w:t>
      </w:r>
      <w:r w:rsidRPr="007C283F">
        <w:rPr>
          <w:lang w:val="en-US"/>
        </w:rPr>
        <w:t>ind</w:t>
      </w:r>
      <w:r>
        <w:rPr>
          <w:lang w:val="en-US"/>
        </w:rPr>
        <w:t>ic</w:t>
      </w:r>
      <w:r w:rsidRPr="007C283F">
        <w:rPr>
          <w:lang w:val="en-US"/>
        </w:rPr>
        <w:t>es have been developed (Champernowne and Cowell</w:t>
      </w:r>
      <w:r>
        <w:rPr>
          <w:lang w:val="en-US"/>
        </w:rPr>
        <w:t>,</w:t>
      </w:r>
      <w:r w:rsidRPr="007C283F">
        <w:rPr>
          <w:lang w:val="en-US"/>
        </w:rPr>
        <w:t xml:space="preserve"> 1998:151-3) and a mass of harmonized data has been accumulated (Brandolini and Atkinson</w:t>
      </w:r>
      <w:r>
        <w:rPr>
          <w:lang w:val="en-US"/>
        </w:rPr>
        <w:t>,</w:t>
      </w:r>
      <w:r w:rsidRPr="007C283F">
        <w:rPr>
          <w:lang w:val="en-US"/>
        </w:rPr>
        <w:t xml:space="preserve"> 2001</w:t>
      </w:r>
      <w:r>
        <w:rPr>
          <w:lang w:val="en-US"/>
        </w:rPr>
        <w:t xml:space="preserve">, </w:t>
      </w:r>
      <w:r w:rsidRPr="007C283F">
        <w:rPr>
          <w:lang w:val="en-US"/>
        </w:rPr>
        <w:t>Cowell</w:t>
      </w:r>
      <w:r>
        <w:rPr>
          <w:lang w:val="en-US"/>
        </w:rPr>
        <w:t xml:space="preserve"> 2000, 2003, 2005</w:t>
      </w:r>
      <w:r w:rsidRPr="007C283F">
        <w:rPr>
          <w:lang w:val="en-US"/>
        </w:rPr>
        <w:t>)</w:t>
      </w:r>
      <w:r>
        <w:rPr>
          <w:lang w:val="en-US"/>
        </w:rPr>
        <w:t xml:space="preserve">. In addition, the graphical innovations </w:t>
      </w:r>
      <w:r w:rsidRPr="000967DD">
        <w:rPr>
          <w:lang w:val="en-US"/>
        </w:rPr>
        <w:t>used to represent distributions</w:t>
      </w:r>
      <w:r>
        <w:rPr>
          <w:lang w:val="en-US"/>
        </w:rPr>
        <w:t xml:space="preserve"> have been reviewed by </w:t>
      </w:r>
      <w:r w:rsidRPr="000967DD">
        <w:rPr>
          <w:lang w:val="en-US"/>
        </w:rPr>
        <w:t>Dombos (1982)</w:t>
      </w:r>
      <w:r>
        <w:rPr>
          <w:lang w:val="en-US"/>
        </w:rPr>
        <w:t>,</w:t>
      </w:r>
      <w:r w:rsidRPr="000967DD">
        <w:rPr>
          <w:lang w:val="en-US"/>
        </w:rPr>
        <w:t xml:space="preserve"> </w:t>
      </w:r>
      <w:r>
        <w:rPr>
          <w:lang w:val="en-US"/>
        </w:rPr>
        <w:t xml:space="preserve">who </w:t>
      </w:r>
      <w:r w:rsidRPr="000967DD">
        <w:rPr>
          <w:lang w:val="en-US"/>
        </w:rPr>
        <w:t xml:space="preserve">listed </w:t>
      </w:r>
      <w:r>
        <w:rPr>
          <w:lang w:val="en-US"/>
        </w:rPr>
        <w:t xml:space="preserve">dozens of graphical </w:t>
      </w:r>
      <w:r w:rsidRPr="00AC5D69">
        <w:rPr>
          <w:lang w:val="en-US"/>
        </w:rPr>
        <w:t>models</w:t>
      </w:r>
      <w:r>
        <w:rPr>
          <w:lang w:val="en-US"/>
        </w:rPr>
        <w:t xml:space="preserve"> </w:t>
      </w:r>
      <w:r w:rsidRPr="000967DD">
        <w:rPr>
          <w:lang w:val="en-US"/>
        </w:rPr>
        <w:t>in addition to</w:t>
      </w:r>
      <w:r>
        <w:rPr>
          <w:lang w:val="en-US"/>
        </w:rPr>
        <w:t xml:space="preserve"> </w:t>
      </w:r>
      <w:r w:rsidRPr="000967DD">
        <w:rPr>
          <w:lang w:val="en-US"/>
        </w:rPr>
        <w:t>the still use</w:t>
      </w:r>
      <w:r>
        <w:rPr>
          <w:lang w:val="en-US"/>
        </w:rPr>
        <w:t>d</w:t>
      </w:r>
      <w:r w:rsidRPr="000967DD">
        <w:rPr>
          <w:lang w:val="en-US"/>
        </w:rPr>
        <w:t xml:space="preserve"> log-log Pareto diagram (Nirei and Souma, 2007:444), the Lorenz curve</w:t>
      </w:r>
      <w:r>
        <w:rPr>
          <w:lang w:val="en-US"/>
        </w:rPr>
        <w:t xml:space="preserve"> (1905)</w:t>
      </w:r>
      <w:r w:rsidRPr="000967DD">
        <w:rPr>
          <w:lang w:val="en-US"/>
        </w:rPr>
        <w:t xml:space="preserve">, Pen’s Parade (1971), as well as standard density, cumulative distribution function or quantile function graphs. </w:t>
      </w:r>
      <w:r>
        <w:rPr>
          <w:lang w:val="en-US"/>
        </w:rPr>
        <w:t>The</w:t>
      </w:r>
      <w:r w:rsidRPr="007C283F">
        <w:rPr>
          <w:lang w:val="en-US"/>
        </w:rPr>
        <w:t xml:space="preserve"> field of inequality analysis </w:t>
      </w:r>
      <w:r>
        <w:rPr>
          <w:lang w:val="en-US"/>
        </w:rPr>
        <w:t>may therefore</w:t>
      </w:r>
      <w:r w:rsidRPr="00AC5D69">
        <w:rPr>
          <w:lang w:val="en-US"/>
        </w:rPr>
        <w:t xml:space="preserve"> </w:t>
      </w:r>
      <w:r w:rsidRPr="007C283F">
        <w:rPr>
          <w:lang w:val="en-US"/>
        </w:rPr>
        <w:t>seem like a mature technology.</w:t>
      </w:r>
    </w:p>
  </w:footnote>
  <w:footnote w:id="3">
    <w:p w:rsidR="002B668D" w:rsidRPr="00F4270E" w:rsidRDefault="002B668D" w:rsidP="000A0668">
      <w:pPr>
        <w:pStyle w:val="FootnoteText"/>
        <w:rPr>
          <w:lang w:val="en-US"/>
        </w:rPr>
      </w:pPr>
      <w:r>
        <w:rPr>
          <w:rStyle w:val="FootnoteReference"/>
        </w:rPr>
        <w:footnoteRef/>
      </w:r>
      <w:r w:rsidRPr="00F4270E">
        <w:rPr>
          <w:lang w:val="en-US"/>
        </w:rPr>
        <w:t xml:space="preserve"> </w:t>
      </w:r>
      <w:r w:rsidRPr="000A0668">
        <w:rPr>
          <w:lang w:val="en-US"/>
        </w:rPr>
        <w:t xml:space="preserve">In this paper, </w:t>
      </w:r>
      <w:r>
        <w:rPr>
          <w:lang w:val="en-US"/>
        </w:rPr>
        <w:t xml:space="preserve">the measurement units are individuals and their </w:t>
      </w:r>
      <w:r w:rsidRPr="000A0668">
        <w:rPr>
          <w:lang w:val="en-US"/>
        </w:rPr>
        <w:t xml:space="preserve">income is defined as </w:t>
      </w:r>
      <w:r>
        <w:rPr>
          <w:lang w:val="en-US"/>
        </w:rPr>
        <w:t>household</w:t>
      </w:r>
      <w:r w:rsidRPr="000A0668">
        <w:rPr>
          <w:lang w:val="en-US"/>
        </w:rPr>
        <w:t xml:space="preserve"> disposable (after tax and transfers) cash income per consumption unit (</w:t>
      </w:r>
      <w:r>
        <w:rPr>
          <w:lang w:val="en-US"/>
        </w:rPr>
        <w:t xml:space="preserve">the </w:t>
      </w:r>
      <w:r w:rsidRPr="000A0668">
        <w:rPr>
          <w:lang w:val="en-US"/>
        </w:rPr>
        <w:t xml:space="preserve">square root of the </w:t>
      </w:r>
      <w:r>
        <w:rPr>
          <w:lang w:val="en-US"/>
        </w:rPr>
        <w:t xml:space="preserve">number of </w:t>
      </w:r>
      <w:r w:rsidRPr="000A0668">
        <w:rPr>
          <w:lang w:val="en-US"/>
        </w:rPr>
        <w:t xml:space="preserve">household </w:t>
      </w:r>
      <w:r>
        <w:rPr>
          <w:lang w:val="en-US"/>
        </w:rPr>
        <w:t>members</w:t>
      </w:r>
      <w:r w:rsidRPr="000A0668">
        <w:rPr>
          <w:lang w:val="en-US"/>
        </w:rPr>
        <w:t>), divided by the median income of the population.</w:t>
      </w:r>
      <w:r>
        <w:rPr>
          <w:lang w:val="en-US"/>
        </w:rPr>
        <w:t xml:space="preserve"> </w:t>
      </w:r>
      <w:r w:rsidRPr="00F4270E">
        <w:rPr>
          <w:lang w:val="en-US"/>
        </w:rPr>
        <w:t xml:space="preserve">Zero or negative </w:t>
      </w:r>
      <w:r>
        <w:rPr>
          <w:lang w:val="en-US"/>
        </w:rPr>
        <w:t xml:space="preserve">points </w:t>
      </w:r>
      <w:r w:rsidRPr="00F4270E">
        <w:rPr>
          <w:lang w:val="en-US"/>
        </w:rPr>
        <w:t xml:space="preserve">are excluded from </w:t>
      </w:r>
      <w:r>
        <w:rPr>
          <w:lang w:val="en-US"/>
        </w:rPr>
        <w:t xml:space="preserve">the </w:t>
      </w:r>
      <w:r w:rsidRPr="00F4270E">
        <w:rPr>
          <w:lang w:val="en-US"/>
        </w:rPr>
        <w:t>analy</w:t>
      </w:r>
      <w:r>
        <w:rPr>
          <w:lang w:val="en-US"/>
        </w:rPr>
        <w:t>s</w:t>
      </w:r>
      <w:r w:rsidRPr="00F4270E">
        <w:rPr>
          <w:lang w:val="en-US"/>
        </w:rPr>
        <w:t>e</w:t>
      </w:r>
      <w:r>
        <w:rPr>
          <w:lang w:val="en-US"/>
        </w:rPr>
        <w:t>s</w:t>
      </w:r>
      <w:r w:rsidRPr="00F4270E">
        <w:rPr>
          <w:lang w:val="en-US"/>
        </w:rPr>
        <w:t>.</w:t>
      </w:r>
      <w:r>
        <w:rPr>
          <w:lang w:val="en-US"/>
        </w:rPr>
        <w:t xml:space="preserve"> </w:t>
      </w:r>
      <w:r w:rsidRPr="0011320B">
        <w:rPr>
          <w:lang w:val="en-US"/>
        </w:rPr>
        <w:t>Th</w:t>
      </w:r>
      <w:r>
        <w:rPr>
          <w:lang w:val="en-US"/>
        </w:rPr>
        <w:t xml:space="preserve">e term </w:t>
      </w:r>
      <w:r w:rsidRPr="0011320B">
        <w:rPr>
          <w:lang w:val="en-US"/>
        </w:rPr>
        <w:t>“medianized equivalized disposable income” (medi)</w:t>
      </w:r>
      <w:r>
        <w:rPr>
          <w:lang w:val="en-US"/>
        </w:rPr>
        <w:t xml:space="preserve"> refers to this income concept</w:t>
      </w:r>
      <w:r w:rsidRPr="0011320B">
        <w:rPr>
          <w:lang w:val="en-US"/>
        </w:rPr>
        <w:t xml:space="preserve">. </w:t>
      </w:r>
      <w:r w:rsidRPr="00F4270E">
        <w:rPr>
          <w:lang w:val="en-US"/>
        </w:rPr>
        <w:t xml:space="preserve"> Th</w:t>
      </w:r>
      <w:r>
        <w:rPr>
          <w:lang w:val="en-US"/>
        </w:rPr>
        <w:t xml:space="preserve">e same </w:t>
      </w:r>
      <w:r w:rsidRPr="00F4270E">
        <w:rPr>
          <w:lang w:val="en-US"/>
        </w:rPr>
        <w:t xml:space="preserve">method can be adapted </w:t>
      </w:r>
      <w:r>
        <w:rPr>
          <w:lang w:val="en-US"/>
        </w:rPr>
        <w:t xml:space="preserve">for the </w:t>
      </w:r>
      <w:r w:rsidRPr="00F4270E">
        <w:rPr>
          <w:lang w:val="en-US"/>
        </w:rPr>
        <w:t xml:space="preserve">analysis </w:t>
      </w:r>
      <w:r>
        <w:rPr>
          <w:lang w:val="en-US"/>
        </w:rPr>
        <w:t xml:space="preserve">of </w:t>
      </w:r>
      <w:r w:rsidRPr="00AC5D69">
        <w:rPr>
          <w:lang w:val="en-US"/>
        </w:rPr>
        <w:t xml:space="preserve">wealth inequality </w:t>
      </w:r>
      <w:r w:rsidRPr="00F4270E">
        <w:rPr>
          <w:lang w:val="en-US"/>
        </w:rPr>
        <w:t xml:space="preserve">(Jäntti </w:t>
      </w:r>
      <w:r w:rsidRPr="00AC5D69">
        <w:rPr>
          <w:i/>
          <w:lang w:val="en-US"/>
        </w:rPr>
        <w:t>et al</w:t>
      </w:r>
      <w:r w:rsidRPr="00F4270E">
        <w:rPr>
          <w:lang w:val="en-US"/>
        </w:rPr>
        <w:t>., 2013).</w:t>
      </w:r>
    </w:p>
  </w:footnote>
  <w:footnote w:id="4">
    <w:p w:rsidR="002B668D" w:rsidRPr="00A630FB" w:rsidRDefault="002B668D">
      <w:pPr>
        <w:pStyle w:val="FootnoteText"/>
        <w:rPr>
          <w:lang w:val="en-US"/>
        </w:rPr>
      </w:pPr>
      <w:r>
        <w:rPr>
          <w:rStyle w:val="FootnoteReference"/>
        </w:rPr>
        <w:footnoteRef/>
      </w:r>
      <w:r w:rsidRPr="00A630FB">
        <w:rPr>
          <w:lang w:val="en-US"/>
        </w:rPr>
        <w:t xml:space="preserve"> </w:t>
      </w:r>
      <w:r>
        <w:rPr>
          <w:lang w:val="en-US"/>
        </w:rPr>
        <w:t xml:space="preserve">The </w:t>
      </w:r>
      <w:r w:rsidRPr="00683242">
        <w:rPr>
          <w:lang w:val="en-US"/>
        </w:rPr>
        <w:t>countr</w:t>
      </w:r>
      <w:r>
        <w:rPr>
          <w:lang w:val="en-US"/>
        </w:rPr>
        <w:t>y</w:t>
      </w:r>
      <w:r w:rsidRPr="00683242">
        <w:rPr>
          <w:lang w:val="en-US"/>
        </w:rPr>
        <w:t xml:space="preserve"> </w:t>
      </w:r>
      <w:r>
        <w:rPr>
          <w:lang w:val="en-US"/>
        </w:rPr>
        <w:t xml:space="preserve">codes are based on the </w:t>
      </w:r>
      <w:r w:rsidRPr="00A630FB">
        <w:rPr>
          <w:lang w:val="en-US"/>
        </w:rPr>
        <w:t xml:space="preserve">International Organization for Standardization </w:t>
      </w:r>
      <w:r>
        <w:rPr>
          <w:lang w:val="en-US"/>
        </w:rPr>
        <w:t>two-character codes</w:t>
      </w:r>
      <w:r w:rsidRPr="0011320B">
        <w:rPr>
          <w:lang w:val="en-US"/>
        </w:rPr>
        <w:t xml:space="preserve"> </w:t>
      </w:r>
      <w:r>
        <w:rPr>
          <w:lang w:val="en-US"/>
        </w:rPr>
        <w:t>(</w:t>
      </w:r>
      <w:hyperlink r:id="rId1" w:history="1">
        <w:r w:rsidRPr="00DC2460">
          <w:rPr>
            <w:rStyle w:val="Hyperlink"/>
            <w:lang w:val="en-US"/>
          </w:rPr>
          <w:t>www.iso.org/iso/country_codes</w:t>
        </w:r>
      </w:hyperlink>
      <w:r>
        <w:rPr>
          <w:lang w:val="en-US"/>
        </w:rPr>
        <w:t xml:space="preserve">) followed by the </w:t>
      </w:r>
      <w:r w:rsidRPr="00683242">
        <w:rPr>
          <w:lang w:val="en-US"/>
        </w:rPr>
        <w:t xml:space="preserve">survey </w:t>
      </w:r>
      <w:r>
        <w:rPr>
          <w:lang w:val="en-US"/>
        </w:rPr>
        <w:t>year.</w:t>
      </w:r>
    </w:p>
  </w:footnote>
  <w:footnote w:id="5">
    <w:p w:rsidR="002B668D" w:rsidRPr="009C696A" w:rsidRDefault="002B668D" w:rsidP="00AF4ABC">
      <w:pPr>
        <w:pStyle w:val="FootnoteText"/>
        <w:rPr>
          <w:lang w:val="en-US"/>
        </w:rPr>
      </w:pPr>
      <w:r>
        <w:rPr>
          <w:rStyle w:val="FootnoteReference"/>
        </w:rPr>
        <w:footnoteRef/>
      </w:r>
      <w:r w:rsidRPr="009C696A">
        <w:rPr>
          <w:lang w:val="en-US"/>
        </w:rPr>
        <w:t xml:space="preserve"> </w:t>
      </w:r>
      <w:r>
        <w:rPr>
          <w:lang w:val="en-US"/>
        </w:rPr>
        <w:t xml:space="preserve">Gabaix (2009) does consider this local degree of inequality, but his topics (mainly the size of cities, firms, and the largest actors on the stock market) lead to a focus on the top of the distribution and not on the whole scale: with city sizes, </w:t>
      </w:r>
      <w:r w:rsidRPr="00EB3120">
        <w:rPr>
          <w:rFonts w:ascii="Symbol" w:hAnsi="Symbol"/>
          <w:lang w:val="en-US"/>
        </w:rPr>
        <w:t></w:t>
      </w:r>
      <w:r>
        <w:rPr>
          <w:lang w:val="en-US"/>
        </w:rPr>
        <w:t xml:space="preserve"> is close to 1 (the Zipf law), and so the description of a “median size city” is somewhat perplexing. </w:t>
      </w:r>
    </w:p>
  </w:footnote>
  <w:footnote w:id="6">
    <w:p w:rsidR="002B668D" w:rsidRPr="002B1D5E" w:rsidRDefault="002B668D" w:rsidP="00BF62E1">
      <w:pPr>
        <w:pStyle w:val="FootnoteText"/>
        <w:rPr>
          <w:lang w:val="en-US"/>
        </w:rPr>
      </w:pPr>
      <w:r>
        <w:rPr>
          <w:rStyle w:val="FootnoteReference"/>
        </w:rPr>
        <w:footnoteRef/>
      </w:r>
      <w:r w:rsidRPr="002B1D5E">
        <w:rPr>
          <w:lang w:val="en-US"/>
        </w:rPr>
        <w:t xml:space="preserve"> </w:t>
      </w:r>
      <w:r>
        <w:rPr>
          <w:lang w:val="en-US"/>
        </w:rPr>
        <w:t>Weeden and Grusky (2012) recently focused on the forms of inequality but in terms of categorical groupings rather than the distribution of economic resources.</w:t>
      </w:r>
    </w:p>
  </w:footnote>
  <w:footnote w:id="7">
    <w:p w:rsidR="002B668D" w:rsidRPr="00D033BD" w:rsidRDefault="002B668D">
      <w:pPr>
        <w:pStyle w:val="FootnoteText"/>
        <w:rPr>
          <w:lang w:val="en-US"/>
        </w:rPr>
      </w:pPr>
      <w:r>
        <w:rPr>
          <w:rStyle w:val="FootnoteReference"/>
        </w:rPr>
        <w:footnoteRef/>
      </w:r>
      <w:r w:rsidRPr="00D033BD">
        <w:rPr>
          <w:lang w:val="en-US"/>
        </w:rPr>
        <w:t xml:space="preserve"> </w:t>
      </w:r>
      <w:r>
        <w:rPr>
          <w:lang w:val="en-US"/>
        </w:rPr>
        <w:t>The isograph presents the slope of the “Fisk Graph” (Fisk,</w:t>
      </w:r>
      <w:r w:rsidRPr="00464120">
        <w:rPr>
          <w:lang w:val="en-US"/>
        </w:rPr>
        <w:t xml:space="preserve"> 1961:176)</w:t>
      </w:r>
      <w:r>
        <w:rPr>
          <w:lang w:val="en-US"/>
        </w:rPr>
        <w:t xml:space="preserve"> that is indeed a logit-log transformation of the Pen’s parade</w:t>
      </w:r>
      <w:r w:rsidRPr="00387353">
        <w:rPr>
          <w:lang w:val="en-US"/>
        </w:rPr>
        <w:t xml:space="preserve"> (Pen, 1971:49–59)</w:t>
      </w:r>
      <w:r>
        <w:rPr>
          <w:lang w:val="en-US"/>
        </w:rPr>
        <w:t>, a transformation of the cumulative distribution function graph. In the Fisk Graph, compared to the early Fisk proposal of 1961, the axes are inversed (like in a quantile function) so that a log income pertains to a logit-percentile position. This improves the traditional Pareto graph.</w:t>
      </w:r>
    </w:p>
  </w:footnote>
  <w:footnote w:id="8">
    <w:p w:rsidR="002B668D" w:rsidRPr="002270AB" w:rsidRDefault="002B668D" w:rsidP="00132268">
      <w:pPr>
        <w:pStyle w:val="FootnoteText"/>
        <w:rPr>
          <w:lang w:val="en-US"/>
        </w:rPr>
      </w:pPr>
      <w:r>
        <w:rPr>
          <w:rStyle w:val="FootnoteReference"/>
        </w:rPr>
        <w:footnoteRef/>
      </w:r>
      <w:r w:rsidRPr="002270AB">
        <w:rPr>
          <w:lang w:val="en-US"/>
        </w:rPr>
        <w:t xml:space="preserve"> </w:t>
      </w:r>
      <w:r>
        <w:rPr>
          <w:lang w:val="en-US"/>
        </w:rPr>
        <w:t>With his parameterization of the CF cumulative-distribution function</w:t>
      </w:r>
      <m:oMath>
        <m:r>
          <w:rPr>
            <w:rFonts w:ascii="Cambria Math" w:hAnsi="Cambria Math"/>
            <w:lang w:val="en-US"/>
          </w:rPr>
          <m:t xml:space="preserve"> F</m:t>
        </m:r>
        <m:d>
          <m:dPr>
            <m:ctrlPr>
              <w:rPr>
                <w:rFonts w:ascii="Cambria Math" w:hAnsi="Cambria Math"/>
                <w:i/>
                <w:lang w:val="en-US"/>
              </w:rPr>
            </m:ctrlPr>
          </m:dPr>
          <m:e>
            <m:r>
              <w:rPr>
                <w:rFonts w:ascii="Cambria Math" w:hAnsi="Cambria Math"/>
                <w:lang w:val="en-US"/>
              </w:rPr>
              <m:t>k;λ;δ</m:t>
            </m:r>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1+λ</m:t>
                </m:r>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-δ</m:t>
                    </m:r>
                  </m:sup>
                </m:sSup>
              </m:e>
            </m:d>
          </m:e>
          <m:sup>
            <m:r>
              <w:rPr>
                <w:rFonts w:ascii="Cambria Math" w:hAnsi="Cambria Math"/>
                <w:lang w:val="en-US"/>
              </w:rPr>
              <m:t>-1</m:t>
            </m:r>
          </m:sup>
        </m:sSup>
        <m:r>
          <w:rPr>
            <w:rFonts w:ascii="Cambria Math" w:hAnsi="Cambria Math"/>
            <w:lang w:val="en-US"/>
          </w:rPr>
          <m:t>,  k&gt;0,  λ&gt;0,  δ&gt;1</m:t>
        </m:r>
      </m:oMath>
      <w:r>
        <w:rPr>
          <w:lang w:val="en-US"/>
        </w:rPr>
        <w:t xml:space="preserve">, </w:t>
      </w:r>
      <w:r w:rsidRPr="00EB3212">
        <w:rPr>
          <w:szCs w:val="24"/>
          <w:lang w:val="en-GB"/>
        </w:rPr>
        <w:t>Dagum</w:t>
      </w:r>
      <w:r>
        <w:rPr>
          <w:szCs w:val="24"/>
          <w:lang w:val="en-GB"/>
        </w:rPr>
        <w:t xml:space="preserve"> (</w:t>
      </w:r>
      <w:r w:rsidRPr="00EB3212">
        <w:rPr>
          <w:szCs w:val="24"/>
          <w:lang w:val="en-GB"/>
        </w:rPr>
        <w:t>2006</w:t>
      </w:r>
      <w:r>
        <w:rPr>
          <w:szCs w:val="24"/>
          <w:lang w:val="en-GB"/>
        </w:rPr>
        <w:t xml:space="preserve">: 245) demonstrates that </w:t>
      </w:r>
      <w:r>
        <w:rPr>
          <w:lang w:val="en-US"/>
        </w:rPr>
        <w:t xml:space="preserve">Gini = </w:t>
      </w:r>
      <w:r>
        <w:rPr>
          <w:rFonts w:ascii="Symbol" w:hAnsi="Symbol"/>
          <w:szCs w:val="24"/>
          <w:lang w:val="en-GB"/>
        </w:rPr>
        <w:t></w:t>
      </w:r>
      <w:r w:rsidRPr="00EB3212">
        <w:rPr>
          <w:rFonts w:ascii="Symbol" w:hAnsi="Symbol"/>
          <w:szCs w:val="24"/>
          <w:vertAlign w:val="superscript"/>
          <w:lang w:val="en-GB"/>
        </w:rPr>
        <w:t></w:t>
      </w:r>
      <w:r w:rsidRPr="00EB3212">
        <w:rPr>
          <w:rFonts w:ascii="Symbol" w:hAnsi="Symbol"/>
          <w:szCs w:val="24"/>
          <w:vertAlign w:val="superscript"/>
          <w:lang w:val="en-GB"/>
        </w:rPr>
        <w:t></w:t>
      </w:r>
      <w:r>
        <w:rPr>
          <w:lang w:val="en-US"/>
        </w:rPr>
        <w:t xml:space="preserve">, </w:t>
      </w:r>
      <w:r>
        <w:rPr>
          <w:szCs w:val="24"/>
          <w:lang w:val="en-GB"/>
        </w:rPr>
        <w:t xml:space="preserve">where </w:t>
      </w:r>
      <w:r>
        <w:rPr>
          <w:rFonts w:ascii="Symbol" w:hAnsi="Symbol"/>
          <w:szCs w:val="24"/>
          <w:lang w:val="en-GB"/>
        </w:rPr>
        <w:t></w:t>
      </w:r>
      <w:r>
        <w:rPr>
          <w:rFonts w:ascii="Symbol" w:hAnsi="Symbol"/>
          <w:szCs w:val="24"/>
          <w:lang w:val="en-GB"/>
        </w:rPr>
        <w:t></w:t>
      </w:r>
      <w:r>
        <w:rPr>
          <w:rFonts w:ascii="Symbol" w:hAnsi="Symbol"/>
          <w:szCs w:val="24"/>
          <w:lang w:val="en-GB"/>
        </w:rPr>
        <w:t></w:t>
      </w:r>
      <w:r>
        <w:rPr>
          <w:rFonts w:ascii="Symbol" w:hAnsi="Symbol"/>
          <w:szCs w:val="24"/>
          <w:lang w:val="en-GB"/>
        </w:rPr>
        <w:t></w:t>
      </w:r>
      <w:r>
        <w:rPr>
          <w:lang w:val="en-US"/>
        </w:rPr>
        <w:t xml:space="preserve">is the shape parameter of the Fisk distribution. In particular, the </w:t>
      </w:r>
      <w:r>
        <w:rPr>
          <w:rFonts w:ascii="Symbol" w:hAnsi="Symbol"/>
          <w:szCs w:val="24"/>
          <w:lang w:val="en-GB"/>
        </w:rPr>
        <w:t></w:t>
      </w:r>
      <w:r>
        <w:rPr>
          <w:lang w:val="en-US"/>
        </w:rPr>
        <w:t xml:space="preserve"> of the ABG is equal to Dagum’s</w:t>
      </w:r>
      <w:r>
        <w:rPr>
          <w:rFonts w:ascii="Symbol" w:hAnsi="Symbol"/>
          <w:szCs w:val="24"/>
          <w:lang w:val="en-GB"/>
        </w:rPr>
        <w:t></w:t>
      </w:r>
      <w:r>
        <w:rPr>
          <w:rFonts w:ascii="Symbol" w:hAnsi="Symbol"/>
          <w:szCs w:val="24"/>
          <w:lang w:val="en-GB"/>
        </w:rPr>
        <w:t></w:t>
      </w:r>
      <w:r>
        <w:rPr>
          <w:rFonts w:ascii="Symbol" w:hAnsi="Symbol"/>
          <w:szCs w:val="24"/>
          <w:lang w:val="en-GB"/>
        </w:rPr>
        <w:t></w:t>
      </w:r>
      <w:r w:rsidRPr="00EB3212">
        <w:rPr>
          <w:rFonts w:ascii="Symbol" w:hAnsi="Symbol"/>
          <w:szCs w:val="24"/>
          <w:vertAlign w:val="superscript"/>
          <w:lang w:val="en-GB"/>
        </w:rPr>
        <w:t></w:t>
      </w:r>
      <w:r w:rsidRPr="00EB3212">
        <w:rPr>
          <w:rFonts w:ascii="Symbol" w:hAnsi="Symbol"/>
          <w:szCs w:val="24"/>
          <w:vertAlign w:val="superscript"/>
          <w:lang w:val="en-GB"/>
        </w:rPr>
        <w:t></w:t>
      </w:r>
      <w:r>
        <w:rPr>
          <w:lang w:val="en-US"/>
        </w:rPr>
        <w:t xml:space="preserve">, so Gini = </w:t>
      </w:r>
      <w:r>
        <w:rPr>
          <w:rFonts w:ascii="Symbol" w:hAnsi="Symbol"/>
          <w:szCs w:val="24"/>
          <w:lang w:val="en-GB"/>
        </w:rPr>
        <w:t></w:t>
      </w:r>
      <w:r>
        <w:rPr>
          <w:lang w:val="en-US"/>
        </w:rPr>
        <w:t xml:space="preserve">. This </w:t>
      </w:r>
      <w:r>
        <w:rPr>
          <w:szCs w:val="24"/>
          <w:lang w:val="en-GB"/>
        </w:rPr>
        <w:t xml:space="preserve">reformulates an earlier publication </w:t>
      </w:r>
      <w:r>
        <w:rPr>
          <w:lang w:val="en-US"/>
        </w:rPr>
        <w:t xml:space="preserve">by </w:t>
      </w:r>
      <w:r w:rsidRPr="003E45CA">
        <w:rPr>
          <w:szCs w:val="24"/>
          <w:lang w:val="en-US"/>
        </w:rPr>
        <w:t>Dagum</w:t>
      </w:r>
      <w:r>
        <w:rPr>
          <w:szCs w:val="24"/>
          <w:lang w:val="en-US"/>
        </w:rPr>
        <w:t xml:space="preserve"> (1975), cited in</w:t>
      </w:r>
      <w:r>
        <w:rPr>
          <w:lang w:val="en-US"/>
        </w:rPr>
        <w:t xml:space="preserve"> </w:t>
      </w:r>
      <w:r w:rsidRPr="003E45CA">
        <w:rPr>
          <w:szCs w:val="24"/>
          <w:lang w:val="en-US"/>
        </w:rPr>
        <w:t>Kleiber and Kotz (2003:</w:t>
      </w:r>
      <w:r>
        <w:rPr>
          <w:szCs w:val="24"/>
          <w:lang w:val="en-US"/>
        </w:rPr>
        <w:t xml:space="preserve"> </w:t>
      </w:r>
      <w:r w:rsidRPr="003E45CA">
        <w:rPr>
          <w:szCs w:val="24"/>
          <w:lang w:val="en-US"/>
        </w:rPr>
        <w:t>224)</w:t>
      </w:r>
      <w:r>
        <w:rPr>
          <w:szCs w:val="24"/>
          <w:lang w:val="en-US"/>
        </w:rPr>
        <w:t xml:space="preserve">, where they use different notation with Dagum’s </w:t>
      </w:r>
      <w:r>
        <w:rPr>
          <w:rFonts w:ascii="Symbol" w:hAnsi="Symbol"/>
          <w:szCs w:val="24"/>
          <w:lang w:val="en-GB"/>
        </w:rPr>
        <w:t></w:t>
      </w:r>
      <w:r>
        <w:rPr>
          <w:szCs w:val="24"/>
          <w:lang w:val="en-US"/>
        </w:rPr>
        <w:t xml:space="preserve"> scale parameter denoted by </w:t>
      </w:r>
      <w:r w:rsidRPr="004613EC">
        <w:rPr>
          <w:i/>
          <w:szCs w:val="24"/>
          <w:lang w:val="en-US"/>
        </w:rPr>
        <w:t>a</w:t>
      </w:r>
      <w:r>
        <w:rPr>
          <w:szCs w:val="24"/>
          <w:lang w:val="en-GB"/>
        </w:rPr>
        <w:t>.</w:t>
      </w:r>
      <w:r w:rsidRPr="00EB3212">
        <w:rPr>
          <w:szCs w:val="24"/>
          <w:lang w:val="en-GB"/>
        </w:rPr>
        <w:t xml:space="preserve"> </w:t>
      </w:r>
      <w:r>
        <w:rPr>
          <w:szCs w:val="24"/>
          <w:lang w:val="en-GB"/>
        </w:rPr>
        <w:t>Thus, in equation (1) here, t</w:t>
      </w:r>
      <w:r w:rsidRPr="00EB3212">
        <w:rPr>
          <w:szCs w:val="24"/>
          <w:lang w:val="en-GB"/>
        </w:rPr>
        <w:t xml:space="preserve">he parameter </w:t>
      </w:r>
      <w:r w:rsidRPr="00EB3212">
        <w:rPr>
          <w:rFonts w:ascii="Symbol" w:hAnsi="Symbol"/>
          <w:szCs w:val="24"/>
          <w:lang w:val="en-GB"/>
        </w:rPr>
        <w:t></w:t>
      </w:r>
      <w:r w:rsidRPr="00EB3212">
        <w:rPr>
          <w:szCs w:val="24"/>
          <w:lang w:val="en-GB"/>
        </w:rPr>
        <w:t xml:space="preserve"> is </w:t>
      </w:r>
      <w:r>
        <w:rPr>
          <w:szCs w:val="24"/>
          <w:lang w:val="en-GB"/>
        </w:rPr>
        <w:t xml:space="preserve">an </w:t>
      </w:r>
      <w:r w:rsidRPr="00EB3212">
        <w:rPr>
          <w:szCs w:val="24"/>
          <w:lang w:val="en-GB"/>
        </w:rPr>
        <w:t>inequality</w:t>
      </w:r>
      <w:r>
        <w:rPr>
          <w:szCs w:val="24"/>
          <w:lang w:val="en-GB"/>
        </w:rPr>
        <w:t xml:space="preserve"> </w:t>
      </w:r>
      <w:r w:rsidRPr="002B5CCA">
        <w:rPr>
          <w:szCs w:val="24"/>
          <w:lang w:val="en-GB"/>
        </w:rPr>
        <w:t xml:space="preserve">coefficient </w:t>
      </w:r>
      <w:r w:rsidRPr="00EB3212">
        <w:rPr>
          <w:szCs w:val="24"/>
          <w:lang w:val="en-GB"/>
        </w:rPr>
        <w:t>equal to the Gini index</w:t>
      </w:r>
      <w:r>
        <w:rPr>
          <w:szCs w:val="24"/>
          <w:lang w:val="en-GB"/>
        </w:rPr>
        <w:t xml:space="preserve">, provided that </w:t>
      </w:r>
      <w:r w:rsidRPr="00EB3120">
        <w:rPr>
          <w:rFonts w:ascii="Symbol" w:hAnsi="Symbol"/>
          <w:lang w:val="en-US"/>
        </w:rPr>
        <w:t></w:t>
      </w:r>
      <w:r>
        <w:rPr>
          <w:lang w:val="en-US"/>
        </w:rPr>
        <w:t xml:space="preserve"> </w:t>
      </w:r>
      <w:r w:rsidRPr="002270AB">
        <w:rPr>
          <w:lang w:val="en-US"/>
        </w:rPr>
        <w:t>&lt;</w:t>
      </w:r>
      <w:r>
        <w:rPr>
          <w:lang w:val="en-US"/>
        </w:rPr>
        <w:t xml:space="preserve"> </w:t>
      </w:r>
      <w:r w:rsidRPr="002270AB">
        <w:rPr>
          <w:lang w:val="en-US"/>
        </w:rPr>
        <w:t>1</w:t>
      </w:r>
      <w:r>
        <w:rPr>
          <w:lang w:val="en-US"/>
        </w:rPr>
        <w:t xml:space="preserve">. </w:t>
      </w:r>
      <w:r w:rsidRPr="00EE3386">
        <w:rPr>
          <w:lang w:val="en-US"/>
        </w:rPr>
        <w:t xml:space="preserve">In </w:t>
      </w:r>
      <w:r>
        <w:rPr>
          <w:lang w:val="en-US"/>
        </w:rPr>
        <w:t xml:space="preserve">the </w:t>
      </w:r>
      <w:r w:rsidRPr="00EE3386">
        <w:rPr>
          <w:lang w:val="en-US"/>
        </w:rPr>
        <w:t>case of a discrete population</w:t>
      </w:r>
      <w:r w:rsidRPr="00AD3778">
        <w:rPr>
          <w:lang w:val="en-US"/>
        </w:rPr>
        <w:t xml:space="preserve">, </w:t>
      </w:r>
      <w:r w:rsidRPr="00EB3120">
        <w:rPr>
          <w:rFonts w:ascii="Symbol" w:hAnsi="Symbol"/>
          <w:lang w:val="en-US"/>
        </w:rPr>
        <w:t></w:t>
      </w:r>
      <w:r w:rsidRPr="00AD3778">
        <w:rPr>
          <w:lang w:val="en-US"/>
        </w:rPr>
        <w:t xml:space="preserve"> can be </w:t>
      </w:r>
      <w:r>
        <w:rPr>
          <w:lang w:val="en-US"/>
        </w:rPr>
        <w:t>great</w:t>
      </w:r>
      <w:r w:rsidRPr="00AD3778">
        <w:rPr>
          <w:lang w:val="en-US"/>
        </w:rPr>
        <w:t>er than 1</w:t>
      </w:r>
      <w:r>
        <w:rPr>
          <w:lang w:val="en-US"/>
        </w:rPr>
        <w:t>:</w:t>
      </w:r>
      <w:r w:rsidRPr="00AD3778">
        <w:rPr>
          <w:lang w:val="en-US"/>
        </w:rPr>
        <w:t xml:space="preserve"> an example is the distribution of the number of </w:t>
      </w:r>
      <w:r>
        <w:rPr>
          <w:lang w:val="en-US"/>
        </w:rPr>
        <w:t xml:space="preserve">war </w:t>
      </w:r>
      <w:r w:rsidRPr="00AD3778">
        <w:rPr>
          <w:lang w:val="en-US"/>
        </w:rPr>
        <w:t>casualties over the last century (Cederman</w:t>
      </w:r>
      <w:r>
        <w:rPr>
          <w:lang w:val="en-US"/>
        </w:rPr>
        <w:t>,</w:t>
      </w:r>
      <w:r w:rsidRPr="00AD3778">
        <w:rPr>
          <w:lang w:val="en-US"/>
        </w:rPr>
        <w:t xml:space="preserve"> 2003)</w:t>
      </w:r>
      <w:r>
        <w:rPr>
          <w:lang w:val="en-US"/>
        </w:rPr>
        <w:t>,</w:t>
      </w:r>
      <w:r w:rsidRPr="00AD3778">
        <w:rPr>
          <w:lang w:val="en-US"/>
        </w:rPr>
        <w:t xml:space="preserve"> </w:t>
      </w:r>
      <w:r>
        <w:rPr>
          <w:lang w:val="en-US"/>
        </w:rPr>
        <w:t xml:space="preserve">where </w:t>
      </w:r>
      <w:r w:rsidRPr="00EB3120">
        <w:rPr>
          <w:rFonts w:ascii="Symbol" w:hAnsi="Symbol"/>
          <w:lang w:val="en-US"/>
        </w:rPr>
        <w:t></w:t>
      </w:r>
      <w:r w:rsidRPr="00AD3778">
        <w:rPr>
          <w:lang w:val="en-US"/>
        </w:rPr>
        <w:t xml:space="preserve"> </w:t>
      </w:r>
      <w:r>
        <w:rPr>
          <w:lang w:val="en-US"/>
        </w:rPr>
        <w:t>is</w:t>
      </w:r>
      <w:r w:rsidRPr="00AD3778">
        <w:rPr>
          <w:lang w:val="en-US"/>
        </w:rPr>
        <w:t xml:space="preserve"> </w:t>
      </w:r>
      <w:r>
        <w:rPr>
          <w:lang w:val="en-US"/>
        </w:rPr>
        <w:t xml:space="preserve">estimated to be </w:t>
      </w:r>
      <w:r w:rsidRPr="00AD3778">
        <w:rPr>
          <w:lang w:val="en-US"/>
        </w:rPr>
        <w:t>1.5. In the Z</w:t>
      </w:r>
      <w:r>
        <w:rPr>
          <w:lang w:val="en-US"/>
        </w:rPr>
        <w:t>ipf distribution (Gabaix, 1999), which is typical of city-</w:t>
      </w:r>
      <w:r w:rsidRPr="00AD3778">
        <w:rPr>
          <w:lang w:val="en-US"/>
        </w:rPr>
        <w:t xml:space="preserve">size distributions, </w:t>
      </w:r>
      <w:r w:rsidRPr="00EB3120">
        <w:rPr>
          <w:rFonts w:ascii="Symbol" w:hAnsi="Symbol"/>
          <w:lang w:val="en-US"/>
        </w:rPr>
        <w:t></w:t>
      </w:r>
      <w:r w:rsidRPr="00AD3778">
        <w:rPr>
          <w:lang w:val="en-US"/>
        </w:rPr>
        <w:t xml:space="preserve"> </w:t>
      </w:r>
      <w:r>
        <w:rPr>
          <w:lang w:val="en-US"/>
        </w:rPr>
        <w:t xml:space="preserve">is </w:t>
      </w:r>
      <w:r w:rsidRPr="00AD3778">
        <w:rPr>
          <w:lang w:val="en-US"/>
        </w:rPr>
        <w:t>1.</w:t>
      </w:r>
      <w:r>
        <w:rPr>
          <w:lang w:val="en-US"/>
        </w:rPr>
        <w:t xml:space="preserve"> In these cases of discrete distributions with high values of </w:t>
      </w:r>
      <w:r>
        <w:rPr>
          <w:rFonts w:ascii="Symbol" w:hAnsi="Symbol"/>
          <w:szCs w:val="24"/>
          <w:lang w:val="en-GB"/>
        </w:rPr>
        <w:t></w:t>
      </w:r>
      <w:r>
        <w:rPr>
          <w:lang w:val="en-US"/>
        </w:rPr>
        <w:t>, the continuous expressions of the mean size produce integrals</w:t>
      </w:r>
      <w:r w:rsidRPr="00C05276">
        <w:rPr>
          <w:lang w:val="en-GB"/>
        </w:rPr>
        <w:t xml:space="preserve"> </w:t>
      </w:r>
      <w:r w:rsidRPr="00C05276">
        <w:rPr>
          <w:lang w:val="en-US"/>
        </w:rPr>
        <w:t>that diverge to infinity</w:t>
      </w:r>
      <w:r>
        <w:rPr>
          <w:lang w:val="en-US"/>
        </w:rPr>
        <w:t xml:space="preserve">. In this case, the usual </w:t>
      </w:r>
      <w:r w:rsidRPr="002B5CCA">
        <w:rPr>
          <w:lang w:val="en-US"/>
        </w:rPr>
        <w:t xml:space="preserve">Gini </w:t>
      </w:r>
      <w:r>
        <w:rPr>
          <w:lang w:val="en-US"/>
        </w:rPr>
        <w:t xml:space="preserve">formula and the estimation of </w:t>
      </w:r>
      <w:r>
        <w:rPr>
          <w:rFonts w:ascii="Symbol" w:hAnsi="Symbol"/>
          <w:szCs w:val="24"/>
          <w:lang w:val="en-GB"/>
        </w:rPr>
        <w:t></w:t>
      </w:r>
      <w:r>
        <w:rPr>
          <w:lang w:val="en-US"/>
        </w:rPr>
        <w:t xml:space="preserve"> can produce divergent results. This is never the case with income distributions, where the highest Gini coefficients are below 0.7.   </w:t>
      </w:r>
    </w:p>
  </w:footnote>
  <w:footnote w:id="9">
    <w:p w:rsidR="002B668D" w:rsidRPr="00266F84" w:rsidRDefault="002B668D" w:rsidP="00740A01">
      <w:pPr>
        <w:pStyle w:val="FootnoteText"/>
        <w:rPr>
          <w:lang w:val="en-US"/>
        </w:rPr>
      </w:pPr>
      <w:r>
        <w:rPr>
          <w:rStyle w:val="FootnoteReference"/>
        </w:rPr>
        <w:footnoteRef/>
      </w:r>
      <w:r w:rsidRPr="00266F84">
        <w:rPr>
          <w:lang w:val="en-US"/>
        </w:rPr>
        <w:t xml:space="preserve"> </w:t>
      </w:r>
      <w:r>
        <w:rPr>
          <w:lang w:val="en-US"/>
        </w:rPr>
        <w:t xml:space="preserve">Some functional forms </w:t>
      </w:r>
      <w:r w:rsidRPr="00266F84">
        <w:rPr>
          <w:lang w:val="en-US"/>
        </w:rPr>
        <w:t>“claim attention, not only for</w:t>
      </w:r>
      <w:r>
        <w:rPr>
          <w:lang w:val="en-US"/>
        </w:rPr>
        <w:t xml:space="preserve"> </w:t>
      </w:r>
      <w:r w:rsidRPr="00266F84">
        <w:rPr>
          <w:lang w:val="en-US"/>
        </w:rPr>
        <w:t>their suitability in m</w:t>
      </w:r>
      <w:r>
        <w:rPr>
          <w:lang w:val="en-US"/>
        </w:rPr>
        <w:t>odel</w:t>
      </w:r>
      <w:r w:rsidRPr="00266F84">
        <w:rPr>
          <w:lang w:val="en-US"/>
        </w:rPr>
        <w:t>ing some features of many empirical income distributions,</w:t>
      </w:r>
      <w:r>
        <w:rPr>
          <w:lang w:val="en-US"/>
        </w:rPr>
        <w:t xml:space="preserve"> </w:t>
      </w:r>
      <w:r w:rsidRPr="00266F84">
        <w:rPr>
          <w:lang w:val="en-US"/>
        </w:rPr>
        <w:t>but also because of their role as equilibrium distributions in economic</w:t>
      </w:r>
      <w:r>
        <w:rPr>
          <w:lang w:val="en-US"/>
        </w:rPr>
        <w:t xml:space="preserve"> </w:t>
      </w:r>
      <w:r w:rsidRPr="00266F84">
        <w:rPr>
          <w:lang w:val="en-US"/>
        </w:rPr>
        <w:t>processes” (Cowell, 2002</w:t>
      </w:r>
      <w:r>
        <w:rPr>
          <w:lang w:val="en-US"/>
        </w:rPr>
        <w:t>:</w:t>
      </w:r>
      <w:r w:rsidRPr="00266F84">
        <w:rPr>
          <w:lang w:val="en-US"/>
        </w:rPr>
        <w:t xml:space="preserve">25-6). </w:t>
      </w:r>
    </w:p>
  </w:footnote>
  <w:footnote w:id="10">
    <w:p w:rsidR="002B668D" w:rsidRPr="00740A01" w:rsidRDefault="002B668D">
      <w:pPr>
        <w:pStyle w:val="FootnoteText"/>
        <w:rPr>
          <w:lang w:val="en-US"/>
        </w:rPr>
      </w:pPr>
      <w:r>
        <w:rPr>
          <w:rStyle w:val="FootnoteReference"/>
        </w:rPr>
        <w:footnoteRef/>
      </w:r>
      <w:r w:rsidRPr="00740A01">
        <w:rPr>
          <w:lang w:val="en-US"/>
        </w:rPr>
        <w:t xml:space="preserve"> </w:t>
      </w:r>
      <w:r>
        <w:rPr>
          <w:lang w:val="en-GB"/>
        </w:rPr>
        <w:t>Using Parker’s parameterization, w</w:t>
      </w:r>
      <w:r w:rsidRPr="00740A01">
        <w:rPr>
          <w:lang w:val="en-GB"/>
        </w:rPr>
        <w:t xml:space="preserve">hen </w:t>
      </w:r>
      <w:r w:rsidRPr="00740A01">
        <w:rPr>
          <w:rFonts w:ascii="Symbol" w:hAnsi="Symbol"/>
          <w:lang w:val="en-GB"/>
        </w:rPr>
        <w:t></w:t>
      </w:r>
      <w:r w:rsidRPr="00740A01">
        <w:rPr>
          <w:lang w:val="en-GB"/>
        </w:rPr>
        <w:t xml:space="preserve">, a </w:t>
      </w:r>
      <w:r w:rsidRPr="005C2D58">
        <w:rPr>
          <w:lang w:val="en-GB"/>
        </w:rPr>
        <w:t xml:space="preserve">constant </w:t>
      </w:r>
      <w:r w:rsidRPr="00740A01">
        <w:rPr>
          <w:lang w:val="en-GB"/>
        </w:rPr>
        <w:t xml:space="preserve">production elasticity, is set </w:t>
      </w:r>
      <w:r>
        <w:rPr>
          <w:lang w:val="en-GB"/>
        </w:rPr>
        <w:t xml:space="preserve">equal </w:t>
      </w:r>
      <w:r w:rsidRPr="00740A01">
        <w:rPr>
          <w:lang w:val="en-GB"/>
        </w:rPr>
        <w:t xml:space="preserve">to ½, and </w:t>
      </w:r>
      <w:r>
        <w:rPr>
          <w:lang w:val="en-GB"/>
        </w:rPr>
        <w:t xml:space="preserve">the </w:t>
      </w:r>
      <w:r w:rsidRPr="00740A01">
        <w:rPr>
          <w:lang w:val="en-GB"/>
        </w:rPr>
        <w:t xml:space="preserve">elasticity of income returns with respect to human capital </w:t>
      </w:r>
      <w:r w:rsidRPr="00740A01">
        <w:rPr>
          <w:rFonts w:ascii="Symbol" w:hAnsi="Symbol"/>
          <w:lang w:val="en-GB"/>
        </w:rPr>
        <w:t></w:t>
      </w:r>
      <w:r w:rsidRPr="00740A01">
        <w:rPr>
          <w:lang w:val="en-GB"/>
        </w:rPr>
        <w:t xml:space="preserve"> </w:t>
      </w:r>
      <w:r>
        <w:rPr>
          <w:lang w:val="en-GB"/>
        </w:rPr>
        <w:t>equal</w:t>
      </w:r>
      <w:r w:rsidRPr="00740A01">
        <w:rPr>
          <w:lang w:val="en-GB"/>
        </w:rPr>
        <w:t xml:space="preserve">s (b-1)/2, then p=q=1, </w:t>
      </w:r>
      <w:r>
        <w:rPr>
          <w:lang w:val="en-GB"/>
        </w:rPr>
        <w:t xml:space="preserve">so that this GB2 is a </w:t>
      </w:r>
      <w:r w:rsidRPr="00740A01">
        <w:rPr>
          <w:lang w:val="en-GB"/>
        </w:rPr>
        <w:t>CF</w:t>
      </w:r>
      <w:r w:rsidRPr="00937755">
        <w:rPr>
          <w:vertAlign w:val="subscript"/>
          <w:lang w:val="en-GB"/>
        </w:rPr>
        <w:t>b</w:t>
      </w:r>
      <w:r w:rsidRPr="00740A01">
        <w:rPr>
          <w:lang w:val="en-GB"/>
        </w:rPr>
        <w:t xml:space="preserve">. </w:t>
      </w:r>
    </w:p>
  </w:footnote>
  <w:footnote w:id="11">
    <w:p w:rsidR="002B668D" w:rsidRPr="00A004D5" w:rsidRDefault="002B668D" w:rsidP="005C7228">
      <w:pPr>
        <w:pStyle w:val="FootnoteText"/>
        <w:rPr>
          <w:lang w:val="en-GB"/>
        </w:rPr>
      </w:pPr>
      <w:r>
        <w:rPr>
          <w:rStyle w:val="FootnoteReference"/>
        </w:rPr>
        <w:footnoteRef/>
      </w:r>
      <w:r w:rsidRPr="00A004D5">
        <w:rPr>
          <w:lang w:val="en-US"/>
        </w:rPr>
        <w:t xml:space="preserve"> </w:t>
      </w:r>
      <w:r>
        <w:rPr>
          <w:lang w:val="en-US"/>
        </w:rPr>
        <w:t xml:space="preserve">It is still unclear how the </w:t>
      </w:r>
      <w:r w:rsidRPr="00A004D5">
        <w:rPr>
          <w:lang w:val="en-US"/>
        </w:rPr>
        <w:t xml:space="preserve">CF income distribution </w:t>
      </w:r>
      <w:r>
        <w:rPr>
          <w:lang w:val="en-US"/>
        </w:rPr>
        <w:t xml:space="preserve">is actually </w:t>
      </w:r>
      <w:r w:rsidRPr="00A004D5">
        <w:rPr>
          <w:lang w:val="en-US"/>
        </w:rPr>
        <w:t xml:space="preserve">related to </w:t>
      </w:r>
      <w:r>
        <w:rPr>
          <w:lang w:val="en-US"/>
        </w:rPr>
        <w:t xml:space="preserve">the </w:t>
      </w:r>
      <w:r w:rsidRPr="00A004D5">
        <w:rPr>
          <w:lang w:val="en-US"/>
        </w:rPr>
        <w:t>stochastic processes developed by Champernowne (195</w:t>
      </w:r>
      <w:r>
        <w:rPr>
          <w:lang w:val="en-US"/>
        </w:rPr>
        <w:t>3</w:t>
      </w:r>
      <w:r w:rsidRPr="00A004D5">
        <w:rPr>
          <w:lang w:val="en-US"/>
        </w:rPr>
        <w:t>)</w:t>
      </w:r>
      <w:r>
        <w:rPr>
          <w:lang w:val="en-US"/>
        </w:rPr>
        <w:t xml:space="preserve">, a proposition that was reworked by </w:t>
      </w:r>
      <w:r w:rsidRPr="00032596">
        <w:rPr>
          <w:lang w:val="en-US"/>
        </w:rPr>
        <w:t>Shorrocks</w:t>
      </w:r>
      <w:r w:rsidRPr="00032596" w:rsidDel="00032596">
        <w:rPr>
          <w:lang w:val="en-US"/>
        </w:rPr>
        <w:t xml:space="preserve"> </w:t>
      </w:r>
      <w:r>
        <w:rPr>
          <w:lang w:val="en-US"/>
        </w:rPr>
        <w:t>(1975)</w:t>
      </w:r>
      <w:r w:rsidRPr="00A004D5">
        <w:rPr>
          <w:lang w:val="en-US"/>
        </w:rPr>
        <w:t xml:space="preserve"> in his </w:t>
      </w:r>
      <w:r>
        <w:rPr>
          <w:lang w:val="en-US"/>
        </w:rPr>
        <w:t xml:space="preserve">analyses of </w:t>
      </w:r>
      <w:r w:rsidRPr="00A004D5">
        <w:rPr>
          <w:lang w:val="en-US"/>
        </w:rPr>
        <w:t>stochastic models of income attainment</w:t>
      </w:r>
      <w:r>
        <w:rPr>
          <w:lang w:val="en-US"/>
        </w:rPr>
        <w:t xml:space="preserve">, and recently </w:t>
      </w:r>
      <w:r w:rsidRPr="00A004D5">
        <w:rPr>
          <w:lang w:val="en-US"/>
        </w:rPr>
        <w:t>renewed by Reed (2001) and Gabaix (20</w:t>
      </w:r>
      <w:r>
        <w:rPr>
          <w:lang w:val="en-US"/>
        </w:rPr>
        <w:t>09</w:t>
      </w:r>
      <w:r w:rsidRPr="00A004D5">
        <w:rPr>
          <w:lang w:val="en-US"/>
        </w:rPr>
        <w:t>).</w:t>
      </w:r>
      <w:r>
        <w:rPr>
          <w:lang w:val="en-US"/>
        </w:rPr>
        <w:t xml:space="preserve"> See </w:t>
      </w:r>
      <w:r w:rsidRPr="00596431">
        <w:rPr>
          <w:lang w:val="en-US"/>
        </w:rPr>
        <w:t xml:space="preserve">Kleiber </w:t>
      </w:r>
      <w:r>
        <w:rPr>
          <w:lang w:val="en-US"/>
        </w:rPr>
        <w:t>and</w:t>
      </w:r>
      <w:r w:rsidRPr="00596431">
        <w:rPr>
          <w:lang w:val="en-US"/>
        </w:rPr>
        <w:t xml:space="preserve"> Kotz </w:t>
      </w:r>
      <w:r>
        <w:rPr>
          <w:lang w:val="en-US"/>
        </w:rPr>
        <w:t>(</w:t>
      </w:r>
      <w:r w:rsidRPr="00596431">
        <w:rPr>
          <w:lang w:val="en-US"/>
        </w:rPr>
        <w:t>2003</w:t>
      </w:r>
      <w:r>
        <w:rPr>
          <w:lang w:val="en-US"/>
        </w:rPr>
        <w:t xml:space="preserve">, 65sqq) also. </w:t>
      </w:r>
      <w:r w:rsidRPr="00A004D5">
        <w:rPr>
          <w:lang w:val="en-US"/>
        </w:rPr>
        <w:t xml:space="preserve">Osberg (1977) </w:t>
      </w:r>
      <w:r>
        <w:rPr>
          <w:lang w:val="en-US"/>
        </w:rPr>
        <w:t xml:space="preserve">criticized this stream of research on the basis of its </w:t>
      </w:r>
      <w:r w:rsidRPr="002270AB">
        <w:rPr>
          <w:i/>
          <w:lang w:val="en-US"/>
        </w:rPr>
        <w:t>ad hoc</w:t>
      </w:r>
      <w:r>
        <w:rPr>
          <w:lang w:val="en-US"/>
        </w:rPr>
        <w:t xml:space="preserve"> way of mimicing reality, </w:t>
      </w:r>
      <w:r w:rsidRPr="00A004D5">
        <w:rPr>
          <w:lang w:val="en-US"/>
        </w:rPr>
        <w:t xml:space="preserve">inexact predictions </w:t>
      </w:r>
      <w:r>
        <w:rPr>
          <w:lang w:val="en-US"/>
        </w:rPr>
        <w:t xml:space="preserve">and implicit belief that hierarchy is the result of random processes. </w:t>
      </w:r>
    </w:p>
  </w:footnote>
  <w:footnote w:id="12">
    <w:p w:rsidR="002B668D" w:rsidRPr="00CE465A" w:rsidRDefault="002B668D" w:rsidP="00BF62E1">
      <w:pPr>
        <w:pStyle w:val="FootnoteText"/>
        <w:rPr>
          <w:lang w:val="en-US"/>
        </w:rPr>
      </w:pPr>
      <w:r>
        <w:rPr>
          <w:rStyle w:val="FootnoteReference"/>
        </w:rPr>
        <w:footnoteRef/>
      </w:r>
      <w:r w:rsidRPr="00CE465A">
        <w:rPr>
          <w:lang w:val="en-US"/>
        </w:rPr>
        <w:t xml:space="preserve"> </w:t>
      </w:r>
      <w:r>
        <w:rPr>
          <w:lang w:val="en-US"/>
        </w:rPr>
        <w:t xml:space="preserve">Among others, </w:t>
      </w:r>
      <w:r w:rsidRPr="000A407D">
        <w:rPr>
          <w:lang w:val="en-US"/>
        </w:rPr>
        <w:t>Clementi and colleagues (2012)</w:t>
      </w:r>
      <w:r>
        <w:rPr>
          <w:lang w:val="en-US"/>
        </w:rPr>
        <w:t xml:space="preserve"> log-transform the value of rank, even though the quantile, which is an ]0,1[ interval variable, should be transformed symmetrically (around 0.5) which is what the logit transformation does</w:t>
      </w:r>
      <w:r w:rsidRPr="00350152">
        <w:rPr>
          <w:lang w:val="en-GB"/>
        </w:rPr>
        <w:t>.</w:t>
      </w:r>
      <w:r>
        <w:rPr>
          <w:lang w:val="en-GB"/>
        </w:rPr>
        <w:t xml:space="preserve"> </w:t>
      </w:r>
      <w:r w:rsidRPr="00350152">
        <w:rPr>
          <w:lang w:val="en-GB"/>
        </w:rPr>
        <w:t xml:space="preserve">Similarly, in the sociology of stratification, Tony Tam (2007) introduced the positional status index (PSI), </w:t>
      </w:r>
      <m:oMath>
        <m:sSub>
          <m:sSubPr>
            <m:ctrlPr>
              <w:rPr>
                <w:rFonts w:ascii="Cambria Math" w:hAnsi="Cambria Math"/>
                <w:i/>
                <w:sz w:val="24"/>
                <w:szCs w:val="24"/>
                <w:lang w:val="en-US"/>
              </w:rPr>
            </m:ctrlPr>
          </m:sSubPr>
          <m:e>
            <m:r>
              <w:rPr>
                <w:rFonts w:ascii="Cambria Math" w:hAnsi="Cambria Math"/>
                <w:sz w:val="24"/>
                <w:szCs w:val="24"/>
              </w:rPr>
              <m:t>p</m:t>
            </m:r>
          </m:e>
          <m:sub>
            <m:r>
              <w:rPr>
                <w:rFonts w:ascii="Cambria Math" w:hAnsi="Cambria Math"/>
                <w:sz w:val="24"/>
                <w:szCs w:val="24"/>
                <w:lang w:val="en-US"/>
              </w:rPr>
              <m:t>i</m:t>
            </m:r>
          </m:sub>
        </m:sSub>
        <m:r>
          <w:rPr>
            <w:rFonts w:ascii="Cambria Math" w:hAnsi="Cambria Math"/>
            <w:sz w:val="24"/>
            <w:szCs w:val="24"/>
            <w:lang w:val="en-GB"/>
          </w:rPr>
          <m:t>/</m:t>
        </m:r>
        <m:sSub>
          <m:sSubPr>
            <m:ctrlPr>
              <w:rPr>
                <w:rFonts w:ascii="Cambria Math" w:hAnsi="Cambria Math"/>
                <w:i/>
                <w:sz w:val="24"/>
                <w:szCs w:val="24"/>
                <w:lang w:val="en-US"/>
              </w:rPr>
            </m:ctrlPr>
          </m:sSubPr>
          <m:e>
            <m:r>
              <w:rPr>
                <w:rFonts w:ascii="Cambria Math" w:hAnsi="Cambria Math"/>
                <w:sz w:val="24"/>
                <w:szCs w:val="24"/>
              </w:rPr>
              <m:t>q</m:t>
            </m:r>
          </m:e>
          <m:sub>
            <m:r>
              <w:rPr>
                <w:rFonts w:ascii="Cambria Math" w:hAnsi="Cambria Math"/>
                <w:sz w:val="24"/>
                <w:szCs w:val="24"/>
                <w:lang w:val="en-US"/>
              </w:rPr>
              <m:t>i</m:t>
            </m:r>
          </m:sub>
        </m:sSub>
      </m:oMath>
      <w:r w:rsidRPr="00350152">
        <w:rPr>
          <w:lang w:val="en-GB"/>
        </w:rPr>
        <w:t xml:space="preserve"> that we log here. </w:t>
      </w:r>
      <w:r>
        <w:rPr>
          <w:lang w:val="en-US"/>
        </w:rPr>
        <w:t>The concept of “logit rank” is more common in epidemiology than in the social sciences. “Logit rank” (O’Brien, 1978, Copas, 1999), “logistic quantile” (Orsini and Bottai, 2011) or other names for logit rescaling of ]0,1[ proportions exist in the literature but have not received the attention they deserve.</w:t>
      </w:r>
    </w:p>
  </w:footnote>
  <w:footnote w:id="13">
    <w:p w:rsidR="002B668D" w:rsidRPr="003809CF" w:rsidRDefault="002B668D">
      <w:pPr>
        <w:pStyle w:val="FootnoteText"/>
        <w:rPr>
          <w:lang w:val="en-US"/>
        </w:rPr>
      </w:pPr>
      <w:r>
        <w:rPr>
          <w:rStyle w:val="FootnoteReference"/>
        </w:rPr>
        <w:footnoteRef/>
      </w:r>
      <w:r w:rsidRPr="003809CF">
        <w:rPr>
          <w:lang w:val="en-US"/>
        </w:rPr>
        <w:t xml:space="preserve"> </w:t>
      </w:r>
      <w:r>
        <w:rPr>
          <w:lang w:val="en-US"/>
        </w:rPr>
        <w:t>Three p</w:t>
      </w:r>
      <w:r w:rsidRPr="003809CF">
        <w:rPr>
          <w:lang w:val="en-US"/>
        </w:rPr>
        <w:t>lus one parameter of scale that disappear</w:t>
      </w:r>
      <w:r>
        <w:rPr>
          <w:lang w:val="en-US"/>
        </w:rPr>
        <w:t>s</w:t>
      </w:r>
      <w:r w:rsidRPr="003809CF">
        <w:rPr>
          <w:lang w:val="en-US"/>
        </w:rPr>
        <w:t xml:space="preserve"> </w:t>
      </w:r>
      <w:r>
        <w:rPr>
          <w:lang w:val="en-US"/>
        </w:rPr>
        <w:t xml:space="preserve">in the case of </w:t>
      </w:r>
      <w:r w:rsidRPr="003809CF">
        <w:rPr>
          <w:lang w:val="en-US"/>
        </w:rPr>
        <w:t>medianized incomes</w:t>
      </w:r>
      <w:r>
        <w:rPr>
          <w:lang w:val="en-US"/>
        </w:rPr>
        <w:t xml:space="preserve">. GB2 and ABG have the same number of parameters, i.e., three of shape and one of scale. </w:t>
      </w:r>
    </w:p>
  </w:footnote>
  <w:footnote w:id="14">
    <w:p w:rsidR="002B668D" w:rsidRPr="008E688E" w:rsidRDefault="002B668D" w:rsidP="00C51D10">
      <w:pPr>
        <w:pStyle w:val="FootnoteText"/>
        <w:rPr>
          <w:lang w:val="en-US"/>
        </w:rPr>
      </w:pPr>
      <w:r>
        <w:rPr>
          <w:rStyle w:val="FootnoteReference"/>
        </w:rPr>
        <w:footnoteRef/>
      </w:r>
      <w:r w:rsidRPr="008E688E">
        <w:rPr>
          <w:lang w:val="en-US"/>
        </w:rPr>
        <w:t xml:space="preserve"> </w:t>
      </w:r>
      <w:r>
        <w:rPr>
          <w:lang w:val="en-US"/>
        </w:rPr>
        <w:t xml:space="preserve">This aspect is important: </w:t>
      </w:r>
      <w:r w:rsidRPr="008E688E">
        <w:rPr>
          <w:lang w:val="en-US"/>
        </w:rPr>
        <w:t xml:space="preserve">the GB2 distribution </w:t>
      </w:r>
      <w:r>
        <w:rPr>
          <w:lang w:val="en-US"/>
        </w:rPr>
        <w:t>propose</w:t>
      </w:r>
      <w:r w:rsidRPr="008E688E">
        <w:rPr>
          <w:lang w:val="en-US"/>
        </w:rPr>
        <w:t>s</w:t>
      </w:r>
      <w:r>
        <w:rPr>
          <w:lang w:val="en-US"/>
        </w:rPr>
        <w:t>,</w:t>
      </w:r>
      <w:r w:rsidRPr="008E688E">
        <w:rPr>
          <w:lang w:val="en-US"/>
        </w:rPr>
        <w:t xml:space="preserve"> in general</w:t>
      </w:r>
      <w:r>
        <w:rPr>
          <w:lang w:val="en-US"/>
        </w:rPr>
        <w:t>,</w:t>
      </w:r>
      <w:r w:rsidRPr="008E688E">
        <w:rPr>
          <w:lang w:val="en-US"/>
        </w:rPr>
        <w:t xml:space="preserve"> </w:t>
      </w:r>
      <w:r>
        <w:rPr>
          <w:lang w:val="en-US"/>
        </w:rPr>
        <w:t>a good fit</w:t>
      </w:r>
      <w:r w:rsidRPr="008E688E">
        <w:rPr>
          <w:lang w:val="en-US"/>
        </w:rPr>
        <w:t xml:space="preserve"> of empirical distributions (Jenkins</w:t>
      </w:r>
      <w:r>
        <w:rPr>
          <w:lang w:val="en-US"/>
        </w:rPr>
        <w:t>,</w:t>
      </w:r>
      <w:r w:rsidRPr="008E688E">
        <w:rPr>
          <w:lang w:val="en-US"/>
        </w:rPr>
        <w:t xml:space="preserve"> 2009), </w:t>
      </w:r>
      <w:r>
        <w:rPr>
          <w:lang w:val="en-US"/>
        </w:rPr>
        <w:t xml:space="preserve">but </w:t>
      </w:r>
      <w:r w:rsidRPr="008E688E">
        <w:rPr>
          <w:lang w:val="en-US"/>
        </w:rPr>
        <w:t xml:space="preserve">the interpretability of </w:t>
      </w:r>
      <w:r>
        <w:rPr>
          <w:lang w:val="en-US"/>
        </w:rPr>
        <w:t>its</w:t>
      </w:r>
      <w:r w:rsidRPr="008E688E">
        <w:rPr>
          <w:lang w:val="en-US"/>
        </w:rPr>
        <w:t xml:space="preserve"> </w:t>
      </w:r>
      <w:r w:rsidRPr="00F31CCB">
        <w:rPr>
          <w:i/>
          <w:lang w:val="en-US"/>
        </w:rPr>
        <w:t>p</w:t>
      </w:r>
      <w:r w:rsidRPr="008E688E">
        <w:rPr>
          <w:lang w:val="en-US"/>
        </w:rPr>
        <w:t xml:space="preserve"> and </w:t>
      </w:r>
      <w:r w:rsidRPr="00F31CCB">
        <w:rPr>
          <w:i/>
          <w:lang w:val="en-US"/>
        </w:rPr>
        <w:t>q</w:t>
      </w:r>
      <w:r w:rsidRPr="008E688E">
        <w:rPr>
          <w:lang w:val="en-US"/>
        </w:rPr>
        <w:t xml:space="preserve"> shape coefficients </w:t>
      </w:r>
      <w:r>
        <w:rPr>
          <w:lang w:val="en-US"/>
        </w:rPr>
        <w:t>is unclear</w:t>
      </w:r>
      <w:r w:rsidRPr="008E688E">
        <w:rPr>
          <w:lang w:val="en-US"/>
        </w:rPr>
        <w:t>.</w:t>
      </w:r>
    </w:p>
  </w:footnote>
  <w:footnote w:id="15">
    <w:p w:rsidR="002B668D" w:rsidRPr="006E3090" w:rsidRDefault="002B668D">
      <w:pPr>
        <w:pStyle w:val="FootnoteText"/>
        <w:rPr>
          <w:lang w:val="en-US"/>
        </w:rPr>
      </w:pPr>
      <w:r>
        <w:rPr>
          <w:rStyle w:val="FootnoteReference"/>
        </w:rPr>
        <w:footnoteRef/>
      </w:r>
      <w:r w:rsidRPr="006E3090">
        <w:rPr>
          <w:lang w:val="en-US"/>
        </w:rPr>
        <w:t xml:space="preserve"> </w:t>
      </w:r>
      <w:r>
        <w:rPr>
          <w:lang w:val="en-US"/>
        </w:rPr>
        <w:t>This hypothesis will at some point</w:t>
      </w:r>
      <w:r w:rsidRPr="005A5899">
        <w:rPr>
          <w:lang w:val="en-US"/>
        </w:rPr>
        <w:t xml:space="preserve"> </w:t>
      </w:r>
      <w:r>
        <w:rPr>
          <w:lang w:val="en-US"/>
        </w:rPr>
        <w:t xml:space="preserve">have to be tested, along with the Milanovic </w:t>
      </w:r>
      <w:r w:rsidRPr="005A5899">
        <w:rPr>
          <w:i/>
          <w:lang w:val="en-US"/>
        </w:rPr>
        <w:t>et al</w:t>
      </w:r>
      <w:r>
        <w:rPr>
          <w:lang w:val="en-US"/>
        </w:rPr>
        <w:t xml:space="preserve">. (2011) hypothesis that the vital </w:t>
      </w:r>
      <w:r w:rsidRPr="006E3090">
        <w:rPr>
          <w:lang w:val="en-US"/>
        </w:rPr>
        <w:t>subsistence minimum</w:t>
      </w:r>
      <w:r>
        <w:rPr>
          <w:lang w:val="en-US"/>
        </w:rPr>
        <w:t xml:space="preserve"> is </w:t>
      </w:r>
      <w:r w:rsidRPr="006E3090">
        <w:rPr>
          <w:lang w:val="en-US"/>
        </w:rPr>
        <w:t>at $PPP 300 per year</w:t>
      </w:r>
      <w:r>
        <w:rPr>
          <w:lang w:val="en-US"/>
        </w:rPr>
        <w:t xml:space="preserve"> (in 1990 prices)</w:t>
      </w:r>
      <w:r w:rsidRPr="006E3090">
        <w:rPr>
          <w:lang w:val="en-US"/>
        </w:rPr>
        <w:t xml:space="preserve">. </w:t>
      </w:r>
    </w:p>
  </w:footnote>
  <w:footnote w:id="16">
    <w:p w:rsidR="002B668D" w:rsidRPr="00AE3FE4" w:rsidRDefault="002B668D" w:rsidP="00AE3FE4">
      <w:pPr>
        <w:pStyle w:val="FootnoteText"/>
        <w:rPr>
          <w:lang w:val="en-US"/>
        </w:rPr>
      </w:pPr>
      <w:r>
        <w:rPr>
          <w:rStyle w:val="FootnoteReference"/>
        </w:rPr>
        <w:footnoteRef/>
      </w:r>
      <w:r w:rsidRPr="003944E8">
        <w:rPr>
          <w:lang w:val="en-US"/>
        </w:rPr>
        <w:t xml:space="preserve"> </w:t>
      </w:r>
      <w:r>
        <w:rPr>
          <w:lang w:val="en-US"/>
        </w:rPr>
        <w:t xml:space="preserve">To control for the potential problem of outliers, the </w:t>
      </w:r>
      <w:r w:rsidRPr="007A08A7">
        <w:rPr>
          <w:lang w:val="en-US"/>
        </w:rPr>
        <w:t xml:space="preserve">regression </w:t>
      </w:r>
      <w:r>
        <w:rPr>
          <w:lang w:val="en-US"/>
        </w:rPr>
        <w:t xml:space="preserve">interval is reduced to abs(X)&lt;4, which means the 2 centiles at both extremes are excluded from the regression. A second cut-off estimation has an alternative span of abs(X)&lt;8, which excludes a proportion of 5 out of 10.000 at both extremes. The results for </w:t>
      </w:r>
      <w:r w:rsidRPr="00617984">
        <w:rPr>
          <w:rFonts w:ascii="Symbol" w:hAnsi="Symbol"/>
          <w:lang w:val="en-US"/>
        </w:rPr>
        <w:t></w:t>
      </w:r>
      <w:r>
        <w:rPr>
          <w:lang w:val="en-US"/>
        </w:rPr>
        <w:t xml:space="preserve"> are not affected (the correlation between the two series is r = </w:t>
      </w:r>
      <w:r w:rsidRPr="00617984">
        <w:rPr>
          <w:lang w:val="en-US"/>
        </w:rPr>
        <w:t>0.9998</w:t>
      </w:r>
      <w:r>
        <w:rPr>
          <w:lang w:val="en-US"/>
        </w:rPr>
        <w:t xml:space="preserve">), and those on </w:t>
      </w:r>
      <w:r>
        <w:rPr>
          <w:rFonts w:ascii="Symbol" w:hAnsi="Symbol"/>
          <w:lang w:val="en-US"/>
        </w:rPr>
        <w:t></w:t>
      </w:r>
      <w:r>
        <w:rPr>
          <w:lang w:val="en-US"/>
        </w:rPr>
        <w:t xml:space="preserve"> and </w:t>
      </w:r>
      <w:r>
        <w:rPr>
          <w:rFonts w:ascii="Symbol" w:hAnsi="Symbol"/>
          <w:lang w:val="en-US"/>
        </w:rPr>
        <w:t></w:t>
      </w:r>
      <w:r>
        <w:rPr>
          <w:lang w:val="en-US"/>
        </w:rPr>
        <w:t xml:space="preserve"> are also stable (r =</w:t>
      </w:r>
      <w:r w:rsidRPr="00617984">
        <w:rPr>
          <w:lang w:val="en-US"/>
        </w:rPr>
        <w:t xml:space="preserve"> 0.9886</w:t>
      </w:r>
      <w:r>
        <w:rPr>
          <w:lang w:val="en-US"/>
        </w:rPr>
        <w:t xml:space="preserve"> and r =</w:t>
      </w:r>
      <w:r w:rsidRPr="00617984">
        <w:rPr>
          <w:lang w:val="en-US"/>
        </w:rPr>
        <w:t xml:space="preserve"> 0.9694</w:t>
      </w:r>
      <w:r>
        <w:rPr>
          <w:lang w:val="en-US"/>
        </w:rPr>
        <w:t xml:space="preserve">, respectively). This choice does not then particularly affect the results. Furthermore, in this case the </w:t>
      </w:r>
      <w:r w:rsidRPr="00335DEE">
        <w:rPr>
          <w:color w:val="000000"/>
          <w:szCs w:val="24"/>
          <w:lang w:val="en-US" w:eastAsia="en-US"/>
        </w:rPr>
        <w:t>r</w:t>
      </w:r>
      <w:r w:rsidRPr="00335DEE">
        <w:rPr>
          <w:color w:val="000000"/>
          <w:sz w:val="18"/>
          <w:szCs w:val="24"/>
          <w:vertAlign w:val="superscript"/>
          <w:lang w:val="en-US" w:eastAsia="en-US"/>
        </w:rPr>
        <w:t>2</w:t>
      </w:r>
      <w:r>
        <w:rPr>
          <w:lang w:val="en-US"/>
        </w:rPr>
        <w:t xml:space="preserve"> are comparable, even though in the general case of regressions </w:t>
      </w:r>
      <w:r w:rsidRPr="00AE3FE4">
        <w:rPr>
          <w:lang w:val="en-US"/>
        </w:rPr>
        <w:t>omitting the constant term</w:t>
      </w:r>
      <w:r>
        <w:rPr>
          <w:lang w:val="en-US"/>
        </w:rPr>
        <w:t xml:space="preserve">, </w:t>
      </w:r>
      <w:r w:rsidRPr="00AE3FE4">
        <w:rPr>
          <w:lang w:val="en-US"/>
        </w:rPr>
        <w:t>the ratio between the regression sum of squares and the</w:t>
      </w:r>
      <w:r>
        <w:rPr>
          <w:lang w:val="en-US"/>
        </w:rPr>
        <w:t xml:space="preserve"> </w:t>
      </w:r>
      <w:r w:rsidRPr="00AE3FE4">
        <w:rPr>
          <w:lang w:val="en-US"/>
        </w:rPr>
        <w:t>total sum of squares</w:t>
      </w:r>
      <w:r>
        <w:rPr>
          <w:lang w:val="en-US"/>
        </w:rPr>
        <w:t xml:space="preserve"> makes no sense: </w:t>
      </w:r>
      <w:r w:rsidRPr="00AE3FE4">
        <w:rPr>
          <w:lang w:val="en-US"/>
        </w:rPr>
        <w:t xml:space="preserve">if the constant term is omitted, the observed average </w:t>
      </w:r>
      <w:r>
        <w:rPr>
          <w:lang w:val="en-US"/>
        </w:rPr>
        <w:t xml:space="preserve">and </w:t>
      </w:r>
      <w:r w:rsidRPr="00AE3FE4">
        <w:rPr>
          <w:lang w:val="en-US"/>
        </w:rPr>
        <w:t>the fitted</w:t>
      </w:r>
      <w:r>
        <w:rPr>
          <w:lang w:val="en-US"/>
        </w:rPr>
        <w:t xml:space="preserve"> one differ. Here is an exception since, for the observed and for the estimated series, at the median level, both </w:t>
      </w:r>
      <w:r w:rsidRPr="00335DEE">
        <w:rPr>
          <w:szCs w:val="24"/>
          <w:lang w:val="it-IT"/>
        </w:rPr>
        <w:t>logit(</w:t>
      </w:r>
      <w:r w:rsidRPr="00335DEE">
        <w:rPr>
          <w:szCs w:val="24"/>
          <w:lang w:val="en-US"/>
        </w:rPr>
        <w:t>p</w:t>
      </w:r>
      <w:r w:rsidRPr="00335DEE">
        <w:rPr>
          <w:szCs w:val="24"/>
          <w:vertAlign w:val="subscript"/>
          <w:lang w:val="en-US"/>
        </w:rPr>
        <w:t>i</w:t>
      </w:r>
      <w:r w:rsidRPr="00335DEE">
        <w:rPr>
          <w:szCs w:val="24"/>
          <w:lang w:val="it-IT"/>
        </w:rPr>
        <w:t xml:space="preserve">) </w:t>
      </w:r>
      <w:r>
        <w:rPr>
          <w:szCs w:val="24"/>
          <w:lang w:val="it-IT"/>
        </w:rPr>
        <w:t xml:space="preserve">and </w:t>
      </w:r>
      <w:r w:rsidRPr="00335DEE">
        <w:rPr>
          <w:szCs w:val="24"/>
          <w:lang w:val="en-US"/>
        </w:rPr>
        <w:t>ln(m</w:t>
      </w:r>
      <w:r w:rsidRPr="00335DEE">
        <w:rPr>
          <w:szCs w:val="24"/>
          <w:vertAlign w:val="subscript"/>
          <w:lang w:val="en-US"/>
        </w:rPr>
        <w:t>i</w:t>
      </w:r>
      <w:r w:rsidRPr="00335DEE">
        <w:rPr>
          <w:szCs w:val="24"/>
          <w:lang w:val="en-US"/>
        </w:rPr>
        <w:t>)</w:t>
      </w:r>
      <w:r>
        <w:rPr>
          <w:szCs w:val="24"/>
          <w:lang w:val="en-US"/>
        </w:rPr>
        <w:t xml:space="preserve"> are null: the log of the medianized median income is 0 and the logit-rank of the median is 0. </w:t>
      </w:r>
    </w:p>
  </w:footnote>
  <w:footnote w:id="17">
    <w:p w:rsidR="002B668D" w:rsidRPr="00E312CE" w:rsidRDefault="002B668D" w:rsidP="002203AB">
      <w:pPr>
        <w:pStyle w:val="FootnoteText"/>
        <w:rPr>
          <w:lang w:val="en-US"/>
        </w:rPr>
      </w:pPr>
      <w:r>
        <w:rPr>
          <w:rStyle w:val="FootnoteReference"/>
        </w:rPr>
        <w:footnoteRef/>
      </w:r>
      <w:r w:rsidRPr="00E312CE">
        <w:rPr>
          <w:lang w:val="en-US"/>
        </w:rPr>
        <w:t xml:space="preserve"> </w:t>
      </w:r>
      <w:r>
        <w:rPr>
          <w:lang w:val="en-US"/>
        </w:rPr>
        <w:t xml:space="preserve">In the conventional literature, this is a 4-parameter distribution, but with medianized income the traditional </w:t>
      </w:r>
      <w:r w:rsidRPr="007A08A7">
        <w:rPr>
          <w:i/>
          <w:lang w:val="en-US"/>
        </w:rPr>
        <w:t>b</w:t>
      </w:r>
      <w:r>
        <w:rPr>
          <w:lang w:val="en-US"/>
        </w:rPr>
        <w:t xml:space="preserve"> coefficient is automatically set to 1.</w:t>
      </w:r>
    </w:p>
  </w:footnote>
  <w:footnote w:id="18">
    <w:p w:rsidR="002B668D" w:rsidRPr="00A52F3D" w:rsidRDefault="002B668D" w:rsidP="002203AB">
      <w:pPr>
        <w:pStyle w:val="FootnoteText"/>
        <w:rPr>
          <w:lang w:val="en-US"/>
        </w:rPr>
      </w:pPr>
      <w:r>
        <w:rPr>
          <w:rStyle w:val="FootnoteReference"/>
        </w:rPr>
        <w:footnoteRef/>
      </w:r>
      <w:r w:rsidRPr="00A52F3D">
        <w:rPr>
          <w:lang w:val="en-US"/>
        </w:rPr>
        <w:t xml:space="preserve"> </w:t>
      </w:r>
      <w:r w:rsidRPr="00A70052">
        <w:rPr>
          <w:lang w:val="en-US"/>
        </w:rPr>
        <w:t>This international consortium</w:t>
      </w:r>
      <w:r>
        <w:rPr>
          <w:lang w:val="en-US"/>
        </w:rPr>
        <w:t xml:space="preserve"> archives and harmonizes income-</w:t>
      </w:r>
      <w:r w:rsidRPr="00A70052">
        <w:rPr>
          <w:lang w:val="en-US"/>
        </w:rPr>
        <w:t xml:space="preserve">relevant datasets in the </w:t>
      </w:r>
      <w:r>
        <w:rPr>
          <w:lang w:val="en-US"/>
        </w:rPr>
        <w:t>W</w:t>
      </w:r>
      <w:r w:rsidRPr="00A70052">
        <w:rPr>
          <w:lang w:val="en-US"/>
        </w:rPr>
        <w:t>estern developed world and elsewhere</w:t>
      </w:r>
      <w:r>
        <w:rPr>
          <w:lang w:val="en-US"/>
        </w:rPr>
        <w:t>,</w:t>
      </w:r>
      <w:r w:rsidRPr="00A70052">
        <w:rPr>
          <w:lang w:val="en-US"/>
        </w:rPr>
        <w:t xml:space="preserve"> and is devoted to the microdata</w:t>
      </w:r>
      <w:r>
        <w:rPr>
          <w:lang w:val="en-US"/>
        </w:rPr>
        <w:t>-</w:t>
      </w:r>
      <w:r w:rsidRPr="00A70052">
        <w:rPr>
          <w:lang w:val="en-US"/>
        </w:rPr>
        <w:t xml:space="preserve">based analysis of </w:t>
      </w:r>
      <w:r>
        <w:rPr>
          <w:lang w:val="en-US"/>
        </w:rPr>
        <w:t xml:space="preserve">the </w:t>
      </w:r>
      <w:r w:rsidRPr="00A70052">
        <w:rPr>
          <w:lang w:val="en-US"/>
        </w:rPr>
        <w:t>inequalit</w:t>
      </w:r>
      <w:r>
        <w:rPr>
          <w:lang w:val="en-US"/>
        </w:rPr>
        <w:t xml:space="preserve">y in </w:t>
      </w:r>
      <w:r w:rsidRPr="00A70052">
        <w:rPr>
          <w:lang w:val="en-US"/>
        </w:rPr>
        <w:t xml:space="preserve">disposable incomes after taxes and social transfers. </w:t>
      </w:r>
      <w:r>
        <w:rPr>
          <w:lang w:val="en-US"/>
        </w:rPr>
        <w:t xml:space="preserve">The LIS income variable analyzed here is </w:t>
      </w:r>
      <w:r w:rsidRPr="0076651E">
        <w:rPr>
          <w:lang w:val="en-US"/>
        </w:rPr>
        <w:t>“d</w:t>
      </w:r>
      <w:r>
        <w:rPr>
          <w:lang w:val="en-US"/>
        </w:rPr>
        <w:t>h</w:t>
      </w:r>
      <w:r w:rsidRPr="0076651E">
        <w:rPr>
          <w:lang w:val="en-US"/>
        </w:rPr>
        <w:t>i”</w:t>
      </w:r>
      <w:r>
        <w:rPr>
          <w:lang w:val="en-US"/>
        </w:rPr>
        <w:t>: the t</w:t>
      </w:r>
      <w:r w:rsidRPr="0076651E">
        <w:rPr>
          <w:lang w:val="en-US"/>
        </w:rPr>
        <w:t xml:space="preserve">otal monetary current </w:t>
      </w:r>
      <w:r>
        <w:rPr>
          <w:lang w:val="en-US"/>
        </w:rPr>
        <w:t xml:space="preserve">(yearly) </w:t>
      </w:r>
      <w:r w:rsidRPr="0076651E">
        <w:rPr>
          <w:lang w:val="en-US"/>
        </w:rPr>
        <w:t>income</w:t>
      </w:r>
      <w:r>
        <w:rPr>
          <w:lang w:val="en-US"/>
        </w:rPr>
        <w:t xml:space="preserve"> net of income taxes and social-</w:t>
      </w:r>
      <w:r w:rsidRPr="0076651E">
        <w:rPr>
          <w:lang w:val="en-US"/>
        </w:rPr>
        <w:t>security contributions</w:t>
      </w:r>
      <w:r>
        <w:rPr>
          <w:lang w:val="en-US"/>
        </w:rPr>
        <w:t>.</w:t>
      </w:r>
      <w:r w:rsidRPr="0076651E">
        <w:rPr>
          <w:lang w:val="en-US"/>
        </w:rPr>
        <w:t xml:space="preserve"> </w:t>
      </w:r>
      <w:r>
        <w:rPr>
          <w:lang w:val="en-US"/>
        </w:rPr>
        <w:t xml:space="preserve">While </w:t>
      </w:r>
      <w:r w:rsidRPr="00A70052">
        <w:rPr>
          <w:lang w:val="en-US"/>
        </w:rPr>
        <w:t xml:space="preserve">some datasets are questionable either because </w:t>
      </w:r>
      <w:r>
        <w:rPr>
          <w:lang w:val="en-US"/>
        </w:rPr>
        <w:t xml:space="preserve">of </w:t>
      </w:r>
      <w:r w:rsidRPr="004F635A">
        <w:rPr>
          <w:lang w:val="en-US"/>
        </w:rPr>
        <w:t xml:space="preserve">documented </w:t>
      </w:r>
      <w:r w:rsidRPr="00A70052">
        <w:rPr>
          <w:lang w:val="en-US"/>
        </w:rPr>
        <w:t xml:space="preserve">sources of bias </w:t>
      </w:r>
      <w:r>
        <w:rPr>
          <w:lang w:val="en-US"/>
        </w:rPr>
        <w:t>which impair</w:t>
      </w:r>
      <w:r w:rsidRPr="00A70052">
        <w:rPr>
          <w:lang w:val="en-US"/>
        </w:rPr>
        <w:t xml:space="preserve"> the possibilities of comparison or because the comparison shows </w:t>
      </w:r>
      <w:r>
        <w:rPr>
          <w:lang w:val="en-US"/>
        </w:rPr>
        <w:t xml:space="preserve">that </w:t>
      </w:r>
      <w:r w:rsidRPr="00A70052">
        <w:rPr>
          <w:lang w:val="en-US"/>
        </w:rPr>
        <w:t xml:space="preserve">some cases are unexplainable outliers, the </w:t>
      </w:r>
      <w:r>
        <w:rPr>
          <w:lang w:val="en-US"/>
        </w:rPr>
        <w:t>232</w:t>
      </w:r>
      <w:r w:rsidRPr="00A70052">
        <w:rPr>
          <w:lang w:val="en-US"/>
        </w:rPr>
        <w:t xml:space="preserve"> samples available </w:t>
      </w:r>
      <w:r>
        <w:rPr>
          <w:lang w:val="en-US"/>
        </w:rPr>
        <w:t xml:space="preserve">at the time of these empirical analyses </w:t>
      </w:r>
      <w:r w:rsidRPr="00A70052">
        <w:rPr>
          <w:lang w:val="en-US"/>
        </w:rPr>
        <w:t xml:space="preserve"> </w:t>
      </w:r>
      <w:r>
        <w:rPr>
          <w:lang w:val="en-US"/>
        </w:rPr>
        <w:t xml:space="preserve">(18/09/2014) </w:t>
      </w:r>
      <w:r w:rsidRPr="00A70052">
        <w:rPr>
          <w:lang w:val="en-US"/>
        </w:rPr>
        <w:t xml:space="preserve">are of </w:t>
      </w:r>
      <w:r>
        <w:rPr>
          <w:lang w:val="en-US"/>
        </w:rPr>
        <w:t xml:space="preserve">particular </w:t>
      </w:r>
      <w:r w:rsidRPr="00A70052">
        <w:rPr>
          <w:lang w:val="en-US"/>
        </w:rPr>
        <w:t xml:space="preserve">interest </w:t>
      </w:r>
      <w:r>
        <w:rPr>
          <w:lang w:val="en-US"/>
        </w:rPr>
        <w:t xml:space="preserve">due to </w:t>
      </w:r>
      <w:r w:rsidRPr="00A70052">
        <w:rPr>
          <w:lang w:val="en-US"/>
        </w:rPr>
        <w:t>the empirical diversity of case</w:t>
      </w:r>
      <w:r>
        <w:rPr>
          <w:lang w:val="en-US"/>
        </w:rPr>
        <w:t>s</w:t>
      </w:r>
      <w:r w:rsidRPr="00A70052">
        <w:rPr>
          <w:lang w:val="en-US"/>
        </w:rPr>
        <w:t xml:space="preserve"> they </w:t>
      </w:r>
      <w:r>
        <w:rPr>
          <w:lang w:val="en-US"/>
        </w:rPr>
        <w:t>represent</w:t>
      </w:r>
      <w:r w:rsidRPr="00A70052">
        <w:rPr>
          <w:lang w:val="en-US"/>
        </w:rPr>
        <w:t xml:space="preserve">. </w:t>
      </w:r>
      <w:r>
        <w:rPr>
          <w:lang w:val="en-US"/>
        </w:rPr>
        <w:t xml:space="preserve">The codes of the samples in the LIS data center correspond to the standard ISO 2-digit country codes followed by the 2 final digits of the year. </w:t>
      </w:r>
    </w:p>
  </w:footnote>
  <w:footnote w:id="19">
    <w:p w:rsidR="002B668D" w:rsidRPr="00954DDF" w:rsidRDefault="002B668D">
      <w:pPr>
        <w:pStyle w:val="FootnoteText"/>
        <w:rPr>
          <w:lang w:val="en-US"/>
        </w:rPr>
      </w:pPr>
      <w:r>
        <w:rPr>
          <w:rStyle w:val="FootnoteReference"/>
        </w:rPr>
        <w:footnoteRef/>
      </w:r>
      <w:r w:rsidRPr="00954DDF">
        <w:rPr>
          <w:lang w:val="en-US"/>
        </w:rPr>
        <w:t xml:space="preserve"> </w:t>
      </w:r>
      <w:r>
        <w:rPr>
          <w:lang w:val="en-US"/>
        </w:rPr>
        <w:t>The Wolfson index is chosen here because it is standard in the literature, even though more reliable propositions exist (Alderson et al., 2005, Chakravarty and D’Ambrosio, 2010).</w:t>
      </w:r>
    </w:p>
  </w:footnote>
  <w:footnote w:id="20">
    <w:p w:rsidR="002B668D" w:rsidRPr="002A7480" w:rsidRDefault="002B668D">
      <w:pPr>
        <w:pStyle w:val="FootnoteText"/>
        <w:rPr>
          <w:lang w:val="en-US"/>
        </w:rPr>
      </w:pPr>
      <w:r>
        <w:rPr>
          <w:rStyle w:val="FootnoteReference"/>
        </w:rPr>
        <w:footnoteRef/>
      </w:r>
      <w:r w:rsidRPr="002A7480">
        <w:rPr>
          <w:lang w:val="en-US"/>
        </w:rPr>
        <w:t xml:space="preserve"> </w:t>
      </w:r>
      <w:r>
        <w:rPr>
          <w:lang w:val="en-US"/>
        </w:rPr>
        <w:t xml:space="preserve">A log-symmetric definition such as .75 to 1.33 might be preferred, but the .75 to 1.25 of the median definition is far more common in the literature (Pressman, 2007). Working on quintile dynamics, Dallinger (2013) found similar variations in the different sub-strata of the middle classes. </w:t>
      </w:r>
    </w:p>
  </w:footnote>
  <w:footnote w:id="21">
    <w:p w:rsidR="002B668D" w:rsidRPr="000A6011" w:rsidRDefault="002B668D">
      <w:pPr>
        <w:pStyle w:val="FootnoteText"/>
        <w:rPr>
          <w:lang w:val="en-US"/>
        </w:rPr>
      </w:pPr>
      <w:r>
        <w:rPr>
          <w:rStyle w:val="FootnoteReference"/>
        </w:rPr>
        <w:footnoteRef/>
      </w:r>
      <w:r w:rsidRPr="000A6011">
        <w:rPr>
          <w:lang w:val="en-US"/>
        </w:rPr>
        <w:t xml:space="preserve"> </w:t>
      </w:r>
      <w:r>
        <w:rPr>
          <w:lang w:val="en-US"/>
        </w:rPr>
        <w:t>In the social sciences, PCA is a very common tool for the multidimensional descriptive synthesis of continuous variables (</w:t>
      </w:r>
      <w:r w:rsidRPr="002002C4">
        <w:rPr>
          <w:lang w:val="en-US"/>
        </w:rPr>
        <w:t>Everitt</w:t>
      </w:r>
      <w:r>
        <w:rPr>
          <w:lang w:val="en-US"/>
        </w:rPr>
        <w:t xml:space="preserve"> and </w:t>
      </w:r>
      <w:r w:rsidRPr="002002C4">
        <w:rPr>
          <w:lang w:val="en-US"/>
        </w:rPr>
        <w:t>Dunn</w:t>
      </w:r>
      <w:r>
        <w:rPr>
          <w:lang w:val="en-US"/>
        </w:rPr>
        <w:t xml:space="preserve">, 2001: chap. 3, 48sqq.). PCA extracts (via the diagonalization of the correlation matrix of “active variables”, here the selected inequality indicators) a hierarchy of complementary axes 1, 2, 3, etc. from higher to lower levels of variance. Figure 4 presents the scores (correlations) between axes 2 and 3 and the indicators.  </w:t>
      </w:r>
    </w:p>
  </w:footnote>
  <w:footnote w:id="22">
    <w:p w:rsidR="002B668D" w:rsidRPr="00777557" w:rsidRDefault="002B668D">
      <w:pPr>
        <w:pStyle w:val="FootnoteText"/>
        <w:rPr>
          <w:lang w:val="en-US"/>
        </w:rPr>
      </w:pPr>
      <w:r>
        <w:rPr>
          <w:rStyle w:val="FootnoteReference"/>
        </w:rPr>
        <w:footnoteRef/>
      </w:r>
      <w:r w:rsidRPr="00777557">
        <w:rPr>
          <w:lang w:val="en-US"/>
        </w:rPr>
        <w:t xml:space="preserve"> </w:t>
      </w:r>
      <w:r>
        <w:rPr>
          <w:lang w:val="en-US"/>
        </w:rPr>
        <w:t>In particular, Jenkins’ (2014) STATA based component (</w:t>
      </w:r>
      <w:r w:rsidRPr="0037506C">
        <w:rPr>
          <w:rFonts w:ascii="Courier New" w:hAnsi="Courier New" w:cs="Courier New"/>
          <w:lang w:val="en-US"/>
        </w:rPr>
        <w:t>ssc install gb2</w:t>
      </w:r>
      <w:r>
        <w:rPr>
          <w:rFonts w:ascii="Courier New" w:hAnsi="Courier New" w:cs="Courier New"/>
          <w:lang w:val="en-US"/>
        </w:rPr>
        <w:t>l</w:t>
      </w:r>
      <w:r w:rsidRPr="0037506C">
        <w:rPr>
          <w:rFonts w:ascii="Courier New" w:hAnsi="Courier New" w:cs="Courier New"/>
          <w:lang w:val="en-US"/>
        </w:rPr>
        <w:t>fit</w:t>
      </w:r>
      <w:r>
        <w:rPr>
          <w:lang w:val="en-US"/>
        </w:rPr>
        <w:t>) provides an estimate of the a, b, p, q parameters, as well as additional information such as the predicted quantiles. The previous gb2fit program exhibited more convergence problems.</w:t>
      </w:r>
    </w:p>
  </w:footnote>
  <w:footnote w:id="23">
    <w:p w:rsidR="002B668D" w:rsidRPr="00E64248" w:rsidRDefault="002B668D" w:rsidP="002203AB">
      <w:pPr>
        <w:pStyle w:val="FootnoteText"/>
        <w:rPr>
          <w:lang w:val="en-US"/>
        </w:rPr>
      </w:pPr>
      <w:r>
        <w:rPr>
          <w:rStyle w:val="FootnoteReference"/>
        </w:rPr>
        <w:footnoteRef/>
      </w:r>
      <w:r w:rsidRPr="00E64248">
        <w:rPr>
          <w:lang w:val="en-US"/>
        </w:rPr>
        <w:t xml:space="preserve"> </w:t>
      </w:r>
      <w:r>
        <w:rPr>
          <w:lang w:val="en-US"/>
        </w:rPr>
        <w:t>The s</w:t>
      </w:r>
      <w:r w:rsidRPr="00E64248">
        <w:rPr>
          <w:lang w:val="en-US"/>
        </w:rPr>
        <w:t>trob</w:t>
      </w:r>
      <w:r>
        <w:rPr>
          <w:lang w:val="en-US"/>
        </w:rPr>
        <w:t>iloid</w:t>
      </w:r>
      <w:r w:rsidRPr="00E64248">
        <w:rPr>
          <w:lang w:val="en-US"/>
        </w:rPr>
        <w:t xml:space="preserve"> </w:t>
      </w:r>
      <w:r>
        <w:rPr>
          <w:lang w:val="en-US"/>
        </w:rPr>
        <w:t>is based on P</w:t>
      </w:r>
      <w:r w:rsidRPr="00E64248">
        <w:rPr>
          <w:lang w:val="en-US"/>
        </w:rPr>
        <w:t>areto</w:t>
      </w:r>
      <w:r>
        <w:rPr>
          <w:lang w:val="en-US"/>
        </w:rPr>
        <w:t>’s</w:t>
      </w:r>
      <w:r w:rsidRPr="00E64248">
        <w:rPr>
          <w:lang w:val="en-US"/>
        </w:rPr>
        <w:t xml:space="preserve"> idea </w:t>
      </w:r>
      <w:r>
        <w:rPr>
          <w:lang w:val="en-US"/>
        </w:rPr>
        <w:t xml:space="preserve">(1897:313) </w:t>
      </w:r>
      <w:r w:rsidRPr="00E64248">
        <w:rPr>
          <w:lang w:val="en-US"/>
        </w:rPr>
        <w:t>that the shape is one of an arrow or of a spin</w:t>
      </w:r>
      <w:r>
        <w:rPr>
          <w:lang w:val="en-US"/>
        </w:rPr>
        <w:t>ning</w:t>
      </w:r>
      <w:r w:rsidRPr="00E64248">
        <w:rPr>
          <w:lang w:val="en-US"/>
        </w:rPr>
        <w:t xml:space="preserve"> top</w:t>
      </w:r>
      <w:r>
        <w:rPr>
          <w:lang w:val="en-US"/>
        </w:rPr>
        <w:t>. This representation, which is similar to Pareto’s first representations of the income pyramid, allows us to make 2-by-2 comparisons over countries, time, etc. Nielsen (2007) provides an overview of Pareto’s legacy, and considers why this has generally been neglected in the social sciences.</w:t>
      </w:r>
    </w:p>
  </w:footnote>
  <w:footnote w:id="24">
    <w:p w:rsidR="002B668D" w:rsidRPr="00D718C7" w:rsidRDefault="002B668D" w:rsidP="002203AB">
      <w:pPr>
        <w:pStyle w:val="FootnoteText"/>
        <w:rPr>
          <w:lang w:val="en-US"/>
        </w:rPr>
      </w:pPr>
      <w:r>
        <w:rPr>
          <w:rStyle w:val="FootnoteReference"/>
        </w:rPr>
        <w:footnoteRef/>
      </w:r>
      <w:r w:rsidRPr="00D718C7">
        <w:rPr>
          <w:lang w:val="en-US"/>
        </w:rPr>
        <w:t xml:space="preserve"> Kernel density analysis is generally unable to </w:t>
      </w:r>
      <w:r>
        <w:rPr>
          <w:lang w:val="en-US"/>
        </w:rPr>
        <w:t>provide a</w:t>
      </w:r>
      <w:r w:rsidRPr="00D718C7">
        <w:rPr>
          <w:lang w:val="en-US"/>
        </w:rPr>
        <w:t xml:space="preserve"> correct assessment of the extremities of the curves</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pStyle w:val="Titrefigure"/>
      <w:lvlText w:val="%1)"/>
      <w:lvlJc w:val="left"/>
      <w:pPr>
        <w:tabs>
          <w:tab w:val="num" w:pos="360"/>
        </w:tabs>
        <w:ind w:left="360" w:hanging="360"/>
      </w:pPr>
    </w:lvl>
  </w:abstractNum>
  <w:abstractNum w:abstractNumId="1">
    <w:nsid w:val="0FB71C2B"/>
    <w:multiLevelType w:val="hybridMultilevel"/>
    <w:tmpl w:val="CE40F744"/>
    <w:lvl w:ilvl="0" w:tplc="DFDEF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03445"/>
    <w:multiLevelType w:val="hybridMultilevel"/>
    <w:tmpl w:val="AF8C147A"/>
    <w:lvl w:ilvl="0" w:tplc="75D854B8">
      <w:start w:val="1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827BA"/>
    <w:multiLevelType w:val="hybridMultilevel"/>
    <w:tmpl w:val="182246F4"/>
    <w:lvl w:ilvl="0" w:tplc="BC5E0C1E">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4A462745"/>
    <w:multiLevelType w:val="hybridMultilevel"/>
    <w:tmpl w:val="9ADC7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80177"/>
    <w:multiLevelType w:val="hybridMultilevel"/>
    <w:tmpl w:val="45461F10"/>
    <w:lvl w:ilvl="0" w:tplc="562A08BA">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79F8671B"/>
    <w:multiLevelType w:val="hybridMultilevel"/>
    <w:tmpl w:val="69E288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295EA5"/>
    <w:multiLevelType w:val="hybridMultilevel"/>
    <w:tmpl w:val="7432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7"/>
  </w:num>
  <w:num w:numId="6">
    <w:abstractNumId w:val="1"/>
  </w:num>
  <w:num w:numId="7">
    <w:abstractNumId w:val="5"/>
  </w:num>
  <w:num w:numId="8">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Trierweiler">
    <w15:presenceInfo w15:providerId="None" w15:userId="Lisa Trierwei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F7"/>
    <w:rsid w:val="00000082"/>
    <w:rsid w:val="00000591"/>
    <w:rsid w:val="00000E23"/>
    <w:rsid w:val="00002449"/>
    <w:rsid w:val="00004160"/>
    <w:rsid w:val="00004BB6"/>
    <w:rsid w:val="00005A1B"/>
    <w:rsid w:val="00006E8E"/>
    <w:rsid w:val="00007FE3"/>
    <w:rsid w:val="000132C1"/>
    <w:rsid w:val="00014A0C"/>
    <w:rsid w:val="000231BA"/>
    <w:rsid w:val="00025DDC"/>
    <w:rsid w:val="0003043A"/>
    <w:rsid w:val="00032596"/>
    <w:rsid w:val="00034129"/>
    <w:rsid w:val="00037168"/>
    <w:rsid w:val="00037579"/>
    <w:rsid w:val="00043C4A"/>
    <w:rsid w:val="00047964"/>
    <w:rsid w:val="000506B7"/>
    <w:rsid w:val="0005203D"/>
    <w:rsid w:val="00053362"/>
    <w:rsid w:val="00053374"/>
    <w:rsid w:val="00054F89"/>
    <w:rsid w:val="00055D85"/>
    <w:rsid w:val="000611AC"/>
    <w:rsid w:val="00061236"/>
    <w:rsid w:val="00062A28"/>
    <w:rsid w:val="00064D76"/>
    <w:rsid w:val="00065E76"/>
    <w:rsid w:val="00066DD3"/>
    <w:rsid w:val="000715BF"/>
    <w:rsid w:val="00073237"/>
    <w:rsid w:val="0007542B"/>
    <w:rsid w:val="00081DF1"/>
    <w:rsid w:val="0008333F"/>
    <w:rsid w:val="000838E3"/>
    <w:rsid w:val="0008428A"/>
    <w:rsid w:val="00084454"/>
    <w:rsid w:val="0009093A"/>
    <w:rsid w:val="000923DD"/>
    <w:rsid w:val="000950E7"/>
    <w:rsid w:val="000967DD"/>
    <w:rsid w:val="000A025D"/>
    <w:rsid w:val="000A0668"/>
    <w:rsid w:val="000A0A27"/>
    <w:rsid w:val="000A3E2B"/>
    <w:rsid w:val="000A407D"/>
    <w:rsid w:val="000A5BE5"/>
    <w:rsid w:val="000A6011"/>
    <w:rsid w:val="000A6645"/>
    <w:rsid w:val="000A6C94"/>
    <w:rsid w:val="000A6E8B"/>
    <w:rsid w:val="000A7E92"/>
    <w:rsid w:val="000B0FA2"/>
    <w:rsid w:val="000B1638"/>
    <w:rsid w:val="000B2A48"/>
    <w:rsid w:val="000B35BB"/>
    <w:rsid w:val="000B4052"/>
    <w:rsid w:val="000B5EB0"/>
    <w:rsid w:val="000B6904"/>
    <w:rsid w:val="000B6C74"/>
    <w:rsid w:val="000B7077"/>
    <w:rsid w:val="000C09E3"/>
    <w:rsid w:val="000C16AC"/>
    <w:rsid w:val="000C21DD"/>
    <w:rsid w:val="000C2D06"/>
    <w:rsid w:val="000C3FE7"/>
    <w:rsid w:val="000C4BBA"/>
    <w:rsid w:val="000C78A0"/>
    <w:rsid w:val="000C7F55"/>
    <w:rsid w:val="000D003C"/>
    <w:rsid w:val="000D141B"/>
    <w:rsid w:val="000D27B2"/>
    <w:rsid w:val="000D3C05"/>
    <w:rsid w:val="000D5F6A"/>
    <w:rsid w:val="000D7F71"/>
    <w:rsid w:val="000E031C"/>
    <w:rsid w:val="000E0619"/>
    <w:rsid w:val="000E0B65"/>
    <w:rsid w:val="000E14DB"/>
    <w:rsid w:val="000E33E6"/>
    <w:rsid w:val="000E4E75"/>
    <w:rsid w:val="000E599B"/>
    <w:rsid w:val="000E5E92"/>
    <w:rsid w:val="000F00A4"/>
    <w:rsid w:val="000F1DE0"/>
    <w:rsid w:val="000F6159"/>
    <w:rsid w:val="000F641C"/>
    <w:rsid w:val="001005B8"/>
    <w:rsid w:val="001013C2"/>
    <w:rsid w:val="00105757"/>
    <w:rsid w:val="001125D4"/>
    <w:rsid w:val="00112636"/>
    <w:rsid w:val="0011320B"/>
    <w:rsid w:val="00113458"/>
    <w:rsid w:val="00114645"/>
    <w:rsid w:val="00114D3B"/>
    <w:rsid w:val="00120421"/>
    <w:rsid w:val="00120DC7"/>
    <w:rsid w:val="001221DC"/>
    <w:rsid w:val="001257CD"/>
    <w:rsid w:val="0012641C"/>
    <w:rsid w:val="00126ACA"/>
    <w:rsid w:val="00126B88"/>
    <w:rsid w:val="0012756B"/>
    <w:rsid w:val="00132268"/>
    <w:rsid w:val="00132D64"/>
    <w:rsid w:val="00134B66"/>
    <w:rsid w:val="001377AD"/>
    <w:rsid w:val="00140081"/>
    <w:rsid w:val="00140942"/>
    <w:rsid w:val="0014109F"/>
    <w:rsid w:val="00145429"/>
    <w:rsid w:val="0015129D"/>
    <w:rsid w:val="00151542"/>
    <w:rsid w:val="001524A5"/>
    <w:rsid w:val="0015297F"/>
    <w:rsid w:val="00153449"/>
    <w:rsid w:val="00156426"/>
    <w:rsid w:val="00156FD7"/>
    <w:rsid w:val="0015710C"/>
    <w:rsid w:val="0016080B"/>
    <w:rsid w:val="0016271F"/>
    <w:rsid w:val="00171329"/>
    <w:rsid w:val="00172BB2"/>
    <w:rsid w:val="00172CC9"/>
    <w:rsid w:val="00174D1B"/>
    <w:rsid w:val="00180791"/>
    <w:rsid w:val="00181A29"/>
    <w:rsid w:val="001850B5"/>
    <w:rsid w:val="001907AD"/>
    <w:rsid w:val="00190A84"/>
    <w:rsid w:val="00191E63"/>
    <w:rsid w:val="001961E7"/>
    <w:rsid w:val="0019740C"/>
    <w:rsid w:val="001A08AC"/>
    <w:rsid w:val="001A197C"/>
    <w:rsid w:val="001A2496"/>
    <w:rsid w:val="001A2D38"/>
    <w:rsid w:val="001A514C"/>
    <w:rsid w:val="001B17C1"/>
    <w:rsid w:val="001B20E8"/>
    <w:rsid w:val="001C0E13"/>
    <w:rsid w:val="001C1648"/>
    <w:rsid w:val="001C5E18"/>
    <w:rsid w:val="001C625D"/>
    <w:rsid w:val="001C7151"/>
    <w:rsid w:val="001D0900"/>
    <w:rsid w:val="001D1F57"/>
    <w:rsid w:val="001D3DFC"/>
    <w:rsid w:val="001D4535"/>
    <w:rsid w:val="001D478F"/>
    <w:rsid w:val="001D5299"/>
    <w:rsid w:val="001D780A"/>
    <w:rsid w:val="001E2F87"/>
    <w:rsid w:val="001E3B94"/>
    <w:rsid w:val="001E455C"/>
    <w:rsid w:val="001E5935"/>
    <w:rsid w:val="001F08A7"/>
    <w:rsid w:val="001F173E"/>
    <w:rsid w:val="002002C4"/>
    <w:rsid w:val="00200E18"/>
    <w:rsid w:val="002028F0"/>
    <w:rsid w:val="00203C7A"/>
    <w:rsid w:val="00204B01"/>
    <w:rsid w:val="00205789"/>
    <w:rsid w:val="00206422"/>
    <w:rsid w:val="002101E8"/>
    <w:rsid w:val="00210301"/>
    <w:rsid w:val="002114F0"/>
    <w:rsid w:val="00211961"/>
    <w:rsid w:val="00213D7F"/>
    <w:rsid w:val="00213E33"/>
    <w:rsid w:val="002155C8"/>
    <w:rsid w:val="00215978"/>
    <w:rsid w:val="00215F96"/>
    <w:rsid w:val="00216270"/>
    <w:rsid w:val="00216354"/>
    <w:rsid w:val="002203AB"/>
    <w:rsid w:val="00221F16"/>
    <w:rsid w:val="00222407"/>
    <w:rsid w:val="00222589"/>
    <w:rsid w:val="00223F08"/>
    <w:rsid w:val="0022474E"/>
    <w:rsid w:val="00224D98"/>
    <w:rsid w:val="002270AB"/>
    <w:rsid w:val="00230521"/>
    <w:rsid w:val="00231494"/>
    <w:rsid w:val="002317D7"/>
    <w:rsid w:val="002328A0"/>
    <w:rsid w:val="0023375C"/>
    <w:rsid w:val="00234BCB"/>
    <w:rsid w:val="00235687"/>
    <w:rsid w:val="0023605E"/>
    <w:rsid w:val="00237AFF"/>
    <w:rsid w:val="00242890"/>
    <w:rsid w:val="002449FC"/>
    <w:rsid w:val="00250DF3"/>
    <w:rsid w:val="00251D2A"/>
    <w:rsid w:val="002534C8"/>
    <w:rsid w:val="00253A8A"/>
    <w:rsid w:val="002541B7"/>
    <w:rsid w:val="00254CAF"/>
    <w:rsid w:val="002550A1"/>
    <w:rsid w:val="0025622D"/>
    <w:rsid w:val="0025622F"/>
    <w:rsid w:val="0025626D"/>
    <w:rsid w:val="0025657A"/>
    <w:rsid w:val="00256CFD"/>
    <w:rsid w:val="00256F9E"/>
    <w:rsid w:val="002667B0"/>
    <w:rsid w:val="00266F84"/>
    <w:rsid w:val="00270922"/>
    <w:rsid w:val="00274B56"/>
    <w:rsid w:val="0028011C"/>
    <w:rsid w:val="00292DE2"/>
    <w:rsid w:val="00295E90"/>
    <w:rsid w:val="00297395"/>
    <w:rsid w:val="002A011D"/>
    <w:rsid w:val="002A03AC"/>
    <w:rsid w:val="002A0BBF"/>
    <w:rsid w:val="002A18C0"/>
    <w:rsid w:val="002A1BD0"/>
    <w:rsid w:val="002A2B95"/>
    <w:rsid w:val="002A2D76"/>
    <w:rsid w:val="002A35FE"/>
    <w:rsid w:val="002A64A0"/>
    <w:rsid w:val="002A66A5"/>
    <w:rsid w:val="002A7480"/>
    <w:rsid w:val="002A75E4"/>
    <w:rsid w:val="002B0D93"/>
    <w:rsid w:val="002B0E5A"/>
    <w:rsid w:val="002B1D5E"/>
    <w:rsid w:val="002B5CCA"/>
    <w:rsid w:val="002B5F65"/>
    <w:rsid w:val="002B668D"/>
    <w:rsid w:val="002B6A0B"/>
    <w:rsid w:val="002B7289"/>
    <w:rsid w:val="002B7AA2"/>
    <w:rsid w:val="002C33C5"/>
    <w:rsid w:val="002C5486"/>
    <w:rsid w:val="002C59F1"/>
    <w:rsid w:val="002C5FF6"/>
    <w:rsid w:val="002C67C5"/>
    <w:rsid w:val="002C6879"/>
    <w:rsid w:val="002D0EF6"/>
    <w:rsid w:val="002D2AC1"/>
    <w:rsid w:val="002D5FDF"/>
    <w:rsid w:val="002E18B1"/>
    <w:rsid w:val="002E1D3F"/>
    <w:rsid w:val="002F142E"/>
    <w:rsid w:val="002F1FEE"/>
    <w:rsid w:val="002F35CA"/>
    <w:rsid w:val="002F61E8"/>
    <w:rsid w:val="002F736B"/>
    <w:rsid w:val="002F7C8D"/>
    <w:rsid w:val="0030395E"/>
    <w:rsid w:val="00305FEC"/>
    <w:rsid w:val="0031119E"/>
    <w:rsid w:val="00313038"/>
    <w:rsid w:val="0031557F"/>
    <w:rsid w:val="00316D72"/>
    <w:rsid w:val="00320538"/>
    <w:rsid w:val="003241A7"/>
    <w:rsid w:val="00326239"/>
    <w:rsid w:val="00331161"/>
    <w:rsid w:val="00335DEE"/>
    <w:rsid w:val="00340138"/>
    <w:rsid w:val="003432D6"/>
    <w:rsid w:val="00345763"/>
    <w:rsid w:val="00346CF8"/>
    <w:rsid w:val="00347A22"/>
    <w:rsid w:val="00350152"/>
    <w:rsid w:val="003528BA"/>
    <w:rsid w:val="00353068"/>
    <w:rsid w:val="00353C6B"/>
    <w:rsid w:val="003565BC"/>
    <w:rsid w:val="00356FE3"/>
    <w:rsid w:val="00360195"/>
    <w:rsid w:val="003621B7"/>
    <w:rsid w:val="00365013"/>
    <w:rsid w:val="003661BB"/>
    <w:rsid w:val="003723CF"/>
    <w:rsid w:val="00374D9F"/>
    <w:rsid w:val="0037506C"/>
    <w:rsid w:val="00375652"/>
    <w:rsid w:val="003761D1"/>
    <w:rsid w:val="00377388"/>
    <w:rsid w:val="00380949"/>
    <w:rsid w:val="003809CF"/>
    <w:rsid w:val="00381649"/>
    <w:rsid w:val="003822A0"/>
    <w:rsid w:val="00385DAE"/>
    <w:rsid w:val="00387353"/>
    <w:rsid w:val="003902D3"/>
    <w:rsid w:val="0039064B"/>
    <w:rsid w:val="00391C13"/>
    <w:rsid w:val="003944E8"/>
    <w:rsid w:val="00394E6B"/>
    <w:rsid w:val="00397CB3"/>
    <w:rsid w:val="003A3BBC"/>
    <w:rsid w:val="003A54AD"/>
    <w:rsid w:val="003A6528"/>
    <w:rsid w:val="003A6EA3"/>
    <w:rsid w:val="003A7D76"/>
    <w:rsid w:val="003B0335"/>
    <w:rsid w:val="003B0811"/>
    <w:rsid w:val="003B0A9F"/>
    <w:rsid w:val="003B1417"/>
    <w:rsid w:val="003B3C7B"/>
    <w:rsid w:val="003B671B"/>
    <w:rsid w:val="003B7E7B"/>
    <w:rsid w:val="003C2572"/>
    <w:rsid w:val="003C5733"/>
    <w:rsid w:val="003C622D"/>
    <w:rsid w:val="003C6F1F"/>
    <w:rsid w:val="003D03AA"/>
    <w:rsid w:val="003D05F9"/>
    <w:rsid w:val="003D251C"/>
    <w:rsid w:val="003D3717"/>
    <w:rsid w:val="003D5262"/>
    <w:rsid w:val="003D717B"/>
    <w:rsid w:val="003D7998"/>
    <w:rsid w:val="003D7AAA"/>
    <w:rsid w:val="003E03A6"/>
    <w:rsid w:val="003E04AE"/>
    <w:rsid w:val="003E212A"/>
    <w:rsid w:val="003E2509"/>
    <w:rsid w:val="003E3385"/>
    <w:rsid w:val="003E45CA"/>
    <w:rsid w:val="003E56DF"/>
    <w:rsid w:val="003E7D58"/>
    <w:rsid w:val="003F3B12"/>
    <w:rsid w:val="003F532D"/>
    <w:rsid w:val="003F5453"/>
    <w:rsid w:val="003F6816"/>
    <w:rsid w:val="003F6B99"/>
    <w:rsid w:val="003F6BA3"/>
    <w:rsid w:val="003F6C10"/>
    <w:rsid w:val="00401604"/>
    <w:rsid w:val="0040179F"/>
    <w:rsid w:val="00404A6E"/>
    <w:rsid w:val="0040533B"/>
    <w:rsid w:val="004074B8"/>
    <w:rsid w:val="0041030B"/>
    <w:rsid w:val="0041573E"/>
    <w:rsid w:val="0041631B"/>
    <w:rsid w:val="0042097E"/>
    <w:rsid w:val="004227ED"/>
    <w:rsid w:val="004234E5"/>
    <w:rsid w:val="00423E05"/>
    <w:rsid w:val="00426749"/>
    <w:rsid w:val="00427122"/>
    <w:rsid w:val="0042774B"/>
    <w:rsid w:val="00431AE4"/>
    <w:rsid w:val="004328E0"/>
    <w:rsid w:val="00433DC2"/>
    <w:rsid w:val="00433FC4"/>
    <w:rsid w:val="004359AC"/>
    <w:rsid w:val="0044110C"/>
    <w:rsid w:val="0044303F"/>
    <w:rsid w:val="004435D2"/>
    <w:rsid w:val="00443B3F"/>
    <w:rsid w:val="00445233"/>
    <w:rsid w:val="004458A8"/>
    <w:rsid w:val="004502A2"/>
    <w:rsid w:val="00451060"/>
    <w:rsid w:val="00453F2A"/>
    <w:rsid w:val="004549C3"/>
    <w:rsid w:val="00455086"/>
    <w:rsid w:val="00456F16"/>
    <w:rsid w:val="00460334"/>
    <w:rsid w:val="00460CF1"/>
    <w:rsid w:val="004613EC"/>
    <w:rsid w:val="004623E4"/>
    <w:rsid w:val="00462FAF"/>
    <w:rsid w:val="00464120"/>
    <w:rsid w:val="004646D5"/>
    <w:rsid w:val="00464824"/>
    <w:rsid w:val="004703A3"/>
    <w:rsid w:val="0047246F"/>
    <w:rsid w:val="00472690"/>
    <w:rsid w:val="00472786"/>
    <w:rsid w:val="00472B92"/>
    <w:rsid w:val="00473A13"/>
    <w:rsid w:val="00476922"/>
    <w:rsid w:val="0048091F"/>
    <w:rsid w:val="00480F1F"/>
    <w:rsid w:val="004836C1"/>
    <w:rsid w:val="004866F7"/>
    <w:rsid w:val="00487C7E"/>
    <w:rsid w:val="00490A52"/>
    <w:rsid w:val="00494888"/>
    <w:rsid w:val="004948B1"/>
    <w:rsid w:val="004A1D03"/>
    <w:rsid w:val="004A2995"/>
    <w:rsid w:val="004A3ACF"/>
    <w:rsid w:val="004A3C60"/>
    <w:rsid w:val="004A43E0"/>
    <w:rsid w:val="004A531E"/>
    <w:rsid w:val="004A5478"/>
    <w:rsid w:val="004B01EC"/>
    <w:rsid w:val="004B049B"/>
    <w:rsid w:val="004B0D61"/>
    <w:rsid w:val="004B21BD"/>
    <w:rsid w:val="004B502D"/>
    <w:rsid w:val="004B5D10"/>
    <w:rsid w:val="004B7D94"/>
    <w:rsid w:val="004B7DE2"/>
    <w:rsid w:val="004C1E32"/>
    <w:rsid w:val="004C54DE"/>
    <w:rsid w:val="004C7C88"/>
    <w:rsid w:val="004D30A6"/>
    <w:rsid w:val="004D4645"/>
    <w:rsid w:val="004D770C"/>
    <w:rsid w:val="004D78DF"/>
    <w:rsid w:val="004E016E"/>
    <w:rsid w:val="004E0714"/>
    <w:rsid w:val="004E3150"/>
    <w:rsid w:val="004E3D22"/>
    <w:rsid w:val="004E3D9C"/>
    <w:rsid w:val="004E3E9C"/>
    <w:rsid w:val="004E52D3"/>
    <w:rsid w:val="004E58E7"/>
    <w:rsid w:val="004F0970"/>
    <w:rsid w:val="004F3D39"/>
    <w:rsid w:val="004F635A"/>
    <w:rsid w:val="004F6525"/>
    <w:rsid w:val="004F706D"/>
    <w:rsid w:val="004F7D2D"/>
    <w:rsid w:val="005007C8"/>
    <w:rsid w:val="005009E4"/>
    <w:rsid w:val="00500A0B"/>
    <w:rsid w:val="0050149B"/>
    <w:rsid w:val="0050320E"/>
    <w:rsid w:val="00503B8E"/>
    <w:rsid w:val="00505326"/>
    <w:rsid w:val="00506AB6"/>
    <w:rsid w:val="00506E97"/>
    <w:rsid w:val="00507330"/>
    <w:rsid w:val="005078EF"/>
    <w:rsid w:val="005079AD"/>
    <w:rsid w:val="0051034E"/>
    <w:rsid w:val="00510730"/>
    <w:rsid w:val="00511757"/>
    <w:rsid w:val="0051255B"/>
    <w:rsid w:val="005130C6"/>
    <w:rsid w:val="005151D4"/>
    <w:rsid w:val="005165D0"/>
    <w:rsid w:val="00521324"/>
    <w:rsid w:val="0052178C"/>
    <w:rsid w:val="00522C58"/>
    <w:rsid w:val="00525B1C"/>
    <w:rsid w:val="00527857"/>
    <w:rsid w:val="0053010F"/>
    <w:rsid w:val="005318EF"/>
    <w:rsid w:val="005320B1"/>
    <w:rsid w:val="005335C0"/>
    <w:rsid w:val="0053394C"/>
    <w:rsid w:val="00534E3F"/>
    <w:rsid w:val="00537256"/>
    <w:rsid w:val="00537F0E"/>
    <w:rsid w:val="00540B8C"/>
    <w:rsid w:val="0054103B"/>
    <w:rsid w:val="00541A8C"/>
    <w:rsid w:val="00542161"/>
    <w:rsid w:val="005423EC"/>
    <w:rsid w:val="005425A1"/>
    <w:rsid w:val="00543C65"/>
    <w:rsid w:val="00544156"/>
    <w:rsid w:val="00550F20"/>
    <w:rsid w:val="005532DC"/>
    <w:rsid w:val="00553EE2"/>
    <w:rsid w:val="00553FCE"/>
    <w:rsid w:val="00554A08"/>
    <w:rsid w:val="00557493"/>
    <w:rsid w:val="00560A7C"/>
    <w:rsid w:val="0056430A"/>
    <w:rsid w:val="0056447A"/>
    <w:rsid w:val="005658EC"/>
    <w:rsid w:val="00572A59"/>
    <w:rsid w:val="00575C11"/>
    <w:rsid w:val="00580992"/>
    <w:rsid w:val="0058466F"/>
    <w:rsid w:val="0059239B"/>
    <w:rsid w:val="00594940"/>
    <w:rsid w:val="00595E42"/>
    <w:rsid w:val="00596431"/>
    <w:rsid w:val="00596840"/>
    <w:rsid w:val="005968AA"/>
    <w:rsid w:val="00596946"/>
    <w:rsid w:val="005971B2"/>
    <w:rsid w:val="005A09AC"/>
    <w:rsid w:val="005A1A92"/>
    <w:rsid w:val="005A2108"/>
    <w:rsid w:val="005A5899"/>
    <w:rsid w:val="005A680E"/>
    <w:rsid w:val="005A710F"/>
    <w:rsid w:val="005A72D7"/>
    <w:rsid w:val="005B04D3"/>
    <w:rsid w:val="005B2B23"/>
    <w:rsid w:val="005B35E6"/>
    <w:rsid w:val="005B53EC"/>
    <w:rsid w:val="005B6E23"/>
    <w:rsid w:val="005B7E49"/>
    <w:rsid w:val="005C1594"/>
    <w:rsid w:val="005C1B28"/>
    <w:rsid w:val="005C2D58"/>
    <w:rsid w:val="005C45BC"/>
    <w:rsid w:val="005C4749"/>
    <w:rsid w:val="005C5790"/>
    <w:rsid w:val="005C5B2C"/>
    <w:rsid w:val="005C7228"/>
    <w:rsid w:val="005C7436"/>
    <w:rsid w:val="005C76CD"/>
    <w:rsid w:val="005D02A7"/>
    <w:rsid w:val="005D2C09"/>
    <w:rsid w:val="005D3F39"/>
    <w:rsid w:val="005D4882"/>
    <w:rsid w:val="005D49A7"/>
    <w:rsid w:val="005D4C60"/>
    <w:rsid w:val="005D4E1F"/>
    <w:rsid w:val="005D516B"/>
    <w:rsid w:val="005D57E5"/>
    <w:rsid w:val="005D7432"/>
    <w:rsid w:val="005E11CE"/>
    <w:rsid w:val="005E45FF"/>
    <w:rsid w:val="005E476C"/>
    <w:rsid w:val="005E5204"/>
    <w:rsid w:val="005E5C91"/>
    <w:rsid w:val="005E7855"/>
    <w:rsid w:val="005F019E"/>
    <w:rsid w:val="005F1D7A"/>
    <w:rsid w:val="005F425A"/>
    <w:rsid w:val="005F461F"/>
    <w:rsid w:val="005F53A4"/>
    <w:rsid w:val="005F54CF"/>
    <w:rsid w:val="005F5D8F"/>
    <w:rsid w:val="005F6E3F"/>
    <w:rsid w:val="005F7B06"/>
    <w:rsid w:val="006014A5"/>
    <w:rsid w:val="006022DB"/>
    <w:rsid w:val="006040E9"/>
    <w:rsid w:val="00605294"/>
    <w:rsid w:val="006061BF"/>
    <w:rsid w:val="00612450"/>
    <w:rsid w:val="00612569"/>
    <w:rsid w:val="0061296C"/>
    <w:rsid w:val="0061469C"/>
    <w:rsid w:val="0061595B"/>
    <w:rsid w:val="00617984"/>
    <w:rsid w:val="00622ECE"/>
    <w:rsid w:val="00623492"/>
    <w:rsid w:val="00625E29"/>
    <w:rsid w:val="00626673"/>
    <w:rsid w:val="00626B1A"/>
    <w:rsid w:val="00631087"/>
    <w:rsid w:val="006320D3"/>
    <w:rsid w:val="00633621"/>
    <w:rsid w:val="006339F0"/>
    <w:rsid w:val="00637394"/>
    <w:rsid w:val="00637D79"/>
    <w:rsid w:val="00645948"/>
    <w:rsid w:val="00647747"/>
    <w:rsid w:val="00647D69"/>
    <w:rsid w:val="00651B97"/>
    <w:rsid w:val="00653728"/>
    <w:rsid w:val="00653A82"/>
    <w:rsid w:val="00653E15"/>
    <w:rsid w:val="00655004"/>
    <w:rsid w:val="006556F6"/>
    <w:rsid w:val="006570CA"/>
    <w:rsid w:val="0066172B"/>
    <w:rsid w:val="00664CB6"/>
    <w:rsid w:val="00664D00"/>
    <w:rsid w:val="00666C22"/>
    <w:rsid w:val="00667F70"/>
    <w:rsid w:val="00670D10"/>
    <w:rsid w:val="00671405"/>
    <w:rsid w:val="00673188"/>
    <w:rsid w:val="006731FE"/>
    <w:rsid w:val="0067407F"/>
    <w:rsid w:val="0068107E"/>
    <w:rsid w:val="00682CB2"/>
    <w:rsid w:val="0068320B"/>
    <w:rsid w:val="00683242"/>
    <w:rsid w:val="00684B6E"/>
    <w:rsid w:val="00685894"/>
    <w:rsid w:val="00685D39"/>
    <w:rsid w:val="00685EF2"/>
    <w:rsid w:val="006900CC"/>
    <w:rsid w:val="0069122D"/>
    <w:rsid w:val="00692513"/>
    <w:rsid w:val="00696D79"/>
    <w:rsid w:val="00697825"/>
    <w:rsid w:val="006A0626"/>
    <w:rsid w:val="006A06E7"/>
    <w:rsid w:val="006A1357"/>
    <w:rsid w:val="006A142D"/>
    <w:rsid w:val="006A568B"/>
    <w:rsid w:val="006A62C5"/>
    <w:rsid w:val="006B1173"/>
    <w:rsid w:val="006B1F12"/>
    <w:rsid w:val="006B2BCB"/>
    <w:rsid w:val="006B619D"/>
    <w:rsid w:val="006B67BF"/>
    <w:rsid w:val="006B780C"/>
    <w:rsid w:val="006C0712"/>
    <w:rsid w:val="006C117C"/>
    <w:rsid w:val="006C3375"/>
    <w:rsid w:val="006C48CA"/>
    <w:rsid w:val="006C53D6"/>
    <w:rsid w:val="006C7D90"/>
    <w:rsid w:val="006D0151"/>
    <w:rsid w:val="006D038D"/>
    <w:rsid w:val="006D0D90"/>
    <w:rsid w:val="006D1FE0"/>
    <w:rsid w:val="006D5B61"/>
    <w:rsid w:val="006D75DA"/>
    <w:rsid w:val="006E0AD7"/>
    <w:rsid w:val="006E3090"/>
    <w:rsid w:val="006E3CB6"/>
    <w:rsid w:val="006E420C"/>
    <w:rsid w:val="006E595C"/>
    <w:rsid w:val="006E5AA0"/>
    <w:rsid w:val="006E7165"/>
    <w:rsid w:val="006E7675"/>
    <w:rsid w:val="006E799E"/>
    <w:rsid w:val="006E7F3F"/>
    <w:rsid w:val="006F0543"/>
    <w:rsid w:val="006F1CE3"/>
    <w:rsid w:val="006F4323"/>
    <w:rsid w:val="006F4A78"/>
    <w:rsid w:val="006F6A9B"/>
    <w:rsid w:val="006F791E"/>
    <w:rsid w:val="006F7DBE"/>
    <w:rsid w:val="007007DE"/>
    <w:rsid w:val="00700A5D"/>
    <w:rsid w:val="00700E5F"/>
    <w:rsid w:val="0070152D"/>
    <w:rsid w:val="007015CD"/>
    <w:rsid w:val="007037C0"/>
    <w:rsid w:val="007051C0"/>
    <w:rsid w:val="007053A5"/>
    <w:rsid w:val="007061CD"/>
    <w:rsid w:val="0070656A"/>
    <w:rsid w:val="00711EB8"/>
    <w:rsid w:val="007125A5"/>
    <w:rsid w:val="00715940"/>
    <w:rsid w:val="00716FEF"/>
    <w:rsid w:val="00726032"/>
    <w:rsid w:val="0073025A"/>
    <w:rsid w:val="00730833"/>
    <w:rsid w:val="007308A1"/>
    <w:rsid w:val="00733158"/>
    <w:rsid w:val="00734698"/>
    <w:rsid w:val="00735127"/>
    <w:rsid w:val="00737D34"/>
    <w:rsid w:val="00737FA4"/>
    <w:rsid w:val="00740A01"/>
    <w:rsid w:val="00741F15"/>
    <w:rsid w:val="00742534"/>
    <w:rsid w:val="007432AF"/>
    <w:rsid w:val="00743839"/>
    <w:rsid w:val="00743F8C"/>
    <w:rsid w:val="00745512"/>
    <w:rsid w:val="0074607E"/>
    <w:rsid w:val="00746111"/>
    <w:rsid w:val="00751770"/>
    <w:rsid w:val="00751798"/>
    <w:rsid w:val="00751A94"/>
    <w:rsid w:val="007541A9"/>
    <w:rsid w:val="00755A62"/>
    <w:rsid w:val="00755ADB"/>
    <w:rsid w:val="00756573"/>
    <w:rsid w:val="007573F1"/>
    <w:rsid w:val="0075757F"/>
    <w:rsid w:val="00760241"/>
    <w:rsid w:val="00760457"/>
    <w:rsid w:val="007625B6"/>
    <w:rsid w:val="007632B0"/>
    <w:rsid w:val="007643AD"/>
    <w:rsid w:val="00764B02"/>
    <w:rsid w:val="007659B0"/>
    <w:rsid w:val="0076651E"/>
    <w:rsid w:val="007670F5"/>
    <w:rsid w:val="00771DB2"/>
    <w:rsid w:val="007726B9"/>
    <w:rsid w:val="00773309"/>
    <w:rsid w:val="0077411E"/>
    <w:rsid w:val="00776C5F"/>
    <w:rsid w:val="00776FCD"/>
    <w:rsid w:val="00777557"/>
    <w:rsid w:val="00782166"/>
    <w:rsid w:val="0078309F"/>
    <w:rsid w:val="00783FA3"/>
    <w:rsid w:val="00784C60"/>
    <w:rsid w:val="00791759"/>
    <w:rsid w:val="00791BFA"/>
    <w:rsid w:val="007933E9"/>
    <w:rsid w:val="0079373B"/>
    <w:rsid w:val="00794AE3"/>
    <w:rsid w:val="00796956"/>
    <w:rsid w:val="00796F0E"/>
    <w:rsid w:val="00797C18"/>
    <w:rsid w:val="007A0043"/>
    <w:rsid w:val="007A08A7"/>
    <w:rsid w:val="007A1014"/>
    <w:rsid w:val="007A23CA"/>
    <w:rsid w:val="007A2D1C"/>
    <w:rsid w:val="007A3AD8"/>
    <w:rsid w:val="007A53A9"/>
    <w:rsid w:val="007A63F8"/>
    <w:rsid w:val="007A6520"/>
    <w:rsid w:val="007B0A67"/>
    <w:rsid w:val="007B163E"/>
    <w:rsid w:val="007B2A2B"/>
    <w:rsid w:val="007B4C4E"/>
    <w:rsid w:val="007B523B"/>
    <w:rsid w:val="007B72F2"/>
    <w:rsid w:val="007C07AB"/>
    <w:rsid w:val="007C07B6"/>
    <w:rsid w:val="007C283F"/>
    <w:rsid w:val="007C436E"/>
    <w:rsid w:val="007D0386"/>
    <w:rsid w:val="007D1E5D"/>
    <w:rsid w:val="007D3BAB"/>
    <w:rsid w:val="007D73DF"/>
    <w:rsid w:val="007D7F1A"/>
    <w:rsid w:val="007E216E"/>
    <w:rsid w:val="007E2CC4"/>
    <w:rsid w:val="007E30AF"/>
    <w:rsid w:val="007E34D6"/>
    <w:rsid w:val="007E3724"/>
    <w:rsid w:val="007E5A79"/>
    <w:rsid w:val="007E6B64"/>
    <w:rsid w:val="007F22F4"/>
    <w:rsid w:val="007F23DD"/>
    <w:rsid w:val="007F2993"/>
    <w:rsid w:val="007F35F7"/>
    <w:rsid w:val="007F507E"/>
    <w:rsid w:val="007F5DF3"/>
    <w:rsid w:val="007F737B"/>
    <w:rsid w:val="007F78D7"/>
    <w:rsid w:val="007F7A76"/>
    <w:rsid w:val="00800A7D"/>
    <w:rsid w:val="008059D9"/>
    <w:rsid w:val="0080668E"/>
    <w:rsid w:val="00806AC9"/>
    <w:rsid w:val="0080747A"/>
    <w:rsid w:val="00810722"/>
    <w:rsid w:val="00813461"/>
    <w:rsid w:val="0081379E"/>
    <w:rsid w:val="00813ED5"/>
    <w:rsid w:val="008155FB"/>
    <w:rsid w:val="00820840"/>
    <w:rsid w:val="00820DF1"/>
    <w:rsid w:val="00827753"/>
    <w:rsid w:val="00831D8A"/>
    <w:rsid w:val="00831E1D"/>
    <w:rsid w:val="008328D3"/>
    <w:rsid w:val="0083425B"/>
    <w:rsid w:val="00834D02"/>
    <w:rsid w:val="008352DB"/>
    <w:rsid w:val="00835BD0"/>
    <w:rsid w:val="008404F0"/>
    <w:rsid w:val="008405DA"/>
    <w:rsid w:val="00840710"/>
    <w:rsid w:val="008424A4"/>
    <w:rsid w:val="008444E9"/>
    <w:rsid w:val="00845246"/>
    <w:rsid w:val="008525F1"/>
    <w:rsid w:val="00853DFB"/>
    <w:rsid w:val="0085516F"/>
    <w:rsid w:val="00860B73"/>
    <w:rsid w:val="00864748"/>
    <w:rsid w:val="00864A07"/>
    <w:rsid w:val="00866FE1"/>
    <w:rsid w:val="00867BD3"/>
    <w:rsid w:val="00870DAA"/>
    <w:rsid w:val="00871F7C"/>
    <w:rsid w:val="00877745"/>
    <w:rsid w:val="00881787"/>
    <w:rsid w:val="008852C6"/>
    <w:rsid w:val="0088572F"/>
    <w:rsid w:val="008870B3"/>
    <w:rsid w:val="008875DC"/>
    <w:rsid w:val="00887DB4"/>
    <w:rsid w:val="00890824"/>
    <w:rsid w:val="00893E76"/>
    <w:rsid w:val="0089541C"/>
    <w:rsid w:val="00895970"/>
    <w:rsid w:val="008960E0"/>
    <w:rsid w:val="008964C2"/>
    <w:rsid w:val="00896CDE"/>
    <w:rsid w:val="008A0605"/>
    <w:rsid w:val="008A0DDD"/>
    <w:rsid w:val="008A21B7"/>
    <w:rsid w:val="008A2580"/>
    <w:rsid w:val="008A3883"/>
    <w:rsid w:val="008A40C9"/>
    <w:rsid w:val="008A493E"/>
    <w:rsid w:val="008A5161"/>
    <w:rsid w:val="008A5715"/>
    <w:rsid w:val="008A5A59"/>
    <w:rsid w:val="008A655C"/>
    <w:rsid w:val="008B0B94"/>
    <w:rsid w:val="008B0DAB"/>
    <w:rsid w:val="008B4FC2"/>
    <w:rsid w:val="008B59AB"/>
    <w:rsid w:val="008B7A43"/>
    <w:rsid w:val="008C0424"/>
    <w:rsid w:val="008C19B8"/>
    <w:rsid w:val="008C2052"/>
    <w:rsid w:val="008C4012"/>
    <w:rsid w:val="008C4574"/>
    <w:rsid w:val="008C5ED6"/>
    <w:rsid w:val="008C63DC"/>
    <w:rsid w:val="008C78BB"/>
    <w:rsid w:val="008D151E"/>
    <w:rsid w:val="008D6493"/>
    <w:rsid w:val="008D6A4A"/>
    <w:rsid w:val="008D71A1"/>
    <w:rsid w:val="008E06B4"/>
    <w:rsid w:val="008E0C04"/>
    <w:rsid w:val="008E2932"/>
    <w:rsid w:val="008E31D9"/>
    <w:rsid w:val="008E4803"/>
    <w:rsid w:val="008E4B92"/>
    <w:rsid w:val="008E688E"/>
    <w:rsid w:val="008F2640"/>
    <w:rsid w:val="008F30FD"/>
    <w:rsid w:val="008F5B37"/>
    <w:rsid w:val="008F5DDE"/>
    <w:rsid w:val="0090419C"/>
    <w:rsid w:val="00905523"/>
    <w:rsid w:val="00906BD4"/>
    <w:rsid w:val="009072D9"/>
    <w:rsid w:val="00910033"/>
    <w:rsid w:val="009102B9"/>
    <w:rsid w:val="00911572"/>
    <w:rsid w:val="0091210C"/>
    <w:rsid w:val="009129DD"/>
    <w:rsid w:val="00912BEA"/>
    <w:rsid w:val="00913F36"/>
    <w:rsid w:val="00915F59"/>
    <w:rsid w:val="009161AC"/>
    <w:rsid w:val="00916CCC"/>
    <w:rsid w:val="00916E0A"/>
    <w:rsid w:val="0091747B"/>
    <w:rsid w:val="0092068F"/>
    <w:rsid w:val="00921068"/>
    <w:rsid w:val="00922C2B"/>
    <w:rsid w:val="00924D83"/>
    <w:rsid w:val="00930117"/>
    <w:rsid w:val="00930550"/>
    <w:rsid w:val="00937755"/>
    <w:rsid w:val="00937FFE"/>
    <w:rsid w:val="009402A1"/>
    <w:rsid w:val="0094312C"/>
    <w:rsid w:val="0094388D"/>
    <w:rsid w:val="00945984"/>
    <w:rsid w:val="00945D96"/>
    <w:rsid w:val="009462F0"/>
    <w:rsid w:val="00950A55"/>
    <w:rsid w:val="009514ED"/>
    <w:rsid w:val="009531FC"/>
    <w:rsid w:val="00953757"/>
    <w:rsid w:val="009537E1"/>
    <w:rsid w:val="00953BC8"/>
    <w:rsid w:val="00954DDF"/>
    <w:rsid w:val="0096075D"/>
    <w:rsid w:val="00961F7C"/>
    <w:rsid w:val="0096753C"/>
    <w:rsid w:val="00970A3D"/>
    <w:rsid w:val="00971FD0"/>
    <w:rsid w:val="00974013"/>
    <w:rsid w:val="0097458F"/>
    <w:rsid w:val="00976F7E"/>
    <w:rsid w:val="00976FDF"/>
    <w:rsid w:val="00977903"/>
    <w:rsid w:val="0098009A"/>
    <w:rsid w:val="0098156A"/>
    <w:rsid w:val="00982E1B"/>
    <w:rsid w:val="0098496E"/>
    <w:rsid w:val="00986172"/>
    <w:rsid w:val="00986298"/>
    <w:rsid w:val="00986C31"/>
    <w:rsid w:val="009875A8"/>
    <w:rsid w:val="00987A9E"/>
    <w:rsid w:val="0099176F"/>
    <w:rsid w:val="009923AB"/>
    <w:rsid w:val="00992A3F"/>
    <w:rsid w:val="009945BE"/>
    <w:rsid w:val="0099554F"/>
    <w:rsid w:val="00997EC0"/>
    <w:rsid w:val="009A005A"/>
    <w:rsid w:val="009A2BFD"/>
    <w:rsid w:val="009A2F96"/>
    <w:rsid w:val="009A57E4"/>
    <w:rsid w:val="009A6B90"/>
    <w:rsid w:val="009A7E6C"/>
    <w:rsid w:val="009B2E25"/>
    <w:rsid w:val="009B30B3"/>
    <w:rsid w:val="009B3C9B"/>
    <w:rsid w:val="009B5BA4"/>
    <w:rsid w:val="009B68E5"/>
    <w:rsid w:val="009C0394"/>
    <w:rsid w:val="009C48C2"/>
    <w:rsid w:val="009C4FCB"/>
    <w:rsid w:val="009C58FB"/>
    <w:rsid w:val="009C6030"/>
    <w:rsid w:val="009C60EB"/>
    <w:rsid w:val="009C646A"/>
    <w:rsid w:val="009C696A"/>
    <w:rsid w:val="009C75E9"/>
    <w:rsid w:val="009D00C9"/>
    <w:rsid w:val="009D1657"/>
    <w:rsid w:val="009D1CE9"/>
    <w:rsid w:val="009D2C81"/>
    <w:rsid w:val="009D53F0"/>
    <w:rsid w:val="009D5FBD"/>
    <w:rsid w:val="009D71C3"/>
    <w:rsid w:val="009D784C"/>
    <w:rsid w:val="009E0052"/>
    <w:rsid w:val="009E09E3"/>
    <w:rsid w:val="009E0C5E"/>
    <w:rsid w:val="009E2319"/>
    <w:rsid w:val="009E7412"/>
    <w:rsid w:val="009F194D"/>
    <w:rsid w:val="009F1992"/>
    <w:rsid w:val="009F28F1"/>
    <w:rsid w:val="009F6985"/>
    <w:rsid w:val="00A00369"/>
    <w:rsid w:val="00A004D5"/>
    <w:rsid w:val="00A02893"/>
    <w:rsid w:val="00A02AB5"/>
    <w:rsid w:val="00A02E97"/>
    <w:rsid w:val="00A05B47"/>
    <w:rsid w:val="00A060FE"/>
    <w:rsid w:val="00A06CD9"/>
    <w:rsid w:val="00A072FE"/>
    <w:rsid w:val="00A11529"/>
    <w:rsid w:val="00A117C2"/>
    <w:rsid w:val="00A118DF"/>
    <w:rsid w:val="00A12105"/>
    <w:rsid w:val="00A1421D"/>
    <w:rsid w:val="00A14244"/>
    <w:rsid w:val="00A14853"/>
    <w:rsid w:val="00A14D59"/>
    <w:rsid w:val="00A1612C"/>
    <w:rsid w:val="00A16817"/>
    <w:rsid w:val="00A169D7"/>
    <w:rsid w:val="00A1769B"/>
    <w:rsid w:val="00A17EAA"/>
    <w:rsid w:val="00A20A9B"/>
    <w:rsid w:val="00A228D7"/>
    <w:rsid w:val="00A24323"/>
    <w:rsid w:val="00A24BDD"/>
    <w:rsid w:val="00A24E16"/>
    <w:rsid w:val="00A255E8"/>
    <w:rsid w:val="00A2615E"/>
    <w:rsid w:val="00A27329"/>
    <w:rsid w:val="00A27EE3"/>
    <w:rsid w:val="00A34359"/>
    <w:rsid w:val="00A35CE1"/>
    <w:rsid w:val="00A36533"/>
    <w:rsid w:val="00A367A9"/>
    <w:rsid w:val="00A36974"/>
    <w:rsid w:val="00A408CC"/>
    <w:rsid w:val="00A423EA"/>
    <w:rsid w:val="00A436F2"/>
    <w:rsid w:val="00A44E4F"/>
    <w:rsid w:val="00A52F3D"/>
    <w:rsid w:val="00A5340E"/>
    <w:rsid w:val="00A57D8A"/>
    <w:rsid w:val="00A630FB"/>
    <w:rsid w:val="00A67538"/>
    <w:rsid w:val="00A70052"/>
    <w:rsid w:val="00A70129"/>
    <w:rsid w:val="00A70425"/>
    <w:rsid w:val="00A70B1E"/>
    <w:rsid w:val="00A70B2E"/>
    <w:rsid w:val="00A70CA0"/>
    <w:rsid w:val="00A721AB"/>
    <w:rsid w:val="00A735D2"/>
    <w:rsid w:val="00A75F61"/>
    <w:rsid w:val="00A8362F"/>
    <w:rsid w:val="00A84BD6"/>
    <w:rsid w:val="00A858F7"/>
    <w:rsid w:val="00A93F1E"/>
    <w:rsid w:val="00A95413"/>
    <w:rsid w:val="00A95FDF"/>
    <w:rsid w:val="00A970D9"/>
    <w:rsid w:val="00A97A06"/>
    <w:rsid w:val="00AA11A9"/>
    <w:rsid w:val="00AA128F"/>
    <w:rsid w:val="00AA14EE"/>
    <w:rsid w:val="00AA30CD"/>
    <w:rsid w:val="00AA7A76"/>
    <w:rsid w:val="00AA7B70"/>
    <w:rsid w:val="00AB0207"/>
    <w:rsid w:val="00AB0CFB"/>
    <w:rsid w:val="00AB1920"/>
    <w:rsid w:val="00AB197F"/>
    <w:rsid w:val="00AB305E"/>
    <w:rsid w:val="00AB3BE9"/>
    <w:rsid w:val="00AB4321"/>
    <w:rsid w:val="00AB47E0"/>
    <w:rsid w:val="00AC0A6C"/>
    <w:rsid w:val="00AC0EBC"/>
    <w:rsid w:val="00AC11D7"/>
    <w:rsid w:val="00AC4757"/>
    <w:rsid w:val="00AC488D"/>
    <w:rsid w:val="00AC5D69"/>
    <w:rsid w:val="00AC6A18"/>
    <w:rsid w:val="00AD1004"/>
    <w:rsid w:val="00AD199B"/>
    <w:rsid w:val="00AD328E"/>
    <w:rsid w:val="00AD3778"/>
    <w:rsid w:val="00AD402A"/>
    <w:rsid w:val="00AD67E4"/>
    <w:rsid w:val="00AD7454"/>
    <w:rsid w:val="00AE1BCA"/>
    <w:rsid w:val="00AE3FE4"/>
    <w:rsid w:val="00AE4DBD"/>
    <w:rsid w:val="00AE4EF3"/>
    <w:rsid w:val="00AE6D38"/>
    <w:rsid w:val="00AF15AE"/>
    <w:rsid w:val="00AF1FEC"/>
    <w:rsid w:val="00AF2576"/>
    <w:rsid w:val="00AF347C"/>
    <w:rsid w:val="00AF4ABC"/>
    <w:rsid w:val="00AF5A54"/>
    <w:rsid w:val="00AF7F81"/>
    <w:rsid w:val="00B00ACD"/>
    <w:rsid w:val="00B021CF"/>
    <w:rsid w:val="00B03642"/>
    <w:rsid w:val="00B03B45"/>
    <w:rsid w:val="00B0777B"/>
    <w:rsid w:val="00B12E27"/>
    <w:rsid w:val="00B132CF"/>
    <w:rsid w:val="00B13C02"/>
    <w:rsid w:val="00B15382"/>
    <w:rsid w:val="00B1558A"/>
    <w:rsid w:val="00B17EB9"/>
    <w:rsid w:val="00B2141B"/>
    <w:rsid w:val="00B23937"/>
    <w:rsid w:val="00B23B03"/>
    <w:rsid w:val="00B32AA8"/>
    <w:rsid w:val="00B33F73"/>
    <w:rsid w:val="00B341E7"/>
    <w:rsid w:val="00B35165"/>
    <w:rsid w:val="00B358DA"/>
    <w:rsid w:val="00B37047"/>
    <w:rsid w:val="00B446C5"/>
    <w:rsid w:val="00B44B19"/>
    <w:rsid w:val="00B5039A"/>
    <w:rsid w:val="00B5114B"/>
    <w:rsid w:val="00B520CD"/>
    <w:rsid w:val="00B542BD"/>
    <w:rsid w:val="00B54C36"/>
    <w:rsid w:val="00B57CAB"/>
    <w:rsid w:val="00B6015C"/>
    <w:rsid w:val="00B617B2"/>
    <w:rsid w:val="00B62277"/>
    <w:rsid w:val="00B63FBA"/>
    <w:rsid w:val="00B641FC"/>
    <w:rsid w:val="00B677D9"/>
    <w:rsid w:val="00B67889"/>
    <w:rsid w:val="00B72A36"/>
    <w:rsid w:val="00B80144"/>
    <w:rsid w:val="00B83257"/>
    <w:rsid w:val="00B834DB"/>
    <w:rsid w:val="00B845D9"/>
    <w:rsid w:val="00B85CAE"/>
    <w:rsid w:val="00B862FE"/>
    <w:rsid w:val="00B9194F"/>
    <w:rsid w:val="00B91B85"/>
    <w:rsid w:val="00B920F8"/>
    <w:rsid w:val="00B92FE7"/>
    <w:rsid w:val="00BA0B63"/>
    <w:rsid w:val="00BA0E7F"/>
    <w:rsid w:val="00BA0F11"/>
    <w:rsid w:val="00BA2C20"/>
    <w:rsid w:val="00BA504B"/>
    <w:rsid w:val="00BA6BEF"/>
    <w:rsid w:val="00BA7D8F"/>
    <w:rsid w:val="00BB1442"/>
    <w:rsid w:val="00BB31AD"/>
    <w:rsid w:val="00BC0E0D"/>
    <w:rsid w:val="00BC1135"/>
    <w:rsid w:val="00BC16E9"/>
    <w:rsid w:val="00BC2059"/>
    <w:rsid w:val="00BC4424"/>
    <w:rsid w:val="00BC4909"/>
    <w:rsid w:val="00BC4C2B"/>
    <w:rsid w:val="00BC5079"/>
    <w:rsid w:val="00BC66FD"/>
    <w:rsid w:val="00BC6747"/>
    <w:rsid w:val="00BC7877"/>
    <w:rsid w:val="00BD0275"/>
    <w:rsid w:val="00BD1989"/>
    <w:rsid w:val="00BD1FF0"/>
    <w:rsid w:val="00BD413B"/>
    <w:rsid w:val="00BD4730"/>
    <w:rsid w:val="00BD4FB8"/>
    <w:rsid w:val="00BD5320"/>
    <w:rsid w:val="00BD67AF"/>
    <w:rsid w:val="00BE0BC8"/>
    <w:rsid w:val="00BE4C5A"/>
    <w:rsid w:val="00BE4F51"/>
    <w:rsid w:val="00BE7F69"/>
    <w:rsid w:val="00BF5BA8"/>
    <w:rsid w:val="00BF62E1"/>
    <w:rsid w:val="00BF638F"/>
    <w:rsid w:val="00BF6FA3"/>
    <w:rsid w:val="00BF731F"/>
    <w:rsid w:val="00C018D1"/>
    <w:rsid w:val="00C01BE6"/>
    <w:rsid w:val="00C0345E"/>
    <w:rsid w:val="00C0449C"/>
    <w:rsid w:val="00C04C05"/>
    <w:rsid w:val="00C05276"/>
    <w:rsid w:val="00C07AE2"/>
    <w:rsid w:val="00C11DBE"/>
    <w:rsid w:val="00C14D8C"/>
    <w:rsid w:val="00C16133"/>
    <w:rsid w:val="00C173A0"/>
    <w:rsid w:val="00C22890"/>
    <w:rsid w:val="00C22FAD"/>
    <w:rsid w:val="00C23713"/>
    <w:rsid w:val="00C2515E"/>
    <w:rsid w:val="00C2578B"/>
    <w:rsid w:val="00C3029F"/>
    <w:rsid w:val="00C31C42"/>
    <w:rsid w:val="00C32B3F"/>
    <w:rsid w:val="00C33F95"/>
    <w:rsid w:val="00C3402B"/>
    <w:rsid w:val="00C34622"/>
    <w:rsid w:val="00C34775"/>
    <w:rsid w:val="00C34B90"/>
    <w:rsid w:val="00C37C17"/>
    <w:rsid w:val="00C4012F"/>
    <w:rsid w:val="00C41D19"/>
    <w:rsid w:val="00C42EA8"/>
    <w:rsid w:val="00C43336"/>
    <w:rsid w:val="00C433CC"/>
    <w:rsid w:val="00C44423"/>
    <w:rsid w:val="00C44570"/>
    <w:rsid w:val="00C50785"/>
    <w:rsid w:val="00C51D10"/>
    <w:rsid w:val="00C52542"/>
    <w:rsid w:val="00C53071"/>
    <w:rsid w:val="00C622FA"/>
    <w:rsid w:val="00C63772"/>
    <w:rsid w:val="00C6501E"/>
    <w:rsid w:val="00C6630C"/>
    <w:rsid w:val="00C66804"/>
    <w:rsid w:val="00C67073"/>
    <w:rsid w:val="00C671C5"/>
    <w:rsid w:val="00C67605"/>
    <w:rsid w:val="00C70986"/>
    <w:rsid w:val="00C70AE1"/>
    <w:rsid w:val="00C725C9"/>
    <w:rsid w:val="00C74E7B"/>
    <w:rsid w:val="00C7512E"/>
    <w:rsid w:val="00C763CB"/>
    <w:rsid w:val="00C777C3"/>
    <w:rsid w:val="00C80CCE"/>
    <w:rsid w:val="00C817BD"/>
    <w:rsid w:val="00C82732"/>
    <w:rsid w:val="00C82BD7"/>
    <w:rsid w:val="00C83293"/>
    <w:rsid w:val="00C86F12"/>
    <w:rsid w:val="00C91011"/>
    <w:rsid w:val="00C92378"/>
    <w:rsid w:val="00C935B0"/>
    <w:rsid w:val="00C93D2A"/>
    <w:rsid w:val="00C9438E"/>
    <w:rsid w:val="00C946EA"/>
    <w:rsid w:val="00C94C55"/>
    <w:rsid w:val="00C95319"/>
    <w:rsid w:val="00C964A5"/>
    <w:rsid w:val="00C96AFB"/>
    <w:rsid w:val="00CA6CEA"/>
    <w:rsid w:val="00CA7BE4"/>
    <w:rsid w:val="00CB108F"/>
    <w:rsid w:val="00CB3B0A"/>
    <w:rsid w:val="00CB7BBA"/>
    <w:rsid w:val="00CC11C7"/>
    <w:rsid w:val="00CC3374"/>
    <w:rsid w:val="00CC3433"/>
    <w:rsid w:val="00CC48DD"/>
    <w:rsid w:val="00CC4EF7"/>
    <w:rsid w:val="00CC5015"/>
    <w:rsid w:val="00CC7628"/>
    <w:rsid w:val="00CD2257"/>
    <w:rsid w:val="00CE065E"/>
    <w:rsid w:val="00CE2081"/>
    <w:rsid w:val="00CE2703"/>
    <w:rsid w:val="00CE30E4"/>
    <w:rsid w:val="00CE3D9A"/>
    <w:rsid w:val="00CE465A"/>
    <w:rsid w:val="00CE6891"/>
    <w:rsid w:val="00CE73F0"/>
    <w:rsid w:val="00CF2873"/>
    <w:rsid w:val="00CF2DB4"/>
    <w:rsid w:val="00CF3531"/>
    <w:rsid w:val="00CF3E2A"/>
    <w:rsid w:val="00CF410E"/>
    <w:rsid w:val="00CF5358"/>
    <w:rsid w:val="00D0055C"/>
    <w:rsid w:val="00D02E88"/>
    <w:rsid w:val="00D03132"/>
    <w:rsid w:val="00D033BD"/>
    <w:rsid w:val="00D05C2B"/>
    <w:rsid w:val="00D05E1A"/>
    <w:rsid w:val="00D061DE"/>
    <w:rsid w:val="00D06C19"/>
    <w:rsid w:val="00D070A3"/>
    <w:rsid w:val="00D10EBB"/>
    <w:rsid w:val="00D1159F"/>
    <w:rsid w:val="00D116FD"/>
    <w:rsid w:val="00D11A14"/>
    <w:rsid w:val="00D122AA"/>
    <w:rsid w:val="00D1336F"/>
    <w:rsid w:val="00D135FD"/>
    <w:rsid w:val="00D15171"/>
    <w:rsid w:val="00D155C7"/>
    <w:rsid w:val="00D15917"/>
    <w:rsid w:val="00D21911"/>
    <w:rsid w:val="00D226D8"/>
    <w:rsid w:val="00D237B5"/>
    <w:rsid w:val="00D23FDA"/>
    <w:rsid w:val="00D259A1"/>
    <w:rsid w:val="00D26C4C"/>
    <w:rsid w:val="00D30711"/>
    <w:rsid w:val="00D31AEC"/>
    <w:rsid w:val="00D32DC0"/>
    <w:rsid w:val="00D33642"/>
    <w:rsid w:val="00D43342"/>
    <w:rsid w:val="00D44169"/>
    <w:rsid w:val="00D443AF"/>
    <w:rsid w:val="00D45551"/>
    <w:rsid w:val="00D474E9"/>
    <w:rsid w:val="00D51B69"/>
    <w:rsid w:val="00D52893"/>
    <w:rsid w:val="00D52A45"/>
    <w:rsid w:val="00D5531F"/>
    <w:rsid w:val="00D55B65"/>
    <w:rsid w:val="00D61BBF"/>
    <w:rsid w:val="00D62A8D"/>
    <w:rsid w:val="00D630DF"/>
    <w:rsid w:val="00D63158"/>
    <w:rsid w:val="00D65789"/>
    <w:rsid w:val="00D66383"/>
    <w:rsid w:val="00D6658F"/>
    <w:rsid w:val="00D66E1F"/>
    <w:rsid w:val="00D66F5D"/>
    <w:rsid w:val="00D67CA7"/>
    <w:rsid w:val="00D70922"/>
    <w:rsid w:val="00D718C7"/>
    <w:rsid w:val="00D72EFC"/>
    <w:rsid w:val="00D73CBE"/>
    <w:rsid w:val="00D744BB"/>
    <w:rsid w:val="00D75D07"/>
    <w:rsid w:val="00D76B0B"/>
    <w:rsid w:val="00D77F57"/>
    <w:rsid w:val="00D8145D"/>
    <w:rsid w:val="00D81C9D"/>
    <w:rsid w:val="00D81CE2"/>
    <w:rsid w:val="00D850C0"/>
    <w:rsid w:val="00D853DD"/>
    <w:rsid w:val="00D86998"/>
    <w:rsid w:val="00D91D6F"/>
    <w:rsid w:val="00D92475"/>
    <w:rsid w:val="00D9426C"/>
    <w:rsid w:val="00D95C13"/>
    <w:rsid w:val="00DA2691"/>
    <w:rsid w:val="00DA4E5E"/>
    <w:rsid w:val="00DA4EBA"/>
    <w:rsid w:val="00DA4EDA"/>
    <w:rsid w:val="00DB1120"/>
    <w:rsid w:val="00DB1531"/>
    <w:rsid w:val="00DB1DBE"/>
    <w:rsid w:val="00DB1E37"/>
    <w:rsid w:val="00DB5CED"/>
    <w:rsid w:val="00DB7520"/>
    <w:rsid w:val="00DC0771"/>
    <w:rsid w:val="00DC1D17"/>
    <w:rsid w:val="00DC713E"/>
    <w:rsid w:val="00DD3080"/>
    <w:rsid w:val="00DD3390"/>
    <w:rsid w:val="00DD5E73"/>
    <w:rsid w:val="00DD6683"/>
    <w:rsid w:val="00DE0CD8"/>
    <w:rsid w:val="00DE578D"/>
    <w:rsid w:val="00DE5AF0"/>
    <w:rsid w:val="00DE5D4B"/>
    <w:rsid w:val="00DF0D2F"/>
    <w:rsid w:val="00DF2C97"/>
    <w:rsid w:val="00DF3E9C"/>
    <w:rsid w:val="00DF3FE1"/>
    <w:rsid w:val="00DF565B"/>
    <w:rsid w:val="00DF6289"/>
    <w:rsid w:val="00DF752A"/>
    <w:rsid w:val="00E03154"/>
    <w:rsid w:val="00E10624"/>
    <w:rsid w:val="00E11873"/>
    <w:rsid w:val="00E12A4F"/>
    <w:rsid w:val="00E13263"/>
    <w:rsid w:val="00E1381F"/>
    <w:rsid w:val="00E14063"/>
    <w:rsid w:val="00E1423A"/>
    <w:rsid w:val="00E14B45"/>
    <w:rsid w:val="00E1511D"/>
    <w:rsid w:val="00E164B5"/>
    <w:rsid w:val="00E21BE8"/>
    <w:rsid w:val="00E24B8F"/>
    <w:rsid w:val="00E265B5"/>
    <w:rsid w:val="00E27A0B"/>
    <w:rsid w:val="00E27ED3"/>
    <w:rsid w:val="00E312CE"/>
    <w:rsid w:val="00E40A57"/>
    <w:rsid w:val="00E40DC5"/>
    <w:rsid w:val="00E41E70"/>
    <w:rsid w:val="00E43609"/>
    <w:rsid w:val="00E45CD2"/>
    <w:rsid w:val="00E52530"/>
    <w:rsid w:val="00E53DD8"/>
    <w:rsid w:val="00E55695"/>
    <w:rsid w:val="00E56427"/>
    <w:rsid w:val="00E63242"/>
    <w:rsid w:val="00E63A62"/>
    <w:rsid w:val="00E6407C"/>
    <w:rsid w:val="00E64248"/>
    <w:rsid w:val="00E64C01"/>
    <w:rsid w:val="00E66910"/>
    <w:rsid w:val="00E67404"/>
    <w:rsid w:val="00E716FE"/>
    <w:rsid w:val="00E71E6E"/>
    <w:rsid w:val="00E737D9"/>
    <w:rsid w:val="00E75B00"/>
    <w:rsid w:val="00E81F8A"/>
    <w:rsid w:val="00E83553"/>
    <w:rsid w:val="00E83A84"/>
    <w:rsid w:val="00E8451C"/>
    <w:rsid w:val="00E846A3"/>
    <w:rsid w:val="00E85DD2"/>
    <w:rsid w:val="00E87D96"/>
    <w:rsid w:val="00E9025B"/>
    <w:rsid w:val="00E90C43"/>
    <w:rsid w:val="00E913D4"/>
    <w:rsid w:val="00E91DFA"/>
    <w:rsid w:val="00E929FB"/>
    <w:rsid w:val="00E93430"/>
    <w:rsid w:val="00E96BD7"/>
    <w:rsid w:val="00E975F0"/>
    <w:rsid w:val="00EA0AE9"/>
    <w:rsid w:val="00EA1DAC"/>
    <w:rsid w:val="00EA29F7"/>
    <w:rsid w:val="00EA368D"/>
    <w:rsid w:val="00EA3DD7"/>
    <w:rsid w:val="00EA3F3F"/>
    <w:rsid w:val="00EA3F57"/>
    <w:rsid w:val="00EA5EAB"/>
    <w:rsid w:val="00EA6591"/>
    <w:rsid w:val="00EA6AA6"/>
    <w:rsid w:val="00EA75F4"/>
    <w:rsid w:val="00EA7617"/>
    <w:rsid w:val="00EB235F"/>
    <w:rsid w:val="00EB3120"/>
    <w:rsid w:val="00EB3212"/>
    <w:rsid w:val="00EB540B"/>
    <w:rsid w:val="00EC10FB"/>
    <w:rsid w:val="00EC1576"/>
    <w:rsid w:val="00EC2186"/>
    <w:rsid w:val="00EC3F63"/>
    <w:rsid w:val="00ED08D5"/>
    <w:rsid w:val="00ED0D4B"/>
    <w:rsid w:val="00ED22AE"/>
    <w:rsid w:val="00ED4A11"/>
    <w:rsid w:val="00ED504B"/>
    <w:rsid w:val="00ED6177"/>
    <w:rsid w:val="00EE0C69"/>
    <w:rsid w:val="00EE13D5"/>
    <w:rsid w:val="00EE1810"/>
    <w:rsid w:val="00EE3386"/>
    <w:rsid w:val="00EE3832"/>
    <w:rsid w:val="00EE41E4"/>
    <w:rsid w:val="00EE496A"/>
    <w:rsid w:val="00EE6383"/>
    <w:rsid w:val="00EE6A96"/>
    <w:rsid w:val="00EE6E7B"/>
    <w:rsid w:val="00EE6EC3"/>
    <w:rsid w:val="00EF3045"/>
    <w:rsid w:val="00EF4074"/>
    <w:rsid w:val="00EF5E7A"/>
    <w:rsid w:val="00EF61F9"/>
    <w:rsid w:val="00EF674D"/>
    <w:rsid w:val="00EF77E9"/>
    <w:rsid w:val="00F00FDF"/>
    <w:rsid w:val="00F01821"/>
    <w:rsid w:val="00F029F7"/>
    <w:rsid w:val="00F0546E"/>
    <w:rsid w:val="00F076E9"/>
    <w:rsid w:val="00F115A2"/>
    <w:rsid w:val="00F1343C"/>
    <w:rsid w:val="00F1498F"/>
    <w:rsid w:val="00F15027"/>
    <w:rsid w:val="00F158B2"/>
    <w:rsid w:val="00F15F38"/>
    <w:rsid w:val="00F15FC5"/>
    <w:rsid w:val="00F20ED3"/>
    <w:rsid w:val="00F23B50"/>
    <w:rsid w:val="00F2619E"/>
    <w:rsid w:val="00F264B7"/>
    <w:rsid w:val="00F26EB4"/>
    <w:rsid w:val="00F31CCB"/>
    <w:rsid w:val="00F32B60"/>
    <w:rsid w:val="00F32D2E"/>
    <w:rsid w:val="00F364A0"/>
    <w:rsid w:val="00F36516"/>
    <w:rsid w:val="00F4214B"/>
    <w:rsid w:val="00F4270E"/>
    <w:rsid w:val="00F44566"/>
    <w:rsid w:val="00F44EA5"/>
    <w:rsid w:val="00F45F0B"/>
    <w:rsid w:val="00F46C33"/>
    <w:rsid w:val="00F508F2"/>
    <w:rsid w:val="00F5188B"/>
    <w:rsid w:val="00F52A66"/>
    <w:rsid w:val="00F54B4B"/>
    <w:rsid w:val="00F55CE1"/>
    <w:rsid w:val="00F568F6"/>
    <w:rsid w:val="00F57E0C"/>
    <w:rsid w:val="00F60676"/>
    <w:rsid w:val="00F62B8D"/>
    <w:rsid w:val="00F62DC5"/>
    <w:rsid w:val="00F64983"/>
    <w:rsid w:val="00F65DE7"/>
    <w:rsid w:val="00F6702A"/>
    <w:rsid w:val="00F675DF"/>
    <w:rsid w:val="00F67915"/>
    <w:rsid w:val="00F707C6"/>
    <w:rsid w:val="00F75B2C"/>
    <w:rsid w:val="00F76E34"/>
    <w:rsid w:val="00F77672"/>
    <w:rsid w:val="00F804A7"/>
    <w:rsid w:val="00F823CF"/>
    <w:rsid w:val="00F82BAE"/>
    <w:rsid w:val="00F848E3"/>
    <w:rsid w:val="00F85DB9"/>
    <w:rsid w:val="00F8601C"/>
    <w:rsid w:val="00F90CC2"/>
    <w:rsid w:val="00F927A5"/>
    <w:rsid w:val="00F93980"/>
    <w:rsid w:val="00F948EA"/>
    <w:rsid w:val="00F958E6"/>
    <w:rsid w:val="00F95E5C"/>
    <w:rsid w:val="00F95F89"/>
    <w:rsid w:val="00FA074F"/>
    <w:rsid w:val="00FA287E"/>
    <w:rsid w:val="00FA44A0"/>
    <w:rsid w:val="00FA6849"/>
    <w:rsid w:val="00FA75E3"/>
    <w:rsid w:val="00FB6207"/>
    <w:rsid w:val="00FB72D8"/>
    <w:rsid w:val="00FC184D"/>
    <w:rsid w:val="00FC4D25"/>
    <w:rsid w:val="00FD012D"/>
    <w:rsid w:val="00FD07B6"/>
    <w:rsid w:val="00FD494A"/>
    <w:rsid w:val="00FD5034"/>
    <w:rsid w:val="00FD7135"/>
    <w:rsid w:val="00FD7624"/>
    <w:rsid w:val="00FE028F"/>
    <w:rsid w:val="00FE31E0"/>
    <w:rsid w:val="00FE7FCA"/>
    <w:rsid w:val="00FF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93"/>
    <w:rPr>
      <w:lang w:val="fr-FR" w:eastAsia="fr-FR"/>
    </w:rPr>
  </w:style>
  <w:style w:type="paragraph" w:styleId="Heading1">
    <w:name w:val="heading 1"/>
    <w:basedOn w:val="Normal"/>
    <w:next w:val="Normal"/>
    <w:qFormat/>
    <w:pPr>
      <w:keepNext/>
      <w:jc w:val="center"/>
      <w:outlineLvl w:val="0"/>
    </w:pPr>
    <w:rPr>
      <w:b/>
      <w:bCs/>
      <w:i/>
      <w:iCs/>
      <w:sz w:val="24"/>
      <w:szCs w:val="24"/>
    </w:rPr>
  </w:style>
  <w:style w:type="paragraph" w:styleId="Heading2">
    <w:name w:val="heading 2"/>
    <w:basedOn w:val="Normal"/>
    <w:next w:val="Normal"/>
    <w:qFormat/>
    <w:pPr>
      <w:keepNext/>
      <w:jc w:val="center"/>
      <w:outlineLvl w:val="1"/>
    </w:pPr>
    <w:rPr>
      <w:sz w:val="24"/>
      <w:szCs w:val="24"/>
      <w:lang w:val="en-GB"/>
    </w:rPr>
  </w:style>
  <w:style w:type="paragraph" w:styleId="Heading3">
    <w:name w:val="heading 3"/>
    <w:basedOn w:val="Normal"/>
    <w:next w:val="Normal"/>
    <w:qFormat/>
    <w:pPr>
      <w:keepNext/>
      <w:spacing w:before="240" w:after="40" w:line="480" w:lineRule="auto"/>
      <w:jc w:val="both"/>
      <w:outlineLvl w:val="2"/>
    </w:pPr>
    <w:rPr>
      <w:b/>
      <w:bCs/>
      <w:sz w:val="28"/>
      <w:szCs w:val="28"/>
      <w:lang w:val="en-US"/>
    </w:rPr>
  </w:style>
  <w:style w:type="paragraph" w:styleId="Heading4">
    <w:name w:val="heading 4"/>
    <w:basedOn w:val="Normal"/>
    <w:next w:val="Normal"/>
    <w:qFormat/>
    <w:pPr>
      <w:keepNext/>
      <w:outlineLvl w:val="3"/>
    </w:pPr>
    <w:rPr>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itreshma">
    <w:name w:val="Titre shéma"/>
    <w:basedOn w:val="Normal"/>
    <w:pPr>
      <w:keepNext/>
      <w:keepLines/>
      <w:tabs>
        <w:tab w:val="left" w:pos="5670"/>
      </w:tabs>
      <w:spacing w:before="240" w:after="60" w:line="240" w:lineRule="atLeast"/>
      <w:jc w:val="center"/>
    </w:pPr>
    <w:rPr>
      <w:b/>
      <w:bCs/>
      <w:color w:val="000000"/>
      <w:sz w:val="28"/>
      <w:szCs w:val="28"/>
      <w:lang w:val="en-GB"/>
    </w:rPr>
  </w:style>
  <w:style w:type="paragraph" w:customStyle="1" w:styleId="1-Textder2Abstze">
    <w:name w:val="1-Text der 2. Absätze"/>
    <w:basedOn w:val="Normal"/>
    <w:pPr>
      <w:spacing w:line="240" w:lineRule="atLeast"/>
      <w:ind w:firstLine="227"/>
      <w:jc w:val="both"/>
    </w:pPr>
    <w:rPr>
      <w:spacing w:val="-4"/>
      <w:sz w:val="24"/>
      <w:szCs w:val="24"/>
      <w:lang w:val="de-DE"/>
    </w:rPr>
  </w:style>
  <w:style w:type="paragraph" w:customStyle="1" w:styleId="noteg">
    <w:name w:val="noteg"/>
    <w:basedOn w:val="Normal"/>
    <w:pPr>
      <w:jc w:val="both"/>
    </w:pPr>
    <w:rPr>
      <w:sz w:val="16"/>
      <w:szCs w:val="16"/>
    </w:rPr>
  </w:style>
  <w:style w:type="paragraph" w:customStyle="1" w:styleId="titregraphique">
    <w:name w:val="titregraphique"/>
    <w:basedOn w:val="Normal"/>
    <w:pPr>
      <w:jc w:val="center"/>
    </w:pPr>
    <w:rPr>
      <w:i/>
      <w:iCs/>
    </w:rPr>
  </w:style>
  <w:style w:type="paragraph" w:customStyle="1" w:styleId="table">
    <w:name w:val="table"/>
    <w:basedOn w:val="Normal"/>
    <w:pPr>
      <w:jc w:val="center"/>
    </w:pPr>
    <w:rPr>
      <w:sz w:val="18"/>
      <w:szCs w:val="18"/>
    </w:rPr>
  </w:style>
  <w:style w:type="paragraph" w:styleId="FootnoteText">
    <w:name w:val="footnote text"/>
    <w:basedOn w:val="Normal"/>
    <w:semiHidden/>
    <w:pPr>
      <w:jc w:val="both"/>
    </w:pPr>
  </w:style>
  <w:style w:type="paragraph" w:customStyle="1" w:styleId="tableau">
    <w:name w:val="tableau"/>
    <w:basedOn w:val="FootnoteText"/>
    <w:pPr>
      <w:jc w:val="center"/>
    </w:pPr>
    <w:rPr>
      <w:sz w:val="16"/>
      <w:szCs w:val="16"/>
      <w:lang w:val="en-GB"/>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customStyle="1" w:styleId="MTEquationSection">
    <w:name w:val="MTEquationSection"/>
    <w:rPr>
      <w:vanish/>
      <w:color w:val="FF0000"/>
      <w:lang w:val="en-GB"/>
    </w:rPr>
  </w:style>
  <w:style w:type="paragraph" w:styleId="BodyTextIndent">
    <w:name w:val="Body Text Indent"/>
    <w:basedOn w:val="Normal"/>
    <w:pPr>
      <w:tabs>
        <w:tab w:val="left" w:pos="5670"/>
      </w:tabs>
      <w:spacing w:before="60" w:after="60" w:line="264" w:lineRule="auto"/>
      <w:jc w:val="center"/>
    </w:pPr>
    <w:rPr>
      <w:i/>
      <w:iCs/>
      <w:color w:val="000000"/>
      <w:sz w:val="24"/>
      <w:szCs w:val="24"/>
    </w:rPr>
  </w:style>
  <w:style w:type="paragraph" w:customStyle="1" w:styleId="1-Hauptberschrift">
    <w:name w:val="1-Hauptüberschrift"/>
    <w:basedOn w:val="1-Textder2Abstze"/>
    <w:pPr>
      <w:pageBreakBefore/>
      <w:spacing w:after="1200" w:line="300" w:lineRule="auto"/>
      <w:ind w:firstLine="0"/>
      <w:jc w:val="left"/>
    </w:pPr>
    <w:rPr>
      <w:sz w:val="36"/>
      <w:szCs w:val="36"/>
    </w:rPr>
  </w:style>
  <w:style w:type="paragraph" w:customStyle="1" w:styleId="1-Unterberschr1Wertigkeit">
    <w:name w:val="1-Unterüberschr. 1. Wertigkeit"/>
    <w:basedOn w:val="1-Textder2Abstze"/>
    <w:pPr>
      <w:spacing w:before="720" w:after="240"/>
      <w:ind w:firstLine="0"/>
      <w:jc w:val="left"/>
    </w:pPr>
    <w:rPr>
      <w:sz w:val="28"/>
      <w:szCs w:val="28"/>
    </w:rPr>
  </w:style>
  <w:style w:type="paragraph" w:customStyle="1" w:styleId="1-Textder1Abstze">
    <w:name w:val="1-Text der 1. Absätze"/>
    <w:basedOn w:val="1-Textder2Abstze"/>
    <w:autoRedefine/>
    <w:pPr>
      <w:ind w:firstLine="284"/>
    </w:pPr>
    <w:rPr>
      <w:lang w:val="fr-FR"/>
    </w:rPr>
  </w:style>
  <w:style w:type="character" w:styleId="PageNumber">
    <w:name w:val="page number"/>
    <w:basedOn w:val="DefaultParagraphFont"/>
  </w:style>
  <w:style w:type="paragraph" w:styleId="BodyText">
    <w:name w:val="Body Text"/>
    <w:basedOn w:val="Normal"/>
    <w:pPr>
      <w:jc w:val="both"/>
    </w:pPr>
    <w:rPr>
      <w:sz w:val="24"/>
      <w:szCs w:val="24"/>
      <w:lang w:val="en-US"/>
    </w:rPr>
  </w:style>
  <w:style w:type="paragraph" w:styleId="BodyTextIndent2">
    <w:name w:val="Body Text Indent 2"/>
    <w:basedOn w:val="Normal"/>
    <w:pPr>
      <w:ind w:left="280" w:hanging="280"/>
    </w:pPr>
    <w:rPr>
      <w:b/>
      <w:bCs/>
      <w:sz w:val="24"/>
      <w:szCs w:val="24"/>
      <w:lang w:val="en-US"/>
    </w:rPr>
  </w:style>
  <w:style w:type="paragraph" w:customStyle="1" w:styleId="bib">
    <w:name w:val="bib"/>
    <w:basedOn w:val="Normal"/>
    <w:pPr>
      <w:tabs>
        <w:tab w:val="left" w:pos="5670"/>
      </w:tabs>
      <w:spacing w:before="60" w:after="60"/>
      <w:ind w:left="567" w:hanging="567"/>
      <w:jc w:val="both"/>
    </w:pPr>
    <w:rPr>
      <w:noProof/>
      <w:color w:val="000000"/>
      <w:lang w:val="en-US"/>
    </w:rPr>
  </w:style>
  <w:style w:type="character" w:styleId="FollowedHyperlink">
    <w:name w:val="FollowedHyperlink"/>
    <w:uiPriority w:val="99"/>
    <w:rPr>
      <w:color w:val="800080"/>
      <w:u w:val="single"/>
    </w:rPr>
  </w:style>
  <w:style w:type="paragraph" w:customStyle="1" w:styleId="Titrefigure">
    <w:name w:val="Titre figure"/>
    <w:basedOn w:val="Normal"/>
    <w:pPr>
      <w:numPr>
        <w:numId w:val="1"/>
      </w:numPr>
      <w:tabs>
        <w:tab w:val="clear" w:pos="360"/>
      </w:tabs>
      <w:spacing w:before="160" w:after="120"/>
      <w:ind w:left="-288" w:firstLine="288"/>
      <w:jc w:val="center"/>
    </w:pPr>
    <w:rPr>
      <w:b/>
      <w:bCs/>
      <w:sz w:val="24"/>
      <w:szCs w:val="24"/>
    </w:rPr>
  </w:style>
  <w:style w:type="paragraph" w:customStyle="1" w:styleId="notedetableau">
    <w:name w:val="note de tableau"/>
    <w:basedOn w:val="Normal"/>
    <w:pPr>
      <w:tabs>
        <w:tab w:val="left" w:pos="5670"/>
      </w:tabs>
      <w:spacing w:after="120"/>
      <w:jc w:val="both"/>
    </w:pPr>
    <w:rPr>
      <w:color w:val="000000"/>
    </w:rPr>
  </w:style>
  <w:style w:type="paragraph" w:customStyle="1" w:styleId="source">
    <w:name w:val="source"/>
    <w:basedOn w:val="Normal"/>
    <w:pPr>
      <w:tabs>
        <w:tab w:val="left" w:pos="5670"/>
      </w:tabs>
      <w:spacing w:after="60"/>
      <w:jc w:val="both"/>
    </w:pPr>
    <w:rPr>
      <w:color w:val="000000"/>
      <w:sz w:val="16"/>
      <w:szCs w:val="16"/>
    </w:rPr>
  </w:style>
  <w:style w:type="table" w:styleId="TableGrid">
    <w:name w:val="Table Grid"/>
    <w:basedOn w:val="TableNormal"/>
    <w:rsid w:val="00A17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61E7"/>
    <w:rPr>
      <w:rFonts w:ascii="Tahoma" w:hAnsi="Tahoma" w:cs="Tahoma"/>
      <w:sz w:val="16"/>
      <w:szCs w:val="16"/>
    </w:rPr>
  </w:style>
  <w:style w:type="character" w:customStyle="1" w:styleId="BalloonTextChar">
    <w:name w:val="Balloon Text Char"/>
    <w:link w:val="BalloonText"/>
    <w:rsid w:val="001961E7"/>
    <w:rPr>
      <w:rFonts w:ascii="Tahoma" w:hAnsi="Tahoma" w:cs="Tahoma"/>
      <w:sz w:val="16"/>
      <w:szCs w:val="16"/>
      <w:lang w:val="fr-FR" w:eastAsia="fr-FR"/>
    </w:rPr>
  </w:style>
  <w:style w:type="paragraph" w:styleId="NormalWeb">
    <w:name w:val="Normal (Web)"/>
    <w:basedOn w:val="Normal"/>
    <w:uiPriority w:val="99"/>
    <w:unhideWhenUsed/>
    <w:rsid w:val="0016271F"/>
    <w:pPr>
      <w:spacing w:before="100" w:beforeAutospacing="1" w:after="100" w:afterAutospacing="1"/>
    </w:pPr>
    <w:rPr>
      <w:sz w:val="24"/>
      <w:szCs w:val="24"/>
      <w:lang w:val="en-US" w:eastAsia="en-US"/>
    </w:rPr>
  </w:style>
  <w:style w:type="paragraph" w:styleId="TOCHeading">
    <w:name w:val="TOC Heading"/>
    <w:basedOn w:val="Heading1"/>
    <w:next w:val="Normal"/>
    <w:uiPriority w:val="39"/>
    <w:semiHidden/>
    <w:unhideWhenUsed/>
    <w:qFormat/>
    <w:rsid w:val="00266F84"/>
    <w:pPr>
      <w:keepLines/>
      <w:spacing w:before="480" w:line="276" w:lineRule="auto"/>
      <w:jc w:val="left"/>
      <w:outlineLvl w:val="9"/>
    </w:pPr>
    <w:rPr>
      <w:rFonts w:ascii="Cambria" w:eastAsia="MS Gothic" w:hAnsi="Cambria"/>
      <w:i w:val="0"/>
      <w:iCs w:val="0"/>
      <w:color w:val="365F91"/>
      <w:sz w:val="28"/>
      <w:szCs w:val="28"/>
      <w:lang w:val="en-US" w:eastAsia="ja-JP"/>
    </w:rPr>
  </w:style>
  <w:style w:type="character" w:styleId="CommentReference">
    <w:name w:val="annotation reference"/>
    <w:rsid w:val="00353068"/>
    <w:rPr>
      <w:sz w:val="16"/>
      <w:szCs w:val="16"/>
    </w:rPr>
  </w:style>
  <w:style w:type="paragraph" w:styleId="CommentText">
    <w:name w:val="annotation text"/>
    <w:basedOn w:val="Normal"/>
    <w:link w:val="CommentTextChar"/>
    <w:rsid w:val="00353068"/>
  </w:style>
  <w:style w:type="character" w:customStyle="1" w:styleId="CommentTextChar">
    <w:name w:val="Comment Text Char"/>
    <w:link w:val="CommentText"/>
    <w:rsid w:val="00353068"/>
    <w:rPr>
      <w:lang w:val="fr-FR" w:eastAsia="fr-FR"/>
    </w:rPr>
  </w:style>
  <w:style w:type="paragraph" w:styleId="CommentSubject">
    <w:name w:val="annotation subject"/>
    <w:basedOn w:val="CommentText"/>
    <w:next w:val="CommentText"/>
    <w:link w:val="CommentSubjectChar"/>
    <w:rsid w:val="00353068"/>
    <w:rPr>
      <w:b/>
      <w:bCs/>
    </w:rPr>
  </w:style>
  <w:style w:type="character" w:customStyle="1" w:styleId="CommentSubjectChar">
    <w:name w:val="Comment Subject Char"/>
    <w:link w:val="CommentSubject"/>
    <w:rsid w:val="00353068"/>
    <w:rPr>
      <w:b/>
      <w:bCs/>
      <w:lang w:val="fr-FR" w:eastAsia="fr-FR"/>
    </w:rPr>
  </w:style>
  <w:style w:type="character" w:customStyle="1" w:styleId="highlightedsearchterm">
    <w:name w:val="highlightedsearchterm"/>
    <w:rsid w:val="00864748"/>
  </w:style>
  <w:style w:type="paragraph" w:styleId="ListParagraph">
    <w:name w:val="List Paragraph"/>
    <w:basedOn w:val="Normal"/>
    <w:uiPriority w:val="34"/>
    <w:qFormat/>
    <w:rsid w:val="0042097E"/>
    <w:pPr>
      <w:ind w:left="720"/>
      <w:contextualSpacing/>
    </w:pPr>
  </w:style>
  <w:style w:type="paragraph" w:customStyle="1" w:styleId="Default">
    <w:name w:val="Default"/>
    <w:rsid w:val="008C457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93"/>
    <w:rPr>
      <w:lang w:val="fr-FR" w:eastAsia="fr-FR"/>
    </w:rPr>
  </w:style>
  <w:style w:type="paragraph" w:styleId="Heading1">
    <w:name w:val="heading 1"/>
    <w:basedOn w:val="Normal"/>
    <w:next w:val="Normal"/>
    <w:qFormat/>
    <w:pPr>
      <w:keepNext/>
      <w:jc w:val="center"/>
      <w:outlineLvl w:val="0"/>
    </w:pPr>
    <w:rPr>
      <w:b/>
      <w:bCs/>
      <w:i/>
      <w:iCs/>
      <w:sz w:val="24"/>
      <w:szCs w:val="24"/>
    </w:rPr>
  </w:style>
  <w:style w:type="paragraph" w:styleId="Heading2">
    <w:name w:val="heading 2"/>
    <w:basedOn w:val="Normal"/>
    <w:next w:val="Normal"/>
    <w:qFormat/>
    <w:pPr>
      <w:keepNext/>
      <w:jc w:val="center"/>
      <w:outlineLvl w:val="1"/>
    </w:pPr>
    <w:rPr>
      <w:sz w:val="24"/>
      <w:szCs w:val="24"/>
      <w:lang w:val="en-GB"/>
    </w:rPr>
  </w:style>
  <w:style w:type="paragraph" w:styleId="Heading3">
    <w:name w:val="heading 3"/>
    <w:basedOn w:val="Normal"/>
    <w:next w:val="Normal"/>
    <w:qFormat/>
    <w:pPr>
      <w:keepNext/>
      <w:spacing w:before="240" w:after="40" w:line="480" w:lineRule="auto"/>
      <w:jc w:val="both"/>
      <w:outlineLvl w:val="2"/>
    </w:pPr>
    <w:rPr>
      <w:b/>
      <w:bCs/>
      <w:sz w:val="28"/>
      <w:szCs w:val="28"/>
      <w:lang w:val="en-US"/>
    </w:rPr>
  </w:style>
  <w:style w:type="paragraph" w:styleId="Heading4">
    <w:name w:val="heading 4"/>
    <w:basedOn w:val="Normal"/>
    <w:next w:val="Normal"/>
    <w:qFormat/>
    <w:pPr>
      <w:keepNext/>
      <w:outlineLvl w:val="3"/>
    </w:pPr>
    <w:rPr>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itreshma">
    <w:name w:val="Titre shéma"/>
    <w:basedOn w:val="Normal"/>
    <w:pPr>
      <w:keepNext/>
      <w:keepLines/>
      <w:tabs>
        <w:tab w:val="left" w:pos="5670"/>
      </w:tabs>
      <w:spacing w:before="240" w:after="60" w:line="240" w:lineRule="atLeast"/>
      <w:jc w:val="center"/>
    </w:pPr>
    <w:rPr>
      <w:b/>
      <w:bCs/>
      <w:color w:val="000000"/>
      <w:sz w:val="28"/>
      <w:szCs w:val="28"/>
      <w:lang w:val="en-GB"/>
    </w:rPr>
  </w:style>
  <w:style w:type="paragraph" w:customStyle="1" w:styleId="1-Textder2Abstze">
    <w:name w:val="1-Text der 2. Absätze"/>
    <w:basedOn w:val="Normal"/>
    <w:pPr>
      <w:spacing w:line="240" w:lineRule="atLeast"/>
      <w:ind w:firstLine="227"/>
      <w:jc w:val="both"/>
    </w:pPr>
    <w:rPr>
      <w:spacing w:val="-4"/>
      <w:sz w:val="24"/>
      <w:szCs w:val="24"/>
      <w:lang w:val="de-DE"/>
    </w:rPr>
  </w:style>
  <w:style w:type="paragraph" w:customStyle="1" w:styleId="noteg">
    <w:name w:val="noteg"/>
    <w:basedOn w:val="Normal"/>
    <w:pPr>
      <w:jc w:val="both"/>
    </w:pPr>
    <w:rPr>
      <w:sz w:val="16"/>
      <w:szCs w:val="16"/>
    </w:rPr>
  </w:style>
  <w:style w:type="paragraph" w:customStyle="1" w:styleId="titregraphique">
    <w:name w:val="titregraphique"/>
    <w:basedOn w:val="Normal"/>
    <w:pPr>
      <w:jc w:val="center"/>
    </w:pPr>
    <w:rPr>
      <w:i/>
      <w:iCs/>
    </w:rPr>
  </w:style>
  <w:style w:type="paragraph" w:customStyle="1" w:styleId="table">
    <w:name w:val="table"/>
    <w:basedOn w:val="Normal"/>
    <w:pPr>
      <w:jc w:val="center"/>
    </w:pPr>
    <w:rPr>
      <w:sz w:val="18"/>
      <w:szCs w:val="18"/>
    </w:rPr>
  </w:style>
  <w:style w:type="paragraph" w:styleId="FootnoteText">
    <w:name w:val="footnote text"/>
    <w:basedOn w:val="Normal"/>
    <w:semiHidden/>
    <w:pPr>
      <w:jc w:val="both"/>
    </w:pPr>
  </w:style>
  <w:style w:type="paragraph" w:customStyle="1" w:styleId="tableau">
    <w:name w:val="tableau"/>
    <w:basedOn w:val="FootnoteText"/>
    <w:pPr>
      <w:jc w:val="center"/>
    </w:pPr>
    <w:rPr>
      <w:sz w:val="16"/>
      <w:szCs w:val="16"/>
      <w:lang w:val="en-GB"/>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customStyle="1" w:styleId="MTEquationSection">
    <w:name w:val="MTEquationSection"/>
    <w:rPr>
      <w:vanish/>
      <w:color w:val="FF0000"/>
      <w:lang w:val="en-GB"/>
    </w:rPr>
  </w:style>
  <w:style w:type="paragraph" w:styleId="BodyTextIndent">
    <w:name w:val="Body Text Indent"/>
    <w:basedOn w:val="Normal"/>
    <w:pPr>
      <w:tabs>
        <w:tab w:val="left" w:pos="5670"/>
      </w:tabs>
      <w:spacing w:before="60" w:after="60" w:line="264" w:lineRule="auto"/>
      <w:jc w:val="center"/>
    </w:pPr>
    <w:rPr>
      <w:i/>
      <w:iCs/>
      <w:color w:val="000000"/>
      <w:sz w:val="24"/>
      <w:szCs w:val="24"/>
    </w:rPr>
  </w:style>
  <w:style w:type="paragraph" w:customStyle="1" w:styleId="1-Hauptberschrift">
    <w:name w:val="1-Hauptüberschrift"/>
    <w:basedOn w:val="1-Textder2Abstze"/>
    <w:pPr>
      <w:pageBreakBefore/>
      <w:spacing w:after="1200" w:line="300" w:lineRule="auto"/>
      <w:ind w:firstLine="0"/>
      <w:jc w:val="left"/>
    </w:pPr>
    <w:rPr>
      <w:sz w:val="36"/>
      <w:szCs w:val="36"/>
    </w:rPr>
  </w:style>
  <w:style w:type="paragraph" w:customStyle="1" w:styleId="1-Unterberschr1Wertigkeit">
    <w:name w:val="1-Unterüberschr. 1. Wertigkeit"/>
    <w:basedOn w:val="1-Textder2Abstze"/>
    <w:pPr>
      <w:spacing w:before="720" w:after="240"/>
      <w:ind w:firstLine="0"/>
      <w:jc w:val="left"/>
    </w:pPr>
    <w:rPr>
      <w:sz w:val="28"/>
      <w:szCs w:val="28"/>
    </w:rPr>
  </w:style>
  <w:style w:type="paragraph" w:customStyle="1" w:styleId="1-Textder1Abstze">
    <w:name w:val="1-Text der 1. Absätze"/>
    <w:basedOn w:val="1-Textder2Abstze"/>
    <w:autoRedefine/>
    <w:pPr>
      <w:ind w:firstLine="284"/>
    </w:pPr>
    <w:rPr>
      <w:lang w:val="fr-FR"/>
    </w:rPr>
  </w:style>
  <w:style w:type="character" w:styleId="PageNumber">
    <w:name w:val="page number"/>
    <w:basedOn w:val="DefaultParagraphFont"/>
  </w:style>
  <w:style w:type="paragraph" w:styleId="BodyText">
    <w:name w:val="Body Text"/>
    <w:basedOn w:val="Normal"/>
    <w:pPr>
      <w:jc w:val="both"/>
    </w:pPr>
    <w:rPr>
      <w:sz w:val="24"/>
      <w:szCs w:val="24"/>
      <w:lang w:val="en-US"/>
    </w:rPr>
  </w:style>
  <w:style w:type="paragraph" w:styleId="BodyTextIndent2">
    <w:name w:val="Body Text Indent 2"/>
    <w:basedOn w:val="Normal"/>
    <w:pPr>
      <w:ind w:left="280" w:hanging="280"/>
    </w:pPr>
    <w:rPr>
      <w:b/>
      <w:bCs/>
      <w:sz w:val="24"/>
      <w:szCs w:val="24"/>
      <w:lang w:val="en-US"/>
    </w:rPr>
  </w:style>
  <w:style w:type="paragraph" w:customStyle="1" w:styleId="bib">
    <w:name w:val="bib"/>
    <w:basedOn w:val="Normal"/>
    <w:pPr>
      <w:tabs>
        <w:tab w:val="left" w:pos="5670"/>
      </w:tabs>
      <w:spacing w:before="60" w:after="60"/>
      <w:ind w:left="567" w:hanging="567"/>
      <w:jc w:val="both"/>
    </w:pPr>
    <w:rPr>
      <w:noProof/>
      <w:color w:val="000000"/>
      <w:lang w:val="en-US"/>
    </w:rPr>
  </w:style>
  <w:style w:type="character" w:styleId="FollowedHyperlink">
    <w:name w:val="FollowedHyperlink"/>
    <w:uiPriority w:val="99"/>
    <w:rPr>
      <w:color w:val="800080"/>
      <w:u w:val="single"/>
    </w:rPr>
  </w:style>
  <w:style w:type="paragraph" w:customStyle="1" w:styleId="Titrefigure">
    <w:name w:val="Titre figure"/>
    <w:basedOn w:val="Normal"/>
    <w:pPr>
      <w:numPr>
        <w:numId w:val="1"/>
      </w:numPr>
      <w:tabs>
        <w:tab w:val="clear" w:pos="360"/>
      </w:tabs>
      <w:spacing w:before="160" w:after="120"/>
      <w:ind w:left="-288" w:firstLine="288"/>
      <w:jc w:val="center"/>
    </w:pPr>
    <w:rPr>
      <w:b/>
      <w:bCs/>
      <w:sz w:val="24"/>
      <w:szCs w:val="24"/>
    </w:rPr>
  </w:style>
  <w:style w:type="paragraph" w:customStyle="1" w:styleId="notedetableau">
    <w:name w:val="note de tableau"/>
    <w:basedOn w:val="Normal"/>
    <w:pPr>
      <w:tabs>
        <w:tab w:val="left" w:pos="5670"/>
      </w:tabs>
      <w:spacing w:after="120"/>
      <w:jc w:val="both"/>
    </w:pPr>
    <w:rPr>
      <w:color w:val="000000"/>
    </w:rPr>
  </w:style>
  <w:style w:type="paragraph" w:customStyle="1" w:styleId="source">
    <w:name w:val="source"/>
    <w:basedOn w:val="Normal"/>
    <w:pPr>
      <w:tabs>
        <w:tab w:val="left" w:pos="5670"/>
      </w:tabs>
      <w:spacing w:after="60"/>
      <w:jc w:val="both"/>
    </w:pPr>
    <w:rPr>
      <w:color w:val="000000"/>
      <w:sz w:val="16"/>
      <w:szCs w:val="16"/>
    </w:rPr>
  </w:style>
  <w:style w:type="table" w:styleId="TableGrid">
    <w:name w:val="Table Grid"/>
    <w:basedOn w:val="TableNormal"/>
    <w:rsid w:val="00A17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61E7"/>
    <w:rPr>
      <w:rFonts w:ascii="Tahoma" w:hAnsi="Tahoma" w:cs="Tahoma"/>
      <w:sz w:val="16"/>
      <w:szCs w:val="16"/>
    </w:rPr>
  </w:style>
  <w:style w:type="character" w:customStyle="1" w:styleId="BalloonTextChar">
    <w:name w:val="Balloon Text Char"/>
    <w:link w:val="BalloonText"/>
    <w:rsid w:val="001961E7"/>
    <w:rPr>
      <w:rFonts w:ascii="Tahoma" w:hAnsi="Tahoma" w:cs="Tahoma"/>
      <w:sz w:val="16"/>
      <w:szCs w:val="16"/>
      <w:lang w:val="fr-FR" w:eastAsia="fr-FR"/>
    </w:rPr>
  </w:style>
  <w:style w:type="paragraph" w:styleId="NormalWeb">
    <w:name w:val="Normal (Web)"/>
    <w:basedOn w:val="Normal"/>
    <w:uiPriority w:val="99"/>
    <w:unhideWhenUsed/>
    <w:rsid w:val="0016271F"/>
    <w:pPr>
      <w:spacing w:before="100" w:beforeAutospacing="1" w:after="100" w:afterAutospacing="1"/>
    </w:pPr>
    <w:rPr>
      <w:sz w:val="24"/>
      <w:szCs w:val="24"/>
      <w:lang w:val="en-US" w:eastAsia="en-US"/>
    </w:rPr>
  </w:style>
  <w:style w:type="paragraph" w:styleId="TOCHeading">
    <w:name w:val="TOC Heading"/>
    <w:basedOn w:val="Heading1"/>
    <w:next w:val="Normal"/>
    <w:uiPriority w:val="39"/>
    <w:semiHidden/>
    <w:unhideWhenUsed/>
    <w:qFormat/>
    <w:rsid w:val="00266F84"/>
    <w:pPr>
      <w:keepLines/>
      <w:spacing w:before="480" w:line="276" w:lineRule="auto"/>
      <w:jc w:val="left"/>
      <w:outlineLvl w:val="9"/>
    </w:pPr>
    <w:rPr>
      <w:rFonts w:ascii="Cambria" w:eastAsia="MS Gothic" w:hAnsi="Cambria"/>
      <w:i w:val="0"/>
      <w:iCs w:val="0"/>
      <w:color w:val="365F91"/>
      <w:sz w:val="28"/>
      <w:szCs w:val="28"/>
      <w:lang w:val="en-US" w:eastAsia="ja-JP"/>
    </w:rPr>
  </w:style>
  <w:style w:type="character" w:styleId="CommentReference">
    <w:name w:val="annotation reference"/>
    <w:rsid w:val="00353068"/>
    <w:rPr>
      <w:sz w:val="16"/>
      <w:szCs w:val="16"/>
    </w:rPr>
  </w:style>
  <w:style w:type="paragraph" w:styleId="CommentText">
    <w:name w:val="annotation text"/>
    <w:basedOn w:val="Normal"/>
    <w:link w:val="CommentTextChar"/>
    <w:rsid w:val="00353068"/>
  </w:style>
  <w:style w:type="character" w:customStyle="1" w:styleId="CommentTextChar">
    <w:name w:val="Comment Text Char"/>
    <w:link w:val="CommentText"/>
    <w:rsid w:val="00353068"/>
    <w:rPr>
      <w:lang w:val="fr-FR" w:eastAsia="fr-FR"/>
    </w:rPr>
  </w:style>
  <w:style w:type="paragraph" w:styleId="CommentSubject">
    <w:name w:val="annotation subject"/>
    <w:basedOn w:val="CommentText"/>
    <w:next w:val="CommentText"/>
    <w:link w:val="CommentSubjectChar"/>
    <w:rsid w:val="00353068"/>
    <w:rPr>
      <w:b/>
      <w:bCs/>
    </w:rPr>
  </w:style>
  <w:style w:type="character" w:customStyle="1" w:styleId="CommentSubjectChar">
    <w:name w:val="Comment Subject Char"/>
    <w:link w:val="CommentSubject"/>
    <w:rsid w:val="00353068"/>
    <w:rPr>
      <w:b/>
      <w:bCs/>
      <w:lang w:val="fr-FR" w:eastAsia="fr-FR"/>
    </w:rPr>
  </w:style>
  <w:style w:type="character" w:customStyle="1" w:styleId="highlightedsearchterm">
    <w:name w:val="highlightedsearchterm"/>
    <w:rsid w:val="00864748"/>
  </w:style>
  <w:style w:type="paragraph" w:styleId="ListParagraph">
    <w:name w:val="List Paragraph"/>
    <w:basedOn w:val="Normal"/>
    <w:uiPriority w:val="34"/>
    <w:qFormat/>
    <w:rsid w:val="0042097E"/>
    <w:pPr>
      <w:ind w:left="720"/>
      <w:contextualSpacing/>
    </w:pPr>
  </w:style>
  <w:style w:type="paragraph" w:customStyle="1" w:styleId="Default">
    <w:name w:val="Default"/>
    <w:rsid w:val="008C457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040">
      <w:bodyDiv w:val="1"/>
      <w:marLeft w:val="0"/>
      <w:marRight w:val="0"/>
      <w:marTop w:val="0"/>
      <w:marBottom w:val="0"/>
      <w:divBdr>
        <w:top w:val="none" w:sz="0" w:space="0" w:color="auto"/>
        <w:left w:val="none" w:sz="0" w:space="0" w:color="auto"/>
        <w:bottom w:val="none" w:sz="0" w:space="0" w:color="auto"/>
        <w:right w:val="none" w:sz="0" w:space="0" w:color="auto"/>
      </w:divBdr>
    </w:div>
    <w:div w:id="77948883">
      <w:bodyDiv w:val="1"/>
      <w:marLeft w:val="0"/>
      <w:marRight w:val="0"/>
      <w:marTop w:val="0"/>
      <w:marBottom w:val="0"/>
      <w:divBdr>
        <w:top w:val="none" w:sz="0" w:space="0" w:color="auto"/>
        <w:left w:val="none" w:sz="0" w:space="0" w:color="auto"/>
        <w:bottom w:val="none" w:sz="0" w:space="0" w:color="auto"/>
        <w:right w:val="none" w:sz="0" w:space="0" w:color="auto"/>
      </w:divBdr>
    </w:div>
    <w:div w:id="100803358">
      <w:bodyDiv w:val="1"/>
      <w:marLeft w:val="0"/>
      <w:marRight w:val="0"/>
      <w:marTop w:val="0"/>
      <w:marBottom w:val="0"/>
      <w:divBdr>
        <w:top w:val="none" w:sz="0" w:space="0" w:color="auto"/>
        <w:left w:val="none" w:sz="0" w:space="0" w:color="auto"/>
        <w:bottom w:val="none" w:sz="0" w:space="0" w:color="auto"/>
        <w:right w:val="none" w:sz="0" w:space="0" w:color="auto"/>
      </w:divBdr>
    </w:div>
    <w:div w:id="139538237">
      <w:bodyDiv w:val="1"/>
      <w:marLeft w:val="0"/>
      <w:marRight w:val="0"/>
      <w:marTop w:val="0"/>
      <w:marBottom w:val="0"/>
      <w:divBdr>
        <w:top w:val="none" w:sz="0" w:space="0" w:color="auto"/>
        <w:left w:val="none" w:sz="0" w:space="0" w:color="auto"/>
        <w:bottom w:val="none" w:sz="0" w:space="0" w:color="auto"/>
        <w:right w:val="none" w:sz="0" w:space="0" w:color="auto"/>
      </w:divBdr>
    </w:div>
    <w:div w:id="175191115">
      <w:bodyDiv w:val="1"/>
      <w:marLeft w:val="0"/>
      <w:marRight w:val="0"/>
      <w:marTop w:val="0"/>
      <w:marBottom w:val="0"/>
      <w:divBdr>
        <w:top w:val="none" w:sz="0" w:space="0" w:color="auto"/>
        <w:left w:val="none" w:sz="0" w:space="0" w:color="auto"/>
        <w:bottom w:val="none" w:sz="0" w:space="0" w:color="auto"/>
        <w:right w:val="none" w:sz="0" w:space="0" w:color="auto"/>
      </w:divBdr>
    </w:div>
    <w:div w:id="280386213">
      <w:bodyDiv w:val="1"/>
      <w:marLeft w:val="0"/>
      <w:marRight w:val="0"/>
      <w:marTop w:val="0"/>
      <w:marBottom w:val="0"/>
      <w:divBdr>
        <w:top w:val="none" w:sz="0" w:space="0" w:color="auto"/>
        <w:left w:val="none" w:sz="0" w:space="0" w:color="auto"/>
        <w:bottom w:val="none" w:sz="0" w:space="0" w:color="auto"/>
        <w:right w:val="none" w:sz="0" w:space="0" w:color="auto"/>
      </w:divBdr>
    </w:div>
    <w:div w:id="341860368">
      <w:bodyDiv w:val="1"/>
      <w:marLeft w:val="0"/>
      <w:marRight w:val="0"/>
      <w:marTop w:val="0"/>
      <w:marBottom w:val="0"/>
      <w:divBdr>
        <w:top w:val="none" w:sz="0" w:space="0" w:color="auto"/>
        <w:left w:val="none" w:sz="0" w:space="0" w:color="auto"/>
        <w:bottom w:val="none" w:sz="0" w:space="0" w:color="auto"/>
        <w:right w:val="none" w:sz="0" w:space="0" w:color="auto"/>
      </w:divBdr>
    </w:div>
    <w:div w:id="365252696">
      <w:bodyDiv w:val="1"/>
      <w:marLeft w:val="0"/>
      <w:marRight w:val="0"/>
      <w:marTop w:val="0"/>
      <w:marBottom w:val="0"/>
      <w:divBdr>
        <w:top w:val="none" w:sz="0" w:space="0" w:color="auto"/>
        <w:left w:val="none" w:sz="0" w:space="0" w:color="auto"/>
        <w:bottom w:val="none" w:sz="0" w:space="0" w:color="auto"/>
        <w:right w:val="none" w:sz="0" w:space="0" w:color="auto"/>
      </w:divBdr>
      <w:divsChild>
        <w:div w:id="1142769403">
          <w:marLeft w:val="0"/>
          <w:marRight w:val="0"/>
          <w:marTop w:val="0"/>
          <w:marBottom w:val="0"/>
          <w:divBdr>
            <w:top w:val="none" w:sz="0" w:space="0" w:color="auto"/>
            <w:left w:val="none" w:sz="0" w:space="0" w:color="auto"/>
            <w:bottom w:val="none" w:sz="0" w:space="0" w:color="auto"/>
            <w:right w:val="none" w:sz="0" w:space="0" w:color="auto"/>
          </w:divBdr>
          <w:divsChild>
            <w:div w:id="661857267">
              <w:marLeft w:val="0"/>
              <w:marRight w:val="0"/>
              <w:marTop w:val="0"/>
              <w:marBottom w:val="0"/>
              <w:divBdr>
                <w:top w:val="none" w:sz="0" w:space="0" w:color="auto"/>
                <w:left w:val="none" w:sz="0" w:space="0" w:color="auto"/>
                <w:bottom w:val="none" w:sz="0" w:space="0" w:color="auto"/>
                <w:right w:val="none" w:sz="0" w:space="0" w:color="auto"/>
              </w:divBdr>
            </w:div>
          </w:divsChild>
        </w:div>
        <w:div w:id="1545404523">
          <w:marLeft w:val="0"/>
          <w:marRight w:val="0"/>
          <w:marTop w:val="0"/>
          <w:marBottom w:val="105"/>
          <w:divBdr>
            <w:top w:val="none" w:sz="0" w:space="0" w:color="auto"/>
            <w:left w:val="none" w:sz="0" w:space="0" w:color="auto"/>
            <w:bottom w:val="none" w:sz="0" w:space="0" w:color="auto"/>
            <w:right w:val="none" w:sz="0" w:space="0" w:color="auto"/>
          </w:divBdr>
        </w:div>
      </w:divsChild>
    </w:div>
    <w:div w:id="366180905">
      <w:bodyDiv w:val="1"/>
      <w:marLeft w:val="0"/>
      <w:marRight w:val="0"/>
      <w:marTop w:val="0"/>
      <w:marBottom w:val="0"/>
      <w:divBdr>
        <w:top w:val="none" w:sz="0" w:space="0" w:color="auto"/>
        <w:left w:val="none" w:sz="0" w:space="0" w:color="auto"/>
        <w:bottom w:val="none" w:sz="0" w:space="0" w:color="auto"/>
        <w:right w:val="none" w:sz="0" w:space="0" w:color="auto"/>
      </w:divBdr>
    </w:div>
    <w:div w:id="404956450">
      <w:bodyDiv w:val="1"/>
      <w:marLeft w:val="0"/>
      <w:marRight w:val="0"/>
      <w:marTop w:val="0"/>
      <w:marBottom w:val="0"/>
      <w:divBdr>
        <w:top w:val="none" w:sz="0" w:space="0" w:color="auto"/>
        <w:left w:val="none" w:sz="0" w:space="0" w:color="auto"/>
        <w:bottom w:val="none" w:sz="0" w:space="0" w:color="auto"/>
        <w:right w:val="none" w:sz="0" w:space="0" w:color="auto"/>
      </w:divBdr>
    </w:div>
    <w:div w:id="421339103">
      <w:bodyDiv w:val="1"/>
      <w:marLeft w:val="0"/>
      <w:marRight w:val="0"/>
      <w:marTop w:val="0"/>
      <w:marBottom w:val="0"/>
      <w:divBdr>
        <w:top w:val="none" w:sz="0" w:space="0" w:color="auto"/>
        <w:left w:val="none" w:sz="0" w:space="0" w:color="auto"/>
        <w:bottom w:val="none" w:sz="0" w:space="0" w:color="auto"/>
        <w:right w:val="none" w:sz="0" w:space="0" w:color="auto"/>
      </w:divBdr>
    </w:div>
    <w:div w:id="442728125">
      <w:bodyDiv w:val="1"/>
      <w:marLeft w:val="0"/>
      <w:marRight w:val="0"/>
      <w:marTop w:val="0"/>
      <w:marBottom w:val="0"/>
      <w:divBdr>
        <w:top w:val="none" w:sz="0" w:space="0" w:color="auto"/>
        <w:left w:val="none" w:sz="0" w:space="0" w:color="auto"/>
        <w:bottom w:val="none" w:sz="0" w:space="0" w:color="auto"/>
        <w:right w:val="none" w:sz="0" w:space="0" w:color="auto"/>
      </w:divBdr>
    </w:div>
    <w:div w:id="503741043">
      <w:bodyDiv w:val="1"/>
      <w:marLeft w:val="0"/>
      <w:marRight w:val="0"/>
      <w:marTop w:val="0"/>
      <w:marBottom w:val="0"/>
      <w:divBdr>
        <w:top w:val="none" w:sz="0" w:space="0" w:color="auto"/>
        <w:left w:val="none" w:sz="0" w:space="0" w:color="auto"/>
        <w:bottom w:val="none" w:sz="0" w:space="0" w:color="auto"/>
        <w:right w:val="none" w:sz="0" w:space="0" w:color="auto"/>
      </w:divBdr>
    </w:div>
    <w:div w:id="517700626">
      <w:bodyDiv w:val="1"/>
      <w:marLeft w:val="0"/>
      <w:marRight w:val="0"/>
      <w:marTop w:val="0"/>
      <w:marBottom w:val="0"/>
      <w:divBdr>
        <w:top w:val="none" w:sz="0" w:space="0" w:color="auto"/>
        <w:left w:val="none" w:sz="0" w:space="0" w:color="auto"/>
        <w:bottom w:val="none" w:sz="0" w:space="0" w:color="auto"/>
        <w:right w:val="none" w:sz="0" w:space="0" w:color="auto"/>
      </w:divBdr>
      <w:divsChild>
        <w:div w:id="1053193078">
          <w:marLeft w:val="0"/>
          <w:marRight w:val="0"/>
          <w:marTop w:val="0"/>
          <w:marBottom w:val="0"/>
          <w:divBdr>
            <w:top w:val="none" w:sz="0" w:space="0" w:color="auto"/>
            <w:left w:val="none" w:sz="0" w:space="0" w:color="auto"/>
            <w:bottom w:val="none" w:sz="0" w:space="0" w:color="auto"/>
            <w:right w:val="none" w:sz="0" w:space="0" w:color="auto"/>
          </w:divBdr>
        </w:div>
      </w:divsChild>
    </w:div>
    <w:div w:id="517935854">
      <w:bodyDiv w:val="1"/>
      <w:marLeft w:val="0"/>
      <w:marRight w:val="0"/>
      <w:marTop w:val="0"/>
      <w:marBottom w:val="0"/>
      <w:divBdr>
        <w:top w:val="none" w:sz="0" w:space="0" w:color="auto"/>
        <w:left w:val="none" w:sz="0" w:space="0" w:color="auto"/>
        <w:bottom w:val="none" w:sz="0" w:space="0" w:color="auto"/>
        <w:right w:val="none" w:sz="0" w:space="0" w:color="auto"/>
      </w:divBdr>
    </w:div>
    <w:div w:id="522866378">
      <w:bodyDiv w:val="1"/>
      <w:marLeft w:val="0"/>
      <w:marRight w:val="0"/>
      <w:marTop w:val="0"/>
      <w:marBottom w:val="0"/>
      <w:divBdr>
        <w:top w:val="none" w:sz="0" w:space="0" w:color="auto"/>
        <w:left w:val="none" w:sz="0" w:space="0" w:color="auto"/>
        <w:bottom w:val="none" w:sz="0" w:space="0" w:color="auto"/>
        <w:right w:val="none" w:sz="0" w:space="0" w:color="auto"/>
      </w:divBdr>
    </w:div>
    <w:div w:id="604965927">
      <w:bodyDiv w:val="1"/>
      <w:marLeft w:val="0"/>
      <w:marRight w:val="0"/>
      <w:marTop w:val="0"/>
      <w:marBottom w:val="0"/>
      <w:divBdr>
        <w:top w:val="none" w:sz="0" w:space="0" w:color="auto"/>
        <w:left w:val="none" w:sz="0" w:space="0" w:color="auto"/>
        <w:bottom w:val="none" w:sz="0" w:space="0" w:color="auto"/>
        <w:right w:val="none" w:sz="0" w:space="0" w:color="auto"/>
      </w:divBdr>
    </w:div>
    <w:div w:id="644357470">
      <w:bodyDiv w:val="1"/>
      <w:marLeft w:val="0"/>
      <w:marRight w:val="0"/>
      <w:marTop w:val="0"/>
      <w:marBottom w:val="0"/>
      <w:divBdr>
        <w:top w:val="none" w:sz="0" w:space="0" w:color="auto"/>
        <w:left w:val="none" w:sz="0" w:space="0" w:color="auto"/>
        <w:bottom w:val="none" w:sz="0" w:space="0" w:color="auto"/>
        <w:right w:val="none" w:sz="0" w:space="0" w:color="auto"/>
      </w:divBdr>
    </w:div>
    <w:div w:id="683869890">
      <w:bodyDiv w:val="1"/>
      <w:marLeft w:val="0"/>
      <w:marRight w:val="0"/>
      <w:marTop w:val="0"/>
      <w:marBottom w:val="0"/>
      <w:divBdr>
        <w:top w:val="none" w:sz="0" w:space="0" w:color="auto"/>
        <w:left w:val="none" w:sz="0" w:space="0" w:color="auto"/>
        <w:bottom w:val="none" w:sz="0" w:space="0" w:color="auto"/>
        <w:right w:val="none" w:sz="0" w:space="0" w:color="auto"/>
      </w:divBdr>
    </w:div>
    <w:div w:id="685207116">
      <w:bodyDiv w:val="1"/>
      <w:marLeft w:val="0"/>
      <w:marRight w:val="0"/>
      <w:marTop w:val="0"/>
      <w:marBottom w:val="0"/>
      <w:divBdr>
        <w:top w:val="none" w:sz="0" w:space="0" w:color="auto"/>
        <w:left w:val="none" w:sz="0" w:space="0" w:color="auto"/>
        <w:bottom w:val="none" w:sz="0" w:space="0" w:color="auto"/>
        <w:right w:val="none" w:sz="0" w:space="0" w:color="auto"/>
      </w:divBdr>
      <w:divsChild>
        <w:div w:id="415639903">
          <w:marLeft w:val="0"/>
          <w:marRight w:val="0"/>
          <w:marTop w:val="0"/>
          <w:marBottom w:val="0"/>
          <w:divBdr>
            <w:top w:val="none" w:sz="0" w:space="0" w:color="auto"/>
            <w:left w:val="none" w:sz="0" w:space="0" w:color="auto"/>
            <w:bottom w:val="none" w:sz="0" w:space="0" w:color="auto"/>
            <w:right w:val="none" w:sz="0" w:space="0" w:color="auto"/>
          </w:divBdr>
          <w:divsChild>
            <w:div w:id="14998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5755">
      <w:bodyDiv w:val="1"/>
      <w:marLeft w:val="0"/>
      <w:marRight w:val="0"/>
      <w:marTop w:val="0"/>
      <w:marBottom w:val="0"/>
      <w:divBdr>
        <w:top w:val="none" w:sz="0" w:space="0" w:color="auto"/>
        <w:left w:val="none" w:sz="0" w:space="0" w:color="auto"/>
        <w:bottom w:val="none" w:sz="0" w:space="0" w:color="auto"/>
        <w:right w:val="none" w:sz="0" w:space="0" w:color="auto"/>
      </w:divBdr>
    </w:div>
    <w:div w:id="696850234">
      <w:bodyDiv w:val="1"/>
      <w:marLeft w:val="0"/>
      <w:marRight w:val="0"/>
      <w:marTop w:val="0"/>
      <w:marBottom w:val="0"/>
      <w:divBdr>
        <w:top w:val="none" w:sz="0" w:space="0" w:color="auto"/>
        <w:left w:val="none" w:sz="0" w:space="0" w:color="auto"/>
        <w:bottom w:val="none" w:sz="0" w:space="0" w:color="auto"/>
        <w:right w:val="none" w:sz="0" w:space="0" w:color="auto"/>
      </w:divBdr>
    </w:div>
    <w:div w:id="709452081">
      <w:bodyDiv w:val="1"/>
      <w:marLeft w:val="0"/>
      <w:marRight w:val="0"/>
      <w:marTop w:val="0"/>
      <w:marBottom w:val="0"/>
      <w:divBdr>
        <w:top w:val="none" w:sz="0" w:space="0" w:color="auto"/>
        <w:left w:val="none" w:sz="0" w:space="0" w:color="auto"/>
        <w:bottom w:val="none" w:sz="0" w:space="0" w:color="auto"/>
        <w:right w:val="none" w:sz="0" w:space="0" w:color="auto"/>
      </w:divBdr>
    </w:div>
    <w:div w:id="731345851">
      <w:bodyDiv w:val="1"/>
      <w:marLeft w:val="0"/>
      <w:marRight w:val="0"/>
      <w:marTop w:val="0"/>
      <w:marBottom w:val="0"/>
      <w:divBdr>
        <w:top w:val="none" w:sz="0" w:space="0" w:color="auto"/>
        <w:left w:val="none" w:sz="0" w:space="0" w:color="auto"/>
        <w:bottom w:val="none" w:sz="0" w:space="0" w:color="auto"/>
        <w:right w:val="none" w:sz="0" w:space="0" w:color="auto"/>
      </w:divBdr>
    </w:div>
    <w:div w:id="741098128">
      <w:bodyDiv w:val="1"/>
      <w:marLeft w:val="0"/>
      <w:marRight w:val="0"/>
      <w:marTop w:val="0"/>
      <w:marBottom w:val="0"/>
      <w:divBdr>
        <w:top w:val="none" w:sz="0" w:space="0" w:color="auto"/>
        <w:left w:val="none" w:sz="0" w:space="0" w:color="auto"/>
        <w:bottom w:val="none" w:sz="0" w:space="0" w:color="auto"/>
        <w:right w:val="none" w:sz="0" w:space="0" w:color="auto"/>
      </w:divBdr>
    </w:div>
    <w:div w:id="753163706">
      <w:bodyDiv w:val="1"/>
      <w:marLeft w:val="0"/>
      <w:marRight w:val="0"/>
      <w:marTop w:val="0"/>
      <w:marBottom w:val="0"/>
      <w:divBdr>
        <w:top w:val="none" w:sz="0" w:space="0" w:color="auto"/>
        <w:left w:val="none" w:sz="0" w:space="0" w:color="auto"/>
        <w:bottom w:val="none" w:sz="0" w:space="0" w:color="auto"/>
        <w:right w:val="none" w:sz="0" w:space="0" w:color="auto"/>
      </w:divBdr>
      <w:divsChild>
        <w:div w:id="1100369570">
          <w:marLeft w:val="0"/>
          <w:marRight w:val="0"/>
          <w:marTop w:val="0"/>
          <w:marBottom w:val="0"/>
          <w:divBdr>
            <w:top w:val="none" w:sz="0" w:space="0" w:color="auto"/>
            <w:left w:val="none" w:sz="0" w:space="0" w:color="auto"/>
            <w:bottom w:val="none" w:sz="0" w:space="0" w:color="auto"/>
            <w:right w:val="none" w:sz="0" w:space="0" w:color="auto"/>
          </w:divBdr>
          <w:divsChild>
            <w:div w:id="1481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15603">
      <w:bodyDiv w:val="1"/>
      <w:marLeft w:val="0"/>
      <w:marRight w:val="0"/>
      <w:marTop w:val="0"/>
      <w:marBottom w:val="0"/>
      <w:divBdr>
        <w:top w:val="none" w:sz="0" w:space="0" w:color="auto"/>
        <w:left w:val="none" w:sz="0" w:space="0" w:color="auto"/>
        <w:bottom w:val="none" w:sz="0" w:space="0" w:color="auto"/>
        <w:right w:val="none" w:sz="0" w:space="0" w:color="auto"/>
      </w:divBdr>
    </w:div>
    <w:div w:id="852762653">
      <w:bodyDiv w:val="1"/>
      <w:marLeft w:val="0"/>
      <w:marRight w:val="0"/>
      <w:marTop w:val="0"/>
      <w:marBottom w:val="0"/>
      <w:divBdr>
        <w:top w:val="none" w:sz="0" w:space="0" w:color="auto"/>
        <w:left w:val="none" w:sz="0" w:space="0" w:color="auto"/>
        <w:bottom w:val="none" w:sz="0" w:space="0" w:color="auto"/>
        <w:right w:val="none" w:sz="0" w:space="0" w:color="auto"/>
      </w:divBdr>
    </w:div>
    <w:div w:id="969290521">
      <w:bodyDiv w:val="1"/>
      <w:marLeft w:val="0"/>
      <w:marRight w:val="0"/>
      <w:marTop w:val="0"/>
      <w:marBottom w:val="0"/>
      <w:divBdr>
        <w:top w:val="none" w:sz="0" w:space="0" w:color="auto"/>
        <w:left w:val="none" w:sz="0" w:space="0" w:color="auto"/>
        <w:bottom w:val="none" w:sz="0" w:space="0" w:color="auto"/>
        <w:right w:val="none" w:sz="0" w:space="0" w:color="auto"/>
      </w:divBdr>
    </w:div>
    <w:div w:id="1033112028">
      <w:bodyDiv w:val="1"/>
      <w:marLeft w:val="0"/>
      <w:marRight w:val="0"/>
      <w:marTop w:val="0"/>
      <w:marBottom w:val="0"/>
      <w:divBdr>
        <w:top w:val="none" w:sz="0" w:space="0" w:color="auto"/>
        <w:left w:val="none" w:sz="0" w:space="0" w:color="auto"/>
        <w:bottom w:val="none" w:sz="0" w:space="0" w:color="auto"/>
        <w:right w:val="none" w:sz="0" w:space="0" w:color="auto"/>
      </w:divBdr>
    </w:div>
    <w:div w:id="1093279882">
      <w:bodyDiv w:val="1"/>
      <w:marLeft w:val="0"/>
      <w:marRight w:val="0"/>
      <w:marTop w:val="0"/>
      <w:marBottom w:val="0"/>
      <w:divBdr>
        <w:top w:val="none" w:sz="0" w:space="0" w:color="auto"/>
        <w:left w:val="none" w:sz="0" w:space="0" w:color="auto"/>
        <w:bottom w:val="none" w:sz="0" w:space="0" w:color="auto"/>
        <w:right w:val="none" w:sz="0" w:space="0" w:color="auto"/>
      </w:divBdr>
      <w:divsChild>
        <w:div w:id="230818047">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0"/>
              <w:divBdr>
                <w:top w:val="none" w:sz="0" w:space="0" w:color="auto"/>
                <w:left w:val="none" w:sz="0" w:space="0" w:color="auto"/>
                <w:bottom w:val="none" w:sz="0" w:space="0" w:color="auto"/>
                <w:right w:val="none" w:sz="0" w:space="0" w:color="auto"/>
              </w:divBdr>
            </w:div>
            <w:div w:id="468010662">
              <w:marLeft w:val="0"/>
              <w:marRight w:val="0"/>
              <w:marTop w:val="0"/>
              <w:marBottom w:val="0"/>
              <w:divBdr>
                <w:top w:val="none" w:sz="0" w:space="0" w:color="auto"/>
                <w:left w:val="none" w:sz="0" w:space="0" w:color="auto"/>
                <w:bottom w:val="none" w:sz="0" w:space="0" w:color="auto"/>
                <w:right w:val="none" w:sz="0" w:space="0" w:color="auto"/>
              </w:divBdr>
            </w:div>
            <w:div w:id="813722387">
              <w:marLeft w:val="0"/>
              <w:marRight w:val="0"/>
              <w:marTop w:val="0"/>
              <w:marBottom w:val="0"/>
              <w:divBdr>
                <w:top w:val="none" w:sz="0" w:space="0" w:color="auto"/>
                <w:left w:val="none" w:sz="0" w:space="0" w:color="auto"/>
                <w:bottom w:val="none" w:sz="0" w:space="0" w:color="auto"/>
                <w:right w:val="none" w:sz="0" w:space="0" w:color="auto"/>
              </w:divBdr>
            </w:div>
            <w:div w:id="832990751">
              <w:marLeft w:val="0"/>
              <w:marRight w:val="0"/>
              <w:marTop w:val="0"/>
              <w:marBottom w:val="0"/>
              <w:divBdr>
                <w:top w:val="none" w:sz="0" w:space="0" w:color="auto"/>
                <w:left w:val="none" w:sz="0" w:space="0" w:color="auto"/>
                <w:bottom w:val="none" w:sz="0" w:space="0" w:color="auto"/>
                <w:right w:val="none" w:sz="0" w:space="0" w:color="auto"/>
              </w:divBdr>
            </w:div>
            <w:div w:id="863980414">
              <w:marLeft w:val="0"/>
              <w:marRight w:val="0"/>
              <w:marTop w:val="0"/>
              <w:marBottom w:val="0"/>
              <w:divBdr>
                <w:top w:val="none" w:sz="0" w:space="0" w:color="auto"/>
                <w:left w:val="none" w:sz="0" w:space="0" w:color="auto"/>
                <w:bottom w:val="none" w:sz="0" w:space="0" w:color="auto"/>
                <w:right w:val="none" w:sz="0" w:space="0" w:color="auto"/>
              </w:divBdr>
            </w:div>
            <w:div w:id="883063309">
              <w:marLeft w:val="0"/>
              <w:marRight w:val="0"/>
              <w:marTop w:val="0"/>
              <w:marBottom w:val="0"/>
              <w:divBdr>
                <w:top w:val="none" w:sz="0" w:space="0" w:color="auto"/>
                <w:left w:val="none" w:sz="0" w:space="0" w:color="auto"/>
                <w:bottom w:val="none" w:sz="0" w:space="0" w:color="auto"/>
                <w:right w:val="none" w:sz="0" w:space="0" w:color="auto"/>
              </w:divBdr>
            </w:div>
            <w:div w:id="887837730">
              <w:marLeft w:val="0"/>
              <w:marRight w:val="0"/>
              <w:marTop w:val="0"/>
              <w:marBottom w:val="0"/>
              <w:divBdr>
                <w:top w:val="none" w:sz="0" w:space="0" w:color="auto"/>
                <w:left w:val="none" w:sz="0" w:space="0" w:color="auto"/>
                <w:bottom w:val="none" w:sz="0" w:space="0" w:color="auto"/>
                <w:right w:val="none" w:sz="0" w:space="0" w:color="auto"/>
              </w:divBdr>
            </w:div>
            <w:div w:id="1237132594">
              <w:marLeft w:val="0"/>
              <w:marRight w:val="0"/>
              <w:marTop w:val="0"/>
              <w:marBottom w:val="0"/>
              <w:divBdr>
                <w:top w:val="none" w:sz="0" w:space="0" w:color="auto"/>
                <w:left w:val="none" w:sz="0" w:space="0" w:color="auto"/>
                <w:bottom w:val="none" w:sz="0" w:space="0" w:color="auto"/>
                <w:right w:val="none" w:sz="0" w:space="0" w:color="auto"/>
              </w:divBdr>
            </w:div>
            <w:div w:id="1578662181">
              <w:marLeft w:val="0"/>
              <w:marRight w:val="0"/>
              <w:marTop w:val="0"/>
              <w:marBottom w:val="0"/>
              <w:divBdr>
                <w:top w:val="none" w:sz="0" w:space="0" w:color="auto"/>
                <w:left w:val="none" w:sz="0" w:space="0" w:color="auto"/>
                <w:bottom w:val="none" w:sz="0" w:space="0" w:color="auto"/>
                <w:right w:val="none" w:sz="0" w:space="0" w:color="auto"/>
              </w:divBdr>
            </w:div>
            <w:div w:id="2005930830">
              <w:marLeft w:val="0"/>
              <w:marRight w:val="0"/>
              <w:marTop w:val="0"/>
              <w:marBottom w:val="0"/>
              <w:divBdr>
                <w:top w:val="none" w:sz="0" w:space="0" w:color="auto"/>
                <w:left w:val="none" w:sz="0" w:space="0" w:color="auto"/>
                <w:bottom w:val="none" w:sz="0" w:space="0" w:color="auto"/>
                <w:right w:val="none" w:sz="0" w:space="0" w:color="auto"/>
              </w:divBdr>
            </w:div>
            <w:div w:id="2025354466">
              <w:marLeft w:val="0"/>
              <w:marRight w:val="0"/>
              <w:marTop w:val="0"/>
              <w:marBottom w:val="0"/>
              <w:divBdr>
                <w:top w:val="none" w:sz="0" w:space="0" w:color="auto"/>
                <w:left w:val="none" w:sz="0" w:space="0" w:color="auto"/>
                <w:bottom w:val="none" w:sz="0" w:space="0" w:color="auto"/>
                <w:right w:val="none" w:sz="0" w:space="0" w:color="auto"/>
              </w:divBdr>
            </w:div>
            <w:div w:id="21016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5549">
      <w:bodyDiv w:val="1"/>
      <w:marLeft w:val="0"/>
      <w:marRight w:val="0"/>
      <w:marTop w:val="0"/>
      <w:marBottom w:val="0"/>
      <w:divBdr>
        <w:top w:val="none" w:sz="0" w:space="0" w:color="auto"/>
        <w:left w:val="none" w:sz="0" w:space="0" w:color="auto"/>
        <w:bottom w:val="none" w:sz="0" w:space="0" w:color="auto"/>
        <w:right w:val="none" w:sz="0" w:space="0" w:color="auto"/>
      </w:divBdr>
      <w:divsChild>
        <w:div w:id="141503266">
          <w:marLeft w:val="0"/>
          <w:marRight w:val="0"/>
          <w:marTop w:val="0"/>
          <w:marBottom w:val="0"/>
          <w:divBdr>
            <w:top w:val="none" w:sz="0" w:space="0" w:color="auto"/>
            <w:left w:val="none" w:sz="0" w:space="0" w:color="auto"/>
            <w:bottom w:val="none" w:sz="0" w:space="0" w:color="auto"/>
            <w:right w:val="none" w:sz="0" w:space="0" w:color="auto"/>
          </w:divBdr>
        </w:div>
        <w:div w:id="201285971">
          <w:marLeft w:val="0"/>
          <w:marRight w:val="0"/>
          <w:marTop w:val="0"/>
          <w:marBottom w:val="0"/>
          <w:divBdr>
            <w:top w:val="none" w:sz="0" w:space="0" w:color="auto"/>
            <w:left w:val="none" w:sz="0" w:space="0" w:color="auto"/>
            <w:bottom w:val="none" w:sz="0" w:space="0" w:color="auto"/>
            <w:right w:val="none" w:sz="0" w:space="0" w:color="auto"/>
          </w:divBdr>
        </w:div>
        <w:div w:id="892473096">
          <w:marLeft w:val="0"/>
          <w:marRight w:val="0"/>
          <w:marTop w:val="0"/>
          <w:marBottom w:val="0"/>
          <w:divBdr>
            <w:top w:val="none" w:sz="0" w:space="0" w:color="auto"/>
            <w:left w:val="none" w:sz="0" w:space="0" w:color="auto"/>
            <w:bottom w:val="none" w:sz="0" w:space="0" w:color="auto"/>
            <w:right w:val="none" w:sz="0" w:space="0" w:color="auto"/>
          </w:divBdr>
        </w:div>
        <w:div w:id="1022587477">
          <w:marLeft w:val="0"/>
          <w:marRight w:val="0"/>
          <w:marTop w:val="0"/>
          <w:marBottom w:val="0"/>
          <w:divBdr>
            <w:top w:val="none" w:sz="0" w:space="0" w:color="auto"/>
            <w:left w:val="none" w:sz="0" w:space="0" w:color="auto"/>
            <w:bottom w:val="none" w:sz="0" w:space="0" w:color="auto"/>
            <w:right w:val="none" w:sz="0" w:space="0" w:color="auto"/>
          </w:divBdr>
        </w:div>
        <w:div w:id="1078670164">
          <w:marLeft w:val="0"/>
          <w:marRight w:val="0"/>
          <w:marTop w:val="0"/>
          <w:marBottom w:val="0"/>
          <w:divBdr>
            <w:top w:val="none" w:sz="0" w:space="0" w:color="auto"/>
            <w:left w:val="none" w:sz="0" w:space="0" w:color="auto"/>
            <w:bottom w:val="none" w:sz="0" w:space="0" w:color="auto"/>
            <w:right w:val="none" w:sz="0" w:space="0" w:color="auto"/>
          </w:divBdr>
        </w:div>
        <w:div w:id="1668630383">
          <w:marLeft w:val="0"/>
          <w:marRight w:val="0"/>
          <w:marTop w:val="0"/>
          <w:marBottom w:val="0"/>
          <w:divBdr>
            <w:top w:val="none" w:sz="0" w:space="0" w:color="auto"/>
            <w:left w:val="none" w:sz="0" w:space="0" w:color="auto"/>
            <w:bottom w:val="none" w:sz="0" w:space="0" w:color="auto"/>
            <w:right w:val="none" w:sz="0" w:space="0" w:color="auto"/>
          </w:divBdr>
        </w:div>
      </w:divsChild>
    </w:div>
    <w:div w:id="1117986193">
      <w:bodyDiv w:val="1"/>
      <w:marLeft w:val="0"/>
      <w:marRight w:val="0"/>
      <w:marTop w:val="0"/>
      <w:marBottom w:val="0"/>
      <w:divBdr>
        <w:top w:val="none" w:sz="0" w:space="0" w:color="auto"/>
        <w:left w:val="none" w:sz="0" w:space="0" w:color="auto"/>
        <w:bottom w:val="none" w:sz="0" w:space="0" w:color="auto"/>
        <w:right w:val="none" w:sz="0" w:space="0" w:color="auto"/>
      </w:divBdr>
    </w:div>
    <w:div w:id="1131289480">
      <w:bodyDiv w:val="1"/>
      <w:marLeft w:val="0"/>
      <w:marRight w:val="0"/>
      <w:marTop w:val="0"/>
      <w:marBottom w:val="0"/>
      <w:divBdr>
        <w:top w:val="none" w:sz="0" w:space="0" w:color="auto"/>
        <w:left w:val="none" w:sz="0" w:space="0" w:color="auto"/>
        <w:bottom w:val="none" w:sz="0" w:space="0" w:color="auto"/>
        <w:right w:val="none" w:sz="0" w:space="0" w:color="auto"/>
      </w:divBdr>
      <w:divsChild>
        <w:div w:id="92163983">
          <w:marLeft w:val="0"/>
          <w:marRight w:val="0"/>
          <w:marTop w:val="0"/>
          <w:marBottom w:val="0"/>
          <w:divBdr>
            <w:top w:val="none" w:sz="0" w:space="0" w:color="auto"/>
            <w:left w:val="none" w:sz="0" w:space="0" w:color="auto"/>
            <w:bottom w:val="none" w:sz="0" w:space="0" w:color="auto"/>
            <w:right w:val="none" w:sz="0" w:space="0" w:color="auto"/>
          </w:divBdr>
        </w:div>
      </w:divsChild>
    </w:div>
    <w:div w:id="1145901416">
      <w:bodyDiv w:val="1"/>
      <w:marLeft w:val="0"/>
      <w:marRight w:val="0"/>
      <w:marTop w:val="0"/>
      <w:marBottom w:val="0"/>
      <w:divBdr>
        <w:top w:val="none" w:sz="0" w:space="0" w:color="auto"/>
        <w:left w:val="none" w:sz="0" w:space="0" w:color="auto"/>
        <w:bottom w:val="none" w:sz="0" w:space="0" w:color="auto"/>
        <w:right w:val="none" w:sz="0" w:space="0" w:color="auto"/>
      </w:divBdr>
    </w:div>
    <w:div w:id="1192449708">
      <w:bodyDiv w:val="1"/>
      <w:marLeft w:val="0"/>
      <w:marRight w:val="0"/>
      <w:marTop w:val="0"/>
      <w:marBottom w:val="0"/>
      <w:divBdr>
        <w:top w:val="none" w:sz="0" w:space="0" w:color="auto"/>
        <w:left w:val="none" w:sz="0" w:space="0" w:color="auto"/>
        <w:bottom w:val="none" w:sz="0" w:space="0" w:color="auto"/>
        <w:right w:val="none" w:sz="0" w:space="0" w:color="auto"/>
      </w:divBdr>
    </w:div>
    <w:div w:id="1201943310">
      <w:bodyDiv w:val="1"/>
      <w:marLeft w:val="0"/>
      <w:marRight w:val="0"/>
      <w:marTop w:val="0"/>
      <w:marBottom w:val="0"/>
      <w:divBdr>
        <w:top w:val="none" w:sz="0" w:space="0" w:color="auto"/>
        <w:left w:val="none" w:sz="0" w:space="0" w:color="auto"/>
        <w:bottom w:val="none" w:sz="0" w:space="0" w:color="auto"/>
        <w:right w:val="none" w:sz="0" w:space="0" w:color="auto"/>
      </w:divBdr>
    </w:div>
    <w:div w:id="1206601683">
      <w:bodyDiv w:val="1"/>
      <w:marLeft w:val="0"/>
      <w:marRight w:val="0"/>
      <w:marTop w:val="0"/>
      <w:marBottom w:val="0"/>
      <w:divBdr>
        <w:top w:val="none" w:sz="0" w:space="0" w:color="auto"/>
        <w:left w:val="none" w:sz="0" w:space="0" w:color="auto"/>
        <w:bottom w:val="none" w:sz="0" w:space="0" w:color="auto"/>
        <w:right w:val="none" w:sz="0" w:space="0" w:color="auto"/>
      </w:divBdr>
    </w:div>
    <w:div w:id="1210996950">
      <w:bodyDiv w:val="1"/>
      <w:marLeft w:val="0"/>
      <w:marRight w:val="0"/>
      <w:marTop w:val="0"/>
      <w:marBottom w:val="0"/>
      <w:divBdr>
        <w:top w:val="none" w:sz="0" w:space="0" w:color="auto"/>
        <w:left w:val="none" w:sz="0" w:space="0" w:color="auto"/>
        <w:bottom w:val="none" w:sz="0" w:space="0" w:color="auto"/>
        <w:right w:val="none" w:sz="0" w:space="0" w:color="auto"/>
      </w:divBdr>
      <w:divsChild>
        <w:div w:id="977608738">
          <w:marLeft w:val="0"/>
          <w:marRight w:val="0"/>
          <w:marTop w:val="0"/>
          <w:marBottom w:val="0"/>
          <w:divBdr>
            <w:top w:val="none" w:sz="0" w:space="0" w:color="auto"/>
            <w:left w:val="none" w:sz="0" w:space="0" w:color="auto"/>
            <w:bottom w:val="none" w:sz="0" w:space="0" w:color="auto"/>
            <w:right w:val="none" w:sz="0" w:space="0" w:color="auto"/>
          </w:divBdr>
          <w:divsChild>
            <w:div w:id="4709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5377">
      <w:bodyDiv w:val="1"/>
      <w:marLeft w:val="0"/>
      <w:marRight w:val="0"/>
      <w:marTop w:val="0"/>
      <w:marBottom w:val="0"/>
      <w:divBdr>
        <w:top w:val="none" w:sz="0" w:space="0" w:color="auto"/>
        <w:left w:val="none" w:sz="0" w:space="0" w:color="auto"/>
        <w:bottom w:val="none" w:sz="0" w:space="0" w:color="auto"/>
        <w:right w:val="none" w:sz="0" w:space="0" w:color="auto"/>
      </w:divBdr>
    </w:div>
    <w:div w:id="1288968148">
      <w:bodyDiv w:val="1"/>
      <w:marLeft w:val="0"/>
      <w:marRight w:val="0"/>
      <w:marTop w:val="0"/>
      <w:marBottom w:val="0"/>
      <w:divBdr>
        <w:top w:val="none" w:sz="0" w:space="0" w:color="auto"/>
        <w:left w:val="none" w:sz="0" w:space="0" w:color="auto"/>
        <w:bottom w:val="none" w:sz="0" w:space="0" w:color="auto"/>
        <w:right w:val="none" w:sz="0" w:space="0" w:color="auto"/>
      </w:divBdr>
    </w:div>
    <w:div w:id="1295526362">
      <w:bodyDiv w:val="1"/>
      <w:marLeft w:val="0"/>
      <w:marRight w:val="0"/>
      <w:marTop w:val="0"/>
      <w:marBottom w:val="0"/>
      <w:divBdr>
        <w:top w:val="none" w:sz="0" w:space="0" w:color="auto"/>
        <w:left w:val="none" w:sz="0" w:space="0" w:color="auto"/>
        <w:bottom w:val="none" w:sz="0" w:space="0" w:color="auto"/>
        <w:right w:val="none" w:sz="0" w:space="0" w:color="auto"/>
      </w:divBdr>
    </w:div>
    <w:div w:id="1423454605">
      <w:bodyDiv w:val="1"/>
      <w:marLeft w:val="0"/>
      <w:marRight w:val="0"/>
      <w:marTop w:val="0"/>
      <w:marBottom w:val="0"/>
      <w:divBdr>
        <w:top w:val="none" w:sz="0" w:space="0" w:color="auto"/>
        <w:left w:val="none" w:sz="0" w:space="0" w:color="auto"/>
        <w:bottom w:val="none" w:sz="0" w:space="0" w:color="auto"/>
        <w:right w:val="none" w:sz="0" w:space="0" w:color="auto"/>
      </w:divBdr>
    </w:div>
    <w:div w:id="1424885628">
      <w:bodyDiv w:val="1"/>
      <w:marLeft w:val="0"/>
      <w:marRight w:val="0"/>
      <w:marTop w:val="0"/>
      <w:marBottom w:val="0"/>
      <w:divBdr>
        <w:top w:val="none" w:sz="0" w:space="0" w:color="auto"/>
        <w:left w:val="none" w:sz="0" w:space="0" w:color="auto"/>
        <w:bottom w:val="none" w:sz="0" w:space="0" w:color="auto"/>
        <w:right w:val="none" w:sz="0" w:space="0" w:color="auto"/>
      </w:divBdr>
      <w:divsChild>
        <w:div w:id="1949191849">
          <w:marLeft w:val="0"/>
          <w:marRight w:val="0"/>
          <w:marTop w:val="0"/>
          <w:marBottom w:val="0"/>
          <w:divBdr>
            <w:top w:val="none" w:sz="0" w:space="0" w:color="auto"/>
            <w:left w:val="none" w:sz="0" w:space="0" w:color="auto"/>
            <w:bottom w:val="none" w:sz="0" w:space="0" w:color="auto"/>
            <w:right w:val="none" w:sz="0" w:space="0" w:color="auto"/>
          </w:divBdr>
          <w:divsChild>
            <w:div w:id="299573705">
              <w:marLeft w:val="0"/>
              <w:marRight w:val="0"/>
              <w:marTop w:val="0"/>
              <w:marBottom w:val="0"/>
              <w:divBdr>
                <w:top w:val="none" w:sz="0" w:space="0" w:color="auto"/>
                <w:left w:val="none" w:sz="0" w:space="0" w:color="auto"/>
                <w:bottom w:val="none" w:sz="0" w:space="0" w:color="auto"/>
                <w:right w:val="none" w:sz="0" w:space="0" w:color="auto"/>
              </w:divBdr>
            </w:div>
            <w:div w:id="782461425">
              <w:marLeft w:val="0"/>
              <w:marRight w:val="0"/>
              <w:marTop w:val="0"/>
              <w:marBottom w:val="0"/>
              <w:divBdr>
                <w:top w:val="none" w:sz="0" w:space="0" w:color="auto"/>
                <w:left w:val="none" w:sz="0" w:space="0" w:color="auto"/>
                <w:bottom w:val="none" w:sz="0" w:space="0" w:color="auto"/>
                <w:right w:val="none" w:sz="0" w:space="0" w:color="auto"/>
              </w:divBdr>
              <w:divsChild>
                <w:div w:id="1050496776">
                  <w:marLeft w:val="0"/>
                  <w:marRight w:val="0"/>
                  <w:marTop w:val="0"/>
                  <w:marBottom w:val="0"/>
                  <w:divBdr>
                    <w:top w:val="none" w:sz="0" w:space="0" w:color="auto"/>
                    <w:left w:val="none" w:sz="0" w:space="0" w:color="auto"/>
                    <w:bottom w:val="none" w:sz="0" w:space="0" w:color="auto"/>
                    <w:right w:val="none" w:sz="0" w:space="0" w:color="auto"/>
                  </w:divBdr>
                </w:div>
                <w:div w:id="2059669032">
                  <w:marLeft w:val="0"/>
                  <w:marRight w:val="0"/>
                  <w:marTop w:val="0"/>
                  <w:marBottom w:val="0"/>
                  <w:divBdr>
                    <w:top w:val="none" w:sz="0" w:space="0" w:color="auto"/>
                    <w:left w:val="none" w:sz="0" w:space="0" w:color="auto"/>
                    <w:bottom w:val="none" w:sz="0" w:space="0" w:color="auto"/>
                    <w:right w:val="none" w:sz="0" w:space="0" w:color="auto"/>
                  </w:divBdr>
                </w:div>
              </w:divsChild>
            </w:div>
            <w:div w:id="17793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3642">
      <w:bodyDiv w:val="1"/>
      <w:marLeft w:val="0"/>
      <w:marRight w:val="0"/>
      <w:marTop w:val="0"/>
      <w:marBottom w:val="0"/>
      <w:divBdr>
        <w:top w:val="none" w:sz="0" w:space="0" w:color="auto"/>
        <w:left w:val="none" w:sz="0" w:space="0" w:color="auto"/>
        <w:bottom w:val="none" w:sz="0" w:space="0" w:color="auto"/>
        <w:right w:val="none" w:sz="0" w:space="0" w:color="auto"/>
      </w:divBdr>
    </w:div>
    <w:div w:id="1447430227">
      <w:bodyDiv w:val="1"/>
      <w:marLeft w:val="0"/>
      <w:marRight w:val="0"/>
      <w:marTop w:val="0"/>
      <w:marBottom w:val="0"/>
      <w:divBdr>
        <w:top w:val="none" w:sz="0" w:space="0" w:color="auto"/>
        <w:left w:val="none" w:sz="0" w:space="0" w:color="auto"/>
        <w:bottom w:val="none" w:sz="0" w:space="0" w:color="auto"/>
        <w:right w:val="none" w:sz="0" w:space="0" w:color="auto"/>
      </w:divBdr>
    </w:div>
    <w:div w:id="1455560481">
      <w:bodyDiv w:val="1"/>
      <w:marLeft w:val="0"/>
      <w:marRight w:val="0"/>
      <w:marTop w:val="0"/>
      <w:marBottom w:val="0"/>
      <w:divBdr>
        <w:top w:val="none" w:sz="0" w:space="0" w:color="auto"/>
        <w:left w:val="none" w:sz="0" w:space="0" w:color="auto"/>
        <w:bottom w:val="none" w:sz="0" w:space="0" w:color="auto"/>
        <w:right w:val="none" w:sz="0" w:space="0" w:color="auto"/>
      </w:divBdr>
    </w:div>
    <w:div w:id="1527251076">
      <w:bodyDiv w:val="1"/>
      <w:marLeft w:val="0"/>
      <w:marRight w:val="0"/>
      <w:marTop w:val="0"/>
      <w:marBottom w:val="0"/>
      <w:divBdr>
        <w:top w:val="none" w:sz="0" w:space="0" w:color="auto"/>
        <w:left w:val="none" w:sz="0" w:space="0" w:color="auto"/>
        <w:bottom w:val="none" w:sz="0" w:space="0" w:color="auto"/>
        <w:right w:val="none" w:sz="0" w:space="0" w:color="auto"/>
      </w:divBdr>
    </w:div>
    <w:div w:id="1544832829">
      <w:bodyDiv w:val="1"/>
      <w:marLeft w:val="0"/>
      <w:marRight w:val="0"/>
      <w:marTop w:val="0"/>
      <w:marBottom w:val="0"/>
      <w:divBdr>
        <w:top w:val="none" w:sz="0" w:space="0" w:color="auto"/>
        <w:left w:val="none" w:sz="0" w:space="0" w:color="auto"/>
        <w:bottom w:val="none" w:sz="0" w:space="0" w:color="auto"/>
        <w:right w:val="none" w:sz="0" w:space="0" w:color="auto"/>
      </w:divBdr>
    </w:div>
    <w:div w:id="1562059133">
      <w:bodyDiv w:val="1"/>
      <w:marLeft w:val="0"/>
      <w:marRight w:val="0"/>
      <w:marTop w:val="0"/>
      <w:marBottom w:val="0"/>
      <w:divBdr>
        <w:top w:val="none" w:sz="0" w:space="0" w:color="auto"/>
        <w:left w:val="none" w:sz="0" w:space="0" w:color="auto"/>
        <w:bottom w:val="none" w:sz="0" w:space="0" w:color="auto"/>
        <w:right w:val="none" w:sz="0" w:space="0" w:color="auto"/>
      </w:divBdr>
      <w:divsChild>
        <w:div w:id="1282031550">
          <w:marLeft w:val="0"/>
          <w:marRight w:val="0"/>
          <w:marTop w:val="0"/>
          <w:marBottom w:val="0"/>
          <w:divBdr>
            <w:top w:val="none" w:sz="0" w:space="0" w:color="auto"/>
            <w:left w:val="none" w:sz="0" w:space="0" w:color="auto"/>
            <w:bottom w:val="none" w:sz="0" w:space="0" w:color="auto"/>
            <w:right w:val="none" w:sz="0" w:space="0" w:color="auto"/>
          </w:divBdr>
        </w:div>
        <w:div w:id="1947931505">
          <w:marLeft w:val="0"/>
          <w:marRight w:val="0"/>
          <w:marTop w:val="0"/>
          <w:marBottom w:val="0"/>
          <w:divBdr>
            <w:top w:val="none" w:sz="0" w:space="0" w:color="auto"/>
            <w:left w:val="none" w:sz="0" w:space="0" w:color="auto"/>
            <w:bottom w:val="none" w:sz="0" w:space="0" w:color="auto"/>
            <w:right w:val="none" w:sz="0" w:space="0" w:color="auto"/>
          </w:divBdr>
        </w:div>
      </w:divsChild>
    </w:div>
    <w:div w:id="1675760115">
      <w:bodyDiv w:val="1"/>
      <w:marLeft w:val="0"/>
      <w:marRight w:val="0"/>
      <w:marTop w:val="0"/>
      <w:marBottom w:val="0"/>
      <w:divBdr>
        <w:top w:val="none" w:sz="0" w:space="0" w:color="auto"/>
        <w:left w:val="none" w:sz="0" w:space="0" w:color="auto"/>
        <w:bottom w:val="none" w:sz="0" w:space="0" w:color="auto"/>
        <w:right w:val="none" w:sz="0" w:space="0" w:color="auto"/>
      </w:divBdr>
    </w:div>
    <w:div w:id="1726761434">
      <w:bodyDiv w:val="1"/>
      <w:marLeft w:val="0"/>
      <w:marRight w:val="0"/>
      <w:marTop w:val="0"/>
      <w:marBottom w:val="0"/>
      <w:divBdr>
        <w:top w:val="none" w:sz="0" w:space="0" w:color="auto"/>
        <w:left w:val="none" w:sz="0" w:space="0" w:color="auto"/>
        <w:bottom w:val="none" w:sz="0" w:space="0" w:color="auto"/>
        <w:right w:val="none" w:sz="0" w:space="0" w:color="auto"/>
      </w:divBdr>
      <w:divsChild>
        <w:div w:id="711075792">
          <w:marLeft w:val="0"/>
          <w:marRight w:val="0"/>
          <w:marTop w:val="0"/>
          <w:marBottom w:val="0"/>
          <w:divBdr>
            <w:top w:val="none" w:sz="0" w:space="0" w:color="auto"/>
            <w:left w:val="none" w:sz="0" w:space="0" w:color="auto"/>
            <w:bottom w:val="none" w:sz="0" w:space="0" w:color="auto"/>
            <w:right w:val="none" w:sz="0" w:space="0" w:color="auto"/>
          </w:divBdr>
        </w:div>
      </w:divsChild>
    </w:div>
    <w:div w:id="1748720844">
      <w:bodyDiv w:val="1"/>
      <w:marLeft w:val="0"/>
      <w:marRight w:val="0"/>
      <w:marTop w:val="0"/>
      <w:marBottom w:val="0"/>
      <w:divBdr>
        <w:top w:val="none" w:sz="0" w:space="0" w:color="auto"/>
        <w:left w:val="none" w:sz="0" w:space="0" w:color="auto"/>
        <w:bottom w:val="none" w:sz="0" w:space="0" w:color="auto"/>
        <w:right w:val="none" w:sz="0" w:space="0" w:color="auto"/>
      </w:divBdr>
      <w:divsChild>
        <w:div w:id="2137947911">
          <w:marLeft w:val="0"/>
          <w:marRight w:val="0"/>
          <w:marTop w:val="0"/>
          <w:marBottom w:val="0"/>
          <w:divBdr>
            <w:top w:val="none" w:sz="0" w:space="0" w:color="auto"/>
            <w:left w:val="none" w:sz="0" w:space="0" w:color="auto"/>
            <w:bottom w:val="none" w:sz="0" w:space="0" w:color="auto"/>
            <w:right w:val="none" w:sz="0" w:space="0" w:color="auto"/>
          </w:divBdr>
          <w:divsChild>
            <w:div w:id="23487765">
              <w:marLeft w:val="0"/>
              <w:marRight w:val="0"/>
              <w:marTop w:val="0"/>
              <w:marBottom w:val="0"/>
              <w:divBdr>
                <w:top w:val="none" w:sz="0" w:space="0" w:color="auto"/>
                <w:left w:val="none" w:sz="0" w:space="0" w:color="auto"/>
                <w:bottom w:val="none" w:sz="0" w:space="0" w:color="auto"/>
                <w:right w:val="none" w:sz="0" w:space="0" w:color="auto"/>
              </w:divBdr>
            </w:div>
            <w:div w:id="196889614">
              <w:marLeft w:val="0"/>
              <w:marRight w:val="0"/>
              <w:marTop w:val="0"/>
              <w:marBottom w:val="0"/>
              <w:divBdr>
                <w:top w:val="none" w:sz="0" w:space="0" w:color="auto"/>
                <w:left w:val="none" w:sz="0" w:space="0" w:color="auto"/>
                <w:bottom w:val="none" w:sz="0" w:space="0" w:color="auto"/>
                <w:right w:val="none" w:sz="0" w:space="0" w:color="auto"/>
              </w:divBdr>
            </w:div>
            <w:div w:id="196936889">
              <w:marLeft w:val="0"/>
              <w:marRight w:val="0"/>
              <w:marTop w:val="0"/>
              <w:marBottom w:val="0"/>
              <w:divBdr>
                <w:top w:val="none" w:sz="0" w:space="0" w:color="auto"/>
                <w:left w:val="none" w:sz="0" w:space="0" w:color="auto"/>
                <w:bottom w:val="none" w:sz="0" w:space="0" w:color="auto"/>
                <w:right w:val="none" w:sz="0" w:space="0" w:color="auto"/>
              </w:divBdr>
            </w:div>
            <w:div w:id="218518573">
              <w:marLeft w:val="0"/>
              <w:marRight w:val="0"/>
              <w:marTop w:val="0"/>
              <w:marBottom w:val="0"/>
              <w:divBdr>
                <w:top w:val="none" w:sz="0" w:space="0" w:color="auto"/>
                <w:left w:val="none" w:sz="0" w:space="0" w:color="auto"/>
                <w:bottom w:val="none" w:sz="0" w:space="0" w:color="auto"/>
                <w:right w:val="none" w:sz="0" w:space="0" w:color="auto"/>
              </w:divBdr>
            </w:div>
            <w:div w:id="308705775">
              <w:marLeft w:val="0"/>
              <w:marRight w:val="0"/>
              <w:marTop w:val="0"/>
              <w:marBottom w:val="0"/>
              <w:divBdr>
                <w:top w:val="none" w:sz="0" w:space="0" w:color="auto"/>
                <w:left w:val="none" w:sz="0" w:space="0" w:color="auto"/>
                <w:bottom w:val="none" w:sz="0" w:space="0" w:color="auto"/>
                <w:right w:val="none" w:sz="0" w:space="0" w:color="auto"/>
              </w:divBdr>
            </w:div>
            <w:div w:id="318658685">
              <w:marLeft w:val="0"/>
              <w:marRight w:val="0"/>
              <w:marTop w:val="0"/>
              <w:marBottom w:val="0"/>
              <w:divBdr>
                <w:top w:val="none" w:sz="0" w:space="0" w:color="auto"/>
                <w:left w:val="none" w:sz="0" w:space="0" w:color="auto"/>
                <w:bottom w:val="none" w:sz="0" w:space="0" w:color="auto"/>
                <w:right w:val="none" w:sz="0" w:space="0" w:color="auto"/>
              </w:divBdr>
            </w:div>
            <w:div w:id="597444743">
              <w:marLeft w:val="0"/>
              <w:marRight w:val="0"/>
              <w:marTop w:val="0"/>
              <w:marBottom w:val="0"/>
              <w:divBdr>
                <w:top w:val="none" w:sz="0" w:space="0" w:color="auto"/>
                <w:left w:val="none" w:sz="0" w:space="0" w:color="auto"/>
                <w:bottom w:val="none" w:sz="0" w:space="0" w:color="auto"/>
                <w:right w:val="none" w:sz="0" w:space="0" w:color="auto"/>
              </w:divBdr>
            </w:div>
            <w:div w:id="1314329127">
              <w:marLeft w:val="0"/>
              <w:marRight w:val="0"/>
              <w:marTop w:val="0"/>
              <w:marBottom w:val="0"/>
              <w:divBdr>
                <w:top w:val="none" w:sz="0" w:space="0" w:color="auto"/>
                <w:left w:val="none" w:sz="0" w:space="0" w:color="auto"/>
                <w:bottom w:val="none" w:sz="0" w:space="0" w:color="auto"/>
                <w:right w:val="none" w:sz="0" w:space="0" w:color="auto"/>
              </w:divBdr>
            </w:div>
            <w:div w:id="1323505325">
              <w:marLeft w:val="0"/>
              <w:marRight w:val="0"/>
              <w:marTop w:val="0"/>
              <w:marBottom w:val="0"/>
              <w:divBdr>
                <w:top w:val="none" w:sz="0" w:space="0" w:color="auto"/>
                <w:left w:val="none" w:sz="0" w:space="0" w:color="auto"/>
                <w:bottom w:val="none" w:sz="0" w:space="0" w:color="auto"/>
                <w:right w:val="none" w:sz="0" w:space="0" w:color="auto"/>
              </w:divBdr>
            </w:div>
            <w:div w:id="1513106874">
              <w:marLeft w:val="0"/>
              <w:marRight w:val="0"/>
              <w:marTop w:val="0"/>
              <w:marBottom w:val="0"/>
              <w:divBdr>
                <w:top w:val="none" w:sz="0" w:space="0" w:color="auto"/>
                <w:left w:val="none" w:sz="0" w:space="0" w:color="auto"/>
                <w:bottom w:val="none" w:sz="0" w:space="0" w:color="auto"/>
                <w:right w:val="none" w:sz="0" w:space="0" w:color="auto"/>
              </w:divBdr>
            </w:div>
            <w:div w:id="1529218889">
              <w:marLeft w:val="0"/>
              <w:marRight w:val="0"/>
              <w:marTop w:val="0"/>
              <w:marBottom w:val="0"/>
              <w:divBdr>
                <w:top w:val="none" w:sz="0" w:space="0" w:color="auto"/>
                <w:left w:val="none" w:sz="0" w:space="0" w:color="auto"/>
                <w:bottom w:val="none" w:sz="0" w:space="0" w:color="auto"/>
                <w:right w:val="none" w:sz="0" w:space="0" w:color="auto"/>
              </w:divBdr>
            </w:div>
            <w:div w:id="19872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6585">
      <w:bodyDiv w:val="1"/>
      <w:marLeft w:val="0"/>
      <w:marRight w:val="0"/>
      <w:marTop w:val="0"/>
      <w:marBottom w:val="0"/>
      <w:divBdr>
        <w:top w:val="none" w:sz="0" w:space="0" w:color="auto"/>
        <w:left w:val="none" w:sz="0" w:space="0" w:color="auto"/>
        <w:bottom w:val="none" w:sz="0" w:space="0" w:color="auto"/>
        <w:right w:val="none" w:sz="0" w:space="0" w:color="auto"/>
      </w:divBdr>
    </w:div>
    <w:div w:id="1824928571">
      <w:bodyDiv w:val="1"/>
      <w:marLeft w:val="0"/>
      <w:marRight w:val="0"/>
      <w:marTop w:val="0"/>
      <w:marBottom w:val="0"/>
      <w:divBdr>
        <w:top w:val="none" w:sz="0" w:space="0" w:color="auto"/>
        <w:left w:val="none" w:sz="0" w:space="0" w:color="auto"/>
        <w:bottom w:val="none" w:sz="0" w:space="0" w:color="auto"/>
        <w:right w:val="none" w:sz="0" w:space="0" w:color="auto"/>
      </w:divBdr>
    </w:div>
    <w:div w:id="1835533818">
      <w:bodyDiv w:val="1"/>
      <w:marLeft w:val="0"/>
      <w:marRight w:val="0"/>
      <w:marTop w:val="0"/>
      <w:marBottom w:val="0"/>
      <w:divBdr>
        <w:top w:val="none" w:sz="0" w:space="0" w:color="auto"/>
        <w:left w:val="none" w:sz="0" w:space="0" w:color="auto"/>
        <w:bottom w:val="none" w:sz="0" w:space="0" w:color="auto"/>
        <w:right w:val="none" w:sz="0" w:space="0" w:color="auto"/>
      </w:divBdr>
      <w:divsChild>
        <w:div w:id="947195934">
          <w:marLeft w:val="0"/>
          <w:marRight w:val="0"/>
          <w:marTop w:val="0"/>
          <w:marBottom w:val="0"/>
          <w:divBdr>
            <w:top w:val="none" w:sz="0" w:space="0" w:color="auto"/>
            <w:left w:val="none" w:sz="0" w:space="0" w:color="auto"/>
            <w:bottom w:val="none" w:sz="0" w:space="0" w:color="auto"/>
            <w:right w:val="none" w:sz="0" w:space="0" w:color="auto"/>
          </w:divBdr>
          <w:divsChild>
            <w:div w:id="69891306">
              <w:marLeft w:val="0"/>
              <w:marRight w:val="0"/>
              <w:marTop w:val="0"/>
              <w:marBottom w:val="0"/>
              <w:divBdr>
                <w:top w:val="none" w:sz="0" w:space="0" w:color="auto"/>
                <w:left w:val="none" w:sz="0" w:space="0" w:color="auto"/>
                <w:bottom w:val="none" w:sz="0" w:space="0" w:color="auto"/>
                <w:right w:val="none" w:sz="0" w:space="0" w:color="auto"/>
              </w:divBdr>
            </w:div>
            <w:div w:id="123692641">
              <w:marLeft w:val="0"/>
              <w:marRight w:val="0"/>
              <w:marTop w:val="0"/>
              <w:marBottom w:val="0"/>
              <w:divBdr>
                <w:top w:val="none" w:sz="0" w:space="0" w:color="auto"/>
                <w:left w:val="none" w:sz="0" w:space="0" w:color="auto"/>
                <w:bottom w:val="none" w:sz="0" w:space="0" w:color="auto"/>
                <w:right w:val="none" w:sz="0" w:space="0" w:color="auto"/>
              </w:divBdr>
            </w:div>
            <w:div w:id="318536477">
              <w:marLeft w:val="0"/>
              <w:marRight w:val="0"/>
              <w:marTop w:val="0"/>
              <w:marBottom w:val="0"/>
              <w:divBdr>
                <w:top w:val="none" w:sz="0" w:space="0" w:color="auto"/>
                <w:left w:val="none" w:sz="0" w:space="0" w:color="auto"/>
                <w:bottom w:val="none" w:sz="0" w:space="0" w:color="auto"/>
                <w:right w:val="none" w:sz="0" w:space="0" w:color="auto"/>
              </w:divBdr>
            </w:div>
            <w:div w:id="964578315">
              <w:marLeft w:val="0"/>
              <w:marRight w:val="0"/>
              <w:marTop w:val="0"/>
              <w:marBottom w:val="0"/>
              <w:divBdr>
                <w:top w:val="none" w:sz="0" w:space="0" w:color="auto"/>
                <w:left w:val="none" w:sz="0" w:space="0" w:color="auto"/>
                <w:bottom w:val="none" w:sz="0" w:space="0" w:color="auto"/>
                <w:right w:val="none" w:sz="0" w:space="0" w:color="auto"/>
              </w:divBdr>
            </w:div>
            <w:div w:id="1170172595">
              <w:marLeft w:val="0"/>
              <w:marRight w:val="0"/>
              <w:marTop w:val="0"/>
              <w:marBottom w:val="0"/>
              <w:divBdr>
                <w:top w:val="none" w:sz="0" w:space="0" w:color="auto"/>
                <w:left w:val="none" w:sz="0" w:space="0" w:color="auto"/>
                <w:bottom w:val="none" w:sz="0" w:space="0" w:color="auto"/>
                <w:right w:val="none" w:sz="0" w:space="0" w:color="auto"/>
              </w:divBdr>
            </w:div>
            <w:div w:id="1639603740">
              <w:marLeft w:val="0"/>
              <w:marRight w:val="0"/>
              <w:marTop w:val="0"/>
              <w:marBottom w:val="0"/>
              <w:divBdr>
                <w:top w:val="none" w:sz="0" w:space="0" w:color="auto"/>
                <w:left w:val="none" w:sz="0" w:space="0" w:color="auto"/>
                <w:bottom w:val="none" w:sz="0" w:space="0" w:color="auto"/>
                <w:right w:val="none" w:sz="0" w:space="0" w:color="auto"/>
              </w:divBdr>
            </w:div>
            <w:div w:id="1727878208">
              <w:marLeft w:val="0"/>
              <w:marRight w:val="0"/>
              <w:marTop w:val="0"/>
              <w:marBottom w:val="0"/>
              <w:divBdr>
                <w:top w:val="none" w:sz="0" w:space="0" w:color="auto"/>
                <w:left w:val="none" w:sz="0" w:space="0" w:color="auto"/>
                <w:bottom w:val="none" w:sz="0" w:space="0" w:color="auto"/>
                <w:right w:val="none" w:sz="0" w:space="0" w:color="auto"/>
              </w:divBdr>
            </w:div>
            <w:div w:id="1831363281">
              <w:marLeft w:val="0"/>
              <w:marRight w:val="0"/>
              <w:marTop w:val="0"/>
              <w:marBottom w:val="0"/>
              <w:divBdr>
                <w:top w:val="none" w:sz="0" w:space="0" w:color="auto"/>
                <w:left w:val="none" w:sz="0" w:space="0" w:color="auto"/>
                <w:bottom w:val="none" w:sz="0" w:space="0" w:color="auto"/>
                <w:right w:val="none" w:sz="0" w:space="0" w:color="auto"/>
              </w:divBdr>
            </w:div>
            <w:div w:id="2106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5902">
      <w:bodyDiv w:val="1"/>
      <w:marLeft w:val="0"/>
      <w:marRight w:val="0"/>
      <w:marTop w:val="0"/>
      <w:marBottom w:val="0"/>
      <w:divBdr>
        <w:top w:val="none" w:sz="0" w:space="0" w:color="auto"/>
        <w:left w:val="none" w:sz="0" w:space="0" w:color="auto"/>
        <w:bottom w:val="none" w:sz="0" w:space="0" w:color="auto"/>
        <w:right w:val="none" w:sz="0" w:space="0" w:color="auto"/>
      </w:divBdr>
    </w:div>
    <w:div w:id="1875264475">
      <w:bodyDiv w:val="1"/>
      <w:marLeft w:val="0"/>
      <w:marRight w:val="0"/>
      <w:marTop w:val="0"/>
      <w:marBottom w:val="0"/>
      <w:divBdr>
        <w:top w:val="none" w:sz="0" w:space="0" w:color="auto"/>
        <w:left w:val="none" w:sz="0" w:space="0" w:color="auto"/>
        <w:bottom w:val="none" w:sz="0" w:space="0" w:color="auto"/>
        <w:right w:val="none" w:sz="0" w:space="0" w:color="auto"/>
      </w:divBdr>
    </w:div>
    <w:div w:id="1992784240">
      <w:bodyDiv w:val="1"/>
      <w:marLeft w:val="0"/>
      <w:marRight w:val="0"/>
      <w:marTop w:val="0"/>
      <w:marBottom w:val="0"/>
      <w:divBdr>
        <w:top w:val="none" w:sz="0" w:space="0" w:color="auto"/>
        <w:left w:val="none" w:sz="0" w:space="0" w:color="auto"/>
        <w:bottom w:val="none" w:sz="0" w:space="0" w:color="auto"/>
        <w:right w:val="none" w:sz="0" w:space="0" w:color="auto"/>
      </w:divBdr>
    </w:div>
    <w:div w:id="2031100717">
      <w:bodyDiv w:val="1"/>
      <w:marLeft w:val="0"/>
      <w:marRight w:val="0"/>
      <w:marTop w:val="0"/>
      <w:marBottom w:val="0"/>
      <w:divBdr>
        <w:top w:val="none" w:sz="0" w:space="0" w:color="auto"/>
        <w:left w:val="none" w:sz="0" w:space="0" w:color="auto"/>
        <w:bottom w:val="none" w:sz="0" w:space="0" w:color="auto"/>
        <w:right w:val="none" w:sz="0" w:space="0" w:color="auto"/>
      </w:divBdr>
    </w:div>
    <w:div w:id="21084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louischauvel.org/roiw.zip" TargetMode="External"/><Relationship Id="rId23" Type="http://schemas.microsoft.com/office/2011/relationships/commentsExtended" Target="commentsExtended.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www.iso.org/iso/country_codes"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marker>
            <c:symbol val="none"/>
          </c:marker>
          <c:xVal>
            <c:numRef>
              <c:f>Sheet1!$A$1:$A$34</c:f>
              <c:numCache>
                <c:formatCode>General</c:formatCode>
                <c:ptCount val="34"/>
                <c:pt idx="0">
                  <c:v>-9</c:v>
                </c:pt>
                <c:pt idx="1">
                  <c:v>-8.4</c:v>
                </c:pt>
                <c:pt idx="2">
                  <c:v>-7.8000000000000007</c:v>
                </c:pt>
                <c:pt idx="3">
                  <c:v>-7.2000000000000011</c:v>
                </c:pt>
                <c:pt idx="4">
                  <c:v>-6.6000000000000005</c:v>
                </c:pt>
                <c:pt idx="5">
                  <c:v>-6.0000000000000018</c:v>
                </c:pt>
                <c:pt idx="6">
                  <c:v>-5.4000000000000021</c:v>
                </c:pt>
                <c:pt idx="7">
                  <c:v>-4.8000000000000025</c:v>
                </c:pt>
                <c:pt idx="8">
                  <c:v>-4.2000000000000028</c:v>
                </c:pt>
                <c:pt idx="9">
                  <c:v>-3.6000000000000032</c:v>
                </c:pt>
                <c:pt idx="10">
                  <c:v>-3.0000000000000031</c:v>
                </c:pt>
                <c:pt idx="11">
                  <c:v>-2.4000000000000026</c:v>
                </c:pt>
                <c:pt idx="12">
                  <c:v>-1.8000000000000025</c:v>
                </c:pt>
                <c:pt idx="13">
                  <c:v>-1.2000000000000024</c:v>
                </c:pt>
                <c:pt idx="14">
                  <c:v>-0.60000000000000264</c:v>
                </c:pt>
                <c:pt idx="15">
                  <c:v>-2.44249065417537E-15</c:v>
                </c:pt>
                <c:pt idx="16">
                  <c:v>0.59999999999999754</c:v>
                </c:pt>
                <c:pt idx="17">
                  <c:v>1.1999999999999948</c:v>
                </c:pt>
                <c:pt idx="18">
                  <c:v>1.7999999999999952</c:v>
                </c:pt>
                <c:pt idx="19">
                  <c:v>2.3999999999999977</c:v>
                </c:pt>
                <c:pt idx="20">
                  <c:v>2.9999999999999978</c:v>
                </c:pt>
                <c:pt idx="21">
                  <c:v>3.5999999999999979</c:v>
                </c:pt>
                <c:pt idx="22">
                  <c:v>4.1999999999999975</c:v>
                </c:pt>
                <c:pt idx="23">
                  <c:v>4.7999999999999972</c:v>
                </c:pt>
                <c:pt idx="24">
                  <c:v>5.3999999999999968</c:v>
                </c:pt>
                <c:pt idx="25">
                  <c:v>5.9999999999999964</c:v>
                </c:pt>
                <c:pt idx="26">
                  <c:v>6.5999999999999961</c:v>
                </c:pt>
                <c:pt idx="27">
                  <c:v>7.1999999999999957</c:v>
                </c:pt>
                <c:pt idx="28">
                  <c:v>7.7999999999999954</c:v>
                </c:pt>
                <c:pt idx="29">
                  <c:v>8.4000000000000021</c:v>
                </c:pt>
                <c:pt idx="30">
                  <c:v>9.0000000000000018</c:v>
                </c:pt>
                <c:pt idx="31">
                  <c:v>9.6000000000000014</c:v>
                </c:pt>
                <c:pt idx="32">
                  <c:v>10.200000000000001</c:v>
                </c:pt>
                <c:pt idx="33">
                  <c:v>10.8</c:v>
                </c:pt>
              </c:numCache>
            </c:numRef>
          </c:xVal>
          <c:yVal>
            <c:numRef>
              <c:f>Sheet1!$B$1:$B$34</c:f>
              <c:numCache>
                <c:formatCode>General</c:formatCode>
                <c:ptCount val="34"/>
                <c:pt idx="9">
                  <c:v>-0.94680601284626853</c:v>
                </c:pt>
                <c:pt idx="10">
                  <c:v>-0.90514825364486851</c:v>
                </c:pt>
                <c:pt idx="11">
                  <c:v>-0.83365460701215699</c:v>
                </c:pt>
                <c:pt idx="12">
                  <c:v>-0.71629787019902669</c:v>
                </c:pt>
                <c:pt idx="13">
                  <c:v>-0.53704956699803663</c:v>
                </c:pt>
                <c:pt idx="14">
                  <c:v>-0.29131261245159201</c:v>
                </c:pt>
                <c:pt idx="15">
                  <c:v>-1.2212453270876819E-15</c:v>
                </c:pt>
                <c:pt idx="16">
                  <c:v>0.29131261245158985</c:v>
                </c:pt>
                <c:pt idx="17">
                  <c:v>0.53704956699803463</c:v>
                </c:pt>
                <c:pt idx="18">
                  <c:v>0.71629787019902535</c:v>
                </c:pt>
                <c:pt idx="19">
                  <c:v>0.8336546070121561</c:v>
                </c:pt>
                <c:pt idx="20">
                  <c:v>0.90514825364486828</c:v>
                </c:pt>
                <c:pt idx="21">
                  <c:v>0.94680601284626809</c:v>
                </c:pt>
              </c:numCache>
            </c:numRef>
          </c:yVal>
          <c:smooth val="1"/>
        </c:ser>
        <c:ser>
          <c:idx val="1"/>
          <c:order val="1"/>
          <c:marker>
            <c:symbol val="none"/>
          </c:marker>
          <c:xVal>
            <c:numRef>
              <c:f>Sheet1!$A$1:$A$34</c:f>
              <c:numCache>
                <c:formatCode>General</c:formatCode>
                <c:ptCount val="34"/>
                <c:pt idx="0">
                  <c:v>-9</c:v>
                </c:pt>
                <c:pt idx="1">
                  <c:v>-8.4</c:v>
                </c:pt>
                <c:pt idx="2">
                  <c:v>-7.8000000000000007</c:v>
                </c:pt>
                <c:pt idx="3">
                  <c:v>-7.2000000000000011</c:v>
                </c:pt>
                <c:pt idx="4">
                  <c:v>-6.6000000000000005</c:v>
                </c:pt>
                <c:pt idx="5">
                  <c:v>-6.0000000000000018</c:v>
                </c:pt>
                <c:pt idx="6">
                  <c:v>-5.4000000000000021</c:v>
                </c:pt>
                <c:pt idx="7">
                  <c:v>-4.8000000000000025</c:v>
                </c:pt>
                <c:pt idx="8">
                  <c:v>-4.2000000000000028</c:v>
                </c:pt>
                <c:pt idx="9">
                  <c:v>-3.6000000000000032</c:v>
                </c:pt>
                <c:pt idx="10">
                  <c:v>-3.0000000000000031</c:v>
                </c:pt>
                <c:pt idx="11">
                  <c:v>-2.4000000000000026</c:v>
                </c:pt>
                <c:pt idx="12">
                  <c:v>-1.8000000000000025</c:v>
                </c:pt>
                <c:pt idx="13">
                  <c:v>-1.2000000000000024</c:v>
                </c:pt>
                <c:pt idx="14">
                  <c:v>-0.60000000000000264</c:v>
                </c:pt>
                <c:pt idx="15">
                  <c:v>-2.44249065417537E-15</c:v>
                </c:pt>
                <c:pt idx="16">
                  <c:v>0.59999999999999754</c:v>
                </c:pt>
                <c:pt idx="17">
                  <c:v>1.1999999999999948</c:v>
                </c:pt>
                <c:pt idx="18">
                  <c:v>1.7999999999999952</c:v>
                </c:pt>
                <c:pt idx="19">
                  <c:v>2.3999999999999977</c:v>
                </c:pt>
                <c:pt idx="20">
                  <c:v>2.9999999999999978</c:v>
                </c:pt>
                <c:pt idx="21">
                  <c:v>3.5999999999999979</c:v>
                </c:pt>
                <c:pt idx="22">
                  <c:v>4.1999999999999975</c:v>
                </c:pt>
                <c:pt idx="23">
                  <c:v>4.7999999999999972</c:v>
                </c:pt>
                <c:pt idx="24">
                  <c:v>5.3999999999999968</c:v>
                </c:pt>
                <c:pt idx="25">
                  <c:v>5.9999999999999964</c:v>
                </c:pt>
                <c:pt idx="26">
                  <c:v>6.5999999999999961</c:v>
                </c:pt>
                <c:pt idx="27">
                  <c:v>7.1999999999999957</c:v>
                </c:pt>
                <c:pt idx="28">
                  <c:v>7.7999999999999954</c:v>
                </c:pt>
                <c:pt idx="29">
                  <c:v>8.4000000000000021</c:v>
                </c:pt>
                <c:pt idx="30">
                  <c:v>9.0000000000000018</c:v>
                </c:pt>
                <c:pt idx="31">
                  <c:v>9.6000000000000014</c:v>
                </c:pt>
                <c:pt idx="32">
                  <c:v>10.200000000000001</c:v>
                </c:pt>
                <c:pt idx="33">
                  <c:v>10.8</c:v>
                </c:pt>
              </c:numCache>
            </c:numRef>
          </c:xVal>
          <c:yVal>
            <c:numRef>
              <c:f>Sheet1!$C$1:$C$34</c:f>
              <c:numCache>
                <c:formatCode>General</c:formatCode>
                <c:ptCount val="34"/>
                <c:pt idx="9">
                  <c:v>0.89644162596184851</c:v>
                </c:pt>
                <c:pt idx="10">
                  <c:v>0.81929336107635009</c:v>
                </c:pt>
                <c:pt idx="11">
                  <c:v>0.69498000379259273</c:v>
                </c:pt>
                <c:pt idx="12">
                  <c:v>0.51308263885165795</c:v>
                </c:pt>
                <c:pt idx="13">
                  <c:v>0.28842223741277884</c:v>
                </c:pt>
                <c:pt idx="14">
                  <c:v>8.4863038173371666E-2</c:v>
                </c:pt>
                <c:pt idx="15">
                  <c:v>1.4914401489335043E-30</c:v>
                </c:pt>
                <c:pt idx="16">
                  <c:v>8.4863038173370389E-2</c:v>
                </c:pt>
                <c:pt idx="17">
                  <c:v>0.288422237412777</c:v>
                </c:pt>
                <c:pt idx="18">
                  <c:v>0.51308263885165595</c:v>
                </c:pt>
                <c:pt idx="19">
                  <c:v>0.69498000379259139</c:v>
                </c:pt>
                <c:pt idx="20">
                  <c:v>0.81929336107634976</c:v>
                </c:pt>
                <c:pt idx="21">
                  <c:v>0.89644162596184751</c:v>
                </c:pt>
              </c:numCache>
            </c:numRef>
          </c:yVal>
          <c:smooth val="1"/>
        </c:ser>
        <c:ser>
          <c:idx val="2"/>
          <c:order val="2"/>
          <c:marker>
            <c:symbol val="none"/>
          </c:marker>
          <c:xVal>
            <c:numRef>
              <c:f>Sheet1!$A$1:$A$34</c:f>
              <c:numCache>
                <c:formatCode>General</c:formatCode>
                <c:ptCount val="34"/>
                <c:pt idx="0">
                  <c:v>-9</c:v>
                </c:pt>
                <c:pt idx="1">
                  <c:v>-8.4</c:v>
                </c:pt>
                <c:pt idx="2">
                  <c:v>-7.8000000000000007</c:v>
                </c:pt>
                <c:pt idx="3">
                  <c:v>-7.2000000000000011</c:v>
                </c:pt>
                <c:pt idx="4">
                  <c:v>-6.6000000000000005</c:v>
                </c:pt>
                <c:pt idx="5">
                  <c:v>-6.0000000000000018</c:v>
                </c:pt>
                <c:pt idx="6">
                  <c:v>-5.4000000000000021</c:v>
                </c:pt>
                <c:pt idx="7">
                  <c:v>-4.8000000000000025</c:v>
                </c:pt>
                <c:pt idx="8">
                  <c:v>-4.2000000000000028</c:v>
                </c:pt>
                <c:pt idx="9">
                  <c:v>-3.6000000000000032</c:v>
                </c:pt>
                <c:pt idx="10">
                  <c:v>-3.0000000000000031</c:v>
                </c:pt>
                <c:pt idx="11">
                  <c:v>-2.4000000000000026</c:v>
                </c:pt>
                <c:pt idx="12">
                  <c:v>-1.8000000000000025</c:v>
                </c:pt>
                <c:pt idx="13">
                  <c:v>-1.2000000000000024</c:v>
                </c:pt>
                <c:pt idx="14">
                  <c:v>-0.60000000000000264</c:v>
                </c:pt>
                <c:pt idx="15">
                  <c:v>-2.44249065417537E-15</c:v>
                </c:pt>
                <c:pt idx="16">
                  <c:v>0.59999999999999754</c:v>
                </c:pt>
                <c:pt idx="17">
                  <c:v>1.1999999999999948</c:v>
                </c:pt>
                <c:pt idx="18">
                  <c:v>1.7999999999999952</c:v>
                </c:pt>
                <c:pt idx="19">
                  <c:v>2.3999999999999977</c:v>
                </c:pt>
                <c:pt idx="20">
                  <c:v>2.9999999999999978</c:v>
                </c:pt>
                <c:pt idx="21">
                  <c:v>3.5999999999999979</c:v>
                </c:pt>
                <c:pt idx="22">
                  <c:v>4.1999999999999975</c:v>
                </c:pt>
                <c:pt idx="23">
                  <c:v>4.7999999999999972</c:v>
                </c:pt>
                <c:pt idx="24">
                  <c:v>5.3999999999999968</c:v>
                </c:pt>
                <c:pt idx="25">
                  <c:v>5.9999999999999964</c:v>
                </c:pt>
                <c:pt idx="26">
                  <c:v>6.5999999999999961</c:v>
                </c:pt>
                <c:pt idx="27">
                  <c:v>7.1999999999999957</c:v>
                </c:pt>
                <c:pt idx="28">
                  <c:v>7.7999999999999954</c:v>
                </c:pt>
                <c:pt idx="29">
                  <c:v>8.4000000000000021</c:v>
                </c:pt>
                <c:pt idx="30">
                  <c:v>9.0000000000000018</c:v>
                </c:pt>
                <c:pt idx="31">
                  <c:v>9.6000000000000014</c:v>
                </c:pt>
                <c:pt idx="32">
                  <c:v>10.200000000000001</c:v>
                </c:pt>
                <c:pt idx="33">
                  <c:v>10.8</c:v>
                </c:pt>
              </c:numCache>
            </c:numRef>
          </c:xVal>
          <c:yVal>
            <c:numRef>
              <c:f>Sheet1!$D$1:$D$34</c:f>
              <c:numCache>
                <c:formatCode>General</c:formatCode>
                <c:ptCount val="34"/>
              </c:numCache>
            </c:numRef>
          </c:yVal>
          <c:smooth val="1"/>
        </c:ser>
        <c:dLbls>
          <c:showLegendKey val="0"/>
          <c:showVal val="0"/>
          <c:showCatName val="0"/>
          <c:showSerName val="0"/>
          <c:showPercent val="0"/>
          <c:showBubbleSize val="0"/>
        </c:dLbls>
        <c:axId val="129503616"/>
        <c:axId val="129505152"/>
      </c:scatterChart>
      <c:valAx>
        <c:axId val="129503616"/>
        <c:scaling>
          <c:orientation val="minMax"/>
          <c:max val="5"/>
          <c:min val="-5"/>
        </c:scaling>
        <c:delete val="0"/>
        <c:axPos val="b"/>
        <c:numFmt formatCode="General" sourceLinked="1"/>
        <c:majorTickMark val="out"/>
        <c:minorTickMark val="none"/>
        <c:tickLblPos val="nextTo"/>
        <c:txPr>
          <a:bodyPr/>
          <a:lstStyle/>
          <a:p>
            <a:pPr>
              <a:defRPr lang="en-GB"/>
            </a:pPr>
            <a:endParaRPr lang="en-US"/>
          </a:p>
        </c:txPr>
        <c:crossAx val="129505152"/>
        <c:crosses val="autoZero"/>
        <c:crossBetween val="midCat"/>
      </c:valAx>
      <c:valAx>
        <c:axId val="129505152"/>
        <c:scaling>
          <c:orientation val="minMax"/>
          <c:max val="1"/>
          <c:min val="-1"/>
        </c:scaling>
        <c:delete val="0"/>
        <c:axPos val="l"/>
        <c:numFmt formatCode="General" sourceLinked="1"/>
        <c:majorTickMark val="out"/>
        <c:minorTickMark val="none"/>
        <c:tickLblPos val="nextTo"/>
        <c:txPr>
          <a:bodyPr/>
          <a:lstStyle/>
          <a:p>
            <a:pPr>
              <a:defRPr lang="en-GB"/>
            </a:pPr>
            <a:endParaRPr lang="en-US"/>
          </a:p>
        </c:txPr>
        <c:crossAx val="129503616"/>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0.71091</cdr:x>
      <cdr:y>0.57822</cdr:y>
    </cdr:from>
    <cdr:to>
      <cdr:x>0.96206</cdr:x>
      <cdr:y>0.67207</cdr:y>
    </cdr:to>
    <cdr:sp macro="" textlink="">
      <cdr:nvSpPr>
        <cdr:cNvPr id="2" name="Text Box 11"/>
        <cdr:cNvSpPr txBox="1"/>
      </cdr:nvSpPr>
      <cdr:spPr>
        <a:xfrm xmlns:a="http://schemas.openxmlformats.org/drawingml/2006/main">
          <a:off x="3343275" y="1584325"/>
          <a:ext cx="1181100" cy="257175"/>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a:t>X=Logit</a:t>
          </a:r>
          <a:r>
            <a:rPr lang="en-US" baseline="0"/>
            <a:t>(quantile)</a:t>
          </a:r>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5ED2-6096-4C41-B37C-1987EF84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38</Pages>
  <Words>8974</Words>
  <Characters>51158</Characters>
  <Application>Microsoft Office Word</Application>
  <DocSecurity>0</DocSecurity>
  <Lines>426</Lines>
  <Paragraphs>120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alpbetgam</vt:lpstr>
      <vt:lpstr>alpbetgam</vt:lpstr>
      <vt:lpstr>alpbetgam</vt:lpstr>
    </vt:vector>
  </TitlesOfParts>
  <Company>ofce</Company>
  <LinksUpToDate>false</LinksUpToDate>
  <CharactersWithSpaces>60012</CharactersWithSpaces>
  <SharedDoc>false</SharedDoc>
  <HLinks>
    <vt:vector size="6" baseType="variant">
      <vt:variant>
        <vt:i4>4980778</vt:i4>
      </vt:variant>
      <vt:variant>
        <vt:i4>0</vt:i4>
      </vt:variant>
      <vt:variant>
        <vt:i4>0</vt:i4>
      </vt:variant>
      <vt:variant>
        <vt:i4>5</vt:i4>
      </vt:variant>
      <vt:variant>
        <vt:lpwstr>http://www.iso.org/iso/country_codes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alpbetgam</dc:title>
  <dc:creator>chauvel</dc:creator>
  <cp:lastModifiedBy>karl</cp:lastModifiedBy>
  <cp:revision>9</cp:revision>
  <cp:lastPrinted>2014-11-11T08:25:00Z</cp:lastPrinted>
  <dcterms:created xsi:type="dcterms:W3CDTF">2014-10-21T12:39:00Z</dcterms:created>
  <dcterms:modified xsi:type="dcterms:W3CDTF">2014-11-11T15:10:00Z</dcterms:modified>
</cp:coreProperties>
</file>