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ACB" w:rsidRPr="00990ACB" w:rsidRDefault="00990ACB" w:rsidP="00990ACB">
      <w:pPr>
        <w:widowControl w:val="0"/>
        <w:autoSpaceDE w:val="0"/>
        <w:autoSpaceDN w:val="0"/>
        <w:adjustRightInd w:val="0"/>
        <w:spacing w:after="480"/>
        <w:rPr>
          <w:rFonts w:ascii="Helvetica" w:hAnsi="Helvetica" w:cs="Helvetica"/>
          <w:b/>
          <w:bCs/>
          <w:sz w:val="36"/>
          <w:szCs w:val="36"/>
        </w:rPr>
      </w:pPr>
      <w:bookmarkStart w:id="0" w:name="_GoBack"/>
      <w:r w:rsidRPr="00990ACB">
        <w:rPr>
          <w:rFonts w:ascii="Helvetica" w:hAnsi="Helvetica" w:cs="Helvetica"/>
          <w:b/>
          <w:bCs/>
          <w:sz w:val="36"/>
          <w:szCs w:val="36"/>
        </w:rPr>
        <w:t>Accountability: Antecedents, Power, and Processes</w:t>
      </w:r>
    </w:p>
    <w:bookmarkEnd w:id="0"/>
    <w:p w:rsidR="00990ACB" w:rsidRDefault="00990ACB" w:rsidP="00990ACB">
      <w:pPr>
        <w:widowControl w:val="0"/>
        <w:autoSpaceDE w:val="0"/>
        <w:autoSpaceDN w:val="0"/>
        <w:adjustRightInd w:val="0"/>
        <w:spacing w:after="0"/>
        <w:rPr>
          <w:rFonts w:ascii="Helvetica" w:hAnsi="Helvetica" w:cs="Helvetica"/>
          <w:sz w:val="36"/>
          <w:szCs w:val="36"/>
        </w:rPr>
      </w:pPr>
    </w:p>
    <w:p w:rsidR="00990ACB" w:rsidRPr="00990ACB" w:rsidRDefault="00990ACB" w:rsidP="00990ACB">
      <w:pPr>
        <w:widowControl w:val="0"/>
        <w:autoSpaceDE w:val="0"/>
        <w:autoSpaceDN w:val="0"/>
        <w:adjustRightInd w:val="0"/>
        <w:spacing w:after="0"/>
        <w:rPr>
          <w:rFonts w:ascii="Helvetica" w:hAnsi="Helvetica" w:cs="Helvetica"/>
        </w:rPr>
      </w:pPr>
      <w:proofErr w:type="gramStart"/>
      <w:r w:rsidRPr="00990ACB">
        <w:rPr>
          <w:rFonts w:ascii="Helvetica" w:hAnsi="Helvetica" w:cs="Helvetica"/>
        </w:rPr>
        <w:t>by</w:t>
      </w:r>
      <w:proofErr w:type="gramEnd"/>
      <w:r w:rsidRPr="00990ACB">
        <w:rPr>
          <w:rFonts w:ascii="Helvetica" w:hAnsi="Helvetica" w:cs="Helvetica"/>
        </w:rPr>
        <w:t xml:space="preserve"> Heinz-Dieter Meyer, Daniel </w:t>
      </w:r>
      <w:proofErr w:type="spellStart"/>
      <w:r w:rsidRPr="00990ACB">
        <w:rPr>
          <w:rFonts w:ascii="Helvetica" w:hAnsi="Helvetica" w:cs="Helvetica"/>
        </w:rPr>
        <w:t>Tröhler</w:t>
      </w:r>
      <w:proofErr w:type="spellEnd"/>
      <w:r w:rsidRPr="00990ACB">
        <w:rPr>
          <w:rFonts w:ascii="Helvetica" w:hAnsi="Helvetica" w:cs="Helvetica"/>
        </w:rPr>
        <w:t xml:space="preserve">, David F. </w:t>
      </w:r>
      <w:proofErr w:type="spellStart"/>
      <w:r w:rsidRPr="00990ACB">
        <w:rPr>
          <w:rFonts w:ascii="Helvetica" w:hAnsi="Helvetica" w:cs="Helvetica"/>
        </w:rPr>
        <w:t>Labaree</w:t>
      </w:r>
      <w:proofErr w:type="spellEnd"/>
      <w:r w:rsidRPr="00990ACB">
        <w:rPr>
          <w:rFonts w:ascii="Helvetica" w:hAnsi="Helvetica" w:cs="Helvetica"/>
        </w:rPr>
        <w:t xml:space="preserve"> &amp; Ethan L. Hutt</w:t>
      </w:r>
    </w:p>
    <w:p w:rsidR="00990ACB" w:rsidRPr="00990ACB" w:rsidRDefault="00990ACB" w:rsidP="00990ACB">
      <w:pPr>
        <w:widowControl w:val="0"/>
        <w:autoSpaceDE w:val="0"/>
        <w:autoSpaceDN w:val="0"/>
        <w:adjustRightInd w:val="0"/>
        <w:spacing w:after="0"/>
        <w:rPr>
          <w:rFonts w:ascii="Helvetica" w:hAnsi="Helvetica" w:cs="Helvetica"/>
        </w:rPr>
      </w:pPr>
    </w:p>
    <w:p w:rsidR="00990ACB" w:rsidRPr="00990ACB" w:rsidRDefault="00990ACB" w:rsidP="00990ACB">
      <w:pPr>
        <w:widowControl w:val="0"/>
        <w:autoSpaceDE w:val="0"/>
        <w:autoSpaceDN w:val="0"/>
        <w:adjustRightInd w:val="0"/>
        <w:spacing w:after="0"/>
        <w:rPr>
          <w:rFonts w:ascii="Helvetica" w:hAnsi="Helvetica" w:cs="Helvetica"/>
        </w:rPr>
      </w:pPr>
      <w:r w:rsidRPr="00990ACB">
        <w:rPr>
          <w:rFonts w:ascii="Helvetica" w:hAnsi="Helvetica" w:cs="Helvetica"/>
        </w:rPr>
        <w:t>During the past decade “accountability” has emerged as the master rationale for education reform. Given its ubiquity and central role in current policy and practice, it is almost possible to forget that even 15 years ago the term was hardly ever used and accountability, in today’s sense, was virtually a nonissue. That is surprising given the certainty with which advocates claim accountability as the needle’s eye through which the camel of public education reform must pass.</w:t>
      </w:r>
    </w:p>
    <w:p w:rsidR="00990ACB" w:rsidRPr="00990ACB" w:rsidRDefault="00990ACB" w:rsidP="00990ACB">
      <w:pPr>
        <w:widowControl w:val="0"/>
        <w:autoSpaceDE w:val="0"/>
        <w:autoSpaceDN w:val="0"/>
        <w:adjustRightInd w:val="0"/>
        <w:spacing w:after="0"/>
        <w:rPr>
          <w:rFonts w:ascii="Helvetica" w:hAnsi="Helvetica" w:cs="Helvetica"/>
        </w:rPr>
      </w:pPr>
    </w:p>
    <w:p w:rsidR="00990ACB" w:rsidRPr="00990ACB" w:rsidRDefault="00990ACB" w:rsidP="00990ACB">
      <w:pPr>
        <w:widowControl w:val="0"/>
        <w:autoSpaceDE w:val="0"/>
        <w:autoSpaceDN w:val="0"/>
        <w:adjustRightInd w:val="0"/>
        <w:spacing w:after="0"/>
        <w:rPr>
          <w:rFonts w:ascii="Helvetica" w:hAnsi="Helvetica" w:cs="Helvetica"/>
        </w:rPr>
      </w:pPr>
      <w:r w:rsidRPr="00990ACB">
        <w:rPr>
          <w:rFonts w:ascii="Helvetica" w:hAnsi="Helvetica" w:cs="Helvetica"/>
        </w:rPr>
        <w:t>How has this change come to pass? How has accountability emerged as the master rationale for contemporary education reform? How has it become the accepted justification for policies from the construction of centralized curricula, to teacher evaluation schemes based on student test scores, to government takeovers of schools that “fail to improve”?</w:t>
      </w:r>
    </w:p>
    <w:p w:rsidR="00990ACB" w:rsidRPr="00990ACB" w:rsidRDefault="00990ACB" w:rsidP="00990ACB">
      <w:pPr>
        <w:widowControl w:val="0"/>
        <w:autoSpaceDE w:val="0"/>
        <w:autoSpaceDN w:val="0"/>
        <w:adjustRightInd w:val="0"/>
        <w:spacing w:after="0"/>
        <w:rPr>
          <w:rFonts w:ascii="Helvetica" w:hAnsi="Helvetica" w:cs="Helvetica"/>
        </w:rPr>
      </w:pPr>
    </w:p>
    <w:p w:rsidR="00990ACB" w:rsidRPr="00990ACB" w:rsidRDefault="00990ACB" w:rsidP="00990ACB">
      <w:pPr>
        <w:widowControl w:val="0"/>
        <w:autoSpaceDE w:val="0"/>
        <w:autoSpaceDN w:val="0"/>
        <w:adjustRightInd w:val="0"/>
        <w:spacing w:after="0"/>
        <w:rPr>
          <w:rFonts w:ascii="Helvetica" w:hAnsi="Helvetica" w:cs="Helvetica"/>
        </w:rPr>
      </w:pPr>
      <w:r w:rsidRPr="00990ACB">
        <w:rPr>
          <w:rFonts w:ascii="Helvetica" w:hAnsi="Helvetica" w:cs="Helvetica"/>
        </w:rPr>
        <w:t xml:space="preserve">In this special issue we take a </w:t>
      </w:r>
      <w:proofErr w:type="gramStart"/>
      <w:r w:rsidRPr="00990ACB">
        <w:rPr>
          <w:rFonts w:ascii="Helvetica" w:hAnsi="Helvetica" w:cs="Helvetica"/>
        </w:rPr>
        <w:t>longer term</w:t>
      </w:r>
      <w:proofErr w:type="gramEnd"/>
      <w:r w:rsidRPr="00990ACB">
        <w:rPr>
          <w:rFonts w:ascii="Helvetica" w:hAnsi="Helvetica" w:cs="Helvetica"/>
        </w:rPr>
        <w:t xml:space="preserve"> view of the social processes that have contributed to the rise of the accountability agenda, suggesting its rise to be inextricably linked to the globalization of education policy. In a global world, policy rationales and policy agendas are no longer defined within the bounds of local communities or even nations (Held 1995; Strange 1996; </w:t>
      </w:r>
      <w:proofErr w:type="spellStart"/>
      <w:r w:rsidRPr="00990ACB">
        <w:rPr>
          <w:rFonts w:ascii="Helvetica" w:hAnsi="Helvetica" w:cs="Helvetica"/>
        </w:rPr>
        <w:t>Kamens</w:t>
      </w:r>
      <w:proofErr w:type="spellEnd"/>
      <w:r w:rsidRPr="00990ACB">
        <w:rPr>
          <w:rFonts w:ascii="Helvetica" w:hAnsi="Helvetica" w:cs="Helvetica"/>
        </w:rPr>
        <w:t xml:space="preserve"> 2013; Martens and </w:t>
      </w:r>
      <w:proofErr w:type="spellStart"/>
      <w:r w:rsidRPr="00990ACB">
        <w:rPr>
          <w:rFonts w:ascii="Helvetica" w:hAnsi="Helvetica" w:cs="Helvetica"/>
        </w:rPr>
        <w:t>Jakobi</w:t>
      </w:r>
      <w:proofErr w:type="spellEnd"/>
      <w:r w:rsidRPr="00990ACB">
        <w:rPr>
          <w:rFonts w:ascii="Helvetica" w:hAnsi="Helvetica" w:cs="Helvetica"/>
        </w:rPr>
        <w:t xml:space="preserve"> 2010; Meyer and </w:t>
      </w:r>
      <w:proofErr w:type="spellStart"/>
      <w:r w:rsidRPr="00990ACB">
        <w:rPr>
          <w:rFonts w:ascii="Helvetica" w:hAnsi="Helvetica" w:cs="Helvetica"/>
        </w:rPr>
        <w:t>Benavot</w:t>
      </w:r>
      <w:proofErr w:type="spellEnd"/>
      <w:r w:rsidRPr="00990ACB">
        <w:rPr>
          <w:rFonts w:ascii="Helvetica" w:hAnsi="Helvetica" w:cs="Helvetica"/>
        </w:rPr>
        <w:t xml:space="preserve"> 2013; </w:t>
      </w:r>
      <w:proofErr w:type="spellStart"/>
      <w:r w:rsidRPr="00990ACB">
        <w:rPr>
          <w:rFonts w:ascii="Helvetica" w:hAnsi="Helvetica" w:cs="Helvetica"/>
        </w:rPr>
        <w:t>Tröhler</w:t>
      </w:r>
      <w:proofErr w:type="spellEnd"/>
      <w:r w:rsidRPr="00990ACB">
        <w:rPr>
          <w:rFonts w:ascii="Helvetica" w:hAnsi="Helvetica" w:cs="Helvetica"/>
        </w:rPr>
        <w:t xml:space="preserve"> 2010). They emerge at the intersection of national and international policy discourse, in which transnational policy networks and organizations like OECD play an increasingly central role (Mahon and McBride 2008). The actors in these networks operate at some distance from the traditional mechanisms of democratic control (Apple 2005; Ball 2012; </w:t>
      </w:r>
      <w:proofErr w:type="spellStart"/>
      <w:r w:rsidRPr="00990ACB">
        <w:rPr>
          <w:rFonts w:ascii="Helvetica" w:hAnsi="Helvetica" w:cs="Helvetica"/>
        </w:rPr>
        <w:t>Rizvi</w:t>
      </w:r>
      <w:proofErr w:type="spellEnd"/>
      <w:r w:rsidRPr="00990ACB">
        <w:rPr>
          <w:rFonts w:ascii="Helvetica" w:hAnsi="Helvetica" w:cs="Helvetica"/>
        </w:rPr>
        <w:t xml:space="preserve"> and </w:t>
      </w:r>
      <w:proofErr w:type="spellStart"/>
      <w:r w:rsidRPr="00990ACB">
        <w:rPr>
          <w:rFonts w:ascii="Helvetica" w:hAnsi="Helvetica" w:cs="Helvetica"/>
        </w:rPr>
        <w:t>Lingard</w:t>
      </w:r>
      <w:proofErr w:type="spellEnd"/>
      <w:r w:rsidRPr="00990ACB">
        <w:rPr>
          <w:rFonts w:ascii="Helvetica" w:hAnsi="Helvetica" w:cs="Helvetica"/>
        </w:rPr>
        <w:t xml:space="preserve"> 2010). In this world, ideas from the periphery of policy discourse may be expanded on and amplified at central network nodes like OECD, from where they return with the force of inevitability to reshape reform activity on the ground. Policies that might have a hard time becoming accepted in local contexts seem that much more irresistible when offered as uncontested consensus of the world’s leading democracies.</w:t>
      </w:r>
    </w:p>
    <w:p w:rsidR="00990ACB" w:rsidRPr="00990ACB" w:rsidRDefault="00990ACB" w:rsidP="00990ACB">
      <w:pPr>
        <w:widowControl w:val="0"/>
        <w:autoSpaceDE w:val="0"/>
        <w:autoSpaceDN w:val="0"/>
        <w:adjustRightInd w:val="0"/>
        <w:spacing w:after="0"/>
        <w:rPr>
          <w:rFonts w:ascii="Helvetica" w:hAnsi="Helvetica" w:cs="Helvetica"/>
        </w:rPr>
      </w:pPr>
    </w:p>
    <w:p w:rsidR="00990ACB" w:rsidRPr="00990ACB" w:rsidRDefault="00990ACB" w:rsidP="00990ACB">
      <w:pPr>
        <w:widowControl w:val="0"/>
        <w:autoSpaceDE w:val="0"/>
        <w:autoSpaceDN w:val="0"/>
        <w:adjustRightInd w:val="0"/>
        <w:spacing w:after="0"/>
        <w:rPr>
          <w:rFonts w:ascii="Helvetica" w:hAnsi="Helvetica" w:cs="Helvetica"/>
        </w:rPr>
      </w:pPr>
      <w:r w:rsidRPr="00990ACB">
        <w:rPr>
          <w:rFonts w:ascii="Helvetica" w:hAnsi="Helvetica" w:cs="Helvetica"/>
        </w:rPr>
        <w:t>To understand these changes that have given us such momentous policy events like Race to the Top and PISA (Torrance 2006; Steiner-</w:t>
      </w:r>
      <w:proofErr w:type="spellStart"/>
      <w:r w:rsidRPr="00990ACB">
        <w:rPr>
          <w:rFonts w:ascii="Helvetica" w:hAnsi="Helvetica" w:cs="Helvetica"/>
        </w:rPr>
        <w:t>Khamsi</w:t>
      </w:r>
      <w:proofErr w:type="spellEnd"/>
      <w:r w:rsidRPr="00990ACB">
        <w:rPr>
          <w:rFonts w:ascii="Helvetica" w:hAnsi="Helvetica" w:cs="Helvetica"/>
        </w:rPr>
        <w:t xml:space="preserve"> 2003) we propose to take a look at three large-scale processes that have been instrumental in preparing the ground for them:</w:t>
      </w:r>
    </w:p>
    <w:p w:rsidR="00990ACB" w:rsidRPr="00990ACB" w:rsidRDefault="00990ACB" w:rsidP="00990ACB">
      <w:pPr>
        <w:pStyle w:val="ListParagraph"/>
        <w:widowControl w:val="0"/>
        <w:numPr>
          <w:ilvl w:val="0"/>
          <w:numId w:val="1"/>
        </w:numPr>
        <w:autoSpaceDE w:val="0"/>
        <w:autoSpaceDN w:val="0"/>
        <w:adjustRightInd w:val="0"/>
        <w:spacing w:after="0"/>
        <w:rPr>
          <w:rFonts w:ascii="Helvetica" w:hAnsi="Helvetica" w:cs="Helvetica"/>
        </w:rPr>
      </w:pPr>
      <w:proofErr w:type="gramStart"/>
      <w:r w:rsidRPr="00990ACB">
        <w:rPr>
          <w:rFonts w:ascii="Helvetica" w:hAnsi="Helvetica" w:cs="Helvetica"/>
        </w:rPr>
        <w:t>homogenizing</w:t>
      </w:r>
      <w:proofErr w:type="gramEnd"/>
      <w:r w:rsidRPr="00990ACB">
        <w:rPr>
          <w:rFonts w:ascii="Helvetica" w:hAnsi="Helvetica" w:cs="Helvetica"/>
        </w:rPr>
        <w:t xml:space="preserve"> the heterogeneous reality of education through increasingly abstract and context-indifferent standards and outcome metrics;</w:t>
      </w:r>
    </w:p>
    <w:p w:rsidR="00990ACB" w:rsidRPr="00990ACB" w:rsidRDefault="00990ACB" w:rsidP="00990ACB">
      <w:pPr>
        <w:pStyle w:val="ListParagraph"/>
        <w:widowControl w:val="0"/>
        <w:numPr>
          <w:ilvl w:val="0"/>
          <w:numId w:val="1"/>
        </w:numPr>
        <w:autoSpaceDE w:val="0"/>
        <w:autoSpaceDN w:val="0"/>
        <w:adjustRightInd w:val="0"/>
        <w:spacing w:after="0"/>
        <w:rPr>
          <w:rFonts w:ascii="Helvetica" w:hAnsi="Helvetica" w:cs="Helvetica"/>
        </w:rPr>
      </w:pPr>
      <w:proofErr w:type="gramStart"/>
      <w:r w:rsidRPr="00990ACB">
        <w:rPr>
          <w:rFonts w:ascii="Helvetica" w:hAnsi="Helvetica" w:cs="Helvetica"/>
        </w:rPr>
        <w:t>shifting</w:t>
      </w:r>
      <w:proofErr w:type="gramEnd"/>
      <w:r w:rsidRPr="00990ACB">
        <w:rPr>
          <w:rFonts w:ascii="Helvetica" w:hAnsi="Helvetica" w:cs="Helvetica"/>
        </w:rPr>
        <w:t xml:space="preserve"> centers of policy making influence from “local” education professionals embedded in institutions and narratives of national history and culture to a global elite of experts, committed with increasing single-mindedness to the narrative of market efficiency; and</w:t>
      </w:r>
    </w:p>
    <w:p w:rsidR="00990ACB" w:rsidRPr="00990ACB" w:rsidRDefault="00990ACB" w:rsidP="00990ACB">
      <w:pPr>
        <w:pStyle w:val="ListParagraph"/>
        <w:widowControl w:val="0"/>
        <w:numPr>
          <w:ilvl w:val="0"/>
          <w:numId w:val="1"/>
        </w:numPr>
        <w:autoSpaceDE w:val="0"/>
        <w:autoSpaceDN w:val="0"/>
        <w:adjustRightInd w:val="0"/>
        <w:spacing w:after="0"/>
        <w:rPr>
          <w:rFonts w:ascii="Helvetica" w:hAnsi="Helvetica" w:cs="Helvetica"/>
        </w:rPr>
      </w:pPr>
      <w:proofErr w:type="gramStart"/>
      <w:r w:rsidRPr="00990ACB">
        <w:rPr>
          <w:rFonts w:ascii="Helvetica" w:hAnsi="Helvetica" w:cs="Helvetica"/>
        </w:rPr>
        <w:t>moving</w:t>
      </w:r>
      <w:proofErr w:type="gramEnd"/>
      <w:r w:rsidRPr="00990ACB">
        <w:rPr>
          <w:rFonts w:ascii="Helvetica" w:hAnsi="Helvetica" w:cs="Helvetica"/>
        </w:rPr>
        <w:t xml:space="preserve"> from decentralized governance and soft guidelines to centralized governance and hard mandates.</w:t>
      </w:r>
    </w:p>
    <w:p w:rsidR="00990ACB" w:rsidRPr="00990ACB" w:rsidRDefault="00990ACB" w:rsidP="00990ACB">
      <w:pPr>
        <w:widowControl w:val="0"/>
        <w:autoSpaceDE w:val="0"/>
        <w:autoSpaceDN w:val="0"/>
        <w:adjustRightInd w:val="0"/>
        <w:spacing w:after="0"/>
        <w:rPr>
          <w:rFonts w:ascii="Helvetica" w:hAnsi="Helvetica" w:cs="Helvetica"/>
        </w:rPr>
      </w:pPr>
    </w:p>
    <w:p w:rsidR="00990ACB" w:rsidRPr="00990ACB" w:rsidRDefault="00990ACB" w:rsidP="00990ACB">
      <w:pPr>
        <w:widowControl w:val="0"/>
        <w:autoSpaceDE w:val="0"/>
        <w:autoSpaceDN w:val="0"/>
        <w:adjustRightInd w:val="0"/>
        <w:spacing w:after="0"/>
        <w:rPr>
          <w:rFonts w:ascii="Helvetica" w:hAnsi="Helvetica" w:cs="Helvetica"/>
        </w:rPr>
      </w:pPr>
      <w:r w:rsidRPr="00990ACB">
        <w:rPr>
          <w:rFonts w:ascii="Helvetica" w:hAnsi="Helvetica" w:cs="Helvetica"/>
        </w:rPr>
        <w:lastRenderedPageBreak/>
        <w:t>The accountability agenda derives much of its seeming self-evidence from the popularity the idea enjoys in political democracies where keeping leaders accountable is a basic tenet of democratic vitality. But in politics we hold leaders accountable by judging their choices in context. Educational accountability, by contrast, wants to judge the work of educators based on predetermined indicators that are insensitive to the great variance of people, publics, and places. While we would not kick out political leaders for failing to raise the GNP by predefined percentage points, “accountability” in public education wants to determine educational effectiveness based on context-free rankings.</w:t>
      </w:r>
    </w:p>
    <w:p w:rsidR="00990ACB" w:rsidRPr="00990ACB" w:rsidRDefault="00990ACB" w:rsidP="00990ACB">
      <w:pPr>
        <w:widowControl w:val="0"/>
        <w:autoSpaceDE w:val="0"/>
        <w:autoSpaceDN w:val="0"/>
        <w:adjustRightInd w:val="0"/>
        <w:spacing w:after="0"/>
        <w:rPr>
          <w:rFonts w:ascii="Helvetica" w:hAnsi="Helvetica" w:cs="Helvetica"/>
        </w:rPr>
      </w:pPr>
    </w:p>
    <w:p w:rsidR="00990ACB" w:rsidRPr="00990ACB" w:rsidRDefault="00990ACB" w:rsidP="00990ACB">
      <w:pPr>
        <w:widowControl w:val="0"/>
        <w:autoSpaceDE w:val="0"/>
        <w:autoSpaceDN w:val="0"/>
        <w:adjustRightInd w:val="0"/>
        <w:spacing w:after="0"/>
        <w:rPr>
          <w:rFonts w:ascii="Helvetica" w:hAnsi="Helvetica" w:cs="Helvetica"/>
        </w:rPr>
      </w:pPr>
      <w:r w:rsidRPr="00990ACB">
        <w:rPr>
          <w:rFonts w:ascii="Helvetica" w:hAnsi="Helvetica" w:cs="Helvetica"/>
        </w:rPr>
        <w:t xml:space="preserve">PISA is a key case in point. Though frequently invoked as proof of the demise of education quality, PISA is not a measure of school effectiveness. The goal of PISA, according to its creators, is not to assess “the extent to which [students] have mastered a specific curriculum” but rather “young people’s ability to use their knowledge . . . to meet real-life challenges,” as defined, in this case, by a group of OECD economists and </w:t>
      </w:r>
      <w:proofErr w:type="spellStart"/>
      <w:r w:rsidRPr="00990ACB">
        <w:rPr>
          <w:rFonts w:ascii="Helvetica" w:hAnsi="Helvetica" w:cs="Helvetica"/>
        </w:rPr>
        <w:t>psychometricians</w:t>
      </w:r>
      <w:proofErr w:type="spellEnd"/>
      <w:r w:rsidRPr="00990ACB">
        <w:rPr>
          <w:rFonts w:ascii="Helvetica" w:hAnsi="Helvetica" w:cs="Helvetica"/>
        </w:rPr>
        <w:t>.</w:t>
      </w:r>
    </w:p>
    <w:p w:rsidR="00990ACB" w:rsidRPr="00990ACB" w:rsidRDefault="00990ACB" w:rsidP="00990ACB">
      <w:pPr>
        <w:widowControl w:val="0"/>
        <w:autoSpaceDE w:val="0"/>
        <w:autoSpaceDN w:val="0"/>
        <w:adjustRightInd w:val="0"/>
        <w:spacing w:after="0"/>
        <w:rPr>
          <w:rFonts w:ascii="Helvetica" w:hAnsi="Helvetica" w:cs="Helvetica"/>
        </w:rPr>
      </w:pPr>
    </w:p>
    <w:p w:rsidR="00990ACB" w:rsidRPr="00990ACB" w:rsidRDefault="00990ACB" w:rsidP="00990ACB">
      <w:pPr>
        <w:widowControl w:val="0"/>
        <w:autoSpaceDE w:val="0"/>
        <w:autoSpaceDN w:val="0"/>
        <w:adjustRightInd w:val="0"/>
        <w:spacing w:after="0"/>
        <w:ind w:firstLine="240"/>
        <w:jc w:val="center"/>
        <w:rPr>
          <w:rFonts w:ascii="Helvetica" w:hAnsi="Helvetica" w:cs="Helvetica"/>
        </w:rPr>
      </w:pPr>
      <w:r w:rsidRPr="00990ACB">
        <w:rPr>
          <w:rFonts w:ascii="Helvetica" w:hAnsi="Helvetica" w:cs="Helvetica"/>
        </w:rPr>
        <w:t>HOMOGENIZING THE HETEROGENEOUS: COMPARABILITY WITHOUT CONTEXT</w:t>
      </w:r>
    </w:p>
    <w:p w:rsidR="00990ACB" w:rsidRPr="00990ACB" w:rsidRDefault="00990ACB" w:rsidP="00990ACB">
      <w:pPr>
        <w:widowControl w:val="0"/>
        <w:autoSpaceDE w:val="0"/>
        <w:autoSpaceDN w:val="0"/>
        <w:adjustRightInd w:val="0"/>
        <w:spacing w:after="0"/>
        <w:rPr>
          <w:rFonts w:ascii="Helvetica" w:hAnsi="Helvetica" w:cs="Helvetica"/>
        </w:rPr>
      </w:pPr>
    </w:p>
    <w:p w:rsidR="00990ACB" w:rsidRPr="00990ACB" w:rsidRDefault="00990ACB" w:rsidP="00990ACB">
      <w:pPr>
        <w:widowControl w:val="0"/>
        <w:autoSpaceDE w:val="0"/>
        <w:autoSpaceDN w:val="0"/>
        <w:adjustRightInd w:val="0"/>
        <w:spacing w:after="0"/>
        <w:rPr>
          <w:rFonts w:ascii="Helvetica" w:hAnsi="Helvetica" w:cs="Helvetica"/>
        </w:rPr>
      </w:pPr>
      <w:r w:rsidRPr="00990ACB">
        <w:rPr>
          <w:rFonts w:ascii="Helvetica" w:hAnsi="Helvetica" w:cs="Helvetica"/>
        </w:rPr>
        <w:t xml:space="preserve">That a test of school children would be designed </w:t>
      </w:r>
      <w:r w:rsidRPr="00990ACB">
        <w:rPr>
          <w:rFonts w:ascii="Helvetica" w:hAnsi="Helvetica" w:cs="Helvetica"/>
          <w:i/>
          <w:iCs/>
        </w:rPr>
        <w:t>not</w:t>
      </w:r>
      <w:r w:rsidRPr="00990ACB">
        <w:rPr>
          <w:rFonts w:ascii="Helvetica" w:hAnsi="Helvetica" w:cs="Helvetica"/>
        </w:rPr>
        <w:t xml:space="preserve"> to test school content can be seen as a concession to its particular purpose: the desire to compare school outcomes of students attending vastly different schools, with very different curriculum and culture, whose ability to competently participate in a globalizing economy is what is interesting in the globalizing vista of organizations like OECD. But, though unique in its claim to offer a universal measure of student outcomes around the world, PISA was not the first large-scale test to promise a context-free measure of lasting school outcomes. This distinction goes to the tests of the General Educational Development (GED), created in the United States in the 1940s as a means of measuring the educational attainment of returning veterans. Because nearly a quarter of all veterans had never attended high school, the makers of the GED were tasked not with measuring the “formal curriculum” but the “lasting outcomes” of a person’s learning. They were to assess knowledge with “wide applicability” and the “greatest functional value”—phrases with a resounding echo to PISA’s modern day concerns.</w:t>
      </w:r>
    </w:p>
    <w:p w:rsidR="00990ACB" w:rsidRPr="00990ACB" w:rsidRDefault="00990ACB" w:rsidP="00990ACB">
      <w:pPr>
        <w:widowControl w:val="0"/>
        <w:autoSpaceDE w:val="0"/>
        <w:autoSpaceDN w:val="0"/>
        <w:adjustRightInd w:val="0"/>
        <w:spacing w:after="0"/>
        <w:rPr>
          <w:rFonts w:ascii="Helvetica" w:hAnsi="Helvetica" w:cs="Helvetica"/>
        </w:rPr>
      </w:pPr>
    </w:p>
    <w:p w:rsidR="00990ACB" w:rsidRPr="00990ACB" w:rsidRDefault="00990ACB" w:rsidP="00990ACB">
      <w:pPr>
        <w:widowControl w:val="0"/>
        <w:autoSpaceDE w:val="0"/>
        <w:autoSpaceDN w:val="0"/>
        <w:adjustRightInd w:val="0"/>
        <w:spacing w:after="0"/>
        <w:rPr>
          <w:rFonts w:ascii="Helvetica" w:hAnsi="Helvetica" w:cs="Helvetica"/>
        </w:rPr>
      </w:pPr>
      <w:r w:rsidRPr="00990ACB">
        <w:rPr>
          <w:rFonts w:ascii="Helvetica" w:hAnsi="Helvetica" w:cs="Helvetica"/>
        </w:rPr>
        <w:t xml:space="preserve">Recognizing these parallels, Ethan Hutt examines the history and development of the GED in order to investigate the allure, promise, and pitfalls of the idea of context-free assessment and accountability. Analyzing the origin and rationale of this </w:t>
      </w:r>
      <w:proofErr w:type="gramStart"/>
      <w:r w:rsidRPr="00990ACB">
        <w:rPr>
          <w:rFonts w:ascii="Helvetica" w:hAnsi="Helvetica" w:cs="Helvetica"/>
        </w:rPr>
        <w:t>much neglected</w:t>
      </w:r>
      <w:proofErr w:type="gramEnd"/>
      <w:r w:rsidRPr="00990ACB">
        <w:rPr>
          <w:rFonts w:ascii="Helvetica" w:hAnsi="Helvetica" w:cs="Helvetica"/>
        </w:rPr>
        <w:t xml:space="preserve"> early federal policy intervention, Hutt highlights the usefulness of quantifiable metrics but also the inherent danger of the presumed certainty of these kinds of standards.</w:t>
      </w:r>
    </w:p>
    <w:p w:rsidR="00990ACB" w:rsidRPr="00990ACB" w:rsidRDefault="00990ACB" w:rsidP="00990ACB">
      <w:pPr>
        <w:widowControl w:val="0"/>
        <w:autoSpaceDE w:val="0"/>
        <w:autoSpaceDN w:val="0"/>
        <w:adjustRightInd w:val="0"/>
        <w:spacing w:after="0"/>
        <w:rPr>
          <w:rFonts w:ascii="Helvetica" w:hAnsi="Helvetica" w:cs="Helvetica"/>
        </w:rPr>
      </w:pPr>
    </w:p>
    <w:p w:rsidR="00990ACB" w:rsidRPr="00990ACB" w:rsidRDefault="00990ACB" w:rsidP="00990ACB">
      <w:pPr>
        <w:widowControl w:val="0"/>
        <w:autoSpaceDE w:val="0"/>
        <w:autoSpaceDN w:val="0"/>
        <w:adjustRightInd w:val="0"/>
        <w:spacing w:after="0"/>
        <w:rPr>
          <w:rFonts w:ascii="Helvetica" w:hAnsi="Helvetica" w:cs="Helvetica"/>
        </w:rPr>
      </w:pPr>
      <w:r w:rsidRPr="00990ACB">
        <w:rPr>
          <w:rFonts w:ascii="Helvetica" w:hAnsi="Helvetica" w:cs="Helvetica"/>
        </w:rPr>
        <w:t>Hutt’s paper reveals the ability of the U.S. government to bend education policy to the imperatives of political expediency—thereby setting in motion a train of events that go far beyond the limited goals of its originators. The GED was meant to address a unique, temporary problem of tens of thousands of WWII veterans who had no high school diploma and who would have been barred from employment opportunities and further education. But even after this purpose was long accomplished, the GED retained its reputation as an objective, readily available measure of high school achievement that could be used in any context and with any population—a task it was never intended or designed to serve. As analyzed by Hutt, the GED offers a window into education policy making in which many of the elements of today’s accountability interventions are already in place: the bending of educational standards to political expediency; the rise of experts as policy makers; and the use of quantitative methods and measures to devise and enforce policies.</w:t>
      </w:r>
    </w:p>
    <w:p w:rsidR="00990ACB" w:rsidRPr="00990ACB" w:rsidRDefault="00990ACB" w:rsidP="00990ACB">
      <w:pPr>
        <w:widowControl w:val="0"/>
        <w:autoSpaceDE w:val="0"/>
        <w:autoSpaceDN w:val="0"/>
        <w:adjustRightInd w:val="0"/>
        <w:spacing w:after="0"/>
        <w:rPr>
          <w:rFonts w:ascii="Helvetica" w:hAnsi="Helvetica" w:cs="Helvetica"/>
        </w:rPr>
      </w:pPr>
    </w:p>
    <w:p w:rsidR="00990ACB" w:rsidRPr="00990ACB" w:rsidRDefault="00990ACB" w:rsidP="00990ACB">
      <w:pPr>
        <w:widowControl w:val="0"/>
        <w:autoSpaceDE w:val="0"/>
        <w:autoSpaceDN w:val="0"/>
        <w:adjustRightInd w:val="0"/>
        <w:spacing w:after="0"/>
        <w:rPr>
          <w:rFonts w:ascii="Helvetica" w:hAnsi="Helvetica" w:cs="Helvetica"/>
        </w:rPr>
      </w:pPr>
      <w:r w:rsidRPr="00990ACB">
        <w:rPr>
          <w:rFonts w:ascii="Helvetica" w:hAnsi="Helvetica" w:cs="Helvetica"/>
        </w:rPr>
        <w:t xml:space="preserve">In its attempt to measure knowledge that is relevant to the “challenges of today’s knowledge societies,” PISA can be seen—like the GED—as a blank canvas on which an elite group of experts have been free to write whatever they happened to deem “relevant.” David </w:t>
      </w:r>
      <w:proofErr w:type="spellStart"/>
      <w:r w:rsidRPr="00990ACB">
        <w:rPr>
          <w:rFonts w:ascii="Helvetica" w:hAnsi="Helvetica" w:cs="Helvetica"/>
        </w:rPr>
        <w:t>Labaree</w:t>
      </w:r>
      <w:proofErr w:type="spellEnd"/>
      <w:r w:rsidRPr="00990ACB">
        <w:rPr>
          <w:rFonts w:ascii="Helvetica" w:hAnsi="Helvetica" w:cs="Helvetica"/>
        </w:rPr>
        <w:t xml:space="preserve"> considers similarities between PISA’s measuring student achievement across national school systems with different curricula and U.S. policy developments since the 1983 </w:t>
      </w:r>
      <w:r w:rsidRPr="00990ACB">
        <w:rPr>
          <w:rFonts w:ascii="Helvetica" w:hAnsi="Helvetica" w:cs="Helvetica"/>
          <w:i/>
          <w:iCs/>
        </w:rPr>
        <w:t>A Nation at Risk</w:t>
      </w:r>
      <w:r w:rsidRPr="00990ACB">
        <w:rPr>
          <w:rFonts w:ascii="Helvetica" w:hAnsi="Helvetica" w:cs="Helvetica"/>
        </w:rPr>
        <w:t xml:space="preserve"> report. Instead of measuring how well students learn what they are taught in each system, it measures a set of economically useful skills that no one teaches. The paper explores PISA and similar international assessments as one type of educational accountability system, based on how well students demonstrate mastery of particular cognitive skills, in comparison with the pre-Common Core</w:t>
      </w:r>
      <w:r w:rsidRPr="00990ACB">
        <w:rPr>
          <w:rFonts w:ascii="Helvetica" w:hAnsi="Helvetica" w:cs="Helvetica"/>
          <w:i/>
          <w:iCs/>
        </w:rPr>
        <w:t xml:space="preserve"> </w:t>
      </w:r>
      <w:r w:rsidRPr="00990ACB">
        <w:rPr>
          <w:rFonts w:ascii="Helvetica" w:hAnsi="Helvetica" w:cs="Helvetica"/>
        </w:rPr>
        <w:t>state-level accountability systems in the United States, which were based on how well students demonstrated mastery of the formal curriculum.</w:t>
      </w:r>
    </w:p>
    <w:p w:rsidR="00990ACB" w:rsidRPr="00990ACB" w:rsidRDefault="00990ACB" w:rsidP="00990ACB">
      <w:pPr>
        <w:widowControl w:val="0"/>
        <w:autoSpaceDE w:val="0"/>
        <w:autoSpaceDN w:val="0"/>
        <w:adjustRightInd w:val="0"/>
        <w:spacing w:after="0"/>
        <w:rPr>
          <w:rFonts w:ascii="Helvetica" w:hAnsi="Helvetica" w:cs="Helvetica"/>
        </w:rPr>
      </w:pPr>
    </w:p>
    <w:p w:rsidR="00990ACB" w:rsidRPr="00990ACB" w:rsidRDefault="00990ACB" w:rsidP="00990ACB">
      <w:pPr>
        <w:widowControl w:val="0"/>
        <w:autoSpaceDE w:val="0"/>
        <w:autoSpaceDN w:val="0"/>
        <w:adjustRightInd w:val="0"/>
        <w:spacing w:after="0"/>
        <w:rPr>
          <w:rFonts w:ascii="Helvetica" w:hAnsi="Helvetica" w:cs="Helvetica"/>
        </w:rPr>
      </w:pPr>
      <w:proofErr w:type="spellStart"/>
      <w:r w:rsidRPr="00990ACB">
        <w:rPr>
          <w:rFonts w:ascii="Helvetica" w:hAnsi="Helvetica" w:cs="Helvetica"/>
        </w:rPr>
        <w:t>Labaree</w:t>
      </w:r>
      <w:proofErr w:type="spellEnd"/>
      <w:r w:rsidRPr="00990ACB">
        <w:rPr>
          <w:rFonts w:ascii="Helvetica" w:hAnsi="Helvetica" w:cs="Helvetica"/>
        </w:rPr>
        <w:t xml:space="preserve"> traces the construction of new standards and expectations from the 1983 </w:t>
      </w:r>
      <w:r w:rsidRPr="00990ACB">
        <w:rPr>
          <w:rFonts w:ascii="Helvetica" w:hAnsi="Helvetica" w:cs="Helvetica"/>
          <w:i/>
          <w:iCs/>
        </w:rPr>
        <w:t>Nation at Risk</w:t>
      </w:r>
      <w:r w:rsidRPr="00990ACB">
        <w:rPr>
          <w:rFonts w:ascii="Helvetica" w:hAnsi="Helvetica" w:cs="Helvetica"/>
        </w:rPr>
        <w:t xml:space="preserve"> to today’s Common Core. In both cases more or less explicit comparisons with other nations served as a key legitimizing foil. Not “falling behind” the economically relevant performance of schools of our main competitors has emerged as a trope that can be readily invoked and repeated in countless ways by the media. The </w:t>
      </w:r>
      <w:r w:rsidRPr="00990ACB">
        <w:rPr>
          <w:rFonts w:ascii="Helvetica" w:hAnsi="Helvetica" w:cs="Helvetica"/>
          <w:i/>
          <w:iCs/>
        </w:rPr>
        <w:t>Nation at Risk</w:t>
      </w:r>
      <w:r w:rsidRPr="00990ACB">
        <w:rPr>
          <w:rFonts w:ascii="Helvetica" w:hAnsi="Helvetica" w:cs="Helvetica"/>
        </w:rPr>
        <w:t xml:space="preserve"> report already contained a quite explicit rationale for policy developments that were to unfold over the following three decades. Of particular interest is that No Child Left Behind (NCLB) managed to break the longstanding resistance to federal involvement into states’ rights by combining an economic efficiency rationale (“we are falling behind our competitors”) with an egalitarian rationale (“we leave too many kids behind”), a concern whose sincerity may be doubted, given the “compare, punish and close” mode of operation which NCLB institutionalized.</w:t>
      </w:r>
    </w:p>
    <w:p w:rsidR="00990ACB" w:rsidRPr="00990ACB" w:rsidRDefault="00990ACB" w:rsidP="00990ACB">
      <w:pPr>
        <w:widowControl w:val="0"/>
        <w:autoSpaceDE w:val="0"/>
        <w:autoSpaceDN w:val="0"/>
        <w:adjustRightInd w:val="0"/>
        <w:spacing w:after="0"/>
        <w:rPr>
          <w:rFonts w:ascii="Helvetica" w:hAnsi="Helvetica" w:cs="Helvetica"/>
        </w:rPr>
      </w:pPr>
    </w:p>
    <w:p w:rsidR="00990ACB" w:rsidRPr="00990ACB" w:rsidRDefault="00990ACB" w:rsidP="00990ACB">
      <w:pPr>
        <w:widowControl w:val="0"/>
        <w:autoSpaceDE w:val="0"/>
        <w:autoSpaceDN w:val="0"/>
        <w:adjustRightInd w:val="0"/>
        <w:spacing w:after="0"/>
        <w:rPr>
          <w:rFonts w:ascii="Helvetica" w:hAnsi="Helvetica" w:cs="Helvetica"/>
        </w:rPr>
      </w:pPr>
      <w:r w:rsidRPr="00990ACB">
        <w:rPr>
          <w:rFonts w:ascii="Helvetica" w:hAnsi="Helvetica" w:cs="Helvetica"/>
        </w:rPr>
        <w:t>It is also noteworthy that by forcing states into measuring and reporting students’ achievements, NCLB almost unwittingly set the stage for the an unprecedented historical shift in American education policy: the move from staunch rejection of federal government involvement in education to the construction of a uniform, centralized curriculum, the Common Core. NCLB laid bare the limitations of a policy regime that left standard-setting sovereignty to the several states, thereby severely undermining the project of universal comparability. State and local control over curricula—until then one of the few articles of American educational faith—suddenly turned into a key barrier to educational effectiveness, making it possible to argue compellingly for something that, until then, was an American anathema: a national curriculum. In this fashion one might interpret NCLB as the law that prepared the ground for the Common Core, which, in turn, finally allows for the creation of a PISA-like ranking of the several states. Once more, “comparability trumps content.”</w:t>
      </w:r>
    </w:p>
    <w:p w:rsidR="00990ACB" w:rsidRPr="00990ACB" w:rsidRDefault="00990ACB" w:rsidP="00990ACB">
      <w:pPr>
        <w:widowControl w:val="0"/>
        <w:autoSpaceDE w:val="0"/>
        <w:autoSpaceDN w:val="0"/>
        <w:adjustRightInd w:val="0"/>
        <w:spacing w:after="0"/>
        <w:rPr>
          <w:rFonts w:ascii="Helvetica" w:hAnsi="Helvetica" w:cs="Helvetica"/>
        </w:rPr>
      </w:pPr>
    </w:p>
    <w:p w:rsidR="00990ACB" w:rsidRPr="00990ACB" w:rsidRDefault="00990ACB" w:rsidP="00990ACB">
      <w:pPr>
        <w:widowControl w:val="0"/>
        <w:autoSpaceDE w:val="0"/>
        <w:autoSpaceDN w:val="0"/>
        <w:adjustRightInd w:val="0"/>
        <w:spacing w:after="0"/>
        <w:ind w:firstLine="240"/>
        <w:jc w:val="center"/>
        <w:rPr>
          <w:rFonts w:ascii="Helvetica" w:hAnsi="Helvetica" w:cs="Helvetica"/>
        </w:rPr>
      </w:pPr>
      <w:r w:rsidRPr="00990ACB">
        <w:rPr>
          <w:rFonts w:ascii="Helvetica" w:hAnsi="Helvetica" w:cs="Helvetica"/>
        </w:rPr>
        <w:t>OECD AND THE GLOBALIZATION OF EDUCATION POLICY MAKING</w:t>
      </w:r>
    </w:p>
    <w:p w:rsidR="00990ACB" w:rsidRPr="00990ACB" w:rsidRDefault="00990ACB" w:rsidP="00990ACB">
      <w:pPr>
        <w:widowControl w:val="0"/>
        <w:autoSpaceDE w:val="0"/>
        <w:autoSpaceDN w:val="0"/>
        <w:adjustRightInd w:val="0"/>
        <w:spacing w:after="0"/>
        <w:rPr>
          <w:rFonts w:ascii="Helvetica" w:hAnsi="Helvetica" w:cs="Helvetica"/>
        </w:rPr>
      </w:pPr>
    </w:p>
    <w:p w:rsidR="00990ACB" w:rsidRPr="00990ACB" w:rsidRDefault="00990ACB" w:rsidP="00990ACB">
      <w:pPr>
        <w:widowControl w:val="0"/>
        <w:autoSpaceDE w:val="0"/>
        <w:autoSpaceDN w:val="0"/>
        <w:adjustRightInd w:val="0"/>
        <w:spacing w:after="0"/>
        <w:rPr>
          <w:rFonts w:ascii="Helvetica" w:hAnsi="Helvetica" w:cs="Helvetica"/>
        </w:rPr>
      </w:pPr>
      <w:r w:rsidRPr="00990ACB">
        <w:rPr>
          <w:rFonts w:ascii="Helvetica" w:hAnsi="Helvetica" w:cs="Helvetica"/>
        </w:rPr>
        <w:t>With PISA, the OECD—an organization whose self-avowed mission is the growth of market economies—is emerging as an increasingly influential global authority of public education. Set up as an organization to further the interests of the world's most developed industrial economies, OECD has, until recently, limited itself to a monitoring and informing role in education, leaving substantive issues of policy to national governments and international bodies with a more plausible mandate in education.</w:t>
      </w:r>
    </w:p>
    <w:p w:rsidR="00990ACB" w:rsidRPr="00990ACB" w:rsidRDefault="00990ACB" w:rsidP="00990ACB">
      <w:pPr>
        <w:widowControl w:val="0"/>
        <w:autoSpaceDE w:val="0"/>
        <w:autoSpaceDN w:val="0"/>
        <w:adjustRightInd w:val="0"/>
        <w:spacing w:after="0"/>
        <w:rPr>
          <w:rFonts w:ascii="Helvetica" w:hAnsi="Helvetica" w:cs="Helvetica"/>
        </w:rPr>
      </w:pPr>
    </w:p>
    <w:p w:rsidR="00990ACB" w:rsidRPr="00990ACB" w:rsidRDefault="00990ACB" w:rsidP="00990ACB">
      <w:pPr>
        <w:widowControl w:val="0"/>
        <w:autoSpaceDE w:val="0"/>
        <w:autoSpaceDN w:val="0"/>
        <w:adjustRightInd w:val="0"/>
        <w:spacing w:after="0"/>
        <w:rPr>
          <w:rFonts w:ascii="Helvetica" w:hAnsi="Helvetica" w:cs="Helvetica"/>
        </w:rPr>
      </w:pPr>
      <w:r w:rsidRPr="00990ACB">
        <w:rPr>
          <w:rFonts w:ascii="Helvetica" w:hAnsi="Helvetica" w:cs="Helvetica"/>
        </w:rPr>
        <w:t>But with PISA OECD has entered a new phase of global influence. Representing the world’s most economically developed nations, it has the financial resources and political clout to shape the “accountability” agenda in ways that rival and even overshadow the influence of national policy makers—thus raising concerns that it is on the way to become a global ministry of education.</w:t>
      </w:r>
    </w:p>
    <w:p w:rsidR="00990ACB" w:rsidRPr="00990ACB" w:rsidRDefault="00990ACB" w:rsidP="00990ACB">
      <w:pPr>
        <w:widowControl w:val="0"/>
        <w:autoSpaceDE w:val="0"/>
        <w:autoSpaceDN w:val="0"/>
        <w:adjustRightInd w:val="0"/>
        <w:spacing w:after="0"/>
        <w:rPr>
          <w:rFonts w:ascii="Helvetica" w:hAnsi="Helvetica" w:cs="Helvetica"/>
        </w:rPr>
      </w:pPr>
    </w:p>
    <w:p w:rsidR="00990ACB" w:rsidRPr="00990ACB" w:rsidRDefault="00990ACB" w:rsidP="00990ACB">
      <w:pPr>
        <w:widowControl w:val="0"/>
        <w:autoSpaceDE w:val="0"/>
        <w:autoSpaceDN w:val="0"/>
        <w:adjustRightInd w:val="0"/>
        <w:spacing w:after="0"/>
        <w:jc w:val="both"/>
        <w:rPr>
          <w:rFonts w:ascii="Helvetica" w:hAnsi="Helvetica" w:cs="Helvetica"/>
        </w:rPr>
      </w:pPr>
      <w:r w:rsidRPr="00990ACB">
        <w:rPr>
          <w:rFonts w:ascii="Helvetica" w:hAnsi="Helvetica" w:cs="Helvetica"/>
          <w:i/>
          <w:iCs/>
        </w:rPr>
        <w:t>PISA’S IMPACT</w:t>
      </w:r>
    </w:p>
    <w:p w:rsidR="00990ACB" w:rsidRPr="00990ACB" w:rsidRDefault="00990ACB" w:rsidP="00990ACB">
      <w:pPr>
        <w:widowControl w:val="0"/>
        <w:autoSpaceDE w:val="0"/>
        <w:autoSpaceDN w:val="0"/>
        <w:adjustRightInd w:val="0"/>
        <w:spacing w:after="0"/>
        <w:jc w:val="both"/>
        <w:rPr>
          <w:rFonts w:ascii="Helvetica" w:hAnsi="Helvetica" w:cs="Helvetica"/>
        </w:rPr>
      </w:pPr>
    </w:p>
    <w:p w:rsidR="00990ACB" w:rsidRPr="00990ACB" w:rsidRDefault="00990ACB" w:rsidP="00990ACB">
      <w:pPr>
        <w:widowControl w:val="0"/>
        <w:autoSpaceDE w:val="0"/>
        <w:autoSpaceDN w:val="0"/>
        <w:adjustRightInd w:val="0"/>
        <w:spacing w:after="0"/>
        <w:rPr>
          <w:rFonts w:ascii="Helvetica" w:hAnsi="Helvetica" w:cs="Helvetica"/>
        </w:rPr>
      </w:pPr>
      <w:r w:rsidRPr="00990ACB">
        <w:rPr>
          <w:rFonts w:ascii="Helvetica" w:hAnsi="Helvetica" w:cs="Helvetica"/>
        </w:rPr>
        <w:t>One indication for PISA’s influence on the ground is the growth of participating countries from 32 in 2000 (the first PISA survey) to 64 in 2012. Another is the “shock” and subsequent reform scramble that countries from Germany (</w:t>
      </w:r>
      <w:proofErr w:type="spellStart"/>
      <w:r w:rsidRPr="00990ACB">
        <w:rPr>
          <w:rFonts w:ascii="Helvetica" w:hAnsi="Helvetica" w:cs="Helvetica"/>
        </w:rPr>
        <w:t>Ertl</w:t>
      </w:r>
      <w:proofErr w:type="spellEnd"/>
      <w:r w:rsidRPr="00990ACB">
        <w:rPr>
          <w:rFonts w:ascii="Helvetica" w:hAnsi="Helvetica" w:cs="Helvetica"/>
        </w:rPr>
        <w:t xml:space="preserve"> 2006) to Japan (</w:t>
      </w:r>
      <w:proofErr w:type="spellStart"/>
      <w:r w:rsidRPr="00990ACB">
        <w:rPr>
          <w:rFonts w:ascii="Helvetica" w:hAnsi="Helvetica" w:cs="Helvetica"/>
        </w:rPr>
        <w:t>Takayama</w:t>
      </w:r>
      <w:proofErr w:type="spellEnd"/>
      <w:r w:rsidRPr="00990ACB">
        <w:rPr>
          <w:rFonts w:ascii="Helvetica" w:hAnsi="Helvetica" w:cs="Helvetica"/>
        </w:rPr>
        <w:t xml:space="preserve"> 2008) have experienced. A recent OECD-sponsored study of PISA’s impact </w:t>
      </w:r>
      <w:proofErr w:type="gramStart"/>
      <w:r w:rsidRPr="00990ACB">
        <w:rPr>
          <w:rFonts w:ascii="Helvetica" w:hAnsi="Helvetica" w:cs="Helvetica"/>
        </w:rPr>
        <w:t>concludes that</w:t>
      </w:r>
      <w:proofErr w:type="gramEnd"/>
      <w:r w:rsidRPr="00990ACB">
        <w:rPr>
          <w:rFonts w:ascii="Helvetica" w:hAnsi="Helvetica" w:cs="Helvetica"/>
        </w:rPr>
        <w:t xml:space="preserve"> “PISA has become accepted as a reliable instrument for benchmarking student performance worldwide” (</w:t>
      </w:r>
      <w:proofErr w:type="spellStart"/>
      <w:r w:rsidRPr="00990ACB">
        <w:rPr>
          <w:rFonts w:ascii="Helvetica" w:hAnsi="Helvetica" w:cs="Helvetica"/>
        </w:rPr>
        <w:t>Breakspear</w:t>
      </w:r>
      <w:proofErr w:type="spellEnd"/>
      <w:r w:rsidRPr="00990ACB">
        <w:rPr>
          <w:rFonts w:ascii="Helvetica" w:hAnsi="Helvetica" w:cs="Helvetica"/>
        </w:rPr>
        <w:t xml:space="preserve"> 2012: 4). This study, which queried the members of PISA’s governing board, found that of 37 responding countries, only two Islam-influenced countries (Turkey and Indonesia) rated PISA as a “not very important” indicator of the effectiveness of their school system (18). The author asked what, if any, changes in educational policies and practices took place in light of PISA outcomes. He found that PISA exerted significant normative pressure to align domestic policies with the standards and competencies PISA targets and measures. He found that government officials rely on PISA’s league tables to make inferences that “other countries are improving at a faster rate and overtaking us” (e.g., England-UK) (13); that some countries compared themselves to top-ranking countries inferring that their national system suffers from “strong socio-economic background effects” (Germany, Scotland-UK) (12), or pronounced gender differences (Korea). Countries like Canada and Chile changed their own assessment in order to link national and PISA results (20), while Ireland, Germany, Greece, Norway, and the United States revised their curriculum to “include PISA-like competencies.” As the U.S. representative on the PISA board put it: “PISA has been assessed, along with other frameworks, in the formation of the new Common Core Standards” (24).</w:t>
      </w:r>
    </w:p>
    <w:p w:rsidR="00990ACB" w:rsidRPr="00990ACB" w:rsidRDefault="00990ACB" w:rsidP="00990ACB">
      <w:pPr>
        <w:widowControl w:val="0"/>
        <w:autoSpaceDE w:val="0"/>
        <w:autoSpaceDN w:val="0"/>
        <w:adjustRightInd w:val="0"/>
        <w:spacing w:after="0"/>
        <w:rPr>
          <w:rFonts w:ascii="Helvetica" w:hAnsi="Helvetica" w:cs="Helvetica"/>
        </w:rPr>
      </w:pPr>
    </w:p>
    <w:p w:rsidR="00990ACB" w:rsidRPr="00990ACB" w:rsidRDefault="00990ACB" w:rsidP="00990ACB">
      <w:pPr>
        <w:widowControl w:val="0"/>
        <w:autoSpaceDE w:val="0"/>
        <w:autoSpaceDN w:val="0"/>
        <w:adjustRightInd w:val="0"/>
        <w:spacing w:after="0"/>
        <w:rPr>
          <w:rFonts w:ascii="Helvetica" w:hAnsi="Helvetica" w:cs="Helvetica"/>
        </w:rPr>
      </w:pPr>
      <w:r w:rsidRPr="00990ACB">
        <w:rPr>
          <w:rFonts w:ascii="Helvetica" w:hAnsi="Helvetica" w:cs="Helvetica"/>
        </w:rPr>
        <w:t xml:space="preserve">As Daniel </w:t>
      </w:r>
      <w:proofErr w:type="spellStart"/>
      <w:r w:rsidRPr="00990ACB">
        <w:rPr>
          <w:rFonts w:ascii="Helvetica" w:hAnsi="Helvetica" w:cs="Helvetica"/>
        </w:rPr>
        <w:t>Troehler</w:t>
      </w:r>
      <w:proofErr w:type="spellEnd"/>
      <w:r w:rsidRPr="00990ACB">
        <w:rPr>
          <w:rFonts w:ascii="Helvetica" w:hAnsi="Helvetica" w:cs="Helvetica"/>
        </w:rPr>
        <w:t xml:space="preserve"> shows, the process that culminated in the creation of PISA has actually been long in the making. His paper analyzes the political strategies of the early OECD stakeholders in transforming schooling from a cultural to a technological system. OECD’s experts early on confronted the problem of standardizing different existing patterns of thoughts and institutional behaviors in the member countries. The European standardization process observable in the early 1960s triggered by the OECD effectively influenced the organization of educational policies on the level of the national education departments. In line with the OECD’s “consensus”-based strategy of policy formation, the new ideology was transported, disseminated, and implemented by bypassing political taboo themes and controversial topics. This paved the way for the process of standardization and formal adaptation of the organization of education and educational planning. Although seemingly focused on the production of comparable data and statistics, it transported specific ideologies of how society and its citizens should be shaped.</w:t>
      </w:r>
    </w:p>
    <w:p w:rsidR="00990ACB" w:rsidRPr="00990ACB" w:rsidRDefault="00990ACB" w:rsidP="00990ACB">
      <w:pPr>
        <w:widowControl w:val="0"/>
        <w:autoSpaceDE w:val="0"/>
        <w:autoSpaceDN w:val="0"/>
        <w:adjustRightInd w:val="0"/>
        <w:spacing w:after="0"/>
        <w:rPr>
          <w:rFonts w:ascii="Helvetica" w:hAnsi="Helvetica" w:cs="Helvetica"/>
        </w:rPr>
      </w:pPr>
    </w:p>
    <w:p w:rsidR="00990ACB" w:rsidRPr="00990ACB" w:rsidRDefault="00990ACB" w:rsidP="00990ACB">
      <w:pPr>
        <w:widowControl w:val="0"/>
        <w:autoSpaceDE w:val="0"/>
        <w:autoSpaceDN w:val="0"/>
        <w:adjustRightInd w:val="0"/>
        <w:spacing w:after="0"/>
        <w:rPr>
          <w:rFonts w:ascii="Helvetica" w:hAnsi="Helvetica" w:cs="Helvetica"/>
        </w:rPr>
      </w:pPr>
      <w:r w:rsidRPr="00990ACB">
        <w:rPr>
          <w:rFonts w:ascii="Helvetica" w:hAnsi="Helvetica" w:cs="Helvetica"/>
        </w:rPr>
        <w:t xml:space="preserve">This role of the OECD as a hub of a specific policy agenda whose core principles are borrowed from neoliberalism (Harvey 2005) has become particularly pronounced over the past two decades. As Heinz-Dieter Meyer’s study of the evolution of OECD policy positions shows, moderate positions mindful of the disadvantages of standardized, context-indifferent, summative assessments had influence in the OECD as recently as the early 1990s. Key policy makers within the OECD resisted schemes of uniform assessment that would privilege accountability as a control mechanism over its use for professional learning and pedagogical improvement. That moderation gave way in the mid-1990s to an increasingly aggressive “new public management” orientation, replacing the logic of education with the logic of economic efficiency. Ironically, as the OECD’s campaign to bring neoliberal accountability to all schools in all nations draws </w:t>
      </w:r>
      <w:proofErr w:type="gramStart"/>
      <w:r w:rsidRPr="00990ACB">
        <w:rPr>
          <w:rFonts w:ascii="Helvetica" w:hAnsi="Helvetica" w:cs="Helvetica"/>
        </w:rPr>
        <w:t>ever wider</w:t>
      </w:r>
      <w:proofErr w:type="gramEnd"/>
      <w:r w:rsidRPr="00990ACB">
        <w:rPr>
          <w:rFonts w:ascii="Helvetica" w:hAnsi="Helvetica" w:cs="Helvetica"/>
        </w:rPr>
        <w:t xml:space="preserve"> circles, the degree to which the organization makes itself accountable to the democratic publics is rather limited. As the PISA juggernaut gathers momentum, it paves the way for an </w:t>
      </w:r>
      <w:proofErr w:type="gramStart"/>
      <w:r w:rsidRPr="00990ACB">
        <w:rPr>
          <w:rFonts w:ascii="Helvetica" w:hAnsi="Helvetica" w:cs="Helvetica"/>
        </w:rPr>
        <w:t>ever broader</w:t>
      </w:r>
      <w:proofErr w:type="gramEnd"/>
      <w:r w:rsidRPr="00990ACB">
        <w:rPr>
          <w:rFonts w:ascii="Helvetica" w:hAnsi="Helvetica" w:cs="Helvetica"/>
        </w:rPr>
        <w:t xml:space="preserve"> menu of services, including costly consulting and restructuring services, delivered by private multinationals, which address the educational shortcomings that PISA presumably uncovered.</w:t>
      </w:r>
    </w:p>
    <w:p w:rsidR="00990ACB" w:rsidRPr="00990ACB" w:rsidRDefault="00990ACB" w:rsidP="00990ACB">
      <w:pPr>
        <w:widowControl w:val="0"/>
        <w:autoSpaceDE w:val="0"/>
        <w:autoSpaceDN w:val="0"/>
        <w:adjustRightInd w:val="0"/>
        <w:spacing w:after="0"/>
        <w:rPr>
          <w:rFonts w:ascii="Helvetica" w:hAnsi="Helvetica" w:cs="Helvetica"/>
        </w:rPr>
      </w:pPr>
    </w:p>
    <w:p w:rsidR="00990ACB" w:rsidRPr="00990ACB" w:rsidRDefault="00990ACB" w:rsidP="00990ACB">
      <w:pPr>
        <w:widowControl w:val="0"/>
        <w:autoSpaceDE w:val="0"/>
        <w:autoSpaceDN w:val="0"/>
        <w:adjustRightInd w:val="0"/>
        <w:spacing w:after="0"/>
        <w:ind w:firstLine="240"/>
        <w:jc w:val="center"/>
        <w:rPr>
          <w:rFonts w:ascii="Helvetica" w:hAnsi="Helvetica" w:cs="Helvetica"/>
        </w:rPr>
      </w:pPr>
      <w:r w:rsidRPr="00990ACB">
        <w:rPr>
          <w:rFonts w:ascii="Helvetica" w:hAnsi="Helvetica" w:cs="Helvetica"/>
        </w:rPr>
        <w:t>POLICY CENTRALIZATION AND MICROMANAGING MANDATES</w:t>
      </w:r>
    </w:p>
    <w:p w:rsidR="00990ACB" w:rsidRPr="00990ACB" w:rsidRDefault="00990ACB" w:rsidP="00990ACB">
      <w:pPr>
        <w:widowControl w:val="0"/>
        <w:autoSpaceDE w:val="0"/>
        <w:autoSpaceDN w:val="0"/>
        <w:adjustRightInd w:val="0"/>
        <w:spacing w:after="0"/>
        <w:jc w:val="center"/>
        <w:rPr>
          <w:rFonts w:ascii="Helvetica" w:hAnsi="Helvetica" w:cs="Helvetica"/>
        </w:rPr>
      </w:pPr>
    </w:p>
    <w:p w:rsidR="00990ACB" w:rsidRPr="00990ACB" w:rsidRDefault="00990ACB" w:rsidP="00990ACB">
      <w:pPr>
        <w:widowControl w:val="0"/>
        <w:autoSpaceDE w:val="0"/>
        <w:autoSpaceDN w:val="0"/>
        <w:adjustRightInd w:val="0"/>
        <w:spacing w:after="0"/>
        <w:rPr>
          <w:rFonts w:ascii="Helvetica" w:hAnsi="Helvetica" w:cs="Helvetica"/>
        </w:rPr>
      </w:pPr>
      <w:r w:rsidRPr="00990ACB">
        <w:rPr>
          <w:rFonts w:ascii="Helvetica" w:hAnsi="Helvetica" w:cs="Helvetica"/>
        </w:rPr>
        <w:t xml:space="preserve">As educators across nations scramble to implement some of the most intrusive education policies, bringing in their tow unprecedented degrees of centralized policy control, few have yet paused to ask how long-cherished principles about government’s limited role in education have been turned upside down. This is the focus of the last set of papers by </w:t>
      </w:r>
      <w:proofErr w:type="spellStart"/>
      <w:r w:rsidRPr="00990ACB">
        <w:rPr>
          <w:rFonts w:ascii="Helvetica" w:hAnsi="Helvetica" w:cs="Helvetica"/>
        </w:rPr>
        <w:t>Münch</w:t>
      </w:r>
      <w:proofErr w:type="spellEnd"/>
      <w:r w:rsidRPr="00990ACB">
        <w:rPr>
          <w:rFonts w:ascii="Helvetica" w:hAnsi="Helvetica" w:cs="Helvetica"/>
        </w:rPr>
        <w:t xml:space="preserve"> and </w:t>
      </w:r>
      <w:proofErr w:type="spellStart"/>
      <w:r w:rsidRPr="00990ACB">
        <w:rPr>
          <w:rFonts w:ascii="Helvetica" w:hAnsi="Helvetica" w:cs="Helvetica"/>
        </w:rPr>
        <w:t>Leonardatos</w:t>
      </w:r>
      <w:proofErr w:type="spellEnd"/>
      <w:r w:rsidRPr="00990ACB">
        <w:rPr>
          <w:rFonts w:ascii="Helvetica" w:hAnsi="Helvetica" w:cs="Helvetica"/>
        </w:rPr>
        <w:t xml:space="preserve"> and </w:t>
      </w:r>
      <w:proofErr w:type="spellStart"/>
      <w:r w:rsidRPr="00990ACB">
        <w:rPr>
          <w:rFonts w:ascii="Helvetica" w:hAnsi="Helvetica" w:cs="Helvetica"/>
        </w:rPr>
        <w:t>Zahedi</w:t>
      </w:r>
      <w:proofErr w:type="spellEnd"/>
      <w:r w:rsidRPr="00990ACB">
        <w:rPr>
          <w:rFonts w:ascii="Helvetica" w:hAnsi="Helvetica" w:cs="Helvetica"/>
        </w:rPr>
        <w:t xml:space="preserve">, dealing with the policy fall-out of PISA and its national correlates in Germany and the United States. In both </w:t>
      </w:r>
      <w:proofErr w:type="gramStart"/>
      <w:r w:rsidRPr="00990ACB">
        <w:rPr>
          <w:rFonts w:ascii="Helvetica" w:hAnsi="Helvetica" w:cs="Helvetica"/>
        </w:rPr>
        <w:t>countries,</w:t>
      </w:r>
      <w:proofErr w:type="gramEnd"/>
      <w:r w:rsidRPr="00990ACB">
        <w:rPr>
          <w:rFonts w:ascii="Helvetica" w:hAnsi="Helvetica" w:cs="Helvetica"/>
        </w:rPr>
        <w:t xml:space="preserve"> deliberate and long-held commitments to prevent centralized government control over education are pushed aside as governments replace their traditionally facilitating and enabling role with micromanaging mandates.</w:t>
      </w:r>
    </w:p>
    <w:p w:rsidR="00990ACB" w:rsidRPr="00990ACB" w:rsidRDefault="00990ACB" w:rsidP="00990ACB">
      <w:pPr>
        <w:widowControl w:val="0"/>
        <w:autoSpaceDE w:val="0"/>
        <w:autoSpaceDN w:val="0"/>
        <w:adjustRightInd w:val="0"/>
        <w:spacing w:after="0"/>
        <w:rPr>
          <w:rFonts w:ascii="Helvetica" w:hAnsi="Helvetica" w:cs="Helvetica"/>
        </w:rPr>
      </w:pPr>
    </w:p>
    <w:p w:rsidR="00990ACB" w:rsidRPr="00990ACB" w:rsidRDefault="00990ACB" w:rsidP="00990ACB">
      <w:pPr>
        <w:widowControl w:val="0"/>
        <w:autoSpaceDE w:val="0"/>
        <w:autoSpaceDN w:val="0"/>
        <w:adjustRightInd w:val="0"/>
        <w:spacing w:after="0"/>
        <w:rPr>
          <w:rFonts w:ascii="Helvetica" w:hAnsi="Helvetica" w:cs="Helvetica"/>
        </w:rPr>
      </w:pPr>
      <w:r w:rsidRPr="00990ACB">
        <w:rPr>
          <w:rFonts w:ascii="Helvetica" w:hAnsi="Helvetica" w:cs="Helvetica"/>
        </w:rPr>
        <w:t xml:space="preserve">It is worth recalling in this context that the United States is the nation that refused to establish centralized control over education. The founders preferred decentralized school governance because history had taught </w:t>
      </w:r>
      <w:proofErr w:type="gramStart"/>
      <w:r w:rsidRPr="00990ACB">
        <w:rPr>
          <w:rFonts w:ascii="Helvetica" w:hAnsi="Helvetica" w:cs="Helvetica"/>
        </w:rPr>
        <w:t>them that</w:t>
      </w:r>
      <w:proofErr w:type="gramEnd"/>
      <w:r w:rsidRPr="00990ACB">
        <w:rPr>
          <w:rFonts w:ascii="Helvetica" w:hAnsi="Helvetica" w:cs="Helvetica"/>
        </w:rPr>
        <w:t xml:space="preserve"> “those entrusted with power have, in time, and by slow operations, perverted it into tyranny,” as Jefferson put it in his “bill for the more general diffusion of knowledge.” This refusal to expand political power by granting it educational authority was later reflected in the Constitution’s deliberate silence on education—a silence that produced almost two centuries of federal educational abstinence.</w:t>
      </w:r>
    </w:p>
    <w:p w:rsidR="00990ACB" w:rsidRPr="00990ACB" w:rsidRDefault="00990ACB" w:rsidP="00990ACB">
      <w:pPr>
        <w:widowControl w:val="0"/>
        <w:autoSpaceDE w:val="0"/>
        <w:autoSpaceDN w:val="0"/>
        <w:adjustRightInd w:val="0"/>
        <w:spacing w:after="0"/>
        <w:rPr>
          <w:rFonts w:ascii="Helvetica" w:hAnsi="Helvetica" w:cs="Helvetica"/>
        </w:rPr>
      </w:pPr>
    </w:p>
    <w:p w:rsidR="00990ACB" w:rsidRPr="00990ACB" w:rsidRDefault="00990ACB" w:rsidP="00990ACB">
      <w:pPr>
        <w:widowControl w:val="0"/>
        <w:autoSpaceDE w:val="0"/>
        <w:autoSpaceDN w:val="0"/>
        <w:adjustRightInd w:val="0"/>
        <w:spacing w:after="0"/>
        <w:rPr>
          <w:rFonts w:ascii="Helvetica" w:hAnsi="Helvetica" w:cs="Helvetica"/>
        </w:rPr>
      </w:pPr>
      <w:r w:rsidRPr="00990ACB">
        <w:rPr>
          <w:rFonts w:ascii="Helvetica" w:hAnsi="Helvetica" w:cs="Helvetica"/>
        </w:rPr>
        <w:t>The federal abstention from education was broken during the Civil Rights and Great Society era, when the nation had to harness federal power to redress fundamental human rights abuses—the de facto denial of access for black Americans, for children with special needs, and for children from poor families. Looking back on the origin of federal activism in education we can see that, noble and necessary as these interventions were, they established a precedent of educational emergency activism (Berliner and Biddle 1995) when real or perceived emergencies were used as pretext to override long-standing political self-limitation on the part of Washington. Ever since, it has sufficed to declare shock with Soviet sputniks or Japanese manufacturing prowess to justify increasingly intrusive federal education mandates.</w:t>
      </w:r>
    </w:p>
    <w:p w:rsidR="00990ACB" w:rsidRPr="00990ACB" w:rsidRDefault="00990ACB" w:rsidP="00990ACB">
      <w:pPr>
        <w:widowControl w:val="0"/>
        <w:autoSpaceDE w:val="0"/>
        <w:autoSpaceDN w:val="0"/>
        <w:adjustRightInd w:val="0"/>
        <w:spacing w:after="0"/>
        <w:rPr>
          <w:rFonts w:ascii="Helvetica" w:hAnsi="Helvetica" w:cs="Helvetica"/>
        </w:rPr>
      </w:pPr>
    </w:p>
    <w:p w:rsidR="00990ACB" w:rsidRPr="00990ACB" w:rsidRDefault="00990ACB" w:rsidP="00990ACB">
      <w:pPr>
        <w:widowControl w:val="0"/>
        <w:autoSpaceDE w:val="0"/>
        <w:autoSpaceDN w:val="0"/>
        <w:adjustRightInd w:val="0"/>
        <w:spacing w:after="0"/>
        <w:rPr>
          <w:rFonts w:ascii="Helvetica" w:hAnsi="Helvetica" w:cs="Helvetica"/>
        </w:rPr>
      </w:pPr>
      <w:r w:rsidRPr="00990ACB">
        <w:rPr>
          <w:rFonts w:ascii="Helvetica" w:hAnsi="Helvetica" w:cs="Helvetica"/>
        </w:rPr>
        <w:t xml:space="preserve">The centralization of governance we are witnessing in the United States is also at work abroad. Germany, a </w:t>
      </w:r>
      <w:proofErr w:type="gramStart"/>
      <w:r w:rsidRPr="00990ACB">
        <w:rPr>
          <w:rFonts w:ascii="Helvetica" w:hAnsi="Helvetica" w:cs="Helvetica"/>
        </w:rPr>
        <w:t>nation which</w:t>
      </w:r>
      <w:proofErr w:type="gramEnd"/>
      <w:r w:rsidRPr="00990ACB">
        <w:rPr>
          <w:rFonts w:ascii="Helvetica" w:hAnsi="Helvetica" w:cs="Helvetica"/>
        </w:rPr>
        <w:t xml:space="preserve"> long prided itself on pioneering large-scale public education in the liberal spirit of </w:t>
      </w:r>
      <w:proofErr w:type="spellStart"/>
      <w:r w:rsidRPr="00990ACB">
        <w:rPr>
          <w:rFonts w:ascii="Helvetica" w:hAnsi="Helvetica" w:cs="Helvetica"/>
          <w:i/>
          <w:iCs/>
        </w:rPr>
        <w:t>Bildung</w:t>
      </w:r>
      <w:proofErr w:type="spellEnd"/>
      <w:r w:rsidRPr="00990ACB">
        <w:rPr>
          <w:rFonts w:ascii="Helvetica" w:hAnsi="Helvetica" w:cs="Helvetica"/>
        </w:rPr>
        <w:t>, is a case in point. After World War II Germany responded to the devastating experience of Hitler’s National Socialism by creating constitutional anchors designed to safeguard liberty. One of them was Germany’s educational federalism, which explicitly denied central government the power of education policy making, placing it instead in the hands of the several states (</w:t>
      </w:r>
      <w:proofErr w:type="spellStart"/>
      <w:r w:rsidRPr="00990ACB">
        <w:rPr>
          <w:rFonts w:ascii="Helvetica" w:hAnsi="Helvetica" w:cs="Helvetica"/>
        </w:rPr>
        <w:t>Laender</w:t>
      </w:r>
      <w:proofErr w:type="spellEnd"/>
      <w:r w:rsidRPr="00990ACB">
        <w:rPr>
          <w:rFonts w:ascii="Helvetica" w:hAnsi="Helvetica" w:cs="Helvetica"/>
        </w:rPr>
        <w:t>). Hitler’s ability to subjugate an entire nation into tyranny had been linked to the National Socialist’s project of utilizing schools as a centralized mechanism of ideological indoctrination and political recruitment (</w:t>
      </w:r>
      <w:proofErr w:type="spellStart"/>
      <w:r w:rsidRPr="00990ACB">
        <w:rPr>
          <w:rFonts w:ascii="Helvetica" w:hAnsi="Helvetica" w:cs="Helvetica"/>
        </w:rPr>
        <w:t>Herbst</w:t>
      </w:r>
      <w:proofErr w:type="spellEnd"/>
      <w:r w:rsidRPr="00990ACB">
        <w:rPr>
          <w:rFonts w:ascii="Helvetica" w:hAnsi="Helvetica" w:cs="Helvetica"/>
        </w:rPr>
        <w:t xml:space="preserve"> 2002).</w:t>
      </w:r>
    </w:p>
    <w:p w:rsidR="00990ACB" w:rsidRPr="00990ACB" w:rsidRDefault="00990ACB" w:rsidP="00990ACB">
      <w:pPr>
        <w:widowControl w:val="0"/>
        <w:autoSpaceDE w:val="0"/>
        <w:autoSpaceDN w:val="0"/>
        <w:adjustRightInd w:val="0"/>
        <w:spacing w:after="0"/>
        <w:rPr>
          <w:rFonts w:ascii="Helvetica" w:hAnsi="Helvetica" w:cs="Helvetica"/>
        </w:rPr>
      </w:pPr>
    </w:p>
    <w:p w:rsidR="00990ACB" w:rsidRPr="00990ACB" w:rsidRDefault="00990ACB" w:rsidP="00990ACB">
      <w:pPr>
        <w:widowControl w:val="0"/>
        <w:autoSpaceDE w:val="0"/>
        <w:autoSpaceDN w:val="0"/>
        <w:adjustRightInd w:val="0"/>
        <w:spacing w:after="0"/>
        <w:rPr>
          <w:rFonts w:ascii="Helvetica" w:hAnsi="Helvetica" w:cs="Helvetica"/>
        </w:rPr>
      </w:pPr>
      <w:r w:rsidRPr="00990ACB">
        <w:rPr>
          <w:rFonts w:ascii="Helvetica" w:hAnsi="Helvetica" w:cs="Helvetica"/>
        </w:rPr>
        <w:t xml:space="preserve">In both countries, these wise and long-held provisions against centralized education control are currently being tossed aside with abandon. Richard </w:t>
      </w:r>
      <w:proofErr w:type="spellStart"/>
      <w:r w:rsidRPr="00990ACB">
        <w:rPr>
          <w:rFonts w:ascii="Helvetica" w:hAnsi="Helvetica" w:cs="Helvetica"/>
        </w:rPr>
        <w:t>Münch</w:t>
      </w:r>
      <w:proofErr w:type="spellEnd"/>
      <w:r w:rsidRPr="00990ACB">
        <w:rPr>
          <w:rFonts w:ascii="Helvetica" w:hAnsi="Helvetica" w:cs="Helvetica"/>
        </w:rPr>
        <w:t xml:space="preserve"> analyzes the impact of OECD’s PISA test series on Germany as a procedure that subjects nationally diverging educational traditions to a common, globally uniform concept of education. As global models of educational efficiency impinge on historically grown life-worlds, the latter have to prove their validity in the light of the ruling scientific knowledge. Local cultures of education, which previously claimed their own validity and dignity, are exposed to educational </w:t>
      </w:r>
      <w:proofErr w:type="gramStart"/>
      <w:r w:rsidRPr="00990ACB">
        <w:rPr>
          <w:rFonts w:ascii="Helvetica" w:hAnsi="Helvetica" w:cs="Helvetica"/>
        </w:rPr>
        <w:t>standards which</w:t>
      </w:r>
      <w:proofErr w:type="gramEnd"/>
      <w:r w:rsidRPr="00990ACB">
        <w:rPr>
          <w:rFonts w:ascii="Helvetica" w:hAnsi="Helvetica" w:cs="Helvetica"/>
        </w:rPr>
        <w:t xml:space="preserve"> claim scientific authority that locally developed standards cannot match.</w:t>
      </w:r>
    </w:p>
    <w:p w:rsidR="00990ACB" w:rsidRPr="00990ACB" w:rsidRDefault="00990ACB" w:rsidP="00990ACB">
      <w:pPr>
        <w:widowControl w:val="0"/>
        <w:autoSpaceDE w:val="0"/>
        <w:autoSpaceDN w:val="0"/>
        <w:adjustRightInd w:val="0"/>
        <w:spacing w:after="0"/>
        <w:rPr>
          <w:rFonts w:ascii="Helvetica" w:hAnsi="Helvetica" w:cs="Helvetica"/>
        </w:rPr>
      </w:pPr>
    </w:p>
    <w:p w:rsidR="00990ACB" w:rsidRPr="00990ACB" w:rsidRDefault="00990ACB" w:rsidP="00990ACB">
      <w:pPr>
        <w:widowControl w:val="0"/>
        <w:autoSpaceDE w:val="0"/>
        <w:autoSpaceDN w:val="0"/>
        <w:adjustRightInd w:val="0"/>
        <w:spacing w:after="0"/>
        <w:rPr>
          <w:rFonts w:ascii="Helvetica" w:hAnsi="Helvetica" w:cs="Helvetica"/>
        </w:rPr>
      </w:pPr>
      <w:r w:rsidRPr="00990ACB">
        <w:rPr>
          <w:rFonts w:ascii="Helvetica" w:hAnsi="Helvetica" w:cs="Helvetica"/>
        </w:rPr>
        <w:t>Education as internalization of a cultural tradition is replaced by a model of investing in the development of globally useful human capital and competencies. In this process transnational networks of educational researchers in the OECD oust national actors such as teachers’ associations and professionals in ministries of education from their position. This profound transformation is facilitated by the fact that it acts like a self-fulfilling prophecy generating precisely those norms, expectations, and governance structures that it needs to justify further advancement of its global agenda.</w:t>
      </w:r>
    </w:p>
    <w:p w:rsidR="00990ACB" w:rsidRPr="00990ACB" w:rsidRDefault="00990ACB" w:rsidP="00990ACB">
      <w:pPr>
        <w:widowControl w:val="0"/>
        <w:autoSpaceDE w:val="0"/>
        <w:autoSpaceDN w:val="0"/>
        <w:adjustRightInd w:val="0"/>
        <w:spacing w:after="0"/>
        <w:rPr>
          <w:rFonts w:ascii="Helvetica" w:hAnsi="Helvetica" w:cs="Helvetica"/>
        </w:rPr>
      </w:pPr>
    </w:p>
    <w:p w:rsidR="00990ACB" w:rsidRPr="00990ACB" w:rsidRDefault="00990ACB" w:rsidP="00990ACB">
      <w:pPr>
        <w:widowControl w:val="0"/>
        <w:autoSpaceDE w:val="0"/>
        <w:autoSpaceDN w:val="0"/>
        <w:adjustRightInd w:val="0"/>
        <w:spacing w:after="0"/>
        <w:rPr>
          <w:rFonts w:ascii="Helvetica" w:hAnsi="Helvetica" w:cs="Helvetica"/>
        </w:rPr>
      </w:pPr>
      <w:r w:rsidRPr="00990ACB">
        <w:rPr>
          <w:rFonts w:ascii="Helvetica" w:hAnsi="Helvetica" w:cs="Helvetica"/>
        </w:rPr>
        <w:t>Similar developments can be observed in the United States where politicians and pundits have used the latest international educational assessment to declare yet another instance of American educational mediocrity. The most recent case in point here is “Race to the Top,” one of the most intrusive uses of U.S. federal government power to date. Focusing on the way Race to the Top impacts the reality in schools and classrooms, two sitting New York State principals,</w:t>
      </w:r>
      <w:r w:rsidRPr="00990ACB">
        <w:rPr>
          <w:rFonts w:ascii="Helvetica" w:hAnsi="Helvetica" w:cs="Helvetica"/>
          <w:b/>
          <w:bCs/>
        </w:rPr>
        <w:t xml:space="preserve"> </w:t>
      </w:r>
      <w:r w:rsidRPr="00990ACB">
        <w:rPr>
          <w:rFonts w:ascii="Helvetica" w:hAnsi="Helvetica" w:cs="Helvetica"/>
        </w:rPr>
        <w:t xml:space="preserve">Harry </w:t>
      </w:r>
      <w:proofErr w:type="spellStart"/>
      <w:r w:rsidRPr="00990ACB">
        <w:rPr>
          <w:rFonts w:ascii="Helvetica" w:hAnsi="Helvetica" w:cs="Helvetica"/>
        </w:rPr>
        <w:t>Leonardatos</w:t>
      </w:r>
      <w:proofErr w:type="spellEnd"/>
      <w:r w:rsidRPr="00990ACB">
        <w:rPr>
          <w:rFonts w:ascii="Helvetica" w:hAnsi="Helvetica" w:cs="Helvetica"/>
        </w:rPr>
        <w:t xml:space="preserve"> and Katie </w:t>
      </w:r>
      <w:proofErr w:type="spellStart"/>
      <w:r w:rsidRPr="00990ACB">
        <w:rPr>
          <w:rFonts w:ascii="Helvetica" w:hAnsi="Helvetica" w:cs="Helvetica"/>
        </w:rPr>
        <w:t>Zahedi</w:t>
      </w:r>
      <w:proofErr w:type="spellEnd"/>
      <w:r w:rsidRPr="00990ACB">
        <w:rPr>
          <w:rFonts w:ascii="Helvetica" w:hAnsi="Helvetica" w:cs="Helvetica"/>
        </w:rPr>
        <w:t>, provide an account of how this type of accountability impacts daily practice of public schools. They provide a perspective on “accountability in action,” in particular the newly mandated “Annual Professional Performance Review (APPR),” in which teacher evaluations are directly tied to student test scores. The authors chronicle the effects of APPR, focusing on the ballooning of red tape, the expansion of unaccountable private influence, and the erosion of trust and cohesion among the members of educational communities.</w:t>
      </w:r>
    </w:p>
    <w:p w:rsidR="00990ACB" w:rsidRPr="00990ACB" w:rsidRDefault="00990ACB" w:rsidP="00990ACB">
      <w:pPr>
        <w:widowControl w:val="0"/>
        <w:autoSpaceDE w:val="0"/>
        <w:autoSpaceDN w:val="0"/>
        <w:adjustRightInd w:val="0"/>
        <w:spacing w:after="0"/>
        <w:rPr>
          <w:rFonts w:ascii="Helvetica" w:hAnsi="Helvetica" w:cs="Helvetica"/>
        </w:rPr>
      </w:pPr>
    </w:p>
    <w:p w:rsidR="00990ACB" w:rsidRPr="00990ACB" w:rsidRDefault="00990ACB" w:rsidP="00990ACB">
      <w:pPr>
        <w:widowControl w:val="0"/>
        <w:autoSpaceDE w:val="0"/>
        <w:autoSpaceDN w:val="0"/>
        <w:adjustRightInd w:val="0"/>
        <w:spacing w:after="0"/>
        <w:rPr>
          <w:rFonts w:ascii="Helvetica" w:hAnsi="Helvetica" w:cs="Helvetica"/>
        </w:rPr>
      </w:pPr>
      <w:r w:rsidRPr="00990ACB">
        <w:rPr>
          <w:rFonts w:ascii="Helvetica" w:hAnsi="Helvetica" w:cs="Helvetica"/>
        </w:rPr>
        <w:t xml:space="preserve">Their paper describes a scene of hasty and often half-baked change measures, pushed through by “consultants” with questionable credentials, in a culture of distrust vis-à-vis principals and teachers. The reform relies heavily on psychometric </w:t>
      </w:r>
      <w:proofErr w:type="gramStart"/>
      <w:r w:rsidRPr="00990ACB">
        <w:rPr>
          <w:rFonts w:ascii="Helvetica" w:hAnsi="Helvetica" w:cs="Helvetica"/>
        </w:rPr>
        <w:t>schemes which</w:t>
      </w:r>
      <w:proofErr w:type="gramEnd"/>
      <w:r w:rsidRPr="00990ACB">
        <w:rPr>
          <w:rFonts w:ascii="Helvetica" w:hAnsi="Helvetica" w:cs="Helvetica"/>
        </w:rPr>
        <w:t xml:space="preserve"> aim to turn education into an all-measurable process, even if these schemes are as opaque to the public as they are easily manipulated by politicians.</w:t>
      </w:r>
    </w:p>
    <w:p w:rsidR="00990ACB" w:rsidRPr="00990ACB" w:rsidRDefault="00990ACB" w:rsidP="00990ACB">
      <w:pPr>
        <w:widowControl w:val="0"/>
        <w:autoSpaceDE w:val="0"/>
        <w:autoSpaceDN w:val="0"/>
        <w:adjustRightInd w:val="0"/>
        <w:spacing w:after="0"/>
        <w:jc w:val="both"/>
        <w:rPr>
          <w:rFonts w:ascii="Helvetica" w:hAnsi="Helvetica" w:cs="Helvetica"/>
        </w:rPr>
      </w:pPr>
    </w:p>
    <w:p w:rsidR="00990ACB" w:rsidRPr="00990ACB" w:rsidRDefault="00990ACB" w:rsidP="00990ACB">
      <w:pPr>
        <w:widowControl w:val="0"/>
        <w:autoSpaceDE w:val="0"/>
        <w:autoSpaceDN w:val="0"/>
        <w:adjustRightInd w:val="0"/>
        <w:spacing w:after="0"/>
        <w:jc w:val="both"/>
        <w:rPr>
          <w:rFonts w:ascii="Helvetica" w:hAnsi="Helvetica" w:cs="Helvetica"/>
        </w:rPr>
      </w:pPr>
      <w:r w:rsidRPr="00990ACB">
        <w:rPr>
          <w:rFonts w:ascii="Helvetica" w:hAnsi="Helvetica" w:cs="Helvetica"/>
        </w:rPr>
        <w:t>ACCOUNTABILITY CONTESTED</w:t>
      </w:r>
    </w:p>
    <w:p w:rsidR="00990ACB" w:rsidRPr="00990ACB" w:rsidRDefault="00990ACB" w:rsidP="00990ACB">
      <w:pPr>
        <w:widowControl w:val="0"/>
        <w:autoSpaceDE w:val="0"/>
        <w:autoSpaceDN w:val="0"/>
        <w:adjustRightInd w:val="0"/>
        <w:spacing w:after="0"/>
        <w:rPr>
          <w:rFonts w:ascii="Helvetica" w:hAnsi="Helvetica" w:cs="Helvetica"/>
        </w:rPr>
      </w:pPr>
    </w:p>
    <w:p w:rsidR="00990ACB" w:rsidRPr="00990ACB" w:rsidRDefault="00990ACB" w:rsidP="00990ACB">
      <w:pPr>
        <w:widowControl w:val="0"/>
        <w:autoSpaceDE w:val="0"/>
        <w:autoSpaceDN w:val="0"/>
        <w:adjustRightInd w:val="0"/>
        <w:spacing w:after="0"/>
        <w:rPr>
          <w:rFonts w:ascii="Helvetica" w:hAnsi="Helvetica" w:cs="Helvetica"/>
        </w:rPr>
      </w:pPr>
      <w:r w:rsidRPr="00990ACB">
        <w:rPr>
          <w:rFonts w:ascii="Helvetica" w:hAnsi="Helvetica" w:cs="Helvetica"/>
        </w:rPr>
        <w:t>A century has passed since Max Weber diagnosed “rationalization” and the attendant “march of bureaucracy” as irresistible secular trends driving institutional change by their promise to bring transparency, accountability, and efficiency to modern governance (Weber 1946). But Weber also famously warned that as administrative efficiency trumps all other values and principles of social policy, the world we create for ourselves increasingly resembles an ‘iron cage of servitude’ in which beliefs, values, and attitudes are streamlined to produce a degree of mental conformity that bodes ill for the intellectual and cultural diversity that are vital prerequisites of creativity and innovation. And the late Isaiah Berlin warned that closing one’s eyes “to all that proves incapable of quantification” is characteristic of “a form of false consciousness of bureaucrats and administrators” and “perpetrate[s] absurdities in theory and dehumanization in practice” (Berlin 2002: 26).</w:t>
      </w:r>
    </w:p>
    <w:p w:rsidR="00990ACB" w:rsidRPr="00990ACB" w:rsidRDefault="00990ACB" w:rsidP="00990ACB">
      <w:pPr>
        <w:widowControl w:val="0"/>
        <w:autoSpaceDE w:val="0"/>
        <w:autoSpaceDN w:val="0"/>
        <w:adjustRightInd w:val="0"/>
        <w:spacing w:after="0"/>
        <w:rPr>
          <w:rFonts w:ascii="Helvetica" w:hAnsi="Helvetica" w:cs="Helvetica"/>
        </w:rPr>
      </w:pPr>
    </w:p>
    <w:p w:rsidR="00990ACB" w:rsidRPr="00990ACB" w:rsidRDefault="00990ACB" w:rsidP="00990ACB">
      <w:pPr>
        <w:widowControl w:val="0"/>
        <w:autoSpaceDE w:val="0"/>
        <w:autoSpaceDN w:val="0"/>
        <w:adjustRightInd w:val="0"/>
        <w:spacing w:after="0"/>
        <w:rPr>
          <w:rFonts w:ascii="Helvetica" w:hAnsi="Helvetica" w:cs="Helvetica"/>
        </w:rPr>
      </w:pPr>
      <w:r w:rsidRPr="00990ACB">
        <w:rPr>
          <w:rFonts w:ascii="Helvetica" w:hAnsi="Helvetica" w:cs="Helvetica"/>
        </w:rPr>
        <w:t>The papers in this special issue document the social and political work required to remake public education in the image of the kind of abstract standards bureaucracies understand. We get to see how the actions of national and state governments, education experts, and transnational policy organizations, as well as on the ground practitioners, coproduce an emerging new regime of power in which education is at risk to be no longer responsive to the needs and values of local communities.</w:t>
      </w:r>
    </w:p>
    <w:p w:rsidR="00990ACB" w:rsidRPr="00990ACB" w:rsidRDefault="00990ACB" w:rsidP="00990ACB">
      <w:pPr>
        <w:widowControl w:val="0"/>
        <w:autoSpaceDE w:val="0"/>
        <w:autoSpaceDN w:val="0"/>
        <w:adjustRightInd w:val="0"/>
        <w:spacing w:after="0"/>
        <w:rPr>
          <w:rFonts w:ascii="Helvetica" w:hAnsi="Helvetica" w:cs="Helvetica"/>
        </w:rPr>
      </w:pPr>
    </w:p>
    <w:p w:rsidR="00990ACB" w:rsidRPr="00990ACB" w:rsidRDefault="00990ACB" w:rsidP="00990ACB">
      <w:pPr>
        <w:widowControl w:val="0"/>
        <w:autoSpaceDE w:val="0"/>
        <w:autoSpaceDN w:val="0"/>
        <w:adjustRightInd w:val="0"/>
        <w:spacing w:after="0"/>
        <w:rPr>
          <w:rFonts w:ascii="Helvetica" w:hAnsi="Helvetica" w:cs="Helvetica"/>
        </w:rPr>
      </w:pPr>
      <w:r w:rsidRPr="00990ACB">
        <w:rPr>
          <w:rFonts w:ascii="Helvetica" w:hAnsi="Helvetica" w:cs="Helvetica"/>
        </w:rPr>
        <w:t xml:space="preserve">Do we need to better heed </w:t>
      </w:r>
      <w:proofErr w:type="gramStart"/>
      <w:r w:rsidRPr="00990ACB">
        <w:rPr>
          <w:rFonts w:ascii="Helvetica" w:hAnsi="Helvetica" w:cs="Helvetica"/>
        </w:rPr>
        <w:t>Weber’s</w:t>
      </w:r>
      <w:proofErr w:type="gramEnd"/>
      <w:r w:rsidRPr="00990ACB">
        <w:rPr>
          <w:rFonts w:ascii="Helvetica" w:hAnsi="Helvetica" w:cs="Helvetica"/>
        </w:rPr>
        <w:t xml:space="preserve"> and Berlin’s warning? What is won if, in order to make education more “legible” for governing elites (Scott 1998; see also Bourdieu 1998), we increasingly standardize the very process meant to produce individuals capable of mastering the challenges of work and participation in complex societies? And what may be lost in our zeal to improve a country’s ranking on an exceedingly narrow test of learning leads to closing one’s eyes “to all that proves incapable of quantification”?</w:t>
      </w:r>
    </w:p>
    <w:p w:rsidR="00990ACB" w:rsidRPr="00990ACB" w:rsidRDefault="00990ACB" w:rsidP="00990ACB">
      <w:pPr>
        <w:widowControl w:val="0"/>
        <w:autoSpaceDE w:val="0"/>
        <w:autoSpaceDN w:val="0"/>
        <w:adjustRightInd w:val="0"/>
        <w:spacing w:after="0"/>
        <w:rPr>
          <w:rFonts w:ascii="Helvetica" w:hAnsi="Helvetica" w:cs="Helvetica"/>
        </w:rPr>
      </w:pPr>
    </w:p>
    <w:p w:rsidR="00990ACB" w:rsidRPr="00990ACB" w:rsidRDefault="00990ACB" w:rsidP="00990ACB">
      <w:pPr>
        <w:widowControl w:val="0"/>
        <w:autoSpaceDE w:val="0"/>
        <w:autoSpaceDN w:val="0"/>
        <w:adjustRightInd w:val="0"/>
        <w:spacing w:after="0"/>
        <w:rPr>
          <w:rFonts w:ascii="Helvetica" w:hAnsi="Helvetica" w:cs="Helvetica"/>
        </w:rPr>
      </w:pPr>
      <w:r w:rsidRPr="00990ACB">
        <w:rPr>
          <w:rFonts w:ascii="Helvetica" w:hAnsi="Helvetica" w:cs="Helvetica"/>
        </w:rPr>
        <w:t>Given the stakes, educators and policy makers may want to ask if “accountability” as practiced today indeed deserves the status of a self-evident, self-explanatory master rationale harnessed to justify questionable education reform at home and abroad.</w:t>
      </w:r>
    </w:p>
    <w:p w:rsidR="00990ACB" w:rsidRPr="00990ACB" w:rsidRDefault="00990ACB" w:rsidP="00990ACB">
      <w:pPr>
        <w:widowControl w:val="0"/>
        <w:autoSpaceDE w:val="0"/>
        <w:autoSpaceDN w:val="0"/>
        <w:adjustRightInd w:val="0"/>
        <w:spacing w:after="0"/>
        <w:rPr>
          <w:rFonts w:ascii="Helvetica" w:hAnsi="Helvetica" w:cs="Helvetica"/>
        </w:rPr>
      </w:pPr>
    </w:p>
    <w:p w:rsidR="00990ACB" w:rsidRPr="00990ACB" w:rsidRDefault="00990ACB" w:rsidP="00990ACB">
      <w:pPr>
        <w:widowControl w:val="0"/>
        <w:autoSpaceDE w:val="0"/>
        <w:autoSpaceDN w:val="0"/>
        <w:adjustRightInd w:val="0"/>
        <w:spacing w:after="0"/>
        <w:ind w:left="284" w:hanging="284"/>
        <w:rPr>
          <w:rFonts w:ascii="Helvetica" w:hAnsi="Helvetica" w:cs="Helvetica"/>
        </w:rPr>
      </w:pPr>
      <w:r w:rsidRPr="00990ACB">
        <w:rPr>
          <w:rFonts w:ascii="Helvetica" w:hAnsi="Helvetica" w:cs="Helvetica"/>
          <w:i/>
          <w:iCs/>
        </w:rPr>
        <w:t>References</w:t>
      </w:r>
    </w:p>
    <w:p w:rsidR="00990ACB" w:rsidRPr="00990ACB" w:rsidRDefault="00990ACB" w:rsidP="00990ACB">
      <w:pPr>
        <w:widowControl w:val="0"/>
        <w:autoSpaceDE w:val="0"/>
        <w:autoSpaceDN w:val="0"/>
        <w:adjustRightInd w:val="0"/>
        <w:spacing w:after="0"/>
        <w:ind w:left="284" w:hanging="284"/>
        <w:rPr>
          <w:rFonts w:ascii="Helvetica" w:hAnsi="Helvetica" w:cs="Helvetica"/>
        </w:rPr>
      </w:pPr>
    </w:p>
    <w:p w:rsidR="00990ACB" w:rsidRPr="00990ACB" w:rsidRDefault="00990ACB" w:rsidP="00990ACB">
      <w:pPr>
        <w:widowControl w:val="0"/>
        <w:autoSpaceDE w:val="0"/>
        <w:autoSpaceDN w:val="0"/>
        <w:adjustRightInd w:val="0"/>
        <w:spacing w:after="0"/>
        <w:ind w:left="284" w:hanging="284"/>
        <w:rPr>
          <w:rFonts w:ascii="Helvetica" w:hAnsi="Helvetica" w:cs="Helvetica"/>
        </w:rPr>
      </w:pPr>
      <w:proofErr w:type="gramStart"/>
      <w:r w:rsidRPr="00990ACB">
        <w:rPr>
          <w:rFonts w:ascii="Helvetica" w:hAnsi="Helvetica" w:cs="Helvetica"/>
        </w:rPr>
        <w:t>Apple, M. W. (2005).</w:t>
      </w:r>
      <w:proofErr w:type="gramEnd"/>
      <w:r w:rsidRPr="00990ACB">
        <w:rPr>
          <w:rFonts w:ascii="Helvetica" w:hAnsi="Helvetica" w:cs="Helvetica"/>
        </w:rPr>
        <w:t xml:space="preserve"> </w:t>
      </w:r>
      <w:proofErr w:type="gramStart"/>
      <w:r w:rsidRPr="00990ACB">
        <w:rPr>
          <w:rFonts w:ascii="Helvetica" w:hAnsi="Helvetica" w:cs="Helvetica"/>
        </w:rPr>
        <w:t>Education, markets, and an audit culture.</w:t>
      </w:r>
      <w:proofErr w:type="gramEnd"/>
      <w:r w:rsidRPr="00990ACB">
        <w:rPr>
          <w:rFonts w:ascii="Helvetica" w:hAnsi="Helvetica" w:cs="Helvetica"/>
        </w:rPr>
        <w:t xml:space="preserve"> </w:t>
      </w:r>
      <w:r w:rsidRPr="00990ACB">
        <w:rPr>
          <w:rFonts w:ascii="Helvetica" w:hAnsi="Helvetica" w:cs="Helvetica"/>
          <w:i/>
          <w:iCs/>
        </w:rPr>
        <w:t>Critical Quarterly 47</w:t>
      </w:r>
      <w:r w:rsidRPr="00990ACB">
        <w:rPr>
          <w:rFonts w:ascii="Helvetica" w:hAnsi="Helvetica" w:cs="Helvetica"/>
        </w:rPr>
        <w:t>(1–2), 11–29.</w:t>
      </w:r>
    </w:p>
    <w:p w:rsidR="00990ACB" w:rsidRPr="00990ACB" w:rsidRDefault="00990ACB" w:rsidP="00990ACB">
      <w:pPr>
        <w:widowControl w:val="0"/>
        <w:autoSpaceDE w:val="0"/>
        <w:autoSpaceDN w:val="0"/>
        <w:adjustRightInd w:val="0"/>
        <w:spacing w:after="0"/>
        <w:ind w:left="284" w:hanging="284"/>
        <w:rPr>
          <w:rFonts w:ascii="Helvetica" w:hAnsi="Helvetica" w:cs="Helvetica"/>
        </w:rPr>
      </w:pPr>
    </w:p>
    <w:p w:rsidR="00990ACB" w:rsidRPr="00990ACB" w:rsidRDefault="00990ACB" w:rsidP="00990ACB">
      <w:pPr>
        <w:widowControl w:val="0"/>
        <w:autoSpaceDE w:val="0"/>
        <w:autoSpaceDN w:val="0"/>
        <w:adjustRightInd w:val="0"/>
        <w:spacing w:after="0"/>
        <w:ind w:left="284" w:hanging="284"/>
        <w:rPr>
          <w:rFonts w:ascii="Helvetica" w:hAnsi="Helvetica" w:cs="Helvetica"/>
        </w:rPr>
      </w:pPr>
      <w:r w:rsidRPr="00990ACB">
        <w:rPr>
          <w:rFonts w:ascii="Helvetica" w:hAnsi="Helvetica" w:cs="Helvetica"/>
        </w:rPr>
        <w:t xml:space="preserve">Ball, S. J. (2012). </w:t>
      </w:r>
      <w:r w:rsidRPr="00990ACB">
        <w:rPr>
          <w:rFonts w:ascii="Helvetica" w:hAnsi="Helvetica" w:cs="Helvetica"/>
          <w:i/>
          <w:iCs/>
        </w:rPr>
        <w:t xml:space="preserve">Global Education </w:t>
      </w:r>
      <w:proofErr w:type="spellStart"/>
      <w:r w:rsidRPr="00990ACB">
        <w:rPr>
          <w:rFonts w:ascii="Helvetica" w:hAnsi="Helvetica" w:cs="Helvetica"/>
          <w:i/>
          <w:iCs/>
        </w:rPr>
        <w:t>Inc</w:t>
      </w:r>
      <w:proofErr w:type="spellEnd"/>
      <w:r w:rsidRPr="00990ACB">
        <w:rPr>
          <w:rFonts w:ascii="Helvetica" w:hAnsi="Helvetica" w:cs="Helvetica"/>
          <w:i/>
          <w:iCs/>
        </w:rPr>
        <w:t>: New Policy Networks and the Neo-liberal Imaginary</w:t>
      </w:r>
      <w:r w:rsidRPr="00990ACB">
        <w:rPr>
          <w:rFonts w:ascii="Helvetica" w:hAnsi="Helvetica" w:cs="Helvetica"/>
        </w:rPr>
        <w:t xml:space="preserve">. London: </w:t>
      </w:r>
      <w:proofErr w:type="spellStart"/>
      <w:r w:rsidRPr="00990ACB">
        <w:rPr>
          <w:rFonts w:ascii="Helvetica" w:hAnsi="Helvetica" w:cs="Helvetica"/>
        </w:rPr>
        <w:t>Routledge</w:t>
      </w:r>
      <w:proofErr w:type="spellEnd"/>
      <w:r w:rsidRPr="00990ACB">
        <w:rPr>
          <w:rFonts w:ascii="Helvetica" w:hAnsi="Helvetica" w:cs="Helvetica"/>
        </w:rPr>
        <w:t>.</w:t>
      </w:r>
    </w:p>
    <w:p w:rsidR="00990ACB" w:rsidRPr="00990ACB" w:rsidRDefault="00990ACB" w:rsidP="00990ACB">
      <w:pPr>
        <w:widowControl w:val="0"/>
        <w:autoSpaceDE w:val="0"/>
        <w:autoSpaceDN w:val="0"/>
        <w:adjustRightInd w:val="0"/>
        <w:spacing w:after="0"/>
        <w:ind w:left="284" w:hanging="284"/>
        <w:rPr>
          <w:rFonts w:ascii="Helvetica" w:hAnsi="Helvetica" w:cs="Helvetica"/>
        </w:rPr>
      </w:pPr>
    </w:p>
    <w:p w:rsidR="00990ACB" w:rsidRPr="00990ACB" w:rsidRDefault="00990ACB" w:rsidP="00990ACB">
      <w:pPr>
        <w:widowControl w:val="0"/>
        <w:autoSpaceDE w:val="0"/>
        <w:autoSpaceDN w:val="0"/>
        <w:adjustRightInd w:val="0"/>
        <w:spacing w:after="0"/>
        <w:ind w:left="284" w:hanging="284"/>
        <w:rPr>
          <w:rFonts w:ascii="Helvetica" w:hAnsi="Helvetica" w:cs="Helvetica"/>
        </w:rPr>
      </w:pPr>
      <w:r w:rsidRPr="00990ACB">
        <w:rPr>
          <w:rFonts w:ascii="Helvetica" w:hAnsi="Helvetica" w:cs="Helvetica"/>
        </w:rPr>
        <w:t xml:space="preserve">Berlin, I. (2002). </w:t>
      </w:r>
      <w:r w:rsidRPr="00990ACB">
        <w:rPr>
          <w:rFonts w:ascii="Helvetica" w:hAnsi="Helvetica" w:cs="Helvetica"/>
          <w:i/>
          <w:iCs/>
        </w:rPr>
        <w:t>Liberty: 26</w:t>
      </w:r>
      <w:r w:rsidRPr="00990ACB">
        <w:rPr>
          <w:rFonts w:ascii="Helvetica" w:hAnsi="Helvetica" w:cs="Helvetica"/>
        </w:rPr>
        <w:t>. Edited by Henry Hardy. Oxford, UK: Oxford University Press.</w:t>
      </w:r>
    </w:p>
    <w:p w:rsidR="00990ACB" w:rsidRPr="00990ACB" w:rsidRDefault="00990ACB" w:rsidP="00990ACB">
      <w:pPr>
        <w:widowControl w:val="0"/>
        <w:autoSpaceDE w:val="0"/>
        <w:autoSpaceDN w:val="0"/>
        <w:adjustRightInd w:val="0"/>
        <w:spacing w:after="0"/>
        <w:ind w:left="284" w:hanging="284"/>
        <w:rPr>
          <w:rFonts w:ascii="Helvetica" w:hAnsi="Helvetica" w:cs="Helvetica"/>
        </w:rPr>
      </w:pPr>
    </w:p>
    <w:p w:rsidR="00990ACB" w:rsidRPr="00990ACB" w:rsidRDefault="00990ACB" w:rsidP="00990ACB">
      <w:pPr>
        <w:widowControl w:val="0"/>
        <w:autoSpaceDE w:val="0"/>
        <w:autoSpaceDN w:val="0"/>
        <w:adjustRightInd w:val="0"/>
        <w:spacing w:after="0"/>
        <w:ind w:left="284" w:hanging="284"/>
        <w:rPr>
          <w:rFonts w:ascii="Helvetica" w:hAnsi="Helvetica" w:cs="Helvetica"/>
        </w:rPr>
      </w:pPr>
      <w:r w:rsidRPr="00990ACB">
        <w:rPr>
          <w:rFonts w:ascii="Helvetica" w:hAnsi="Helvetica" w:cs="Helvetica"/>
        </w:rPr>
        <w:t xml:space="preserve">Berliner, D. C., &amp; B. J. Biddle (1995). </w:t>
      </w:r>
      <w:proofErr w:type="gramStart"/>
      <w:r w:rsidRPr="00990ACB">
        <w:rPr>
          <w:rFonts w:ascii="Helvetica" w:hAnsi="Helvetica" w:cs="Helvetica"/>
          <w:i/>
          <w:iCs/>
        </w:rPr>
        <w:t>The Manufactured Crisis</w:t>
      </w:r>
      <w:r w:rsidRPr="00990ACB">
        <w:rPr>
          <w:rFonts w:ascii="Helvetica" w:hAnsi="Helvetica" w:cs="Helvetica"/>
        </w:rPr>
        <w:t>.</w:t>
      </w:r>
      <w:proofErr w:type="gramEnd"/>
      <w:r w:rsidRPr="00990ACB">
        <w:rPr>
          <w:rFonts w:ascii="Helvetica" w:hAnsi="Helvetica" w:cs="Helvetica"/>
        </w:rPr>
        <w:t xml:space="preserve"> New York: Addison-Wesley.</w:t>
      </w:r>
    </w:p>
    <w:p w:rsidR="00990ACB" w:rsidRPr="00990ACB" w:rsidRDefault="00990ACB" w:rsidP="00990ACB">
      <w:pPr>
        <w:widowControl w:val="0"/>
        <w:autoSpaceDE w:val="0"/>
        <w:autoSpaceDN w:val="0"/>
        <w:adjustRightInd w:val="0"/>
        <w:spacing w:after="0"/>
        <w:ind w:left="284" w:hanging="284"/>
        <w:rPr>
          <w:rFonts w:ascii="Helvetica" w:hAnsi="Helvetica" w:cs="Helvetica"/>
        </w:rPr>
      </w:pPr>
    </w:p>
    <w:p w:rsidR="00990ACB" w:rsidRPr="00990ACB" w:rsidRDefault="00990ACB" w:rsidP="00990ACB">
      <w:pPr>
        <w:widowControl w:val="0"/>
        <w:autoSpaceDE w:val="0"/>
        <w:autoSpaceDN w:val="0"/>
        <w:adjustRightInd w:val="0"/>
        <w:spacing w:after="0"/>
        <w:ind w:left="284" w:hanging="284"/>
        <w:rPr>
          <w:rFonts w:ascii="Helvetica" w:hAnsi="Helvetica" w:cs="Helvetica"/>
        </w:rPr>
      </w:pPr>
      <w:r w:rsidRPr="00990ACB">
        <w:rPr>
          <w:rFonts w:ascii="Helvetica" w:hAnsi="Helvetica" w:cs="Helvetica"/>
        </w:rPr>
        <w:t xml:space="preserve">Bourdieu, P. (1998). </w:t>
      </w:r>
      <w:proofErr w:type="gramStart"/>
      <w:r w:rsidRPr="00990ACB">
        <w:rPr>
          <w:rFonts w:ascii="Helvetica" w:hAnsi="Helvetica" w:cs="Helvetica"/>
          <w:i/>
          <w:iCs/>
        </w:rPr>
        <w:t>Acts of Resistance against the New Myths of our Time</w:t>
      </w:r>
      <w:r w:rsidRPr="00990ACB">
        <w:rPr>
          <w:rFonts w:ascii="Helvetica" w:hAnsi="Helvetica" w:cs="Helvetica"/>
        </w:rPr>
        <w:t>.</w:t>
      </w:r>
      <w:proofErr w:type="gramEnd"/>
      <w:r w:rsidRPr="00990ACB">
        <w:rPr>
          <w:rFonts w:ascii="Helvetica" w:hAnsi="Helvetica" w:cs="Helvetica"/>
        </w:rPr>
        <w:t xml:space="preserve"> Cambridge: Polity Press.</w:t>
      </w:r>
    </w:p>
    <w:p w:rsidR="00990ACB" w:rsidRPr="00990ACB" w:rsidRDefault="00990ACB" w:rsidP="00990ACB">
      <w:pPr>
        <w:widowControl w:val="0"/>
        <w:autoSpaceDE w:val="0"/>
        <w:autoSpaceDN w:val="0"/>
        <w:adjustRightInd w:val="0"/>
        <w:spacing w:after="0"/>
        <w:ind w:left="284" w:hanging="284"/>
        <w:rPr>
          <w:rFonts w:ascii="Helvetica" w:hAnsi="Helvetica" w:cs="Helvetica"/>
        </w:rPr>
      </w:pPr>
    </w:p>
    <w:p w:rsidR="00990ACB" w:rsidRPr="00990ACB" w:rsidRDefault="00990ACB" w:rsidP="00990ACB">
      <w:pPr>
        <w:widowControl w:val="0"/>
        <w:autoSpaceDE w:val="0"/>
        <w:autoSpaceDN w:val="0"/>
        <w:adjustRightInd w:val="0"/>
        <w:spacing w:after="0"/>
        <w:ind w:left="284" w:hanging="284"/>
        <w:rPr>
          <w:rFonts w:ascii="Helvetica" w:hAnsi="Helvetica" w:cs="Helvetica"/>
        </w:rPr>
      </w:pPr>
      <w:proofErr w:type="spellStart"/>
      <w:proofErr w:type="gramStart"/>
      <w:r w:rsidRPr="00990ACB">
        <w:rPr>
          <w:rFonts w:ascii="Helvetica" w:hAnsi="Helvetica" w:cs="Helvetica"/>
        </w:rPr>
        <w:t>Breakspear</w:t>
      </w:r>
      <w:proofErr w:type="spellEnd"/>
      <w:r w:rsidRPr="00990ACB">
        <w:rPr>
          <w:rFonts w:ascii="Helvetica" w:hAnsi="Helvetica" w:cs="Helvetica"/>
        </w:rPr>
        <w:t>, S. (2012).</w:t>
      </w:r>
      <w:proofErr w:type="gramEnd"/>
      <w:r w:rsidRPr="00990ACB">
        <w:rPr>
          <w:rFonts w:ascii="Helvetica" w:hAnsi="Helvetica" w:cs="Helvetica"/>
        </w:rPr>
        <w:t xml:space="preserve"> “The Policy Impact of PISA.” </w:t>
      </w:r>
      <w:proofErr w:type="gramStart"/>
      <w:r w:rsidRPr="00990ACB">
        <w:rPr>
          <w:rFonts w:ascii="Helvetica" w:hAnsi="Helvetica" w:cs="Helvetica"/>
          <w:i/>
          <w:iCs/>
        </w:rPr>
        <w:t>OECD Education Working Paper 71</w:t>
      </w:r>
      <w:r w:rsidRPr="00990ACB">
        <w:rPr>
          <w:rFonts w:ascii="Helvetica" w:hAnsi="Helvetica" w:cs="Helvetica"/>
        </w:rPr>
        <w:t>.</w:t>
      </w:r>
      <w:proofErr w:type="gramEnd"/>
      <w:r w:rsidRPr="00990ACB">
        <w:rPr>
          <w:rFonts w:ascii="Helvetica" w:hAnsi="Helvetica" w:cs="Helvetica"/>
        </w:rPr>
        <w:t xml:space="preserve"> Paris: OECD.</w:t>
      </w:r>
    </w:p>
    <w:p w:rsidR="00990ACB" w:rsidRPr="00990ACB" w:rsidRDefault="00990ACB" w:rsidP="00990ACB">
      <w:pPr>
        <w:widowControl w:val="0"/>
        <w:autoSpaceDE w:val="0"/>
        <w:autoSpaceDN w:val="0"/>
        <w:adjustRightInd w:val="0"/>
        <w:spacing w:after="0"/>
        <w:ind w:left="284" w:hanging="284"/>
        <w:rPr>
          <w:rFonts w:ascii="Helvetica" w:hAnsi="Helvetica" w:cs="Helvetica"/>
        </w:rPr>
      </w:pPr>
    </w:p>
    <w:p w:rsidR="00990ACB" w:rsidRPr="00990ACB" w:rsidRDefault="00990ACB" w:rsidP="00990ACB">
      <w:pPr>
        <w:widowControl w:val="0"/>
        <w:autoSpaceDE w:val="0"/>
        <w:autoSpaceDN w:val="0"/>
        <w:adjustRightInd w:val="0"/>
        <w:spacing w:after="0"/>
        <w:ind w:left="284" w:hanging="284"/>
        <w:rPr>
          <w:rFonts w:ascii="Helvetica" w:hAnsi="Helvetica" w:cs="Helvetica"/>
        </w:rPr>
      </w:pPr>
      <w:proofErr w:type="spellStart"/>
      <w:r w:rsidRPr="00990ACB">
        <w:rPr>
          <w:rFonts w:ascii="Helvetica" w:hAnsi="Helvetica" w:cs="Helvetica"/>
        </w:rPr>
        <w:t>Ertl</w:t>
      </w:r>
      <w:proofErr w:type="spellEnd"/>
      <w:r w:rsidRPr="00990ACB">
        <w:rPr>
          <w:rFonts w:ascii="Helvetica" w:hAnsi="Helvetica" w:cs="Helvetica"/>
        </w:rPr>
        <w:t xml:space="preserve">, H. (2006). “Educational Standards and the Changing Discourse on Education: The Reception and Consequences of the PISA Study in Germany.” </w:t>
      </w:r>
      <w:r w:rsidRPr="00990ACB">
        <w:rPr>
          <w:rFonts w:ascii="Helvetica" w:hAnsi="Helvetica" w:cs="Helvetica"/>
          <w:i/>
          <w:iCs/>
        </w:rPr>
        <w:t>Oxford Review of Education 32</w:t>
      </w:r>
      <w:r w:rsidRPr="00990ACB">
        <w:rPr>
          <w:rFonts w:ascii="Helvetica" w:hAnsi="Helvetica" w:cs="Helvetica"/>
        </w:rPr>
        <w:t>(5), 619–634.</w:t>
      </w:r>
    </w:p>
    <w:p w:rsidR="00990ACB" w:rsidRPr="00990ACB" w:rsidRDefault="00990ACB" w:rsidP="00990ACB">
      <w:pPr>
        <w:widowControl w:val="0"/>
        <w:autoSpaceDE w:val="0"/>
        <w:autoSpaceDN w:val="0"/>
        <w:adjustRightInd w:val="0"/>
        <w:spacing w:after="0"/>
        <w:ind w:left="284" w:hanging="284"/>
        <w:rPr>
          <w:rFonts w:ascii="Helvetica" w:hAnsi="Helvetica" w:cs="Helvetica"/>
        </w:rPr>
      </w:pPr>
    </w:p>
    <w:p w:rsidR="00990ACB" w:rsidRPr="00990ACB" w:rsidRDefault="00990ACB" w:rsidP="00990ACB">
      <w:pPr>
        <w:widowControl w:val="0"/>
        <w:autoSpaceDE w:val="0"/>
        <w:autoSpaceDN w:val="0"/>
        <w:adjustRightInd w:val="0"/>
        <w:spacing w:after="0"/>
        <w:ind w:left="284" w:hanging="284"/>
        <w:rPr>
          <w:rFonts w:ascii="Helvetica" w:hAnsi="Helvetica" w:cs="Helvetica"/>
        </w:rPr>
      </w:pPr>
      <w:r w:rsidRPr="00990ACB">
        <w:rPr>
          <w:rFonts w:ascii="Helvetica" w:hAnsi="Helvetica" w:cs="Helvetica"/>
        </w:rPr>
        <w:t xml:space="preserve">Harvey, D. (2005). </w:t>
      </w:r>
      <w:proofErr w:type="gramStart"/>
      <w:r w:rsidRPr="00990ACB">
        <w:rPr>
          <w:rFonts w:ascii="Helvetica" w:hAnsi="Helvetica" w:cs="Helvetica"/>
          <w:i/>
          <w:iCs/>
        </w:rPr>
        <w:t>A Brief History of Neoliberalism</w:t>
      </w:r>
      <w:r w:rsidRPr="00990ACB">
        <w:rPr>
          <w:rFonts w:ascii="Helvetica" w:hAnsi="Helvetica" w:cs="Helvetica"/>
        </w:rPr>
        <w:t>.</w:t>
      </w:r>
      <w:proofErr w:type="gramEnd"/>
      <w:r w:rsidRPr="00990ACB">
        <w:rPr>
          <w:rFonts w:ascii="Helvetica" w:hAnsi="Helvetica" w:cs="Helvetica"/>
        </w:rPr>
        <w:t xml:space="preserve"> Oxford, UK: Oxford University Press.</w:t>
      </w:r>
    </w:p>
    <w:p w:rsidR="00990ACB" w:rsidRPr="00990ACB" w:rsidRDefault="00990ACB" w:rsidP="00990ACB">
      <w:pPr>
        <w:widowControl w:val="0"/>
        <w:autoSpaceDE w:val="0"/>
        <w:autoSpaceDN w:val="0"/>
        <w:adjustRightInd w:val="0"/>
        <w:spacing w:after="0"/>
        <w:ind w:left="284" w:hanging="284"/>
        <w:rPr>
          <w:rFonts w:ascii="Helvetica" w:hAnsi="Helvetica" w:cs="Helvetica"/>
        </w:rPr>
      </w:pPr>
    </w:p>
    <w:p w:rsidR="00990ACB" w:rsidRPr="00990ACB" w:rsidRDefault="00990ACB" w:rsidP="00990ACB">
      <w:pPr>
        <w:widowControl w:val="0"/>
        <w:autoSpaceDE w:val="0"/>
        <w:autoSpaceDN w:val="0"/>
        <w:adjustRightInd w:val="0"/>
        <w:spacing w:after="0"/>
        <w:ind w:left="284" w:hanging="284"/>
        <w:rPr>
          <w:rFonts w:ascii="Helvetica" w:hAnsi="Helvetica" w:cs="Helvetica"/>
        </w:rPr>
      </w:pPr>
      <w:proofErr w:type="spellStart"/>
      <w:r w:rsidRPr="00990ACB">
        <w:rPr>
          <w:rFonts w:ascii="Helvetica" w:hAnsi="Helvetica" w:cs="Helvetica"/>
        </w:rPr>
        <w:t>Herbst</w:t>
      </w:r>
      <w:proofErr w:type="spellEnd"/>
      <w:r w:rsidRPr="00990ACB">
        <w:rPr>
          <w:rFonts w:ascii="Helvetica" w:hAnsi="Helvetica" w:cs="Helvetica"/>
        </w:rPr>
        <w:t xml:space="preserve">, J. (2002). </w:t>
      </w:r>
      <w:r w:rsidRPr="00990ACB">
        <w:rPr>
          <w:rFonts w:ascii="Helvetica" w:hAnsi="Helvetica" w:cs="Helvetica"/>
          <w:i/>
          <w:iCs/>
        </w:rPr>
        <w:t>Requiem for a German Past: A Boyhood among the Nazis</w:t>
      </w:r>
      <w:r w:rsidRPr="00990ACB">
        <w:rPr>
          <w:rFonts w:ascii="Helvetica" w:hAnsi="Helvetica" w:cs="Helvetica"/>
        </w:rPr>
        <w:t>. Madison: University of Wisconsin Press.</w:t>
      </w:r>
    </w:p>
    <w:p w:rsidR="00990ACB" w:rsidRPr="00990ACB" w:rsidRDefault="00990ACB" w:rsidP="00990ACB">
      <w:pPr>
        <w:widowControl w:val="0"/>
        <w:autoSpaceDE w:val="0"/>
        <w:autoSpaceDN w:val="0"/>
        <w:adjustRightInd w:val="0"/>
        <w:spacing w:after="0"/>
        <w:ind w:left="284" w:hanging="284"/>
        <w:rPr>
          <w:rFonts w:ascii="Helvetica" w:hAnsi="Helvetica" w:cs="Helvetica"/>
        </w:rPr>
      </w:pPr>
    </w:p>
    <w:p w:rsidR="00990ACB" w:rsidRPr="00990ACB" w:rsidRDefault="00990ACB" w:rsidP="00990ACB">
      <w:pPr>
        <w:widowControl w:val="0"/>
        <w:autoSpaceDE w:val="0"/>
        <w:autoSpaceDN w:val="0"/>
        <w:adjustRightInd w:val="0"/>
        <w:spacing w:after="0"/>
        <w:ind w:left="284" w:hanging="284"/>
        <w:rPr>
          <w:rFonts w:ascii="Helvetica" w:hAnsi="Helvetica" w:cs="Helvetica"/>
        </w:rPr>
      </w:pPr>
      <w:r w:rsidRPr="00990ACB">
        <w:rPr>
          <w:rFonts w:ascii="Helvetica" w:hAnsi="Helvetica" w:cs="Helvetica"/>
        </w:rPr>
        <w:t xml:space="preserve">Held, D. (1995). </w:t>
      </w:r>
      <w:proofErr w:type="gramStart"/>
      <w:r w:rsidRPr="00990ACB">
        <w:rPr>
          <w:rFonts w:ascii="Helvetica" w:hAnsi="Helvetica" w:cs="Helvetica"/>
          <w:i/>
          <w:iCs/>
        </w:rPr>
        <w:t>Democracy and the Global Order</w:t>
      </w:r>
      <w:r w:rsidRPr="00990ACB">
        <w:rPr>
          <w:rFonts w:ascii="Helvetica" w:hAnsi="Helvetica" w:cs="Helvetica"/>
        </w:rPr>
        <w:t>.</w:t>
      </w:r>
      <w:proofErr w:type="gramEnd"/>
      <w:r w:rsidRPr="00990ACB">
        <w:rPr>
          <w:rFonts w:ascii="Helvetica" w:hAnsi="Helvetica" w:cs="Helvetica"/>
        </w:rPr>
        <w:t xml:space="preserve"> New York: Polity Press.</w:t>
      </w:r>
    </w:p>
    <w:p w:rsidR="00990ACB" w:rsidRPr="00990ACB" w:rsidRDefault="00990ACB" w:rsidP="00990ACB">
      <w:pPr>
        <w:widowControl w:val="0"/>
        <w:autoSpaceDE w:val="0"/>
        <w:autoSpaceDN w:val="0"/>
        <w:adjustRightInd w:val="0"/>
        <w:spacing w:after="0"/>
        <w:ind w:left="284" w:hanging="284"/>
        <w:rPr>
          <w:rFonts w:ascii="Helvetica" w:hAnsi="Helvetica" w:cs="Helvetica"/>
        </w:rPr>
      </w:pPr>
    </w:p>
    <w:p w:rsidR="00990ACB" w:rsidRPr="00990ACB" w:rsidRDefault="00990ACB" w:rsidP="00990ACB">
      <w:pPr>
        <w:widowControl w:val="0"/>
        <w:autoSpaceDE w:val="0"/>
        <w:autoSpaceDN w:val="0"/>
        <w:adjustRightInd w:val="0"/>
        <w:spacing w:after="0"/>
        <w:ind w:left="284" w:hanging="284"/>
        <w:rPr>
          <w:rFonts w:ascii="Helvetica" w:hAnsi="Helvetica" w:cs="Helvetica"/>
        </w:rPr>
      </w:pPr>
      <w:proofErr w:type="spellStart"/>
      <w:r w:rsidRPr="00990ACB">
        <w:rPr>
          <w:rFonts w:ascii="Helvetica" w:hAnsi="Helvetica" w:cs="Helvetica"/>
        </w:rPr>
        <w:t>Kamens</w:t>
      </w:r>
      <w:proofErr w:type="spellEnd"/>
      <w:r w:rsidRPr="00990ACB">
        <w:rPr>
          <w:rFonts w:ascii="Helvetica" w:hAnsi="Helvetica" w:cs="Helvetica"/>
        </w:rPr>
        <w:t xml:space="preserve">, D. (2012). </w:t>
      </w:r>
      <w:r w:rsidRPr="00990ACB">
        <w:rPr>
          <w:rFonts w:ascii="Helvetica" w:hAnsi="Helvetica" w:cs="Helvetica"/>
          <w:i/>
          <w:iCs/>
        </w:rPr>
        <w:t>Beyond the Nation State: The Reconstruction of Nationhood and Citizenship</w:t>
      </w:r>
      <w:r w:rsidRPr="00990ACB">
        <w:rPr>
          <w:rFonts w:ascii="Helvetica" w:hAnsi="Helvetica" w:cs="Helvetica"/>
        </w:rPr>
        <w:t>. London: Emerald Publishing.</w:t>
      </w:r>
    </w:p>
    <w:p w:rsidR="00990ACB" w:rsidRPr="00990ACB" w:rsidRDefault="00990ACB" w:rsidP="00990ACB">
      <w:pPr>
        <w:widowControl w:val="0"/>
        <w:autoSpaceDE w:val="0"/>
        <w:autoSpaceDN w:val="0"/>
        <w:adjustRightInd w:val="0"/>
        <w:spacing w:after="0"/>
        <w:ind w:left="284" w:hanging="284"/>
        <w:rPr>
          <w:rFonts w:ascii="Helvetica" w:hAnsi="Helvetica" w:cs="Helvetica"/>
        </w:rPr>
      </w:pPr>
    </w:p>
    <w:p w:rsidR="00990ACB" w:rsidRPr="00990ACB" w:rsidRDefault="00990ACB" w:rsidP="00990ACB">
      <w:pPr>
        <w:widowControl w:val="0"/>
        <w:autoSpaceDE w:val="0"/>
        <w:autoSpaceDN w:val="0"/>
        <w:adjustRightInd w:val="0"/>
        <w:spacing w:after="0"/>
        <w:ind w:left="284" w:hanging="284"/>
        <w:rPr>
          <w:rFonts w:ascii="Helvetica" w:hAnsi="Helvetica" w:cs="Helvetica"/>
        </w:rPr>
      </w:pPr>
      <w:r w:rsidRPr="00990ACB">
        <w:rPr>
          <w:rFonts w:ascii="Helvetica" w:hAnsi="Helvetica" w:cs="Helvetica"/>
        </w:rPr>
        <w:t xml:space="preserve">Mahon, R. and S. McBride, </w:t>
      </w:r>
      <w:proofErr w:type="gramStart"/>
      <w:r w:rsidRPr="00990ACB">
        <w:rPr>
          <w:rFonts w:ascii="Helvetica" w:hAnsi="Helvetica" w:cs="Helvetica"/>
        </w:rPr>
        <w:t>eds</w:t>
      </w:r>
      <w:proofErr w:type="gramEnd"/>
      <w:r w:rsidRPr="00990ACB">
        <w:rPr>
          <w:rFonts w:ascii="Helvetica" w:hAnsi="Helvetica" w:cs="Helvetica"/>
        </w:rPr>
        <w:t>. (2008)</w:t>
      </w:r>
      <w:proofErr w:type="gramStart"/>
      <w:r w:rsidRPr="00990ACB">
        <w:rPr>
          <w:rFonts w:ascii="Helvetica" w:hAnsi="Helvetica" w:cs="Helvetica"/>
        </w:rPr>
        <w:t xml:space="preserve">. </w:t>
      </w:r>
      <w:r w:rsidRPr="00990ACB">
        <w:rPr>
          <w:rFonts w:ascii="Helvetica" w:hAnsi="Helvetica" w:cs="Helvetica"/>
          <w:i/>
          <w:iCs/>
        </w:rPr>
        <w:t>The OECD and Transnational Governance</w:t>
      </w:r>
      <w:r w:rsidRPr="00990ACB">
        <w:rPr>
          <w:rFonts w:ascii="Helvetica" w:hAnsi="Helvetica" w:cs="Helvetica"/>
        </w:rPr>
        <w:t>.</w:t>
      </w:r>
      <w:proofErr w:type="gramEnd"/>
      <w:r w:rsidRPr="00990ACB">
        <w:rPr>
          <w:rFonts w:ascii="Helvetica" w:hAnsi="Helvetica" w:cs="Helvetica"/>
        </w:rPr>
        <w:t xml:space="preserve"> Vancouver: University of British Columbia Press.</w:t>
      </w:r>
    </w:p>
    <w:p w:rsidR="00990ACB" w:rsidRPr="00990ACB" w:rsidRDefault="00990ACB" w:rsidP="00990ACB">
      <w:pPr>
        <w:widowControl w:val="0"/>
        <w:autoSpaceDE w:val="0"/>
        <w:autoSpaceDN w:val="0"/>
        <w:adjustRightInd w:val="0"/>
        <w:spacing w:after="0"/>
        <w:ind w:left="284" w:hanging="284"/>
        <w:rPr>
          <w:rFonts w:ascii="Helvetica" w:hAnsi="Helvetica" w:cs="Helvetica"/>
        </w:rPr>
      </w:pPr>
    </w:p>
    <w:p w:rsidR="00990ACB" w:rsidRPr="00990ACB" w:rsidRDefault="00990ACB" w:rsidP="00990ACB">
      <w:pPr>
        <w:widowControl w:val="0"/>
        <w:autoSpaceDE w:val="0"/>
        <w:autoSpaceDN w:val="0"/>
        <w:adjustRightInd w:val="0"/>
        <w:spacing w:after="0"/>
        <w:ind w:left="284" w:hanging="284"/>
        <w:rPr>
          <w:rFonts w:ascii="Helvetica" w:hAnsi="Helvetica" w:cs="Helvetica"/>
        </w:rPr>
      </w:pPr>
      <w:proofErr w:type="gramStart"/>
      <w:r w:rsidRPr="00990ACB">
        <w:rPr>
          <w:rFonts w:ascii="Helvetica" w:hAnsi="Helvetica" w:cs="Helvetica"/>
        </w:rPr>
        <w:t xml:space="preserve">Martens, K. and A. J. </w:t>
      </w:r>
      <w:proofErr w:type="spellStart"/>
      <w:r w:rsidRPr="00990ACB">
        <w:rPr>
          <w:rFonts w:ascii="Helvetica" w:hAnsi="Helvetica" w:cs="Helvetica"/>
        </w:rPr>
        <w:t>Jakobi</w:t>
      </w:r>
      <w:proofErr w:type="spellEnd"/>
      <w:r w:rsidRPr="00990ACB">
        <w:rPr>
          <w:rFonts w:ascii="Helvetica" w:hAnsi="Helvetica" w:cs="Helvetica"/>
        </w:rPr>
        <w:t xml:space="preserve"> (2010).</w:t>
      </w:r>
      <w:proofErr w:type="gramEnd"/>
      <w:r w:rsidRPr="00990ACB">
        <w:rPr>
          <w:rFonts w:ascii="Helvetica" w:hAnsi="Helvetica" w:cs="Helvetica"/>
        </w:rPr>
        <w:t xml:space="preserve"> “Expanding and Intensifying Governance: The OECD in Education Policy.” In </w:t>
      </w:r>
      <w:r w:rsidRPr="00990ACB">
        <w:rPr>
          <w:rFonts w:ascii="Helvetica" w:hAnsi="Helvetica" w:cs="Helvetica"/>
          <w:i/>
          <w:iCs/>
        </w:rPr>
        <w:t>Mechanisms of OECD Governance: International Incentives for National Policy-making</w:t>
      </w:r>
      <w:proofErr w:type="gramStart"/>
      <w:r w:rsidRPr="00990ACB">
        <w:rPr>
          <w:rFonts w:ascii="Helvetica" w:hAnsi="Helvetica" w:cs="Helvetica"/>
          <w:i/>
          <w:iCs/>
        </w:rPr>
        <w:t>?</w:t>
      </w:r>
      <w:r w:rsidRPr="00990ACB">
        <w:rPr>
          <w:rFonts w:ascii="Helvetica" w:hAnsi="Helvetica" w:cs="Helvetica"/>
        </w:rPr>
        <w:t>,</w:t>
      </w:r>
      <w:proofErr w:type="gramEnd"/>
      <w:r w:rsidRPr="00990ACB">
        <w:rPr>
          <w:rFonts w:ascii="Helvetica" w:hAnsi="Helvetica" w:cs="Helvetica"/>
        </w:rPr>
        <w:t xml:space="preserve"> edited by K. Martens and A. P. </w:t>
      </w:r>
      <w:proofErr w:type="spellStart"/>
      <w:r w:rsidRPr="00990ACB">
        <w:rPr>
          <w:rFonts w:ascii="Helvetica" w:hAnsi="Helvetica" w:cs="Helvetica"/>
        </w:rPr>
        <w:t>Jakobi</w:t>
      </w:r>
      <w:proofErr w:type="spellEnd"/>
      <w:r w:rsidRPr="00990ACB">
        <w:rPr>
          <w:rFonts w:ascii="Helvetica" w:hAnsi="Helvetica" w:cs="Helvetica"/>
        </w:rPr>
        <w:t>, 163–179. Oxford, UK: Oxford University Press.</w:t>
      </w:r>
    </w:p>
    <w:p w:rsidR="00990ACB" w:rsidRPr="00990ACB" w:rsidRDefault="00990ACB" w:rsidP="00990ACB">
      <w:pPr>
        <w:widowControl w:val="0"/>
        <w:autoSpaceDE w:val="0"/>
        <w:autoSpaceDN w:val="0"/>
        <w:adjustRightInd w:val="0"/>
        <w:spacing w:after="0"/>
        <w:ind w:left="284" w:hanging="284"/>
        <w:rPr>
          <w:rFonts w:ascii="Helvetica" w:hAnsi="Helvetica" w:cs="Helvetica"/>
        </w:rPr>
      </w:pPr>
    </w:p>
    <w:p w:rsidR="00990ACB" w:rsidRPr="00990ACB" w:rsidRDefault="00990ACB" w:rsidP="00990ACB">
      <w:pPr>
        <w:widowControl w:val="0"/>
        <w:autoSpaceDE w:val="0"/>
        <w:autoSpaceDN w:val="0"/>
        <w:adjustRightInd w:val="0"/>
        <w:spacing w:after="0"/>
        <w:ind w:left="284" w:hanging="284"/>
        <w:rPr>
          <w:rFonts w:ascii="Helvetica" w:hAnsi="Helvetica" w:cs="Helvetica"/>
        </w:rPr>
      </w:pPr>
      <w:r w:rsidRPr="00990ACB">
        <w:rPr>
          <w:rFonts w:ascii="Helvetica" w:hAnsi="Helvetica" w:cs="Helvetica"/>
        </w:rPr>
        <w:t xml:space="preserve">Meyer, H-D and A. </w:t>
      </w:r>
      <w:proofErr w:type="spellStart"/>
      <w:r w:rsidRPr="00990ACB">
        <w:rPr>
          <w:rFonts w:ascii="Helvetica" w:hAnsi="Helvetica" w:cs="Helvetica"/>
        </w:rPr>
        <w:t>Benavot</w:t>
      </w:r>
      <w:proofErr w:type="spellEnd"/>
      <w:r w:rsidRPr="00990ACB">
        <w:rPr>
          <w:rFonts w:ascii="Helvetica" w:hAnsi="Helvetica" w:cs="Helvetica"/>
        </w:rPr>
        <w:t xml:space="preserve">, </w:t>
      </w:r>
      <w:proofErr w:type="gramStart"/>
      <w:r w:rsidRPr="00990ACB">
        <w:rPr>
          <w:rFonts w:ascii="Helvetica" w:hAnsi="Helvetica" w:cs="Helvetica"/>
        </w:rPr>
        <w:t>eds</w:t>
      </w:r>
      <w:proofErr w:type="gramEnd"/>
      <w:r w:rsidRPr="00990ACB">
        <w:rPr>
          <w:rFonts w:ascii="Helvetica" w:hAnsi="Helvetica" w:cs="Helvetica"/>
        </w:rPr>
        <w:t>. (2013)</w:t>
      </w:r>
      <w:proofErr w:type="gramStart"/>
      <w:r w:rsidRPr="00990ACB">
        <w:rPr>
          <w:rFonts w:ascii="Helvetica" w:hAnsi="Helvetica" w:cs="Helvetica"/>
        </w:rPr>
        <w:t xml:space="preserve">. </w:t>
      </w:r>
      <w:r w:rsidRPr="00990ACB">
        <w:rPr>
          <w:rFonts w:ascii="Helvetica" w:hAnsi="Helvetica" w:cs="Helvetica"/>
          <w:i/>
          <w:iCs/>
        </w:rPr>
        <w:t>PISA, Power, and Policy.</w:t>
      </w:r>
      <w:proofErr w:type="gramEnd"/>
      <w:r w:rsidRPr="00990ACB">
        <w:rPr>
          <w:rFonts w:ascii="Helvetica" w:hAnsi="Helvetica" w:cs="Helvetica"/>
          <w:i/>
          <w:iCs/>
        </w:rPr>
        <w:t xml:space="preserve"> </w:t>
      </w:r>
      <w:proofErr w:type="gramStart"/>
      <w:r w:rsidRPr="00990ACB">
        <w:rPr>
          <w:rFonts w:ascii="Helvetica" w:hAnsi="Helvetica" w:cs="Helvetica"/>
          <w:i/>
          <w:iCs/>
        </w:rPr>
        <w:t>The Emergence of Global Educational Governance</w:t>
      </w:r>
      <w:r w:rsidRPr="00990ACB">
        <w:rPr>
          <w:rFonts w:ascii="Helvetica" w:hAnsi="Helvetica" w:cs="Helvetica"/>
        </w:rPr>
        <w:t>.</w:t>
      </w:r>
      <w:proofErr w:type="gramEnd"/>
      <w:r w:rsidRPr="00990ACB">
        <w:rPr>
          <w:rFonts w:ascii="Helvetica" w:hAnsi="Helvetica" w:cs="Helvetica"/>
        </w:rPr>
        <w:t xml:space="preserve"> Oxford, UK: Symposium.</w:t>
      </w:r>
    </w:p>
    <w:p w:rsidR="00990ACB" w:rsidRPr="00990ACB" w:rsidRDefault="00990ACB" w:rsidP="00990ACB">
      <w:pPr>
        <w:widowControl w:val="0"/>
        <w:autoSpaceDE w:val="0"/>
        <w:autoSpaceDN w:val="0"/>
        <w:adjustRightInd w:val="0"/>
        <w:spacing w:after="0"/>
        <w:ind w:left="284" w:hanging="284"/>
        <w:rPr>
          <w:rFonts w:ascii="Helvetica" w:hAnsi="Helvetica" w:cs="Helvetica"/>
        </w:rPr>
      </w:pPr>
    </w:p>
    <w:p w:rsidR="00990ACB" w:rsidRPr="00990ACB" w:rsidRDefault="00990ACB" w:rsidP="00990ACB">
      <w:pPr>
        <w:widowControl w:val="0"/>
        <w:autoSpaceDE w:val="0"/>
        <w:autoSpaceDN w:val="0"/>
        <w:adjustRightInd w:val="0"/>
        <w:spacing w:after="0"/>
        <w:ind w:left="284" w:hanging="284"/>
        <w:rPr>
          <w:rFonts w:ascii="Helvetica" w:hAnsi="Helvetica" w:cs="Helvetica"/>
        </w:rPr>
      </w:pPr>
      <w:proofErr w:type="spellStart"/>
      <w:proofErr w:type="gramStart"/>
      <w:r w:rsidRPr="00990ACB">
        <w:rPr>
          <w:rFonts w:ascii="Helvetica" w:hAnsi="Helvetica" w:cs="Helvetica"/>
        </w:rPr>
        <w:t>Rizvi</w:t>
      </w:r>
      <w:proofErr w:type="spellEnd"/>
      <w:r w:rsidRPr="00990ACB">
        <w:rPr>
          <w:rFonts w:ascii="Helvetica" w:hAnsi="Helvetica" w:cs="Helvetica"/>
        </w:rPr>
        <w:t xml:space="preserve">, F. and B. </w:t>
      </w:r>
      <w:proofErr w:type="spellStart"/>
      <w:r w:rsidRPr="00990ACB">
        <w:rPr>
          <w:rFonts w:ascii="Helvetica" w:hAnsi="Helvetica" w:cs="Helvetica"/>
        </w:rPr>
        <w:t>Lingard</w:t>
      </w:r>
      <w:proofErr w:type="spellEnd"/>
      <w:r w:rsidRPr="00990ACB">
        <w:rPr>
          <w:rFonts w:ascii="Helvetica" w:hAnsi="Helvetica" w:cs="Helvetica"/>
        </w:rPr>
        <w:t xml:space="preserve"> (2010).</w:t>
      </w:r>
      <w:proofErr w:type="gramEnd"/>
      <w:r w:rsidRPr="00990ACB">
        <w:rPr>
          <w:rFonts w:ascii="Helvetica" w:hAnsi="Helvetica" w:cs="Helvetica"/>
        </w:rPr>
        <w:t xml:space="preserve"> </w:t>
      </w:r>
      <w:r w:rsidRPr="00990ACB">
        <w:rPr>
          <w:rFonts w:ascii="Helvetica" w:hAnsi="Helvetica" w:cs="Helvetica"/>
          <w:i/>
          <w:iCs/>
        </w:rPr>
        <w:t>Globalizing Education Policy</w:t>
      </w:r>
      <w:r w:rsidRPr="00990ACB">
        <w:rPr>
          <w:rFonts w:ascii="Helvetica" w:hAnsi="Helvetica" w:cs="Helvetica"/>
        </w:rPr>
        <w:t xml:space="preserve">. London: </w:t>
      </w:r>
      <w:proofErr w:type="spellStart"/>
      <w:r w:rsidRPr="00990ACB">
        <w:rPr>
          <w:rFonts w:ascii="Helvetica" w:hAnsi="Helvetica" w:cs="Helvetica"/>
        </w:rPr>
        <w:t>Routledge</w:t>
      </w:r>
      <w:proofErr w:type="spellEnd"/>
      <w:r w:rsidRPr="00990ACB">
        <w:rPr>
          <w:rFonts w:ascii="Helvetica" w:hAnsi="Helvetica" w:cs="Helvetica"/>
        </w:rPr>
        <w:t>.</w:t>
      </w:r>
    </w:p>
    <w:p w:rsidR="00990ACB" w:rsidRPr="00990ACB" w:rsidRDefault="00990ACB" w:rsidP="00990ACB">
      <w:pPr>
        <w:widowControl w:val="0"/>
        <w:autoSpaceDE w:val="0"/>
        <w:autoSpaceDN w:val="0"/>
        <w:adjustRightInd w:val="0"/>
        <w:spacing w:after="0"/>
        <w:ind w:left="284" w:hanging="284"/>
        <w:rPr>
          <w:rFonts w:ascii="Helvetica" w:hAnsi="Helvetica" w:cs="Helvetica"/>
        </w:rPr>
      </w:pPr>
    </w:p>
    <w:p w:rsidR="00990ACB" w:rsidRPr="00990ACB" w:rsidRDefault="00990ACB" w:rsidP="00990ACB">
      <w:pPr>
        <w:widowControl w:val="0"/>
        <w:autoSpaceDE w:val="0"/>
        <w:autoSpaceDN w:val="0"/>
        <w:adjustRightInd w:val="0"/>
        <w:spacing w:after="0"/>
        <w:ind w:left="284" w:hanging="284"/>
        <w:rPr>
          <w:rFonts w:ascii="Helvetica" w:hAnsi="Helvetica" w:cs="Helvetica"/>
        </w:rPr>
      </w:pPr>
      <w:r w:rsidRPr="00990ACB">
        <w:rPr>
          <w:rFonts w:ascii="Helvetica" w:hAnsi="Helvetica" w:cs="Helvetica"/>
        </w:rPr>
        <w:t xml:space="preserve">Scott, James C. (1998). </w:t>
      </w:r>
      <w:r w:rsidRPr="00990ACB">
        <w:rPr>
          <w:rFonts w:ascii="Helvetica" w:hAnsi="Helvetica" w:cs="Helvetica"/>
          <w:i/>
          <w:iCs/>
        </w:rPr>
        <w:t>Seeing like a State. How Certain Schemes to Improve the Human Condition Have Failed</w:t>
      </w:r>
      <w:r w:rsidRPr="00990ACB">
        <w:rPr>
          <w:rFonts w:ascii="Helvetica" w:hAnsi="Helvetica" w:cs="Helvetica"/>
        </w:rPr>
        <w:t>. New Haven: Yale University Press.</w:t>
      </w:r>
    </w:p>
    <w:p w:rsidR="00990ACB" w:rsidRPr="00990ACB" w:rsidRDefault="00990ACB" w:rsidP="00990ACB">
      <w:pPr>
        <w:widowControl w:val="0"/>
        <w:autoSpaceDE w:val="0"/>
        <w:autoSpaceDN w:val="0"/>
        <w:adjustRightInd w:val="0"/>
        <w:spacing w:after="0"/>
        <w:ind w:left="284" w:hanging="284"/>
        <w:rPr>
          <w:rFonts w:ascii="Helvetica" w:hAnsi="Helvetica" w:cs="Helvetica"/>
        </w:rPr>
      </w:pPr>
    </w:p>
    <w:p w:rsidR="00990ACB" w:rsidRPr="00990ACB" w:rsidRDefault="00990ACB" w:rsidP="00990ACB">
      <w:pPr>
        <w:widowControl w:val="0"/>
        <w:autoSpaceDE w:val="0"/>
        <w:autoSpaceDN w:val="0"/>
        <w:adjustRightInd w:val="0"/>
        <w:spacing w:after="0"/>
        <w:ind w:left="284" w:hanging="284"/>
        <w:rPr>
          <w:rFonts w:ascii="Helvetica" w:hAnsi="Helvetica" w:cs="Helvetica"/>
        </w:rPr>
      </w:pPr>
      <w:proofErr w:type="gramStart"/>
      <w:r w:rsidRPr="00990ACB">
        <w:rPr>
          <w:rFonts w:ascii="Helvetica" w:hAnsi="Helvetica" w:cs="Helvetica"/>
        </w:rPr>
        <w:t>Steiner-</w:t>
      </w:r>
      <w:proofErr w:type="spellStart"/>
      <w:r w:rsidRPr="00990ACB">
        <w:rPr>
          <w:rFonts w:ascii="Helvetica" w:hAnsi="Helvetica" w:cs="Helvetica"/>
        </w:rPr>
        <w:t>Khamsi</w:t>
      </w:r>
      <w:proofErr w:type="spellEnd"/>
      <w:r w:rsidRPr="00990ACB">
        <w:rPr>
          <w:rFonts w:ascii="Helvetica" w:hAnsi="Helvetica" w:cs="Helvetica"/>
        </w:rPr>
        <w:t>, G. (2003).</w:t>
      </w:r>
      <w:proofErr w:type="gramEnd"/>
      <w:r w:rsidRPr="00990ACB">
        <w:rPr>
          <w:rFonts w:ascii="Helvetica" w:hAnsi="Helvetica" w:cs="Helvetica"/>
        </w:rPr>
        <w:t xml:space="preserve"> “The Politics of League Tables.” </w:t>
      </w:r>
      <w:r w:rsidRPr="00990ACB">
        <w:rPr>
          <w:rFonts w:ascii="Helvetica" w:hAnsi="Helvetica" w:cs="Helvetica"/>
          <w:i/>
          <w:iCs/>
        </w:rPr>
        <w:t>Journal of Social Science 1</w:t>
      </w:r>
      <w:r w:rsidRPr="00990ACB">
        <w:rPr>
          <w:rFonts w:ascii="Helvetica" w:hAnsi="Helvetica" w:cs="Helvetica"/>
        </w:rPr>
        <w:t>, 1–6.</w:t>
      </w:r>
    </w:p>
    <w:p w:rsidR="00990ACB" w:rsidRPr="00990ACB" w:rsidRDefault="00990ACB" w:rsidP="00990ACB">
      <w:pPr>
        <w:widowControl w:val="0"/>
        <w:autoSpaceDE w:val="0"/>
        <w:autoSpaceDN w:val="0"/>
        <w:adjustRightInd w:val="0"/>
        <w:spacing w:after="0"/>
        <w:ind w:left="284" w:hanging="284"/>
        <w:rPr>
          <w:rFonts w:ascii="Helvetica" w:hAnsi="Helvetica" w:cs="Helvetica"/>
        </w:rPr>
      </w:pPr>
    </w:p>
    <w:p w:rsidR="00990ACB" w:rsidRPr="00990ACB" w:rsidRDefault="00990ACB" w:rsidP="00990ACB">
      <w:pPr>
        <w:widowControl w:val="0"/>
        <w:autoSpaceDE w:val="0"/>
        <w:autoSpaceDN w:val="0"/>
        <w:adjustRightInd w:val="0"/>
        <w:spacing w:after="0"/>
        <w:ind w:left="284" w:hanging="284"/>
        <w:rPr>
          <w:rFonts w:ascii="Helvetica" w:hAnsi="Helvetica" w:cs="Helvetica"/>
        </w:rPr>
      </w:pPr>
      <w:r w:rsidRPr="00990ACB">
        <w:rPr>
          <w:rFonts w:ascii="Helvetica" w:hAnsi="Helvetica" w:cs="Helvetica"/>
        </w:rPr>
        <w:t xml:space="preserve">Strange, S. (1996). </w:t>
      </w:r>
      <w:r w:rsidRPr="00990ACB">
        <w:rPr>
          <w:rFonts w:ascii="Helvetica" w:hAnsi="Helvetica" w:cs="Helvetica"/>
          <w:i/>
          <w:iCs/>
        </w:rPr>
        <w:t>The Retreat of the State: The Diffusion of Power in the World Economy</w:t>
      </w:r>
      <w:r w:rsidRPr="00990ACB">
        <w:rPr>
          <w:rFonts w:ascii="Helvetica" w:hAnsi="Helvetica" w:cs="Helvetica"/>
        </w:rPr>
        <w:t>. Cambridge: Cambridge University Press.</w:t>
      </w:r>
    </w:p>
    <w:p w:rsidR="00990ACB" w:rsidRPr="00990ACB" w:rsidRDefault="00990ACB" w:rsidP="00990ACB">
      <w:pPr>
        <w:widowControl w:val="0"/>
        <w:autoSpaceDE w:val="0"/>
        <w:autoSpaceDN w:val="0"/>
        <w:adjustRightInd w:val="0"/>
        <w:spacing w:after="0"/>
        <w:ind w:left="284" w:hanging="284"/>
        <w:rPr>
          <w:rFonts w:ascii="Helvetica" w:hAnsi="Helvetica" w:cs="Helvetica"/>
        </w:rPr>
      </w:pPr>
    </w:p>
    <w:p w:rsidR="00990ACB" w:rsidRPr="00990ACB" w:rsidRDefault="00990ACB" w:rsidP="00990ACB">
      <w:pPr>
        <w:widowControl w:val="0"/>
        <w:autoSpaceDE w:val="0"/>
        <w:autoSpaceDN w:val="0"/>
        <w:adjustRightInd w:val="0"/>
        <w:spacing w:after="0"/>
        <w:ind w:left="284" w:hanging="284"/>
        <w:rPr>
          <w:rFonts w:ascii="Helvetica" w:hAnsi="Helvetica" w:cs="Helvetica"/>
        </w:rPr>
      </w:pPr>
      <w:proofErr w:type="spellStart"/>
      <w:r w:rsidRPr="00990ACB">
        <w:rPr>
          <w:rFonts w:ascii="Helvetica" w:hAnsi="Helvetica" w:cs="Helvetica"/>
        </w:rPr>
        <w:t>Takayama</w:t>
      </w:r>
      <w:proofErr w:type="spellEnd"/>
      <w:r w:rsidRPr="00990ACB">
        <w:rPr>
          <w:rFonts w:ascii="Helvetica" w:hAnsi="Helvetica" w:cs="Helvetica"/>
        </w:rPr>
        <w:t xml:space="preserve">, K. (2008). “The Politics of International League Tables: PISA in Japan’s Achievement Crisis Debate.” </w:t>
      </w:r>
      <w:r w:rsidRPr="00990ACB">
        <w:rPr>
          <w:rFonts w:ascii="Helvetica" w:hAnsi="Helvetica" w:cs="Helvetica"/>
          <w:i/>
          <w:iCs/>
        </w:rPr>
        <w:t>Comparative Education</w:t>
      </w:r>
      <w:r w:rsidRPr="00990ACB">
        <w:rPr>
          <w:rFonts w:ascii="Helvetica" w:hAnsi="Helvetica" w:cs="Helvetica"/>
        </w:rPr>
        <w:t xml:space="preserve"> </w:t>
      </w:r>
      <w:r w:rsidRPr="00990ACB">
        <w:rPr>
          <w:rFonts w:ascii="Helvetica" w:hAnsi="Helvetica" w:cs="Helvetica"/>
          <w:i/>
          <w:iCs/>
        </w:rPr>
        <w:t>44</w:t>
      </w:r>
      <w:r w:rsidRPr="00990ACB">
        <w:rPr>
          <w:rFonts w:ascii="Helvetica" w:hAnsi="Helvetica" w:cs="Helvetica"/>
        </w:rPr>
        <w:t>(4), 387–407.</w:t>
      </w:r>
    </w:p>
    <w:p w:rsidR="00990ACB" w:rsidRPr="00990ACB" w:rsidRDefault="00990ACB" w:rsidP="00990ACB">
      <w:pPr>
        <w:widowControl w:val="0"/>
        <w:autoSpaceDE w:val="0"/>
        <w:autoSpaceDN w:val="0"/>
        <w:adjustRightInd w:val="0"/>
        <w:spacing w:after="0"/>
        <w:ind w:left="284" w:hanging="284"/>
        <w:rPr>
          <w:rFonts w:ascii="Helvetica" w:hAnsi="Helvetica" w:cs="Helvetica"/>
        </w:rPr>
      </w:pPr>
    </w:p>
    <w:p w:rsidR="00990ACB" w:rsidRPr="00990ACB" w:rsidRDefault="00990ACB" w:rsidP="00990ACB">
      <w:pPr>
        <w:widowControl w:val="0"/>
        <w:autoSpaceDE w:val="0"/>
        <w:autoSpaceDN w:val="0"/>
        <w:adjustRightInd w:val="0"/>
        <w:spacing w:after="0"/>
        <w:ind w:left="284" w:hanging="284"/>
        <w:rPr>
          <w:rFonts w:ascii="Helvetica" w:hAnsi="Helvetica" w:cs="Helvetica"/>
        </w:rPr>
      </w:pPr>
      <w:r w:rsidRPr="00990ACB">
        <w:rPr>
          <w:rFonts w:ascii="Helvetica" w:hAnsi="Helvetica" w:cs="Helvetica"/>
        </w:rPr>
        <w:t xml:space="preserve">Torrance, H. (2006). “Globalizing Empiricism: What, if Anything, Can Be Learned from International Comparisons of Educational Achievement.” In </w:t>
      </w:r>
      <w:r w:rsidRPr="00990ACB">
        <w:rPr>
          <w:rFonts w:ascii="Helvetica" w:hAnsi="Helvetica" w:cs="Helvetica"/>
          <w:i/>
          <w:iCs/>
        </w:rPr>
        <w:t>Education, Globalization and Social Change</w:t>
      </w:r>
      <w:r w:rsidRPr="00990ACB">
        <w:rPr>
          <w:rFonts w:ascii="Helvetica" w:hAnsi="Helvetica" w:cs="Helvetica"/>
        </w:rPr>
        <w:t xml:space="preserve">, edited by Hugh Lauder, Phillip Brown, Jo-Anne </w:t>
      </w:r>
      <w:proofErr w:type="spellStart"/>
      <w:r w:rsidRPr="00990ACB">
        <w:rPr>
          <w:rFonts w:ascii="Helvetica" w:hAnsi="Helvetica" w:cs="Helvetica"/>
        </w:rPr>
        <w:t>Dillabough</w:t>
      </w:r>
      <w:proofErr w:type="spellEnd"/>
      <w:r w:rsidRPr="00990ACB">
        <w:rPr>
          <w:rFonts w:ascii="Helvetica" w:hAnsi="Helvetica" w:cs="Helvetica"/>
        </w:rPr>
        <w:t xml:space="preserve"> and A. H. Halsey, 824–834. Oxford, UK: Oxford University Press.</w:t>
      </w:r>
    </w:p>
    <w:p w:rsidR="00990ACB" w:rsidRPr="00990ACB" w:rsidRDefault="00990ACB" w:rsidP="00990ACB">
      <w:pPr>
        <w:widowControl w:val="0"/>
        <w:autoSpaceDE w:val="0"/>
        <w:autoSpaceDN w:val="0"/>
        <w:adjustRightInd w:val="0"/>
        <w:spacing w:after="0"/>
        <w:ind w:left="284" w:hanging="284"/>
        <w:rPr>
          <w:rFonts w:ascii="Helvetica" w:hAnsi="Helvetica" w:cs="Helvetica"/>
        </w:rPr>
      </w:pPr>
    </w:p>
    <w:p w:rsidR="00990ACB" w:rsidRPr="00990ACB" w:rsidRDefault="00990ACB" w:rsidP="00990ACB">
      <w:pPr>
        <w:widowControl w:val="0"/>
        <w:autoSpaceDE w:val="0"/>
        <w:autoSpaceDN w:val="0"/>
        <w:adjustRightInd w:val="0"/>
        <w:spacing w:after="0"/>
        <w:ind w:left="284" w:hanging="284"/>
        <w:rPr>
          <w:rFonts w:ascii="Helvetica" w:hAnsi="Helvetica" w:cs="Helvetica"/>
        </w:rPr>
      </w:pPr>
      <w:proofErr w:type="spellStart"/>
      <w:r w:rsidRPr="00990ACB">
        <w:rPr>
          <w:rFonts w:ascii="Helvetica" w:hAnsi="Helvetica" w:cs="Helvetica"/>
        </w:rPr>
        <w:t>Tröhler</w:t>
      </w:r>
      <w:proofErr w:type="spellEnd"/>
      <w:r w:rsidRPr="00990ACB">
        <w:rPr>
          <w:rFonts w:ascii="Helvetica" w:hAnsi="Helvetica" w:cs="Helvetica"/>
        </w:rPr>
        <w:t xml:space="preserve">, D. (2010). “Harmonizing the Educational Globe: World Polity, Cultural Features, and the Challenges to Educational Research.” </w:t>
      </w:r>
      <w:r w:rsidRPr="00990ACB">
        <w:rPr>
          <w:rFonts w:ascii="Helvetica" w:hAnsi="Helvetica" w:cs="Helvetica"/>
          <w:i/>
          <w:iCs/>
        </w:rPr>
        <w:t>Studies in Philosophy and Education 29</w:t>
      </w:r>
      <w:r w:rsidRPr="00990ACB">
        <w:rPr>
          <w:rFonts w:ascii="Helvetica" w:hAnsi="Helvetica" w:cs="Helvetica"/>
        </w:rPr>
        <w:t>(1), 7–29.</w:t>
      </w:r>
    </w:p>
    <w:p w:rsidR="00990ACB" w:rsidRPr="00990ACB" w:rsidRDefault="00990ACB" w:rsidP="00990ACB">
      <w:pPr>
        <w:widowControl w:val="0"/>
        <w:autoSpaceDE w:val="0"/>
        <w:autoSpaceDN w:val="0"/>
        <w:adjustRightInd w:val="0"/>
        <w:spacing w:after="0"/>
        <w:ind w:left="284" w:hanging="284"/>
        <w:rPr>
          <w:rFonts w:ascii="Helvetica" w:hAnsi="Helvetica" w:cs="Helvetica"/>
        </w:rPr>
      </w:pPr>
    </w:p>
    <w:p w:rsidR="00990ACB" w:rsidRPr="00990ACB" w:rsidRDefault="00990ACB" w:rsidP="00990ACB">
      <w:pPr>
        <w:widowControl w:val="0"/>
        <w:autoSpaceDE w:val="0"/>
        <w:autoSpaceDN w:val="0"/>
        <w:adjustRightInd w:val="0"/>
        <w:spacing w:after="0"/>
        <w:ind w:left="284" w:hanging="284"/>
        <w:rPr>
          <w:rFonts w:ascii="Helvetica" w:hAnsi="Helvetica" w:cs="Helvetica"/>
        </w:rPr>
      </w:pPr>
      <w:r w:rsidRPr="00990ACB">
        <w:rPr>
          <w:rFonts w:ascii="Helvetica" w:hAnsi="Helvetica" w:cs="Helvetica"/>
        </w:rPr>
        <w:t xml:space="preserve">Weber, M. (1946). </w:t>
      </w:r>
      <w:r w:rsidRPr="00990ACB">
        <w:rPr>
          <w:rFonts w:ascii="Helvetica" w:hAnsi="Helvetica" w:cs="Helvetica"/>
          <w:i/>
          <w:iCs/>
        </w:rPr>
        <w:t>From Max Weber</w:t>
      </w:r>
      <w:r w:rsidRPr="00990ACB">
        <w:rPr>
          <w:rFonts w:ascii="Helvetica" w:hAnsi="Helvetica" w:cs="Helvetica"/>
        </w:rPr>
        <w:t xml:space="preserve">. Edited by Hans </w:t>
      </w:r>
      <w:proofErr w:type="spellStart"/>
      <w:r w:rsidRPr="00990ACB">
        <w:rPr>
          <w:rFonts w:ascii="Helvetica" w:hAnsi="Helvetica" w:cs="Helvetica"/>
        </w:rPr>
        <w:t>Gerth</w:t>
      </w:r>
      <w:proofErr w:type="spellEnd"/>
      <w:r w:rsidRPr="00990ACB">
        <w:rPr>
          <w:rFonts w:ascii="Helvetica" w:hAnsi="Helvetica" w:cs="Helvetica"/>
        </w:rPr>
        <w:t xml:space="preserve"> and C. Wright Mills. New York: Free Press.</w:t>
      </w:r>
    </w:p>
    <w:p w:rsidR="00990ACB" w:rsidRPr="00990ACB" w:rsidRDefault="00990ACB" w:rsidP="00990ACB">
      <w:pPr>
        <w:widowControl w:val="0"/>
        <w:autoSpaceDE w:val="0"/>
        <w:autoSpaceDN w:val="0"/>
        <w:adjustRightInd w:val="0"/>
        <w:spacing w:after="0"/>
        <w:ind w:left="284" w:hanging="284"/>
        <w:rPr>
          <w:rFonts w:ascii="Helvetica" w:hAnsi="Helvetica" w:cs="Helvetica"/>
        </w:rPr>
      </w:pPr>
    </w:p>
    <w:p w:rsidR="00990ACB" w:rsidRPr="00990ACB" w:rsidRDefault="00990ACB" w:rsidP="00990ACB">
      <w:pPr>
        <w:widowControl w:val="0"/>
        <w:autoSpaceDE w:val="0"/>
        <w:autoSpaceDN w:val="0"/>
        <w:adjustRightInd w:val="0"/>
        <w:spacing w:after="0"/>
        <w:ind w:left="284" w:hanging="284"/>
        <w:rPr>
          <w:rFonts w:ascii="Helvetica" w:hAnsi="Helvetica" w:cs="Helvetica"/>
        </w:rPr>
      </w:pPr>
    </w:p>
    <w:p w:rsidR="004129F0" w:rsidRPr="00990ACB" w:rsidRDefault="00990ACB" w:rsidP="00990ACB">
      <w:pPr>
        <w:ind w:left="284" w:hanging="284"/>
        <w:rPr>
          <w:rFonts w:ascii="Helvetica" w:hAnsi="Helvetica" w:cs="Helvetica"/>
        </w:rPr>
      </w:pPr>
      <w:r w:rsidRPr="00990ACB">
        <w:rPr>
          <w:rFonts w:ascii="Helvetica" w:hAnsi="Helvetica" w:cs="Helvetica"/>
          <w:b/>
          <w:bCs/>
        </w:rPr>
        <w:t xml:space="preserve">Cite This Article as: </w:t>
      </w:r>
      <w:r w:rsidRPr="00990ACB">
        <w:rPr>
          <w:rFonts w:ascii="Helvetica" w:hAnsi="Helvetica" w:cs="Helvetica"/>
          <w:i/>
          <w:iCs/>
        </w:rPr>
        <w:t>Teachers College Record</w:t>
      </w:r>
      <w:r w:rsidRPr="00990ACB">
        <w:rPr>
          <w:rFonts w:ascii="Helvetica" w:hAnsi="Helvetica" w:cs="Helvetica"/>
        </w:rPr>
        <w:t xml:space="preserve"> Volume 116 Number 9, 2014, p. - </w:t>
      </w:r>
      <w:hyperlink r:id="rId6" w:history="1">
        <w:r w:rsidRPr="00990ACB">
          <w:rPr>
            <w:rFonts w:ascii="Helvetica" w:hAnsi="Helvetica" w:cs="Helvetica"/>
            <w:color w:val="114EE6"/>
            <w:u w:val="single" w:color="114EE6"/>
          </w:rPr>
          <w:t>http://www.tcrecord.org/library</w:t>
        </w:r>
      </w:hyperlink>
      <w:r w:rsidRPr="00990ACB">
        <w:rPr>
          <w:rFonts w:ascii="Helvetica" w:hAnsi="Helvetica" w:cs="Helvetica"/>
        </w:rPr>
        <w:t xml:space="preserve"> ID Number: 17547, Date Accessed: 9/11/2014 8:37:19 AM</w:t>
      </w:r>
    </w:p>
    <w:p w:rsidR="00990ACB" w:rsidRPr="00990ACB" w:rsidRDefault="00990ACB" w:rsidP="00990ACB">
      <w:pPr>
        <w:ind w:left="284" w:hanging="284"/>
      </w:pPr>
    </w:p>
    <w:sectPr w:rsidR="00990ACB" w:rsidRPr="00990ACB" w:rsidSect="005F2D6F">
      <w:pgSz w:w="11900" w:h="16840"/>
      <w:pgMar w:top="1134" w:right="1418" w:bottom="1134"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D7235"/>
    <w:multiLevelType w:val="hybridMultilevel"/>
    <w:tmpl w:val="3418E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D6F"/>
    <w:rsid w:val="000C485A"/>
    <w:rsid w:val="002D25DD"/>
    <w:rsid w:val="004129F0"/>
    <w:rsid w:val="00491E07"/>
    <w:rsid w:val="004E3F1F"/>
    <w:rsid w:val="005172DE"/>
    <w:rsid w:val="0054638F"/>
    <w:rsid w:val="005F2D6F"/>
    <w:rsid w:val="006F3C85"/>
    <w:rsid w:val="00990ACB"/>
    <w:rsid w:val="009A4FF8"/>
    <w:rsid w:val="00A37EAC"/>
    <w:rsid w:val="00C20791"/>
    <w:rsid w:val="00F009C4"/>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AD2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9F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AC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9F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A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crecord.org/library"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3918</Words>
  <Characters>22338</Characters>
  <Application>Microsoft Macintosh Word</Application>
  <DocSecurity>0</DocSecurity>
  <Lines>186</Lines>
  <Paragraphs>52</Paragraphs>
  <ScaleCrop>false</ScaleCrop>
  <Company>université du Luxembourg</Company>
  <LinksUpToDate>false</LinksUpToDate>
  <CharactersWithSpaces>26204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TROEHLER</dc:creator>
  <cp:keywords/>
  <dc:description/>
  <cp:lastModifiedBy>Daniel TROEHLER</cp:lastModifiedBy>
  <cp:revision>2</cp:revision>
  <dcterms:created xsi:type="dcterms:W3CDTF">2014-09-11T12:39:00Z</dcterms:created>
  <dcterms:modified xsi:type="dcterms:W3CDTF">2014-09-11T12:39:00Z</dcterms:modified>
</cp:coreProperties>
</file>