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B8BDF" w14:textId="77777777" w:rsidR="00ED3DAA" w:rsidRPr="00DE2EDF" w:rsidRDefault="00D02DA7" w:rsidP="00DE2EDF">
      <w:pPr>
        <w:spacing w:after="0"/>
        <w:jc w:val="center"/>
        <w:rPr>
          <w:rFonts w:eastAsia="Times New Roman" w:cs="Times New Roman"/>
          <w:b/>
          <w:bCs/>
          <w:iCs/>
          <w:lang w:val="en-GB"/>
        </w:rPr>
      </w:pPr>
      <w:bookmarkStart w:id="0" w:name="_Toc245196647"/>
      <w:bookmarkStart w:id="1" w:name="_GoBack"/>
      <w:bookmarkEnd w:id="1"/>
      <w:r w:rsidRPr="00DE2EDF">
        <w:rPr>
          <w:rFonts w:eastAsia="Times New Roman" w:cs="Times New Roman"/>
          <w:b/>
          <w:bCs/>
          <w:iCs/>
          <w:lang w:val="en-GB"/>
        </w:rPr>
        <w:t>§</w:t>
      </w:r>
      <w:bookmarkEnd w:id="0"/>
      <w:r w:rsidR="000F3CDF" w:rsidRPr="00DE2EDF">
        <w:rPr>
          <w:rFonts w:eastAsia="Times New Roman" w:cs="Times New Roman"/>
          <w:b/>
          <w:bCs/>
          <w:iCs/>
          <w:lang w:val="en-GB"/>
        </w:rPr>
        <w:t xml:space="preserve"> </w:t>
      </w:r>
      <w:r w:rsidR="00A162AF">
        <w:rPr>
          <w:rFonts w:eastAsia="Times New Roman" w:cs="Times New Roman"/>
          <w:b/>
          <w:bCs/>
          <w:iCs/>
          <w:lang w:val="en-GB"/>
        </w:rPr>
        <w:t>1</w:t>
      </w:r>
      <w:r w:rsidRPr="00DE2EDF">
        <w:rPr>
          <w:rFonts w:eastAsia="Times New Roman" w:cs="Times New Roman"/>
          <w:b/>
          <w:bCs/>
          <w:iCs/>
          <w:lang w:val="en-GB"/>
        </w:rPr>
        <w:t>4</w:t>
      </w:r>
    </w:p>
    <w:p w14:paraId="1A81B278" w14:textId="77777777" w:rsidR="00195C2D" w:rsidRPr="00DE2EDF" w:rsidRDefault="00195C2D" w:rsidP="00DE2EDF">
      <w:pPr>
        <w:spacing w:after="0"/>
        <w:jc w:val="center"/>
        <w:rPr>
          <w:rFonts w:eastAsia="Times New Roman" w:cs="Times New Roman"/>
          <w:b/>
          <w:bCs/>
          <w:iCs/>
          <w:lang w:val="en-GB"/>
        </w:rPr>
      </w:pPr>
    </w:p>
    <w:p w14:paraId="7CA871DE" w14:textId="77777777" w:rsidR="00F725A9" w:rsidRDefault="00ED3DAA" w:rsidP="00F725A9">
      <w:pPr>
        <w:spacing w:after="0"/>
        <w:jc w:val="center"/>
        <w:rPr>
          <w:rFonts w:eastAsia="Times New Roman" w:cs="Times New Roman"/>
          <w:b/>
          <w:bCs/>
          <w:iCs/>
          <w:lang w:val="en-GB"/>
        </w:rPr>
      </w:pPr>
      <w:r w:rsidRPr="00DE2EDF">
        <w:rPr>
          <w:rFonts w:eastAsia="Times New Roman" w:cs="Times New Roman"/>
          <w:b/>
          <w:bCs/>
          <w:iCs/>
          <w:lang w:val="en-GB"/>
        </w:rPr>
        <w:t>THE COMPLEX RELATIONSHIP BETWEEN ADMINISTRATIVE AND CONSTITUTIONAL LAW</w:t>
      </w:r>
      <w:bookmarkStart w:id="2" w:name="_Toc253048918"/>
      <w:bookmarkStart w:id="3" w:name="_Toc252700465"/>
      <w:bookmarkEnd w:id="2"/>
      <w:bookmarkEnd w:id="3"/>
    </w:p>
    <w:p w14:paraId="65254E67" w14:textId="77777777" w:rsidR="00F725A9" w:rsidRDefault="00F725A9" w:rsidP="00F725A9">
      <w:pPr>
        <w:spacing w:after="0"/>
        <w:jc w:val="center"/>
        <w:rPr>
          <w:rFonts w:eastAsia="Times New Roman" w:cs="Times New Roman"/>
          <w:b/>
          <w:bCs/>
          <w:iCs/>
          <w:lang w:val="en-GB"/>
        </w:rPr>
      </w:pPr>
    </w:p>
    <w:p w14:paraId="633DAFE4" w14:textId="77777777" w:rsidR="00ED3DAA" w:rsidRPr="00F725A9" w:rsidRDefault="00ED3DAA" w:rsidP="00F725A9">
      <w:pPr>
        <w:spacing w:after="0"/>
        <w:jc w:val="center"/>
        <w:rPr>
          <w:rFonts w:eastAsia="Times New Roman" w:cs="Times New Roman"/>
          <w:b/>
          <w:bCs/>
          <w:iCs/>
        </w:rPr>
      </w:pPr>
      <w:r w:rsidRPr="00DE2EDF">
        <w:rPr>
          <w:rFonts w:eastAsia="Times New Roman" w:cs="Times New Roman"/>
          <w:b/>
          <w:bCs/>
          <w:iCs/>
          <w:lang w:val="en-GB"/>
        </w:rPr>
        <w:t>A COMPARATIVE AND HISTORICAL ANALYSIS</w:t>
      </w:r>
    </w:p>
    <w:p w14:paraId="50919BF0" w14:textId="77777777" w:rsidR="00F725A9" w:rsidRPr="00DE2EDF" w:rsidRDefault="00F725A9" w:rsidP="00DE2EDF">
      <w:pPr>
        <w:spacing w:after="0"/>
        <w:jc w:val="center"/>
        <w:rPr>
          <w:rFonts w:eastAsia="Times New Roman" w:cs="Times New Roman"/>
          <w:b/>
          <w:bCs/>
          <w:iCs/>
          <w:lang w:val="en-GB"/>
        </w:rPr>
      </w:pPr>
    </w:p>
    <w:p w14:paraId="7D18256B" w14:textId="77777777" w:rsidR="00D02DA7" w:rsidRPr="00DE2EDF" w:rsidRDefault="00ED3DAA" w:rsidP="00DE2EDF">
      <w:pPr>
        <w:spacing w:after="0"/>
        <w:jc w:val="center"/>
        <w:rPr>
          <w:rFonts w:eastAsia="Times New Roman" w:cs="Times New Roman"/>
          <w:b/>
          <w:bCs/>
          <w:iCs/>
          <w:lang w:val="en-GB"/>
        </w:rPr>
      </w:pPr>
      <w:r w:rsidRPr="00DE2EDF">
        <w:rPr>
          <w:rFonts w:eastAsia="Times New Roman" w:cs="Times New Roman"/>
          <w:b/>
          <w:bCs/>
          <w:iCs/>
          <w:lang w:val="en-GB"/>
        </w:rPr>
        <w:t>LUC HEUSCHLING</w:t>
      </w:r>
      <w:r w:rsidR="00EE758E" w:rsidRPr="00DE2EDF">
        <w:rPr>
          <w:rStyle w:val="FootnoteReference"/>
          <w:rFonts w:eastAsia="Times New Roman" w:cs="Times New Roman"/>
          <w:i/>
        </w:rPr>
        <w:footnoteReference w:customMarkFollows="1" w:id="2"/>
        <w:t>*</w:t>
      </w:r>
    </w:p>
    <w:p w14:paraId="226074E8" w14:textId="77777777" w:rsidR="00374BF6" w:rsidRPr="00DE2EDF" w:rsidRDefault="00374BF6" w:rsidP="00DE2EDF">
      <w:pPr>
        <w:spacing w:after="0"/>
        <w:jc w:val="center"/>
        <w:rPr>
          <w:rFonts w:cs="Times New Roman"/>
          <w:highlight w:val="yellow"/>
        </w:rPr>
      </w:pPr>
    </w:p>
    <w:p w14:paraId="6971A5A5" w14:textId="77777777" w:rsidR="00374BF6" w:rsidRPr="00DE2EDF" w:rsidRDefault="00ED3DAA" w:rsidP="00DE2EDF">
      <w:pPr>
        <w:spacing w:after="0"/>
        <w:ind w:right="-22"/>
        <w:rPr>
          <w:rFonts w:cs="Times New Roman"/>
          <w:highlight w:val="yellow"/>
        </w:rPr>
      </w:pPr>
      <w:r w:rsidRPr="00DE2EDF">
        <w:rPr>
          <w:rFonts w:cs="Times New Roman"/>
          <w:highlight w:val="yellow"/>
        </w:rPr>
        <w:t xml:space="preserve"> </w:t>
      </w:r>
    </w:p>
    <w:p w14:paraId="47ECA214" w14:textId="77777777" w:rsidR="00374BF6" w:rsidRPr="00DE2EDF" w:rsidRDefault="00374BF6" w:rsidP="00DE2EDF">
      <w:pPr>
        <w:spacing w:after="0"/>
        <w:ind w:right="403"/>
        <w:rPr>
          <w:rFonts w:cs="Times New Roman"/>
          <w:highlight w:val="yellow"/>
        </w:rPr>
      </w:pPr>
    </w:p>
    <w:sdt>
      <w:sdtPr>
        <w:id w:val="-814490944"/>
        <w:docPartObj>
          <w:docPartGallery w:val="Table of Contents"/>
          <w:docPartUnique/>
        </w:docPartObj>
      </w:sdtPr>
      <w:sdtEndPr>
        <w:rPr>
          <w:rStyle w:val="Hyperlink"/>
          <w:rFonts w:eastAsia="Times New Roman" w:cs="Times New Roman"/>
          <w:color w:val="0000FF" w:themeColor="hyperlink"/>
          <w:u w:val="single"/>
          <w:lang w:val="en-GB" w:eastAsia="de-DE"/>
        </w:rPr>
      </w:sdtEndPr>
      <w:sdtContent>
        <w:p w14:paraId="418B4CE3" w14:textId="77777777" w:rsidR="006379C3" w:rsidRDefault="00CA7D14" w:rsidP="006379C3">
          <w:pPr>
            <w:pStyle w:val="TOC1"/>
            <w:ind w:right="0"/>
            <w:rPr>
              <w:rFonts w:asciiTheme="minorHAnsi" w:eastAsiaTheme="minorEastAsia" w:hAnsiTheme="minorHAnsi" w:cstheme="minorBidi"/>
              <w:noProof/>
              <w:sz w:val="22"/>
              <w:szCs w:val="22"/>
              <w:lang w:val="de-DE" w:eastAsia="de-DE"/>
            </w:rPr>
          </w:pPr>
          <w:r w:rsidRPr="00DE2EDF">
            <w:rPr>
              <w:rStyle w:val="Hyperlink"/>
              <w:rFonts w:eastAsia="Times New Roman" w:cs="Times New Roman"/>
              <w:noProof/>
              <w:color w:val="auto"/>
              <w:u w:val="none"/>
              <w:lang w:val="en-GB" w:eastAsia="de-DE"/>
            </w:rPr>
            <w:fldChar w:fldCharType="begin"/>
          </w:r>
          <w:r w:rsidR="00344778" w:rsidRPr="00DE2EDF">
            <w:rPr>
              <w:rStyle w:val="Hyperlink"/>
              <w:rFonts w:eastAsia="Times New Roman" w:cs="Times New Roman"/>
              <w:noProof/>
              <w:color w:val="auto"/>
              <w:u w:val="none"/>
              <w:lang w:val="en-GB" w:eastAsia="de-DE"/>
            </w:rPr>
            <w:instrText xml:space="preserve"> TOC \o "1-3" \h \z \u </w:instrText>
          </w:r>
          <w:r w:rsidRPr="00DE2EDF">
            <w:rPr>
              <w:rStyle w:val="Hyperlink"/>
              <w:rFonts w:eastAsia="Times New Roman" w:cs="Times New Roman"/>
              <w:noProof/>
              <w:color w:val="auto"/>
              <w:u w:val="none"/>
              <w:lang w:val="en-GB" w:eastAsia="de-DE"/>
            </w:rPr>
            <w:fldChar w:fldCharType="separate"/>
          </w:r>
          <w:hyperlink w:anchor="_Toc460405610" w:history="1">
            <w:r w:rsidR="006379C3" w:rsidRPr="00437577">
              <w:rPr>
                <w:rStyle w:val="Hyperlink"/>
                <w:noProof/>
              </w:rPr>
              <w:t>A. Introduction</w:t>
            </w:r>
            <w:r w:rsidR="006379C3">
              <w:rPr>
                <w:noProof/>
                <w:webHidden/>
              </w:rPr>
              <w:tab/>
            </w:r>
            <w:r w:rsidR="006379C3">
              <w:rPr>
                <w:noProof/>
                <w:webHidden/>
              </w:rPr>
              <w:fldChar w:fldCharType="begin"/>
            </w:r>
            <w:r w:rsidR="006379C3">
              <w:rPr>
                <w:noProof/>
                <w:webHidden/>
              </w:rPr>
              <w:instrText xml:space="preserve"> PAGEREF _Toc460405610 \h </w:instrText>
            </w:r>
            <w:r w:rsidR="006379C3">
              <w:rPr>
                <w:noProof/>
                <w:webHidden/>
              </w:rPr>
            </w:r>
            <w:r w:rsidR="006379C3">
              <w:rPr>
                <w:noProof/>
                <w:webHidden/>
              </w:rPr>
              <w:fldChar w:fldCharType="separate"/>
            </w:r>
            <w:r w:rsidR="006379C3">
              <w:rPr>
                <w:noProof/>
                <w:webHidden/>
              </w:rPr>
              <w:t>3</w:t>
            </w:r>
            <w:r w:rsidR="006379C3">
              <w:rPr>
                <w:noProof/>
                <w:webHidden/>
              </w:rPr>
              <w:fldChar w:fldCharType="end"/>
            </w:r>
          </w:hyperlink>
        </w:p>
        <w:p w14:paraId="18118133"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1" w:history="1">
            <w:r w:rsidR="006379C3" w:rsidRPr="00437577">
              <w:rPr>
                <w:rStyle w:val="Hyperlink"/>
                <w:rFonts w:eastAsia="Times New Roman" w:cs="Times New Roman"/>
                <w:noProof/>
                <w:lang w:val="en-GB"/>
              </w:rPr>
              <w:t>1. A Complex and Multifaceted Topic</w:t>
            </w:r>
            <w:r w:rsidR="006379C3">
              <w:rPr>
                <w:noProof/>
                <w:webHidden/>
              </w:rPr>
              <w:tab/>
            </w:r>
            <w:r w:rsidR="006379C3">
              <w:rPr>
                <w:noProof/>
                <w:webHidden/>
              </w:rPr>
              <w:fldChar w:fldCharType="begin"/>
            </w:r>
            <w:r w:rsidR="006379C3">
              <w:rPr>
                <w:noProof/>
                <w:webHidden/>
              </w:rPr>
              <w:instrText xml:space="preserve"> PAGEREF _Toc460405611 \h </w:instrText>
            </w:r>
            <w:r w:rsidR="006379C3">
              <w:rPr>
                <w:noProof/>
                <w:webHidden/>
              </w:rPr>
            </w:r>
            <w:r w:rsidR="006379C3">
              <w:rPr>
                <w:noProof/>
                <w:webHidden/>
              </w:rPr>
              <w:fldChar w:fldCharType="separate"/>
            </w:r>
            <w:r w:rsidR="006379C3">
              <w:rPr>
                <w:noProof/>
                <w:webHidden/>
              </w:rPr>
              <w:t>3</w:t>
            </w:r>
            <w:r w:rsidR="006379C3">
              <w:rPr>
                <w:noProof/>
                <w:webHidden/>
              </w:rPr>
              <w:fldChar w:fldCharType="end"/>
            </w:r>
          </w:hyperlink>
        </w:p>
        <w:p w14:paraId="7296481B"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2" w:history="1">
            <w:r w:rsidR="006379C3" w:rsidRPr="00437577">
              <w:rPr>
                <w:rStyle w:val="Hyperlink"/>
                <w:rFonts w:eastAsia="Times New Roman" w:cs="Times New Roman"/>
                <w:noProof/>
                <w:lang w:val="en-GB"/>
              </w:rPr>
              <w:t xml:space="preserve">2. </w:t>
            </w:r>
            <w:r w:rsidR="006379C3" w:rsidRPr="00437577">
              <w:rPr>
                <w:rStyle w:val="Hyperlink"/>
                <w:rFonts w:cs="Times New Roman"/>
                <w:noProof/>
                <w:lang w:val="en-GB"/>
              </w:rPr>
              <w:t>A Tricky Preliminary Question: Defining ‘Administrative’ and ‘Constitutional’ Law</w:t>
            </w:r>
            <w:r w:rsidR="006379C3">
              <w:rPr>
                <w:noProof/>
                <w:webHidden/>
              </w:rPr>
              <w:tab/>
            </w:r>
            <w:r w:rsidR="006379C3">
              <w:rPr>
                <w:noProof/>
                <w:webHidden/>
              </w:rPr>
              <w:fldChar w:fldCharType="begin"/>
            </w:r>
            <w:r w:rsidR="006379C3">
              <w:rPr>
                <w:noProof/>
                <w:webHidden/>
              </w:rPr>
              <w:instrText xml:space="preserve"> PAGEREF _Toc460405612 \h </w:instrText>
            </w:r>
            <w:r w:rsidR="006379C3">
              <w:rPr>
                <w:noProof/>
                <w:webHidden/>
              </w:rPr>
            </w:r>
            <w:r w:rsidR="006379C3">
              <w:rPr>
                <w:noProof/>
                <w:webHidden/>
              </w:rPr>
              <w:fldChar w:fldCharType="separate"/>
            </w:r>
            <w:r w:rsidR="006379C3">
              <w:rPr>
                <w:noProof/>
                <w:webHidden/>
              </w:rPr>
              <w:t>5</w:t>
            </w:r>
            <w:r w:rsidR="006379C3">
              <w:rPr>
                <w:noProof/>
                <w:webHidden/>
              </w:rPr>
              <w:fldChar w:fldCharType="end"/>
            </w:r>
          </w:hyperlink>
        </w:p>
        <w:p w14:paraId="0A593810"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3" w:history="1">
            <w:r w:rsidR="006379C3" w:rsidRPr="00437577">
              <w:rPr>
                <w:rStyle w:val="Hyperlink"/>
                <w:rFonts w:cs="Times New Roman"/>
                <w:noProof/>
              </w:rPr>
              <w:t>a) An Asymmetrical Demarcation on the Continent (Except Austria and the Netherlands)</w:t>
            </w:r>
            <w:r w:rsidR="006379C3">
              <w:rPr>
                <w:noProof/>
                <w:webHidden/>
              </w:rPr>
              <w:tab/>
            </w:r>
            <w:r w:rsidR="006379C3">
              <w:rPr>
                <w:noProof/>
                <w:webHidden/>
              </w:rPr>
              <w:fldChar w:fldCharType="begin"/>
            </w:r>
            <w:r w:rsidR="006379C3">
              <w:rPr>
                <w:noProof/>
                <w:webHidden/>
              </w:rPr>
              <w:instrText xml:space="preserve"> PAGEREF _Toc460405613 \h </w:instrText>
            </w:r>
            <w:r w:rsidR="006379C3">
              <w:rPr>
                <w:noProof/>
                <w:webHidden/>
              </w:rPr>
            </w:r>
            <w:r w:rsidR="006379C3">
              <w:rPr>
                <w:noProof/>
                <w:webHidden/>
              </w:rPr>
              <w:fldChar w:fldCharType="separate"/>
            </w:r>
            <w:r w:rsidR="006379C3">
              <w:rPr>
                <w:noProof/>
                <w:webHidden/>
              </w:rPr>
              <w:t>5</w:t>
            </w:r>
            <w:r w:rsidR="006379C3">
              <w:rPr>
                <w:noProof/>
                <w:webHidden/>
              </w:rPr>
              <w:fldChar w:fldCharType="end"/>
            </w:r>
          </w:hyperlink>
        </w:p>
        <w:p w14:paraId="1BC861DB"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4" w:history="1">
            <w:r w:rsidR="006379C3" w:rsidRPr="00437577">
              <w:rPr>
                <w:rStyle w:val="Hyperlink"/>
                <w:rFonts w:cs="Times New Roman"/>
                <w:noProof/>
              </w:rPr>
              <w:t>b) The United Kingdom: A Fluid and Evolving Demarcation</w:t>
            </w:r>
            <w:r w:rsidR="006379C3">
              <w:rPr>
                <w:noProof/>
                <w:webHidden/>
              </w:rPr>
              <w:tab/>
            </w:r>
            <w:r w:rsidR="006379C3">
              <w:rPr>
                <w:noProof/>
                <w:webHidden/>
              </w:rPr>
              <w:fldChar w:fldCharType="begin"/>
            </w:r>
            <w:r w:rsidR="006379C3">
              <w:rPr>
                <w:noProof/>
                <w:webHidden/>
              </w:rPr>
              <w:instrText xml:space="preserve"> PAGEREF _Toc460405614 \h </w:instrText>
            </w:r>
            <w:r w:rsidR="006379C3">
              <w:rPr>
                <w:noProof/>
                <w:webHidden/>
              </w:rPr>
            </w:r>
            <w:r w:rsidR="006379C3">
              <w:rPr>
                <w:noProof/>
                <w:webHidden/>
              </w:rPr>
              <w:fldChar w:fldCharType="separate"/>
            </w:r>
            <w:r w:rsidR="006379C3">
              <w:rPr>
                <w:noProof/>
                <w:webHidden/>
              </w:rPr>
              <w:t>7</w:t>
            </w:r>
            <w:r w:rsidR="006379C3">
              <w:rPr>
                <w:noProof/>
                <w:webHidden/>
              </w:rPr>
              <w:fldChar w:fldCharType="end"/>
            </w:r>
          </w:hyperlink>
        </w:p>
        <w:p w14:paraId="715ED031"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5" w:history="1">
            <w:r w:rsidR="006379C3" w:rsidRPr="00437577">
              <w:rPr>
                <w:rStyle w:val="Hyperlink"/>
                <w:rFonts w:eastAsia="Times New Roman" w:cs="Times New Roman"/>
                <w:noProof/>
                <w:lang w:val="en-GB"/>
              </w:rPr>
              <w:t>3. Four Classic Theses Regarding the Relationship Between Both Areas of Law</w:t>
            </w:r>
            <w:r w:rsidR="006379C3">
              <w:rPr>
                <w:noProof/>
                <w:webHidden/>
              </w:rPr>
              <w:tab/>
            </w:r>
            <w:r w:rsidR="006379C3">
              <w:rPr>
                <w:noProof/>
                <w:webHidden/>
              </w:rPr>
              <w:fldChar w:fldCharType="begin"/>
            </w:r>
            <w:r w:rsidR="006379C3">
              <w:rPr>
                <w:noProof/>
                <w:webHidden/>
              </w:rPr>
              <w:instrText xml:space="preserve"> PAGEREF _Toc460405615 \h </w:instrText>
            </w:r>
            <w:r w:rsidR="006379C3">
              <w:rPr>
                <w:noProof/>
                <w:webHidden/>
              </w:rPr>
            </w:r>
            <w:r w:rsidR="006379C3">
              <w:rPr>
                <w:noProof/>
                <w:webHidden/>
              </w:rPr>
              <w:fldChar w:fldCharType="separate"/>
            </w:r>
            <w:r w:rsidR="006379C3">
              <w:rPr>
                <w:noProof/>
                <w:webHidden/>
              </w:rPr>
              <w:t>9</w:t>
            </w:r>
            <w:r w:rsidR="006379C3">
              <w:rPr>
                <w:noProof/>
                <w:webHidden/>
              </w:rPr>
              <w:fldChar w:fldCharType="end"/>
            </w:r>
          </w:hyperlink>
        </w:p>
        <w:p w14:paraId="5D65EC7F" w14:textId="77777777" w:rsidR="006379C3" w:rsidRDefault="00535EF8" w:rsidP="006379C3">
          <w:pPr>
            <w:pStyle w:val="TOC1"/>
            <w:ind w:right="0"/>
            <w:rPr>
              <w:rFonts w:asciiTheme="minorHAnsi" w:eastAsiaTheme="minorEastAsia" w:hAnsiTheme="minorHAnsi" w:cstheme="minorBidi"/>
              <w:noProof/>
              <w:sz w:val="22"/>
              <w:szCs w:val="22"/>
              <w:lang w:val="de-DE" w:eastAsia="de-DE"/>
            </w:rPr>
          </w:pPr>
          <w:hyperlink w:anchor="_Toc460405616" w:history="1">
            <w:r w:rsidR="006379C3" w:rsidRPr="00437577">
              <w:rPr>
                <w:rStyle w:val="Hyperlink"/>
                <w:noProof/>
                <w:lang w:val="en-GB"/>
              </w:rPr>
              <w:t>B. The Two World Thesis: A rarity and conceptual absurdity</w:t>
            </w:r>
            <w:r w:rsidR="006379C3">
              <w:rPr>
                <w:noProof/>
                <w:webHidden/>
              </w:rPr>
              <w:tab/>
            </w:r>
            <w:r w:rsidR="006379C3">
              <w:rPr>
                <w:noProof/>
                <w:webHidden/>
              </w:rPr>
              <w:fldChar w:fldCharType="begin"/>
            </w:r>
            <w:r w:rsidR="006379C3">
              <w:rPr>
                <w:noProof/>
                <w:webHidden/>
              </w:rPr>
              <w:instrText xml:space="preserve"> PAGEREF _Toc460405616 \h </w:instrText>
            </w:r>
            <w:r w:rsidR="006379C3">
              <w:rPr>
                <w:noProof/>
                <w:webHidden/>
              </w:rPr>
            </w:r>
            <w:r w:rsidR="006379C3">
              <w:rPr>
                <w:noProof/>
                <w:webHidden/>
              </w:rPr>
              <w:fldChar w:fldCharType="separate"/>
            </w:r>
            <w:r w:rsidR="006379C3">
              <w:rPr>
                <w:noProof/>
                <w:webHidden/>
              </w:rPr>
              <w:t>10</w:t>
            </w:r>
            <w:r w:rsidR="006379C3">
              <w:rPr>
                <w:noProof/>
                <w:webHidden/>
              </w:rPr>
              <w:fldChar w:fldCharType="end"/>
            </w:r>
          </w:hyperlink>
        </w:p>
        <w:p w14:paraId="2A2EB85A"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7" w:history="1">
            <w:r w:rsidR="006379C3" w:rsidRPr="00437577">
              <w:rPr>
                <w:rStyle w:val="Hyperlink"/>
                <w:rFonts w:eastAsia="Times New Roman" w:cs="Times New Roman"/>
                <w:noProof/>
                <w:lang w:val="en-GB"/>
              </w:rPr>
              <w:t>1. An Elusive ‘Theory’</w:t>
            </w:r>
            <w:r w:rsidR="006379C3">
              <w:rPr>
                <w:noProof/>
                <w:webHidden/>
              </w:rPr>
              <w:tab/>
            </w:r>
            <w:r w:rsidR="006379C3">
              <w:rPr>
                <w:noProof/>
                <w:webHidden/>
              </w:rPr>
              <w:fldChar w:fldCharType="begin"/>
            </w:r>
            <w:r w:rsidR="006379C3">
              <w:rPr>
                <w:noProof/>
                <w:webHidden/>
              </w:rPr>
              <w:instrText xml:space="preserve"> PAGEREF _Toc460405617 \h </w:instrText>
            </w:r>
            <w:r w:rsidR="006379C3">
              <w:rPr>
                <w:noProof/>
                <w:webHidden/>
              </w:rPr>
            </w:r>
            <w:r w:rsidR="006379C3">
              <w:rPr>
                <w:noProof/>
                <w:webHidden/>
              </w:rPr>
              <w:fldChar w:fldCharType="separate"/>
            </w:r>
            <w:r w:rsidR="006379C3">
              <w:rPr>
                <w:noProof/>
                <w:webHidden/>
              </w:rPr>
              <w:t>10</w:t>
            </w:r>
            <w:r w:rsidR="006379C3">
              <w:rPr>
                <w:noProof/>
                <w:webHidden/>
              </w:rPr>
              <w:fldChar w:fldCharType="end"/>
            </w:r>
          </w:hyperlink>
        </w:p>
        <w:p w14:paraId="5D6323F8"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8" w:history="1">
            <w:r w:rsidR="006379C3" w:rsidRPr="00437577">
              <w:rPr>
                <w:rStyle w:val="Hyperlink"/>
                <w:rFonts w:eastAsia="Times New Roman" w:cs="Times New Roman"/>
                <w:noProof/>
                <w:lang w:val="en-GB"/>
              </w:rPr>
              <w:t>2. The German Debate over Otto Mayer’s Dictum</w:t>
            </w:r>
            <w:r w:rsidR="006379C3">
              <w:rPr>
                <w:noProof/>
                <w:webHidden/>
              </w:rPr>
              <w:tab/>
            </w:r>
            <w:r w:rsidR="006379C3">
              <w:rPr>
                <w:noProof/>
                <w:webHidden/>
              </w:rPr>
              <w:fldChar w:fldCharType="begin"/>
            </w:r>
            <w:r w:rsidR="006379C3">
              <w:rPr>
                <w:noProof/>
                <w:webHidden/>
              </w:rPr>
              <w:instrText xml:space="preserve"> PAGEREF _Toc460405618 \h </w:instrText>
            </w:r>
            <w:r w:rsidR="006379C3">
              <w:rPr>
                <w:noProof/>
                <w:webHidden/>
              </w:rPr>
            </w:r>
            <w:r w:rsidR="006379C3">
              <w:rPr>
                <w:noProof/>
                <w:webHidden/>
              </w:rPr>
              <w:fldChar w:fldCharType="separate"/>
            </w:r>
            <w:r w:rsidR="006379C3">
              <w:rPr>
                <w:noProof/>
                <w:webHidden/>
              </w:rPr>
              <w:t>12</w:t>
            </w:r>
            <w:r w:rsidR="006379C3">
              <w:rPr>
                <w:noProof/>
                <w:webHidden/>
              </w:rPr>
              <w:fldChar w:fldCharType="end"/>
            </w:r>
          </w:hyperlink>
        </w:p>
        <w:p w14:paraId="3F67C1AD"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19" w:history="1">
            <w:r w:rsidR="006379C3" w:rsidRPr="00437577">
              <w:rPr>
                <w:rStyle w:val="Hyperlink"/>
                <w:rFonts w:cs="Times New Roman"/>
                <w:noProof/>
              </w:rPr>
              <w:t>a) A Will-o’-the-wisp: Mayer’s Dictum as an Expression of the Two World Thesis</w:t>
            </w:r>
            <w:r w:rsidR="006379C3">
              <w:rPr>
                <w:noProof/>
                <w:webHidden/>
              </w:rPr>
              <w:tab/>
            </w:r>
            <w:r w:rsidR="006379C3">
              <w:rPr>
                <w:noProof/>
                <w:webHidden/>
              </w:rPr>
              <w:fldChar w:fldCharType="begin"/>
            </w:r>
            <w:r w:rsidR="006379C3">
              <w:rPr>
                <w:noProof/>
                <w:webHidden/>
              </w:rPr>
              <w:instrText xml:space="preserve"> PAGEREF _Toc460405619 \h </w:instrText>
            </w:r>
            <w:r w:rsidR="006379C3">
              <w:rPr>
                <w:noProof/>
                <w:webHidden/>
              </w:rPr>
            </w:r>
            <w:r w:rsidR="006379C3">
              <w:rPr>
                <w:noProof/>
                <w:webHidden/>
              </w:rPr>
              <w:fldChar w:fldCharType="separate"/>
            </w:r>
            <w:r w:rsidR="006379C3">
              <w:rPr>
                <w:noProof/>
                <w:webHidden/>
              </w:rPr>
              <w:t>13</w:t>
            </w:r>
            <w:r w:rsidR="006379C3">
              <w:rPr>
                <w:noProof/>
                <w:webHidden/>
              </w:rPr>
              <w:fldChar w:fldCharType="end"/>
            </w:r>
          </w:hyperlink>
        </w:p>
        <w:p w14:paraId="0A7DE8DC"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0" w:history="1">
            <w:r w:rsidR="006379C3" w:rsidRPr="00437577">
              <w:rPr>
                <w:rStyle w:val="Hyperlink"/>
                <w:rFonts w:cs="Times New Roman"/>
                <w:noProof/>
              </w:rPr>
              <w:t>b) A Grain of Truth: The Problem of Constitutional Disruptions</w:t>
            </w:r>
            <w:r w:rsidR="006379C3">
              <w:rPr>
                <w:noProof/>
                <w:webHidden/>
              </w:rPr>
              <w:tab/>
            </w:r>
            <w:r w:rsidR="006379C3">
              <w:rPr>
                <w:noProof/>
                <w:webHidden/>
              </w:rPr>
              <w:fldChar w:fldCharType="begin"/>
            </w:r>
            <w:r w:rsidR="006379C3">
              <w:rPr>
                <w:noProof/>
                <w:webHidden/>
              </w:rPr>
              <w:instrText xml:space="preserve"> PAGEREF _Toc460405620 \h </w:instrText>
            </w:r>
            <w:r w:rsidR="006379C3">
              <w:rPr>
                <w:noProof/>
                <w:webHidden/>
              </w:rPr>
            </w:r>
            <w:r w:rsidR="006379C3">
              <w:rPr>
                <w:noProof/>
                <w:webHidden/>
              </w:rPr>
              <w:fldChar w:fldCharType="separate"/>
            </w:r>
            <w:r w:rsidR="006379C3">
              <w:rPr>
                <w:noProof/>
                <w:webHidden/>
              </w:rPr>
              <w:t>14</w:t>
            </w:r>
            <w:r w:rsidR="006379C3">
              <w:rPr>
                <w:noProof/>
                <w:webHidden/>
              </w:rPr>
              <w:fldChar w:fldCharType="end"/>
            </w:r>
          </w:hyperlink>
        </w:p>
        <w:p w14:paraId="1B5AFFB0"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1" w:history="1">
            <w:r w:rsidR="006379C3" w:rsidRPr="00437577">
              <w:rPr>
                <w:rStyle w:val="Hyperlink"/>
                <w:rFonts w:eastAsia="Times New Roman" w:cs="Times New Roman"/>
                <w:noProof/>
                <w:lang w:val="en-GB"/>
              </w:rPr>
              <w:t>3. The French Case: The Logical Impossibility of the Two World Thesis</w:t>
            </w:r>
            <w:r w:rsidR="006379C3">
              <w:rPr>
                <w:noProof/>
                <w:webHidden/>
              </w:rPr>
              <w:tab/>
            </w:r>
            <w:r w:rsidR="006379C3">
              <w:rPr>
                <w:noProof/>
                <w:webHidden/>
              </w:rPr>
              <w:fldChar w:fldCharType="begin"/>
            </w:r>
            <w:r w:rsidR="006379C3">
              <w:rPr>
                <w:noProof/>
                <w:webHidden/>
              </w:rPr>
              <w:instrText xml:space="preserve"> PAGEREF _Toc460405621 \h </w:instrText>
            </w:r>
            <w:r w:rsidR="006379C3">
              <w:rPr>
                <w:noProof/>
                <w:webHidden/>
              </w:rPr>
            </w:r>
            <w:r w:rsidR="006379C3">
              <w:rPr>
                <w:noProof/>
                <w:webHidden/>
              </w:rPr>
              <w:fldChar w:fldCharType="separate"/>
            </w:r>
            <w:r w:rsidR="006379C3">
              <w:rPr>
                <w:noProof/>
                <w:webHidden/>
              </w:rPr>
              <w:t>15</w:t>
            </w:r>
            <w:r w:rsidR="006379C3">
              <w:rPr>
                <w:noProof/>
                <w:webHidden/>
              </w:rPr>
              <w:fldChar w:fldCharType="end"/>
            </w:r>
          </w:hyperlink>
        </w:p>
        <w:p w14:paraId="0D0FCC85"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2" w:history="1">
            <w:r w:rsidR="006379C3" w:rsidRPr="00437577">
              <w:rPr>
                <w:rStyle w:val="Hyperlink"/>
                <w:rFonts w:cs="Times New Roman"/>
                <w:noProof/>
              </w:rPr>
              <w:t>a) France: The Home of the Two World Thesis?</w:t>
            </w:r>
            <w:r w:rsidR="006379C3">
              <w:rPr>
                <w:noProof/>
                <w:webHidden/>
              </w:rPr>
              <w:tab/>
            </w:r>
            <w:r w:rsidR="006379C3">
              <w:rPr>
                <w:noProof/>
                <w:webHidden/>
              </w:rPr>
              <w:fldChar w:fldCharType="begin"/>
            </w:r>
            <w:r w:rsidR="006379C3">
              <w:rPr>
                <w:noProof/>
                <w:webHidden/>
              </w:rPr>
              <w:instrText xml:space="preserve"> PAGEREF _Toc460405622 \h </w:instrText>
            </w:r>
            <w:r w:rsidR="006379C3">
              <w:rPr>
                <w:noProof/>
                <w:webHidden/>
              </w:rPr>
            </w:r>
            <w:r w:rsidR="006379C3">
              <w:rPr>
                <w:noProof/>
                <w:webHidden/>
              </w:rPr>
              <w:fldChar w:fldCharType="separate"/>
            </w:r>
            <w:r w:rsidR="006379C3">
              <w:rPr>
                <w:noProof/>
                <w:webHidden/>
              </w:rPr>
              <w:t>15</w:t>
            </w:r>
            <w:r w:rsidR="006379C3">
              <w:rPr>
                <w:noProof/>
                <w:webHidden/>
              </w:rPr>
              <w:fldChar w:fldCharType="end"/>
            </w:r>
          </w:hyperlink>
        </w:p>
        <w:p w14:paraId="3225CC08"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3" w:history="1">
            <w:r w:rsidR="006379C3" w:rsidRPr="00437577">
              <w:rPr>
                <w:rStyle w:val="Hyperlink"/>
                <w:rFonts w:cs="Times New Roman"/>
                <w:noProof/>
              </w:rPr>
              <w:t>b) The Two World Thesis in the Writings of René Chapus and Georges Vedel</w:t>
            </w:r>
            <w:r w:rsidR="006379C3">
              <w:rPr>
                <w:noProof/>
                <w:webHidden/>
              </w:rPr>
              <w:tab/>
            </w:r>
            <w:r w:rsidR="006379C3">
              <w:rPr>
                <w:noProof/>
                <w:webHidden/>
              </w:rPr>
              <w:fldChar w:fldCharType="begin"/>
            </w:r>
            <w:r w:rsidR="006379C3">
              <w:rPr>
                <w:noProof/>
                <w:webHidden/>
              </w:rPr>
              <w:instrText xml:space="preserve"> PAGEREF _Toc460405623 \h </w:instrText>
            </w:r>
            <w:r w:rsidR="006379C3">
              <w:rPr>
                <w:noProof/>
                <w:webHidden/>
              </w:rPr>
            </w:r>
            <w:r w:rsidR="006379C3">
              <w:rPr>
                <w:noProof/>
                <w:webHidden/>
              </w:rPr>
              <w:fldChar w:fldCharType="separate"/>
            </w:r>
            <w:r w:rsidR="006379C3">
              <w:rPr>
                <w:noProof/>
                <w:webHidden/>
              </w:rPr>
              <w:t>17</w:t>
            </w:r>
            <w:r w:rsidR="006379C3">
              <w:rPr>
                <w:noProof/>
                <w:webHidden/>
              </w:rPr>
              <w:fldChar w:fldCharType="end"/>
            </w:r>
          </w:hyperlink>
        </w:p>
        <w:p w14:paraId="6F110DD8"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4" w:history="1">
            <w:r w:rsidR="006379C3" w:rsidRPr="00437577">
              <w:rPr>
                <w:rStyle w:val="Hyperlink"/>
                <w:rFonts w:cs="Times New Roman"/>
                <w:noProof/>
              </w:rPr>
              <w:t>c) A Grain of Truth: Rivalry between Courts and the Drifting Apart of the Two Legal Branches</w:t>
            </w:r>
            <w:r w:rsidR="006379C3">
              <w:rPr>
                <w:noProof/>
                <w:webHidden/>
              </w:rPr>
              <w:tab/>
            </w:r>
            <w:r w:rsidR="006379C3">
              <w:rPr>
                <w:noProof/>
                <w:webHidden/>
              </w:rPr>
              <w:fldChar w:fldCharType="begin"/>
            </w:r>
            <w:r w:rsidR="006379C3">
              <w:rPr>
                <w:noProof/>
                <w:webHidden/>
              </w:rPr>
              <w:instrText xml:space="preserve"> PAGEREF _Toc460405624 \h </w:instrText>
            </w:r>
            <w:r w:rsidR="006379C3">
              <w:rPr>
                <w:noProof/>
                <w:webHidden/>
              </w:rPr>
            </w:r>
            <w:r w:rsidR="006379C3">
              <w:rPr>
                <w:noProof/>
                <w:webHidden/>
              </w:rPr>
              <w:fldChar w:fldCharType="separate"/>
            </w:r>
            <w:r w:rsidR="006379C3">
              <w:rPr>
                <w:noProof/>
                <w:webHidden/>
              </w:rPr>
              <w:t>19</w:t>
            </w:r>
            <w:r w:rsidR="006379C3">
              <w:rPr>
                <w:noProof/>
                <w:webHidden/>
              </w:rPr>
              <w:fldChar w:fldCharType="end"/>
            </w:r>
          </w:hyperlink>
        </w:p>
        <w:p w14:paraId="7C4D077C"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5" w:history="1">
            <w:r w:rsidR="006379C3" w:rsidRPr="00437577">
              <w:rPr>
                <w:rStyle w:val="Hyperlink"/>
                <w:rFonts w:eastAsia="Times New Roman" w:cs="Times New Roman"/>
                <w:noProof/>
                <w:lang w:val="en-GB"/>
              </w:rPr>
              <w:t>4. A Last Rebuttal and an Outlook</w:t>
            </w:r>
            <w:r w:rsidR="006379C3">
              <w:rPr>
                <w:noProof/>
                <w:webHidden/>
              </w:rPr>
              <w:tab/>
            </w:r>
            <w:r w:rsidR="006379C3">
              <w:rPr>
                <w:noProof/>
                <w:webHidden/>
              </w:rPr>
              <w:fldChar w:fldCharType="begin"/>
            </w:r>
            <w:r w:rsidR="006379C3">
              <w:rPr>
                <w:noProof/>
                <w:webHidden/>
              </w:rPr>
              <w:instrText xml:space="preserve"> PAGEREF _Toc460405625 \h </w:instrText>
            </w:r>
            <w:r w:rsidR="006379C3">
              <w:rPr>
                <w:noProof/>
                <w:webHidden/>
              </w:rPr>
            </w:r>
            <w:r w:rsidR="006379C3">
              <w:rPr>
                <w:noProof/>
                <w:webHidden/>
              </w:rPr>
              <w:fldChar w:fldCharType="separate"/>
            </w:r>
            <w:r w:rsidR="006379C3">
              <w:rPr>
                <w:noProof/>
                <w:webHidden/>
              </w:rPr>
              <w:t>21</w:t>
            </w:r>
            <w:r w:rsidR="006379C3">
              <w:rPr>
                <w:noProof/>
                <w:webHidden/>
              </w:rPr>
              <w:fldChar w:fldCharType="end"/>
            </w:r>
          </w:hyperlink>
        </w:p>
        <w:p w14:paraId="32250F2B"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6" w:history="1">
            <w:r w:rsidR="006379C3" w:rsidRPr="00437577">
              <w:rPr>
                <w:rStyle w:val="Hyperlink"/>
                <w:rFonts w:cs="Times New Roman"/>
                <w:noProof/>
              </w:rPr>
              <w:t>a) The Bond between Constitutional and Administrative Justice</w:t>
            </w:r>
            <w:r w:rsidR="006379C3">
              <w:rPr>
                <w:noProof/>
                <w:webHidden/>
              </w:rPr>
              <w:tab/>
            </w:r>
            <w:r w:rsidR="006379C3">
              <w:rPr>
                <w:noProof/>
                <w:webHidden/>
              </w:rPr>
              <w:fldChar w:fldCharType="begin"/>
            </w:r>
            <w:r w:rsidR="006379C3">
              <w:rPr>
                <w:noProof/>
                <w:webHidden/>
              </w:rPr>
              <w:instrText xml:space="preserve"> PAGEREF _Toc460405626 \h </w:instrText>
            </w:r>
            <w:r w:rsidR="006379C3">
              <w:rPr>
                <w:noProof/>
                <w:webHidden/>
              </w:rPr>
            </w:r>
            <w:r w:rsidR="006379C3">
              <w:rPr>
                <w:noProof/>
                <w:webHidden/>
              </w:rPr>
              <w:fldChar w:fldCharType="separate"/>
            </w:r>
            <w:r w:rsidR="006379C3">
              <w:rPr>
                <w:noProof/>
                <w:webHidden/>
              </w:rPr>
              <w:t>21</w:t>
            </w:r>
            <w:r w:rsidR="006379C3">
              <w:rPr>
                <w:noProof/>
                <w:webHidden/>
              </w:rPr>
              <w:fldChar w:fldCharType="end"/>
            </w:r>
          </w:hyperlink>
        </w:p>
        <w:p w14:paraId="52C3A67B"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7" w:history="1">
            <w:r w:rsidR="006379C3" w:rsidRPr="00437577">
              <w:rPr>
                <w:rStyle w:val="Hyperlink"/>
                <w:rFonts w:cs="Times New Roman"/>
                <w:noProof/>
              </w:rPr>
              <w:t>b) The Bond between Constitutional Law Scholarship and Administrative Law Scholarship</w:t>
            </w:r>
            <w:r w:rsidR="006379C3">
              <w:rPr>
                <w:noProof/>
                <w:webHidden/>
              </w:rPr>
              <w:tab/>
            </w:r>
            <w:r w:rsidR="006379C3">
              <w:rPr>
                <w:noProof/>
                <w:webHidden/>
              </w:rPr>
              <w:fldChar w:fldCharType="begin"/>
            </w:r>
            <w:r w:rsidR="006379C3">
              <w:rPr>
                <w:noProof/>
                <w:webHidden/>
              </w:rPr>
              <w:instrText xml:space="preserve"> PAGEREF _Toc460405627 \h </w:instrText>
            </w:r>
            <w:r w:rsidR="006379C3">
              <w:rPr>
                <w:noProof/>
                <w:webHidden/>
              </w:rPr>
            </w:r>
            <w:r w:rsidR="006379C3">
              <w:rPr>
                <w:noProof/>
                <w:webHidden/>
              </w:rPr>
              <w:fldChar w:fldCharType="separate"/>
            </w:r>
            <w:r w:rsidR="006379C3">
              <w:rPr>
                <w:noProof/>
                <w:webHidden/>
              </w:rPr>
              <w:t>23</w:t>
            </w:r>
            <w:r w:rsidR="006379C3">
              <w:rPr>
                <w:noProof/>
                <w:webHidden/>
              </w:rPr>
              <w:fldChar w:fldCharType="end"/>
            </w:r>
          </w:hyperlink>
        </w:p>
        <w:p w14:paraId="36D6AFED"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28" w:history="1">
            <w:r w:rsidR="006379C3" w:rsidRPr="00437577">
              <w:rPr>
                <w:rStyle w:val="Hyperlink"/>
                <w:rFonts w:eastAsia="Times New Roman" w:cs="Times New Roman"/>
                <w:noProof/>
                <w:lang w:val="en-GB"/>
              </w:rPr>
              <w:t>5. Interim Conclusions: A New Definition of the Problem</w:t>
            </w:r>
            <w:r w:rsidR="006379C3">
              <w:rPr>
                <w:noProof/>
                <w:webHidden/>
              </w:rPr>
              <w:tab/>
            </w:r>
            <w:r w:rsidR="006379C3">
              <w:rPr>
                <w:noProof/>
                <w:webHidden/>
              </w:rPr>
              <w:fldChar w:fldCharType="begin"/>
            </w:r>
            <w:r w:rsidR="006379C3">
              <w:rPr>
                <w:noProof/>
                <w:webHidden/>
              </w:rPr>
              <w:instrText xml:space="preserve"> PAGEREF _Toc460405628 \h </w:instrText>
            </w:r>
            <w:r w:rsidR="006379C3">
              <w:rPr>
                <w:noProof/>
                <w:webHidden/>
              </w:rPr>
            </w:r>
            <w:r w:rsidR="006379C3">
              <w:rPr>
                <w:noProof/>
                <w:webHidden/>
              </w:rPr>
              <w:fldChar w:fldCharType="separate"/>
            </w:r>
            <w:r w:rsidR="006379C3">
              <w:rPr>
                <w:noProof/>
                <w:webHidden/>
              </w:rPr>
              <w:t>25</w:t>
            </w:r>
            <w:r w:rsidR="006379C3">
              <w:rPr>
                <w:noProof/>
                <w:webHidden/>
              </w:rPr>
              <w:fldChar w:fldCharType="end"/>
            </w:r>
          </w:hyperlink>
        </w:p>
        <w:p w14:paraId="6527D882" w14:textId="77777777" w:rsidR="006379C3" w:rsidRDefault="00535EF8" w:rsidP="006379C3">
          <w:pPr>
            <w:pStyle w:val="TOC1"/>
            <w:ind w:right="0"/>
            <w:rPr>
              <w:rFonts w:asciiTheme="minorHAnsi" w:eastAsiaTheme="minorEastAsia" w:hAnsiTheme="minorHAnsi" w:cstheme="minorBidi"/>
              <w:noProof/>
              <w:sz w:val="22"/>
              <w:szCs w:val="22"/>
              <w:lang w:val="de-DE" w:eastAsia="de-DE"/>
            </w:rPr>
          </w:pPr>
          <w:hyperlink w:anchor="_Toc460405629" w:history="1">
            <w:r w:rsidR="006379C3" w:rsidRPr="00437577">
              <w:rPr>
                <w:rStyle w:val="Hyperlink"/>
                <w:noProof/>
                <w:lang w:val="en-GB"/>
              </w:rPr>
              <w:t>C. The United Kingdom: Still a Special Case?</w:t>
            </w:r>
            <w:r w:rsidR="006379C3">
              <w:rPr>
                <w:noProof/>
                <w:webHidden/>
              </w:rPr>
              <w:tab/>
            </w:r>
            <w:r w:rsidR="006379C3">
              <w:rPr>
                <w:noProof/>
                <w:webHidden/>
              </w:rPr>
              <w:fldChar w:fldCharType="begin"/>
            </w:r>
            <w:r w:rsidR="006379C3">
              <w:rPr>
                <w:noProof/>
                <w:webHidden/>
              </w:rPr>
              <w:instrText xml:space="preserve"> PAGEREF _Toc460405629 \h </w:instrText>
            </w:r>
            <w:r w:rsidR="006379C3">
              <w:rPr>
                <w:noProof/>
                <w:webHidden/>
              </w:rPr>
            </w:r>
            <w:r w:rsidR="006379C3">
              <w:rPr>
                <w:noProof/>
                <w:webHidden/>
              </w:rPr>
              <w:fldChar w:fldCharType="separate"/>
            </w:r>
            <w:r w:rsidR="006379C3">
              <w:rPr>
                <w:noProof/>
                <w:webHidden/>
              </w:rPr>
              <w:t>26</w:t>
            </w:r>
            <w:r w:rsidR="006379C3">
              <w:rPr>
                <w:noProof/>
                <w:webHidden/>
              </w:rPr>
              <w:fldChar w:fldCharType="end"/>
            </w:r>
          </w:hyperlink>
        </w:p>
        <w:p w14:paraId="44A9E305"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0" w:history="1">
            <w:r w:rsidR="006379C3" w:rsidRPr="00437577">
              <w:rPr>
                <w:rStyle w:val="Hyperlink"/>
                <w:rFonts w:eastAsia="Times New Roman" w:cs="Times New Roman"/>
                <w:noProof/>
                <w:lang w:val="en-GB"/>
              </w:rPr>
              <w:t>1. Dicey and the Constitutional Freezing of Administrative Law</w:t>
            </w:r>
            <w:r w:rsidR="006379C3">
              <w:rPr>
                <w:noProof/>
                <w:webHidden/>
              </w:rPr>
              <w:tab/>
            </w:r>
            <w:r w:rsidR="006379C3">
              <w:rPr>
                <w:noProof/>
                <w:webHidden/>
              </w:rPr>
              <w:fldChar w:fldCharType="begin"/>
            </w:r>
            <w:r w:rsidR="006379C3">
              <w:rPr>
                <w:noProof/>
                <w:webHidden/>
              </w:rPr>
              <w:instrText xml:space="preserve"> PAGEREF _Toc460405630 \h </w:instrText>
            </w:r>
            <w:r w:rsidR="006379C3">
              <w:rPr>
                <w:noProof/>
                <w:webHidden/>
              </w:rPr>
            </w:r>
            <w:r w:rsidR="006379C3">
              <w:rPr>
                <w:noProof/>
                <w:webHidden/>
              </w:rPr>
              <w:fldChar w:fldCharType="separate"/>
            </w:r>
            <w:r w:rsidR="006379C3">
              <w:rPr>
                <w:noProof/>
                <w:webHidden/>
              </w:rPr>
              <w:t>27</w:t>
            </w:r>
            <w:r w:rsidR="006379C3">
              <w:rPr>
                <w:noProof/>
                <w:webHidden/>
              </w:rPr>
              <w:fldChar w:fldCharType="end"/>
            </w:r>
          </w:hyperlink>
        </w:p>
        <w:p w14:paraId="447710F5"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1" w:history="1">
            <w:r w:rsidR="006379C3" w:rsidRPr="00437577">
              <w:rPr>
                <w:rStyle w:val="Hyperlink"/>
                <w:rFonts w:cs="Times New Roman"/>
                <w:noProof/>
              </w:rPr>
              <w:t>a) A False Generalization: The Existence of English Administrative Law</w:t>
            </w:r>
            <w:r w:rsidR="006379C3">
              <w:rPr>
                <w:noProof/>
                <w:webHidden/>
              </w:rPr>
              <w:tab/>
            </w:r>
            <w:r w:rsidR="006379C3">
              <w:rPr>
                <w:noProof/>
                <w:webHidden/>
              </w:rPr>
              <w:fldChar w:fldCharType="begin"/>
            </w:r>
            <w:r w:rsidR="006379C3">
              <w:rPr>
                <w:noProof/>
                <w:webHidden/>
              </w:rPr>
              <w:instrText xml:space="preserve"> PAGEREF _Toc460405631 \h </w:instrText>
            </w:r>
            <w:r w:rsidR="006379C3">
              <w:rPr>
                <w:noProof/>
                <w:webHidden/>
              </w:rPr>
            </w:r>
            <w:r w:rsidR="006379C3">
              <w:rPr>
                <w:noProof/>
                <w:webHidden/>
              </w:rPr>
              <w:fldChar w:fldCharType="separate"/>
            </w:r>
            <w:r w:rsidR="006379C3">
              <w:rPr>
                <w:noProof/>
                <w:webHidden/>
              </w:rPr>
              <w:t>27</w:t>
            </w:r>
            <w:r w:rsidR="006379C3">
              <w:rPr>
                <w:noProof/>
                <w:webHidden/>
              </w:rPr>
              <w:fldChar w:fldCharType="end"/>
            </w:r>
          </w:hyperlink>
        </w:p>
        <w:p w14:paraId="26D24E30"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2" w:history="1">
            <w:r w:rsidR="006379C3" w:rsidRPr="00437577">
              <w:rPr>
                <w:rStyle w:val="Hyperlink"/>
                <w:rFonts w:cs="Times New Roman"/>
                <w:noProof/>
              </w:rPr>
              <w:t>b) Dicey’s Profound Influence Indicates a Certain Primacy of Constitutional Principles</w:t>
            </w:r>
            <w:r w:rsidR="006379C3">
              <w:rPr>
                <w:noProof/>
                <w:webHidden/>
              </w:rPr>
              <w:tab/>
            </w:r>
            <w:r w:rsidR="006379C3">
              <w:rPr>
                <w:noProof/>
                <w:webHidden/>
              </w:rPr>
              <w:fldChar w:fldCharType="begin"/>
            </w:r>
            <w:r w:rsidR="006379C3">
              <w:rPr>
                <w:noProof/>
                <w:webHidden/>
              </w:rPr>
              <w:instrText xml:space="preserve"> PAGEREF _Toc460405632 \h </w:instrText>
            </w:r>
            <w:r w:rsidR="006379C3">
              <w:rPr>
                <w:noProof/>
                <w:webHidden/>
              </w:rPr>
            </w:r>
            <w:r w:rsidR="006379C3">
              <w:rPr>
                <w:noProof/>
                <w:webHidden/>
              </w:rPr>
              <w:fldChar w:fldCharType="separate"/>
            </w:r>
            <w:r w:rsidR="006379C3">
              <w:rPr>
                <w:noProof/>
                <w:webHidden/>
              </w:rPr>
              <w:t>28</w:t>
            </w:r>
            <w:r w:rsidR="006379C3">
              <w:rPr>
                <w:noProof/>
                <w:webHidden/>
              </w:rPr>
              <w:fldChar w:fldCharType="end"/>
            </w:r>
          </w:hyperlink>
        </w:p>
        <w:p w14:paraId="6D0E5057"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3" w:history="1">
            <w:r w:rsidR="006379C3" w:rsidRPr="00437577">
              <w:rPr>
                <w:rStyle w:val="Hyperlink"/>
                <w:rFonts w:eastAsia="Times New Roman" w:cs="Times New Roman"/>
                <w:noProof/>
                <w:lang w:val="en-GB"/>
              </w:rPr>
              <w:t>2. The Contemporary Constitutionalization of Administrative Law</w:t>
            </w:r>
            <w:r w:rsidR="006379C3">
              <w:rPr>
                <w:noProof/>
                <w:webHidden/>
              </w:rPr>
              <w:tab/>
            </w:r>
            <w:r w:rsidR="006379C3">
              <w:rPr>
                <w:noProof/>
                <w:webHidden/>
              </w:rPr>
              <w:fldChar w:fldCharType="begin"/>
            </w:r>
            <w:r w:rsidR="006379C3">
              <w:rPr>
                <w:noProof/>
                <w:webHidden/>
              </w:rPr>
              <w:instrText xml:space="preserve"> PAGEREF _Toc460405633 \h </w:instrText>
            </w:r>
            <w:r w:rsidR="006379C3">
              <w:rPr>
                <w:noProof/>
                <w:webHidden/>
              </w:rPr>
            </w:r>
            <w:r w:rsidR="006379C3">
              <w:rPr>
                <w:noProof/>
                <w:webHidden/>
              </w:rPr>
              <w:fldChar w:fldCharType="separate"/>
            </w:r>
            <w:r w:rsidR="006379C3">
              <w:rPr>
                <w:noProof/>
                <w:webHidden/>
              </w:rPr>
              <w:t>30</w:t>
            </w:r>
            <w:r w:rsidR="006379C3">
              <w:rPr>
                <w:noProof/>
                <w:webHidden/>
              </w:rPr>
              <w:fldChar w:fldCharType="end"/>
            </w:r>
          </w:hyperlink>
        </w:p>
        <w:p w14:paraId="592D0FB1"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4" w:history="1">
            <w:r w:rsidR="006379C3" w:rsidRPr="00437577">
              <w:rPr>
                <w:rStyle w:val="Hyperlink"/>
                <w:rFonts w:cs="Times New Roman"/>
                <w:noProof/>
              </w:rPr>
              <w:t>a) The Debate over the Constitutional Foundations of Judicial Review</w:t>
            </w:r>
            <w:r w:rsidR="006379C3">
              <w:rPr>
                <w:noProof/>
                <w:webHidden/>
              </w:rPr>
              <w:tab/>
            </w:r>
            <w:r w:rsidR="006379C3">
              <w:rPr>
                <w:noProof/>
                <w:webHidden/>
              </w:rPr>
              <w:fldChar w:fldCharType="begin"/>
            </w:r>
            <w:r w:rsidR="006379C3">
              <w:rPr>
                <w:noProof/>
                <w:webHidden/>
              </w:rPr>
              <w:instrText xml:space="preserve"> PAGEREF _Toc460405634 \h </w:instrText>
            </w:r>
            <w:r w:rsidR="006379C3">
              <w:rPr>
                <w:noProof/>
                <w:webHidden/>
              </w:rPr>
            </w:r>
            <w:r w:rsidR="006379C3">
              <w:rPr>
                <w:noProof/>
                <w:webHidden/>
              </w:rPr>
              <w:fldChar w:fldCharType="separate"/>
            </w:r>
            <w:r w:rsidR="006379C3">
              <w:rPr>
                <w:noProof/>
                <w:webHidden/>
              </w:rPr>
              <w:t>31</w:t>
            </w:r>
            <w:r w:rsidR="006379C3">
              <w:rPr>
                <w:noProof/>
                <w:webHidden/>
              </w:rPr>
              <w:fldChar w:fldCharType="end"/>
            </w:r>
          </w:hyperlink>
        </w:p>
        <w:p w14:paraId="30BFDD55"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5" w:history="1">
            <w:r w:rsidR="006379C3" w:rsidRPr="00437577">
              <w:rPr>
                <w:rStyle w:val="Hyperlink"/>
                <w:rFonts w:cs="Times New Roman"/>
                <w:noProof/>
              </w:rPr>
              <w:t>b) A Higher Rank for Parts of the Constitution Because of the Human Rights Act and the European Convention on Human Rights</w:t>
            </w:r>
            <w:r w:rsidR="006379C3">
              <w:rPr>
                <w:noProof/>
                <w:webHidden/>
              </w:rPr>
              <w:tab/>
            </w:r>
            <w:r w:rsidR="006379C3">
              <w:rPr>
                <w:noProof/>
                <w:webHidden/>
              </w:rPr>
              <w:fldChar w:fldCharType="begin"/>
            </w:r>
            <w:r w:rsidR="006379C3">
              <w:rPr>
                <w:noProof/>
                <w:webHidden/>
              </w:rPr>
              <w:instrText xml:space="preserve"> PAGEREF _Toc460405635 \h </w:instrText>
            </w:r>
            <w:r w:rsidR="006379C3">
              <w:rPr>
                <w:noProof/>
                <w:webHidden/>
              </w:rPr>
            </w:r>
            <w:r w:rsidR="006379C3">
              <w:rPr>
                <w:noProof/>
                <w:webHidden/>
              </w:rPr>
              <w:fldChar w:fldCharType="separate"/>
            </w:r>
            <w:r w:rsidR="006379C3">
              <w:rPr>
                <w:noProof/>
                <w:webHidden/>
              </w:rPr>
              <w:t>32</w:t>
            </w:r>
            <w:r w:rsidR="006379C3">
              <w:rPr>
                <w:noProof/>
                <w:webHidden/>
              </w:rPr>
              <w:fldChar w:fldCharType="end"/>
            </w:r>
          </w:hyperlink>
        </w:p>
        <w:p w14:paraId="4B9ACC29" w14:textId="77777777" w:rsidR="006379C3" w:rsidRDefault="00535EF8" w:rsidP="006379C3">
          <w:pPr>
            <w:pStyle w:val="TOC1"/>
            <w:ind w:right="0"/>
            <w:rPr>
              <w:rFonts w:asciiTheme="minorHAnsi" w:eastAsiaTheme="minorEastAsia" w:hAnsiTheme="minorHAnsi" w:cstheme="minorBidi"/>
              <w:noProof/>
              <w:sz w:val="22"/>
              <w:szCs w:val="22"/>
              <w:lang w:val="de-DE" w:eastAsia="de-DE"/>
            </w:rPr>
          </w:pPr>
          <w:hyperlink w:anchor="_Toc460405636" w:history="1">
            <w:r w:rsidR="006379C3" w:rsidRPr="00437577">
              <w:rPr>
                <w:rStyle w:val="Hyperlink"/>
                <w:noProof/>
                <w:lang w:val="en-GB"/>
              </w:rPr>
              <w:t>D. The Common European Paradigm: A Two-Sided Relationship</w:t>
            </w:r>
            <w:r w:rsidR="006379C3">
              <w:rPr>
                <w:noProof/>
                <w:webHidden/>
              </w:rPr>
              <w:tab/>
            </w:r>
            <w:r w:rsidR="006379C3">
              <w:rPr>
                <w:noProof/>
                <w:webHidden/>
              </w:rPr>
              <w:fldChar w:fldCharType="begin"/>
            </w:r>
            <w:r w:rsidR="006379C3">
              <w:rPr>
                <w:noProof/>
                <w:webHidden/>
              </w:rPr>
              <w:instrText xml:space="preserve"> PAGEREF _Toc460405636 \h </w:instrText>
            </w:r>
            <w:r w:rsidR="006379C3">
              <w:rPr>
                <w:noProof/>
                <w:webHidden/>
              </w:rPr>
            </w:r>
            <w:r w:rsidR="006379C3">
              <w:rPr>
                <w:noProof/>
                <w:webHidden/>
              </w:rPr>
              <w:fldChar w:fldCharType="separate"/>
            </w:r>
            <w:r w:rsidR="006379C3">
              <w:rPr>
                <w:noProof/>
                <w:webHidden/>
              </w:rPr>
              <w:t>34</w:t>
            </w:r>
            <w:r w:rsidR="006379C3">
              <w:rPr>
                <w:noProof/>
                <w:webHidden/>
              </w:rPr>
              <w:fldChar w:fldCharType="end"/>
            </w:r>
          </w:hyperlink>
        </w:p>
        <w:p w14:paraId="0C972946"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7" w:history="1">
            <w:r w:rsidR="006379C3" w:rsidRPr="00437577">
              <w:rPr>
                <w:rStyle w:val="Hyperlink"/>
                <w:rFonts w:eastAsia="Times New Roman" w:cs="Times New Roman"/>
                <w:noProof/>
                <w:lang w:val="en-GB"/>
              </w:rPr>
              <w:t>1. A Broad Spectrum: Differences in Substance and Terminology</w:t>
            </w:r>
            <w:r w:rsidR="006379C3">
              <w:rPr>
                <w:noProof/>
                <w:webHidden/>
              </w:rPr>
              <w:tab/>
            </w:r>
            <w:r w:rsidR="006379C3">
              <w:rPr>
                <w:noProof/>
                <w:webHidden/>
              </w:rPr>
              <w:fldChar w:fldCharType="begin"/>
            </w:r>
            <w:r w:rsidR="006379C3">
              <w:rPr>
                <w:noProof/>
                <w:webHidden/>
              </w:rPr>
              <w:instrText xml:space="preserve"> PAGEREF _Toc460405637 \h </w:instrText>
            </w:r>
            <w:r w:rsidR="006379C3">
              <w:rPr>
                <w:noProof/>
                <w:webHidden/>
              </w:rPr>
            </w:r>
            <w:r w:rsidR="006379C3">
              <w:rPr>
                <w:noProof/>
                <w:webHidden/>
              </w:rPr>
              <w:fldChar w:fldCharType="separate"/>
            </w:r>
            <w:r w:rsidR="006379C3">
              <w:rPr>
                <w:noProof/>
                <w:webHidden/>
              </w:rPr>
              <w:t>36</w:t>
            </w:r>
            <w:r w:rsidR="006379C3">
              <w:rPr>
                <w:noProof/>
                <w:webHidden/>
              </w:rPr>
              <w:fldChar w:fldCharType="end"/>
            </w:r>
          </w:hyperlink>
        </w:p>
        <w:p w14:paraId="1E1716E2"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8" w:history="1">
            <w:r w:rsidR="006379C3" w:rsidRPr="00437577">
              <w:rPr>
                <w:rStyle w:val="Hyperlink"/>
                <w:rFonts w:cs="Times New Roman"/>
                <w:noProof/>
              </w:rPr>
              <w:t>a) Outside the Mainstream: Sweden</w:t>
            </w:r>
            <w:r w:rsidR="006379C3">
              <w:rPr>
                <w:noProof/>
                <w:webHidden/>
              </w:rPr>
              <w:tab/>
            </w:r>
            <w:r w:rsidR="006379C3">
              <w:rPr>
                <w:noProof/>
                <w:webHidden/>
              </w:rPr>
              <w:fldChar w:fldCharType="begin"/>
            </w:r>
            <w:r w:rsidR="006379C3">
              <w:rPr>
                <w:noProof/>
                <w:webHidden/>
              </w:rPr>
              <w:instrText xml:space="preserve"> PAGEREF _Toc460405638 \h </w:instrText>
            </w:r>
            <w:r w:rsidR="006379C3">
              <w:rPr>
                <w:noProof/>
                <w:webHidden/>
              </w:rPr>
            </w:r>
            <w:r w:rsidR="006379C3">
              <w:rPr>
                <w:noProof/>
                <w:webHidden/>
              </w:rPr>
              <w:fldChar w:fldCharType="separate"/>
            </w:r>
            <w:r w:rsidR="006379C3">
              <w:rPr>
                <w:noProof/>
                <w:webHidden/>
              </w:rPr>
              <w:t>37</w:t>
            </w:r>
            <w:r w:rsidR="006379C3">
              <w:rPr>
                <w:noProof/>
                <w:webHidden/>
              </w:rPr>
              <w:fldChar w:fldCharType="end"/>
            </w:r>
          </w:hyperlink>
        </w:p>
        <w:p w14:paraId="76D59545"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39" w:history="1">
            <w:r w:rsidR="006379C3" w:rsidRPr="00437577">
              <w:rPr>
                <w:rStyle w:val="Hyperlink"/>
                <w:rFonts w:cs="Times New Roman"/>
                <w:noProof/>
              </w:rPr>
              <w:t>b) The Mainstream’s Avant-garde: Germany</w:t>
            </w:r>
            <w:r w:rsidR="006379C3">
              <w:rPr>
                <w:noProof/>
                <w:webHidden/>
              </w:rPr>
              <w:tab/>
            </w:r>
            <w:r w:rsidR="006379C3">
              <w:rPr>
                <w:noProof/>
                <w:webHidden/>
              </w:rPr>
              <w:fldChar w:fldCharType="begin"/>
            </w:r>
            <w:r w:rsidR="006379C3">
              <w:rPr>
                <w:noProof/>
                <w:webHidden/>
              </w:rPr>
              <w:instrText xml:space="preserve"> PAGEREF _Toc460405639 \h </w:instrText>
            </w:r>
            <w:r w:rsidR="006379C3">
              <w:rPr>
                <w:noProof/>
                <w:webHidden/>
              </w:rPr>
            </w:r>
            <w:r w:rsidR="006379C3">
              <w:rPr>
                <w:noProof/>
                <w:webHidden/>
              </w:rPr>
              <w:fldChar w:fldCharType="separate"/>
            </w:r>
            <w:r w:rsidR="006379C3">
              <w:rPr>
                <w:noProof/>
                <w:webHidden/>
              </w:rPr>
              <w:t>41</w:t>
            </w:r>
            <w:r w:rsidR="006379C3">
              <w:rPr>
                <w:noProof/>
                <w:webHidden/>
              </w:rPr>
              <w:fldChar w:fldCharType="end"/>
            </w:r>
          </w:hyperlink>
        </w:p>
        <w:p w14:paraId="7ACC689B"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0" w:history="1">
            <w:r w:rsidR="006379C3" w:rsidRPr="00437577">
              <w:rPr>
                <w:rStyle w:val="Hyperlink"/>
                <w:rFonts w:cs="Times New Roman"/>
                <w:noProof/>
              </w:rPr>
              <w:t>c) A Variant Within the Mainstream: France</w:t>
            </w:r>
            <w:r w:rsidR="006379C3">
              <w:rPr>
                <w:noProof/>
                <w:webHidden/>
              </w:rPr>
              <w:tab/>
            </w:r>
            <w:r w:rsidR="006379C3">
              <w:rPr>
                <w:noProof/>
                <w:webHidden/>
              </w:rPr>
              <w:fldChar w:fldCharType="begin"/>
            </w:r>
            <w:r w:rsidR="006379C3">
              <w:rPr>
                <w:noProof/>
                <w:webHidden/>
              </w:rPr>
              <w:instrText xml:space="preserve"> PAGEREF _Toc460405640 \h </w:instrText>
            </w:r>
            <w:r w:rsidR="006379C3">
              <w:rPr>
                <w:noProof/>
                <w:webHidden/>
              </w:rPr>
            </w:r>
            <w:r w:rsidR="006379C3">
              <w:rPr>
                <w:noProof/>
                <w:webHidden/>
              </w:rPr>
              <w:fldChar w:fldCharType="separate"/>
            </w:r>
            <w:r w:rsidR="006379C3">
              <w:rPr>
                <w:noProof/>
                <w:webHidden/>
              </w:rPr>
              <w:t>43</w:t>
            </w:r>
            <w:r w:rsidR="006379C3">
              <w:rPr>
                <w:noProof/>
                <w:webHidden/>
              </w:rPr>
              <w:fldChar w:fldCharType="end"/>
            </w:r>
          </w:hyperlink>
        </w:p>
        <w:p w14:paraId="0ED5FBEC" w14:textId="77777777" w:rsidR="006379C3" w:rsidRDefault="00535EF8" w:rsidP="006379C3">
          <w:pPr>
            <w:pStyle w:val="TOC2"/>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1" w:history="1">
            <w:r w:rsidR="006379C3" w:rsidRPr="00437577">
              <w:rPr>
                <w:rStyle w:val="Hyperlink"/>
                <w:rFonts w:eastAsia="Times New Roman" w:cs="Times New Roman"/>
                <w:noProof/>
                <w:lang w:val="en-GB"/>
              </w:rPr>
              <w:t>2. The Causes of the Diversity: The Different Parameters of a Complex Phenomenon</w:t>
            </w:r>
            <w:r w:rsidR="006379C3">
              <w:rPr>
                <w:noProof/>
                <w:webHidden/>
              </w:rPr>
              <w:tab/>
            </w:r>
            <w:r w:rsidR="006379C3">
              <w:rPr>
                <w:noProof/>
                <w:webHidden/>
              </w:rPr>
              <w:fldChar w:fldCharType="begin"/>
            </w:r>
            <w:r w:rsidR="006379C3">
              <w:rPr>
                <w:noProof/>
                <w:webHidden/>
              </w:rPr>
              <w:instrText xml:space="preserve"> PAGEREF _Toc460405641 \h </w:instrText>
            </w:r>
            <w:r w:rsidR="006379C3">
              <w:rPr>
                <w:noProof/>
                <w:webHidden/>
              </w:rPr>
            </w:r>
            <w:r w:rsidR="006379C3">
              <w:rPr>
                <w:noProof/>
                <w:webHidden/>
              </w:rPr>
              <w:fldChar w:fldCharType="separate"/>
            </w:r>
            <w:r w:rsidR="006379C3">
              <w:rPr>
                <w:noProof/>
                <w:webHidden/>
              </w:rPr>
              <w:t>46</w:t>
            </w:r>
            <w:r w:rsidR="006379C3">
              <w:rPr>
                <w:noProof/>
                <w:webHidden/>
              </w:rPr>
              <w:fldChar w:fldCharType="end"/>
            </w:r>
          </w:hyperlink>
        </w:p>
        <w:p w14:paraId="422E38B8"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2" w:history="1">
            <w:r w:rsidR="006379C3" w:rsidRPr="00437577">
              <w:rPr>
                <w:rStyle w:val="Hyperlink"/>
                <w:rFonts w:cs="Times New Roman"/>
                <w:noProof/>
              </w:rPr>
              <w:t>a) The Number of Administratively-Relevant Constitutional Norms</w:t>
            </w:r>
            <w:r w:rsidR="006379C3">
              <w:rPr>
                <w:noProof/>
                <w:webHidden/>
              </w:rPr>
              <w:tab/>
            </w:r>
            <w:r w:rsidR="006379C3">
              <w:rPr>
                <w:noProof/>
                <w:webHidden/>
              </w:rPr>
              <w:fldChar w:fldCharType="begin"/>
            </w:r>
            <w:r w:rsidR="006379C3">
              <w:rPr>
                <w:noProof/>
                <w:webHidden/>
              </w:rPr>
              <w:instrText xml:space="preserve"> PAGEREF _Toc460405642 \h </w:instrText>
            </w:r>
            <w:r w:rsidR="006379C3">
              <w:rPr>
                <w:noProof/>
                <w:webHidden/>
              </w:rPr>
            </w:r>
            <w:r w:rsidR="006379C3">
              <w:rPr>
                <w:noProof/>
                <w:webHidden/>
              </w:rPr>
              <w:fldChar w:fldCharType="separate"/>
            </w:r>
            <w:r w:rsidR="006379C3">
              <w:rPr>
                <w:noProof/>
                <w:webHidden/>
              </w:rPr>
              <w:t>46</w:t>
            </w:r>
            <w:r w:rsidR="006379C3">
              <w:rPr>
                <w:noProof/>
                <w:webHidden/>
              </w:rPr>
              <w:fldChar w:fldCharType="end"/>
            </w:r>
          </w:hyperlink>
        </w:p>
        <w:p w14:paraId="0242B63A"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3" w:history="1">
            <w:r w:rsidR="006379C3" w:rsidRPr="00437577">
              <w:rPr>
                <w:rStyle w:val="Hyperlink"/>
                <w:rFonts w:cs="Times New Roman"/>
                <w:noProof/>
              </w:rPr>
              <w:t>b) Preconceptions: The Constitution as the Law’s World Egg or as a Framework?</w:t>
            </w:r>
            <w:r w:rsidR="006379C3">
              <w:rPr>
                <w:noProof/>
                <w:webHidden/>
              </w:rPr>
              <w:tab/>
            </w:r>
            <w:r w:rsidR="006379C3">
              <w:rPr>
                <w:noProof/>
                <w:webHidden/>
              </w:rPr>
              <w:fldChar w:fldCharType="begin"/>
            </w:r>
            <w:r w:rsidR="006379C3">
              <w:rPr>
                <w:noProof/>
                <w:webHidden/>
              </w:rPr>
              <w:instrText xml:space="preserve"> PAGEREF _Toc460405643 \h </w:instrText>
            </w:r>
            <w:r w:rsidR="006379C3">
              <w:rPr>
                <w:noProof/>
                <w:webHidden/>
              </w:rPr>
            </w:r>
            <w:r w:rsidR="006379C3">
              <w:rPr>
                <w:noProof/>
                <w:webHidden/>
              </w:rPr>
              <w:fldChar w:fldCharType="separate"/>
            </w:r>
            <w:r w:rsidR="006379C3">
              <w:rPr>
                <w:noProof/>
                <w:webHidden/>
              </w:rPr>
              <w:t>48</w:t>
            </w:r>
            <w:r w:rsidR="006379C3">
              <w:rPr>
                <w:noProof/>
                <w:webHidden/>
              </w:rPr>
              <w:fldChar w:fldCharType="end"/>
            </w:r>
          </w:hyperlink>
        </w:p>
        <w:p w14:paraId="54557834"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4" w:history="1">
            <w:r w:rsidR="006379C3" w:rsidRPr="00437577">
              <w:rPr>
                <w:rStyle w:val="Hyperlink"/>
                <w:rFonts w:cs="Times New Roman"/>
                <w:noProof/>
              </w:rPr>
              <w:t>c) Preconceptions: Abstractness and Normativity of Constitutional Principles</w:t>
            </w:r>
            <w:r w:rsidR="006379C3">
              <w:rPr>
                <w:noProof/>
                <w:webHidden/>
              </w:rPr>
              <w:tab/>
            </w:r>
            <w:r w:rsidR="006379C3">
              <w:rPr>
                <w:noProof/>
                <w:webHidden/>
              </w:rPr>
              <w:fldChar w:fldCharType="begin"/>
            </w:r>
            <w:r w:rsidR="006379C3">
              <w:rPr>
                <w:noProof/>
                <w:webHidden/>
              </w:rPr>
              <w:instrText xml:space="preserve"> PAGEREF _Toc460405644 \h </w:instrText>
            </w:r>
            <w:r w:rsidR="006379C3">
              <w:rPr>
                <w:noProof/>
                <w:webHidden/>
              </w:rPr>
            </w:r>
            <w:r w:rsidR="006379C3">
              <w:rPr>
                <w:noProof/>
                <w:webHidden/>
              </w:rPr>
              <w:fldChar w:fldCharType="separate"/>
            </w:r>
            <w:r w:rsidR="006379C3">
              <w:rPr>
                <w:noProof/>
                <w:webHidden/>
              </w:rPr>
              <w:t>50</w:t>
            </w:r>
            <w:r w:rsidR="006379C3">
              <w:rPr>
                <w:noProof/>
                <w:webHidden/>
              </w:rPr>
              <w:fldChar w:fldCharType="end"/>
            </w:r>
          </w:hyperlink>
        </w:p>
        <w:p w14:paraId="6DF15861"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5" w:history="1">
            <w:r w:rsidR="006379C3" w:rsidRPr="00437577">
              <w:rPr>
                <w:rStyle w:val="Hyperlink"/>
                <w:rFonts w:cs="Times New Roman"/>
                <w:noProof/>
              </w:rPr>
              <w:t>d) The Telos of the Constitution: Transformation or Consolidation of the Pre-Existing (Administrative) Ordinary Law?</w:t>
            </w:r>
            <w:r w:rsidR="006379C3">
              <w:rPr>
                <w:noProof/>
                <w:webHidden/>
              </w:rPr>
              <w:tab/>
            </w:r>
            <w:r w:rsidR="006379C3">
              <w:rPr>
                <w:noProof/>
                <w:webHidden/>
              </w:rPr>
              <w:fldChar w:fldCharType="begin"/>
            </w:r>
            <w:r w:rsidR="006379C3">
              <w:rPr>
                <w:noProof/>
                <w:webHidden/>
              </w:rPr>
              <w:instrText xml:space="preserve"> PAGEREF _Toc460405645 \h </w:instrText>
            </w:r>
            <w:r w:rsidR="006379C3">
              <w:rPr>
                <w:noProof/>
                <w:webHidden/>
              </w:rPr>
            </w:r>
            <w:r w:rsidR="006379C3">
              <w:rPr>
                <w:noProof/>
                <w:webHidden/>
              </w:rPr>
              <w:fldChar w:fldCharType="separate"/>
            </w:r>
            <w:r w:rsidR="006379C3">
              <w:rPr>
                <w:noProof/>
                <w:webHidden/>
              </w:rPr>
              <w:t>52</w:t>
            </w:r>
            <w:r w:rsidR="006379C3">
              <w:rPr>
                <w:noProof/>
                <w:webHidden/>
              </w:rPr>
              <w:fldChar w:fldCharType="end"/>
            </w:r>
          </w:hyperlink>
        </w:p>
        <w:p w14:paraId="5ED86AE3"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6" w:history="1">
            <w:r w:rsidR="006379C3" w:rsidRPr="00437577">
              <w:rPr>
                <w:rStyle w:val="Hyperlink"/>
                <w:rFonts w:cs="Times New Roman"/>
                <w:noProof/>
              </w:rPr>
              <w:t>e) The Primacy and Legitimacy of the Constitution</w:t>
            </w:r>
            <w:r w:rsidR="006379C3">
              <w:rPr>
                <w:noProof/>
                <w:webHidden/>
              </w:rPr>
              <w:tab/>
            </w:r>
            <w:r w:rsidR="006379C3">
              <w:rPr>
                <w:noProof/>
                <w:webHidden/>
              </w:rPr>
              <w:fldChar w:fldCharType="begin"/>
            </w:r>
            <w:r w:rsidR="006379C3">
              <w:rPr>
                <w:noProof/>
                <w:webHidden/>
              </w:rPr>
              <w:instrText xml:space="preserve"> PAGEREF _Toc460405646 \h </w:instrText>
            </w:r>
            <w:r w:rsidR="006379C3">
              <w:rPr>
                <w:noProof/>
                <w:webHidden/>
              </w:rPr>
            </w:r>
            <w:r w:rsidR="006379C3">
              <w:rPr>
                <w:noProof/>
                <w:webHidden/>
              </w:rPr>
              <w:fldChar w:fldCharType="separate"/>
            </w:r>
            <w:r w:rsidR="006379C3">
              <w:rPr>
                <w:noProof/>
                <w:webHidden/>
              </w:rPr>
              <w:t>54</w:t>
            </w:r>
            <w:r w:rsidR="006379C3">
              <w:rPr>
                <w:noProof/>
                <w:webHidden/>
              </w:rPr>
              <w:fldChar w:fldCharType="end"/>
            </w:r>
          </w:hyperlink>
        </w:p>
        <w:p w14:paraId="2F8964CD"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7" w:history="1">
            <w:r w:rsidR="006379C3" w:rsidRPr="00437577">
              <w:rPr>
                <w:rStyle w:val="Hyperlink"/>
                <w:rFonts w:cs="Times New Roman"/>
                <w:noProof/>
              </w:rPr>
              <w:t>f) The Stability or Instability of the Constitution</w:t>
            </w:r>
            <w:r w:rsidR="006379C3">
              <w:rPr>
                <w:noProof/>
                <w:webHidden/>
              </w:rPr>
              <w:tab/>
            </w:r>
            <w:r w:rsidR="006379C3">
              <w:rPr>
                <w:noProof/>
                <w:webHidden/>
              </w:rPr>
              <w:fldChar w:fldCharType="begin"/>
            </w:r>
            <w:r w:rsidR="006379C3">
              <w:rPr>
                <w:noProof/>
                <w:webHidden/>
              </w:rPr>
              <w:instrText xml:space="preserve"> PAGEREF _Toc460405647 \h </w:instrText>
            </w:r>
            <w:r w:rsidR="006379C3">
              <w:rPr>
                <w:noProof/>
                <w:webHidden/>
              </w:rPr>
            </w:r>
            <w:r w:rsidR="006379C3">
              <w:rPr>
                <w:noProof/>
                <w:webHidden/>
              </w:rPr>
              <w:fldChar w:fldCharType="separate"/>
            </w:r>
            <w:r w:rsidR="006379C3">
              <w:rPr>
                <w:noProof/>
                <w:webHidden/>
              </w:rPr>
              <w:t>55</w:t>
            </w:r>
            <w:r w:rsidR="006379C3">
              <w:rPr>
                <w:noProof/>
                <w:webHidden/>
              </w:rPr>
              <w:fldChar w:fldCharType="end"/>
            </w:r>
          </w:hyperlink>
        </w:p>
        <w:p w14:paraId="44ECDA40"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8" w:history="1">
            <w:r w:rsidR="006379C3" w:rsidRPr="00437577">
              <w:rPr>
                <w:rStyle w:val="Hyperlink"/>
                <w:rFonts w:cs="Times New Roman"/>
                <w:noProof/>
              </w:rPr>
              <w:t>g) The Guardianship of the Constitution: Are Administrative Authorities Entitled, Or Even Obliged, to Ignore Unconstitutional Norms?</w:t>
            </w:r>
            <w:r w:rsidR="006379C3">
              <w:rPr>
                <w:noProof/>
                <w:webHidden/>
              </w:rPr>
              <w:tab/>
            </w:r>
            <w:r w:rsidR="006379C3">
              <w:rPr>
                <w:noProof/>
                <w:webHidden/>
              </w:rPr>
              <w:fldChar w:fldCharType="begin"/>
            </w:r>
            <w:r w:rsidR="006379C3">
              <w:rPr>
                <w:noProof/>
                <w:webHidden/>
              </w:rPr>
              <w:instrText xml:space="preserve"> PAGEREF _Toc460405648 \h </w:instrText>
            </w:r>
            <w:r w:rsidR="006379C3">
              <w:rPr>
                <w:noProof/>
                <w:webHidden/>
              </w:rPr>
            </w:r>
            <w:r w:rsidR="006379C3">
              <w:rPr>
                <w:noProof/>
                <w:webHidden/>
              </w:rPr>
              <w:fldChar w:fldCharType="separate"/>
            </w:r>
            <w:r w:rsidR="006379C3">
              <w:rPr>
                <w:noProof/>
                <w:webHidden/>
              </w:rPr>
              <w:t>56</w:t>
            </w:r>
            <w:r w:rsidR="006379C3">
              <w:rPr>
                <w:noProof/>
                <w:webHidden/>
              </w:rPr>
              <w:fldChar w:fldCharType="end"/>
            </w:r>
          </w:hyperlink>
        </w:p>
        <w:p w14:paraId="4D7D918E"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49" w:history="1">
            <w:r w:rsidR="006379C3" w:rsidRPr="00437577">
              <w:rPr>
                <w:rStyle w:val="Hyperlink"/>
                <w:rFonts w:cs="Times New Roman"/>
                <w:noProof/>
              </w:rPr>
              <w:t>h) Courts (Constitutional Courts and/or Administrative Courts) as Guardians of the Constitution</w:t>
            </w:r>
            <w:r w:rsidR="006379C3">
              <w:rPr>
                <w:noProof/>
                <w:webHidden/>
              </w:rPr>
              <w:tab/>
            </w:r>
            <w:r w:rsidR="006379C3">
              <w:rPr>
                <w:noProof/>
                <w:webHidden/>
              </w:rPr>
              <w:fldChar w:fldCharType="begin"/>
            </w:r>
            <w:r w:rsidR="006379C3">
              <w:rPr>
                <w:noProof/>
                <w:webHidden/>
              </w:rPr>
              <w:instrText xml:space="preserve"> PAGEREF _Toc460405649 \h </w:instrText>
            </w:r>
            <w:r w:rsidR="006379C3">
              <w:rPr>
                <w:noProof/>
                <w:webHidden/>
              </w:rPr>
            </w:r>
            <w:r w:rsidR="006379C3">
              <w:rPr>
                <w:noProof/>
                <w:webHidden/>
              </w:rPr>
              <w:fldChar w:fldCharType="separate"/>
            </w:r>
            <w:r w:rsidR="006379C3">
              <w:rPr>
                <w:noProof/>
                <w:webHidden/>
              </w:rPr>
              <w:t>63</w:t>
            </w:r>
            <w:r w:rsidR="006379C3">
              <w:rPr>
                <w:noProof/>
                <w:webHidden/>
              </w:rPr>
              <w:fldChar w:fldCharType="end"/>
            </w:r>
          </w:hyperlink>
        </w:p>
        <w:p w14:paraId="6545D94A" w14:textId="77777777" w:rsidR="006379C3" w:rsidRDefault="00535EF8" w:rsidP="006379C3">
          <w:pPr>
            <w:pStyle w:val="TOC3"/>
            <w:tabs>
              <w:tab w:val="right" w:leader="dot" w:pos="8473"/>
            </w:tabs>
            <w:spacing w:after="0"/>
            <w:ind w:left="0"/>
            <w:rPr>
              <w:rFonts w:asciiTheme="minorHAnsi" w:eastAsiaTheme="minorEastAsia" w:hAnsiTheme="minorHAnsi" w:cstheme="minorBidi"/>
              <w:noProof/>
              <w:sz w:val="22"/>
              <w:szCs w:val="22"/>
              <w:lang w:val="de-DE" w:eastAsia="de-DE"/>
            </w:rPr>
          </w:pPr>
          <w:hyperlink w:anchor="_Toc460405650" w:history="1">
            <w:r w:rsidR="006379C3" w:rsidRPr="00437577">
              <w:rPr>
                <w:rStyle w:val="Hyperlink"/>
                <w:rFonts w:cs="Times New Roman"/>
                <w:iCs/>
                <w:noProof/>
              </w:rPr>
              <w:t xml:space="preserve">i) </w:t>
            </w:r>
            <w:r w:rsidR="006379C3" w:rsidRPr="00437577">
              <w:rPr>
                <w:rStyle w:val="Hyperlink"/>
                <w:rFonts w:cs="Times New Roman"/>
                <w:noProof/>
              </w:rPr>
              <w:t>The Role of Scholars with Regard to Constitutionalization of Administrative Law</w:t>
            </w:r>
            <w:r w:rsidR="006379C3">
              <w:rPr>
                <w:noProof/>
                <w:webHidden/>
              </w:rPr>
              <w:tab/>
            </w:r>
            <w:r w:rsidR="006379C3">
              <w:rPr>
                <w:noProof/>
                <w:webHidden/>
              </w:rPr>
              <w:fldChar w:fldCharType="begin"/>
            </w:r>
            <w:r w:rsidR="006379C3">
              <w:rPr>
                <w:noProof/>
                <w:webHidden/>
              </w:rPr>
              <w:instrText xml:space="preserve"> PAGEREF _Toc460405650 \h </w:instrText>
            </w:r>
            <w:r w:rsidR="006379C3">
              <w:rPr>
                <w:noProof/>
                <w:webHidden/>
              </w:rPr>
            </w:r>
            <w:r w:rsidR="006379C3">
              <w:rPr>
                <w:noProof/>
                <w:webHidden/>
              </w:rPr>
              <w:fldChar w:fldCharType="separate"/>
            </w:r>
            <w:r w:rsidR="006379C3">
              <w:rPr>
                <w:noProof/>
                <w:webHidden/>
              </w:rPr>
              <w:t>69</w:t>
            </w:r>
            <w:r w:rsidR="006379C3">
              <w:rPr>
                <w:noProof/>
                <w:webHidden/>
              </w:rPr>
              <w:fldChar w:fldCharType="end"/>
            </w:r>
          </w:hyperlink>
        </w:p>
        <w:p w14:paraId="30425B97" w14:textId="77777777" w:rsidR="00344778" w:rsidRPr="00DE2EDF" w:rsidRDefault="00CA7D14" w:rsidP="006379C3">
          <w:pPr>
            <w:pStyle w:val="TOC1"/>
            <w:ind w:right="0"/>
            <w:rPr>
              <w:rStyle w:val="Hyperlink"/>
              <w:rFonts w:eastAsia="Times New Roman" w:cs="Times New Roman"/>
              <w:noProof/>
              <w:color w:val="auto"/>
              <w:u w:val="none"/>
              <w:lang w:val="en-GB" w:eastAsia="de-DE"/>
            </w:rPr>
          </w:pPr>
          <w:r w:rsidRPr="00DE2EDF">
            <w:rPr>
              <w:rStyle w:val="Hyperlink"/>
              <w:rFonts w:eastAsia="Times New Roman" w:cs="Times New Roman"/>
              <w:noProof/>
              <w:color w:val="auto"/>
              <w:u w:val="none"/>
              <w:lang w:val="en-GB" w:eastAsia="de-DE"/>
            </w:rPr>
            <w:fldChar w:fldCharType="end"/>
          </w:r>
        </w:p>
      </w:sdtContent>
    </w:sdt>
    <w:p w14:paraId="7CC07FCD" w14:textId="77777777" w:rsidR="002268D3" w:rsidRPr="00F17093" w:rsidRDefault="00344778" w:rsidP="00F17093">
      <w:pPr>
        <w:spacing w:after="0"/>
        <w:jc w:val="both"/>
        <w:rPr>
          <w:rFonts w:cs="Times New Roman"/>
          <w:highlight w:val="yellow"/>
        </w:rPr>
      </w:pPr>
      <w:r w:rsidRPr="00DE2EDF">
        <w:rPr>
          <w:rFonts w:cs="Times New Roman"/>
          <w:highlight w:val="yellow"/>
        </w:rPr>
        <w:br w:type="page"/>
      </w:r>
    </w:p>
    <w:p w14:paraId="7FF3D467" w14:textId="77777777" w:rsidR="009E12D0" w:rsidRPr="00DE2EDF" w:rsidRDefault="00ED3DAA" w:rsidP="00DE2EDF">
      <w:pPr>
        <w:pStyle w:val="Heading1"/>
        <w:spacing w:before="0" w:after="0" w:line="276" w:lineRule="auto"/>
        <w:jc w:val="center"/>
        <w:rPr>
          <w:szCs w:val="24"/>
        </w:rPr>
      </w:pPr>
      <w:bookmarkStart w:id="4" w:name="_Toc460405610"/>
      <w:bookmarkStart w:id="5" w:name="_Toc245196678"/>
      <w:r w:rsidRPr="00DE2EDF">
        <w:rPr>
          <w:szCs w:val="24"/>
        </w:rPr>
        <w:lastRenderedPageBreak/>
        <w:t xml:space="preserve">A. </w:t>
      </w:r>
      <w:r w:rsidR="003A39B5" w:rsidRPr="00DE2EDF">
        <w:rPr>
          <w:szCs w:val="24"/>
        </w:rPr>
        <w:t>Introduction</w:t>
      </w:r>
      <w:bookmarkEnd w:id="4"/>
    </w:p>
    <w:p w14:paraId="48287A37" w14:textId="77777777" w:rsidR="002D66C1" w:rsidRPr="00DE2EDF" w:rsidRDefault="002D66C1" w:rsidP="00DE2EDF">
      <w:pPr>
        <w:spacing w:after="0"/>
        <w:rPr>
          <w:rFonts w:cs="Times New Roman"/>
        </w:rPr>
      </w:pPr>
    </w:p>
    <w:p w14:paraId="53E56120" w14:textId="77777777" w:rsidR="003A39B5" w:rsidRPr="00DE2EDF" w:rsidRDefault="002D66C1" w:rsidP="00DE2EDF">
      <w:pPr>
        <w:pStyle w:val="Heading2"/>
        <w:spacing w:before="0" w:after="0" w:line="276" w:lineRule="auto"/>
        <w:ind w:left="0" w:firstLine="0"/>
        <w:rPr>
          <w:rFonts w:eastAsia="Times New Roman" w:cs="Times New Roman"/>
          <w:szCs w:val="24"/>
          <w:lang w:val="en-GB"/>
        </w:rPr>
      </w:pPr>
      <w:bookmarkStart w:id="6" w:name="_Toc460405611"/>
      <w:r w:rsidRPr="00DE2EDF">
        <w:rPr>
          <w:rFonts w:eastAsia="Times New Roman" w:cs="Times New Roman"/>
          <w:szCs w:val="24"/>
          <w:lang w:val="en-GB"/>
        </w:rPr>
        <w:t xml:space="preserve">1. </w:t>
      </w:r>
      <w:r w:rsidR="003A39B5" w:rsidRPr="00DE2EDF">
        <w:rPr>
          <w:rFonts w:eastAsia="Times New Roman" w:cs="Times New Roman"/>
          <w:szCs w:val="24"/>
          <w:lang w:val="en-GB"/>
        </w:rPr>
        <w:t xml:space="preserve">A </w:t>
      </w:r>
      <w:r w:rsidR="00C43C99" w:rsidRPr="00DE2EDF">
        <w:rPr>
          <w:rFonts w:eastAsia="Times New Roman" w:cs="Times New Roman"/>
          <w:szCs w:val="24"/>
          <w:lang w:val="en-GB"/>
        </w:rPr>
        <w:t>C</w:t>
      </w:r>
      <w:r w:rsidR="00F977C4" w:rsidRPr="00DE2EDF">
        <w:rPr>
          <w:rFonts w:eastAsia="Times New Roman" w:cs="Times New Roman"/>
          <w:szCs w:val="24"/>
          <w:lang w:val="en-GB"/>
        </w:rPr>
        <w:t xml:space="preserve">omplex and </w:t>
      </w:r>
      <w:r w:rsidR="00C43C99" w:rsidRPr="00DE2EDF">
        <w:rPr>
          <w:rFonts w:eastAsia="Times New Roman" w:cs="Times New Roman"/>
          <w:szCs w:val="24"/>
          <w:lang w:val="en-GB"/>
        </w:rPr>
        <w:t>M</w:t>
      </w:r>
      <w:r w:rsidR="003A39B5" w:rsidRPr="00DE2EDF">
        <w:rPr>
          <w:rFonts w:eastAsia="Times New Roman" w:cs="Times New Roman"/>
          <w:szCs w:val="24"/>
          <w:lang w:val="en-GB"/>
        </w:rPr>
        <w:t xml:space="preserve">ultifaceted </w:t>
      </w:r>
      <w:r w:rsidR="00C43C99" w:rsidRPr="00DE2EDF">
        <w:rPr>
          <w:rFonts w:eastAsia="Times New Roman" w:cs="Times New Roman"/>
          <w:szCs w:val="24"/>
          <w:lang w:val="en-GB"/>
        </w:rPr>
        <w:t>T</w:t>
      </w:r>
      <w:r w:rsidR="003A39B5" w:rsidRPr="00DE2EDF">
        <w:rPr>
          <w:rFonts w:eastAsia="Times New Roman" w:cs="Times New Roman"/>
          <w:szCs w:val="24"/>
          <w:lang w:val="en-GB"/>
        </w:rPr>
        <w:t>opic</w:t>
      </w:r>
      <w:bookmarkEnd w:id="6"/>
    </w:p>
    <w:p w14:paraId="21CBFDF7" w14:textId="77777777" w:rsidR="003A39B5" w:rsidRPr="00DE2EDF" w:rsidRDefault="003A39B5" w:rsidP="00DE2EDF">
      <w:pPr>
        <w:spacing w:after="0"/>
        <w:jc w:val="both"/>
        <w:rPr>
          <w:rFonts w:eastAsia="Times New Roman" w:cs="Times New Roman"/>
          <w:iCs/>
          <w:lang w:val="en-GB"/>
        </w:rPr>
      </w:pPr>
    </w:p>
    <w:p w14:paraId="29DAB171"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Law is a social construct, invented through a variety of </w:t>
      </w:r>
      <w:r w:rsidR="009D2572" w:rsidRPr="00DE2EDF">
        <w:rPr>
          <w:rFonts w:eastAsia="Times New Roman" w:cs="Times New Roman"/>
          <w:iCs/>
          <w:lang w:val="en-GB"/>
        </w:rPr>
        <w:t>conceptual</w:t>
      </w:r>
      <w:r w:rsidRPr="00DE2EDF">
        <w:rPr>
          <w:rFonts w:eastAsia="Times New Roman" w:cs="Times New Roman"/>
          <w:iCs/>
          <w:lang w:val="en-GB"/>
        </w:rPr>
        <w:t xml:space="preserve"> tools. </w:t>
      </w:r>
      <w:r w:rsidR="008B5658" w:rsidRPr="00DE2EDF">
        <w:rPr>
          <w:rFonts w:eastAsia="Times New Roman" w:cs="Times New Roman"/>
          <w:iCs/>
          <w:lang w:val="en-GB"/>
        </w:rPr>
        <w:t xml:space="preserve">One </w:t>
      </w:r>
      <w:r w:rsidR="00D31385" w:rsidRPr="00DE2EDF">
        <w:rPr>
          <w:rFonts w:eastAsia="Times New Roman" w:cs="Times New Roman"/>
          <w:iCs/>
          <w:lang w:val="en-GB"/>
        </w:rPr>
        <w:t xml:space="preserve">classic </w:t>
      </w:r>
      <w:r w:rsidR="008B5658" w:rsidRPr="00DE2EDF">
        <w:rPr>
          <w:rFonts w:eastAsia="Times New Roman" w:cs="Times New Roman"/>
          <w:iCs/>
          <w:lang w:val="en-GB"/>
        </w:rPr>
        <w:t>tool</w:t>
      </w:r>
      <w:r w:rsidR="00D31385" w:rsidRPr="00DE2EDF">
        <w:rPr>
          <w:rFonts w:eastAsia="Times New Roman" w:cs="Times New Roman"/>
          <w:iCs/>
          <w:lang w:val="en-GB"/>
        </w:rPr>
        <w:t xml:space="preserve"> is the subdivision of law into </w:t>
      </w:r>
      <w:r w:rsidR="00C43C99" w:rsidRPr="00DE2EDF">
        <w:rPr>
          <w:rFonts w:eastAsia="Times New Roman" w:cs="Times New Roman"/>
          <w:iCs/>
          <w:lang w:val="en-GB"/>
        </w:rPr>
        <w:t>branches of law</w:t>
      </w:r>
      <w:r w:rsidRPr="00DE2EDF">
        <w:rPr>
          <w:rFonts w:eastAsia="Times New Roman" w:cs="Times New Roman"/>
          <w:iCs/>
          <w:lang w:val="en-GB"/>
        </w:rPr>
        <w:t>. To find their way through the virtually infinite number of legal norms, lawyers divide their kingdom into provinces</w:t>
      </w:r>
      <w:r w:rsidR="00890E5C" w:rsidRPr="00DE2EDF">
        <w:rPr>
          <w:rFonts w:eastAsia="Times New Roman" w:cs="Times New Roman"/>
          <w:iCs/>
          <w:lang w:val="en-GB"/>
        </w:rPr>
        <w:t xml:space="preserve">. The lawyers’ </w:t>
      </w:r>
      <w:r w:rsidRPr="00DE2EDF">
        <w:rPr>
          <w:rFonts w:eastAsia="Times New Roman" w:cs="Times New Roman"/>
          <w:iCs/>
          <w:lang w:val="en-GB"/>
        </w:rPr>
        <w:t xml:space="preserve">intellectual horizon </w:t>
      </w:r>
      <w:r w:rsidR="008B5658" w:rsidRPr="00DE2EDF">
        <w:rPr>
          <w:rFonts w:eastAsia="Times New Roman" w:cs="Times New Roman"/>
          <w:iCs/>
          <w:lang w:val="en-GB"/>
        </w:rPr>
        <w:t>is</w:t>
      </w:r>
      <w:r w:rsidRPr="00DE2EDF">
        <w:rPr>
          <w:rFonts w:eastAsia="Times New Roman" w:cs="Times New Roman"/>
          <w:iCs/>
          <w:lang w:val="en-GB"/>
        </w:rPr>
        <w:t xml:space="preserve"> split</w:t>
      </w:r>
      <w:r w:rsidR="00133402" w:rsidRPr="00DE2EDF">
        <w:rPr>
          <w:rFonts w:eastAsia="Times New Roman" w:cs="Times New Roman"/>
          <w:iCs/>
          <w:lang w:val="en-GB"/>
        </w:rPr>
        <w:t xml:space="preserve"> up, with</w:t>
      </w:r>
      <w:r w:rsidR="001636B8" w:rsidRPr="00DE2EDF">
        <w:rPr>
          <w:rFonts w:eastAsia="Times New Roman" w:cs="Times New Roman"/>
          <w:iCs/>
          <w:lang w:val="en-GB"/>
        </w:rPr>
        <w:t xml:space="preserve"> boundaries and </w:t>
      </w:r>
      <w:r w:rsidRPr="00DE2EDF">
        <w:rPr>
          <w:rFonts w:eastAsia="Times New Roman" w:cs="Times New Roman"/>
          <w:iCs/>
          <w:lang w:val="en-GB"/>
        </w:rPr>
        <w:t xml:space="preserve">fences. </w:t>
      </w:r>
      <w:r w:rsidR="003F03DF" w:rsidRPr="00DE2EDF">
        <w:rPr>
          <w:rFonts w:eastAsia="Times New Roman" w:cs="Times New Roman"/>
          <w:iCs/>
          <w:lang w:val="en-GB"/>
        </w:rPr>
        <w:t xml:space="preserve">His or her mental world is </w:t>
      </w:r>
      <w:r w:rsidR="00CA58EA" w:rsidRPr="00DE2EDF">
        <w:rPr>
          <w:rFonts w:eastAsia="Times New Roman" w:cs="Times New Roman"/>
          <w:iCs/>
          <w:lang w:val="en-GB"/>
        </w:rPr>
        <w:t>organized</w:t>
      </w:r>
      <w:r w:rsidR="003F03DF" w:rsidRPr="00DE2EDF">
        <w:rPr>
          <w:rFonts w:eastAsia="Times New Roman" w:cs="Times New Roman"/>
          <w:iCs/>
          <w:lang w:val="en-GB"/>
        </w:rPr>
        <w:t xml:space="preserve">. </w:t>
      </w:r>
      <w:r w:rsidR="009C24E5" w:rsidRPr="00DE2EDF">
        <w:rPr>
          <w:rFonts w:eastAsia="Times New Roman" w:cs="Times New Roman"/>
          <w:iCs/>
          <w:lang w:val="en-GB"/>
        </w:rPr>
        <w:t xml:space="preserve">When </w:t>
      </w:r>
      <w:r w:rsidR="001636B8" w:rsidRPr="00DE2EDF">
        <w:rPr>
          <w:rFonts w:eastAsia="Times New Roman" w:cs="Times New Roman"/>
          <w:iCs/>
          <w:lang w:val="en-GB"/>
        </w:rPr>
        <w:t xml:space="preserve">isolated </w:t>
      </w:r>
      <w:r w:rsidRPr="00DE2EDF">
        <w:rPr>
          <w:rFonts w:eastAsia="Times New Roman" w:cs="Times New Roman"/>
          <w:iCs/>
          <w:lang w:val="en-GB"/>
        </w:rPr>
        <w:t xml:space="preserve">from the rest of the legal world, </w:t>
      </w:r>
      <w:r w:rsidR="009C24E5" w:rsidRPr="00DE2EDF">
        <w:rPr>
          <w:rFonts w:eastAsia="Times New Roman" w:cs="Times New Roman"/>
          <w:iCs/>
          <w:lang w:val="en-GB"/>
        </w:rPr>
        <w:t xml:space="preserve">each </w:t>
      </w:r>
      <w:r w:rsidR="00D96279" w:rsidRPr="00DE2EDF">
        <w:rPr>
          <w:rFonts w:eastAsia="Times New Roman" w:cs="Times New Roman"/>
          <w:iCs/>
          <w:lang w:val="en-GB"/>
        </w:rPr>
        <w:t xml:space="preserve">such </w:t>
      </w:r>
      <w:r w:rsidR="003F03DF" w:rsidRPr="00DE2EDF">
        <w:rPr>
          <w:rFonts w:eastAsia="Times New Roman" w:cs="Times New Roman"/>
          <w:iCs/>
          <w:lang w:val="en-GB"/>
        </w:rPr>
        <w:t>province of law</w:t>
      </w:r>
      <w:r w:rsidR="009C24E5" w:rsidRPr="00DE2EDF">
        <w:rPr>
          <w:rFonts w:eastAsia="Times New Roman" w:cs="Times New Roman"/>
          <w:iCs/>
          <w:lang w:val="en-GB"/>
        </w:rPr>
        <w:t xml:space="preserve"> </w:t>
      </w:r>
      <w:r w:rsidR="00C33BBA" w:rsidRPr="00DE2EDF">
        <w:rPr>
          <w:rFonts w:eastAsia="Times New Roman" w:cs="Times New Roman"/>
          <w:iCs/>
          <w:lang w:val="en-GB"/>
        </w:rPr>
        <w:t>m</w:t>
      </w:r>
      <w:r w:rsidR="009C24E5" w:rsidRPr="00DE2EDF">
        <w:rPr>
          <w:rFonts w:eastAsia="Times New Roman" w:cs="Times New Roman"/>
          <w:iCs/>
          <w:lang w:val="en-GB"/>
        </w:rPr>
        <w:t>ay</w:t>
      </w:r>
      <w:r w:rsidR="00C33BBA" w:rsidRPr="00DE2EDF">
        <w:rPr>
          <w:rFonts w:eastAsia="Times New Roman" w:cs="Times New Roman"/>
          <w:iCs/>
          <w:lang w:val="en-GB"/>
        </w:rPr>
        <w:t xml:space="preserve"> </w:t>
      </w:r>
      <w:r w:rsidRPr="00DE2EDF">
        <w:rPr>
          <w:rFonts w:eastAsia="Times New Roman" w:cs="Times New Roman"/>
          <w:iCs/>
          <w:lang w:val="en-GB"/>
        </w:rPr>
        <w:t xml:space="preserve">develop its own </w:t>
      </w:r>
      <w:r w:rsidR="003F03DF" w:rsidRPr="00DE2EDF">
        <w:rPr>
          <w:rFonts w:eastAsia="Times New Roman" w:cs="Times New Roman"/>
          <w:iCs/>
          <w:lang w:val="en-GB"/>
        </w:rPr>
        <w:t>‘</w:t>
      </w:r>
      <w:r w:rsidRPr="00DE2EDF">
        <w:rPr>
          <w:rFonts w:eastAsia="Times New Roman" w:cs="Times New Roman"/>
          <w:iCs/>
          <w:lang w:val="en-GB"/>
        </w:rPr>
        <w:t>spirit’</w:t>
      </w:r>
      <w:r w:rsidR="008B5658" w:rsidRPr="00DE2EDF">
        <w:rPr>
          <w:rFonts w:eastAsia="Times New Roman" w:cs="Times New Roman"/>
          <w:iCs/>
          <w:lang w:val="en-GB"/>
        </w:rPr>
        <w:t>, having</w:t>
      </w:r>
      <w:r w:rsidRPr="00DE2EDF">
        <w:rPr>
          <w:rFonts w:eastAsia="Times New Roman" w:cs="Times New Roman"/>
          <w:iCs/>
          <w:lang w:val="en-GB"/>
        </w:rPr>
        <w:t xml:space="preserve"> its own theory of legal sources, methods of interpretation, and/or fundamental </w:t>
      </w:r>
      <w:r w:rsidR="008B5658" w:rsidRPr="00DE2EDF">
        <w:rPr>
          <w:rFonts w:eastAsia="Times New Roman" w:cs="Times New Roman"/>
          <w:iCs/>
          <w:lang w:val="en-GB"/>
        </w:rPr>
        <w:t xml:space="preserve">principles. Such a process of insulation </w:t>
      </w:r>
      <w:r w:rsidR="00890E5C" w:rsidRPr="00DE2EDF">
        <w:rPr>
          <w:rFonts w:eastAsia="Times New Roman" w:cs="Times New Roman"/>
          <w:iCs/>
          <w:lang w:val="en-GB"/>
        </w:rPr>
        <w:t>is</w:t>
      </w:r>
      <w:r w:rsidR="008B5658" w:rsidRPr="00DE2EDF">
        <w:rPr>
          <w:rFonts w:eastAsia="Times New Roman" w:cs="Times New Roman"/>
          <w:iCs/>
          <w:lang w:val="en-GB"/>
        </w:rPr>
        <w:t xml:space="preserve"> encouraged </w:t>
      </w:r>
      <w:r w:rsidR="00D31385" w:rsidRPr="00DE2EDF">
        <w:rPr>
          <w:rFonts w:eastAsia="Times New Roman" w:cs="Times New Roman"/>
          <w:iCs/>
          <w:lang w:val="en-GB"/>
        </w:rPr>
        <w:t xml:space="preserve">by </w:t>
      </w:r>
      <w:r w:rsidR="00D96279" w:rsidRPr="00DE2EDF">
        <w:rPr>
          <w:rFonts w:eastAsia="Times New Roman" w:cs="Times New Roman"/>
          <w:iCs/>
          <w:lang w:val="en-GB"/>
        </w:rPr>
        <w:t>the creation of specific</w:t>
      </w:r>
      <w:r w:rsidRPr="00DE2EDF">
        <w:rPr>
          <w:rFonts w:eastAsia="Times New Roman" w:cs="Times New Roman"/>
          <w:iCs/>
          <w:lang w:val="en-GB"/>
        </w:rPr>
        <w:t xml:space="preserve"> guardians or ‘gatekeepers’ (e.g., judges and scholars)</w:t>
      </w:r>
      <w:r w:rsidR="00D96279" w:rsidRPr="00DE2EDF">
        <w:rPr>
          <w:rFonts w:eastAsia="Times New Roman" w:cs="Times New Roman"/>
          <w:iCs/>
          <w:lang w:val="en-GB"/>
        </w:rPr>
        <w:t xml:space="preserve"> for each legal area</w:t>
      </w:r>
      <w:r w:rsidRPr="00DE2EDF">
        <w:rPr>
          <w:rFonts w:eastAsia="Times New Roman" w:cs="Times New Roman"/>
          <w:iCs/>
          <w:lang w:val="en-GB"/>
        </w:rPr>
        <w:t xml:space="preserve">. </w:t>
      </w:r>
      <w:r w:rsidR="00133402" w:rsidRPr="00DE2EDF">
        <w:rPr>
          <w:rFonts w:eastAsia="Times New Roman" w:cs="Times New Roman"/>
          <w:iCs/>
          <w:lang w:val="en-GB"/>
        </w:rPr>
        <w:t>However</w:t>
      </w:r>
      <w:r w:rsidR="00C33BBA" w:rsidRPr="00DE2EDF">
        <w:rPr>
          <w:rFonts w:eastAsia="Times New Roman" w:cs="Times New Roman"/>
          <w:iCs/>
          <w:lang w:val="en-GB"/>
        </w:rPr>
        <w:t xml:space="preserve">, </w:t>
      </w:r>
      <w:r w:rsidR="00133402" w:rsidRPr="00DE2EDF">
        <w:rPr>
          <w:rFonts w:eastAsia="Times New Roman" w:cs="Times New Roman"/>
          <w:iCs/>
          <w:lang w:val="en-GB"/>
        </w:rPr>
        <w:t>it</w:t>
      </w:r>
      <w:r w:rsidR="005B51BE" w:rsidRPr="00DE2EDF">
        <w:rPr>
          <w:rFonts w:eastAsia="Times New Roman" w:cs="Times New Roman"/>
          <w:iCs/>
          <w:lang w:val="en-GB"/>
        </w:rPr>
        <w:t xml:space="preserve"> is</w:t>
      </w:r>
      <w:r w:rsidR="00133402" w:rsidRPr="00DE2EDF">
        <w:rPr>
          <w:rFonts w:eastAsia="Times New Roman" w:cs="Times New Roman"/>
          <w:iCs/>
          <w:lang w:val="en-GB"/>
        </w:rPr>
        <w:t xml:space="preserve"> also important to note that </w:t>
      </w:r>
      <w:r w:rsidRPr="00DE2EDF">
        <w:rPr>
          <w:rFonts w:eastAsia="Times New Roman" w:cs="Times New Roman"/>
          <w:iCs/>
          <w:lang w:val="en-GB"/>
        </w:rPr>
        <w:t xml:space="preserve">boundaries may be more or less open, </w:t>
      </w:r>
      <w:r w:rsidR="00133402" w:rsidRPr="00DE2EDF">
        <w:rPr>
          <w:rFonts w:eastAsia="Times New Roman" w:cs="Times New Roman"/>
          <w:iCs/>
          <w:lang w:val="en-GB"/>
        </w:rPr>
        <w:t>a</w:t>
      </w:r>
      <w:r w:rsidRPr="00DE2EDF">
        <w:rPr>
          <w:rFonts w:eastAsia="Times New Roman" w:cs="Times New Roman"/>
          <w:iCs/>
          <w:lang w:val="en-GB"/>
        </w:rPr>
        <w:t xml:space="preserve">llowing cross-border exchanges, interactions, and transfers, be they unilateral or bilateral. </w:t>
      </w:r>
      <w:r w:rsidR="00D52B4D" w:rsidRPr="00DE2EDF">
        <w:rPr>
          <w:rFonts w:eastAsia="Times New Roman" w:cs="Times New Roman"/>
          <w:iCs/>
          <w:lang w:val="en-GB"/>
        </w:rPr>
        <w:t>In the ancient</w:t>
      </w:r>
      <w:r w:rsidR="00133402" w:rsidRPr="00DE2EDF">
        <w:rPr>
          <w:rFonts w:eastAsia="Times New Roman" w:cs="Times New Roman"/>
          <w:iCs/>
          <w:lang w:val="en-GB"/>
        </w:rPr>
        <w:t>, and rather obscure,</w:t>
      </w:r>
      <w:r w:rsidR="00D52B4D" w:rsidRPr="00DE2EDF">
        <w:rPr>
          <w:rFonts w:eastAsia="Times New Roman" w:cs="Times New Roman"/>
          <w:iCs/>
          <w:lang w:val="en-GB"/>
        </w:rPr>
        <w:t xml:space="preserve"> metaphor of the tree of law, the various branches are connected to the trunk, whose roots plunge into a common ground</w:t>
      </w:r>
      <w:r w:rsidR="000666E8" w:rsidRPr="00DE2EDF">
        <w:rPr>
          <w:rFonts w:eastAsia="Times New Roman" w:cs="Times New Roman"/>
          <w:iCs/>
          <w:lang w:val="en-GB"/>
        </w:rPr>
        <w:t xml:space="preserve">. Far </w:t>
      </w:r>
      <w:r w:rsidRPr="00DE2EDF">
        <w:rPr>
          <w:rFonts w:eastAsia="Times New Roman" w:cs="Times New Roman"/>
          <w:iCs/>
          <w:lang w:val="en-GB"/>
        </w:rPr>
        <w:t>from being stopped, communication</w:t>
      </w:r>
      <w:r w:rsidR="00497A70" w:rsidRPr="00DE2EDF">
        <w:rPr>
          <w:rFonts w:eastAsia="Times New Roman" w:cs="Times New Roman"/>
          <w:iCs/>
          <w:lang w:val="en-GB"/>
        </w:rPr>
        <w:t xml:space="preserve"> between legal </w:t>
      </w:r>
      <w:r w:rsidR="003A6AC3" w:rsidRPr="00DE2EDF">
        <w:rPr>
          <w:rFonts w:eastAsia="Times New Roman" w:cs="Times New Roman"/>
          <w:iCs/>
          <w:lang w:val="en-GB"/>
        </w:rPr>
        <w:t>branches</w:t>
      </w:r>
      <w:r w:rsidRPr="00DE2EDF">
        <w:rPr>
          <w:rFonts w:eastAsia="Times New Roman" w:cs="Times New Roman"/>
          <w:iCs/>
          <w:lang w:val="en-GB"/>
        </w:rPr>
        <w:t xml:space="preserve"> </w:t>
      </w:r>
      <w:r w:rsidR="00D52B4D" w:rsidRPr="00DE2EDF">
        <w:rPr>
          <w:rFonts w:eastAsia="Times New Roman" w:cs="Times New Roman"/>
          <w:iCs/>
          <w:lang w:val="en-GB"/>
        </w:rPr>
        <w:t>might</w:t>
      </w:r>
      <w:r w:rsidRPr="00DE2EDF">
        <w:rPr>
          <w:rFonts w:eastAsia="Times New Roman" w:cs="Times New Roman"/>
          <w:iCs/>
          <w:lang w:val="en-GB"/>
        </w:rPr>
        <w:t xml:space="preserve"> </w:t>
      </w:r>
      <w:r w:rsidR="00D52B4D" w:rsidRPr="00DE2EDF">
        <w:rPr>
          <w:rFonts w:eastAsia="Times New Roman" w:cs="Times New Roman"/>
          <w:iCs/>
          <w:lang w:val="en-GB"/>
        </w:rPr>
        <w:t xml:space="preserve">be </w:t>
      </w:r>
      <w:r w:rsidR="00CA58EA" w:rsidRPr="00DE2EDF">
        <w:rPr>
          <w:rFonts w:eastAsia="Times New Roman" w:cs="Times New Roman"/>
          <w:iCs/>
          <w:lang w:val="en-GB"/>
        </w:rPr>
        <w:t xml:space="preserve">organized </w:t>
      </w:r>
      <w:r w:rsidR="001636B8" w:rsidRPr="00DE2EDF">
        <w:rPr>
          <w:rFonts w:eastAsia="Times New Roman" w:cs="Times New Roman"/>
          <w:iCs/>
          <w:lang w:val="en-GB"/>
        </w:rPr>
        <w:t xml:space="preserve">and </w:t>
      </w:r>
      <w:r w:rsidR="00CA58EA" w:rsidRPr="00DE2EDF">
        <w:rPr>
          <w:rFonts w:eastAsia="Times New Roman" w:cs="Times New Roman"/>
          <w:iCs/>
          <w:lang w:val="en-GB"/>
        </w:rPr>
        <w:t>canalized</w:t>
      </w:r>
      <w:r w:rsidRPr="00DE2EDF">
        <w:rPr>
          <w:rFonts w:eastAsia="Times New Roman" w:cs="Times New Roman"/>
          <w:iCs/>
          <w:lang w:val="en-GB"/>
        </w:rPr>
        <w:t>. In some cases, the demarcation line m</w:t>
      </w:r>
      <w:r w:rsidR="000666E8" w:rsidRPr="00DE2EDF">
        <w:rPr>
          <w:rFonts w:eastAsia="Times New Roman" w:cs="Times New Roman"/>
          <w:iCs/>
          <w:lang w:val="en-GB"/>
        </w:rPr>
        <w:t xml:space="preserve">ay </w:t>
      </w:r>
      <w:r w:rsidR="00F573CE" w:rsidRPr="00DE2EDF">
        <w:rPr>
          <w:rFonts w:eastAsia="Times New Roman" w:cs="Times New Roman"/>
          <w:iCs/>
          <w:lang w:val="en-GB"/>
        </w:rPr>
        <w:t xml:space="preserve">even </w:t>
      </w:r>
      <w:r w:rsidRPr="00DE2EDF">
        <w:rPr>
          <w:rFonts w:eastAsia="Times New Roman" w:cs="Times New Roman"/>
          <w:iCs/>
          <w:lang w:val="en-GB"/>
        </w:rPr>
        <w:t>be totally blurred, two provinces being intimately intertwined.</w:t>
      </w:r>
    </w:p>
    <w:p w14:paraId="45D6052E" w14:textId="77777777" w:rsidR="002D66C1" w:rsidRPr="00DE2EDF" w:rsidRDefault="002D66C1" w:rsidP="00DE2EDF">
      <w:pPr>
        <w:spacing w:after="0"/>
        <w:jc w:val="both"/>
        <w:rPr>
          <w:rFonts w:eastAsia="Times New Roman" w:cs="Times New Roman"/>
          <w:iCs/>
          <w:lang w:val="en-GB"/>
        </w:rPr>
      </w:pPr>
    </w:p>
    <w:p w14:paraId="3E919A57" w14:textId="77777777" w:rsidR="002D66C1" w:rsidRPr="00DE2EDF" w:rsidRDefault="007347EE" w:rsidP="00DE2EDF">
      <w:pPr>
        <w:spacing w:after="0"/>
        <w:jc w:val="both"/>
        <w:rPr>
          <w:rFonts w:eastAsia="Times New Roman" w:cs="Times New Roman"/>
          <w:iCs/>
          <w:lang w:val="en-GB"/>
        </w:rPr>
      </w:pPr>
      <w:r w:rsidRPr="00DE2EDF">
        <w:rPr>
          <w:rFonts w:eastAsia="Times New Roman" w:cs="Times New Roman"/>
          <w:iCs/>
          <w:lang w:val="en-GB"/>
        </w:rPr>
        <w:t xml:space="preserve">In light of this general issue it is of particular interest and importance for </w:t>
      </w:r>
      <w:r w:rsidR="00CC30AB" w:rsidRPr="00DE2EDF">
        <w:rPr>
          <w:rFonts w:eastAsia="Times New Roman" w:cs="Times New Roman"/>
          <w:iCs/>
          <w:lang w:val="en-GB"/>
        </w:rPr>
        <w:t xml:space="preserve">European </w:t>
      </w:r>
      <w:r w:rsidR="002F3069" w:rsidRPr="00DE2EDF">
        <w:rPr>
          <w:rFonts w:eastAsia="Times New Roman" w:cs="Times New Roman"/>
          <w:iCs/>
          <w:lang w:val="en-GB"/>
        </w:rPr>
        <w:t>pub</w:t>
      </w:r>
      <w:r w:rsidR="008A2426" w:rsidRPr="00DE2EDF">
        <w:rPr>
          <w:rFonts w:eastAsia="Times New Roman" w:cs="Times New Roman"/>
          <w:iCs/>
          <w:lang w:val="en-GB"/>
        </w:rPr>
        <w:t xml:space="preserve">lic </w:t>
      </w:r>
      <w:r w:rsidRPr="00DE2EDF">
        <w:rPr>
          <w:rFonts w:eastAsia="Times New Roman" w:cs="Times New Roman"/>
          <w:iCs/>
          <w:lang w:val="en-GB"/>
        </w:rPr>
        <w:t>lawyer</w:t>
      </w:r>
      <w:r w:rsidR="008A2426" w:rsidRPr="00DE2EDF">
        <w:rPr>
          <w:rFonts w:eastAsia="Times New Roman" w:cs="Times New Roman"/>
          <w:iCs/>
          <w:lang w:val="en-GB"/>
        </w:rPr>
        <w:t>s</w:t>
      </w:r>
      <w:r w:rsidR="005B51BE" w:rsidRPr="00DE2EDF">
        <w:rPr>
          <w:rFonts w:eastAsia="Times New Roman" w:cs="Times New Roman"/>
          <w:iCs/>
          <w:lang w:val="en-GB"/>
        </w:rPr>
        <w:t xml:space="preserve"> </w:t>
      </w:r>
      <w:r w:rsidRPr="00DE2EDF">
        <w:rPr>
          <w:rFonts w:eastAsia="Times New Roman" w:cs="Times New Roman"/>
          <w:iCs/>
          <w:lang w:val="en-GB"/>
        </w:rPr>
        <w:t>to analyse, from a comparative</w:t>
      </w:r>
      <w:r w:rsidR="008A2426" w:rsidRPr="00DE2EDF">
        <w:rPr>
          <w:rFonts w:eastAsia="Times New Roman" w:cs="Times New Roman"/>
          <w:iCs/>
          <w:lang w:val="en-GB"/>
        </w:rPr>
        <w:t xml:space="preserve"> and historical</w:t>
      </w:r>
      <w:r w:rsidRPr="00DE2EDF">
        <w:rPr>
          <w:rFonts w:eastAsia="Times New Roman" w:cs="Times New Roman"/>
          <w:iCs/>
          <w:lang w:val="en-GB"/>
        </w:rPr>
        <w:t xml:space="preserve"> perspective, </w:t>
      </w:r>
      <w:r w:rsidR="00133402" w:rsidRPr="00DE2EDF">
        <w:rPr>
          <w:rFonts w:eastAsia="Times New Roman" w:cs="Times New Roman"/>
          <w:iCs/>
          <w:lang w:val="en-GB"/>
        </w:rPr>
        <w:t xml:space="preserve">the </w:t>
      </w:r>
      <w:r w:rsidR="00C83AC4" w:rsidRPr="00DE2EDF">
        <w:rPr>
          <w:rFonts w:eastAsia="Times New Roman" w:cs="Times New Roman"/>
          <w:iCs/>
          <w:lang w:val="en-GB"/>
        </w:rPr>
        <w:t xml:space="preserve">position of </w:t>
      </w:r>
      <w:r w:rsidR="00072103" w:rsidRPr="00DE2EDF">
        <w:rPr>
          <w:rFonts w:eastAsia="Times New Roman" w:cs="Times New Roman"/>
          <w:iCs/>
          <w:lang w:val="en-GB"/>
        </w:rPr>
        <w:t>‘</w:t>
      </w:r>
      <w:r w:rsidR="00C83AC4" w:rsidRPr="00DE2EDF">
        <w:rPr>
          <w:rFonts w:eastAsia="Times New Roman" w:cs="Times New Roman"/>
          <w:iCs/>
          <w:lang w:val="en-GB"/>
        </w:rPr>
        <w:t>administrative law</w:t>
      </w:r>
      <w:r w:rsidR="00072103" w:rsidRPr="00DE2EDF">
        <w:rPr>
          <w:rFonts w:eastAsia="Times New Roman" w:cs="Times New Roman"/>
          <w:iCs/>
          <w:lang w:val="en-GB"/>
        </w:rPr>
        <w:t>’</w:t>
      </w:r>
      <w:r w:rsidR="00C83AC4" w:rsidRPr="00DE2EDF">
        <w:rPr>
          <w:rFonts w:eastAsia="Times New Roman" w:cs="Times New Roman"/>
          <w:iCs/>
          <w:lang w:val="en-GB"/>
        </w:rPr>
        <w:t xml:space="preserve"> vis-à-vis </w:t>
      </w:r>
      <w:r w:rsidR="00072103" w:rsidRPr="00DE2EDF">
        <w:rPr>
          <w:rFonts w:eastAsia="Times New Roman" w:cs="Times New Roman"/>
          <w:iCs/>
          <w:lang w:val="en-GB"/>
        </w:rPr>
        <w:t>‘</w:t>
      </w:r>
      <w:r w:rsidR="00C83AC4" w:rsidRPr="00DE2EDF">
        <w:rPr>
          <w:rFonts w:eastAsia="Times New Roman" w:cs="Times New Roman"/>
          <w:iCs/>
          <w:lang w:val="en-GB"/>
        </w:rPr>
        <w:t>constitutional law</w:t>
      </w:r>
      <w:r w:rsidR="00072103" w:rsidRPr="00DE2EDF">
        <w:rPr>
          <w:rFonts w:eastAsia="Times New Roman" w:cs="Times New Roman"/>
          <w:iCs/>
          <w:lang w:val="en-GB"/>
        </w:rPr>
        <w:t>’</w:t>
      </w:r>
      <w:r w:rsidR="00E93134" w:rsidRPr="00DE2EDF">
        <w:rPr>
          <w:rFonts w:eastAsia="Times New Roman" w:cs="Times New Roman"/>
          <w:iCs/>
          <w:lang w:val="en-GB"/>
        </w:rPr>
        <w:t>, and vice versa</w:t>
      </w:r>
      <w:r w:rsidR="00C83AC4" w:rsidRPr="00DE2EDF">
        <w:rPr>
          <w:rFonts w:eastAsia="Times New Roman" w:cs="Times New Roman"/>
          <w:iCs/>
          <w:lang w:val="en-GB"/>
        </w:rPr>
        <w:t xml:space="preserve">. </w:t>
      </w:r>
      <w:r w:rsidR="009E12D0" w:rsidRPr="00DE2EDF">
        <w:rPr>
          <w:rFonts w:eastAsia="Times New Roman" w:cs="Times New Roman"/>
          <w:iCs/>
          <w:lang w:val="en-GB"/>
        </w:rPr>
        <w:t xml:space="preserve">This </w:t>
      </w:r>
      <w:r w:rsidR="002C7FE0" w:rsidRPr="00DE2EDF">
        <w:rPr>
          <w:rFonts w:eastAsia="Times New Roman" w:cs="Times New Roman"/>
          <w:iCs/>
          <w:lang w:val="en-GB"/>
        </w:rPr>
        <w:t>broad topic</w:t>
      </w:r>
      <w:r w:rsidR="009C24E5" w:rsidRPr="00DE2EDF">
        <w:rPr>
          <w:rFonts w:eastAsia="Times New Roman" w:cs="Times New Roman"/>
          <w:iCs/>
          <w:lang w:val="en-GB"/>
        </w:rPr>
        <w:t xml:space="preserve"> </w:t>
      </w:r>
      <w:r w:rsidR="009E12D0" w:rsidRPr="00DE2EDF">
        <w:rPr>
          <w:rFonts w:eastAsia="Times New Roman" w:cs="Times New Roman"/>
          <w:iCs/>
          <w:lang w:val="en-GB"/>
        </w:rPr>
        <w:t>raises</w:t>
      </w:r>
      <w:r w:rsidR="00497A70" w:rsidRPr="00DE2EDF">
        <w:rPr>
          <w:rFonts w:eastAsia="Times New Roman" w:cs="Times New Roman"/>
          <w:iCs/>
          <w:lang w:val="en-GB"/>
        </w:rPr>
        <w:t xml:space="preserve"> </w:t>
      </w:r>
      <w:r w:rsidR="009E12D0" w:rsidRPr="00DE2EDF">
        <w:rPr>
          <w:rFonts w:eastAsia="Times New Roman" w:cs="Times New Roman"/>
          <w:iCs/>
          <w:lang w:val="en-GB"/>
        </w:rPr>
        <w:t>a series of questions. (</w:t>
      </w:r>
      <w:r w:rsidR="00CA6C3C" w:rsidRPr="00DE2EDF">
        <w:rPr>
          <w:rFonts w:eastAsia="Times New Roman" w:cs="Times New Roman"/>
          <w:iCs/>
          <w:lang w:val="en-GB"/>
        </w:rPr>
        <w:t>a</w:t>
      </w:r>
      <w:r w:rsidR="009E12D0" w:rsidRPr="00DE2EDF">
        <w:rPr>
          <w:rFonts w:eastAsia="Times New Roman" w:cs="Times New Roman"/>
          <w:iCs/>
          <w:lang w:val="en-GB"/>
        </w:rPr>
        <w:t>)</w:t>
      </w:r>
      <w:r w:rsidR="00F573CE" w:rsidRPr="00DE2EDF">
        <w:rPr>
          <w:rFonts w:eastAsia="Times New Roman" w:cs="Times New Roman"/>
          <w:iCs/>
          <w:lang w:val="en-GB"/>
        </w:rPr>
        <w:t> </w:t>
      </w:r>
      <w:r w:rsidR="009E12D0" w:rsidRPr="00DE2EDF">
        <w:rPr>
          <w:rFonts w:eastAsia="Times New Roman" w:cs="Times New Roman"/>
          <w:iCs/>
          <w:lang w:val="en-GB"/>
        </w:rPr>
        <w:t>How are the two elements of the binomial ‘constitutional and administrative law’</w:t>
      </w:r>
      <w:r w:rsidR="002B78EF" w:rsidRPr="00DE2EDF">
        <w:rPr>
          <w:rFonts w:cs="Times New Roman"/>
        </w:rPr>
        <w:t>—</w:t>
      </w:r>
      <w:r w:rsidR="009E12D0" w:rsidRPr="00DE2EDF">
        <w:rPr>
          <w:rFonts w:eastAsia="Times New Roman" w:cs="Times New Roman"/>
          <w:iCs/>
          <w:lang w:val="en-GB"/>
        </w:rPr>
        <w:t xml:space="preserve">the formulation in reverse order (administrative and constitutional law) </w:t>
      </w:r>
      <w:r w:rsidR="00F573CE" w:rsidRPr="00DE2EDF">
        <w:rPr>
          <w:rFonts w:eastAsia="Times New Roman" w:cs="Times New Roman"/>
          <w:iCs/>
          <w:lang w:val="en-GB"/>
        </w:rPr>
        <w:t xml:space="preserve">being </w:t>
      </w:r>
      <w:r w:rsidR="009E12D0" w:rsidRPr="00DE2EDF">
        <w:rPr>
          <w:rFonts w:eastAsia="Times New Roman" w:cs="Times New Roman"/>
          <w:iCs/>
          <w:lang w:val="en-GB"/>
        </w:rPr>
        <w:t>quite rare</w:t>
      </w:r>
      <w:r w:rsidR="002B78EF" w:rsidRPr="00DE2EDF">
        <w:rPr>
          <w:rFonts w:eastAsia="Times New Roman" w:cs="Times New Roman"/>
          <w:iCs/>
          <w:lang w:val="en-GB"/>
        </w:rPr>
        <w:t>—</w:t>
      </w:r>
      <w:r w:rsidR="009E12D0" w:rsidRPr="00DE2EDF">
        <w:rPr>
          <w:rFonts w:eastAsia="Times New Roman" w:cs="Times New Roman"/>
          <w:iCs/>
          <w:lang w:val="en-GB"/>
        </w:rPr>
        <w:t xml:space="preserve">differentiated from each other in the various </w:t>
      </w:r>
      <w:r w:rsidR="00D31385" w:rsidRPr="00DE2EDF">
        <w:rPr>
          <w:rFonts w:eastAsia="Times New Roman" w:cs="Times New Roman"/>
          <w:iCs/>
          <w:lang w:val="en-GB"/>
        </w:rPr>
        <w:t>legal systems</w:t>
      </w:r>
      <w:r w:rsidR="009E12D0" w:rsidRPr="00DE2EDF">
        <w:rPr>
          <w:rFonts w:eastAsia="Times New Roman" w:cs="Times New Roman"/>
          <w:iCs/>
          <w:lang w:val="en-GB"/>
        </w:rPr>
        <w:t xml:space="preserve"> in Europe? Are they totally distinct from one another, with no overlap, or are they closely intertwined, such that speaking of two areas of law </w:t>
      </w:r>
      <w:r w:rsidR="00F573CE" w:rsidRPr="00DE2EDF">
        <w:rPr>
          <w:rFonts w:eastAsia="Times New Roman" w:cs="Times New Roman"/>
          <w:iCs/>
          <w:lang w:val="en-GB"/>
        </w:rPr>
        <w:t>is</w:t>
      </w:r>
      <w:r w:rsidR="00CA02D6" w:rsidRPr="00DE2EDF">
        <w:rPr>
          <w:rFonts w:eastAsia="Times New Roman" w:cs="Times New Roman"/>
          <w:iCs/>
          <w:lang w:val="en-GB"/>
        </w:rPr>
        <w:t xml:space="preserve"> somewhat</w:t>
      </w:r>
      <w:r w:rsidR="009E12D0" w:rsidRPr="00DE2EDF">
        <w:rPr>
          <w:rFonts w:eastAsia="Times New Roman" w:cs="Times New Roman"/>
          <w:iCs/>
          <w:lang w:val="en-GB"/>
        </w:rPr>
        <w:t xml:space="preserve"> misleading? (</w:t>
      </w:r>
      <w:r w:rsidR="00CA6C3C" w:rsidRPr="00DE2EDF">
        <w:rPr>
          <w:rFonts w:eastAsia="Times New Roman" w:cs="Times New Roman"/>
          <w:iCs/>
          <w:lang w:val="en-GB"/>
        </w:rPr>
        <w:t>b</w:t>
      </w:r>
      <w:r w:rsidR="009E12D0" w:rsidRPr="00DE2EDF">
        <w:rPr>
          <w:rFonts w:eastAsia="Times New Roman" w:cs="Times New Roman"/>
          <w:iCs/>
          <w:lang w:val="en-GB"/>
        </w:rPr>
        <w:t>)</w:t>
      </w:r>
      <w:r w:rsidR="00154F69" w:rsidRPr="00DE2EDF">
        <w:rPr>
          <w:rFonts w:eastAsia="Times New Roman" w:cs="Times New Roman"/>
          <w:iCs/>
          <w:lang w:val="en-GB"/>
        </w:rPr>
        <w:t xml:space="preserve"> </w:t>
      </w:r>
      <w:r w:rsidR="009E12D0" w:rsidRPr="00DE2EDF">
        <w:rPr>
          <w:rFonts w:eastAsia="Times New Roman" w:cs="Times New Roman"/>
          <w:iCs/>
          <w:lang w:val="en-GB"/>
        </w:rPr>
        <w:t xml:space="preserve">What are the </w:t>
      </w:r>
      <w:r w:rsidR="009E12D0" w:rsidRPr="00DE2EDF">
        <w:rPr>
          <w:rFonts w:eastAsia="Times New Roman" w:cs="Times New Roman"/>
          <w:lang w:val="en-GB"/>
        </w:rPr>
        <w:t>specific</w:t>
      </w:r>
      <w:r w:rsidR="009E12D0" w:rsidRPr="00DE2EDF">
        <w:rPr>
          <w:rFonts w:eastAsia="Times New Roman" w:cs="Times New Roman"/>
          <w:i/>
          <w:lang w:val="en-GB"/>
        </w:rPr>
        <w:t xml:space="preserve"> </w:t>
      </w:r>
      <w:r w:rsidR="009E12D0" w:rsidRPr="00DE2EDF">
        <w:rPr>
          <w:rFonts w:eastAsia="Times New Roman" w:cs="Times New Roman"/>
          <w:lang w:val="en-GB"/>
        </w:rPr>
        <w:t>characteristics</w:t>
      </w:r>
      <w:r w:rsidR="009E12D0" w:rsidRPr="00DE2EDF">
        <w:rPr>
          <w:rFonts w:eastAsia="Times New Roman" w:cs="Times New Roman"/>
          <w:iCs/>
          <w:lang w:val="en-GB"/>
        </w:rPr>
        <w:t xml:space="preserve"> of each of the two areas of law</w:t>
      </w:r>
      <w:r w:rsidR="00CA02D6" w:rsidRPr="00DE2EDF">
        <w:rPr>
          <w:rFonts w:eastAsia="Times New Roman" w:cs="Times New Roman"/>
          <w:iCs/>
          <w:lang w:val="en-GB"/>
        </w:rPr>
        <w:t xml:space="preserve">, once they are </w:t>
      </w:r>
      <w:r w:rsidR="00FC22E4" w:rsidRPr="00DE2EDF">
        <w:rPr>
          <w:rFonts w:eastAsia="Times New Roman" w:cs="Times New Roman"/>
          <w:iCs/>
          <w:lang w:val="en-GB"/>
        </w:rPr>
        <w:t xml:space="preserve">separated into </w:t>
      </w:r>
      <w:r w:rsidR="00CA02D6" w:rsidRPr="00DE2EDF">
        <w:rPr>
          <w:rFonts w:eastAsia="Times New Roman" w:cs="Times New Roman"/>
          <w:iCs/>
          <w:lang w:val="en-GB"/>
        </w:rPr>
        <w:t xml:space="preserve">two </w:t>
      </w:r>
      <w:r w:rsidR="00280ABF" w:rsidRPr="00DE2EDF">
        <w:rPr>
          <w:rFonts w:eastAsia="Times New Roman" w:cs="Times New Roman"/>
          <w:iCs/>
          <w:lang w:val="en-GB"/>
        </w:rPr>
        <w:t xml:space="preserve">distinct </w:t>
      </w:r>
      <w:r w:rsidR="0082674A" w:rsidRPr="00DE2EDF">
        <w:rPr>
          <w:rFonts w:eastAsia="Times New Roman" w:cs="Times New Roman"/>
          <w:iCs/>
          <w:lang w:val="en-GB"/>
        </w:rPr>
        <w:t>groups of norms</w:t>
      </w:r>
      <w:r w:rsidR="009E12D0" w:rsidRPr="00DE2EDF">
        <w:rPr>
          <w:rFonts w:eastAsia="Times New Roman" w:cs="Times New Roman"/>
          <w:iCs/>
          <w:lang w:val="en-GB"/>
        </w:rPr>
        <w:t>?</w:t>
      </w:r>
      <w:bookmarkStart w:id="7" w:name="_Ref457826586"/>
      <w:r w:rsidR="0082674A" w:rsidRPr="00DE2EDF">
        <w:rPr>
          <w:rStyle w:val="FootnoteReference"/>
          <w:rFonts w:eastAsia="Times New Roman" w:cs="Times New Roman"/>
          <w:iCs/>
          <w:lang w:val="en-GB"/>
        </w:rPr>
        <w:footnoteReference w:id="3"/>
      </w:r>
      <w:bookmarkEnd w:id="7"/>
      <w:r w:rsidR="009E12D0" w:rsidRPr="00DE2EDF">
        <w:rPr>
          <w:rFonts w:eastAsia="Times New Roman" w:cs="Times New Roman"/>
          <w:iCs/>
          <w:lang w:val="en-GB"/>
        </w:rPr>
        <w:t xml:space="preserve"> (</w:t>
      </w:r>
      <w:r w:rsidR="00CA6C3C" w:rsidRPr="00DE2EDF">
        <w:rPr>
          <w:rFonts w:eastAsia="Times New Roman" w:cs="Times New Roman"/>
          <w:iCs/>
          <w:lang w:val="en-GB"/>
        </w:rPr>
        <w:t>c</w:t>
      </w:r>
      <w:r w:rsidR="009E12D0" w:rsidRPr="00DE2EDF">
        <w:rPr>
          <w:rFonts w:eastAsia="Times New Roman" w:cs="Times New Roman"/>
          <w:iCs/>
          <w:lang w:val="en-GB"/>
        </w:rPr>
        <w:t>)</w:t>
      </w:r>
      <w:r w:rsidR="00154F69" w:rsidRPr="00DE2EDF">
        <w:rPr>
          <w:rFonts w:eastAsia="Times New Roman" w:cs="Times New Roman"/>
          <w:iCs/>
          <w:lang w:val="en-GB"/>
        </w:rPr>
        <w:t xml:space="preserve"> </w:t>
      </w:r>
      <w:r w:rsidR="001279D8" w:rsidRPr="00DE2EDF">
        <w:rPr>
          <w:rFonts w:eastAsia="Times New Roman" w:cs="Times New Roman"/>
          <w:iCs/>
          <w:lang w:val="en-GB"/>
        </w:rPr>
        <w:t xml:space="preserve">How are these groups of norms related: </w:t>
      </w:r>
      <w:r w:rsidR="008A2426" w:rsidRPr="00DE2EDF">
        <w:rPr>
          <w:rFonts w:eastAsia="Times New Roman" w:cs="Times New Roman"/>
          <w:iCs/>
          <w:lang w:val="en-GB"/>
        </w:rPr>
        <w:t xml:space="preserve">What significance do </w:t>
      </w:r>
      <w:r w:rsidR="008153D6" w:rsidRPr="00DE2EDF">
        <w:rPr>
          <w:rFonts w:eastAsia="Times New Roman" w:cs="Times New Roman"/>
          <w:iCs/>
          <w:lang w:val="en-GB"/>
        </w:rPr>
        <w:t xml:space="preserve">legislators, judges, </w:t>
      </w:r>
      <w:r w:rsidR="008A2426" w:rsidRPr="00DE2EDF">
        <w:rPr>
          <w:rFonts w:eastAsia="Times New Roman" w:cs="Times New Roman"/>
          <w:iCs/>
          <w:lang w:val="en-GB"/>
        </w:rPr>
        <w:t>lawyers</w:t>
      </w:r>
      <w:r w:rsidR="008153D6" w:rsidRPr="00DE2EDF">
        <w:rPr>
          <w:rFonts w:eastAsia="Times New Roman" w:cs="Times New Roman"/>
          <w:iCs/>
          <w:lang w:val="en-GB"/>
        </w:rPr>
        <w:t>, civil servants</w:t>
      </w:r>
      <w:r w:rsidR="00FC22E4" w:rsidRPr="00DE2EDF">
        <w:rPr>
          <w:rFonts w:eastAsia="Times New Roman" w:cs="Times New Roman"/>
          <w:iCs/>
          <w:lang w:val="en-GB"/>
        </w:rPr>
        <w:t>,</w:t>
      </w:r>
      <w:r w:rsidR="008153D6" w:rsidRPr="00DE2EDF">
        <w:rPr>
          <w:rFonts w:eastAsia="Times New Roman" w:cs="Times New Roman"/>
          <w:iCs/>
          <w:lang w:val="en-GB"/>
        </w:rPr>
        <w:t xml:space="preserve"> and scholars</w:t>
      </w:r>
      <w:r w:rsidR="008A2426" w:rsidRPr="00DE2EDF">
        <w:rPr>
          <w:rFonts w:eastAsia="Times New Roman" w:cs="Times New Roman"/>
          <w:iCs/>
          <w:lang w:val="en-GB"/>
        </w:rPr>
        <w:t xml:space="preserve"> attach, in their mind</w:t>
      </w:r>
      <w:r w:rsidR="001279D8" w:rsidRPr="00DE2EDF">
        <w:rPr>
          <w:rFonts w:eastAsia="Times New Roman" w:cs="Times New Roman"/>
          <w:iCs/>
          <w:lang w:val="en-GB"/>
        </w:rPr>
        <w:t xml:space="preserve">, </w:t>
      </w:r>
      <w:r w:rsidR="008A2426" w:rsidRPr="00DE2EDF">
        <w:rPr>
          <w:rFonts w:eastAsia="Times New Roman" w:cs="Times New Roman"/>
          <w:iCs/>
          <w:lang w:val="en-GB"/>
        </w:rPr>
        <w:t>to constitutional law</w:t>
      </w:r>
      <w:r w:rsidR="001279D8" w:rsidRPr="00DE2EDF">
        <w:rPr>
          <w:rFonts w:eastAsia="Times New Roman" w:cs="Times New Roman"/>
          <w:iCs/>
          <w:lang w:val="en-GB"/>
        </w:rPr>
        <w:t xml:space="preserve"> when operating in the field of administrative law</w:t>
      </w:r>
      <w:r w:rsidR="008A2426" w:rsidRPr="00DE2EDF">
        <w:rPr>
          <w:rFonts w:eastAsia="Times New Roman" w:cs="Times New Roman"/>
          <w:iCs/>
          <w:lang w:val="en-GB"/>
        </w:rPr>
        <w:t xml:space="preserve">? How do constitutional lawyers look upon administrative law? </w:t>
      </w:r>
      <w:r w:rsidR="001279D8" w:rsidRPr="00DE2EDF">
        <w:rPr>
          <w:rFonts w:eastAsia="Times New Roman" w:cs="Times New Roman"/>
          <w:iCs/>
          <w:lang w:val="en-GB"/>
        </w:rPr>
        <w:t>(d) If each group of norms has its own ‘</w:t>
      </w:r>
      <w:r w:rsidR="000A629D" w:rsidRPr="00DE2EDF">
        <w:rPr>
          <w:rFonts w:eastAsia="Times New Roman" w:cs="Times New Roman"/>
          <w:iCs/>
          <w:lang w:val="en-GB"/>
        </w:rPr>
        <w:t>gardeners’ and ‘guardians’ (</w:t>
      </w:r>
      <w:r w:rsidR="00A71FCA" w:rsidRPr="00DE2EDF">
        <w:rPr>
          <w:rFonts w:eastAsia="Times New Roman" w:cs="Times New Roman"/>
          <w:iCs/>
          <w:lang w:val="en-GB"/>
        </w:rPr>
        <w:t xml:space="preserve">e.g., </w:t>
      </w:r>
      <w:r w:rsidR="000A629D" w:rsidRPr="00DE2EDF">
        <w:rPr>
          <w:rFonts w:eastAsia="Times New Roman" w:cs="Times New Roman"/>
          <w:iCs/>
          <w:lang w:val="en-GB"/>
        </w:rPr>
        <w:t>specialised courts</w:t>
      </w:r>
      <w:r w:rsidR="00C014A1" w:rsidRPr="00DE2EDF">
        <w:rPr>
          <w:rFonts w:eastAsia="Times New Roman" w:cs="Times New Roman"/>
          <w:iCs/>
          <w:lang w:val="en-GB"/>
        </w:rPr>
        <w:t xml:space="preserve"> and </w:t>
      </w:r>
      <w:r w:rsidR="00804E59" w:rsidRPr="00DE2EDF">
        <w:rPr>
          <w:rFonts w:eastAsia="Times New Roman" w:cs="Times New Roman"/>
          <w:iCs/>
          <w:lang w:val="en-GB"/>
        </w:rPr>
        <w:t>specialised</w:t>
      </w:r>
      <w:r w:rsidR="000A629D" w:rsidRPr="00DE2EDF">
        <w:rPr>
          <w:rFonts w:eastAsia="Times New Roman" w:cs="Times New Roman"/>
          <w:iCs/>
          <w:lang w:val="en-GB"/>
        </w:rPr>
        <w:t xml:space="preserve"> scientific disciplines), how do </w:t>
      </w:r>
      <w:r w:rsidR="002C7FE0" w:rsidRPr="00DE2EDF">
        <w:rPr>
          <w:rFonts w:eastAsia="Times New Roman" w:cs="Times New Roman"/>
          <w:iCs/>
          <w:lang w:val="en-GB"/>
        </w:rPr>
        <w:t>the</w:t>
      </w:r>
      <w:r w:rsidR="00A85045" w:rsidRPr="00DE2EDF">
        <w:rPr>
          <w:rFonts w:eastAsia="Times New Roman" w:cs="Times New Roman"/>
          <w:iCs/>
          <w:lang w:val="en-GB"/>
        </w:rPr>
        <w:t>y</w:t>
      </w:r>
      <w:r w:rsidR="000A629D" w:rsidRPr="00DE2EDF">
        <w:rPr>
          <w:rFonts w:eastAsia="Times New Roman" w:cs="Times New Roman"/>
          <w:iCs/>
          <w:lang w:val="en-GB"/>
        </w:rPr>
        <w:t xml:space="preserve"> interact? </w:t>
      </w:r>
      <w:r w:rsidR="009E12D0" w:rsidRPr="00DE2EDF">
        <w:rPr>
          <w:rFonts w:eastAsia="Times New Roman" w:cs="Times New Roman"/>
          <w:iCs/>
          <w:lang w:val="en-GB"/>
        </w:rPr>
        <w:t>(</w:t>
      </w:r>
      <w:r w:rsidR="001279D8" w:rsidRPr="00DE2EDF">
        <w:rPr>
          <w:rFonts w:eastAsia="Times New Roman" w:cs="Times New Roman"/>
          <w:iCs/>
          <w:lang w:val="en-GB"/>
        </w:rPr>
        <w:t>e</w:t>
      </w:r>
      <w:r w:rsidR="009E12D0" w:rsidRPr="00DE2EDF">
        <w:rPr>
          <w:rFonts w:eastAsia="Times New Roman" w:cs="Times New Roman"/>
          <w:iCs/>
          <w:lang w:val="en-GB"/>
        </w:rPr>
        <w:t>)</w:t>
      </w:r>
      <w:r w:rsidR="00F573CE" w:rsidRPr="00DE2EDF">
        <w:rPr>
          <w:rFonts w:eastAsia="Times New Roman" w:cs="Times New Roman"/>
          <w:iCs/>
          <w:lang w:val="en-GB"/>
        </w:rPr>
        <w:t> </w:t>
      </w:r>
      <w:r w:rsidR="009E12D0" w:rsidRPr="00DE2EDF">
        <w:rPr>
          <w:rFonts w:eastAsia="Times New Roman" w:cs="Times New Roman"/>
          <w:iCs/>
          <w:lang w:val="en-GB"/>
        </w:rPr>
        <w:t xml:space="preserve">How </w:t>
      </w:r>
      <w:r w:rsidR="009E12D0" w:rsidRPr="00DE2EDF">
        <w:rPr>
          <w:rFonts w:eastAsia="Times New Roman" w:cs="Times New Roman"/>
          <w:lang w:val="en-GB"/>
        </w:rPr>
        <w:t>important</w:t>
      </w:r>
      <w:r w:rsidR="009E12D0" w:rsidRPr="00DE2EDF">
        <w:rPr>
          <w:rFonts w:eastAsia="Times New Roman" w:cs="Times New Roman"/>
          <w:iCs/>
          <w:lang w:val="en-GB"/>
        </w:rPr>
        <w:t xml:space="preserve"> is th</w:t>
      </w:r>
      <w:r w:rsidR="00A85045" w:rsidRPr="00DE2EDF">
        <w:rPr>
          <w:rFonts w:eastAsia="Times New Roman" w:cs="Times New Roman"/>
          <w:iCs/>
          <w:lang w:val="en-GB"/>
        </w:rPr>
        <w:t>at</w:t>
      </w:r>
      <w:r w:rsidR="00280ABF" w:rsidRPr="00DE2EDF">
        <w:rPr>
          <w:rFonts w:eastAsia="Times New Roman" w:cs="Times New Roman"/>
          <w:iCs/>
          <w:lang w:val="en-GB"/>
        </w:rPr>
        <w:t xml:space="preserve"> relationship</w:t>
      </w:r>
      <w:r w:rsidR="009E12D0" w:rsidRPr="00DE2EDF">
        <w:rPr>
          <w:rFonts w:eastAsia="Times New Roman" w:cs="Times New Roman"/>
          <w:iCs/>
          <w:lang w:val="en-GB"/>
        </w:rPr>
        <w:t xml:space="preserve"> </w:t>
      </w:r>
      <w:r w:rsidR="00A85045" w:rsidRPr="00DE2EDF">
        <w:rPr>
          <w:rFonts w:eastAsia="Times New Roman" w:cs="Times New Roman"/>
          <w:iCs/>
          <w:lang w:val="en-GB"/>
        </w:rPr>
        <w:t xml:space="preserve">to </w:t>
      </w:r>
      <w:r w:rsidR="00804E59" w:rsidRPr="00DE2EDF">
        <w:rPr>
          <w:rFonts w:eastAsia="Times New Roman" w:cs="Times New Roman"/>
          <w:iCs/>
          <w:lang w:val="en-GB"/>
        </w:rPr>
        <w:t>building</w:t>
      </w:r>
      <w:r w:rsidR="009E12D0" w:rsidRPr="00DE2EDF">
        <w:rPr>
          <w:rFonts w:eastAsia="Times New Roman" w:cs="Times New Roman"/>
          <w:iCs/>
          <w:lang w:val="en-GB"/>
        </w:rPr>
        <w:t xml:space="preserve"> </w:t>
      </w:r>
      <w:r w:rsidR="00A85045" w:rsidRPr="00DE2EDF">
        <w:rPr>
          <w:rFonts w:eastAsia="Times New Roman" w:cs="Times New Roman"/>
          <w:iCs/>
          <w:lang w:val="en-GB"/>
        </w:rPr>
        <w:t xml:space="preserve">the identity </w:t>
      </w:r>
      <w:r w:rsidR="000A629D" w:rsidRPr="00DE2EDF">
        <w:rPr>
          <w:rFonts w:eastAsia="Times New Roman" w:cs="Times New Roman"/>
          <w:iCs/>
          <w:lang w:val="en-GB"/>
        </w:rPr>
        <w:t xml:space="preserve">of </w:t>
      </w:r>
      <w:r w:rsidR="009E12D0" w:rsidRPr="00DE2EDF">
        <w:rPr>
          <w:rFonts w:eastAsia="Times New Roman" w:cs="Times New Roman"/>
          <w:iCs/>
          <w:lang w:val="en-GB"/>
        </w:rPr>
        <w:t>administrative law</w:t>
      </w:r>
      <w:r w:rsidR="001279D8" w:rsidRPr="00DE2EDF">
        <w:rPr>
          <w:rFonts w:eastAsia="Times New Roman" w:cs="Times New Roman"/>
          <w:iCs/>
          <w:lang w:val="en-GB"/>
        </w:rPr>
        <w:t xml:space="preserve"> and constitutional law</w:t>
      </w:r>
      <w:r w:rsidR="009E12D0" w:rsidRPr="00DE2EDF">
        <w:rPr>
          <w:rFonts w:eastAsia="Times New Roman" w:cs="Times New Roman"/>
          <w:iCs/>
          <w:lang w:val="en-GB"/>
        </w:rPr>
        <w:t xml:space="preserve"> in</w:t>
      </w:r>
      <w:r w:rsidR="00D65757" w:rsidRPr="00DE2EDF">
        <w:rPr>
          <w:rFonts w:eastAsia="Times New Roman" w:cs="Times New Roman"/>
          <w:iCs/>
          <w:lang w:val="en-GB"/>
        </w:rPr>
        <w:t xml:space="preserve"> </w:t>
      </w:r>
      <w:r w:rsidR="009E12D0" w:rsidRPr="00DE2EDF">
        <w:rPr>
          <w:rFonts w:eastAsia="Times New Roman" w:cs="Times New Roman"/>
          <w:iCs/>
          <w:lang w:val="en-GB"/>
        </w:rPr>
        <w:t xml:space="preserve">the various </w:t>
      </w:r>
      <w:r w:rsidR="00072103" w:rsidRPr="00DE2EDF">
        <w:rPr>
          <w:rFonts w:eastAsia="Times New Roman" w:cs="Times New Roman"/>
          <w:iCs/>
          <w:lang w:val="en-GB"/>
        </w:rPr>
        <w:t xml:space="preserve">European </w:t>
      </w:r>
      <w:r w:rsidR="009E12D0" w:rsidRPr="00DE2EDF">
        <w:rPr>
          <w:rFonts w:eastAsia="Times New Roman" w:cs="Times New Roman"/>
          <w:iCs/>
          <w:lang w:val="en-GB"/>
        </w:rPr>
        <w:t>countries: is it a central issue (if not a mass of problems?) or only a marginal issue, both in theory and practice? Is it</w:t>
      </w:r>
      <w:r w:rsidR="000A629D" w:rsidRPr="00DE2EDF">
        <w:rPr>
          <w:rFonts w:eastAsia="Times New Roman" w:cs="Times New Roman"/>
          <w:iCs/>
          <w:lang w:val="en-GB"/>
        </w:rPr>
        <w:t>, in particular,</w:t>
      </w:r>
      <w:r w:rsidR="009E12D0" w:rsidRPr="00DE2EDF">
        <w:rPr>
          <w:rFonts w:eastAsia="Times New Roman" w:cs="Times New Roman"/>
          <w:iCs/>
          <w:lang w:val="en-GB"/>
        </w:rPr>
        <w:t xml:space="preserve"> the key question (the </w:t>
      </w:r>
      <w:r w:rsidR="009E12D0" w:rsidRPr="00A918A6">
        <w:rPr>
          <w:rFonts w:eastAsia="Times New Roman" w:cs="Times New Roman"/>
          <w:iCs/>
          <w:lang w:val="en-GB"/>
        </w:rPr>
        <w:t>‘</w:t>
      </w:r>
      <w:r w:rsidR="009E12D0" w:rsidRPr="00A918A6">
        <w:rPr>
          <w:rFonts w:eastAsia="Times New Roman" w:cs="Times New Roman"/>
          <w:i/>
          <w:iCs/>
          <w:lang w:val="en-GB"/>
        </w:rPr>
        <w:t>Gretchenfrage</w:t>
      </w:r>
      <w:r w:rsidR="009E12D0" w:rsidRPr="00D7708F">
        <w:rPr>
          <w:rFonts w:eastAsia="Times New Roman" w:cs="Times New Roman"/>
          <w:iCs/>
          <w:lang w:val="en-GB"/>
        </w:rPr>
        <w:t>’</w:t>
      </w:r>
      <w:r w:rsidR="009E12D0" w:rsidRPr="00DE2EDF">
        <w:rPr>
          <w:rFonts w:eastAsia="Times New Roman" w:cs="Times New Roman"/>
          <w:iCs/>
          <w:lang w:val="en-GB"/>
        </w:rPr>
        <w:t>) to</w:t>
      </w:r>
      <w:r w:rsidR="003A6AC3" w:rsidRPr="00DE2EDF">
        <w:rPr>
          <w:rFonts w:eastAsia="Times New Roman" w:cs="Times New Roman"/>
          <w:iCs/>
          <w:lang w:val="en-GB"/>
        </w:rPr>
        <w:t xml:space="preserve"> identify the nature and content of administrative law</w:t>
      </w:r>
      <w:r w:rsidR="00DE452D" w:rsidRPr="00DE2EDF">
        <w:rPr>
          <w:rFonts w:eastAsia="Times New Roman" w:cs="Times New Roman"/>
          <w:iCs/>
          <w:lang w:val="en-GB"/>
        </w:rPr>
        <w:t>,</w:t>
      </w:r>
      <w:r w:rsidR="009E12D0" w:rsidRPr="00DE2EDF">
        <w:rPr>
          <w:rFonts w:eastAsia="Times New Roman" w:cs="Times New Roman"/>
          <w:iCs/>
          <w:lang w:val="en-GB"/>
        </w:rPr>
        <w:t xml:space="preserve"> or are the </w:t>
      </w:r>
      <w:r w:rsidR="009E12D0" w:rsidRPr="00DE2EDF">
        <w:rPr>
          <w:rFonts w:eastAsia="Times New Roman" w:cs="Times New Roman"/>
          <w:iCs/>
          <w:lang w:val="en-GB"/>
        </w:rPr>
        <w:lastRenderedPageBreak/>
        <w:t xml:space="preserve">rules of administrative law determined </w:t>
      </w:r>
      <w:r w:rsidR="00C96E0F" w:rsidRPr="00DE2EDF">
        <w:rPr>
          <w:rFonts w:eastAsia="Times New Roman" w:cs="Times New Roman"/>
          <w:iCs/>
          <w:lang w:val="en-GB"/>
        </w:rPr>
        <w:t xml:space="preserve">more </w:t>
      </w:r>
      <w:r w:rsidR="009E12D0" w:rsidRPr="00DE2EDF">
        <w:rPr>
          <w:rFonts w:eastAsia="Times New Roman" w:cs="Times New Roman"/>
          <w:iCs/>
          <w:lang w:val="en-GB"/>
        </w:rPr>
        <w:t xml:space="preserve">by the external influences of politics and/or other areas of law (e.g., private law, international and European law, </w:t>
      </w:r>
      <w:r w:rsidR="00A85045" w:rsidRPr="00DE2EDF">
        <w:rPr>
          <w:rFonts w:eastAsia="Times New Roman" w:cs="Times New Roman"/>
          <w:iCs/>
          <w:lang w:val="en-GB"/>
        </w:rPr>
        <w:t xml:space="preserve">or </w:t>
      </w:r>
      <w:r w:rsidR="002D66C1" w:rsidRPr="00DE2EDF">
        <w:rPr>
          <w:rFonts w:eastAsia="Times New Roman" w:cs="Times New Roman"/>
          <w:iCs/>
          <w:lang w:val="en-GB"/>
        </w:rPr>
        <w:t>some foreign legal models)?</w:t>
      </w:r>
    </w:p>
    <w:p w14:paraId="72DAD345" w14:textId="77777777" w:rsidR="002D66C1" w:rsidRPr="00DE2EDF" w:rsidRDefault="002D66C1" w:rsidP="00DE2EDF">
      <w:pPr>
        <w:spacing w:after="0"/>
        <w:jc w:val="both"/>
        <w:rPr>
          <w:rFonts w:eastAsia="Times New Roman" w:cs="Times New Roman"/>
          <w:iCs/>
          <w:lang w:val="en-GB"/>
        </w:rPr>
      </w:pPr>
    </w:p>
    <w:p w14:paraId="4FE7EBD6" w14:textId="77777777" w:rsidR="009E12D0" w:rsidRPr="00DE2EDF" w:rsidRDefault="00C96E0F" w:rsidP="00DE2EDF">
      <w:pPr>
        <w:spacing w:after="0"/>
        <w:jc w:val="both"/>
        <w:rPr>
          <w:rFonts w:eastAsia="Times New Roman" w:cs="Times New Roman"/>
          <w:iCs/>
          <w:lang w:val="en-GB"/>
        </w:rPr>
      </w:pPr>
      <w:r w:rsidRPr="00DE2EDF">
        <w:rPr>
          <w:rFonts w:eastAsia="Times New Roman" w:cs="Times New Roman"/>
          <w:iCs/>
          <w:lang w:val="en-GB"/>
        </w:rPr>
        <w:t>Given the abundance of questions, the vastness of the research field in space</w:t>
      </w:r>
      <w:bookmarkStart w:id="8" w:name="_Ref457826395"/>
      <w:r w:rsidR="008A2426" w:rsidRPr="00DE2EDF">
        <w:rPr>
          <w:rStyle w:val="FootnoteReference"/>
          <w:rFonts w:eastAsia="Times New Roman" w:cs="Times New Roman"/>
          <w:iCs/>
          <w:lang w:val="en-GB"/>
        </w:rPr>
        <w:footnoteReference w:id="4"/>
      </w:r>
      <w:bookmarkEnd w:id="8"/>
      <w:r w:rsidRPr="00DE2EDF">
        <w:rPr>
          <w:rFonts w:eastAsia="Times New Roman" w:cs="Times New Roman"/>
          <w:iCs/>
          <w:lang w:val="en-GB"/>
        </w:rPr>
        <w:t xml:space="preserve"> and time</w:t>
      </w:r>
      <w:r w:rsidR="00C014A1" w:rsidRPr="00DE2EDF">
        <w:rPr>
          <w:rFonts w:eastAsia="Times New Roman" w:cs="Times New Roman"/>
          <w:iCs/>
          <w:lang w:val="en-GB"/>
        </w:rPr>
        <w:t>,</w:t>
      </w:r>
      <w:r w:rsidRPr="00DE2EDF">
        <w:rPr>
          <w:rStyle w:val="FootnoteReference"/>
          <w:rFonts w:eastAsia="Times New Roman" w:cs="Times New Roman"/>
          <w:iCs/>
          <w:lang w:val="en-GB"/>
        </w:rPr>
        <w:footnoteReference w:id="5"/>
      </w:r>
      <w:r w:rsidR="002B78EF" w:rsidRPr="00DE2EDF">
        <w:rPr>
          <w:rFonts w:eastAsia="Times New Roman" w:cs="Times New Roman"/>
          <w:iCs/>
          <w:lang w:val="en-GB"/>
        </w:rPr>
        <w:t xml:space="preserve"> and</w:t>
      </w:r>
      <w:r w:rsidR="002B78EF" w:rsidRPr="00DE2EDF">
        <w:rPr>
          <w:rFonts w:cs="Times New Roman"/>
        </w:rPr>
        <w:t>—</w:t>
      </w:r>
      <w:r w:rsidR="002B78EF" w:rsidRPr="00DE2EDF">
        <w:rPr>
          <w:rFonts w:eastAsia="Times New Roman" w:cs="Times New Roman"/>
          <w:iCs/>
          <w:lang w:val="en-GB"/>
        </w:rPr>
        <w:t>this may already be said</w:t>
      </w:r>
      <w:r w:rsidR="002B78EF" w:rsidRPr="00DE2EDF">
        <w:rPr>
          <w:rFonts w:cs="Times New Roman"/>
        </w:rPr>
        <w:t>—</w:t>
      </w:r>
      <w:r w:rsidR="00280ABF" w:rsidRPr="00DE2EDF">
        <w:rPr>
          <w:rFonts w:eastAsia="Times New Roman" w:cs="Times New Roman"/>
          <w:iCs/>
          <w:lang w:val="en-GB"/>
        </w:rPr>
        <w:t>a rather</w:t>
      </w:r>
      <w:r w:rsidRPr="00DE2EDF">
        <w:rPr>
          <w:rFonts w:eastAsia="Times New Roman" w:cs="Times New Roman"/>
          <w:iCs/>
          <w:lang w:val="en-GB"/>
        </w:rPr>
        <w:t xml:space="preserve"> broad </w:t>
      </w:r>
      <w:r w:rsidR="00280ABF" w:rsidRPr="00DE2EDF">
        <w:rPr>
          <w:rFonts w:eastAsia="Times New Roman" w:cs="Times New Roman"/>
          <w:iCs/>
          <w:lang w:val="en-GB"/>
        </w:rPr>
        <w:t>variety</w:t>
      </w:r>
      <w:r w:rsidRPr="00DE2EDF">
        <w:rPr>
          <w:rFonts w:eastAsia="Times New Roman" w:cs="Times New Roman"/>
          <w:iCs/>
          <w:lang w:val="en-GB"/>
        </w:rPr>
        <w:t xml:space="preserve"> of individual responses, the aim of this chapter is simply to </w:t>
      </w:r>
      <w:r w:rsidR="00EC414F" w:rsidRPr="00DE2EDF">
        <w:rPr>
          <w:rFonts w:eastAsia="Times New Roman" w:cs="Times New Roman"/>
          <w:iCs/>
          <w:lang w:val="en-GB"/>
        </w:rPr>
        <w:t xml:space="preserve">give a first </w:t>
      </w:r>
      <w:r w:rsidRPr="00DE2EDF">
        <w:rPr>
          <w:rFonts w:eastAsia="Times New Roman" w:cs="Times New Roman"/>
          <w:iCs/>
          <w:lang w:val="en-GB"/>
        </w:rPr>
        <w:t>outline</w:t>
      </w:r>
      <w:r w:rsidR="002C7FE0" w:rsidRPr="00DE2EDF">
        <w:rPr>
          <w:rFonts w:eastAsia="Times New Roman" w:cs="Times New Roman"/>
          <w:iCs/>
          <w:lang w:val="en-GB"/>
        </w:rPr>
        <w:t xml:space="preserve"> </w:t>
      </w:r>
      <w:r w:rsidR="00C014A1" w:rsidRPr="00DE2EDF">
        <w:rPr>
          <w:rFonts w:eastAsia="Times New Roman" w:cs="Times New Roman"/>
          <w:iCs/>
          <w:lang w:val="en-GB"/>
        </w:rPr>
        <w:t>of</w:t>
      </w:r>
      <w:r w:rsidR="002C7FE0" w:rsidRPr="00DE2EDF">
        <w:rPr>
          <w:rFonts w:eastAsia="Times New Roman" w:cs="Times New Roman"/>
          <w:iCs/>
          <w:lang w:val="en-GB"/>
        </w:rPr>
        <w:t xml:space="preserve"> the relationship </w:t>
      </w:r>
      <w:r w:rsidR="00C014A1" w:rsidRPr="00DE2EDF">
        <w:rPr>
          <w:rFonts w:eastAsia="Times New Roman" w:cs="Times New Roman"/>
          <w:iCs/>
          <w:lang w:val="en-GB"/>
        </w:rPr>
        <w:t>between</w:t>
      </w:r>
      <w:r w:rsidR="002C7FE0" w:rsidRPr="00DE2EDF">
        <w:rPr>
          <w:rFonts w:eastAsia="Times New Roman" w:cs="Times New Roman"/>
          <w:iCs/>
          <w:lang w:val="en-GB"/>
        </w:rPr>
        <w:t xml:space="preserve"> both areas of law</w:t>
      </w:r>
      <w:r w:rsidRPr="00DE2EDF">
        <w:rPr>
          <w:rFonts w:eastAsia="Times New Roman" w:cs="Times New Roman"/>
          <w:iCs/>
          <w:lang w:val="en-GB"/>
        </w:rPr>
        <w:t xml:space="preserve">. </w:t>
      </w:r>
      <w:r w:rsidR="009E12D0" w:rsidRPr="00DE2EDF">
        <w:rPr>
          <w:rFonts w:eastAsia="Times New Roman" w:cs="Times New Roman"/>
          <w:iCs/>
          <w:lang w:val="en-GB"/>
        </w:rPr>
        <w:t>Its cognitive goal is twofold: comparative</w:t>
      </w:r>
      <w:r w:rsidR="00EC414F" w:rsidRPr="00DE2EDF">
        <w:rPr>
          <w:rFonts w:eastAsia="Times New Roman" w:cs="Times New Roman"/>
          <w:iCs/>
          <w:lang w:val="en-GB"/>
        </w:rPr>
        <w:t xml:space="preserve"> (cartographic)</w:t>
      </w:r>
      <w:r w:rsidR="009E12D0" w:rsidRPr="00DE2EDF">
        <w:rPr>
          <w:rFonts w:eastAsia="Times New Roman" w:cs="Times New Roman"/>
          <w:iCs/>
          <w:lang w:val="en-GB"/>
        </w:rPr>
        <w:t xml:space="preserve"> and theoretical</w:t>
      </w:r>
      <w:r w:rsidR="00EC414F" w:rsidRPr="00DE2EDF">
        <w:rPr>
          <w:rFonts w:eastAsia="Times New Roman" w:cs="Times New Roman"/>
          <w:iCs/>
          <w:lang w:val="en-GB"/>
        </w:rPr>
        <w:t xml:space="preserve"> (ontological)</w:t>
      </w:r>
      <w:r w:rsidR="009E12D0" w:rsidRPr="00DE2EDF">
        <w:rPr>
          <w:rFonts w:eastAsia="Times New Roman" w:cs="Times New Roman"/>
          <w:iCs/>
          <w:lang w:val="en-GB"/>
        </w:rPr>
        <w:t xml:space="preserve">. Its first, and most important, aim is to get an exact view of how far </w:t>
      </w:r>
      <w:r w:rsidR="00DE452D" w:rsidRPr="00DE2EDF">
        <w:rPr>
          <w:rFonts w:eastAsia="Times New Roman" w:cs="Times New Roman"/>
          <w:iCs/>
          <w:lang w:val="en-GB"/>
        </w:rPr>
        <w:t xml:space="preserve">the </w:t>
      </w:r>
      <w:r w:rsidR="009E12D0" w:rsidRPr="00DE2EDF">
        <w:rPr>
          <w:rFonts w:eastAsia="Times New Roman" w:cs="Times New Roman"/>
          <w:iCs/>
          <w:lang w:val="en-GB"/>
        </w:rPr>
        <w:t>national legal systems in Europe converge</w:t>
      </w:r>
      <w:r w:rsidR="00DE452D" w:rsidRPr="00DE2EDF">
        <w:rPr>
          <w:rFonts w:eastAsia="Times New Roman" w:cs="Times New Roman"/>
          <w:iCs/>
          <w:lang w:val="en-GB"/>
        </w:rPr>
        <w:t>,</w:t>
      </w:r>
      <w:r w:rsidR="009E12D0" w:rsidRPr="00DE2EDF">
        <w:rPr>
          <w:rFonts w:eastAsia="Times New Roman" w:cs="Times New Roman"/>
          <w:iCs/>
          <w:lang w:val="en-GB"/>
        </w:rPr>
        <w:t xml:space="preserve"> or diverge</w:t>
      </w:r>
      <w:r w:rsidR="00DE452D" w:rsidRPr="00DE2EDF">
        <w:rPr>
          <w:rFonts w:eastAsia="Times New Roman" w:cs="Times New Roman"/>
          <w:iCs/>
          <w:lang w:val="en-GB"/>
        </w:rPr>
        <w:t>,</w:t>
      </w:r>
      <w:r w:rsidR="009E12D0" w:rsidRPr="00DE2EDF">
        <w:rPr>
          <w:rFonts w:eastAsia="Times New Roman" w:cs="Times New Roman"/>
          <w:iCs/>
          <w:lang w:val="en-GB"/>
        </w:rPr>
        <w:t xml:space="preserve"> </w:t>
      </w:r>
      <w:r w:rsidRPr="00DE2EDF">
        <w:rPr>
          <w:rFonts w:eastAsia="Times New Roman" w:cs="Times New Roman"/>
          <w:iCs/>
          <w:lang w:val="en-GB"/>
        </w:rPr>
        <w:t xml:space="preserve">with respect to </w:t>
      </w:r>
      <w:r w:rsidR="009E12D0" w:rsidRPr="00DE2EDF">
        <w:rPr>
          <w:rFonts w:eastAsia="Times New Roman" w:cs="Times New Roman"/>
          <w:iCs/>
          <w:lang w:val="en-GB"/>
        </w:rPr>
        <w:t xml:space="preserve">the relationship between constitutional and administrative law. Pleading the thesis of </w:t>
      </w:r>
      <w:r w:rsidR="001D5922" w:rsidRPr="00DE2EDF">
        <w:rPr>
          <w:rFonts w:eastAsia="Times New Roman" w:cs="Times New Roman"/>
          <w:iCs/>
          <w:lang w:val="en-GB"/>
        </w:rPr>
        <w:t>an</w:t>
      </w:r>
      <w:r w:rsidR="009E12D0" w:rsidRPr="00DE2EDF">
        <w:rPr>
          <w:rFonts w:eastAsia="Times New Roman" w:cs="Times New Roman"/>
          <w:iCs/>
          <w:lang w:val="en-GB"/>
        </w:rPr>
        <w:t xml:space="preserve"> </w:t>
      </w:r>
      <w:r w:rsidR="00CA58EA" w:rsidRPr="00DE2EDF">
        <w:rPr>
          <w:rFonts w:eastAsia="Times New Roman" w:cs="Times New Roman"/>
          <w:i/>
          <w:iCs/>
          <w:lang w:val="en-GB"/>
        </w:rPr>
        <w:t xml:space="preserve">Ius </w:t>
      </w:r>
      <w:r w:rsidR="00390968" w:rsidRPr="00DE2EDF">
        <w:rPr>
          <w:rFonts w:eastAsia="Times New Roman" w:cs="Times New Roman"/>
          <w:i/>
          <w:iCs/>
          <w:lang w:val="en-GB"/>
        </w:rPr>
        <w:t>c</w:t>
      </w:r>
      <w:r w:rsidR="00B17BF8" w:rsidRPr="00DE2EDF">
        <w:rPr>
          <w:rFonts w:eastAsia="Times New Roman" w:cs="Times New Roman"/>
          <w:i/>
          <w:iCs/>
          <w:lang w:val="en-GB"/>
        </w:rPr>
        <w:t>ommune</w:t>
      </w:r>
      <w:r w:rsidR="009E12D0" w:rsidRPr="00DE2EDF">
        <w:rPr>
          <w:rFonts w:eastAsia="Times New Roman" w:cs="Times New Roman"/>
          <w:i/>
          <w:iCs/>
          <w:lang w:val="en-GB"/>
        </w:rPr>
        <w:t xml:space="preserve"> Europaeum</w:t>
      </w:r>
      <w:r w:rsidR="00C014A1" w:rsidRPr="00DE2EDF">
        <w:rPr>
          <w:rFonts w:eastAsia="Times New Roman" w:cs="Times New Roman"/>
          <w:i/>
          <w:iCs/>
          <w:lang w:val="en-GB"/>
        </w:rPr>
        <w:t xml:space="preserve"> </w:t>
      </w:r>
      <w:r w:rsidR="00C014A1" w:rsidRPr="00DE2EDF">
        <w:rPr>
          <w:rFonts w:eastAsia="Times New Roman" w:cs="Times New Roman"/>
          <w:iCs/>
          <w:lang w:val="en-GB"/>
        </w:rPr>
        <w:t>(</w:t>
      </w:r>
      <w:r w:rsidR="009E12D0" w:rsidRPr="00DE2EDF">
        <w:rPr>
          <w:rFonts w:eastAsia="Times New Roman" w:cs="Times New Roman"/>
          <w:iCs/>
          <w:lang w:val="en-GB"/>
        </w:rPr>
        <w:t>i.e.</w:t>
      </w:r>
      <w:r w:rsidR="00C014A1" w:rsidRPr="00DE2EDF">
        <w:rPr>
          <w:rFonts w:eastAsia="Times New Roman" w:cs="Times New Roman"/>
          <w:iCs/>
          <w:lang w:val="en-GB"/>
        </w:rPr>
        <w:t>,</w:t>
      </w:r>
      <w:r w:rsidR="009E12D0" w:rsidRPr="00DE2EDF">
        <w:rPr>
          <w:rFonts w:eastAsia="Times New Roman" w:cs="Times New Roman"/>
          <w:iCs/>
          <w:lang w:val="en-GB"/>
        </w:rPr>
        <w:t xml:space="preserve"> the existence of</w:t>
      </w:r>
      <w:r w:rsidR="0080338F" w:rsidRPr="00DE2EDF">
        <w:rPr>
          <w:rFonts w:eastAsia="Times New Roman" w:cs="Times New Roman"/>
          <w:iCs/>
          <w:lang w:val="en-GB"/>
        </w:rPr>
        <w:t xml:space="preserve"> a</w:t>
      </w:r>
      <w:r w:rsidR="009E12D0" w:rsidRPr="00DE2EDF">
        <w:rPr>
          <w:rFonts w:eastAsia="Times New Roman" w:cs="Times New Roman"/>
          <w:iCs/>
          <w:lang w:val="en-GB"/>
        </w:rPr>
        <w:t xml:space="preserve"> common legal view </w:t>
      </w:r>
      <w:r w:rsidR="00EC414F" w:rsidRPr="00DE2EDF">
        <w:rPr>
          <w:rFonts w:eastAsia="Times New Roman" w:cs="Times New Roman"/>
          <w:iCs/>
          <w:lang w:val="en-GB"/>
        </w:rPr>
        <w:t>in Europe</w:t>
      </w:r>
      <w:r w:rsidR="00C014A1" w:rsidRPr="00DE2EDF">
        <w:rPr>
          <w:rFonts w:eastAsia="Times New Roman" w:cs="Times New Roman"/>
          <w:iCs/>
          <w:lang w:val="en-GB"/>
        </w:rPr>
        <w:t>)</w:t>
      </w:r>
      <w:r w:rsidR="009E12D0" w:rsidRPr="00DE2EDF">
        <w:rPr>
          <w:rFonts w:eastAsia="Times New Roman" w:cs="Times New Roman"/>
          <w:iCs/>
          <w:lang w:val="en-GB"/>
        </w:rPr>
        <w:t xml:space="preserve"> is </w:t>
      </w:r>
      <w:r w:rsidRPr="00DE2EDF">
        <w:rPr>
          <w:rFonts w:eastAsia="Times New Roman" w:cs="Times New Roman"/>
          <w:iCs/>
          <w:lang w:val="en-GB"/>
        </w:rPr>
        <w:t xml:space="preserve">not as easy </w:t>
      </w:r>
      <w:r w:rsidR="009E12D0" w:rsidRPr="00DE2EDF">
        <w:rPr>
          <w:rFonts w:eastAsia="Times New Roman" w:cs="Times New Roman"/>
          <w:iCs/>
          <w:lang w:val="en-GB"/>
        </w:rPr>
        <w:t xml:space="preserve">a task as </w:t>
      </w:r>
      <w:r w:rsidRPr="00DE2EDF">
        <w:rPr>
          <w:rFonts w:eastAsia="Times New Roman" w:cs="Times New Roman"/>
          <w:iCs/>
          <w:lang w:val="en-GB"/>
        </w:rPr>
        <w:t xml:space="preserve">it </w:t>
      </w:r>
      <w:r w:rsidR="009E12D0" w:rsidRPr="00DE2EDF">
        <w:rPr>
          <w:rFonts w:eastAsia="Times New Roman" w:cs="Times New Roman"/>
          <w:iCs/>
          <w:lang w:val="en-GB"/>
        </w:rPr>
        <w:t xml:space="preserve">might </w:t>
      </w:r>
      <w:r w:rsidR="00DE452D" w:rsidRPr="00DE2EDF">
        <w:rPr>
          <w:rFonts w:eastAsia="Times New Roman" w:cs="Times New Roman"/>
          <w:iCs/>
          <w:lang w:val="en-GB"/>
        </w:rPr>
        <w:t>seem</w:t>
      </w:r>
      <w:r w:rsidR="009E12D0" w:rsidRPr="00DE2EDF">
        <w:rPr>
          <w:rFonts w:eastAsia="Times New Roman" w:cs="Times New Roman"/>
          <w:iCs/>
          <w:lang w:val="en-GB"/>
        </w:rPr>
        <w:t xml:space="preserve"> at first sight. It requires an in-depth analysis of all European countries, without excluding (or even hiding) individual cases that do not fit into </w:t>
      </w:r>
      <w:r w:rsidR="00DE452D" w:rsidRPr="00DE2EDF">
        <w:rPr>
          <w:rFonts w:eastAsia="Times New Roman" w:cs="Times New Roman"/>
          <w:iCs/>
          <w:lang w:val="en-GB"/>
        </w:rPr>
        <w:t>the</w:t>
      </w:r>
      <w:r w:rsidR="00442A34" w:rsidRPr="00DE2EDF">
        <w:rPr>
          <w:rFonts w:eastAsia="Times New Roman" w:cs="Times New Roman"/>
          <w:iCs/>
          <w:lang w:val="en-GB"/>
        </w:rPr>
        <w:t xml:space="preserve"> </w:t>
      </w:r>
      <w:r w:rsidR="009E12D0" w:rsidRPr="00DE2EDF">
        <w:rPr>
          <w:rFonts w:eastAsia="Times New Roman" w:cs="Times New Roman"/>
          <w:iCs/>
          <w:lang w:val="en-GB"/>
        </w:rPr>
        <w:t>mainstream (</w:t>
      </w:r>
      <w:r w:rsidR="00337482" w:rsidRPr="00DE2EDF">
        <w:rPr>
          <w:rFonts w:eastAsia="Times New Roman" w:cs="Times New Roman"/>
          <w:iCs/>
          <w:lang w:val="en-GB"/>
        </w:rPr>
        <w:t xml:space="preserve">for </w:t>
      </w:r>
      <w:r w:rsidR="009E12D0" w:rsidRPr="00DE2EDF">
        <w:rPr>
          <w:rFonts w:eastAsia="Times New Roman" w:cs="Times New Roman"/>
          <w:iCs/>
          <w:lang w:val="en-GB"/>
        </w:rPr>
        <w:t xml:space="preserve">the present issue, </w:t>
      </w:r>
      <w:r w:rsidR="00337482" w:rsidRPr="00DE2EDF">
        <w:rPr>
          <w:rFonts w:eastAsia="Times New Roman" w:cs="Times New Roman"/>
          <w:iCs/>
          <w:lang w:val="en-GB"/>
        </w:rPr>
        <w:t xml:space="preserve">particularly the </w:t>
      </w:r>
      <w:r w:rsidR="009E12D0" w:rsidRPr="00DE2EDF">
        <w:rPr>
          <w:rFonts w:eastAsia="Times New Roman" w:cs="Times New Roman"/>
          <w:iCs/>
          <w:lang w:val="en-GB"/>
        </w:rPr>
        <w:t xml:space="preserve">United Kingdom and Sweden). A comparative lawyer must prove </w:t>
      </w:r>
      <w:r w:rsidR="0051568A" w:rsidRPr="00DE2EDF">
        <w:rPr>
          <w:rFonts w:eastAsia="Times New Roman" w:cs="Times New Roman"/>
          <w:iCs/>
          <w:lang w:val="en-GB"/>
        </w:rPr>
        <w:t>herself/</w:t>
      </w:r>
      <w:r w:rsidR="009E12D0" w:rsidRPr="00DE2EDF">
        <w:rPr>
          <w:rFonts w:eastAsia="Times New Roman" w:cs="Times New Roman"/>
          <w:iCs/>
          <w:lang w:val="en-GB"/>
        </w:rPr>
        <w:t xml:space="preserve">himself in relation to such ‘hard nuts’, to which </w:t>
      </w:r>
      <w:r w:rsidR="0051568A" w:rsidRPr="00DE2EDF">
        <w:rPr>
          <w:rFonts w:eastAsia="Times New Roman" w:cs="Times New Roman"/>
          <w:iCs/>
          <w:lang w:val="en-GB"/>
        </w:rPr>
        <w:t>she/</w:t>
      </w:r>
      <w:r w:rsidR="009E12D0" w:rsidRPr="00DE2EDF">
        <w:rPr>
          <w:rFonts w:eastAsia="Times New Roman" w:cs="Times New Roman"/>
          <w:iCs/>
          <w:lang w:val="en-GB"/>
        </w:rPr>
        <w:t>he must pay special attention. Only then can any thesis of unity amongst diversity</w:t>
      </w:r>
      <w:r w:rsidR="002B78EF" w:rsidRPr="00DE2EDF">
        <w:rPr>
          <w:rFonts w:cs="Times New Roman"/>
        </w:rPr>
        <w:t>—</w:t>
      </w:r>
      <w:r w:rsidR="00804E59" w:rsidRPr="00DE2EDF">
        <w:rPr>
          <w:rFonts w:eastAsia="Times New Roman" w:cs="Times New Roman"/>
          <w:iCs/>
          <w:lang w:val="en-GB"/>
        </w:rPr>
        <w:t xml:space="preserve">a thesis which will, indeed, be </w:t>
      </w:r>
      <w:r w:rsidR="00F507F2" w:rsidRPr="00DE2EDF">
        <w:rPr>
          <w:rFonts w:eastAsia="Times New Roman" w:cs="Times New Roman"/>
          <w:iCs/>
          <w:lang w:val="en-GB"/>
        </w:rPr>
        <w:t>proffered</w:t>
      </w:r>
      <w:r w:rsidR="002B78EF" w:rsidRPr="00DE2EDF">
        <w:rPr>
          <w:rFonts w:eastAsia="Times New Roman" w:cs="Times New Roman"/>
          <w:iCs/>
          <w:lang w:val="en-GB"/>
        </w:rPr>
        <w:t xml:space="preserve"> here</w:t>
      </w:r>
      <w:r w:rsidR="002B78EF" w:rsidRPr="00DE2EDF">
        <w:rPr>
          <w:rFonts w:cs="Times New Roman"/>
        </w:rPr>
        <w:t>—</w:t>
      </w:r>
      <w:r w:rsidR="009E12D0" w:rsidRPr="00DE2EDF">
        <w:rPr>
          <w:rFonts w:eastAsia="Times New Roman" w:cs="Times New Roman"/>
          <w:iCs/>
          <w:lang w:val="en-GB"/>
        </w:rPr>
        <w:t xml:space="preserve">be </w:t>
      </w:r>
      <w:r w:rsidR="00337482" w:rsidRPr="00DE2EDF">
        <w:rPr>
          <w:rFonts w:eastAsia="Times New Roman" w:cs="Times New Roman"/>
          <w:iCs/>
          <w:lang w:val="en-GB"/>
        </w:rPr>
        <w:t xml:space="preserve">truly </w:t>
      </w:r>
      <w:r w:rsidR="009E12D0" w:rsidRPr="00DE2EDF">
        <w:rPr>
          <w:rFonts w:eastAsia="Times New Roman" w:cs="Times New Roman"/>
          <w:iCs/>
          <w:lang w:val="en-GB"/>
        </w:rPr>
        <w:t xml:space="preserve">persuasive. However, </w:t>
      </w:r>
      <w:r w:rsidR="00EC414F" w:rsidRPr="00DE2EDF">
        <w:rPr>
          <w:rFonts w:eastAsia="Times New Roman" w:cs="Times New Roman"/>
          <w:iCs/>
          <w:lang w:val="en-GB"/>
        </w:rPr>
        <w:t xml:space="preserve">in this chapter, </w:t>
      </w:r>
      <w:r w:rsidR="009E12D0" w:rsidRPr="00DE2EDF">
        <w:rPr>
          <w:rFonts w:eastAsia="Times New Roman" w:cs="Times New Roman"/>
          <w:iCs/>
          <w:lang w:val="en-GB"/>
        </w:rPr>
        <w:t>the use of legal comparison is not limited to legal mapping of the world (here: Europe). In contrast to a purely nationally</w:t>
      </w:r>
      <w:r w:rsidR="00337482" w:rsidRPr="00DE2EDF">
        <w:rPr>
          <w:rFonts w:eastAsia="Times New Roman" w:cs="Times New Roman"/>
          <w:iCs/>
          <w:lang w:val="en-GB"/>
        </w:rPr>
        <w:t xml:space="preserve"> </w:t>
      </w:r>
      <w:r w:rsidR="009E12D0" w:rsidRPr="00DE2EDF">
        <w:rPr>
          <w:rFonts w:eastAsia="Times New Roman" w:cs="Times New Roman"/>
          <w:iCs/>
          <w:lang w:val="en-GB"/>
        </w:rPr>
        <w:t xml:space="preserve">minded academic, a specialist in comparative law and </w:t>
      </w:r>
      <w:r w:rsidR="00F507F2" w:rsidRPr="00DE2EDF">
        <w:rPr>
          <w:rFonts w:eastAsia="Times New Roman" w:cs="Times New Roman"/>
          <w:iCs/>
          <w:lang w:val="en-GB"/>
        </w:rPr>
        <w:t xml:space="preserve">the </w:t>
      </w:r>
      <w:r w:rsidR="009E12D0" w:rsidRPr="00DE2EDF">
        <w:rPr>
          <w:rFonts w:eastAsia="Times New Roman" w:cs="Times New Roman"/>
          <w:iCs/>
          <w:lang w:val="en-GB"/>
        </w:rPr>
        <w:t xml:space="preserve">history of law </w:t>
      </w:r>
      <w:r w:rsidR="00D970F2" w:rsidRPr="00DE2EDF">
        <w:rPr>
          <w:rFonts w:eastAsia="Times New Roman" w:cs="Times New Roman"/>
          <w:iCs/>
          <w:lang w:val="en-GB"/>
        </w:rPr>
        <w:t xml:space="preserve">has at </w:t>
      </w:r>
      <w:r w:rsidR="00AB2C36" w:rsidRPr="00DE2EDF">
        <w:rPr>
          <w:rFonts w:eastAsia="Times New Roman" w:cs="Times New Roman"/>
          <w:iCs/>
          <w:lang w:val="en-GB"/>
        </w:rPr>
        <w:t>her</w:t>
      </w:r>
      <w:r w:rsidR="0051568A" w:rsidRPr="00DE2EDF">
        <w:rPr>
          <w:rFonts w:eastAsia="Times New Roman" w:cs="Times New Roman"/>
          <w:iCs/>
          <w:lang w:val="en-GB"/>
        </w:rPr>
        <w:t>/his</w:t>
      </w:r>
      <w:r w:rsidR="00D970F2" w:rsidRPr="00DE2EDF">
        <w:rPr>
          <w:rFonts w:eastAsia="Times New Roman" w:cs="Times New Roman"/>
          <w:iCs/>
          <w:lang w:val="en-GB"/>
        </w:rPr>
        <w:t xml:space="preserve"> </w:t>
      </w:r>
      <w:r w:rsidR="00EC414F" w:rsidRPr="00DE2EDF">
        <w:rPr>
          <w:rFonts w:eastAsia="Times New Roman" w:cs="Times New Roman"/>
          <w:iCs/>
          <w:lang w:val="en-GB"/>
        </w:rPr>
        <w:t>dispos</w:t>
      </w:r>
      <w:r w:rsidR="00D970F2" w:rsidRPr="00DE2EDF">
        <w:rPr>
          <w:rFonts w:eastAsia="Times New Roman" w:cs="Times New Roman"/>
          <w:iCs/>
          <w:lang w:val="en-GB"/>
        </w:rPr>
        <w:t xml:space="preserve">al </w:t>
      </w:r>
      <w:r w:rsidR="009E12D0" w:rsidRPr="00DE2EDF">
        <w:rPr>
          <w:rFonts w:eastAsia="Times New Roman" w:cs="Times New Roman"/>
          <w:iCs/>
          <w:lang w:val="en-GB"/>
        </w:rPr>
        <w:t xml:space="preserve">a far richer range of legal materials </w:t>
      </w:r>
      <w:r w:rsidR="00337482" w:rsidRPr="00DE2EDF">
        <w:rPr>
          <w:rFonts w:eastAsia="Times New Roman" w:cs="Times New Roman"/>
          <w:iCs/>
          <w:lang w:val="en-GB"/>
        </w:rPr>
        <w:t xml:space="preserve">from which </w:t>
      </w:r>
      <w:r w:rsidR="009E12D0" w:rsidRPr="00DE2EDF">
        <w:rPr>
          <w:rFonts w:eastAsia="Times New Roman" w:cs="Times New Roman"/>
          <w:iCs/>
          <w:lang w:val="en-GB"/>
        </w:rPr>
        <w:t>to draw some theoretical conclusions. These materials, especially if they include some extreme cases,</w:t>
      </w:r>
      <w:r w:rsidR="009E12D0" w:rsidRPr="00DE2EDF">
        <w:rPr>
          <w:rStyle w:val="FootnoteReference"/>
          <w:rFonts w:eastAsia="Times New Roman" w:cs="Times New Roman"/>
          <w:iCs/>
          <w:lang w:val="en-GB"/>
        </w:rPr>
        <w:footnoteReference w:id="6"/>
      </w:r>
      <w:r w:rsidR="009E12D0" w:rsidRPr="00DE2EDF">
        <w:rPr>
          <w:rFonts w:eastAsia="Times New Roman" w:cs="Times New Roman"/>
          <w:iCs/>
          <w:lang w:val="en-GB"/>
        </w:rPr>
        <w:t xml:space="preserve"> allow h</w:t>
      </w:r>
      <w:r w:rsidR="00AB2C36" w:rsidRPr="00DE2EDF">
        <w:rPr>
          <w:rFonts w:eastAsia="Times New Roman" w:cs="Times New Roman"/>
          <w:iCs/>
          <w:lang w:val="en-GB"/>
        </w:rPr>
        <w:t>er</w:t>
      </w:r>
      <w:r w:rsidR="0051568A" w:rsidRPr="00DE2EDF">
        <w:rPr>
          <w:rFonts w:eastAsia="Times New Roman" w:cs="Times New Roman"/>
          <w:iCs/>
          <w:lang w:val="en-GB"/>
        </w:rPr>
        <w:t>/him</w:t>
      </w:r>
      <w:r w:rsidR="009E12D0" w:rsidRPr="00DE2EDF">
        <w:rPr>
          <w:rFonts w:eastAsia="Times New Roman" w:cs="Times New Roman"/>
          <w:iCs/>
          <w:lang w:val="en-GB"/>
        </w:rPr>
        <w:t xml:space="preserve"> a much deeper insight into the matter. Thus, the second aim of this investigation is to get a better </w:t>
      </w:r>
      <w:r w:rsidR="00280ABF" w:rsidRPr="00DE2EDF">
        <w:rPr>
          <w:rFonts w:eastAsia="Times New Roman" w:cs="Times New Roman"/>
          <w:iCs/>
          <w:lang w:val="en-GB"/>
        </w:rPr>
        <w:t xml:space="preserve">theoretical </w:t>
      </w:r>
      <w:r w:rsidR="009E12D0" w:rsidRPr="00DE2EDF">
        <w:rPr>
          <w:rFonts w:eastAsia="Times New Roman" w:cs="Times New Roman"/>
          <w:iCs/>
          <w:lang w:val="en-GB"/>
        </w:rPr>
        <w:t>understanding of administrative law as such.</w:t>
      </w:r>
    </w:p>
    <w:p w14:paraId="0F4F4EA1" w14:textId="77777777" w:rsidR="002D66C1" w:rsidRPr="00DE2EDF" w:rsidRDefault="002D66C1" w:rsidP="00DE2EDF">
      <w:pPr>
        <w:spacing w:after="0"/>
        <w:jc w:val="both"/>
        <w:rPr>
          <w:rFonts w:eastAsia="Times New Roman" w:cs="Times New Roman"/>
          <w:iCs/>
          <w:lang w:val="en-GB"/>
        </w:rPr>
      </w:pPr>
    </w:p>
    <w:p w14:paraId="708840D1" w14:textId="77777777" w:rsidR="00F977C4" w:rsidRPr="00DE2EDF" w:rsidRDefault="002D66C1" w:rsidP="00DE2EDF">
      <w:pPr>
        <w:pStyle w:val="Heading2"/>
        <w:spacing w:before="0" w:after="0" w:line="276" w:lineRule="auto"/>
        <w:ind w:left="0" w:firstLine="0"/>
        <w:rPr>
          <w:rFonts w:cs="Times New Roman"/>
          <w:szCs w:val="24"/>
          <w:lang w:val="en-GB"/>
        </w:rPr>
      </w:pPr>
      <w:bookmarkStart w:id="9" w:name="_Toc460405612"/>
      <w:r w:rsidRPr="00DE2EDF">
        <w:rPr>
          <w:rFonts w:eastAsia="Times New Roman" w:cs="Times New Roman"/>
          <w:szCs w:val="24"/>
          <w:lang w:val="en-GB"/>
        </w:rPr>
        <w:t xml:space="preserve">2. </w:t>
      </w:r>
      <w:r w:rsidR="00C43C99" w:rsidRPr="00DE2EDF">
        <w:rPr>
          <w:rFonts w:cs="Times New Roman"/>
          <w:szCs w:val="24"/>
          <w:lang w:val="en-GB"/>
        </w:rPr>
        <w:t>A Tricky Preliminary Question: D</w:t>
      </w:r>
      <w:r w:rsidR="00F977C4" w:rsidRPr="00DE2EDF">
        <w:rPr>
          <w:rFonts w:cs="Times New Roman"/>
          <w:szCs w:val="24"/>
          <w:lang w:val="en-GB"/>
        </w:rPr>
        <w:t>e</w:t>
      </w:r>
      <w:r w:rsidR="00C43C99" w:rsidRPr="00DE2EDF">
        <w:rPr>
          <w:rFonts w:cs="Times New Roman"/>
          <w:szCs w:val="24"/>
          <w:lang w:val="en-GB"/>
        </w:rPr>
        <w:t>fining ‘A</w:t>
      </w:r>
      <w:r w:rsidR="00F977C4" w:rsidRPr="00DE2EDF">
        <w:rPr>
          <w:rFonts w:cs="Times New Roman"/>
          <w:szCs w:val="24"/>
          <w:lang w:val="en-GB"/>
        </w:rPr>
        <w:t>dministrative’ and</w:t>
      </w:r>
      <w:r w:rsidR="00C43C99" w:rsidRPr="00DE2EDF">
        <w:rPr>
          <w:rFonts w:cs="Times New Roman"/>
          <w:szCs w:val="24"/>
          <w:lang w:val="en-GB"/>
        </w:rPr>
        <w:t xml:space="preserve"> ‘C</w:t>
      </w:r>
      <w:r w:rsidR="00F977C4" w:rsidRPr="00DE2EDF">
        <w:rPr>
          <w:rFonts w:cs="Times New Roman"/>
          <w:szCs w:val="24"/>
          <w:lang w:val="en-GB"/>
        </w:rPr>
        <w:t>onstitutional</w:t>
      </w:r>
      <w:r w:rsidR="00F507F2" w:rsidRPr="00DE2EDF">
        <w:rPr>
          <w:rFonts w:cs="Times New Roman"/>
          <w:szCs w:val="24"/>
          <w:lang w:val="en-GB"/>
        </w:rPr>
        <w:t>’</w:t>
      </w:r>
      <w:r w:rsidR="00C43C99" w:rsidRPr="00DE2EDF">
        <w:rPr>
          <w:rFonts w:cs="Times New Roman"/>
          <w:szCs w:val="24"/>
          <w:lang w:val="en-GB"/>
        </w:rPr>
        <w:t xml:space="preserve"> L</w:t>
      </w:r>
      <w:r w:rsidR="00F977C4" w:rsidRPr="00DE2EDF">
        <w:rPr>
          <w:rFonts w:cs="Times New Roman"/>
          <w:szCs w:val="24"/>
          <w:lang w:val="en-GB"/>
        </w:rPr>
        <w:t>aw</w:t>
      </w:r>
      <w:bookmarkEnd w:id="9"/>
    </w:p>
    <w:p w14:paraId="362B72F5" w14:textId="77777777" w:rsidR="002D66C1" w:rsidRPr="00DE2EDF" w:rsidRDefault="002D66C1" w:rsidP="00DE2EDF">
      <w:pPr>
        <w:spacing w:after="0"/>
        <w:rPr>
          <w:rFonts w:cs="Times New Roman"/>
          <w:lang w:val="en-GB"/>
        </w:rPr>
      </w:pPr>
    </w:p>
    <w:p w14:paraId="3BE60389" w14:textId="77777777" w:rsidR="009E12D0" w:rsidRPr="00DE2EDF" w:rsidRDefault="009E12D0" w:rsidP="00DE2EDF">
      <w:pPr>
        <w:spacing w:after="0"/>
        <w:jc w:val="both"/>
        <w:rPr>
          <w:rFonts w:eastAsia="Times New Roman" w:cs="Times New Roman"/>
          <w:iCs/>
          <w:lang w:val="en-GB"/>
        </w:rPr>
      </w:pPr>
      <w:bookmarkStart w:id="10" w:name="_Toc253048920"/>
      <w:bookmarkStart w:id="11" w:name="_Toc252700467"/>
      <w:bookmarkEnd w:id="10"/>
      <w:bookmarkEnd w:id="11"/>
      <w:r w:rsidRPr="00DE2EDF">
        <w:rPr>
          <w:rFonts w:eastAsia="Times New Roman" w:cs="Times New Roman"/>
          <w:iCs/>
          <w:lang w:val="en-GB"/>
        </w:rPr>
        <w:t xml:space="preserve">In such a complex area, </w:t>
      </w:r>
      <w:r w:rsidR="00CA58EA" w:rsidRPr="00DE2EDF">
        <w:rPr>
          <w:rFonts w:eastAsia="Times New Roman" w:cs="Times New Roman"/>
          <w:iCs/>
          <w:lang w:val="en-GB"/>
        </w:rPr>
        <w:t xml:space="preserve">attention </w:t>
      </w:r>
      <w:r w:rsidRPr="00DE2EDF">
        <w:rPr>
          <w:rFonts w:eastAsia="Times New Roman" w:cs="Times New Roman"/>
          <w:iCs/>
          <w:lang w:val="en-GB"/>
        </w:rPr>
        <w:t xml:space="preserve">must be </w:t>
      </w:r>
      <w:r w:rsidR="00CA58EA" w:rsidRPr="00DE2EDF">
        <w:rPr>
          <w:rFonts w:eastAsia="Times New Roman" w:cs="Times New Roman"/>
          <w:iCs/>
          <w:lang w:val="en-GB"/>
        </w:rPr>
        <w:t xml:space="preserve">paid </w:t>
      </w:r>
      <w:r w:rsidRPr="00DE2EDF">
        <w:rPr>
          <w:rFonts w:eastAsia="Times New Roman" w:cs="Times New Roman"/>
          <w:iCs/>
          <w:lang w:val="en-GB"/>
        </w:rPr>
        <w:t>to avoid falling prey to a distorted image of reality. A first taste thereof is the definition of the two terms: ‘administrative law’ and ‘constitutional law’. The demarcation of these areas of law varies depending on the country.</w:t>
      </w:r>
    </w:p>
    <w:p w14:paraId="02227325" w14:textId="77777777" w:rsidR="00ED3DAA" w:rsidRPr="00DE2EDF" w:rsidRDefault="00ED3DAA" w:rsidP="00DE2EDF">
      <w:pPr>
        <w:spacing w:after="0"/>
        <w:jc w:val="both"/>
        <w:rPr>
          <w:rFonts w:eastAsia="Times New Roman" w:cs="Times New Roman"/>
          <w:iCs/>
          <w:lang w:val="en-GB"/>
        </w:rPr>
      </w:pPr>
    </w:p>
    <w:p w14:paraId="7EA7F3C8" w14:textId="77777777" w:rsidR="00F977C4" w:rsidRPr="00DE2EDF" w:rsidRDefault="00ED3DAA" w:rsidP="00DE2EDF">
      <w:pPr>
        <w:pStyle w:val="Heading3"/>
        <w:rPr>
          <w:rFonts w:cs="Times New Roman"/>
          <w:szCs w:val="24"/>
        </w:rPr>
      </w:pPr>
      <w:bookmarkStart w:id="12" w:name="_Toc460405613"/>
      <w:r w:rsidRPr="00DE2EDF">
        <w:rPr>
          <w:rFonts w:cs="Times New Roman"/>
          <w:szCs w:val="24"/>
        </w:rPr>
        <w:t xml:space="preserve">a) </w:t>
      </w:r>
      <w:r w:rsidR="00F507F2" w:rsidRPr="00DE2EDF">
        <w:rPr>
          <w:rFonts w:cs="Times New Roman"/>
          <w:szCs w:val="24"/>
        </w:rPr>
        <w:t>An</w:t>
      </w:r>
      <w:r w:rsidR="00D24B3B" w:rsidRPr="00DE2EDF">
        <w:rPr>
          <w:rFonts w:cs="Times New Roman"/>
          <w:szCs w:val="24"/>
        </w:rPr>
        <w:t xml:space="preserve"> Asymmetrical Demarcation on the Continent (E</w:t>
      </w:r>
      <w:r w:rsidR="00F977C4" w:rsidRPr="00DE2EDF">
        <w:rPr>
          <w:rFonts w:cs="Times New Roman"/>
          <w:szCs w:val="24"/>
        </w:rPr>
        <w:t xml:space="preserve">xcept Austria and </w:t>
      </w:r>
      <w:r w:rsidR="00D24B3B" w:rsidRPr="00DE2EDF">
        <w:rPr>
          <w:rFonts w:cs="Times New Roman"/>
          <w:szCs w:val="24"/>
        </w:rPr>
        <w:t xml:space="preserve">the </w:t>
      </w:r>
      <w:r w:rsidR="00F977C4" w:rsidRPr="00DE2EDF">
        <w:rPr>
          <w:rFonts w:cs="Times New Roman"/>
          <w:szCs w:val="24"/>
        </w:rPr>
        <w:t>Netherlands)</w:t>
      </w:r>
      <w:bookmarkEnd w:id="12"/>
    </w:p>
    <w:p w14:paraId="0C403958" w14:textId="77777777" w:rsidR="00ED3DAA" w:rsidRPr="00DE2EDF" w:rsidRDefault="00ED3DAA" w:rsidP="00DE2EDF">
      <w:pPr>
        <w:spacing w:after="0"/>
        <w:rPr>
          <w:rFonts w:cs="Times New Roman"/>
          <w:lang w:val="en-GB"/>
        </w:rPr>
      </w:pPr>
    </w:p>
    <w:p w14:paraId="16E4AEED" w14:textId="77777777" w:rsidR="002D66C1" w:rsidRPr="00DE2EDF" w:rsidRDefault="009E12D0" w:rsidP="00DE2EDF">
      <w:pPr>
        <w:spacing w:after="0"/>
        <w:jc w:val="both"/>
        <w:rPr>
          <w:rFonts w:eastAsia="Times New Roman" w:cs="Times New Roman"/>
          <w:iCs/>
          <w:lang w:val="en-GB"/>
        </w:rPr>
      </w:pPr>
      <w:bookmarkStart w:id="13" w:name="_Toc253048921"/>
      <w:bookmarkStart w:id="14" w:name="_Toc252700468"/>
      <w:bookmarkEnd w:id="13"/>
      <w:bookmarkEnd w:id="14"/>
      <w:r w:rsidRPr="00DE2EDF">
        <w:rPr>
          <w:rFonts w:eastAsia="Times New Roman" w:cs="Times New Roman"/>
          <w:iCs/>
          <w:lang w:val="en-GB"/>
        </w:rPr>
        <w:t xml:space="preserve">In almost all countries on </w:t>
      </w:r>
      <w:r w:rsidR="00D24B3B" w:rsidRPr="00DE2EDF">
        <w:rPr>
          <w:rFonts w:eastAsia="Times New Roman" w:cs="Times New Roman"/>
          <w:iCs/>
          <w:lang w:val="en-GB"/>
        </w:rPr>
        <w:t>the Continent</w:t>
      </w:r>
      <w:r w:rsidRPr="00DE2EDF">
        <w:rPr>
          <w:rFonts w:eastAsia="Times New Roman" w:cs="Times New Roman"/>
          <w:iCs/>
          <w:lang w:val="en-GB"/>
        </w:rPr>
        <w:t>, which</w:t>
      </w:r>
      <w:r w:rsidR="00AB2C36" w:rsidRPr="00DE2EDF">
        <w:rPr>
          <w:rFonts w:eastAsia="Times New Roman" w:cs="Times New Roman"/>
          <w:iCs/>
          <w:lang w:val="en-GB"/>
        </w:rPr>
        <w:t>, for our topic,</w:t>
      </w:r>
      <w:r w:rsidRPr="00DE2EDF">
        <w:rPr>
          <w:rFonts w:eastAsia="Times New Roman" w:cs="Times New Roman"/>
          <w:iCs/>
          <w:lang w:val="en-GB"/>
        </w:rPr>
        <w:t xml:space="preserve"> includes Ireland, there is a general c</w:t>
      </w:r>
      <w:r w:rsidR="00D24B3B" w:rsidRPr="00DE2EDF">
        <w:rPr>
          <w:rFonts w:eastAsia="Times New Roman" w:cs="Times New Roman"/>
          <w:iCs/>
          <w:lang w:val="en-GB"/>
        </w:rPr>
        <w:t>onsensus amongst scholars that constitutional law</w:t>
      </w:r>
      <w:r w:rsidRPr="00DE2EDF">
        <w:rPr>
          <w:rFonts w:eastAsia="Times New Roman" w:cs="Times New Roman"/>
          <w:iCs/>
          <w:lang w:val="en-GB"/>
        </w:rPr>
        <w:t xml:space="preserve"> is to be defined formally</w:t>
      </w:r>
      <w:r w:rsidR="00F507F2" w:rsidRPr="00DE2EDF">
        <w:rPr>
          <w:rFonts w:eastAsia="Times New Roman" w:cs="Times New Roman"/>
          <w:iCs/>
          <w:lang w:val="en-GB"/>
        </w:rPr>
        <w:t xml:space="preserve"> (</w:t>
      </w:r>
      <w:r w:rsidRPr="00DE2EDF">
        <w:rPr>
          <w:rFonts w:eastAsia="Times New Roman" w:cs="Times New Roman"/>
          <w:iCs/>
          <w:lang w:val="en-GB"/>
        </w:rPr>
        <w:t>i.e.</w:t>
      </w:r>
      <w:r w:rsidR="00F507F2" w:rsidRPr="00DE2EDF">
        <w:rPr>
          <w:rFonts w:eastAsia="Times New Roman" w:cs="Times New Roman"/>
          <w:iCs/>
          <w:lang w:val="en-GB"/>
        </w:rPr>
        <w:t>,</w:t>
      </w:r>
      <w:r w:rsidRPr="00DE2EDF">
        <w:rPr>
          <w:rFonts w:eastAsia="Times New Roman" w:cs="Times New Roman"/>
          <w:iCs/>
          <w:lang w:val="en-GB"/>
        </w:rPr>
        <w:t xml:space="preserve"> with reference to </w:t>
      </w:r>
      <w:r w:rsidR="00841093" w:rsidRPr="00DE2EDF">
        <w:rPr>
          <w:rFonts w:eastAsia="Times New Roman" w:cs="Times New Roman"/>
          <w:iCs/>
          <w:lang w:val="en-GB"/>
        </w:rPr>
        <w:t xml:space="preserve">a certain layer of norms inside </w:t>
      </w:r>
      <w:r w:rsidRPr="00DE2EDF">
        <w:rPr>
          <w:rFonts w:eastAsia="Times New Roman" w:cs="Times New Roman"/>
          <w:iCs/>
          <w:lang w:val="en-GB"/>
        </w:rPr>
        <w:t>the hierarchy of norms</w:t>
      </w:r>
      <w:r w:rsidR="00F507F2" w:rsidRPr="00DE2EDF">
        <w:rPr>
          <w:rFonts w:eastAsia="Times New Roman" w:cs="Times New Roman"/>
          <w:iCs/>
          <w:lang w:val="en-GB"/>
        </w:rPr>
        <w:t>)</w:t>
      </w:r>
      <w:r w:rsidRPr="00DE2EDF">
        <w:rPr>
          <w:rFonts w:eastAsia="Times New Roman" w:cs="Times New Roman"/>
          <w:iCs/>
          <w:lang w:val="en-GB"/>
        </w:rPr>
        <w:t>. Constitutional law comprehends all norms embedded in</w:t>
      </w:r>
      <w:r w:rsidR="00841093" w:rsidRPr="00DE2EDF">
        <w:rPr>
          <w:rFonts w:eastAsia="Times New Roman" w:cs="Times New Roman"/>
          <w:iCs/>
          <w:lang w:val="en-GB"/>
        </w:rPr>
        <w:t xml:space="preserve"> one or several</w:t>
      </w:r>
      <w:r w:rsidRPr="00DE2EDF">
        <w:rPr>
          <w:rFonts w:eastAsia="Times New Roman" w:cs="Times New Roman"/>
          <w:iCs/>
          <w:lang w:val="en-GB"/>
        </w:rPr>
        <w:t xml:space="preserve"> written documents entitled ‘Constitution’, ‘Basic Law’, ‘</w:t>
      </w:r>
      <w:r w:rsidR="009D2894" w:rsidRPr="00DE2EDF">
        <w:rPr>
          <w:rFonts w:eastAsia="Times New Roman" w:cs="Times New Roman"/>
          <w:iCs/>
          <w:lang w:val="en-GB"/>
        </w:rPr>
        <w:t>Instrument of Government</w:t>
      </w:r>
      <w:r w:rsidRPr="00DE2EDF">
        <w:rPr>
          <w:rFonts w:eastAsia="Times New Roman" w:cs="Times New Roman"/>
          <w:iCs/>
          <w:lang w:val="en-GB"/>
        </w:rPr>
        <w:t>’</w:t>
      </w:r>
      <w:r w:rsidR="00337482" w:rsidRPr="00DE2EDF">
        <w:rPr>
          <w:rFonts w:eastAsia="Times New Roman" w:cs="Times New Roman"/>
          <w:iCs/>
          <w:lang w:val="en-GB"/>
        </w:rPr>
        <w:t>,</w:t>
      </w:r>
      <w:r w:rsidRPr="00DE2EDF">
        <w:rPr>
          <w:rFonts w:eastAsia="Times New Roman" w:cs="Times New Roman"/>
          <w:iCs/>
          <w:lang w:val="en-GB"/>
        </w:rPr>
        <w:t xml:space="preserve"> etc. that enjoy a higher rank than ordinary statutes. A minor problem results from the fact that </w:t>
      </w:r>
      <w:r w:rsidR="001323BF" w:rsidRPr="00DE2EDF">
        <w:rPr>
          <w:rFonts w:eastAsia="Times New Roman" w:cs="Times New Roman"/>
          <w:iCs/>
          <w:lang w:val="en-GB"/>
        </w:rPr>
        <w:t>a</w:t>
      </w:r>
      <w:r w:rsidR="00D24B3B" w:rsidRPr="00DE2EDF">
        <w:rPr>
          <w:rFonts w:eastAsia="Times New Roman" w:cs="Times New Roman"/>
          <w:iCs/>
          <w:lang w:val="en-GB"/>
        </w:rPr>
        <w:t xml:space="preserve"> substantive definition of </w:t>
      </w:r>
      <w:r w:rsidR="006F5AD0" w:rsidRPr="00DE2EDF">
        <w:rPr>
          <w:rFonts w:eastAsia="Times New Roman" w:cs="Times New Roman"/>
          <w:iCs/>
          <w:lang w:val="en-GB"/>
        </w:rPr>
        <w:t>c</w:t>
      </w:r>
      <w:r w:rsidRPr="00DE2EDF">
        <w:rPr>
          <w:rFonts w:eastAsia="Times New Roman" w:cs="Times New Roman"/>
          <w:iCs/>
          <w:lang w:val="en-GB"/>
        </w:rPr>
        <w:t>onstitution</w:t>
      </w:r>
      <w:r w:rsidR="00293C83" w:rsidRPr="00DE2EDF">
        <w:rPr>
          <w:rFonts w:eastAsia="Times New Roman" w:cs="Times New Roman"/>
          <w:iCs/>
          <w:lang w:val="en-GB"/>
        </w:rPr>
        <w:t>al law</w:t>
      </w:r>
      <w:r w:rsidRPr="00DE2EDF">
        <w:rPr>
          <w:rFonts w:eastAsia="Times New Roman" w:cs="Times New Roman"/>
          <w:iCs/>
          <w:lang w:val="en-GB"/>
        </w:rPr>
        <w:t xml:space="preserve"> is </w:t>
      </w:r>
      <w:r w:rsidR="001323BF" w:rsidRPr="00DE2EDF">
        <w:rPr>
          <w:rFonts w:eastAsia="Times New Roman" w:cs="Times New Roman"/>
          <w:iCs/>
          <w:lang w:val="en-GB"/>
        </w:rPr>
        <w:t xml:space="preserve">also </w:t>
      </w:r>
      <w:r w:rsidRPr="00DE2EDF">
        <w:rPr>
          <w:rFonts w:eastAsia="Times New Roman" w:cs="Times New Roman"/>
          <w:iCs/>
          <w:lang w:val="en-GB"/>
        </w:rPr>
        <w:t xml:space="preserve">still present in scholarly debate in these </w:t>
      </w:r>
      <w:r w:rsidR="007E56A7" w:rsidRPr="00DE2EDF">
        <w:rPr>
          <w:rFonts w:eastAsia="Times New Roman" w:cs="Times New Roman"/>
          <w:iCs/>
          <w:lang w:val="en-GB"/>
        </w:rPr>
        <w:t>countries</w:t>
      </w:r>
      <w:r w:rsidRPr="00DE2EDF">
        <w:rPr>
          <w:rFonts w:eastAsia="Times New Roman" w:cs="Times New Roman"/>
          <w:iCs/>
          <w:lang w:val="en-GB"/>
        </w:rPr>
        <w:t xml:space="preserve"> and contributes to the shaping of positive law.</w:t>
      </w:r>
      <w:bookmarkStart w:id="15" w:name="_ftnref4"/>
      <w:r w:rsidRPr="00DE2EDF">
        <w:rPr>
          <w:rStyle w:val="FootnoteReference"/>
          <w:rFonts w:eastAsia="Times New Roman" w:cs="Times New Roman"/>
          <w:iCs/>
          <w:lang w:val="en-GB"/>
        </w:rPr>
        <w:footnoteReference w:id="7"/>
      </w:r>
      <w:bookmarkEnd w:id="15"/>
      <w:r w:rsidRPr="00DE2EDF">
        <w:rPr>
          <w:rFonts w:eastAsia="Times New Roman" w:cs="Times New Roman"/>
          <w:iCs/>
          <w:lang w:val="en-GB"/>
        </w:rPr>
        <w:t xml:space="preserve"> </w:t>
      </w:r>
      <w:r w:rsidR="00B30E95" w:rsidRPr="00DE2EDF">
        <w:rPr>
          <w:rFonts w:eastAsia="Times New Roman" w:cs="Times New Roman"/>
          <w:iCs/>
          <w:lang w:val="en-GB"/>
        </w:rPr>
        <w:t xml:space="preserve">However, the </w:t>
      </w:r>
      <w:r w:rsidRPr="00DE2EDF">
        <w:rPr>
          <w:rFonts w:eastAsia="Times New Roman" w:cs="Times New Roman"/>
          <w:iCs/>
          <w:lang w:val="en-GB"/>
        </w:rPr>
        <w:t>greatest difficulty is that, on the basis of the hierarchical criterion, constitutional law is not distinguished fro</w:t>
      </w:r>
      <w:r w:rsidR="00D24B3B" w:rsidRPr="00DE2EDF">
        <w:rPr>
          <w:rFonts w:eastAsia="Times New Roman" w:cs="Times New Roman"/>
          <w:iCs/>
          <w:lang w:val="en-GB"/>
        </w:rPr>
        <w:t>m administrative law, but from ordinary</w:t>
      </w:r>
      <w:r w:rsidRPr="00DE2EDF">
        <w:rPr>
          <w:rFonts w:eastAsia="Times New Roman" w:cs="Times New Roman"/>
          <w:iCs/>
          <w:lang w:val="en-GB"/>
        </w:rPr>
        <w:t xml:space="preserve"> law</w:t>
      </w:r>
      <w:r w:rsidR="00293C83" w:rsidRPr="00DE2EDF">
        <w:rPr>
          <w:rFonts w:eastAsia="Times New Roman" w:cs="Times New Roman"/>
          <w:iCs/>
          <w:lang w:val="en-GB"/>
        </w:rPr>
        <w:t>. T</w:t>
      </w:r>
      <w:r w:rsidRPr="00DE2EDF">
        <w:rPr>
          <w:rFonts w:eastAsia="Times New Roman" w:cs="Times New Roman"/>
          <w:iCs/>
          <w:lang w:val="en-GB"/>
        </w:rPr>
        <w:t xml:space="preserve">he term ‘ordinary law’ (from the German </w:t>
      </w:r>
      <w:r w:rsidR="00015328" w:rsidRPr="00DE2EDF">
        <w:rPr>
          <w:rFonts w:eastAsia="Times New Roman" w:cs="Times New Roman"/>
          <w:iCs/>
          <w:lang w:val="en-GB"/>
        </w:rPr>
        <w:t>‘</w:t>
      </w:r>
      <w:r w:rsidRPr="00DE2EDF">
        <w:rPr>
          <w:rFonts w:eastAsia="Times New Roman" w:cs="Times New Roman"/>
          <w:i/>
          <w:iCs/>
          <w:lang w:val="en-GB"/>
        </w:rPr>
        <w:t>einfache</w:t>
      </w:r>
      <w:r w:rsidR="00CA58EA" w:rsidRPr="00DE2EDF">
        <w:rPr>
          <w:rFonts w:eastAsia="Times New Roman" w:cs="Times New Roman"/>
          <w:i/>
          <w:iCs/>
          <w:lang w:val="en-GB"/>
        </w:rPr>
        <w:t>s</w:t>
      </w:r>
      <w:r w:rsidRPr="00DE2EDF">
        <w:rPr>
          <w:rFonts w:eastAsia="Times New Roman" w:cs="Times New Roman"/>
          <w:i/>
          <w:iCs/>
          <w:lang w:val="en-GB"/>
        </w:rPr>
        <w:t xml:space="preserve"> Recht</w:t>
      </w:r>
      <w:r w:rsidR="00015328" w:rsidRPr="00DE2EDF">
        <w:rPr>
          <w:rFonts w:eastAsia="Times New Roman" w:cs="Times New Roman"/>
          <w:iCs/>
          <w:lang w:val="en-GB"/>
        </w:rPr>
        <w:t>’</w:t>
      </w:r>
      <w:r w:rsidRPr="00DE2EDF">
        <w:rPr>
          <w:rFonts w:eastAsia="Times New Roman" w:cs="Times New Roman"/>
          <w:iCs/>
          <w:lang w:val="en-GB"/>
        </w:rPr>
        <w:t>) mean</w:t>
      </w:r>
      <w:r w:rsidR="00293C83" w:rsidRPr="00DE2EDF">
        <w:rPr>
          <w:rFonts w:eastAsia="Times New Roman" w:cs="Times New Roman"/>
          <w:iCs/>
          <w:lang w:val="en-GB"/>
        </w:rPr>
        <w:t>s</w:t>
      </w:r>
      <w:r w:rsidRPr="00DE2EDF">
        <w:rPr>
          <w:rFonts w:eastAsia="Times New Roman" w:cs="Times New Roman"/>
          <w:iCs/>
          <w:lang w:val="en-GB"/>
        </w:rPr>
        <w:t xml:space="preserve"> in this context ‘the mass of all sub-constitutional norms’. </w:t>
      </w:r>
      <w:r w:rsidR="00293C83" w:rsidRPr="00DE2EDF">
        <w:rPr>
          <w:rFonts w:eastAsia="Times New Roman" w:cs="Times New Roman"/>
          <w:iCs/>
          <w:lang w:val="en-GB"/>
        </w:rPr>
        <w:t>Thus, o</w:t>
      </w:r>
      <w:r w:rsidRPr="00DE2EDF">
        <w:rPr>
          <w:rFonts w:eastAsia="Times New Roman" w:cs="Times New Roman"/>
          <w:iCs/>
          <w:lang w:val="en-GB"/>
        </w:rPr>
        <w:t>n the basis of the hierarchy of norms, the binomial ‘constitutional law and administrative law’, a</w:t>
      </w:r>
      <w:r w:rsidR="002D66C1" w:rsidRPr="00DE2EDF">
        <w:rPr>
          <w:rFonts w:eastAsia="Times New Roman" w:cs="Times New Roman"/>
          <w:iCs/>
          <w:lang w:val="en-GB"/>
        </w:rPr>
        <w:t>t first glance, makes no sense.</w:t>
      </w:r>
    </w:p>
    <w:p w14:paraId="5E177849" w14:textId="77777777" w:rsidR="002D66C1" w:rsidRPr="00DE2EDF" w:rsidRDefault="002D66C1" w:rsidP="00DE2EDF">
      <w:pPr>
        <w:spacing w:after="0"/>
        <w:jc w:val="both"/>
        <w:rPr>
          <w:rFonts w:eastAsia="Times New Roman" w:cs="Times New Roman"/>
          <w:iCs/>
          <w:lang w:val="en-GB"/>
        </w:rPr>
      </w:pPr>
    </w:p>
    <w:p w14:paraId="456E7F95"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Understood as a strict distinction, the phrase ‘constitutional law and administrative law’ only makes sense if administrative law is also defined by its </w:t>
      </w:r>
      <w:r w:rsidR="00293C83" w:rsidRPr="00DE2EDF">
        <w:rPr>
          <w:rFonts w:eastAsia="Times New Roman" w:cs="Times New Roman"/>
          <w:iCs/>
          <w:lang w:val="en-GB"/>
        </w:rPr>
        <w:t xml:space="preserve">formal </w:t>
      </w:r>
      <w:r w:rsidRPr="00DE2EDF">
        <w:rPr>
          <w:rFonts w:eastAsia="Times New Roman" w:cs="Times New Roman"/>
          <w:iCs/>
          <w:lang w:val="en-GB"/>
        </w:rPr>
        <w:t>sources. Two hypotheses may be considered</w:t>
      </w:r>
      <w:r w:rsidR="006F5AD0" w:rsidRPr="00DE2EDF">
        <w:rPr>
          <w:rFonts w:eastAsia="Times New Roman" w:cs="Times New Roman"/>
          <w:iCs/>
          <w:lang w:val="en-GB"/>
        </w:rPr>
        <w:t>:</w:t>
      </w:r>
      <w:r w:rsidRPr="00DE2EDF">
        <w:rPr>
          <w:rFonts w:eastAsia="Times New Roman" w:cs="Times New Roman"/>
          <w:iCs/>
          <w:lang w:val="en-GB"/>
        </w:rPr>
        <w:t xml:space="preserve"> (</w:t>
      </w:r>
      <w:r w:rsidR="001E232F" w:rsidRPr="00DE2EDF">
        <w:rPr>
          <w:rFonts w:eastAsia="Times New Roman" w:cs="Times New Roman"/>
          <w:iCs/>
          <w:lang w:val="en-GB"/>
        </w:rPr>
        <w:t>a</w:t>
      </w:r>
      <w:r w:rsidRPr="00DE2EDF">
        <w:rPr>
          <w:rFonts w:eastAsia="Times New Roman" w:cs="Times New Roman"/>
          <w:iCs/>
          <w:lang w:val="en-GB"/>
        </w:rPr>
        <w:t>)</w:t>
      </w:r>
      <w:r w:rsidR="00B30E95" w:rsidRPr="00DE2EDF">
        <w:rPr>
          <w:rFonts w:eastAsia="Times New Roman" w:cs="Times New Roman"/>
          <w:iCs/>
          <w:lang w:val="en-GB"/>
        </w:rPr>
        <w:t> </w:t>
      </w:r>
      <w:r w:rsidRPr="00DE2EDF">
        <w:rPr>
          <w:rFonts w:eastAsia="Times New Roman" w:cs="Times New Roman"/>
          <w:iCs/>
          <w:lang w:val="en-GB"/>
        </w:rPr>
        <w:t xml:space="preserve">Administrative law consists only of sub-constitutional </w:t>
      </w:r>
      <w:r w:rsidR="00293C83" w:rsidRPr="00DE2EDF">
        <w:rPr>
          <w:rFonts w:eastAsia="Times New Roman" w:cs="Times New Roman"/>
          <w:iCs/>
          <w:lang w:val="en-GB"/>
        </w:rPr>
        <w:t>norms</w:t>
      </w:r>
      <w:r w:rsidRPr="00DE2EDF">
        <w:rPr>
          <w:rFonts w:eastAsia="Times New Roman" w:cs="Times New Roman"/>
          <w:iCs/>
          <w:lang w:val="en-GB"/>
        </w:rPr>
        <w:t xml:space="preserve"> </w:t>
      </w:r>
      <w:r w:rsidR="00293C83" w:rsidRPr="00DE2EDF">
        <w:rPr>
          <w:rFonts w:eastAsia="Times New Roman" w:cs="Times New Roman"/>
          <w:iCs/>
          <w:lang w:val="en-GB"/>
        </w:rPr>
        <w:t>because</w:t>
      </w:r>
      <w:r w:rsidRPr="00DE2EDF">
        <w:rPr>
          <w:rFonts w:eastAsia="Times New Roman" w:cs="Times New Roman"/>
          <w:iCs/>
          <w:lang w:val="en-GB"/>
        </w:rPr>
        <w:t xml:space="preserve"> the Constitution </w:t>
      </w:r>
      <w:r w:rsidR="001E232F" w:rsidRPr="00DE2EDF">
        <w:rPr>
          <w:rFonts w:eastAsia="Times New Roman" w:cs="Times New Roman"/>
          <w:iCs/>
          <w:lang w:val="en-GB"/>
        </w:rPr>
        <w:t>contains</w:t>
      </w:r>
      <w:r w:rsidRPr="00DE2EDF">
        <w:rPr>
          <w:rFonts w:eastAsia="Times New Roman" w:cs="Times New Roman"/>
          <w:iCs/>
          <w:lang w:val="en-GB"/>
        </w:rPr>
        <w:t xml:space="preserve"> </w:t>
      </w:r>
      <w:r w:rsidRPr="00DE2EDF">
        <w:rPr>
          <w:rFonts w:eastAsia="Times New Roman" w:cs="Times New Roman"/>
          <w:lang w:val="en-GB"/>
        </w:rPr>
        <w:t>absolutely no</w:t>
      </w:r>
      <w:r w:rsidRPr="00DE2EDF">
        <w:rPr>
          <w:rFonts w:eastAsia="Times New Roman" w:cs="Times New Roman"/>
          <w:iCs/>
          <w:lang w:val="en-GB"/>
        </w:rPr>
        <w:t xml:space="preserve"> </w:t>
      </w:r>
      <w:r w:rsidR="001E232F" w:rsidRPr="00DE2EDF">
        <w:rPr>
          <w:rFonts w:eastAsia="Times New Roman" w:cs="Times New Roman"/>
          <w:iCs/>
          <w:lang w:val="en-GB"/>
        </w:rPr>
        <w:t>norm</w:t>
      </w:r>
      <w:r w:rsidR="00B10AD8" w:rsidRPr="00DE2EDF">
        <w:rPr>
          <w:rFonts w:eastAsia="Times New Roman" w:cs="Times New Roman"/>
          <w:iCs/>
          <w:lang w:val="en-GB"/>
        </w:rPr>
        <w:t>s</w:t>
      </w:r>
      <w:r w:rsidRPr="00DE2EDF">
        <w:rPr>
          <w:rFonts w:eastAsia="Times New Roman" w:cs="Times New Roman"/>
          <w:iCs/>
          <w:lang w:val="en-GB"/>
        </w:rPr>
        <w:t xml:space="preserve"> </w:t>
      </w:r>
      <w:r w:rsidR="006F5AD0" w:rsidRPr="00DE2EDF">
        <w:rPr>
          <w:rFonts w:eastAsia="Times New Roman" w:cs="Times New Roman"/>
          <w:iCs/>
          <w:lang w:val="en-GB"/>
        </w:rPr>
        <w:t xml:space="preserve">with respect </w:t>
      </w:r>
      <w:r w:rsidRPr="00DE2EDF">
        <w:rPr>
          <w:rFonts w:eastAsia="Times New Roman" w:cs="Times New Roman"/>
          <w:iCs/>
          <w:lang w:val="en-GB"/>
        </w:rPr>
        <w:t xml:space="preserve">to </w:t>
      </w:r>
      <w:r w:rsidR="007B07DD" w:rsidRPr="00DE2EDF">
        <w:rPr>
          <w:rFonts w:eastAsia="Times New Roman" w:cs="Times New Roman"/>
          <w:iCs/>
          <w:lang w:val="en-GB"/>
        </w:rPr>
        <w:t xml:space="preserve">public </w:t>
      </w:r>
      <w:r w:rsidRPr="00DE2EDF">
        <w:rPr>
          <w:rFonts w:eastAsia="Times New Roman" w:cs="Times New Roman"/>
          <w:iCs/>
          <w:lang w:val="en-GB"/>
        </w:rPr>
        <w:t>administration. This hypothesis does not reflect reality (more on that later); therefore, it may be neglected. (</w:t>
      </w:r>
      <w:r w:rsidR="001E232F" w:rsidRPr="00DE2EDF">
        <w:rPr>
          <w:rFonts w:eastAsia="Times New Roman" w:cs="Times New Roman"/>
          <w:iCs/>
          <w:lang w:val="en-GB"/>
        </w:rPr>
        <w:t>b</w:t>
      </w:r>
      <w:r w:rsidRPr="00DE2EDF">
        <w:rPr>
          <w:rFonts w:eastAsia="Times New Roman" w:cs="Times New Roman"/>
          <w:iCs/>
          <w:lang w:val="en-GB"/>
        </w:rPr>
        <w:t>)</w:t>
      </w:r>
      <w:r w:rsidR="00B30E95" w:rsidRPr="00DE2EDF">
        <w:rPr>
          <w:rFonts w:eastAsia="Times New Roman" w:cs="Times New Roman"/>
          <w:iCs/>
          <w:lang w:val="en-GB"/>
        </w:rPr>
        <w:t> </w:t>
      </w:r>
      <w:r w:rsidRPr="00DE2EDF">
        <w:rPr>
          <w:rFonts w:eastAsia="Times New Roman" w:cs="Times New Roman"/>
          <w:iCs/>
          <w:lang w:val="en-GB"/>
        </w:rPr>
        <w:t xml:space="preserve">The Constitution includes standards regarding the structure, functions, powers, staff, and/or means of public administration; however, these norms are classified exclusively under the label ‘constitutional law’ and are not considered to also be part of </w:t>
      </w:r>
      <w:r w:rsidR="007B07DD" w:rsidRPr="00DE2EDF">
        <w:rPr>
          <w:rFonts w:eastAsia="Times New Roman" w:cs="Times New Roman"/>
          <w:iCs/>
          <w:lang w:val="en-GB"/>
        </w:rPr>
        <w:t>‘</w:t>
      </w:r>
      <w:r w:rsidRPr="00DE2EDF">
        <w:rPr>
          <w:rFonts w:eastAsia="Times New Roman" w:cs="Times New Roman"/>
          <w:iCs/>
          <w:lang w:val="en-GB"/>
        </w:rPr>
        <w:t>administrative law</w:t>
      </w:r>
      <w:r w:rsidR="007B07DD" w:rsidRPr="00DE2EDF">
        <w:rPr>
          <w:rFonts w:eastAsia="Times New Roman" w:cs="Times New Roman"/>
          <w:iCs/>
          <w:lang w:val="en-GB"/>
        </w:rPr>
        <w:t>’</w:t>
      </w:r>
      <w:r w:rsidRPr="00DE2EDF">
        <w:rPr>
          <w:rFonts w:eastAsia="Times New Roman" w:cs="Times New Roman"/>
          <w:iCs/>
          <w:lang w:val="en-GB"/>
        </w:rPr>
        <w:t xml:space="preserve">. This reasoning currently prevails in Austria: the contemporary doctrinal definition of administrative law in Austria relies on the traditional distinction between </w:t>
      </w:r>
      <w:r w:rsidRPr="00DE2EDF">
        <w:rPr>
          <w:rFonts w:eastAsia="Times New Roman" w:cs="Times New Roman"/>
          <w:i/>
          <w:iCs/>
          <w:lang w:val="en-GB"/>
        </w:rPr>
        <w:t>Justizrecht</w:t>
      </w:r>
      <w:r w:rsidRPr="00DE2EDF">
        <w:rPr>
          <w:rFonts w:eastAsia="Times New Roman" w:cs="Times New Roman"/>
          <w:iCs/>
          <w:lang w:val="en-GB"/>
        </w:rPr>
        <w:t xml:space="preserve"> (lit</w:t>
      </w:r>
      <w:r w:rsidR="005615F1" w:rsidRPr="00DE2EDF">
        <w:rPr>
          <w:rFonts w:eastAsia="Times New Roman" w:cs="Times New Roman"/>
          <w:iCs/>
          <w:lang w:val="en-GB"/>
        </w:rPr>
        <w:t>erally,</w:t>
      </w:r>
      <w:r w:rsidRPr="00DE2EDF">
        <w:rPr>
          <w:rFonts w:eastAsia="Times New Roman" w:cs="Times New Roman"/>
          <w:iCs/>
          <w:lang w:val="en-GB"/>
        </w:rPr>
        <w:t xml:space="preserve"> the </w:t>
      </w:r>
      <w:r w:rsidR="006933F2" w:rsidRPr="00DE2EDF">
        <w:rPr>
          <w:rFonts w:eastAsia="Times New Roman" w:cs="Times New Roman"/>
          <w:iCs/>
          <w:lang w:val="en-GB"/>
        </w:rPr>
        <w:t>judiciary law</w:t>
      </w:r>
      <w:r w:rsidRPr="00DE2EDF">
        <w:rPr>
          <w:rFonts w:eastAsia="Times New Roman" w:cs="Times New Roman"/>
          <w:iCs/>
          <w:lang w:val="en-GB"/>
        </w:rPr>
        <w:t>, i.e.</w:t>
      </w:r>
      <w:r w:rsidR="006F5AD0" w:rsidRPr="00DE2EDF">
        <w:rPr>
          <w:rFonts w:eastAsia="Times New Roman" w:cs="Times New Roman"/>
          <w:iCs/>
          <w:lang w:val="en-GB"/>
        </w:rPr>
        <w:t>,</w:t>
      </w:r>
      <w:r w:rsidRPr="00DE2EDF">
        <w:rPr>
          <w:rFonts w:eastAsia="Times New Roman" w:cs="Times New Roman"/>
          <w:iCs/>
          <w:lang w:val="en-GB"/>
        </w:rPr>
        <w:t xml:space="preserve"> law applied by the civil courts of justice) and </w:t>
      </w:r>
      <w:r w:rsidRPr="00DE2EDF">
        <w:rPr>
          <w:rFonts w:eastAsia="Times New Roman" w:cs="Times New Roman"/>
          <w:i/>
          <w:iCs/>
          <w:lang w:val="en-GB"/>
        </w:rPr>
        <w:t>politisches Recht</w:t>
      </w:r>
      <w:r w:rsidRPr="00DE2EDF">
        <w:rPr>
          <w:rFonts w:eastAsia="Times New Roman" w:cs="Times New Roman"/>
          <w:iCs/>
          <w:lang w:val="en-GB"/>
        </w:rPr>
        <w:t xml:space="preserve"> (</w:t>
      </w:r>
      <w:r w:rsidR="005615F1" w:rsidRPr="00DE2EDF">
        <w:rPr>
          <w:rFonts w:eastAsia="Times New Roman" w:cs="Times New Roman"/>
          <w:iCs/>
          <w:lang w:val="en-GB"/>
        </w:rPr>
        <w:t>literally,</w:t>
      </w:r>
      <w:r w:rsidRPr="00DE2EDF">
        <w:rPr>
          <w:rFonts w:eastAsia="Times New Roman" w:cs="Times New Roman"/>
          <w:iCs/>
          <w:lang w:val="en-GB"/>
        </w:rPr>
        <w:t xml:space="preserve"> political law, </w:t>
      </w:r>
      <w:r w:rsidR="005615F1" w:rsidRPr="00DE2EDF">
        <w:rPr>
          <w:rFonts w:eastAsia="Times New Roman" w:cs="Times New Roman"/>
          <w:iCs/>
          <w:lang w:val="en-GB"/>
        </w:rPr>
        <w:lastRenderedPageBreak/>
        <w:t xml:space="preserve">which is </w:t>
      </w:r>
      <w:r w:rsidRPr="00DE2EDF">
        <w:rPr>
          <w:rFonts w:eastAsia="Times New Roman" w:cs="Times New Roman"/>
          <w:iCs/>
          <w:lang w:val="en-GB"/>
        </w:rPr>
        <w:t xml:space="preserve">law applied by administrative bodies, administrative law </w:t>
      </w:r>
      <w:r w:rsidRPr="00DE2EDF">
        <w:rPr>
          <w:rFonts w:eastAsia="Times New Roman" w:cs="Times New Roman"/>
          <w:i/>
          <w:lang w:val="en-GB"/>
        </w:rPr>
        <w:t>lato sensu</w:t>
      </w:r>
      <w:r w:rsidRPr="00DE2EDF">
        <w:rPr>
          <w:rFonts w:eastAsia="Times New Roman" w:cs="Times New Roman"/>
          <w:iCs/>
          <w:lang w:val="en-GB"/>
        </w:rPr>
        <w:t>).</w:t>
      </w:r>
      <w:bookmarkStart w:id="16" w:name="_ftnref5"/>
      <w:r w:rsidRPr="00DE2EDF">
        <w:rPr>
          <w:rStyle w:val="FootnoteReference"/>
          <w:rFonts w:eastAsia="Times New Roman" w:cs="Times New Roman"/>
          <w:iCs/>
          <w:lang w:val="en-GB"/>
        </w:rPr>
        <w:footnoteReference w:id="8"/>
      </w:r>
      <w:bookmarkEnd w:id="16"/>
      <w:r w:rsidRPr="00DE2EDF">
        <w:rPr>
          <w:rFonts w:eastAsia="Times New Roman" w:cs="Times New Roman"/>
          <w:iCs/>
          <w:lang w:val="en-GB"/>
        </w:rPr>
        <w:t xml:space="preserve"> This first criterion is supplemented by a second: the hierarchy of norms. From the mass of administrative law </w:t>
      </w:r>
      <w:r w:rsidRPr="00DE2EDF">
        <w:rPr>
          <w:rFonts w:eastAsia="Times New Roman" w:cs="Times New Roman"/>
          <w:i/>
          <w:iCs/>
          <w:lang w:val="en-GB"/>
        </w:rPr>
        <w:t xml:space="preserve">lato sensu </w:t>
      </w:r>
      <w:r w:rsidRPr="00DE2EDF">
        <w:rPr>
          <w:rFonts w:eastAsia="Times New Roman" w:cs="Times New Roman"/>
          <w:iCs/>
          <w:lang w:val="en-GB"/>
        </w:rPr>
        <w:t>are excluded all norms of constitutional ranking.</w:t>
      </w:r>
      <w:r w:rsidRPr="00DE2EDF">
        <w:rPr>
          <w:rFonts w:eastAsia="Times New Roman" w:cs="Times New Roman"/>
          <w:i/>
          <w:iCs/>
          <w:lang w:val="en-GB"/>
        </w:rPr>
        <w:t xml:space="preserve"> </w:t>
      </w:r>
      <w:r w:rsidRPr="00DE2EDF">
        <w:rPr>
          <w:rFonts w:eastAsia="Times New Roman" w:cs="Times New Roman"/>
          <w:iCs/>
          <w:lang w:val="en-GB"/>
        </w:rPr>
        <w:t xml:space="preserve">The result is administrative law </w:t>
      </w:r>
      <w:r w:rsidRPr="00DE2EDF">
        <w:rPr>
          <w:rFonts w:eastAsia="Times New Roman" w:cs="Times New Roman"/>
          <w:i/>
          <w:lang w:val="en-GB"/>
        </w:rPr>
        <w:t>stricto sensu</w:t>
      </w:r>
      <w:r w:rsidRPr="00DE2EDF">
        <w:rPr>
          <w:rFonts w:eastAsia="Times New Roman" w:cs="Times New Roman"/>
          <w:iCs/>
          <w:lang w:val="en-GB"/>
        </w:rPr>
        <w:t>,</w:t>
      </w:r>
      <w:r w:rsidR="00D24B3B" w:rsidRPr="00DE2EDF">
        <w:rPr>
          <w:rFonts w:eastAsia="Times New Roman" w:cs="Times New Roman"/>
          <w:iCs/>
          <w:lang w:val="en-GB"/>
        </w:rPr>
        <w:t xml:space="preserve"> which is the usual meaning of </w:t>
      </w:r>
      <w:r w:rsidR="007B07DD" w:rsidRPr="00DE2EDF">
        <w:rPr>
          <w:rFonts w:eastAsia="Times New Roman" w:cs="Times New Roman"/>
          <w:i/>
          <w:iCs/>
        </w:rPr>
        <w:t>Verwaltungsrecht</w:t>
      </w:r>
      <w:r w:rsidR="007B07DD" w:rsidRPr="00DE2EDF">
        <w:rPr>
          <w:rFonts w:eastAsia="Times New Roman" w:cs="Times New Roman"/>
          <w:iCs/>
          <w:lang w:val="en-GB"/>
        </w:rPr>
        <w:t xml:space="preserve"> (</w:t>
      </w:r>
      <w:r w:rsidRPr="00DE2EDF">
        <w:rPr>
          <w:rFonts w:eastAsia="Times New Roman" w:cs="Times New Roman"/>
          <w:iCs/>
          <w:lang w:val="en-GB"/>
        </w:rPr>
        <w:t>administrative law</w:t>
      </w:r>
      <w:r w:rsidR="007B07DD" w:rsidRPr="00DE2EDF">
        <w:rPr>
          <w:rFonts w:eastAsia="Times New Roman" w:cs="Times New Roman"/>
          <w:iCs/>
          <w:lang w:val="en-GB"/>
        </w:rPr>
        <w:t>)</w:t>
      </w:r>
      <w:r w:rsidRPr="00DE2EDF">
        <w:rPr>
          <w:rFonts w:eastAsia="Times New Roman" w:cs="Times New Roman"/>
          <w:iCs/>
          <w:lang w:val="en-GB"/>
        </w:rPr>
        <w:t xml:space="preserve"> amongst Austrian legal scholars and practitioners. Overall, according to this classification, three groups of legal norms</w:t>
      </w:r>
      <w:r w:rsidR="007B07DD" w:rsidRPr="00DE2EDF">
        <w:rPr>
          <w:rFonts w:eastAsia="Times New Roman" w:cs="Times New Roman"/>
          <w:iCs/>
          <w:lang w:val="en-GB"/>
        </w:rPr>
        <w:t xml:space="preserve"> arise,</w:t>
      </w:r>
      <w:r w:rsidR="00B10AD8" w:rsidRPr="00DE2EDF">
        <w:rPr>
          <w:rFonts w:eastAsia="Times New Roman" w:cs="Times New Roman"/>
          <w:iCs/>
          <w:lang w:val="en-GB"/>
        </w:rPr>
        <w:t xml:space="preserve"> which </w:t>
      </w:r>
      <w:r w:rsidRPr="00DE2EDF">
        <w:rPr>
          <w:rFonts w:eastAsia="Times New Roman" w:cs="Times New Roman"/>
          <w:iCs/>
          <w:lang w:val="en-GB"/>
        </w:rPr>
        <w:t>are, at first glance, strictly separated</w:t>
      </w:r>
      <w:r w:rsidR="00B10AD8" w:rsidRPr="00DE2EDF">
        <w:rPr>
          <w:rFonts w:eastAsia="Times New Roman" w:cs="Times New Roman"/>
          <w:iCs/>
          <w:lang w:val="en-GB"/>
        </w:rPr>
        <w:t>,</w:t>
      </w:r>
      <w:r w:rsidRPr="00DE2EDF">
        <w:rPr>
          <w:rFonts w:eastAsia="Times New Roman" w:cs="Times New Roman"/>
          <w:iCs/>
          <w:lang w:val="en-GB"/>
        </w:rPr>
        <w:t xml:space="preserve"> both hierarchically and analytically, withou</w:t>
      </w:r>
      <w:r w:rsidR="00D24B3B" w:rsidRPr="00DE2EDF">
        <w:rPr>
          <w:rFonts w:eastAsia="Times New Roman" w:cs="Times New Roman"/>
          <w:iCs/>
          <w:lang w:val="en-GB"/>
        </w:rPr>
        <w:t>t any overlap. This apparently clean</w:t>
      </w:r>
      <w:r w:rsidRPr="00DE2EDF">
        <w:rPr>
          <w:rFonts w:eastAsia="Times New Roman" w:cs="Times New Roman"/>
          <w:iCs/>
          <w:lang w:val="en-GB"/>
        </w:rPr>
        <w:t xml:space="preserve"> separation of legal material allows a ‘clean’ division of the jurisdictions of the courts: at the top, there is constitutional justice, with parallel civil and administrative justice below.</w:t>
      </w:r>
      <w:bookmarkStart w:id="17" w:name="_ftnref6"/>
      <w:r w:rsidRPr="00DE2EDF">
        <w:rPr>
          <w:rStyle w:val="FootnoteReference"/>
          <w:rFonts w:eastAsia="Times New Roman" w:cs="Times New Roman"/>
          <w:iCs/>
          <w:lang w:val="en-GB"/>
        </w:rPr>
        <w:footnoteReference w:id="9"/>
      </w:r>
      <w:bookmarkEnd w:id="17"/>
    </w:p>
    <w:p w14:paraId="3B2142A8" w14:textId="77777777" w:rsidR="002D66C1" w:rsidRPr="00DE2EDF" w:rsidRDefault="002D66C1" w:rsidP="00DE2EDF">
      <w:pPr>
        <w:spacing w:after="0"/>
        <w:jc w:val="both"/>
        <w:rPr>
          <w:rFonts w:eastAsia="Times New Roman" w:cs="Times New Roman"/>
          <w:iCs/>
          <w:lang w:val="en-GB"/>
        </w:rPr>
      </w:pPr>
    </w:p>
    <w:p w14:paraId="06070478" w14:textId="77777777" w:rsidR="009E12D0" w:rsidRPr="00DE2EDF" w:rsidRDefault="009E12D0" w:rsidP="00DE2EDF">
      <w:pPr>
        <w:spacing w:after="0"/>
        <w:jc w:val="both"/>
        <w:rPr>
          <w:rFonts w:cs="Times New Roman"/>
          <w:lang w:val="en-GB"/>
        </w:rPr>
      </w:pPr>
      <w:r w:rsidRPr="00DE2EDF">
        <w:rPr>
          <w:rFonts w:eastAsia="Times New Roman" w:cs="Times New Roman"/>
          <w:iCs/>
          <w:lang w:val="en-GB"/>
        </w:rPr>
        <w:t xml:space="preserve">The Austrian approach, however, is rare. The criterion of legal source plays no role in other countries, </w:t>
      </w:r>
      <w:r w:rsidR="0048010E" w:rsidRPr="00DE2EDF">
        <w:rPr>
          <w:rFonts w:eastAsia="Times New Roman" w:cs="Times New Roman"/>
          <w:iCs/>
          <w:lang w:val="en-GB"/>
        </w:rPr>
        <w:t>if one considers the dominant de</w:t>
      </w:r>
      <w:r w:rsidRPr="00DE2EDF">
        <w:rPr>
          <w:rFonts w:eastAsia="Times New Roman" w:cs="Times New Roman"/>
          <w:iCs/>
          <w:lang w:val="en-GB"/>
        </w:rPr>
        <w:t>finition of administrative law.</w:t>
      </w:r>
      <w:bookmarkStart w:id="18" w:name="_ftnref7"/>
      <w:r w:rsidRPr="00DE2EDF">
        <w:rPr>
          <w:rStyle w:val="FootnoteReference"/>
          <w:rFonts w:eastAsia="Times New Roman" w:cs="Times New Roman"/>
          <w:iCs/>
          <w:lang w:val="en-GB"/>
        </w:rPr>
        <w:footnoteReference w:id="10"/>
      </w:r>
      <w:r w:rsidRPr="00DE2EDF">
        <w:rPr>
          <w:rFonts w:eastAsia="Times New Roman" w:cs="Times New Roman"/>
          <w:iCs/>
          <w:lang w:val="en-GB"/>
        </w:rPr>
        <w:t xml:space="preserve"> Generally, administrative law</w:t>
      </w:r>
      <w:bookmarkEnd w:id="18"/>
      <w:r w:rsidRPr="00DE2EDF">
        <w:rPr>
          <w:rFonts w:eastAsia="Times New Roman" w:cs="Times New Roman"/>
          <w:iCs/>
          <w:lang w:val="en-GB"/>
        </w:rPr>
        <w:t xml:space="preserve"> is first defined either institutionally (i.e.</w:t>
      </w:r>
      <w:r w:rsidR="000B0EAE" w:rsidRPr="00DE2EDF">
        <w:rPr>
          <w:rFonts w:eastAsia="Times New Roman" w:cs="Times New Roman"/>
          <w:iCs/>
          <w:lang w:val="en-GB"/>
        </w:rPr>
        <w:t>,</w:t>
      </w:r>
      <w:r w:rsidRPr="00DE2EDF">
        <w:rPr>
          <w:rFonts w:eastAsia="Times New Roman" w:cs="Times New Roman"/>
          <w:iCs/>
          <w:lang w:val="en-GB"/>
        </w:rPr>
        <w:t xml:space="preserve"> the law applicable to administrative authorities) or functionally (i.e.</w:t>
      </w:r>
      <w:r w:rsidR="000B0EAE" w:rsidRPr="00DE2EDF">
        <w:rPr>
          <w:rFonts w:eastAsia="Times New Roman" w:cs="Times New Roman"/>
          <w:iCs/>
          <w:lang w:val="en-GB"/>
        </w:rPr>
        <w:t>,</w:t>
      </w:r>
      <w:r w:rsidRPr="00DE2EDF">
        <w:rPr>
          <w:rFonts w:eastAsia="Times New Roman" w:cs="Times New Roman"/>
          <w:iCs/>
          <w:lang w:val="en-GB"/>
        </w:rPr>
        <w:t xml:space="preserve"> the law applicable to administrative activities); in a second step, private law rules, which are applicable to administrative organs or actions, are typically sorted out. The result of this asymmetric definition of constitutional law and administrative law is the existence of an </w:t>
      </w:r>
      <w:r w:rsidRPr="00DE2EDF">
        <w:rPr>
          <w:rFonts w:eastAsia="Times New Roman" w:cs="Times New Roman"/>
          <w:lang w:val="en-GB"/>
        </w:rPr>
        <w:t>intersection</w:t>
      </w:r>
      <w:r w:rsidRPr="00DE2EDF">
        <w:rPr>
          <w:rFonts w:eastAsia="Times New Roman" w:cs="Times New Roman"/>
          <w:iCs/>
          <w:lang w:val="en-GB"/>
        </w:rPr>
        <w:t xml:space="preserve"> that may be qualified, according to the Swiss</w:t>
      </w:r>
      <w:r w:rsidR="00070A80" w:rsidRPr="00DE2EDF">
        <w:rPr>
          <w:rFonts w:eastAsia="Times New Roman" w:cs="Times New Roman"/>
          <w:iCs/>
          <w:lang w:val="en-GB"/>
        </w:rPr>
        <w:t xml:space="preserve"> scholar Pierre Moor either as </w:t>
      </w:r>
      <w:r w:rsidRPr="00DE2EDF">
        <w:rPr>
          <w:rFonts w:eastAsia="Times New Roman" w:cs="Times New Roman"/>
          <w:i/>
          <w:iCs/>
          <w:lang w:val="en-GB"/>
        </w:rPr>
        <w:t>droit constitutionnel administratif</w:t>
      </w:r>
      <w:r w:rsidRPr="00DE2EDF">
        <w:rPr>
          <w:rFonts w:eastAsia="Times New Roman" w:cs="Times New Roman"/>
          <w:iCs/>
          <w:lang w:val="en-GB"/>
        </w:rPr>
        <w:t xml:space="preserve"> (adm</w:t>
      </w:r>
      <w:r w:rsidR="00070A80" w:rsidRPr="00DE2EDF">
        <w:rPr>
          <w:rFonts w:eastAsia="Times New Roman" w:cs="Times New Roman"/>
          <w:iCs/>
          <w:lang w:val="en-GB"/>
        </w:rPr>
        <w:t>inistrative constitutional law)</w:t>
      </w:r>
      <w:r w:rsidRPr="00DE2EDF">
        <w:rPr>
          <w:rFonts w:eastAsia="Times New Roman" w:cs="Times New Roman"/>
          <w:iCs/>
          <w:lang w:val="en-GB"/>
        </w:rPr>
        <w:t xml:space="preserve"> or as</w:t>
      </w:r>
      <w:r w:rsidR="00070A80" w:rsidRPr="00DE2EDF">
        <w:rPr>
          <w:rFonts w:eastAsia="Times New Roman" w:cs="Times New Roman"/>
          <w:iCs/>
          <w:lang w:val="en-GB"/>
        </w:rPr>
        <w:t xml:space="preserve"> </w:t>
      </w:r>
      <w:r w:rsidRPr="00DE2EDF">
        <w:rPr>
          <w:rFonts w:eastAsia="Times New Roman" w:cs="Times New Roman"/>
          <w:i/>
          <w:iCs/>
          <w:lang w:val="en-GB"/>
        </w:rPr>
        <w:t>droit administratif constitutionnel</w:t>
      </w:r>
      <w:r w:rsidRPr="00DE2EDF">
        <w:rPr>
          <w:rFonts w:eastAsia="Times New Roman" w:cs="Times New Roman"/>
          <w:iCs/>
          <w:lang w:val="en-GB"/>
        </w:rPr>
        <w:t xml:space="preserve"> (con</w:t>
      </w:r>
      <w:r w:rsidR="00070A80" w:rsidRPr="00DE2EDF">
        <w:rPr>
          <w:rFonts w:eastAsia="Times New Roman" w:cs="Times New Roman"/>
          <w:iCs/>
          <w:lang w:val="en-GB"/>
        </w:rPr>
        <w:t>stitutional administrative law)</w:t>
      </w:r>
      <w:r w:rsidRPr="00DE2EDF">
        <w:rPr>
          <w:rFonts w:eastAsia="Times New Roman" w:cs="Times New Roman"/>
          <w:iCs/>
          <w:lang w:val="en-GB"/>
        </w:rPr>
        <w:t>.</w:t>
      </w:r>
      <w:bookmarkStart w:id="19" w:name="_ftnref8"/>
      <w:r w:rsidRPr="00DE2EDF">
        <w:rPr>
          <w:rStyle w:val="FootnoteReference"/>
          <w:rFonts w:eastAsia="Times New Roman" w:cs="Times New Roman"/>
          <w:iCs/>
          <w:lang w:val="en-GB"/>
        </w:rPr>
        <w:footnoteReference w:id="11"/>
      </w:r>
      <w:bookmarkEnd w:id="19"/>
      <w:r w:rsidRPr="00DE2EDF">
        <w:rPr>
          <w:rFonts w:eastAsia="Times New Roman" w:cs="Times New Roman"/>
          <w:iCs/>
          <w:lang w:val="en-GB"/>
        </w:rPr>
        <w:t xml:space="preserve"> </w:t>
      </w:r>
      <w:r w:rsidR="004B697F" w:rsidRPr="00DE2EDF">
        <w:rPr>
          <w:rFonts w:eastAsia="Times New Roman" w:cs="Times New Roman"/>
          <w:iCs/>
          <w:lang w:val="en-GB"/>
        </w:rPr>
        <w:t xml:space="preserve">In French literature, it is very common to speak, </w:t>
      </w:r>
      <w:r w:rsidR="00023BC5" w:rsidRPr="00DE2EDF">
        <w:rPr>
          <w:rFonts w:eastAsia="Times New Roman" w:cs="Times New Roman"/>
          <w:iCs/>
          <w:lang w:val="en-GB"/>
        </w:rPr>
        <w:t xml:space="preserve">with regard to </w:t>
      </w:r>
      <w:r w:rsidR="004B697F" w:rsidRPr="00DE2EDF">
        <w:rPr>
          <w:rFonts w:eastAsia="Times New Roman" w:cs="Times New Roman"/>
          <w:iCs/>
          <w:lang w:val="en-GB"/>
        </w:rPr>
        <w:t>the various sources</w:t>
      </w:r>
      <w:r w:rsidR="00B10AD8" w:rsidRPr="00DE2EDF">
        <w:rPr>
          <w:rFonts w:eastAsia="Times New Roman" w:cs="Times New Roman"/>
          <w:iCs/>
          <w:lang w:val="en-GB"/>
        </w:rPr>
        <w:t xml:space="preserve"> </w:t>
      </w:r>
      <w:r w:rsidR="004B697F" w:rsidRPr="00DE2EDF">
        <w:rPr>
          <w:rFonts w:eastAsia="Times New Roman" w:cs="Times New Roman"/>
          <w:iCs/>
          <w:lang w:val="en-GB"/>
        </w:rPr>
        <w:t>of administrative law, of the constitutional sources of administrative law</w:t>
      </w:r>
      <w:r w:rsidR="00D24B3B" w:rsidRPr="00DE2EDF">
        <w:rPr>
          <w:rFonts w:eastAsia="Times New Roman" w:cs="Times New Roman"/>
          <w:iCs/>
          <w:lang w:val="en-GB"/>
        </w:rPr>
        <w:t xml:space="preserve"> (</w:t>
      </w:r>
      <w:r w:rsidR="00E94C9E" w:rsidRPr="00DE2EDF">
        <w:rPr>
          <w:rFonts w:eastAsia="Times New Roman" w:cs="Times New Roman"/>
          <w:i/>
          <w:iCs/>
          <w:lang w:val="en-GB"/>
        </w:rPr>
        <w:t>sources constitutionnelles du droit administratif</w:t>
      </w:r>
      <w:r w:rsidR="004B697F" w:rsidRPr="00DE2EDF">
        <w:rPr>
          <w:rFonts w:eastAsia="Times New Roman" w:cs="Times New Roman"/>
          <w:iCs/>
          <w:lang w:val="en-GB"/>
        </w:rPr>
        <w:t xml:space="preserve">). </w:t>
      </w:r>
      <w:r w:rsidRPr="00DE2EDF">
        <w:rPr>
          <w:rFonts w:eastAsia="Times New Roman" w:cs="Times New Roman"/>
          <w:iCs/>
          <w:lang w:val="en-GB"/>
        </w:rPr>
        <w:t>Th</w:t>
      </w:r>
      <w:r w:rsidR="004B697F" w:rsidRPr="00DE2EDF">
        <w:rPr>
          <w:rFonts w:eastAsia="Times New Roman" w:cs="Times New Roman"/>
          <w:iCs/>
          <w:lang w:val="en-GB"/>
        </w:rPr>
        <w:t>e</w:t>
      </w:r>
      <w:r w:rsidRPr="00DE2EDF">
        <w:rPr>
          <w:rFonts w:eastAsia="Times New Roman" w:cs="Times New Roman"/>
          <w:iCs/>
          <w:lang w:val="en-GB"/>
        </w:rPr>
        <w:t xml:space="preserve"> overlap</w:t>
      </w:r>
      <w:r w:rsidR="004B697F" w:rsidRPr="00DE2EDF">
        <w:rPr>
          <w:rFonts w:eastAsia="Times New Roman" w:cs="Times New Roman"/>
          <w:iCs/>
          <w:lang w:val="en-GB"/>
        </w:rPr>
        <w:t xml:space="preserve"> between constitutional law and administrative law</w:t>
      </w:r>
      <w:r w:rsidRPr="00DE2EDF">
        <w:rPr>
          <w:rFonts w:eastAsia="Times New Roman" w:cs="Times New Roman"/>
          <w:iCs/>
          <w:lang w:val="en-GB"/>
        </w:rPr>
        <w:t xml:space="preserve"> can be relatively broad or very narrow depending on </w:t>
      </w:r>
      <w:r w:rsidR="00BD77AF" w:rsidRPr="00DE2EDF">
        <w:rPr>
          <w:rFonts w:eastAsia="Times New Roman" w:cs="Times New Roman"/>
          <w:iCs/>
          <w:lang w:val="en-GB"/>
        </w:rPr>
        <w:t>the extent of</w:t>
      </w:r>
      <w:r w:rsidRPr="00DE2EDF">
        <w:rPr>
          <w:rFonts w:eastAsia="Times New Roman" w:cs="Times New Roman"/>
          <w:iCs/>
          <w:lang w:val="en-GB"/>
        </w:rPr>
        <w:t xml:space="preserve"> each area of law. Its existence, however, is very often lost in the heat of the discussion</w:t>
      </w:r>
      <w:r w:rsidR="0048010E" w:rsidRPr="00DE2EDF">
        <w:rPr>
          <w:rFonts w:eastAsia="Times New Roman" w:cs="Times New Roman"/>
          <w:iCs/>
          <w:lang w:val="en-GB"/>
        </w:rPr>
        <w:t xml:space="preserve">: </w:t>
      </w:r>
      <w:bookmarkStart w:id="20" w:name="_ftnref9"/>
      <w:r w:rsidR="0048010E" w:rsidRPr="00DE2EDF">
        <w:rPr>
          <w:rFonts w:eastAsia="Times New Roman" w:cs="Times New Roman"/>
          <w:iCs/>
          <w:lang w:val="en-GB"/>
        </w:rPr>
        <w:t>t</w:t>
      </w:r>
      <w:r w:rsidR="00F94BC6" w:rsidRPr="00DE2EDF">
        <w:rPr>
          <w:rFonts w:cs="Times New Roman"/>
          <w:lang w:val="en-GB"/>
        </w:rPr>
        <w:t xml:space="preserve">he </w:t>
      </w:r>
      <w:r w:rsidR="00BD77AF" w:rsidRPr="00DE2EDF">
        <w:rPr>
          <w:rFonts w:cs="Times New Roman"/>
          <w:lang w:val="en-GB"/>
        </w:rPr>
        <w:t>usual</w:t>
      </w:r>
      <w:r w:rsidR="00F94BC6" w:rsidRPr="00DE2EDF">
        <w:rPr>
          <w:rFonts w:cs="Times New Roman"/>
          <w:lang w:val="en-GB"/>
        </w:rPr>
        <w:t xml:space="preserve"> question about the influence of constitutional law on administrative law makes sense only if the two are not identical.</w:t>
      </w:r>
      <w:bookmarkEnd w:id="20"/>
      <w:r w:rsidR="00B32965" w:rsidRPr="00DE2EDF">
        <w:rPr>
          <w:rFonts w:cs="Times New Roman"/>
          <w:lang w:val="en-GB"/>
        </w:rPr>
        <w:t xml:space="preserve"> With regard to this debate, the Austrian definition is the only consistent one.</w:t>
      </w:r>
    </w:p>
    <w:p w14:paraId="5643367A" w14:textId="77777777" w:rsidR="00ED3DAA" w:rsidRPr="00DE2EDF" w:rsidRDefault="00ED3DAA" w:rsidP="00DE2EDF">
      <w:pPr>
        <w:spacing w:after="0"/>
        <w:jc w:val="both"/>
        <w:rPr>
          <w:rFonts w:eastAsia="Times New Roman" w:cs="Times New Roman"/>
          <w:iCs/>
          <w:lang w:val="en-GB"/>
        </w:rPr>
      </w:pPr>
    </w:p>
    <w:p w14:paraId="6B8DB9B7" w14:textId="77777777" w:rsidR="00F977C4" w:rsidRPr="00DE2EDF" w:rsidRDefault="00ED3DAA" w:rsidP="00DE2EDF">
      <w:pPr>
        <w:pStyle w:val="Heading3"/>
        <w:rPr>
          <w:rFonts w:cs="Times New Roman"/>
          <w:szCs w:val="24"/>
        </w:rPr>
      </w:pPr>
      <w:bookmarkStart w:id="21" w:name="_Toc253048922"/>
      <w:bookmarkStart w:id="22" w:name="_Toc252700469"/>
      <w:bookmarkStart w:id="23" w:name="_Toc460405614"/>
      <w:bookmarkStart w:id="24" w:name="_Toc245196652"/>
      <w:bookmarkEnd w:id="21"/>
      <w:bookmarkEnd w:id="22"/>
      <w:r w:rsidRPr="00DE2EDF">
        <w:rPr>
          <w:rFonts w:cs="Times New Roman"/>
          <w:szCs w:val="24"/>
        </w:rPr>
        <w:lastRenderedPageBreak/>
        <w:t xml:space="preserve">b) </w:t>
      </w:r>
      <w:r w:rsidR="00D24B3B" w:rsidRPr="00DE2EDF">
        <w:rPr>
          <w:rFonts w:cs="Times New Roman"/>
          <w:szCs w:val="24"/>
        </w:rPr>
        <w:t xml:space="preserve">The United Kingdom: </w:t>
      </w:r>
      <w:r w:rsidR="00EA2E67" w:rsidRPr="00DE2EDF">
        <w:rPr>
          <w:rFonts w:cs="Times New Roman"/>
          <w:szCs w:val="24"/>
        </w:rPr>
        <w:t>A</w:t>
      </w:r>
      <w:r w:rsidR="00D24B3B" w:rsidRPr="00DE2EDF">
        <w:rPr>
          <w:rFonts w:cs="Times New Roman"/>
          <w:szCs w:val="24"/>
        </w:rPr>
        <w:t xml:space="preserve"> Fluid and Evolving D</w:t>
      </w:r>
      <w:r w:rsidR="00F977C4" w:rsidRPr="00DE2EDF">
        <w:rPr>
          <w:rFonts w:cs="Times New Roman"/>
          <w:szCs w:val="24"/>
        </w:rPr>
        <w:t>emarcation</w:t>
      </w:r>
      <w:bookmarkEnd w:id="23"/>
    </w:p>
    <w:p w14:paraId="371A81B0" w14:textId="77777777" w:rsidR="00ED3DAA" w:rsidRPr="00DE2EDF" w:rsidRDefault="00ED3DAA" w:rsidP="00DE2EDF">
      <w:pPr>
        <w:spacing w:after="0"/>
        <w:rPr>
          <w:rFonts w:cs="Times New Roman"/>
          <w:lang w:val="en-GB"/>
        </w:rPr>
      </w:pPr>
    </w:p>
    <w:bookmarkEnd w:id="24"/>
    <w:p w14:paraId="0EEE1F79"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The binomial ‘constitutional and administrative law’ </w:t>
      </w:r>
      <w:r w:rsidR="00B11D9A" w:rsidRPr="00DE2EDF">
        <w:rPr>
          <w:rFonts w:eastAsia="Times New Roman" w:cs="Times New Roman"/>
          <w:iCs/>
          <w:lang w:val="en-GB"/>
        </w:rPr>
        <w:t xml:space="preserve">also </w:t>
      </w:r>
      <w:r w:rsidRPr="00DE2EDF">
        <w:rPr>
          <w:rFonts w:eastAsia="Times New Roman" w:cs="Times New Roman"/>
          <w:iCs/>
          <w:lang w:val="en-GB"/>
        </w:rPr>
        <w:t>makes much more sense</w:t>
      </w:r>
      <w:r w:rsidR="00B11D9A" w:rsidRPr="00DE2EDF">
        <w:rPr>
          <w:rFonts w:eastAsia="Times New Roman" w:cs="Times New Roman"/>
          <w:iCs/>
          <w:lang w:val="en-GB"/>
        </w:rPr>
        <w:t>,</w:t>
      </w:r>
      <w:r w:rsidRPr="00DE2EDF">
        <w:rPr>
          <w:rFonts w:eastAsia="Times New Roman" w:cs="Times New Roman"/>
          <w:iCs/>
          <w:lang w:val="en-GB"/>
        </w:rPr>
        <w:t xml:space="preserve"> analytical</w:t>
      </w:r>
      <w:r w:rsidR="00BC3EFA" w:rsidRPr="00DE2EDF">
        <w:rPr>
          <w:rFonts w:eastAsia="Times New Roman" w:cs="Times New Roman"/>
          <w:iCs/>
          <w:lang w:val="en-GB"/>
        </w:rPr>
        <w:t>ly</w:t>
      </w:r>
      <w:r w:rsidR="00B11D9A" w:rsidRPr="00DE2EDF">
        <w:rPr>
          <w:rFonts w:eastAsia="Times New Roman" w:cs="Times New Roman"/>
          <w:iCs/>
          <w:lang w:val="en-GB"/>
        </w:rPr>
        <w:t>,</w:t>
      </w:r>
      <w:r w:rsidRPr="00DE2EDF">
        <w:rPr>
          <w:rFonts w:eastAsia="Times New Roman" w:cs="Times New Roman"/>
          <w:iCs/>
          <w:lang w:val="en-GB"/>
        </w:rPr>
        <w:t xml:space="preserve"> if both areas of law are substantively defined. This results in the coexistence of two spheres: the sphere of policy (creation of law) and the subordinate sphere of administration (implementation of law). Constitutional law establishes the norms for the </w:t>
      </w:r>
      <w:r w:rsidR="00283D0D" w:rsidRPr="00DE2EDF">
        <w:rPr>
          <w:rFonts w:eastAsia="Times New Roman" w:cs="Times New Roman"/>
          <w:iCs/>
          <w:lang w:val="en-GB"/>
        </w:rPr>
        <w:t>s</w:t>
      </w:r>
      <w:r w:rsidRPr="00DE2EDF">
        <w:rPr>
          <w:rFonts w:eastAsia="Times New Roman" w:cs="Times New Roman"/>
          <w:iCs/>
          <w:lang w:val="en-GB"/>
        </w:rPr>
        <w:t>tate’s highest organs, while administrative law establishes them for its lower organs (the</w:t>
      </w:r>
      <w:r w:rsidR="000F756A" w:rsidRPr="00DE2EDF">
        <w:rPr>
          <w:rFonts w:eastAsia="Times New Roman" w:cs="Times New Roman"/>
          <w:iCs/>
          <w:lang w:val="en-GB"/>
        </w:rPr>
        <w:t xml:space="preserve"> </w:t>
      </w:r>
      <w:r w:rsidRPr="00DE2EDF">
        <w:rPr>
          <w:rFonts w:eastAsia="Times New Roman" w:cs="Times New Roman"/>
          <w:iCs/>
          <w:lang w:val="en-GB"/>
        </w:rPr>
        <w:t>administrative bodies, distinct from the cabinet). The principles of the State’s existence and its core policies are the focus of the first branch of law, while the second focuses on the execution of such policies. These substantive differences, however, may not generate a sharp distinction. The government is located at the hinge of politics and administration; like the Roman god Janus, it looks in both directions. The place of local government institutions is not always very easy to define. Moreover, the rights and principles established by the Constitution (human rights, rule of law, democracy, etc.) are addressed both to the political decision-making process and to the administrative decision-making process; they permeate administrative law.</w:t>
      </w:r>
    </w:p>
    <w:p w14:paraId="603A12F6" w14:textId="77777777" w:rsidR="002D66C1" w:rsidRPr="00DE2EDF" w:rsidRDefault="002D66C1" w:rsidP="00DE2EDF">
      <w:pPr>
        <w:spacing w:after="0"/>
        <w:jc w:val="both"/>
        <w:rPr>
          <w:rFonts w:eastAsia="Times New Roman" w:cs="Times New Roman"/>
          <w:iCs/>
          <w:lang w:val="en-GB"/>
        </w:rPr>
      </w:pPr>
    </w:p>
    <w:p w14:paraId="2EF65570" w14:textId="77777777" w:rsidR="009E12D0" w:rsidRPr="00DE2EDF" w:rsidRDefault="00BC3EFA" w:rsidP="00DE2EDF">
      <w:pPr>
        <w:spacing w:after="0"/>
        <w:jc w:val="both"/>
        <w:rPr>
          <w:rFonts w:eastAsia="Times New Roman" w:cs="Times New Roman"/>
          <w:iCs/>
          <w:lang w:val="en-GB"/>
        </w:rPr>
      </w:pPr>
      <w:r w:rsidRPr="00DE2EDF">
        <w:rPr>
          <w:rFonts w:eastAsia="Times New Roman" w:cs="Times New Roman"/>
          <w:iCs/>
          <w:lang w:val="en-GB"/>
        </w:rPr>
        <w:t>T</w:t>
      </w:r>
      <w:r w:rsidR="009E12D0" w:rsidRPr="00DE2EDF">
        <w:rPr>
          <w:rFonts w:eastAsia="Times New Roman" w:cs="Times New Roman"/>
          <w:iCs/>
          <w:lang w:val="en-GB"/>
        </w:rPr>
        <w:t xml:space="preserve">his </w:t>
      </w:r>
      <w:r w:rsidR="00F4292D" w:rsidRPr="00DE2EDF">
        <w:rPr>
          <w:rFonts w:eastAsia="Times New Roman" w:cs="Times New Roman"/>
          <w:iCs/>
          <w:lang w:val="en-GB"/>
        </w:rPr>
        <w:t xml:space="preserve">substantive </w:t>
      </w:r>
      <w:r w:rsidR="009E12D0" w:rsidRPr="00DE2EDF">
        <w:rPr>
          <w:rFonts w:eastAsia="Times New Roman" w:cs="Times New Roman"/>
          <w:iCs/>
          <w:lang w:val="en-GB"/>
        </w:rPr>
        <w:t xml:space="preserve">approach is still </w:t>
      </w:r>
      <w:r w:rsidR="00B11D9A" w:rsidRPr="00DE2EDF">
        <w:rPr>
          <w:rFonts w:eastAsia="Times New Roman" w:cs="Times New Roman"/>
          <w:iCs/>
          <w:lang w:val="en-GB"/>
        </w:rPr>
        <w:t>used</w:t>
      </w:r>
      <w:r w:rsidR="009E12D0" w:rsidRPr="00DE2EDF">
        <w:rPr>
          <w:rFonts w:eastAsia="Times New Roman" w:cs="Times New Roman"/>
          <w:iCs/>
          <w:lang w:val="en-GB"/>
        </w:rPr>
        <w:t>, although as a minority approach, in many parts of the European Continent</w:t>
      </w:r>
      <w:r w:rsidR="00B11D9A" w:rsidRPr="00DE2EDF">
        <w:rPr>
          <w:rFonts w:eastAsia="Times New Roman" w:cs="Times New Roman"/>
          <w:iCs/>
          <w:lang w:val="en-GB"/>
        </w:rPr>
        <w:t>.</w:t>
      </w:r>
      <w:r w:rsidR="009E12D0" w:rsidRPr="00DE2EDF">
        <w:rPr>
          <w:rStyle w:val="FootnoteReference"/>
          <w:rFonts w:eastAsia="Times New Roman" w:cs="Times New Roman"/>
          <w:iCs/>
          <w:lang w:val="en-GB"/>
        </w:rPr>
        <w:footnoteReference w:id="12"/>
      </w:r>
      <w:r w:rsidR="009E12D0" w:rsidRPr="00DE2EDF">
        <w:rPr>
          <w:rFonts w:eastAsia="Times New Roman" w:cs="Times New Roman"/>
          <w:iCs/>
          <w:lang w:val="en-GB"/>
        </w:rPr>
        <w:t xml:space="preserve"> It prevail</w:t>
      </w:r>
      <w:r w:rsidR="00B11D9A" w:rsidRPr="00DE2EDF">
        <w:rPr>
          <w:rFonts w:eastAsia="Times New Roman" w:cs="Times New Roman"/>
          <w:iCs/>
          <w:lang w:val="en-GB"/>
        </w:rPr>
        <w:t>s</w:t>
      </w:r>
      <w:r w:rsidR="009E12D0" w:rsidRPr="00DE2EDF">
        <w:rPr>
          <w:rFonts w:eastAsia="Times New Roman" w:cs="Times New Roman"/>
          <w:iCs/>
          <w:lang w:val="en-GB"/>
        </w:rPr>
        <w:t xml:space="preserve"> in two countries:</w:t>
      </w:r>
      <w:r w:rsidR="00A918A6">
        <w:rPr>
          <w:rFonts w:eastAsia="Times New Roman" w:cs="Times New Roman"/>
          <w:iCs/>
          <w:lang w:val="en-GB"/>
        </w:rPr>
        <w:t xml:space="preserve"> the Netherlands and the United </w:t>
      </w:r>
      <w:r w:rsidR="009E12D0" w:rsidRPr="00DE2EDF">
        <w:rPr>
          <w:rFonts w:eastAsia="Times New Roman" w:cs="Times New Roman"/>
          <w:iCs/>
          <w:lang w:val="en-GB"/>
        </w:rPr>
        <w:t xml:space="preserve">Kingdom. As the </w:t>
      </w:r>
      <w:r w:rsidR="00A918A6">
        <w:rPr>
          <w:rFonts w:eastAsia="Times New Roman" w:cs="Times New Roman"/>
          <w:iCs/>
          <w:lang w:val="en-GB"/>
        </w:rPr>
        <w:t>Dutch Constitution (</w:t>
      </w:r>
      <w:r w:rsidR="009E12D0" w:rsidRPr="00DE2EDF">
        <w:rPr>
          <w:rFonts w:eastAsia="Times New Roman" w:cs="Times New Roman"/>
          <w:i/>
          <w:iCs/>
          <w:lang w:val="en-GB"/>
        </w:rPr>
        <w:t>Grondwet</w:t>
      </w:r>
      <w:r w:rsidR="009E12D0" w:rsidRPr="00DE2EDF">
        <w:rPr>
          <w:rFonts w:eastAsia="Times New Roman" w:cs="Times New Roman"/>
          <w:iCs/>
          <w:lang w:val="en-GB"/>
        </w:rPr>
        <w:t>) is</w:t>
      </w:r>
      <w:r w:rsidR="00F4292D" w:rsidRPr="00DE2EDF">
        <w:rPr>
          <w:rFonts w:eastAsia="Times New Roman" w:cs="Times New Roman"/>
          <w:iCs/>
          <w:lang w:val="en-GB"/>
        </w:rPr>
        <w:t xml:space="preserve"> an</w:t>
      </w:r>
      <w:r w:rsidR="009E12D0" w:rsidRPr="00DE2EDF">
        <w:rPr>
          <w:rFonts w:eastAsia="Times New Roman" w:cs="Times New Roman"/>
          <w:iCs/>
          <w:lang w:val="en-GB"/>
        </w:rPr>
        <w:t xml:space="preserve"> entrenched</w:t>
      </w:r>
      <w:r w:rsidR="00F4292D" w:rsidRPr="00DE2EDF">
        <w:rPr>
          <w:rFonts w:eastAsia="Times New Roman" w:cs="Times New Roman"/>
          <w:iCs/>
          <w:lang w:val="en-GB"/>
        </w:rPr>
        <w:t xml:space="preserve"> (supra-legal) Constitution</w:t>
      </w:r>
      <w:r w:rsidR="009E12D0" w:rsidRPr="00DE2EDF">
        <w:rPr>
          <w:rFonts w:eastAsia="Times New Roman" w:cs="Times New Roman"/>
          <w:iCs/>
          <w:lang w:val="en-GB"/>
        </w:rPr>
        <w:t>, one</w:t>
      </w:r>
      <w:r w:rsidR="000F756A" w:rsidRPr="00DE2EDF">
        <w:rPr>
          <w:rFonts w:eastAsia="Times New Roman" w:cs="Times New Roman"/>
          <w:iCs/>
          <w:lang w:val="en-GB"/>
        </w:rPr>
        <w:t xml:space="preserve"> </w:t>
      </w:r>
      <w:r w:rsidR="009E12D0" w:rsidRPr="00DE2EDF">
        <w:rPr>
          <w:rFonts w:eastAsia="Times New Roman" w:cs="Times New Roman"/>
          <w:iCs/>
          <w:lang w:val="en-GB"/>
        </w:rPr>
        <w:t xml:space="preserve">might have expected </w:t>
      </w:r>
      <w:r w:rsidR="004545B0" w:rsidRPr="00DE2EDF">
        <w:rPr>
          <w:rFonts w:eastAsia="Times New Roman" w:cs="Times New Roman"/>
          <w:iCs/>
          <w:lang w:val="en-GB"/>
        </w:rPr>
        <w:t>Dutch lawyers</w:t>
      </w:r>
      <w:r w:rsidR="009E12D0" w:rsidRPr="00DE2EDF">
        <w:rPr>
          <w:rFonts w:eastAsia="Times New Roman" w:cs="Times New Roman"/>
          <w:iCs/>
          <w:lang w:val="en-GB"/>
        </w:rPr>
        <w:t xml:space="preserve"> to observe the asymmetric approach. Yet, the lack of judicial review of the constitutionality of statutes, prohibited by article 120 of the </w:t>
      </w:r>
      <w:r w:rsidR="009E12D0" w:rsidRPr="00DE2EDF">
        <w:rPr>
          <w:rFonts w:eastAsia="Times New Roman" w:cs="Times New Roman"/>
          <w:i/>
          <w:iCs/>
          <w:lang w:val="en-GB"/>
        </w:rPr>
        <w:t>Grondwet</w:t>
      </w:r>
      <w:r w:rsidR="009E12D0" w:rsidRPr="00DE2EDF">
        <w:rPr>
          <w:rFonts w:eastAsia="Times New Roman" w:cs="Times New Roman"/>
          <w:iCs/>
          <w:lang w:val="en-GB"/>
        </w:rPr>
        <w:t>, may explain why Dutch scholars tend to delineate both administrative and constitutional law according to substantive criteria. The distinction is only presented didactically, without any practical relevance in law.</w:t>
      </w:r>
      <w:bookmarkStart w:id="25" w:name="_Ref457826505"/>
      <w:r w:rsidR="009E12D0" w:rsidRPr="00DE2EDF">
        <w:rPr>
          <w:rStyle w:val="FootnoteReference"/>
          <w:rFonts w:eastAsia="Times New Roman" w:cs="Times New Roman"/>
          <w:iCs/>
          <w:lang w:val="en-GB"/>
        </w:rPr>
        <w:footnoteReference w:id="13"/>
      </w:r>
      <w:bookmarkEnd w:id="25"/>
      <w:r w:rsidR="009E12D0" w:rsidRPr="00DE2EDF">
        <w:rPr>
          <w:rFonts w:eastAsia="Times New Roman" w:cs="Times New Roman"/>
          <w:iCs/>
          <w:lang w:val="en-GB"/>
        </w:rPr>
        <w:t xml:space="preserve"> </w:t>
      </w:r>
    </w:p>
    <w:p w14:paraId="3B387D02" w14:textId="77777777" w:rsidR="002D66C1" w:rsidRPr="00DE2EDF" w:rsidRDefault="002D66C1" w:rsidP="00DE2EDF">
      <w:pPr>
        <w:spacing w:after="0"/>
        <w:jc w:val="both"/>
        <w:rPr>
          <w:rFonts w:eastAsia="Times New Roman" w:cs="Times New Roman"/>
          <w:iCs/>
          <w:lang w:val="en-GB"/>
        </w:rPr>
      </w:pPr>
    </w:p>
    <w:p w14:paraId="01208EF8" w14:textId="4C50F150"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The result is the same in the U</w:t>
      </w:r>
      <w:r w:rsidR="00A918A6">
        <w:rPr>
          <w:rFonts w:eastAsia="Times New Roman" w:cs="Times New Roman"/>
          <w:iCs/>
          <w:lang w:val="en-GB"/>
        </w:rPr>
        <w:t>nited Kingdom</w:t>
      </w:r>
      <w:r w:rsidRPr="00DE2EDF">
        <w:rPr>
          <w:rFonts w:eastAsia="Times New Roman" w:cs="Times New Roman"/>
          <w:iCs/>
          <w:lang w:val="en-GB"/>
        </w:rPr>
        <w:t>, although in a rather different context. In England and Scotland</w:t>
      </w:r>
      <w:bookmarkStart w:id="26" w:name="_ftnref11"/>
      <w:r w:rsidRPr="00DE2EDF">
        <w:rPr>
          <w:rFonts w:eastAsia="Times New Roman" w:cs="Times New Roman"/>
          <w:iCs/>
          <w:lang w:val="en-GB"/>
        </w:rPr>
        <w:t>,</w:t>
      </w:r>
      <w:bookmarkStart w:id="27" w:name="_Ref420682583"/>
      <w:r w:rsidRPr="00DE2EDF">
        <w:rPr>
          <w:rStyle w:val="FootnoteReference"/>
          <w:rFonts w:eastAsia="Times New Roman" w:cs="Times New Roman"/>
          <w:iCs/>
          <w:lang w:val="en-GB"/>
        </w:rPr>
        <w:footnoteReference w:id="14"/>
      </w:r>
      <w:bookmarkEnd w:id="26"/>
      <w:bookmarkEnd w:id="27"/>
      <w:r w:rsidR="00E31885">
        <w:rPr>
          <w:rFonts w:eastAsia="Times New Roman" w:cs="Times New Roman"/>
          <w:iCs/>
          <w:lang w:val="en-GB"/>
        </w:rPr>
        <w:t xml:space="preserve"> </w:t>
      </w:r>
      <w:r w:rsidRPr="00DE2EDF">
        <w:rPr>
          <w:rFonts w:eastAsia="Times New Roman" w:cs="Times New Roman"/>
          <w:iCs/>
          <w:lang w:val="en-GB"/>
        </w:rPr>
        <w:t xml:space="preserve">a substantive definition traditionally prevails both in </w:t>
      </w:r>
      <w:r w:rsidRPr="00DE2EDF">
        <w:rPr>
          <w:rFonts w:eastAsia="Times New Roman" w:cs="Times New Roman"/>
          <w:iCs/>
          <w:lang w:val="en-GB"/>
        </w:rPr>
        <w:lastRenderedPageBreak/>
        <w:t xml:space="preserve">constitutional law scholarship and in the recently-recognized science of administrative law. A historical survey of </w:t>
      </w:r>
      <w:r w:rsidR="002A23C9" w:rsidRPr="00DE2EDF">
        <w:rPr>
          <w:rFonts w:eastAsia="Times New Roman" w:cs="Times New Roman"/>
          <w:iCs/>
          <w:lang w:val="en-GB"/>
        </w:rPr>
        <w:t>textbooks</w:t>
      </w:r>
      <w:r w:rsidRPr="00DE2EDF">
        <w:rPr>
          <w:rFonts w:eastAsia="Times New Roman" w:cs="Times New Roman"/>
          <w:iCs/>
          <w:lang w:val="en-GB"/>
        </w:rPr>
        <w:t xml:space="preserve"> in British public law shows that the emergence of administrative law as a separate area came about in four stages: </w:t>
      </w:r>
      <w:r w:rsidR="00015328">
        <w:rPr>
          <w:rFonts w:eastAsia="Times New Roman" w:cs="Times New Roman"/>
          <w:iCs/>
          <w:lang w:val="en-GB"/>
        </w:rPr>
        <w:t>F</w:t>
      </w:r>
      <w:r w:rsidR="00015328" w:rsidRPr="00DE2EDF">
        <w:rPr>
          <w:rFonts w:eastAsia="Times New Roman" w:cs="Times New Roman"/>
          <w:iCs/>
          <w:lang w:val="en-GB"/>
        </w:rPr>
        <w:t>irst</w:t>
      </w:r>
      <w:r w:rsidRPr="00DE2EDF">
        <w:rPr>
          <w:rFonts w:eastAsia="Times New Roman" w:cs="Times New Roman"/>
          <w:iCs/>
          <w:lang w:val="en-GB"/>
        </w:rPr>
        <w:t xml:space="preserve">, Albert Venn Dicey rejected its existence within constitutional law doctrine; second, from the time of William Ivor Jennings, the existence of administrative law was gradually recognized in textbooks on ‘constitutional law’; third, </w:t>
      </w:r>
      <w:r w:rsidR="002A23C9" w:rsidRPr="00DE2EDF">
        <w:rPr>
          <w:rFonts w:eastAsia="Times New Roman" w:cs="Times New Roman"/>
          <w:iCs/>
          <w:lang w:val="en-GB"/>
        </w:rPr>
        <w:t>from</w:t>
      </w:r>
      <w:r w:rsidRPr="00DE2EDF">
        <w:rPr>
          <w:rFonts w:eastAsia="Times New Roman" w:cs="Times New Roman"/>
          <w:iCs/>
          <w:lang w:val="en-GB"/>
        </w:rPr>
        <w:t xml:space="preserve"> the 1960s, its official recognition was intensified through the new title ‘Constitutional and</w:t>
      </w:r>
      <w:r w:rsidRPr="00DE2EDF">
        <w:rPr>
          <w:rFonts w:eastAsia="Times New Roman" w:cs="Times New Roman"/>
          <w:i/>
          <w:iCs/>
          <w:lang w:val="en-GB"/>
        </w:rPr>
        <w:t xml:space="preserve"> Administrative Law</w:t>
      </w:r>
      <w:r w:rsidRPr="00DE2EDF">
        <w:rPr>
          <w:rFonts w:eastAsia="Times New Roman" w:cs="Times New Roman"/>
          <w:iCs/>
          <w:lang w:val="en-GB"/>
        </w:rPr>
        <w:t>’</w:t>
      </w:r>
      <w:r w:rsidRPr="00DE2EDF">
        <w:rPr>
          <w:rFonts w:eastAsia="Times New Roman" w:cs="Times New Roman"/>
          <w:i/>
          <w:iCs/>
          <w:lang w:val="en-GB"/>
        </w:rPr>
        <w:t xml:space="preserve"> </w:t>
      </w:r>
      <w:r w:rsidRPr="00DE2EDF">
        <w:rPr>
          <w:rFonts w:eastAsia="Times New Roman" w:cs="Times New Roman"/>
          <w:iCs/>
          <w:lang w:val="en-GB"/>
        </w:rPr>
        <w:t>of m</w:t>
      </w:r>
      <w:r w:rsidR="002A23C9" w:rsidRPr="00DE2EDF">
        <w:rPr>
          <w:rFonts w:eastAsia="Times New Roman" w:cs="Times New Roman"/>
          <w:iCs/>
          <w:lang w:val="en-GB"/>
        </w:rPr>
        <w:t>ost</w:t>
      </w:r>
      <w:r w:rsidRPr="00DE2EDF">
        <w:rPr>
          <w:rFonts w:eastAsia="Times New Roman" w:cs="Times New Roman"/>
          <w:iCs/>
          <w:lang w:val="en-GB"/>
        </w:rPr>
        <w:t xml:space="preserve"> textbooks in </w:t>
      </w:r>
      <w:r w:rsidR="002A23C9" w:rsidRPr="00DE2EDF">
        <w:rPr>
          <w:rFonts w:eastAsia="Times New Roman" w:cs="Times New Roman"/>
          <w:iCs/>
          <w:lang w:val="en-GB"/>
        </w:rPr>
        <w:t>constitutional law</w:t>
      </w:r>
      <w:r w:rsidRPr="00DE2EDF">
        <w:rPr>
          <w:rFonts w:eastAsia="Times New Roman" w:cs="Times New Roman"/>
          <w:iCs/>
          <w:lang w:val="en-GB"/>
        </w:rPr>
        <w:t xml:space="preserve">; and finally, textbooks devoted strictly to ‘administrative law’ </w:t>
      </w:r>
      <w:r w:rsidR="005471A8" w:rsidRPr="00DE2EDF">
        <w:rPr>
          <w:rFonts w:eastAsia="Times New Roman" w:cs="Times New Roman"/>
          <w:iCs/>
          <w:lang w:val="en-GB"/>
        </w:rPr>
        <w:t xml:space="preserve">had </w:t>
      </w:r>
      <w:r w:rsidRPr="00DE2EDF">
        <w:rPr>
          <w:rFonts w:eastAsia="Times New Roman" w:cs="Times New Roman"/>
          <w:iCs/>
          <w:lang w:val="en-GB"/>
        </w:rPr>
        <w:t>a</w:t>
      </w:r>
      <w:r w:rsidR="005471A8" w:rsidRPr="00DE2EDF">
        <w:rPr>
          <w:rFonts w:eastAsia="Times New Roman" w:cs="Times New Roman"/>
          <w:iCs/>
          <w:lang w:val="en-GB"/>
        </w:rPr>
        <w:t xml:space="preserve"> great </w:t>
      </w:r>
      <w:r w:rsidRPr="00DE2EDF">
        <w:rPr>
          <w:rFonts w:eastAsia="Times New Roman" w:cs="Times New Roman"/>
          <w:iCs/>
          <w:lang w:val="en-GB"/>
        </w:rPr>
        <w:t xml:space="preserve">success. Traditionally, administrative law had been </w:t>
      </w:r>
      <w:r w:rsidRPr="00DE2EDF">
        <w:rPr>
          <w:rFonts w:eastAsia="Times New Roman" w:cs="Times New Roman"/>
          <w:lang w:val="en-GB"/>
        </w:rPr>
        <w:t>incorporated</w:t>
      </w:r>
      <w:r w:rsidRPr="00DE2EDF">
        <w:rPr>
          <w:rFonts w:eastAsia="Times New Roman" w:cs="Times New Roman"/>
          <w:i/>
          <w:lang w:val="en-GB"/>
        </w:rPr>
        <w:t xml:space="preserve"> </w:t>
      </w:r>
      <w:r w:rsidRPr="00DE2EDF">
        <w:rPr>
          <w:rFonts w:eastAsia="Times New Roman" w:cs="Times New Roman"/>
          <w:lang w:val="en-GB"/>
        </w:rPr>
        <w:t>in</w:t>
      </w:r>
      <w:r w:rsidRPr="00DE2EDF">
        <w:rPr>
          <w:rFonts w:eastAsia="Times New Roman" w:cs="Times New Roman"/>
          <w:i/>
          <w:lang w:val="en-GB"/>
        </w:rPr>
        <w:t xml:space="preserve"> </w:t>
      </w:r>
      <w:r w:rsidRPr="00DE2EDF">
        <w:rPr>
          <w:rFonts w:eastAsia="Times New Roman" w:cs="Times New Roman"/>
          <w:iCs/>
          <w:lang w:val="en-GB"/>
        </w:rPr>
        <w:t>constitutional law. ‘Administrative law is a part of constitutional law’ went the classic statement made even by authors such as Frederick John Port, William Wade and Stanley de Smith, who were pioneers of the scholarship speciali</w:t>
      </w:r>
      <w:r w:rsidR="005471A8" w:rsidRPr="00DE2EDF">
        <w:rPr>
          <w:rFonts w:eastAsia="Times New Roman" w:cs="Times New Roman"/>
          <w:iCs/>
          <w:lang w:val="en-GB"/>
        </w:rPr>
        <w:t>zing</w:t>
      </w:r>
      <w:r w:rsidRPr="00DE2EDF">
        <w:rPr>
          <w:rFonts w:eastAsia="Times New Roman" w:cs="Times New Roman"/>
          <w:iCs/>
          <w:lang w:val="en-GB"/>
        </w:rPr>
        <w:t xml:space="preserve"> in administrative law</w:t>
      </w:r>
      <w:bookmarkStart w:id="28" w:name="_Ref420682394"/>
      <w:r w:rsidR="002B78EF" w:rsidRPr="00DE2EDF">
        <w:rPr>
          <w:rFonts w:eastAsia="Times New Roman" w:cs="Times New Roman"/>
          <w:iCs/>
          <w:lang w:val="en-GB"/>
        </w:rPr>
        <w:t>.</w:t>
      </w:r>
      <w:bookmarkStart w:id="29" w:name="_Ref457833088"/>
      <w:r w:rsidRPr="00DE2EDF">
        <w:rPr>
          <w:rStyle w:val="FootnoteReference"/>
          <w:rFonts w:eastAsia="Times New Roman" w:cs="Times New Roman"/>
          <w:iCs/>
          <w:lang w:val="en-GB"/>
        </w:rPr>
        <w:footnoteReference w:id="15"/>
      </w:r>
      <w:bookmarkEnd w:id="28"/>
      <w:bookmarkEnd w:id="29"/>
      <w:r w:rsidRPr="00DE2EDF">
        <w:rPr>
          <w:rFonts w:eastAsia="Times New Roman" w:cs="Times New Roman"/>
          <w:iCs/>
          <w:lang w:val="en-GB"/>
        </w:rPr>
        <w:t xml:space="preserve"> </w:t>
      </w:r>
      <w:r w:rsidR="002A23C9" w:rsidRPr="00DE2EDF">
        <w:rPr>
          <w:rFonts w:eastAsia="Times New Roman" w:cs="Times New Roman"/>
          <w:iCs/>
          <w:lang w:val="en-GB"/>
        </w:rPr>
        <w:t xml:space="preserve">Today, </w:t>
      </w:r>
      <w:r w:rsidRPr="00DE2EDF">
        <w:rPr>
          <w:rFonts w:eastAsia="Times New Roman" w:cs="Times New Roman"/>
          <w:iCs/>
          <w:lang w:val="en-GB"/>
        </w:rPr>
        <w:t xml:space="preserve">administrative law is more often positioned </w:t>
      </w:r>
      <w:r w:rsidRPr="00DE2EDF">
        <w:rPr>
          <w:rFonts w:eastAsia="Times New Roman" w:cs="Times New Roman"/>
          <w:i/>
          <w:lang w:val="en-GB"/>
        </w:rPr>
        <w:t>outside</w:t>
      </w:r>
      <w:r w:rsidRPr="00DE2EDF">
        <w:rPr>
          <w:rFonts w:eastAsia="Times New Roman" w:cs="Times New Roman"/>
          <w:lang w:val="en-GB"/>
        </w:rPr>
        <w:t xml:space="preserve"> constitutional law than within it</w:t>
      </w:r>
      <w:r w:rsidRPr="00DE2EDF">
        <w:rPr>
          <w:rFonts w:eastAsia="Times New Roman" w:cs="Times New Roman"/>
          <w:iCs/>
          <w:lang w:val="en-GB"/>
        </w:rPr>
        <w:t xml:space="preserve">. In the influential work by William Wade and Christopher Forsyth, constitutional law and administrative law are being addressed as </w:t>
      </w:r>
      <w:r w:rsidRPr="00DE2EDF">
        <w:rPr>
          <w:rFonts w:eastAsia="Times New Roman" w:cs="Times New Roman"/>
          <w:i/>
          <w:lang w:val="en-GB"/>
        </w:rPr>
        <w:t>two</w:t>
      </w:r>
      <w:r w:rsidRPr="00DE2EDF">
        <w:rPr>
          <w:rFonts w:eastAsia="Times New Roman" w:cs="Times New Roman"/>
          <w:iCs/>
          <w:lang w:val="en-GB"/>
        </w:rPr>
        <w:t xml:space="preserve"> areas of law, even if they intermingle to a certain extent.</w:t>
      </w:r>
      <w:bookmarkStart w:id="30" w:name="_Ref401127278"/>
      <w:r w:rsidRPr="00DE2EDF">
        <w:rPr>
          <w:rStyle w:val="FootnoteReference"/>
          <w:rFonts w:eastAsia="Times New Roman" w:cs="Times New Roman"/>
          <w:iCs/>
          <w:lang w:val="en-GB"/>
        </w:rPr>
        <w:footnoteReference w:id="16"/>
      </w:r>
      <w:bookmarkEnd w:id="30"/>
      <w:r w:rsidRPr="00DE2EDF">
        <w:rPr>
          <w:rFonts w:eastAsia="Times New Roman" w:cs="Times New Roman"/>
          <w:iCs/>
          <w:lang w:val="en-GB"/>
        </w:rPr>
        <w:t xml:space="preserve"> The </w:t>
      </w:r>
      <w:r w:rsidR="00A8774A" w:rsidRPr="00DE2EDF">
        <w:rPr>
          <w:rFonts w:eastAsia="Times New Roman" w:cs="Times New Roman"/>
          <w:iCs/>
          <w:lang w:val="en-GB"/>
        </w:rPr>
        <w:t>demarcation line is still blurry and evolving</w:t>
      </w:r>
      <w:bookmarkStart w:id="31" w:name="_Ref420682295"/>
      <w:r w:rsidR="00A918A6">
        <w:rPr>
          <w:rFonts w:eastAsia="Times New Roman" w:cs="Times New Roman"/>
          <w:iCs/>
          <w:lang w:val="en-GB"/>
        </w:rPr>
        <w:t>.</w:t>
      </w:r>
      <w:r w:rsidRPr="00DE2EDF">
        <w:rPr>
          <w:rStyle w:val="FootnoteReference"/>
          <w:rFonts w:eastAsia="Times New Roman" w:cs="Times New Roman"/>
          <w:iCs/>
          <w:lang w:val="en-GB"/>
        </w:rPr>
        <w:footnoteReference w:id="17"/>
      </w:r>
      <w:bookmarkEnd w:id="31"/>
      <w:r w:rsidR="00A918A6">
        <w:rPr>
          <w:rFonts w:eastAsia="Times New Roman" w:cs="Times New Roman"/>
          <w:iCs/>
          <w:lang w:val="en-GB"/>
        </w:rPr>
        <w:t xml:space="preserve"> </w:t>
      </w:r>
      <w:r w:rsidR="00A8774A" w:rsidRPr="00DE2EDF">
        <w:rPr>
          <w:rFonts w:eastAsia="Times New Roman" w:cs="Times New Roman"/>
          <w:iCs/>
          <w:lang w:val="en-GB"/>
        </w:rPr>
        <w:t xml:space="preserve">It is </w:t>
      </w:r>
      <w:r w:rsidRPr="00DE2EDF">
        <w:rPr>
          <w:rFonts w:eastAsia="Times New Roman" w:cs="Times New Roman"/>
          <w:iCs/>
          <w:lang w:val="en-GB"/>
        </w:rPr>
        <w:t>a matter ‘of convenience’ or ‘choice’</w:t>
      </w:r>
      <w:bookmarkStart w:id="32" w:name="_ftnref15"/>
      <w:r w:rsidRPr="00DE2EDF">
        <w:rPr>
          <w:rFonts w:eastAsia="Times New Roman" w:cs="Times New Roman"/>
          <w:iCs/>
          <w:lang w:val="en-GB"/>
        </w:rPr>
        <w:t>,</w:t>
      </w:r>
      <w:r w:rsidRPr="00DE2EDF">
        <w:rPr>
          <w:rStyle w:val="FootnoteReference"/>
          <w:rFonts w:eastAsia="Times New Roman" w:cs="Times New Roman"/>
          <w:iCs/>
          <w:lang w:val="en-GB"/>
        </w:rPr>
        <w:footnoteReference w:id="18"/>
      </w:r>
      <w:r w:rsidRPr="00DE2EDF">
        <w:rPr>
          <w:rFonts w:eastAsia="Times New Roman" w:cs="Times New Roman"/>
          <w:iCs/>
          <w:lang w:val="en-GB"/>
        </w:rPr>
        <w:t xml:space="preserve"> </w:t>
      </w:r>
      <w:bookmarkEnd w:id="32"/>
      <w:r w:rsidRPr="00DE2EDF">
        <w:rPr>
          <w:rFonts w:eastAsia="Times New Roman" w:cs="Times New Roman"/>
          <w:iCs/>
          <w:lang w:val="en-GB"/>
        </w:rPr>
        <w:t>as the criteria used to define it vary.</w:t>
      </w:r>
      <w:bookmarkStart w:id="33" w:name="_Ref401127189"/>
      <w:bookmarkStart w:id="34" w:name="_ftnref16"/>
      <w:r w:rsidRPr="00DE2EDF">
        <w:rPr>
          <w:rStyle w:val="FootnoteReference"/>
          <w:rFonts w:eastAsia="Times New Roman" w:cs="Times New Roman"/>
          <w:iCs/>
          <w:lang w:val="en-GB"/>
        </w:rPr>
        <w:footnoteReference w:id="19"/>
      </w:r>
      <w:bookmarkEnd w:id="33"/>
      <w:r w:rsidRPr="00DE2EDF">
        <w:rPr>
          <w:rFonts w:eastAsia="Times New Roman" w:cs="Times New Roman"/>
          <w:iCs/>
          <w:lang w:val="en-GB"/>
        </w:rPr>
        <w:t xml:space="preserve"> </w:t>
      </w:r>
      <w:bookmarkEnd w:id="34"/>
      <w:r w:rsidRPr="00DE2EDF">
        <w:rPr>
          <w:rFonts w:eastAsia="Times New Roman" w:cs="Times New Roman"/>
          <w:iCs/>
          <w:lang w:val="en-GB"/>
        </w:rPr>
        <w:t xml:space="preserve">Authors of textbooks on ‘Constitutional and Administrative Law’ often refrain </w:t>
      </w:r>
      <w:r w:rsidRPr="00DE2EDF">
        <w:rPr>
          <w:rFonts w:eastAsia="Times New Roman" w:cs="Times New Roman"/>
          <w:iCs/>
          <w:lang w:val="en-GB"/>
        </w:rPr>
        <w:lastRenderedPageBreak/>
        <w:t xml:space="preserve">from drawing any such line (why should they?). </w:t>
      </w:r>
      <w:r w:rsidR="00A8774A" w:rsidRPr="00DE2EDF">
        <w:rPr>
          <w:rFonts w:eastAsia="Times New Roman" w:cs="Times New Roman"/>
          <w:iCs/>
          <w:lang w:val="en-GB"/>
        </w:rPr>
        <w:t>Moreover, some authors apply the newly-coined term ‘public law’ as an umbrella term for both areas of law.</w:t>
      </w:r>
      <w:bookmarkStart w:id="35" w:name="_ftnref14"/>
      <w:r w:rsidR="00A8774A" w:rsidRPr="00DE2EDF">
        <w:rPr>
          <w:rStyle w:val="FootnoteReference"/>
          <w:rFonts w:eastAsia="Times New Roman" w:cs="Times New Roman"/>
          <w:iCs/>
          <w:lang w:val="en-GB"/>
        </w:rPr>
        <w:footnoteReference w:id="20"/>
      </w:r>
      <w:bookmarkEnd w:id="35"/>
      <w:r w:rsidR="00A8774A" w:rsidRPr="00DE2EDF">
        <w:rPr>
          <w:rFonts w:eastAsia="Times New Roman" w:cs="Times New Roman"/>
          <w:iCs/>
          <w:lang w:val="en-GB"/>
        </w:rPr>
        <w:t xml:space="preserve"> According to Peter Cane, the divisions of law should not bother ‘unduly’ an </w:t>
      </w:r>
      <w:r w:rsidR="00A918A6">
        <w:rPr>
          <w:rFonts w:eastAsia="Times New Roman" w:cs="Times New Roman"/>
          <w:iCs/>
          <w:lang w:val="en-GB"/>
        </w:rPr>
        <w:t>administrative lawyer, as the United Kingdom</w:t>
      </w:r>
      <w:r w:rsidR="00A8774A" w:rsidRPr="00DE2EDF">
        <w:rPr>
          <w:rFonts w:eastAsia="Times New Roman" w:cs="Times New Roman"/>
          <w:iCs/>
          <w:lang w:val="en-GB"/>
        </w:rPr>
        <w:t xml:space="preserve"> lacks a rigid Constitution</w:t>
      </w:r>
      <w:r w:rsidR="002B78EF" w:rsidRPr="00DE2EDF">
        <w:rPr>
          <w:rFonts w:eastAsia="Times New Roman" w:cs="Times New Roman"/>
          <w:iCs/>
          <w:lang w:val="en-GB"/>
        </w:rPr>
        <w:t>.</w:t>
      </w:r>
      <w:r w:rsidR="00A8774A" w:rsidRPr="00DE2EDF">
        <w:rPr>
          <w:rStyle w:val="FootnoteReference"/>
          <w:rFonts w:eastAsia="Times New Roman" w:cs="Times New Roman"/>
          <w:iCs/>
          <w:lang w:val="en-GB"/>
        </w:rPr>
        <w:footnoteReference w:id="21"/>
      </w:r>
      <w:r w:rsidR="00A8774A" w:rsidRPr="00DE2EDF">
        <w:rPr>
          <w:rFonts w:eastAsia="Times New Roman" w:cs="Times New Roman"/>
          <w:iCs/>
          <w:lang w:val="en-GB"/>
        </w:rPr>
        <w:t xml:space="preserve"> </w:t>
      </w:r>
      <w:r w:rsidRPr="00DE2EDF">
        <w:rPr>
          <w:rFonts w:eastAsia="Times New Roman" w:cs="Times New Roman"/>
          <w:iCs/>
          <w:lang w:val="en-GB"/>
        </w:rPr>
        <w:t>The fact is, however, as will be shown later, that British constitutional law is in transition, moving from a purely substantive definition to a formal, hierarchical one. This tectonic shift has not yet been noticed and theori</w:t>
      </w:r>
      <w:r w:rsidR="005471A8" w:rsidRPr="00DE2EDF">
        <w:rPr>
          <w:rFonts w:eastAsia="Times New Roman" w:cs="Times New Roman"/>
          <w:iCs/>
          <w:lang w:val="en-GB"/>
        </w:rPr>
        <w:t>z</w:t>
      </w:r>
      <w:r w:rsidRPr="00DE2EDF">
        <w:rPr>
          <w:rFonts w:eastAsia="Times New Roman" w:cs="Times New Roman"/>
          <w:iCs/>
          <w:lang w:val="en-GB"/>
        </w:rPr>
        <w:t>ed in most textbooks. The ultimate earthquake is still some ways off, but the pressure is gradually building.</w:t>
      </w:r>
      <w:bookmarkStart w:id="36" w:name="_ftnref17"/>
      <w:r w:rsidRPr="00DE2EDF">
        <w:rPr>
          <w:rStyle w:val="FootnoteReference"/>
          <w:rFonts w:eastAsia="Times New Roman" w:cs="Times New Roman"/>
          <w:iCs/>
          <w:lang w:val="en-GB"/>
        </w:rPr>
        <w:footnoteReference w:id="22"/>
      </w:r>
      <w:bookmarkEnd w:id="36"/>
    </w:p>
    <w:p w14:paraId="59198062" w14:textId="77777777" w:rsidR="002D66C1" w:rsidRPr="00DE2EDF" w:rsidRDefault="002D66C1" w:rsidP="00DE2EDF">
      <w:pPr>
        <w:spacing w:after="0"/>
        <w:jc w:val="both"/>
        <w:rPr>
          <w:rFonts w:eastAsia="Times New Roman" w:cs="Times New Roman"/>
          <w:iCs/>
          <w:lang w:val="en-GB"/>
        </w:rPr>
      </w:pPr>
    </w:p>
    <w:p w14:paraId="425F0399"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In general, a comparative lawyer must </w:t>
      </w:r>
      <w:r w:rsidR="009A0E58" w:rsidRPr="00DE2EDF">
        <w:rPr>
          <w:rFonts w:eastAsia="Times New Roman" w:cs="Times New Roman"/>
          <w:iCs/>
          <w:lang w:val="en-GB"/>
        </w:rPr>
        <w:t>keep in mind</w:t>
      </w:r>
      <w:r w:rsidRPr="00DE2EDF">
        <w:rPr>
          <w:rFonts w:eastAsia="Times New Roman" w:cs="Times New Roman"/>
          <w:iCs/>
          <w:lang w:val="en-GB"/>
        </w:rPr>
        <w:t xml:space="preserve"> four complex definitional strands, as summarized in the following table:</w:t>
      </w:r>
    </w:p>
    <w:p w14:paraId="5219DB46" w14:textId="77777777" w:rsidR="002D66C1" w:rsidRPr="00DE2EDF" w:rsidRDefault="002D66C1" w:rsidP="00DE2EDF">
      <w:pPr>
        <w:spacing w:after="0"/>
        <w:jc w:val="both"/>
        <w:rPr>
          <w:rFonts w:eastAsia="Times New Roman" w:cs="Times New Roman"/>
          <w:iCs/>
          <w:lang w:val="en-GB"/>
        </w:rPr>
      </w:pPr>
    </w:p>
    <w:tbl>
      <w:tblPr>
        <w:tblpPr w:leftFromText="180" w:rightFromText="180" w:vertAnchor="text" w:tblpX="108"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700"/>
        <w:gridCol w:w="2808"/>
        <w:gridCol w:w="2822"/>
      </w:tblGrid>
      <w:tr w:rsidR="009E12D0" w:rsidRPr="00DE2EDF" w14:paraId="1D0D0360" w14:textId="77777777" w:rsidTr="00E31885">
        <w:trPr>
          <w:cantSplit/>
          <w:trHeight w:val="580"/>
        </w:trPr>
        <w:tc>
          <w:tcPr>
            <w:tcW w:w="2700" w:type="dxa"/>
            <w:tcBorders>
              <w:top w:val="nil"/>
              <w:left w:val="nil"/>
            </w:tcBorders>
            <w:tcMar>
              <w:top w:w="0" w:type="dxa"/>
              <w:left w:w="108" w:type="dxa"/>
              <w:bottom w:w="0" w:type="dxa"/>
              <w:right w:w="108" w:type="dxa"/>
            </w:tcMar>
            <w:vAlign w:val="center"/>
          </w:tcPr>
          <w:p w14:paraId="44FDEC57" w14:textId="77777777" w:rsidR="009E12D0" w:rsidRPr="00DE2EDF" w:rsidRDefault="009E12D0" w:rsidP="00DE2EDF">
            <w:pPr>
              <w:spacing w:after="0"/>
              <w:rPr>
                <w:rFonts w:eastAsia="Times New Roman" w:cs="Times New Roman"/>
                <w:iCs/>
                <w:lang w:val="en-GB"/>
              </w:rPr>
            </w:pPr>
          </w:p>
        </w:tc>
        <w:tc>
          <w:tcPr>
            <w:tcW w:w="2808" w:type="dxa"/>
            <w:tcMar>
              <w:top w:w="0" w:type="dxa"/>
              <w:left w:w="108" w:type="dxa"/>
              <w:bottom w:w="0" w:type="dxa"/>
              <w:right w:w="108" w:type="dxa"/>
            </w:tcMar>
            <w:vAlign w:val="center"/>
          </w:tcPr>
          <w:p w14:paraId="5C608C43"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‘constitutional law’ definition</w:t>
            </w:r>
          </w:p>
        </w:tc>
        <w:tc>
          <w:tcPr>
            <w:tcW w:w="2822" w:type="dxa"/>
            <w:tcMar>
              <w:top w:w="0" w:type="dxa"/>
              <w:left w:w="108" w:type="dxa"/>
              <w:bottom w:w="0" w:type="dxa"/>
              <w:right w:w="108" w:type="dxa"/>
            </w:tcMar>
            <w:vAlign w:val="center"/>
          </w:tcPr>
          <w:p w14:paraId="7EF1CB31"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 xml:space="preserve">‘administrative law’ </w:t>
            </w:r>
            <w:r w:rsidR="00E31885">
              <w:rPr>
                <w:rFonts w:eastAsia="Times New Roman" w:cs="Times New Roman"/>
                <w:iCs/>
                <w:lang w:val="en-GB"/>
              </w:rPr>
              <w:br/>
            </w:r>
            <w:r w:rsidRPr="00DE2EDF">
              <w:rPr>
                <w:rFonts w:eastAsia="Times New Roman" w:cs="Times New Roman"/>
                <w:iCs/>
                <w:lang w:val="en-GB"/>
              </w:rPr>
              <w:t>definition</w:t>
            </w:r>
          </w:p>
        </w:tc>
      </w:tr>
      <w:tr w:rsidR="009E12D0" w:rsidRPr="00DE2EDF" w14:paraId="4F95630A" w14:textId="77777777" w:rsidTr="00E31885">
        <w:trPr>
          <w:cantSplit/>
          <w:trHeight w:val="580"/>
        </w:trPr>
        <w:tc>
          <w:tcPr>
            <w:tcW w:w="2700" w:type="dxa"/>
            <w:tcMar>
              <w:top w:w="0" w:type="dxa"/>
              <w:left w:w="108" w:type="dxa"/>
              <w:bottom w:w="0" w:type="dxa"/>
              <w:right w:w="108" w:type="dxa"/>
            </w:tcMar>
            <w:vAlign w:val="center"/>
          </w:tcPr>
          <w:p w14:paraId="174734FF" w14:textId="77777777" w:rsidR="009E12D0" w:rsidRPr="00DE2EDF" w:rsidRDefault="009E12D0" w:rsidP="00DE2EDF">
            <w:pPr>
              <w:spacing w:after="0"/>
              <w:rPr>
                <w:rFonts w:eastAsia="Times New Roman" w:cs="Times New Roman"/>
                <w:iCs/>
                <w:lang w:val="en-GB"/>
              </w:rPr>
            </w:pPr>
            <w:r w:rsidRPr="00DE2EDF">
              <w:rPr>
                <w:rFonts w:eastAsia="Times New Roman" w:cs="Times New Roman"/>
                <w:iCs/>
                <w:lang w:val="en-GB"/>
              </w:rPr>
              <w:t xml:space="preserve">‘Continent’ </w:t>
            </w:r>
            <w:r w:rsidR="00E31885">
              <w:rPr>
                <w:rFonts w:eastAsia="Times New Roman" w:cs="Times New Roman"/>
                <w:iCs/>
                <w:lang w:val="en-GB"/>
              </w:rPr>
              <w:br/>
            </w:r>
            <w:r w:rsidRPr="00DE2EDF">
              <w:rPr>
                <w:rFonts w:eastAsia="Times New Roman" w:cs="Times New Roman"/>
                <w:iCs/>
                <w:lang w:val="en-GB"/>
              </w:rPr>
              <w:t>(including Ireland)</w:t>
            </w:r>
          </w:p>
        </w:tc>
        <w:tc>
          <w:tcPr>
            <w:tcW w:w="2808" w:type="dxa"/>
            <w:tcMar>
              <w:top w:w="0" w:type="dxa"/>
              <w:left w:w="108" w:type="dxa"/>
              <w:bottom w:w="0" w:type="dxa"/>
              <w:right w:w="108" w:type="dxa"/>
            </w:tcMar>
            <w:vAlign w:val="center"/>
          </w:tcPr>
          <w:p w14:paraId="21C8DA2E" w14:textId="77777777" w:rsidR="009E12D0" w:rsidRPr="00DE2EDF" w:rsidRDefault="004545B0" w:rsidP="00DE2EDF">
            <w:pPr>
              <w:keepNext/>
              <w:spacing w:after="0"/>
              <w:jc w:val="center"/>
              <w:rPr>
                <w:rFonts w:eastAsia="Times New Roman" w:cs="Times New Roman"/>
                <w:iCs/>
                <w:lang w:val="en-GB"/>
              </w:rPr>
            </w:pPr>
            <w:r w:rsidRPr="00DE2EDF">
              <w:rPr>
                <w:rFonts w:eastAsia="Times New Roman" w:cs="Times New Roman"/>
                <w:iCs/>
                <w:lang w:val="en-GB"/>
              </w:rPr>
              <w:t>f</w:t>
            </w:r>
            <w:r w:rsidR="009E12D0" w:rsidRPr="00DE2EDF">
              <w:rPr>
                <w:rFonts w:eastAsia="Times New Roman" w:cs="Times New Roman"/>
                <w:iCs/>
                <w:lang w:val="en-GB"/>
              </w:rPr>
              <w:t>ormal</w:t>
            </w:r>
          </w:p>
        </w:tc>
        <w:tc>
          <w:tcPr>
            <w:tcW w:w="2822" w:type="dxa"/>
            <w:tcMar>
              <w:top w:w="0" w:type="dxa"/>
              <w:left w:w="108" w:type="dxa"/>
              <w:bottom w:w="0" w:type="dxa"/>
              <w:right w:w="108" w:type="dxa"/>
            </w:tcMar>
            <w:vAlign w:val="center"/>
          </w:tcPr>
          <w:p w14:paraId="3166CB63"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substantive</w:t>
            </w:r>
          </w:p>
        </w:tc>
      </w:tr>
      <w:tr w:rsidR="009E12D0" w:rsidRPr="00DE2EDF" w14:paraId="390491F2" w14:textId="77777777" w:rsidTr="00E31885">
        <w:trPr>
          <w:cantSplit/>
          <w:trHeight w:val="580"/>
        </w:trPr>
        <w:tc>
          <w:tcPr>
            <w:tcW w:w="2700" w:type="dxa"/>
            <w:tcMar>
              <w:top w:w="0" w:type="dxa"/>
              <w:left w:w="108" w:type="dxa"/>
              <w:bottom w:w="0" w:type="dxa"/>
              <w:right w:w="108" w:type="dxa"/>
            </w:tcMar>
            <w:vAlign w:val="center"/>
          </w:tcPr>
          <w:p w14:paraId="31055AD0" w14:textId="77777777" w:rsidR="009E12D0" w:rsidRPr="00DE2EDF" w:rsidRDefault="009E12D0" w:rsidP="00DE2EDF">
            <w:pPr>
              <w:spacing w:after="0"/>
              <w:rPr>
                <w:rFonts w:eastAsia="Times New Roman" w:cs="Times New Roman"/>
                <w:iCs/>
                <w:lang w:val="en-GB"/>
              </w:rPr>
            </w:pPr>
            <w:r w:rsidRPr="00DE2EDF">
              <w:rPr>
                <w:rFonts w:eastAsia="Times New Roman" w:cs="Times New Roman"/>
                <w:iCs/>
                <w:lang w:val="en-GB"/>
              </w:rPr>
              <w:t>Austria</w:t>
            </w:r>
          </w:p>
        </w:tc>
        <w:tc>
          <w:tcPr>
            <w:tcW w:w="2808" w:type="dxa"/>
            <w:tcMar>
              <w:top w:w="0" w:type="dxa"/>
              <w:left w:w="108" w:type="dxa"/>
              <w:bottom w:w="0" w:type="dxa"/>
              <w:right w:w="108" w:type="dxa"/>
            </w:tcMar>
            <w:vAlign w:val="center"/>
          </w:tcPr>
          <w:p w14:paraId="3579B1C8" w14:textId="77777777" w:rsidR="009E12D0" w:rsidRPr="00DE2EDF" w:rsidRDefault="004545B0" w:rsidP="00DE2EDF">
            <w:pPr>
              <w:keepNext/>
              <w:spacing w:after="0"/>
              <w:jc w:val="center"/>
              <w:rPr>
                <w:rFonts w:eastAsia="Times New Roman" w:cs="Times New Roman"/>
                <w:iCs/>
                <w:lang w:val="en-GB"/>
              </w:rPr>
            </w:pPr>
            <w:r w:rsidRPr="00DE2EDF">
              <w:rPr>
                <w:rFonts w:eastAsia="Times New Roman" w:cs="Times New Roman"/>
                <w:iCs/>
                <w:lang w:val="en-GB"/>
              </w:rPr>
              <w:t>f</w:t>
            </w:r>
            <w:r w:rsidR="009E12D0" w:rsidRPr="00DE2EDF">
              <w:rPr>
                <w:rFonts w:eastAsia="Times New Roman" w:cs="Times New Roman"/>
                <w:iCs/>
                <w:lang w:val="en-GB"/>
              </w:rPr>
              <w:t>ormal</w:t>
            </w:r>
          </w:p>
        </w:tc>
        <w:tc>
          <w:tcPr>
            <w:tcW w:w="2822" w:type="dxa"/>
            <w:tcMar>
              <w:top w:w="0" w:type="dxa"/>
              <w:left w:w="108" w:type="dxa"/>
              <w:bottom w:w="0" w:type="dxa"/>
              <w:right w:w="108" w:type="dxa"/>
            </w:tcMar>
            <w:vAlign w:val="center"/>
          </w:tcPr>
          <w:p w14:paraId="18A625CB" w14:textId="77777777" w:rsidR="009E12D0" w:rsidRPr="00DE2EDF" w:rsidRDefault="00E00D17" w:rsidP="00DE2EDF">
            <w:pPr>
              <w:keepNext/>
              <w:spacing w:after="0"/>
              <w:jc w:val="center"/>
              <w:rPr>
                <w:rFonts w:eastAsia="Times New Roman" w:cs="Times New Roman"/>
                <w:iCs/>
                <w:lang w:val="en-GB"/>
              </w:rPr>
            </w:pPr>
            <w:r w:rsidRPr="00DE2EDF">
              <w:rPr>
                <w:rFonts w:eastAsia="Times New Roman" w:cs="Times New Roman"/>
                <w:iCs/>
                <w:lang w:val="en-GB"/>
              </w:rPr>
              <w:t>f</w:t>
            </w:r>
            <w:r w:rsidR="009E12D0" w:rsidRPr="00DE2EDF">
              <w:rPr>
                <w:rFonts w:eastAsia="Times New Roman" w:cs="Times New Roman"/>
                <w:iCs/>
                <w:lang w:val="en-GB"/>
              </w:rPr>
              <w:t>ormal</w:t>
            </w:r>
            <w:r w:rsidR="001E232F" w:rsidRPr="00DE2EDF">
              <w:rPr>
                <w:rFonts w:eastAsia="Times New Roman" w:cs="Times New Roman"/>
                <w:iCs/>
                <w:lang w:val="en-GB"/>
              </w:rPr>
              <w:t xml:space="preserve"> (and substantive)</w:t>
            </w:r>
          </w:p>
        </w:tc>
      </w:tr>
      <w:tr w:rsidR="009E12D0" w:rsidRPr="00DE2EDF" w14:paraId="016D58A0" w14:textId="77777777" w:rsidTr="00E31885">
        <w:trPr>
          <w:cantSplit/>
          <w:trHeight w:val="580"/>
        </w:trPr>
        <w:tc>
          <w:tcPr>
            <w:tcW w:w="2700" w:type="dxa"/>
            <w:tcMar>
              <w:top w:w="0" w:type="dxa"/>
              <w:left w:w="108" w:type="dxa"/>
              <w:bottom w:w="0" w:type="dxa"/>
              <w:right w:w="108" w:type="dxa"/>
            </w:tcMar>
            <w:vAlign w:val="center"/>
          </w:tcPr>
          <w:p w14:paraId="7F5FC967" w14:textId="77777777" w:rsidR="009E12D0" w:rsidRPr="00DE2EDF" w:rsidRDefault="00E00D17" w:rsidP="00DE2EDF">
            <w:pPr>
              <w:spacing w:after="0"/>
              <w:rPr>
                <w:rFonts w:eastAsia="Times New Roman" w:cs="Times New Roman"/>
                <w:iCs/>
                <w:lang w:val="en-GB"/>
              </w:rPr>
            </w:pPr>
            <w:r w:rsidRPr="00DE2EDF">
              <w:rPr>
                <w:rFonts w:eastAsia="Times New Roman" w:cs="Times New Roman"/>
                <w:iCs/>
                <w:lang w:val="en-GB"/>
              </w:rPr>
              <w:t xml:space="preserve">The </w:t>
            </w:r>
            <w:r w:rsidR="009E12D0" w:rsidRPr="00DE2EDF">
              <w:rPr>
                <w:rFonts w:eastAsia="Times New Roman" w:cs="Times New Roman"/>
                <w:iCs/>
                <w:lang w:val="en-GB"/>
              </w:rPr>
              <w:t>Netherlands</w:t>
            </w:r>
          </w:p>
        </w:tc>
        <w:tc>
          <w:tcPr>
            <w:tcW w:w="2808" w:type="dxa"/>
            <w:tcMar>
              <w:top w:w="0" w:type="dxa"/>
              <w:left w:w="108" w:type="dxa"/>
              <w:bottom w:w="0" w:type="dxa"/>
              <w:right w:w="108" w:type="dxa"/>
            </w:tcMar>
            <w:vAlign w:val="center"/>
          </w:tcPr>
          <w:p w14:paraId="18BE621E"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 xml:space="preserve">substantive </w:t>
            </w:r>
          </w:p>
          <w:p w14:paraId="5AC6C960"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(notwithstanding the existence of an entrenched Constitution)</w:t>
            </w:r>
          </w:p>
        </w:tc>
        <w:tc>
          <w:tcPr>
            <w:tcW w:w="2822" w:type="dxa"/>
            <w:tcMar>
              <w:top w:w="0" w:type="dxa"/>
              <w:left w:w="108" w:type="dxa"/>
              <w:bottom w:w="0" w:type="dxa"/>
              <w:right w:w="108" w:type="dxa"/>
            </w:tcMar>
            <w:vAlign w:val="center"/>
          </w:tcPr>
          <w:p w14:paraId="172855B9"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substantive</w:t>
            </w:r>
          </w:p>
        </w:tc>
      </w:tr>
      <w:tr w:rsidR="009E12D0" w:rsidRPr="00DE2EDF" w14:paraId="03A4C3BC" w14:textId="77777777" w:rsidTr="00E31885">
        <w:trPr>
          <w:cantSplit/>
          <w:trHeight w:val="580"/>
        </w:trPr>
        <w:tc>
          <w:tcPr>
            <w:tcW w:w="2700" w:type="dxa"/>
            <w:tcMar>
              <w:top w:w="0" w:type="dxa"/>
              <w:left w:w="108" w:type="dxa"/>
              <w:bottom w:w="0" w:type="dxa"/>
              <w:right w:w="108" w:type="dxa"/>
            </w:tcMar>
            <w:vAlign w:val="center"/>
          </w:tcPr>
          <w:p w14:paraId="5AEDB15D" w14:textId="77777777" w:rsidR="009E12D0" w:rsidRPr="00DE2EDF" w:rsidRDefault="00E00D17" w:rsidP="00DE2EDF">
            <w:pPr>
              <w:spacing w:after="0"/>
              <w:rPr>
                <w:rFonts w:eastAsia="Times New Roman" w:cs="Times New Roman"/>
                <w:iCs/>
                <w:lang w:val="en-GB"/>
              </w:rPr>
            </w:pPr>
            <w:r w:rsidRPr="00DE2EDF">
              <w:rPr>
                <w:rFonts w:eastAsia="Times New Roman" w:cs="Times New Roman"/>
                <w:iCs/>
                <w:lang w:val="en-GB"/>
              </w:rPr>
              <w:t xml:space="preserve">The </w:t>
            </w:r>
            <w:r w:rsidR="009E12D0" w:rsidRPr="00DE2EDF">
              <w:rPr>
                <w:rFonts w:eastAsia="Times New Roman" w:cs="Times New Roman"/>
                <w:iCs/>
                <w:lang w:val="en-GB"/>
              </w:rPr>
              <w:t>United Kingdom</w:t>
            </w:r>
          </w:p>
        </w:tc>
        <w:tc>
          <w:tcPr>
            <w:tcW w:w="2808" w:type="dxa"/>
            <w:tcMar>
              <w:top w:w="0" w:type="dxa"/>
              <w:left w:w="108" w:type="dxa"/>
              <w:bottom w:w="0" w:type="dxa"/>
              <w:right w:w="108" w:type="dxa"/>
            </w:tcMar>
            <w:vAlign w:val="center"/>
          </w:tcPr>
          <w:p w14:paraId="6BBA2250"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substantive (in transition)</w:t>
            </w:r>
          </w:p>
        </w:tc>
        <w:tc>
          <w:tcPr>
            <w:tcW w:w="2822" w:type="dxa"/>
            <w:tcMar>
              <w:top w:w="0" w:type="dxa"/>
              <w:left w:w="108" w:type="dxa"/>
              <w:bottom w:w="0" w:type="dxa"/>
              <w:right w:w="108" w:type="dxa"/>
            </w:tcMar>
            <w:vAlign w:val="center"/>
          </w:tcPr>
          <w:p w14:paraId="5EC34116" w14:textId="77777777" w:rsidR="009E12D0" w:rsidRPr="00DE2EDF" w:rsidRDefault="009E12D0" w:rsidP="00DE2EDF">
            <w:pPr>
              <w:keepNext/>
              <w:spacing w:after="0"/>
              <w:jc w:val="center"/>
              <w:rPr>
                <w:rFonts w:eastAsia="Times New Roman" w:cs="Times New Roman"/>
                <w:iCs/>
                <w:lang w:val="en-GB"/>
              </w:rPr>
            </w:pPr>
            <w:r w:rsidRPr="00DE2EDF">
              <w:rPr>
                <w:rFonts w:eastAsia="Times New Roman" w:cs="Times New Roman"/>
                <w:iCs/>
                <w:lang w:val="en-GB"/>
              </w:rPr>
              <w:t>substantive</w:t>
            </w:r>
          </w:p>
        </w:tc>
      </w:tr>
    </w:tbl>
    <w:p w14:paraId="62F5B57F" w14:textId="77777777" w:rsidR="002D66C1" w:rsidRPr="00DE2EDF" w:rsidRDefault="002D66C1" w:rsidP="00DE2EDF">
      <w:pPr>
        <w:spacing w:after="0"/>
        <w:jc w:val="both"/>
        <w:rPr>
          <w:rFonts w:eastAsia="Times New Roman" w:cs="Times New Roman"/>
          <w:iCs/>
          <w:lang w:val="en-GB"/>
        </w:rPr>
      </w:pPr>
    </w:p>
    <w:p w14:paraId="0740BDCE" w14:textId="77777777" w:rsidR="00F977C4" w:rsidRPr="00DE2EDF" w:rsidRDefault="002D66C1" w:rsidP="00DE2EDF">
      <w:pPr>
        <w:pStyle w:val="Heading2"/>
        <w:spacing w:before="0" w:after="0" w:line="276" w:lineRule="auto"/>
        <w:ind w:left="0" w:firstLine="0"/>
        <w:rPr>
          <w:rFonts w:eastAsia="Times New Roman" w:cs="Times New Roman"/>
          <w:szCs w:val="24"/>
          <w:lang w:val="en-GB"/>
        </w:rPr>
      </w:pPr>
      <w:bookmarkStart w:id="37" w:name="_Toc460405615"/>
      <w:r w:rsidRPr="00DE2EDF">
        <w:rPr>
          <w:rFonts w:eastAsia="Times New Roman" w:cs="Times New Roman"/>
          <w:szCs w:val="24"/>
          <w:lang w:val="en-GB"/>
        </w:rPr>
        <w:t xml:space="preserve">3. </w:t>
      </w:r>
      <w:r w:rsidR="00F977C4" w:rsidRPr="00DE2EDF">
        <w:rPr>
          <w:rFonts w:eastAsia="Times New Roman" w:cs="Times New Roman"/>
          <w:szCs w:val="24"/>
          <w:lang w:val="en-GB"/>
        </w:rPr>
        <w:t>F</w:t>
      </w:r>
      <w:r w:rsidR="00EA2E67" w:rsidRPr="00DE2EDF">
        <w:rPr>
          <w:rFonts w:eastAsia="Times New Roman" w:cs="Times New Roman"/>
          <w:szCs w:val="24"/>
          <w:lang w:val="en-GB"/>
        </w:rPr>
        <w:t>our Classic Theses Regarding the R</w:t>
      </w:r>
      <w:r w:rsidR="00F977C4" w:rsidRPr="00DE2EDF">
        <w:rPr>
          <w:rFonts w:eastAsia="Times New Roman" w:cs="Times New Roman"/>
          <w:szCs w:val="24"/>
          <w:lang w:val="en-GB"/>
        </w:rPr>
        <w:t xml:space="preserve">elationship </w:t>
      </w:r>
      <w:r w:rsidR="00EA2E67" w:rsidRPr="00DE2EDF">
        <w:rPr>
          <w:rFonts w:eastAsia="Times New Roman" w:cs="Times New Roman"/>
          <w:szCs w:val="24"/>
          <w:lang w:val="en-GB"/>
        </w:rPr>
        <w:t>Between Both Areas of L</w:t>
      </w:r>
      <w:r w:rsidR="00F977C4" w:rsidRPr="00DE2EDF">
        <w:rPr>
          <w:rFonts w:eastAsia="Times New Roman" w:cs="Times New Roman"/>
          <w:szCs w:val="24"/>
          <w:lang w:val="en-GB"/>
        </w:rPr>
        <w:t>aw</w:t>
      </w:r>
      <w:bookmarkEnd w:id="37"/>
    </w:p>
    <w:p w14:paraId="59BE3431" w14:textId="77777777" w:rsidR="00F977C4" w:rsidRPr="00DE2EDF" w:rsidRDefault="00F977C4" w:rsidP="00DE2EDF">
      <w:pPr>
        <w:spacing w:after="0"/>
        <w:jc w:val="both"/>
        <w:rPr>
          <w:rFonts w:eastAsia="Times New Roman" w:cs="Times New Roman"/>
          <w:iCs/>
          <w:lang w:val="en-GB"/>
        </w:rPr>
      </w:pPr>
    </w:p>
    <w:p w14:paraId="70E52A05" w14:textId="58466A1F" w:rsidR="00062525"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What is the relationship between these areas of law? A historical and comparative assessment results in no less than four </w:t>
      </w:r>
      <w:r w:rsidR="00D30824" w:rsidRPr="00DE2EDF">
        <w:rPr>
          <w:rFonts w:eastAsia="Times New Roman" w:cs="Times New Roman"/>
          <w:iCs/>
          <w:lang w:val="en-GB"/>
        </w:rPr>
        <w:t>types of statement</w:t>
      </w:r>
      <w:r w:rsidR="00F977C4" w:rsidRPr="00DE2EDF">
        <w:rPr>
          <w:rFonts w:eastAsia="Times New Roman" w:cs="Times New Roman"/>
          <w:iCs/>
          <w:lang w:val="en-GB"/>
        </w:rPr>
        <w:t>s</w:t>
      </w:r>
      <w:r w:rsidRPr="00DE2EDF">
        <w:rPr>
          <w:rFonts w:eastAsia="Times New Roman" w:cs="Times New Roman"/>
          <w:iCs/>
          <w:lang w:val="en-GB"/>
        </w:rPr>
        <w:t>, which reflect the classic perspectives on this topic.</w:t>
      </w:r>
      <w:r w:rsidR="000F756A" w:rsidRPr="00DE2EDF">
        <w:rPr>
          <w:rFonts w:eastAsia="Times New Roman" w:cs="Times New Roman"/>
          <w:iCs/>
          <w:lang w:val="en-GB"/>
        </w:rPr>
        <w:t xml:space="preserve"> </w:t>
      </w:r>
      <w:r w:rsidRPr="00DE2EDF">
        <w:rPr>
          <w:rFonts w:eastAsia="Times New Roman" w:cs="Times New Roman"/>
          <w:iCs/>
          <w:lang w:val="en-GB"/>
        </w:rPr>
        <w:t>(</w:t>
      </w:r>
      <w:r w:rsidR="007210FC" w:rsidRPr="00DE2EDF">
        <w:rPr>
          <w:rFonts w:eastAsia="Times New Roman" w:cs="Times New Roman"/>
          <w:iCs/>
          <w:lang w:val="en-GB"/>
        </w:rPr>
        <w:t>a</w:t>
      </w:r>
      <w:r w:rsidRPr="00DE2EDF">
        <w:rPr>
          <w:rFonts w:eastAsia="Times New Roman" w:cs="Times New Roman"/>
          <w:iCs/>
          <w:lang w:val="en-GB"/>
        </w:rPr>
        <w:t>) Constitutional law and administrative law are completely separate</w:t>
      </w:r>
      <w:r w:rsidR="00E03EB5" w:rsidRPr="00DE2EDF">
        <w:rPr>
          <w:rFonts w:eastAsia="Times New Roman" w:cs="Times New Roman"/>
          <w:iCs/>
          <w:lang w:val="en-GB"/>
        </w:rPr>
        <w:t>.</w:t>
      </w:r>
      <w:r w:rsidR="00E31885">
        <w:rPr>
          <w:rFonts w:eastAsia="Times New Roman" w:cs="Times New Roman"/>
          <w:iCs/>
          <w:lang w:val="en-GB"/>
        </w:rPr>
        <w:t xml:space="preserve"> (</w:t>
      </w:r>
      <w:r w:rsidR="000A67F6" w:rsidRPr="00DE2EDF">
        <w:rPr>
          <w:rFonts w:eastAsia="Times New Roman" w:cs="Times New Roman"/>
          <w:iCs/>
          <w:lang w:val="en-GB"/>
        </w:rPr>
        <w:t xml:space="preserve">I </w:t>
      </w:r>
      <w:r w:rsidR="002A242C" w:rsidRPr="00DE2EDF">
        <w:rPr>
          <w:rFonts w:eastAsia="Times New Roman" w:cs="Times New Roman"/>
          <w:iCs/>
          <w:lang w:val="en-GB"/>
        </w:rPr>
        <w:t>call</w:t>
      </w:r>
      <w:r w:rsidR="00E67EB8" w:rsidRPr="00DE2EDF">
        <w:rPr>
          <w:rFonts w:eastAsia="Times New Roman" w:cs="Times New Roman"/>
          <w:iCs/>
          <w:lang w:val="en-GB"/>
        </w:rPr>
        <w:t xml:space="preserve"> this view</w:t>
      </w:r>
      <w:r w:rsidR="000A67F6" w:rsidRPr="00DE2EDF">
        <w:rPr>
          <w:rFonts w:eastAsia="Times New Roman" w:cs="Times New Roman"/>
          <w:iCs/>
          <w:lang w:val="en-GB"/>
        </w:rPr>
        <w:t xml:space="preserve"> </w:t>
      </w:r>
      <w:r w:rsidR="00627AB0" w:rsidRPr="00DE2EDF">
        <w:rPr>
          <w:rFonts w:eastAsia="Times New Roman" w:cs="Times New Roman"/>
          <w:iCs/>
          <w:lang w:val="en-GB"/>
        </w:rPr>
        <w:t xml:space="preserve">the </w:t>
      </w:r>
      <w:r w:rsidR="000A67F6" w:rsidRPr="00DE2EDF">
        <w:rPr>
          <w:rFonts w:eastAsia="Times New Roman" w:cs="Times New Roman"/>
          <w:iCs/>
          <w:lang w:val="en-GB"/>
        </w:rPr>
        <w:t>‘</w:t>
      </w:r>
      <w:r w:rsidR="00627AB0" w:rsidRPr="00DE2EDF">
        <w:rPr>
          <w:rFonts w:eastAsia="Times New Roman" w:cs="Times New Roman"/>
          <w:iCs/>
          <w:lang w:val="en-GB"/>
        </w:rPr>
        <w:t>Two World The</w:t>
      </w:r>
      <w:r w:rsidR="000A67F6" w:rsidRPr="00DE2EDF">
        <w:rPr>
          <w:rFonts w:eastAsia="Times New Roman" w:cs="Times New Roman"/>
          <w:iCs/>
          <w:lang w:val="en-GB"/>
        </w:rPr>
        <w:t>sis’</w:t>
      </w:r>
      <w:r w:rsidR="00E00D17" w:rsidRPr="00DE2EDF">
        <w:rPr>
          <w:rFonts w:eastAsia="Times New Roman" w:cs="Times New Roman"/>
          <w:iCs/>
          <w:lang w:val="en-GB"/>
        </w:rPr>
        <w:t xml:space="preserve"> </w:t>
      </w:r>
      <w:r w:rsidR="00E03EB5" w:rsidRPr="00DE2EDF">
        <w:rPr>
          <w:rFonts w:eastAsia="Times New Roman" w:cs="Times New Roman"/>
          <w:iCs/>
          <w:lang w:val="en-GB"/>
        </w:rPr>
        <w:t xml:space="preserve">and </w:t>
      </w:r>
      <w:r w:rsidR="00E00D17" w:rsidRPr="00DE2EDF">
        <w:rPr>
          <w:rFonts w:eastAsia="Times New Roman" w:cs="Times New Roman"/>
          <w:iCs/>
          <w:lang w:val="en-GB"/>
        </w:rPr>
        <w:t>discuss</w:t>
      </w:r>
      <w:r w:rsidR="00E03EB5" w:rsidRPr="00DE2EDF">
        <w:rPr>
          <w:rFonts w:eastAsia="Times New Roman" w:cs="Times New Roman"/>
          <w:iCs/>
          <w:lang w:val="en-GB"/>
        </w:rPr>
        <w:t xml:space="preserve"> it </w:t>
      </w:r>
      <w:r w:rsidR="00E31885">
        <w:rPr>
          <w:rFonts w:eastAsia="Times New Roman" w:cs="Times New Roman"/>
          <w:iCs/>
          <w:lang w:val="en-GB"/>
        </w:rPr>
        <w:t xml:space="preserve">in more detail </w:t>
      </w:r>
      <w:r w:rsidR="00E00D17" w:rsidRPr="00DE2EDF">
        <w:rPr>
          <w:rFonts w:eastAsia="Times New Roman" w:cs="Times New Roman"/>
          <w:iCs/>
          <w:lang w:val="en-GB"/>
        </w:rPr>
        <w:t>below)</w:t>
      </w:r>
      <w:r w:rsidRPr="00DE2EDF">
        <w:rPr>
          <w:rFonts w:eastAsia="Times New Roman" w:cs="Times New Roman"/>
          <w:iCs/>
          <w:lang w:val="en-GB"/>
        </w:rPr>
        <w:t>.</w:t>
      </w:r>
      <w:r w:rsidR="00A918A6">
        <w:rPr>
          <w:rFonts w:eastAsia="Times New Roman" w:cs="Times New Roman"/>
          <w:iCs/>
          <w:lang w:val="en-GB"/>
        </w:rPr>
        <w:t xml:space="preserve"> </w:t>
      </w:r>
      <w:r w:rsidRPr="00DE2EDF">
        <w:rPr>
          <w:rFonts w:eastAsia="Times New Roman" w:cs="Times New Roman"/>
          <w:iCs/>
          <w:lang w:val="en-GB"/>
        </w:rPr>
        <w:lastRenderedPageBreak/>
        <w:t>(</w:t>
      </w:r>
      <w:r w:rsidR="007210FC" w:rsidRPr="00DE2EDF">
        <w:rPr>
          <w:rFonts w:eastAsia="Times New Roman" w:cs="Times New Roman"/>
          <w:iCs/>
          <w:lang w:val="en-GB"/>
        </w:rPr>
        <w:t>b</w:t>
      </w:r>
      <w:r w:rsidRPr="00DE2EDF">
        <w:rPr>
          <w:rFonts w:eastAsia="Times New Roman" w:cs="Times New Roman"/>
          <w:iCs/>
          <w:lang w:val="en-GB"/>
        </w:rPr>
        <w:t>) The Constitution prohibits the existence of administrative law</w:t>
      </w:r>
      <w:r w:rsidR="004A7B33">
        <w:rPr>
          <w:rFonts w:eastAsia="Times New Roman" w:cs="Times New Roman"/>
          <w:iCs/>
          <w:lang w:val="en-GB"/>
        </w:rPr>
        <w:t>.</w:t>
      </w:r>
      <w:r w:rsidR="004A7B33" w:rsidRPr="00DE2EDF">
        <w:rPr>
          <w:rFonts w:eastAsia="Times New Roman" w:cs="Times New Roman"/>
          <w:iCs/>
          <w:lang w:val="en-GB"/>
        </w:rPr>
        <w:t xml:space="preserve"> </w:t>
      </w:r>
      <w:r w:rsidR="004A7B33">
        <w:rPr>
          <w:rFonts w:eastAsia="Times New Roman" w:cs="Times New Roman"/>
          <w:iCs/>
          <w:lang w:val="en-GB"/>
        </w:rPr>
        <w:t>This</w:t>
      </w:r>
      <w:r w:rsidR="004A7B33" w:rsidRPr="00DE2EDF">
        <w:rPr>
          <w:rFonts w:eastAsia="Times New Roman" w:cs="Times New Roman"/>
          <w:iCs/>
          <w:lang w:val="en-GB"/>
        </w:rPr>
        <w:t xml:space="preserve"> </w:t>
      </w:r>
      <w:r w:rsidR="00835236" w:rsidRPr="00DE2EDF">
        <w:rPr>
          <w:rFonts w:eastAsia="Times New Roman" w:cs="Times New Roman"/>
          <w:iCs/>
          <w:lang w:val="en-GB"/>
        </w:rPr>
        <w:t xml:space="preserve">legal dogmatic conclusion, based on the analysis of </w:t>
      </w:r>
      <w:r w:rsidR="002A242C" w:rsidRPr="00DE2EDF">
        <w:rPr>
          <w:rFonts w:eastAsia="Times New Roman" w:cs="Times New Roman"/>
          <w:iCs/>
          <w:lang w:val="en-GB"/>
        </w:rPr>
        <w:t>a</w:t>
      </w:r>
      <w:r w:rsidR="00835236" w:rsidRPr="00DE2EDF">
        <w:rPr>
          <w:rFonts w:eastAsia="Times New Roman" w:cs="Times New Roman"/>
          <w:iCs/>
          <w:lang w:val="en-GB"/>
        </w:rPr>
        <w:t xml:space="preserve"> specific legal system (Great</w:t>
      </w:r>
      <w:r w:rsidR="00E00D17" w:rsidRPr="00DE2EDF">
        <w:rPr>
          <w:rFonts w:eastAsia="Times New Roman" w:cs="Times New Roman"/>
          <w:iCs/>
          <w:lang w:val="en-GB"/>
        </w:rPr>
        <w:t xml:space="preserve"> </w:t>
      </w:r>
      <w:r w:rsidR="00835236" w:rsidRPr="00DE2EDF">
        <w:rPr>
          <w:rFonts w:eastAsia="Times New Roman" w:cs="Times New Roman"/>
          <w:iCs/>
          <w:lang w:val="en-GB"/>
        </w:rPr>
        <w:t xml:space="preserve">Britain), </w:t>
      </w:r>
      <w:r w:rsidR="00E00D17" w:rsidRPr="00DE2EDF">
        <w:rPr>
          <w:rFonts w:eastAsia="Times New Roman" w:cs="Times New Roman"/>
          <w:iCs/>
          <w:lang w:val="en-GB"/>
        </w:rPr>
        <w:t xml:space="preserve">was </w:t>
      </w:r>
      <w:r w:rsidR="00835236" w:rsidRPr="00DE2EDF">
        <w:rPr>
          <w:rFonts w:eastAsia="Times New Roman" w:cs="Times New Roman"/>
          <w:iCs/>
          <w:lang w:val="en-GB"/>
        </w:rPr>
        <w:t xml:space="preserve">famously defended by Albert Venn </w:t>
      </w:r>
      <w:r w:rsidRPr="00DE2EDF">
        <w:rPr>
          <w:rFonts w:eastAsia="Times New Roman" w:cs="Times New Roman"/>
          <w:iCs/>
          <w:lang w:val="en-GB"/>
        </w:rPr>
        <w:t>Dicey</w:t>
      </w:r>
      <w:r w:rsidR="00B312BE" w:rsidRPr="00DE2EDF">
        <w:rPr>
          <w:rFonts w:eastAsia="Times New Roman" w:cs="Times New Roman"/>
          <w:iCs/>
          <w:lang w:val="en-GB"/>
        </w:rPr>
        <w:t xml:space="preserve"> </w:t>
      </w:r>
      <w:r w:rsidR="00EB1037" w:rsidRPr="00DE2EDF">
        <w:rPr>
          <w:rFonts w:eastAsia="Times New Roman" w:cs="Times New Roman"/>
          <w:iCs/>
          <w:lang w:val="en-GB"/>
        </w:rPr>
        <w:t>at</w:t>
      </w:r>
      <w:r w:rsidR="00B312BE" w:rsidRPr="00DE2EDF">
        <w:rPr>
          <w:rFonts w:eastAsia="Times New Roman" w:cs="Times New Roman"/>
          <w:iCs/>
          <w:lang w:val="en-GB"/>
        </w:rPr>
        <w:t xml:space="preserve"> the end of </w:t>
      </w:r>
      <w:r w:rsidR="00E31885">
        <w:rPr>
          <w:rFonts w:eastAsia="Times New Roman" w:cs="Times New Roman"/>
          <w:iCs/>
          <w:lang w:val="en-GB"/>
        </w:rPr>
        <w:t>nineteenth</w:t>
      </w:r>
      <w:r w:rsidR="00B312BE" w:rsidRPr="00DE2EDF">
        <w:rPr>
          <w:rFonts w:eastAsia="Times New Roman" w:cs="Times New Roman"/>
          <w:iCs/>
          <w:lang w:val="en-GB"/>
        </w:rPr>
        <w:t xml:space="preserve"> century</w:t>
      </w:r>
      <w:r w:rsidR="00E03EB5" w:rsidRPr="00DE2EDF">
        <w:rPr>
          <w:rFonts w:eastAsia="Times New Roman" w:cs="Times New Roman"/>
          <w:iCs/>
          <w:lang w:val="en-GB"/>
        </w:rPr>
        <w:t xml:space="preserve">. It was, however, </w:t>
      </w:r>
      <w:r w:rsidR="00B312BE" w:rsidRPr="00DE2EDF">
        <w:rPr>
          <w:rFonts w:eastAsia="Times New Roman" w:cs="Times New Roman"/>
          <w:iCs/>
          <w:lang w:val="en-GB"/>
        </w:rPr>
        <w:t>erroneous</w:t>
      </w:r>
      <w:r w:rsidR="00F34D64" w:rsidRPr="00DE2EDF">
        <w:rPr>
          <w:rFonts w:eastAsia="Times New Roman" w:cs="Times New Roman"/>
          <w:iCs/>
          <w:lang w:val="en-GB"/>
        </w:rPr>
        <w:t>, as was shown later</w:t>
      </w:r>
      <w:r w:rsidR="00E03EB5" w:rsidRPr="00DE2EDF">
        <w:rPr>
          <w:rFonts w:eastAsia="Times New Roman" w:cs="Times New Roman"/>
          <w:iCs/>
          <w:lang w:val="en-GB"/>
        </w:rPr>
        <w:t>;</w:t>
      </w:r>
      <w:r w:rsidR="00B312BE" w:rsidRPr="00DE2EDF">
        <w:rPr>
          <w:rFonts w:eastAsia="Times New Roman" w:cs="Times New Roman"/>
          <w:iCs/>
          <w:lang w:val="en-GB"/>
        </w:rPr>
        <w:t xml:space="preserve"> no similar claim has ever been made in any other</w:t>
      </w:r>
      <w:r w:rsidR="00E67EB8" w:rsidRPr="00DE2EDF">
        <w:rPr>
          <w:rFonts w:eastAsia="Times New Roman" w:cs="Times New Roman"/>
          <w:iCs/>
          <w:lang w:val="en-GB"/>
        </w:rPr>
        <w:t xml:space="preserve"> European legal system</w:t>
      </w:r>
      <w:r w:rsidR="00B312BE" w:rsidRPr="00DE2EDF">
        <w:rPr>
          <w:rFonts w:eastAsia="Times New Roman" w:cs="Times New Roman"/>
          <w:iCs/>
          <w:lang w:val="en-GB"/>
        </w:rPr>
        <w:t>.</w:t>
      </w:r>
      <w:r w:rsidR="00A918A6">
        <w:rPr>
          <w:rFonts w:eastAsia="Times New Roman" w:cs="Times New Roman"/>
          <w:iCs/>
          <w:lang w:val="en-GB"/>
        </w:rPr>
        <w:t xml:space="preserve"> </w:t>
      </w:r>
      <w:r w:rsidRPr="00DE2EDF">
        <w:rPr>
          <w:rFonts w:eastAsia="Times New Roman" w:cs="Times New Roman"/>
          <w:iCs/>
          <w:lang w:val="en-GB"/>
        </w:rPr>
        <w:t>(</w:t>
      </w:r>
      <w:r w:rsidR="007210FC" w:rsidRPr="00DE2EDF">
        <w:rPr>
          <w:rFonts w:eastAsia="Times New Roman" w:cs="Times New Roman"/>
          <w:iCs/>
          <w:lang w:val="en-GB"/>
        </w:rPr>
        <w:t>c</w:t>
      </w:r>
      <w:r w:rsidRPr="00DE2EDF">
        <w:rPr>
          <w:rFonts w:eastAsia="Times New Roman" w:cs="Times New Roman"/>
          <w:iCs/>
          <w:lang w:val="en-GB"/>
        </w:rPr>
        <w:t xml:space="preserve">) Administrative law is </w:t>
      </w:r>
      <w:r w:rsidR="00155E3B" w:rsidRPr="00DE2EDF">
        <w:rPr>
          <w:rFonts w:eastAsia="Times New Roman" w:cs="Times New Roman"/>
          <w:iCs/>
          <w:lang w:val="en-GB"/>
        </w:rPr>
        <w:t>pre</w:t>
      </w:r>
      <w:r w:rsidRPr="00DE2EDF">
        <w:rPr>
          <w:rFonts w:eastAsia="Times New Roman" w:cs="Times New Roman"/>
          <w:iCs/>
          <w:lang w:val="en-GB"/>
        </w:rPr>
        <w:t xml:space="preserve">determined by constitutional law. </w:t>
      </w:r>
      <w:r w:rsidR="00A55566" w:rsidRPr="00DE2EDF">
        <w:rPr>
          <w:rFonts w:eastAsia="Times New Roman" w:cs="Times New Roman"/>
          <w:iCs/>
          <w:lang w:val="en-GB"/>
        </w:rPr>
        <w:t xml:space="preserve">According to </w:t>
      </w:r>
      <w:r w:rsidR="00E03EB5" w:rsidRPr="00DE2EDF">
        <w:rPr>
          <w:rFonts w:eastAsia="Times New Roman" w:cs="Times New Roman"/>
          <w:iCs/>
          <w:lang w:val="en-GB"/>
        </w:rPr>
        <w:t xml:space="preserve">the </w:t>
      </w:r>
      <w:r w:rsidR="00A55566" w:rsidRPr="00DE2EDF">
        <w:rPr>
          <w:rFonts w:eastAsia="Times New Roman" w:cs="Times New Roman"/>
          <w:iCs/>
          <w:lang w:val="en-GB"/>
        </w:rPr>
        <w:t xml:space="preserve">discourse </w:t>
      </w:r>
      <w:r w:rsidR="00E03EB5" w:rsidRPr="00DE2EDF">
        <w:rPr>
          <w:rFonts w:eastAsia="Times New Roman" w:cs="Times New Roman"/>
          <w:iCs/>
          <w:lang w:val="en-GB"/>
        </w:rPr>
        <w:t xml:space="preserve">that </w:t>
      </w:r>
      <w:r w:rsidR="00A55566" w:rsidRPr="00DE2EDF">
        <w:rPr>
          <w:rFonts w:eastAsia="Times New Roman" w:cs="Times New Roman"/>
          <w:iCs/>
          <w:lang w:val="en-GB"/>
        </w:rPr>
        <w:t>emerged already i</w:t>
      </w:r>
      <w:r w:rsidR="000A5CFB" w:rsidRPr="00DE2EDF">
        <w:rPr>
          <w:rFonts w:eastAsia="Times New Roman" w:cs="Times New Roman"/>
          <w:iCs/>
          <w:lang w:val="en-GB"/>
        </w:rPr>
        <w:t xml:space="preserve">n </w:t>
      </w:r>
      <w:r w:rsidR="002B78EF" w:rsidRPr="00DE2EDF">
        <w:rPr>
          <w:rFonts w:eastAsia="Times New Roman" w:cs="Times New Roman"/>
          <w:iCs/>
          <w:lang w:val="en-GB"/>
        </w:rPr>
        <w:t>ninet</w:t>
      </w:r>
      <w:r w:rsidR="00E31885">
        <w:rPr>
          <w:rFonts w:eastAsia="Times New Roman" w:cs="Times New Roman"/>
          <w:iCs/>
          <w:lang w:val="en-GB"/>
        </w:rPr>
        <w:t>eenth</w:t>
      </w:r>
      <w:r w:rsidR="000A5CFB" w:rsidRPr="00DE2EDF">
        <w:rPr>
          <w:rFonts w:eastAsia="Times New Roman" w:cs="Times New Roman"/>
          <w:iCs/>
          <w:lang w:val="en-GB"/>
        </w:rPr>
        <w:t xml:space="preserve"> century, </w:t>
      </w:r>
      <w:r w:rsidR="00A55566" w:rsidRPr="00DE2EDF">
        <w:rPr>
          <w:rFonts w:eastAsia="Times New Roman" w:cs="Times New Roman"/>
          <w:iCs/>
          <w:lang w:val="en-GB"/>
        </w:rPr>
        <w:t>t</w:t>
      </w:r>
      <w:r w:rsidR="00155E3B" w:rsidRPr="00DE2EDF">
        <w:rPr>
          <w:rFonts w:eastAsia="Times New Roman" w:cs="Times New Roman"/>
          <w:iCs/>
          <w:lang w:val="en-GB"/>
        </w:rPr>
        <w:t xml:space="preserve">he Constitution </w:t>
      </w:r>
      <w:r w:rsidR="00A55566" w:rsidRPr="00DE2EDF">
        <w:rPr>
          <w:rFonts w:eastAsia="Times New Roman" w:cs="Times New Roman"/>
          <w:iCs/>
          <w:lang w:val="en-GB"/>
        </w:rPr>
        <w:t>f</w:t>
      </w:r>
      <w:r w:rsidR="00155E3B" w:rsidRPr="00DE2EDF">
        <w:rPr>
          <w:rFonts w:eastAsia="Times New Roman" w:cs="Times New Roman"/>
          <w:iCs/>
          <w:lang w:val="en-GB"/>
        </w:rPr>
        <w:t xml:space="preserve">ixes </w:t>
      </w:r>
      <w:r w:rsidR="00015328">
        <w:rPr>
          <w:rFonts w:eastAsia="Times New Roman" w:cs="Times New Roman"/>
          <w:iCs/>
          <w:lang w:val="en-GB"/>
        </w:rPr>
        <w:t>the ‘foundations’ (in French</w:t>
      </w:r>
      <w:r w:rsidR="00A55566" w:rsidRPr="00DE2EDF">
        <w:rPr>
          <w:rFonts w:eastAsia="Times New Roman" w:cs="Times New Roman"/>
          <w:iCs/>
          <w:lang w:val="en-GB"/>
        </w:rPr>
        <w:t xml:space="preserve"> </w:t>
      </w:r>
      <w:r w:rsidR="000A5CFB" w:rsidRPr="00DE2EDF">
        <w:rPr>
          <w:rFonts w:eastAsia="Times New Roman" w:cs="Times New Roman"/>
          <w:iCs/>
          <w:lang w:val="en-GB"/>
        </w:rPr>
        <w:t>‘</w:t>
      </w:r>
      <w:r w:rsidR="00A55566" w:rsidRPr="00DE2EDF">
        <w:rPr>
          <w:rFonts w:eastAsia="Times New Roman" w:cs="Times New Roman"/>
          <w:i/>
          <w:iCs/>
          <w:lang w:val="en-GB"/>
        </w:rPr>
        <w:t>les</w:t>
      </w:r>
      <w:r w:rsidR="000A5CFB" w:rsidRPr="00DE2EDF">
        <w:rPr>
          <w:rFonts w:eastAsia="Times New Roman" w:cs="Times New Roman"/>
          <w:i/>
          <w:iCs/>
          <w:lang w:val="en-GB"/>
        </w:rPr>
        <w:t xml:space="preserve"> bases</w:t>
      </w:r>
      <w:r w:rsidR="000A5CFB" w:rsidRPr="00015328">
        <w:rPr>
          <w:rFonts w:eastAsia="Times New Roman" w:cs="Times New Roman"/>
          <w:iCs/>
          <w:lang w:val="en-GB"/>
        </w:rPr>
        <w:t>’</w:t>
      </w:r>
      <w:r w:rsidR="00A55566" w:rsidRPr="00DE2EDF">
        <w:rPr>
          <w:rFonts w:eastAsia="Times New Roman" w:cs="Times New Roman"/>
          <w:iCs/>
          <w:lang w:val="en-GB"/>
        </w:rPr>
        <w:t>)</w:t>
      </w:r>
      <w:r w:rsidR="000A5CFB" w:rsidRPr="00DE2EDF">
        <w:rPr>
          <w:rFonts w:eastAsia="Times New Roman" w:cs="Times New Roman"/>
          <w:iCs/>
          <w:lang w:val="en-GB"/>
        </w:rPr>
        <w:t xml:space="preserve"> of administrative law. </w:t>
      </w:r>
      <w:r w:rsidR="00A55566" w:rsidRPr="00DE2EDF">
        <w:rPr>
          <w:rFonts w:eastAsia="Times New Roman" w:cs="Times New Roman"/>
          <w:iCs/>
          <w:lang w:val="en-GB"/>
        </w:rPr>
        <w:t>An even more extensive vi</w:t>
      </w:r>
      <w:r w:rsidR="000A5CFB" w:rsidRPr="00DE2EDF">
        <w:rPr>
          <w:rFonts w:eastAsia="Times New Roman" w:cs="Times New Roman"/>
          <w:iCs/>
          <w:lang w:val="en-GB"/>
        </w:rPr>
        <w:t>ew of the Constitution’s impact</w:t>
      </w:r>
      <w:r w:rsidR="00D30824" w:rsidRPr="00DE2EDF">
        <w:rPr>
          <w:rFonts w:eastAsia="Times New Roman" w:cs="Times New Roman"/>
          <w:iCs/>
          <w:lang w:val="en-GB"/>
        </w:rPr>
        <w:t xml:space="preserve"> (or empire)</w:t>
      </w:r>
      <w:r w:rsidR="000A5CFB" w:rsidRPr="00DE2EDF">
        <w:rPr>
          <w:rFonts w:eastAsia="Times New Roman" w:cs="Times New Roman"/>
          <w:iCs/>
          <w:lang w:val="en-GB"/>
        </w:rPr>
        <w:t xml:space="preserve"> is conveyed by</w:t>
      </w:r>
      <w:r w:rsidRPr="00DE2EDF">
        <w:rPr>
          <w:rFonts w:eastAsia="Times New Roman" w:cs="Times New Roman"/>
          <w:iCs/>
          <w:lang w:val="en-GB"/>
        </w:rPr>
        <w:t xml:space="preserve"> the famous phrase </w:t>
      </w:r>
      <w:r w:rsidR="000A5CFB" w:rsidRPr="00DE2EDF">
        <w:rPr>
          <w:rFonts w:eastAsia="Times New Roman" w:cs="Times New Roman"/>
          <w:iCs/>
          <w:lang w:val="en-GB"/>
        </w:rPr>
        <w:t>coined by</w:t>
      </w:r>
      <w:r w:rsidRPr="00DE2EDF">
        <w:rPr>
          <w:rFonts w:eastAsia="Times New Roman" w:cs="Times New Roman"/>
          <w:iCs/>
          <w:lang w:val="en-GB"/>
        </w:rPr>
        <w:t xml:space="preserve"> </w:t>
      </w:r>
      <w:r w:rsidR="00B312BE" w:rsidRPr="00DE2EDF">
        <w:rPr>
          <w:rFonts w:eastAsia="Times New Roman" w:cs="Times New Roman"/>
          <w:iCs/>
          <w:lang w:val="en-GB"/>
        </w:rPr>
        <w:t xml:space="preserve">Fritz Werner, </w:t>
      </w:r>
      <w:r w:rsidRPr="00DE2EDF">
        <w:rPr>
          <w:rFonts w:eastAsia="Times New Roman" w:cs="Times New Roman"/>
          <w:iCs/>
          <w:lang w:val="en-GB"/>
        </w:rPr>
        <w:t xml:space="preserve">the first president of the German </w:t>
      </w:r>
      <w:r w:rsidRPr="00DE2EDF">
        <w:rPr>
          <w:rFonts w:eastAsia="Times New Roman" w:cs="Times New Roman"/>
          <w:i/>
          <w:iCs/>
          <w:lang w:val="en-GB"/>
        </w:rPr>
        <w:t>Bundesverwaltungsgericht</w:t>
      </w:r>
      <w:r w:rsidRPr="00DE2EDF">
        <w:rPr>
          <w:rFonts w:eastAsia="Times New Roman" w:cs="Times New Roman"/>
          <w:iCs/>
          <w:lang w:val="en-GB"/>
        </w:rPr>
        <w:t xml:space="preserve"> (</w:t>
      </w:r>
      <w:r w:rsidR="005471A8" w:rsidRPr="00DE2EDF">
        <w:rPr>
          <w:rFonts w:eastAsia="Times New Roman" w:cs="Times New Roman"/>
          <w:iCs/>
          <w:lang w:val="en-GB"/>
        </w:rPr>
        <w:t>Federal A</w:t>
      </w:r>
      <w:r w:rsidRPr="00DE2EDF">
        <w:rPr>
          <w:rFonts w:eastAsia="Times New Roman" w:cs="Times New Roman"/>
          <w:iCs/>
          <w:lang w:val="en-GB"/>
        </w:rPr>
        <w:t xml:space="preserve">dministrative Court) </w:t>
      </w:r>
      <w:r w:rsidR="00B312BE" w:rsidRPr="00DE2EDF">
        <w:rPr>
          <w:rFonts w:eastAsia="Times New Roman" w:cs="Times New Roman"/>
          <w:iCs/>
          <w:lang w:val="en-GB"/>
        </w:rPr>
        <w:t xml:space="preserve">after </w:t>
      </w:r>
      <w:r w:rsidR="002B78EF" w:rsidRPr="00DE2EDF">
        <w:rPr>
          <w:rFonts w:eastAsia="Times New Roman" w:cs="Times New Roman"/>
          <w:iCs/>
          <w:lang w:val="en-GB"/>
        </w:rPr>
        <w:t>World War Two</w:t>
      </w:r>
      <w:r w:rsidRPr="00DE2EDF">
        <w:rPr>
          <w:rFonts w:eastAsia="Times New Roman" w:cs="Times New Roman"/>
          <w:iCs/>
          <w:lang w:val="en-GB"/>
        </w:rPr>
        <w:t xml:space="preserve">: ‘Administrative law is a </w:t>
      </w:r>
      <w:r w:rsidR="005471A8" w:rsidRPr="00DE2EDF">
        <w:rPr>
          <w:rFonts w:eastAsia="Times New Roman" w:cs="Times New Roman"/>
          <w:iCs/>
          <w:lang w:val="en-GB"/>
        </w:rPr>
        <w:t xml:space="preserve">concretization </w:t>
      </w:r>
      <w:r w:rsidR="006857B2" w:rsidRPr="00DE2EDF">
        <w:rPr>
          <w:rFonts w:eastAsia="Times New Roman" w:cs="Times New Roman"/>
          <w:iCs/>
          <w:lang w:val="en-GB"/>
        </w:rPr>
        <w:t>of constitutional law’ (</w:t>
      </w:r>
      <w:r w:rsidRPr="00DE2EDF">
        <w:rPr>
          <w:rFonts w:eastAsia="Times New Roman" w:cs="Times New Roman"/>
          <w:i/>
          <w:iCs/>
          <w:lang w:val="en-GB"/>
        </w:rPr>
        <w:t>konkretisiertes Verfassungsrecht</w:t>
      </w:r>
      <w:r w:rsidRPr="00DE2EDF">
        <w:rPr>
          <w:rFonts w:eastAsia="Times New Roman" w:cs="Times New Roman"/>
          <w:iCs/>
          <w:lang w:val="en-GB"/>
        </w:rPr>
        <w:t>)</w:t>
      </w:r>
      <w:r w:rsidR="00015328">
        <w:rPr>
          <w:rFonts w:eastAsia="Times New Roman" w:cs="Times New Roman"/>
          <w:iCs/>
          <w:lang w:val="en-GB"/>
        </w:rPr>
        <w:t>.</w:t>
      </w:r>
      <w:r w:rsidR="006857B2" w:rsidRPr="00DE2EDF">
        <w:rPr>
          <w:rStyle w:val="FootnoteReference"/>
          <w:rFonts w:eastAsia="Times New Roman" w:cs="Times New Roman"/>
          <w:iCs/>
          <w:lang w:val="en-GB"/>
        </w:rPr>
        <w:footnoteReference w:id="23"/>
      </w:r>
      <w:r w:rsidRPr="00DE2EDF">
        <w:rPr>
          <w:rFonts w:eastAsia="Times New Roman" w:cs="Times New Roman"/>
          <w:iCs/>
          <w:lang w:val="en-GB"/>
        </w:rPr>
        <w:t xml:space="preserve"> </w:t>
      </w:r>
      <w:r w:rsidR="00E03EB5" w:rsidRPr="00DE2EDF">
        <w:rPr>
          <w:rFonts w:eastAsia="Times New Roman" w:cs="Times New Roman"/>
          <w:iCs/>
          <w:lang w:val="en-GB"/>
        </w:rPr>
        <w:t>S</w:t>
      </w:r>
      <w:r w:rsidR="00D30824" w:rsidRPr="00DE2EDF">
        <w:rPr>
          <w:rFonts w:eastAsia="Times New Roman" w:cs="Times New Roman"/>
          <w:iCs/>
          <w:lang w:val="en-GB"/>
        </w:rPr>
        <w:t xml:space="preserve">ince the 1990s, there </w:t>
      </w:r>
      <w:r w:rsidR="00E03EB5" w:rsidRPr="00DE2EDF">
        <w:rPr>
          <w:rFonts w:eastAsia="Times New Roman" w:cs="Times New Roman"/>
          <w:iCs/>
          <w:lang w:val="en-GB"/>
        </w:rPr>
        <w:t xml:space="preserve">has been </w:t>
      </w:r>
      <w:r w:rsidR="00D30824" w:rsidRPr="00DE2EDF">
        <w:rPr>
          <w:rFonts w:eastAsia="Times New Roman" w:cs="Times New Roman"/>
          <w:iCs/>
          <w:lang w:val="en-GB"/>
        </w:rPr>
        <w:t>much talk</w:t>
      </w:r>
      <w:r w:rsidR="00E03EB5" w:rsidRPr="00DE2EDF">
        <w:rPr>
          <w:rFonts w:eastAsia="Times New Roman" w:cs="Times New Roman"/>
          <w:iCs/>
          <w:lang w:val="en-GB"/>
        </w:rPr>
        <w:t>,</w:t>
      </w:r>
      <w:r w:rsidR="00D30824" w:rsidRPr="00DE2EDF">
        <w:rPr>
          <w:rFonts w:eastAsia="Times New Roman" w:cs="Times New Roman"/>
          <w:iCs/>
          <w:lang w:val="en-GB"/>
        </w:rPr>
        <w:t xml:space="preserve"> in many (but not all)</w:t>
      </w:r>
      <w:r w:rsidR="00E03EB5" w:rsidRPr="00DE2EDF">
        <w:rPr>
          <w:rFonts w:eastAsia="Times New Roman" w:cs="Times New Roman"/>
          <w:iCs/>
          <w:lang w:val="en-GB"/>
        </w:rPr>
        <w:t>,</w:t>
      </w:r>
      <w:r w:rsidR="00D30824" w:rsidRPr="00DE2EDF">
        <w:rPr>
          <w:rFonts w:eastAsia="Times New Roman" w:cs="Times New Roman"/>
          <w:iCs/>
          <w:lang w:val="en-GB"/>
        </w:rPr>
        <w:t xml:space="preserve"> count</w:t>
      </w:r>
      <w:r w:rsidR="00E56886">
        <w:rPr>
          <w:rFonts w:eastAsia="Times New Roman" w:cs="Times New Roman"/>
          <w:iCs/>
          <w:lang w:val="en-GB"/>
        </w:rPr>
        <w:t>ries about the ‘constitutionaliz</w:t>
      </w:r>
      <w:r w:rsidR="00D30824" w:rsidRPr="00DE2EDF">
        <w:rPr>
          <w:rFonts w:eastAsia="Times New Roman" w:cs="Times New Roman"/>
          <w:iCs/>
          <w:lang w:val="en-GB"/>
        </w:rPr>
        <w:t xml:space="preserve">ation’ of administrative law, </w:t>
      </w:r>
      <w:r w:rsidR="00E03EB5" w:rsidRPr="00DE2EDF">
        <w:rPr>
          <w:rFonts w:eastAsia="Times New Roman" w:cs="Times New Roman"/>
          <w:iCs/>
          <w:lang w:val="en-GB"/>
        </w:rPr>
        <w:t xml:space="preserve">which </w:t>
      </w:r>
      <w:r w:rsidR="00D30824" w:rsidRPr="00DE2EDF">
        <w:rPr>
          <w:rFonts w:eastAsia="Times New Roman" w:cs="Times New Roman"/>
          <w:iCs/>
          <w:lang w:val="en-GB"/>
        </w:rPr>
        <w:t xml:space="preserve">discourse </w:t>
      </w:r>
      <w:r w:rsidR="00E03EB5" w:rsidRPr="00DE2EDF">
        <w:rPr>
          <w:rFonts w:eastAsia="Times New Roman" w:cs="Times New Roman"/>
          <w:iCs/>
          <w:lang w:val="en-GB"/>
        </w:rPr>
        <w:t xml:space="preserve">has been </w:t>
      </w:r>
      <w:r w:rsidR="00D30824" w:rsidRPr="00DE2EDF">
        <w:rPr>
          <w:rFonts w:eastAsia="Times New Roman" w:cs="Times New Roman"/>
          <w:iCs/>
          <w:lang w:val="en-GB"/>
        </w:rPr>
        <w:t xml:space="preserve">promoted on the international level </w:t>
      </w:r>
      <w:r w:rsidR="00E03EB5" w:rsidRPr="00DE2EDF">
        <w:rPr>
          <w:rFonts w:eastAsia="Times New Roman" w:cs="Times New Roman"/>
          <w:iCs/>
          <w:lang w:val="en-GB"/>
        </w:rPr>
        <w:t xml:space="preserve">by, </w:t>
      </w:r>
      <w:r w:rsidR="00D30824" w:rsidRPr="00DE2EDF">
        <w:rPr>
          <w:rFonts w:eastAsia="Times New Roman" w:cs="Times New Roman"/>
          <w:iCs/>
          <w:lang w:val="en-GB"/>
        </w:rPr>
        <w:t>inter alia</w:t>
      </w:r>
      <w:r w:rsidR="00E03EB5" w:rsidRPr="00DE2EDF">
        <w:rPr>
          <w:rFonts w:eastAsia="Times New Roman" w:cs="Times New Roman"/>
          <w:iCs/>
          <w:lang w:val="en-GB"/>
        </w:rPr>
        <w:t>,</w:t>
      </w:r>
      <w:r w:rsidR="00D30824" w:rsidRPr="00DE2EDF">
        <w:rPr>
          <w:rFonts w:eastAsia="Times New Roman" w:cs="Times New Roman"/>
          <w:iCs/>
          <w:lang w:val="en-GB"/>
        </w:rPr>
        <w:t xml:space="preserve"> the French professor of constitutional law</w:t>
      </w:r>
      <w:r w:rsidR="00E03EB5" w:rsidRPr="00DE2EDF">
        <w:rPr>
          <w:rFonts w:eastAsia="Times New Roman" w:cs="Times New Roman"/>
          <w:iCs/>
          <w:lang w:val="en-GB"/>
        </w:rPr>
        <w:t>,</w:t>
      </w:r>
      <w:r w:rsidR="00D30824" w:rsidRPr="00DE2EDF">
        <w:rPr>
          <w:rFonts w:eastAsia="Times New Roman" w:cs="Times New Roman"/>
          <w:iCs/>
          <w:lang w:val="en-GB"/>
        </w:rPr>
        <w:t xml:space="preserve"> Louis Favoreu. </w:t>
      </w:r>
      <w:r w:rsidR="00E03EB5" w:rsidRPr="00DE2EDF">
        <w:rPr>
          <w:rFonts w:eastAsia="Times New Roman" w:cs="Times New Roman"/>
          <w:iCs/>
          <w:lang w:val="en-GB"/>
        </w:rPr>
        <w:t>Nevertheless, s</w:t>
      </w:r>
      <w:r w:rsidR="00875A36" w:rsidRPr="00DE2EDF">
        <w:rPr>
          <w:rFonts w:eastAsia="Times New Roman" w:cs="Times New Roman"/>
          <w:iCs/>
          <w:lang w:val="en-GB"/>
        </w:rPr>
        <w:t>ome scholars prefer to use a</w:t>
      </w:r>
      <w:r w:rsidR="00BF7339" w:rsidRPr="00DE2EDF">
        <w:rPr>
          <w:rFonts w:eastAsia="Times New Roman" w:cs="Times New Roman"/>
          <w:iCs/>
          <w:lang w:val="en-GB"/>
        </w:rPr>
        <w:t xml:space="preserve"> more</w:t>
      </w:r>
      <w:r w:rsidR="00875A36" w:rsidRPr="00DE2EDF">
        <w:rPr>
          <w:rFonts w:eastAsia="Times New Roman" w:cs="Times New Roman"/>
          <w:iCs/>
          <w:lang w:val="en-GB"/>
        </w:rPr>
        <w:t xml:space="preserve"> </w:t>
      </w:r>
      <w:r w:rsidR="00BF7339" w:rsidRPr="00DE2EDF">
        <w:rPr>
          <w:rFonts w:eastAsia="Times New Roman" w:cs="Times New Roman"/>
          <w:iCs/>
          <w:lang w:val="en-GB"/>
        </w:rPr>
        <w:t xml:space="preserve">neutral </w:t>
      </w:r>
      <w:r w:rsidR="00D30824" w:rsidRPr="00DE2EDF">
        <w:rPr>
          <w:rFonts w:eastAsia="Times New Roman" w:cs="Times New Roman"/>
          <w:iCs/>
          <w:lang w:val="en-GB"/>
        </w:rPr>
        <w:t>qualification</w:t>
      </w:r>
      <w:r w:rsidR="00E059CE" w:rsidRPr="00DE2EDF">
        <w:rPr>
          <w:rFonts w:eastAsia="Times New Roman" w:cs="Times New Roman"/>
          <w:iCs/>
          <w:lang w:val="en-GB"/>
        </w:rPr>
        <w:t xml:space="preserve"> </w:t>
      </w:r>
      <w:r w:rsidR="00D30824" w:rsidRPr="00DE2EDF">
        <w:rPr>
          <w:rFonts w:eastAsia="Times New Roman" w:cs="Times New Roman"/>
          <w:iCs/>
          <w:lang w:val="en-GB"/>
        </w:rPr>
        <w:t>(and</w:t>
      </w:r>
      <w:r w:rsidR="00BF7339" w:rsidRPr="00DE2EDF">
        <w:rPr>
          <w:rFonts w:eastAsia="Times New Roman" w:cs="Times New Roman"/>
          <w:iCs/>
          <w:lang w:val="en-GB"/>
        </w:rPr>
        <w:t>, thus,</w:t>
      </w:r>
      <w:r w:rsidR="00D30824" w:rsidRPr="00DE2EDF">
        <w:rPr>
          <w:rFonts w:eastAsia="Times New Roman" w:cs="Times New Roman"/>
          <w:iCs/>
          <w:lang w:val="en-GB"/>
        </w:rPr>
        <w:t xml:space="preserve"> less ‘imperialist’): the Constitution </w:t>
      </w:r>
      <w:r w:rsidR="00BF7339" w:rsidRPr="00DE2EDF">
        <w:rPr>
          <w:rFonts w:eastAsia="Times New Roman" w:cs="Times New Roman"/>
          <w:iCs/>
          <w:lang w:val="en-GB"/>
        </w:rPr>
        <w:t xml:space="preserve">simply </w:t>
      </w:r>
      <w:r w:rsidR="00D30824" w:rsidRPr="00DE2EDF">
        <w:rPr>
          <w:rFonts w:eastAsia="Times New Roman" w:cs="Times New Roman"/>
          <w:iCs/>
          <w:lang w:val="en-GB"/>
        </w:rPr>
        <w:t>fixes</w:t>
      </w:r>
      <w:r w:rsidR="00A918A6">
        <w:rPr>
          <w:rFonts w:eastAsia="Times New Roman" w:cs="Times New Roman"/>
          <w:iCs/>
          <w:lang w:val="en-GB"/>
        </w:rPr>
        <w:t xml:space="preserve"> </w:t>
      </w:r>
      <w:r w:rsidR="00BF7339" w:rsidRPr="00DE2EDF">
        <w:rPr>
          <w:rFonts w:eastAsia="Times New Roman" w:cs="Times New Roman"/>
          <w:iCs/>
          <w:lang w:val="en-GB"/>
        </w:rPr>
        <w:t xml:space="preserve">the </w:t>
      </w:r>
      <w:r w:rsidR="00D30824" w:rsidRPr="00DE2EDF">
        <w:rPr>
          <w:rFonts w:eastAsia="Times New Roman" w:cs="Times New Roman"/>
          <w:iCs/>
          <w:lang w:val="en-GB"/>
        </w:rPr>
        <w:t>‘framework’ (</w:t>
      </w:r>
      <w:r w:rsidR="00D30824" w:rsidRPr="00015328">
        <w:rPr>
          <w:rFonts w:eastAsia="Times New Roman" w:cs="Times New Roman"/>
          <w:iCs/>
          <w:lang w:val="en-GB"/>
        </w:rPr>
        <w:t>‘</w:t>
      </w:r>
      <w:r w:rsidR="00D30824" w:rsidRPr="00DE2EDF">
        <w:rPr>
          <w:rFonts w:eastAsia="Times New Roman" w:cs="Times New Roman"/>
          <w:i/>
          <w:iCs/>
          <w:lang w:val="en-GB"/>
        </w:rPr>
        <w:t>Rahmen</w:t>
      </w:r>
      <w:r w:rsidR="00D30824" w:rsidRPr="00015328">
        <w:rPr>
          <w:rFonts w:eastAsia="Times New Roman" w:cs="Times New Roman"/>
          <w:iCs/>
          <w:lang w:val="en-GB"/>
        </w:rPr>
        <w:t>’, ‘</w:t>
      </w:r>
      <w:r w:rsidR="00D30824" w:rsidRPr="00DE2EDF">
        <w:rPr>
          <w:rFonts w:eastAsia="Times New Roman" w:cs="Times New Roman"/>
          <w:i/>
          <w:iCs/>
          <w:lang w:val="en-GB"/>
        </w:rPr>
        <w:t>cadre</w:t>
      </w:r>
      <w:r w:rsidR="00D30824" w:rsidRPr="00015328">
        <w:rPr>
          <w:rFonts w:eastAsia="Times New Roman" w:cs="Times New Roman"/>
          <w:iCs/>
          <w:lang w:val="en-GB"/>
        </w:rPr>
        <w:t>’</w:t>
      </w:r>
      <w:r w:rsidR="00D30824" w:rsidRPr="00DE2EDF">
        <w:rPr>
          <w:rFonts w:eastAsia="Times New Roman" w:cs="Times New Roman"/>
          <w:iCs/>
          <w:lang w:val="en-GB"/>
        </w:rPr>
        <w:t>)</w:t>
      </w:r>
      <w:r w:rsidR="00BF7339" w:rsidRPr="00DE2EDF">
        <w:rPr>
          <w:rFonts w:eastAsia="Times New Roman" w:cs="Times New Roman"/>
          <w:iCs/>
          <w:lang w:val="en-GB"/>
        </w:rPr>
        <w:t xml:space="preserve"> upon which </w:t>
      </w:r>
      <w:r w:rsidR="00D30824" w:rsidRPr="00DE2EDF">
        <w:rPr>
          <w:rFonts w:eastAsia="Times New Roman" w:cs="Times New Roman"/>
          <w:iCs/>
          <w:lang w:val="en-GB"/>
        </w:rPr>
        <w:t>administ</w:t>
      </w:r>
      <w:r w:rsidR="00E05876">
        <w:rPr>
          <w:rFonts w:eastAsia="Times New Roman" w:cs="Times New Roman"/>
          <w:iCs/>
          <w:lang w:val="en-GB"/>
        </w:rPr>
        <w:t xml:space="preserve">rative law ‘depends’ (in German </w:t>
      </w:r>
      <w:r w:rsidR="00875A36" w:rsidRPr="00DE2EDF">
        <w:rPr>
          <w:rFonts w:eastAsia="Times New Roman" w:cs="Times New Roman"/>
          <w:i/>
          <w:iCs/>
          <w:lang w:val="en-GB"/>
        </w:rPr>
        <w:t>Verfassungsabh</w:t>
      </w:r>
      <w:r w:rsidR="006857B2" w:rsidRPr="00DE2EDF">
        <w:rPr>
          <w:rFonts w:eastAsia="Times New Roman" w:cs="Times New Roman"/>
          <w:i/>
          <w:iCs/>
          <w:lang w:val="en-GB"/>
        </w:rPr>
        <w:t>ängigkeit des Verwaltungsrechts</w:t>
      </w:r>
      <w:r w:rsidR="00875A36" w:rsidRPr="00DE2EDF">
        <w:rPr>
          <w:rFonts w:eastAsia="Times New Roman" w:cs="Times New Roman"/>
          <w:iCs/>
          <w:lang w:val="en-GB"/>
        </w:rPr>
        <w:t xml:space="preserve">). </w:t>
      </w:r>
      <w:r w:rsidR="00D30824" w:rsidRPr="00DE2EDF">
        <w:rPr>
          <w:rFonts w:eastAsia="Times New Roman" w:cs="Times New Roman"/>
          <w:iCs/>
          <w:lang w:val="en-GB"/>
        </w:rPr>
        <w:t xml:space="preserve">The extent to which </w:t>
      </w:r>
      <w:r w:rsidR="00945BA5" w:rsidRPr="00DE2EDF">
        <w:rPr>
          <w:rFonts w:eastAsia="Times New Roman" w:cs="Times New Roman"/>
          <w:iCs/>
          <w:lang w:val="en-GB"/>
        </w:rPr>
        <w:t xml:space="preserve">administrative law </w:t>
      </w:r>
      <w:r w:rsidR="00D30824" w:rsidRPr="00DE2EDF">
        <w:rPr>
          <w:rFonts w:eastAsia="Times New Roman" w:cs="Times New Roman"/>
          <w:iCs/>
          <w:lang w:val="en-GB"/>
        </w:rPr>
        <w:t xml:space="preserve">is shaped by the </w:t>
      </w:r>
      <w:r w:rsidR="00945BA5" w:rsidRPr="00DE2EDF">
        <w:rPr>
          <w:rFonts w:eastAsia="Times New Roman" w:cs="Times New Roman"/>
          <w:iCs/>
          <w:lang w:val="en-GB"/>
        </w:rPr>
        <w:t>Constitution</w:t>
      </w:r>
      <w:r w:rsidR="00D30824" w:rsidRPr="00DE2EDF">
        <w:rPr>
          <w:rFonts w:eastAsia="Times New Roman" w:cs="Times New Roman"/>
          <w:iCs/>
          <w:lang w:val="en-GB"/>
        </w:rPr>
        <w:t xml:space="preserve"> may give rise, indeed, to controversial discussions, which </w:t>
      </w:r>
      <w:r w:rsidR="00BF7339" w:rsidRPr="00DE2EDF">
        <w:rPr>
          <w:rFonts w:eastAsia="Times New Roman" w:cs="Times New Roman"/>
          <w:iCs/>
          <w:lang w:val="en-GB"/>
        </w:rPr>
        <w:t xml:space="preserve">may </w:t>
      </w:r>
      <w:r w:rsidR="00D30824" w:rsidRPr="00DE2EDF">
        <w:rPr>
          <w:rFonts w:eastAsia="Times New Roman" w:cs="Times New Roman"/>
          <w:iCs/>
          <w:lang w:val="en-GB"/>
        </w:rPr>
        <w:t xml:space="preserve">even </w:t>
      </w:r>
      <w:r w:rsidR="00BF7339" w:rsidRPr="00DE2EDF">
        <w:rPr>
          <w:rFonts w:eastAsia="Times New Roman" w:cs="Times New Roman"/>
          <w:iCs/>
          <w:lang w:val="en-GB"/>
        </w:rPr>
        <w:t xml:space="preserve">touch </w:t>
      </w:r>
      <w:r w:rsidR="002B78EF" w:rsidRPr="00DE2EDF">
        <w:rPr>
          <w:rFonts w:eastAsia="Times New Roman" w:cs="Times New Roman"/>
          <w:iCs/>
          <w:lang w:val="en-GB"/>
        </w:rPr>
        <w:t xml:space="preserve">on the merits of this bond. </w:t>
      </w:r>
      <w:r w:rsidRPr="00DE2EDF">
        <w:rPr>
          <w:rFonts w:eastAsia="Times New Roman" w:cs="Times New Roman"/>
          <w:iCs/>
          <w:lang w:val="en-GB"/>
        </w:rPr>
        <w:t>(</w:t>
      </w:r>
      <w:r w:rsidR="007210FC" w:rsidRPr="00DE2EDF">
        <w:rPr>
          <w:rFonts w:eastAsia="Times New Roman" w:cs="Times New Roman"/>
          <w:iCs/>
          <w:lang w:val="en-GB"/>
        </w:rPr>
        <w:t>d</w:t>
      </w:r>
      <w:r w:rsidRPr="00DE2EDF">
        <w:rPr>
          <w:rFonts w:eastAsia="Times New Roman" w:cs="Times New Roman"/>
          <w:iCs/>
          <w:lang w:val="en-GB"/>
        </w:rPr>
        <w:t>) </w:t>
      </w:r>
      <w:r w:rsidR="00945BA5" w:rsidRPr="00DE2EDF">
        <w:rPr>
          <w:rFonts w:eastAsia="Times New Roman" w:cs="Times New Roman"/>
          <w:iCs/>
          <w:lang w:val="en-GB"/>
        </w:rPr>
        <w:t>According to the fourth thesis, t</w:t>
      </w:r>
      <w:r w:rsidRPr="00DE2EDF">
        <w:rPr>
          <w:rFonts w:eastAsia="Times New Roman" w:cs="Times New Roman"/>
          <w:iCs/>
          <w:lang w:val="en-GB"/>
        </w:rPr>
        <w:t>he content of constitutional law is predetermined by administrative law, a radical change of perspective that</w:t>
      </w:r>
      <w:r w:rsidR="008769BA" w:rsidRPr="00DE2EDF">
        <w:rPr>
          <w:rFonts w:eastAsia="Times New Roman" w:cs="Times New Roman"/>
          <w:iCs/>
          <w:lang w:val="en-GB"/>
        </w:rPr>
        <w:t>, in 1996,</w:t>
      </w:r>
      <w:r w:rsidRPr="00DE2EDF">
        <w:rPr>
          <w:rFonts w:eastAsia="Times New Roman" w:cs="Times New Roman"/>
          <w:iCs/>
          <w:lang w:val="en-GB"/>
        </w:rPr>
        <w:t xml:space="preserve"> </w:t>
      </w:r>
      <w:r w:rsidR="008320A9" w:rsidRPr="00DE2EDF">
        <w:rPr>
          <w:rFonts w:eastAsia="Times New Roman" w:cs="Times New Roman"/>
          <w:iCs/>
          <w:lang w:val="en-GB"/>
        </w:rPr>
        <w:t xml:space="preserve">a </w:t>
      </w:r>
      <w:r w:rsidR="00F34D64" w:rsidRPr="00DE2EDF">
        <w:rPr>
          <w:rFonts w:eastAsia="Times New Roman" w:cs="Times New Roman"/>
          <w:iCs/>
          <w:lang w:val="en-GB"/>
        </w:rPr>
        <w:t xml:space="preserve">famous </w:t>
      </w:r>
      <w:r w:rsidRPr="00DE2EDF">
        <w:rPr>
          <w:rFonts w:eastAsia="Times New Roman" w:cs="Times New Roman"/>
          <w:iCs/>
          <w:lang w:val="en-GB"/>
        </w:rPr>
        <w:t>French professor</w:t>
      </w:r>
      <w:r w:rsidR="008320A9" w:rsidRPr="00DE2EDF">
        <w:rPr>
          <w:rFonts w:eastAsia="Times New Roman" w:cs="Times New Roman"/>
          <w:iCs/>
          <w:lang w:val="en-GB"/>
        </w:rPr>
        <w:t>,</w:t>
      </w:r>
      <w:r w:rsidRPr="00DE2EDF">
        <w:rPr>
          <w:rFonts w:eastAsia="Times New Roman" w:cs="Times New Roman"/>
          <w:iCs/>
          <w:lang w:val="en-GB"/>
        </w:rPr>
        <w:t xml:space="preserve"> Georges Vedel</w:t>
      </w:r>
      <w:r w:rsidR="008320A9" w:rsidRPr="00DE2EDF">
        <w:rPr>
          <w:rFonts w:eastAsia="Times New Roman" w:cs="Times New Roman"/>
          <w:iCs/>
          <w:lang w:val="en-GB"/>
        </w:rPr>
        <w:t>,</w:t>
      </w:r>
      <w:r w:rsidR="008769BA" w:rsidRPr="00DE2EDF">
        <w:rPr>
          <w:rFonts w:eastAsia="Times New Roman" w:cs="Times New Roman"/>
          <w:iCs/>
          <w:lang w:val="en-GB"/>
        </w:rPr>
        <w:t xml:space="preserve"> </w:t>
      </w:r>
      <w:r w:rsidRPr="00DE2EDF">
        <w:rPr>
          <w:rFonts w:eastAsia="Times New Roman" w:cs="Times New Roman"/>
          <w:iCs/>
          <w:lang w:val="en-GB"/>
        </w:rPr>
        <w:t xml:space="preserve">provocatively called the </w:t>
      </w:r>
      <w:r w:rsidRPr="00DE2EDF">
        <w:rPr>
          <w:rFonts w:eastAsia="Times New Roman" w:cs="Times New Roman"/>
          <w:i/>
          <w:iCs/>
          <w:lang w:val="en-GB"/>
        </w:rPr>
        <w:t>administrativisation du droit constitutionne</w:t>
      </w:r>
      <w:r w:rsidR="006857B2" w:rsidRPr="00DE2EDF">
        <w:rPr>
          <w:rFonts w:eastAsia="Times New Roman" w:cs="Times New Roman"/>
          <w:i/>
          <w:iCs/>
          <w:lang w:val="en-GB"/>
        </w:rPr>
        <w:t>l</w:t>
      </w:r>
      <w:r w:rsidR="00901A6C" w:rsidRPr="00DE2EDF">
        <w:rPr>
          <w:rFonts w:eastAsia="Times New Roman" w:cs="Times New Roman"/>
          <w:iCs/>
          <w:lang w:val="en-GB"/>
        </w:rPr>
        <w:t xml:space="preserve"> </w:t>
      </w:r>
      <w:r w:rsidR="00F94BC6" w:rsidRPr="00DE2EDF">
        <w:rPr>
          <w:rFonts w:eastAsia="Times New Roman" w:cs="Times New Roman"/>
          <w:iCs/>
          <w:lang w:val="en-GB"/>
        </w:rPr>
        <w:t>(</w:t>
      </w:r>
      <w:r w:rsidR="00061E45" w:rsidRPr="00DE2EDF">
        <w:rPr>
          <w:rFonts w:eastAsia="Times New Roman" w:cs="Times New Roman"/>
          <w:iCs/>
          <w:lang w:val="en-GB"/>
        </w:rPr>
        <w:t>literally: the ‘</w:t>
      </w:r>
      <w:r w:rsidR="00F94BC6" w:rsidRPr="00DE2EDF">
        <w:rPr>
          <w:rFonts w:eastAsia="Times New Roman" w:cs="Times New Roman"/>
          <w:iCs/>
          <w:lang w:val="en-GB"/>
        </w:rPr>
        <w:t>administrati</w:t>
      </w:r>
      <w:r w:rsidR="00E701C1" w:rsidRPr="00DE2EDF">
        <w:rPr>
          <w:rFonts w:eastAsia="Times New Roman" w:cs="Times New Roman"/>
          <w:iCs/>
          <w:lang w:val="en-GB"/>
        </w:rPr>
        <w:t>z</w:t>
      </w:r>
      <w:r w:rsidR="00F94BC6" w:rsidRPr="00DE2EDF">
        <w:rPr>
          <w:rFonts w:eastAsia="Times New Roman" w:cs="Times New Roman"/>
          <w:iCs/>
          <w:lang w:val="en-GB"/>
        </w:rPr>
        <w:t>ation</w:t>
      </w:r>
      <w:r w:rsidR="008320A9" w:rsidRPr="00DE2EDF">
        <w:rPr>
          <w:rFonts w:eastAsia="Times New Roman" w:cs="Times New Roman"/>
          <w:iCs/>
          <w:lang w:val="en-GB"/>
        </w:rPr>
        <w:t>’</w:t>
      </w:r>
      <w:r w:rsidR="00F94BC6" w:rsidRPr="00DE2EDF">
        <w:rPr>
          <w:rFonts w:eastAsia="Times New Roman" w:cs="Times New Roman"/>
          <w:iCs/>
          <w:lang w:val="en-GB"/>
        </w:rPr>
        <w:t xml:space="preserve"> of constitutional law</w:t>
      </w:r>
      <w:r w:rsidR="00061E45" w:rsidRPr="00DE2EDF">
        <w:rPr>
          <w:rFonts w:eastAsia="Times New Roman" w:cs="Times New Roman"/>
          <w:iCs/>
          <w:lang w:val="en-GB"/>
        </w:rPr>
        <w:t xml:space="preserve"> </w:t>
      </w:r>
      <w:r w:rsidR="007210FC" w:rsidRPr="00DE2EDF">
        <w:rPr>
          <w:rFonts w:eastAsia="Times New Roman" w:cs="Times New Roman"/>
          <w:iCs/>
          <w:lang w:val="en-GB"/>
        </w:rPr>
        <w:t>i.e.</w:t>
      </w:r>
      <w:r w:rsidR="008320A9" w:rsidRPr="00DE2EDF">
        <w:rPr>
          <w:rFonts w:eastAsia="Times New Roman" w:cs="Times New Roman"/>
          <w:iCs/>
          <w:lang w:val="en-GB"/>
        </w:rPr>
        <w:t>,</w:t>
      </w:r>
      <w:r w:rsidR="00EB1037" w:rsidRPr="00DE2EDF">
        <w:rPr>
          <w:rFonts w:eastAsia="Times New Roman" w:cs="Times New Roman"/>
          <w:iCs/>
          <w:lang w:val="en-GB"/>
        </w:rPr>
        <w:t xml:space="preserve"> </w:t>
      </w:r>
      <w:r w:rsidR="00061E45" w:rsidRPr="00DE2EDF">
        <w:rPr>
          <w:rFonts w:eastAsia="Times New Roman" w:cs="Times New Roman"/>
          <w:iCs/>
          <w:lang w:val="en-GB"/>
        </w:rPr>
        <w:t>the permeation of constitutional law by</w:t>
      </w:r>
      <w:r w:rsidR="002A242C" w:rsidRPr="00DE2EDF">
        <w:rPr>
          <w:rFonts w:eastAsia="Times New Roman" w:cs="Times New Roman"/>
          <w:iCs/>
          <w:lang w:val="en-GB"/>
        </w:rPr>
        <w:t xml:space="preserve"> </w:t>
      </w:r>
      <w:r w:rsidR="00061E45" w:rsidRPr="00DE2EDF">
        <w:rPr>
          <w:rFonts w:eastAsia="Times New Roman" w:cs="Times New Roman"/>
          <w:iCs/>
          <w:lang w:val="en-GB"/>
        </w:rPr>
        <w:t>principles, rules</w:t>
      </w:r>
      <w:r w:rsidR="008F2270" w:rsidRPr="00DE2EDF">
        <w:rPr>
          <w:rFonts w:eastAsia="Times New Roman" w:cs="Times New Roman"/>
          <w:iCs/>
          <w:lang w:val="en-GB"/>
        </w:rPr>
        <w:t xml:space="preserve"> and </w:t>
      </w:r>
      <w:r w:rsidR="00DE69F8" w:rsidRPr="00DE2EDF">
        <w:rPr>
          <w:rFonts w:eastAsia="Times New Roman" w:cs="Times New Roman"/>
          <w:iCs/>
          <w:lang w:val="en-GB"/>
        </w:rPr>
        <w:t>habits of thought</w:t>
      </w:r>
      <w:r w:rsidR="008F2270" w:rsidRPr="00DE2EDF">
        <w:rPr>
          <w:rFonts w:eastAsia="Times New Roman" w:cs="Times New Roman"/>
          <w:iCs/>
          <w:lang w:val="en-GB"/>
        </w:rPr>
        <w:t xml:space="preserve"> </w:t>
      </w:r>
      <w:r w:rsidR="00061E45" w:rsidRPr="00DE2EDF">
        <w:rPr>
          <w:rFonts w:eastAsia="Times New Roman" w:cs="Times New Roman"/>
          <w:iCs/>
          <w:lang w:val="en-GB"/>
        </w:rPr>
        <w:t>developed</w:t>
      </w:r>
      <w:r w:rsidR="00062525" w:rsidRPr="00DE2EDF">
        <w:rPr>
          <w:rFonts w:eastAsia="Times New Roman" w:cs="Times New Roman"/>
          <w:iCs/>
          <w:lang w:val="en-GB"/>
        </w:rPr>
        <w:t xml:space="preserve"> initially</w:t>
      </w:r>
      <w:r w:rsidR="00061E45" w:rsidRPr="00DE2EDF">
        <w:rPr>
          <w:rFonts w:eastAsia="Times New Roman" w:cs="Times New Roman"/>
          <w:iCs/>
          <w:lang w:val="en-GB"/>
        </w:rPr>
        <w:t xml:space="preserve"> </w:t>
      </w:r>
      <w:r w:rsidR="008320A9" w:rsidRPr="00DE2EDF">
        <w:rPr>
          <w:rFonts w:eastAsia="Times New Roman" w:cs="Times New Roman"/>
          <w:iCs/>
          <w:lang w:val="en-GB"/>
        </w:rPr>
        <w:t>within</w:t>
      </w:r>
      <w:r w:rsidR="00061E45" w:rsidRPr="00DE2EDF">
        <w:rPr>
          <w:rFonts w:eastAsia="Times New Roman" w:cs="Times New Roman"/>
          <w:iCs/>
          <w:lang w:val="en-GB"/>
        </w:rPr>
        <w:t xml:space="preserve"> administrative law</w:t>
      </w:r>
      <w:r w:rsidR="00F94BC6" w:rsidRPr="00DE2EDF">
        <w:rPr>
          <w:rFonts w:eastAsia="Times New Roman" w:cs="Times New Roman"/>
          <w:iCs/>
          <w:lang w:val="en-GB"/>
        </w:rPr>
        <w:t>)</w:t>
      </w:r>
      <w:r w:rsidRPr="00DE2EDF">
        <w:rPr>
          <w:rFonts w:eastAsia="Times New Roman" w:cs="Times New Roman"/>
          <w:iCs/>
          <w:lang w:val="en-GB"/>
        </w:rPr>
        <w:t>.</w:t>
      </w:r>
      <w:bookmarkStart w:id="38" w:name="_ftnref19"/>
      <w:r w:rsidRPr="00DE2EDF">
        <w:rPr>
          <w:rStyle w:val="FootnoteReference"/>
          <w:rFonts w:eastAsia="Times New Roman" w:cs="Times New Roman"/>
          <w:iCs/>
          <w:lang w:val="en-GB"/>
        </w:rPr>
        <w:footnoteReference w:id="24"/>
      </w:r>
      <w:bookmarkEnd w:id="38"/>
      <w:r w:rsidR="008769BA" w:rsidRPr="00DE2EDF">
        <w:rPr>
          <w:rFonts w:eastAsia="Times New Roman" w:cs="Times New Roman"/>
          <w:iCs/>
          <w:lang w:val="en-GB"/>
        </w:rPr>
        <w:t xml:space="preserve"> In Germany, in </w:t>
      </w:r>
      <w:r w:rsidR="00DE69F8" w:rsidRPr="00DE2EDF">
        <w:rPr>
          <w:rFonts w:eastAsia="Times New Roman" w:cs="Times New Roman"/>
          <w:iCs/>
          <w:lang w:val="en-GB"/>
        </w:rPr>
        <w:t>contrast</w:t>
      </w:r>
      <w:r w:rsidR="008769BA" w:rsidRPr="00DE2EDF">
        <w:rPr>
          <w:rFonts w:eastAsia="Times New Roman" w:cs="Times New Roman"/>
          <w:iCs/>
          <w:lang w:val="en-GB"/>
        </w:rPr>
        <w:t xml:space="preserve"> to Fritz Werner’s </w:t>
      </w:r>
      <w:r w:rsidR="00DE69F8" w:rsidRPr="00DE2EDF">
        <w:rPr>
          <w:rFonts w:eastAsia="Times New Roman" w:cs="Times New Roman"/>
          <w:iCs/>
          <w:lang w:val="en-GB"/>
        </w:rPr>
        <w:t>thesis</w:t>
      </w:r>
      <w:r w:rsidR="008769BA" w:rsidRPr="00DE2EDF">
        <w:rPr>
          <w:rFonts w:eastAsia="Times New Roman" w:cs="Times New Roman"/>
          <w:iCs/>
          <w:lang w:val="en-GB"/>
        </w:rPr>
        <w:t xml:space="preserve">, </w:t>
      </w:r>
      <w:r w:rsidR="00062525" w:rsidRPr="00DE2EDF">
        <w:rPr>
          <w:rFonts w:eastAsia="Times New Roman" w:cs="Times New Roman"/>
          <w:iCs/>
          <w:lang w:val="en-GB"/>
        </w:rPr>
        <w:t xml:space="preserve">a growing number of </w:t>
      </w:r>
      <w:r w:rsidR="008769BA" w:rsidRPr="00DE2EDF">
        <w:rPr>
          <w:rFonts w:eastAsia="Times New Roman" w:cs="Times New Roman"/>
          <w:iCs/>
          <w:lang w:val="en-GB"/>
        </w:rPr>
        <w:t xml:space="preserve">scholars </w:t>
      </w:r>
      <w:r w:rsidR="00062525" w:rsidRPr="00DE2EDF">
        <w:rPr>
          <w:rFonts w:eastAsia="Times New Roman" w:cs="Times New Roman"/>
          <w:iCs/>
          <w:lang w:val="en-GB"/>
        </w:rPr>
        <w:t xml:space="preserve">are </w:t>
      </w:r>
      <w:r w:rsidR="008320A9" w:rsidRPr="00DE2EDF">
        <w:rPr>
          <w:rFonts w:eastAsia="Times New Roman" w:cs="Times New Roman"/>
          <w:iCs/>
          <w:lang w:val="en-GB"/>
        </w:rPr>
        <w:t xml:space="preserve">now </w:t>
      </w:r>
      <w:r w:rsidR="00062525" w:rsidRPr="00DE2EDF">
        <w:rPr>
          <w:rFonts w:eastAsia="Times New Roman" w:cs="Times New Roman"/>
          <w:iCs/>
          <w:lang w:val="en-GB"/>
        </w:rPr>
        <w:t>looking at</w:t>
      </w:r>
      <w:r w:rsidR="008769BA" w:rsidRPr="00DE2EDF">
        <w:rPr>
          <w:rFonts w:eastAsia="Times New Roman" w:cs="Times New Roman"/>
          <w:iCs/>
          <w:lang w:val="en-GB"/>
        </w:rPr>
        <w:t xml:space="preserve"> parts of constitutional law as </w:t>
      </w:r>
      <w:r w:rsidR="008769BA" w:rsidRPr="00DE2EDF">
        <w:rPr>
          <w:rFonts w:eastAsia="Times New Roman" w:cs="Times New Roman"/>
          <w:i/>
          <w:iCs/>
          <w:lang w:val="en-GB"/>
        </w:rPr>
        <w:t>abstrahiertes Verwaltungsrecht</w:t>
      </w:r>
      <w:r w:rsidR="006857B2" w:rsidRPr="00DE2EDF">
        <w:rPr>
          <w:rFonts w:eastAsia="Times New Roman" w:cs="Times New Roman"/>
          <w:i/>
          <w:iCs/>
          <w:lang w:val="en-GB"/>
        </w:rPr>
        <w:t xml:space="preserve"> </w:t>
      </w:r>
      <w:r w:rsidR="00062525" w:rsidRPr="00DE2EDF">
        <w:rPr>
          <w:rFonts w:eastAsia="Times New Roman" w:cs="Times New Roman"/>
          <w:iCs/>
          <w:lang w:val="en-GB"/>
        </w:rPr>
        <w:t>(abstracted administrative law)</w:t>
      </w:r>
      <w:r w:rsidR="008769BA" w:rsidRPr="00DE2EDF">
        <w:rPr>
          <w:rFonts w:eastAsia="Times New Roman" w:cs="Times New Roman"/>
          <w:iCs/>
          <w:lang w:val="en-GB"/>
        </w:rPr>
        <w:t>.</w:t>
      </w:r>
      <w:r w:rsidR="00062525" w:rsidRPr="00DE2EDF">
        <w:rPr>
          <w:rFonts w:eastAsia="Times New Roman" w:cs="Times New Roman"/>
          <w:iCs/>
          <w:lang w:val="en-GB"/>
        </w:rPr>
        <w:t xml:space="preserve"> </w:t>
      </w:r>
    </w:p>
    <w:p w14:paraId="2289E313" w14:textId="77777777" w:rsidR="000F4C26" w:rsidRPr="00DE2EDF" w:rsidRDefault="000F4C26" w:rsidP="00DE2EDF">
      <w:pPr>
        <w:spacing w:after="0"/>
        <w:jc w:val="both"/>
        <w:rPr>
          <w:rFonts w:eastAsia="Times New Roman" w:cs="Times New Roman"/>
          <w:iCs/>
          <w:lang w:val="en-GB"/>
        </w:rPr>
      </w:pPr>
    </w:p>
    <w:p w14:paraId="1ED9210D" w14:textId="77777777" w:rsidR="009E12D0" w:rsidRPr="00DE2EDF" w:rsidRDefault="00062525" w:rsidP="00DE2EDF">
      <w:pPr>
        <w:spacing w:after="0"/>
        <w:jc w:val="both"/>
        <w:rPr>
          <w:rFonts w:eastAsia="Times New Roman" w:cs="Times New Roman"/>
          <w:iCs/>
          <w:lang w:val="en-GB"/>
        </w:rPr>
      </w:pPr>
      <w:r w:rsidRPr="00DE2EDF">
        <w:rPr>
          <w:rFonts w:eastAsia="Times New Roman" w:cs="Times New Roman"/>
          <w:iCs/>
          <w:lang w:val="en-GB"/>
        </w:rPr>
        <w:t xml:space="preserve">These four points of view </w:t>
      </w:r>
      <w:r w:rsidR="00E51BA4" w:rsidRPr="00DE2EDF">
        <w:rPr>
          <w:rFonts w:eastAsia="Times New Roman" w:cs="Times New Roman"/>
          <w:iCs/>
          <w:lang w:val="en-GB"/>
        </w:rPr>
        <w:t>are successively</w:t>
      </w:r>
      <w:r w:rsidRPr="00DE2EDF">
        <w:rPr>
          <w:rFonts w:eastAsia="Times New Roman" w:cs="Times New Roman"/>
          <w:iCs/>
          <w:lang w:val="en-GB"/>
        </w:rPr>
        <w:t xml:space="preserve"> analysed in the following pages. Given its radical nature, </w:t>
      </w:r>
      <w:r w:rsidR="009E1733" w:rsidRPr="00DE2EDF">
        <w:rPr>
          <w:rFonts w:eastAsia="Times New Roman" w:cs="Times New Roman"/>
          <w:iCs/>
          <w:lang w:val="en-GB"/>
        </w:rPr>
        <w:t>the</w:t>
      </w:r>
      <w:r w:rsidRPr="00DE2EDF">
        <w:rPr>
          <w:rFonts w:eastAsia="Times New Roman" w:cs="Times New Roman"/>
          <w:iCs/>
          <w:lang w:val="en-GB"/>
        </w:rPr>
        <w:t xml:space="preserve"> </w:t>
      </w:r>
      <w:r w:rsidR="009E1733" w:rsidRPr="00DE2EDF">
        <w:rPr>
          <w:rFonts w:eastAsia="Times New Roman" w:cs="Times New Roman"/>
          <w:iCs/>
          <w:lang w:val="en-GB"/>
        </w:rPr>
        <w:t>‘</w:t>
      </w:r>
      <w:r w:rsidRPr="00DE2EDF">
        <w:rPr>
          <w:rFonts w:eastAsia="Times New Roman" w:cs="Times New Roman"/>
          <w:iCs/>
          <w:lang w:val="en-GB"/>
        </w:rPr>
        <w:t>Two World Thesis</w:t>
      </w:r>
      <w:r w:rsidR="009E1733" w:rsidRPr="00DE2EDF">
        <w:rPr>
          <w:rFonts w:eastAsia="Times New Roman" w:cs="Times New Roman"/>
          <w:iCs/>
          <w:lang w:val="en-GB"/>
        </w:rPr>
        <w:t>’</w:t>
      </w:r>
      <w:r w:rsidRPr="00DE2EDF">
        <w:rPr>
          <w:rFonts w:eastAsia="Times New Roman" w:cs="Times New Roman"/>
          <w:iCs/>
          <w:lang w:val="en-GB"/>
        </w:rPr>
        <w:t xml:space="preserve"> </w:t>
      </w:r>
      <w:r w:rsidR="00875A36" w:rsidRPr="00DE2EDF">
        <w:rPr>
          <w:rFonts w:eastAsia="Times New Roman" w:cs="Times New Roman"/>
          <w:iCs/>
          <w:lang w:val="en-GB"/>
        </w:rPr>
        <w:t xml:space="preserve">will be my </w:t>
      </w:r>
      <w:r w:rsidRPr="00DE2EDF">
        <w:rPr>
          <w:rFonts w:eastAsia="Times New Roman" w:cs="Times New Roman"/>
          <w:iCs/>
          <w:lang w:val="en-GB"/>
        </w:rPr>
        <w:t>starting point.</w:t>
      </w:r>
    </w:p>
    <w:p w14:paraId="0AD5BEB3" w14:textId="77777777" w:rsidR="000F4C26" w:rsidRPr="00DE2EDF" w:rsidRDefault="000F4C26" w:rsidP="00DE2EDF">
      <w:pPr>
        <w:spacing w:after="0"/>
        <w:rPr>
          <w:rFonts w:cs="Times New Roman"/>
          <w:lang w:val="en-GB"/>
        </w:rPr>
      </w:pPr>
      <w:bookmarkStart w:id="39" w:name="_Toc253048923"/>
      <w:bookmarkStart w:id="40" w:name="_Toc252700470"/>
      <w:bookmarkStart w:id="41" w:name="_Toc245196653"/>
      <w:bookmarkEnd w:id="39"/>
      <w:bookmarkEnd w:id="40"/>
    </w:p>
    <w:p w14:paraId="45019DBD" w14:textId="77777777" w:rsidR="009E12D0" w:rsidRPr="00DE2EDF" w:rsidRDefault="00ED3DAA" w:rsidP="00DE2EDF">
      <w:pPr>
        <w:pStyle w:val="Heading1"/>
        <w:spacing w:before="0" w:after="0" w:line="276" w:lineRule="auto"/>
        <w:rPr>
          <w:szCs w:val="24"/>
          <w:lang w:val="en-GB"/>
        </w:rPr>
      </w:pPr>
      <w:bookmarkStart w:id="42" w:name="_Toc460405616"/>
      <w:r w:rsidRPr="00DE2EDF">
        <w:rPr>
          <w:szCs w:val="24"/>
          <w:lang w:val="en-GB"/>
        </w:rPr>
        <w:t>B</w:t>
      </w:r>
      <w:r w:rsidR="002D66C1" w:rsidRPr="00DE2EDF">
        <w:rPr>
          <w:szCs w:val="24"/>
          <w:lang w:val="en-GB"/>
        </w:rPr>
        <w:t xml:space="preserve">. </w:t>
      </w:r>
      <w:r w:rsidR="009E12D0" w:rsidRPr="00DE2EDF">
        <w:rPr>
          <w:szCs w:val="24"/>
          <w:lang w:val="en-GB"/>
        </w:rPr>
        <w:t>The Two World The</w:t>
      </w:r>
      <w:r w:rsidR="000A67F6" w:rsidRPr="00DE2EDF">
        <w:rPr>
          <w:szCs w:val="24"/>
          <w:lang w:val="en-GB"/>
        </w:rPr>
        <w:t>sis</w:t>
      </w:r>
      <w:r w:rsidR="009E12D0" w:rsidRPr="00DE2EDF">
        <w:rPr>
          <w:szCs w:val="24"/>
          <w:lang w:val="en-GB"/>
        </w:rPr>
        <w:t xml:space="preserve">: </w:t>
      </w:r>
      <w:r w:rsidR="00EA2E67" w:rsidRPr="00DE2EDF">
        <w:rPr>
          <w:szCs w:val="24"/>
          <w:lang w:val="en-GB"/>
        </w:rPr>
        <w:t>A</w:t>
      </w:r>
      <w:r w:rsidR="009E12D0" w:rsidRPr="00DE2EDF">
        <w:rPr>
          <w:szCs w:val="24"/>
          <w:lang w:val="en-GB"/>
        </w:rPr>
        <w:t xml:space="preserve"> rarity and conceptual </w:t>
      </w:r>
      <w:bookmarkEnd w:id="41"/>
      <w:r w:rsidR="009E12D0" w:rsidRPr="00DE2EDF">
        <w:rPr>
          <w:szCs w:val="24"/>
          <w:lang w:val="en-GB"/>
        </w:rPr>
        <w:t>absurdity</w:t>
      </w:r>
      <w:bookmarkEnd w:id="42"/>
    </w:p>
    <w:p w14:paraId="6A0D24CA" w14:textId="77777777" w:rsidR="002D66C1" w:rsidRPr="00DE2EDF" w:rsidRDefault="002D66C1" w:rsidP="00DE2EDF">
      <w:pPr>
        <w:spacing w:after="0"/>
        <w:rPr>
          <w:rFonts w:cs="Times New Roman"/>
          <w:lang w:val="en-GB"/>
        </w:rPr>
      </w:pPr>
    </w:p>
    <w:p w14:paraId="15493E04" w14:textId="77777777" w:rsidR="009E12D0" w:rsidRPr="00DE2EDF" w:rsidRDefault="002D66C1" w:rsidP="00DE2EDF">
      <w:pPr>
        <w:pStyle w:val="Heading2"/>
        <w:spacing w:before="0" w:after="0" w:line="276" w:lineRule="auto"/>
        <w:ind w:left="0" w:firstLine="0"/>
        <w:rPr>
          <w:rFonts w:eastAsia="Times New Roman" w:cs="Times New Roman"/>
          <w:szCs w:val="24"/>
          <w:lang w:val="en-GB"/>
        </w:rPr>
      </w:pPr>
      <w:bookmarkStart w:id="43" w:name="_Toc253048924"/>
      <w:bookmarkStart w:id="44" w:name="_Toc252700471"/>
      <w:bookmarkStart w:id="45" w:name="_Toc245196654"/>
      <w:bookmarkStart w:id="46" w:name="_Toc460405617"/>
      <w:bookmarkEnd w:id="43"/>
      <w:bookmarkEnd w:id="44"/>
      <w:r w:rsidRPr="00DE2EDF">
        <w:rPr>
          <w:rFonts w:eastAsia="Times New Roman" w:cs="Times New Roman"/>
          <w:szCs w:val="24"/>
          <w:lang w:val="en-GB"/>
        </w:rPr>
        <w:t xml:space="preserve">1. </w:t>
      </w:r>
      <w:r w:rsidR="009E12D0" w:rsidRPr="00DE2EDF">
        <w:rPr>
          <w:rFonts w:eastAsia="Times New Roman" w:cs="Times New Roman"/>
          <w:szCs w:val="24"/>
          <w:lang w:val="en-GB"/>
        </w:rPr>
        <w:t xml:space="preserve">An </w:t>
      </w:r>
      <w:r w:rsidR="008D2A2D" w:rsidRPr="00DE2EDF">
        <w:rPr>
          <w:rFonts w:eastAsia="Times New Roman" w:cs="Times New Roman"/>
          <w:szCs w:val="24"/>
          <w:lang w:val="en-GB"/>
        </w:rPr>
        <w:t>Elusive ‘T</w:t>
      </w:r>
      <w:r w:rsidR="009E12D0" w:rsidRPr="00DE2EDF">
        <w:rPr>
          <w:rFonts w:eastAsia="Times New Roman" w:cs="Times New Roman"/>
          <w:szCs w:val="24"/>
          <w:lang w:val="en-GB"/>
        </w:rPr>
        <w:t>heory</w:t>
      </w:r>
      <w:bookmarkEnd w:id="45"/>
      <w:r w:rsidR="009E12D0" w:rsidRPr="00DE2EDF">
        <w:rPr>
          <w:rFonts w:eastAsia="Times New Roman" w:cs="Times New Roman"/>
          <w:szCs w:val="24"/>
          <w:lang w:val="en-GB"/>
        </w:rPr>
        <w:t>’</w:t>
      </w:r>
      <w:bookmarkEnd w:id="46"/>
    </w:p>
    <w:p w14:paraId="35DCD0C2" w14:textId="77777777" w:rsidR="000F4C26" w:rsidRPr="00DE2EDF" w:rsidRDefault="000F4C26" w:rsidP="00DE2EDF">
      <w:pPr>
        <w:spacing w:after="0"/>
        <w:jc w:val="both"/>
        <w:rPr>
          <w:rFonts w:cs="Times New Roman"/>
          <w:lang w:val="en-GB"/>
        </w:rPr>
      </w:pPr>
    </w:p>
    <w:p w14:paraId="734169E1"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lastRenderedPageBreak/>
        <w:t xml:space="preserve">From today’s perspective, this thesis appears downright strange. How is it possible to even conceive of such a total disconnection between </w:t>
      </w:r>
      <w:r w:rsidR="00627AB0" w:rsidRPr="00DE2EDF">
        <w:rPr>
          <w:rFonts w:eastAsia="Times New Roman" w:cs="Times New Roman"/>
          <w:iCs/>
          <w:lang w:val="en-GB"/>
        </w:rPr>
        <w:t>both</w:t>
      </w:r>
      <w:r w:rsidRPr="00DE2EDF">
        <w:rPr>
          <w:rFonts w:eastAsia="Times New Roman" w:cs="Times New Roman"/>
          <w:iCs/>
          <w:lang w:val="en-GB"/>
        </w:rPr>
        <w:t xml:space="preserve"> areas of law? </w:t>
      </w:r>
      <w:r w:rsidR="00627AB0" w:rsidRPr="00DE2EDF">
        <w:rPr>
          <w:rFonts w:eastAsia="Times New Roman" w:cs="Times New Roman"/>
          <w:iCs/>
          <w:lang w:val="en-GB"/>
        </w:rPr>
        <w:t>Yet</w:t>
      </w:r>
      <w:r w:rsidRPr="00DE2EDF">
        <w:rPr>
          <w:rFonts w:eastAsia="Times New Roman" w:cs="Times New Roman"/>
          <w:iCs/>
          <w:lang w:val="en-GB"/>
        </w:rPr>
        <w:t xml:space="preserve">, the idea of such a ‘separation’ still haunts the thoughts of some lawyers, especially those who </w:t>
      </w:r>
      <w:r w:rsidR="00155E3B" w:rsidRPr="00DE2EDF">
        <w:rPr>
          <w:rFonts w:eastAsia="Times New Roman" w:cs="Times New Roman"/>
          <w:iCs/>
          <w:lang w:val="en-GB"/>
        </w:rPr>
        <w:t xml:space="preserve">are </w:t>
      </w:r>
      <w:r w:rsidRPr="00DE2EDF">
        <w:rPr>
          <w:rFonts w:eastAsia="Times New Roman" w:cs="Times New Roman"/>
          <w:iCs/>
          <w:lang w:val="en-GB"/>
        </w:rPr>
        <w:t>used to think</w:t>
      </w:r>
      <w:r w:rsidR="009E1733" w:rsidRPr="00DE2EDF">
        <w:rPr>
          <w:rFonts w:eastAsia="Times New Roman" w:cs="Times New Roman"/>
          <w:iCs/>
          <w:lang w:val="en-GB"/>
        </w:rPr>
        <w:t>ing</w:t>
      </w:r>
      <w:r w:rsidRPr="00DE2EDF">
        <w:rPr>
          <w:rFonts w:eastAsia="Times New Roman" w:cs="Times New Roman"/>
          <w:iCs/>
          <w:lang w:val="en-GB"/>
        </w:rPr>
        <w:t xml:space="preserve"> in terms of antitheses. The Two World The</w:t>
      </w:r>
      <w:r w:rsidR="000A67F6" w:rsidRPr="00DE2EDF">
        <w:rPr>
          <w:rFonts w:eastAsia="Times New Roman" w:cs="Times New Roman"/>
          <w:iCs/>
          <w:lang w:val="en-GB"/>
        </w:rPr>
        <w:t>sis</w:t>
      </w:r>
      <w:r w:rsidRPr="00DE2EDF">
        <w:rPr>
          <w:rFonts w:eastAsia="Times New Roman" w:cs="Times New Roman"/>
          <w:iCs/>
          <w:lang w:val="en-GB"/>
        </w:rPr>
        <w:t xml:space="preserve"> appears to be the logical counterpart to the theory of administrative law’s dependency on constitutional law. </w:t>
      </w:r>
      <w:r w:rsidR="00627AB0" w:rsidRPr="00DE2EDF">
        <w:rPr>
          <w:rFonts w:eastAsia="Times New Roman" w:cs="Times New Roman"/>
          <w:iCs/>
          <w:lang w:val="en-GB"/>
        </w:rPr>
        <w:t>T</w:t>
      </w:r>
      <w:r w:rsidRPr="00DE2EDF">
        <w:rPr>
          <w:rFonts w:eastAsia="Times New Roman" w:cs="Times New Roman"/>
          <w:iCs/>
          <w:lang w:val="en-GB"/>
        </w:rPr>
        <w:t xml:space="preserve">o </w:t>
      </w:r>
      <w:r w:rsidR="009E1733" w:rsidRPr="00DE2EDF">
        <w:rPr>
          <w:rFonts w:eastAsia="Times New Roman" w:cs="Times New Roman"/>
          <w:iCs/>
          <w:lang w:val="en-GB"/>
        </w:rPr>
        <w:t xml:space="preserve">even </w:t>
      </w:r>
      <w:r w:rsidRPr="00DE2EDF">
        <w:rPr>
          <w:rFonts w:eastAsia="Times New Roman" w:cs="Times New Roman"/>
          <w:iCs/>
          <w:lang w:val="en-GB"/>
        </w:rPr>
        <w:t>fix the exact content of this the</w:t>
      </w:r>
      <w:r w:rsidR="000A67F6" w:rsidRPr="00DE2EDF">
        <w:rPr>
          <w:rFonts w:eastAsia="Times New Roman" w:cs="Times New Roman"/>
          <w:iCs/>
          <w:lang w:val="en-GB"/>
        </w:rPr>
        <w:t>sis</w:t>
      </w:r>
      <w:r w:rsidR="009E1733" w:rsidRPr="00DE2EDF">
        <w:rPr>
          <w:rFonts w:eastAsia="Times New Roman" w:cs="Times New Roman"/>
          <w:iCs/>
          <w:lang w:val="en-GB"/>
        </w:rPr>
        <w:t>,</w:t>
      </w:r>
      <w:r w:rsidRPr="00DE2EDF">
        <w:rPr>
          <w:rFonts w:eastAsia="Times New Roman" w:cs="Times New Roman"/>
          <w:iCs/>
          <w:lang w:val="en-GB"/>
        </w:rPr>
        <w:t xml:space="preserve"> or even to identify its original author(s)</w:t>
      </w:r>
      <w:r w:rsidR="009E1733" w:rsidRPr="00DE2EDF">
        <w:rPr>
          <w:rFonts w:eastAsia="Times New Roman" w:cs="Times New Roman"/>
          <w:iCs/>
          <w:lang w:val="en-GB"/>
        </w:rPr>
        <w:t>,</w:t>
      </w:r>
      <w:r w:rsidRPr="00DE2EDF">
        <w:rPr>
          <w:rFonts w:eastAsia="Times New Roman" w:cs="Times New Roman"/>
          <w:iCs/>
          <w:lang w:val="en-GB"/>
        </w:rPr>
        <w:t xml:space="preserve"> </w:t>
      </w:r>
      <w:r w:rsidR="00627AB0" w:rsidRPr="00DE2EDF">
        <w:rPr>
          <w:rFonts w:eastAsia="Times New Roman" w:cs="Times New Roman"/>
          <w:iCs/>
          <w:lang w:val="en-GB"/>
        </w:rPr>
        <w:t xml:space="preserve">is </w:t>
      </w:r>
      <w:r w:rsidRPr="00DE2EDF">
        <w:rPr>
          <w:rFonts w:eastAsia="Times New Roman" w:cs="Times New Roman"/>
          <w:iCs/>
          <w:lang w:val="en-GB"/>
        </w:rPr>
        <w:t xml:space="preserve">quite difficult. As far as I know, this thesis has never been systematically and thoughtfully </w:t>
      </w:r>
      <w:r w:rsidR="00627AB0" w:rsidRPr="00DE2EDF">
        <w:rPr>
          <w:rFonts w:eastAsia="Times New Roman" w:cs="Times New Roman"/>
          <w:iCs/>
          <w:lang w:val="en-GB"/>
        </w:rPr>
        <w:t>exposed</w:t>
      </w:r>
      <w:r w:rsidRPr="00DE2EDF">
        <w:rPr>
          <w:rFonts w:eastAsia="Times New Roman" w:cs="Times New Roman"/>
          <w:iCs/>
          <w:lang w:val="en-GB"/>
        </w:rPr>
        <w:t>. Thus, to cal</w:t>
      </w:r>
      <w:r w:rsidR="002B78EF" w:rsidRPr="00DE2EDF">
        <w:rPr>
          <w:rFonts w:eastAsia="Times New Roman" w:cs="Times New Roman"/>
          <w:iCs/>
          <w:lang w:val="en-GB"/>
        </w:rPr>
        <w:t>l it a ‘theory’</w:t>
      </w:r>
      <w:r w:rsidR="002B78EF" w:rsidRPr="00DE2EDF">
        <w:rPr>
          <w:rFonts w:cs="Times New Roman"/>
        </w:rPr>
        <w:t>—</w:t>
      </w:r>
      <w:r w:rsidRPr="00DE2EDF">
        <w:rPr>
          <w:rFonts w:eastAsia="Times New Roman" w:cs="Times New Roman"/>
          <w:iCs/>
          <w:lang w:val="en-GB"/>
        </w:rPr>
        <w:t>a term that requires a modic</w:t>
      </w:r>
      <w:r w:rsidR="002B78EF" w:rsidRPr="00DE2EDF">
        <w:rPr>
          <w:rFonts w:eastAsia="Times New Roman" w:cs="Times New Roman"/>
          <w:iCs/>
          <w:lang w:val="en-GB"/>
        </w:rPr>
        <w:t>um of coherence and substance</w:t>
      </w:r>
      <w:r w:rsidR="002B78EF" w:rsidRPr="00DE2EDF">
        <w:rPr>
          <w:rFonts w:cs="Times New Roman"/>
        </w:rPr>
        <w:t>—</w:t>
      </w:r>
      <w:r w:rsidR="000A67F6" w:rsidRPr="00DE2EDF">
        <w:rPr>
          <w:rFonts w:eastAsia="Times New Roman" w:cs="Times New Roman"/>
          <w:iCs/>
          <w:lang w:val="en-GB"/>
        </w:rPr>
        <w:t xml:space="preserve">would be </w:t>
      </w:r>
      <w:r w:rsidRPr="00DE2EDF">
        <w:rPr>
          <w:rFonts w:eastAsia="Times New Roman" w:cs="Times New Roman"/>
          <w:iCs/>
          <w:lang w:val="en-GB"/>
        </w:rPr>
        <w:t>a misnomer. A researcher attempting to track it down must often be content with some famous, misunderstood, and often misleading quotations, which are presented as ‘winged words</w:t>
      </w:r>
      <w:bookmarkStart w:id="47" w:name="_ftnref20"/>
      <w:r w:rsidRPr="00DE2EDF">
        <w:rPr>
          <w:rFonts w:eastAsia="Times New Roman" w:cs="Times New Roman"/>
          <w:iCs/>
          <w:lang w:val="en-GB"/>
        </w:rPr>
        <w:t>’</w:t>
      </w:r>
      <w:r w:rsidR="009E1733" w:rsidRPr="00DE2EDF">
        <w:rPr>
          <w:rFonts w:eastAsia="Times New Roman" w:cs="Times New Roman"/>
          <w:iCs/>
          <w:lang w:val="en-GB"/>
        </w:rPr>
        <w:t>.</w:t>
      </w:r>
      <w:bookmarkStart w:id="48" w:name="_Ref457836283"/>
      <w:r w:rsidRPr="00DE2EDF">
        <w:rPr>
          <w:rStyle w:val="FootnoteReference"/>
          <w:rFonts w:eastAsia="Times New Roman" w:cs="Times New Roman"/>
          <w:iCs/>
          <w:lang w:val="en-GB"/>
        </w:rPr>
        <w:footnoteReference w:id="25"/>
      </w:r>
      <w:bookmarkEnd w:id="48"/>
      <w:r w:rsidRPr="00DE2EDF">
        <w:rPr>
          <w:rFonts w:eastAsia="Times New Roman" w:cs="Times New Roman"/>
          <w:iCs/>
          <w:lang w:val="en-GB"/>
        </w:rPr>
        <w:t xml:space="preserve"> </w:t>
      </w:r>
      <w:bookmarkEnd w:id="47"/>
      <w:r w:rsidRPr="00DE2EDF">
        <w:rPr>
          <w:rFonts w:eastAsia="Times New Roman" w:cs="Times New Roman"/>
          <w:iCs/>
          <w:lang w:val="en-GB"/>
        </w:rPr>
        <w:t>At best, she</w:t>
      </w:r>
      <w:r w:rsidR="000A67F6" w:rsidRPr="00DE2EDF">
        <w:rPr>
          <w:rFonts w:eastAsia="Times New Roman" w:cs="Times New Roman"/>
          <w:iCs/>
          <w:lang w:val="en-GB"/>
        </w:rPr>
        <w:t>/he</w:t>
      </w:r>
      <w:r w:rsidRPr="00DE2EDF">
        <w:rPr>
          <w:rFonts w:eastAsia="Times New Roman" w:cs="Times New Roman"/>
          <w:iCs/>
          <w:lang w:val="en-GB"/>
        </w:rPr>
        <w:t xml:space="preserve"> will discover some theoretical attempts or beginnings, but not a full-fledged theory.</w:t>
      </w:r>
    </w:p>
    <w:p w14:paraId="2F87E0EA" w14:textId="77777777" w:rsidR="000F4C26" w:rsidRPr="00DE2EDF" w:rsidRDefault="000F4C26" w:rsidP="00DE2EDF">
      <w:pPr>
        <w:spacing w:after="0"/>
        <w:jc w:val="both"/>
        <w:rPr>
          <w:rFonts w:eastAsia="Times New Roman" w:cs="Times New Roman"/>
          <w:iCs/>
          <w:lang w:val="en-GB"/>
        </w:rPr>
      </w:pPr>
    </w:p>
    <w:p w14:paraId="0ACC345F" w14:textId="2061FBDC"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The following statement is an attempt to systematically reconstruct this thesis: constitutional law and administrative law are two hermetically-sealed spheres of law sitting next to one another. Figuratively speaking, they are parallel, or perhaps divergent, branches on the vigorous tree of law.</w:t>
      </w:r>
      <w:bookmarkStart w:id="49" w:name="_ftnref21"/>
      <w:r w:rsidRPr="00DE2EDF">
        <w:rPr>
          <w:rStyle w:val="FootnoteReference"/>
          <w:rFonts w:eastAsia="Times New Roman" w:cs="Times New Roman"/>
          <w:iCs/>
          <w:lang w:val="en-GB"/>
        </w:rPr>
        <w:footnoteReference w:id="26"/>
      </w:r>
      <w:r w:rsidRPr="00DE2EDF">
        <w:rPr>
          <w:rFonts w:eastAsia="Times New Roman" w:cs="Times New Roman"/>
          <w:iCs/>
          <w:lang w:val="en-GB"/>
        </w:rPr>
        <w:t xml:space="preserve"> </w:t>
      </w:r>
      <w:bookmarkEnd w:id="49"/>
      <w:r w:rsidRPr="00DE2EDF">
        <w:rPr>
          <w:rFonts w:eastAsia="Times New Roman" w:cs="Times New Roman"/>
          <w:iCs/>
          <w:lang w:val="en-GB"/>
        </w:rPr>
        <w:t>Such a perfect separation could only exist if the two branches of law: (a) governed completely different matters; (b) arose from different legal sources; and (c) used different values, categories, and standards. If that were the case, it would mean that judges or academic scholars assigned to each particular area of law could totally ignore the other area. At the root of this the</w:t>
      </w:r>
      <w:r w:rsidR="00061E45" w:rsidRPr="00DE2EDF">
        <w:rPr>
          <w:rFonts w:eastAsia="Times New Roman" w:cs="Times New Roman"/>
          <w:iCs/>
          <w:lang w:val="en-GB"/>
        </w:rPr>
        <w:t>sis</w:t>
      </w:r>
      <w:r w:rsidRPr="00DE2EDF">
        <w:rPr>
          <w:rFonts w:eastAsia="Times New Roman" w:cs="Times New Roman"/>
          <w:iCs/>
          <w:lang w:val="en-GB"/>
        </w:rPr>
        <w:t>, one usually encounters a concrete, even empirically verifiable, statement relating to one particular aspect of this multifaceted issue. The corresponding grain of truth is extrapolated and condensed into a catchy, often polemic formula. What frequently happens thereafter is that said extrapolation is perpetuated by a hurried reader who is likely to have simply skimmed the rest of the text, even though in those remaining pages, the catchy formula is often strongly relativi</w:t>
      </w:r>
      <w:r w:rsidR="00061E45" w:rsidRPr="00DE2EDF">
        <w:rPr>
          <w:rFonts w:eastAsia="Times New Roman" w:cs="Times New Roman"/>
          <w:iCs/>
          <w:lang w:val="en-GB"/>
        </w:rPr>
        <w:t>z</w:t>
      </w:r>
      <w:r w:rsidRPr="00DE2EDF">
        <w:rPr>
          <w:rFonts w:eastAsia="Times New Roman" w:cs="Times New Roman"/>
          <w:iCs/>
          <w:lang w:val="en-GB"/>
        </w:rPr>
        <w:t>ed, either explicitly or implicitly, by its original author. The result of this interaction between the author’s sweeping statement and the reader’s hastiness is a ‘theory’ that, if looked at it closely, does not appear to be particularly well-founded. In a constitutional State, sealing off administrative law from the Constitution is unthinkable. Therefore, it is not very</w:t>
      </w:r>
      <w:r w:rsidR="000F756A" w:rsidRPr="00DE2EDF">
        <w:rPr>
          <w:rFonts w:eastAsia="Times New Roman" w:cs="Times New Roman"/>
          <w:iCs/>
          <w:lang w:val="en-GB"/>
        </w:rPr>
        <w:t xml:space="preserve"> </w:t>
      </w:r>
      <w:r w:rsidRPr="00DE2EDF">
        <w:rPr>
          <w:rFonts w:eastAsia="Times New Roman" w:cs="Times New Roman"/>
          <w:iCs/>
          <w:lang w:val="en-GB"/>
        </w:rPr>
        <w:t>surprising that the Two World The</w:t>
      </w:r>
      <w:r w:rsidR="00061E45" w:rsidRPr="00DE2EDF">
        <w:rPr>
          <w:rFonts w:eastAsia="Times New Roman" w:cs="Times New Roman"/>
          <w:iCs/>
          <w:lang w:val="en-GB"/>
        </w:rPr>
        <w:t>sis</w:t>
      </w:r>
      <w:r w:rsidRPr="00DE2EDF">
        <w:rPr>
          <w:rFonts w:eastAsia="Times New Roman" w:cs="Times New Roman"/>
          <w:iCs/>
          <w:lang w:val="en-GB"/>
        </w:rPr>
        <w:t xml:space="preserve"> is rarely represented. It appears to have been debated only in Germany and France; even in Spain, where professors of administrative law and professors of constitutional law tended to ignore each other before the political and intellectual caesura of 1978, no such thesis has ever been affirmed</w:t>
      </w:r>
      <w:bookmarkStart w:id="50" w:name="_Ref294735563"/>
      <w:r w:rsidR="002B78EF" w:rsidRPr="00DE2EDF">
        <w:rPr>
          <w:rFonts w:eastAsia="Times New Roman" w:cs="Times New Roman"/>
          <w:iCs/>
          <w:lang w:val="en-GB"/>
        </w:rPr>
        <w:t>.</w:t>
      </w:r>
      <w:bookmarkStart w:id="51" w:name="_Ref457828586"/>
      <w:r w:rsidRPr="00DE2EDF">
        <w:rPr>
          <w:rStyle w:val="FootnoteReference"/>
          <w:rFonts w:eastAsia="Times New Roman" w:cs="Times New Roman"/>
          <w:iCs/>
          <w:lang w:val="en-GB"/>
        </w:rPr>
        <w:footnoteReference w:id="27"/>
      </w:r>
      <w:bookmarkEnd w:id="50"/>
      <w:bookmarkEnd w:id="51"/>
      <w:r w:rsidRPr="00DE2EDF">
        <w:rPr>
          <w:rFonts w:eastAsia="Times New Roman" w:cs="Times New Roman"/>
          <w:iCs/>
          <w:lang w:val="en-GB"/>
        </w:rPr>
        <w:t xml:space="preserve"> It </w:t>
      </w:r>
      <w:r w:rsidR="00AD1588" w:rsidRPr="00DE2EDF">
        <w:rPr>
          <w:rFonts w:eastAsia="Times New Roman" w:cs="Times New Roman"/>
          <w:iCs/>
          <w:lang w:val="en-GB"/>
        </w:rPr>
        <w:t xml:space="preserve">should </w:t>
      </w:r>
      <w:r w:rsidRPr="00DE2EDF">
        <w:rPr>
          <w:rFonts w:eastAsia="Times New Roman" w:cs="Times New Roman"/>
          <w:iCs/>
          <w:lang w:val="en-GB"/>
        </w:rPr>
        <w:t>also</w:t>
      </w:r>
      <w:r w:rsidR="00AD1588" w:rsidRPr="00DE2EDF">
        <w:rPr>
          <w:rFonts w:eastAsia="Times New Roman" w:cs="Times New Roman"/>
          <w:iCs/>
          <w:lang w:val="en-GB"/>
        </w:rPr>
        <w:t xml:space="preserve"> </w:t>
      </w:r>
      <w:r w:rsidR="00AD1588" w:rsidRPr="00DE2EDF">
        <w:rPr>
          <w:rFonts w:eastAsia="Times New Roman" w:cs="Times New Roman"/>
          <w:iCs/>
          <w:lang w:val="en-GB"/>
        </w:rPr>
        <w:lastRenderedPageBreak/>
        <w:t xml:space="preserve">be </w:t>
      </w:r>
      <w:r w:rsidR="005C24DC" w:rsidRPr="00DE2EDF">
        <w:rPr>
          <w:rFonts w:eastAsia="Times New Roman" w:cs="Times New Roman"/>
          <w:iCs/>
          <w:lang w:val="en-GB"/>
        </w:rPr>
        <w:t xml:space="preserve">noted </w:t>
      </w:r>
      <w:r w:rsidRPr="00DE2EDF">
        <w:rPr>
          <w:rFonts w:eastAsia="Times New Roman" w:cs="Times New Roman"/>
          <w:iCs/>
          <w:lang w:val="en-GB"/>
        </w:rPr>
        <w:t>that, from a historical perspective, the Two World The</w:t>
      </w:r>
      <w:r w:rsidR="0036097A" w:rsidRPr="00DE2EDF">
        <w:rPr>
          <w:rFonts w:eastAsia="Times New Roman" w:cs="Times New Roman"/>
          <w:iCs/>
          <w:lang w:val="en-GB"/>
        </w:rPr>
        <w:t>sis</w:t>
      </w:r>
      <w:r w:rsidRPr="00DE2EDF">
        <w:rPr>
          <w:rFonts w:eastAsia="Times New Roman" w:cs="Times New Roman"/>
          <w:iCs/>
          <w:lang w:val="en-GB"/>
        </w:rPr>
        <w:t xml:space="preserve"> emerged relatively late, only over the course of the</w:t>
      </w:r>
      <w:r w:rsidR="00973880" w:rsidRPr="00DE2EDF">
        <w:rPr>
          <w:rFonts w:eastAsia="Times New Roman" w:cs="Times New Roman"/>
          <w:iCs/>
          <w:lang w:val="en-GB"/>
        </w:rPr>
        <w:t xml:space="preserve"> </w:t>
      </w:r>
      <w:r w:rsidR="00E05876">
        <w:rPr>
          <w:rFonts w:eastAsia="Times New Roman" w:cs="Times New Roman"/>
          <w:iCs/>
          <w:lang w:val="en-GB"/>
        </w:rPr>
        <w:t>t</w:t>
      </w:r>
      <w:r w:rsidR="002B78EF" w:rsidRPr="00DE2EDF">
        <w:rPr>
          <w:rFonts w:eastAsia="Times New Roman" w:cs="Times New Roman"/>
          <w:iCs/>
          <w:lang w:val="en-GB"/>
        </w:rPr>
        <w:t>wentie</w:t>
      </w:r>
      <w:r w:rsidR="00973880" w:rsidRPr="00DE2EDF">
        <w:rPr>
          <w:rFonts w:eastAsia="Times New Roman" w:cs="Times New Roman"/>
          <w:iCs/>
          <w:lang w:val="en-GB"/>
        </w:rPr>
        <w:t>t</w:t>
      </w:r>
      <w:r w:rsidR="002B78EF" w:rsidRPr="00DE2EDF">
        <w:rPr>
          <w:rFonts w:eastAsia="Times New Roman" w:cs="Times New Roman"/>
          <w:iCs/>
          <w:lang w:val="en-GB"/>
        </w:rPr>
        <w:t>h</w:t>
      </w:r>
      <w:r w:rsidR="0036097A" w:rsidRPr="00DE2EDF">
        <w:rPr>
          <w:rFonts w:eastAsia="Times New Roman" w:cs="Times New Roman"/>
          <w:iCs/>
          <w:lang w:val="en-GB"/>
        </w:rPr>
        <w:t xml:space="preserve"> </w:t>
      </w:r>
      <w:r w:rsidRPr="00DE2EDF">
        <w:rPr>
          <w:rFonts w:eastAsia="Times New Roman" w:cs="Times New Roman"/>
          <w:iCs/>
          <w:lang w:val="en-GB"/>
        </w:rPr>
        <w:t xml:space="preserve">century. </w:t>
      </w:r>
      <w:r w:rsidR="0036097A" w:rsidRPr="00DE2EDF">
        <w:rPr>
          <w:rFonts w:eastAsia="Times New Roman" w:cs="Times New Roman"/>
          <w:iCs/>
          <w:lang w:val="en-GB"/>
        </w:rPr>
        <w:t xml:space="preserve">The adverse theory of administrative law being linked to constitutional law is much older and goes back to the start of </w:t>
      </w:r>
      <w:r w:rsidR="009E1733" w:rsidRPr="00DE2EDF">
        <w:rPr>
          <w:rFonts w:eastAsia="Times New Roman" w:cs="Times New Roman"/>
          <w:iCs/>
          <w:lang w:val="en-GB"/>
        </w:rPr>
        <w:t xml:space="preserve">the </w:t>
      </w:r>
      <w:r w:rsidR="002B78EF" w:rsidRPr="00DE2EDF">
        <w:rPr>
          <w:rFonts w:eastAsia="Times New Roman" w:cs="Times New Roman"/>
          <w:iCs/>
          <w:lang w:val="en-GB"/>
        </w:rPr>
        <w:t>ninet</w:t>
      </w:r>
      <w:r w:rsidR="00E31885">
        <w:rPr>
          <w:rFonts w:eastAsia="Times New Roman" w:cs="Times New Roman"/>
          <w:iCs/>
          <w:lang w:val="en-GB"/>
        </w:rPr>
        <w:t>eenth</w:t>
      </w:r>
      <w:r w:rsidR="0036097A" w:rsidRPr="00DE2EDF">
        <w:rPr>
          <w:rFonts w:eastAsia="Times New Roman" w:cs="Times New Roman"/>
          <w:iCs/>
          <w:lang w:val="en-GB"/>
        </w:rPr>
        <w:t xml:space="preserve"> century. </w:t>
      </w:r>
      <w:r w:rsidRPr="00DE2EDF">
        <w:rPr>
          <w:rFonts w:eastAsia="Times New Roman" w:cs="Times New Roman"/>
          <w:iCs/>
          <w:lang w:val="en-GB"/>
        </w:rPr>
        <w:t>Today, no one defend</w:t>
      </w:r>
      <w:r w:rsidR="009E1733" w:rsidRPr="00DE2EDF">
        <w:rPr>
          <w:rFonts w:eastAsia="Times New Roman" w:cs="Times New Roman"/>
          <w:iCs/>
          <w:lang w:val="en-GB"/>
        </w:rPr>
        <w:t>s</w:t>
      </w:r>
      <w:r w:rsidR="0036097A" w:rsidRPr="00DE2EDF">
        <w:rPr>
          <w:rFonts w:eastAsia="Times New Roman" w:cs="Times New Roman"/>
          <w:iCs/>
          <w:lang w:val="en-GB"/>
        </w:rPr>
        <w:t xml:space="preserve"> the Two World Thesis, which s</w:t>
      </w:r>
      <w:r w:rsidRPr="00DE2EDF">
        <w:rPr>
          <w:rFonts w:eastAsia="Times New Roman" w:cs="Times New Roman"/>
          <w:iCs/>
          <w:lang w:val="en-GB"/>
        </w:rPr>
        <w:t xml:space="preserve">ilence is not </w:t>
      </w:r>
      <w:r w:rsidR="00A8618A" w:rsidRPr="00DE2EDF">
        <w:rPr>
          <w:rFonts w:eastAsia="Times New Roman" w:cs="Times New Roman"/>
          <w:iCs/>
          <w:lang w:val="en-GB"/>
        </w:rPr>
        <w:t xml:space="preserve">particularly </w:t>
      </w:r>
      <w:r w:rsidRPr="00DE2EDF">
        <w:rPr>
          <w:rFonts w:eastAsia="Times New Roman" w:cs="Times New Roman"/>
          <w:iCs/>
          <w:lang w:val="en-GB"/>
        </w:rPr>
        <w:t xml:space="preserve">surprising. In retrospect, it is the </w:t>
      </w:r>
      <w:r w:rsidR="00AD1588" w:rsidRPr="00DE2EDF">
        <w:rPr>
          <w:rFonts w:eastAsia="Times New Roman" w:cs="Times New Roman"/>
          <w:iCs/>
          <w:lang w:val="en-GB"/>
        </w:rPr>
        <w:t xml:space="preserve">mere </w:t>
      </w:r>
      <w:r w:rsidR="00A8618A" w:rsidRPr="00DE2EDF">
        <w:rPr>
          <w:rFonts w:eastAsia="Times New Roman" w:cs="Times New Roman"/>
          <w:iCs/>
          <w:lang w:val="en-GB"/>
        </w:rPr>
        <w:t xml:space="preserve">past </w:t>
      </w:r>
      <w:r w:rsidRPr="00DE2EDF">
        <w:rPr>
          <w:rFonts w:eastAsia="Times New Roman" w:cs="Times New Roman"/>
          <w:iCs/>
          <w:lang w:val="en-GB"/>
        </w:rPr>
        <w:t xml:space="preserve">existence of this thesis that </w:t>
      </w:r>
      <w:r w:rsidR="00AD1588" w:rsidRPr="00DE2EDF">
        <w:rPr>
          <w:rFonts w:eastAsia="Times New Roman" w:cs="Times New Roman"/>
          <w:iCs/>
          <w:lang w:val="en-GB"/>
        </w:rPr>
        <w:t>puzzles</w:t>
      </w:r>
      <w:r w:rsidRPr="00DE2EDF">
        <w:rPr>
          <w:rFonts w:eastAsia="Times New Roman" w:cs="Times New Roman"/>
          <w:iCs/>
          <w:lang w:val="en-GB"/>
        </w:rPr>
        <w:t xml:space="preserve"> and raises questions about its function.</w:t>
      </w:r>
    </w:p>
    <w:p w14:paraId="5701DF4D" w14:textId="77777777" w:rsidR="005C24DC" w:rsidRPr="00DE2EDF" w:rsidRDefault="005C24DC" w:rsidP="00DE2EDF">
      <w:pPr>
        <w:spacing w:after="0"/>
        <w:jc w:val="both"/>
        <w:rPr>
          <w:rFonts w:eastAsia="Times New Roman" w:cs="Times New Roman"/>
          <w:iCs/>
          <w:lang w:val="en-GB"/>
        </w:rPr>
      </w:pPr>
    </w:p>
    <w:p w14:paraId="7DE06F0D" w14:textId="77777777" w:rsidR="009E12D0" w:rsidRPr="00DE2EDF" w:rsidRDefault="002D66C1" w:rsidP="00DE2EDF">
      <w:pPr>
        <w:pStyle w:val="Heading2"/>
        <w:spacing w:before="0" w:after="0" w:line="276" w:lineRule="auto"/>
        <w:ind w:left="0" w:firstLine="0"/>
        <w:rPr>
          <w:rFonts w:eastAsia="Times New Roman" w:cs="Times New Roman"/>
          <w:szCs w:val="24"/>
          <w:lang w:val="en-GB"/>
        </w:rPr>
      </w:pPr>
      <w:bookmarkStart w:id="52" w:name="_Toc253048925"/>
      <w:bookmarkStart w:id="53" w:name="_Toc252700472"/>
      <w:bookmarkStart w:id="54" w:name="_Toc245196655"/>
      <w:bookmarkStart w:id="55" w:name="_Toc460405618"/>
      <w:bookmarkEnd w:id="52"/>
      <w:bookmarkEnd w:id="53"/>
      <w:r w:rsidRPr="00DE2EDF">
        <w:rPr>
          <w:rFonts w:eastAsia="Times New Roman" w:cs="Times New Roman"/>
          <w:szCs w:val="24"/>
          <w:lang w:val="en-GB"/>
        </w:rPr>
        <w:t xml:space="preserve">2. </w:t>
      </w:r>
      <w:r w:rsidR="00E83C72" w:rsidRPr="00DE2EDF">
        <w:rPr>
          <w:rFonts w:eastAsia="Times New Roman" w:cs="Times New Roman"/>
          <w:szCs w:val="24"/>
          <w:lang w:val="en-GB"/>
        </w:rPr>
        <w:t>The German D</w:t>
      </w:r>
      <w:r w:rsidR="009E12D0" w:rsidRPr="00DE2EDF">
        <w:rPr>
          <w:rFonts w:eastAsia="Times New Roman" w:cs="Times New Roman"/>
          <w:szCs w:val="24"/>
          <w:lang w:val="en-GB"/>
        </w:rPr>
        <w:t>ebate over Otto Mayer’s</w:t>
      </w:r>
      <w:bookmarkEnd w:id="54"/>
      <w:r w:rsidR="00E83C72" w:rsidRPr="00DE2EDF">
        <w:rPr>
          <w:rFonts w:eastAsia="Times New Roman" w:cs="Times New Roman"/>
          <w:szCs w:val="24"/>
          <w:lang w:val="en-GB"/>
        </w:rPr>
        <w:t xml:space="preserve"> D</w:t>
      </w:r>
      <w:r w:rsidR="009E12D0" w:rsidRPr="00DE2EDF">
        <w:rPr>
          <w:rFonts w:eastAsia="Times New Roman" w:cs="Times New Roman"/>
          <w:szCs w:val="24"/>
          <w:lang w:val="en-GB"/>
        </w:rPr>
        <w:t>ictum</w:t>
      </w:r>
      <w:bookmarkEnd w:id="55"/>
    </w:p>
    <w:p w14:paraId="26113D03" w14:textId="77777777" w:rsidR="002D66C1" w:rsidRPr="00DE2EDF" w:rsidRDefault="002D66C1" w:rsidP="00DE2EDF">
      <w:pPr>
        <w:spacing w:after="0"/>
        <w:jc w:val="both"/>
        <w:rPr>
          <w:rFonts w:eastAsia="Times New Roman" w:cs="Times New Roman"/>
          <w:iCs/>
          <w:lang w:val="en-GB"/>
        </w:rPr>
      </w:pPr>
    </w:p>
    <w:p w14:paraId="7E5E5628"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Even today, in </w:t>
      </w:r>
      <w:r w:rsidR="00500024" w:rsidRPr="00DE2EDF">
        <w:rPr>
          <w:rFonts w:eastAsia="Times New Roman" w:cs="Times New Roman"/>
          <w:iCs/>
          <w:lang w:val="en-GB"/>
        </w:rPr>
        <w:t xml:space="preserve">Germany and in those countries </w:t>
      </w:r>
      <w:r w:rsidR="00A8618A" w:rsidRPr="00DE2EDF">
        <w:rPr>
          <w:rFonts w:eastAsia="Times New Roman" w:cs="Times New Roman"/>
          <w:iCs/>
          <w:lang w:val="en-GB"/>
        </w:rPr>
        <w:t xml:space="preserve">in which </w:t>
      </w:r>
      <w:r w:rsidR="00500024" w:rsidRPr="00DE2EDF">
        <w:rPr>
          <w:rFonts w:eastAsia="Times New Roman" w:cs="Times New Roman"/>
          <w:iCs/>
          <w:lang w:val="en-GB"/>
        </w:rPr>
        <w:t xml:space="preserve">scholars are influenced by German legal literature, </w:t>
      </w:r>
      <w:r w:rsidRPr="00DE2EDF">
        <w:rPr>
          <w:rFonts w:eastAsia="Times New Roman" w:cs="Times New Roman"/>
          <w:iCs/>
          <w:lang w:val="en-GB"/>
        </w:rPr>
        <w:t>virtually every</w:t>
      </w:r>
      <w:r w:rsidR="009D630E" w:rsidRPr="00DE2EDF">
        <w:rPr>
          <w:rFonts w:eastAsia="Times New Roman" w:cs="Times New Roman"/>
          <w:iCs/>
          <w:lang w:val="en-GB"/>
        </w:rPr>
        <w:t xml:space="preserve"> administrative law scholar</w:t>
      </w:r>
      <w:r w:rsidRPr="00DE2EDF">
        <w:rPr>
          <w:rFonts w:eastAsia="Times New Roman" w:cs="Times New Roman"/>
          <w:iCs/>
          <w:lang w:val="en-GB"/>
        </w:rPr>
        <w:t xml:space="preserve"> knows of, and still cites, Otto Mayer’s classic dictum. In 1924, after the fall of the monarchy and the difficult birth of the We</w:t>
      </w:r>
      <w:r w:rsidR="00973880" w:rsidRPr="00DE2EDF">
        <w:rPr>
          <w:rFonts w:eastAsia="Times New Roman" w:cs="Times New Roman"/>
          <w:iCs/>
          <w:lang w:val="en-GB"/>
        </w:rPr>
        <w:t>imar Republic, Otto Mayer (1846–</w:t>
      </w:r>
      <w:r w:rsidRPr="00DE2EDF">
        <w:rPr>
          <w:rFonts w:eastAsia="Times New Roman" w:cs="Times New Roman"/>
          <w:iCs/>
          <w:lang w:val="en-GB"/>
        </w:rPr>
        <w:t xml:space="preserve">1924) wrote, in the preface to the third edition of his classic textbook on </w:t>
      </w:r>
      <w:r w:rsidR="00AD1588" w:rsidRPr="00DE2EDF">
        <w:rPr>
          <w:rFonts w:eastAsia="Times New Roman" w:cs="Times New Roman"/>
          <w:i/>
          <w:iCs/>
          <w:lang w:val="en-GB"/>
        </w:rPr>
        <w:t>Deutsches Verwaltungsrecht</w:t>
      </w:r>
      <w:r w:rsidR="00AD1588" w:rsidRPr="00DE2EDF">
        <w:rPr>
          <w:rFonts w:eastAsia="Times New Roman" w:cs="Times New Roman"/>
          <w:iCs/>
          <w:lang w:val="en-GB"/>
        </w:rPr>
        <w:t xml:space="preserve"> (</w:t>
      </w:r>
      <w:r w:rsidRPr="00DE2EDF">
        <w:rPr>
          <w:rFonts w:eastAsia="Times New Roman" w:cs="Times New Roman"/>
          <w:iCs/>
          <w:lang w:val="en-GB"/>
        </w:rPr>
        <w:t>German administrative law</w:t>
      </w:r>
      <w:r w:rsidR="00AD1588" w:rsidRPr="00DE2EDF">
        <w:rPr>
          <w:rFonts w:eastAsia="Times New Roman" w:cs="Times New Roman"/>
          <w:iCs/>
          <w:lang w:val="en-GB"/>
        </w:rPr>
        <w:t>)</w:t>
      </w:r>
      <w:r w:rsidRPr="00DE2EDF">
        <w:rPr>
          <w:rFonts w:eastAsia="Times New Roman" w:cs="Times New Roman"/>
          <w:iCs/>
          <w:lang w:val="en-GB"/>
        </w:rPr>
        <w:t>: ‘Nothing of import</w:t>
      </w:r>
      <w:r w:rsidR="00E05876">
        <w:rPr>
          <w:rFonts w:eastAsia="Times New Roman" w:cs="Times New Roman"/>
          <w:iCs/>
          <w:lang w:val="en-GB"/>
        </w:rPr>
        <w:t>ance</w:t>
      </w:r>
      <w:r w:rsidRPr="00DE2EDF">
        <w:rPr>
          <w:rFonts w:eastAsia="Times New Roman" w:cs="Times New Roman"/>
          <w:iCs/>
          <w:lang w:val="en-GB"/>
        </w:rPr>
        <w:t xml:space="preserve"> happened between 1914 and 1917 that needs to be incorporated here. </w:t>
      </w:r>
      <w:r w:rsidR="00D273CF" w:rsidRPr="00DE2EDF">
        <w:rPr>
          <w:rFonts w:eastAsia="Times New Roman" w:cs="Times New Roman"/>
          <w:iCs/>
          <w:lang w:val="de-DE"/>
        </w:rPr>
        <w:t xml:space="preserve">Constitutional law passes away, administrative law remains </w:t>
      </w:r>
      <w:r w:rsidR="00D273CF" w:rsidRPr="00DE2EDF">
        <w:rPr>
          <w:rFonts w:eastAsia="Times New Roman" w:cs="Times New Roman"/>
          <w:i/>
          <w:iCs/>
          <w:lang w:val="de-DE"/>
        </w:rPr>
        <w:t>(Verfassungsrecht vergeht, Verwaltungsrecht besteht</w:t>
      </w:r>
      <w:r w:rsidR="00D273CF" w:rsidRPr="00DE2EDF">
        <w:rPr>
          <w:rFonts w:eastAsia="Times New Roman" w:cs="Times New Roman"/>
          <w:iCs/>
          <w:lang w:val="de-DE"/>
        </w:rPr>
        <w:t xml:space="preserve">). </w:t>
      </w:r>
      <w:r w:rsidRPr="00DE2EDF">
        <w:rPr>
          <w:rFonts w:eastAsia="Times New Roman" w:cs="Times New Roman"/>
          <w:iCs/>
          <w:lang w:val="en-GB"/>
        </w:rPr>
        <w:t>This had been observed elsewhere long before</w:t>
      </w:r>
      <w:r w:rsidR="00E05876">
        <w:rPr>
          <w:rFonts w:eastAsia="Times New Roman" w:cs="Times New Roman"/>
          <w:iCs/>
          <w:lang w:val="en-GB"/>
        </w:rPr>
        <w:t>.’</w:t>
      </w:r>
      <w:r w:rsidRPr="00DE2EDF">
        <w:rPr>
          <w:rFonts w:eastAsia="Times New Roman" w:cs="Times New Roman"/>
          <w:iCs/>
          <w:lang w:val="en-GB"/>
        </w:rPr>
        <w:t xml:space="preserve"> By ‘elsewhere’, Mayer meant France. In 1886, Mayer noted in his </w:t>
      </w:r>
      <w:r w:rsidRPr="00DE2EDF">
        <w:rPr>
          <w:rFonts w:eastAsia="Times New Roman" w:cs="Times New Roman"/>
          <w:i/>
          <w:iCs/>
          <w:lang w:val="en-GB"/>
        </w:rPr>
        <w:t>Theorie des französischen Verwaltungsrechts</w:t>
      </w:r>
      <w:r w:rsidRPr="00DE2EDF">
        <w:rPr>
          <w:rFonts w:eastAsia="Times New Roman" w:cs="Times New Roman"/>
          <w:iCs/>
          <w:lang w:val="en-GB"/>
        </w:rPr>
        <w:t xml:space="preserve"> (Theory of French Administrative Law): ‘From the French point of view, it is a natural contrast that constitutional law changes </w:t>
      </w:r>
      <w:r w:rsidR="002B78EF" w:rsidRPr="00DE2EDF">
        <w:rPr>
          <w:rFonts w:eastAsia="Times New Roman" w:cs="Times New Roman"/>
          <w:iCs/>
          <w:lang w:val="en-GB"/>
        </w:rPr>
        <w:t>and administrative law persists.</w:t>
      </w:r>
      <w:r w:rsidRPr="00DE2EDF">
        <w:rPr>
          <w:rFonts w:eastAsia="Times New Roman" w:cs="Times New Roman"/>
          <w:iCs/>
          <w:lang w:val="en-GB"/>
        </w:rPr>
        <w:t>’</w:t>
      </w:r>
      <w:bookmarkStart w:id="56" w:name="_Ref457826240"/>
      <w:bookmarkStart w:id="57" w:name="_ftnref22"/>
      <w:r w:rsidRPr="00DE2EDF">
        <w:rPr>
          <w:rStyle w:val="FootnoteReference"/>
          <w:rFonts w:eastAsia="Times New Roman" w:cs="Times New Roman"/>
          <w:iCs/>
          <w:lang w:val="en-GB"/>
        </w:rPr>
        <w:footnoteReference w:id="28"/>
      </w:r>
      <w:bookmarkEnd w:id="56"/>
      <w:r w:rsidRPr="00DE2EDF">
        <w:rPr>
          <w:rFonts w:eastAsia="Times New Roman" w:cs="Times New Roman"/>
          <w:iCs/>
          <w:lang w:val="en-GB"/>
        </w:rPr>
        <w:t xml:space="preserve"> </w:t>
      </w:r>
      <w:bookmarkEnd w:id="57"/>
      <w:r w:rsidRPr="00DE2EDF">
        <w:rPr>
          <w:rFonts w:eastAsia="Times New Roman" w:cs="Times New Roman"/>
          <w:iCs/>
          <w:lang w:val="en-GB"/>
        </w:rPr>
        <w:t>He cited the French professor of administrati</w:t>
      </w:r>
      <w:r w:rsidR="00973880" w:rsidRPr="00DE2EDF">
        <w:rPr>
          <w:rFonts w:eastAsia="Times New Roman" w:cs="Times New Roman"/>
          <w:iCs/>
          <w:lang w:val="en-GB"/>
        </w:rPr>
        <w:t>ve law, Théophile Ducrocq (1829–</w:t>
      </w:r>
      <w:r w:rsidRPr="00DE2EDF">
        <w:rPr>
          <w:rFonts w:eastAsia="Times New Roman" w:cs="Times New Roman"/>
          <w:iCs/>
          <w:lang w:val="en-GB"/>
        </w:rPr>
        <w:t>1913),</w:t>
      </w:r>
      <w:bookmarkStart w:id="58" w:name="_ftnref23"/>
      <w:r w:rsidRPr="00DE2EDF">
        <w:rPr>
          <w:rStyle w:val="FootnoteReference"/>
          <w:rFonts w:eastAsia="Times New Roman" w:cs="Times New Roman"/>
          <w:iCs/>
          <w:lang w:val="en-GB"/>
        </w:rPr>
        <w:footnoteReference w:id="29"/>
      </w:r>
      <w:bookmarkEnd w:id="58"/>
      <w:r w:rsidRPr="00DE2EDF">
        <w:rPr>
          <w:rFonts w:eastAsia="Times New Roman" w:cs="Times New Roman"/>
          <w:iCs/>
          <w:lang w:val="en-GB"/>
        </w:rPr>
        <w:t xml:space="preserve"> who argued, in the context of the troubled, plagued-by-upheaval constitutional history of France, that there existed at least a </w:t>
      </w:r>
      <w:r w:rsidRPr="00DE2EDF">
        <w:rPr>
          <w:rFonts w:eastAsia="Times New Roman" w:cs="Times New Roman"/>
          <w:i/>
          <w:lang w:val="en-GB"/>
        </w:rPr>
        <w:t>certain</w:t>
      </w:r>
      <w:r w:rsidRPr="00DE2EDF">
        <w:rPr>
          <w:rFonts w:eastAsia="Times New Roman" w:cs="Times New Roman"/>
          <w:iCs/>
          <w:lang w:val="en-GB"/>
        </w:rPr>
        <w:t xml:space="preserve"> stability of administrative law.</w:t>
      </w:r>
      <w:bookmarkStart w:id="59" w:name="_Ref251846243"/>
      <w:bookmarkStart w:id="60" w:name="_Ref401055821"/>
      <w:bookmarkEnd w:id="59"/>
      <w:r w:rsidRPr="00DE2EDF">
        <w:rPr>
          <w:rStyle w:val="FootnoteReference"/>
          <w:rFonts w:eastAsia="Times New Roman" w:cs="Times New Roman"/>
          <w:iCs/>
          <w:lang w:val="en-GB"/>
        </w:rPr>
        <w:footnoteReference w:id="30"/>
      </w:r>
      <w:bookmarkEnd w:id="60"/>
      <w:r w:rsidRPr="00DE2EDF">
        <w:rPr>
          <w:rFonts w:eastAsia="Times New Roman" w:cs="Times New Roman"/>
          <w:iCs/>
          <w:lang w:val="en-GB"/>
        </w:rPr>
        <w:t xml:space="preserve"> As pointed out by Andreas Auer,</w:t>
      </w:r>
      <w:bookmarkStart w:id="61" w:name="_Ref294727142"/>
      <w:r w:rsidRPr="00DE2EDF">
        <w:rPr>
          <w:rStyle w:val="FootnoteReference"/>
          <w:rFonts w:eastAsia="Times New Roman" w:cs="Times New Roman"/>
          <w:iCs/>
          <w:lang w:val="en-GB"/>
        </w:rPr>
        <w:footnoteReference w:id="31"/>
      </w:r>
      <w:bookmarkEnd w:id="61"/>
      <w:r w:rsidRPr="00DE2EDF">
        <w:rPr>
          <w:rFonts w:eastAsia="Times New Roman" w:cs="Times New Roman"/>
          <w:iCs/>
          <w:lang w:val="en-GB"/>
        </w:rPr>
        <w:t xml:space="preserve"> the </w:t>
      </w:r>
      <w:r w:rsidRPr="00DE2EDF">
        <w:rPr>
          <w:rFonts w:eastAsia="Times New Roman" w:cs="Times New Roman"/>
          <w:iCs/>
          <w:lang w:val="en-GB"/>
        </w:rPr>
        <w:lastRenderedPageBreak/>
        <w:t xml:space="preserve">godfather of this </w:t>
      </w:r>
      <w:r w:rsidR="00500024" w:rsidRPr="00DE2EDF">
        <w:rPr>
          <w:rFonts w:eastAsia="Times New Roman" w:cs="Times New Roman"/>
          <w:iCs/>
          <w:lang w:val="en-GB"/>
        </w:rPr>
        <w:t>view</w:t>
      </w:r>
      <w:r w:rsidRPr="00DE2EDF">
        <w:rPr>
          <w:rFonts w:eastAsia="Times New Roman" w:cs="Times New Roman"/>
          <w:iCs/>
          <w:lang w:val="en-GB"/>
        </w:rPr>
        <w:t xml:space="preserve"> might also have been Jean-Étienne-Marie</w:t>
      </w:r>
      <w:r w:rsidRPr="00DE2EDF">
        <w:rPr>
          <w:rFonts w:eastAsia="Times New Roman" w:cs="Times New Roman"/>
          <w:b/>
          <w:bCs/>
          <w:iCs/>
          <w:lang w:val="en-GB"/>
        </w:rPr>
        <w:t xml:space="preserve"> </w:t>
      </w:r>
      <w:r w:rsidRPr="00DE2EDF">
        <w:rPr>
          <w:rFonts w:eastAsia="Times New Roman" w:cs="Times New Roman"/>
          <w:iCs/>
          <w:lang w:val="en-GB"/>
        </w:rPr>
        <w:t xml:space="preserve">Portalis (1746–1807), one of the authors of the French </w:t>
      </w:r>
      <w:r w:rsidRPr="00DE2EDF">
        <w:rPr>
          <w:rFonts w:eastAsia="Times New Roman" w:cs="Times New Roman"/>
          <w:lang w:val="en-GB"/>
        </w:rPr>
        <w:t>Civil Code</w:t>
      </w:r>
      <w:r w:rsidRPr="00DE2EDF">
        <w:rPr>
          <w:rFonts w:eastAsia="Times New Roman" w:cs="Times New Roman"/>
          <w:iCs/>
          <w:lang w:val="en-GB"/>
        </w:rPr>
        <w:t>, who said: ‘Public law passes, private law remains</w:t>
      </w:r>
      <w:r w:rsidR="00E05876">
        <w:rPr>
          <w:rFonts w:eastAsia="Times New Roman" w:cs="Times New Roman"/>
          <w:iCs/>
          <w:lang w:val="en-GB"/>
        </w:rPr>
        <w:t>.</w:t>
      </w:r>
      <w:r w:rsidRPr="00DE2EDF">
        <w:rPr>
          <w:rFonts w:eastAsia="Times New Roman" w:cs="Times New Roman"/>
          <w:iCs/>
          <w:lang w:val="en-GB"/>
        </w:rPr>
        <w:t>’ The history of the reception of Mayer’s quotation shows that it has been read and understood in two very different ways.</w:t>
      </w:r>
    </w:p>
    <w:p w14:paraId="041C33F9" w14:textId="77777777" w:rsidR="000F4C26" w:rsidRPr="00DE2EDF" w:rsidRDefault="000F4C26" w:rsidP="00DE2EDF">
      <w:pPr>
        <w:spacing w:after="0"/>
        <w:jc w:val="both"/>
        <w:rPr>
          <w:rFonts w:eastAsia="Times New Roman" w:cs="Times New Roman"/>
          <w:iCs/>
          <w:lang w:val="en-GB"/>
        </w:rPr>
      </w:pPr>
    </w:p>
    <w:p w14:paraId="49027940" w14:textId="77777777" w:rsidR="00ED3DAA" w:rsidRPr="00DE2EDF" w:rsidRDefault="00ED3DAA" w:rsidP="00DE2EDF">
      <w:pPr>
        <w:pStyle w:val="Heading3"/>
        <w:rPr>
          <w:rFonts w:cs="Times New Roman"/>
          <w:szCs w:val="24"/>
        </w:rPr>
      </w:pPr>
      <w:bookmarkStart w:id="62" w:name="_Toc253048926"/>
      <w:bookmarkStart w:id="63" w:name="_Toc252700473"/>
      <w:bookmarkStart w:id="64" w:name="_Toc460405619"/>
      <w:bookmarkEnd w:id="62"/>
      <w:bookmarkEnd w:id="63"/>
      <w:r w:rsidRPr="00DE2EDF">
        <w:rPr>
          <w:rFonts w:cs="Times New Roman"/>
          <w:szCs w:val="24"/>
        </w:rPr>
        <w:t xml:space="preserve">a) </w:t>
      </w:r>
      <w:r w:rsidR="009E12D0" w:rsidRPr="00DE2EDF">
        <w:rPr>
          <w:rFonts w:cs="Times New Roman"/>
          <w:szCs w:val="24"/>
        </w:rPr>
        <w:t xml:space="preserve">A </w:t>
      </w:r>
      <w:r w:rsidR="00EA2E67" w:rsidRPr="00DE2EDF">
        <w:rPr>
          <w:rFonts w:cs="Times New Roman"/>
          <w:szCs w:val="24"/>
        </w:rPr>
        <w:t>W</w:t>
      </w:r>
      <w:r w:rsidR="009E12D0" w:rsidRPr="00DE2EDF">
        <w:rPr>
          <w:rFonts w:cs="Times New Roman"/>
          <w:szCs w:val="24"/>
        </w:rPr>
        <w:t>ill-o’-th</w:t>
      </w:r>
      <w:r w:rsidR="00EA2E67" w:rsidRPr="00DE2EDF">
        <w:rPr>
          <w:rFonts w:cs="Times New Roman"/>
          <w:szCs w:val="24"/>
        </w:rPr>
        <w:t>e-wisp: Mayer’s D</w:t>
      </w:r>
      <w:r w:rsidR="009E12D0" w:rsidRPr="00DE2EDF">
        <w:rPr>
          <w:rFonts w:cs="Times New Roman"/>
          <w:szCs w:val="24"/>
        </w:rPr>
        <w:t xml:space="preserve">ictum as an </w:t>
      </w:r>
      <w:r w:rsidR="00EA2E67" w:rsidRPr="00DE2EDF">
        <w:rPr>
          <w:rFonts w:cs="Times New Roman"/>
          <w:szCs w:val="24"/>
        </w:rPr>
        <w:t>E</w:t>
      </w:r>
      <w:r w:rsidR="009E12D0" w:rsidRPr="00DE2EDF">
        <w:rPr>
          <w:rFonts w:cs="Times New Roman"/>
          <w:szCs w:val="24"/>
        </w:rPr>
        <w:t>xpression of the Two World The</w:t>
      </w:r>
      <w:r w:rsidR="00500024" w:rsidRPr="00DE2EDF">
        <w:rPr>
          <w:rFonts w:cs="Times New Roman"/>
          <w:szCs w:val="24"/>
        </w:rPr>
        <w:t>sis</w:t>
      </w:r>
      <w:bookmarkEnd w:id="64"/>
    </w:p>
    <w:p w14:paraId="7EF26303" w14:textId="77777777" w:rsidR="00ED3DAA" w:rsidRPr="00DE2EDF" w:rsidRDefault="00ED3DAA" w:rsidP="00DE2EDF">
      <w:pPr>
        <w:spacing w:after="0"/>
        <w:rPr>
          <w:rFonts w:cs="Times New Roman"/>
          <w:lang w:val="en-GB"/>
        </w:rPr>
      </w:pPr>
    </w:p>
    <w:p w14:paraId="33CD7755"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In German literature, it is now a foregone conclusion that the initial interpretation of Mayer’s dictum as an expression of the Two World The</w:t>
      </w:r>
      <w:r w:rsidR="00500024" w:rsidRPr="00DE2EDF">
        <w:rPr>
          <w:rFonts w:eastAsia="Times New Roman" w:cs="Times New Roman"/>
          <w:iCs/>
          <w:lang w:val="en-GB"/>
        </w:rPr>
        <w:t>sis</w:t>
      </w:r>
      <w:r w:rsidRPr="00DE2EDF">
        <w:rPr>
          <w:rFonts w:eastAsia="Times New Roman" w:cs="Times New Roman"/>
          <w:iCs/>
          <w:lang w:val="en-GB"/>
        </w:rPr>
        <w:t xml:space="preserve"> is, under the 1949 Basic Law (</w:t>
      </w:r>
      <w:r w:rsidRPr="00DE2EDF">
        <w:rPr>
          <w:rFonts w:eastAsia="Times New Roman" w:cs="Times New Roman"/>
          <w:i/>
          <w:iCs/>
          <w:lang w:val="en-GB"/>
        </w:rPr>
        <w:t>Grundgesetz</w:t>
      </w:r>
      <w:r w:rsidRPr="00DE2EDF">
        <w:rPr>
          <w:rFonts w:eastAsia="Times New Roman" w:cs="Times New Roman"/>
          <w:iCs/>
          <w:lang w:val="en-GB"/>
        </w:rPr>
        <w:t>), entirely untenable. As a matter of fact, that understanding was already untenable during the Weimar era: a quick glance at the Weimar Constitution of 1919 shows a large variety of provisions (both classic and new) addressing issues of administrative law. Accordingly, Mayer’s dictum already encountered resolute criticism in the 1920s.</w:t>
      </w:r>
      <w:bookmarkStart w:id="65" w:name="_Ref243907364"/>
      <w:bookmarkStart w:id="66" w:name="_Ref401126622"/>
      <w:bookmarkEnd w:id="65"/>
      <w:r w:rsidRPr="00DE2EDF">
        <w:rPr>
          <w:rStyle w:val="FootnoteReference"/>
          <w:rFonts w:eastAsia="Times New Roman" w:cs="Times New Roman"/>
          <w:iCs/>
          <w:lang w:val="en-GB"/>
        </w:rPr>
        <w:footnoteReference w:id="32"/>
      </w:r>
      <w:bookmarkEnd w:id="66"/>
      <w:r w:rsidRPr="00DE2EDF">
        <w:rPr>
          <w:rFonts w:eastAsia="Times New Roman" w:cs="Times New Roman"/>
          <w:iCs/>
          <w:lang w:val="en-GB"/>
        </w:rPr>
        <w:t xml:space="preserve"> Even the situation of the French Third Republic </w:t>
      </w:r>
      <w:r w:rsidR="00605B21" w:rsidRPr="00DE2EDF">
        <w:rPr>
          <w:rFonts w:eastAsia="Times New Roman" w:cs="Times New Roman"/>
          <w:iCs/>
          <w:lang w:val="en-GB"/>
        </w:rPr>
        <w:t>wa</w:t>
      </w:r>
      <w:r w:rsidRPr="00DE2EDF">
        <w:rPr>
          <w:rFonts w:eastAsia="Times New Roman" w:cs="Times New Roman"/>
          <w:iCs/>
          <w:lang w:val="en-GB"/>
        </w:rPr>
        <w:t xml:space="preserve">s not correctly reflected by Mayer’s phrase, as French scholars of the end of </w:t>
      </w:r>
      <w:r w:rsidR="003F3A10" w:rsidRPr="00DE2EDF">
        <w:rPr>
          <w:rFonts w:eastAsia="Times New Roman" w:cs="Times New Roman"/>
          <w:iCs/>
          <w:lang w:val="en-GB"/>
        </w:rPr>
        <w:t>nineteenth</w:t>
      </w:r>
      <w:r w:rsidRPr="00DE2EDF">
        <w:rPr>
          <w:rFonts w:eastAsia="Times New Roman" w:cs="Times New Roman"/>
          <w:iCs/>
          <w:lang w:val="en-GB"/>
        </w:rPr>
        <w:t xml:space="preserve"> century, including Ducrocq, explicitly stressed the constitutional dependency of administrative law. Today, many authors</w:t>
      </w:r>
      <w:bookmarkStart w:id="67" w:name="_Ref294726295"/>
      <w:r w:rsidRPr="00DE2EDF">
        <w:rPr>
          <w:rStyle w:val="FootnoteReference"/>
          <w:rFonts w:eastAsia="Times New Roman" w:cs="Times New Roman"/>
          <w:iCs/>
          <w:lang w:val="en-GB"/>
        </w:rPr>
        <w:footnoteReference w:id="33"/>
      </w:r>
      <w:bookmarkEnd w:id="67"/>
      <w:r w:rsidRPr="00DE2EDF">
        <w:rPr>
          <w:rFonts w:eastAsia="Times New Roman" w:cs="Times New Roman"/>
          <w:iCs/>
          <w:lang w:val="en-GB"/>
        </w:rPr>
        <w:t xml:space="preserve"> argue that Mayer himself, a ‘temperamental man of contradictions’ who occasionally tended toward </w:t>
      </w:r>
      <w:bookmarkStart w:id="68" w:name="_ftnref27"/>
      <w:r w:rsidRPr="00DE2EDF">
        <w:rPr>
          <w:rFonts w:eastAsia="Times New Roman" w:cs="Times New Roman"/>
          <w:iCs/>
          <w:lang w:val="en-GB"/>
        </w:rPr>
        <w:t>exaggerated statements,</w:t>
      </w:r>
      <w:r w:rsidRPr="00DE2EDF">
        <w:rPr>
          <w:rStyle w:val="FootnoteReference"/>
          <w:rFonts w:eastAsia="Times New Roman" w:cs="Times New Roman"/>
          <w:iCs/>
          <w:lang w:val="en-GB"/>
        </w:rPr>
        <w:footnoteReference w:id="34"/>
      </w:r>
      <w:bookmarkEnd w:id="68"/>
      <w:r w:rsidR="00BE0296" w:rsidRPr="00DE2EDF">
        <w:rPr>
          <w:rFonts w:eastAsia="Times New Roman" w:cs="Times New Roman"/>
          <w:iCs/>
          <w:lang w:val="en-GB"/>
        </w:rPr>
        <w:t xml:space="preserve"> </w:t>
      </w:r>
      <w:r w:rsidRPr="00DE2EDF">
        <w:rPr>
          <w:rFonts w:eastAsia="Times New Roman" w:cs="Times New Roman"/>
          <w:iCs/>
          <w:lang w:val="en-GB"/>
        </w:rPr>
        <w:t>never really intended such a radical opinion. Indeed, Mayer wrote at the beginning of his textbook: ‘</w:t>
      </w:r>
      <w:r w:rsidR="00901A6C" w:rsidRPr="00DE2EDF">
        <w:rPr>
          <w:rFonts w:eastAsia="Times New Roman" w:cs="Times New Roman"/>
          <w:iCs/>
          <w:lang w:val="en-GB"/>
        </w:rPr>
        <w:t>[t]</w:t>
      </w:r>
      <w:r w:rsidRPr="00DE2EDF">
        <w:rPr>
          <w:rFonts w:eastAsia="Times New Roman" w:cs="Times New Roman"/>
          <w:iCs/>
          <w:lang w:val="en-GB"/>
        </w:rPr>
        <w:t>he epitome of the rules according to which [the Constitutional State] is established is constitutional law. We will see just how our entire administrative law depends on the differentiations within supreme power.’</w:t>
      </w:r>
      <w:bookmarkStart w:id="69" w:name="_ftnref29"/>
      <w:r w:rsidRPr="00DE2EDF">
        <w:rPr>
          <w:rStyle w:val="FootnoteReference"/>
          <w:rFonts w:eastAsia="Times New Roman" w:cs="Times New Roman"/>
          <w:iCs/>
          <w:lang w:val="en-GB"/>
        </w:rPr>
        <w:footnoteReference w:id="35"/>
      </w:r>
      <w:r w:rsidRPr="00DE2EDF">
        <w:rPr>
          <w:rFonts w:eastAsia="Times New Roman" w:cs="Times New Roman"/>
          <w:iCs/>
          <w:lang w:val="en-GB"/>
        </w:rPr>
        <w:t xml:space="preserve"> </w:t>
      </w:r>
      <w:bookmarkEnd w:id="69"/>
      <w:r w:rsidRPr="00DE2EDF">
        <w:rPr>
          <w:rFonts w:eastAsia="Times New Roman" w:cs="Times New Roman"/>
          <w:iCs/>
          <w:lang w:val="en-GB"/>
        </w:rPr>
        <w:t>This is a fairly explicit and unequivocal statement of the idea that administrative law depends on constitutional law. In the eyes of Mayer, who took over an idea that was commonly stated in French legal literature, the connection point between the two areas was the principle of separation of powers.</w:t>
      </w:r>
    </w:p>
    <w:p w14:paraId="6C67BA7D" w14:textId="77777777" w:rsidR="000F4C26" w:rsidRPr="00DE2EDF" w:rsidRDefault="000F4C26" w:rsidP="00DE2EDF">
      <w:pPr>
        <w:spacing w:after="0"/>
        <w:jc w:val="both"/>
        <w:rPr>
          <w:rFonts w:eastAsia="Times New Roman" w:cs="Times New Roman"/>
          <w:iCs/>
          <w:lang w:val="en-GB"/>
        </w:rPr>
      </w:pPr>
    </w:p>
    <w:p w14:paraId="626A399B"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The Two World The</w:t>
      </w:r>
      <w:r w:rsidR="000A25AB" w:rsidRPr="00DE2EDF">
        <w:rPr>
          <w:rFonts w:eastAsia="Times New Roman" w:cs="Times New Roman"/>
          <w:iCs/>
          <w:lang w:val="en-GB"/>
        </w:rPr>
        <w:t>sis</w:t>
      </w:r>
      <w:r w:rsidRPr="00DE2EDF">
        <w:rPr>
          <w:rFonts w:eastAsia="Times New Roman" w:cs="Times New Roman"/>
          <w:iCs/>
          <w:lang w:val="en-GB"/>
        </w:rPr>
        <w:t xml:space="preserve"> engendered another short discussion in Germany in 1958, when Karl Josef Partsch accused Ernst Forsthoff, one of the leading German administrative lawyers at the time, of defending such an untenable thesis.</w:t>
      </w:r>
      <w:r w:rsidRPr="00DE2EDF">
        <w:rPr>
          <w:rStyle w:val="FootnoteReference"/>
          <w:rFonts w:eastAsia="Times New Roman" w:cs="Times New Roman"/>
          <w:iCs/>
          <w:lang w:val="en-GB"/>
        </w:rPr>
        <w:footnoteReference w:id="36"/>
      </w:r>
      <w:r w:rsidRPr="00DE2EDF">
        <w:rPr>
          <w:rFonts w:eastAsia="Times New Roman" w:cs="Times New Roman"/>
          <w:iCs/>
          <w:lang w:val="en-GB"/>
        </w:rPr>
        <w:t xml:space="preserve"> </w:t>
      </w:r>
      <w:r w:rsidRPr="00DE2EDF">
        <w:rPr>
          <w:rFonts w:cs="Times New Roman"/>
          <w:lang w:val="en-GB"/>
        </w:rPr>
        <w:t xml:space="preserve">Partsch’s harsh criticism was triggered by a statement made by Forsthoff in the preface of the first edition of his famous </w:t>
      </w:r>
      <w:r w:rsidRPr="00DE2EDF">
        <w:rPr>
          <w:rFonts w:cs="Times New Roman"/>
          <w:i/>
          <w:lang w:val="en-GB"/>
        </w:rPr>
        <w:t>Lehrbuch des Verwaltungsrechts</w:t>
      </w:r>
      <w:r w:rsidRPr="00DE2EDF">
        <w:rPr>
          <w:rFonts w:cs="Times New Roman"/>
          <w:lang w:val="en-GB"/>
        </w:rPr>
        <w:t xml:space="preserve"> in 1949, that ‘the overall design’ of his work, which was largely fixed before the outbreak of war and largely written before 1945, </w:t>
      </w:r>
      <w:r w:rsidRPr="00DE2EDF">
        <w:rPr>
          <w:rFonts w:cs="Times New Roman"/>
          <w:lang w:val="en-GB"/>
        </w:rPr>
        <w:lastRenderedPageBreak/>
        <w:t>‘needed no change in the light of [Germany’s] capitulation’.</w:t>
      </w:r>
      <w:r w:rsidRPr="00DE2EDF">
        <w:rPr>
          <w:rFonts w:eastAsia="Times New Roman" w:cs="Times New Roman"/>
          <w:iCs/>
          <w:lang w:val="en-GB"/>
        </w:rPr>
        <w:t xml:space="preserve"> The debate, however, quickly subsided.</w:t>
      </w:r>
      <w:bookmarkStart w:id="70" w:name="_ftnref30"/>
      <w:r w:rsidRPr="00DE2EDF">
        <w:rPr>
          <w:rFonts w:eastAsia="Times New Roman" w:cs="Times New Roman"/>
          <w:iCs/>
          <w:lang w:val="en-GB"/>
        </w:rPr>
        <w:t xml:space="preserve"> </w:t>
      </w:r>
      <w:bookmarkEnd w:id="70"/>
      <w:r w:rsidRPr="00DE2EDF">
        <w:rPr>
          <w:rFonts w:eastAsia="Times New Roman" w:cs="Times New Roman"/>
          <w:iCs/>
          <w:lang w:val="en-GB"/>
        </w:rPr>
        <w:t>Yet, the Two World The</w:t>
      </w:r>
      <w:r w:rsidR="000A25AB" w:rsidRPr="00DE2EDF">
        <w:rPr>
          <w:rFonts w:eastAsia="Times New Roman" w:cs="Times New Roman"/>
          <w:iCs/>
          <w:lang w:val="en-GB"/>
        </w:rPr>
        <w:t>sis</w:t>
      </w:r>
      <w:r w:rsidRPr="00DE2EDF">
        <w:rPr>
          <w:rFonts w:eastAsia="Times New Roman" w:cs="Times New Roman"/>
          <w:iCs/>
          <w:lang w:val="en-GB"/>
        </w:rPr>
        <w:t xml:space="preserve"> is still mentioned today in almost all German textbooks on administrative law; it plays the role of a negative model or, expressed in a more exaggerated way, of a bogeyman. Mayer’s dictum serves as an abstract antithesis, that has never been </w:t>
      </w:r>
      <w:r w:rsidR="000A25AB" w:rsidRPr="00DE2EDF">
        <w:rPr>
          <w:rFonts w:eastAsia="Times New Roman" w:cs="Times New Roman"/>
          <w:iCs/>
          <w:lang w:val="en-GB"/>
        </w:rPr>
        <w:t>implemented</w:t>
      </w:r>
      <w:r w:rsidR="00FA4951" w:rsidRPr="00DE2EDF">
        <w:rPr>
          <w:rFonts w:eastAsia="Times New Roman" w:cs="Times New Roman"/>
          <w:iCs/>
          <w:lang w:val="en-GB"/>
        </w:rPr>
        <w:t xml:space="preserve"> </w:t>
      </w:r>
      <w:r w:rsidRPr="00DE2EDF">
        <w:rPr>
          <w:rFonts w:eastAsia="Times New Roman" w:cs="Times New Roman"/>
          <w:iCs/>
          <w:lang w:val="en-GB"/>
        </w:rPr>
        <w:t>in positive law, and which is diametrically opposed to Fritz Werner’s theory of administrative law as ‘a concreti</w:t>
      </w:r>
      <w:r w:rsidR="00FA4951" w:rsidRPr="00DE2EDF">
        <w:rPr>
          <w:rFonts w:eastAsia="Times New Roman" w:cs="Times New Roman"/>
          <w:iCs/>
          <w:lang w:val="en-GB"/>
        </w:rPr>
        <w:t>z</w:t>
      </w:r>
      <w:r w:rsidRPr="00DE2EDF">
        <w:rPr>
          <w:rFonts w:eastAsia="Times New Roman" w:cs="Times New Roman"/>
          <w:iCs/>
          <w:lang w:val="en-GB"/>
        </w:rPr>
        <w:t>ation of constitutional law’.</w:t>
      </w:r>
      <w:bookmarkStart w:id="71" w:name="_Ref401125767"/>
      <w:bookmarkStart w:id="72" w:name="_ftnref31"/>
      <w:r w:rsidRPr="00DE2EDF">
        <w:rPr>
          <w:rStyle w:val="FootnoteReference"/>
          <w:rFonts w:eastAsia="Times New Roman" w:cs="Times New Roman"/>
          <w:iCs/>
          <w:lang w:val="en-GB"/>
        </w:rPr>
        <w:footnoteReference w:id="37"/>
      </w:r>
      <w:bookmarkEnd w:id="71"/>
      <w:r w:rsidRPr="00DE2EDF">
        <w:rPr>
          <w:rFonts w:eastAsia="Times New Roman" w:cs="Times New Roman"/>
          <w:iCs/>
          <w:lang w:val="en-GB"/>
        </w:rPr>
        <w:t xml:space="preserve"> </w:t>
      </w:r>
      <w:bookmarkEnd w:id="72"/>
      <w:r w:rsidRPr="00DE2EDF">
        <w:rPr>
          <w:rFonts w:eastAsia="Times New Roman" w:cs="Times New Roman"/>
          <w:iCs/>
          <w:lang w:val="en-GB"/>
        </w:rPr>
        <w:t xml:space="preserve">As the former represents no serious alternative, the latter (maximalist) thesis automatically comes to the fore despite its shortcomings. That there can be </w:t>
      </w:r>
      <w:r w:rsidRPr="00DE2EDF">
        <w:rPr>
          <w:rFonts w:eastAsia="Times New Roman" w:cs="Times New Roman"/>
          <w:i/>
          <w:lang w:val="en-GB"/>
        </w:rPr>
        <w:t>different levels</w:t>
      </w:r>
      <w:r w:rsidRPr="00DE2EDF">
        <w:rPr>
          <w:rFonts w:eastAsia="Times New Roman" w:cs="Times New Roman"/>
          <w:iCs/>
          <w:lang w:val="en-GB"/>
        </w:rPr>
        <w:t xml:space="preserve"> of constitutional dependency remains unsaid.</w:t>
      </w:r>
      <w:bookmarkStart w:id="73" w:name="_Ref401053882"/>
      <w:r w:rsidRPr="00DE2EDF">
        <w:rPr>
          <w:rStyle w:val="FootnoteReference"/>
          <w:rFonts w:eastAsia="Times New Roman" w:cs="Times New Roman"/>
          <w:iCs/>
          <w:lang w:val="en-GB"/>
        </w:rPr>
        <w:footnoteReference w:id="38"/>
      </w:r>
      <w:bookmarkEnd w:id="73"/>
    </w:p>
    <w:p w14:paraId="2030D43D" w14:textId="77777777" w:rsidR="00163D31" w:rsidRPr="00DE2EDF" w:rsidRDefault="00163D31" w:rsidP="00DE2EDF">
      <w:pPr>
        <w:spacing w:after="0"/>
        <w:jc w:val="both"/>
        <w:rPr>
          <w:rFonts w:eastAsia="Times New Roman" w:cs="Times New Roman"/>
          <w:iCs/>
          <w:lang w:val="en-GB"/>
        </w:rPr>
      </w:pPr>
    </w:p>
    <w:p w14:paraId="0C4AF557" w14:textId="77777777" w:rsidR="009E12D0" w:rsidRPr="00DE2EDF" w:rsidRDefault="00ED3DAA" w:rsidP="00DE2EDF">
      <w:pPr>
        <w:pStyle w:val="Heading3"/>
        <w:rPr>
          <w:rFonts w:cs="Times New Roman"/>
          <w:szCs w:val="24"/>
        </w:rPr>
      </w:pPr>
      <w:bookmarkStart w:id="74" w:name="_Toc253048927"/>
      <w:bookmarkStart w:id="75" w:name="_Toc252700474"/>
      <w:bookmarkStart w:id="76" w:name="_Toc245196657"/>
      <w:bookmarkStart w:id="77" w:name="_Toc460405620"/>
      <w:bookmarkEnd w:id="74"/>
      <w:bookmarkEnd w:id="75"/>
      <w:r w:rsidRPr="00DE2EDF">
        <w:rPr>
          <w:rFonts w:cs="Times New Roman"/>
          <w:szCs w:val="24"/>
        </w:rPr>
        <w:t xml:space="preserve">b) </w:t>
      </w:r>
      <w:r w:rsidR="009E12D0" w:rsidRPr="00DE2EDF">
        <w:rPr>
          <w:rFonts w:cs="Times New Roman"/>
          <w:szCs w:val="24"/>
        </w:rPr>
        <w:t xml:space="preserve">A </w:t>
      </w:r>
      <w:r w:rsidR="00EA2E67" w:rsidRPr="00DE2EDF">
        <w:rPr>
          <w:rFonts w:cs="Times New Roman"/>
          <w:szCs w:val="24"/>
        </w:rPr>
        <w:t>G</w:t>
      </w:r>
      <w:r w:rsidR="009E12D0" w:rsidRPr="00DE2EDF">
        <w:rPr>
          <w:rFonts w:cs="Times New Roman"/>
          <w:szCs w:val="24"/>
        </w:rPr>
        <w:t xml:space="preserve">rain of </w:t>
      </w:r>
      <w:r w:rsidR="00EA2E67" w:rsidRPr="00DE2EDF">
        <w:rPr>
          <w:rFonts w:cs="Times New Roman"/>
          <w:szCs w:val="24"/>
        </w:rPr>
        <w:t>Truth: T</w:t>
      </w:r>
      <w:r w:rsidR="009E12D0" w:rsidRPr="00DE2EDF">
        <w:rPr>
          <w:rFonts w:cs="Times New Roman"/>
          <w:szCs w:val="24"/>
        </w:rPr>
        <w:t xml:space="preserve">he </w:t>
      </w:r>
      <w:r w:rsidR="00EA2E67" w:rsidRPr="00DE2EDF">
        <w:rPr>
          <w:rFonts w:cs="Times New Roman"/>
          <w:szCs w:val="24"/>
        </w:rPr>
        <w:t>P</w:t>
      </w:r>
      <w:r w:rsidR="009E12D0" w:rsidRPr="00DE2EDF">
        <w:rPr>
          <w:rFonts w:cs="Times New Roman"/>
          <w:szCs w:val="24"/>
        </w:rPr>
        <w:t xml:space="preserve">roblem of </w:t>
      </w:r>
      <w:r w:rsidR="00EA2E67" w:rsidRPr="00DE2EDF">
        <w:rPr>
          <w:rFonts w:cs="Times New Roman"/>
          <w:szCs w:val="24"/>
        </w:rPr>
        <w:t>C</w:t>
      </w:r>
      <w:r w:rsidR="009E12D0" w:rsidRPr="00DE2EDF">
        <w:rPr>
          <w:rFonts w:cs="Times New Roman"/>
          <w:szCs w:val="24"/>
        </w:rPr>
        <w:t xml:space="preserve">onstitutional </w:t>
      </w:r>
      <w:r w:rsidR="00EA2E67" w:rsidRPr="00DE2EDF">
        <w:rPr>
          <w:rFonts w:cs="Times New Roman"/>
          <w:szCs w:val="24"/>
        </w:rPr>
        <w:t>D</w:t>
      </w:r>
      <w:r w:rsidR="009E12D0" w:rsidRPr="00DE2EDF">
        <w:rPr>
          <w:rFonts w:cs="Times New Roman"/>
          <w:szCs w:val="24"/>
        </w:rPr>
        <w:t>isruptions</w:t>
      </w:r>
      <w:bookmarkEnd w:id="76"/>
      <w:bookmarkEnd w:id="77"/>
    </w:p>
    <w:p w14:paraId="32B2C187" w14:textId="77777777" w:rsidR="00ED3DAA" w:rsidRPr="00DE2EDF" w:rsidRDefault="00ED3DAA" w:rsidP="00DE2EDF">
      <w:pPr>
        <w:spacing w:after="0"/>
        <w:rPr>
          <w:rFonts w:cs="Times New Roman"/>
          <w:lang w:val="en-GB"/>
        </w:rPr>
      </w:pPr>
    </w:p>
    <w:p w14:paraId="0EB7375B"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If one reduces, as often happens, the scope of Mayer’s dictum to the context of constitutional change, a grain of truth appears. Two aspects should be considered. </w:t>
      </w:r>
    </w:p>
    <w:p w14:paraId="25D35356" w14:textId="77777777" w:rsidR="000F4C26" w:rsidRPr="00DE2EDF" w:rsidRDefault="000F4C26" w:rsidP="00DE2EDF">
      <w:pPr>
        <w:spacing w:after="0"/>
        <w:jc w:val="both"/>
        <w:rPr>
          <w:rFonts w:eastAsia="Times New Roman" w:cs="Times New Roman"/>
          <w:iCs/>
          <w:lang w:val="en-GB"/>
        </w:rPr>
      </w:pPr>
    </w:p>
    <w:p w14:paraId="3730C357"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First, every change in constitutional law does not imply a change in the principles, categories of thought, or technical rules of existing administrative law. Some constitutional norms are simply irrelevant to</w:t>
      </w:r>
      <w:r w:rsidR="000A25AB" w:rsidRPr="00DE2EDF">
        <w:rPr>
          <w:rFonts w:eastAsia="Times New Roman" w:cs="Times New Roman"/>
          <w:iCs/>
          <w:lang w:val="en-GB"/>
        </w:rPr>
        <w:t xml:space="preserve"> </w:t>
      </w:r>
      <w:r w:rsidR="006648A6" w:rsidRPr="00DE2EDF">
        <w:rPr>
          <w:rFonts w:eastAsia="Times New Roman" w:cs="Times New Roman"/>
          <w:iCs/>
          <w:lang w:val="en-GB"/>
        </w:rPr>
        <w:t xml:space="preserve">how </w:t>
      </w:r>
      <w:r w:rsidRPr="00DE2EDF">
        <w:rPr>
          <w:rFonts w:eastAsia="Times New Roman" w:cs="Times New Roman"/>
          <w:iCs/>
          <w:lang w:val="en-GB"/>
        </w:rPr>
        <w:t xml:space="preserve">administrative </w:t>
      </w:r>
      <w:r w:rsidR="00A8618A" w:rsidRPr="00DE2EDF">
        <w:rPr>
          <w:rFonts w:eastAsia="Times New Roman" w:cs="Times New Roman"/>
          <w:iCs/>
          <w:lang w:val="en-GB"/>
        </w:rPr>
        <w:t>bodies</w:t>
      </w:r>
      <w:r w:rsidR="00CC7BDB">
        <w:rPr>
          <w:rFonts w:eastAsia="Times New Roman" w:cs="Times New Roman"/>
          <w:iCs/>
          <w:lang w:val="en-GB"/>
        </w:rPr>
        <w:t xml:space="preserve"> are organiz</w:t>
      </w:r>
      <w:r w:rsidR="006648A6" w:rsidRPr="00DE2EDF">
        <w:rPr>
          <w:rFonts w:eastAsia="Times New Roman" w:cs="Times New Roman"/>
          <w:iCs/>
          <w:lang w:val="en-GB"/>
        </w:rPr>
        <w:t>ed and function</w:t>
      </w:r>
      <w:r w:rsidRPr="00DE2EDF">
        <w:rPr>
          <w:rFonts w:eastAsia="Times New Roman" w:cs="Times New Roman"/>
          <w:iCs/>
          <w:lang w:val="en-GB"/>
        </w:rPr>
        <w:t xml:space="preserve">. A certain </w:t>
      </w:r>
      <w:r w:rsidR="00101A2D" w:rsidRPr="00DE2EDF">
        <w:rPr>
          <w:rFonts w:eastAsia="Times New Roman" w:cs="Times New Roman"/>
          <w:iCs/>
          <w:lang w:val="en-GB"/>
        </w:rPr>
        <w:t xml:space="preserve">independence </w:t>
      </w:r>
      <w:r w:rsidRPr="00DE2EDF">
        <w:rPr>
          <w:rFonts w:eastAsia="Times New Roman" w:cs="Times New Roman"/>
          <w:iCs/>
          <w:lang w:val="en-GB"/>
        </w:rPr>
        <w:t>or insensitivity of administrative law is given</w:t>
      </w:r>
      <w:bookmarkStart w:id="78" w:name="_Ref243902402"/>
      <w:bookmarkEnd w:id="78"/>
      <w:r w:rsidRPr="00DE2EDF">
        <w:rPr>
          <w:rFonts w:eastAsia="Times New Roman" w:cs="Times New Roman"/>
          <w:iCs/>
          <w:lang w:val="en-GB"/>
        </w:rPr>
        <w:t>.</w:t>
      </w:r>
      <w:bookmarkStart w:id="79" w:name="_Ref401056135"/>
      <w:r w:rsidRPr="00DE2EDF">
        <w:rPr>
          <w:rStyle w:val="FootnoteReference"/>
          <w:rFonts w:eastAsia="Times New Roman" w:cs="Times New Roman"/>
          <w:iCs/>
          <w:lang w:val="en-GB"/>
        </w:rPr>
        <w:footnoteReference w:id="39"/>
      </w:r>
      <w:bookmarkEnd w:id="79"/>
      <w:r w:rsidRPr="00DE2EDF">
        <w:rPr>
          <w:rFonts w:eastAsia="Times New Roman" w:cs="Times New Roman"/>
          <w:iCs/>
          <w:lang w:val="en-GB"/>
        </w:rPr>
        <w:t xml:space="preserve"> Assessing the latter is, however, not an easy exercise. </w:t>
      </w:r>
      <w:r w:rsidR="00980A6A" w:rsidRPr="00DE2EDF">
        <w:rPr>
          <w:rFonts w:eastAsia="Times New Roman" w:cs="Times New Roman"/>
          <w:iCs/>
          <w:lang w:val="en-GB"/>
        </w:rPr>
        <w:t>The</w:t>
      </w:r>
      <w:r w:rsidRPr="00DE2EDF">
        <w:rPr>
          <w:rFonts w:eastAsia="Times New Roman" w:cs="Times New Roman"/>
          <w:iCs/>
          <w:lang w:val="en-GB"/>
        </w:rPr>
        <w:t xml:space="preserve"> </w:t>
      </w:r>
      <w:r w:rsidR="00101A2D" w:rsidRPr="00DE2EDF">
        <w:rPr>
          <w:rFonts w:eastAsia="Times New Roman" w:cs="Times New Roman"/>
          <w:iCs/>
          <w:lang w:val="en-GB"/>
        </w:rPr>
        <w:t xml:space="preserve">risk </w:t>
      </w:r>
      <w:r w:rsidRPr="00DE2EDF">
        <w:rPr>
          <w:rFonts w:eastAsia="Times New Roman" w:cs="Times New Roman"/>
          <w:iCs/>
          <w:lang w:val="en-GB"/>
        </w:rPr>
        <w:t>is to overestimate administrative law’s insensitivity by underestimating the scope of constitutional continuity</w:t>
      </w:r>
      <w:r w:rsidR="00101A2D" w:rsidRPr="00DE2EDF">
        <w:rPr>
          <w:rFonts w:eastAsia="Times New Roman" w:cs="Times New Roman"/>
          <w:iCs/>
          <w:lang w:val="en-GB"/>
        </w:rPr>
        <w:t xml:space="preserve"> when </w:t>
      </w:r>
      <w:r w:rsidRPr="00DE2EDF">
        <w:rPr>
          <w:rFonts w:eastAsia="Times New Roman" w:cs="Times New Roman"/>
          <w:iCs/>
          <w:lang w:val="en-GB"/>
        </w:rPr>
        <w:t>a country has been given a new Constitution</w:t>
      </w:r>
      <w:r w:rsidR="000B0EAE" w:rsidRPr="00DE2EDF">
        <w:rPr>
          <w:rFonts w:eastAsia="Times New Roman" w:cs="Times New Roman"/>
          <w:iCs/>
          <w:lang w:val="en-GB"/>
        </w:rPr>
        <w:t xml:space="preserve"> (</w:t>
      </w:r>
      <w:r w:rsidRPr="00DE2EDF">
        <w:rPr>
          <w:rFonts w:eastAsia="Times New Roman" w:cs="Times New Roman"/>
          <w:iCs/>
          <w:lang w:val="en-GB"/>
        </w:rPr>
        <w:t>i.e.</w:t>
      </w:r>
      <w:r w:rsidR="000B0EAE" w:rsidRPr="00DE2EDF">
        <w:rPr>
          <w:rFonts w:eastAsia="Times New Roman" w:cs="Times New Roman"/>
          <w:iCs/>
          <w:lang w:val="en-GB"/>
        </w:rPr>
        <w:t>,</w:t>
      </w:r>
      <w:r w:rsidRPr="00DE2EDF">
        <w:rPr>
          <w:rFonts w:eastAsia="Times New Roman" w:cs="Times New Roman"/>
          <w:iCs/>
          <w:lang w:val="en-GB"/>
        </w:rPr>
        <w:t xml:space="preserve"> a new constitutional text</w:t>
      </w:r>
      <w:r w:rsidR="000B0EAE" w:rsidRPr="00DE2EDF">
        <w:rPr>
          <w:rFonts w:eastAsia="Times New Roman" w:cs="Times New Roman"/>
          <w:iCs/>
          <w:lang w:val="en-GB"/>
        </w:rPr>
        <w:t>)</w:t>
      </w:r>
      <w:r w:rsidRPr="00DE2EDF">
        <w:rPr>
          <w:rFonts w:eastAsia="Times New Roman" w:cs="Times New Roman"/>
          <w:iCs/>
          <w:lang w:val="en-GB"/>
        </w:rPr>
        <w:t xml:space="preserve">. </w:t>
      </w:r>
      <w:r w:rsidR="00101A2D" w:rsidRPr="00DE2EDF">
        <w:rPr>
          <w:rFonts w:eastAsia="Times New Roman" w:cs="Times New Roman"/>
          <w:iCs/>
          <w:lang w:val="en-GB"/>
        </w:rPr>
        <w:t>T</w:t>
      </w:r>
      <w:r w:rsidRPr="00DE2EDF">
        <w:rPr>
          <w:rFonts w:eastAsia="Times New Roman" w:cs="Times New Roman"/>
          <w:iCs/>
          <w:lang w:val="en-GB"/>
        </w:rPr>
        <w:t xml:space="preserve">he content of the latter (the constitutional norms) may be the same, even if the receptacle (the text) is not. Some fundamental principles may be identical, even if the political regime has been replaced (e.g., the replacement of a monarchy by a republic or a presidential system by a parliamentarian system or vice-versa). Even between a dictatorship and a democracy, a certain constitutional continuity may exist, as, for example, the acceptance by </w:t>
      </w:r>
      <w:r w:rsidR="00101A2D" w:rsidRPr="00DE2EDF">
        <w:rPr>
          <w:rFonts w:eastAsia="Times New Roman" w:cs="Times New Roman"/>
          <w:iCs/>
          <w:lang w:val="en-GB"/>
        </w:rPr>
        <w:t>the</w:t>
      </w:r>
      <w:r w:rsidRPr="00DE2EDF">
        <w:rPr>
          <w:rFonts w:eastAsia="Times New Roman" w:cs="Times New Roman"/>
          <w:iCs/>
          <w:lang w:val="en-GB"/>
        </w:rPr>
        <w:t xml:space="preserve"> dictatorship of a minimum, formal standard for the rule of law. However, if the most fundamental constitutional principles are overturned, as </w:t>
      </w:r>
      <w:r w:rsidRPr="00DE2EDF">
        <w:rPr>
          <w:rFonts w:eastAsia="Times New Roman" w:cs="Times New Roman"/>
          <w:iCs/>
          <w:lang w:val="en-GB"/>
        </w:rPr>
        <w:lastRenderedPageBreak/>
        <w:t>happened in the case of the Nazi regime or the communist dictatorships in Central and Eastern Europe, the limits of administrative law’s independence appear very clearly.</w:t>
      </w:r>
      <w:bookmarkStart w:id="80" w:name="_Ref243916371"/>
      <w:bookmarkStart w:id="81" w:name="_Ref401126679"/>
      <w:bookmarkEnd w:id="80"/>
      <w:r w:rsidRPr="00DE2EDF">
        <w:rPr>
          <w:rStyle w:val="FootnoteReference"/>
          <w:rFonts w:eastAsia="Times New Roman" w:cs="Times New Roman"/>
          <w:iCs/>
          <w:lang w:val="en-GB"/>
        </w:rPr>
        <w:footnoteReference w:id="40"/>
      </w:r>
      <w:bookmarkEnd w:id="81"/>
    </w:p>
    <w:p w14:paraId="64C2A3D0" w14:textId="77777777" w:rsidR="000F4C26" w:rsidRPr="00DE2EDF" w:rsidRDefault="000F4C26" w:rsidP="00DE2EDF">
      <w:pPr>
        <w:spacing w:after="0"/>
        <w:jc w:val="both"/>
        <w:rPr>
          <w:rFonts w:eastAsia="Times New Roman" w:cs="Times New Roman"/>
          <w:iCs/>
          <w:lang w:val="en-GB"/>
        </w:rPr>
      </w:pPr>
    </w:p>
    <w:p w14:paraId="1A136025" w14:textId="77777777" w:rsidR="009E12D0" w:rsidRPr="00DE2EDF" w:rsidRDefault="009E12D0" w:rsidP="00DE2EDF">
      <w:pPr>
        <w:spacing w:after="0"/>
        <w:jc w:val="both"/>
        <w:rPr>
          <w:rFonts w:eastAsia="Times New Roman" w:cs="Times New Roman"/>
          <w:iCs/>
          <w:lang w:val="en-GB"/>
        </w:rPr>
      </w:pPr>
      <w:r w:rsidRPr="00DE2EDF">
        <w:rPr>
          <w:rFonts w:eastAsia="Times New Roman" w:cs="Times New Roman"/>
          <w:iCs/>
          <w:lang w:val="en-GB"/>
        </w:rPr>
        <w:t xml:space="preserve">Second, while a Constitution can be modified </w:t>
      </w:r>
      <w:r w:rsidR="00A07430" w:rsidRPr="00DE2EDF">
        <w:rPr>
          <w:rFonts w:eastAsia="Times New Roman" w:cs="Times New Roman"/>
          <w:iCs/>
          <w:lang w:val="en-GB"/>
        </w:rPr>
        <w:t xml:space="preserve">quite quickly </w:t>
      </w:r>
      <w:r w:rsidRPr="00DE2EDF">
        <w:rPr>
          <w:rFonts w:eastAsia="Times New Roman" w:cs="Times New Roman"/>
          <w:iCs/>
          <w:lang w:val="en-GB"/>
        </w:rPr>
        <w:t>(one only needs to rewrite the text), implementing the new constitutional principles through the thicket of administrative law</w:t>
      </w:r>
      <w:r w:rsidR="00845BAF" w:rsidRPr="00DE2EDF">
        <w:rPr>
          <w:rFonts w:eastAsia="Times New Roman" w:cs="Times New Roman"/>
          <w:iCs/>
          <w:lang w:val="en-GB"/>
        </w:rPr>
        <w:t xml:space="preserve"> statutes, regulations</w:t>
      </w:r>
      <w:r w:rsidR="00A8618A" w:rsidRPr="00DE2EDF">
        <w:rPr>
          <w:rFonts w:eastAsia="Times New Roman" w:cs="Times New Roman"/>
          <w:iCs/>
          <w:lang w:val="en-GB"/>
        </w:rPr>
        <w:t>,</w:t>
      </w:r>
      <w:r w:rsidR="00845BAF" w:rsidRPr="00DE2EDF">
        <w:rPr>
          <w:rFonts w:eastAsia="Times New Roman" w:cs="Times New Roman"/>
          <w:iCs/>
          <w:lang w:val="en-GB"/>
        </w:rPr>
        <w:t xml:space="preserve"> and case law</w:t>
      </w:r>
      <w:r w:rsidRPr="00DE2EDF">
        <w:rPr>
          <w:rFonts w:eastAsia="Times New Roman" w:cs="Times New Roman"/>
          <w:iCs/>
          <w:lang w:val="en-GB"/>
        </w:rPr>
        <w:t xml:space="preserve"> </w:t>
      </w:r>
      <w:r w:rsidR="00A07430" w:rsidRPr="00DE2EDF">
        <w:rPr>
          <w:rFonts w:eastAsia="Times New Roman" w:cs="Times New Roman"/>
          <w:iCs/>
          <w:lang w:val="en-GB"/>
        </w:rPr>
        <w:t>takes more time.</w:t>
      </w:r>
      <w:r w:rsidRPr="00DE2EDF">
        <w:rPr>
          <w:rFonts w:eastAsia="Times New Roman" w:cs="Times New Roman"/>
          <w:iCs/>
          <w:lang w:val="en-GB"/>
        </w:rPr>
        <w:t xml:space="preserve"> Mayer’s statement can be understood as pointing to this specific problem: the resilience of </w:t>
      </w:r>
      <w:r w:rsidR="00845BAF" w:rsidRPr="00DE2EDF">
        <w:rPr>
          <w:rFonts w:eastAsia="Times New Roman" w:cs="Times New Roman"/>
          <w:iCs/>
          <w:lang w:val="en-GB"/>
        </w:rPr>
        <w:t>‘</w:t>
      </w:r>
      <w:r w:rsidRPr="00DE2EDF">
        <w:rPr>
          <w:rFonts w:eastAsia="Times New Roman" w:cs="Times New Roman"/>
          <w:iCs/>
          <w:lang w:val="en-GB"/>
        </w:rPr>
        <w:t>administrative law</w:t>
      </w:r>
      <w:r w:rsidR="00845BAF" w:rsidRPr="00DE2EDF">
        <w:rPr>
          <w:rFonts w:eastAsia="Times New Roman" w:cs="Times New Roman"/>
          <w:iCs/>
          <w:lang w:val="en-GB"/>
        </w:rPr>
        <w:t>’</w:t>
      </w:r>
      <w:r w:rsidR="00A8618A" w:rsidRPr="00DE2EDF">
        <w:rPr>
          <w:rFonts w:eastAsia="Times New Roman" w:cs="Times New Roman"/>
          <w:iCs/>
          <w:lang w:val="en-GB"/>
        </w:rPr>
        <w:t xml:space="preserve"> (</w:t>
      </w:r>
      <w:r w:rsidRPr="00DE2EDF">
        <w:rPr>
          <w:rFonts w:eastAsia="Times New Roman" w:cs="Times New Roman"/>
          <w:iCs/>
          <w:lang w:val="en-GB"/>
        </w:rPr>
        <w:t>i.e.</w:t>
      </w:r>
      <w:r w:rsidR="00A8618A" w:rsidRPr="00DE2EDF">
        <w:rPr>
          <w:rFonts w:eastAsia="Times New Roman" w:cs="Times New Roman"/>
          <w:iCs/>
          <w:lang w:val="en-GB"/>
        </w:rPr>
        <w:t>,</w:t>
      </w:r>
      <w:r w:rsidRPr="00DE2EDF">
        <w:rPr>
          <w:rFonts w:eastAsia="Times New Roman" w:cs="Times New Roman"/>
          <w:iCs/>
          <w:lang w:val="en-GB"/>
        </w:rPr>
        <w:t xml:space="preserve"> the subconstitutional norms of administrative law</w:t>
      </w:r>
      <w:r w:rsidR="00A8618A" w:rsidRPr="00DE2EDF">
        <w:rPr>
          <w:rFonts w:eastAsia="Times New Roman" w:cs="Times New Roman"/>
          <w:iCs/>
          <w:lang w:val="en-GB"/>
        </w:rPr>
        <w:t>)</w:t>
      </w:r>
      <w:r w:rsidRPr="00DE2EDF">
        <w:rPr>
          <w:rFonts w:eastAsia="Times New Roman" w:cs="Times New Roman"/>
          <w:iCs/>
          <w:lang w:val="en-GB"/>
        </w:rPr>
        <w:t>. This take on the problem was somewhat sensitive in Germany</w:t>
      </w:r>
      <w:r w:rsidR="00A07430" w:rsidRPr="00DE2EDF">
        <w:rPr>
          <w:rFonts w:eastAsia="Times New Roman" w:cs="Times New Roman"/>
          <w:iCs/>
          <w:lang w:val="en-GB"/>
        </w:rPr>
        <w:t>: a</w:t>
      </w:r>
      <w:r w:rsidRPr="00DE2EDF">
        <w:rPr>
          <w:rFonts w:eastAsia="Times New Roman" w:cs="Times New Roman"/>
          <w:iCs/>
          <w:lang w:val="en-GB"/>
        </w:rPr>
        <w:t xml:space="preserve">fter 1949, </w:t>
      </w:r>
      <w:r w:rsidR="00A07430" w:rsidRPr="00DE2EDF">
        <w:rPr>
          <w:rFonts w:eastAsia="Times New Roman" w:cs="Times New Roman"/>
          <w:iCs/>
          <w:lang w:val="en-GB"/>
        </w:rPr>
        <w:t xml:space="preserve">in the eyes of </w:t>
      </w:r>
      <w:r w:rsidRPr="00DE2EDF">
        <w:rPr>
          <w:rFonts w:eastAsia="Times New Roman" w:cs="Times New Roman"/>
          <w:iCs/>
          <w:lang w:val="en-GB"/>
        </w:rPr>
        <w:t xml:space="preserve">critical administrative lawyers, the implementation of the new liberal and democratic principles enshrined in the </w:t>
      </w:r>
      <w:r w:rsidRPr="00DE2EDF">
        <w:rPr>
          <w:rFonts w:eastAsia="Times New Roman" w:cs="Times New Roman"/>
          <w:i/>
          <w:iCs/>
          <w:lang w:val="en-GB"/>
        </w:rPr>
        <w:t>Grundgesetz</w:t>
      </w:r>
      <w:r w:rsidRPr="00DE2EDF">
        <w:rPr>
          <w:rFonts w:eastAsia="Times New Roman" w:cs="Times New Roman"/>
          <w:iCs/>
          <w:lang w:val="en-GB"/>
        </w:rPr>
        <w:t xml:space="preserve"> was far too </w:t>
      </w:r>
      <w:r w:rsidR="00A07430" w:rsidRPr="00DE2EDF">
        <w:rPr>
          <w:rFonts w:eastAsia="Times New Roman" w:cs="Times New Roman"/>
          <w:iCs/>
          <w:lang w:val="en-GB"/>
        </w:rPr>
        <w:t xml:space="preserve">timid and </w:t>
      </w:r>
      <w:r w:rsidRPr="00DE2EDF">
        <w:rPr>
          <w:rFonts w:eastAsia="Times New Roman" w:cs="Times New Roman"/>
          <w:iCs/>
          <w:lang w:val="en-GB"/>
        </w:rPr>
        <w:t xml:space="preserve">slow. Administrative law was still stuck with </w:t>
      </w:r>
      <w:bookmarkStart w:id="82" w:name="_ftnref35"/>
      <w:r w:rsidRPr="00DE2EDF">
        <w:rPr>
          <w:rFonts w:eastAsia="Times New Roman" w:cs="Times New Roman"/>
          <w:iCs/>
          <w:lang w:val="en-GB"/>
        </w:rPr>
        <w:t xml:space="preserve">authoritarian </w:t>
      </w:r>
      <w:bookmarkEnd w:id="82"/>
      <w:r w:rsidRPr="00DE2EDF">
        <w:rPr>
          <w:rFonts w:eastAsia="Times New Roman" w:cs="Times New Roman"/>
          <w:iCs/>
          <w:lang w:val="en-GB"/>
        </w:rPr>
        <w:t xml:space="preserve">or even Nazi ideas. </w:t>
      </w:r>
      <w:r w:rsidRPr="00DE2EDF">
        <w:rPr>
          <w:rFonts w:cs="Times New Roman"/>
          <w:lang w:val="en-GB"/>
        </w:rPr>
        <w:t xml:space="preserve">Thus, at the beginning of the Federal Republic, the validity of the traditional </w:t>
      </w:r>
      <w:r w:rsidR="00A07430" w:rsidRPr="00DE2EDF">
        <w:rPr>
          <w:rFonts w:cs="Times New Roman"/>
          <w:lang w:val="en-GB"/>
        </w:rPr>
        <w:t>theory</w:t>
      </w:r>
      <w:r w:rsidR="00EA3DDF" w:rsidRPr="00DE2EDF">
        <w:rPr>
          <w:rFonts w:cs="Times New Roman"/>
          <w:lang w:val="en-GB"/>
        </w:rPr>
        <w:t xml:space="preserve"> of the </w:t>
      </w:r>
      <w:r w:rsidRPr="00DE2EDF">
        <w:rPr>
          <w:rFonts w:cs="Times New Roman"/>
          <w:i/>
          <w:lang w:val="en-GB"/>
        </w:rPr>
        <w:t>besondere Gewaltverhältnisse</w:t>
      </w:r>
      <w:r w:rsidRPr="00DE2EDF">
        <w:rPr>
          <w:rFonts w:cs="Times New Roman"/>
          <w:lang w:val="en-GB"/>
        </w:rPr>
        <w:t xml:space="preserve"> (special power relations), which went back to</w:t>
      </w:r>
      <w:r w:rsidR="00845BAF" w:rsidRPr="00DE2EDF">
        <w:rPr>
          <w:rFonts w:cs="Times New Roman"/>
          <w:lang w:val="en-GB"/>
        </w:rPr>
        <w:t xml:space="preserve"> the rules and </w:t>
      </w:r>
      <w:r w:rsidR="006648A6" w:rsidRPr="00DE2EDF">
        <w:rPr>
          <w:rFonts w:cs="Times New Roman"/>
          <w:lang w:val="en-GB"/>
        </w:rPr>
        <w:t>doctrinal</w:t>
      </w:r>
      <w:r w:rsidR="00845BAF" w:rsidRPr="00DE2EDF">
        <w:rPr>
          <w:rFonts w:cs="Times New Roman"/>
          <w:lang w:val="en-GB"/>
        </w:rPr>
        <w:t xml:space="preserve"> constructions of</w:t>
      </w:r>
      <w:r w:rsidRPr="00DE2EDF">
        <w:rPr>
          <w:rFonts w:cs="Times New Roman"/>
          <w:lang w:val="en-GB"/>
        </w:rPr>
        <w:t xml:space="preserve"> </w:t>
      </w:r>
      <w:r w:rsidR="00CC7BDB">
        <w:rPr>
          <w:rFonts w:cs="Times New Roman"/>
          <w:lang w:val="en-GB"/>
        </w:rPr>
        <w:t>nineteenth</w:t>
      </w:r>
      <w:r w:rsidR="006648A6" w:rsidRPr="00DE2EDF">
        <w:rPr>
          <w:rFonts w:cs="Times New Roman"/>
          <w:lang w:val="en-GB"/>
        </w:rPr>
        <w:t xml:space="preserve"> </w:t>
      </w:r>
      <w:r w:rsidRPr="00DE2EDF">
        <w:rPr>
          <w:rFonts w:cs="Times New Roman"/>
          <w:lang w:val="en-GB"/>
        </w:rPr>
        <w:t>century administrative law, was hardly questioned by administrative scholars or courts. It was only in 1972 that this</w:t>
      </w:r>
      <w:r w:rsidR="00A07430" w:rsidRPr="00DE2EDF">
        <w:rPr>
          <w:rFonts w:cs="Times New Roman"/>
          <w:lang w:val="en-GB"/>
        </w:rPr>
        <w:t xml:space="preserve"> interpretation of the Constitution </w:t>
      </w:r>
      <w:r w:rsidRPr="00DE2EDF">
        <w:rPr>
          <w:rFonts w:cs="Times New Roman"/>
          <w:lang w:val="en-GB"/>
        </w:rPr>
        <w:t>exclud</w:t>
      </w:r>
      <w:r w:rsidR="00101A2D" w:rsidRPr="00DE2EDF">
        <w:rPr>
          <w:rFonts w:cs="Times New Roman"/>
          <w:lang w:val="en-GB"/>
        </w:rPr>
        <w:t>ing</w:t>
      </w:r>
      <w:r w:rsidRPr="00DE2EDF">
        <w:rPr>
          <w:rFonts w:cs="Times New Roman"/>
          <w:lang w:val="en-GB"/>
        </w:rPr>
        <w:t xml:space="preserve"> civil servants, prisoners, and pupils from</w:t>
      </w:r>
      <w:r w:rsidR="00A07430" w:rsidRPr="00DE2EDF">
        <w:rPr>
          <w:rFonts w:cs="Times New Roman"/>
          <w:lang w:val="en-GB"/>
        </w:rPr>
        <w:t xml:space="preserve"> the benefit of</w:t>
      </w:r>
      <w:r w:rsidRPr="00DE2EDF">
        <w:rPr>
          <w:rFonts w:cs="Times New Roman"/>
          <w:lang w:val="en-GB"/>
        </w:rPr>
        <w:t xml:space="preserve"> fundamental rights, was declared unconstitutional by the Federal Constitutional Court.</w:t>
      </w:r>
      <w:r w:rsidRPr="00DE2EDF">
        <w:rPr>
          <w:rStyle w:val="FootnoteReference"/>
          <w:rFonts w:eastAsia="Times New Roman" w:cs="Times New Roman"/>
          <w:iCs/>
          <w:lang w:val="en-GB"/>
        </w:rPr>
        <w:footnoteReference w:id="41"/>
      </w:r>
      <w:r w:rsidRPr="00DE2EDF">
        <w:rPr>
          <w:rFonts w:cs="Times New Roman"/>
          <w:lang w:val="en-GB"/>
        </w:rPr>
        <w:t xml:space="preserve"> </w:t>
      </w:r>
      <w:r w:rsidRPr="00DE2EDF">
        <w:rPr>
          <w:rFonts w:eastAsia="Times New Roman" w:cs="Times New Roman"/>
          <w:iCs/>
          <w:lang w:val="en-GB"/>
        </w:rPr>
        <w:t>Mayer’s formula, in this context, could be used in a p</w:t>
      </w:r>
      <w:r w:rsidR="00A07430" w:rsidRPr="00DE2EDF">
        <w:rPr>
          <w:rFonts w:eastAsia="Times New Roman" w:cs="Times New Roman"/>
          <w:iCs/>
          <w:lang w:val="en-GB"/>
        </w:rPr>
        <w:t xml:space="preserve">olemic </w:t>
      </w:r>
      <w:r w:rsidRPr="00DE2EDF">
        <w:rPr>
          <w:rFonts w:eastAsia="Times New Roman" w:cs="Times New Roman"/>
          <w:iCs/>
          <w:lang w:val="en-GB"/>
        </w:rPr>
        <w:t xml:space="preserve">way </w:t>
      </w:r>
      <w:r w:rsidR="00A07430" w:rsidRPr="00DE2EDF">
        <w:rPr>
          <w:rFonts w:eastAsia="Times New Roman" w:cs="Times New Roman"/>
          <w:iCs/>
          <w:lang w:val="en-GB"/>
        </w:rPr>
        <w:t xml:space="preserve">in order </w:t>
      </w:r>
      <w:r w:rsidRPr="00DE2EDF">
        <w:rPr>
          <w:rFonts w:eastAsia="Times New Roman" w:cs="Times New Roman"/>
          <w:iCs/>
          <w:lang w:val="en-GB"/>
        </w:rPr>
        <w:t>to denounce the empirically given, but legally un</w:t>
      </w:r>
      <w:r w:rsidR="00A07430" w:rsidRPr="00DE2EDF">
        <w:rPr>
          <w:rFonts w:eastAsia="Times New Roman" w:cs="Times New Roman"/>
          <w:iCs/>
          <w:lang w:val="en-GB"/>
        </w:rPr>
        <w:t xml:space="preserve">acceptable </w:t>
      </w:r>
      <w:r w:rsidRPr="00DE2EDF">
        <w:rPr>
          <w:rFonts w:eastAsia="Times New Roman" w:cs="Times New Roman"/>
          <w:iCs/>
          <w:lang w:val="en-GB"/>
        </w:rPr>
        <w:t xml:space="preserve">insulation of </w:t>
      </w:r>
      <w:r w:rsidR="00845BAF" w:rsidRPr="00DE2EDF">
        <w:rPr>
          <w:rFonts w:eastAsia="Times New Roman" w:cs="Times New Roman"/>
          <w:iCs/>
          <w:lang w:val="en-GB"/>
        </w:rPr>
        <w:t xml:space="preserve">the subconstitutional norms of </w:t>
      </w:r>
      <w:r w:rsidRPr="00DE2EDF">
        <w:rPr>
          <w:rFonts w:eastAsia="Times New Roman" w:cs="Times New Roman"/>
          <w:iCs/>
          <w:lang w:val="en-GB"/>
        </w:rPr>
        <w:t xml:space="preserve">administrative law. Mayer’s dictum </w:t>
      </w:r>
      <w:r w:rsidR="00A07430" w:rsidRPr="00DE2EDF">
        <w:rPr>
          <w:rFonts w:eastAsia="Times New Roman" w:cs="Times New Roman"/>
          <w:iCs/>
          <w:lang w:val="en-GB"/>
        </w:rPr>
        <w:t xml:space="preserve">may serve </w:t>
      </w:r>
      <w:r w:rsidRPr="00DE2EDF">
        <w:rPr>
          <w:rFonts w:eastAsia="Times New Roman" w:cs="Times New Roman"/>
          <w:iCs/>
          <w:lang w:val="en-GB"/>
        </w:rPr>
        <w:t>as a bogeyman or ‘red cape’.</w:t>
      </w:r>
      <w:bookmarkStart w:id="83" w:name="_ftnref36"/>
      <w:r w:rsidRPr="00DE2EDF">
        <w:rPr>
          <w:rStyle w:val="FootnoteReference"/>
          <w:rFonts w:eastAsia="Times New Roman" w:cs="Times New Roman"/>
          <w:iCs/>
          <w:lang w:val="en-GB"/>
        </w:rPr>
        <w:footnoteReference w:id="42"/>
      </w:r>
      <w:hyperlink r:id="rId9" w:tgtFrame="_top" w:history="1">
        <w:r w:rsidRPr="00DE2EDF">
          <w:rPr>
            <w:rFonts w:eastAsia="Times New Roman" w:cs="Times New Roman"/>
            <w:iCs/>
            <w:color w:val="0000FF"/>
            <w:u w:val="single"/>
            <w:vertAlign w:val="superscript"/>
            <w:lang w:val="en-GB"/>
          </w:rPr>
          <w:t xml:space="preserve"> </w:t>
        </w:r>
      </w:hyperlink>
      <w:bookmarkEnd w:id="83"/>
    </w:p>
    <w:p w14:paraId="745C2F66" w14:textId="77777777" w:rsidR="009E6479" w:rsidRPr="00DE2EDF" w:rsidRDefault="009E6479" w:rsidP="00DE2EDF">
      <w:pPr>
        <w:spacing w:after="0"/>
        <w:jc w:val="both"/>
        <w:rPr>
          <w:rFonts w:cs="Times New Roman"/>
          <w:lang w:val="en-GB"/>
        </w:rPr>
      </w:pPr>
    </w:p>
    <w:p w14:paraId="0F935298" w14:textId="77777777" w:rsidR="000F756A" w:rsidRPr="00DE2EDF" w:rsidRDefault="002D66C1" w:rsidP="00DE2EDF">
      <w:pPr>
        <w:pStyle w:val="Heading2"/>
        <w:spacing w:before="0" w:after="0" w:line="276" w:lineRule="auto"/>
        <w:ind w:left="0" w:firstLine="0"/>
        <w:rPr>
          <w:rFonts w:eastAsia="Times New Roman" w:cs="Times New Roman"/>
          <w:szCs w:val="24"/>
          <w:lang w:val="en-GB"/>
        </w:rPr>
      </w:pPr>
      <w:bookmarkStart w:id="84" w:name="_Toc245196658"/>
      <w:bookmarkStart w:id="85" w:name="_Toc460405621"/>
      <w:r w:rsidRPr="00DE2EDF">
        <w:rPr>
          <w:rFonts w:eastAsia="Times New Roman" w:cs="Times New Roman"/>
          <w:szCs w:val="24"/>
          <w:lang w:val="en-GB"/>
        </w:rPr>
        <w:t xml:space="preserve">3. </w:t>
      </w:r>
      <w:r w:rsidR="000F756A" w:rsidRPr="00DE2EDF">
        <w:rPr>
          <w:rFonts w:eastAsia="Times New Roman" w:cs="Times New Roman"/>
          <w:szCs w:val="24"/>
          <w:lang w:val="en-GB"/>
        </w:rPr>
        <w:t xml:space="preserve">The French </w:t>
      </w:r>
      <w:r w:rsidR="00EA3DDF" w:rsidRPr="00DE2EDF">
        <w:rPr>
          <w:rFonts w:eastAsia="Times New Roman" w:cs="Times New Roman"/>
          <w:szCs w:val="24"/>
          <w:lang w:val="en-GB"/>
        </w:rPr>
        <w:t xml:space="preserve">Case: </w:t>
      </w:r>
      <w:r w:rsidR="00EA2E67" w:rsidRPr="00DE2EDF">
        <w:rPr>
          <w:rFonts w:eastAsia="Times New Roman" w:cs="Times New Roman"/>
          <w:szCs w:val="24"/>
          <w:lang w:val="en-GB"/>
        </w:rPr>
        <w:t>T</w:t>
      </w:r>
      <w:r w:rsidR="00EA3DDF" w:rsidRPr="00DE2EDF">
        <w:rPr>
          <w:rFonts w:eastAsia="Times New Roman" w:cs="Times New Roman"/>
          <w:szCs w:val="24"/>
          <w:lang w:val="en-GB"/>
        </w:rPr>
        <w:t>he Logical I</w:t>
      </w:r>
      <w:r w:rsidR="000F756A" w:rsidRPr="00DE2EDF">
        <w:rPr>
          <w:rFonts w:eastAsia="Times New Roman" w:cs="Times New Roman"/>
          <w:szCs w:val="24"/>
          <w:lang w:val="en-GB"/>
        </w:rPr>
        <w:t xml:space="preserve">mpossibility of </w:t>
      </w:r>
      <w:bookmarkEnd w:id="84"/>
      <w:r w:rsidR="000F756A" w:rsidRPr="00DE2EDF">
        <w:rPr>
          <w:rFonts w:eastAsia="Times New Roman" w:cs="Times New Roman"/>
          <w:szCs w:val="24"/>
          <w:lang w:val="en-GB"/>
        </w:rPr>
        <w:t>the Two World The</w:t>
      </w:r>
      <w:r w:rsidR="005C4670" w:rsidRPr="00DE2EDF">
        <w:rPr>
          <w:rFonts w:eastAsia="Times New Roman" w:cs="Times New Roman"/>
          <w:szCs w:val="24"/>
          <w:lang w:val="en-GB"/>
        </w:rPr>
        <w:t>sis</w:t>
      </w:r>
      <w:bookmarkEnd w:id="85"/>
    </w:p>
    <w:p w14:paraId="21D4527C" w14:textId="77777777" w:rsidR="00ED3DAA" w:rsidRPr="00DE2EDF" w:rsidRDefault="00ED3DAA" w:rsidP="00DE2EDF">
      <w:pPr>
        <w:spacing w:after="0"/>
        <w:rPr>
          <w:rFonts w:cs="Times New Roman"/>
          <w:lang w:val="en-GB"/>
        </w:rPr>
      </w:pPr>
    </w:p>
    <w:p w14:paraId="696D1A8A" w14:textId="77777777" w:rsidR="000F756A" w:rsidRPr="00DE2EDF" w:rsidRDefault="00A333AE" w:rsidP="00DE2EDF">
      <w:pPr>
        <w:pStyle w:val="Heading3"/>
        <w:rPr>
          <w:rFonts w:cs="Times New Roman"/>
          <w:szCs w:val="24"/>
        </w:rPr>
      </w:pPr>
      <w:bookmarkStart w:id="86" w:name="_Toc253048929"/>
      <w:bookmarkStart w:id="87" w:name="_Toc252700476"/>
      <w:bookmarkStart w:id="88" w:name="_Toc245196659"/>
      <w:bookmarkStart w:id="89" w:name="_Toc460405622"/>
      <w:bookmarkEnd w:id="86"/>
      <w:bookmarkEnd w:id="87"/>
      <w:r w:rsidRPr="00DE2EDF">
        <w:rPr>
          <w:rFonts w:cs="Times New Roman"/>
          <w:szCs w:val="24"/>
        </w:rPr>
        <w:t xml:space="preserve">a) </w:t>
      </w:r>
      <w:r w:rsidR="00EA2E67" w:rsidRPr="00DE2EDF">
        <w:rPr>
          <w:rFonts w:cs="Times New Roman"/>
          <w:szCs w:val="24"/>
        </w:rPr>
        <w:t>France: T</w:t>
      </w:r>
      <w:r w:rsidR="00EA3DDF" w:rsidRPr="00DE2EDF">
        <w:rPr>
          <w:rFonts w:cs="Times New Roman"/>
          <w:szCs w:val="24"/>
        </w:rPr>
        <w:t>he H</w:t>
      </w:r>
      <w:r w:rsidR="000F756A" w:rsidRPr="00DE2EDF">
        <w:rPr>
          <w:rFonts w:cs="Times New Roman"/>
          <w:szCs w:val="24"/>
        </w:rPr>
        <w:t>ome of the Two World The</w:t>
      </w:r>
      <w:r w:rsidR="005C4670" w:rsidRPr="00DE2EDF">
        <w:rPr>
          <w:rFonts w:cs="Times New Roman"/>
          <w:szCs w:val="24"/>
        </w:rPr>
        <w:t>sis</w:t>
      </w:r>
      <w:r w:rsidR="000F756A" w:rsidRPr="00DE2EDF">
        <w:rPr>
          <w:rFonts w:cs="Times New Roman"/>
          <w:szCs w:val="24"/>
        </w:rPr>
        <w:t>?</w:t>
      </w:r>
      <w:bookmarkEnd w:id="88"/>
      <w:bookmarkEnd w:id="89"/>
    </w:p>
    <w:p w14:paraId="19A00284" w14:textId="77777777" w:rsidR="00ED3DAA" w:rsidRPr="00DE2EDF" w:rsidRDefault="00ED3DAA" w:rsidP="00DE2EDF">
      <w:pPr>
        <w:spacing w:after="0"/>
        <w:rPr>
          <w:rFonts w:cs="Times New Roman"/>
          <w:lang w:val="en-GB"/>
        </w:rPr>
      </w:pPr>
    </w:p>
    <w:p w14:paraId="2A8D4863" w14:textId="77777777" w:rsidR="000F756A" w:rsidRPr="00DE2EDF" w:rsidRDefault="000F756A" w:rsidP="00DE2EDF">
      <w:pPr>
        <w:spacing w:after="0"/>
        <w:jc w:val="both"/>
        <w:rPr>
          <w:rFonts w:cs="Times New Roman"/>
          <w:lang w:val="en-GB"/>
        </w:rPr>
      </w:pPr>
      <w:r w:rsidRPr="00DE2EDF">
        <w:rPr>
          <w:rFonts w:cs="Times New Roman"/>
          <w:lang w:val="en-GB"/>
        </w:rPr>
        <w:t>If the Two World The</w:t>
      </w:r>
      <w:r w:rsidR="005C4670" w:rsidRPr="00DE2EDF">
        <w:rPr>
          <w:rFonts w:cs="Times New Roman"/>
          <w:lang w:val="en-GB"/>
        </w:rPr>
        <w:t>sis</w:t>
      </w:r>
      <w:r w:rsidRPr="00DE2EDF">
        <w:rPr>
          <w:rFonts w:cs="Times New Roman"/>
          <w:lang w:val="en-GB"/>
        </w:rPr>
        <w:t xml:space="preserve"> could have chosen a home country, it would most likely have been France.</w:t>
      </w:r>
      <w:bookmarkStart w:id="90" w:name="_ftnref37"/>
      <w:r w:rsidRPr="00DE2EDF">
        <w:rPr>
          <w:rStyle w:val="FootnoteReference"/>
          <w:rFonts w:cs="Times New Roman"/>
          <w:iCs/>
          <w:lang w:val="en-GB"/>
        </w:rPr>
        <w:footnoteReference w:id="43"/>
      </w:r>
      <w:r w:rsidRPr="00DE2EDF">
        <w:rPr>
          <w:rFonts w:cs="Times New Roman"/>
          <w:lang w:val="en-GB"/>
        </w:rPr>
        <w:t xml:space="preserve"> </w:t>
      </w:r>
      <w:bookmarkEnd w:id="90"/>
      <w:r w:rsidRPr="00DE2EDF">
        <w:rPr>
          <w:rFonts w:cs="Times New Roman"/>
          <w:lang w:val="en-GB"/>
        </w:rPr>
        <w:t xml:space="preserve">Indeed, in the past, many aspects of French law </w:t>
      </w:r>
      <w:r w:rsidR="00CC7BDB">
        <w:rPr>
          <w:rFonts w:cs="Times New Roman"/>
          <w:lang w:val="en-GB"/>
        </w:rPr>
        <w:t>paved the way for the crystalliz</w:t>
      </w:r>
      <w:r w:rsidRPr="00DE2EDF">
        <w:rPr>
          <w:rFonts w:cs="Times New Roman"/>
          <w:lang w:val="en-GB"/>
        </w:rPr>
        <w:t>ation of the Two World The</w:t>
      </w:r>
      <w:r w:rsidR="005C4670" w:rsidRPr="00DE2EDF">
        <w:rPr>
          <w:rFonts w:cs="Times New Roman"/>
          <w:lang w:val="en-GB"/>
        </w:rPr>
        <w:t>sis</w:t>
      </w:r>
      <w:r w:rsidRPr="00DE2EDF">
        <w:rPr>
          <w:rFonts w:cs="Times New Roman"/>
          <w:lang w:val="en-GB"/>
        </w:rPr>
        <w:t xml:space="preserve">, which found its apologists, at the end of </w:t>
      </w:r>
      <w:r w:rsidR="00A21CE8">
        <w:rPr>
          <w:rFonts w:cs="Times New Roman"/>
          <w:lang w:val="en-GB"/>
        </w:rPr>
        <w:t xml:space="preserve">the </w:t>
      </w:r>
      <w:r w:rsidR="00CC7BDB">
        <w:rPr>
          <w:rFonts w:cs="Times New Roman"/>
          <w:lang w:val="en-GB"/>
        </w:rPr>
        <w:lastRenderedPageBreak/>
        <w:t>twentieth</w:t>
      </w:r>
      <w:r w:rsidR="00E560E8" w:rsidRPr="00DE2EDF">
        <w:rPr>
          <w:rFonts w:cs="Times New Roman"/>
          <w:lang w:val="en-GB"/>
        </w:rPr>
        <w:t xml:space="preserve"> </w:t>
      </w:r>
      <w:r w:rsidRPr="00DE2EDF">
        <w:rPr>
          <w:rFonts w:cs="Times New Roman"/>
          <w:lang w:val="en-GB"/>
        </w:rPr>
        <w:t>century, in René Chapus and, paradoxically, although to a far lesser extent, in Georges Vedel. The favourable factors were: (</w:t>
      </w:r>
      <w:r w:rsidR="00E560E8" w:rsidRPr="00DE2EDF">
        <w:rPr>
          <w:rFonts w:cs="Times New Roman"/>
          <w:lang w:val="en-GB"/>
        </w:rPr>
        <w:t>a</w:t>
      </w:r>
      <w:r w:rsidRPr="00DE2EDF">
        <w:rPr>
          <w:rFonts w:cs="Times New Roman"/>
          <w:lang w:val="en-GB"/>
        </w:rPr>
        <w:t xml:space="preserve">) the high authority and self-confidence of the </w:t>
      </w:r>
      <w:r w:rsidRPr="00DE2EDF">
        <w:rPr>
          <w:rFonts w:cs="Times New Roman"/>
          <w:i/>
          <w:lang w:val="en-GB"/>
        </w:rPr>
        <w:t>Conseil d’Etat</w:t>
      </w:r>
      <w:r w:rsidRPr="00DE2EDF">
        <w:rPr>
          <w:rFonts w:cs="Times New Roman"/>
          <w:lang w:val="en-GB"/>
        </w:rPr>
        <w:t xml:space="preserve"> (Council of State), which, similar to English courts, created the major rules of administrative law and, more generally, occupied a central position inside the French State;</w:t>
      </w:r>
      <w:bookmarkStart w:id="91" w:name="_ftnref38"/>
      <w:r w:rsidRPr="00DE2EDF">
        <w:rPr>
          <w:rStyle w:val="FootnoteReference"/>
          <w:rFonts w:cs="Times New Roman"/>
          <w:iCs/>
          <w:lang w:val="en-GB"/>
        </w:rPr>
        <w:footnoteReference w:id="44"/>
      </w:r>
      <w:r w:rsidRPr="00DE2EDF">
        <w:rPr>
          <w:rFonts w:cs="Times New Roman"/>
          <w:lang w:val="en-GB"/>
        </w:rPr>
        <w:t xml:space="preserve"> </w:t>
      </w:r>
      <w:bookmarkEnd w:id="91"/>
      <w:r w:rsidRPr="00DE2EDF">
        <w:rPr>
          <w:rFonts w:cs="Times New Roman"/>
          <w:lang w:val="en-GB"/>
        </w:rPr>
        <w:t>(</w:t>
      </w:r>
      <w:r w:rsidR="00E560E8" w:rsidRPr="00DE2EDF">
        <w:rPr>
          <w:rFonts w:cs="Times New Roman"/>
          <w:lang w:val="en-GB"/>
        </w:rPr>
        <w:t>b</w:t>
      </w:r>
      <w:r w:rsidRPr="00DE2EDF">
        <w:rPr>
          <w:rFonts w:cs="Times New Roman"/>
          <w:lang w:val="en-GB"/>
        </w:rPr>
        <w:t>) a particularly broad and sophisticated administrative law that shaped to a large extent the image of the French State and French public law; (</w:t>
      </w:r>
      <w:r w:rsidR="00E560E8" w:rsidRPr="00DE2EDF">
        <w:rPr>
          <w:rFonts w:cs="Times New Roman"/>
          <w:lang w:val="en-GB"/>
        </w:rPr>
        <w:t>c</w:t>
      </w:r>
      <w:r w:rsidRPr="00DE2EDF">
        <w:rPr>
          <w:rFonts w:cs="Times New Roman"/>
          <w:lang w:val="en-GB"/>
        </w:rPr>
        <w:t xml:space="preserve">) the relative weakness and instability of French Constitutions in the troubled context of </w:t>
      </w:r>
      <w:r w:rsidR="00A21CE8">
        <w:rPr>
          <w:rFonts w:cs="Times New Roman"/>
          <w:lang w:val="en-GB"/>
        </w:rPr>
        <w:t xml:space="preserve">the </w:t>
      </w:r>
      <w:r w:rsidR="00BE0296" w:rsidRPr="00DE2EDF">
        <w:rPr>
          <w:rFonts w:cs="Times New Roman"/>
          <w:lang w:val="en-GB"/>
        </w:rPr>
        <w:t>ninet</w:t>
      </w:r>
      <w:r w:rsidR="00E31885">
        <w:rPr>
          <w:rFonts w:cs="Times New Roman"/>
          <w:lang w:val="en-GB"/>
        </w:rPr>
        <w:t>eenth</w:t>
      </w:r>
      <w:r w:rsidR="00E560E8" w:rsidRPr="00DE2EDF">
        <w:rPr>
          <w:rFonts w:cs="Times New Roman"/>
          <w:lang w:val="en-GB"/>
        </w:rPr>
        <w:t xml:space="preserve"> </w:t>
      </w:r>
      <w:r w:rsidRPr="00DE2EDF">
        <w:rPr>
          <w:rFonts w:cs="Times New Roman"/>
          <w:lang w:val="en-GB"/>
        </w:rPr>
        <w:t>century</w:t>
      </w:r>
      <w:r w:rsidR="007B566F" w:rsidRPr="00DE2EDF">
        <w:rPr>
          <w:rFonts w:cs="Times New Roman"/>
          <w:lang w:val="en-GB"/>
        </w:rPr>
        <w:t xml:space="preserve">, </w:t>
      </w:r>
      <w:r w:rsidRPr="00DE2EDF">
        <w:rPr>
          <w:rFonts w:cs="Times New Roman"/>
          <w:lang w:val="en-GB"/>
        </w:rPr>
        <w:t xml:space="preserve">its skeleton-like existence under the more stable period of the Third Republic (during which, in the absence of a declaration of human rights, the guarantee of civil liberties fell to the legislators and the </w:t>
      </w:r>
      <w:r w:rsidRPr="00DE2EDF">
        <w:rPr>
          <w:rFonts w:cs="Times New Roman"/>
          <w:i/>
          <w:lang w:val="en-GB"/>
        </w:rPr>
        <w:t>Conseil d’</w:t>
      </w:r>
      <w:r w:rsidR="00901A6C" w:rsidRPr="00DE2EDF">
        <w:rPr>
          <w:rFonts w:cs="Times New Roman"/>
          <w:i/>
          <w:lang w:val="en-GB"/>
        </w:rPr>
        <w:t>E</w:t>
      </w:r>
      <w:r w:rsidRPr="00DE2EDF">
        <w:rPr>
          <w:rFonts w:cs="Times New Roman"/>
          <w:i/>
          <w:lang w:val="en-GB"/>
        </w:rPr>
        <w:t>tat</w:t>
      </w:r>
      <w:r w:rsidRPr="00DE2EDF">
        <w:rPr>
          <w:rFonts w:cs="Times New Roman"/>
          <w:lang w:val="en-GB"/>
        </w:rPr>
        <w:t xml:space="preserve">) and the feeble legal </w:t>
      </w:r>
      <w:r w:rsidR="008560E8" w:rsidRPr="00DE2EDF">
        <w:rPr>
          <w:rFonts w:cs="Times New Roman"/>
          <w:lang w:val="en-GB"/>
        </w:rPr>
        <w:t>normativity</w:t>
      </w:r>
      <w:r w:rsidRPr="00DE2EDF">
        <w:rPr>
          <w:rFonts w:cs="Times New Roman"/>
          <w:lang w:val="en-GB"/>
        </w:rPr>
        <w:t xml:space="preserve"> of the Constitution until 1958/1971; (</w:t>
      </w:r>
      <w:r w:rsidR="00E560E8" w:rsidRPr="00DE2EDF">
        <w:rPr>
          <w:rFonts w:cs="Times New Roman"/>
          <w:lang w:val="en-GB"/>
        </w:rPr>
        <w:t>d</w:t>
      </w:r>
      <w:r w:rsidRPr="00DE2EDF">
        <w:rPr>
          <w:rFonts w:cs="Times New Roman"/>
          <w:lang w:val="en-GB"/>
        </w:rPr>
        <w:t xml:space="preserve">) the marginal position, in the past, of the then-newly created </w:t>
      </w:r>
      <w:r w:rsidR="007E31C3" w:rsidRPr="00DE2EDF">
        <w:rPr>
          <w:rFonts w:cs="Times New Roman"/>
          <w:i/>
          <w:lang w:val="en-GB"/>
        </w:rPr>
        <w:t>Conseil constitutionnel</w:t>
      </w:r>
      <w:r w:rsidR="007E31C3" w:rsidRPr="00DE2EDF">
        <w:rPr>
          <w:rFonts w:cs="Times New Roman"/>
          <w:lang w:val="en-GB"/>
        </w:rPr>
        <w:t xml:space="preserve"> </w:t>
      </w:r>
      <w:r w:rsidR="007E31C3">
        <w:rPr>
          <w:rFonts w:cs="Times New Roman"/>
          <w:lang w:val="en-GB"/>
        </w:rPr>
        <w:t>(</w:t>
      </w:r>
      <w:r w:rsidRPr="00DE2EDF">
        <w:rPr>
          <w:rFonts w:cs="Times New Roman"/>
          <w:lang w:val="en-GB"/>
        </w:rPr>
        <w:t>Constitutional Council</w:t>
      </w:r>
      <w:r w:rsidR="00DA211C" w:rsidRPr="00DE2EDF">
        <w:rPr>
          <w:rFonts w:cs="Times New Roman"/>
          <w:lang w:val="en-GB"/>
        </w:rPr>
        <w:t>)</w:t>
      </w:r>
      <w:r w:rsidRPr="00DE2EDF">
        <w:rPr>
          <w:rFonts w:cs="Times New Roman"/>
          <w:lang w:val="en-GB"/>
        </w:rPr>
        <w:t xml:space="preserve">, whose legitimacy remained controversial for a long time, in comparison to the authority of elected politicians and the prestige of the older, long-established </w:t>
      </w:r>
      <w:r w:rsidRPr="00DE2EDF">
        <w:rPr>
          <w:rFonts w:cs="Times New Roman"/>
          <w:i/>
          <w:lang w:val="en-GB"/>
        </w:rPr>
        <w:t>Conseil d’Etat</w:t>
      </w:r>
      <w:r w:rsidRPr="00DE2EDF">
        <w:rPr>
          <w:rFonts w:cs="Times New Roman"/>
          <w:lang w:val="en-GB"/>
        </w:rPr>
        <w:t xml:space="preserve">; </w:t>
      </w:r>
      <w:r w:rsidR="007E31C3">
        <w:rPr>
          <w:rFonts w:cs="Times New Roman"/>
          <w:lang w:val="en-GB"/>
        </w:rPr>
        <w:t xml:space="preserve">and </w:t>
      </w:r>
      <w:r w:rsidRPr="00DE2EDF">
        <w:rPr>
          <w:rFonts w:cs="Times New Roman"/>
          <w:lang w:val="en-GB"/>
        </w:rPr>
        <w:t>(</w:t>
      </w:r>
      <w:r w:rsidR="00E560E8" w:rsidRPr="00DE2EDF">
        <w:rPr>
          <w:rFonts w:cs="Times New Roman"/>
          <w:lang w:val="en-GB"/>
        </w:rPr>
        <w:t>e</w:t>
      </w:r>
      <w:r w:rsidRPr="00DE2EDF">
        <w:rPr>
          <w:rFonts w:cs="Times New Roman"/>
          <w:lang w:val="en-GB"/>
        </w:rPr>
        <w:t xml:space="preserve">) the academic primacy of administrative law scholarship, which, in </w:t>
      </w:r>
      <w:r w:rsidR="00DA211C" w:rsidRPr="00DE2EDF">
        <w:rPr>
          <w:rFonts w:cs="Times New Roman"/>
          <w:lang w:val="en-GB"/>
        </w:rPr>
        <w:t xml:space="preserve">the </w:t>
      </w:r>
      <w:r w:rsidR="00CC7BDB">
        <w:rPr>
          <w:rFonts w:cs="Times New Roman"/>
          <w:lang w:val="en-GB"/>
        </w:rPr>
        <w:t>nineteenth</w:t>
      </w:r>
      <w:r w:rsidR="00DA211C" w:rsidRPr="00DE2EDF">
        <w:rPr>
          <w:rFonts w:cs="Times New Roman"/>
          <w:lang w:val="en-GB"/>
        </w:rPr>
        <w:t xml:space="preserve"> </w:t>
      </w:r>
      <w:r w:rsidRPr="00DE2EDF">
        <w:rPr>
          <w:rFonts w:cs="Times New Roman"/>
          <w:lang w:val="en-GB"/>
        </w:rPr>
        <w:t>century, dominated the field of public law</w:t>
      </w:r>
      <w:r w:rsidR="00BE0296" w:rsidRPr="00DE2EDF">
        <w:rPr>
          <w:rFonts w:cs="Times New Roman"/>
        </w:rPr>
        <w:t>—</w:t>
      </w:r>
      <w:r w:rsidRPr="00DE2EDF">
        <w:rPr>
          <w:rFonts w:cs="Times New Roman"/>
          <w:lang w:val="en-GB"/>
        </w:rPr>
        <w:t>there was virtually no constitutional law training at French universities at that time</w:t>
      </w:r>
      <w:r w:rsidR="00BE0296" w:rsidRPr="00DE2EDF">
        <w:rPr>
          <w:rFonts w:cs="Times New Roman"/>
        </w:rPr>
        <w:t>—</w:t>
      </w:r>
      <w:r w:rsidRPr="00DE2EDF">
        <w:rPr>
          <w:rFonts w:cs="Times New Roman"/>
          <w:lang w:val="en-GB"/>
        </w:rPr>
        <w:t xml:space="preserve">and which, in </w:t>
      </w:r>
      <w:r w:rsidR="00A21CE8">
        <w:rPr>
          <w:rFonts w:cs="Times New Roman"/>
          <w:lang w:val="en-GB"/>
        </w:rPr>
        <w:t xml:space="preserve">the </w:t>
      </w:r>
      <w:r w:rsidR="00BE0296" w:rsidRPr="00DE2EDF">
        <w:rPr>
          <w:rFonts w:cs="Times New Roman"/>
          <w:lang w:val="en-GB"/>
        </w:rPr>
        <w:t>twentieth</w:t>
      </w:r>
      <w:r w:rsidR="008560E8" w:rsidRPr="00DE2EDF">
        <w:rPr>
          <w:rFonts w:cs="Times New Roman"/>
          <w:lang w:val="en-GB"/>
        </w:rPr>
        <w:t xml:space="preserve"> </w:t>
      </w:r>
      <w:r w:rsidRPr="00DE2EDF">
        <w:rPr>
          <w:rFonts w:cs="Times New Roman"/>
          <w:lang w:val="en-GB"/>
        </w:rPr>
        <w:t xml:space="preserve">century, still represented the </w:t>
      </w:r>
      <w:r w:rsidR="00901A6C" w:rsidRPr="00DE2EDF">
        <w:rPr>
          <w:rFonts w:cs="Times New Roman"/>
          <w:lang w:val="en-GB"/>
        </w:rPr>
        <w:t>splendour</w:t>
      </w:r>
      <w:r w:rsidRPr="00DE2EDF">
        <w:rPr>
          <w:rFonts w:cs="Times New Roman"/>
          <w:lang w:val="en-GB"/>
        </w:rPr>
        <w:t xml:space="preserve"> and heart of that discipline for a long time.</w:t>
      </w:r>
      <w:bookmarkStart w:id="92" w:name="_ftnref39"/>
      <w:r w:rsidRPr="00DE2EDF">
        <w:rPr>
          <w:rStyle w:val="FootnoteReference"/>
          <w:rFonts w:cs="Times New Roman"/>
          <w:iCs/>
          <w:lang w:val="en-GB"/>
        </w:rPr>
        <w:footnoteReference w:id="45"/>
      </w:r>
      <w:bookmarkEnd w:id="92"/>
    </w:p>
    <w:p w14:paraId="091ECDEB" w14:textId="77777777" w:rsidR="000F4C26" w:rsidRPr="00DE2EDF" w:rsidRDefault="000F4C26" w:rsidP="00DE2EDF">
      <w:pPr>
        <w:spacing w:after="0"/>
        <w:jc w:val="both"/>
        <w:rPr>
          <w:rFonts w:cs="Times New Roman"/>
          <w:lang w:val="en-GB"/>
        </w:rPr>
      </w:pPr>
    </w:p>
    <w:p w14:paraId="7DCE5C93" w14:textId="77777777" w:rsidR="000F756A" w:rsidRPr="00DE2EDF" w:rsidRDefault="000F756A" w:rsidP="00DE2EDF">
      <w:pPr>
        <w:spacing w:after="0"/>
        <w:jc w:val="both"/>
        <w:rPr>
          <w:rFonts w:cs="Times New Roman"/>
          <w:lang w:val="en-GB"/>
        </w:rPr>
      </w:pPr>
      <w:r w:rsidRPr="00DE2EDF">
        <w:rPr>
          <w:rFonts w:cs="Times New Roman"/>
          <w:lang w:val="en-GB"/>
        </w:rPr>
        <w:lastRenderedPageBreak/>
        <w:t>Thus, a large number of elements seem to suggest the decoupling of administrative law, administrative courts, and administrative law scholarship from constitutional law. Yet, even in France, the Two World The</w:t>
      </w:r>
      <w:r w:rsidR="004875DB" w:rsidRPr="00DE2EDF">
        <w:rPr>
          <w:rFonts w:cs="Times New Roman"/>
          <w:lang w:val="en-GB"/>
        </w:rPr>
        <w:t>sis</w:t>
      </w:r>
      <w:r w:rsidRPr="00DE2EDF">
        <w:rPr>
          <w:rFonts w:cs="Times New Roman"/>
          <w:lang w:val="en-GB"/>
        </w:rPr>
        <w:t xml:space="preserve"> turns out to be </w:t>
      </w:r>
      <w:r w:rsidR="004875DB" w:rsidRPr="00DE2EDF">
        <w:rPr>
          <w:rFonts w:cs="Times New Roman"/>
          <w:lang w:val="en-GB"/>
        </w:rPr>
        <w:t>erroneous</w:t>
      </w:r>
      <w:r w:rsidR="00830F52" w:rsidRPr="00DE2EDF">
        <w:rPr>
          <w:rFonts w:cs="Times New Roman"/>
          <w:lang w:val="en-GB"/>
        </w:rPr>
        <w:t xml:space="preserve">. </w:t>
      </w:r>
      <w:r w:rsidRPr="00DE2EDF">
        <w:rPr>
          <w:rFonts w:cs="Times New Roman"/>
          <w:lang w:val="en-GB"/>
        </w:rPr>
        <w:t>Even under the French Third Republic</w:t>
      </w:r>
      <w:r w:rsidR="004875DB" w:rsidRPr="00DE2EDF">
        <w:rPr>
          <w:rFonts w:cs="Times New Roman"/>
          <w:lang w:val="en-GB"/>
        </w:rPr>
        <w:t xml:space="preserve"> (1870</w:t>
      </w:r>
      <w:r w:rsidR="00DA211C" w:rsidRPr="00DE2EDF">
        <w:rPr>
          <w:rFonts w:cs="Times New Roman"/>
          <w:lang w:val="en-GB"/>
        </w:rPr>
        <w:t>–</w:t>
      </w:r>
      <w:r w:rsidR="004875DB" w:rsidRPr="00DE2EDF">
        <w:rPr>
          <w:rFonts w:cs="Times New Roman"/>
          <w:lang w:val="en-GB"/>
        </w:rPr>
        <w:t>1940)</w:t>
      </w:r>
      <w:r w:rsidRPr="00DE2EDF">
        <w:rPr>
          <w:rFonts w:cs="Times New Roman"/>
          <w:lang w:val="en-GB"/>
        </w:rPr>
        <w:t xml:space="preserve">, which </w:t>
      </w:r>
      <w:r w:rsidR="00B46B61" w:rsidRPr="00DE2EDF">
        <w:rPr>
          <w:rFonts w:cs="Times New Roman"/>
          <w:lang w:val="en-GB"/>
        </w:rPr>
        <w:t xml:space="preserve">came </w:t>
      </w:r>
      <w:r w:rsidRPr="00DE2EDF">
        <w:rPr>
          <w:rFonts w:cs="Times New Roman"/>
          <w:lang w:val="en-GB"/>
        </w:rPr>
        <w:t>the closest to such a decoupling, it never actually existed in positive law. Th</w:t>
      </w:r>
      <w:r w:rsidR="00B46B61" w:rsidRPr="00DE2EDF">
        <w:rPr>
          <w:rFonts w:cs="Times New Roman"/>
          <w:lang w:val="en-GB"/>
        </w:rPr>
        <w:t>e</w:t>
      </w:r>
      <w:r w:rsidRPr="00DE2EDF">
        <w:rPr>
          <w:rFonts w:cs="Times New Roman"/>
          <w:lang w:val="en-GB"/>
        </w:rPr>
        <w:t xml:space="preserve"> </w:t>
      </w:r>
      <w:r w:rsidR="00830F52" w:rsidRPr="00DE2EDF">
        <w:rPr>
          <w:rFonts w:cs="Times New Roman"/>
          <w:lang w:val="en-GB"/>
        </w:rPr>
        <w:t>the</w:t>
      </w:r>
      <w:r w:rsidR="004875DB" w:rsidRPr="00DE2EDF">
        <w:rPr>
          <w:rFonts w:cs="Times New Roman"/>
          <w:lang w:val="en-GB"/>
        </w:rPr>
        <w:t>sis</w:t>
      </w:r>
      <w:r w:rsidRPr="00DE2EDF">
        <w:rPr>
          <w:rFonts w:cs="Times New Roman"/>
          <w:lang w:val="en-GB"/>
        </w:rPr>
        <w:t xml:space="preserve"> was false and it could only </w:t>
      </w:r>
      <w:r w:rsidR="00B46B61" w:rsidRPr="00DE2EDF">
        <w:rPr>
          <w:rFonts w:cs="Times New Roman"/>
          <w:lang w:val="en-GB"/>
        </w:rPr>
        <w:t>have been</w:t>
      </w:r>
      <w:r w:rsidRPr="00DE2EDF">
        <w:rPr>
          <w:rFonts w:cs="Times New Roman"/>
          <w:lang w:val="en-GB"/>
        </w:rPr>
        <w:t xml:space="preserve"> false as it cannot exist in positive law. </w:t>
      </w:r>
      <w:r w:rsidR="00851357" w:rsidRPr="00DE2EDF">
        <w:rPr>
          <w:rFonts w:cs="Times New Roman"/>
          <w:lang w:val="en-GB"/>
        </w:rPr>
        <w:t>Yet</w:t>
      </w:r>
      <w:r w:rsidR="00B46B61" w:rsidRPr="00DE2EDF">
        <w:rPr>
          <w:rFonts w:cs="Times New Roman"/>
          <w:lang w:val="en-GB"/>
        </w:rPr>
        <w:t>,</w:t>
      </w:r>
      <w:r w:rsidR="00851357" w:rsidRPr="00DE2EDF">
        <w:rPr>
          <w:rFonts w:cs="Times New Roman"/>
          <w:lang w:val="en-GB"/>
        </w:rPr>
        <w:t xml:space="preserve"> </w:t>
      </w:r>
      <w:r w:rsidRPr="00DE2EDF">
        <w:rPr>
          <w:rFonts w:cs="Times New Roman"/>
          <w:lang w:val="en-GB"/>
        </w:rPr>
        <w:t xml:space="preserve">France’s particular situation </w:t>
      </w:r>
      <w:r w:rsidR="00851357" w:rsidRPr="00DE2EDF">
        <w:rPr>
          <w:rFonts w:cs="Times New Roman"/>
          <w:lang w:val="en-GB"/>
        </w:rPr>
        <w:t xml:space="preserve">also shows that the link between constitutional and administrative law </w:t>
      </w:r>
      <w:r w:rsidR="00B46B61" w:rsidRPr="00DE2EDF">
        <w:rPr>
          <w:rFonts w:cs="Times New Roman"/>
          <w:lang w:val="en-GB"/>
        </w:rPr>
        <w:t>can take different forms</w:t>
      </w:r>
      <w:r w:rsidR="00851357" w:rsidRPr="00DE2EDF">
        <w:rPr>
          <w:rFonts w:cs="Times New Roman"/>
          <w:lang w:val="en-GB"/>
        </w:rPr>
        <w:t>, with regard to</w:t>
      </w:r>
      <w:r w:rsidRPr="00DE2EDF">
        <w:rPr>
          <w:rFonts w:cs="Times New Roman"/>
          <w:lang w:val="en-GB"/>
        </w:rPr>
        <w:t xml:space="preserve"> two interesting</w:t>
      </w:r>
      <w:r w:rsidR="00851357" w:rsidRPr="00DE2EDF">
        <w:rPr>
          <w:rFonts w:cs="Times New Roman"/>
          <w:lang w:val="en-GB"/>
        </w:rPr>
        <w:t xml:space="preserve"> </w:t>
      </w:r>
      <w:r w:rsidRPr="00DE2EDF">
        <w:rPr>
          <w:rFonts w:cs="Times New Roman"/>
          <w:lang w:val="en-GB"/>
        </w:rPr>
        <w:t>phenomena</w:t>
      </w:r>
      <w:r w:rsidR="00F2108E" w:rsidRPr="00DE2EDF">
        <w:rPr>
          <w:rFonts w:cs="Times New Roman"/>
          <w:lang w:val="en-GB"/>
        </w:rPr>
        <w:t>.</w:t>
      </w:r>
      <w:r w:rsidRPr="00DE2EDF">
        <w:rPr>
          <w:rFonts w:cs="Times New Roman"/>
          <w:lang w:val="en-GB"/>
        </w:rPr>
        <w:t xml:space="preserve"> (</w:t>
      </w:r>
      <w:r w:rsidR="00F2108E" w:rsidRPr="00DE2EDF">
        <w:rPr>
          <w:rFonts w:cs="Times New Roman"/>
          <w:lang w:val="en-GB"/>
        </w:rPr>
        <w:t>a</w:t>
      </w:r>
      <w:r w:rsidRPr="00DE2EDF">
        <w:rPr>
          <w:rFonts w:cs="Times New Roman"/>
          <w:lang w:val="en-GB"/>
        </w:rPr>
        <w:t>) </w:t>
      </w:r>
      <w:r w:rsidR="00851357" w:rsidRPr="00DE2EDF">
        <w:rPr>
          <w:rFonts w:cs="Times New Roman"/>
          <w:lang w:val="en-GB"/>
        </w:rPr>
        <w:t>Although t</w:t>
      </w:r>
      <w:r w:rsidR="00901A6C" w:rsidRPr="00DE2EDF">
        <w:rPr>
          <w:rFonts w:cs="Times New Roman"/>
          <w:lang w:val="en-GB"/>
        </w:rPr>
        <w:t xml:space="preserve">he </w:t>
      </w:r>
      <w:r w:rsidRPr="00DE2EDF">
        <w:rPr>
          <w:rFonts w:cs="Times New Roman"/>
          <w:lang w:val="en-GB"/>
        </w:rPr>
        <w:t>link</w:t>
      </w:r>
      <w:r w:rsidR="004875DB" w:rsidRPr="00DE2EDF">
        <w:rPr>
          <w:rFonts w:cs="Times New Roman"/>
          <w:lang w:val="en-GB"/>
        </w:rPr>
        <w:t xml:space="preserve"> between </w:t>
      </w:r>
      <w:r w:rsidR="00F10117" w:rsidRPr="00DE2EDF">
        <w:rPr>
          <w:rFonts w:cs="Times New Roman"/>
          <w:lang w:val="en-GB"/>
        </w:rPr>
        <w:t xml:space="preserve">both </w:t>
      </w:r>
      <w:r w:rsidRPr="00DE2EDF">
        <w:rPr>
          <w:rFonts w:cs="Times New Roman"/>
          <w:lang w:val="en-GB"/>
        </w:rPr>
        <w:t xml:space="preserve">cannot be </w:t>
      </w:r>
      <w:r w:rsidR="00B46B61" w:rsidRPr="00DE2EDF">
        <w:rPr>
          <w:rFonts w:cs="Times New Roman"/>
          <w:lang w:val="en-GB"/>
        </w:rPr>
        <w:t>severed</w:t>
      </w:r>
      <w:r w:rsidRPr="00DE2EDF">
        <w:rPr>
          <w:rFonts w:cs="Times New Roman"/>
          <w:lang w:val="en-GB"/>
        </w:rPr>
        <w:t>, it can be relaxed</w:t>
      </w:r>
      <w:r w:rsidR="00874D69" w:rsidRPr="00DE2EDF">
        <w:rPr>
          <w:rFonts w:cs="Times New Roman"/>
          <w:lang w:val="en-GB"/>
        </w:rPr>
        <w:t xml:space="preserve">: </w:t>
      </w:r>
      <w:r w:rsidR="00901A6C" w:rsidRPr="00DE2EDF">
        <w:rPr>
          <w:rFonts w:cs="Times New Roman"/>
          <w:lang w:val="en-GB"/>
        </w:rPr>
        <w:t xml:space="preserve">the </w:t>
      </w:r>
      <w:r w:rsidRPr="00DE2EDF">
        <w:rPr>
          <w:rFonts w:cs="Times New Roman"/>
          <w:lang w:val="en-GB"/>
        </w:rPr>
        <w:t>French case shows that the autonomy of administrative law is, to some extent, flexible</w:t>
      </w:r>
      <w:r w:rsidR="004875DB" w:rsidRPr="00DE2EDF">
        <w:rPr>
          <w:rFonts w:cs="Times New Roman"/>
          <w:lang w:val="en-GB"/>
        </w:rPr>
        <w:t xml:space="preserve">. </w:t>
      </w:r>
      <w:r w:rsidRPr="00DE2EDF">
        <w:rPr>
          <w:rFonts w:cs="Times New Roman"/>
          <w:lang w:val="en-GB"/>
        </w:rPr>
        <w:t>(</w:t>
      </w:r>
      <w:r w:rsidR="00F2108E" w:rsidRPr="00DE2EDF">
        <w:rPr>
          <w:rFonts w:cs="Times New Roman"/>
          <w:lang w:val="en-GB"/>
        </w:rPr>
        <w:t>b</w:t>
      </w:r>
      <w:r w:rsidRPr="00DE2EDF">
        <w:rPr>
          <w:rFonts w:cs="Times New Roman"/>
          <w:lang w:val="en-GB"/>
        </w:rPr>
        <w:t>) </w:t>
      </w:r>
      <w:r w:rsidR="004875DB" w:rsidRPr="00DE2EDF">
        <w:rPr>
          <w:rFonts w:cs="Times New Roman"/>
          <w:lang w:val="en-GB"/>
        </w:rPr>
        <w:t>C</w:t>
      </w:r>
      <w:r w:rsidR="00901A6C" w:rsidRPr="00DE2EDF">
        <w:rPr>
          <w:rFonts w:cs="Times New Roman"/>
          <w:lang w:val="en-GB"/>
        </w:rPr>
        <w:t xml:space="preserve">onstitutional </w:t>
      </w:r>
      <w:r w:rsidRPr="00DE2EDF">
        <w:rPr>
          <w:rFonts w:cs="Times New Roman"/>
          <w:lang w:val="en-GB"/>
        </w:rPr>
        <w:t xml:space="preserve">law may be </w:t>
      </w:r>
      <w:r w:rsidR="00874D69" w:rsidRPr="00DE2EDF">
        <w:rPr>
          <w:rFonts w:cs="Times New Roman"/>
          <w:lang w:val="en-GB"/>
        </w:rPr>
        <w:t>‘</w:t>
      </w:r>
      <w:r w:rsidRPr="00DE2EDF">
        <w:rPr>
          <w:rFonts w:cs="Times New Roman"/>
          <w:lang w:val="en-GB"/>
        </w:rPr>
        <w:t>taken over</w:t>
      </w:r>
      <w:r w:rsidR="00874D69" w:rsidRPr="00DE2EDF">
        <w:rPr>
          <w:rFonts w:cs="Times New Roman"/>
          <w:lang w:val="en-GB"/>
        </w:rPr>
        <w:t>’</w:t>
      </w:r>
      <w:r w:rsidRPr="00DE2EDF">
        <w:rPr>
          <w:rFonts w:cs="Times New Roman"/>
          <w:lang w:val="en-GB"/>
        </w:rPr>
        <w:t xml:space="preserve"> by administrative law, </w:t>
      </w:r>
      <w:r w:rsidR="00874D69" w:rsidRPr="00DE2EDF">
        <w:rPr>
          <w:rFonts w:cs="Times New Roman"/>
          <w:lang w:val="en-GB"/>
        </w:rPr>
        <w:t>meaning</w:t>
      </w:r>
      <w:r w:rsidRPr="00DE2EDF">
        <w:rPr>
          <w:rFonts w:cs="Times New Roman"/>
          <w:lang w:val="en-GB"/>
        </w:rPr>
        <w:t xml:space="preserve"> that certain constitutional matters </w:t>
      </w:r>
      <w:r w:rsidR="00874D69" w:rsidRPr="00DE2EDF">
        <w:rPr>
          <w:rFonts w:cs="Times New Roman"/>
          <w:lang w:val="en-GB"/>
        </w:rPr>
        <w:t>may be</w:t>
      </w:r>
      <w:r w:rsidRPr="00DE2EDF">
        <w:rPr>
          <w:rFonts w:cs="Times New Roman"/>
          <w:lang w:val="en-GB"/>
        </w:rPr>
        <w:t xml:space="preserve"> appropriated by</w:t>
      </w:r>
      <w:r w:rsidR="00874D69" w:rsidRPr="00DE2EDF">
        <w:rPr>
          <w:rFonts w:cs="Times New Roman"/>
          <w:lang w:val="en-GB"/>
        </w:rPr>
        <w:t xml:space="preserve"> administrative law and its</w:t>
      </w:r>
      <w:r w:rsidRPr="00DE2EDF">
        <w:rPr>
          <w:rFonts w:cs="Times New Roman"/>
          <w:lang w:val="en-GB"/>
        </w:rPr>
        <w:t xml:space="preserve"> guardians</w:t>
      </w:r>
      <w:r w:rsidR="00874D69" w:rsidRPr="00DE2EDF">
        <w:rPr>
          <w:rFonts w:cs="Times New Roman"/>
          <w:lang w:val="en-GB"/>
        </w:rPr>
        <w:t xml:space="preserve"> </w:t>
      </w:r>
      <w:r w:rsidRPr="00DE2EDF">
        <w:rPr>
          <w:rFonts w:cs="Times New Roman"/>
          <w:lang w:val="en-GB"/>
        </w:rPr>
        <w:t xml:space="preserve">(in </w:t>
      </w:r>
      <w:r w:rsidR="00B46B61" w:rsidRPr="00DE2EDF">
        <w:rPr>
          <w:rFonts w:cs="Times New Roman"/>
          <w:lang w:val="en-GB"/>
        </w:rPr>
        <w:t xml:space="preserve">the </w:t>
      </w:r>
      <w:r w:rsidR="00E05876">
        <w:rPr>
          <w:rFonts w:cs="Times New Roman"/>
          <w:lang w:val="en-GB"/>
        </w:rPr>
        <w:t>n</w:t>
      </w:r>
      <w:r w:rsidR="00BE0296" w:rsidRPr="00DE2EDF">
        <w:rPr>
          <w:rFonts w:cs="Times New Roman"/>
          <w:lang w:val="en-GB"/>
        </w:rPr>
        <w:t>inet</w:t>
      </w:r>
      <w:r w:rsidR="00C5645C" w:rsidRPr="00DE2EDF">
        <w:rPr>
          <w:rFonts w:cs="Times New Roman"/>
          <w:lang w:val="en-GB"/>
        </w:rPr>
        <w:t>e</w:t>
      </w:r>
      <w:r w:rsidR="00BE0296" w:rsidRPr="00DE2EDF">
        <w:rPr>
          <w:rFonts w:cs="Times New Roman"/>
          <w:lang w:val="en-GB"/>
        </w:rPr>
        <w:t>e</w:t>
      </w:r>
      <w:r w:rsidR="00C5645C" w:rsidRPr="00DE2EDF">
        <w:rPr>
          <w:rFonts w:cs="Times New Roman"/>
          <w:lang w:val="en-GB"/>
        </w:rPr>
        <w:t>n</w:t>
      </w:r>
      <w:r w:rsidR="00BE0296" w:rsidRPr="00DE2EDF">
        <w:rPr>
          <w:rFonts w:cs="Times New Roman"/>
          <w:lang w:val="en-GB"/>
        </w:rPr>
        <w:t>th</w:t>
      </w:r>
      <w:r w:rsidR="008560E8" w:rsidRPr="00DE2EDF">
        <w:rPr>
          <w:rFonts w:cs="Times New Roman"/>
          <w:lang w:val="en-GB"/>
        </w:rPr>
        <w:t xml:space="preserve"> </w:t>
      </w:r>
      <w:r w:rsidRPr="00DE2EDF">
        <w:rPr>
          <w:rFonts w:cs="Times New Roman"/>
          <w:lang w:val="en-GB"/>
        </w:rPr>
        <w:t>century</w:t>
      </w:r>
      <w:r w:rsidR="00B46B61" w:rsidRPr="00DE2EDF">
        <w:rPr>
          <w:rFonts w:cs="Times New Roman"/>
          <w:lang w:val="en-GB"/>
        </w:rPr>
        <w:t>,</w:t>
      </w:r>
      <w:r w:rsidRPr="00DE2EDF">
        <w:rPr>
          <w:rFonts w:cs="Times New Roman"/>
          <w:lang w:val="en-GB"/>
        </w:rPr>
        <w:t xml:space="preserve"> the </w:t>
      </w:r>
      <w:r w:rsidR="00377755" w:rsidRPr="00DE2EDF">
        <w:rPr>
          <w:rFonts w:cs="Times New Roman"/>
          <w:lang w:val="en-GB"/>
        </w:rPr>
        <w:t>first</w:t>
      </w:r>
      <w:r w:rsidRPr="00DE2EDF">
        <w:rPr>
          <w:rFonts w:cs="Times New Roman"/>
          <w:lang w:val="en-GB"/>
        </w:rPr>
        <w:t xml:space="preserve"> constitutional law doctrine</w:t>
      </w:r>
      <w:r w:rsidR="00377755" w:rsidRPr="00DE2EDF">
        <w:rPr>
          <w:rFonts w:cs="Times New Roman"/>
          <w:lang w:val="en-GB"/>
        </w:rPr>
        <w:t xml:space="preserve"> at university was established</w:t>
      </w:r>
      <w:r w:rsidRPr="00DE2EDF">
        <w:rPr>
          <w:rFonts w:cs="Times New Roman"/>
          <w:lang w:val="en-GB"/>
        </w:rPr>
        <w:t xml:space="preserve"> by administrative law scholars</w:t>
      </w:r>
      <w:r w:rsidR="00830F52" w:rsidRPr="00DE2EDF">
        <w:rPr>
          <w:rFonts w:cs="Times New Roman"/>
          <w:lang w:val="en-GB"/>
        </w:rPr>
        <w:t xml:space="preserve">; during </w:t>
      </w:r>
      <w:r w:rsidRPr="00DE2EDF">
        <w:rPr>
          <w:rFonts w:cs="Times New Roman"/>
          <w:lang w:val="en-GB"/>
        </w:rPr>
        <w:t>the Third</w:t>
      </w:r>
      <w:r w:rsidR="00377755" w:rsidRPr="00DE2EDF">
        <w:rPr>
          <w:rFonts w:cs="Times New Roman"/>
          <w:lang w:val="en-GB"/>
        </w:rPr>
        <w:t xml:space="preserve"> and Fourth</w:t>
      </w:r>
      <w:r w:rsidRPr="00DE2EDF">
        <w:rPr>
          <w:rFonts w:cs="Times New Roman"/>
          <w:lang w:val="en-GB"/>
        </w:rPr>
        <w:t xml:space="preserve"> Republic, human rights</w:t>
      </w:r>
      <w:r w:rsidR="00BE0296" w:rsidRPr="00DE2EDF">
        <w:rPr>
          <w:rFonts w:cs="Times New Roman"/>
        </w:rPr>
        <w:t>—</w:t>
      </w:r>
      <w:r w:rsidRPr="00DE2EDF">
        <w:rPr>
          <w:rFonts w:cs="Times New Roman"/>
          <w:lang w:val="en-GB"/>
        </w:rPr>
        <w:t>the so-called ‘</w:t>
      </w:r>
      <w:r w:rsidRPr="00DE2EDF">
        <w:rPr>
          <w:rFonts w:cs="Times New Roman"/>
          <w:i/>
          <w:lang w:val="en-GB"/>
        </w:rPr>
        <w:t>libertés publiques</w:t>
      </w:r>
      <w:r w:rsidRPr="00DE2EDF">
        <w:rPr>
          <w:rFonts w:cs="Times New Roman"/>
          <w:lang w:val="en-GB"/>
        </w:rPr>
        <w:t>’</w:t>
      </w:r>
      <w:r w:rsidR="00BE0296" w:rsidRPr="00DE2EDF">
        <w:rPr>
          <w:rFonts w:cs="Times New Roman"/>
        </w:rPr>
        <w:t>—</w:t>
      </w:r>
      <w:r w:rsidR="00377755" w:rsidRPr="00DE2EDF">
        <w:rPr>
          <w:rFonts w:cs="Times New Roman"/>
          <w:lang w:val="en-GB"/>
        </w:rPr>
        <w:t xml:space="preserve">were protected </w:t>
      </w:r>
      <w:r w:rsidRPr="00DE2EDF">
        <w:rPr>
          <w:rFonts w:cs="Times New Roman"/>
          <w:lang w:val="en-GB"/>
        </w:rPr>
        <w:t xml:space="preserve">by administrative law, specifically by the case law of the </w:t>
      </w:r>
      <w:r w:rsidRPr="00DE2EDF">
        <w:rPr>
          <w:rFonts w:cs="Times New Roman"/>
          <w:i/>
          <w:lang w:val="en-GB"/>
        </w:rPr>
        <w:t>Conseil d’Etat</w:t>
      </w:r>
      <w:r w:rsidRPr="00DE2EDF">
        <w:rPr>
          <w:rFonts w:cs="Times New Roman"/>
          <w:lang w:val="en-GB"/>
        </w:rPr>
        <w:t xml:space="preserve"> on </w:t>
      </w:r>
      <w:r w:rsidR="00830F52" w:rsidRPr="00DE2EDF">
        <w:rPr>
          <w:rFonts w:cs="Times New Roman"/>
          <w:lang w:val="en-GB"/>
        </w:rPr>
        <w:t xml:space="preserve">the </w:t>
      </w:r>
      <w:r w:rsidRPr="00DE2EDF">
        <w:rPr>
          <w:rFonts w:cs="Times New Roman"/>
          <w:lang w:val="en-GB"/>
        </w:rPr>
        <w:t xml:space="preserve">‘general principles of law’; </w:t>
      </w:r>
      <w:r w:rsidR="00584376" w:rsidRPr="00DE2EDF">
        <w:rPr>
          <w:rFonts w:cs="Times New Roman"/>
          <w:lang w:val="en-GB"/>
        </w:rPr>
        <w:t>today</w:t>
      </w:r>
      <w:r w:rsidRPr="00DE2EDF">
        <w:rPr>
          <w:rFonts w:cs="Times New Roman"/>
          <w:lang w:val="en-GB"/>
        </w:rPr>
        <w:t>,</w:t>
      </w:r>
      <w:r w:rsidR="00377755" w:rsidRPr="00DE2EDF">
        <w:rPr>
          <w:rFonts w:cs="Times New Roman"/>
          <w:lang w:val="en-GB"/>
        </w:rPr>
        <w:t xml:space="preserve"> </w:t>
      </w:r>
      <w:r w:rsidR="00D53EDB" w:rsidRPr="00DE2EDF">
        <w:rPr>
          <w:rFonts w:cs="Times New Roman"/>
          <w:lang w:val="en-GB"/>
        </w:rPr>
        <w:t xml:space="preserve">the </w:t>
      </w:r>
      <w:r w:rsidR="00377755" w:rsidRPr="00DE2EDF">
        <w:rPr>
          <w:rFonts w:cs="Times New Roman"/>
          <w:i/>
          <w:lang w:val="en-GB"/>
        </w:rPr>
        <w:t>Conseil d’Etat</w:t>
      </w:r>
      <w:r w:rsidR="00377755" w:rsidRPr="00DE2EDF">
        <w:rPr>
          <w:rFonts w:cs="Times New Roman"/>
          <w:lang w:val="en-GB"/>
        </w:rPr>
        <w:t xml:space="preserve"> may deliver its own </w:t>
      </w:r>
      <w:r w:rsidRPr="00DE2EDF">
        <w:rPr>
          <w:rFonts w:cs="Times New Roman"/>
          <w:lang w:val="en-GB"/>
        </w:rPr>
        <w:t>sovereign interpretation of the Constitution).</w:t>
      </w:r>
    </w:p>
    <w:p w14:paraId="70C27A0C" w14:textId="77777777" w:rsidR="00ED3DAA" w:rsidRPr="00DE2EDF" w:rsidRDefault="00ED3DAA" w:rsidP="00DE2EDF">
      <w:pPr>
        <w:spacing w:after="0"/>
        <w:jc w:val="both"/>
        <w:rPr>
          <w:rFonts w:cs="Times New Roman"/>
          <w:lang w:val="en-GB"/>
        </w:rPr>
      </w:pPr>
    </w:p>
    <w:p w14:paraId="6FD107EE" w14:textId="77777777" w:rsidR="000F756A" w:rsidRPr="00DE2EDF" w:rsidRDefault="00ED3DAA" w:rsidP="00DE2EDF">
      <w:pPr>
        <w:pStyle w:val="Heading3"/>
        <w:rPr>
          <w:rFonts w:cs="Times New Roman"/>
          <w:szCs w:val="24"/>
        </w:rPr>
      </w:pPr>
      <w:bookmarkStart w:id="94" w:name="_Toc253048930"/>
      <w:bookmarkStart w:id="95" w:name="_Toc252700477"/>
      <w:bookmarkStart w:id="96" w:name="_Toc245196660"/>
      <w:bookmarkStart w:id="97" w:name="_Toc460405623"/>
      <w:bookmarkEnd w:id="94"/>
      <w:bookmarkEnd w:id="95"/>
      <w:r w:rsidRPr="00DE2EDF">
        <w:rPr>
          <w:rFonts w:cs="Times New Roman"/>
          <w:szCs w:val="24"/>
        </w:rPr>
        <w:t xml:space="preserve">b) </w:t>
      </w:r>
      <w:r w:rsidR="000F756A" w:rsidRPr="00DE2EDF">
        <w:rPr>
          <w:rFonts w:cs="Times New Roman"/>
          <w:szCs w:val="24"/>
        </w:rPr>
        <w:t>The Two World The</w:t>
      </w:r>
      <w:r w:rsidR="00F10117" w:rsidRPr="00DE2EDF">
        <w:rPr>
          <w:rFonts w:cs="Times New Roman"/>
          <w:szCs w:val="24"/>
        </w:rPr>
        <w:t>sis</w:t>
      </w:r>
      <w:r w:rsidR="000F756A" w:rsidRPr="00DE2EDF">
        <w:rPr>
          <w:rFonts w:cs="Times New Roman"/>
          <w:szCs w:val="24"/>
        </w:rPr>
        <w:t xml:space="preserve"> in the </w:t>
      </w:r>
      <w:r w:rsidR="00EA2E67" w:rsidRPr="00DE2EDF">
        <w:rPr>
          <w:rFonts w:cs="Times New Roman"/>
          <w:szCs w:val="24"/>
        </w:rPr>
        <w:t>W</w:t>
      </w:r>
      <w:r w:rsidR="000F756A" w:rsidRPr="00DE2EDF">
        <w:rPr>
          <w:rFonts w:cs="Times New Roman"/>
          <w:szCs w:val="24"/>
        </w:rPr>
        <w:t>ritings of René Chapus and Georges Vedel</w:t>
      </w:r>
      <w:bookmarkEnd w:id="96"/>
      <w:bookmarkEnd w:id="97"/>
    </w:p>
    <w:p w14:paraId="412A331E" w14:textId="77777777" w:rsidR="00ED3DAA" w:rsidRPr="00DE2EDF" w:rsidRDefault="00ED3DAA" w:rsidP="00DE2EDF">
      <w:pPr>
        <w:spacing w:after="0"/>
        <w:rPr>
          <w:rFonts w:cs="Times New Roman"/>
          <w:lang w:val="en-GB"/>
        </w:rPr>
      </w:pPr>
    </w:p>
    <w:p w14:paraId="0AF7D0E8" w14:textId="77777777" w:rsidR="000F756A" w:rsidRPr="00DE2EDF" w:rsidRDefault="000F756A" w:rsidP="00DE2EDF">
      <w:pPr>
        <w:spacing w:after="0"/>
        <w:jc w:val="both"/>
        <w:rPr>
          <w:rFonts w:cs="Times New Roman"/>
          <w:lang w:val="en-GB"/>
        </w:rPr>
      </w:pPr>
      <w:r w:rsidRPr="00DE2EDF">
        <w:rPr>
          <w:rFonts w:cs="Times New Roman"/>
          <w:lang w:val="en-GB"/>
        </w:rPr>
        <w:t>The Two World The</w:t>
      </w:r>
      <w:r w:rsidR="00F10117" w:rsidRPr="00DE2EDF">
        <w:rPr>
          <w:rFonts w:cs="Times New Roman"/>
          <w:lang w:val="en-GB"/>
        </w:rPr>
        <w:t>sis</w:t>
      </w:r>
      <w:r w:rsidR="00BE0296" w:rsidRPr="00DE2EDF">
        <w:rPr>
          <w:rFonts w:cs="Times New Roman"/>
        </w:rPr>
        <w:t>—</w:t>
      </w:r>
      <w:r w:rsidRPr="00DE2EDF">
        <w:rPr>
          <w:rFonts w:cs="Times New Roman"/>
          <w:lang w:val="en-GB"/>
        </w:rPr>
        <w:t>called the ‘</w:t>
      </w:r>
      <w:r w:rsidRPr="00DE2EDF">
        <w:rPr>
          <w:rFonts w:cs="Times New Roman"/>
          <w:i/>
          <w:lang w:val="en-GB"/>
        </w:rPr>
        <w:t>thèse de la dualité de l’ordre juridique</w:t>
      </w:r>
      <w:r w:rsidRPr="00DE2EDF">
        <w:rPr>
          <w:rFonts w:cs="Times New Roman"/>
          <w:lang w:val="en-GB"/>
        </w:rPr>
        <w:t>’ (thesis of a dual legal order</w:t>
      </w:r>
      <w:r w:rsidR="00584376" w:rsidRPr="00DE2EDF">
        <w:rPr>
          <w:rFonts w:cs="Times New Roman"/>
          <w:lang w:val="en-GB"/>
        </w:rPr>
        <w:t>) by its critic, Louis Favoreu</w:t>
      </w:r>
      <w:bookmarkStart w:id="98" w:name="_Ref401055799"/>
      <w:r w:rsidRPr="00DE2EDF">
        <w:rPr>
          <w:rStyle w:val="FootnoteReference"/>
          <w:rFonts w:cs="Times New Roman"/>
          <w:iCs/>
          <w:lang w:val="en-GB"/>
        </w:rPr>
        <w:footnoteReference w:id="46"/>
      </w:r>
      <w:bookmarkEnd w:id="98"/>
      <w:r w:rsidR="00BE0296" w:rsidRPr="00DE2EDF">
        <w:rPr>
          <w:rFonts w:cs="Times New Roman"/>
        </w:rPr>
        <w:t>—</w:t>
      </w:r>
      <w:r w:rsidRPr="00DE2EDF">
        <w:rPr>
          <w:rFonts w:cs="Times New Roman"/>
          <w:lang w:val="en-GB"/>
        </w:rPr>
        <w:t xml:space="preserve">was explicitly addressed in the 1980s and 1990s by René Chapus, then-professor of </w:t>
      </w:r>
      <w:r w:rsidR="00377755" w:rsidRPr="00DE2EDF">
        <w:rPr>
          <w:rFonts w:cs="Times New Roman"/>
          <w:lang w:val="en-GB"/>
        </w:rPr>
        <w:t>administrative</w:t>
      </w:r>
      <w:r w:rsidRPr="00DE2EDF">
        <w:rPr>
          <w:rFonts w:cs="Times New Roman"/>
          <w:lang w:val="en-GB"/>
        </w:rPr>
        <w:t xml:space="preserve"> law at the University Paris II</w:t>
      </w:r>
      <w:r w:rsidR="00584376" w:rsidRPr="00DE2EDF">
        <w:rPr>
          <w:rFonts w:cs="Times New Roman"/>
          <w:lang w:val="en-GB"/>
        </w:rPr>
        <w:t>. In the introduction to</w:t>
      </w:r>
      <w:r w:rsidRPr="00DE2EDF">
        <w:rPr>
          <w:rFonts w:cs="Times New Roman"/>
          <w:lang w:val="en-GB"/>
        </w:rPr>
        <w:t xml:space="preserve"> his textbook on administrative law, which was immensely popular among academics and members of the </w:t>
      </w:r>
      <w:r w:rsidRPr="00DE2EDF">
        <w:rPr>
          <w:rFonts w:cs="Times New Roman"/>
          <w:i/>
          <w:lang w:val="en-GB"/>
        </w:rPr>
        <w:t>Conseil d’</w:t>
      </w:r>
      <w:r w:rsidR="00901A6C" w:rsidRPr="00DE2EDF">
        <w:rPr>
          <w:rFonts w:cs="Times New Roman"/>
          <w:i/>
          <w:lang w:val="en-GB"/>
        </w:rPr>
        <w:t>E</w:t>
      </w:r>
      <w:r w:rsidRPr="00DE2EDF">
        <w:rPr>
          <w:rFonts w:cs="Times New Roman"/>
          <w:i/>
          <w:lang w:val="en-GB"/>
        </w:rPr>
        <w:t>tat</w:t>
      </w:r>
      <w:r w:rsidRPr="00DE2EDF">
        <w:rPr>
          <w:rFonts w:cs="Times New Roman"/>
          <w:lang w:val="en-GB"/>
        </w:rPr>
        <w:t xml:space="preserve">, Chapus briefly touched on the question of the relationship between administrative law and constitutional law. The title of that section remained, from </w:t>
      </w:r>
      <w:r w:rsidR="00584376" w:rsidRPr="00DE2EDF">
        <w:rPr>
          <w:rFonts w:cs="Times New Roman"/>
          <w:lang w:val="en-GB"/>
        </w:rPr>
        <w:t>the</w:t>
      </w:r>
      <w:r w:rsidRPr="00DE2EDF">
        <w:rPr>
          <w:rFonts w:cs="Times New Roman"/>
          <w:lang w:val="en-GB"/>
        </w:rPr>
        <w:t xml:space="preserve"> first edition</w:t>
      </w:r>
      <w:r w:rsidR="00584376" w:rsidRPr="00DE2EDF">
        <w:rPr>
          <w:rFonts w:cs="Times New Roman"/>
          <w:lang w:val="en-GB"/>
        </w:rPr>
        <w:t xml:space="preserve"> of the textbook</w:t>
      </w:r>
      <w:r w:rsidRPr="00DE2EDF">
        <w:rPr>
          <w:rFonts w:cs="Times New Roman"/>
          <w:lang w:val="en-GB"/>
        </w:rPr>
        <w:t xml:space="preserve"> (1985) to its eighth (1994), ‘The distance to the Constitution’</w:t>
      </w:r>
      <w:bookmarkStart w:id="99" w:name="_ftnref41"/>
      <w:r w:rsidRPr="00DE2EDF">
        <w:rPr>
          <w:rFonts w:cs="Times New Roman"/>
          <w:lang w:val="en-GB"/>
        </w:rPr>
        <w:t>.</w:t>
      </w:r>
      <w:r w:rsidRPr="00DE2EDF">
        <w:rPr>
          <w:rStyle w:val="FootnoteReference"/>
          <w:rFonts w:cs="Times New Roman"/>
          <w:iCs/>
          <w:lang w:val="en-GB"/>
        </w:rPr>
        <w:footnoteReference w:id="47"/>
      </w:r>
      <w:bookmarkEnd w:id="99"/>
      <w:r w:rsidRPr="00DE2EDF">
        <w:rPr>
          <w:rFonts w:cs="Times New Roman"/>
          <w:lang w:val="en-GB"/>
        </w:rPr>
        <w:t xml:space="preserve"> </w:t>
      </w:r>
      <w:r w:rsidR="00584376" w:rsidRPr="00DE2EDF">
        <w:rPr>
          <w:rFonts w:cs="Times New Roman"/>
          <w:lang w:val="en-GB"/>
        </w:rPr>
        <w:t>Chapus’</w:t>
      </w:r>
      <w:r w:rsidRPr="00DE2EDF">
        <w:rPr>
          <w:rFonts w:cs="Times New Roman"/>
          <w:lang w:val="en-GB"/>
        </w:rPr>
        <w:t xml:space="preserve"> explanations varied slightly, depending on the edition, and were not always entirely consistent. The general tenor, however, was that constitutional law and administrative law were ‘separated’.</w:t>
      </w:r>
      <w:bookmarkStart w:id="100" w:name="_ftnref42"/>
      <w:r w:rsidRPr="00DE2EDF">
        <w:rPr>
          <w:rStyle w:val="FootnoteReference"/>
          <w:rFonts w:cs="Times New Roman"/>
          <w:iCs/>
          <w:lang w:val="en-GB"/>
        </w:rPr>
        <w:footnoteReference w:id="48"/>
      </w:r>
      <w:r w:rsidRPr="00DE2EDF">
        <w:rPr>
          <w:rFonts w:cs="Times New Roman"/>
          <w:lang w:val="en-GB"/>
        </w:rPr>
        <w:t xml:space="preserve"> </w:t>
      </w:r>
      <w:bookmarkEnd w:id="100"/>
      <w:r w:rsidRPr="00DE2EDF">
        <w:rPr>
          <w:rFonts w:cs="Times New Roman"/>
          <w:lang w:val="en-GB"/>
        </w:rPr>
        <w:t>Apart from certain similarities in content, both areas of law existed ‘i</w:t>
      </w:r>
      <w:r w:rsidR="00584376" w:rsidRPr="00DE2EDF">
        <w:rPr>
          <w:rFonts w:cs="Times New Roman"/>
          <w:lang w:val="en-GB"/>
        </w:rPr>
        <w:t>n parallel’</w:t>
      </w:r>
      <w:r w:rsidRPr="00DE2EDF">
        <w:rPr>
          <w:rFonts w:cs="Times New Roman"/>
          <w:lang w:val="en-GB"/>
        </w:rPr>
        <w:t>. The</w:t>
      </w:r>
      <w:r w:rsidR="005D07DB" w:rsidRPr="00DE2EDF">
        <w:rPr>
          <w:rFonts w:cs="Times New Roman"/>
          <w:lang w:val="en-GB"/>
        </w:rPr>
        <w:t xml:space="preserve"> ‘legal order has been </w:t>
      </w:r>
      <w:r w:rsidR="007B62A9" w:rsidRPr="00DE2EDF">
        <w:rPr>
          <w:rFonts w:cs="Times New Roman"/>
          <w:lang w:val="en-GB"/>
        </w:rPr>
        <w:t>split</w:t>
      </w:r>
      <w:r w:rsidR="005D07DB" w:rsidRPr="00DE2EDF">
        <w:rPr>
          <w:rFonts w:cs="Times New Roman"/>
          <w:lang w:val="en-GB"/>
        </w:rPr>
        <w:t>’ (</w:t>
      </w:r>
      <w:r w:rsidRPr="00DE2EDF">
        <w:rPr>
          <w:rFonts w:cs="Times New Roman"/>
          <w:i/>
          <w:lang w:val="en-GB"/>
        </w:rPr>
        <w:t>dédoublement de l’ordre juridique</w:t>
      </w:r>
      <w:r w:rsidRPr="00DE2EDF">
        <w:rPr>
          <w:rFonts w:cs="Times New Roman"/>
          <w:lang w:val="en-GB"/>
        </w:rPr>
        <w:t xml:space="preserve">). </w:t>
      </w:r>
      <w:r w:rsidR="00584376" w:rsidRPr="00DE2EDF">
        <w:rPr>
          <w:rFonts w:cs="Times New Roman"/>
          <w:lang w:val="en-GB"/>
        </w:rPr>
        <w:t>According to Chapus</w:t>
      </w:r>
      <w:r w:rsidRPr="00DE2EDF">
        <w:rPr>
          <w:rFonts w:cs="Times New Roman"/>
          <w:lang w:val="en-GB"/>
        </w:rPr>
        <w:t xml:space="preserve">, the heart or ‘fundamental’ part of administrative law was the case law of the </w:t>
      </w:r>
      <w:r w:rsidR="00901A6C" w:rsidRPr="00DE2EDF">
        <w:rPr>
          <w:rFonts w:cs="Times New Roman"/>
          <w:i/>
          <w:lang w:val="en-GB"/>
        </w:rPr>
        <w:t>Conseil d’E</w:t>
      </w:r>
      <w:r w:rsidRPr="00DE2EDF">
        <w:rPr>
          <w:rFonts w:cs="Times New Roman"/>
          <w:i/>
          <w:lang w:val="en-GB"/>
        </w:rPr>
        <w:t>tat</w:t>
      </w:r>
      <w:r w:rsidRPr="00DE2EDF">
        <w:rPr>
          <w:rFonts w:cs="Times New Roman"/>
          <w:lang w:val="en-GB"/>
        </w:rPr>
        <w:t>: ‘Administrative case law lives and evolves within its own system.’ In the past, and especially since th</w:t>
      </w:r>
      <w:r w:rsidR="00BE0296" w:rsidRPr="00DE2EDF">
        <w:rPr>
          <w:rFonts w:cs="Times New Roman"/>
          <w:lang w:val="en-GB"/>
        </w:rPr>
        <w:t>e Third Republic</w:t>
      </w:r>
      <w:r w:rsidR="00BE0296" w:rsidRPr="00DE2EDF">
        <w:rPr>
          <w:rFonts w:cs="Times New Roman"/>
        </w:rPr>
        <w:t>—</w:t>
      </w:r>
      <w:r w:rsidRPr="00DE2EDF">
        <w:rPr>
          <w:rFonts w:cs="Times New Roman"/>
          <w:lang w:val="en-GB"/>
        </w:rPr>
        <w:t xml:space="preserve">a crucial </w:t>
      </w:r>
      <w:r w:rsidR="00BE0296" w:rsidRPr="00DE2EDF">
        <w:rPr>
          <w:rFonts w:cs="Times New Roman"/>
          <w:lang w:val="en-GB"/>
        </w:rPr>
        <w:t>period for administrative law</w:t>
      </w:r>
      <w:r w:rsidR="00BE0296" w:rsidRPr="00DE2EDF">
        <w:rPr>
          <w:rFonts w:cs="Times New Roman"/>
        </w:rPr>
        <w:t>—</w:t>
      </w:r>
      <w:r w:rsidR="00BE0296" w:rsidRPr="00DE2EDF">
        <w:rPr>
          <w:rFonts w:cs="Times New Roman"/>
          <w:lang w:val="en-GB"/>
        </w:rPr>
        <w:t xml:space="preserve"> </w:t>
      </w:r>
      <w:r w:rsidRPr="00DE2EDF">
        <w:rPr>
          <w:rFonts w:cs="Times New Roman"/>
          <w:lang w:val="en-GB"/>
        </w:rPr>
        <w:t>‘there was always a distance, or even a chasm (</w:t>
      </w:r>
      <w:r w:rsidRPr="00DE2EDF">
        <w:rPr>
          <w:rFonts w:cs="Times New Roman"/>
          <w:i/>
          <w:lang w:val="en-GB"/>
        </w:rPr>
        <w:t>vide</w:t>
      </w:r>
      <w:r w:rsidRPr="00DE2EDF">
        <w:rPr>
          <w:rFonts w:cs="Times New Roman"/>
          <w:lang w:val="en-GB"/>
        </w:rPr>
        <w:t xml:space="preserve">) between this law and the successive constitutions’. </w:t>
      </w:r>
      <w:r w:rsidR="00DE58F2" w:rsidRPr="00DE2EDF">
        <w:rPr>
          <w:rFonts w:cs="Times New Roman"/>
          <w:lang w:val="en-GB"/>
        </w:rPr>
        <w:t xml:space="preserve">In </w:t>
      </w:r>
      <w:r w:rsidR="007C36E9" w:rsidRPr="00DE2EDF">
        <w:rPr>
          <w:rFonts w:cs="Times New Roman"/>
          <w:lang w:val="en-GB"/>
        </w:rPr>
        <w:t>his</w:t>
      </w:r>
      <w:r w:rsidR="00DE58F2" w:rsidRPr="00DE2EDF">
        <w:rPr>
          <w:rFonts w:cs="Times New Roman"/>
          <w:lang w:val="en-GB"/>
        </w:rPr>
        <w:t xml:space="preserve"> eyes, t</w:t>
      </w:r>
      <w:r w:rsidRPr="00DE2EDF">
        <w:rPr>
          <w:rFonts w:cs="Times New Roman"/>
          <w:lang w:val="en-GB"/>
        </w:rPr>
        <w:t xml:space="preserve">his was good, as administrative law could </w:t>
      </w:r>
      <w:r w:rsidRPr="00DE2EDF">
        <w:rPr>
          <w:rFonts w:cs="Times New Roman"/>
          <w:lang w:val="en-GB"/>
        </w:rPr>
        <w:lastRenderedPageBreak/>
        <w:t xml:space="preserve">continuously evolve through an organic growth process based on the liberal decisions of the </w:t>
      </w:r>
      <w:r w:rsidRPr="00DE2EDF">
        <w:rPr>
          <w:rFonts w:cs="Times New Roman"/>
          <w:i/>
          <w:lang w:val="en-GB"/>
        </w:rPr>
        <w:t xml:space="preserve">Conseil </w:t>
      </w:r>
      <w:r w:rsidR="00901A6C" w:rsidRPr="00DE2EDF">
        <w:rPr>
          <w:rFonts w:cs="Times New Roman"/>
          <w:i/>
          <w:lang w:val="en-GB"/>
        </w:rPr>
        <w:t>d</w:t>
      </w:r>
      <w:r w:rsidR="00825DB5" w:rsidRPr="00DE2EDF">
        <w:rPr>
          <w:rFonts w:cs="Times New Roman"/>
          <w:i/>
          <w:lang w:val="en-GB"/>
        </w:rPr>
        <w:t>’</w:t>
      </w:r>
      <w:r w:rsidR="00901A6C" w:rsidRPr="00DE2EDF">
        <w:rPr>
          <w:rFonts w:cs="Times New Roman"/>
          <w:i/>
          <w:lang w:val="en-GB"/>
        </w:rPr>
        <w:t>Etat</w:t>
      </w:r>
      <w:r w:rsidRPr="00DE2EDF">
        <w:rPr>
          <w:rFonts w:cs="Times New Roman"/>
          <w:i/>
          <w:lang w:val="en-GB"/>
        </w:rPr>
        <w:t>,</w:t>
      </w:r>
      <w:r w:rsidRPr="00DE2EDF">
        <w:rPr>
          <w:rFonts w:cs="Times New Roman"/>
          <w:lang w:val="en-GB"/>
        </w:rPr>
        <w:t xml:space="preserve"> without being stopped by the numerous constitutional changes in </w:t>
      </w:r>
      <w:r w:rsidR="007E1587">
        <w:rPr>
          <w:rFonts w:cs="Times New Roman"/>
          <w:lang w:val="en-GB"/>
        </w:rPr>
        <w:t xml:space="preserve">the </w:t>
      </w:r>
      <w:r w:rsidR="003F3A10" w:rsidRPr="00DE2EDF">
        <w:rPr>
          <w:rFonts w:cs="Times New Roman"/>
          <w:lang w:val="en-GB"/>
        </w:rPr>
        <w:t>nineteenth</w:t>
      </w:r>
      <w:r w:rsidRPr="00DE2EDF">
        <w:rPr>
          <w:rFonts w:cs="Times New Roman"/>
          <w:lang w:val="en-GB"/>
        </w:rPr>
        <w:t xml:space="preserve"> century. At this point, Chapus cited Vedel’s famous article on ‘The discontinuity of constitutional law and the continuity of administrative law: the role of the judge</w:t>
      </w:r>
      <w:r w:rsidR="005615F1" w:rsidRPr="00DE2EDF">
        <w:rPr>
          <w:rFonts w:cs="Times New Roman"/>
          <w:lang w:val="en-GB"/>
        </w:rPr>
        <w:t>.</w:t>
      </w:r>
      <w:r w:rsidRPr="00DE2EDF">
        <w:rPr>
          <w:rFonts w:cs="Times New Roman"/>
          <w:lang w:val="en-GB"/>
        </w:rPr>
        <w:t>’</w:t>
      </w:r>
      <w:bookmarkStart w:id="101" w:name="_ftnref43"/>
      <w:r w:rsidRPr="00DE2EDF">
        <w:rPr>
          <w:rStyle w:val="FootnoteReference"/>
          <w:rFonts w:cs="Times New Roman"/>
          <w:iCs/>
          <w:lang w:val="en-GB"/>
        </w:rPr>
        <w:footnoteReference w:id="49"/>
      </w:r>
      <w:bookmarkEnd w:id="101"/>
      <w:r w:rsidRPr="00DE2EDF">
        <w:rPr>
          <w:rFonts w:cs="Times New Roman"/>
          <w:lang w:val="en-GB"/>
        </w:rPr>
        <w:t xml:space="preserve"> With regard to the Third Republic, Chapus was categorical: ‘The separation of administrative law and constitutional law was inevitable’. </w:t>
      </w:r>
    </w:p>
    <w:p w14:paraId="601600F0" w14:textId="77777777" w:rsidR="000F4C26" w:rsidRPr="00DE2EDF" w:rsidRDefault="000F4C26" w:rsidP="00DE2EDF">
      <w:pPr>
        <w:spacing w:after="0"/>
        <w:jc w:val="both"/>
        <w:rPr>
          <w:rFonts w:cs="Times New Roman"/>
          <w:lang w:val="en-GB"/>
        </w:rPr>
      </w:pPr>
    </w:p>
    <w:p w14:paraId="472EDAEB" w14:textId="77777777" w:rsidR="000F756A" w:rsidRPr="00DE2EDF" w:rsidRDefault="000F756A" w:rsidP="00DE2EDF">
      <w:pPr>
        <w:spacing w:after="0"/>
        <w:jc w:val="both"/>
        <w:rPr>
          <w:rFonts w:cs="Times New Roman"/>
          <w:lang w:val="en-GB"/>
        </w:rPr>
      </w:pPr>
      <w:r w:rsidRPr="00DE2EDF">
        <w:rPr>
          <w:rFonts w:cs="Times New Roman"/>
          <w:lang w:val="en-GB"/>
        </w:rPr>
        <w:t>At first glance, this retrospective interpretation of the Third Republic may appear convincing. The separation between the two spheres of law appea</w:t>
      </w:r>
      <w:r w:rsidR="00584376" w:rsidRPr="00DE2EDF">
        <w:rPr>
          <w:rFonts w:cs="Times New Roman"/>
          <w:lang w:val="en-GB"/>
        </w:rPr>
        <w:t>rs perfect</w:t>
      </w:r>
      <w:r w:rsidRPr="00DE2EDF">
        <w:rPr>
          <w:rFonts w:cs="Times New Roman"/>
          <w:lang w:val="en-GB"/>
        </w:rPr>
        <w:t xml:space="preserve">. Substantively, the content of the three </w:t>
      </w:r>
      <w:r w:rsidR="00DE58F2" w:rsidRPr="00DE2EDF">
        <w:rPr>
          <w:rFonts w:cs="Times New Roman"/>
          <w:lang w:val="en-GB"/>
        </w:rPr>
        <w:t>C</w:t>
      </w:r>
      <w:r w:rsidRPr="00DE2EDF">
        <w:rPr>
          <w:rFonts w:cs="Times New Roman"/>
          <w:lang w:val="en-GB"/>
        </w:rPr>
        <w:t xml:space="preserve">onstitutional </w:t>
      </w:r>
      <w:r w:rsidR="00DE58F2" w:rsidRPr="00DE2EDF">
        <w:rPr>
          <w:rFonts w:cs="Times New Roman"/>
          <w:lang w:val="en-GB"/>
        </w:rPr>
        <w:t>A</w:t>
      </w:r>
      <w:r w:rsidRPr="00DE2EDF">
        <w:rPr>
          <w:rFonts w:cs="Times New Roman"/>
          <w:lang w:val="en-GB"/>
        </w:rPr>
        <w:t>cts of 1875 were limited to the relations</w:t>
      </w:r>
      <w:r w:rsidR="005615F1" w:rsidRPr="00DE2EDF">
        <w:rPr>
          <w:rFonts w:cs="Times New Roman"/>
          <w:lang w:val="en-GB"/>
        </w:rPr>
        <w:t>hips</w:t>
      </w:r>
      <w:r w:rsidRPr="00DE2EDF">
        <w:rPr>
          <w:rFonts w:cs="Times New Roman"/>
          <w:lang w:val="en-GB"/>
        </w:rPr>
        <w:t xml:space="preserve"> between political institutions (the president, legislature, and ministers). According to Chapus, the issue of administration and administrative law was nowhere addressed; the 1875 Constitution did not even mention the terms </w:t>
      </w:r>
      <w:r w:rsidRPr="00DE2EDF">
        <w:rPr>
          <w:rFonts w:cs="Times New Roman"/>
          <w:i/>
          <w:lang w:val="en-GB"/>
        </w:rPr>
        <w:t>administration</w:t>
      </w:r>
      <w:r w:rsidRPr="00DE2EDF">
        <w:rPr>
          <w:rFonts w:cs="Times New Roman"/>
          <w:lang w:val="en-GB"/>
        </w:rPr>
        <w:t xml:space="preserve"> or </w:t>
      </w:r>
      <w:r w:rsidRPr="00DE2EDF">
        <w:rPr>
          <w:rFonts w:cs="Times New Roman"/>
          <w:i/>
          <w:lang w:val="en-GB"/>
        </w:rPr>
        <w:t>public service</w:t>
      </w:r>
      <w:r w:rsidRPr="00DE2EDF">
        <w:rPr>
          <w:rFonts w:cs="Times New Roman"/>
          <w:lang w:val="en-GB"/>
        </w:rPr>
        <w:t>. Formally, administrative law would also arise only from sub-constitutional sources</w:t>
      </w:r>
      <w:r w:rsidR="00BE0296" w:rsidRPr="00DE2EDF">
        <w:rPr>
          <w:rFonts w:cs="Times New Roman"/>
          <w:lang w:val="en-GB"/>
        </w:rPr>
        <w:t>. The ‘principle of legality’</w:t>
      </w:r>
      <w:r w:rsidR="00BE0296" w:rsidRPr="00DE2EDF">
        <w:rPr>
          <w:rFonts w:cs="Times New Roman"/>
        </w:rPr>
        <w:t>—</w:t>
      </w:r>
      <w:r w:rsidRPr="00DE2EDF">
        <w:rPr>
          <w:rFonts w:cs="Times New Roman"/>
          <w:lang w:val="en-GB"/>
        </w:rPr>
        <w:t>the classical French term used in the past to sum up all the normative standards to be o</w:t>
      </w:r>
      <w:r w:rsidR="00BE0296" w:rsidRPr="00DE2EDF">
        <w:rPr>
          <w:rFonts w:cs="Times New Roman"/>
          <w:lang w:val="en-GB"/>
        </w:rPr>
        <w:t>beyed by French administration</w:t>
      </w:r>
      <w:r w:rsidR="00BE0296" w:rsidRPr="00DE2EDF">
        <w:rPr>
          <w:rFonts w:cs="Times New Roman"/>
        </w:rPr>
        <w:t>—</w:t>
      </w:r>
      <w:r w:rsidRPr="00DE2EDF">
        <w:rPr>
          <w:rFonts w:cs="Times New Roman"/>
          <w:lang w:val="en-GB"/>
        </w:rPr>
        <w:t xml:space="preserve">encompassed ordinary statutes and, in particular, the </w:t>
      </w:r>
      <w:r w:rsidRPr="00DE2EDF">
        <w:rPr>
          <w:rFonts w:cs="Times New Roman"/>
          <w:i/>
          <w:lang w:val="en-GB"/>
        </w:rPr>
        <w:t xml:space="preserve">Conseil </w:t>
      </w:r>
      <w:r w:rsidR="00901A6C" w:rsidRPr="00DE2EDF">
        <w:rPr>
          <w:rFonts w:cs="Times New Roman"/>
          <w:i/>
          <w:lang w:val="en-GB"/>
        </w:rPr>
        <w:t>d</w:t>
      </w:r>
      <w:r w:rsidR="00825DB5" w:rsidRPr="00DE2EDF">
        <w:rPr>
          <w:rFonts w:cs="Times New Roman"/>
          <w:i/>
          <w:lang w:val="en-GB"/>
        </w:rPr>
        <w:t>’</w:t>
      </w:r>
      <w:r w:rsidR="00901A6C" w:rsidRPr="00DE2EDF">
        <w:rPr>
          <w:rFonts w:cs="Times New Roman"/>
          <w:i/>
          <w:lang w:val="en-GB"/>
        </w:rPr>
        <w:t>Etat</w:t>
      </w:r>
      <w:r w:rsidRPr="00DE2EDF">
        <w:rPr>
          <w:rFonts w:cs="Times New Roman"/>
          <w:i/>
          <w:lang w:val="en-GB"/>
        </w:rPr>
        <w:t>’s</w:t>
      </w:r>
      <w:r w:rsidRPr="00DE2EDF">
        <w:rPr>
          <w:rFonts w:cs="Times New Roman"/>
          <w:lang w:val="en-GB"/>
        </w:rPr>
        <w:t xml:space="preserve"> self-developed ‘general principles of law’.</w:t>
      </w:r>
    </w:p>
    <w:p w14:paraId="6B913A24" w14:textId="77777777" w:rsidR="00BE0296" w:rsidRPr="00DE2EDF" w:rsidRDefault="00BE0296" w:rsidP="00DE2EDF">
      <w:pPr>
        <w:spacing w:after="0"/>
        <w:jc w:val="both"/>
        <w:rPr>
          <w:rFonts w:cs="Times New Roman"/>
          <w:lang w:val="en-GB"/>
        </w:rPr>
      </w:pPr>
    </w:p>
    <w:p w14:paraId="3D706FF0" w14:textId="77777777" w:rsidR="000F4C26" w:rsidRPr="00DE2EDF" w:rsidRDefault="000F756A" w:rsidP="00DE2EDF">
      <w:pPr>
        <w:spacing w:after="0"/>
        <w:jc w:val="both"/>
        <w:rPr>
          <w:rFonts w:cs="Times New Roman"/>
          <w:color w:val="0000FF"/>
          <w:u w:val="single"/>
          <w:vertAlign w:val="superscript"/>
          <w:lang w:val="en-GB"/>
        </w:rPr>
      </w:pPr>
      <w:r w:rsidRPr="00DE2EDF">
        <w:rPr>
          <w:rFonts w:cs="Times New Roman"/>
          <w:lang w:val="en-GB"/>
        </w:rPr>
        <w:t>Paradoxically, the Two World The</w:t>
      </w:r>
      <w:r w:rsidR="00DE58F2" w:rsidRPr="00DE2EDF">
        <w:rPr>
          <w:rFonts w:cs="Times New Roman"/>
          <w:lang w:val="en-GB"/>
        </w:rPr>
        <w:t>sis</w:t>
      </w:r>
      <w:r w:rsidRPr="00DE2EDF">
        <w:rPr>
          <w:rFonts w:cs="Times New Roman"/>
          <w:lang w:val="en-GB"/>
        </w:rPr>
        <w:t xml:space="preserve"> also took shape in the writings of one its most important critics, Georges Vedel (1910</w:t>
      </w:r>
      <w:r w:rsidR="00C5645C" w:rsidRPr="00DE2EDF">
        <w:rPr>
          <w:rFonts w:cs="Times New Roman"/>
          <w:lang w:val="en-GB"/>
        </w:rPr>
        <w:t>–</w:t>
      </w:r>
      <w:r w:rsidRPr="00DE2EDF">
        <w:rPr>
          <w:rFonts w:cs="Times New Roman"/>
          <w:lang w:val="en-GB"/>
        </w:rPr>
        <w:t>2002). In his famous article ‘</w:t>
      </w:r>
      <w:r w:rsidRPr="00DE2EDF">
        <w:rPr>
          <w:rFonts w:cs="Times New Roman"/>
          <w:i/>
          <w:lang w:val="en-GB"/>
        </w:rPr>
        <w:t>Les bases constitutionnelles du droit administratif</w:t>
      </w:r>
      <w:r w:rsidRPr="00DE2EDF">
        <w:rPr>
          <w:rFonts w:cs="Times New Roman"/>
          <w:lang w:val="en-GB"/>
        </w:rPr>
        <w:t xml:space="preserve">’ published in 1954, Vedel had supported the idea of the constitutional foundations of administrative law. Yet, at the end of </w:t>
      </w:r>
      <w:r w:rsidR="007E1587">
        <w:rPr>
          <w:rFonts w:cs="Times New Roman"/>
          <w:lang w:val="en-GB"/>
        </w:rPr>
        <w:t xml:space="preserve">the </w:t>
      </w:r>
      <w:r w:rsidR="00E05876">
        <w:rPr>
          <w:rFonts w:cs="Times New Roman"/>
          <w:lang w:val="en-GB"/>
        </w:rPr>
        <w:t>t</w:t>
      </w:r>
      <w:r w:rsidR="003F3A10" w:rsidRPr="00DE2EDF">
        <w:rPr>
          <w:rFonts w:cs="Times New Roman"/>
          <w:lang w:val="en-GB"/>
        </w:rPr>
        <w:t>wentieth</w:t>
      </w:r>
      <w:r w:rsidRPr="00DE2EDF">
        <w:rPr>
          <w:rFonts w:cs="Times New Roman"/>
          <w:lang w:val="en-GB"/>
        </w:rPr>
        <w:t xml:space="preserve"> century, he gave the Two World The</w:t>
      </w:r>
      <w:r w:rsidR="00DE58F2" w:rsidRPr="00DE2EDF">
        <w:rPr>
          <w:rFonts w:cs="Times New Roman"/>
          <w:lang w:val="en-GB"/>
        </w:rPr>
        <w:t>sis</w:t>
      </w:r>
      <w:r w:rsidRPr="00DE2EDF">
        <w:rPr>
          <w:rFonts w:cs="Times New Roman"/>
          <w:lang w:val="en-GB"/>
        </w:rPr>
        <w:t xml:space="preserve"> a certain credibility with respect to the past. In his closing address to a conference in 1989, he asserted: ‘Thirty years ago, you could write a textbook on administrative law without a word about constitutional law’. He immediately added: ‘Today, even the fiercest defenders of separation between both disciplines are obliged to insert long constitutional passages in their textbooks on administrative law</w:t>
      </w:r>
      <w:r w:rsidR="007E31C3">
        <w:rPr>
          <w:rFonts w:cs="Times New Roman"/>
          <w:lang w:val="en-GB"/>
        </w:rPr>
        <w:t>.</w:t>
      </w:r>
      <w:r w:rsidRPr="00DE2EDF">
        <w:rPr>
          <w:rFonts w:cs="Times New Roman"/>
          <w:lang w:val="en-GB"/>
        </w:rPr>
        <w:t>’</w:t>
      </w:r>
      <w:bookmarkStart w:id="102" w:name="_ftnref44"/>
      <w:r w:rsidRPr="00DE2EDF">
        <w:rPr>
          <w:rStyle w:val="FootnoteReference"/>
          <w:rFonts w:cs="Times New Roman"/>
          <w:iCs/>
          <w:lang w:val="en-GB"/>
        </w:rPr>
        <w:footnoteReference w:id="50"/>
      </w:r>
      <w:bookmarkEnd w:id="102"/>
      <w:r w:rsidRPr="00DE2EDF">
        <w:rPr>
          <w:rFonts w:cs="Times New Roman"/>
          <w:lang w:val="en-GB"/>
        </w:rPr>
        <w:t xml:space="preserve"> This partial recognition of the Two World The</w:t>
      </w:r>
      <w:r w:rsidR="00DE58F2" w:rsidRPr="00DE2EDF">
        <w:rPr>
          <w:rFonts w:cs="Times New Roman"/>
          <w:lang w:val="en-GB"/>
        </w:rPr>
        <w:t>sis</w:t>
      </w:r>
      <w:r w:rsidRPr="00DE2EDF">
        <w:rPr>
          <w:rFonts w:cs="Times New Roman"/>
          <w:lang w:val="en-GB"/>
        </w:rPr>
        <w:t xml:space="preserve"> (perhaps a rhetorical exaggeration?) fails, however, to convince.</w:t>
      </w:r>
      <w:r w:rsidR="00997996" w:rsidRPr="00DE2EDF">
        <w:rPr>
          <w:rFonts w:cs="Times New Roman"/>
          <w:lang w:val="en-GB"/>
        </w:rPr>
        <w:t xml:space="preserve"> </w:t>
      </w:r>
      <w:r w:rsidRPr="00DE2EDF">
        <w:rPr>
          <w:rFonts w:cs="Times New Roman"/>
          <w:lang w:val="en-GB"/>
        </w:rPr>
        <w:t>In his statement, Vedel did not advance any evidence; he did not cite any specific textbook. It should also be noted that he did not, as Chapus did, refer to the Third Republic, but to the 1950s and 1960s (i.e., ‘thirty years ago’).</w:t>
      </w:r>
      <w:bookmarkStart w:id="103" w:name="_Ref401127809"/>
      <w:bookmarkStart w:id="104" w:name="_ftnref45"/>
      <w:r w:rsidRPr="00DE2EDF">
        <w:rPr>
          <w:rStyle w:val="FootnoteReference"/>
          <w:rFonts w:cs="Times New Roman"/>
          <w:iCs/>
          <w:lang w:val="en-GB"/>
        </w:rPr>
        <w:footnoteReference w:id="51"/>
      </w:r>
      <w:bookmarkEnd w:id="103"/>
      <w:r w:rsidR="00CA7D14" w:rsidRPr="00DE2EDF">
        <w:rPr>
          <w:rFonts w:cs="Times New Roman"/>
        </w:rPr>
        <w:fldChar w:fldCharType="begin"/>
      </w:r>
      <w:r w:rsidR="00980EE0" w:rsidRPr="00DE2EDF">
        <w:rPr>
          <w:rFonts w:cs="Times New Roman"/>
        </w:rPr>
        <w:instrText xml:space="preserve"> HYPERLINK "http://www.microsofttranslator.com/bv.aspx?from=de&amp;to=en&amp;a=http%3A%2F%2F131.253.14.98%2Fbvsandbox.aspx%3F%26dl%3Den%26from%3Dde%26to%3Den%23_ftn45" \t "_top" </w:instrText>
      </w:r>
      <w:r w:rsidR="00CA7D14" w:rsidRPr="00DE2EDF">
        <w:rPr>
          <w:rFonts w:cs="Times New Roman"/>
        </w:rPr>
        <w:fldChar w:fldCharType="separate"/>
      </w:r>
      <w:r w:rsidRPr="00DE2EDF">
        <w:rPr>
          <w:rFonts w:cs="Times New Roman"/>
          <w:color w:val="0000FF"/>
          <w:u w:val="single"/>
          <w:vertAlign w:val="superscript"/>
          <w:lang w:val="en-GB"/>
        </w:rPr>
        <w:t xml:space="preserve"> </w:t>
      </w:r>
      <w:r w:rsidR="00CA7D14" w:rsidRPr="00DE2EDF">
        <w:rPr>
          <w:rFonts w:cs="Times New Roman"/>
          <w:color w:val="0000FF"/>
          <w:u w:val="single"/>
          <w:vertAlign w:val="superscript"/>
          <w:lang w:val="en-GB"/>
        </w:rPr>
        <w:fldChar w:fldCharType="end"/>
      </w:r>
      <w:bookmarkEnd w:id="104"/>
    </w:p>
    <w:p w14:paraId="1D832394" w14:textId="77777777" w:rsidR="000F756A" w:rsidRPr="00DE2EDF" w:rsidRDefault="000F756A" w:rsidP="00DE2EDF">
      <w:pPr>
        <w:spacing w:after="0"/>
        <w:jc w:val="both"/>
        <w:rPr>
          <w:rFonts w:cs="Times New Roman"/>
          <w:lang w:val="en-GB"/>
        </w:rPr>
      </w:pPr>
    </w:p>
    <w:p w14:paraId="4AF8B2FE" w14:textId="7ECE72B4" w:rsidR="000F756A" w:rsidRPr="00DE2EDF" w:rsidRDefault="000F756A" w:rsidP="00DE2EDF">
      <w:pPr>
        <w:pStyle w:val="Heading3"/>
        <w:rPr>
          <w:rFonts w:cs="Times New Roman"/>
          <w:szCs w:val="24"/>
        </w:rPr>
      </w:pPr>
      <w:bookmarkStart w:id="105" w:name="_Toc253048931"/>
      <w:bookmarkStart w:id="106" w:name="_Toc252700478"/>
      <w:bookmarkStart w:id="107" w:name="_Toc245196661"/>
      <w:bookmarkStart w:id="108" w:name="_Toc460405624"/>
      <w:bookmarkEnd w:id="105"/>
      <w:bookmarkEnd w:id="106"/>
      <w:r w:rsidRPr="00DE2EDF">
        <w:rPr>
          <w:rFonts w:cs="Times New Roman"/>
          <w:szCs w:val="24"/>
        </w:rPr>
        <w:t>c)</w:t>
      </w:r>
      <w:bookmarkEnd w:id="107"/>
      <w:r w:rsidR="00ED3DAA" w:rsidRPr="00DE2EDF">
        <w:rPr>
          <w:rFonts w:cs="Times New Roman"/>
          <w:szCs w:val="24"/>
        </w:rPr>
        <w:t xml:space="preserve"> </w:t>
      </w:r>
      <w:r w:rsidRPr="00DE2EDF">
        <w:rPr>
          <w:rFonts w:cs="Times New Roman"/>
          <w:szCs w:val="24"/>
        </w:rPr>
        <w:t xml:space="preserve">A </w:t>
      </w:r>
      <w:r w:rsidR="00A260A7" w:rsidRPr="00DE2EDF">
        <w:rPr>
          <w:rFonts w:cs="Times New Roman"/>
          <w:szCs w:val="24"/>
        </w:rPr>
        <w:t>G</w:t>
      </w:r>
      <w:r w:rsidRPr="00DE2EDF">
        <w:rPr>
          <w:rFonts w:cs="Times New Roman"/>
          <w:szCs w:val="24"/>
        </w:rPr>
        <w:t xml:space="preserve">rain of </w:t>
      </w:r>
      <w:r w:rsidR="00A260A7" w:rsidRPr="00DE2EDF">
        <w:rPr>
          <w:rFonts w:cs="Times New Roman"/>
          <w:szCs w:val="24"/>
        </w:rPr>
        <w:t>T</w:t>
      </w:r>
      <w:r w:rsidRPr="00DE2EDF">
        <w:rPr>
          <w:rFonts w:cs="Times New Roman"/>
          <w:szCs w:val="24"/>
        </w:rPr>
        <w:t xml:space="preserve">ruth: </w:t>
      </w:r>
      <w:r w:rsidR="00A260A7" w:rsidRPr="00DE2EDF">
        <w:rPr>
          <w:rFonts w:cs="Times New Roman"/>
          <w:szCs w:val="24"/>
        </w:rPr>
        <w:t>R</w:t>
      </w:r>
      <w:r w:rsidRPr="00DE2EDF">
        <w:rPr>
          <w:rFonts w:cs="Times New Roman"/>
          <w:szCs w:val="24"/>
        </w:rPr>
        <w:t xml:space="preserve">ivalry </w:t>
      </w:r>
      <w:r w:rsidR="005F1533" w:rsidRPr="00DE2EDF">
        <w:rPr>
          <w:rFonts w:cs="Times New Roman"/>
          <w:szCs w:val="24"/>
        </w:rPr>
        <w:t>between</w:t>
      </w:r>
      <w:r w:rsidRPr="00DE2EDF">
        <w:rPr>
          <w:rFonts w:cs="Times New Roman"/>
          <w:szCs w:val="24"/>
        </w:rPr>
        <w:t xml:space="preserve"> </w:t>
      </w:r>
      <w:r w:rsidR="00A260A7" w:rsidRPr="00DE2EDF">
        <w:rPr>
          <w:rFonts w:cs="Times New Roman"/>
          <w:szCs w:val="24"/>
        </w:rPr>
        <w:t>C</w:t>
      </w:r>
      <w:r w:rsidRPr="00DE2EDF">
        <w:rPr>
          <w:rFonts w:cs="Times New Roman"/>
          <w:szCs w:val="24"/>
        </w:rPr>
        <w:t xml:space="preserve">ourts and the </w:t>
      </w:r>
      <w:r w:rsidR="00A260A7" w:rsidRPr="00DE2EDF">
        <w:rPr>
          <w:rFonts w:cs="Times New Roman"/>
          <w:szCs w:val="24"/>
        </w:rPr>
        <w:t>D</w:t>
      </w:r>
      <w:r w:rsidRPr="00DE2EDF">
        <w:rPr>
          <w:rFonts w:cs="Times New Roman"/>
          <w:szCs w:val="24"/>
        </w:rPr>
        <w:t xml:space="preserve">rifting </w:t>
      </w:r>
      <w:r w:rsidR="00A260A7" w:rsidRPr="00DE2EDF">
        <w:rPr>
          <w:rFonts w:cs="Times New Roman"/>
          <w:szCs w:val="24"/>
        </w:rPr>
        <w:t>A</w:t>
      </w:r>
      <w:r w:rsidRPr="00DE2EDF">
        <w:rPr>
          <w:rFonts w:cs="Times New Roman"/>
          <w:szCs w:val="24"/>
        </w:rPr>
        <w:t xml:space="preserve">part of the </w:t>
      </w:r>
      <w:r w:rsidR="00A260A7" w:rsidRPr="00DE2EDF">
        <w:rPr>
          <w:rFonts w:cs="Times New Roman"/>
          <w:szCs w:val="24"/>
        </w:rPr>
        <w:t>T</w:t>
      </w:r>
      <w:r w:rsidRPr="00DE2EDF">
        <w:rPr>
          <w:rFonts w:cs="Times New Roman"/>
          <w:szCs w:val="24"/>
        </w:rPr>
        <w:t xml:space="preserve">wo </w:t>
      </w:r>
      <w:r w:rsidR="00A260A7" w:rsidRPr="00DE2EDF">
        <w:rPr>
          <w:rFonts w:cs="Times New Roman"/>
          <w:szCs w:val="24"/>
        </w:rPr>
        <w:t>L</w:t>
      </w:r>
      <w:r w:rsidRPr="00DE2EDF">
        <w:rPr>
          <w:rFonts w:cs="Times New Roman"/>
          <w:szCs w:val="24"/>
        </w:rPr>
        <w:t xml:space="preserve">egal </w:t>
      </w:r>
      <w:r w:rsidR="00A260A7" w:rsidRPr="00DE2EDF">
        <w:rPr>
          <w:rFonts w:cs="Times New Roman"/>
          <w:szCs w:val="24"/>
        </w:rPr>
        <w:t>B</w:t>
      </w:r>
      <w:r w:rsidRPr="00DE2EDF">
        <w:rPr>
          <w:rFonts w:cs="Times New Roman"/>
          <w:szCs w:val="24"/>
        </w:rPr>
        <w:t>ranches</w:t>
      </w:r>
      <w:bookmarkEnd w:id="108"/>
    </w:p>
    <w:p w14:paraId="41F78607" w14:textId="77777777" w:rsidR="00ED3DAA" w:rsidRPr="00DE2EDF" w:rsidRDefault="00ED3DAA" w:rsidP="00DE2EDF">
      <w:pPr>
        <w:spacing w:after="0"/>
        <w:rPr>
          <w:rFonts w:cs="Times New Roman"/>
          <w:lang w:val="en-GB"/>
        </w:rPr>
      </w:pPr>
    </w:p>
    <w:p w14:paraId="4FDD8685" w14:textId="77777777" w:rsidR="000F4C26" w:rsidRPr="00DE2EDF" w:rsidRDefault="000F756A" w:rsidP="00DE2EDF">
      <w:pPr>
        <w:spacing w:after="0"/>
        <w:jc w:val="both"/>
        <w:rPr>
          <w:rFonts w:cs="Times New Roman"/>
          <w:lang w:val="en-GB"/>
        </w:rPr>
      </w:pPr>
      <w:r w:rsidRPr="00DE2EDF">
        <w:rPr>
          <w:rFonts w:cs="Times New Roman"/>
          <w:lang w:val="en-GB"/>
        </w:rPr>
        <w:t>At a first glance, one might think that the Two World The</w:t>
      </w:r>
      <w:r w:rsidR="007A2C20" w:rsidRPr="00DE2EDF">
        <w:rPr>
          <w:rFonts w:cs="Times New Roman"/>
          <w:lang w:val="en-GB"/>
        </w:rPr>
        <w:t>sis</w:t>
      </w:r>
      <w:r w:rsidRPr="00DE2EDF">
        <w:rPr>
          <w:rFonts w:cs="Times New Roman"/>
          <w:lang w:val="en-GB"/>
        </w:rPr>
        <w:t xml:space="preserve"> reflected the reality of French law at different historical periods. A deeper insight reveals, however, that this view is wrong. Regarding the Fifth Republic, Chapus’ general statement about the </w:t>
      </w:r>
      <w:r w:rsidRPr="00DE2EDF">
        <w:rPr>
          <w:rFonts w:cs="Times New Roman"/>
          <w:i/>
          <w:lang w:val="en-GB"/>
        </w:rPr>
        <w:t>dédoublement de l’ordre juridique</w:t>
      </w:r>
      <w:r w:rsidRPr="00DE2EDF">
        <w:rPr>
          <w:rFonts w:cs="Times New Roman"/>
          <w:lang w:val="en-GB"/>
        </w:rPr>
        <w:t xml:space="preserve"> is an excessive extrapolation. His empirical evidence was the manner in which the </w:t>
      </w:r>
      <w:r w:rsidRPr="00DE2EDF">
        <w:rPr>
          <w:rFonts w:cs="Times New Roman"/>
          <w:i/>
          <w:lang w:val="en-GB"/>
        </w:rPr>
        <w:t xml:space="preserve">Conseil </w:t>
      </w:r>
      <w:r w:rsidR="00825DB5" w:rsidRPr="00DE2EDF">
        <w:rPr>
          <w:rFonts w:cs="Times New Roman"/>
          <w:i/>
          <w:lang w:val="en-GB"/>
        </w:rPr>
        <w:t>d’Etat</w:t>
      </w:r>
      <w:r w:rsidRPr="00DE2EDF">
        <w:rPr>
          <w:rFonts w:cs="Times New Roman"/>
          <w:lang w:val="en-GB"/>
        </w:rPr>
        <w:t xml:space="preserve"> used to handle ‘general principles of law.’ Rather than relying directly on the Constitution or the constitutional principles laid out by the </w:t>
      </w:r>
      <w:r w:rsidRPr="00DE2EDF">
        <w:rPr>
          <w:rFonts w:cs="Times New Roman"/>
          <w:i/>
          <w:lang w:val="en-GB"/>
        </w:rPr>
        <w:t>Conseil constitutionnel</w:t>
      </w:r>
      <w:r w:rsidRPr="00DE2EDF">
        <w:rPr>
          <w:rFonts w:cs="Times New Roman"/>
          <w:lang w:val="en-GB"/>
        </w:rPr>
        <w:t xml:space="preserve">, the </w:t>
      </w:r>
      <w:r w:rsidRPr="00DE2EDF">
        <w:rPr>
          <w:rFonts w:cs="Times New Roman"/>
          <w:i/>
          <w:lang w:val="en-GB"/>
        </w:rPr>
        <w:t xml:space="preserve">Conseil </w:t>
      </w:r>
      <w:r w:rsidR="00825DB5" w:rsidRPr="00DE2EDF">
        <w:rPr>
          <w:rFonts w:cs="Times New Roman"/>
          <w:i/>
          <w:lang w:val="en-GB"/>
        </w:rPr>
        <w:t>d’Etat</w:t>
      </w:r>
      <w:r w:rsidRPr="00DE2EDF">
        <w:rPr>
          <w:rFonts w:cs="Times New Roman"/>
          <w:i/>
          <w:lang w:val="en-GB"/>
        </w:rPr>
        <w:t xml:space="preserve"> </w:t>
      </w:r>
      <w:r w:rsidRPr="00DE2EDF">
        <w:rPr>
          <w:rFonts w:cs="Times New Roman"/>
          <w:lang w:val="en-GB"/>
        </w:rPr>
        <w:t>chose to crea</w:t>
      </w:r>
      <w:r w:rsidR="00FE4844" w:rsidRPr="00DE2EDF">
        <w:rPr>
          <w:rFonts w:cs="Times New Roman"/>
          <w:lang w:val="en-GB"/>
        </w:rPr>
        <w:t>te</w:t>
      </w:r>
      <w:r w:rsidR="00FE4844" w:rsidRPr="00DE2EDF">
        <w:rPr>
          <w:rFonts w:cs="Times New Roman"/>
        </w:rPr>
        <w:t>—</w:t>
      </w:r>
      <w:r w:rsidR="00FE4844" w:rsidRPr="00DE2EDF">
        <w:rPr>
          <w:rFonts w:cs="Times New Roman"/>
          <w:lang w:val="en-GB"/>
        </w:rPr>
        <w:t>without supervision</w:t>
      </w:r>
      <w:r w:rsidR="00FE4844" w:rsidRPr="00DE2EDF">
        <w:rPr>
          <w:rFonts w:cs="Times New Roman"/>
        </w:rPr>
        <w:t>—</w:t>
      </w:r>
      <w:r w:rsidRPr="00DE2EDF">
        <w:rPr>
          <w:rFonts w:cs="Times New Roman"/>
          <w:lang w:val="en-GB"/>
        </w:rPr>
        <w:t xml:space="preserve">its own ‘general principles of law’, even though the content thereof overlapped with constitutional principles. In this way, the </w:t>
      </w:r>
      <w:r w:rsidRPr="00DE2EDF">
        <w:rPr>
          <w:rFonts w:cs="Times New Roman"/>
          <w:i/>
          <w:lang w:val="en-GB"/>
        </w:rPr>
        <w:t xml:space="preserve">Conseil </w:t>
      </w:r>
      <w:r w:rsidR="00825DB5" w:rsidRPr="00DE2EDF">
        <w:rPr>
          <w:rFonts w:cs="Times New Roman"/>
          <w:i/>
          <w:lang w:val="en-GB"/>
        </w:rPr>
        <w:t>d’Etat</w:t>
      </w:r>
      <w:r w:rsidRPr="00DE2EDF">
        <w:rPr>
          <w:rFonts w:cs="Times New Roman"/>
          <w:lang w:val="en-GB"/>
        </w:rPr>
        <w:t xml:space="preserve"> created a certain distance between it</w:t>
      </w:r>
      <w:r w:rsidR="004F0910" w:rsidRPr="00DE2EDF">
        <w:rPr>
          <w:rFonts w:cs="Times New Roman"/>
          <w:lang w:val="en-GB"/>
        </w:rPr>
        <w:t>self</w:t>
      </w:r>
      <w:r w:rsidRPr="00DE2EDF">
        <w:rPr>
          <w:rFonts w:cs="Times New Roman"/>
          <w:lang w:val="en-GB"/>
        </w:rPr>
        <w:t xml:space="preserve"> and the Constitution and </w:t>
      </w:r>
      <w:r w:rsidR="004F0910" w:rsidRPr="00DE2EDF">
        <w:rPr>
          <w:rFonts w:cs="Times New Roman"/>
          <w:lang w:val="en-GB"/>
        </w:rPr>
        <w:t xml:space="preserve">the </w:t>
      </w:r>
      <w:r w:rsidRPr="00DE2EDF">
        <w:rPr>
          <w:rFonts w:cs="Times New Roman"/>
          <w:i/>
          <w:lang w:val="en-GB"/>
        </w:rPr>
        <w:t>Conseil constitutionnel</w:t>
      </w:r>
      <w:r w:rsidRPr="00DE2EDF">
        <w:rPr>
          <w:rFonts w:cs="Times New Roman"/>
          <w:lang w:val="en-GB"/>
        </w:rPr>
        <w:t xml:space="preserve">. It is an aspect of the rivalry between the two </w:t>
      </w:r>
      <w:r w:rsidRPr="00DE2EDF">
        <w:rPr>
          <w:rFonts w:cs="Times New Roman"/>
          <w:i/>
          <w:lang w:val="en-GB"/>
        </w:rPr>
        <w:t>Conseils</w:t>
      </w:r>
      <w:r w:rsidRPr="00DE2EDF">
        <w:rPr>
          <w:rFonts w:cs="Times New Roman"/>
          <w:lang w:val="en-GB"/>
        </w:rPr>
        <w:t xml:space="preserve">; to speak of a </w:t>
      </w:r>
      <w:r w:rsidRPr="00DE2EDF">
        <w:rPr>
          <w:rFonts w:cs="Times New Roman"/>
          <w:i/>
          <w:lang w:val="en-GB"/>
        </w:rPr>
        <w:t>total</w:t>
      </w:r>
      <w:r w:rsidRPr="00DE2EDF">
        <w:rPr>
          <w:rFonts w:cs="Times New Roman"/>
          <w:lang w:val="en-GB"/>
        </w:rPr>
        <w:t xml:space="preserve"> decoupling of the two legal areas is, however, exaggerated</w:t>
      </w:r>
      <w:bookmarkStart w:id="109" w:name="_ftnref46"/>
      <w:r w:rsidR="007E31C3">
        <w:rPr>
          <w:rFonts w:cs="Times New Roman"/>
          <w:lang w:val="en-GB"/>
        </w:rPr>
        <w:t>.</w:t>
      </w:r>
      <w:r w:rsidRPr="00DE2EDF">
        <w:rPr>
          <w:rStyle w:val="FootnoteReference"/>
          <w:rFonts w:cs="Times New Roman"/>
          <w:iCs/>
          <w:lang w:val="en-GB"/>
        </w:rPr>
        <w:footnoteReference w:id="52"/>
      </w:r>
      <w:r w:rsidRPr="00DE2EDF">
        <w:rPr>
          <w:rFonts w:cs="Times New Roman"/>
          <w:lang w:val="en-GB"/>
        </w:rPr>
        <w:t xml:space="preserve"> Such a statement is refuted by the mere existence of </w:t>
      </w:r>
      <w:bookmarkEnd w:id="109"/>
      <w:r w:rsidRPr="00DE2EDF">
        <w:rPr>
          <w:rFonts w:cs="Times New Roman"/>
          <w:lang w:val="en-GB"/>
        </w:rPr>
        <w:t>the so-called ‘constitutional sources’ of administrative law (administrative law norms with constitutional ranking), which Chapus explicitly addressed in a different part of his textbook.</w:t>
      </w:r>
      <w:bookmarkStart w:id="110" w:name="_ftnref47"/>
      <w:r w:rsidRPr="00DE2EDF">
        <w:rPr>
          <w:rStyle w:val="FootnoteReference"/>
          <w:rFonts w:cs="Times New Roman"/>
          <w:iCs/>
          <w:lang w:val="en-GB"/>
        </w:rPr>
        <w:footnoteReference w:id="53"/>
      </w:r>
      <w:bookmarkEnd w:id="110"/>
    </w:p>
    <w:p w14:paraId="007E7D34" w14:textId="77777777" w:rsidR="000F4C26" w:rsidRPr="00DE2EDF" w:rsidRDefault="000F4C26" w:rsidP="00DE2EDF">
      <w:pPr>
        <w:spacing w:after="0"/>
        <w:jc w:val="both"/>
        <w:rPr>
          <w:rFonts w:cs="Times New Roman"/>
          <w:lang w:val="en-GB"/>
        </w:rPr>
      </w:pPr>
    </w:p>
    <w:p w14:paraId="0F95E20D" w14:textId="77777777" w:rsidR="000F4C26" w:rsidRPr="00DE2EDF" w:rsidRDefault="000F756A" w:rsidP="00DE2EDF">
      <w:pPr>
        <w:spacing w:after="0"/>
        <w:jc w:val="both"/>
        <w:rPr>
          <w:rFonts w:cs="Times New Roman"/>
          <w:lang w:val="en-GB"/>
        </w:rPr>
      </w:pPr>
      <w:r w:rsidRPr="00DE2EDF">
        <w:rPr>
          <w:rFonts w:cs="Times New Roman"/>
          <w:lang w:val="en-GB"/>
        </w:rPr>
        <w:t>Chapus’ analysis is also inaccurate with respect to the Third Republic. The idea of a hermetic separation between constitutional and administrative law was never put forward during the Third Republic. Already in the early years of the Third Republic (1870</w:t>
      </w:r>
      <w:r w:rsidR="000D61F6" w:rsidRPr="00DE2EDF">
        <w:rPr>
          <w:rFonts w:cs="Times New Roman"/>
          <w:lang w:val="en-GB"/>
        </w:rPr>
        <w:t>–</w:t>
      </w:r>
      <w:r w:rsidRPr="00DE2EDF">
        <w:rPr>
          <w:rFonts w:cs="Times New Roman"/>
          <w:lang w:val="en-GB"/>
        </w:rPr>
        <w:t>1900), scholars emphasized the complex interweaving of constitutional and administrative law under the umbrella category of ‘public law’</w:t>
      </w:r>
      <w:bookmarkStart w:id="111" w:name="_ftnref48"/>
      <w:r w:rsidRPr="00DE2EDF">
        <w:rPr>
          <w:rFonts w:cs="Times New Roman"/>
          <w:lang w:val="en-GB"/>
        </w:rPr>
        <w:t>.</w:t>
      </w:r>
      <w:r w:rsidRPr="00DE2EDF">
        <w:rPr>
          <w:rStyle w:val="FootnoteReference"/>
          <w:rFonts w:cs="Times New Roman"/>
          <w:iCs/>
          <w:lang w:val="en-GB"/>
        </w:rPr>
        <w:footnoteReference w:id="54"/>
      </w:r>
      <w:r w:rsidRPr="00DE2EDF">
        <w:rPr>
          <w:rFonts w:cs="Times New Roman"/>
          <w:lang w:val="en-GB"/>
        </w:rPr>
        <w:t xml:space="preserve"> </w:t>
      </w:r>
      <w:bookmarkEnd w:id="111"/>
      <w:r w:rsidRPr="00DE2EDF">
        <w:rPr>
          <w:rFonts w:cs="Times New Roman"/>
          <w:lang w:val="en-GB"/>
        </w:rPr>
        <w:t xml:space="preserve">When presenting administrative law in a nutshell, the </w:t>
      </w:r>
      <w:r w:rsidR="007A2C20" w:rsidRPr="00DE2EDF">
        <w:rPr>
          <w:rFonts w:cs="Times New Roman"/>
          <w:lang w:val="en-GB"/>
        </w:rPr>
        <w:t>cram school teacher</w:t>
      </w:r>
      <w:r w:rsidRPr="00DE2EDF">
        <w:rPr>
          <w:rFonts w:cs="Times New Roman"/>
          <w:lang w:val="en-GB"/>
        </w:rPr>
        <w:t xml:space="preserve"> (</w:t>
      </w:r>
      <w:r w:rsidRPr="00DE2EDF">
        <w:rPr>
          <w:rFonts w:cs="Times New Roman"/>
          <w:i/>
          <w:lang w:val="en-GB"/>
        </w:rPr>
        <w:t>répétiteur</w:t>
      </w:r>
      <w:r w:rsidRPr="00DE2EDF">
        <w:rPr>
          <w:rFonts w:cs="Times New Roman"/>
          <w:lang w:val="en-GB"/>
        </w:rPr>
        <w:t>) François Boeuf put it somewhat more simplistically: ‘</w:t>
      </w:r>
      <w:bookmarkStart w:id="112" w:name="_ftnref49"/>
      <w:r w:rsidRPr="00DE2EDF">
        <w:rPr>
          <w:rFonts w:cs="Times New Roman"/>
          <w:lang w:val="en-GB"/>
        </w:rPr>
        <w:t xml:space="preserve">The first [constitutional law] fixes the principles of the government; the second [administrative law] determines the consequences involved </w:t>
      </w:r>
      <w:r w:rsidRPr="00DE2EDF">
        <w:rPr>
          <w:rFonts w:cs="Times New Roman"/>
          <w:lang w:val="en-GB"/>
        </w:rPr>
        <w:lastRenderedPageBreak/>
        <w:t>and puts them into application</w:t>
      </w:r>
      <w:r w:rsidR="007E31C3">
        <w:rPr>
          <w:rFonts w:cs="Times New Roman"/>
          <w:lang w:val="en-GB"/>
        </w:rPr>
        <w:t>.</w:t>
      </w:r>
      <w:r w:rsidRPr="00DE2EDF">
        <w:rPr>
          <w:rFonts w:cs="Times New Roman"/>
          <w:lang w:val="en-GB"/>
        </w:rPr>
        <w:t>’</w:t>
      </w:r>
      <w:r w:rsidRPr="00DE2EDF">
        <w:rPr>
          <w:rStyle w:val="FootnoteReference"/>
          <w:rFonts w:cs="Times New Roman"/>
          <w:iCs/>
          <w:lang w:val="en-GB"/>
        </w:rPr>
        <w:footnoteReference w:id="55"/>
      </w:r>
      <w:bookmarkEnd w:id="112"/>
      <w:r w:rsidRPr="00DE2EDF">
        <w:rPr>
          <w:rFonts w:cs="Times New Roman"/>
          <w:lang w:val="en-GB"/>
        </w:rPr>
        <w:t xml:space="preserve"> The link between both are human rights and the principle of separation of powers. The intertwined nature of the two branches of law is even more pronounced in the classic literature of the Third Republic (Maurice Hauriou, Léon Duguit, Gaston Jèze, etc.), which sometimes resulted in a totally blurred boundary.</w:t>
      </w:r>
      <w:bookmarkStart w:id="113" w:name="_ftnref50"/>
      <w:r w:rsidRPr="00DE2EDF">
        <w:rPr>
          <w:rStyle w:val="FootnoteReference"/>
          <w:rFonts w:cs="Times New Roman"/>
          <w:iCs/>
          <w:lang w:val="en-GB"/>
        </w:rPr>
        <w:footnoteReference w:id="56"/>
      </w:r>
      <w:r w:rsidRPr="00DE2EDF">
        <w:rPr>
          <w:rFonts w:cs="Times New Roman"/>
          <w:lang w:val="en-GB"/>
        </w:rPr>
        <w:t xml:space="preserve"> </w:t>
      </w:r>
      <w:bookmarkEnd w:id="113"/>
      <w:r w:rsidRPr="00DE2EDF">
        <w:rPr>
          <w:rFonts w:cs="Times New Roman"/>
          <w:lang w:val="en-GB"/>
        </w:rPr>
        <w:t xml:space="preserve">According to the distinction made by Duguit and Jèze, constitutional law and administrative law </w:t>
      </w:r>
      <w:r w:rsidR="004F0910" w:rsidRPr="00DE2EDF">
        <w:rPr>
          <w:rFonts w:cs="Times New Roman"/>
          <w:lang w:val="en-GB"/>
        </w:rPr>
        <w:t>concern</w:t>
      </w:r>
      <w:r w:rsidRPr="00DE2EDF">
        <w:rPr>
          <w:rFonts w:cs="Times New Roman"/>
          <w:lang w:val="en-GB"/>
        </w:rPr>
        <w:t xml:space="preserve"> different actors: the first deals with those who govern (the rulers, </w:t>
      </w:r>
      <w:r w:rsidRPr="00DE2EDF">
        <w:rPr>
          <w:rFonts w:cs="Times New Roman"/>
          <w:i/>
          <w:lang w:val="en-GB"/>
        </w:rPr>
        <w:t>les gouvernants</w:t>
      </w:r>
      <w:r w:rsidRPr="00DE2EDF">
        <w:rPr>
          <w:rFonts w:cs="Times New Roman"/>
          <w:lang w:val="en-GB"/>
        </w:rPr>
        <w:t>), while the second is addressed to the administration (the agents, enforcers)</w:t>
      </w:r>
      <w:r w:rsidR="0087107F" w:rsidRPr="00DE2EDF">
        <w:rPr>
          <w:rFonts w:cs="Times New Roman"/>
          <w:lang w:val="en-GB"/>
        </w:rPr>
        <w:t xml:space="preserve">. Yet, </w:t>
      </w:r>
      <w:r w:rsidRPr="00DE2EDF">
        <w:rPr>
          <w:rFonts w:cs="Times New Roman"/>
          <w:lang w:val="en-GB"/>
        </w:rPr>
        <w:t>both areas of law essentially pay homage to a common set of values, such as the concepts of public service (</w:t>
      </w:r>
      <w:r w:rsidRPr="00DE2EDF">
        <w:rPr>
          <w:rFonts w:cs="Times New Roman"/>
          <w:i/>
          <w:lang w:val="en-GB"/>
        </w:rPr>
        <w:t>service public</w:t>
      </w:r>
      <w:r w:rsidRPr="00DE2EDF">
        <w:rPr>
          <w:rFonts w:cs="Times New Roman"/>
          <w:lang w:val="en-GB"/>
        </w:rPr>
        <w:t xml:space="preserve">) and individual liberties. However, one may argue that Duguit and Hauriou artificially inflated the thin content of the three Constitutional Acts of 1875, which contained no reference to the word or idea of ‘public service’ nor even a bill of rights, with the help of controversial </w:t>
      </w:r>
      <w:r w:rsidR="0087107F" w:rsidRPr="00DE2EDF">
        <w:rPr>
          <w:rFonts w:cs="Times New Roman"/>
          <w:lang w:val="en-GB"/>
        </w:rPr>
        <w:t xml:space="preserve">natural law </w:t>
      </w:r>
      <w:r w:rsidRPr="00DE2EDF">
        <w:rPr>
          <w:rFonts w:cs="Times New Roman"/>
          <w:lang w:val="en-GB"/>
        </w:rPr>
        <w:t>superstructure</w:t>
      </w:r>
      <w:r w:rsidR="0087107F" w:rsidRPr="00DE2EDF">
        <w:rPr>
          <w:rFonts w:cs="Times New Roman"/>
          <w:lang w:val="en-GB"/>
        </w:rPr>
        <w:t>s</w:t>
      </w:r>
      <w:r w:rsidRPr="00DE2EDF">
        <w:rPr>
          <w:rFonts w:cs="Times New Roman"/>
          <w:lang w:val="en-GB"/>
        </w:rPr>
        <w:t xml:space="preserve">. </w:t>
      </w:r>
      <w:r w:rsidR="007A2C20" w:rsidRPr="00DE2EDF">
        <w:rPr>
          <w:rFonts w:cs="Times New Roman"/>
          <w:lang w:val="en-GB"/>
        </w:rPr>
        <w:t>Yet</w:t>
      </w:r>
      <w:r w:rsidRPr="00DE2EDF">
        <w:rPr>
          <w:rFonts w:cs="Times New Roman"/>
          <w:lang w:val="en-GB"/>
        </w:rPr>
        <w:t>, even if one only considers the written text of the three Constitutional Acts</w:t>
      </w:r>
      <w:r w:rsidR="007A2C20" w:rsidRPr="00DE2EDF">
        <w:rPr>
          <w:rFonts w:cs="Times New Roman"/>
          <w:lang w:val="en-GB"/>
        </w:rPr>
        <w:t xml:space="preserve"> of 1875</w:t>
      </w:r>
      <w:r w:rsidR="00FE4844" w:rsidRPr="00DE2EDF">
        <w:rPr>
          <w:rFonts w:cs="Times New Roman"/>
        </w:rPr>
        <w:t>—</w:t>
      </w:r>
      <w:r w:rsidRPr="00DE2EDF">
        <w:rPr>
          <w:rFonts w:cs="Times New Roman"/>
          <w:lang w:val="en-GB"/>
        </w:rPr>
        <w:t xml:space="preserve">which, together, represent one of the shortest Constitutions in the world history of </w:t>
      </w:r>
      <w:r w:rsidR="00D7708F">
        <w:rPr>
          <w:rFonts w:cs="Times New Roman"/>
          <w:lang w:val="en-GB"/>
        </w:rPr>
        <w:t>C</w:t>
      </w:r>
      <w:r w:rsidRPr="00DE2EDF">
        <w:rPr>
          <w:rFonts w:cs="Times New Roman"/>
          <w:lang w:val="en-GB"/>
        </w:rPr>
        <w:t>onstitutions and, conceptually, an absolute minimum (in 1875, a total of 34 articles, after 1884, only 26 articles, corresponding to 1746 words)</w:t>
      </w:r>
      <w:bookmarkStart w:id="114" w:name="_Ref401055775"/>
      <w:r w:rsidRPr="00DE2EDF">
        <w:rPr>
          <w:rStyle w:val="FootnoteReference"/>
          <w:rFonts w:cs="Times New Roman"/>
          <w:iCs/>
          <w:lang w:val="en-GB"/>
        </w:rPr>
        <w:footnoteReference w:id="57"/>
      </w:r>
      <w:bookmarkEnd w:id="114"/>
      <w:r w:rsidR="00FE4844" w:rsidRPr="00DE2EDF">
        <w:rPr>
          <w:rFonts w:cs="Times New Roman"/>
        </w:rPr>
        <w:t>—</w:t>
      </w:r>
      <w:r w:rsidRPr="00DE2EDF">
        <w:rPr>
          <w:rFonts w:cs="Times New Roman"/>
          <w:lang w:val="en-GB"/>
        </w:rPr>
        <w:t>the bond between the two legal branches may be very stretched</w:t>
      </w:r>
      <w:r w:rsidR="00825DB5" w:rsidRPr="00DE2EDF">
        <w:rPr>
          <w:rFonts w:cs="Times New Roman"/>
          <w:lang w:val="en-GB"/>
        </w:rPr>
        <w:t>,</w:t>
      </w:r>
      <w:r w:rsidRPr="00DE2EDF">
        <w:rPr>
          <w:rFonts w:cs="Times New Roman"/>
          <w:lang w:val="en-GB"/>
        </w:rPr>
        <w:t xml:space="preserve"> but it did not break. The minimum link consists of the principle of separation of powers, which encompasses some basic standards about the organization, function, and control of the administration. The important role of the separation of powers is revealed in the text of the Constitution itself,</w:t>
      </w:r>
      <w:bookmarkStart w:id="115" w:name="_ftnref51"/>
      <w:r w:rsidRPr="00DE2EDF">
        <w:rPr>
          <w:rStyle w:val="FootnoteReference"/>
          <w:rFonts w:cs="Times New Roman"/>
          <w:iCs/>
          <w:lang w:val="en-GB"/>
        </w:rPr>
        <w:footnoteReference w:id="58"/>
      </w:r>
      <w:r w:rsidRPr="00DE2EDF">
        <w:rPr>
          <w:rFonts w:cs="Times New Roman"/>
          <w:lang w:val="en-GB"/>
        </w:rPr>
        <w:t xml:space="preserve"> </w:t>
      </w:r>
      <w:bookmarkEnd w:id="115"/>
      <w:r w:rsidRPr="00DE2EDF">
        <w:rPr>
          <w:rFonts w:cs="Times New Roman"/>
          <w:lang w:val="en-GB"/>
        </w:rPr>
        <w:t xml:space="preserve">in the jurisprudence of the </w:t>
      </w:r>
      <w:r w:rsidRPr="00DE2EDF">
        <w:rPr>
          <w:rFonts w:cs="Times New Roman"/>
          <w:i/>
          <w:lang w:val="en-GB"/>
        </w:rPr>
        <w:t xml:space="preserve">Conseil </w:t>
      </w:r>
      <w:r w:rsidR="00901A6C" w:rsidRPr="00DE2EDF">
        <w:rPr>
          <w:rFonts w:cs="Times New Roman"/>
          <w:i/>
          <w:lang w:val="en-GB"/>
        </w:rPr>
        <w:t>d</w:t>
      </w:r>
      <w:r w:rsidR="00825DB5" w:rsidRPr="00DE2EDF">
        <w:rPr>
          <w:rFonts w:cs="Times New Roman"/>
          <w:i/>
          <w:lang w:val="en-GB"/>
        </w:rPr>
        <w:t>’</w:t>
      </w:r>
      <w:r w:rsidR="00901A6C" w:rsidRPr="00DE2EDF">
        <w:rPr>
          <w:rFonts w:cs="Times New Roman"/>
          <w:i/>
          <w:lang w:val="en-GB"/>
        </w:rPr>
        <w:t>Etat</w:t>
      </w:r>
      <w:bookmarkStart w:id="116" w:name="_ftnref52"/>
      <w:r w:rsidRPr="00DE2EDF">
        <w:rPr>
          <w:rStyle w:val="FootnoteReference"/>
          <w:rFonts w:cs="Times New Roman"/>
          <w:lang w:val="en-GB"/>
        </w:rPr>
        <w:footnoteReference w:id="59"/>
      </w:r>
      <w:r w:rsidRPr="00DE2EDF">
        <w:rPr>
          <w:rFonts w:cs="Times New Roman"/>
          <w:i/>
          <w:lang w:val="en-GB"/>
        </w:rPr>
        <w:t xml:space="preserve"> </w:t>
      </w:r>
      <w:bookmarkEnd w:id="116"/>
      <w:r w:rsidRPr="00DE2EDF">
        <w:rPr>
          <w:rFonts w:cs="Times New Roman"/>
          <w:lang w:val="en-GB"/>
        </w:rPr>
        <w:t xml:space="preserve">and in the </w:t>
      </w:r>
      <w:r w:rsidR="0087107F" w:rsidRPr="00DE2EDF">
        <w:rPr>
          <w:rFonts w:cs="Times New Roman"/>
          <w:lang w:val="en-GB"/>
        </w:rPr>
        <w:t>doctrine</w:t>
      </w:r>
      <w:r w:rsidRPr="00DE2EDF">
        <w:rPr>
          <w:rFonts w:cs="Times New Roman"/>
          <w:lang w:val="en-GB"/>
        </w:rPr>
        <w:t xml:space="preserve"> of those administrative law scholars who approach the subject matter from a sober, positivist perspective without a monumental superstructure.</w:t>
      </w:r>
      <w:bookmarkStart w:id="117" w:name="_ftnref53"/>
      <w:r w:rsidRPr="00DE2EDF">
        <w:rPr>
          <w:rStyle w:val="FootnoteReference"/>
          <w:rFonts w:cs="Times New Roman"/>
          <w:iCs/>
          <w:lang w:val="en-GB"/>
        </w:rPr>
        <w:footnoteReference w:id="60"/>
      </w:r>
      <w:bookmarkEnd w:id="117"/>
    </w:p>
    <w:p w14:paraId="040DBC02" w14:textId="77777777" w:rsidR="000F4C26" w:rsidRPr="00DE2EDF" w:rsidRDefault="000F4C26" w:rsidP="00DE2EDF">
      <w:pPr>
        <w:spacing w:after="0"/>
        <w:jc w:val="both"/>
        <w:rPr>
          <w:rFonts w:cs="Times New Roman"/>
          <w:lang w:val="en-GB"/>
        </w:rPr>
      </w:pPr>
    </w:p>
    <w:p w14:paraId="1DF248F2" w14:textId="77777777" w:rsidR="000F756A" w:rsidRPr="00DE2EDF" w:rsidRDefault="000F756A" w:rsidP="00DE2EDF">
      <w:pPr>
        <w:spacing w:after="0"/>
        <w:jc w:val="both"/>
        <w:rPr>
          <w:rFonts w:cs="Times New Roman"/>
          <w:lang w:val="en-GB"/>
        </w:rPr>
      </w:pPr>
      <w:r w:rsidRPr="00DE2EDF">
        <w:rPr>
          <w:rFonts w:cs="Times New Roman"/>
          <w:lang w:val="en-GB"/>
        </w:rPr>
        <w:t>French administrative law scholarship, over the entirety of</w:t>
      </w:r>
      <w:r w:rsidR="002C3903" w:rsidRPr="00DE2EDF">
        <w:rPr>
          <w:rFonts w:cs="Times New Roman"/>
          <w:lang w:val="en-GB"/>
        </w:rPr>
        <w:t xml:space="preserve"> the</w:t>
      </w:r>
      <w:r w:rsidRPr="00DE2EDF">
        <w:rPr>
          <w:rFonts w:cs="Times New Roman"/>
          <w:lang w:val="en-GB"/>
        </w:rPr>
        <w:t xml:space="preserve"> </w:t>
      </w:r>
      <w:r w:rsidR="00E05876">
        <w:rPr>
          <w:rFonts w:cs="Times New Roman"/>
          <w:lang w:val="en-GB"/>
        </w:rPr>
        <w:t>n</w:t>
      </w:r>
      <w:r w:rsidR="00FE4844" w:rsidRPr="00DE2EDF">
        <w:rPr>
          <w:rFonts w:cs="Times New Roman"/>
          <w:lang w:val="en-GB"/>
        </w:rPr>
        <w:t>inet</w:t>
      </w:r>
      <w:r w:rsidR="000D61F6" w:rsidRPr="00DE2EDF">
        <w:rPr>
          <w:rFonts w:cs="Times New Roman"/>
          <w:lang w:val="en-GB"/>
        </w:rPr>
        <w:t>een</w:t>
      </w:r>
      <w:r w:rsidR="00FE4844" w:rsidRPr="00DE2EDF">
        <w:rPr>
          <w:rFonts w:cs="Times New Roman"/>
          <w:lang w:val="en-GB"/>
        </w:rPr>
        <w:t>th</w:t>
      </w:r>
      <w:r w:rsidR="002203D8" w:rsidRPr="00DE2EDF">
        <w:rPr>
          <w:rFonts w:cs="Times New Roman"/>
          <w:lang w:val="en-GB"/>
        </w:rPr>
        <w:t xml:space="preserve"> </w:t>
      </w:r>
      <w:r w:rsidRPr="00DE2EDF">
        <w:rPr>
          <w:rFonts w:cs="Times New Roman"/>
          <w:lang w:val="en-GB"/>
        </w:rPr>
        <w:t>century, would have viewed the Two World The</w:t>
      </w:r>
      <w:r w:rsidR="00C61B57" w:rsidRPr="00DE2EDF">
        <w:rPr>
          <w:rFonts w:cs="Times New Roman"/>
          <w:lang w:val="en-GB"/>
        </w:rPr>
        <w:t>sis</w:t>
      </w:r>
      <w:r w:rsidRPr="00DE2EDF">
        <w:rPr>
          <w:rFonts w:cs="Times New Roman"/>
          <w:lang w:val="en-GB"/>
        </w:rPr>
        <w:t xml:space="preserve"> as almost heretical.</w:t>
      </w:r>
      <w:bookmarkStart w:id="118" w:name="_ftnref54"/>
      <w:r w:rsidRPr="00DE2EDF">
        <w:rPr>
          <w:rStyle w:val="FootnoteReference"/>
          <w:rFonts w:cs="Times New Roman"/>
          <w:iCs/>
          <w:lang w:val="en-GB"/>
        </w:rPr>
        <w:footnoteReference w:id="61"/>
      </w:r>
      <w:r w:rsidRPr="00DE2EDF">
        <w:rPr>
          <w:rFonts w:cs="Times New Roman"/>
          <w:lang w:val="en-GB"/>
        </w:rPr>
        <w:t xml:space="preserve"> Its existence </w:t>
      </w:r>
      <w:bookmarkEnd w:id="118"/>
      <w:r w:rsidRPr="00DE2EDF">
        <w:rPr>
          <w:rFonts w:cs="Times New Roman"/>
          <w:lang w:val="en-GB"/>
        </w:rPr>
        <w:t xml:space="preserve">appears even more paradoxical if one remembers that the existence of the </w:t>
      </w:r>
      <w:r w:rsidRPr="00DE2EDF">
        <w:rPr>
          <w:rFonts w:cs="Times New Roman"/>
          <w:i/>
          <w:lang w:val="en-GB"/>
        </w:rPr>
        <w:t>Conseil d’Etat</w:t>
      </w:r>
      <w:r w:rsidRPr="00DE2EDF">
        <w:rPr>
          <w:rFonts w:cs="Times New Roman"/>
          <w:lang w:val="en-GB"/>
        </w:rPr>
        <w:t xml:space="preserve">, whose </w:t>
      </w:r>
      <w:r w:rsidRPr="00DE2EDF">
        <w:rPr>
          <w:rFonts w:cs="Times New Roman"/>
          <w:lang w:val="en-GB"/>
        </w:rPr>
        <w:lastRenderedPageBreak/>
        <w:t xml:space="preserve">role gave rise to some controversial discussions during its history, </w:t>
      </w:r>
      <w:r w:rsidR="0087107F" w:rsidRPr="00DE2EDF">
        <w:rPr>
          <w:rFonts w:cs="Times New Roman"/>
          <w:lang w:val="en-GB"/>
        </w:rPr>
        <w:t>has</w:t>
      </w:r>
      <w:r w:rsidRPr="00DE2EDF">
        <w:rPr>
          <w:rFonts w:cs="Times New Roman"/>
          <w:lang w:val="en-GB"/>
        </w:rPr>
        <w:t xml:space="preserve"> usually been legitimi</w:t>
      </w:r>
      <w:r w:rsidR="00051AF9" w:rsidRPr="00DE2EDF">
        <w:rPr>
          <w:rFonts w:cs="Times New Roman"/>
          <w:lang w:val="en-GB"/>
        </w:rPr>
        <w:t>z</w:t>
      </w:r>
      <w:r w:rsidRPr="00DE2EDF">
        <w:rPr>
          <w:rFonts w:cs="Times New Roman"/>
          <w:lang w:val="en-GB"/>
        </w:rPr>
        <w:t>ed with reference to the Constitution (initially, article 52 of Napoléon’s Constitution of 1799; later, the specific French interpretation of the separation of powers principle).</w:t>
      </w:r>
      <w:bookmarkStart w:id="119" w:name="_ftnref55"/>
      <w:r w:rsidRPr="00DE2EDF">
        <w:rPr>
          <w:rStyle w:val="FootnoteReference"/>
          <w:rFonts w:cs="Times New Roman"/>
          <w:iCs/>
          <w:lang w:val="en-GB"/>
        </w:rPr>
        <w:footnoteReference w:id="62"/>
      </w:r>
      <w:bookmarkEnd w:id="119"/>
    </w:p>
    <w:p w14:paraId="72E52E2F" w14:textId="77777777" w:rsidR="002D66C1" w:rsidRPr="00DE2EDF" w:rsidRDefault="002D66C1" w:rsidP="00DE2EDF">
      <w:pPr>
        <w:spacing w:after="0"/>
        <w:jc w:val="both"/>
        <w:rPr>
          <w:rFonts w:cs="Times New Roman"/>
          <w:lang w:val="en-GB"/>
        </w:rPr>
      </w:pPr>
    </w:p>
    <w:p w14:paraId="5D29C775" w14:textId="77777777" w:rsidR="000F756A" w:rsidRPr="00DE2EDF" w:rsidRDefault="002D66C1" w:rsidP="00DE2EDF">
      <w:pPr>
        <w:pStyle w:val="Heading2"/>
        <w:spacing w:before="0" w:after="0" w:line="276" w:lineRule="auto"/>
        <w:ind w:left="0" w:firstLine="0"/>
        <w:rPr>
          <w:rFonts w:eastAsia="Times New Roman" w:cs="Times New Roman"/>
          <w:szCs w:val="24"/>
          <w:lang w:val="en-GB"/>
        </w:rPr>
      </w:pPr>
      <w:bookmarkStart w:id="120" w:name="_Toc253048932"/>
      <w:bookmarkStart w:id="121" w:name="_Toc252700479"/>
      <w:bookmarkStart w:id="122" w:name="_Toc245196662"/>
      <w:bookmarkStart w:id="123" w:name="_Toc460405625"/>
      <w:bookmarkEnd w:id="120"/>
      <w:bookmarkEnd w:id="121"/>
      <w:r w:rsidRPr="00DE2EDF">
        <w:rPr>
          <w:rFonts w:eastAsia="Times New Roman" w:cs="Times New Roman"/>
          <w:szCs w:val="24"/>
          <w:lang w:val="en-GB"/>
        </w:rPr>
        <w:t xml:space="preserve">4. </w:t>
      </w:r>
      <w:r w:rsidR="000F756A" w:rsidRPr="00DE2EDF">
        <w:rPr>
          <w:rFonts w:eastAsia="Times New Roman" w:cs="Times New Roman"/>
          <w:szCs w:val="24"/>
          <w:lang w:val="en-GB"/>
        </w:rPr>
        <w:t xml:space="preserve">A </w:t>
      </w:r>
      <w:r w:rsidR="00EA2E67" w:rsidRPr="00DE2EDF">
        <w:rPr>
          <w:rFonts w:eastAsia="Times New Roman" w:cs="Times New Roman"/>
          <w:szCs w:val="24"/>
          <w:lang w:val="en-GB"/>
        </w:rPr>
        <w:t>L</w:t>
      </w:r>
      <w:r w:rsidR="000F756A" w:rsidRPr="00DE2EDF">
        <w:rPr>
          <w:rFonts w:eastAsia="Times New Roman" w:cs="Times New Roman"/>
          <w:szCs w:val="24"/>
          <w:lang w:val="en-GB"/>
        </w:rPr>
        <w:t xml:space="preserve">ast </w:t>
      </w:r>
      <w:r w:rsidR="00EA2E67" w:rsidRPr="00DE2EDF">
        <w:rPr>
          <w:rFonts w:eastAsia="Times New Roman" w:cs="Times New Roman"/>
          <w:szCs w:val="24"/>
          <w:lang w:val="en-GB"/>
        </w:rPr>
        <w:t>R</w:t>
      </w:r>
      <w:r w:rsidR="000F756A" w:rsidRPr="00DE2EDF">
        <w:rPr>
          <w:rFonts w:eastAsia="Times New Roman" w:cs="Times New Roman"/>
          <w:szCs w:val="24"/>
          <w:lang w:val="en-GB"/>
        </w:rPr>
        <w:t xml:space="preserve">ebuttal and </w:t>
      </w:r>
      <w:bookmarkEnd w:id="122"/>
      <w:r w:rsidR="000F756A" w:rsidRPr="00DE2EDF">
        <w:rPr>
          <w:rFonts w:eastAsia="Times New Roman" w:cs="Times New Roman"/>
          <w:szCs w:val="24"/>
          <w:lang w:val="en-GB"/>
        </w:rPr>
        <w:t xml:space="preserve">an </w:t>
      </w:r>
      <w:r w:rsidR="00EA2E67" w:rsidRPr="00DE2EDF">
        <w:rPr>
          <w:rFonts w:eastAsia="Times New Roman" w:cs="Times New Roman"/>
          <w:szCs w:val="24"/>
          <w:lang w:val="en-GB"/>
        </w:rPr>
        <w:t>O</w:t>
      </w:r>
      <w:r w:rsidR="000F756A" w:rsidRPr="00DE2EDF">
        <w:rPr>
          <w:rFonts w:eastAsia="Times New Roman" w:cs="Times New Roman"/>
          <w:szCs w:val="24"/>
          <w:lang w:val="en-GB"/>
        </w:rPr>
        <w:t>utlook</w:t>
      </w:r>
      <w:bookmarkEnd w:id="123"/>
    </w:p>
    <w:p w14:paraId="26D5B7D6" w14:textId="77777777" w:rsidR="002D66C1" w:rsidRPr="00DE2EDF" w:rsidRDefault="002D66C1" w:rsidP="00DE2EDF">
      <w:pPr>
        <w:spacing w:after="0"/>
        <w:rPr>
          <w:rFonts w:cs="Times New Roman"/>
          <w:lang w:val="en-GB"/>
        </w:rPr>
      </w:pPr>
    </w:p>
    <w:p w14:paraId="6FFA4888" w14:textId="77777777" w:rsidR="000F756A" w:rsidRPr="00DE2EDF" w:rsidRDefault="000F756A" w:rsidP="00DE2EDF">
      <w:pPr>
        <w:spacing w:after="0"/>
        <w:jc w:val="both"/>
        <w:rPr>
          <w:rFonts w:cs="Times New Roman"/>
          <w:lang w:val="en-GB"/>
        </w:rPr>
      </w:pPr>
      <w:r w:rsidRPr="00DE2EDF">
        <w:rPr>
          <w:rFonts w:cs="Times New Roman"/>
          <w:lang w:val="en-GB"/>
        </w:rPr>
        <w:t xml:space="preserve">Extreme theses stimulate the spirit, inciting a </w:t>
      </w:r>
      <w:r w:rsidR="00051AF9" w:rsidRPr="00DE2EDF">
        <w:rPr>
          <w:rFonts w:cs="Times New Roman"/>
          <w:lang w:val="en-GB"/>
        </w:rPr>
        <w:t xml:space="preserve">more </w:t>
      </w:r>
      <w:r w:rsidR="00BA6AE8" w:rsidRPr="00DE2EDF">
        <w:rPr>
          <w:rFonts w:cs="Times New Roman"/>
          <w:lang w:val="en-GB"/>
        </w:rPr>
        <w:t>profound</w:t>
      </w:r>
      <w:r w:rsidRPr="00DE2EDF">
        <w:rPr>
          <w:rFonts w:cs="Times New Roman"/>
          <w:lang w:val="en-GB"/>
        </w:rPr>
        <w:t xml:space="preserve"> </w:t>
      </w:r>
      <w:r w:rsidR="00051AF9" w:rsidRPr="00DE2EDF">
        <w:rPr>
          <w:rFonts w:cs="Times New Roman"/>
          <w:lang w:val="en-GB"/>
        </w:rPr>
        <w:t xml:space="preserve">comprehension </w:t>
      </w:r>
      <w:r w:rsidRPr="00DE2EDF">
        <w:rPr>
          <w:rFonts w:cs="Times New Roman"/>
          <w:lang w:val="en-GB"/>
        </w:rPr>
        <w:t xml:space="preserve">of the </w:t>
      </w:r>
      <w:r w:rsidR="00B478B0" w:rsidRPr="00DE2EDF">
        <w:rPr>
          <w:rFonts w:cs="Times New Roman"/>
          <w:lang w:val="en-GB"/>
        </w:rPr>
        <w:t>issue</w:t>
      </w:r>
      <w:r w:rsidRPr="00DE2EDF">
        <w:rPr>
          <w:rFonts w:cs="Times New Roman"/>
          <w:lang w:val="en-GB"/>
        </w:rPr>
        <w:t>. As Søren Kierkegaard once noted</w:t>
      </w:r>
      <w:r w:rsidR="00BA6AE8" w:rsidRPr="00DE2EDF">
        <w:rPr>
          <w:rFonts w:cs="Times New Roman"/>
          <w:lang w:val="en-GB"/>
        </w:rPr>
        <w:t>,</w:t>
      </w:r>
      <w:r w:rsidR="002203D8" w:rsidRPr="00DE2EDF">
        <w:rPr>
          <w:rStyle w:val="FootnoteReference"/>
          <w:rFonts w:cs="Times New Roman"/>
          <w:lang w:val="en-GB"/>
        </w:rPr>
        <w:footnoteReference w:id="63"/>
      </w:r>
      <w:r w:rsidRPr="00DE2EDF">
        <w:rPr>
          <w:rFonts w:cs="Times New Roman"/>
          <w:lang w:val="en-GB"/>
        </w:rPr>
        <w:t xml:space="preserve"> it puts the subject matter in a different light. If the Two World The</w:t>
      </w:r>
      <w:r w:rsidR="009403A6" w:rsidRPr="00DE2EDF">
        <w:rPr>
          <w:rFonts w:cs="Times New Roman"/>
          <w:lang w:val="en-GB"/>
        </w:rPr>
        <w:t>sis</w:t>
      </w:r>
      <w:r w:rsidRPr="00DE2EDF">
        <w:rPr>
          <w:rFonts w:cs="Times New Roman"/>
          <w:lang w:val="en-GB"/>
        </w:rPr>
        <w:t xml:space="preserve"> were true, it would logically follow that the respective </w:t>
      </w:r>
      <w:r w:rsidR="00B478B0" w:rsidRPr="00DE2EDF">
        <w:rPr>
          <w:rFonts w:cs="Times New Roman"/>
          <w:lang w:val="en-GB"/>
        </w:rPr>
        <w:t>guardians</w:t>
      </w:r>
      <w:r w:rsidRPr="00DE2EDF">
        <w:rPr>
          <w:rFonts w:cs="Times New Roman"/>
          <w:lang w:val="en-GB"/>
        </w:rPr>
        <w:t xml:space="preserve"> of each of the legal areas could completely ignore the other. However, that is contradicted by the historical</w:t>
      </w:r>
      <w:r w:rsidR="009403A6" w:rsidRPr="00DE2EDF">
        <w:rPr>
          <w:rFonts w:cs="Times New Roman"/>
          <w:lang w:val="en-GB"/>
        </w:rPr>
        <w:t xml:space="preserve"> and </w:t>
      </w:r>
      <w:r w:rsidRPr="00DE2EDF">
        <w:rPr>
          <w:rFonts w:cs="Times New Roman"/>
          <w:lang w:val="en-GB"/>
        </w:rPr>
        <w:t>comparative data that indicate a link between the courts and scholars of both fields. Extreme cases, in which the guardians of either administrative or constitutional law were absent, are particularly interesting in this context.</w:t>
      </w:r>
    </w:p>
    <w:p w14:paraId="6FBD87A8" w14:textId="77777777" w:rsidR="000F4C26" w:rsidRPr="00DE2EDF" w:rsidRDefault="000F4C26" w:rsidP="00DE2EDF">
      <w:pPr>
        <w:spacing w:after="0"/>
        <w:jc w:val="both"/>
        <w:rPr>
          <w:rFonts w:cs="Times New Roman"/>
          <w:lang w:val="en-GB"/>
        </w:rPr>
      </w:pPr>
    </w:p>
    <w:p w14:paraId="550A3AC8" w14:textId="692F675B" w:rsidR="000F756A" w:rsidRPr="00DE2EDF" w:rsidRDefault="00ED3DAA" w:rsidP="00DE2EDF">
      <w:pPr>
        <w:pStyle w:val="Heading3"/>
        <w:rPr>
          <w:rFonts w:cs="Times New Roman"/>
          <w:szCs w:val="24"/>
        </w:rPr>
      </w:pPr>
      <w:bookmarkStart w:id="124" w:name="_Toc253048933"/>
      <w:bookmarkStart w:id="125" w:name="_Toc252700480"/>
      <w:bookmarkStart w:id="126" w:name="_Toc245196663"/>
      <w:bookmarkStart w:id="127" w:name="_Toc460405626"/>
      <w:bookmarkEnd w:id="124"/>
      <w:bookmarkEnd w:id="125"/>
      <w:r w:rsidRPr="00DE2EDF">
        <w:rPr>
          <w:rFonts w:cs="Times New Roman"/>
          <w:szCs w:val="24"/>
        </w:rPr>
        <w:t xml:space="preserve">a) </w:t>
      </w:r>
      <w:r w:rsidR="000F756A" w:rsidRPr="00DE2EDF">
        <w:rPr>
          <w:rFonts w:cs="Times New Roman"/>
          <w:szCs w:val="24"/>
        </w:rPr>
        <w:t xml:space="preserve">The </w:t>
      </w:r>
      <w:r w:rsidR="00A260A7" w:rsidRPr="00DE2EDF">
        <w:rPr>
          <w:rFonts w:cs="Times New Roman"/>
          <w:szCs w:val="24"/>
        </w:rPr>
        <w:t>B</w:t>
      </w:r>
      <w:r w:rsidR="000F756A" w:rsidRPr="00DE2EDF">
        <w:rPr>
          <w:rFonts w:cs="Times New Roman"/>
          <w:szCs w:val="24"/>
        </w:rPr>
        <w:t xml:space="preserve">ond </w:t>
      </w:r>
      <w:r w:rsidR="00A10385" w:rsidRPr="00DE2EDF">
        <w:rPr>
          <w:rFonts w:cs="Times New Roman"/>
          <w:szCs w:val="24"/>
        </w:rPr>
        <w:t>between</w:t>
      </w:r>
      <w:r w:rsidR="000F756A" w:rsidRPr="00DE2EDF">
        <w:rPr>
          <w:rFonts w:cs="Times New Roman"/>
          <w:szCs w:val="24"/>
        </w:rPr>
        <w:t xml:space="preserve"> </w:t>
      </w:r>
      <w:r w:rsidR="00A260A7" w:rsidRPr="00DE2EDF">
        <w:rPr>
          <w:rFonts w:cs="Times New Roman"/>
          <w:szCs w:val="24"/>
        </w:rPr>
        <w:t>C</w:t>
      </w:r>
      <w:r w:rsidR="000F756A" w:rsidRPr="00DE2EDF">
        <w:rPr>
          <w:rFonts w:cs="Times New Roman"/>
          <w:szCs w:val="24"/>
        </w:rPr>
        <w:t xml:space="preserve">onstitutional and </w:t>
      </w:r>
      <w:r w:rsidR="00A260A7" w:rsidRPr="00DE2EDF">
        <w:rPr>
          <w:rFonts w:cs="Times New Roman"/>
          <w:szCs w:val="24"/>
        </w:rPr>
        <w:t>A</w:t>
      </w:r>
      <w:r w:rsidR="000F756A" w:rsidRPr="00DE2EDF">
        <w:rPr>
          <w:rFonts w:cs="Times New Roman"/>
          <w:szCs w:val="24"/>
        </w:rPr>
        <w:t xml:space="preserve">dministrative </w:t>
      </w:r>
      <w:r w:rsidR="00A260A7" w:rsidRPr="00DE2EDF">
        <w:rPr>
          <w:rFonts w:cs="Times New Roman"/>
          <w:szCs w:val="24"/>
        </w:rPr>
        <w:t>J</w:t>
      </w:r>
      <w:r w:rsidR="000F756A" w:rsidRPr="00DE2EDF">
        <w:rPr>
          <w:rFonts w:cs="Times New Roman"/>
          <w:szCs w:val="24"/>
        </w:rPr>
        <w:t>ustice</w:t>
      </w:r>
      <w:bookmarkEnd w:id="126"/>
      <w:bookmarkEnd w:id="127"/>
    </w:p>
    <w:p w14:paraId="047DE327" w14:textId="77777777" w:rsidR="00ED3DAA" w:rsidRPr="00DE2EDF" w:rsidRDefault="00ED3DAA" w:rsidP="00DE2EDF">
      <w:pPr>
        <w:spacing w:after="0"/>
        <w:rPr>
          <w:rFonts w:cs="Times New Roman"/>
          <w:lang w:val="en-GB"/>
        </w:rPr>
      </w:pPr>
    </w:p>
    <w:p w14:paraId="6C7FF022" w14:textId="4F0DC718" w:rsidR="000F756A" w:rsidRPr="00DE2EDF" w:rsidRDefault="000F756A" w:rsidP="00DE2EDF">
      <w:pPr>
        <w:spacing w:after="0"/>
        <w:jc w:val="both"/>
        <w:rPr>
          <w:rFonts w:cs="Times New Roman"/>
          <w:lang w:val="en-GB"/>
        </w:rPr>
      </w:pPr>
      <w:r w:rsidRPr="00DE2EDF">
        <w:rPr>
          <w:rFonts w:cs="Times New Roman"/>
          <w:lang w:val="en-GB"/>
        </w:rPr>
        <w:t xml:space="preserve">A look at the history of law in Europe shows that, in many countries (though not all), constitutional and administrative courts did not come into existence at the same time. In most countries, judicial </w:t>
      </w:r>
      <w:r w:rsidR="002203D8" w:rsidRPr="00DE2EDF">
        <w:rPr>
          <w:rFonts w:cs="Times New Roman"/>
          <w:lang w:val="en-GB"/>
        </w:rPr>
        <w:t>review</w:t>
      </w:r>
      <w:r w:rsidRPr="00DE2EDF">
        <w:rPr>
          <w:rFonts w:cs="Times New Roman"/>
          <w:lang w:val="en-GB"/>
        </w:rPr>
        <w:t xml:space="preserve"> of administrati</w:t>
      </w:r>
      <w:r w:rsidR="002203D8" w:rsidRPr="00DE2EDF">
        <w:rPr>
          <w:rFonts w:cs="Times New Roman"/>
          <w:lang w:val="en-GB"/>
        </w:rPr>
        <w:t>ve actions</w:t>
      </w:r>
      <w:r w:rsidRPr="00DE2EDF">
        <w:rPr>
          <w:rFonts w:cs="Times New Roman"/>
          <w:lang w:val="en-GB"/>
        </w:rPr>
        <w:t xml:space="preserve"> first developed in </w:t>
      </w:r>
      <w:r w:rsidR="00BA6AE8" w:rsidRPr="00DE2EDF">
        <w:rPr>
          <w:rFonts w:cs="Times New Roman"/>
          <w:lang w:val="en-GB"/>
        </w:rPr>
        <w:t xml:space="preserve">the </w:t>
      </w:r>
      <w:r w:rsidR="00FE4844" w:rsidRPr="00DE2EDF">
        <w:rPr>
          <w:rFonts w:cs="Times New Roman"/>
          <w:lang w:val="en-GB"/>
        </w:rPr>
        <w:t>ninet</w:t>
      </w:r>
      <w:r w:rsidR="00E31885">
        <w:rPr>
          <w:rFonts w:cs="Times New Roman"/>
          <w:lang w:val="en-GB"/>
        </w:rPr>
        <w:t>eenth</w:t>
      </w:r>
      <w:r w:rsidR="002203D8" w:rsidRPr="00DE2EDF">
        <w:rPr>
          <w:rFonts w:cs="Times New Roman"/>
          <w:lang w:val="en-GB"/>
        </w:rPr>
        <w:t xml:space="preserve"> </w:t>
      </w:r>
      <w:r w:rsidRPr="00DE2EDF">
        <w:rPr>
          <w:rFonts w:cs="Times New Roman"/>
          <w:lang w:val="en-GB"/>
        </w:rPr>
        <w:t>century, be it through special administrative courts or ordinary courts.</w:t>
      </w:r>
      <w:bookmarkStart w:id="128" w:name="_Ref243907607"/>
      <w:bookmarkEnd w:id="128"/>
      <w:r w:rsidRPr="00DE2EDF">
        <w:rPr>
          <w:rFonts w:cs="Times New Roman"/>
          <w:lang w:val="en-GB"/>
        </w:rPr>
        <w:t xml:space="preserve"> </w:t>
      </w:r>
      <w:r w:rsidR="00A77683" w:rsidRPr="00DE2EDF">
        <w:rPr>
          <w:rFonts w:cs="Times New Roman"/>
          <w:lang w:val="en-GB"/>
        </w:rPr>
        <w:t>Special c</w:t>
      </w:r>
      <w:r w:rsidRPr="00DE2EDF">
        <w:rPr>
          <w:rFonts w:cs="Times New Roman"/>
          <w:lang w:val="en-GB"/>
        </w:rPr>
        <w:t xml:space="preserve">onstitutional courts only saw the light of day much later, in the </w:t>
      </w:r>
      <w:r w:rsidR="00FE4844" w:rsidRPr="00DE2EDF">
        <w:rPr>
          <w:rFonts w:cs="Times New Roman"/>
          <w:lang w:val="en-GB"/>
        </w:rPr>
        <w:t>twentieth</w:t>
      </w:r>
      <w:r w:rsidR="002203D8" w:rsidRPr="00DE2EDF">
        <w:rPr>
          <w:rFonts w:cs="Times New Roman"/>
          <w:lang w:val="en-GB"/>
        </w:rPr>
        <w:t xml:space="preserve"> </w:t>
      </w:r>
      <w:r w:rsidRPr="00DE2EDF">
        <w:rPr>
          <w:rFonts w:cs="Times New Roman"/>
          <w:lang w:val="en-GB"/>
        </w:rPr>
        <w:t xml:space="preserve">century. However, even before these special constitutional courts were established, a certain constitutional justice already existed inside </w:t>
      </w:r>
      <w:r w:rsidR="00B478B0" w:rsidRPr="00DE2EDF">
        <w:rPr>
          <w:rFonts w:cs="Times New Roman"/>
          <w:lang w:val="en-GB"/>
        </w:rPr>
        <w:t xml:space="preserve">civil </w:t>
      </w:r>
      <w:r w:rsidRPr="00DE2EDF">
        <w:rPr>
          <w:rFonts w:cs="Times New Roman"/>
          <w:lang w:val="en-GB"/>
        </w:rPr>
        <w:t xml:space="preserve">justice </w:t>
      </w:r>
      <w:r w:rsidR="00B478B0" w:rsidRPr="00DE2EDF">
        <w:rPr>
          <w:rFonts w:cs="Times New Roman"/>
          <w:lang w:val="en-GB"/>
        </w:rPr>
        <w:t>and/</w:t>
      </w:r>
      <w:r w:rsidRPr="00DE2EDF">
        <w:rPr>
          <w:rFonts w:cs="Times New Roman"/>
          <w:lang w:val="en-GB"/>
        </w:rPr>
        <w:t xml:space="preserve">or administrative justice. When rendering a decision in an administrative or private law dispute, a court </w:t>
      </w:r>
      <w:r w:rsidR="00B478B0" w:rsidRPr="00DE2EDF">
        <w:rPr>
          <w:rFonts w:cs="Times New Roman"/>
          <w:lang w:val="en-GB"/>
        </w:rPr>
        <w:t>wa</w:t>
      </w:r>
      <w:r w:rsidRPr="00DE2EDF">
        <w:rPr>
          <w:rFonts w:cs="Times New Roman"/>
          <w:lang w:val="en-GB"/>
        </w:rPr>
        <w:t xml:space="preserve">s supposed to apply thereto the law. The Constitution </w:t>
      </w:r>
      <w:r w:rsidR="00E744A2" w:rsidRPr="00DE2EDF">
        <w:rPr>
          <w:rFonts w:cs="Times New Roman"/>
          <w:lang w:val="en-GB"/>
        </w:rPr>
        <w:t>wa</w:t>
      </w:r>
      <w:r w:rsidRPr="00DE2EDF">
        <w:rPr>
          <w:rFonts w:cs="Times New Roman"/>
          <w:lang w:val="en-GB"/>
        </w:rPr>
        <w:t>s one potential source of law, to the extent tha</w:t>
      </w:r>
      <w:r w:rsidR="00E744A2" w:rsidRPr="00DE2EDF">
        <w:rPr>
          <w:rFonts w:cs="Times New Roman"/>
          <w:lang w:val="en-GB"/>
        </w:rPr>
        <w:t>t: (</w:t>
      </w:r>
      <w:r w:rsidR="002203D8" w:rsidRPr="00DE2EDF">
        <w:rPr>
          <w:rFonts w:cs="Times New Roman"/>
          <w:lang w:val="en-GB"/>
        </w:rPr>
        <w:t>a</w:t>
      </w:r>
      <w:r w:rsidR="00E744A2" w:rsidRPr="00DE2EDF">
        <w:rPr>
          <w:rFonts w:cs="Times New Roman"/>
          <w:lang w:val="en-GB"/>
        </w:rPr>
        <w:t>) the constitutional norm wa</w:t>
      </w:r>
      <w:r w:rsidRPr="00DE2EDF">
        <w:rPr>
          <w:rFonts w:cs="Times New Roman"/>
          <w:lang w:val="en-GB"/>
        </w:rPr>
        <w:t>s factually relevant and directly applicable, and (</w:t>
      </w:r>
      <w:r w:rsidR="002203D8" w:rsidRPr="00DE2EDF">
        <w:rPr>
          <w:rFonts w:cs="Times New Roman"/>
          <w:lang w:val="en-GB"/>
        </w:rPr>
        <w:t>b</w:t>
      </w:r>
      <w:r w:rsidRPr="00DE2EDF">
        <w:rPr>
          <w:rFonts w:cs="Times New Roman"/>
          <w:lang w:val="en-GB"/>
        </w:rPr>
        <w:t xml:space="preserve">) courts </w:t>
      </w:r>
      <w:r w:rsidR="00E744A2" w:rsidRPr="00DE2EDF">
        <w:rPr>
          <w:rFonts w:cs="Times New Roman"/>
          <w:lang w:val="en-GB"/>
        </w:rPr>
        <w:t>were</w:t>
      </w:r>
      <w:r w:rsidRPr="00DE2EDF">
        <w:rPr>
          <w:rFonts w:cs="Times New Roman"/>
          <w:lang w:val="en-GB"/>
        </w:rPr>
        <w:t xml:space="preserve"> allowed to invoke and use the Constitution</w:t>
      </w:r>
      <w:bookmarkStart w:id="129" w:name="_ftnref57"/>
      <w:r w:rsidRPr="00DE2EDF">
        <w:rPr>
          <w:rFonts w:cs="Times New Roman"/>
          <w:lang w:val="en-GB"/>
        </w:rPr>
        <w:t>.</w:t>
      </w:r>
      <w:r w:rsidRPr="00DE2EDF">
        <w:rPr>
          <w:rStyle w:val="FootnoteReference"/>
          <w:rFonts w:cs="Times New Roman"/>
          <w:iCs/>
          <w:lang w:val="en-GB"/>
        </w:rPr>
        <w:footnoteReference w:id="64"/>
      </w:r>
      <w:r w:rsidRPr="00DE2EDF">
        <w:rPr>
          <w:rFonts w:cs="Times New Roman"/>
          <w:lang w:val="en-GB"/>
        </w:rPr>
        <w:t xml:space="preserve"> </w:t>
      </w:r>
      <w:bookmarkEnd w:id="129"/>
      <w:r w:rsidR="00E744A2" w:rsidRPr="00DE2EDF">
        <w:rPr>
          <w:rFonts w:cs="Times New Roman"/>
          <w:lang w:val="en-GB"/>
        </w:rPr>
        <w:t>The scope of th</w:t>
      </w:r>
      <w:r w:rsidR="002203D8" w:rsidRPr="00DE2EDF">
        <w:rPr>
          <w:rFonts w:cs="Times New Roman"/>
          <w:lang w:val="en-GB"/>
        </w:rPr>
        <w:t>is kind of</w:t>
      </w:r>
      <w:r w:rsidR="00E744A2" w:rsidRPr="00DE2EDF">
        <w:rPr>
          <w:rFonts w:cs="Times New Roman"/>
          <w:lang w:val="en-GB"/>
        </w:rPr>
        <w:t xml:space="preserve"> </w:t>
      </w:r>
      <w:r w:rsidRPr="00DE2EDF">
        <w:rPr>
          <w:rFonts w:cs="Times New Roman"/>
          <w:lang w:val="en-GB"/>
        </w:rPr>
        <w:t xml:space="preserve">constitutional </w:t>
      </w:r>
      <w:r w:rsidR="002203D8" w:rsidRPr="00DE2EDF">
        <w:rPr>
          <w:rFonts w:cs="Times New Roman"/>
          <w:lang w:val="en-GB"/>
        </w:rPr>
        <w:t>adjudication</w:t>
      </w:r>
      <w:r w:rsidRPr="00DE2EDF">
        <w:rPr>
          <w:rFonts w:cs="Times New Roman"/>
          <w:lang w:val="en-GB"/>
        </w:rPr>
        <w:t xml:space="preserve"> was either very broad (e.g., the courts were </w:t>
      </w:r>
      <w:r w:rsidRPr="00DE2EDF">
        <w:rPr>
          <w:rFonts w:cs="Times New Roman"/>
          <w:lang w:val="en-GB"/>
        </w:rPr>
        <w:lastRenderedPageBreak/>
        <w:t>entitled to examine the constitutionality of statutes)</w:t>
      </w:r>
      <w:bookmarkStart w:id="130" w:name="_Ref243916703"/>
      <w:bookmarkStart w:id="131" w:name="_Ref401123565"/>
      <w:bookmarkStart w:id="132" w:name="_ftnref58"/>
      <w:bookmarkEnd w:id="130"/>
      <w:r w:rsidRPr="00DE2EDF">
        <w:rPr>
          <w:rStyle w:val="FootnoteReference"/>
          <w:rFonts w:cs="Times New Roman"/>
          <w:iCs/>
          <w:lang w:val="en-GB"/>
        </w:rPr>
        <w:footnoteReference w:id="65"/>
      </w:r>
      <w:bookmarkEnd w:id="131"/>
      <w:r w:rsidRPr="00DE2EDF">
        <w:rPr>
          <w:rFonts w:cs="Times New Roman"/>
          <w:lang w:val="en-GB"/>
        </w:rPr>
        <w:t xml:space="preserve"> </w:t>
      </w:r>
      <w:bookmarkEnd w:id="132"/>
      <w:r w:rsidRPr="00DE2EDF">
        <w:rPr>
          <w:rFonts w:cs="Times New Roman"/>
          <w:lang w:val="en-GB"/>
        </w:rPr>
        <w:t xml:space="preserve">or </w:t>
      </w:r>
      <w:r w:rsidR="008462BE" w:rsidRPr="00DE2EDF">
        <w:rPr>
          <w:rFonts w:cs="Times New Roman"/>
          <w:lang w:val="en-GB"/>
        </w:rPr>
        <w:t xml:space="preserve">much </w:t>
      </w:r>
      <w:r w:rsidRPr="00DE2EDF">
        <w:rPr>
          <w:rFonts w:cs="Times New Roman"/>
          <w:lang w:val="en-GB"/>
        </w:rPr>
        <w:t>narrow</w:t>
      </w:r>
      <w:r w:rsidR="008462BE" w:rsidRPr="00DE2EDF">
        <w:rPr>
          <w:rFonts w:cs="Times New Roman"/>
          <w:lang w:val="en-GB"/>
        </w:rPr>
        <w:t>er</w:t>
      </w:r>
      <w:r w:rsidRPr="00DE2EDF">
        <w:rPr>
          <w:rFonts w:cs="Times New Roman"/>
          <w:lang w:val="en-GB"/>
        </w:rPr>
        <w:t xml:space="preserve"> (e.g., the courts could only apply the Constitution to the extent </w:t>
      </w:r>
      <w:r w:rsidR="00E744A2" w:rsidRPr="00DE2EDF">
        <w:rPr>
          <w:rFonts w:cs="Times New Roman"/>
          <w:lang w:val="en-GB"/>
        </w:rPr>
        <w:t xml:space="preserve">that </w:t>
      </w:r>
      <w:r w:rsidRPr="00DE2EDF">
        <w:rPr>
          <w:rFonts w:cs="Times New Roman"/>
          <w:lang w:val="en-GB"/>
        </w:rPr>
        <w:t>no statute pre</w:t>
      </w:r>
      <w:bookmarkStart w:id="133" w:name="_Ref243917340"/>
      <w:bookmarkStart w:id="134" w:name="_ftnref59"/>
      <w:bookmarkEnd w:id="133"/>
      <w:r w:rsidRPr="00DE2EDF">
        <w:rPr>
          <w:rFonts w:cs="Times New Roman"/>
          <w:lang w:val="en-GB"/>
        </w:rPr>
        <w:t>vented it from doing so</w:t>
      </w:r>
      <w:bookmarkEnd w:id="134"/>
      <w:r w:rsidRPr="00DE2EDF">
        <w:rPr>
          <w:rFonts w:cs="Times New Roman"/>
          <w:lang w:val="en-GB"/>
        </w:rPr>
        <w:t>)</w:t>
      </w:r>
      <w:bookmarkStart w:id="135" w:name="_Ref401054324"/>
      <w:r w:rsidR="0076116E">
        <w:rPr>
          <w:rFonts w:cs="Times New Roman"/>
          <w:lang w:val="en-GB"/>
        </w:rPr>
        <w:t>.</w:t>
      </w:r>
      <w:r w:rsidR="0006189D" w:rsidRPr="00DE2EDF">
        <w:rPr>
          <w:rStyle w:val="FootnoteReference"/>
          <w:rFonts w:cs="Times New Roman"/>
          <w:iCs/>
          <w:lang w:val="en-GB"/>
        </w:rPr>
        <w:footnoteReference w:id="66"/>
      </w:r>
      <w:bookmarkEnd w:id="135"/>
      <w:r w:rsidRPr="00DE2EDF">
        <w:rPr>
          <w:rFonts w:cs="Times New Roman"/>
          <w:lang w:val="en-GB"/>
        </w:rPr>
        <w:t xml:space="preserve"> </w:t>
      </w:r>
      <w:r w:rsidR="00E744A2" w:rsidRPr="00DE2EDF">
        <w:rPr>
          <w:rFonts w:cs="Times New Roman"/>
          <w:lang w:val="en-GB"/>
        </w:rPr>
        <w:t>Its existence</w:t>
      </w:r>
      <w:r w:rsidRPr="00DE2EDF">
        <w:rPr>
          <w:rFonts w:cs="Times New Roman"/>
          <w:lang w:val="en-GB"/>
        </w:rPr>
        <w:t xml:space="preserve">, even before the establishment of </w:t>
      </w:r>
      <w:r w:rsidR="00E744A2" w:rsidRPr="00DE2EDF">
        <w:rPr>
          <w:rFonts w:cs="Times New Roman"/>
          <w:lang w:val="en-GB"/>
        </w:rPr>
        <w:t>speciali</w:t>
      </w:r>
      <w:r w:rsidR="00051AF9" w:rsidRPr="00DE2EDF">
        <w:rPr>
          <w:rFonts w:cs="Times New Roman"/>
          <w:lang w:val="en-GB"/>
        </w:rPr>
        <w:t>z</w:t>
      </w:r>
      <w:r w:rsidR="00E744A2" w:rsidRPr="00DE2EDF">
        <w:rPr>
          <w:rFonts w:cs="Times New Roman"/>
          <w:lang w:val="en-GB"/>
        </w:rPr>
        <w:t xml:space="preserve">ed </w:t>
      </w:r>
      <w:r w:rsidRPr="00DE2EDF">
        <w:rPr>
          <w:rFonts w:cs="Times New Roman"/>
          <w:lang w:val="en-GB"/>
        </w:rPr>
        <w:t>constitutional courts, is not surprising, as the concepts of constitutional justice, on the one hand, and administrative justice, on the other, are delineated according to different criteria: whereas the criterion defining administrative justice is the subject matter</w:t>
      </w:r>
      <w:r w:rsidRPr="00DE2EDF">
        <w:rPr>
          <w:rFonts w:cs="Times New Roman"/>
          <w:i/>
          <w:lang w:val="en-GB"/>
        </w:rPr>
        <w:t xml:space="preserve"> </w:t>
      </w:r>
      <w:r w:rsidRPr="00DE2EDF">
        <w:rPr>
          <w:rFonts w:cs="Times New Roman"/>
          <w:lang w:val="en-GB"/>
        </w:rPr>
        <w:t xml:space="preserve">(judicial review of administrative </w:t>
      </w:r>
      <w:r w:rsidR="00190F1C" w:rsidRPr="00DE2EDF">
        <w:rPr>
          <w:rFonts w:cs="Times New Roman"/>
          <w:lang w:val="en-GB"/>
        </w:rPr>
        <w:t>organs</w:t>
      </w:r>
      <w:r w:rsidRPr="00DE2EDF">
        <w:rPr>
          <w:rFonts w:cs="Times New Roman"/>
          <w:lang w:val="en-GB"/>
        </w:rPr>
        <w:t xml:space="preserve"> or administrative activities), the province of constitutional justice is determined according to the </w:t>
      </w:r>
      <w:r w:rsidRPr="00DE2EDF">
        <w:rPr>
          <w:rFonts w:cs="Times New Roman"/>
          <w:i/>
          <w:lang w:val="en-GB"/>
        </w:rPr>
        <w:t>formal source of applicable law</w:t>
      </w:r>
      <w:r w:rsidRPr="00DE2EDF">
        <w:rPr>
          <w:rFonts w:cs="Times New Roman"/>
          <w:lang w:val="en-GB"/>
        </w:rPr>
        <w:t xml:space="preserve"> (constitutional justice is the judicial application and interpretation of the </w:t>
      </w:r>
      <w:r w:rsidR="00E744A2" w:rsidRPr="00DE2EDF">
        <w:rPr>
          <w:rFonts w:cs="Times New Roman"/>
          <w:lang w:val="en-GB"/>
        </w:rPr>
        <w:t xml:space="preserve">formal </w:t>
      </w:r>
      <w:r w:rsidRPr="00DE2EDF">
        <w:rPr>
          <w:rFonts w:cs="Times New Roman"/>
          <w:lang w:val="en-GB"/>
        </w:rPr>
        <w:t>Constitution)</w:t>
      </w:r>
      <w:bookmarkStart w:id="136" w:name="_ftnref60"/>
      <w:r w:rsidR="005D6C4F">
        <w:rPr>
          <w:rFonts w:cs="Times New Roman"/>
          <w:lang w:val="en-GB"/>
        </w:rPr>
        <w:t>.</w:t>
      </w:r>
      <w:r w:rsidR="0006189D" w:rsidRPr="00DE2EDF">
        <w:rPr>
          <w:rStyle w:val="FootnoteReference"/>
          <w:rFonts w:cs="Times New Roman"/>
          <w:iCs/>
          <w:lang w:val="en-GB"/>
        </w:rPr>
        <w:footnoteReference w:id="67"/>
      </w:r>
      <w:bookmarkEnd w:id="136"/>
      <w:r w:rsidRPr="00DE2EDF">
        <w:rPr>
          <w:rFonts w:cs="Times New Roman"/>
          <w:lang w:val="en-GB"/>
        </w:rPr>
        <w:t xml:space="preserve"> An intersection </w:t>
      </w:r>
      <w:r w:rsidR="00BA6AE8" w:rsidRPr="00DE2EDF">
        <w:rPr>
          <w:rFonts w:cs="Times New Roman"/>
          <w:lang w:val="en-GB"/>
        </w:rPr>
        <w:t xml:space="preserve">of </w:t>
      </w:r>
      <w:r w:rsidRPr="00DE2EDF">
        <w:rPr>
          <w:rFonts w:cs="Times New Roman"/>
          <w:lang w:val="en-GB"/>
        </w:rPr>
        <w:t>the two is, ipso facto</w:t>
      </w:r>
      <w:r w:rsidRPr="00DE2EDF">
        <w:rPr>
          <w:rFonts w:cs="Times New Roman"/>
          <w:i/>
          <w:lang w:val="en-GB"/>
        </w:rPr>
        <w:t>,</w:t>
      </w:r>
      <w:r w:rsidRPr="00DE2EDF">
        <w:rPr>
          <w:rFonts w:cs="Times New Roman"/>
          <w:lang w:val="en-GB"/>
        </w:rPr>
        <w:t xml:space="preserve"> given</w:t>
      </w:r>
      <w:r w:rsidR="00687A94" w:rsidRPr="00DE2EDF">
        <w:rPr>
          <w:rFonts w:cs="Times New Roman"/>
          <w:lang w:val="en-GB"/>
        </w:rPr>
        <w:t xml:space="preserve">. Thus, </w:t>
      </w:r>
      <w:r w:rsidRPr="00DE2EDF">
        <w:rPr>
          <w:rFonts w:cs="Times New Roman"/>
          <w:lang w:val="en-GB"/>
        </w:rPr>
        <w:t xml:space="preserve">a judge </w:t>
      </w:r>
      <w:r w:rsidR="00687A94" w:rsidRPr="00DE2EDF">
        <w:rPr>
          <w:rFonts w:cs="Times New Roman"/>
          <w:lang w:val="en-GB"/>
        </w:rPr>
        <w:t xml:space="preserve">may </w:t>
      </w:r>
      <w:r w:rsidRPr="00DE2EDF">
        <w:rPr>
          <w:rFonts w:cs="Times New Roman"/>
          <w:lang w:val="en-GB"/>
        </w:rPr>
        <w:t xml:space="preserve">pass from the </w:t>
      </w:r>
      <w:r w:rsidR="002C3903" w:rsidRPr="00DE2EDF">
        <w:rPr>
          <w:rFonts w:cs="Times New Roman"/>
          <w:lang w:val="en-GB"/>
        </w:rPr>
        <w:t xml:space="preserve">area </w:t>
      </w:r>
      <w:r w:rsidRPr="00DE2EDF">
        <w:rPr>
          <w:rFonts w:cs="Times New Roman"/>
          <w:lang w:val="en-GB"/>
        </w:rPr>
        <w:t xml:space="preserve">of administrative justice into the </w:t>
      </w:r>
      <w:r w:rsidR="002C3903" w:rsidRPr="00DE2EDF">
        <w:rPr>
          <w:rFonts w:cs="Times New Roman"/>
          <w:lang w:val="en-GB"/>
        </w:rPr>
        <w:t xml:space="preserve">area </w:t>
      </w:r>
      <w:r w:rsidR="00687A94" w:rsidRPr="00DE2EDF">
        <w:rPr>
          <w:rFonts w:cs="Times New Roman"/>
          <w:lang w:val="en-GB"/>
        </w:rPr>
        <w:t>of constitutional justice.</w:t>
      </w:r>
    </w:p>
    <w:p w14:paraId="032C4590" w14:textId="77777777" w:rsidR="000F4C26" w:rsidRPr="00DE2EDF" w:rsidRDefault="000F4C26" w:rsidP="00DE2EDF">
      <w:pPr>
        <w:spacing w:after="0"/>
        <w:jc w:val="both"/>
        <w:rPr>
          <w:rFonts w:cs="Times New Roman"/>
          <w:lang w:val="en-GB"/>
        </w:rPr>
      </w:pPr>
    </w:p>
    <w:p w14:paraId="54754681" w14:textId="77777777" w:rsidR="000F756A" w:rsidRPr="00DE2EDF" w:rsidRDefault="00FE4844" w:rsidP="00DE2EDF">
      <w:pPr>
        <w:spacing w:after="0"/>
        <w:jc w:val="both"/>
        <w:rPr>
          <w:rFonts w:cs="Times New Roman"/>
          <w:lang w:val="en-GB"/>
        </w:rPr>
      </w:pPr>
      <w:r w:rsidRPr="00DE2EDF">
        <w:rPr>
          <w:rFonts w:cs="Times New Roman"/>
          <w:lang w:val="en-GB"/>
        </w:rPr>
        <w:t>The reverse path</w:t>
      </w:r>
      <w:r w:rsidRPr="00DE2EDF">
        <w:rPr>
          <w:rFonts w:cs="Times New Roman"/>
        </w:rPr>
        <w:t>—</w:t>
      </w:r>
      <w:r w:rsidR="000F756A" w:rsidRPr="00DE2EDF">
        <w:rPr>
          <w:rFonts w:cs="Times New Roman"/>
          <w:lang w:val="en-GB"/>
        </w:rPr>
        <w:t>from constitutional just</w:t>
      </w:r>
      <w:r w:rsidRPr="00DE2EDF">
        <w:rPr>
          <w:rFonts w:cs="Times New Roman"/>
          <w:lang w:val="en-GB"/>
        </w:rPr>
        <w:t>ice to administrative justice</w:t>
      </w:r>
      <w:r w:rsidRPr="00DE2EDF">
        <w:rPr>
          <w:rFonts w:cs="Times New Roman"/>
        </w:rPr>
        <w:t>—</w:t>
      </w:r>
      <w:r w:rsidR="00AD6E48" w:rsidRPr="00DE2EDF">
        <w:rPr>
          <w:rFonts w:cs="Times New Roman"/>
          <w:lang w:val="en-GB"/>
        </w:rPr>
        <w:t xml:space="preserve">also </w:t>
      </w:r>
      <w:r w:rsidR="000F756A" w:rsidRPr="00DE2EDF">
        <w:rPr>
          <w:rFonts w:cs="Times New Roman"/>
          <w:lang w:val="en-GB"/>
        </w:rPr>
        <w:t xml:space="preserve">exists, but </w:t>
      </w:r>
      <w:r w:rsidR="00A511D9" w:rsidRPr="00DE2EDF">
        <w:rPr>
          <w:rFonts w:cs="Times New Roman"/>
          <w:lang w:val="en-GB"/>
        </w:rPr>
        <w:t>was</w:t>
      </w:r>
      <w:r w:rsidR="000F756A" w:rsidRPr="00DE2EDF">
        <w:rPr>
          <w:rFonts w:cs="Times New Roman"/>
          <w:lang w:val="en-GB"/>
        </w:rPr>
        <w:t xml:space="preserve"> less frequently taken. </w:t>
      </w:r>
      <w:r w:rsidR="00A511D9" w:rsidRPr="00DE2EDF">
        <w:rPr>
          <w:rFonts w:cs="Times New Roman"/>
          <w:lang w:val="en-GB"/>
        </w:rPr>
        <w:t xml:space="preserve">A rare example is </w:t>
      </w:r>
      <w:r w:rsidR="000F756A" w:rsidRPr="00DE2EDF">
        <w:rPr>
          <w:rFonts w:cs="Times New Roman"/>
          <w:lang w:val="en-GB"/>
        </w:rPr>
        <w:t xml:space="preserve">Switzerland. Traditionally, since the </w:t>
      </w:r>
      <w:r w:rsidRPr="00DE2EDF">
        <w:rPr>
          <w:rFonts w:cs="Times New Roman"/>
          <w:lang w:val="en-GB"/>
        </w:rPr>
        <w:t>ninet</w:t>
      </w:r>
      <w:r w:rsidR="00E31885">
        <w:rPr>
          <w:rFonts w:cs="Times New Roman"/>
          <w:lang w:val="en-GB"/>
        </w:rPr>
        <w:t>eenth</w:t>
      </w:r>
      <w:r w:rsidR="00190F1C" w:rsidRPr="00DE2EDF">
        <w:rPr>
          <w:rFonts w:cs="Times New Roman"/>
          <w:lang w:val="en-GB"/>
        </w:rPr>
        <w:t xml:space="preserve"> </w:t>
      </w:r>
      <w:r w:rsidR="000F756A" w:rsidRPr="00DE2EDF">
        <w:rPr>
          <w:rFonts w:cs="Times New Roman"/>
          <w:lang w:val="en-GB"/>
        </w:rPr>
        <w:t xml:space="preserve">century, Swiss administration had only been subject to internal oversight and </w:t>
      </w:r>
      <w:r w:rsidR="00A511D9" w:rsidRPr="00DE2EDF">
        <w:rPr>
          <w:rFonts w:cs="Times New Roman"/>
          <w:lang w:val="en-GB"/>
        </w:rPr>
        <w:t>to</w:t>
      </w:r>
      <w:r w:rsidR="00190F1C" w:rsidRPr="00DE2EDF">
        <w:rPr>
          <w:rFonts w:cs="Times New Roman"/>
          <w:lang w:val="en-GB"/>
        </w:rPr>
        <w:t xml:space="preserve"> external</w:t>
      </w:r>
      <w:r w:rsidR="00A511D9" w:rsidRPr="00DE2EDF">
        <w:rPr>
          <w:rFonts w:cs="Times New Roman"/>
          <w:lang w:val="en-GB"/>
        </w:rPr>
        <w:t xml:space="preserve"> </w:t>
      </w:r>
      <w:r w:rsidR="000F756A" w:rsidRPr="00DE2EDF">
        <w:rPr>
          <w:rFonts w:cs="Times New Roman"/>
          <w:lang w:val="en-GB"/>
        </w:rPr>
        <w:t>political control by Parliament and citizens.</w:t>
      </w:r>
      <w:bookmarkStart w:id="137" w:name="_Ref243906464"/>
      <w:bookmarkStart w:id="138" w:name="_Ref457852180"/>
      <w:bookmarkEnd w:id="137"/>
      <w:r w:rsidR="000F756A" w:rsidRPr="00DE2EDF">
        <w:rPr>
          <w:rStyle w:val="FootnoteReference"/>
          <w:rFonts w:cs="Times New Roman"/>
          <w:iCs/>
          <w:lang w:val="en-GB"/>
        </w:rPr>
        <w:footnoteReference w:id="68"/>
      </w:r>
      <w:bookmarkEnd w:id="138"/>
      <w:r w:rsidR="000F756A" w:rsidRPr="00DE2EDF">
        <w:rPr>
          <w:rFonts w:cs="Times New Roman"/>
          <w:lang w:val="en-GB"/>
        </w:rPr>
        <w:t xml:space="preserve"> The ordinary (i.e.</w:t>
      </w:r>
      <w:r w:rsidR="00AD6E48" w:rsidRPr="00DE2EDF">
        <w:rPr>
          <w:rFonts w:cs="Times New Roman"/>
          <w:lang w:val="en-GB"/>
        </w:rPr>
        <w:t>,</w:t>
      </w:r>
      <w:r w:rsidR="000F756A" w:rsidRPr="00DE2EDF">
        <w:rPr>
          <w:rFonts w:cs="Times New Roman"/>
          <w:lang w:val="en-GB"/>
        </w:rPr>
        <w:t xml:space="preserve"> civil) courts had no competence to review administrative acts; special administrative courts did not exist (at the federal level, they were created only in 1917, 1925</w:t>
      </w:r>
      <w:r w:rsidR="00D64341" w:rsidRPr="00DE2EDF">
        <w:rPr>
          <w:rFonts w:cs="Times New Roman"/>
          <w:lang w:val="en-GB"/>
        </w:rPr>
        <w:t>,</w:t>
      </w:r>
      <w:r w:rsidR="000F756A" w:rsidRPr="00DE2EDF">
        <w:rPr>
          <w:rFonts w:cs="Times New Roman"/>
          <w:lang w:val="en-GB"/>
        </w:rPr>
        <w:t xml:space="preserve"> and 2007, at the cantonal level only between 1959 and 1996). However, the Federal Court, which was established as a permanent court</w:t>
      </w:r>
      <w:r w:rsidR="00A511D9" w:rsidRPr="00DE2EDF">
        <w:rPr>
          <w:rFonts w:cs="Times New Roman"/>
          <w:lang w:val="en-GB"/>
        </w:rPr>
        <w:t xml:space="preserve"> of justice</w:t>
      </w:r>
      <w:r w:rsidR="000F756A" w:rsidRPr="00DE2EDF">
        <w:rPr>
          <w:rFonts w:cs="Times New Roman"/>
          <w:lang w:val="en-GB"/>
        </w:rPr>
        <w:t xml:space="preserve"> in 1874, held, in addition to its main civil and criminal law jurisdiction, some powers of constitutional judicial review.</w:t>
      </w:r>
      <w:bookmarkStart w:id="139" w:name="_Ref457853999"/>
      <w:bookmarkStart w:id="140" w:name="_ftnref62"/>
      <w:r w:rsidR="000F756A" w:rsidRPr="00DE2EDF">
        <w:rPr>
          <w:rStyle w:val="FootnoteReference"/>
          <w:rFonts w:cs="Times New Roman"/>
          <w:iCs/>
          <w:lang w:val="en-GB"/>
        </w:rPr>
        <w:footnoteReference w:id="69"/>
      </w:r>
      <w:bookmarkEnd w:id="139"/>
      <w:r w:rsidR="000F756A" w:rsidRPr="00DE2EDF">
        <w:rPr>
          <w:rFonts w:cs="Times New Roman"/>
          <w:lang w:val="en-GB"/>
        </w:rPr>
        <w:t xml:space="preserve"> </w:t>
      </w:r>
      <w:bookmarkEnd w:id="140"/>
      <w:r w:rsidR="000F756A" w:rsidRPr="00DE2EDF">
        <w:rPr>
          <w:rFonts w:cs="Times New Roman"/>
          <w:lang w:val="en-GB"/>
        </w:rPr>
        <w:t xml:space="preserve">Since the end of </w:t>
      </w:r>
      <w:r w:rsidR="005D6C4F">
        <w:rPr>
          <w:rFonts w:cs="Times New Roman"/>
          <w:lang w:val="en-GB"/>
        </w:rPr>
        <w:t xml:space="preserve">the </w:t>
      </w:r>
      <w:r w:rsidR="00E05876">
        <w:rPr>
          <w:rFonts w:cs="Times New Roman"/>
          <w:lang w:val="en-GB"/>
        </w:rPr>
        <w:t>n</w:t>
      </w:r>
      <w:r w:rsidRPr="00DE2EDF">
        <w:rPr>
          <w:rFonts w:cs="Times New Roman"/>
          <w:lang w:val="en-GB"/>
        </w:rPr>
        <w:t>inet</w:t>
      </w:r>
      <w:r w:rsidR="0004311C" w:rsidRPr="00DE2EDF">
        <w:rPr>
          <w:rFonts w:cs="Times New Roman"/>
          <w:lang w:val="en-GB"/>
        </w:rPr>
        <w:t>e</w:t>
      </w:r>
      <w:r w:rsidRPr="00DE2EDF">
        <w:rPr>
          <w:rFonts w:cs="Times New Roman"/>
          <w:lang w:val="en-GB"/>
        </w:rPr>
        <w:t>e</w:t>
      </w:r>
      <w:r w:rsidR="0004311C" w:rsidRPr="00DE2EDF">
        <w:rPr>
          <w:rFonts w:cs="Times New Roman"/>
          <w:lang w:val="en-GB"/>
        </w:rPr>
        <w:t>n</w:t>
      </w:r>
      <w:r w:rsidRPr="00DE2EDF">
        <w:rPr>
          <w:rFonts w:cs="Times New Roman"/>
          <w:lang w:val="en-GB"/>
        </w:rPr>
        <w:t>th</w:t>
      </w:r>
      <w:r w:rsidR="00190F1C" w:rsidRPr="00DE2EDF">
        <w:rPr>
          <w:rFonts w:cs="Times New Roman"/>
          <w:lang w:val="en-GB"/>
        </w:rPr>
        <w:t xml:space="preserve"> </w:t>
      </w:r>
      <w:r w:rsidR="000F756A" w:rsidRPr="00DE2EDF">
        <w:rPr>
          <w:rFonts w:cs="Times New Roman"/>
          <w:lang w:val="en-GB"/>
        </w:rPr>
        <w:t>century, the Federal Court has used this power, thereby developing a selective, though not all-encompassing, system of administrative justice, which partly, but only partly, filled the gap of the missing administrative courts.</w:t>
      </w:r>
    </w:p>
    <w:p w14:paraId="321EAE9D" w14:textId="77777777" w:rsidR="000F4C26" w:rsidRPr="00DE2EDF" w:rsidRDefault="000F4C26" w:rsidP="00DE2EDF">
      <w:pPr>
        <w:spacing w:after="0"/>
        <w:jc w:val="both"/>
        <w:rPr>
          <w:rFonts w:cs="Times New Roman"/>
          <w:lang w:val="en-GB"/>
        </w:rPr>
      </w:pPr>
    </w:p>
    <w:p w14:paraId="5E1D8F28" w14:textId="77777777" w:rsidR="000F756A" w:rsidRPr="00DE2EDF" w:rsidRDefault="000F756A" w:rsidP="00DE2EDF">
      <w:pPr>
        <w:spacing w:after="0"/>
        <w:jc w:val="both"/>
        <w:rPr>
          <w:rFonts w:cs="Times New Roman"/>
          <w:color w:val="0000FF"/>
          <w:u w:val="single"/>
          <w:vertAlign w:val="superscript"/>
          <w:lang w:val="en-GB"/>
        </w:rPr>
      </w:pPr>
      <w:r w:rsidRPr="00DE2EDF">
        <w:rPr>
          <w:rFonts w:cs="Times New Roman"/>
          <w:lang w:val="en-GB"/>
        </w:rPr>
        <w:lastRenderedPageBreak/>
        <w:t xml:space="preserve">Thus, in both theory and practice, there is a path from administrative justice to constitutional justice as well as from constitutional justice to administrative justice. Even though they overlap, they are not yet identical or interchangeable: as the Swiss example shows, it is not possible to build a complete system of administrative review solely out of a jurisdiction of constitutional justice. Conversely, even under the best conditions, administrative courts can never interpret their own powers to encompass </w:t>
      </w:r>
      <w:r w:rsidR="00190F1C" w:rsidRPr="00DE2EDF">
        <w:rPr>
          <w:rFonts w:cs="Times New Roman"/>
          <w:lang w:val="en-GB"/>
        </w:rPr>
        <w:t xml:space="preserve">all </w:t>
      </w:r>
      <w:r w:rsidRPr="00DE2EDF">
        <w:rPr>
          <w:rFonts w:cs="Times New Roman"/>
          <w:lang w:val="en-GB"/>
        </w:rPr>
        <w:t>those that are currently entrusted to constitutional courts.</w:t>
      </w:r>
      <w:bookmarkStart w:id="141" w:name="_ftnref63"/>
      <w:r w:rsidRPr="00DE2EDF">
        <w:rPr>
          <w:rStyle w:val="FootnoteReference"/>
          <w:rFonts w:cs="Times New Roman"/>
          <w:iCs/>
          <w:lang w:val="en-GB"/>
        </w:rPr>
        <w:footnoteReference w:id="70"/>
      </w:r>
      <w:r w:rsidRPr="00DE2EDF">
        <w:rPr>
          <w:rFonts w:cs="Times New Roman"/>
          <w:color w:val="0000FF"/>
          <w:u w:val="single"/>
          <w:vertAlign w:val="superscript"/>
          <w:lang w:val="en-GB"/>
        </w:rPr>
        <w:t xml:space="preserve"> </w:t>
      </w:r>
      <w:bookmarkEnd w:id="141"/>
    </w:p>
    <w:p w14:paraId="2F09CE5E" w14:textId="77777777" w:rsidR="00ED3DAA" w:rsidRPr="00DE2EDF" w:rsidRDefault="00ED3DAA" w:rsidP="00DE2EDF">
      <w:pPr>
        <w:spacing w:after="0"/>
        <w:jc w:val="both"/>
        <w:rPr>
          <w:rFonts w:cs="Times New Roman"/>
          <w:lang w:val="en-GB"/>
        </w:rPr>
      </w:pPr>
    </w:p>
    <w:p w14:paraId="263EC803" w14:textId="52E0321B" w:rsidR="000F756A" w:rsidRPr="00DE2EDF" w:rsidRDefault="00ED3DAA" w:rsidP="00DE2EDF">
      <w:pPr>
        <w:pStyle w:val="Heading3"/>
        <w:rPr>
          <w:rFonts w:cs="Times New Roman"/>
          <w:szCs w:val="24"/>
        </w:rPr>
      </w:pPr>
      <w:bookmarkStart w:id="142" w:name="_Toc253048934"/>
      <w:bookmarkStart w:id="143" w:name="_Toc252700481"/>
      <w:bookmarkStart w:id="144" w:name="_Toc245196664"/>
      <w:bookmarkStart w:id="145" w:name="_Toc460405627"/>
      <w:bookmarkEnd w:id="142"/>
      <w:bookmarkEnd w:id="143"/>
      <w:r w:rsidRPr="00DE2EDF">
        <w:rPr>
          <w:rFonts w:cs="Times New Roman"/>
          <w:szCs w:val="24"/>
        </w:rPr>
        <w:t xml:space="preserve">b) </w:t>
      </w:r>
      <w:r w:rsidR="000F756A" w:rsidRPr="00DE2EDF">
        <w:rPr>
          <w:rFonts w:cs="Times New Roman"/>
          <w:szCs w:val="24"/>
        </w:rPr>
        <w:t xml:space="preserve">The </w:t>
      </w:r>
      <w:r w:rsidR="00A260A7" w:rsidRPr="00DE2EDF">
        <w:rPr>
          <w:rFonts w:cs="Times New Roman"/>
          <w:szCs w:val="24"/>
        </w:rPr>
        <w:t>B</w:t>
      </w:r>
      <w:r w:rsidR="000F756A" w:rsidRPr="00DE2EDF">
        <w:rPr>
          <w:rFonts w:cs="Times New Roman"/>
          <w:szCs w:val="24"/>
        </w:rPr>
        <w:t xml:space="preserve">ond </w:t>
      </w:r>
      <w:r w:rsidR="00F240EB" w:rsidRPr="00DE2EDF">
        <w:rPr>
          <w:rFonts w:cs="Times New Roman"/>
          <w:szCs w:val="24"/>
        </w:rPr>
        <w:t>between</w:t>
      </w:r>
      <w:r w:rsidR="000F756A" w:rsidRPr="00DE2EDF">
        <w:rPr>
          <w:rFonts w:cs="Times New Roman"/>
          <w:szCs w:val="24"/>
        </w:rPr>
        <w:t xml:space="preserve"> </w:t>
      </w:r>
      <w:r w:rsidR="00A260A7" w:rsidRPr="00DE2EDF">
        <w:rPr>
          <w:rFonts w:cs="Times New Roman"/>
          <w:szCs w:val="24"/>
        </w:rPr>
        <w:t>C</w:t>
      </w:r>
      <w:r w:rsidR="000F756A" w:rsidRPr="00DE2EDF">
        <w:rPr>
          <w:rFonts w:cs="Times New Roman"/>
          <w:szCs w:val="24"/>
        </w:rPr>
        <w:t xml:space="preserve">onstitutional </w:t>
      </w:r>
      <w:r w:rsidR="00A260A7" w:rsidRPr="00DE2EDF">
        <w:rPr>
          <w:rFonts w:cs="Times New Roman"/>
          <w:szCs w:val="24"/>
        </w:rPr>
        <w:t>L</w:t>
      </w:r>
      <w:r w:rsidR="000F756A" w:rsidRPr="00DE2EDF">
        <w:rPr>
          <w:rFonts w:cs="Times New Roman"/>
          <w:szCs w:val="24"/>
        </w:rPr>
        <w:t xml:space="preserve">aw </w:t>
      </w:r>
      <w:r w:rsidR="00A260A7" w:rsidRPr="00DE2EDF">
        <w:rPr>
          <w:rFonts w:cs="Times New Roman"/>
          <w:szCs w:val="24"/>
        </w:rPr>
        <w:t>S</w:t>
      </w:r>
      <w:r w:rsidR="000F756A" w:rsidRPr="00DE2EDF">
        <w:rPr>
          <w:rFonts w:cs="Times New Roman"/>
          <w:szCs w:val="24"/>
        </w:rPr>
        <w:t xml:space="preserve">cholarship and </w:t>
      </w:r>
      <w:r w:rsidR="00A260A7" w:rsidRPr="00DE2EDF">
        <w:rPr>
          <w:rFonts w:cs="Times New Roman"/>
          <w:szCs w:val="24"/>
        </w:rPr>
        <w:t>A</w:t>
      </w:r>
      <w:r w:rsidR="000F756A" w:rsidRPr="00DE2EDF">
        <w:rPr>
          <w:rFonts w:cs="Times New Roman"/>
          <w:szCs w:val="24"/>
        </w:rPr>
        <w:t xml:space="preserve">dministrative </w:t>
      </w:r>
      <w:r w:rsidR="00A260A7" w:rsidRPr="00DE2EDF">
        <w:rPr>
          <w:rFonts w:cs="Times New Roman"/>
          <w:szCs w:val="24"/>
        </w:rPr>
        <w:t>L</w:t>
      </w:r>
      <w:r w:rsidR="000F756A" w:rsidRPr="00DE2EDF">
        <w:rPr>
          <w:rFonts w:cs="Times New Roman"/>
          <w:szCs w:val="24"/>
        </w:rPr>
        <w:t>aw</w:t>
      </w:r>
      <w:bookmarkEnd w:id="144"/>
      <w:r w:rsidR="000F756A" w:rsidRPr="00DE2EDF">
        <w:rPr>
          <w:rFonts w:cs="Times New Roman"/>
          <w:szCs w:val="24"/>
        </w:rPr>
        <w:t xml:space="preserve"> </w:t>
      </w:r>
      <w:r w:rsidR="00A260A7" w:rsidRPr="00DE2EDF">
        <w:rPr>
          <w:rFonts w:cs="Times New Roman"/>
          <w:szCs w:val="24"/>
        </w:rPr>
        <w:t>S</w:t>
      </w:r>
      <w:r w:rsidR="000F756A" w:rsidRPr="00DE2EDF">
        <w:rPr>
          <w:rFonts w:cs="Times New Roman"/>
          <w:szCs w:val="24"/>
        </w:rPr>
        <w:t>cholarship</w:t>
      </w:r>
      <w:bookmarkEnd w:id="145"/>
    </w:p>
    <w:p w14:paraId="518BE917" w14:textId="77777777" w:rsidR="00ED3DAA" w:rsidRPr="00DE2EDF" w:rsidRDefault="00ED3DAA" w:rsidP="00DE2EDF">
      <w:pPr>
        <w:spacing w:after="0"/>
        <w:rPr>
          <w:rFonts w:cs="Times New Roman"/>
          <w:lang w:val="en-GB"/>
        </w:rPr>
      </w:pPr>
    </w:p>
    <w:p w14:paraId="7F79F490" w14:textId="77777777" w:rsidR="000F756A" w:rsidRPr="00DE2EDF" w:rsidRDefault="000F756A" w:rsidP="00DE2EDF">
      <w:pPr>
        <w:spacing w:after="0"/>
        <w:jc w:val="both"/>
        <w:rPr>
          <w:rFonts w:cs="Times New Roman"/>
          <w:vertAlign w:val="superscript"/>
          <w:lang w:val="en-GB"/>
        </w:rPr>
      </w:pPr>
      <w:r w:rsidRPr="00DE2EDF">
        <w:rPr>
          <w:rFonts w:cs="Times New Roman"/>
          <w:lang w:val="en-GB"/>
        </w:rPr>
        <w:t>In many European countries (</w:t>
      </w:r>
      <w:r w:rsidR="00332857" w:rsidRPr="00DE2EDF">
        <w:rPr>
          <w:rFonts w:cs="Times New Roman"/>
          <w:lang w:val="en-GB"/>
        </w:rPr>
        <w:t>e.g.</w:t>
      </w:r>
      <w:r w:rsidR="00AD6E48" w:rsidRPr="00DE2EDF">
        <w:rPr>
          <w:rFonts w:cs="Times New Roman"/>
          <w:lang w:val="en-GB"/>
        </w:rPr>
        <w:t>,</w:t>
      </w:r>
      <w:r w:rsidR="00332857" w:rsidRPr="00DE2EDF">
        <w:rPr>
          <w:rFonts w:cs="Times New Roman"/>
          <w:lang w:val="en-GB"/>
        </w:rPr>
        <w:t xml:space="preserve"> </w:t>
      </w:r>
      <w:r w:rsidRPr="00DE2EDF">
        <w:rPr>
          <w:rFonts w:cs="Times New Roman"/>
          <w:lang w:val="en-GB"/>
        </w:rPr>
        <w:t xml:space="preserve">Germany, </w:t>
      </w:r>
      <w:r w:rsidR="00AD6E48" w:rsidRPr="00DE2EDF">
        <w:rPr>
          <w:rFonts w:cs="Times New Roman"/>
          <w:lang w:val="en-GB"/>
        </w:rPr>
        <w:t xml:space="preserve">the </w:t>
      </w:r>
      <w:r w:rsidRPr="00DE2EDF">
        <w:rPr>
          <w:rFonts w:cs="Times New Roman"/>
          <w:lang w:val="en-GB"/>
        </w:rPr>
        <w:t>United</w:t>
      </w:r>
      <w:r w:rsidR="00AD6E48" w:rsidRPr="00DE2EDF">
        <w:rPr>
          <w:rFonts w:cs="Times New Roman"/>
          <w:lang w:val="en-GB"/>
        </w:rPr>
        <w:t xml:space="preserve"> </w:t>
      </w:r>
      <w:r w:rsidRPr="00DE2EDF">
        <w:rPr>
          <w:rFonts w:cs="Times New Roman"/>
          <w:lang w:val="en-GB"/>
        </w:rPr>
        <w:t xml:space="preserve">Kingdom, Switzerland, Austria, Hungary, Denmark, </w:t>
      </w:r>
      <w:r w:rsidR="00587BCB" w:rsidRPr="00DE2EDF">
        <w:rPr>
          <w:rFonts w:cs="Times New Roman"/>
          <w:lang w:val="en-GB"/>
        </w:rPr>
        <w:t xml:space="preserve">Sweden, </w:t>
      </w:r>
      <w:r w:rsidRPr="00DE2EDF">
        <w:rPr>
          <w:rFonts w:cs="Times New Roman"/>
          <w:lang w:val="en-GB"/>
        </w:rPr>
        <w:t>Portugal</w:t>
      </w:r>
      <w:r w:rsidR="00A35870" w:rsidRPr="00DE2EDF">
        <w:rPr>
          <w:rFonts w:cs="Times New Roman"/>
          <w:lang w:val="en-GB"/>
        </w:rPr>
        <w:t>,</w:t>
      </w:r>
      <w:r w:rsidR="00AD6E48" w:rsidRPr="00DE2EDF">
        <w:rPr>
          <w:rFonts w:cs="Times New Roman"/>
          <w:lang w:val="en-GB"/>
        </w:rPr>
        <w:t xml:space="preserve"> and the</w:t>
      </w:r>
      <w:r w:rsidR="00A35870" w:rsidRPr="00DE2EDF">
        <w:rPr>
          <w:rFonts w:cs="Times New Roman"/>
          <w:lang w:val="en-GB"/>
        </w:rPr>
        <w:t xml:space="preserve"> Netherlands</w:t>
      </w:r>
      <w:r w:rsidRPr="00DE2EDF">
        <w:rPr>
          <w:rFonts w:cs="Times New Roman"/>
          <w:lang w:val="en-GB"/>
        </w:rPr>
        <w:t>), the academic study of administrative law became autonomous through a slow process of detachment from the pre-existing study of constitutional law.</w:t>
      </w:r>
      <w:bookmarkStart w:id="146" w:name="_Ref294735479"/>
      <w:r w:rsidRPr="00DE2EDF">
        <w:rPr>
          <w:rStyle w:val="FootnoteReference"/>
          <w:rFonts w:cs="Times New Roman"/>
          <w:iCs/>
          <w:lang w:val="en-GB"/>
        </w:rPr>
        <w:footnoteReference w:id="71"/>
      </w:r>
      <w:bookmarkEnd w:id="146"/>
      <w:r w:rsidRPr="00DE2EDF">
        <w:rPr>
          <w:rFonts w:cs="Times New Roman"/>
          <w:lang w:val="en-GB"/>
        </w:rPr>
        <w:t xml:space="preserve"> As a logical consequence and conclusion of the enquiry into the constitutional structure of the </w:t>
      </w:r>
      <w:r w:rsidR="00A260A7" w:rsidRPr="00DE2EDF">
        <w:rPr>
          <w:rFonts w:cs="Times New Roman"/>
          <w:lang w:val="en-GB"/>
        </w:rPr>
        <w:t>s</w:t>
      </w:r>
      <w:r w:rsidRPr="00DE2EDF">
        <w:rPr>
          <w:rFonts w:cs="Times New Roman"/>
          <w:lang w:val="en-GB"/>
        </w:rPr>
        <w:t>tate, professors of ‘</w:t>
      </w:r>
      <w:r w:rsidR="00A260A7" w:rsidRPr="00DE2EDF">
        <w:rPr>
          <w:rFonts w:cs="Times New Roman"/>
          <w:lang w:val="en-GB"/>
        </w:rPr>
        <w:t>s</w:t>
      </w:r>
      <w:r w:rsidRPr="00DE2EDF">
        <w:rPr>
          <w:rFonts w:cs="Times New Roman"/>
          <w:lang w:val="en-GB"/>
        </w:rPr>
        <w:t>tate law’ (</w:t>
      </w:r>
      <w:r w:rsidRPr="00DE2EDF">
        <w:rPr>
          <w:rFonts w:cs="Times New Roman"/>
          <w:i/>
          <w:lang w:val="en-GB"/>
        </w:rPr>
        <w:t>Staatsrecht</w:t>
      </w:r>
      <w:r w:rsidRPr="00DE2EDF">
        <w:rPr>
          <w:rFonts w:cs="Times New Roman"/>
          <w:lang w:val="en-GB"/>
        </w:rPr>
        <w:t xml:space="preserve">), ‘constitutional law’ or ‘political law’ also analysed the legal framework of those </w:t>
      </w:r>
      <w:r w:rsidR="00A260A7" w:rsidRPr="00DE2EDF">
        <w:rPr>
          <w:rFonts w:cs="Times New Roman"/>
          <w:lang w:val="en-GB"/>
        </w:rPr>
        <w:t>s</w:t>
      </w:r>
      <w:r w:rsidRPr="00DE2EDF">
        <w:rPr>
          <w:rFonts w:cs="Times New Roman"/>
          <w:lang w:val="en-GB"/>
        </w:rPr>
        <w:t>tate organs called ‘administration’.</w:t>
      </w:r>
      <w:bookmarkStart w:id="147" w:name="_Ref243907633"/>
      <w:bookmarkStart w:id="148" w:name="_Ref457833794"/>
      <w:bookmarkEnd w:id="147"/>
      <w:r w:rsidRPr="00DE2EDF">
        <w:rPr>
          <w:rStyle w:val="FootnoteReference"/>
          <w:rFonts w:cs="Times New Roman"/>
          <w:iCs/>
          <w:lang w:val="en-GB"/>
        </w:rPr>
        <w:footnoteReference w:id="72"/>
      </w:r>
      <w:bookmarkEnd w:id="148"/>
      <w:r w:rsidRPr="00DE2EDF">
        <w:rPr>
          <w:rFonts w:cs="Times New Roman"/>
          <w:lang w:val="en-GB"/>
        </w:rPr>
        <w:t xml:space="preserve"> Their view of public power expanded to include the State’s ‘upper’ levels as well its ‘lower’ levels, from the most abstract principles of the Constitution to the thicket of administrative law’s regulations and decisions. Older and even recent textbooks covering both subject areas bear witness to </w:t>
      </w:r>
      <w:r w:rsidRPr="00DE2EDF">
        <w:rPr>
          <w:rFonts w:cs="Times New Roman"/>
          <w:lang w:val="en-GB"/>
        </w:rPr>
        <w:lastRenderedPageBreak/>
        <w:t>such a continuous broadening of constitutional lawyers’ horizons.</w:t>
      </w:r>
      <w:bookmarkStart w:id="149" w:name="_Ref252353891"/>
      <w:bookmarkEnd w:id="149"/>
      <w:r w:rsidRPr="00DE2EDF">
        <w:rPr>
          <w:rStyle w:val="FootnoteReference"/>
          <w:rFonts w:cs="Times New Roman"/>
          <w:iCs/>
          <w:lang w:val="en-GB"/>
        </w:rPr>
        <w:footnoteReference w:id="73"/>
      </w:r>
      <w:r w:rsidRPr="00DE2EDF">
        <w:rPr>
          <w:rFonts w:cs="Times New Roman"/>
          <w:lang w:val="en-GB"/>
        </w:rPr>
        <w:t xml:space="preserve"> Yet, a constitutional lawyer’s interest in administrative law was by definition of secondary importance. Administrative law risked being ne</w:t>
      </w:r>
      <w:r w:rsidR="00FE4844" w:rsidRPr="00DE2EDF">
        <w:rPr>
          <w:rFonts w:cs="Times New Roman"/>
          <w:lang w:val="en-GB"/>
        </w:rPr>
        <w:t>glected, as was demonstrated in ninet</w:t>
      </w:r>
      <w:r w:rsidR="00E31885">
        <w:rPr>
          <w:rFonts w:cs="Times New Roman"/>
          <w:lang w:val="en-GB"/>
        </w:rPr>
        <w:t>eenth</w:t>
      </w:r>
      <w:r w:rsidR="00A35870" w:rsidRPr="00DE2EDF">
        <w:rPr>
          <w:rFonts w:cs="Times New Roman"/>
          <w:lang w:val="en-GB"/>
        </w:rPr>
        <w:t xml:space="preserve"> </w:t>
      </w:r>
      <w:r w:rsidRPr="00DE2EDF">
        <w:rPr>
          <w:rFonts w:cs="Times New Roman"/>
          <w:lang w:val="en-GB"/>
        </w:rPr>
        <w:t xml:space="preserve">century Germany by the attitude of the famous </w:t>
      </w:r>
      <w:r w:rsidRPr="00DE2EDF">
        <w:rPr>
          <w:rFonts w:cs="Times New Roman"/>
          <w:i/>
          <w:lang w:val="en-GB"/>
        </w:rPr>
        <w:t>Staatsrechtler</w:t>
      </w:r>
      <w:r w:rsidRPr="00DE2EDF">
        <w:rPr>
          <w:rFonts w:cs="Times New Roman"/>
          <w:lang w:val="en-GB"/>
        </w:rPr>
        <w:t xml:space="preserve"> Carl Friedrich von Gerber or, during the same period, the primary focus of most Danish professors of </w:t>
      </w:r>
      <w:r w:rsidRPr="00DE2EDF">
        <w:rPr>
          <w:rFonts w:cs="Times New Roman"/>
          <w:i/>
          <w:lang w:val="en-GB"/>
        </w:rPr>
        <w:t>Statsret</w:t>
      </w:r>
      <w:r w:rsidRPr="00DE2EDF">
        <w:rPr>
          <w:rFonts w:cs="Times New Roman"/>
          <w:lang w:val="en-GB"/>
        </w:rPr>
        <w:t xml:space="preserve"> </w:t>
      </w:r>
      <w:r w:rsidR="00774E92" w:rsidRPr="00DE2EDF">
        <w:rPr>
          <w:rFonts w:cs="Times New Roman"/>
          <w:lang w:val="en-GB"/>
        </w:rPr>
        <w:t xml:space="preserve">(state law) </w:t>
      </w:r>
      <w:r w:rsidRPr="00DE2EDF">
        <w:rPr>
          <w:rFonts w:cs="Times New Roman"/>
          <w:lang w:val="en-GB"/>
        </w:rPr>
        <w:t xml:space="preserve">for </w:t>
      </w:r>
      <w:r w:rsidRPr="00DE2EDF">
        <w:rPr>
          <w:rFonts w:cs="Times New Roman"/>
          <w:i/>
          <w:lang w:val="en-GB"/>
        </w:rPr>
        <w:t>Statsforfatningsret</w:t>
      </w:r>
      <w:r w:rsidRPr="00DE2EDF">
        <w:rPr>
          <w:rFonts w:cs="Times New Roman"/>
          <w:lang w:val="en-GB"/>
        </w:rPr>
        <w:t xml:space="preserve"> (constitutional law) to the detriment of </w:t>
      </w:r>
      <w:r w:rsidRPr="00DE2EDF">
        <w:rPr>
          <w:rFonts w:cs="Times New Roman"/>
          <w:i/>
          <w:lang w:val="en-GB"/>
        </w:rPr>
        <w:t>Statsforvaltningsret</w:t>
      </w:r>
      <w:r w:rsidRPr="00DE2EDF">
        <w:rPr>
          <w:rFonts w:cs="Times New Roman"/>
          <w:lang w:val="en-GB"/>
        </w:rPr>
        <w:t xml:space="preserve"> (administrative law).</w:t>
      </w:r>
      <w:r w:rsidRPr="00DE2EDF">
        <w:rPr>
          <w:rStyle w:val="FootnoteReference"/>
          <w:rFonts w:cs="Times New Roman"/>
          <w:iCs/>
          <w:lang w:val="en-GB"/>
        </w:rPr>
        <w:footnoteReference w:id="74"/>
      </w:r>
      <w:r w:rsidRPr="00DE2EDF">
        <w:rPr>
          <w:rFonts w:cs="Times New Roman"/>
          <w:lang w:val="en-GB"/>
        </w:rPr>
        <w:t xml:space="preserve"> Just systematizing the sheer mass of administrative law rules and decisions required specialization. The creation of an autonomous scholarship in administrative law occurred, for some of these countries, by the middle or end of the </w:t>
      </w:r>
      <w:r w:rsidR="003F3A10" w:rsidRPr="00DE2EDF">
        <w:rPr>
          <w:rFonts w:cs="Times New Roman"/>
          <w:lang w:val="en-GB"/>
        </w:rPr>
        <w:t>nineteenth</w:t>
      </w:r>
      <w:r w:rsidRPr="00DE2EDF">
        <w:rPr>
          <w:rFonts w:cs="Times New Roman"/>
          <w:lang w:val="en-GB"/>
        </w:rPr>
        <w:t xml:space="preserve"> century (e.g., in Germany,</w:t>
      </w:r>
      <w:bookmarkStart w:id="150" w:name="_ftnref66"/>
      <w:r w:rsidRPr="00DE2EDF">
        <w:rPr>
          <w:rStyle w:val="FootnoteReference"/>
          <w:rFonts w:cs="Times New Roman"/>
          <w:iCs/>
          <w:lang w:val="en-GB"/>
        </w:rPr>
        <w:footnoteReference w:id="75"/>
      </w:r>
      <w:r w:rsidRPr="00DE2EDF">
        <w:rPr>
          <w:rFonts w:cs="Times New Roman"/>
          <w:lang w:val="en-GB"/>
        </w:rPr>
        <w:t xml:space="preserve"> </w:t>
      </w:r>
      <w:bookmarkEnd w:id="150"/>
      <w:r w:rsidRPr="00DE2EDF">
        <w:rPr>
          <w:rFonts w:cs="Times New Roman"/>
          <w:lang w:val="en-GB"/>
        </w:rPr>
        <w:t xml:space="preserve">Austria, Hungary, Portugal), somewhat later in Switzerland (in the beginning of the </w:t>
      </w:r>
      <w:r w:rsidR="003F3A10" w:rsidRPr="00DE2EDF">
        <w:rPr>
          <w:rFonts w:cs="Times New Roman"/>
          <w:lang w:val="en-GB"/>
        </w:rPr>
        <w:t>twentieth</w:t>
      </w:r>
      <w:r w:rsidRPr="00DE2EDF">
        <w:rPr>
          <w:rFonts w:cs="Times New Roman"/>
          <w:lang w:val="en-GB"/>
        </w:rPr>
        <w:t xml:space="preserve"> century</w:t>
      </w:r>
      <w:r w:rsidRPr="00DE2EDF">
        <w:rPr>
          <w:rStyle w:val="FootnoteReference"/>
          <w:rFonts w:cs="Times New Roman"/>
          <w:iCs/>
          <w:lang w:val="en-GB"/>
        </w:rPr>
        <w:footnoteReference w:id="76"/>
      </w:r>
      <w:r w:rsidRPr="00DE2EDF">
        <w:rPr>
          <w:rFonts w:cs="Times New Roman"/>
          <w:lang w:val="en-GB"/>
        </w:rPr>
        <w:t xml:space="preserve">) and in Denmark </w:t>
      </w:r>
      <w:bookmarkStart w:id="151" w:name="_ftnref67"/>
      <w:r w:rsidR="00FE4844" w:rsidRPr="00DE2EDF">
        <w:rPr>
          <w:rFonts w:cs="Times New Roman"/>
          <w:lang w:val="en-GB"/>
        </w:rPr>
        <w:t>(in the 1920</w:t>
      </w:r>
      <w:r w:rsidRPr="00DE2EDF">
        <w:rPr>
          <w:rFonts w:cs="Times New Roman"/>
          <w:lang w:val="en-GB"/>
        </w:rPr>
        <w:t xml:space="preserve">s), </w:t>
      </w:r>
      <w:bookmarkEnd w:id="151"/>
      <w:r w:rsidRPr="00DE2EDF">
        <w:rPr>
          <w:rFonts w:cs="Times New Roman"/>
          <w:lang w:val="en-GB"/>
        </w:rPr>
        <w:t>and much later in the United</w:t>
      </w:r>
      <w:r w:rsidR="00774E92" w:rsidRPr="00DE2EDF">
        <w:rPr>
          <w:rFonts w:cs="Times New Roman"/>
          <w:lang w:val="en-GB"/>
        </w:rPr>
        <w:t xml:space="preserve"> </w:t>
      </w:r>
      <w:r w:rsidRPr="00DE2EDF">
        <w:rPr>
          <w:rFonts w:cs="Times New Roman"/>
          <w:lang w:val="en-GB"/>
        </w:rPr>
        <w:t>Kingdom (in the last fifty years). Despite boundary disputes and excessive attempts at disen</w:t>
      </w:r>
      <w:r w:rsidR="00A808E5" w:rsidRPr="00DE2EDF">
        <w:rPr>
          <w:rFonts w:cs="Times New Roman"/>
          <w:lang w:val="en-GB"/>
        </w:rPr>
        <w:t>tanglement</w:t>
      </w:r>
      <w:r w:rsidRPr="00DE2EDF">
        <w:rPr>
          <w:rFonts w:cs="Times New Roman"/>
          <w:lang w:val="en-GB"/>
        </w:rPr>
        <w:t>, this historical development generally suggests the existence of a special relationship between the study of constitutional and administrative law.</w:t>
      </w:r>
      <w:bookmarkStart w:id="152" w:name="_ftnref68"/>
      <w:r w:rsidRPr="00DE2EDF">
        <w:rPr>
          <w:rStyle w:val="FootnoteReference"/>
          <w:rFonts w:cs="Times New Roman"/>
          <w:iCs/>
          <w:lang w:val="en-GB"/>
        </w:rPr>
        <w:footnoteReference w:id="77"/>
      </w:r>
      <w:bookmarkEnd w:id="152"/>
    </w:p>
    <w:p w14:paraId="04A83705" w14:textId="77777777" w:rsidR="000F4C26" w:rsidRPr="00DE2EDF" w:rsidRDefault="000F4C26" w:rsidP="00DE2EDF">
      <w:pPr>
        <w:spacing w:after="0"/>
        <w:jc w:val="both"/>
        <w:rPr>
          <w:rFonts w:cs="Times New Roman"/>
          <w:lang w:val="en-GB"/>
        </w:rPr>
      </w:pPr>
    </w:p>
    <w:p w14:paraId="44537449" w14:textId="1E2F4760" w:rsidR="000F756A" w:rsidRPr="00DE2EDF" w:rsidRDefault="000F756A" w:rsidP="00DE2EDF">
      <w:pPr>
        <w:spacing w:after="0"/>
        <w:jc w:val="both"/>
        <w:rPr>
          <w:rFonts w:cs="Times New Roman"/>
          <w:lang w:val="en-GB"/>
        </w:rPr>
      </w:pPr>
      <w:r w:rsidRPr="00DE2EDF">
        <w:rPr>
          <w:rFonts w:cs="Times New Roman"/>
          <w:lang w:val="en-GB"/>
        </w:rPr>
        <w:t>This special relationship is also confirmed when looking at the issue from the opposite perspective</w:t>
      </w:r>
      <w:r w:rsidR="00774E92" w:rsidRPr="00DE2EDF">
        <w:rPr>
          <w:rFonts w:cs="Times New Roman"/>
          <w:lang w:val="en-GB"/>
        </w:rPr>
        <w:t>,</w:t>
      </w:r>
      <w:r w:rsidRPr="00DE2EDF">
        <w:rPr>
          <w:rFonts w:cs="Times New Roman"/>
          <w:lang w:val="en-GB"/>
        </w:rPr>
        <w:t xml:space="preserve"> that is, the example of France.</w:t>
      </w:r>
      <w:bookmarkStart w:id="153" w:name="_ftnref69"/>
      <w:r w:rsidRPr="00DE2EDF">
        <w:rPr>
          <w:rStyle w:val="FootnoteReference"/>
          <w:rFonts w:cs="Times New Roman"/>
          <w:iCs/>
          <w:lang w:val="en-GB"/>
        </w:rPr>
        <w:footnoteReference w:id="78"/>
      </w:r>
      <w:r w:rsidRPr="00DE2EDF">
        <w:rPr>
          <w:rFonts w:cs="Times New Roman"/>
          <w:lang w:val="en-GB"/>
        </w:rPr>
        <w:t xml:space="preserve"> </w:t>
      </w:r>
      <w:bookmarkEnd w:id="153"/>
      <w:r w:rsidRPr="00DE2EDF">
        <w:rPr>
          <w:rFonts w:cs="Times New Roman"/>
          <w:lang w:val="en-GB"/>
        </w:rPr>
        <w:t xml:space="preserve">From 1789 to </w:t>
      </w:r>
      <w:r w:rsidR="00875546" w:rsidRPr="00DE2EDF">
        <w:rPr>
          <w:rFonts w:cs="Times New Roman"/>
          <w:lang w:val="en-GB"/>
        </w:rPr>
        <w:t>1870</w:t>
      </w:r>
      <w:r w:rsidRPr="00DE2EDF">
        <w:rPr>
          <w:rFonts w:cs="Times New Roman"/>
          <w:lang w:val="en-GB"/>
        </w:rPr>
        <w:t xml:space="preserve">, despite the existence of several Constitutions, constitutional law was almost never </w:t>
      </w:r>
      <w:r w:rsidR="00875546" w:rsidRPr="00DE2EDF">
        <w:rPr>
          <w:rFonts w:cs="Times New Roman"/>
          <w:lang w:val="en-GB"/>
        </w:rPr>
        <w:t>taught</w:t>
      </w:r>
      <w:r w:rsidRPr="00DE2EDF">
        <w:rPr>
          <w:rFonts w:cs="Times New Roman"/>
          <w:lang w:val="en-GB"/>
        </w:rPr>
        <w:t xml:space="preserve"> in French universities. The chairs </w:t>
      </w:r>
      <w:r w:rsidR="00AD6E48" w:rsidRPr="00DE2EDF">
        <w:rPr>
          <w:rFonts w:cs="Times New Roman"/>
          <w:lang w:val="en-GB"/>
        </w:rPr>
        <w:t xml:space="preserve">of </w:t>
      </w:r>
      <w:r w:rsidRPr="00DE2EDF">
        <w:rPr>
          <w:rFonts w:cs="Times New Roman"/>
          <w:lang w:val="en-GB"/>
        </w:rPr>
        <w:t>the faculties of law were dedicated mainly to the study of civil and crimina</w:t>
      </w:r>
      <w:r w:rsidR="00FE4844" w:rsidRPr="00DE2EDF">
        <w:rPr>
          <w:rFonts w:cs="Times New Roman"/>
          <w:lang w:val="en-GB"/>
        </w:rPr>
        <w:t>l law and, to a lesser extent</w:t>
      </w:r>
      <w:r w:rsidR="00FE4844" w:rsidRPr="00DE2EDF">
        <w:rPr>
          <w:rFonts w:cs="Times New Roman"/>
        </w:rPr>
        <w:t>—</w:t>
      </w:r>
      <w:r w:rsidR="00FE4844" w:rsidRPr="00DE2EDF">
        <w:rPr>
          <w:rFonts w:cs="Times New Roman"/>
          <w:lang w:val="en-GB"/>
        </w:rPr>
        <w:t>since 1819/1828</w:t>
      </w:r>
      <w:r w:rsidR="00FE4844" w:rsidRPr="00DE2EDF">
        <w:rPr>
          <w:rFonts w:cs="Times New Roman"/>
        </w:rPr>
        <w:t>—</w:t>
      </w:r>
      <w:r w:rsidRPr="00DE2EDF">
        <w:rPr>
          <w:rFonts w:cs="Times New Roman"/>
          <w:lang w:val="en-GB"/>
        </w:rPr>
        <w:t xml:space="preserve">to the study of administrative law. In this peculiar context, it is worth noting that the introductions to textbooks on administrative law and, to a lesser extent, private law, at least made mention of the constitutional framework or sometimes even discussed it more </w:t>
      </w:r>
      <w:r w:rsidRPr="00DE2EDF">
        <w:rPr>
          <w:rFonts w:cs="Times New Roman"/>
          <w:lang w:val="en-GB"/>
        </w:rPr>
        <w:lastRenderedPageBreak/>
        <w:t xml:space="preserve">extensively. One of the most striking examples of such a broad excursion into the province of constitutional law can be found in the third edition of the </w:t>
      </w:r>
      <w:r w:rsidRPr="00DE2EDF">
        <w:rPr>
          <w:rFonts w:cs="Times New Roman"/>
          <w:i/>
          <w:lang w:val="en-GB"/>
        </w:rPr>
        <w:t>Cours de droit public et administratif</w:t>
      </w:r>
      <w:r w:rsidRPr="00DE2EDF">
        <w:rPr>
          <w:rFonts w:cs="Times New Roman"/>
          <w:lang w:val="en-GB"/>
        </w:rPr>
        <w:t xml:space="preserve"> (Lectures on public and administrative law) by </w:t>
      </w:r>
      <w:r w:rsidR="00C97EBE" w:rsidRPr="00DE2EDF">
        <w:rPr>
          <w:rFonts w:cs="Times New Roman"/>
          <w:lang w:val="en-GB"/>
        </w:rPr>
        <w:t>Firmin Laferrière (1798</w:t>
      </w:r>
      <w:r w:rsidR="00B638E3" w:rsidRPr="00DE2EDF">
        <w:rPr>
          <w:rFonts w:cs="Times New Roman"/>
          <w:lang w:val="en-GB"/>
        </w:rPr>
        <w:t>–</w:t>
      </w:r>
      <w:r w:rsidR="00C97EBE" w:rsidRPr="00DE2EDF">
        <w:rPr>
          <w:rFonts w:cs="Times New Roman"/>
          <w:lang w:val="en-GB"/>
        </w:rPr>
        <w:t xml:space="preserve">1861), </w:t>
      </w:r>
      <w:r w:rsidRPr="00DE2EDF">
        <w:rPr>
          <w:rFonts w:cs="Times New Roman"/>
          <w:lang w:val="en-GB"/>
        </w:rPr>
        <w:t>professor of administrative law</w:t>
      </w:r>
      <w:r w:rsidR="00C97EBE" w:rsidRPr="00DE2EDF">
        <w:rPr>
          <w:rFonts w:cs="Times New Roman"/>
          <w:lang w:val="en-GB"/>
        </w:rPr>
        <w:t xml:space="preserve"> at the University of Rennes</w:t>
      </w:r>
      <w:r w:rsidRPr="00DE2EDF">
        <w:rPr>
          <w:rFonts w:cs="Times New Roman"/>
          <w:lang w:val="en-GB"/>
        </w:rPr>
        <w:t>. Th</w:t>
      </w:r>
      <w:r w:rsidR="00255C40" w:rsidRPr="00DE2EDF">
        <w:rPr>
          <w:rFonts w:cs="Times New Roman"/>
          <w:lang w:val="en-GB"/>
        </w:rPr>
        <w:t>at</w:t>
      </w:r>
      <w:r w:rsidRPr="00DE2EDF">
        <w:rPr>
          <w:rFonts w:cs="Times New Roman"/>
          <w:lang w:val="en-GB"/>
        </w:rPr>
        <w:t xml:space="preserve"> </w:t>
      </w:r>
      <w:r w:rsidR="00FE4844" w:rsidRPr="00DE2EDF">
        <w:rPr>
          <w:rFonts w:cs="Times New Roman"/>
          <w:lang w:val="en-GB"/>
        </w:rPr>
        <w:t>third edition was published in two</w:t>
      </w:r>
      <w:r w:rsidRPr="00DE2EDF">
        <w:rPr>
          <w:rFonts w:cs="Times New Roman"/>
          <w:lang w:val="en-GB"/>
        </w:rPr>
        <w:t xml:space="preserve"> volumes in 1850. In the first 376 pages of </w:t>
      </w:r>
      <w:r w:rsidR="00B638E3" w:rsidRPr="00DE2EDF">
        <w:rPr>
          <w:rFonts w:cs="Times New Roman"/>
          <w:lang w:val="en-GB"/>
        </w:rPr>
        <w:t>v</w:t>
      </w:r>
      <w:r w:rsidRPr="00DE2EDF">
        <w:rPr>
          <w:rFonts w:cs="Times New Roman"/>
          <w:lang w:val="en-GB"/>
        </w:rPr>
        <w:t xml:space="preserve">olume </w:t>
      </w:r>
      <w:r w:rsidR="00792339" w:rsidRPr="00DE2EDF">
        <w:rPr>
          <w:rFonts w:cs="Times New Roman"/>
          <w:lang w:val="en-GB"/>
        </w:rPr>
        <w:t>one</w:t>
      </w:r>
      <w:r w:rsidRPr="00DE2EDF">
        <w:rPr>
          <w:rFonts w:cs="Times New Roman"/>
          <w:lang w:val="en-GB"/>
        </w:rPr>
        <w:t>, in Part I entitled ‘Public Law’, Laferrière successively discussed the philosophical background of public law (</w:t>
      </w:r>
      <w:r w:rsidRPr="00DE2EDF">
        <w:rPr>
          <w:rFonts w:cs="Times New Roman"/>
          <w:i/>
          <w:lang w:val="en-GB"/>
        </w:rPr>
        <w:t>droit public philosophique</w:t>
      </w:r>
      <w:r w:rsidRPr="00DE2EDF">
        <w:rPr>
          <w:rFonts w:cs="Times New Roman"/>
          <w:lang w:val="en-GB"/>
        </w:rPr>
        <w:t>), the positive Constitution of France (</w:t>
      </w:r>
      <w:r w:rsidRPr="00DE2EDF">
        <w:rPr>
          <w:rFonts w:cs="Times New Roman"/>
          <w:i/>
          <w:lang w:val="en-GB"/>
        </w:rPr>
        <w:t>droit constitutionnel français</w:t>
      </w:r>
      <w:r w:rsidRPr="00DE2EDF">
        <w:rPr>
          <w:rFonts w:cs="Times New Roman"/>
          <w:lang w:val="en-GB"/>
        </w:rPr>
        <w:t>), canon law, and international law. Thereafter, in Part II, entitled ‘</w:t>
      </w:r>
      <w:r w:rsidR="0006189D">
        <w:rPr>
          <w:rFonts w:cs="Times New Roman"/>
          <w:lang w:val="en-GB"/>
        </w:rPr>
        <w:t>A</w:t>
      </w:r>
      <w:r w:rsidR="0006189D" w:rsidRPr="00DE2EDF">
        <w:rPr>
          <w:rFonts w:cs="Times New Roman"/>
          <w:lang w:val="en-GB"/>
        </w:rPr>
        <w:t>dministrative law’</w:t>
      </w:r>
      <w:r w:rsidR="0006189D" w:rsidRPr="00DE2EDF">
        <w:rPr>
          <w:rFonts w:cs="Times New Roman"/>
          <w:i/>
          <w:lang w:val="en-GB"/>
        </w:rPr>
        <w:t xml:space="preserve"> </w:t>
      </w:r>
      <w:r w:rsidRPr="00DE2EDF">
        <w:rPr>
          <w:rFonts w:cs="Times New Roman"/>
          <w:lang w:val="en-GB"/>
        </w:rPr>
        <w:t>(</w:t>
      </w:r>
      <w:r w:rsidR="0006189D" w:rsidRPr="00DE2EDF">
        <w:rPr>
          <w:rFonts w:cs="Times New Roman"/>
          <w:lang w:val="en-GB"/>
        </w:rPr>
        <w:t>‘</w:t>
      </w:r>
      <w:r w:rsidR="0006189D" w:rsidRPr="00DE2EDF">
        <w:rPr>
          <w:rFonts w:cs="Times New Roman"/>
          <w:i/>
          <w:lang w:val="en-GB"/>
        </w:rPr>
        <w:t>Droit administratif</w:t>
      </w:r>
      <w:r w:rsidR="0006189D" w:rsidRPr="00DE2EDF">
        <w:rPr>
          <w:rFonts w:cs="Times New Roman"/>
          <w:lang w:val="en-GB"/>
        </w:rPr>
        <w:t>’</w:t>
      </w:r>
      <w:r w:rsidRPr="00DE2EDF">
        <w:rPr>
          <w:rFonts w:cs="Times New Roman"/>
          <w:lang w:val="en-GB"/>
        </w:rPr>
        <w:t>) comprising pages 377</w:t>
      </w:r>
      <w:r w:rsidR="00A260A7" w:rsidRPr="00DE2EDF">
        <w:rPr>
          <w:rFonts w:cs="Times New Roman"/>
          <w:lang w:val="en-GB"/>
        </w:rPr>
        <w:t>–</w:t>
      </w:r>
      <w:r w:rsidRPr="00DE2EDF">
        <w:rPr>
          <w:rFonts w:cs="Times New Roman"/>
          <w:lang w:val="en-GB"/>
        </w:rPr>
        <w:t xml:space="preserve">508 of </w:t>
      </w:r>
      <w:r w:rsidR="00792339" w:rsidRPr="00DE2EDF">
        <w:rPr>
          <w:rFonts w:cs="Times New Roman"/>
          <w:lang w:val="en-GB"/>
        </w:rPr>
        <w:t>v</w:t>
      </w:r>
      <w:r w:rsidRPr="00DE2EDF">
        <w:rPr>
          <w:rFonts w:cs="Times New Roman"/>
          <w:lang w:val="en-GB"/>
        </w:rPr>
        <w:t>olume </w:t>
      </w:r>
      <w:r w:rsidR="00792339" w:rsidRPr="00DE2EDF">
        <w:rPr>
          <w:rFonts w:cs="Times New Roman"/>
          <w:lang w:val="en-GB"/>
        </w:rPr>
        <w:t>one</w:t>
      </w:r>
      <w:r w:rsidRPr="00DE2EDF">
        <w:rPr>
          <w:rFonts w:cs="Times New Roman"/>
          <w:lang w:val="en-GB"/>
        </w:rPr>
        <w:t xml:space="preserve"> and all of </w:t>
      </w:r>
      <w:r w:rsidR="00792339" w:rsidRPr="00DE2EDF">
        <w:rPr>
          <w:rFonts w:cs="Times New Roman"/>
          <w:lang w:val="en-GB"/>
        </w:rPr>
        <w:t>v</w:t>
      </w:r>
      <w:r w:rsidRPr="00DE2EDF">
        <w:rPr>
          <w:rFonts w:cs="Times New Roman"/>
          <w:lang w:val="en-GB"/>
        </w:rPr>
        <w:t>olume </w:t>
      </w:r>
      <w:r w:rsidR="00792339" w:rsidRPr="00DE2EDF">
        <w:rPr>
          <w:rFonts w:cs="Times New Roman"/>
          <w:lang w:val="en-GB"/>
        </w:rPr>
        <w:t>two</w:t>
      </w:r>
      <w:r w:rsidRPr="00DE2EDF">
        <w:rPr>
          <w:rFonts w:cs="Times New Roman"/>
          <w:lang w:val="en-GB"/>
        </w:rPr>
        <w:t>, Laferrière focussed on its main topic</w:t>
      </w:r>
      <w:r w:rsidR="008462BE" w:rsidRPr="00DE2EDF">
        <w:rPr>
          <w:rFonts w:cs="Times New Roman"/>
          <w:lang w:val="en-GB"/>
        </w:rPr>
        <w:t xml:space="preserve"> (</w:t>
      </w:r>
      <w:r w:rsidRPr="00DE2EDF">
        <w:rPr>
          <w:rFonts w:cs="Times New Roman"/>
          <w:lang w:val="en-GB"/>
        </w:rPr>
        <w:t>i.e.</w:t>
      </w:r>
      <w:r w:rsidR="008462BE" w:rsidRPr="00DE2EDF">
        <w:rPr>
          <w:rFonts w:cs="Times New Roman"/>
          <w:lang w:val="en-GB"/>
        </w:rPr>
        <w:t>,</w:t>
      </w:r>
      <w:r w:rsidRPr="00DE2EDF">
        <w:rPr>
          <w:rFonts w:cs="Times New Roman"/>
          <w:lang w:val="en-GB"/>
        </w:rPr>
        <w:t xml:space="preserve"> administrative law </w:t>
      </w:r>
      <w:r w:rsidRPr="00DE2EDF">
        <w:rPr>
          <w:rFonts w:cs="Times New Roman"/>
          <w:i/>
          <w:lang w:val="en-GB"/>
        </w:rPr>
        <w:t>stricto sensu</w:t>
      </w:r>
      <w:r w:rsidR="008462BE" w:rsidRPr="00DE2EDF">
        <w:rPr>
          <w:rFonts w:cs="Times New Roman"/>
          <w:lang w:val="en-GB"/>
        </w:rPr>
        <w:t>)</w:t>
      </w:r>
      <w:r w:rsidRPr="00DE2EDF">
        <w:rPr>
          <w:rFonts w:cs="Times New Roman"/>
          <w:lang w:val="en-GB"/>
        </w:rPr>
        <w:t xml:space="preserve">. </w:t>
      </w:r>
      <w:r w:rsidRPr="00DE2EDF">
        <w:rPr>
          <w:rFonts w:cs="Times New Roman"/>
          <w:i/>
          <w:lang w:val="en-GB"/>
        </w:rPr>
        <w:t>Nomen est omen</w:t>
      </w:r>
      <w:r w:rsidRPr="00DE2EDF">
        <w:rPr>
          <w:rFonts w:cs="Times New Roman"/>
          <w:lang w:val="en-GB"/>
        </w:rPr>
        <w:t xml:space="preserve">: it is not a mere accident that the title of many administrative law textbooks from that period used not only the term </w:t>
      </w:r>
      <w:r w:rsidRPr="00DE2EDF">
        <w:rPr>
          <w:rFonts w:cs="Times New Roman"/>
          <w:i/>
          <w:lang w:val="en-GB"/>
        </w:rPr>
        <w:t>droit administratif</w:t>
      </w:r>
      <w:r w:rsidRPr="00DE2EDF">
        <w:rPr>
          <w:rFonts w:cs="Times New Roman"/>
          <w:lang w:val="en-GB"/>
        </w:rPr>
        <w:t xml:space="preserve">, but also the term </w:t>
      </w:r>
      <w:r w:rsidRPr="00DE2EDF">
        <w:rPr>
          <w:rFonts w:cs="Times New Roman"/>
          <w:i/>
          <w:lang w:val="en-GB"/>
        </w:rPr>
        <w:t>droit public</w:t>
      </w:r>
      <w:bookmarkStart w:id="154" w:name="_ftnref70"/>
      <w:r w:rsidR="00FE4844" w:rsidRPr="00DE2EDF">
        <w:rPr>
          <w:rFonts w:cs="Times New Roman"/>
          <w:i/>
          <w:lang w:val="en-GB"/>
        </w:rPr>
        <w:t>.</w:t>
      </w:r>
      <w:r w:rsidRPr="00DE2EDF">
        <w:rPr>
          <w:rStyle w:val="FootnoteReference"/>
          <w:rFonts w:cs="Times New Roman"/>
          <w:iCs/>
          <w:lang w:val="en-GB"/>
        </w:rPr>
        <w:footnoteReference w:id="79"/>
      </w:r>
      <w:bookmarkEnd w:id="154"/>
      <w:r w:rsidRPr="00DE2EDF">
        <w:rPr>
          <w:rFonts w:cs="Times New Roman"/>
          <w:lang w:val="en-GB"/>
        </w:rPr>
        <w:t xml:space="preserve"> Sometimes, the latter referred to the</w:t>
      </w:r>
      <w:r w:rsidR="00F240EB">
        <w:rPr>
          <w:rFonts w:cs="Times New Roman"/>
          <w:lang w:val="en-GB"/>
        </w:rPr>
        <w:t xml:space="preserve"> entire body of public law, but</w:t>
      </w:r>
      <w:r w:rsidRPr="00DE2EDF">
        <w:rPr>
          <w:rFonts w:cs="Times New Roman"/>
          <w:lang w:val="en-GB"/>
        </w:rPr>
        <w:t xml:space="preserve"> it </w:t>
      </w:r>
      <w:r w:rsidR="00F240EB">
        <w:rPr>
          <w:rFonts w:cs="Times New Roman"/>
          <w:lang w:val="en-GB"/>
        </w:rPr>
        <w:t xml:space="preserve">very often </w:t>
      </w:r>
      <w:r w:rsidRPr="00DE2EDF">
        <w:rPr>
          <w:rFonts w:cs="Times New Roman"/>
          <w:lang w:val="en-GB"/>
        </w:rPr>
        <w:t xml:space="preserve">only referred to the specific branch of constitutional law. In the peculiar context of </w:t>
      </w:r>
      <w:r w:rsidR="00E12609" w:rsidRPr="00DE2EDF">
        <w:rPr>
          <w:rFonts w:cs="Times New Roman"/>
          <w:lang w:val="en-GB"/>
        </w:rPr>
        <w:t xml:space="preserve">the </w:t>
      </w:r>
      <w:r w:rsidR="00AA24A3" w:rsidRPr="00DE2EDF">
        <w:rPr>
          <w:rFonts w:cs="Times New Roman"/>
          <w:lang w:val="en-GB"/>
        </w:rPr>
        <w:t xml:space="preserve">nineteenth </w:t>
      </w:r>
      <w:r w:rsidR="00FE4844" w:rsidRPr="00DE2EDF">
        <w:rPr>
          <w:rFonts w:cs="Times New Roman"/>
          <w:lang w:val="en-GB"/>
        </w:rPr>
        <w:t>century</w:t>
      </w:r>
      <w:r w:rsidR="00FE4844" w:rsidRPr="00DE2EDF">
        <w:rPr>
          <w:rFonts w:cs="Times New Roman"/>
        </w:rPr>
        <w:t>—</w:t>
      </w:r>
      <w:r w:rsidRPr="00DE2EDF">
        <w:rPr>
          <w:rFonts w:cs="Times New Roman"/>
          <w:lang w:val="en-GB"/>
        </w:rPr>
        <w:t>in the absence of chairs dedicated to constitutional law, to political science and to empirical st</w:t>
      </w:r>
      <w:r w:rsidR="00FE4844" w:rsidRPr="00DE2EDF">
        <w:rPr>
          <w:rFonts w:cs="Times New Roman"/>
          <w:lang w:val="en-GB"/>
        </w:rPr>
        <w:t>udies on administration</w:t>
      </w:r>
      <w:r w:rsidR="00FE4844" w:rsidRPr="00DE2EDF">
        <w:rPr>
          <w:rFonts w:cs="Times New Roman"/>
        </w:rPr>
        <w:t>—</w:t>
      </w:r>
      <w:r w:rsidRPr="00DE2EDF">
        <w:rPr>
          <w:rFonts w:cs="Times New Roman"/>
          <w:lang w:val="en-GB"/>
        </w:rPr>
        <w:t xml:space="preserve">the administrative law scholarship succeeded in occupying a monopolistic or at least central position in the academic field of studies on the </w:t>
      </w:r>
      <w:r w:rsidR="00AA24A3" w:rsidRPr="00DE2EDF">
        <w:rPr>
          <w:rFonts w:cs="Times New Roman"/>
          <w:lang w:val="en-GB"/>
        </w:rPr>
        <w:t>s</w:t>
      </w:r>
      <w:r w:rsidRPr="00DE2EDF">
        <w:rPr>
          <w:rFonts w:cs="Times New Roman"/>
          <w:lang w:val="en-GB"/>
        </w:rPr>
        <w:t>tate. It succeeded in doing so from a marginal position (no one disputed that, logically, administrative law must follow, not precede, constitutional law). Whereas in most countries, the academic curriculum went from the ‘summits’ of constitutional law down into the ‘valleys’ of administrative law, the French approach in</w:t>
      </w:r>
      <w:r w:rsidR="0084282C" w:rsidRPr="00DE2EDF">
        <w:rPr>
          <w:rFonts w:cs="Times New Roman"/>
          <w:lang w:val="en-GB"/>
        </w:rPr>
        <w:t xml:space="preserve"> </w:t>
      </w:r>
      <w:r w:rsidR="005D6C4F">
        <w:rPr>
          <w:rFonts w:cs="Times New Roman"/>
          <w:lang w:val="en-GB"/>
        </w:rPr>
        <w:t xml:space="preserve">the </w:t>
      </w:r>
      <w:r w:rsidR="00FE4844" w:rsidRPr="00DE2EDF">
        <w:rPr>
          <w:rFonts w:cs="Times New Roman"/>
          <w:lang w:val="en-GB"/>
        </w:rPr>
        <w:t>ninet</w:t>
      </w:r>
      <w:r w:rsidR="00E31885">
        <w:rPr>
          <w:rFonts w:cs="Times New Roman"/>
          <w:lang w:val="en-GB"/>
        </w:rPr>
        <w:t>eenth</w:t>
      </w:r>
      <w:r w:rsidR="00FE4844" w:rsidRPr="00DE2EDF">
        <w:rPr>
          <w:rFonts w:cs="Times New Roman"/>
          <w:lang w:val="en-GB"/>
        </w:rPr>
        <w:t xml:space="preserve"> </w:t>
      </w:r>
      <w:r w:rsidRPr="00DE2EDF">
        <w:rPr>
          <w:rFonts w:cs="Times New Roman"/>
          <w:lang w:val="en-GB"/>
        </w:rPr>
        <w:t>century was ‘bottom up’, moving up from administrative law (and, to a far lesser extent, from private law) into the higher sphere of constitutional law.</w:t>
      </w:r>
      <w:bookmarkStart w:id="155" w:name="_ftnref71"/>
      <w:r w:rsidRPr="00DE2EDF">
        <w:rPr>
          <w:rStyle w:val="FootnoteReference"/>
          <w:rFonts w:cs="Times New Roman"/>
          <w:iCs/>
          <w:lang w:val="en-GB"/>
        </w:rPr>
        <w:footnoteReference w:id="80"/>
      </w:r>
      <w:r w:rsidRPr="00DE2EDF">
        <w:rPr>
          <w:rFonts w:cs="Times New Roman"/>
          <w:lang w:val="en-GB"/>
        </w:rPr>
        <w:t xml:space="preserve"> </w:t>
      </w:r>
      <w:bookmarkEnd w:id="155"/>
      <w:r w:rsidRPr="00DE2EDF">
        <w:rPr>
          <w:rFonts w:cs="Times New Roman"/>
          <w:lang w:val="en-GB"/>
        </w:rPr>
        <w:t>This shows that there is an overlap between those two fields of study and, further, that the said overlap may be overtaken from one side or the other.</w:t>
      </w:r>
    </w:p>
    <w:p w14:paraId="50A0FA92" w14:textId="77777777" w:rsidR="002D66C1" w:rsidRPr="00DE2EDF" w:rsidRDefault="002D66C1" w:rsidP="00DE2EDF">
      <w:pPr>
        <w:spacing w:after="0"/>
        <w:jc w:val="both"/>
        <w:rPr>
          <w:rFonts w:cs="Times New Roman"/>
          <w:lang w:val="en-GB"/>
        </w:rPr>
      </w:pPr>
    </w:p>
    <w:p w14:paraId="4AB99C03" w14:textId="77777777" w:rsidR="000F756A" w:rsidRPr="00DE2EDF" w:rsidRDefault="002D66C1" w:rsidP="00DE2EDF">
      <w:pPr>
        <w:pStyle w:val="Heading2"/>
        <w:spacing w:before="0" w:after="0" w:line="276" w:lineRule="auto"/>
        <w:ind w:left="0" w:firstLine="0"/>
        <w:rPr>
          <w:rFonts w:eastAsia="Times New Roman" w:cs="Times New Roman"/>
          <w:szCs w:val="24"/>
          <w:lang w:val="en-GB"/>
        </w:rPr>
      </w:pPr>
      <w:bookmarkStart w:id="156" w:name="_Toc253048935"/>
      <w:bookmarkStart w:id="157" w:name="_Toc252700482"/>
      <w:bookmarkStart w:id="158" w:name="_Toc245196665"/>
      <w:bookmarkStart w:id="159" w:name="_Toc460405628"/>
      <w:bookmarkEnd w:id="156"/>
      <w:bookmarkEnd w:id="157"/>
      <w:r w:rsidRPr="00DE2EDF">
        <w:rPr>
          <w:rFonts w:eastAsia="Times New Roman" w:cs="Times New Roman"/>
          <w:szCs w:val="24"/>
          <w:lang w:val="en-GB"/>
        </w:rPr>
        <w:t xml:space="preserve">5. </w:t>
      </w:r>
      <w:r w:rsidR="000F756A" w:rsidRPr="00DE2EDF">
        <w:rPr>
          <w:rFonts w:eastAsia="Times New Roman" w:cs="Times New Roman"/>
          <w:szCs w:val="24"/>
          <w:lang w:val="en-GB"/>
        </w:rPr>
        <w:t xml:space="preserve">Interim </w:t>
      </w:r>
      <w:r w:rsidR="00AA24A3" w:rsidRPr="00DE2EDF">
        <w:rPr>
          <w:rFonts w:eastAsia="Times New Roman" w:cs="Times New Roman"/>
          <w:szCs w:val="24"/>
          <w:lang w:val="en-GB"/>
        </w:rPr>
        <w:t>C</w:t>
      </w:r>
      <w:r w:rsidR="000F756A" w:rsidRPr="00DE2EDF">
        <w:rPr>
          <w:rFonts w:eastAsia="Times New Roman" w:cs="Times New Roman"/>
          <w:szCs w:val="24"/>
          <w:lang w:val="en-GB"/>
        </w:rPr>
        <w:t xml:space="preserve">onclusions: A </w:t>
      </w:r>
      <w:r w:rsidR="00AA24A3" w:rsidRPr="00DE2EDF">
        <w:rPr>
          <w:rFonts w:eastAsia="Times New Roman" w:cs="Times New Roman"/>
          <w:szCs w:val="24"/>
          <w:lang w:val="en-GB"/>
        </w:rPr>
        <w:t>N</w:t>
      </w:r>
      <w:r w:rsidR="000F756A" w:rsidRPr="00DE2EDF">
        <w:rPr>
          <w:rFonts w:eastAsia="Times New Roman" w:cs="Times New Roman"/>
          <w:szCs w:val="24"/>
          <w:lang w:val="en-GB"/>
        </w:rPr>
        <w:t xml:space="preserve">ew </w:t>
      </w:r>
      <w:r w:rsidR="00AA24A3" w:rsidRPr="00DE2EDF">
        <w:rPr>
          <w:rFonts w:eastAsia="Times New Roman" w:cs="Times New Roman"/>
          <w:szCs w:val="24"/>
          <w:lang w:val="en-GB"/>
        </w:rPr>
        <w:t>D</w:t>
      </w:r>
      <w:r w:rsidR="000F756A" w:rsidRPr="00DE2EDF">
        <w:rPr>
          <w:rFonts w:eastAsia="Times New Roman" w:cs="Times New Roman"/>
          <w:szCs w:val="24"/>
          <w:lang w:val="en-GB"/>
        </w:rPr>
        <w:t xml:space="preserve">efinition of the </w:t>
      </w:r>
      <w:r w:rsidR="00AA24A3" w:rsidRPr="00DE2EDF">
        <w:rPr>
          <w:rFonts w:eastAsia="Times New Roman" w:cs="Times New Roman"/>
          <w:szCs w:val="24"/>
          <w:lang w:val="en-GB"/>
        </w:rPr>
        <w:t>P</w:t>
      </w:r>
      <w:r w:rsidR="000F756A" w:rsidRPr="00DE2EDF">
        <w:rPr>
          <w:rFonts w:eastAsia="Times New Roman" w:cs="Times New Roman"/>
          <w:szCs w:val="24"/>
          <w:lang w:val="en-GB"/>
        </w:rPr>
        <w:t>roblem</w:t>
      </w:r>
      <w:bookmarkEnd w:id="158"/>
      <w:bookmarkEnd w:id="159"/>
    </w:p>
    <w:p w14:paraId="4DA30B49" w14:textId="77777777" w:rsidR="002D66C1" w:rsidRPr="00DE2EDF" w:rsidRDefault="002D66C1" w:rsidP="00DE2EDF">
      <w:pPr>
        <w:spacing w:after="0"/>
        <w:rPr>
          <w:rFonts w:cs="Times New Roman"/>
          <w:lang w:val="en-GB"/>
        </w:rPr>
      </w:pPr>
    </w:p>
    <w:p w14:paraId="02F4D474" w14:textId="77777777" w:rsidR="000F756A" w:rsidRPr="00DE2EDF" w:rsidRDefault="000F756A" w:rsidP="00DE2EDF">
      <w:pPr>
        <w:spacing w:after="0"/>
        <w:jc w:val="both"/>
        <w:rPr>
          <w:rFonts w:cs="Times New Roman"/>
          <w:lang w:val="en-GB"/>
        </w:rPr>
      </w:pPr>
      <w:r w:rsidRPr="00DE2EDF">
        <w:rPr>
          <w:rFonts w:cs="Times New Roman"/>
          <w:lang w:val="en-GB"/>
        </w:rPr>
        <w:t xml:space="preserve">In a system in which the Constitution enjoys </w:t>
      </w:r>
      <w:r w:rsidR="002C722D" w:rsidRPr="00DE2EDF">
        <w:rPr>
          <w:rFonts w:cs="Times New Roman"/>
          <w:lang w:val="en-GB"/>
        </w:rPr>
        <w:t>primacy</w:t>
      </w:r>
      <w:r w:rsidRPr="00DE2EDF">
        <w:rPr>
          <w:rFonts w:cs="Times New Roman"/>
          <w:lang w:val="en-GB"/>
        </w:rPr>
        <w:t xml:space="preserve">, a total decoupling of </w:t>
      </w:r>
      <w:r w:rsidR="009A0E58" w:rsidRPr="00DE2EDF">
        <w:rPr>
          <w:rFonts w:cs="Times New Roman"/>
          <w:lang w:val="en-GB"/>
        </w:rPr>
        <w:t xml:space="preserve">ordinary </w:t>
      </w:r>
      <w:r w:rsidRPr="00DE2EDF">
        <w:rPr>
          <w:rFonts w:cs="Times New Roman"/>
          <w:lang w:val="en-GB"/>
        </w:rPr>
        <w:t>administrative law from constitutional law is impossible. This is true even if the Constitution is reduced to a strict minimum, as it was under the French Third Republic. Thus, the Two World The</w:t>
      </w:r>
      <w:r w:rsidR="002C722D" w:rsidRPr="00DE2EDF">
        <w:rPr>
          <w:rFonts w:cs="Times New Roman"/>
          <w:lang w:val="en-GB"/>
        </w:rPr>
        <w:t>sis</w:t>
      </w:r>
      <w:r w:rsidRPr="00DE2EDF">
        <w:rPr>
          <w:rFonts w:cs="Times New Roman"/>
          <w:lang w:val="en-GB"/>
        </w:rPr>
        <w:t xml:space="preserve"> definitely belongs in the</w:t>
      </w:r>
      <w:r w:rsidR="002C722D" w:rsidRPr="00DE2EDF">
        <w:rPr>
          <w:rFonts w:cs="Times New Roman"/>
          <w:lang w:val="en-GB"/>
        </w:rPr>
        <w:t xml:space="preserve"> dust</w:t>
      </w:r>
      <w:r w:rsidRPr="00DE2EDF">
        <w:rPr>
          <w:rFonts w:cs="Times New Roman"/>
          <w:lang w:val="en-GB"/>
        </w:rPr>
        <w:t xml:space="preserve">bin. The real question is not </w:t>
      </w:r>
      <w:r w:rsidRPr="00DE2EDF">
        <w:rPr>
          <w:rFonts w:cs="Times New Roman"/>
          <w:lang w:val="en-GB"/>
        </w:rPr>
        <w:lastRenderedPageBreak/>
        <w:t xml:space="preserve">whether </w:t>
      </w:r>
      <w:r w:rsidR="00A3095F" w:rsidRPr="00DE2EDF">
        <w:rPr>
          <w:rFonts w:cs="Times New Roman"/>
          <w:lang w:val="en-GB"/>
        </w:rPr>
        <w:t xml:space="preserve">ordinary </w:t>
      </w:r>
      <w:r w:rsidRPr="00DE2EDF">
        <w:rPr>
          <w:rFonts w:cs="Times New Roman"/>
          <w:lang w:val="en-GB"/>
        </w:rPr>
        <w:t>administrative law</w:t>
      </w:r>
      <w:r w:rsidR="00B34E40" w:rsidRPr="00DE2EDF">
        <w:rPr>
          <w:rFonts w:cs="Times New Roman"/>
          <w:lang w:val="en-GB"/>
        </w:rPr>
        <w:t xml:space="preserve"> (i.e.</w:t>
      </w:r>
      <w:r w:rsidR="00AD6E48" w:rsidRPr="00DE2EDF">
        <w:rPr>
          <w:rFonts w:cs="Times New Roman"/>
          <w:lang w:val="en-GB"/>
        </w:rPr>
        <w:t>,</w:t>
      </w:r>
      <w:r w:rsidR="0084282C" w:rsidRPr="00DE2EDF">
        <w:rPr>
          <w:rFonts w:cs="Times New Roman"/>
          <w:lang w:val="en-GB"/>
        </w:rPr>
        <w:t xml:space="preserve"> statutes</w:t>
      </w:r>
      <w:r w:rsidR="00B34E40" w:rsidRPr="00DE2EDF">
        <w:rPr>
          <w:rFonts w:cs="Times New Roman"/>
          <w:lang w:val="en-GB"/>
        </w:rPr>
        <w:t>, regulations,</w:t>
      </w:r>
      <w:r w:rsidR="0083723A" w:rsidRPr="00DE2EDF">
        <w:rPr>
          <w:rFonts w:cs="Times New Roman"/>
          <w:lang w:val="en-GB"/>
        </w:rPr>
        <w:t xml:space="preserve"> case law,</w:t>
      </w:r>
      <w:r w:rsidR="00B34E40" w:rsidRPr="00DE2EDF">
        <w:rPr>
          <w:rFonts w:cs="Times New Roman"/>
          <w:lang w:val="en-GB"/>
        </w:rPr>
        <w:t xml:space="preserve"> contracts, customs, </w:t>
      </w:r>
      <w:r w:rsidR="0083723A" w:rsidRPr="00DE2EDF">
        <w:rPr>
          <w:rFonts w:cs="Times New Roman"/>
          <w:lang w:val="en-GB"/>
        </w:rPr>
        <w:t xml:space="preserve">and </w:t>
      </w:r>
      <w:r w:rsidR="00B34E40" w:rsidRPr="00DE2EDF">
        <w:rPr>
          <w:rFonts w:cs="Times New Roman"/>
          <w:lang w:val="en-GB"/>
        </w:rPr>
        <w:t xml:space="preserve">decisions pertaining to public administration) </w:t>
      </w:r>
      <w:r w:rsidR="002C722D" w:rsidRPr="00DE2EDF">
        <w:rPr>
          <w:rFonts w:cs="Times New Roman"/>
          <w:lang w:val="en-GB"/>
        </w:rPr>
        <w:t xml:space="preserve">is predetermined by higher </w:t>
      </w:r>
      <w:r w:rsidRPr="00DE2EDF">
        <w:rPr>
          <w:rFonts w:cs="Times New Roman"/>
          <w:lang w:val="en-GB"/>
        </w:rPr>
        <w:t xml:space="preserve">constitutional </w:t>
      </w:r>
      <w:r w:rsidR="002C722D" w:rsidRPr="00DE2EDF">
        <w:rPr>
          <w:rFonts w:cs="Times New Roman"/>
          <w:lang w:val="en-GB"/>
        </w:rPr>
        <w:t>norms</w:t>
      </w:r>
      <w:r w:rsidR="00A3095F" w:rsidRPr="00DE2EDF">
        <w:rPr>
          <w:rFonts w:cs="Times New Roman"/>
          <w:lang w:val="en-GB"/>
        </w:rPr>
        <w:t xml:space="preserve">, </w:t>
      </w:r>
      <w:r w:rsidRPr="00DE2EDF">
        <w:rPr>
          <w:rFonts w:cs="Times New Roman"/>
          <w:lang w:val="en-GB"/>
        </w:rPr>
        <w:t xml:space="preserve">but to what extent </w:t>
      </w:r>
      <w:r w:rsidR="00B34E40" w:rsidRPr="00DE2EDF">
        <w:rPr>
          <w:rFonts w:cs="Times New Roman"/>
          <w:lang w:val="en-GB"/>
        </w:rPr>
        <w:t>it is so</w:t>
      </w:r>
      <w:r w:rsidRPr="00DE2EDF">
        <w:rPr>
          <w:rFonts w:cs="Times New Roman"/>
          <w:lang w:val="en-GB"/>
        </w:rPr>
        <w:t>. The juxtaposition of two antithetical models (</w:t>
      </w:r>
      <w:r w:rsidR="00AE7FC1" w:rsidRPr="00DE2EDF">
        <w:rPr>
          <w:rFonts w:cs="Times New Roman"/>
          <w:lang w:val="en-GB"/>
        </w:rPr>
        <w:t>dependenc</w:t>
      </w:r>
      <w:r w:rsidR="0035571C" w:rsidRPr="00DE2EDF">
        <w:rPr>
          <w:rFonts w:cs="Times New Roman"/>
          <w:lang w:val="en-GB"/>
        </w:rPr>
        <w:t>e</w:t>
      </w:r>
      <w:r w:rsidR="00AE7FC1" w:rsidRPr="00DE2EDF">
        <w:rPr>
          <w:rFonts w:cs="Times New Roman"/>
          <w:lang w:val="en-GB"/>
        </w:rPr>
        <w:t xml:space="preserve"> versus independence; </w:t>
      </w:r>
      <w:r w:rsidRPr="00DE2EDF">
        <w:rPr>
          <w:rFonts w:cs="Times New Roman"/>
          <w:lang w:val="en-GB"/>
        </w:rPr>
        <w:t>in the German debate: Fritz Werner versus Otto Mayer) makes little sense. It gives a distorted picture of reality as one of the two models is not supported empirically and the other is not sufficiently nuanced. Such an analytical framework does not allow to capture</w:t>
      </w:r>
      <w:r w:rsidR="00AE7FC1" w:rsidRPr="00DE2EDF">
        <w:rPr>
          <w:rFonts w:cs="Times New Roman"/>
          <w:lang w:val="en-GB"/>
        </w:rPr>
        <w:t xml:space="preserve"> </w:t>
      </w:r>
      <w:r w:rsidRPr="00DE2EDF">
        <w:rPr>
          <w:rFonts w:cs="Times New Roman"/>
          <w:lang w:val="en-GB"/>
        </w:rPr>
        <w:t xml:space="preserve">nuances </w:t>
      </w:r>
      <w:r w:rsidRPr="00DE2EDF">
        <w:rPr>
          <w:rFonts w:cs="Times New Roman"/>
          <w:i/>
          <w:lang w:val="en-GB"/>
        </w:rPr>
        <w:t>within</w:t>
      </w:r>
      <w:r w:rsidRPr="00DE2EDF">
        <w:rPr>
          <w:rFonts w:cs="Times New Roman"/>
          <w:lang w:val="en-GB"/>
        </w:rPr>
        <w:t xml:space="preserve"> the paradigm of </w:t>
      </w:r>
      <w:r w:rsidR="00AE7FC1" w:rsidRPr="00DE2EDF">
        <w:rPr>
          <w:rFonts w:cs="Times New Roman"/>
          <w:lang w:val="en-GB"/>
        </w:rPr>
        <w:t xml:space="preserve">administrative law being linked to </w:t>
      </w:r>
      <w:r w:rsidRPr="00DE2EDF">
        <w:rPr>
          <w:rFonts w:cs="Times New Roman"/>
          <w:lang w:val="en-GB"/>
        </w:rPr>
        <w:t>constitution</w:t>
      </w:r>
      <w:r w:rsidR="00D7708F">
        <w:rPr>
          <w:rFonts w:cs="Times New Roman"/>
          <w:lang w:val="en-GB"/>
        </w:rPr>
        <w:t>al</w:t>
      </w:r>
      <w:r w:rsidR="00AE7FC1" w:rsidRPr="00DE2EDF">
        <w:rPr>
          <w:rFonts w:cs="Times New Roman"/>
          <w:lang w:val="en-GB"/>
        </w:rPr>
        <w:t xml:space="preserve"> law</w:t>
      </w:r>
      <w:r w:rsidRPr="00DE2EDF">
        <w:rPr>
          <w:rFonts w:cs="Times New Roman"/>
          <w:lang w:val="en-GB"/>
        </w:rPr>
        <w:t xml:space="preserve">. A typology that wants to reflect </w:t>
      </w:r>
      <w:r w:rsidR="00AE7FC1" w:rsidRPr="00DE2EDF">
        <w:rPr>
          <w:rFonts w:cs="Times New Roman"/>
          <w:lang w:val="en-GB"/>
        </w:rPr>
        <w:t xml:space="preserve">the richness and variety of </w:t>
      </w:r>
      <w:r w:rsidR="00D95E1E" w:rsidRPr="00DE2EDF">
        <w:rPr>
          <w:rFonts w:cs="Times New Roman"/>
          <w:lang w:val="en-GB"/>
        </w:rPr>
        <w:t xml:space="preserve">law’s </w:t>
      </w:r>
      <w:r w:rsidRPr="00DE2EDF">
        <w:rPr>
          <w:rFonts w:cs="Times New Roman"/>
          <w:lang w:val="en-GB"/>
        </w:rPr>
        <w:t>reality</w:t>
      </w:r>
      <w:r w:rsidR="00AE7FC1" w:rsidRPr="00DE2EDF">
        <w:rPr>
          <w:rFonts w:cs="Times New Roman"/>
          <w:lang w:val="en-GB"/>
        </w:rPr>
        <w:t xml:space="preserve">, particularly </w:t>
      </w:r>
      <w:r w:rsidR="0035571C" w:rsidRPr="00DE2EDF">
        <w:rPr>
          <w:rFonts w:cs="Times New Roman"/>
          <w:lang w:val="en-GB"/>
        </w:rPr>
        <w:t>from</w:t>
      </w:r>
      <w:r w:rsidR="00AE7FC1" w:rsidRPr="00DE2EDF">
        <w:rPr>
          <w:rFonts w:cs="Times New Roman"/>
          <w:lang w:val="en-GB"/>
        </w:rPr>
        <w:t xml:space="preserve"> a comparative perspective,</w:t>
      </w:r>
      <w:r w:rsidRPr="00DE2EDF">
        <w:rPr>
          <w:rFonts w:cs="Times New Roman"/>
          <w:lang w:val="en-GB"/>
        </w:rPr>
        <w:t xml:space="preserve"> needs to focus on the area of the spectrum between low- and high-</w:t>
      </w:r>
      <w:r w:rsidR="00AE7FC1" w:rsidRPr="00DE2EDF">
        <w:rPr>
          <w:rFonts w:cs="Times New Roman"/>
          <w:lang w:val="en-GB"/>
        </w:rPr>
        <w:t>predetermination of administrative law by</w:t>
      </w:r>
      <w:r w:rsidRPr="00DE2EDF">
        <w:rPr>
          <w:rFonts w:cs="Times New Roman"/>
          <w:lang w:val="en-GB"/>
        </w:rPr>
        <w:t xml:space="preserve"> constitutional law</w:t>
      </w:r>
      <w:r w:rsidR="00D95E1E" w:rsidRPr="00DE2EDF">
        <w:rPr>
          <w:rFonts w:cs="Times New Roman"/>
          <w:lang w:val="en-GB"/>
        </w:rPr>
        <w:t xml:space="preserve"> standards</w:t>
      </w:r>
      <w:r w:rsidRPr="00DE2EDF">
        <w:rPr>
          <w:rFonts w:cs="Times New Roman"/>
          <w:lang w:val="en-GB"/>
        </w:rPr>
        <w:t xml:space="preserve">. But, before this question can be discussed systematically (see part </w:t>
      </w:r>
      <w:r w:rsidR="0006189D">
        <w:rPr>
          <w:rFonts w:cs="Times New Roman"/>
          <w:lang w:val="en-GB"/>
        </w:rPr>
        <w:t>D</w:t>
      </w:r>
      <w:r w:rsidRPr="00DE2EDF">
        <w:rPr>
          <w:rFonts w:cs="Times New Roman"/>
          <w:lang w:val="en-GB"/>
        </w:rPr>
        <w:t>), a preliminary question must be answered</w:t>
      </w:r>
      <w:r w:rsidR="0035571C" w:rsidRPr="00DE2EDF">
        <w:rPr>
          <w:rFonts w:cs="Times New Roman"/>
          <w:lang w:val="en-GB"/>
        </w:rPr>
        <w:t>.</w:t>
      </w:r>
      <w:r w:rsidRPr="00DE2EDF">
        <w:rPr>
          <w:rFonts w:cs="Times New Roman"/>
          <w:lang w:val="en-GB"/>
        </w:rPr>
        <w:t xml:space="preserve"> In contemplating a common European paradigm of administrative law’s dependence on constitutional law, is it possible to integrate British law or, because of its special constitutional arrangements, does the U</w:t>
      </w:r>
      <w:r w:rsidR="00A918A6">
        <w:rPr>
          <w:rFonts w:cs="Times New Roman"/>
          <w:lang w:val="en-GB"/>
        </w:rPr>
        <w:t>nited Kingdom</w:t>
      </w:r>
      <w:r w:rsidRPr="00DE2EDF">
        <w:rPr>
          <w:rFonts w:cs="Times New Roman"/>
          <w:lang w:val="en-GB"/>
        </w:rPr>
        <w:t xml:space="preserve"> represent a separate and dist</w:t>
      </w:r>
      <w:r w:rsidR="0035571C" w:rsidRPr="00DE2EDF">
        <w:rPr>
          <w:rFonts w:cs="Times New Roman"/>
          <w:lang w:val="en-GB"/>
        </w:rPr>
        <w:t>inct</w:t>
      </w:r>
      <w:r w:rsidRPr="00DE2EDF">
        <w:rPr>
          <w:rFonts w:cs="Times New Roman"/>
          <w:lang w:val="en-GB"/>
        </w:rPr>
        <w:t xml:space="preserve"> case? How wide and how deep is </w:t>
      </w:r>
      <w:r w:rsidR="009A0E58" w:rsidRPr="00DE2EDF">
        <w:rPr>
          <w:rFonts w:cs="Times New Roman"/>
          <w:lang w:val="en-GB"/>
        </w:rPr>
        <w:t xml:space="preserve">(still) </w:t>
      </w:r>
      <w:r w:rsidRPr="00DE2EDF">
        <w:rPr>
          <w:rFonts w:cs="Times New Roman"/>
          <w:lang w:val="en-GB"/>
        </w:rPr>
        <w:t>the Channel?</w:t>
      </w:r>
    </w:p>
    <w:p w14:paraId="05870CF5" w14:textId="77777777" w:rsidR="002D66C1" w:rsidRPr="00DE2EDF" w:rsidRDefault="002D66C1" w:rsidP="00DE2EDF">
      <w:pPr>
        <w:spacing w:after="0"/>
        <w:jc w:val="both"/>
        <w:rPr>
          <w:rFonts w:cs="Times New Roman"/>
          <w:lang w:val="en-GB"/>
        </w:rPr>
      </w:pPr>
    </w:p>
    <w:p w14:paraId="2908C9EE" w14:textId="77777777" w:rsidR="000F756A" w:rsidRPr="00DE2EDF" w:rsidRDefault="00ED3DAA" w:rsidP="00DE2EDF">
      <w:pPr>
        <w:pStyle w:val="Heading1"/>
        <w:spacing w:before="0" w:after="0" w:line="276" w:lineRule="auto"/>
        <w:jc w:val="center"/>
        <w:rPr>
          <w:szCs w:val="24"/>
          <w:lang w:val="en-GB"/>
        </w:rPr>
      </w:pPr>
      <w:bookmarkStart w:id="160" w:name="_Toc253048936"/>
      <w:bookmarkStart w:id="161" w:name="_Toc252700483"/>
      <w:bookmarkStart w:id="162" w:name="_Toc245196666"/>
      <w:bookmarkStart w:id="163" w:name="_Toc460405629"/>
      <w:bookmarkEnd w:id="160"/>
      <w:bookmarkEnd w:id="161"/>
      <w:r w:rsidRPr="00DE2EDF">
        <w:rPr>
          <w:szCs w:val="24"/>
          <w:lang w:val="en-GB"/>
        </w:rPr>
        <w:t xml:space="preserve">C. </w:t>
      </w:r>
      <w:r w:rsidR="000F756A" w:rsidRPr="00DE2EDF">
        <w:rPr>
          <w:szCs w:val="24"/>
          <w:lang w:val="en-GB"/>
        </w:rPr>
        <w:t xml:space="preserve">The United Kingdom: </w:t>
      </w:r>
      <w:r w:rsidR="00EF6C2C" w:rsidRPr="00DE2EDF">
        <w:rPr>
          <w:szCs w:val="24"/>
          <w:lang w:val="en-GB"/>
        </w:rPr>
        <w:t>S</w:t>
      </w:r>
      <w:r w:rsidR="000F756A" w:rsidRPr="00DE2EDF">
        <w:rPr>
          <w:szCs w:val="24"/>
          <w:lang w:val="en-GB"/>
        </w:rPr>
        <w:t xml:space="preserve">till a </w:t>
      </w:r>
      <w:r w:rsidR="00EF6C2C" w:rsidRPr="00DE2EDF">
        <w:rPr>
          <w:szCs w:val="24"/>
          <w:lang w:val="en-GB"/>
        </w:rPr>
        <w:t>S</w:t>
      </w:r>
      <w:r w:rsidR="000F756A" w:rsidRPr="00DE2EDF">
        <w:rPr>
          <w:szCs w:val="24"/>
          <w:lang w:val="en-GB"/>
        </w:rPr>
        <w:t xml:space="preserve">pecial </w:t>
      </w:r>
      <w:r w:rsidR="00EF6C2C" w:rsidRPr="00DE2EDF">
        <w:rPr>
          <w:szCs w:val="24"/>
          <w:lang w:val="en-GB"/>
        </w:rPr>
        <w:t>C</w:t>
      </w:r>
      <w:r w:rsidR="000F756A" w:rsidRPr="00DE2EDF">
        <w:rPr>
          <w:szCs w:val="24"/>
          <w:lang w:val="en-GB"/>
        </w:rPr>
        <w:t>ase?</w:t>
      </w:r>
      <w:bookmarkEnd w:id="162"/>
      <w:bookmarkEnd w:id="163"/>
    </w:p>
    <w:p w14:paraId="51377F66" w14:textId="77777777" w:rsidR="00CD5CC5" w:rsidRPr="00DE2EDF" w:rsidRDefault="00CD5CC5" w:rsidP="00DE2EDF">
      <w:pPr>
        <w:spacing w:after="0"/>
        <w:jc w:val="both"/>
        <w:rPr>
          <w:rFonts w:cs="Times New Roman"/>
          <w:lang w:val="en-GB"/>
        </w:rPr>
      </w:pPr>
    </w:p>
    <w:p w14:paraId="591F55BD" w14:textId="77777777" w:rsidR="000F756A" w:rsidRPr="00DE2EDF" w:rsidRDefault="000F756A" w:rsidP="00DE2EDF">
      <w:pPr>
        <w:spacing w:after="0"/>
        <w:jc w:val="both"/>
        <w:rPr>
          <w:rFonts w:cs="Times New Roman"/>
          <w:lang w:val="en-GB"/>
        </w:rPr>
      </w:pPr>
      <w:r w:rsidRPr="00DE2EDF">
        <w:rPr>
          <w:rFonts w:cs="Times New Roman"/>
          <w:lang w:val="en-GB"/>
        </w:rPr>
        <w:t xml:space="preserve">Any comparison </w:t>
      </w:r>
      <w:r w:rsidR="00A05C47" w:rsidRPr="00DE2EDF">
        <w:rPr>
          <w:rFonts w:cs="Times New Roman"/>
          <w:lang w:val="en-GB"/>
        </w:rPr>
        <w:t xml:space="preserve">in </w:t>
      </w:r>
      <w:r w:rsidRPr="00DE2EDF">
        <w:rPr>
          <w:rFonts w:cs="Times New Roman"/>
          <w:lang w:val="en-GB"/>
        </w:rPr>
        <w:t xml:space="preserve">Europe must pay special attention to </w:t>
      </w:r>
      <w:r w:rsidR="0080034A" w:rsidRPr="00DE2EDF">
        <w:rPr>
          <w:rFonts w:cs="Times New Roman"/>
          <w:lang w:val="en-GB"/>
        </w:rPr>
        <w:t xml:space="preserve">the legal systems </w:t>
      </w:r>
      <w:r w:rsidR="0035571C" w:rsidRPr="00DE2EDF">
        <w:rPr>
          <w:rFonts w:cs="Times New Roman"/>
          <w:lang w:val="en-GB"/>
        </w:rPr>
        <w:t>within</w:t>
      </w:r>
      <w:r w:rsidR="0080034A" w:rsidRPr="00DE2EDF">
        <w:rPr>
          <w:rFonts w:cs="Times New Roman"/>
          <w:lang w:val="en-GB"/>
        </w:rPr>
        <w:t xml:space="preserve"> </w:t>
      </w:r>
      <w:r w:rsidR="0035571C" w:rsidRPr="00DE2EDF">
        <w:rPr>
          <w:rFonts w:cs="Times New Roman"/>
          <w:lang w:val="en-GB"/>
        </w:rPr>
        <w:t xml:space="preserve">the </w:t>
      </w:r>
      <w:r w:rsidR="00A918A6">
        <w:rPr>
          <w:rFonts w:cs="Times New Roman"/>
          <w:lang w:val="en-GB"/>
        </w:rPr>
        <w:t>United Kingdom</w:t>
      </w:r>
      <w:r w:rsidRPr="00DE2EDF">
        <w:rPr>
          <w:rFonts w:cs="Times New Roman"/>
          <w:lang w:val="en-GB"/>
        </w:rPr>
        <w:t>. This is true for practical comparisons (e.g., working toward a consensus solution) as well as a comparison dedicated solely to a theoretical understanding (e.g.,</w:t>
      </w:r>
      <w:r w:rsidR="00FE4844" w:rsidRPr="00DE2EDF">
        <w:rPr>
          <w:rFonts w:cs="Times New Roman"/>
          <w:lang w:val="en-GB"/>
        </w:rPr>
        <w:t xml:space="preserve"> measuring the exact distance</w:t>
      </w:r>
      <w:r w:rsidR="00FE4844" w:rsidRPr="00DE2EDF">
        <w:rPr>
          <w:rFonts w:cs="Times New Roman"/>
        </w:rPr>
        <w:t>—</w:t>
      </w:r>
      <w:r w:rsidR="00FE4844" w:rsidRPr="00DE2EDF">
        <w:rPr>
          <w:rFonts w:cs="Times New Roman"/>
          <w:lang w:val="en-GB"/>
        </w:rPr>
        <w:t>whether near or far</w:t>
      </w:r>
      <w:r w:rsidR="00FE4844" w:rsidRPr="00DE2EDF">
        <w:rPr>
          <w:rFonts w:cs="Times New Roman"/>
        </w:rPr>
        <w:t>—</w:t>
      </w:r>
      <w:r w:rsidRPr="00DE2EDF">
        <w:rPr>
          <w:rFonts w:cs="Times New Roman"/>
          <w:lang w:val="en-GB"/>
        </w:rPr>
        <w:t xml:space="preserve">between </w:t>
      </w:r>
      <w:r w:rsidR="00A05C47" w:rsidRPr="00DE2EDF">
        <w:rPr>
          <w:rFonts w:cs="Times New Roman"/>
          <w:lang w:val="en-GB"/>
        </w:rPr>
        <w:t xml:space="preserve">legal </w:t>
      </w:r>
      <w:r w:rsidRPr="00DE2EDF">
        <w:rPr>
          <w:rFonts w:cs="Times New Roman"/>
          <w:lang w:val="en-GB"/>
        </w:rPr>
        <w:t>systems). It is generally understood that the legal situation in England</w:t>
      </w:r>
      <w:r w:rsidR="0080034A" w:rsidRPr="00DE2EDF">
        <w:rPr>
          <w:rFonts w:cs="Times New Roman"/>
          <w:lang w:val="en-GB"/>
        </w:rPr>
        <w:t>, Scotland</w:t>
      </w:r>
      <w:r w:rsidRPr="00DE2EDF">
        <w:rPr>
          <w:rFonts w:cs="Times New Roman"/>
          <w:lang w:val="en-GB"/>
        </w:rPr>
        <w:t xml:space="preserve"> and </w:t>
      </w:r>
      <w:r w:rsidR="0080034A" w:rsidRPr="00DE2EDF">
        <w:rPr>
          <w:rFonts w:cs="Times New Roman"/>
          <w:lang w:val="en-GB"/>
        </w:rPr>
        <w:t>Northern Ireland</w:t>
      </w:r>
      <w:r w:rsidRPr="00DE2EDF">
        <w:rPr>
          <w:rFonts w:cs="Times New Roman"/>
          <w:lang w:val="en-GB"/>
        </w:rPr>
        <w:t>, especially in terms of constitutional and administrative law, is different from that on the Continent.</w:t>
      </w:r>
      <w:bookmarkStart w:id="164" w:name="_ftnref72"/>
      <w:r w:rsidRPr="00DE2EDF">
        <w:rPr>
          <w:rStyle w:val="FootnoteReference"/>
          <w:rFonts w:cs="Times New Roman"/>
          <w:iCs/>
          <w:lang w:val="en-GB"/>
        </w:rPr>
        <w:footnoteReference w:id="81"/>
      </w:r>
      <w:bookmarkEnd w:id="164"/>
      <w:r w:rsidRPr="00DE2EDF">
        <w:rPr>
          <w:rFonts w:cs="Times New Roman"/>
          <w:lang w:val="en-GB"/>
        </w:rPr>
        <w:t xml:space="preserve"> But, </w:t>
      </w:r>
      <w:r w:rsidR="00B077BA" w:rsidRPr="00DE2EDF">
        <w:rPr>
          <w:rFonts w:cs="Times New Roman"/>
          <w:lang w:val="en-GB"/>
        </w:rPr>
        <w:t>how far-reaching</w:t>
      </w:r>
      <w:r w:rsidRPr="00DE2EDF">
        <w:rPr>
          <w:rFonts w:cs="Times New Roman"/>
          <w:lang w:val="en-GB"/>
        </w:rPr>
        <w:t xml:space="preserve"> were these differences in the past and to what extent do they </w:t>
      </w:r>
      <w:r w:rsidR="00B077BA" w:rsidRPr="00DE2EDF">
        <w:rPr>
          <w:rFonts w:cs="Times New Roman"/>
          <w:lang w:val="en-GB"/>
        </w:rPr>
        <w:t>still</w:t>
      </w:r>
      <w:r w:rsidRPr="00DE2EDF">
        <w:rPr>
          <w:rFonts w:cs="Times New Roman"/>
          <w:lang w:val="en-GB"/>
        </w:rPr>
        <w:t xml:space="preserve"> exist? Not infrequently, the Channel is hyped by both sides to an unbridgeable abyss.</w:t>
      </w:r>
      <w:bookmarkStart w:id="165" w:name="_ftnref73"/>
      <w:r w:rsidRPr="00DE2EDF">
        <w:rPr>
          <w:rStyle w:val="FootnoteReference"/>
          <w:rFonts w:cs="Times New Roman"/>
          <w:iCs/>
          <w:lang w:val="en-GB"/>
        </w:rPr>
        <w:footnoteReference w:id="82"/>
      </w:r>
      <w:r w:rsidRPr="00DE2EDF">
        <w:rPr>
          <w:rFonts w:cs="Times New Roman"/>
          <w:lang w:val="en-GB"/>
        </w:rPr>
        <w:t xml:space="preserve"> </w:t>
      </w:r>
      <w:bookmarkEnd w:id="165"/>
      <w:r w:rsidR="00D95E1E" w:rsidRPr="00DE2EDF">
        <w:rPr>
          <w:rFonts w:cs="Times New Roman"/>
          <w:lang w:val="en-GB"/>
        </w:rPr>
        <w:t xml:space="preserve">Since </w:t>
      </w:r>
      <w:r w:rsidR="007F32CF" w:rsidRPr="00DE2EDF">
        <w:rPr>
          <w:rFonts w:cs="Times New Roman"/>
          <w:lang w:val="en-GB"/>
        </w:rPr>
        <w:t xml:space="preserve">at least </w:t>
      </w:r>
      <w:r w:rsidR="00D95E1E" w:rsidRPr="00DE2EDF">
        <w:rPr>
          <w:rFonts w:cs="Times New Roman"/>
          <w:lang w:val="en-GB"/>
        </w:rPr>
        <w:t>the 1990s</w:t>
      </w:r>
      <w:bookmarkStart w:id="166" w:name="_Ref401126812"/>
      <w:r w:rsidR="0006189D">
        <w:rPr>
          <w:rFonts w:cs="Times New Roman"/>
          <w:lang w:val="en-GB"/>
        </w:rPr>
        <w:t>,</w:t>
      </w:r>
      <w:r w:rsidRPr="00DE2EDF">
        <w:rPr>
          <w:rStyle w:val="FootnoteReference"/>
          <w:rFonts w:cs="Times New Roman"/>
          <w:iCs/>
          <w:lang w:val="en-GB"/>
        </w:rPr>
        <w:footnoteReference w:id="83"/>
      </w:r>
      <w:bookmarkEnd w:id="166"/>
      <w:r w:rsidR="0006189D">
        <w:rPr>
          <w:rFonts w:cs="Times New Roman"/>
          <w:lang w:val="en-GB"/>
        </w:rPr>
        <w:t xml:space="preserve"> </w:t>
      </w:r>
      <w:r w:rsidRPr="00DE2EDF">
        <w:rPr>
          <w:rFonts w:cs="Times New Roman"/>
          <w:lang w:val="en-GB"/>
        </w:rPr>
        <w:t>‘public law’</w:t>
      </w:r>
      <w:r w:rsidR="0080034A" w:rsidRPr="00DE2EDF">
        <w:rPr>
          <w:rFonts w:cs="Times New Roman"/>
          <w:lang w:val="en-GB"/>
        </w:rPr>
        <w:t xml:space="preserve"> in </w:t>
      </w:r>
      <w:r w:rsidR="0035571C" w:rsidRPr="00DE2EDF">
        <w:rPr>
          <w:rFonts w:cs="Times New Roman"/>
          <w:lang w:val="en-GB"/>
        </w:rPr>
        <w:t xml:space="preserve">the </w:t>
      </w:r>
      <w:r w:rsidR="00A918A6">
        <w:rPr>
          <w:rFonts w:cs="Times New Roman"/>
          <w:lang w:val="en-GB"/>
        </w:rPr>
        <w:t>United Kingdom</w:t>
      </w:r>
      <w:r w:rsidRPr="00DE2EDF">
        <w:rPr>
          <w:rFonts w:cs="Times New Roman"/>
          <w:lang w:val="en-GB"/>
        </w:rPr>
        <w:t xml:space="preserve"> </w:t>
      </w:r>
      <w:r w:rsidR="009A5E29" w:rsidRPr="00DE2EDF">
        <w:rPr>
          <w:rFonts w:cs="Times New Roman"/>
          <w:lang w:val="en-GB"/>
        </w:rPr>
        <w:t>ha</w:t>
      </w:r>
      <w:r w:rsidR="0080034A" w:rsidRPr="00DE2EDF">
        <w:rPr>
          <w:rFonts w:cs="Times New Roman"/>
          <w:lang w:val="en-GB"/>
        </w:rPr>
        <w:t>s</w:t>
      </w:r>
      <w:r w:rsidR="009A5E29" w:rsidRPr="00DE2EDF">
        <w:rPr>
          <w:rFonts w:cs="Times New Roman"/>
          <w:lang w:val="en-GB"/>
        </w:rPr>
        <w:t xml:space="preserve"> </w:t>
      </w:r>
      <w:r w:rsidRPr="00DE2EDF">
        <w:rPr>
          <w:rFonts w:cs="Times New Roman"/>
          <w:lang w:val="en-GB"/>
        </w:rPr>
        <w:t>endured a profound, and on-going, mutation process.</w:t>
      </w:r>
      <w:bookmarkStart w:id="167" w:name="_ftnref74"/>
      <w:r w:rsidR="007F32CF" w:rsidRPr="00DE2EDF">
        <w:rPr>
          <w:rFonts w:cs="Times New Roman"/>
          <w:lang w:val="en-GB"/>
        </w:rPr>
        <w:t xml:space="preserve"> ‘The British constitution has veered</w:t>
      </w:r>
      <w:r w:rsidR="002478F0" w:rsidRPr="00DE2EDF">
        <w:rPr>
          <w:rFonts w:cs="Times New Roman"/>
          <w:lang w:val="en-GB"/>
        </w:rPr>
        <w:t xml:space="preserve"> from being a major source of pride to an arrangement that provokes dissatisfaction</w:t>
      </w:r>
      <w:r w:rsidR="0035571C" w:rsidRPr="00DE2EDF">
        <w:rPr>
          <w:rFonts w:cs="Times New Roman"/>
          <w:lang w:val="en-GB"/>
        </w:rPr>
        <w:t>.</w:t>
      </w:r>
      <w:r w:rsidR="002478F0" w:rsidRPr="00DE2EDF">
        <w:rPr>
          <w:rFonts w:cs="Times New Roman"/>
          <w:lang w:val="en-GB"/>
        </w:rPr>
        <w:t>’</w:t>
      </w:r>
      <w:r w:rsidR="002478F0" w:rsidRPr="00DE2EDF">
        <w:rPr>
          <w:rStyle w:val="FootnoteReference"/>
          <w:rFonts w:cs="Times New Roman"/>
          <w:lang w:val="en-GB"/>
        </w:rPr>
        <w:footnoteReference w:id="84"/>
      </w:r>
      <w:r w:rsidRPr="00DE2EDF">
        <w:rPr>
          <w:rFonts w:cs="Times New Roman"/>
          <w:lang w:val="en-GB"/>
        </w:rPr>
        <w:t xml:space="preserve"> </w:t>
      </w:r>
      <w:bookmarkEnd w:id="167"/>
      <w:r w:rsidRPr="00DE2EDF">
        <w:rPr>
          <w:rFonts w:cs="Times New Roman"/>
          <w:lang w:val="en-GB"/>
        </w:rPr>
        <w:t>Comparative law specialists</w:t>
      </w:r>
      <w:r w:rsidR="0080034A" w:rsidRPr="00DE2EDF">
        <w:rPr>
          <w:rFonts w:cs="Times New Roman"/>
          <w:lang w:val="en-GB"/>
        </w:rPr>
        <w:t xml:space="preserve"> </w:t>
      </w:r>
      <w:r w:rsidRPr="00DE2EDF">
        <w:rPr>
          <w:rFonts w:cs="Times New Roman"/>
          <w:lang w:val="en-GB"/>
        </w:rPr>
        <w:t>usually describe th</w:t>
      </w:r>
      <w:r w:rsidR="002478F0" w:rsidRPr="00DE2EDF">
        <w:rPr>
          <w:rFonts w:cs="Times New Roman"/>
          <w:lang w:val="en-GB"/>
        </w:rPr>
        <w:t>ese changes</w:t>
      </w:r>
      <w:r w:rsidRPr="00DE2EDF">
        <w:rPr>
          <w:rFonts w:cs="Times New Roman"/>
          <w:lang w:val="en-GB"/>
        </w:rPr>
        <w:t xml:space="preserve"> under the new buzz word</w:t>
      </w:r>
      <w:r w:rsidR="0035571C" w:rsidRPr="00DE2EDF">
        <w:rPr>
          <w:rFonts w:cs="Times New Roman"/>
          <w:lang w:val="en-GB"/>
        </w:rPr>
        <w:t>:</w:t>
      </w:r>
      <w:r w:rsidR="00A05C47" w:rsidRPr="00DE2EDF">
        <w:rPr>
          <w:rFonts w:cs="Times New Roman"/>
          <w:lang w:val="en-GB"/>
        </w:rPr>
        <w:t xml:space="preserve"> </w:t>
      </w:r>
      <w:r w:rsidRPr="00DE2EDF">
        <w:rPr>
          <w:rFonts w:cs="Times New Roman"/>
          <w:lang w:val="en-GB"/>
        </w:rPr>
        <w:t>‘convergence’</w:t>
      </w:r>
      <w:bookmarkStart w:id="168" w:name="_ftnref75"/>
      <w:r w:rsidRPr="00DE2EDF">
        <w:rPr>
          <w:rFonts w:cs="Times New Roman"/>
          <w:lang w:val="en-GB"/>
        </w:rPr>
        <w:t>.</w:t>
      </w:r>
      <w:r w:rsidRPr="00DE2EDF">
        <w:rPr>
          <w:rStyle w:val="FootnoteReference"/>
          <w:rFonts w:cs="Times New Roman"/>
          <w:iCs/>
          <w:lang w:val="en-GB"/>
        </w:rPr>
        <w:footnoteReference w:id="85"/>
      </w:r>
      <w:r w:rsidRPr="00DE2EDF">
        <w:rPr>
          <w:rFonts w:cs="Times New Roman"/>
          <w:lang w:val="en-GB"/>
        </w:rPr>
        <w:t xml:space="preserve"> </w:t>
      </w:r>
      <w:bookmarkEnd w:id="168"/>
      <w:r w:rsidRPr="00DE2EDF">
        <w:rPr>
          <w:rFonts w:cs="Times New Roman"/>
          <w:lang w:val="en-GB"/>
        </w:rPr>
        <w:t xml:space="preserve">Others speak of the ‘continentalisation’ of British law. The breadth and depth of these changes, which often take the ambivalent and sometimes even obscure form of gradual ‘evolutions’, remain unclear even to many </w:t>
      </w:r>
      <w:r w:rsidRPr="00DE2EDF">
        <w:rPr>
          <w:rFonts w:cs="Times New Roman"/>
          <w:lang w:val="en-GB"/>
        </w:rPr>
        <w:lastRenderedPageBreak/>
        <w:t xml:space="preserve">Britons. Their true extent has </w:t>
      </w:r>
      <w:r w:rsidR="007E443C" w:rsidRPr="00DE2EDF">
        <w:rPr>
          <w:rFonts w:cs="Times New Roman"/>
          <w:lang w:val="en-GB"/>
        </w:rPr>
        <w:t>not always been</w:t>
      </w:r>
      <w:r w:rsidRPr="00DE2EDF">
        <w:rPr>
          <w:rFonts w:cs="Times New Roman"/>
          <w:lang w:val="en-GB"/>
        </w:rPr>
        <w:t xml:space="preserve"> reflected</w:t>
      </w:r>
      <w:r w:rsidR="007E443C" w:rsidRPr="00DE2EDF">
        <w:rPr>
          <w:rFonts w:cs="Times New Roman"/>
          <w:lang w:val="en-GB"/>
        </w:rPr>
        <w:t xml:space="preserve">, on the conceptual level, </w:t>
      </w:r>
      <w:r w:rsidRPr="00DE2EDF">
        <w:rPr>
          <w:rFonts w:cs="Times New Roman"/>
          <w:lang w:val="en-GB"/>
        </w:rPr>
        <w:t>in the literature</w:t>
      </w:r>
      <w:r w:rsidR="007E443C" w:rsidRPr="00DE2EDF">
        <w:rPr>
          <w:rFonts w:cs="Times New Roman"/>
          <w:lang w:val="en-GB"/>
        </w:rPr>
        <w:t xml:space="preserve"> (</w:t>
      </w:r>
      <w:r w:rsidRPr="00DE2EDF">
        <w:rPr>
          <w:rFonts w:cs="Times New Roman"/>
          <w:lang w:val="en-GB"/>
        </w:rPr>
        <w:t>at least not in the textbook literature</w:t>
      </w:r>
      <w:r w:rsidR="007E443C" w:rsidRPr="00DE2EDF">
        <w:rPr>
          <w:rFonts w:cs="Times New Roman"/>
          <w:lang w:val="en-GB"/>
        </w:rPr>
        <w:t>)</w:t>
      </w:r>
      <w:r w:rsidRPr="00DE2EDF">
        <w:rPr>
          <w:rFonts w:cs="Times New Roman"/>
          <w:lang w:val="en-GB"/>
        </w:rPr>
        <w:t>. Nevertheless,</w:t>
      </w:r>
      <w:r w:rsidR="00D95E1E" w:rsidRPr="00DE2EDF">
        <w:rPr>
          <w:rFonts w:cs="Times New Roman"/>
          <w:lang w:val="en-GB"/>
        </w:rPr>
        <w:t xml:space="preserve"> regarding the present topic,</w:t>
      </w:r>
      <w:r w:rsidRPr="00DE2EDF">
        <w:rPr>
          <w:rFonts w:cs="Times New Roman"/>
          <w:lang w:val="en-GB"/>
        </w:rPr>
        <w:t xml:space="preserve"> this process is downright striking, when considering two key statements separated by one century: whereas Dicey, in 1885, cursed </w:t>
      </w:r>
      <w:r w:rsidR="00E12609" w:rsidRPr="00DE2EDF">
        <w:rPr>
          <w:rFonts w:cs="Times New Roman"/>
          <w:i/>
          <w:lang w:val="en-GB"/>
        </w:rPr>
        <w:t>droit administratif</w:t>
      </w:r>
      <w:r w:rsidRPr="00DE2EDF">
        <w:rPr>
          <w:rFonts w:cs="Times New Roman"/>
          <w:lang w:val="en-GB"/>
        </w:rPr>
        <w:t xml:space="preserve"> as anathema to </w:t>
      </w:r>
      <w:r w:rsidR="00F402AF" w:rsidRPr="00DE2EDF">
        <w:rPr>
          <w:rFonts w:cs="Times New Roman"/>
          <w:lang w:val="en-GB"/>
        </w:rPr>
        <w:t xml:space="preserve">British </w:t>
      </w:r>
      <w:r w:rsidRPr="00DE2EDF">
        <w:rPr>
          <w:rFonts w:cs="Times New Roman"/>
          <w:lang w:val="en-GB"/>
        </w:rPr>
        <w:t xml:space="preserve">constitutional law, </w:t>
      </w:r>
      <w:r w:rsidR="00A05C47" w:rsidRPr="00DE2EDF">
        <w:rPr>
          <w:rFonts w:cs="Times New Roman"/>
          <w:lang w:val="en-GB"/>
        </w:rPr>
        <w:t xml:space="preserve">more than </w:t>
      </w:r>
      <w:r w:rsidR="009A5E29" w:rsidRPr="00DE2EDF">
        <w:rPr>
          <w:rFonts w:cs="Times New Roman"/>
          <w:lang w:val="en-GB"/>
        </w:rPr>
        <w:t xml:space="preserve">one </w:t>
      </w:r>
      <w:r w:rsidRPr="00DE2EDF">
        <w:rPr>
          <w:rFonts w:cs="Times New Roman"/>
          <w:lang w:val="en-GB"/>
        </w:rPr>
        <w:t>hundred years later, in 1999, Lord Johan Stey</w:t>
      </w:r>
      <w:r w:rsidR="00E56886">
        <w:rPr>
          <w:rFonts w:cs="Times New Roman"/>
          <w:lang w:val="en-GB"/>
        </w:rPr>
        <w:t>n asserted the ‘constitutionaliz</w:t>
      </w:r>
      <w:r w:rsidRPr="00DE2EDF">
        <w:rPr>
          <w:rFonts w:cs="Times New Roman"/>
          <w:lang w:val="en-GB"/>
        </w:rPr>
        <w:t>ation of public [to wit,</w:t>
      </w:r>
      <w:r w:rsidRPr="00DE2EDF">
        <w:rPr>
          <w:rFonts w:cs="Times New Roman"/>
          <w:i/>
          <w:lang w:val="en-GB"/>
        </w:rPr>
        <w:t xml:space="preserve"> </w:t>
      </w:r>
      <w:r w:rsidRPr="00DE2EDF">
        <w:rPr>
          <w:rFonts w:cs="Times New Roman"/>
          <w:lang w:val="en-GB"/>
        </w:rPr>
        <w:t>administrative] law’</w:t>
      </w:r>
      <w:r w:rsidR="00FE4844" w:rsidRPr="00DE2EDF">
        <w:rPr>
          <w:rFonts w:cs="Times New Roman"/>
          <w:lang w:val="en-GB"/>
        </w:rPr>
        <w:t>.</w:t>
      </w:r>
      <w:bookmarkStart w:id="169" w:name="_Ref457833733"/>
      <w:r w:rsidRPr="00DE2EDF">
        <w:rPr>
          <w:rStyle w:val="FootnoteReference"/>
          <w:rFonts w:cs="Times New Roman"/>
          <w:iCs/>
          <w:lang w:val="en-GB"/>
        </w:rPr>
        <w:footnoteReference w:id="86"/>
      </w:r>
      <w:bookmarkEnd w:id="169"/>
    </w:p>
    <w:p w14:paraId="2229288D" w14:textId="77777777" w:rsidR="002D66C1" w:rsidRPr="00DE2EDF" w:rsidRDefault="002D66C1" w:rsidP="00DE2EDF">
      <w:pPr>
        <w:spacing w:after="0"/>
        <w:jc w:val="both"/>
        <w:rPr>
          <w:rFonts w:cs="Times New Roman"/>
          <w:lang w:val="en-GB"/>
        </w:rPr>
      </w:pPr>
    </w:p>
    <w:p w14:paraId="20056A7D" w14:textId="77777777" w:rsidR="000F756A" w:rsidRPr="00DE2EDF" w:rsidRDefault="002D66C1" w:rsidP="00DE2EDF">
      <w:pPr>
        <w:pStyle w:val="Heading2"/>
        <w:spacing w:before="0" w:after="0" w:line="276" w:lineRule="auto"/>
        <w:ind w:left="0" w:firstLine="0"/>
        <w:rPr>
          <w:rFonts w:eastAsia="Times New Roman" w:cs="Times New Roman"/>
          <w:szCs w:val="24"/>
          <w:lang w:val="en-GB"/>
        </w:rPr>
      </w:pPr>
      <w:bookmarkStart w:id="170" w:name="_Toc253048937"/>
      <w:bookmarkStart w:id="171" w:name="_Toc252700484"/>
      <w:bookmarkStart w:id="172" w:name="_Toc245196668"/>
      <w:bookmarkStart w:id="173" w:name="_Toc460405630"/>
      <w:bookmarkEnd w:id="170"/>
      <w:bookmarkEnd w:id="171"/>
      <w:r w:rsidRPr="00DE2EDF">
        <w:rPr>
          <w:rFonts w:eastAsia="Times New Roman" w:cs="Times New Roman"/>
          <w:szCs w:val="24"/>
          <w:lang w:val="en-GB"/>
        </w:rPr>
        <w:t xml:space="preserve">1. </w:t>
      </w:r>
      <w:r w:rsidR="000F756A" w:rsidRPr="00DE2EDF">
        <w:rPr>
          <w:rFonts w:eastAsia="Times New Roman" w:cs="Times New Roman"/>
          <w:szCs w:val="24"/>
          <w:lang w:val="en-GB"/>
        </w:rPr>
        <w:t xml:space="preserve">Dicey and the </w:t>
      </w:r>
      <w:r w:rsidR="00EA2E67" w:rsidRPr="00DE2EDF">
        <w:rPr>
          <w:rFonts w:eastAsia="Times New Roman" w:cs="Times New Roman"/>
          <w:szCs w:val="24"/>
          <w:lang w:val="en-GB"/>
        </w:rPr>
        <w:t>C</w:t>
      </w:r>
      <w:r w:rsidR="000F756A" w:rsidRPr="00DE2EDF">
        <w:rPr>
          <w:rFonts w:eastAsia="Times New Roman" w:cs="Times New Roman"/>
          <w:szCs w:val="24"/>
          <w:lang w:val="en-GB"/>
        </w:rPr>
        <w:t xml:space="preserve">onstitutional </w:t>
      </w:r>
      <w:r w:rsidR="00EA2E67" w:rsidRPr="00DE2EDF">
        <w:rPr>
          <w:rFonts w:eastAsia="Times New Roman" w:cs="Times New Roman"/>
          <w:szCs w:val="24"/>
          <w:lang w:val="en-GB"/>
        </w:rPr>
        <w:t>F</w:t>
      </w:r>
      <w:r w:rsidR="000F756A" w:rsidRPr="00DE2EDF">
        <w:rPr>
          <w:rFonts w:eastAsia="Times New Roman" w:cs="Times New Roman"/>
          <w:szCs w:val="24"/>
          <w:lang w:val="en-GB"/>
        </w:rPr>
        <w:t xml:space="preserve">reezing of </w:t>
      </w:r>
      <w:r w:rsidR="00EA2E67" w:rsidRPr="00DE2EDF">
        <w:rPr>
          <w:rFonts w:eastAsia="Times New Roman" w:cs="Times New Roman"/>
          <w:szCs w:val="24"/>
          <w:lang w:val="en-GB"/>
        </w:rPr>
        <w:t>A</w:t>
      </w:r>
      <w:r w:rsidR="000F756A" w:rsidRPr="00DE2EDF">
        <w:rPr>
          <w:rFonts w:eastAsia="Times New Roman" w:cs="Times New Roman"/>
          <w:szCs w:val="24"/>
          <w:lang w:val="en-GB"/>
        </w:rPr>
        <w:t xml:space="preserve">dministrative </w:t>
      </w:r>
      <w:r w:rsidR="00EA2E67" w:rsidRPr="00DE2EDF">
        <w:rPr>
          <w:rFonts w:eastAsia="Times New Roman" w:cs="Times New Roman"/>
          <w:szCs w:val="24"/>
          <w:lang w:val="en-GB"/>
        </w:rPr>
        <w:t>L</w:t>
      </w:r>
      <w:r w:rsidR="000F756A" w:rsidRPr="00DE2EDF">
        <w:rPr>
          <w:rFonts w:eastAsia="Times New Roman" w:cs="Times New Roman"/>
          <w:szCs w:val="24"/>
          <w:lang w:val="en-GB"/>
        </w:rPr>
        <w:t>aw</w:t>
      </w:r>
      <w:bookmarkEnd w:id="172"/>
      <w:bookmarkEnd w:id="173"/>
    </w:p>
    <w:p w14:paraId="0AD2F8E8" w14:textId="77777777" w:rsidR="002D66C1" w:rsidRPr="00DE2EDF" w:rsidRDefault="002D66C1" w:rsidP="00DE2EDF">
      <w:pPr>
        <w:spacing w:after="0"/>
        <w:jc w:val="both"/>
        <w:rPr>
          <w:rFonts w:cs="Times New Roman"/>
          <w:lang w:val="en-GB"/>
        </w:rPr>
      </w:pPr>
    </w:p>
    <w:p w14:paraId="5AA3984C" w14:textId="77777777" w:rsidR="000F756A" w:rsidRPr="00DE2EDF" w:rsidRDefault="000F756A" w:rsidP="00DE2EDF">
      <w:pPr>
        <w:spacing w:after="0"/>
        <w:jc w:val="both"/>
        <w:rPr>
          <w:rFonts w:cs="Times New Roman"/>
          <w:lang w:val="en-GB"/>
        </w:rPr>
      </w:pPr>
      <w:r w:rsidRPr="00DE2EDF">
        <w:rPr>
          <w:rFonts w:cs="Times New Roman"/>
          <w:lang w:val="en-GB"/>
        </w:rPr>
        <w:t>Unlike on the Continent</w:t>
      </w:r>
      <w:r w:rsidR="00FC1A81" w:rsidRPr="00DE2EDF">
        <w:rPr>
          <w:rFonts w:cs="Times New Roman"/>
          <w:lang w:val="en-GB"/>
        </w:rPr>
        <w:t>,</w:t>
      </w:r>
      <w:r w:rsidR="00D95E1E" w:rsidRPr="00DE2EDF">
        <w:rPr>
          <w:rStyle w:val="FootnoteReference"/>
          <w:rFonts w:cs="Times New Roman"/>
          <w:lang w:val="en-GB"/>
        </w:rPr>
        <w:footnoteReference w:id="87"/>
      </w:r>
      <w:r w:rsidRPr="00DE2EDF">
        <w:rPr>
          <w:rFonts w:cs="Times New Roman"/>
          <w:lang w:val="en-GB"/>
        </w:rPr>
        <w:t xml:space="preserve"> the classic British narrative on the relationship between constitutional and administrative law </w:t>
      </w:r>
      <w:bookmarkStart w:id="174" w:name="_ftnref76"/>
      <w:r w:rsidRPr="00DE2EDF">
        <w:rPr>
          <w:rFonts w:cs="Times New Roman"/>
          <w:lang w:val="en-GB"/>
        </w:rPr>
        <w:t>starts with a clash.</w:t>
      </w:r>
      <w:bookmarkStart w:id="175" w:name="_Ref457833132"/>
      <w:r w:rsidRPr="00DE2EDF">
        <w:rPr>
          <w:rStyle w:val="FootnoteReference"/>
          <w:rFonts w:cs="Times New Roman"/>
          <w:iCs/>
          <w:lang w:val="en-GB"/>
        </w:rPr>
        <w:footnoteReference w:id="88"/>
      </w:r>
      <w:bookmarkEnd w:id="174"/>
      <w:bookmarkEnd w:id="175"/>
      <w:r w:rsidR="00A918A6">
        <w:rPr>
          <w:rFonts w:cs="Times New Roman"/>
          <w:lang w:val="en-GB"/>
        </w:rPr>
        <w:t xml:space="preserve"> </w:t>
      </w:r>
      <w:r w:rsidRPr="00DE2EDF">
        <w:rPr>
          <w:rFonts w:cs="Times New Roman"/>
          <w:lang w:val="en-GB"/>
        </w:rPr>
        <w:t xml:space="preserve">According to </w:t>
      </w:r>
      <w:r w:rsidR="003738B2" w:rsidRPr="00DE2EDF">
        <w:rPr>
          <w:rFonts w:cs="Times New Roman"/>
          <w:lang w:val="en-GB"/>
        </w:rPr>
        <w:t>Dicey, the founder of the orthodox doctrine of British constitutional law</w:t>
      </w:r>
      <w:r w:rsidR="00FC1A81" w:rsidRPr="00DE2EDF">
        <w:rPr>
          <w:rFonts w:cs="Times New Roman"/>
          <w:lang w:val="en-GB"/>
        </w:rPr>
        <w:t>,</w:t>
      </w:r>
      <w:bookmarkStart w:id="176" w:name="_Ref457835825"/>
      <w:r w:rsidR="003738B2" w:rsidRPr="00DE2EDF">
        <w:rPr>
          <w:rStyle w:val="FootnoteReference"/>
          <w:rFonts w:cs="Times New Roman"/>
          <w:iCs/>
          <w:lang w:val="en-GB"/>
        </w:rPr>
        <w:footnoteReference w:id="89"/>
      </w:r>
      <w:bookmarkEnd w:id="176"/>
      <w:r w:rsidR="00FE4844" w:rsidRPr="00DE2EDF">
        <w:rPr>
          <w:rFonts w:cs="Times New Roman"/>
          <w:lang w:val="en-GB"/>
        </w:rPr>
        <w:t xml:space="preserve"> the British Constitution</w:t>
      </w:r>
      <w:r w:rsidR="00FE4844" w:rsidRPr="00DE2EDF">
        <w:rPr>
          <w:rFonts w:cs="Times New Roman"/>
        </w:rPr>
        <w:t>—</w:t>
      </w:r>
      <w:r w:rsidRPr="00DE2EDF">
        <w:rPr>
          <w:rFonts w:cs="Times New Roman"/>
          <w:lang w:val="en-GB"/>
        </w:rPr>
        <w:t xml:space="preserve">more specifically, the constitutional principle of the </w:t>
      </w:r>
      <w:r w:rsidRPr="00DE2EDF">
        <w:rPr>
          <w:rFonts w:cs="Times New Roman"/>
          <w:i/>
          <w:lang w:val="en-GB"/>
        </w:rPr>
        <w:t>rule of law</w:t>
      </w:r>
      <w:r w:rsidR="00FE4844" w:rsidRPr="00DE2EDF">
        <w:rPr>
          <w:rFonts w:cs="Times New Roman"/>
        </w:rPr>
        <w:t>—</w:t>
      </w:r>
      <w:r w:rsidRPr="00DE2EDF">
        <w:rPr>
          <w:rFonts w:cs="Times New Roman"/>
          <w:lang w:val="en-GB"/>
        </w:rPr>
        <w:t xml:space="preserve">precluded the existence of </w:t>
      </w:r>
      <w:r w:rsidR="00F402AF" w:rsidRPr="00DE2EDF">
        <w:rPr>
          <w:rFonts w:cs="Times New Roman"/>
          <w:lang w:val="en-GB"/>
        </w:rPr>
        <w:t xml:space="preserve">a special </w:t>
      </w:r>
      <w:r w:rsidRPr="00DE2EDF">
        <w:rPr>
          <w:rFonts w:cs="Times New Roman"/>
          <w:lang w:val="en-GB"/>
        </w:rPr>
        <w:t>administrative law</w:t>
      </w:r>
      <w:r w:rsidR="00F402AF" w:rsidRPr="00DE2EDF">
        <w:rPr>
          <w:rFonts w:cs="Times New Roman"/>
          <w:lang w:val="en-GB"/>
        </w:rPr>
        <w:t xml:space="preserve"> as it existed in France</w:t>
      </w:r>
      <w:r w:rsidRPr="00DE2EDF">
        <w:rPr>
          <w:rFonts w:cs="Times New Roman"/>
          <w:lang w:val="en-GB"/>
        </w:rPr>
        <w:t xml:space="preserve">. </w:t>
      </w:r>
      <w:r w:rsidR="003738B2" w:rsidRPr="00DE2EDF">
        <w:rPr>
          <w:rFonts w:cs="Times New Roman"/>
          <w:lang w:val="en-GB"/>
        </w:rPr>
        <w:t xml:space="preserve">British </w:t>
      </w:r>
      <w:r w:rsidR="00FC1A81" w:rsidRPr="00DE2EDF">
        <w:rPr>
          <w:rFonts w:cs="Times New Roman"/>
          <w:lang w:val="en-GB"/>
        </w:rPr>
        <w:t>c</w:t>
      </w:r>
      <w:r w:rsidRPr="00DE2EDF">
        <w:rPr>
          <w:rFonts w:cs="Times New Roman"/>
          <w:lang w:val="en-GB"/>
        </w:rPr>
        <w:t xml:space="preserve">onstitutional law provided for the unrestricted rule of private law and of ordinary courts. The fact that Dicey’s </w:t>
      </w:r>
      <w:r w:rsidR="003738B2" w:rsidRPr="00DE2EDF">
        <w:rPr>
          <w:rFonts w:cs="Times New Roman"/>
          <w:lang w:val="en-GB"/>
        </w:rPr>
        <w:t>view</w:t>
      </w:r>
      <w:r w:rsidRPr="00DE2EDF">
        <w:rPr>
          <w:rFonts w:cs="Times New Roman"/>
          <w:lang w:val="en-GB"/>
        </w:rPr>
        <w:t xml:space="preserve"> was emp</w:t>
      </w:r>
      <w:r w:rsidR="007E443C" w:rsidRPr="00DE2EDF">
        <w:rPr>
          <w:rFonts w:cs="Times New Roman"/>
          <w:lang w:val="en-GB"/>
        </w:rPr>
        <w:t>irically false is well known</w:t>
      </w:r>
      <w:r w:rsidRPr="00DE2EDF">
        <w:rPr>
          <w:rFonts w:cs="Times New Roman"/>
          <w:lang w:val="en-GB"/>
        </w:rPr>
        <w:t>. What is less well known is that the impact of Dicey’s doctrine on the evolution of administrative law reveals the existence of a certain primacy of constitutional principles, specifically the primacy of the principle of the rule of law, even vis-à-vis Parliament.</w:t>
      </w:r>
    </w:p>
    <w:p w14:paraId="51168868" w14:textId="77777777" w:rsidR="00ED3DAA" w:rsidRPr="00DE2EDF" w:rsidRDefault="00ED3DAA" w:rsidP="00DE2EDF">
      <w:pPr>
        <w:spacing w:after="0"/>
        <w:jc w:val="both"/>
        <w:rPr>
          <w:rFonts w:cs="Times New Roman"/>
          <w:lang w:val="en-GB"/>
        </w:rPr>
      </w:pPr>
    </w:p>
    <w:p w14:paraId="687BCDBA" w14:textId="77777777" w:rsidR="000F756A" w:rsidRPr="00DE2EDF" w:rsidRDefault="00ED3DAA" w:rsidP="00DE2EDF">
      <w:pPr>
        <w:pStyle w:val="Heading3"/>
        <w:rPr>
          <w:rFonts w:cs="Times New Roman"/>
          <w:szCs w:val="24"/>
        </w:rPr>
      </w:pPr>
      <w:bookmarkStart w:id="177" w:name="_Toc253048938"/>
      <w:bookmarkStart w:id="178" w:name="_Toc252700485"/>
      <w:bookmarkStart w:id="179" w:name="_Toc245196669"/>
      <w:bookmarkStart w:id="180" w:name="_Toc460405631"/>
      <w:bookmarkEnd w:id="177"/>
      <w:bookmarkEnd w:id="178"/>
      <w:r w:rsidRPr="00DE2EDF">
        <w:rPr>
          <w:rFonts w:cs="Times New Roman"/>
          <w:szCs w:val="24"/>
        </w:rPr>
        <w:t xml:space="preserve">a) </w:t>
      </w:r>
      <w:r w:rsidR="000F756A" w:rsidRPr="00DE2EDF">
        <w:rPr>
          <w:rFonts w:cs="Times New Roman"/>
          <w:szCs w:val="24"/>
        </w:rPr>
        <w:t xml:space="preserve">A </w:t>
      </w:r>
      <w:r w:rsidR="00EE2095" w:rsidRPr="00DE2EDF">
        <w:rPr>
          <w:rFonts w:cs="Times New Roman"/>
          <w:szCs w:val="24"/>
        </w:rPr>
        <w:t>F</w:t>
      </w:r>
      <w:r w:rsidR="000F756A" w:rsidRPr="00DE2EDF">
        <w:rPr>
          <w:rFonts w:cs="Times New Roman"/>
          <w:szCs w:val="24"/>
        </w:rPr>
        <w:t xml:space="preserve">alse </w:t>
      </w:r>
      <w:r w:rsidR="00EE2095" w:rsidRPr="00DE2EDF">
        <w:rPr>
          <w:rFonts w:cs="Times New Roman"/>
          <w:szCs w:val="24"/>
        </w:rPr>
        <w:t>G</w:t>
      </w:r>
      <w:r w:rsidR="000F756A" w:rsidRPr="00DE2EDF">
        <w:rPr>
          <w:rFonts w:cs="Times New Roman"/>
          <w:szCs w:val="24"/>
        </w:rPr>
        <w:t xml:space="preserve">eneralization: </w:t>
      </w:r>
      <w:r w:rsidR="00EA2E67" w:rsidRPr="00DE2EDF">
        <w:rPr>
          <w:rFonts w:cs="Times New Roman"/>
          <w:szCs w:val="24"/>
        </w:rPr>
        <w:t>T</w:t>
      </w:r>
      <w:r w:rsidR="000F756A" w:rsidRPr="00DE2EDF">
        <w:rPr>
          <w:rFonts w:cs="Times New Roman"/>
          <w:szCs w:val="24"/>
        </w:rPr>
        <w:t xml:space="preserve">he </w:t>
      </w:r>
      <w:r w:rsidR="00EE2095" w:rsidRPr="00DE2EDF">
        <w:rPr>
          <w:rFonts w:cs="Times New Roman"/>
          <w:szCs w:val="24"/>
        </w:rPr>
        <w:t>E</w:t>
      </w:r>
      <w:r w:rsidR="000F756A" w:rsidRPr="00DE2EDF">
        <w:rPr>
          <w:rFonts w:cs="Times New Roman"/>
          <w:szCs w:val="24"/>
        </w:rPr>
        <w:t xml:space="preserve">xistence of English </w:t>
      </w:r>
      <w:r w:rsidR="00EE2095" w:rsidRPr="00DE2EDF">
        <w:rPr>
          <w:rFonts w:cs="Times New Roman"/>
          <w:szCs w:val="24"/>
        </w:rPr>
        <w:t>A</w:t>
      </w:r>
      <w:r w:rsidR="000F756A" w:rsidRPr="00DE2EDF">
        <w:rPr>
          <w:rFonts w:cs="Times New Roman"/>
          <w:szCs w:val="24"/>
        </w:rPr>
        <w:t xml:space="preserve">dministrative </w:t>
      </w:r>
      <w:r w:rsidR="00EE2095" w:rsidRPr="00DE2EDF">
        <w:rPr>
          <w:rFonts w:cs="Times New Roman"/>
          <w:szCs w:val="24"/>
        </w:rPr>
        <w:t>L</w:t>
      </w:r>
      <w:r w:rsidR="000F756A" w:rsidRPr="00DE2EDF">
        <w:rPr>
          <w:rFonts w:cs="Times New Roman"/>
          <w:szCs w:val="24"/>
        </w:rPr>
        <w:t>aw</w:t>
      </w:r>
      <w:bookmarkEnd w:id="179"/>
      <w:bookmarkEnd w:id="180"/>
    </w:p>
    <w:p w14:paraId="70905180" w14:textId="77777777" w:rsidR="00ED3DAA" w:rsidRPr="00DE2EDF" w:rsidRDefault="00ED3DAA" w:rsidP="00DE2EDF">
      <w:pPr>
        <w:spacing w:after="0"/>
        <w:rPr>
          <w:rFonts w:cs="Times New Roman"/>
          <w:lang w:val="en-GB"/>
        </w:rPr>
      </w:pPr>
    </w:p>
    <w:p w14:paraId="6B93A225" w14:textId="77777777" w:rsidR="000F756A" w:rsidRPr="00DE2EDF" w:rsidRDefault="000F756A" w:rsidP="00DE2EDF">
      <w:pPr>
        <w:spacing w:after="0"/>
        <w:jc w:val="both"/>
        <w:rPr>
          <w:rFonts w:cs="Times New Roman"/>
          <w:lang w:val="en-GB"/>
        </w:rPr>
      </w:pPr>
      <w:r w:rsidRPr="00DE2EDF">
        <w:rPr>
          <w:rFonts w:cs="Times New Roman"/>
          <w:lang w:val="en-GB"/>
        </w:rPr>
        <w:t xml:space="preserve">Dicey’s </w:t>
      </w:r>
      <w:r w:rsidR="003738B2" w:rsidRPr="00DE2EDF">
        <w:rPr>
          <w:rFonts w:cs="Times New Roman"/>
          <w:lang w:val="en-GB"/>
        </w:rPr>
        <w:t>restatement of the valid norms in Britain, and more specifically in England</w:t>
      </w:r>
      <w:r w:rsidR="00B81B28" w:rsidRPr="00DE2EDF">
        <w:rPr>
          <w:rFonts w:cs="Times New Roman"/>
          <w:lang w:val="en-GB"/>
        </w:rPr>
        <w:t>,</w:t>
      </w:r>
      <w:r w:rsidRPr="00DE2EDF">
        <w:rPr>
          <w:rFonts w:cs="Times New Roman"/>
          <w:lang w:val="en-GB"/>
        </w:rPr>
        <w:t xml:space="preserve"> was empirically mistaken and could only be mistaken.</w:t>
      </w:r>
      <w:r w:rsidRPr="00DE2EDF">
        <w:rPr>
          <w:rStyle w:val="FootnoteReference"/>
          <w:rFonts w:cs="Times New Roman"/>
          <w:iCs/>
          <w:lang w:val="en-GB"/>
        </w:rPr>
        <w:footnoteReference w:id="90"/>
      </w:r>
      <w:r w:rsidRPr="00DE2EDF">
        <w:rPr>
          <w:rFonts w:cs="Times New Roman"/>
          <w:lang w:val="en-GB"/>
        </w:rPr>
        <w:t xml:space="preserve"> Each modern </w:t>
      </w:r>
      <w:r w:rsidR="00EE2095" w:rsidRPr="00DE2EDF">
        <w:rPr>
          <w:rFonts w:cs="Times New Roman"/>
          <w:lang w:val="en-GB"/>
        </w:rPr>
        <w:t>s</w:t>
      </w:r>
      <w:r w:rsidRPr="00DE2EDF">
        <w:rPr>
          <w:rFonts w:cs="Times New Roman"/>
          <w:lang w:val="en-GB"/>
        </w:rPr>
        <w:t xml:space="preserve">tate has </w:t>
      </w:r>
      <w:r w:rsidR="00B81B28" w:rsidRPr="00DE2EDF">
        <w:rPr>
          <w:rFonts w:cs="Times New Roman"/>
          <w:lang w:val="en-GB"/>
        </w:rPr>
        <w:t>a set of</w:t>
      </w:r>
      <w:r w:rsidRPr="00DE2EDF">
        <w:rPr>
          <w:rFonts w:cs="Times New Roman"/>
          <w:lang w:val="en-GB"/>
        </w:rPr>
        <w:t xml:space="preserve"> administrati</w:t>
      </w:r>
      <w:r w:rsidR="00B81B28" w:rsidRPr="00DE2EDF">
        <w:rPr>
          <w:rFonts w:cs="Times New Roman"/>
          <w:lang w:val="en-GB"/>
        </w:rPr>
        <w:t>ve bodies</w:t>
      </w:r>
      <w:r w:rsidRPr="00DE2EDF">
        <w:rPr>
          <w:rFonts w:cs="Times New Roman"/>
          <w:lang w:val="en-GB"/>
        </w:rPr>
        <w:t xml:space="preserve">; every </w:t>
      </w:r>
      <w:r w:rsidR="00BD60AF" w:rsidRPr="00DE2EDF">
        <w:rPr>
          <w:rFonts w:cs="Times New Roman"/>
          <w:lang w:val="en-GB"/>
        </w:rPr>
        <w:t>s</w:t>
      </w:r>
      <w:r w:rsidRPr="00DE2EDF">
        <w:rPr>
          <w:rFonts w:cs="Times New Roman"/>
          <w:lang w:val="en-GB"/>
        </w:rPr>
        <w:t>tate complying with a minimum understanding of the reign of law is willing to legally constrain the power</w:t>
      </w:r>
      <w:r w:rsidR="00B81B28" w:rsidRPr="00DE2EDF">
        <w:rPr>
          <w:rFonts w:cs="Times New Roman"/>
          <w:lang w:val="en-GB"/>
        </w:rPr>
        <w:t>s</w:t>
      </w:r>
      <w:r w:rsidRPr="00DE2EDF">
        <w:rPr>
          <w:rFonts w:cs="Times New Roman"/>
          <w:lang w:val="en-GB"/>
        </w:rPr>
        <w:t xml:space="preserve"> of </w:t>
      </w:r>
      <w:r w:rsidR="00B81B28" w:rsidRPr="00DE2EDF">
        <w:rPr>
          <w:rFonts w:cs="Times New Roman"/>
          <w:lang w:val="en-GB"/>
        </w:rPr>
        <w:t>those bodies</w:t>
      </w:r>
      <w:r w:rsidR="00CD5CC5" w:rsidRPr="00DE2EDF">
        <w:rPr>
          <w:rFonts w:cs="Times New Roman"/>
          <w:lang w:val="en-GB"/>
        </w:rPr>
        <w:t xml:space="preserve"> </w:t>
      </w:r>
      <w:r w:rsidRPr="00DE2EDF">
        <w:rPr>
          <w:rFonts w:cs="Times New Roman"/>
          <w:lang w:val="en-GB"/>
        </w:rPr>
        <w:t xml:space="preserve">(thus, the existence of legal rules applicable to </w:t>
      </w:r>
      <w:r w:rsidR="00B81B28" w:rsidRPr="00DE2EDF">
        <w:rPr>
          <w:rFonts w:cs="Times New Roman"/>
          <w:lang w:val="en-GB"/>
        </w:rPr>
        <w:t>public</w:t>
      </w:r>
      <w:r w:rsidRPr="00DE2EDF">
        <w:rPr>
          <w:rFonts w:cs="Times New Roman"/>
          <w:lang w:val="en-GB"/>
        </w:rPr>
        <w:t xml:space="preserve"> administration, i.e.</w:t>
      </w:r>
      <w:r w:rsidR="00FC1A81" w:rsidRPr="00DE2EDF">
        <w:rPr>
          <w:rFonts w:cs="Times New Roman"/>
          <w:lang w:val="en-GB"/>
        </w:rPr>
        <w:t>,</w:t>
      </w:r>
      <w:r w:rsidRPr="00DE2EDF">
        <w:rPr>
          <w:rFonts w:cs="Times New Roman"/>
          <w:lang w:val="en-GB"/>
        </w:rPr>
        <w:t xml:space="preserve"> administrative law</w:t>
      </w:r>
      <w:r w:rsidR="00B81B28" w:rsidRPr="00DE2EDF">
        <w:rPr>
          <w:rFonts w:cs="Times New Roman"/>
          <w:lang w:val="en-GB"/>
        </w:rPr>
        <w:t xml:space="preserve"> </w:t>
      </w:r>
      <w:r w:rsidR="00B81B28" w:rsidRPr="00DE2EDF">
        <w:rPr>
          <w:rFonts w:cs="Times New Roman"/>
          <w:i/>
          <w:lang w:val="en-GB"/>
        </w:rPr>
        <w:t>lato sensu</w:t>
      </w:r>
      <w:r w:rsidRPr="00DE2EDF">
        <w:rPr>
          <w:rFonts w:cs="Times New Roman"/>
          <w:lang w:val="en-GB"/>
        </w:rPr>
        <w:t>); such administrative law</w:t>
      </w:r>
      <w:r w:rsidR="00B81B28" w:rsidRPr="00DE2EDF">
        <w:rPr>
          <w:rFonts w:cs="Times New Roman"/>
          <w:lang w:val="en-GB"/>
        </w:rPr>
        <w:t xml:space="preserve"> </w:t>
      </w:r>
      <w:r w:rsidR="00B81B28" w:rsidRPr="00DE2EDF">
        <w:rPr>
          <w:rFonts w:cs="Times New Roman"/>
          <w:i/>
          <w:lang w:val="en-GB"/>
        </w:rPr>
        <w:t>lato sensu</w:t>
      </w:r>
      <w:r w:rsidRPr="00DE2EDF">
        <w:rPr>
          <w:rFonts w:cs="Times New Roman"/>
          <w:lang w:val="en-GB"/>
        </w:rPr>
        <w:t xml:space="preserve"> necessarily involves a minimum number of speci</w:t>
      </w:r>
      <w:r w:rsidR="00B81B28" w:rsidRPr="00DE2EDF">
        <w:rPr>
          <w:rFonts w:cs="Times New Roman"/>
          <w:lang w:val="en-GB"/>
        </w:rPr>
        <w:t>al</w:t>
      </w:r>
      <w:r w:rsidRPr="00DE2EDF">
        <w:rPr>
          <w:rFonts w:cs="Times New Roman"/>
          <w:lang w:val="en-GB"/>
        </w:rPr>
        <w:t xml:space="preserve"> public law standards</w:t>
      </w:r>
      <w:r w:rsidR="00B81B28" w:rsidRPr="00DE2EDF">
        <w:rPr>
          <w:rFonts w:cs="Times New Roman"/>
          <w:lang w:val="en-GB"/>
        </w:rPr>
        <w:t xml:space="preserve"> (administrative law </w:t>
      </w:r>
      <w:r w:rsidR="00B81B28" w:rsidRPr="00DE2EDF">
        <w:rPr>
          <w:rFonts w:cs="Times New Roman"/>
          <w:i/>
          <w:lang w:val="en-GB"/>
        </w:rPr>
        <w:t>stricto sensu</w:t>
      </w:r>
      <w:r w:rsidR="00B81B28" w:rsidRPr="00DE2EDF">
        <w:rPr>
          <w:rFonts w:cs="Times New Roman"/>
          <w:lang w:val="en-GB"/>
        </w:rPr>
        <w:t>)</w:t>
      </w:r>
      <w:r w:rsidRPr="00DE2EDF">
        <w:rPr>
          <w:rFonts w:cs="Times New Roman"/>
          <w:lang w:val="en-GB"/>
        </w:rPr>
        <w:t xml:space="preserve">, if only because the organizational and procedural rules established for administrative authorities can hardly </w:t>
      </w:r>
      <w:r w:rsidRPr="00DE2EDF">
        <w:rPr>
          <w:rFonts w:cs="Times New Roman"/>
          <w:lang w:val="en-GB"/>
        </w:rPr>
        <w:lastRenderedPageBreak/>
        <w:t xml:space="preserve">be found in private law. </w:t>
      </w:r>
      <w:r w:rsidR="00B81B28" w:rsidRPr="00DE2EDF">
        <w:rPr>
          <w:rFonts w:cs="Times New Roman"/>
          <w:lang w:val="en-GB"/>
        </w:rPr>
        <w:t>Indeed</w:t>
      </w:r>
      <w:r w:rsidRPr="00DE2EDF">
        <w:rPr>
          <w:rFonts w:cs="Times New Roman"/>
          <w:lang w:val="en-GB"/>
        </w:rPr>
        <w:t>, as was first shown by Frederic Maitland</w:t>
      </w:r>
      <w:bookmarkStart w:id="181" w:name="_Ref457835634"/>
      <w:bookmarkStart w:id="182" w:name="_ftnref79"/>
      <w:r w:rsidRPr="00DE2EDF">
        <w:rPr>
          <w:rStyle w:val="FootnoteReference"/>
          <w:rFonts w:cs="Times New Roman"/>
          <w:iCs/>
          <w:lang w:val="en-GB"/>
        </w:rPr>
        <w:footnoteReference w:id="91"/>
      </w:r>
      <w:bookmarkEnd w:id="181"/>
      <w:r w:rsidRPr="00DE2EDF">
        <w:rPr>
          <w:rFonts w:cs="Times New Roman"/>
          <w:lang w:val="en-GB"/>
        </w:rPr>
        <w:t xml:space="preserve"> </w:t>
      </w:r>
      <w:bookmarkEnd w:id="182"/>
      <w:r w:rsidRPr="00DE2EDF">
        <w:rPr>
          <w:rFonts w:cs="Times New Roman"/>
          <w:lang w:val="en-GB"/>
        </w:rPr>
        <w:t>and later by William Ivor Jennings and William Robson, England had an abundance of specific administrative laws. But, this part of positive law was not taken into account by Dicey when he defined, in a supposedly inductive manner, the constitutional principles of Great</w:t>
      </w:r>
      <w:r w:rsidR="00EE2095" w:rsidRPr="00DE2EDF">
        <w:rPr>
          <w:rFonts w:cs="Times New Roman"/>
          <w:lang w:val="en-GB"/>
        </w:rPr>
        <w:t xml:space="preserve"> </w:t>
      </w:r>
      <w:r w:rsidRPr="00DE2EDF">
        <w:rPr>
          <w:rFonts w:cs="Times New Roman"/>
          <w:lang w:val="en-GB"/>
        </w:rPr>
        <w:t>Britain. His theory of the</w:t>
      </w:r>
      <w:r w:rsidR="00B81B28" w:rsidRPr="00DE2EDF">
        <w:rPr>
          <w:rFonts w:cs="Times New Roman"/>
          <w:lang w:val="en-GB"/>
        </w:rPr>
        <w:t xml:space="preserve"> constitutional principle of the</w:t>
      </w:r>
      <w:r w:rsidRPr="00DE2EDF">
        <w:rPr>
          <w:rFonts w:cs="Times New Roman"/>
          <w:lang w:val="en-GB"/>
        </w:rPr>
        <w:t xml:space="preserve"> rule of law was not descriptive, but normative.</w:t>
      </w:r>
    </w:p>
    <w:p w14:paraId="19C04F05" w14:textId="77777777" w:rsidR="000F4C26" w:rsidRPr="00DE2EDF" w:rsidRDefault="000F4C26" w:rsidP="00DE2EDF">
      <w:pPr>
        <w:spacing w:after="0"/>
        <w:jc w:val="both"/>
        <w:rPr>
          <w:rFonts w:cs="Times New Roman"/>
          <w:lang w:val="en-GB"/>
        </w:rPr>
      </w:pPr>
    </w:p>
    <w:p w14:paraId="01A423C0" w14:textId="77777777" w:rsidR="000F756A" w:rsidRPr="00DE2EDF" w:rsidRDefault="000F756A" w:rsidP="00DE2EDF">
      <w:pPr>
        <w:spacing w:after="0"/>
        <w:jc w:val="both"/>
        <w:rPr>
          <w:rFonts w:cs="Times New Roman"/>
          <w:lang w:val="en-GB"/>
        </w:rPr>
      </w:pPr>
      <w:r w:rsidRPr="00DE2EDF">
        <w:rPr>
          <w:rFonts w:cs="Times New Roman"/>
          <w:lang w:val="en-GB"/>
        </w:rPr>
        <w:t xml:space="preserve">Due to his immense influence on the subject of British constitutional law, Dicey’s </w:t>
      </w:r>
      <w:r w:rsidR="00B81B28" w:rsidRPr="00DE2EDF">
        <w:rPr>
          <w:rFonts w:cs="Times New Roman"/>
          <w:lang w:val="en-GB"/>
        </w:rPr>
        <w:t>normative stance</w:t>
      </w:r>
      <w:r w:rsidRPr="00DE2EDF">
        <w:rPr>
          <w:rFonts w:cs="Times New Roman"/>
          <w:lang w:val="en-GB"/>
        </w:rPr>
        <w:t xml:space="preserve"> froze, to a certain </w:t>
      </w:r>
      <w:r w:rsidR="00FC1A81" w:rsidRPr="00DE2EDF">
        <w:rPr>
          <w:rFonts w:cs="Times New Roman"/>
          <w:lang w:val="en-GB"/>
        </w:rPr>
        <w:t>extent</w:t>
      </w:r>
      <w:r w:rsidRPr="00DE2EDF">
        <w:rPr>
          <w:rFonts w:cs="Times New Roman"/>
          <w:lang w:val="en-GB"/>
        </w:rPr>
        <w:t>, the evolution of administrative law.</w:t>
      </w:r>
      <w:bookmarkStart w:id="183" w:name="_ftnref81"/>
      <w:r w:rsidRPr="00DE2EDF">
        <w:rPr>
          <w:rStyle w:val="FootnoteReference"/>
          <w:rFonts w:cs="Times New Roman"/>
          <w:iCs/>
          <w:lang w:val="en-GB"/>
        </w:rPr>
        <w:footnoteReference w:id="92"/>
      </w:r>
      <w:r w:rsidRPr="00DE2EDF">
        <w:rPr>
          <w:rFonts w:cs="Times New Roman"/>
          <w:lang w:val="en-GB"/>
        </w:rPr>
        <w:t xml:space="preserve"> </w:t>
      </w:r>
      <w:bookmarkEnd w:id="183"/>
      <w:r w:rsidRPr="00DE2EDF">
        <w:rPr>
          <w:rFonts w:cs="Times New Roman"/>
          <w:lang w:val="en-GB"/>
        </w:rPr>
        <w:t>Its mere existence was</w:t>
      </w:r>
      <w:r w:rsidR="00750ED9" w:rsidRPr="00DE2EDF">
        <w:rPr>
          <w:rFonts w:cs="Times New Roman"/>
          <w:lang w:val="en-GB"/>
        </w:rPr>
        <w:t xml:space="preserve"> first</w:t>
      </w:r>
      <w:r w:rsidRPr="00DE2EDF">
        <w:rPr>
          <w:rFonts w:cs="Times New Roman"/>
          <w:lang w:val="en-GB"/>
        </w:rPr>
        <w:t xml:space="preserve"> ignored, </w:t>
      </w:r>
      <w:r w:rsidR="00750ED9" w:rsidRPr="00DE2EDF">
        <w:rPr>
          <w:rFonts w:cs="Times New Roman"/>
          <w:lang w:val="en-GB"/>
        </w:rPr>
        <w:t xml:space="preserve">later </w:t>
      </w:r>
      <w:r w:rsidRPr="00DE2EDF">
        <w:rPr>
          <w:rFonts w:cs="Times New Roman"/>
          <w:lang w:val="en-GB"/>
        </w:rPr>
        <w:t>its constitutional legitimacy</w:t>
      </w:r>
      <w:r w:rsidR="00750ED9" w:rsidRPr="00DE2EDF">
        <w:rPr>
          <w:rFonts w:cs="Times New Roman"/>
          <w:lang w:val="en-GB"/>
        </w:rPr>
        <w:t xml:space="preserve"> was</w:t>
      </w:r>
      <w:r w:rsidRPr="00DE2EDF">
        <w:rPr>
          <w:rFonts w:cs="Times New Roman"/>
          <w:lang w:val="en-GB"/>
        </w:rPr>
        <w:t xml:space="preserve"> denied, and its development </w:t>
      </w:r>
      <w:r w:rsidR="00750ED9" w:rsidRPr="00DE2EDF">
        <w:rPr>
          <w:rFonts w:cs="Times New Roman"/>
          <w:lang w:val="en-GB"/>
        </w:rPr>
        <w:t xml:space="preserve">was </w:t>
      </w:r>
      <w:r w:rsidRPr="00DE2EDF">
        <w:rPr>
          <w:rFonts w:cs="Times New Roman"/>
          <w:lang w:val="en-GB"/>
        </w:rPr>
        <w:t xml:space="preserve">slowed, if not stopped. Over time, however, Dicey’s star fell. His grip on the minds of legislators, judges, lawyers, and professors faded (the process of ‘de-icing’ started). On the one hand, according to the writings of Jennings and Robson, the bar was lowered with respect to the principle of the </w:t>
      </w:r>
      <w:r w:rsidRPr="00DE2EDF">
        <w:rPr>
          <w:rFonts w:cs="Times New Roman"/>
          <w:i/>
          <w:lang w:val="en-GB"/>
        </w:rPr>
        <w:t>rule of law</w:t>
      </w:r>
      <w:r w:rsidRPr="00DE2EDF">
        <w:rPr>
          <w:rFonts w:cs="Times New Roman"/>
          <w:lang w:val="en-GB"/>
        </w:rPr>
        <w:t xml:space="preserve"> (they redefined the meaning of that </w:t>
      </w:r>
      <w:r w:rsidR="00395234" w:rsidRPr="00DE2EDF">
        <w:rPr>
          <w:rFonts w:cs="Times New Roman"/>
          <w:lang w:val="en-GB"/>
        </w:rPr>
        <w:t>phrase</w:t>
      </w:r>
      <w:r w:rsidRPr="00DE2EDF">
        <w:rPr>
          <w:rFonts w:cs="Times New Roman"/>
          <w:lang w:val="en-GB"/>
        </w:rPr>
        <w:t xml:space="preserve">). On the other hand, from a strictly legal perspective, </w:t>
      </w:r>
      <w:r w:rsidR="00750ED9" w:rsidRPr="00DE2EDF">
        <w:rPr>
          <w:rFonts w:cs="Times New Roman"/>
          <w:lang w:val="en-GB"/>
        </w:rPr>
        <w:t>Parliament</w:t>
      </w:r>
      <w:r w:rsidRPr="00DE2EDF">
        <w:rPr>
          <w:rFonts w:cs="Times New Roman"/>
          <w:lang w:val="en-GB"/>
        </w:rPr>
        <w:t xml:space="preserve"> was not bound by said bar anyway: </w:t>
      </w:r>
      <w:r w:rsidR="00750ED9" w:rsidRPr="00DE2EDF">
        <w:rPr>
          <w:rFonts w:cs="Times New Roman"/>
          <w:lang w:val="en-GB"/>
        </w:rPr>
        <w:t xml:space="preserve">as </w:t>
      </w:r>
      <w:r w:rsidR="001C44A0" w:rsidRPr="00DE2EDF">
        <w:rPr>
          <w:rFonts w:cs="Times New Roman"/>
          <w:lang w:val="en-GB"/>
        </w:rPr>
        <w:t>a</w:t>
      </w:r>
      <w:r w:rsidR="00FC1A81" w:rsidRPr="00DE2EDF">
        <w:rPr>
          <w:rFonts w:cs="Times New Roman"/>
          <w:lang w:val="en-GB"/>
        </w:rPr>
        <w:t xml:space="preserve"> </w:t>
      </w:r>
      <w:r w:rsidR="00750ED9" w:rsidRPr="00DE2EDF">
        <w:rPr>
          <w:rFonts w:cs="Times New Roman"/>
          <w:lang w:val="en-GB"/>
        </w:rPr>
        <w:t xml:space="preserve">sovereign, </w:t>
      </w:r>
      <w:r w:rsidRPr="00DE2EDF">
        <w:rPr>
          <w:rFonts w:cs="Times New Roman"/>
          <w:lang w:val="en-GB"/>
        </w:rPr>
        <w:t xml:space="preserve">it could, by statute (and administrative law was, to a large extent, </w:t>
      </w:r>
      <w:r w:rsidR="005B61C6" w:rsidRPr="00DE2EDF">
        <w:rPr>
          <w:rFonts w:cs="Times New Roman"/>
          <w:lang w:val="en-GB"/>
        </w:rPr>
        <w:t>made by statues and by-laws</w:t>
      </w:r>
      <w:r w:rsidRPr="00DE2EDF">
        <w:rPr>
          <w:rFonts w:cs="Times New Roman"/>
          <w:lang w:val="en-GB"/>
        </w:rPr>
        <w:t>), change the flexible Constitution, including the constitutional principle of the rule of law, whatever its meaning. Thus, administrative law could develop slowly, though not without difficulty, either against Dicey’s constitutional framework or inside the constitutional framework (re)defined by Jennings and Robson. However, that difficult birth was not without negative impact on the further development of English administrative law.</w:t>
      </w:r>
      <w:bookmarkStart w:id="184" w:name="_ftnref82"/>
      <w:r w:rsidRPr="00DE2EDF">
        <w:rPr>
          <w:rStyle w:val="FootnoteReference"/>
          <w:rFonts w:cs="Times New Roman"/>
          <w:iCs/>
          <w:lang w:val="en-GB"/>
        </w:rPr>
        <w:footnoteReference w:id="93"/>
      </w:r>
      <w:bookmarkEnd w:id="184"/>
    </w:p>
    <w:p w14:paraId="10FC2151" w14:textId="77777777" w:rsidR="00ED3DAA" w:rsidRPr="00DE2EDF" w:rsidRDefault="00ED3DAA" w:rsidP="00DE2EDF">
      <w:pPr>
        <w:spacing w:after="0"/>
        <w:jc w:val="both"/>
        <w:rPr>
          <w:rFonts w:cs="Times New Roman"/>
          <w:lang w:val="en-GB"/>
        </w:rPr>
      </w:pPr>
    </w:p>
    <w:p w14:paraId="3396EC7B" w14:textId="77777777" w:rsidR="000F756A" w:rsidRPr="00DE2EDF" w:rsidRDefault="00ED3DAA" w:rsidP="00DE2EDF">
      <w:pPr>
        <w:pStyle w:val="Heading3"/>
        <w:rPr>
          <w:rFonts w:cs="Times New Roman"/>
          <w:szCs w:val="24"/>
        </w:rPr>
      </w:pPr>
      <w:bookmarkStart w:id="185" w:name="_Toc253048939"/>
      <w:bookmarkStart w:id="186" w:name="_Toc252700486"/>
      <w:bookmarkStart w:id="187" w:name="_Toc245196670"/>
      <w:bookmarkStart w:id="188" w:name="_Toc460405632"/>
      <w:bookmarkEnd w:id="185"/>
      <w:bookmarkEnd w:id="186"/>
      <w:r w:rsidRPr="00DE2EDF">
        <w:rPr>
          <w:rFonts w:cs="Times New Roman"/>
          <w:szCs w:val="24"/>
        </w:rPr>
        <w:t xml:space="preserve">b) </w:t>
      </w:r>
      <w:r w:rsidR="000F756A" w:rsidRPr="00DE2EDF">
        <w:rPr>
          <w:rFonts w:cs="Times New Roman"/>
          <w:szCs w:val="24"/>
        </w:rPr>
        <w:t xml:space="preserve">Dicey’s </w:t>
      </w:r>
      <w:r w:rsidR="00BD60AF" w:rsidRPr="00DE2EDF">
        <w:rPr>
          <w:rFonts w:cs="Times New Roman"/>
          <w:szCs w:val="24"/>
        </w:rPr>
        <w:t>P</w:t>
      </w:r>
      <w:r w:rsidR="000F756A" w:rsidRPr="00DE2EDF">
        <w:rPr>
          <w:rFonts w:cs="Times New Roman"/>
          <w:szCs w:val="24"/>
        </w:rPr>
        <w:t xml:space="preserve">rofound </w:t>
      </w:r>
      <w:r w:rsidR="00BD60AF" w:rsidRPr="00DE2EDF">
        <w:rPr>
          <w:rFonts w:cs="Times New Roman"/>
          <w:szCs w:val="24"/>
        </w:rPr>
        <w:t>I</w:t>
      </w:r>
      <w:r w:rsidR="000F756A" w:rsidRPr="00DE2EDF">
        <w:rPr>
          <w:rFonts w:cs="Times New Roman"/>
          <w:szCs w:val="24"/>
        </w:rPr>
        <w:t xml:space="preserve">nfluence </w:t>
      </w:r>
      <w:r w:rsidR="00BD60AF" w:rsidRPr="00DE2EDF">
        <w:rPr>
          <w:rFonts w:cs="Times New Roman"/>
          <w:szCs w:val="24"/>
        </w:rPr>
        <w:t>I</w:t>
      </w:r>
      <w:r w:rsidR="000F756A" w:rsidRPr="00DE2EDF">
        <w:rPr>
          <w:rFonts w:cs="Times New Roman"/>
          <w:szCs w:val="24"/>
        </w:rPr>
        <w:t xml:space="preserve">ndicates a </w:t>
      </w:r>
      <w:r w:rsidR="00BD60AF" w:rsidRPr="00DE2EDF">
        <w:rPr>
          <w:rFonts w:cs="Times New Roman"/>
          <w:szCs w:val="24"/>
        </w:rPr>
        <w:t>C</w:t>
      </w:r>
      <w:r w:rsidR="000F756A" w:rsidRPr="00DE2EDF">
        <w:rPr>
          <w:rFonts w:cs="Times New Roman"/>
          <w:szCs w:val="24"/>
        </w:rPr>
        <w:t xml:space="preserve">ertain </w:t>
      </w:r>
      <w:r w:rsidR="00BD60AF" w:rsidRPr="00DE2EDF">
        <w:rPr>
          <w:rFonts w:cs="Times New Roman"/>
          <w:szCs w:val="24"/>
        </w:rPr>
        <w:t>P</w:t>
      </w:r>
      <w:r w:rsidR="000F756A" w:rsidRPr="00DE2EDF">
        <w:rPr>
          <w:rFonts w:cs="Times New Roman"/>
          <w:szCs w:val="24"/>
        </w:rPr>
        <w:t xml:space="preserve">rimacy of </w:t>
      </w:r>
      <w:r w:rsidR="00BD60AF" w:rsidRPr="00DE2EDF">
        <w:rPr>
          <w:rFonts w:cs="Times New Roman"/>
          <w:szCs w:val="24"/>
        </w:rPr>
        <w:t>C</w:t>
      </w:r>
      <w:r w:rsidR="000F756A" w:rsidRPr="00DE2EDF">
        <w:rPr>
          <w:rFonts w:cs="Times New Roman"/>
          <w:szCs w:val="24"/>
        </w:rPr>
        <w:t xml:space="preserve">onstitutional </w:t>
      </w:r>
      <w:r w:rsidR="00BD60AF" w:rsidRPr="00DE2EDF">
        <w:rPr>
          <w:rFonts w:cs="Times New Roman"/>
          <w:szCs w:val="24"/>
        </w:rPr>
        <w:t>P</w:t>
      </w:r>
      <w:r w:rsidR="000F756A" w:rsidRPr="00DE2EDF">
        <w:rPr>
          <w:rFonts w:cs="Times New Roman"/>
          <w:szCs w:val="24"/>
        </w:rPr>
        <w:t>rinciples</w:t>
      </w:r>
      <w:bookmarkEnd w:id="187"/>
      <w:bookmarkEnd w:id="188"/>
    </w:p>
    <w:p w14:paraId="3FFAF7AC" w14:textId="77777777" w:rsidR="00ED3DAA" w:rsidRPr="00DE2EDF" w:rsidRDefault="00ED3DAA" w:rsidP="00DE2EDF">
      <w:pPr>
        <w:spacing w:after="0"/>
        <w:rPr>
          <w:rFonts w:cs="Times New Roman"/>
          <w:lang w:val="en-GB"/>
        </w:rPr>
      </w:pPr>
    </w:p>
    <w:p w14:paraId="19FC6089" w14:textId="77777777" w:rsidR="000F756A" w:rsidRPr="00DE2EDF" w:rsidRDefault="000F756A" w:rsidP="00DE2EDF">
      <w:pPr>
        <w:spacing w:after="0"/>
        <w:jc w:val="both"/>
        <w:rPr>
          <w:rFonts w:cs="Times New Roman"/>
          <w:lang w:val="en-GB"/>
        </w:rPr>
      </w:pPr>
      <w:r w:rsidRPr="00DE2EDF">
        <w:rPr>
          <w:rFonts w:cs="Times New Roman"/>
          <w:lang w:val="en-GB"/>
        </w:rPr>
        <w:t>What is even more remarkable is the fact that</w:t>
      </w:r>
      <w:r w:rsidR="00997996" w:rsidRPr="00DE2EDF">
        <w:rPr>
          <w:rFonts w:cs="Times New Roman"/>
          <w:lang w:val="en-GB"/>
        </w:rPr>
        <w:t xml:space="preserve"> </w:t>
      </w:r>
      <w:r w:rsidRPr="00DE2EDF">
        <w:rPr>
          <w:rFonts w:cs="Times New Roman"/>
          <w:lang w:val="en-GB"/>
        </w:rPr>
        <w:t>Dicey’s empirically-proven influence on the development of administrative law cannot be explained</w:t>
      </w:r>
      <w:r w:rsidR="00725DE7" w:rsidRPr="00DE2EDF">
        <w:rPr>
          <w:rFonts w:cs="Times New Roman"/>
          <w:lang w:val="en-GB"/>
        </w:rPr>
        <w:t xml:space="preserve"> from a strictly legal point of view</w:t>
      </w:r>
      <w:r w:rsidRPr="00DE2EDF">
        <w:rPr>
          <w:rFonts w:cs="Times New Roman"/>
          <w:lang w:val="en-GB"/>
        </w:rPr>
        <w:t xml:space="preserve">. A constitutional principle, such as the rule of law, posed no legal barrier to a sovereign legislature. The British Parliament could override it and often did so, as evidenced by its frequent use of ouster clauses. Nevertheless, to some extent, the </w:t>
      </w:r>
      <w:r w:rsidRPr="00DE2EDF">
        <w:rPr>
          <w:rFonts w:cs="Times New Roman"/>
          <w:lang w:val="en-GB"/>
        </w:rPr>
        <w:lastRenderedPageBreak/>
        <w:t>principle of the rule of law became a normative barrier in the minds of members of Parliament (who abstained from voting legislation favourable to administrative law) and in the minds of judges (which, in the light of Dicey’s constitutional doctrine, tended to construe administrative legislation in a restrictive way</w:t>
      </w:r>
      <w:r w:rsidRPr="00DE2EDF">
        <w:rPr>
          <w:rStyle w:val="FootnoteReference"/>
          <w:rFonts w:cs="Times New Roman"/>
          <w:iCs/>
          <w:lang w:val="en-GB"/>
        </w:rPr>
        <w:footnoteReference w:id="94"/>
      </w:r>
      <w:r w:rsidRPr="00DE2EDF">
        <w:rPr>
          <w:rFonts w:cs="Times New Roman"/>
          <w:lang w:val="en-GB"/>
        </w:rPr>
        <w:t xml:space="preserve">). Thus, Dicey’s statement of the rule of law effectively became a </w:t>
      </w:r>
      <w:r w:rsidR="00DF7C79" w:rsidRPr="00DE2EDF">
        <w:rPr>
          <w:rFonts w:cs="Times New Roman"/>
          <w:lang w:val="en-GB"/>
        </w:rPr>
        <w:t xml:space="preserve">normative </w:t>
      </w:r>
      <w:r w:rsidRPr="00DE2EDF">
        <w:rPr>
          <w:rFonts w:cs="Times New Roman"/>
          <w:lang w:val="en-GB"/>
        </w:rPr>
        <w:t xml:space="preserve">reference point for legislation and case law. The reason for this ‘higher’ authority, of course, was not Dicey himself, but what his theory represented in the conservative-liberal circles of English society. My hypothesis is that constitutional principles were accorded a higher status based on a respect for tradition. In the </w:t>
      </w:r>
      <w:r w:rsidR="003F3A10" w:rsidRPr="00DE2EDF">
        <w:rPr>
          <w:rFonts w:cs="Times New Roman"/>
          <w:lang w:val="en-GB"/>
        </w:rPr>
        <w:t>nineteenth</w:t>
      </w:r>
      <w:r w:rsidRPr="00DE2EDF">
        <w:rPr>
          <w:rFonts w:cs="Times New Roman"/>
          <w:lang w:val="en-GB"/>
        </w:rPr>
        <w:t xml:space="preserve"> century, the main parts of the British Constitution were still unwritten and consisted of common law</w:t>
      </w:r>
      <w:r w:rsidRPr="00DE2EDF">
        <w:rPr>
          <w:rFonts w:cs="Times New Roman"/>
          <w:i/>
          <w:lang w:val="en-GB"/>
        </w:rPr>
        <w:t xml:space="preserve"> </w:t>
      </w:r>
      <w:r w:rsidRPr="00DE2EDF">
        <w:rPr>
          <w:rFonts w:cs="Times New Roman"/>
          <w:lang w:val="en-GB"/>
        </w:rPr>
        <w:t xml:space="preserve">rules and/or ‘immemorial customs’. The Constitution, therefore, relied on time honoured traditions that, according to legend (the ‘classical theory of common law’ or the ‘Whig Interpretation of English History’), dated back to some glorious ancient time. Thus, Dicey’s </w:t>
      </w:r>
      <w:r w:rsidR="00DF7C79" w:rsidRPr="00DE2EDF">
        <w:rPr>
          <w:rFonts w:cs="Times New Roman"/>
          <w:lang w:val="en-GB"/>
        </w:rPr>
        <w:t>view</w:t>
      </w:r>
      <w:r w:rsidRPr="00DE2EDF">
        <w:rPr>
          <w:rFonts w:cs="Times New Roman"/>
          <w:lang w:val="en-GB"/>
        </w:rPr>
        <w:t>, which was regarded by many members of the English elite as the true outline of the Constitution, did not entirely stop the development of administrative law, but significantly hampered it.</w:t>
      </w:r>
      <w:bookmarkStart w:id="189" w:name="_ftnref84"/>
      <w:r w:rsidRPr="00DE2EDF">
        <w:rPr>
          <w:rStyle w:val="FootnoteReference"/>
          <w:rFonts w:cs="Times New Roman"/>
          <w:iCs/>
          <w:lang w:val="en-GB"/>
        </w:rPr>
        <w:footnoteReference w:id="95"/>
      </w:r>
      <w:r w:rsidRPr="00DE2EDF">
        <w:rPr>
          <w:rFonts w:cs="Times New Roman"/>
          <w:color w:val="0000FF"/>
          <w:u w:val="single"/>
          <w:vertAlign w:val="superscript"/>
          <w:lang w:val="en-GB"/>
        </w:rPr>
        <w:t xml:space="preserve"> </w:t>
      </w:r>
      <w:bookmarkEnd w:id="189"/>
    </w:p>
    <w:p w14:paraId="021017E1" w14:textId="77777777" w:rsidR="000F4C26" w:rsidRPr="00DE2EDF" w:rsidRDefault="000F4C26" w:rsidP="00DE2EDF">
      <w:pPr>
        <w:spacing w:after="0"/>
        <w:jc w:val="both"/>
        <w:rPr>
          <w:rFonts w:cs="Times New Roman"/>
          <w:lang w:val="en-GB"/>
        </w:rPr>
      </w:pPr>
    </w:p>
    <w:p w14:paraId="3E70B761" w14:textId="77777777" w:rsidR="000F756A" w:rsidRPr="00DE2EDF" w:rsidRDefault="000F756A" w:rsidP="00DE2EDF">
      <w:pPr>
        <w:spacing w:after="0"/>
        <w:jc w:val="both"/>
        <w:rPr>
          <w:rFonts w:cs="Times New Roman"/>
          <w:lang w:val="en-GB"/>
        </w:rPr>
      </w:pPr>
      <w:r w:rsidRPr="00DE2EDF">
        <w:rPr>
          <w:rFonts w:cs="Times New Roman"/>
          <w:lang w:val="en-GB"/>
        </w:rPr>
        <w:t xml:space="preserve">In the eyes of most </w:t>
      </w:r>
      <w:r w:rsidR="0054544E" w:rsidRPr="00DE2EDF">
        <w:rPr>
          <w:rFonts w:cs="Times New Roman"/>
          <w:lang w:val="en-GB"/>
        </w:rPr>
        <w:t>c</w:t>
      </w:r>
      <w:r w:rsidRPr="00DE2EDF">
        <w:rPr>
          <w:rFonts w:cs="Times New Roman"/>
          <w:lang w:val="en-GB"/>
        </w:rPr>
        <w:t>ontinental lawyers, the prestige and authority accorded by the British Parliament to the British Constitution is based exclusively on ‘moral’ or ‘non-legal’ grounds</w:t>
      </w:r>
      <w:r w:rsidR="00DF7C79" w:rsidRPr="00DE2EDF">
        <w:rPr>
          <w:rFonts w:cs="Times New Roman"/>
          <w:lang w:val="en-GB"/>
        </w:rPr>
        <w:t>; t</w:t>
      </w:r>
      <w:r w:rsidRPr="00DE2EDF">
        <w:rPr>
          <w:rFonts w:cs="Times New Roman"/>
          <w:lang w:val="en-GB"/>
        </w:rPr>
        <w:t xml:space="preserve">his would be a sufficient reason to exclude this phenomenon from a strictly juristic analysis of the Constitution. However, according to the British understanding of constitutional scholarship, the moral, social, and cultural background of the Law of the Constitution has to be taken into account in order to get a comprehensive and exact view of how constitutional law works. Dicey explicitly highlighted the crucial role of such extra-legal factors in connection with the British Constitution. According to his classic, still-commonly-used definition, the British Constitution encompasses a legal part (the ‘Law of the Constitution’, constitutional law </w:t>
      </w:r>
      <w:r w:rsidRPr="00DE2EDF">
        <w:rPr>
          <w:rFonts w:cs="Times New Roman"/>
          <w:i/>
          <w:lang w:val="en-GB"/>
        </w:rPr>
        <w:t>stricto sensu</w:t>
      </w:r>
      <w:r w:rsidRPr="00DE2EDF">
        <w:rPr>
          <w:rFonts w:cs="Times New Roman"/>
          <w:lang w:val="en-GB"/>
        </w:rPr>
        <w:t>) and a non-legal part (the so-called ‘constitutional conventions’, which are standards of political ethics and constitutional morality).</w:t>
      </w:r>
      <w:r w:rsidRPr="00DE2EDF">
        <w:rPr>
          <w:rStyle w:val="FootnoteReference"/>
          <w:rFonts w:cs="Times New Roman"/>
          <w:iCs/>
          <w:lang w:val="en-GB"/>
        </w:rPr>
        <w:footnoteReference w:id="96"/>
      </w:r>
      <w:r w:rsidRPr="00DE2EDF">
        <w:rPr>
          <w:rFonts w:cs="Times New Roman"/>
          <w:lang w:val="en-GB"/>
        </w:rPr>
        <w:t xml:space="preserve"> The distinguishing criterion </w:t>
      </w:r>
      <w:r w:rsidRPr="00DE2EDF">
        <w:rPr>
          <w:rFonts w:cs="Times New Roman"/>
          <w:lang w:val="en-GB"/>
        </w:rPr>
        <w:lastRenderedPageBreak/>
        <w:t xml:space="preserve">between constitutional law and constitutional morality is the justiciability of the particular standard. From this point of view, the constitutional principle of the rule of law appears to have an ambivalent status: its normative authority within the legislative process (e.g., the legislature’s self-restraint in </w:t>
      </w:r>
      <w:bookmarkStart w:id="190" w:name="_ftnref86"/>
      <w:r w:rsidRPr="00DE2EDF">
        <w:rPr>
          <w:rFonts w:cs="Times New Roman"/>
          <w:lang w:val="en-GB"/>
        </w:rPr>
        <w:t>bills</w:t>
      </w:r>
      <w:bookmarkStart w:id="191" w:name="_Ref401131999"/>
      <w:r w:rsidRPr="00DE2EDF">
        <w:rPr>
          <w:rStyle w:val="FootnoteReference"/>
          <w:rFonts w:cs="Times New Roman"/>
          <w:iCs/>
          <w:lang w:val="en-GB"/>
        </w:rPr>
        <w:footnoteReference w:id="97"/>
      </w:r>
      <w:bookmarkEnd w:id="190"/>
      <w:bookmarkEnd w:id="191"/>
      <w:r w:rsidRPr="00DE2EDF">
        <w:rPr>
          <w:rFonts w:cs="Times New Roman"/>
          <w:lang w:val="en-GB"/>
        </w:rPr>
        <w:t>) is of a moral character, as it occurs in the absence of any judicial intervention. However, if a restrictive constitutional interpretation of an Act of Parliament is issued by a court, the rule of law principle becomes, ipso facto, a constitutional standard of a legal character. Thus, its primacy, depending on the circumstances, may be considered the primacy of either a moral or a legal principle.</w:t>
      </w:r>
    </w:p>
    <w:p w14:paraId="0537D744" w14:textId="77777777" w:rsidR="002D66C1" w:rsidRPr="00DE2EDF" w:rsidRDefault="002D66C1" w:rsidP="00DE2EDF">
      <w:pPr>
        <w:spacing w:after="0"/>
        <w:jc w:val="both"/>
        <w:rPr>
          <w:rFonts w:cs="Times New Roman"/>
          <w:lang w:val="en-GB"/>
        </w:rPr>
      </w:pPr>
    </w:p>
    <w:p w14:paraId="4A49F9B5" w14:textId="77777777" w:rsidR="000F756A" w:rsidRPr="00DE2EDF" w:rsidRDefault="002D66C1" w:rsidP="00DE2EDF">
      <w:pPr>
        <w:pStyle w:val="Heading2"/>
        <w:spacing w:before="0" w:after="0" w:line="276" w:lineRule="auto"/>
        <w:ind w:left="0" w:firstLine="0"/>
        <w:rPr>
          <w:rFonts w:eastAsia="Times New Roman" w:cs="Times New Roman"/>
          <w:szCs w:val="24"/>
          <w:lang w:val="en-GB"/>
        </w:rPr>
      </w:pPr>
      <w:bookmarkStart w:id="192" w:name="_Toc253048940"/>
      <w:bookmarkStart w:id="193" w:name="_Toc252700487"/>
      <w:bookmarkStart w:id="194" w:name="_Toc245196671"/>
      <w:bookmarkStart w:id="195" w:name="_Toc460405633"/>
      <w:bookmarkEnd w:id="192"/>
      <w:bookmarkEnd w:id="193"/>
      <w:r w:rsidRPr="00DE2EDF">
        <w:rPr>
          <w:rFonts w:eastAsia="Times New Roman" w:cs="Times New Roman"/>
          <w:szCs w:val="24"/>
          <w:lang w:val="en-GB"/>
        </w:rPr>
        <w:t xml:space="preserve">2. </w:t>
      </w:r>
      <w:r w:rsidR="000F756A" w:rsidRPr="00DE2EDF">
        <w:rPr>
          <w:rFonts w:eastAsia="Times New Roman" w:cs="Times New Roman"/>
          <w:szCs w:val="24"/>
          <w:lang w:val="en-GB"/>
        </w:rPr>
        <w:t xml:space="preserve">The </w:t>
      </w:r>
      <w:r w:rsidR="00891B02" w:rsidRPr="00DE2EDF">
        <w:rPr>
          <w:rFonts w:eastAsia="Times New Roman" w:cs="Times New Roman"/>
          <w:szCs w:val="24"/>
          <w:lang w:val="en-GB"/>
        </w:rPr>
        <w:t>C</w:t>
      </w:r>
      <w:r w:rsidR="000F756A" w:rsidRPr="00DE2EDF">
        <w:rPr>
          <w:rFonts w:eastAsia="Times New Roman" w:cs="Times New Roman"/>
          <w:szCs w:val="24"/>
          <w:lang w:val="en-GB"/>
        </w:rPr>
        <w:t xml:space="preserve">ontemporary </w:t>
      </w:r>
      <w:r w:rsidR="00891B02" w:rsidRPr="00DE2EDF">
        <w:rPr>
          <w:rFonts w:eastAsia="Times New Roman" w:cs="Times New Roman"/>
          <w:szCs w:val="24"/>
          <w:lang w:val="en-GB"/>
        </w:rPr>
        <w:t>C</w:t>
      </w:r>
      <w:r w:rsidR="00E56886">
        <w:rPr>
          <w:rFonts w:eastAsia="Times New Roman" w:cs="Times New Roman"/>
          <w:szCs w:val="24"/>
          <w:lang w:val="en-GB"/>
        </w:rPr>
        <w:t>onstitutionaliz</w:t>
      </w:r>
      <w:r w:rsidR="000F756A" w:rsidRPr="00DE2EDF">
        <w:rPr>
          <w:rFonts w:eastAsia="Times New Roman" w:cs="Times New Roman"/>
          <w:szCs w:val="24"/>
          <w:lang w:val="en-GB"/>
        </w:rPr>
        <w:t xml:space="preserve">ation of </w:t>
      </w:r>
      <w:r w:rsidR="00891B02" w:rsidRPr="00DE2EDF">
        <w:rPr>
          <w:rFonts w:eastAsia="Times New Roman" w:cs="Times New Roman"/>
          <w:szCs w:val="24"/>
          <w:lang w:val="en-GB"/>
        </w:rPr>
        <w:t>A</w:t>
      </w:r>
      <w:r w:rsidR="000F756A" w:rsidRPr="00DE2EDF">
        <w:rPr>
          <w:rFonts w:eastAsia="Times New Roman" w:cs="Times New Roman"/>
          <w:szCs w:val="24"/>
          <w:lang w:val="en-GB"/>
        </w:rPr>
        <w:t xml:space="preserve">dministrative </w:t>
      </w:r>
      <w:r w:rsidR="00891B02" w:rsidRPr="00DE2EDF">
        <w:rPr>
          <w:rFonts w:eastAsia="Times New Roman" w:cs="Times New Roman"/>
          <w:szCs w:val="24"/>
          <w:lang w:val="en-GB"/>
        </w:rPr>
        <w:t>L</w:t>
      </w:r>
      <w:r w:rsidR="000F756A" w:rsidRPr="00DE2EDF">
        <w:rPr>
          <w:rFonts w:eastAsia="Times New Roman" w:cs="Times New Roman"/>
          <w:szCs w:val="24"/>
          <w:lang w:val="en-GB"/>
        </w:rPr>
        <w:t>aw</w:t>
      </w:r>
      <w:bookmarkEnd w:id="194"/>
      <w:bookmarkEnd w:id="195"/>
    </w:p>
    <w:p w14:paraId="12FD82D4" w14:textId="77777777" w:rsidR="002D66C1" w:rsidRPr="00DE2EDF" w:rsidRDefault="002D66C1" w:rsidP="00DE2EDF">
      <w:pPr>
        <w:spacing w:after="0"/>
        <w:jc w:val="both"/>
        <w:rPr>
          <w:rFonts w:cs="Times New Roman"/>
          <w:lang w:val="en-GB"/>
        </w:rPr>
      </w:pPr>
    </w:p>
    <w:p w14:paraId="2290ABFA" w14:textId="77777777" w:rsidR="000F756A" w:rsidRPr="00DE2EDF" w:rsidRDefault="000F756A" w:rsidP="00DE2EDF">
      <w:pPr>
        <w:spacing w:after="0"/>
        <w:jc w:val="both"/>
        <w:rPr>
          <w:rFonts w:cs="Times New Roman"/>
          <w:lang w:val="en-GB"/>
        </w:rPr>
      </w:pPr>
      <w:r w:rsidRPr="00DE2EDF">
        <w:rPr>
          <w:rFonts w:cs="Times New Roman"/>
          <w:lang w:val="en-GB"/>
        </w:rPr>
        <w:t xml:space="preserve">Today, </w:t>
      </w:r>
      <w:r w:rsidR="00FE4844" w:rsidRPr="00DE2EDF">
        <w:rPr>
          <w:rFonts w:cs="Times New Roman"/>
          <w:lang w:val="en-GB"/>
        </w:rPr>
        <w:t>English legal doctrine speaks</w:t>
      </w:r>
      <w:r w:rsidR="00FE4844" w:rsidRPr="00DE2EDF">
        <w:rPr>
          <w:rFonts w:cs="Times New Roman"/>
        </w:rPr>
        <w:t>—</w:t>
      </w:r>
      <w:r w:rsidRPr="00DE2EDF">
        <w:rPr>
          <w:rFonts w:cs="Times New Roman"/>
          <w:lang w:val="en-GB"/>
        </w:rPr>
        <w:t>thoug</w:t>
      </w:r>
      <w:r w:rsidR="00FE4844" w:rsidRPr="00DE2EDF">
        <w:rPr>
          <w:rFonts w:cs="Times New Roman"/>
          <w:lang w:val="en-GB"/>
        </w:rPr>
        <w:t>h rarely and in a timid voice</w:t>
      </w:r>
      <w:r w:rsidR="00FE4844" w:rsidRPr="00DE2EDF">
        <w:rPr>
          <w:rFonts w:cs="Times New Roman"/>
        </w:rPr>
        <w:t>—</w:t>
      </w:r>
      <w:r w:rsidR="00E56886">
        <w:rPr>
          <w:rFonts w:cs="Times New Roman"/>
          <w:lang w:val="en-GB"/>
        </w:rPr>
        <w:t>of the ‘constitutionaliz</w:t>
      </w:r>
      <w:r w:rsidRPr="00DE2EDF">
        <w:rPr>
          <w:rFonts w:cs="Times New Roman"/>
          <w:lang w:val="en-GB"/>
        </w:rPr>
        <w:t>ation’ of both administrative and private law.</w:t>
      </w:r>
      <w:bookmarkStart w:id="196" w:name="_Ref457835050"/>
      <w:r w:rsidRPr="00DE2EDF">
        <w:rPr>
          <w:rStyle w:val="FootnoteReference"/>
          <w:rFonts w:cs="Times New Roman"/>
          <w:iCs/>
          <w:lang w:val="en-GB"/>
        </w:rPr>
        <w:footnoteReference w:id="98"/>
      </w:r>
      <w:bookmarkEnd w:id="196"/>
      <w:r w:rsidRPr="00DE2EDF">
        <w:rPr>
          <w:rFonts w:cs="Times New Roman"/>
          <w:lang w:val="en-GB"/>
        </w:rPr>
        <w:t xml:space="preserve"> This may, at first glance, surprise </w:t>
      </w:r>
      <w:r w:rsidR="00891B02" w:rsidRPr="00DE2EDF">
        <w:rPr>
          <w:rFonts w:cs="Times New Roman"/>
          <w:lang w:val="en-GB"/>
        </w:rPr>
        <w:t>c</w:t>
      </w:r>
      <w:r w:rsidRPr="00DE2EDF">
        <w:rPr>
          <w:rFonts w:cs="Times New Roman"/>
          <w:lang w:val="en-GB"/>
        </w:rPr>
        <w:t xml:space="preserve">ontinental European observers. On the </w:t>
      </w:r>
      <w:r w:rsidR="00891B02" w:rsidRPr="00DE2EDF">
        <w:rPr>
          <w:rFonts w:cs="Times New Roman"/>
          <w:lang w:val="en-GB"/>
        </w:rPr>
        <w:t>c</w:t>
      </w:r>
      <w:r w:rsidR="00E56886">
        <w:rPr>
          <w:rFonts w:cs="Times New Roman"/>
          <w:lang w:val="en-GB"/>
        </w:rPr>
        <w:t>ontinent, constitutionaliz</w:t>
      </w:r>
      <w:r w:rsidRPr="00DE2EDF">
        <w:rPr>
          <w:rFonts w:cs="Times New Roman"/>
          <w:lang w:val="en-GB"/>
        </w:rPr>
        <w:t xml:space="preserve">ation operates on the basis of the supremacy of </w:t>
      </w:r>
      <w:r w:rsidR="009B7253" w:rsidRPr="00DE2EDF">
        <w:rPr>
          <w:rFonts w:cs="Times New Roman"/>
          <w:lang w:val="en-GB"/>
        </w:rPr>
        <w:t>an</w:t>
      </w:r>
      <w:r w:rsidRPr="00DE2EDF">
        <w:rPr>
          <w:rFonts w:cs="Times New Roman"/>
          <w:lang w:val="en-GB"/>
        </w:rPr>
        <w:t xml:space="preserve"> entrenched</w:t>
      </w:r>
      <w:r w:rsidR="008C4215" w:rsidRPr="00DE2EDF">
        <w:rPr>
          <w:rFonts w:cs="Times New Roman"/>
          <w:lang w:val="en-GB"/>
        </w:rPr>
        <w:t xml:space="preserve"> (rigid)</w:t>
      </w:r>
      <w:r w:rsidRPr="00DE2EDF">
        <w:rPr>
          <w:rFonts w:cs="Times New Roman"/>
          <w:lang w:val="en-GB"/>
        </w:rPr>
        <w:t xml:space="preserve"> Constitution, especially over </w:t>
      </w:r>
      <w:r w:rsidR="009B7253" w:rsidRPr="00DE2EDF">
        <w:rPr>
          <w:rFonts w:cs="Times New Roman"/>
          <w:lang w:val="en-GB"/>
        </w:rPr>
        <w:t>statutes</w:t>
      </w:r>
      <w:r w:rsidRPr="00DE2EDF">
        <w:rPr>
          <w:rFonts w:cs="Times New Roman"/>
          <w:lang w:val="en-GB"/>
        </w:rPr>
        <w:t>. Ye</w:t>
      </w:r>
      <w:r w:rsidR="00A918A6">
        <w:rPr>
          <w:rFonts w:cs="Times New Roman"/>
          <w:lang w:val="en-GB"/>
        </w:rPr>
        <w:t>t, this is precisely what the United Kingdom</w:t>
      </w:r>
      <w:r w:rsidRPr="00DE2EDF">
        <w:rPr>
          <w:rFonts w:cs="Times New Roman"/>
          <w:lang w:val="en-GB"/>
        </w:rPr>
        <w:t xml:space="preserve"> lacks! However, such an analysis is </w:t>
      </w:r>
      <w:r w:rsidR="00CE1B94" w:rsidRPr="00DE2EDF">
        <w:rPr>
          <w:rFonts w:cs="Times New Roman"/>
          <w:lang w:val="en-GB"/>
        </w:rPr>
        <w:t>too narrow</w:t>
      </w:r>
      <w:r w:rsidR="009B7253" w:rsidRPr="00DE2EDF">
        <w:rPr>
          <w:rFonts w:cs="Times New Roman"/>
          <w:lang w:val="en-GB"/>
        </w:rPr>
        <w:t xml:space="preserve"> for two reasons</w:t>
      </w:r>
      <w:r w:rsidRPr="00DE2EDF">
        <w:rPr>
          <w:rFonts w:cs="Times New Roman"/>
          <w:lang w:val="en-GB"/>
        </w:rPr>
        <w:t xml:space="preserve">. First, it presupposes the ubiquity of Acts of Parliaments, an assumption that is </w:t>
      </w:r>
      <w:r w:rsidR="00CE1B94" w:rsidRPr="00DE2EDF">
        <w:rPr>
          <w:rFonts w:cs="Times New Roman"/>
          <w:lang w:val="en-GB"/>
        </w:rPr>
        <w:t>false</w:t>
      </w:r>
      <w:r w:rsidRPr="00DE2EDF">
        <w:rPr>
          <w:rFonts w:cs="Times New Roman"/>
          <w:lang w:val="en-GB"/>
        </w:rPr>
        <w:t xml:space="preserve"> </w:t>
      </w:r>
      <w:r w:rsidR="00FD174D" w:rsidRPr="00DE2EDF">
        <w:rPr>
          <w:rFonts w:cs="Times New Roman"/>
          <w:lang w:val="en-GB"/>
        </w:rPr>
        <w:t xml:space="preserve">in the case of </w:t>
      </w:r>
      <w:r w:rsidR="001C44A0" w:rsidRPr="00DE2EDF">
        <w:rPr>
          <w:rFonts w:cs="Times New Roman"/>
          <w:lang w:val="en-GB"/>
        </w:rPr>
        <w:t xml:space="preserve">the </w:t>
      </w:r>
      <w:r w:rsidR="00A918A6">
        <w:rPr>
          <w:rFonts w:cs="Times New Roman"/>
          <w:lang w:val="en-GB"/>
        </w:rPr>
        <w:t>United Kingdom</w:t>
      </w:r>
      <w:r w:rsidRPr="00DE2EDF">
        <w:rPr>
          <w:rFonts w:cs="Times New Roman"/>
          <w:lang w:val="en-GB"/>
        </w:rPr>
        <w:t xml:space="preserve"> due to the importance of judge-made law. A large number of </w:t>
      </w:r>
      <w:r w:rsidR="00FD174D" w:rsidRPr="00DE2EDF">
        <w:rPr>
          <w:rFonts w:cs="Times New Roman"/>
          <w:lang w:val="en-GB"/>
        </w:rPr>
        <w:t xml:space="preserve">those </w:t>
      </w:r>
      <w:r w:rsidRPr="00DE2EDF">
        <w:rPr>
          <w:rFonts w:cs="Times New Roman"/>
          <w:lang w:val="en-GB"/>
        </w:rPr>
        <w:t xml:space="preserve">Common Law rules are informed by constitutional principles, as is demonstrated by the </w:t>
      </w:r>
      <w:r w:rsidR="009E54AF" w:rsidRPr="00DE2EDF">
        <w:rPr>
          <w:rFonts w:cs="Times New Roman"/>
          <w:lang w:val="en-GB"/>
        </w:rPr>
        <w:t xml:space="preserve">debate about the </w:t>
      </w:r>
      <w:r w:rsidRPr="00DE2EDF">
        <w:rPr>
          <w:rFonts w:cs="Times New Roman"/>
          <w:lang w:val="en-GB"/>
        </w:rPr>
        <w:t>constitutional</w:t>
      </w:r>
      <w:r w:rsidR="009E54AF" w:rsidRPr="00DE2EDF">
        <w:rPr>
          <w:rFonts w:cs="Times New Roman"/>
          <w:lang w:val="en-GB"/>
        </w:rPr>
        <w:t xml:space="preserve"> foundations of judicial review</w:t>
      </w:r>
      <w:r w:rsidRPr="00DE2EDF">
        <w:rPr>
          <w:rFonts w:cs="Times New Roman"/>
          <w:lang w:val="en-GB"/>
        </w:rPr>
        <w:t xml:space="preserve">. Second: parts of the British Constitution are being elevated to </w:t>
      </w:r>
      <w:r w:rsidR="00CE1B94" w:rsidRPr="00DE2EDF">
        <w:rPr>
          <w:rFonts w:cs="Times New Roman"/>
          <w:lang w:val="en-GB"/>
        </w:rPr>
        <w:t xml:space="preserve">a </w:t>
      </w:r>
      <w:r w:rsidRPr="00DE2EDF">
        <w:rPr>
          <w:rFonts w:cs="Times New Roman"/>
          <w:lang w:val="en-GB"/>
        </w:rPr>
        <w:t>higher rank, a complex and still ongoing process that has not yet been systemati</w:t>
      </w:r>
      <w:r w:rsidR="00BE7FC8" w:rsidRPr="00DE2EDF">
        <w:rPr>
          <w:rFonts w:cs="Times New Roman"/>
          <w:lang w:val="en-GB"/>
        </w:rPr>
        <w:t>z</w:t>
      </w:r>
      <w:r w:rsidRPr="00DE2EDF">
        <w:rPr>
          <w:rFonts w:cs="Times New Roman"/>
          <w:lang w:val="en-GB"/>
        </w:rPr>
        <w:t>ed.</w:t>
      </w:r>
    </w:p>
    <w:p w14:paraId="232248B3" w14:textId="77777777" w:rsidR="00EA5C56" w:rsidRPr="00DE2EDF" w:rsidRDefault="00EA5C56" w:rsidP="00DE2EDF">
      <w:pPr>
        <w:spacing w:after="0"/>
        <w:rPr>
          <w:rFonts w:cs="Times New Roman"/>
        </w:rPr>
      </w:pPr>
    </w:p>
    <w:p w14:paraId="754BBB50" w14:textId="39311A00" w:rsidR="00EA5C56" w:rsidRPr="00DE2EDF" w:rsidRDefault="00ED3DAA" w:rsidP="009762C3">
      <w:pPr>
        <w:pStyle w:val="Heading3"/>
        <w:rPr>
          <w:rFonts w:cs="Times New Roman"/>
          <w:szCs w:val="24"/>
        </w:rPr>
      </w:pPr>
      <w:bookmarkStart w:id="197" w:name="_Toc253048941"/>
      <w:bookmarkStart w:id="198" w:name="_Toc252700488"/>
      <w:bookmarkStart w:id="199" w:name="_Toc245196672"/>
      <w:bookmarkStart w:id="200" w:name="_Toc460405634"/>
      <w:bookmarkEnd w:id="197"/>
      <w:bookmarkEnd w:id="198"/>
      <w:r w:rsidRPr="00DE2EDF">
        <w:rPr>
          <w:rFonts w:cs="Times New Roman"/>
          <w:szCs w:val="24"/>
        </w:rPr>
        <w:lastRenderedPageBreak/>
        <w:t xml:space="preserve">a) </w:t>
      </w:r>
      <w:r w:rsidR="000F756A" w:rsidRPr="00DE2EDF">
        <w:rPr>
          <w:rFonts w:cs="Times New Roman"/>
          <w:szCs w:val="24"/>
        </w:rPr>
        <w:t xml:space="preserve">The </w:t>
      </w:r>
      <w:r w:rsidR="00BD60AF" w:rsidRPr="00DE2EDF">
        <w:rPr>
          <w:rFonts w:cs="Times New Roman"/>
          <w:szCs w:val="24"/>
        </w:rPr>
        <w:t>D</w:t>
      </w:r>
      <w:r w:rsidR="000F756A" w:rsidRPr="00DE2EDF">
        <w:rPr>
          <w:rFonts w:cs="Times New Roman"/>
          <w:szCs w:val="24"/>
        </w:rPr>
        <w:t xml:space="preserve">ebate </w:t>
      </w:r>
      <w:r w:rsidR="009762C3" w:rsidRPr="00DE2EDF">
        <w:rPr>
          <w:rFonts w:cs="Times New Roman"/>
          <w:szCs w:val="24"/>
        </w:rPr>
        <w:t>over</w:t>
      </w:r>
      <w:r w:rsidR="000F756A" w:rsidRPr="00DE2EDF">
        <w:rPr>
          <w:rFonts w:cs="Times New Roman"/>
          <w:szCs w:val="24"/>
        </w:rPr>
        <w:t xml:space="preserve"> the </w:t>
      </w:r>
      <w:r w:rsidR="00BD60AF" w:rsidRPr="00DE2EDF">
        <w:rPr>
          <w:rFonts w:cs="Times New Roman"/>
          <w:szCs w:val="24"/>
        </w:rPr>
        <w:t>C</w:t>
      </w:r>
      <w:r w:rsidR="000F756A" w:rsidRPr="00DE2EDF">
        <w:rPr>
          <w:rFonts w:cs="Times New Roman"/>
          <w:szCs w:val="24"/>
        </w:rPr>
        <w:t xml:space="preserve">onstitutional </w:t>
      </w:r>
      <w:r w:rsidR="00BD60AF" w:rsidRPr="00DE2EDF">
        <w:rPr>
          <w:rFonts w:cs="Times New Roman"/>
          <w:szCs w:val="24"/>
        </w:rPr>
        <w:t>F</w:t>
      </w:r>
      <w:r w:rsidR="000F756A" w:rsidRPr="00DE2EDF">
        <w:rPr>
          <w:rFonts w:cs="Times New Roman"/>
          <w:szCs w:val="24"/>
        </w:rPr>
        <w:t xml:space="preserve">oundations of </w:t>
      </w:r>
      <w:r w:rsidR="00BD60AF" w:rsidRPr="00DE2EDF">
        <w:rPr>
          <w:rFonts w:cs="Times New Roman"/>
          <w:szCs w:val="24"/>
        </w:rPr>
        <w:t>J</w:t>
      </w:r>
      <w:r w:rsidR="000F756A" w:rsidRPr="00DE2EDF">
        <w:rPr>
          <w:rFonts w:cs="Times New Roman"/>
          <w:szCs w:val="24"/>
        </w:rPr>
        <w:t xml:space="preserve">udicial </w:t>
      </w:r>
      <w:r w:rsidR="00BD60AF" w:rsidRPr="00DE2EDF">
        <w:rPr>
          <w:rFonts w:cs="Times New Roman"/>
          <w:szCs w:val="24"/>
        </w:rPr>
        <w:t>R</w:t>
      </w:r>
      <w:r w:rsidR="000F756A" w:rsidRPr="00DE2EDF">
        <w:rPr>
          <w:rFonts w:cs="Times New Roman"/>
          <w:szCs w:val="24"/>
        </w:rPr>
        <w:t>eview</w:t>
      </w:r>
      <w:bookmarkEnd w:id="199"/>
      <w:bookmarkEnd w:id="200"/>
    </w:p>
    <w:p w14:paraId="755DE66B" w14:textId="77777777" w:rsidR="00ED3DAA" w:rsidRPr="00DE2EDF" w:rsidRDefault="00ED3DAA" w:rsidP="009762C3">
      <w:pPr>
        <w:keepNext/>
        <w:spacing w:after="0"/>
        <w:rPr>
          <w:rFonts w:cs="Times New Roman"/>
          <w:lang w:val="en-GB"/>
        </w:rPr>
      </w:pPr>
    </w:p>
    <w:p w14:paraId="2E5D888A" w14:textId="77777777" w:rsidR="000F756A" w:rsidRPr="00DE2EDF" w:rsidRDefault="000F756A" w:rsidP="00DE2EDF">
      <w:pPr>
        <w:spacing w:after="0"/>
        <w:jc w:val="both"/>
        <w:rPr>
          <w:rFonts w:cs="Times New Roman"/>
          <w:lang w:val="en-GB"/>
        </w:rPr>
      </w:pPr>
      <w:r w:rsidRPr="00DE2EDF">
        <w:rPr>
          <w:rFonts w:cs="Times New Roman"/>
          <w:lang w:val="en-GB"/>
        </w:rPr>
        <w:t>The constitutionali</w:t>
      </w:r>
      <w:r w:rsidR="00E56886">
        <w:rPr>
          <w:rFonts w:cs="Times New Roman"/>
          <w:lang w:val="en-GB"/>
        </w:rPr>
        <w:t>z</w:t>
      </w:r>
      <w:r w:rsidRPr="00DE2EDF">
        <w:rPr>
          <w:rFonts w:cs="Times New Roman"/>
          <w:lang w:val="en-GB"/>
        </w:rPr>
        <w:t xml:space="preserve">ation debate was triggered by the expansion of judicial review of administrative </w:t>
      </w:r>
      <w:r w:rsidR="00FD174D" w:rsidRPr="00DE2EDF">
        <w:rPr>
          <w:rFonts w:cs="Times New Roman"/>
          <w:lang w:val="en-GB"/>
        </w:rPr>
        <w:t>bodies</w:t>
      </w:r>
      <w:r w:rsidRPr="00DE2EDF">
        <w:rPr>
          <w:rFonts w:cs="Times New Roman"/>
          <w:lang w:val="en-GB"/>
        </w:rPr>
        <w:t xml:space="preserve"> that took place since the mid-1960s. </w:t>
      </w:r>
      <w:r w:rsidR="00FD174D" w:rsidRPr="00DE2EDF">
        <w:rPr>
          <w:rFonts w:cs="Times New Roman"/>
          <w:lang w:val="en-GB"/>
        </w:rPr>
        <w:t>At the beginning</w:t>
      </w:r>
      <w:r w:rsidRPr="00DE2EDF">
        <w:rPr>
          <w:rFonts w:cs="Times New Roman"/>
          <w:lang w:val="en-GB"/>
        </w:rPr>
        <w:t>, th</w:t>
      </w:r>
      <w:r w:rsidR="005056D7" w:rsidRPr="00DE2EDF">
        <w:rPr>
          <w:rFonts w:cs="Times New Roman"/>
          <w:lang w:val="en-GB"/>
        </w:rPr>
        <w:t>e</w:t>
      </w:r>
      <w:r w:rsidRPr="00DE2EDF">
        <w:rPr>
          <w:rFonts w:cs="Times New Roman"/>
          <w:lang w:val="en-GB"/>
        </w:rPr>
        <w:t xml:space="preserve"> evolution initiated by the courts used a pragmatic, case-by-case ap</w:t>
      </w:r>
      <w:r w:rsidR="00557802">
        <w:rPr>
          <w:rFonts w:cs="Times New Roman"/>
          <w:lang w:val="en-GB"/>
        </w:rPr>
        <w:t>proach, without further systematiz</w:t>
      </w:r>
      <w:r w:rsidRPr="00DE2EDF">
        <w:rPr>
          <w:rFonts w:cs="Times New Roman"/>
          <w:lang w:val="en-GB"/>
        </w:rPr>
        <w:t>ation. Only in the 1990s did a debate unfold, amongst judges and scholars, regarding the constitutional grounds for this development.</w:t>
      </w:r>
      <w:r w:rsidRPr="00DE2EDF">
        <w:rPr>
          <w:rStyle w:val="FootnoteReference"/>
          <w:rFonts w:cs="Times New Roman"/>
          <w:iCs/>
          <w:lang w:val="en-GB"/>
        </w:rPr>
        <w:footnoteReference w:id="99"/>
      </w:r>
      <w:r w:rsidRPr="00DE2EDF">
        <w:rPr>
          <w:rFonts w:cs="Times New Roman"/>
          <w:lang w:val="en-GB"/>
        </w:rPr>
        <w:t xml:space="preserve"> The aim of the various protagonists was either to canalize this dynamic or to push it further. Various constitutional principles were mobili</w:t>
      </w:r>
      <w:r w:rsidR="00557802">
        <w:rPr>
          <w:rFonts w:cs="Times New Roman"/>
          <w:lang w:val="en-GB"/>
        </w:rPr>
        <w:t>z</w:t>
      </w:r>
      <w:r w:rsidRPr="00DE2EDF">
        <w:rPr>
          <w:rFonts w:cs="Times New Roman"/>
          <w:lang w:val="en-GB"/>
        </w:rPr>
        <w:t xml:space="preserve">ed: the principle of the </w:t>
      </w:r>
      <w:r w:rsidR="00BE7FC8" w:rsidRPr="00DE2EDF">
        <w:rPr>
          <w:rFonts w:cs="Times New Roman"/>
          <w:lang w:val="en-GB"/>
        </w:rPr>
        <w:t xml:space="preserve">Sovereignty </w:t>
      </w:r>
      <w:r w:rsidRPr="00DE2EDF">
        <w:rPr>
          <w:rFonts w:cs="Times New Roman"/>
          <w:lang w:val="en-GB"/>
        </w:rPr>
        <w:t>of Parliament was the starting point for the so-called ‘ultra vires doctrine’ (the purpose of judicial review is to enforce the will of the democratically-elected legislature), while the defenders of ‘common law constitutionalism’ started from the principle of the rule of law and the role of the courts as guardians of individual liberties. In practice, the latter view predominated. The highest courts proclaimed the existence of ‘constitutional’ or ‘basic rights’, which had higher authority than Acts of Parliament.</w:t>
      </w:r>
      <w:bookmarkStart w:id="201" w:name="_Ref243908749"/>
      <w:bookmarkStart w:id="202" w:name="_Ref401132849"/>
      <w:bookmarkEnd w:id="201"/>
      <w:r w:rsidRPr="00DE2EDF">
        <w:rPr>
          <w:rStyle w:val="FootnoteReference"/>
          <w:rFonts w:cs="Times New Roman"/>
          <w:iCs/>
          <w:lang w:val="en-GB"/>
        </w:rPr>
        <w:footnoteReference w:id="100"/>
      </w:r>
      <w:bookmarkEnd w:id="202"/>
      <w:r w:rsidRPr="00DE2EDF">
        <w:rPr>
          <w:rFonts w:cs="Times New Roman"/>
          <w:lang w:val="en-GB"/>
        </w:rPr>
        <w:t xml:space="preserve"> While ‘ordinary rights’ can implicitly be restricted or abolished by Acts of Parliament according to the traditional understanding of parliamentar</w:t>
      </w:r>
      <w:r w:rsidR="009E54AF" w:rsidRPr="00DE2EDF">
        <w:rPr>
          <w:rFonts w:cs="Times New Roman"/>
          <w:lang w:val="en-GB"/>
        </w:rPr>
        <w:t xml:space="preserve">y sovereignty (the doctrine of </w:t>
      </w:r>
      <w:bookmarkStart w:id="203" w:name="_ftnref91"/>
      <w:r w:rsidR="009E54AF" w:rsidRPr="00DE2EDF">
        <w:rPr>
          <w:rFonts w:cs="Times New Roman"/>
          <w:lang w:val="en-GB"/>
        </w:rPr>
        <w:t>implied repeal</w:t>
      </w:r>
      <w:r w:rsidRPr="00DE2EDF">
        <w:rPr>
          <w:rStyle w:val="FootnoteReference"/>
          <w:rFonts w:cs="Times New Roman"/>
          <w:iCs/>
          <w:lang w:val="en-GB"/>
        </w:rPr>
        <w:footnoteReference w:id="101"/>
      </w:r>
      <w:bookmarkEnd w:id="203"/>
      <w:r w:rsidRPr="00DE2EDF">
        <w:rPr>
          <w:rFonts w:cs="Times New Roman"/>
          <w:lang w:val="en-GB"/>
        </w:rPr>
        <w:t>), fundamental rights (so-called ‘constitutional rights’) can only be repealed by an express declaration of Parliament’s will.</w:t>
      </w:r>
    </w:p>
    <w:p w14:paraId="554BDEBD" w14:textId="77777777" w:rsidR="003F106C" w:rsidRPr="00DE2EDF" w:rsidRDefault="003F106C" w:rsidP="00DE2EDF">
      <w:pPr>
        <w:spacing w:after="0"/>
        <w:jc w:val="both"/>
        <w:rPr>
          <w:rFonts w:cs="Times New Roman"/>
          <w:lang w:val="en-GB"/>
        </w:rPr>
      </w:pPr>
    </w:p>
    <w:p w14:paraId="5AACD2DF" w14:textId="77777777" w:rsidR="000F756A" w:rsidRPr="00DE2EDF" w:rsidRDefault="000F756A" w:rsidP="00DE2EDF">
      <w:pPr>
        <w:spacing w:after="0"/>
        <w:jc w:val="both"/>
        <w:rPr>
          <w:rFonts w:cs="Times New Roman"/>
          <w:color w:val="0000FF"/>
          <w:u w:val="single"/>
          <w:vertAlign w:val="superscript"/>
          <w:lang w:val="en-GB"/>
        </w:rPr>
      </w:pPr>
      <w:r w:rsidRPr="00DE2EDF">
        <w:rPr>
          <w:rFonts w:cs="Times New Roman"/>
          <w:lang w:val="en-GB"/>
        </w:rPr>
        <w:t>From the abstract concept of liberal democracy and/or the liberal theory of common law flows the precedence of fundamental rights over the principle of sovereignty. These rights are valid even without a statute and they apply as long as no Act of Parliament expressly contradicts them. As demonstrated by the example of Israel</w:t>
      </w:r>
      <w:bookmarkStart w:id="204" w:name="_ftnref92"/>
      <w:r w:rsidR="00557802">
        <w:rPr>
          <w:rFonts w:cs="Times New Roman"/>
          <w:lang w:val="en-GB"/>
        </w:rPr>
        <w:t>,</w:t>
      </w:r>
      <w:r w:rsidRPr="00DE2EDF">
        <w:rPr>
          <w:rStyle w:val="FootnoteReference"/>
          <w:rFonts w:cs="Times New Roman"/>
          <w:iCs/>
          <w:lang w:val="en-GB"/>
        </w:rPr>
        <w:footnoteReference w:id="102"/>
      </w:r>
      <w:bookmarkEnd w:id="204"/>
      <w:r w:rsidR="00557802">
        <w:rPr>
          <w:rFonts w:cs="Times New Roman"/>
          <w:lang w:val="en-GB"/>
        </w:rPr>
        <w:t xml:space="preserve"> </w:t>
      </w:r>
      <w:r w:rsidRPr="00DE2EDF">
        <w:rPr>
          <w:rFonts w:cs="Times New Roman"/>
          <w:lang w:val="en-GB"/>
        </w:rPr>
        <w:t xml:space="preserve">the judicially-implemented primacy of the Constitution need not, necessarily, </w:t>
      </w:r>
      <w:r w:rsidR="001F3DD4" w:rsidRPr="00DE2EDF">
        <w:rPr>
          <w:rFonts w:cs="Times New Roman"/>
          <w:lang w:val="en-GB"/>
        </w:rPr>
        <w:t xml:space="preserve">to </w:t>
      </w:r>
      <w:r w:rsidRPr="00DE2EDF">
        <w:rPr>
          <w:rFonts w:cs="Times New Roman"/>
          <w:lang w:val="en-GB"/>
        </w:rPr>
        <w:t xml:space="preserve">be based on the classical criterion of a rigid Constitution (i.e., the existence of a special amendment procedure requiring a qualified majority). The judicial distinction between ‘explicit’ and ‘implied repeal’ raised part (but only part) of the British Constitution to a higher level. Another major contribution to the incremental emergence of a hierarchy was the famous distinction between ‘ordinary statutes’ and ‘constitutional statutes’ asserted by </w:t>
      </w:r>
      <w:r w:rsidRPr="00DE2EDF">
        <w:rPr>
          <w:rFonts w:cs="Times New Roman"/>
          <w:lang w:val="en-GB"/>
        </w:rPr>
        <w:lastRenderedPageBreak/>
        <w:t xml:space="preserve">Sir John Laws in the Divisional Court in </w:t>
      </w:r>
      <w:r w:rsidRPr="00DE2EDF">
        <w:rPr>
          <w:rFonts w:cs="Times New Roman"/>
          <w:i/>
          <w:lang w:val="en-GB"/>
        </w:rPr>
        <w:t>Thoburn v Sunderland City Council</w:t>
      </w:r>
      <w:r w:rsidRPr="00DE2EDF">
        <w:rPr>
          <w:rFonts w:cs="Times New Roman"/>
          <w:lang w:val="en-GB"/>
        </w:rPr>
        <w:t xml:space="preserve"> (2002)</w:t>
      </w:r>
      <w:bookmarkStart w:id="205" w:name="_ftnref93"/>
      <w:r w:rsidR="00FE4844" w:rsidRPr="00DE2EDF">
        <w:rPr>
          <w:rFonts w:cs="Times New Roman"/>
          <w:lang w:val="en-GB"/>
        </w:rPr>
        <w:t>.</w:t>
      </w:r>
      <w:r w:rsidRPr="00DE2EDF">
        <w:rPr>
          <w:rStyle w:val="FootnoteReference"/>
          <w:rFonts w:cs="Times New Roman"/>
          <w:iCs/>
          <w:lang w:val="en-GB"/>
        </w:rPr>
        <w:footnoteReference w:id="103"/>
      </w:r>
      <w:r w:rsidRPr="00DE2EDF">
        <w:rPr>
          <w:rFonts w:cs="Times New Roman"/>
          <w:lang w:val="en-GB"/>
        </w:rPr>
        <w:t xml:space="preserve"> In the same vein, Lords Neuberger and Mance, with the concurrence of the five other justices of the Supreme Court, recognized in its </w:t>
      </w:r>
      <w:r w:rsidRPr="00DE2EDF">
        <w:rPr>
          <w:rFonts w:cs="Times New Roman"/>
          <w:i/>
          <w:lang w:val="en-GB"/>
        </w:rPr>
        <w:t xml:space="preserve">HS2 </w:t>
      </w:r>
      <w:r w:rsidRPr="00DE2EDF">
        <w:rPr>
          <w:rFonts w:cs="Times New Roman"/>
          <w:lang w:val="en-GB"/>
        </w:rPr>
        <w:t>decision</w:t>
      </w:r>
      <w:r w:rsidR="00F80C1B" w:rsidRPr="00DE2EDF">
        <w:rPr>
          <w:rFonts w:cs="Times New Roman"/>
          <w:lang w:val="en-GB"/>
        </w:rPr>
        <w:t xml:space="preserve"> </w:t>
      </w:r>
      <w:r w:rsidR="008645C4" w:rsidRPr="00DE2EDF">
        <w:rPr>
          <w:rFonts w:cs="Times New Roman"/>
          <w:lang w:val="en-GB"/>
        </w:rPr>
        <w:t xml:space="preserve">from </w:t>
      </w:r>
      <w:r w:rsidR="00F80C1B" w:rsidRPr="00DE2EDF">
        <w:rPr>
          <w:rFonts w:cs="Times New Roman"/>
          <w:lang w:val="en-GB"/>
        </w:rPr>
        <w:t>2014</w:t>
      </w:r>
      <w:r w:rsidRPr="00DE2EDF">
        <w:rPr>
          <w:rFonts w:cs="Times New Roman"/>
          <w:lang w:val="en-GB"/>
        </w:rPr>
        <w:t xml:space="preserve">, the higher authority of certain ‘fundamental principles’ that are either contained in constitutional statutes or </w:t>
      </w:r>
      <w:r w:rsidR="00D20D2A" w:rsidRPr="00DE2EDF">
        <w:rPr>
          <w:rFonts w:cs="Times New Roman"/>
          <w:lang w:val="en-GB"/>
        </w:rPr>
        <w:t xml:space="preserve">recognized </w:t>
      </w:r>
      <w:r w:rsidRPr="00DE2EDF">
        <w:rPr>
          <w:rFonts w:cs="Times New Roman"/>
          <w:lang w:val="en-GB"/>
        </w:rPr>
        <w:t>at common law</w:t>
      </w:r>
      <w:r w:rsidR="00FE4844" w:rsidRPr="00DE2EDF">
        <w:rPr>
          <w:rFonts w:cs="Times New Roman"/>
          <w:lang w:val="en-GB"/>
        </w:rPr>
        <w:t>.</w:t>
      </w:r>
      <w:r w:rsidRPr="00DE2EDF">
        <w:rPr>
          <w:rStyle w:val="FootnoteReference"/>
          <w:rFonts w:cs="Times New Roman"/>
          <w:iCs/>
          <w:lang w:val="en-GB"/>
        </w:rPr>
        <w:footnoteReference w:id="104"/>
      </w:r>
      <w:r w:rsidRPr="00DE2EDF">
        <w:rPr>
          <w:rFonts w:cs="Times New Roman"/>
          <w:lang w:val="en-GB"/>
        </w:rPr>
        <w:t xml:space="preserve"> </w:t>
      </w:r>
      <w:hyperlink r:id="rId10" w:tgtFrame="_top" w:history="1">
        <w:r w:rsidRPr="00DE2EDF">
          <w:rPr>
            <w:rFonts w:cs="Times New Roman"/>
            <w:color w:val="0000FF"/>
            <w:u w:val="single"/>
            <w:vertAlign w:val="superscript"/>
            <w:lang w:val="en-GB"/>
          </w:rPr>
          <w:t xml:space="preserve"> </w:t>
        </w:r>
      </w:hyperlink>
      <w:bookmarkEnd w:id="205"/>
    </w:p>
    <w:p w14:paraId="3322A987" w14:textId="77777777" w:rsidR="00ED3DAA" w:rsidRPr="00DE2EDF" w:rsidRDefault="00ED3DAA" w:rsidP="00DE2EDF">
      <w:pPr>
        <w:spacing w:after="0"/>
        <w:jc w:val="both"/>
        <w:rPr>
          <w:rFonts w:cs="Times New Roman"/>
          <w:lang w:val="en-GB"/>
        </w:rPr>
      </w:pPr>
    </w:p>
    <w:p w14:paraId="53CE64D4" w14:textId="77777777" w:rsidR="000F756A" w:rsidRPr="00DE2EDF" w:rsidRDefault="00ED3DAA" w:rsidP="00DE2EDF">
      <w:pPr>
        <w:pStyle w:val="Heading3"/>
        <w:rPr>
          <w:rFonts w:cs="Times New Roman"/>
          <w:szCs w:val="24"/>
        </w:rPr>
      </w:pPr>
      <w:bookmarkStart w:id="206" w:name="_Toc253048942"/>
      <w:bookmarkStart w:id="207" w:name="_Toc252700489"/>
      <w:bookmarkStart w:id="208" w:name="_Toc245196673"/>
      <w:bookmarkStart w:id="209" w:name="_Toc460405635"/>
      <w:bookmarkEnd w:id="206"/>
      <w:bookmarkEnd w:id="207"/>
      <w:r w:rsidRPr="00DE2EDF">
        <w:rPr>
          <w:rFonts w:cs="Times New Roman"/>
          <w:szCs w:val="24"/>
        </w:rPr>
        <w:t xml:space="preserve">b) </w:t>
      </w:r>
      <w:r w:rsidR="000F756A" w:rsidRPr="00DE2EDF">
        <w:rPr>
          <w:rFonts w:cs="Times New Roman"/>
          <w:szCs w:val="24"/>
        </w:rPr>
        <w:t xml:space="preserve">A </w:t>
      </w:r>
      <w:r w:rsidR="000556D2" w:rsidRPr="00DE2EDF">
        <w:rPr>
          <w:rFonts w:cs="Times New Roman"/>
          <w:szCs w:val="24"/>
        </w:rPr>
        <w:t>H</w:t>
      </w:r>
      <w:r w:rsidR="000F756A" w:rsidRPr="00DE2EDF">
        <w:rPr>
          <w:rFonts w:cs="Times New Roman"/>
          <w:szCs w:val="24"/>
        </w:rPr>
        <w:t xml:space="preserve">igher </w:t>
      </w:r>
      <w:r w:rsidR="000556D2" w:rsidRPr="00DE2EDF">
        <w:rPr>
          <w:rFonts w:cs="Times New Roman"/>
          <w:szCs w:val="24"/>
        </w:rPr>
        <w:t>R</w:t>
      </w:r>
      <w:r w:rsidR="000F756A" w:rsidRPr="00DE2EDF">
        <w:rPr>
          <w:rFonts w:cs="Times New Roman"/>
          <w:szCs w:val="24"/>
        </w:rPr>
        <w:t xml:space="preserve">ank </w:t>
      </w:r>
      <w:r w:rsidR="00EA2E67" w:rsidRPr="00DE2EDF">
        <w:rPr>
          <w:rFonts w:cs="Times New Roman"/>
          <w:szCs w:val="24"/>
        </w:rPr>
        <w:t>f</w:t>
      </w:r>
      <w:r w:rsidR="000F756A" w:rsidRPr="00DE2EDF">
        <w:rPr>
          <w:rFonts w:cs="Times New Roman"/>
          <w:szCs w:val="24"/>
        </w:rPr>
        <w:t xml:space="preserve">or </w:t>
      </w:r>
      <w:r w:rsidR="000556D2" w:rsidRPr="00DE2EDF">
        <w:rPr>
          <w:rFonts w:cs="Times New Roman"/>
          <w:szCs w:val="24"/>
        </w:rPr>
        <w:t>P</w:t>
      </w:r>
      <w:r w:rsidR="000F756A" w:rsidRPr="00DE2EDF">
        <w:rPr>
          <w:rFonts w:cs="Times New Roman"/>
          <w:szCs w:val="24"/>
        </w:rPr>
        <w:t xml:space="preserve">arts of the </w:t>
      </w:r>
      <w:r w:rsidR="000556D2" w:rsidRPr="00DE2EDF">
        <w:rPr>
          <w:rFonts w:cs="Times New Roman"/>
          <w:szCs w:val="24"/>
        </w:rPr>
        <w:t>C</w:t>
      </w:r>
      <w:r w:rsidR="000F756A" w:rsidRPr="00DE2EDF">
        <w:rPr>
          <w:rFonts w:cs="Times New Roman"/>
          <w:szCs w:val="24"/>
        </w:rPr>
        <w:t xml:space="preserve">onstitution </w:t>
      </w:r>
      <w:r w:rsidR="000556D2" w:rsidRPr="00DE2EDF">
        <w:rPr>
          <w:rFonts w:cs="Times New Roman"/>
          <w:szCs w:val="24"/>
        </w:rPr>
        <w:t>B</w:t>
      </w:r>
      <w:r w:rsidR="000F756A" w:rsidRPr="00DE2EDF">
        <w:rPr>
          <w:rFonts w:cs="Times New Roman"/>
          <w:szCs w:val="24"/>
        </w:rPr>
        <w:t>ecause of the Human Rights Act and the European Convention on Human Rights</w:t>
      </w:r>
      <w:bookmarkEnd w:id="208"/>
      <w:bookmarkEnd w:id="209"/>
    </w:p>
    <w:p w14:paraId="2FFEE91E" w14:textId="77777777" w:rsidR="00ED3DAA" w:rsidRPr="00DE2EDF" w:rsidRDefault="00ED3DAA" w:rsidP="00DE2EDF">
      <w:pPr>
        <w:spacing w:after="0"/>
        <w:rPr>
          <w:rFonts w:cs="Times New Roman"/>
          <w:lang w:val="en-GB"/>
        </w:rPr>
      </w:pPr>
    </w:p>
    <w:p w14:paraId="6141DE0B" w14:textId="191FB8FA" w:rsidR="000F756A" w:rsidRPr="00DE2EDF" w:rsidRDefault="000F756A" w:rsidP="00DE2EDF">
      <w:pPr>
        <w:spacing w:after="0"/>
        <w:jc w:val="both"/>
        <w:rPr>
          <w:rFonts w:cs="Times New Roman"/>
          <w:lang w:val="en-GB"/>
        </w:rPr>
      </w:pPr>
      <w:r w:rsidRPr="00DE2EDF">
        <w:rPr>
          <w:rFonts w:cs="Times New Roman"/>
          <w:lang w:val="en-GB"/>
        </w:rPr>
        <w:t xml:space="preserve">This </w:t>
      </w:r>
      <w:r w:rsidR="00D20D2A" w:rsidRPr="00DE2EDF">
        <w:rPr>
          <w:rFonts w:cs="Times New Roman"/>
          <w:lang w:val="en-GB"/>
        </w:rPr>
        <w:t>constitutionali</w:t>
      </w:r>
      <w:r w:rsidR="00E56886">
        <w:rPr>
          <w:rFonts w:cs="Times New Roman"/>
          <w:lang w:val="en-GB"/>
        </w:rPr>
        <w:t>z</w:t>
      </w:r>
      <w:r w:rsidR="00D20D2A" w:rsidRPr="00DE2EDF">
        <w:rPr>
          <w:rFonts w:cs="Times New Roman"/>
          <w:lang w:val="en-GB"/>
        </w:rPr>
        <w:t xml:space="preserve">ation </w:t>
      </w:r>
      <w:r w:rsidRPr="00DE2EDF">
        <w:rPr>
          <w:rFonts w:cs="Times New Roman"/>
          <w:lang w:val="en-GB"/>
        </w:rPr>
        <w:t>process was reinforced by the Human Rights Act 1998, which incorporated into British law the human rights proclaimed in the European Convention on Human Rights (ECHR).</w:t>
      </w:r>
      <w:bookmarkStart w:id="210" w:name="_ftnref94"/>
      <w:r w:rsidRPr="00DE2EDF">
        <w:rPr>
          <w:rStyle w:val="FootnoteReference"/>
          <w:rFonts w:cs="Times New Roman"/>
          <w:iCs/>
          <w:lang w:val="en-GB"/>
        </w:rPr>
        <w:footnoteReference w:id="105"/>
      </w:r>
      <w:r w:rsidRPr="00DE2EDF">
        <w:rPr>
          <w:rFonts w:cs="Times New Roman"/>
          <w:lang w:val="en-GB"/>
        </w:rPr>
        <w:t xml:space="preserve"> </w:t>
      </w:r>
      <w:bookmarkEnd w:id="210"/>
      <w:r w:rsidRPr="00DE2EDF">
        <w:rPr>
          <w:rFonts w:cs="Times New Roman"/>
          <w:lang w:val="en-GB"/>
        </w:rPr>
        <w:t xml:space="preserve">In the Scottish legal system, these freedoms are clearly given precedence over the </w:t>
      </w:r>
      <w:r w:rsidR="009E02C1" w:rsidRPr="00DE2EDF">
        <w:rPr>
          <w:rFonts w:cs="Times New Roman"/>
          <w:lang w:val="en-GB"/>
        </w:rPr>
        <w:t xml:space="preserve">legislation </w:t>
      </w:r>
      <w:r w:rsidR="00D05342" w:rsidRPr="00DE2EDF">
        <w:rPr>
          <w:rFonts w:cs="Times New Roman"/>
          <w:lang w:val="en-GB"/>
        </w:rPr>
        <w:t>passed</w:t>
      </w:r>
      <w:r w:rsidR="009E02C1" w:rsidRPr="00DE2EDF">
        <w:rPr>
          <w:rFonts w:cs="Times New Roman"/>
          <w:lang w:val="en-GB"/>
        </w:rPr>
        <w:t xml:space="preserve"> by</w:t>
      </w:r>
      <w:r w:rsidR="005056D7" w:rsidRPr="00DE2EDF">
        <w:rPr>
          <w:rFonts w:cs="Times New Roman"/>
          <w:lang w:val="en-GB"/>
        </w:rPr>
        <w:t xml:space="preserve"> the</w:t>
      </w:r>
      <w:r w:rsidRPr="00DE2EDF">
        <w:rPr>
          <w:rFonts w:cs="Times New Roman"/>
          <w:lang w:val="en-GB"/>
        </w:rPr>
        <w:t xml:space="preserve"> Scottish Parliament. Whenever Convention rights are </w:t>
      </w:r>
      <w:r w:rsidR="00F80C1B" w:rsidRPr="00DE2EDF">
        <w:rPr>
          <w:rFonts w:cs="Times New Roman"/>
          <w:lang w:val="en-GB"/>
        </w:rPr>
        <w:t>infringed</w:t>
      </w:r>
      <w:r w:rsidR="00D20D2A" w:rsidRPr="00DE2EDF">
        <w:rPr>
          <w:rFonts w:cs="Times New Roman"/>
          <w:lang w:val="en-GB"/>
        </w:rPr>
        <w:t xml:space="preserve"> </w:t>
      </w:r>
      <w:r w:rsidRPr="00DE2EDF">
        <w:rPr>
          <w:rFonts w:cs="Times New Roman"/>
          <w:lang w:val="en-GB"/>
        </w:rPr>
        <w:t>by a</w:t>
      </w:r>
      <w:r w:rsidR="009E02C1" w:rsidRPr="00DE2EDF">
        <w:rPr>
          <w:rFonts w:cs="Times New Roman"/>
          <w:lang w:val="en-GB"/>
        </w:rPr>
        <w:t>n Act of</w:t>
      </w:r>
      <w:r w:rsidRPr="00DE2EDF">
        <w:rPr>
          <w:rFonts w:cs="Times New Roman"/>
          <w:lang w:val="en-GB"/>
        </w:rPr>
        <w:t xml:space="preserve"> </w:t>
      </w:r>
      <w:r w:rsidR="005056D7" w:rsidRPr="00DE2EDF">
        <w:rPr>
          <w:rFonts w:cs="Times New Roman"/>
          <w:lang w:val="en-GB"/>
        </w:rPr>
        <w:t xml:space="preserve">the </w:t>
      </w:r>
      <w:r w:rsidR="00D20D2A" w:rsidRPr="00DE2EDF">
        <w:rPr>
          <w:rFonts w:cs="Times New Roman"/>
          <w:lang w:val="en-GB"/>
        </w:rPr>
        <w:t>Scottish Parliament</w:t>
      </w:r>
      <w:r w:rsidRPr="00DE2EDF">
        <w:rPr>
          <w:rFonts w:cs="Times New Roman"/>
          <w:lang w:val="en-GB"/>
        </w:rPr>
        <w:t xml:space="preserve">, </w:t>
      </w:r>
      <w:r w:rsidR="008536F1" w:rsidRPr="00DE2EDF">
        <w:rPr>
          <w:rFonts w:cs="Times New Roman"/>
          <w:lang w:val="en-GB"/>
        </w:rPr>
        <w:t xml:space="preserve">Scotland’s </w:t>
      </w:r>
      <w:r w:rsidRPr="00DE2EDF">
        <w:rPr>
          <w:rFonts w:cs="Times New Roman"/>
          <w:lang w:val="en-GB"/>
        </w:rPr>
        <w:t>highest courts are entitled to set aside the latter</w:t>
      </w:r>
      <w:bookmarkStart w:id="211" w:name="_ftnref95"/>
      <w:r w:rsidRPr="00DE2EDF">
        <w:rPr>
          <w:rFonts w:cs="Times New Roman"/>
          <w:lang w:val="en-GB"/>
        </w:rPr>
        <w:t xml:space="preserve"> </w:t>
      </w:r>
      <w:bookmarkEnd w:id="211"/>
      <w:r w:rsidRPr="00DE2EDF">
        <w:rPr>
          <w:rFonts w:cs="Times New Roman"/>
          <w:lang w:val="en-GB"/>
        </w:rPr>
        <w:t xml:space="preserve">(sections 29, 33, 98 and 100 of the Scotland Act 1998). The same applies to statutes </w:t>
      </w:r>
      <w:r w:rsidR="009E02C1" w:rsidRPr="00DE2EDF">
        <w:rPr>
          <w:rFonts w:cs="Times New Roman"/>
          <w:lang w:val="en-GB"/>
        </w:rPr>
        <w:t>passed by</w:t>
      </w:r>
      <w:r w:rsidR="008536F1" w:rsidRPr="00DE2EDF">
        <w:rPr>
          <w:rFonts w:cs="Times New Roman"/>
          <w:lang w:val="en-GB"/>
        </w:rPr>
        <w:t xml:space="preserve"> the</w:t>
      </w:r>
      <w:r w:rsidRPr="00DE2EDF">
        <w:rPr>
          <w:rFonts w:cs="Times New Roman"/>
          <w:lang w:val="en-GB"/>
        </w:rPr>
        <w:t xml:space="preserve"> Parliament </w:t>
      </w:r>
      <w:r w:rsidR="009E02C1" w:rsidRPr="00DE2EDF">
        <w:rPr>
          <w:rFonts w:cs="Times New Roman"/>
          <w:lang w:val="en-GB"/>
        </w:rPr>
        <w:t>of</w:t>
      </w:r>
      <w:r w:rsidRPr="00DE2EDF">
        <w:rPr>
          <w:rFonts w:cs="Times New Roman"/>
          <w:lang w:val="en-GB"/>
        </w:rPr>
        <w:t xml:space="preserve"> Northern Ireland (</w:t>
      </w:r>
      <w:r w:rsidR="00FE4844" w:rsidRPr="00DE2EDF">
        <w:rPr>
          <w:rFonts w:cs="Times New Roman"/>
          <w:lang w:val="en-GB"/>
        </w:rPr>
        <w:t>sections 6, 11, 14 and 79 of the Northern Ireland Act 1998</w:t>
      </w:r>
      <w:r w:rsidRPr="00DE2EDF">
        <w:rPr>
          <w:rFonts w:cs="Times New Roman"/>
          <w:lang w:val="en-GB"/>
        </w:rPr>
        <w:t xml:space="preserve">). </w:t>
      </w:r>
      <w:r w:rsidR="00EB478A" w:rsidRPr="00DE2EDF">
        <w:rPr>
          <w:rFonts w:cs="Times New Roman"/>
          <w:lang w:val="en-GB"/>
        </w:rPr>
        <w:t>I</w:t>
      </w:r>
      <w:r w:rsidR="004D32AE" w:rsidRPr="00DE2EDF">
        <w:rPr>
          <w:rFonts w:cs="Times New Roman"/>
          <w:lang w:val="en-GB"/>
        </w:rPr>
        <w:t xml:space="preserve">t should also be noted that </w:t>
      </w:r>
      <w:r w:rsidR="001817BC" w:rsidRPr="00DE2EDF">
        <w:rPr>
          <w:rFonts w:cs="Times New Roman"/>
          <w:lang w:val="en-GB"/>
        </w:rPr>
        <w:t>all</w:t>
      </w:r>
      <w:r w:rsidR="004D32AE" w:rsidRPr="00DE2EDF">
        <w:rPr>
          <w:rFonts w:cs="Times New Roman"/>
          <w:lang w:val="en-GB"/>
        </w:rPr>
        <w:t xml:space="preserve"> courts</w:t>
      </w:r>
      <w:r w:rsidR="001817BC" w:rsidRPr="00DE2EDF">
        <w:rPr>
          <w:rFonts w:cs="Times New Roman"/>
          <w:lang w:val="en-GB"/>
        </w:rPr>
        <w:t xml:space="preserve"> in </w:t>
      </w:r>
      <w:r w:rsidR="008536F1" w:rsidRPr="00DE2EDF">
        <w:rPr>
          <w:rFonts w:cs="Times New Roman"/>
          <w:lang w:val="en-GB"/>
        </w:rPr>
        <w:t xml:space="preserve">the </w:t>
      </w:r>
      <w:r w:rsidR="00A918A6">
        <w:rPr>
          <w:rFonts w:cs="Times New Roman"/>
          <w:lang w:val="en-GB"/>
        </w:rPr>
        <w:t>United Kingdom</w:t>
      </w:r>
      <w:r w:rsidR="004D32AE" w:rsidRPr="00DE2EDF">
        <w:rPr>
          <w:rFonts w:cs="Times New Roman"/>
          <w:lang w:val="en-GB"/>
        </w:rPr>
        <w:t xml:space="preserve">, when establishing judicial precedents (‘judge-made </w:t>
      </w:r>
      <w:r w:rsidR="008536F1" w:rsidRPr="00DE2EDF">
        <w:rPr>
          <w:rFonts w:cs="Times New Roman"/>
          <w:lang w:val="en-GB"/>
        </w:rPr>
        <w:t>law</w:t>
      </w:r>
      <w:r w:rsidR="004D32AE" w:rsidRPr="00DE2EDF">
        <w:rPr>
          <w:rFonts w:cs="Times New Roman"/>
          <w:lang w:val="en-GB"/>
        </w:rPr>
        <w:t xml:space="preserve">’) </w:t>
      </w:r>
      <w:r w:rsidR="008536F1" w:rsidRPr="00DE2EDF">
        <w:rPr>
          <w:rFonts w:cs="Times New Roman"/>
          <w:lang w:val="en-GB"/>
        </w:rPr>
        <w:t xml:space="preserve">still </w:t>
      </w:r>
      <w:r w:rsidR="004D32AE" w:rsidRPr="00DE2EDF">
        <w:rPr>
          <w:rFonts w:cs="Times New Roman"/>
          <w:lang w:val="en-GB"/>
        </w:rPr>
        <w:t xml:space="preserve">have </w:t>
      </w:r>
      <w:r w:rsidR="001817BC" w:rsidRPr="00DE2EDF">
        <w:rPr>
          <w:rFonts w:cs="Times New Roman"/>
          <w:lang w:val="en-GB"/>
        </w:rPr>
        <w:t xml:space="preserve">to act in a way </w:t>
      </w:r>
      <w:r w:rsidR="008536F1" w:rsidRPr="00DE2EDF">
        <w:rPr>
          <w:rFonts w:cs="Times New Roman"/>
          <w:lang w:val="en-GB"/>
        </w:rPr>
        <w:t xml:space="preserve">that </w:t>
      </w:r>
      <w:r w:rsidR="001817BC" w:rsidRPr="00DE2EDF">
        <w:rPr>
          <w:rFonts w:cs="Times New Roman"/>
          <w:lang w:val="en-GB"/>
        </w:rPr>
        <w:t xml:space="preserve">is compatible with Convention rights (section 6 </w:t>
      </w:r>
      <w:r w:rsidR="00FE4844" w:rsidRPr="00DE2EDF">
        <w:rPr>
          <w:rFonts w:cs="Times New Roman"/>
          <w:lang w:val="en-GB"/>
        </w:rPr>
        <w:t xml:space="preserve">of the </w:t>
      </w:r>
      <w:r w:rsidR="001817BC" w:rsidRPr="00DE2EDF">
        <w:rPr>
          <w:rFonts w:cs="Times New Roman"/>
          <w:lang w:val="en-GB"/>
        </w:rPr>
        <w:t>H</w:t>
      </w:r>
      <w:r w:rsidR="00FE4844" w:rsidRPr="00DE2EDF">
        <w:rPr>
          <w:rFonts w:cs="Times New Roman"/>
          <w:lang w:val="en-GB"/>
        </w:rPr>
        <w:t xml:space="preserve">uman </w:t>
      </w:r>
      <w:r w:rsidR="001817BC" w:rsidRPr="00DE2EDF">
        <w:rPr>
          <w:rFonts w:cs="Times New Roman"/>
          <w:lang w:val="en-GB"/>
        </w:rPr>
        <w:t>R</w:t>
      </w:r>
      <w:r w:rsidR="00FE4844" w:rsidRPr="00DE2EDF">
        <w:rPr>
          <w:rFonts w:cs="Times New Roman"/>
          <w:lang w:val="en-GB"/>
        </w:rPr>
        <w:t xml:space="preserve">ights </w:t>
      </w:r>
      <w:r w:rsidR="001817BC" w:rsidRPr="00DE2EDF">
        <w:rPr>
          <w:rFonts w:cs="Times New Roman"/>
          <w:lang w:val="en-GB"/>
        </w:rPr>
        <w:t>A</w:t>
      </w:r>
      <w:r w:rsidR="00FE4844" w:rsidRPr="00DE2EDF">
        <w:rPr>
          <w:rFonts w:cs="Times New Roman"/>
          <w:lang w:val="en-GB"/>
        </w:rPr>
        <w:t>ct</w:t>
      </w:r>
      <w:r w:rsidR="001817BC" w:rsidRPr="00DE2EDF">
        <w:rPr>
          <w:rFonts w:cs="Times New Roman"/>
          <w:lang w:val="en-GB"/>
        </w:rPr>
        <w:t xml:space="preserve">). </w:t>
      </w:r>
      <w:r w:rsidRPr="00DE2EDF">
        <w:rPr>
          <w:rFonts w:cs="Times New Roman"/>
          <w:lang w:val="en-GB"/>
        </w:rPr>
        <w:t>The trickiest issue</w:t>
      </w:r>
      <w:r w:rsidR="00EC4DE6" w:rsidRPr="00DE2EDF">
        <w:rPr>
          <w:rFonts w:cs="Times New Roman"/>
          <w:lang w:val="en-GB"/>
        </w:rPr>
        <w:t>, however,</w:t>
      </w:r>
      <w:r w:rsidRPr="00DE2EDF">
        <w:rPr>
          <w:rFonts w:cs="Times New Roman"/>
          <w:lang w:val="en-GB"/>
        </w:rPr>
        <w:t xml:space="preserve"> concerns statutes passed by</w:t>
      </w:r>
      <w:r w:rsidR="008536F1" w:rsidRPr="00DE2EDF">
        <w:rPr>
          <w:rFonts w:cs="Times New Roman"/>
          <w:lang w:val="en-GB"/>
        </w:rPr>
        <w:t xml:space="preserve"> the</w:t>
      </w:r>
      <w:r w:rsidR="00D20D2A" w:rsidRPr="00DE2EDF">
        <w:rPr>
          <w:rFonts w:cs="Times New Roman"/>
          <w:lang w:val="en-GB"/>
        </w:rPr>
        <w:t xml:space="preserve"> </w:t>
      </w:r>
      <w:r w:rsidRPr="00DE2EDF">
        <w:rPr>
          <w:rFonts w:cs="Times New Roman"/>
          <w:lang w:val="en-GB"/>
        </w:rPr>
        <w:t>Parliament</w:t>
      </w:r>
      <w:r w:rsidR="00DB0D72" w:rsidRPr="00DE2EDF">
        <w:rPr>
          <w:rFonts w:cs="Times New Roman"/>
          <w:lang w:val="en-GB"/>
        </w:rPr>
        <w:t xml:space="preserve"> </w:t>
      </w:r>
      <w:r w:rsidR="009E02C1" w:rsidRPr="00DE2EDF">
        <w:rPr>
          <w:rFonts w:cs="Times New Roman"/>
          <w:lang w:val="en-GB"/>
        </w:rPr>
        <w:t xml:space="preserve">of </w:t>
      </w:r>
      <w:r w:rsidR="008536F1" w:rsidRPr="00DE2EDF">
        <w:rPr>
          <w:rFonts w:cs="Times New Roman"/>
          <w:lang w:val="en-GB"/>
        </w:rPr>
        <w:t xml:space="preserve">the </w:t>
      </w:r>
      <w:r w:rsidR="009E02C1" w:rsidRPr="00DE2EDF">
        <w:rPr>
          <w:rFonts w:cs="Times New Roman"/>
          <w:lang w:val="en-GB"/>
        </w:rPr>
        <w:t>U</w:t>
      </w:r>
      <w:r w:rsidR="00A918A6">
        <w:rPr>
          <w:rFonts w:cs="Times New Roman"/>
          <w:lang w:val="en-GB"/>
        </w:rPr>
        <w:t>n</w:t>
      </w:r>
      <w:r w:rsidR="005734B4">
        <w:rPr>
          <w:rFonts w:cs="Times New Roman"/>
          <w:lang w:val="en-GB"/>
        </w:rPr>
        <w:t>i</w:t>
      </w:r>
      <w:r w:rsidR="00A918A6">
        <w:rPr>
          <w:rFonts w:cs="Times New Roman"/>
          <w:lang w:val="en-GB"/>
        </w:rPr>
        <w:t>ted Kingdom</w:t>
      </w:r>
      <w:r w:rsidR="009E02C1" w:rsidRPr="00DE2EDF">
        <w:rPr>
          <w:rFonts w:cs="Times New Roman"/>
          <w:lang w:val="en-GB"/>
        </w:rPr>
        <w:t xml:space="preserve"> (‘</w:t>
      </w:r>
      <w:r w:rsidR="00DB0D72" w:rsidRPr="00DE2EDF">
        <w:rPr>
          <w:rFonts w:cs="Times New Roman"/>
          <w:lang w:val="en-GB"/>
        </w:rPr>
        <w:t>Westminster</w:t>
      </w:r>
      <w:r w:rsidR="009E02C1" w:rsidRPr="00DE2EDF">
        <w:rPr>
          <w:rFonts w:cs="Times New Roman"/>
          <w:lang w:val="en-GB"/>
        </w:rPr>
        <w:t xml:space="preserve"> Parliament’)</w:t>
      </w:r>
      <w:r w:rsidRPr="00DE2EDF">
        <w:rPr>
          <w:rFonts w:cs="Times New Roman"/>
          <w:lang w:val="en-GB"/>
        </w:rPr>
        <w:t>, wh</w:t>
      </w:r>
      <w:r w:rsidR="009E02C1" w:rsidRPr="00DE2EDF">
        <w:rPr>
          <w:rFonts w:cs="Times New Roman"/>
          <w:lang w:val="en-GB"/>
        </w:rPr>
        <w:t xml:space="preserve">ich may apply to the entire United Kingdom or to </w:t>
      </w:r>
      <w:r w:rsidR="008536F1" w:rsidRPr="00DE2EDF">
        <w:rPr>
          <w:rFonts w:cs="Times New Roman"/>
          <w:lang w:val="en-GB"/>
        </w:rPr>
        <w:t>only</w:t>
      </w:r>
      <w:r w:rsidR="009E02C1" w:rsidRPr="00DE2EDF">
        <w:rPr>
          <w:rFonts w:cs="Times New Roman"/>
          <w:lang w:val="en-GB"/>
        </w:rPr>
        <w:t xml:space="preserve"> part</w:t>
      </w:r>
      <w:r w:rsidR="008536F1" w:rsidRPr="00DE2EDF">
        <w:rPr>
          <w:rFonts w:cs="Times New Roman"/>
          <w:lang w:val="en-GB"/>
        </w:rPr>
        <w:t>s</w:t>
      </w:r>
      <w:r w:rsidR="009E02C1" w:rsidRPr="00DE2EDF">
        <w:rPr>
          <w:rFonts w:cs="Times New Roman"/>
          <w:lang w:val="en-GB"/>
        </w:rPr>
        <w:t xml:space="preserve"> of it (especially England)</w:t>
      </w:r>
      <w:r w:rsidRPr="00DE2EDF">
        <w:rPr>
          <w:rFonts w:cs="Times New Roman"/>
          <w:lang w:val="en-GB"/>
        </w:rPr>
        <w:t xml:space="preserve">. Pursuant to section 3 </w:t>
      </w:r>
      <w:r w:rsidR="00FE4844" w:rsidRPr="00DE2EDF">
        <w:rPr>
          <w:rFonts w:cs="Times New Roman"/>
          <w:lang w:val="en-GB"/>
        </w:rPr>
        <w:t>para</w:t>
      </w:r>
      <w:r w:rsidRPr="00DE2EDF">
        <w:rPr>
          <w:rFonts w:cs="Times New Roman"/>
          <w:lang w:val="en-GB"/>
        </w:rPr>
        <w:t xml:space="preserve"> 2 (b) of the Human Rights Act</w:t>
      </w:r>
      <w:r w:rsidRPr="00DE2EDF">
        <w:rPr>
          <w:rFonts w:cs="Times New Roman"/>
          <w:i/>
          <w:lang w:val="en-GB"/>
        </w:rPr>
        <w:t>,</w:t>
      </w:r>
      <w:r w:rsidRPr="00DE2EDF">
        <w:rPr>
          <w:rFonts w:cs="Times New Roman"/>
          <w:lang w:val="en-GB"/>
        </w:rPr>
        <w:t xml:space="preserve"> no court is allowed to question the validity of a statute made, either before or after the H</w:t>
      </w:r>
      <w:r w:rsidR="00FE4844" w:rsidRPr="00DE2EDF">
        <w:rPr>
          <w:rFonts w:cs="Times New Roman"/>
          <w:lang w:val="en-GB"/>
        </w:rPr>
        <w:t xml:space="preserve">uman </w:t>
      </w:r>
      <w:r w:rsidRPr="00DE2EDF">
        <w:rPr>
          <w:rFonts w:cs="Times New Roman"/>
          <w:lang w:val="en-GB"/>
        </w:rPr>
        <w:t>R</w:t>
      </w:r>
      <w:r w:rsidR="00FE4844" w:rsidRPr="00DE2EDF">
        <w:rPr>
          <w:rFonts w:cs="Times New Roman"/>
          <w:lang w:val="en-GB"/>
        </w:rPr>
        <w:t xml:space="preserve">ights </w:t>
      </w:r>
      <w:r w:rsidRPr="00DE2EDF">
        <w:rPr>
          <w:rFonts w:cs="Times New Roman"/>
          <w:lang w:val="en-GB"/>
        </w:rPr>
        <w:t>A</w:t>
      </w:r>
      <w:r w:rsidR="00FE4844" w:rsidRPr="00DE2EDF">
        <w:rPr>
          <w:rFonts w:cs="Times New Roman"/>
          <w:lang w:val="en-GB"/>
        </w:rPr>
        <w:t>ct</w:t>
      </w:r>
      <w:r w:rsidRPr="00DE2EDF">
        <w:rPr>
          <w:rFonts w:cs="Times New Roman"/>
          <w:lang w:val="en-GB"/>
        </w:rPr>
        <w:t xml:space="preserve"> entered into force, by </w:t>
      </w:r>
      <w:r w:rsidR="007A0C5E" w:rsidRPr="00DE2EDF">
        <w:rPr>
          <w:rFonts w:cs="Times New Roman"/>
          <w:lang w:val="en-GB"/>
        </w:rPr>
        <w:t xml:space="preserve">the Westminster </w:t>
      </w:r>
      <w:r w:rsidR="00980985" w:rsidRPr="00DE2EDF">
        <w:rPr>
          <w:rFonts w:cs="Times New Roman"/>
          <w:lang w:val="en-GB"/>
        </w:rPr>
        <w:t>Parliament</w:t>
      </w:r>
      <w:r w:rsidRPr="00DE2EDF">
        <w:rPr>
          <w:rFonts w:cs="Times New Roman"/>
          <w:lang w:val="en-GB"/>
        </w:rPr>
        <w:t>. Thus, the classic principle of parliamentary sovereignty seems, at first glance, intact.</w:t>
      </w:r>
      <w:bookmarkStart w:id="212" w:name="_ftnref96"/>
      <w:r w:rsidRPr="00DE2EDF">
        <w:rPr>
          <w:rStyle w:val="FootnoteReference"/>
          <w:rFonts w:cs="Times New Roman"/>
          <w:iCs/>
          <w:lang w:val="en-GB"/>
        </w:rPr>
        <w:footnoteReference w:id="106"/>
      </w:r>
      <w:r w:rsidR="00DF48F5">
        <w:rPr>
          <w:rFonts w:cs="Times New Roman"/>
          <w:lang w:val="en-GB"/>
        </w:rPr>
        <w:t xml:space="preserve"> </w:t>
      </w:r>
      <w:hyperlink r:id="rId11" w:tgtFrame="_top" w:history="1"/>
      <w:bookmarkEnd w:id="212"/>
      <w:r w:rsidRPr="00DE2EDF">
        <w:rPr>
          <w:rFonts w:cs="Times New Roman"/>
          <w:lang w:val="en-GB"/>
        </w:rPr>
        <w:t xml:space="preserve">However, that provision of the Human Rights Act is only part of a far more complex </w:t>
      </w:r>
      <w:r w:rsidR="0004318A" w:rsidRPr="00DE2EDF">
        <w:rPr>
          <w:rFonts w:cs="Times New Roman"/>
          <w:lang w:val="en-GB"/>
        </w:rPr>
        <w:t>set-</w:t>
      </w:r>
      <w:r w:rsidR="00980985" w:rsidRPr="00DE2EDF">
        <w:rPr>
          <w:rFonts w:cs="Times New Roman"/>
          <w:lang w:val="en-GB"/>
        </w:rPr>
        <w:t>up</w:t>
      </w:r>
      <w:r w:rsidRPr="00DE2EDF">
        <w:rPr>
          <w:rFonts w:cs="Times New Roman"/>
          <w:lang w:val="en-GB"/>
        </w:rPr>
        <w:t>.</w:t>
      </w:r>
    </w:p>
    <w:p w14:paraId="36F0240A" w14:textId="77777777" w:rsidR="000F4C26" w:rsidRPr="00DE2EDF" w:rsidRDefault="000F4C26" w:rsidP="00DE2EDF">
      <w:pPr>
        <w:spacing w:after="0"/>
        <w:jc w:val="both"/>
        <w:rPr>
          <w:rFonts w:cs="Times New Roman"/>
          <w:lang w:val="en-GB"/>
        </w:rPr>
      </w:pPr>
    </w:p>
    <w:p w14:paraId="35A35785" w14:textId="77777777" w:rsidR="000F756A" w:rsidRPr="00DE2EDF" w:rsidRDefault="000F756A" w:rsidP="00DE2EDF">
      <w:pPr>
        <w:spacing w:after="0"/>
        <w:jc w:val="both"/>
        <w:rPr>
          <w:rFonts w:cs="Times New Roman"/>
          <w:lang w:val="en-GB"/>
        </w:rPr>
      </w:pPr>
      <w:r w:rsidRPr="00DE2EDF">
        <w:rPr>
          <w:rFonts w:cs="Times New Roman"/>
          <w:lang w:val="en-GB"/>
        </w:rPr>
        <w:t xml:space="preserve">First, </w:t>
      </w:r>
      <w:r w:rsidR="009E02C1" w:rsidRPr="00DE2EDF">
        <w:rPr>
          <w:rFonts w:cs="Times New Roman"/>
          <w:lang w:val="en-GB"/>
        </w:rPr>
        <w:t>s</w:t>
      </w:r>
      <w:r w:rsidRPr="00DE2EDF">
        <w:rPr>
          <w:rFonts w:cs="Times New Roman"/>
          <w:lang w:val="en-GB"/>
        </w:rPr>
        <w:t xml:space="preserve">ection 3 </w:t>
      </w:r>
      <w:r w:rsidR="00FE4844" w:rsidRPr="00DE2EDF">
        <w:rPr>
          <w:rFonts w:cs="Times New Roman"/>
          <w:lang w:val="en-GB"/>
        </w:rPr>
        <w:t>para</w:t>
      </w:r>
      <w:r w:rsidRPr="00DE2EDF">
        <w:rPr>
          <w:rFonts w:cs="Times New Roman"/>
          <w:lang w:val="en-GB"/>
        </w:rPr>
        <w:t xml:space="preserve"> 1 of the Human Rights Act, instructs courts to interpret, ‘so far as it is possible to do so’, any Act of Parliament ‘in a way which is compatible with the Convention rights’. The demarcation between a neutralizing interpretation, which is permitted by the Human Rights Act, and an open declaration of nullity, which is not, is, </w:t>
      </w:r>
      <w:r w:rsidRPr="00DE2EDF">
        <w:rPr>
          <w:rFonts w:cs="Times New Roman"/>
          <w:lang w:val="en-GB"/>
        </w:rPr>
        <w:lastRenderedPageBreak/>
        <w:t>however, fluid.</w:t>
      </w:r>
      <w:bookmarkStart w:id="213" w:name="_ftnref97"/>
      <w:r w:rsidRPr="00DE2EDF">
        <w:rPr>
          <w:rFonts w:cs="Times New Roman"/>
          <w:lang w:val="en-GB"/>
        </w:rPr>
        <w:t xml:space="preserve"> </w:t>
      </w:r>
      <w:hyperlink r:id="rId12" w:tgtFrame="_top" w:history="1"/>
      <w:bookmarkEnd w:id="213"/>
      <w:r w:rsidRPr="00DE2EDF">
        <w:rPr>
          <w:rFonts w:cs="Times New Roman"/>
          <w:lang w:val="en-GB"/>
        </w:rPr>
        <w:t xml:space="preserve">Second, if an Act of Westminster Parliament violates Convention rights, the highest courts are given the power to issue an official statement to that effect (a ‘declaration of incompatibility’, section 4 </w:t>
      </w:r>
      <w:r w:rsidR="00FE4844" w:rsidRPr="00DE2EDF">
        <w:rPr>
          <w:rFonts w:cs="Times New Roman"/>
          <w:lang w:val="en-GB"/>
        </w:rPr>
        <w:t>para</w:t>
      </w:r>
      <w:r w:rsidRPr="00DE2EDF">
        <w:rPr>
          <w:rFonts w:cs="Times New Roman"/>
          <w:lang w:val="en-GB"/>
        </w:rPr>
        <w:t xml:space="preserve"> 2 H</w:t>
      </w:r>
      <w:r w:rsidR="00FE4844" w:rsidRPr="00DE2EDF">
        <w:rPr>
          <w:rFonts w:cs="Times New Roman"/>
          <w:lang w:val="en-GB"/>
        </w:rPr>
        <w:t>uman Rights Act</w:t>
      </w:r>
      <w:r w:rsidRPr="00DE2EDF">
        <w:rPr>
          <w:rFonts w:cs="Times New Roman"/>
          <w:lang w:val="en-GB"/>
        </w:rPr>
        <w:t xml:space="preserve">). According to </w:t>
      </w:r>
      <w:r w:rsidR="00A918A6">
        <w:rPr>
          <w:rFonts w:cs="Times New Roman"/>
          <w:lang w:val="en-GB"/>
        </w:rPr>
        <w:t>United Kingdom</w:t>
      </w:r>
      <w:r w:rsidRPr="00DE2EDF">
        <w:rPr>
          <w:rFonts w:cs="Times New Roman"/>
          <w:lang w:val="en-GB"/>
        </w:rPr>
        <w:t>’s internal law (i.e., the Human Rights Act), Government and Parliament are legally free to maintain or amend the statute declared by its judiciary to be ‘incompatible with the Convention rights’.</w:t>
      </w:r>
      <w:bookmarkStart w:id="214" w:name="_ftnref98"/>
      <w:r w:rsidRPr="00DE2EDF">
        <w:rPr>
          <w:rStyle w:val="FootnoteReference"/>
          <w:rFonts w:cs="Times New Roman"/>
          <w:iCs/>
          <w:lang w:val="en-GB"/>
        </w:rPr>
        <w:footnoteReference w:id="107"/>
      </w:r>
      <w:r w:rsidRPr="00DE2EDF">
        <w:rPr>
          <w:rFonts w:cs="Times New Roman"/>
          <w:lang w:val="en-GB"/>
        </w:rPr>
        <w:t xml:space="preserve"> </w:t>
      </w:r>
      <w:bookmarkEnd w:id="214"/>
      <w:r w:rsidRPr="00DE2EDF">
        <w:rPr>
          <w:rFonts w:cs="Times New Roman"/>
          <w:lang w:val="en-GB"/>
        </w:rPr>
        <w:t xml:space="preserve">However, this room to manoeuvre exists only in </w:t>
      </w:r>
      <w:r w:rsidR="00D05342" w:rsidRPr="00DE2EDF">
        <w:rPr>
          <w:rFonts w:cs="Times New Roman"/>
          <w:lang w:val="en-GB"/>
        </w:rPr>
        <w:t xml:space="preserve">its </w:t>
      </w:r>
      <w:r w:rsidRPr="00DE2EDF">
        <w:rPr>
          <w:rFonts w:cs="Times New Roman"/>
          <w:lang w:val="en-GB"/>
        </w:rPr>
        <w:t>domestic law: at the European level, their discretion is restricted by the ECHR (</w:t>
      </w:r>
      <w:r w:rsidR="00FE4844" w:rsidRPr="00DE2EDF">
        <w:rPr>
          <w:rFonts w:cs="Times New Roman"/>
          <w:lang w:val="en-GB"/>
        </w:rPr>
        <w:t>a</w:t>
      </w:r>
      <w:r w:rsidRPr="00DE2EDF">
        <w:rPr>
          <w:rFonts w:cs="Times New Roman"/>
          <w:lang w:val="en-GB"/>
        </w:rPr>
        <w:t xml:space="preserve">rticles 1 and 46) and the supervisory powers of the European Court of Human Rights. One can assume that the Strasbourg court will probably, in most cases, adopt the </w:t>
      </w:r>
      <w:r w:rsidR="00ED0903" w:rsidRPr="00DE2EDF">
        <w:rPr>
          <w:rFonts w:cs="Times New Roman"/>
          <w:lang w:val="en-GB"/>
        </w:rPr>
        <w:t xml:space="preserve">critical </w:t>
      </w:r>
      <w:r w:rsidRPr="00DE2EDF">
        <w:rPr>
          <w:rFonts w:cs="Times New Roman"/>
          <w:lang w:val="en-GB"/>
        </w:rPr>
        <w:t>position of the British courts. The European Court of Human Rights will then finish the British courts’ work at the level of international law, by finding a breach of the ECHR. The British Government would then be obliged to put an end to the violation, forcing a change in the contested Act of Parliament. Figuratively, one can speak of a boomerang procedure: once the British court sends out a declaration of incompatibility (i.e., the boomerang) and the European Court of Human Rights sends back a final ruling from Strasbourg to London with a similar conclusion, the so-called ‘sovereignty’ of Westminster Parliament will have shrunk to the proverbial fig leaf.</w:t>
      </w:r>
    </w:p>
    <w:p w14:paraId="56615285" w14:textId="77777777" w:rsidR="000F4C26" w:rsidRPr="00DE2EDF" w:rsidRDefault="000F4C26" w:rsidP="00DE2EDF">
      <w:pPr>
        <w:spacing w:after="0"/>
        <w:jc w:val="both"/>
        <w:rPr>
          <w:rFonts w:cs="Times New Roman"/>
          <w:lang w:val="en-GB"/>
        </w:rPr>
      </w:pPr>
    </w:p>
    <w:p w14:paraId="6EA7A3E9" w14:textId="77777777" w:rsidR="000F756A" w:rsidRPr="00DE2EDF" w:rsidRDefault="00C83026" w:rsidP="00DE2EDF">
      <w:pPr>
        <w:spacing w:after="0"/>
        <w:jc w:val="both"/>
        <w:rPr>
          <w:rFonts w:cs="Times New Roman"/>
          <w:lang w:val="en-GB"/>
        </w:rPr>
      </w:pPr>
      <w:r w:rsidRPr="00DE2EDF">
        <w:rPr>
          <w:rFonts w:cs="Times New Roman"/>
          <w:lang w:val="en-GB"/>
        </w:rPr>
        <w:t xml:space="preserve">In light of all these </w:t>
      </w:r>
      <w:r w:rsidR="00D05342" w:rsidRPr="00DE2EDF">
        <w:rPr>
          <w:rFonts w:cs="Times New Roman"/>
          <w:lang w:val="en-GB"/>
        </w:rPr>
        <w:t>developments</w:t>
      </w:r>
      <w:r w:rsidRPr="00DE2EDF">
        <w:rPr>
          <w:rFonts w:cs="Times New Roman"/>
          <w:lang w:val="en-GB"/>
        </w:rPr>
        <w:t>, it appears that t</w:t>
      </w:r>
      <w:r w:rsidR="000F756A" w:rsidRPr="00DE2EDF">
        <w:rPr>
          <w:rFonts w:cs="Times New Roman"/>
          <w:lang w:val="en-GB"/>
        </w:rPr>
        <w:t>he constitutionali</w:t>
      </w:r>
      <w:r w:rsidR="0083723A" w:rsidRPr="00DE2EDF">
        <w:rPr>
          <w:rFonts w:cs="Times New Roman"/>
          <w:lang w:val="en-GB"/>
        </w:rPr>
        <w:t>z</w:t>
      </w:r>
      <w:r w:rsidR="000F756A" w:rsidRPr="00DE2EDF">
        <w:rPr>
          <w:rFonts w:cs="Times New Roman"/>
          <w:lang w:val="en-GB"/>
        </w:rPr>
        <w:t>ation and ‘continentali</w:t>
      </w:r>
      <w:r w:rsidR="0004318A" w:rsidRPr="00DE2EDF">
        <w:rPr>
          <w:rFonts w:cs="Times New Roman"/>
          <w:lang w:val="en-GB"/>
        </w:rPr>
        <w:t>z</w:t>
      </w:r>
      <w:r w:rsidR="000F756A" w:rsidRPr="00DE2EDF">
        <w:rPr>
          <w:rFonts w:cs="Times New Roman"/>
          <w:lang w:val="en-GB"/>
        </w:rPr>
        <w:t>ation’ of British law is gaining ground. Four specific features, however, are to be noted. (</w:t>
      </w:r>
      <w:r w:rsidR="00C15FD0" w:rsidRPr="00DE2EDF">
        <w:rPr>
          <w:rFonts w:cs="Times New Roman"/>
          <w:lang w:val="en-GB"/>
        </w:rPr>
        <w:t>a</w:t>
      </w:r>
      <w:r w:rsidR="000F756A" w:rsidRPr="00DE2EDF">
        <w:rPr>
          <w:rFonts w:cs="Times New Roman"/>
          <w:lang w:val="en-GB"/>
        </w:rPr>
        <w:t>) The legal primacy of the British Constitution over ordinary statutes is not based on some classic understanding of the rigidity of said Constitution, as on the Continent. Rather, it is based, first, on the original differentiation between the need for ‘explicit’ or ‘implied repeal’ established by Briti</w:t>
      </w:r>
      <w:r w:rsidR="00A918A6">
        <w:rPr>
          <w:rFonts w:cs="Times New Roman"/>
          <w:lang w:val="en-GB"/>
        </w:rPr>
        <w:t>sh courts and, second, on the United Kingdom</w:t>
      </w:r>
      <w:r w:rsidR="000F756A" w:rsidRPr="00DE2EDF">
        <w:rPr>
          <w:rFonts w:cs="Times New Roman"/>
          <w:lang w:val="en-GB"/>
        </w:rPr>
        <w:t>’s voluntarily-assumed international commitments (e.g., the ECHR and the Treaty on European Union). (</w:t>
      </w:r>
      <w:r w:rsidR="00C15FD0" w:rsidRPr="00DE2EDF">
        <w:rPr>
          <w:rFonts w:cs="Times New Roman"/>
          <w:lang w:val="en-GB"/>
        </w:rPr>
        <w:t>b</w:t>
      </w:r>
      <w:r w:rsidR="000F756A" w:rsidRPr="00DE2EDF">
        <w:rPr>
          <w:rFonts w:cs="Times New Roman"/>
          <w:lang w:val="en-GB"/>
        </w:rPr>
        <w:t>) Such priority is extremely complex because only certain parts of the British Constitution enjoy a higher rank, according to different rules</w:t>
      </w:r>
      <w:r w:rsidRPr="00DE2EDF">
        <w:rPr>
          <w:rFonts w:cs="Times New Roman"/>
          <w:lang w:val="en-GB"/>
        </w:rPr>
        <w:t xml:space="preserve"> of recognition</w:t>
      </w:r>
      <w:r w:rsidR="000F756A" w:rsidRPr="00DE2EDF">
        <w:rPr>
          <w:rFonts w:cs="Times New Roman"/>
          <w:lang w:val="en-GB"/>
        </w:rPr>
        <w:t>. (</w:t>
      </w:r>
      <w:r w:rsidR="00C15FD0" w:rsidRPr="00DE2EDF">
        <w:rPr>
          <w:rFonts w:cs="Times New Roman"/>
          <w:lang w:val="en-GB"/>
        </w:rPr>
        <w:t>c</w:t>
      </w:r>
      <w:r w:rsidR="000F756A" w:rsidRPr="00DE2EDF">
        <w:rPr>
          <w:rFonts w:cs="Times New Roman"/>
          <w:lang w:val="en-GB"/>
        </w:rPr>
        <w:t>) In comparison to other national legal systems, the two phenomena of constitutionali</w:t>
      </w:r>
      <w:r w:rsidR="00E20787" w:rsidRPr="00DE2EDF">
        <w:rPr>
          <w:rFonts w:cs="Times New Roman"/>
          <w:lang w:val="en-GB"/>
        </w:rPr>
        <w:t>z</w:t>
      </w:r>
      <w:r w:rsidR="000F756A" w:rsidRPr="00DE2EDF">
        <w:rPr>
          <w:rFonts w:cs="Times New Roman"/>
          <w:lang w:val="en-GB"/>
        </w:rPr>
        <w:t xml:space="preserve">ation of administrative law, on the one hand, and </w:t>
      </w:r>
      <w:r w:rsidR="00DF48F5">
        <w:rPr>
          <w:rFonts w:cs="Times New Roman"/>
          <w:lang w:val="en-GB"/>
        </w:rPr>
        <w:t>Europeaniz</w:t>
      </w:r>
      <w:r w:rsidR="000F756A" w:rsidRPr="00DE2EDF">
        <w:rPr>
          <w:rFonts w:cs="Times New Roman"/>
          <w:lang w:val="en-GB"/>
        </w:rPr>
        <w:t xml:space="preserve">ation of administrative law, on the other, are particularly intertwined in the case of </w:t>
      </w:r>
      <w:r w:rsidR="005734B4">
        <w:rPr>
          <w:rFonts w:cs="Times New Roman"/>
          <w:lang w:val="en-GB"/>
        </w:rPr>
        <w:t xml:space="preserve">the </w:t>
      </w:r>
      <w:r w:rsidR="000F756A" w:rsidRPr="00DE2EDF">
        <w:rPr>
          <w:rFonts w:cs="Times New Roman"/>
          <w:lang w:val="en-GB"/>
        </w:rPr>
        <w:t>U</w:t>
      </w:r>
      <w:r w:rsidR="00A918A6">
        <w:rPr>
          <w:rFonts w:cs="Times New Roman"/>
          <w:lang w:val="en-GB"/>
        </w:rPr>
        <w:t>nited Kingdom</w:t>
      </w:r>
      <w:r w:rsidR="000F756A" w:rsidRPr="00DE2EDF">
        <w:rPr>
          <w:rFonts w:cs="Times New Roman"/>
          <w:lang w:val="en-GB"/>
        </w:rPr>
        <w:t>. (</w:t>
      </w:r>
      <w:r w:rsidR="00C15FD0" w:rsidRPr="00DE2EDF">
        <w:rPr>
          <w:rFonts w:cs="Times New Roman"/>
          <w:lang w:val="en-GB"/>
        </w:rPr>
        <w:t>d</w:t>
      </w:r>
      <w:r w:rsidR="000F756A" w:rsidRPr="00DE2EDF">
        <w:rPr>
          <w:rFonts w:cs="Times New Roman"/>
          <w:lang w:val="en-GB"/>
        </w:rPr>
        <w:t>) To a signific</w:t>
      </w:r>
      <w:r w:rsidR="00E20787" w:rsidRPr="00DE2EDF">
        <w:rPr>
          <w:rFonts w:cs="Times New Roman"/>
          <w:lang w:val="en-GB"/>
        </w:rPr>
        <w:t>ant degree, the constitutionaliz</w:t>
      </w:r>
      <w:r w:rsidR="000F756A" w:rsidRPr="00DE2EDF">
        <w:rPr>
          <w:rFonts w:cs="Times New Roman"/>
          <w:lang w:val="en-GB"/>
        </w:rPr>
        <w:t xml:space="preserve">ation process operates without judges having the power to annul an Act of Parliament or to refuse to apply it. Regarding legislation </w:t>
      </w:r>
      <w:r w:rsidR="00C15FD0" w:rsidRPr="00DE2EDF">
        <w:rPr>
          <w:rFonts w:cs="Times New Roman"/>
          <w:lang w:val="en-GB"/>
        </w:rPr>
        <w:t>passed</w:t>
      </w:r>
      <w:r w:rsidR="000F756A" w:rsidRPr="00DE2EDF">
        <w:rPr>
          <w:rFonts w:cs="Times New Roman"/>
          <w:lang w:val="en-GB"/>
        </w:rPr>
        <w:t xml:space="preserve"> by Westminster Parliament (but not that of the legislatures of Scotland</w:t>
      </w:r>
      <w:r w:rsidR="00C15FD0" w:rsidRPr="00DE2EDF">
        <w:rPr>
          <w:rFonts w:cs="Times New Roman"/>
          <w:lang w:val="en-GB"/>
        </w:rPr>
        <w:t xml:space="preserve"> or</w:t>
      </w:r>
      <w:r w:rsidR="000F756A" w:rsidRPr="00DE2EDF">
        <w:rPr>
          <w:rFonts w:cs="Times New Roman"/>
          <w:lang w:val="en-GB"/>
        </w:rPr>
        <w:t xml:space="preserve"> Northern Ireland), said judicial prerogatives are vested neither in the British courts nor, at a supranational level, in the European Court of Human Rights. </w:t>
      </w:r>
      <w:r w:rsidR="006C3D13" w:rsidRPr="00DE2EDF">
        <w:rPr>
          <w:rFonts w:cs="Times New Roman"/>
          <w:lang w:val="en-GB"/>
        </w:rPr>
        <w:t>T</w:t>
      </w:r>
      <w:r w:rsidR="000F756A" w:rsidRPr="00DE2EDF">
        <w:rPr>
          <w:rFonts w:cs="Times New Roman"/>
          <w:lang w:val="en-GB"/>
        </w:rPr>
        <w:t>he importance of these four specific features of the British system should</w:t>
      </w:r>
      <w:r w:rsidR="006C3D13" w:rsidRPr="00DE2EDF">
        <w:rPr>
          <w:rFonts w:cs="Times New Roman"/>
          <w:lang w:val="en-GB"/>
        </w:rPr>
        <w:t>, however,</w:t>
      </w:r>
      <w:r w:rsidR="000F756A" w:rsidRPr="00DE2EDF">
        <w:rPr>
          <w:rFonts w:cs="Times New Roman"/>
          <w:lang w:val="en-GB"/>
        </w:rPr>
        <w:t xml:space="preserve"> not be overestimated. The classic image of </w:t>
      </w:r>
      <w:r w:rsidR="00B95A85" w:rsidRPr="00DE2EDF">
        <w:rPr>
          <w:rFonts w:cs="Times New Roman"/>
          <w:lang w:val="en-GB"/>
        </w:rPr>
        <w:t>the U</w:t>
      </w:r>
      <w:r w:rsidR="00A918A6">
        <w:rPr>
          <w:rFonts w:cs="Times New Roman"/>
          <w:lang w:val="en-GB"/>
        </w:rPr>
        <w:t>nited Kingdom</w:t>
      </w:r>
      <w:r w:rsidR="00B95A85" w:rsidRPr="00DE2EDF">
        <w:rPr>
          <w:rFonts w:cs="Times New Roman"/>
          <w:lang w:val="en-GB"/>
        </w:rPr>
        <w:t xml:space="preserve">’s </w:t>
      </w:r>
      <w:r w:rsidR="000F756A" w:rsidRPr="00DE2EDF">
        <w:rPr>
          <w:rFonts w:cs="Times New Roman"/>
          <w:lang w:val="en-GB"/>
        </w:rPr>
        <w:t xml:space="preserve">‘splendid isolation’ is no longer </w:t>
      </w:r>
      <w:r w:rsidR="006C3D13" w:rsidRPr="00DE2EDF">
        <w:rPr>
          <w:rFonts w:cs="Times New Roman"/>
          <w:lang w:val="en-GB"/>
        </w:rPr>
        <w:t>accurate</w:t>
      </w:r>
      <w:r w:rsidR="000F756A" w:rsidRPr="00DE2EDF">
        <w:rPr>
          <w:rFonts w:cs="Times New Roman"/>
          <w:lang w:val="en-GB"/>
        </w:rPr>
        <w:t xml:space="preserve">. Although </w:t>
      </w:r>
      <w:r w:rsidR="00B95A85" w:rsidRPr="00DE2EDF">
        <w:rPr>
          <w:rFonts w:cs="Times New Roman"/>
          <w:lang w:val="en-GB"/>
        </w:rPr>
        <w:t>the U</w:t>
      </w:r>
      <w:r w:rsidR="00A918A6">
        <w:rPr>
          <w:rFonts w:cs="Times New Roman"/>
          <w:lang w:val="en-GB"/>
        </w:rPr>
        <w:t>nited Kingdom</w:t>
      </w:r>
      <w:r w:rsidR="00B95A85" w:rsidRPr="00DE2EDF">
        <w:rPr>
          <w:rFonts w:cs="Times New Roman"/>
          <w:lang w:val="en-GB"/>
        </w:rPr>
        <w:t xml:space="preserve"> </w:t>
      </w:r>
      <w:r w:rsidR="000F756A" w:rsidRPr="00DE2EDF">
        <w:rPr>
          <w:rFonts w:cs="Times New Roman"/>
          <w:lang w:val="en-GB"/>
        </w:rPr>
        <w:t>is still a special case, it is such within a common European paradigm.</w:t>
      </w:r>
    </w:p>
    <w:p w14:paraId="30481B8E" w14:textId="77777777" w:rsidR="002D66C1" w:rsidRPr="00DE2EDF" w:rsidRDefault="002D66C1" w:rsidP="00DE2EDF">
      <w:pPr>
        <w:spacing w:after="0"/>
        <w:jc w:val="both"/>
        <w:rPr>
          <w:rFonts w:cs="Times New Roman"/>
          <w:lang w:val="en-GB"/>
        </w:rPr>
      </w:pPr>
    </w:p>
    <w:p w14:paraId="5955DE71" w14:textId="77777777" w:rsidR="009E6479" w:rsidRPr="00DE2EDF" w:rsidRDefault="00ED3DAA" w:rsidP="00DE2EDF">
      <w:pPr>
        <w:pStyle w:val="Heading1"/>
        <w:spacing w:before="0" w:after="0" w:line="276" w:lineRule="auto"/>
        <w:jc w:val="center"/>
        <w:rPr>
          <w:szCs w:val="24"/>
          <w:lang w:val="en-GB"/>
        </w:rPr>
      </w:pPr>
      <w:bookmarkStart w:id="215" w:name="_Toc245196674"/>
      <w:bookmarkStart w:id="216" w:name="_Toc460405636"/>
      <w:r w:rsidRPr="00DE2EDF">
        <w:rPr>
          <w:szCs w:val="24"/>
          <w:lang w:val="en-GB"/>
        </w:rPr>
        <w:t>D</w:t>
      </w:r>
      <w:r w:rsidR="002D66C1" w:rsidRPr="00DE2EDF">
        <w:rPr>
          <w:szCs w:val="24"/>
          <w:lang w:val="en-GB"/>
        </w:rPr>
        <w:t xml:space="preserve">. </w:t>
      </w:r>
      <w:r w:rsidR="009E6479" w:rsidRPr="00DE2EDF">
        <w:rPr>
          <w:szCs w:val="24"/>
          <w:lang w:val="en-GB"/>
        </w:rPr>
        <w:t xml:space="preserve">The </w:t>
      </w:r>
      <w:r w:rsidR="000556D2" w:rsidRPr="00DE2EDF">
        <w:rPr>
          <w:szCs w:val="24"/>
          <w:lang w:val="en-GB"/>
        </w:rPr>
        <w:t>C</w:t>
      </w:r>
      <w:r w:rsidR="009E6479" w:rsidRPr="00DE2EDF">
        <w:rPr>
          <w:szCs w:val="24"/>
          <w:lang w:val="en-GB"/>
        </w:rPr>
        <w:t xml:space="preserve">ommon European </w:t>
      </w:r>
      <w:r w:rsidR="000556D2" w:rsidRPr="00DE2EDF">
        <w:rPr>
          <w:szCs w:val="24"/>
          <w:lang w:val="en-GB"/>
        </w:rPr>
        <w:t>P</w:t>
      </w:r>
      <w:r w:rsidR="009E6479" w:rsidRPr="00DE2EDF">
        <w:rPr>
          <w:szCs w:val="24"/>
          <w:lang w:val="en-GB"/>
        </w:rPr>
        <w:t xml:space="preserve">aradigm: </w:t>
      </w:r>
      <w:bookmarkStart w:id="217" w:name="_Toc245196675"/>
      <w:bookmarkEnd w:id="215"/>
      <w:r w:rsidR="00EA2E67" w:rsidRPr="00DE2EDF">
        <w:rPr>
          <w:szCs w:val="24"/>
          <w:lang w:val="en-GB"/>
        </w:rPr>
        <w:t>A</w:t>
      </w:r>
      <w:r w:rsidR="00980811" w:rsidRPr="00DE2EDF">
        <w:rPr>
          <w:szCs w:val="24"/>
          <w:lang w:val="en-GB"/>
        </w:rPr>
        <w:t xml:space="preserve"> </w:t>
      </w:r>
      <w:r w:rsidR="000556D2" w:rsidRPr="00DE2EDF">
        <w:rPr>
          <w:szCs w:val="24"/>
          <w:lang w:val="en-GB"/>
        </w:rPr>
        <w:t>T</w:t>
      </w:r>
      <w:r w:rsidR="00980811" w:rsidRPr="00DE2EDF">
        <w:rPr>
          <w:szCs w:val="24"/>
          <w:lang w:val="en-GB"/>
        </w:rPr>
        <w:t>wo-</w:t>
      </w:r>
      <w:r w:rsidR="000556D2" w:rsidRPr="00DE2EDF">
        <w:rPr>
          <w:szCs w:val="24"/>
          <w:lang w:val="en-GB"/>
        </w:rPr>
        <w:t>S</w:t>
      </w:r>
      <w:r w:rsidR="00980811" w:rsidRPr="00DE2EDF">
        <w:rPr>
          <w:szCs w:val="24"/>
          <w:lang w:val="en-GB"/>
        </w:rPr>
        <w:t xml:space="preserve">ided </w:t>
      </w:r>
      <w:r w:rsidR="000556D2" w:rsidRPr="00DE2EDF">
        <w:rPr>
          <w:szCs w:val="24"/>
          <w:lang w:val="en-GB"/>
        </w:rPr>
        <w:t>R</w:t>
      </w:r>
      <w:r w:rsidR="00980811" w:rsidRPr="00DE2EDF">
        <w:rPr>
          <w:szCs w:val="24"/>
          <w:lang w:val="en-GB"/>
        </w:rPr>
        <w:t>elationship</w:t>
      </w:r>
      <w:bookmarkEnd w:id="216"/>
      <w:bookmarkEnd w:id="217"/>
    </w:p>
    <w:p w14:paraId="4E43764F" w14:textId="77777777" w:rsidR="002D66C1" w:rsidRPr="00DE2EDF" w:rsidRDefault="002D66C1" w:rsidP="00DE2EDF">
      <w:pPr>
        <w:spacing w:after="0"/>
        <w:rPr>
          <w:rFonts w:cs="Times New Roman"/>
          <w:lang w:val="en-GB"/>
        </w:rPr>
      </w:pPr>
    </w:p>
    <w:p w14:paraId="0D1E85B3" w14:textId="77777777" w:rsidR="009E6479" w:rsidRPr="00DE2EDF" w:rsidRDefault="009B7253" w:rsidP="00DE2EDF">
      <w:pPr>
        <w:spacing w:after="0"/>
        <w:jc w:val="both"/>
        <w:rPr>
          <w:rFonts w:eastAsia="Times New Roman" w:cs="Times New Roman"/>
          <w:lang w:val="en-GB" w:eastAsia="fr-FR"/>
        </w:rPr>
      </w:pPr>
      <w:r w:rsidRPr="00DE2EDF">
        <w:rPr>
          <w:rFonts w:cs="Times New Roman"/>
          <w:lang w:val="en-GB"/>
        </w:rPr>
        <w:t>Today, t</w:t>
      </w:r>
      <w:r w:rsidR="009E6479" w:rsidRPr="00DE2EDF">
        <w:rPr>
          <w:rFonts w:eastAsia="Times New Roman" w:cs="Times New Roman"/>
          <w:iCs/>
          <w:lang w:val="en-GB"/>
        </w:rPr>
        <w:t>he logically</w:t>
      </w:r>
      <w:r w:rsidR="00B95A85" w:rsidRPr="00DE2EDF">
        <w:rPr>
          <w:rFonts w:eastAsia="Times New Roman" w:cs="Times New Roman"/>
          <w:iCs/>
          <w:lang w:val="en-GB"/>
        </w:rPr>
        <w:t xml:space="preserve"> </w:t>
      </w:r>
      <w:r w:rsidR="009E6479" w:rsidRPr="00DE2EDF">
        <w:rPr>
          <w:rFonts w:eastAsia="Times New Roman" w:cs="Times New Roman"/>
          <w:iCs/>
          <w:lang w:val="en-GB"/>
        </w:rPr>
        <w:t>compelling notion of a bond between constitutional and administrative law is common</w:t>
      </w:r>
      <w:r w:rsidRPr="00DE2EDF">
        <w:rPr>
          <w:rFonts w:eastAsia="Times New Roman" w:cs="Times New Roman"/>
          <w:iCs/>
          <w:lang w:val="en-GB"/>
        </w:rPr>
        <w:t>ly accepted in</w:t>
      </w:r>
      <w:r w:rsidR="009E6479" w:rsidRPr="00DE2EDF">
        <w:rPr>
          <w:rFonts w:eastAsia="Times New Roman" w:cs="Times New Roman"/>
          <w:iCs/>
          <w:lang w:val="en-GB"/>
        </w:rPr>
        <w:t xml:space="preserve"> all European </w:t>
      </w:r>
      <w:r w:rsidR="00AA24C3" w:rsidRPr="00DE2EDF">
        <w:rPr>
          <w:rFonts w:eastAsia="Times New Roman" w:cs="Times New Roman"/>
          <w:iCs/>
          <w:lang w:val="en-GB"/>
        </w:rPr>
        <w:t>legal systems</w:t>
      </w:r>
      <w:r w:rsidR="009E6479" w:rsidRPr="00DE2EDF">
        <w:rPr>
          <w:rFonts w:eastAsia="Times New Roman" w:cs="Times New Roman"/>
          <w:iCs/>
          <w:lang w:val="en-GB"/>
        </w:rPr>
        <w:t xml:space="preserve">. </w:t>
      </w:r>
      <w:r w:rsidR="00F25257" w:rsidRPr="00DE2EDF">
        <w:rPr>
          <w:rFonts w:eastAsia="Times New Roman" w:cs="Times New Roman"/>
          <w:iCs/>
          <w:lang w:val="en-GB"/>
        </w:rPr>
        <w:t xml:space="preserve">It </w:t>
      </w:r>
      <w:r w:rsidR="000A51A3" w:rsidRPr="00DE2EDF">
        <w:rPr>
          <w:rFonts w:eastAsia="Times New Roman" w:cs="Times New Roman"/>
          <w:iCs/>
          <w:lang w:val="en-GB"/>
        </w:rPr>
        <w:t>is</w:t>
      </w:r>
      <w:r w:rsidR="002F1AB7" w:rsidRPr="00DE2EDF">
        <w:rPr>
          <w:rFonts w:eastAsia="Times New Roman" w:cs="Times New Roman"/>
          <w:iCs/>
          <w:lang w:val="en-GB"/>
        </w:rPr>
        <w:t xml:space="preserve"> </w:t>
      </w:r>
      <w:r w:rsidRPr="00DE2EDF">
        <w:rPr>
          <w:rFonts w:eastAsia="Times New Roman" w:cs="Times New Roman"/>
          <w:iCs/>
          <w:lang w:val="en-GB"/>
        </w:rPr>
        <w:t>at the core</w:t>
      </w:r>
      <w:r w:rsidR="00AA24C3" w:rsidRPr="00DE2EDF">
        <w:rPr>
          <w:rFonts w:eastAsia="Times New Roman" w:cs="Times New Roman"/>
          <w:iCs/>
          <w:lang w:val="en-GB"/>
        </w:rPr>
        <w:t xml:space="preserve"> of </w:t>
      </w:r>
      <w:r w:rsidR="000A51A3" w:rsidRPr="00DE2EDF">
        <w:rPr>
          <w:rFonts w:eastAsia="Times New Roman" w:cs="Times New Roman"/>
          <w:iCs/>
          <w:lang w:val="en-GB"/>
        </w:rPr>
        <w:t xml:space="preserve">the growing role of constitutional review </w:t>
      </w:r>
      <w:r w:rsidR="00E936A1" w:rsidRPr="00DE2EDF">
        <w:rPr>
          <w:rFonts w:eastAsia="Times New Roman" w:cs="Times New Roman"/>
          <w:iCs/>
          <w:lang w:val="en-GB"/>
        </w:rPr>
        <w:t xml:space="preserve">throughout </w:t>
      </w:r>
      <w:r w:rsidR="000A51A3" w:rsidRPr="00DE2EDF">
        <w:rPr>
          <w:rFonts w:eastAsia="Times New Roman" w:cs="Times New Roman"/>
          <w:iCs/>
          <w:lang w:val="en-GB"/>
        </w:rPr>
        <w:t>the</w:t>
      </w:r>
      <w:r w:rsidRPr="00DE2EDF">
        <w:rPr>
          <w:rFonts w:eastAsia="Times New Roman" w:cs="Times New Roman"/>
          <w:iCs/>
          <w:lang w:val="en-GB"/>
        </w:rPr>
        <w:t xml:space="preserve"> second half of</w:t>
      </w:r>
      <w:r w:rsidR="00FE4844" w:rsidRPr="00DE2EDF">
        <w:rPr>
          <w:rFonts w:eastAsia="Times New Roman" w:cs="Times New Roman"/>
          <w:iCs/>
          <w:lang w:val="en-GB"/>
        </w:rPr>
        <w:t xml:space="preserve"> </w:t>
      </w:r>
      <w:r w:rsidR="005734B4">
        <w:rPr>
          <w:rFonts w:eastAsia="Times New Roman" w:cs="Times New Roman"/>
          <w:iCs/>
          <w:lang w:val="en-GB"/>
        </w:rPr>
        <w:t xml:space="preserve">the </w:t>
      </w:r>
      <w:r w:rsidR="00FE4844" w:rsidRPr="00DE2EDF">
        <w:rPr>
          <w:rFonts w:eastAsia="Times New Roman" w:cs="Times New Roman"/>
          <w:iCs/>
          <w:lang w:val="en-GB"/>
        </w:rPr>
        <w:t>twentieth</w:t>
      </w:r>
      <w:r w:rsidR="00EB478A" w:rsidRPr="00DE2EDF">
        <w:rPr>
          <w:rFonts w:eastAsia="Times New Roman" w:cs="Times New Roman"/>
          <w:iCs/>
          <w:lang w:val="en-GB"/>
        </w:rPr>
        <w:t xml:space="preserve"> </w:t>
      </w:r>
      <w:r w:rsidR="000A51A3" w:rsidRPr="00DE2EDF">
        <w:rPr>
          <w:rFonts w:eastAsia="Times New Roman" w:cs="Times New Roman"/>
          <w:iCs/>
          <w:lang w:val="en-GB"/>
        </w:rPr>
        <w:t xml:space="preserve">century, </w:t>
      </w:r>
      <w:r w:rsidR="00AA24C3" w:rsidRPr="00DE2EDF">
        <w:rPr>
          <w:rFonts w:eastAsia="Times New Roman" w:cs="Times New Roman"/>
          <w:iCs/>
          <w:lang w:val="en-GB"/>
        </w:rPr>
        <w:t>and</w:t>
      </w:r>
      <w:r w:rsidR="000A51A3" w:rsidRPr="00DE2EDF">
        <w:rPr>
          <w:rFonts w:eastAsia="Times New Roman" w:cs="Times New Roman"/>
          <w:iCs/>
          <w:lang w:val="en-GB"/>
        </w:rPr>
        <w:t xml:space="preserve"> it is also at the forefront of </w:t>
      </w:r>
      <w:r w:rsidR="00F25257" w:rsidRPr="00DE2EDF">
        <w:rPr>
          <w:rFonts w:eastAsia="Times New Roman" w:cs="Times New Roman"/>
          <w:iCs/>
          <w:lang w:val="en-GB"/>
        </w:rPr>
        <w:t xml:space="preserve">the </w:t>
      </w:r>
      <w:r w:rsidR="000A51A3" w:rsidRPr="00DE2EDF">
        <w:rPr>
          <w:rFonts w:eastAsia="Times New Roman" w:cs="Times New Roman"/>
          <w:iCs/>
          <w:lang w:val="en-GB"/>
        </w:rPr>
        <w:t xml:space="preserve">most </w:t>
      </w:r>
      <w:r w:rsidR="00F25257" w:rsidRPr="00DE2EDF">
        <w:rPr>
          <w:rFonts w:eastAsia="Times New Roman" w:cs="Times New Roman"/>
          <w:iCs/>
          <w:lang w:val="en-GB"/>
        </w:rPr>
        <w:t>recent</w:t>
      </w:r>
      <w:r w:rsidR="000A51A3" w:rsidRPr="00DE2EDF">
        <w:rPr>
          <w:rFonts w:eastAsia="Times New Roman" w:cs="Times New Roman"/>
          <w:iCs/>
          <w:lang w:val="en-GB"/>
        </w:rPr>
        <w:t xml:space="preserve"> evolutions in adm</w:t>
      </w:r>
      <w:r w:rsidR="00F25257" w:rsidRPr="00DE2EDF">
        <w:rPr>
          <w:rFonts w:eastAsia="Times New Roman" w:cs="Times New Roman"/>
          <w:iCs/>
          <w:lang w:val="en-GB"/>
        </w:rPr>
        <w:t>inistrative law</w:t>
      </w:r>
      <w:r w:rsidR="00474CA9" w:rsidRPr="00DE2EDF">
        <w:rPr>
          <w:rFonts w:eastAsia="Times New Roman" w:cs="Times New Roman"/>
          <w:iCs/>
          <w:lang w:val="en-GB"/>
        </w:rPr>
        <w:t xml:space="preserve"> such as </w:t>
      </w:r>
      <w:r w:rsidR="005865B9" w:rsidRPr="00DE2EDF">
        <w:rPr>
          <w:rFonts w:eastAsia="Times New Roman" w:cs="Times New Roman"/>
          <w:iCs/>
          <w:lang w:val="en-GB"/>
        </w:rPr>
        <w:t>the emerg</w:t>
      </w:r>
      <w:r w:rsidR="000A51A3" w:rsidRPr="00DE2EDF">
        <w:rPr>
          <w:rFonts w:eastAsia="Times New Roman" w:cs="Times New Roman"/>
          <w:iCs/>
          <w:lang w:val="en-GB"/>
        </w:rPr>
        <w:t>ence of the new</w:t>
      </w:r>
      <w:r w:rsidR="005865B9" w:rsidRPr="00DE2EDF">
        <w:rPr>
          <w:rFonts w:eastAsia="Times New Roman" w:cs="Times New Roman"/>
          <w:iCs/>
          <w:lang w:val="en-GB"/>
        </w:rPr>
        <w:t xml:space="preserve"> field of </w:t>
      </w:r>
      <w:r w:rsidR="00F25257" w:rsidRPr="00DE2EDF">
        <w:rPr>
          <w:rFonts w:eastAsia="Times New Roman" w:cs="Times New Roman"/>
          <w:iCs/>
          <w:lang w:val="en-GB"/>
        </w:rPr>
        <w:t>‘Global Administrative Law’</w:t>
      </w:r>
      <w:r w:rsidR="00B95A85" w:rsidRPr="00DE2EDF">
        <w:rPr>
          <w:rFonts w:eastAsia="Times New Roman" w:cs="Times New Roman"/>
          <w:iCs/>
          <w:lang w:val="en-GB"/>
        </w:rPr>
        <w:t>.</w:t>
      </w:r>
      <w:r w:rsidR="005865B9" w:rsidRPr="00DE2EDF">
        <w:rPr>
          <w:rStyle w:val="FootnoteReference"/>
          <w:rFonts w:eastAsia="Times New Roman" w:cs="Times New Roman"/>
          <w:iCs/>
          <w:lang w:val="en-GB"/>
        </w:rPr>
        <w:footnoteReference w:id="108"/>
      </w:r>
      <w:r w:rsidR="005865B9" w:rsidRPr="00DE2EDF">
        <w:rPr>
          <w:rFonts w:eastAsia="Times New Roman" w:cs="Times New Roman"/>
          <w:iCs/>
          <w:lang w:val="en-GB"/>
        </w:rPr>
        <w:t xml:space="preserve"> </w:t>
      </w:r>
      <w:r w:rsidRPr="00DE2EDF">
        <w:rPr>
          <w:rFonts w:eastAsia="Times New Roman" w:cs="Times New Roman"/>
          <w:iCs/>
          <w:lang w:val="en-GB"/>
        </w:rPr>
        <w:t xml:space="preserve">Unsurprisingly, </w:t>
      </w:r>
      <w:r w:rsidR="00AA24C3" w:rsidRPr="00DE2EDF">
        <w:rPr>
          <w:rFonts w:eastAsia="Times New Roman" w:cs="Times New Roman"/>
          <w:iCs/>
          <w:lang w:val="en-GB"/>
        </w:rPr>
        <w:t>t</w:t>
      </w:r>
      <w:r w:rsidR="005865B9" w:rsidRPr="00DE2EDF">
        <w:rPr>
          <w:rFonts w:eastAsia="Times New Roman" w:cs="Times New Roman"/>
          <w:iCs/>
          <w:lang w:val="en-GB"/>
        </w:rPr>
        <w:t>he idea of the link between the two branches of law i</w:t>
      </w:r>
      <w:r w:rsidR="009E6479" w:rsidRPr="00DE2EDF">
        <w:rPr>
          <w:rFonts w:eastAsia="Times New Roman" w:cs="Times New Roman"/>
          <w:iCs/>
          <w:lang w:val="en-GB"/>
        </w:rPr>
        <w:t xml:space="preserve">s </w:t>
      </w:r>
      <w:r w:rsidRPr="00DE2EDF">
        <w:rPr>
          <w:rFonts w:eastAsia="Times New Roman" w:cs="Times New Roman"/>
          <w:iCs/>
          <w:lang w:val="en-GB"/>
        </w:rPr>
        <w:t xml:space="preserve">also </w:t>
      </w:r>
      <w:r w:rsidR="00AA24C3" w:rsidRPr="00DE2EDF">
        <w:rPr>
          <w:rFonts w:eastAsia="Times New Roman" w:cs="Times New Roman"/>
          <w:iCs/>
          <w:lang w:val="en-GB"/>
        </w:rPr>
        <w:t>very</w:t>
      </w:r>
      <w:r w:rsidR="009E6479" w:rsidRPr="00DE2EDF">
        <w:rPr>
          <w:rFonts w:eastAsia="Times New Roman" w:cs="Times New Roman"/>
          <w:iCs/>
          <w:lang w:val="en-GB"/>
        </w:rPr>
        <w:t xml:space="preserve"> old</w:t>
      </w:r>
      <w:r w:rsidR="003F0E20" w:rsidRPr="00DE2EDF">
        <w:rPr>
          <w:rFonts w:eastAsia="Times New Roman" w:cs="Times New Roman"/>
          <w:iCs/>
          <w:lang w:val="en-GB"/>
        </w:rPr>
        <w:t>. I</w:t>
      </w:r>
      <w:r w:rsidR="009E6479" w:rsidRPr="00DE2EDF">
        <w:rPr>
          <w:rFonts w:eastAsia="Times New Roman" w:cs="Times New Roman"/>
          <w:iCs/>
          <w:lang w:val="en-GB"/>
        </w:rPr>
        <w:t xml:space="preserve">t goes back to </w:t>
      </w:r>
      <w:r w:rsidR="00AB440F" w:rsidRPr="00DE2EDF">
        <w:rPr>
          <w:rFonts w:eastAsia="Times New Roman" w:cs="Times New Roman"/>
          <w:iCs/>
          <w:lang w:val="en-GB"/>
        </w:rPr>
        <w:t xml:space="preserve">the </w:t>
      </w:r>
      <w:r w:rsidR="00474CA9" w:rsidRPr="00DE2EDF">
        <w:rPr>
          <w:rFonts w:eastAsia="Times New Roman" w:cs="Times New Roman"/>
          <w:iCs/>
          <w:lang w:val="en-GB"/>
        </w:rPr>
        <w:t>very beginning of the coexistence of b</w:t>
      </w:r>
      <w:r w:rsidR="009E6479" w:rsidRPr="00DE2EDF">
        <w:rPr>
          <w:rFonts w:eastAsia="Times New Roman" w:cs="Times New Roman"/>
          <w:iCs/>
          <w:lang w:val="en-GB"/>
        </w:rPr>
        <w:t xml:space="preserve">oth branches. Thus, France’s first written </w:t>
      </w:r>
      <w:r w:rsidR="00D7708F">
        <w:rPr>
          <w:rFonts w:eastAsia="Times New Roman" w:cs="Times New Roman"/>
          <w:iCs/>
          <w:lang w:val="en-GB"/>
        </w:rPr>
        <w:t>C</w:t>
      </w:r>
      <w:r w:rsidR="009E6479" w:rsidRPr="00DE2EDF">
        <w:rPr>
          <w:rFonts w:eastAsia="Times New Roman" w:cs="Times New Roman"/>
          <w:iCs/>
          <w:lang w:val="en-GB"/>
        </w:rPr>
        <w:t xml:space="preserve">onstitution of 1791 contained a large number of principles and rules related to </w:t>
      </w:r>
      <w:r w:rsidR="00EB478A" w:rsidRPr="00DE2EDF">
        <w:rPr>
          <w:rFonts w:eastAsia="Times New Roman" w:cs="Times New Roman"/>
          <w:iCs/>
          <w:lang w:val="en-GB"/>
        </w:rPr>
        <w:t xml:space="preserve">public </w:t>
      </w:r>
      <w:r w:rsidR="009E6479" w:rsidRPr="00DE2EDF">
        <w:rPr>
          <w:rFonts w:eastAsia="Times New Roman" w:cs="Times New Roman"/>
          <w:iCs/>
          <w:lang w:val="en-GB"/>
        </w:rPr>
        <w:t>administrati</w:t>
      </w:r>
      <w:r w:rsidR="00EB478A" w:rsidRPr="00DE2EDF">
        <w:rPr>
          <w:rFonts w:eastAsia="Times New Roman" w:cs="Times New Roman"/>
          <w:iCs/>
          <w:lang w:val="en-GB"/>
        </w:rPr>
        <w:t>on</w:t>
      </w:r>
      <w:r w:rsidR="009E6479" w:rsidRPr="00DE2EDF">
        <w:rPr>
          <w:rFonts w:eastAsia="Times New Roman" w:cs="Times New Roman"/>
          <w:iCs/>
          <w:lang w:val="en-GB"/>
        </w:rPr>
        <w:t>. In France, the ‘first’ professor of administrative law, Joseph Marie de Gérando</w:t>
      </w:r>
      <w:bookmarkStart w:id="218" w:name="_Ref252442191"/>
      <w:bookmarkEnd w:id="218"/>
      <w:r w:rsidR="009E6479" w:rsidRPr="00DE2EDF">
        <w:rPr>
          <w:rFonts w:eastAsia="Times New Roman" w:cs="Times New Roman"/>
          <w:iCs/>
          <w:lang w:val="en-GB"/>
        </w:rPr>
        <w:t>, and the ‘first’ professor of constitutional law, Pellegrino Rossi</w:t>
      </w:r>
      <w:bookmarkStart w:id="219" w:name="_ftnref100"/>
      <w:r w:rsidR="009E6479" w:rsidRPr="00DE2EDF">
        <w:rPr>
          <w:rFonts w:eastAsia="Times New Roman" w:cs="Times New Roman"/>
          <w:iCs/>
          <w:lang w:val="en-GB"/>
        </w:rPr>
        <w:t>,</w:t>
      </w:r>
      <w:r w:rsidR="009E6479" w:rsidRPr="00DE2EDF">
        <w:rPr>
          <w:rStyle w:val="FootnoteReference"/>
          <w:rFonts w:cs="Times New Roman"/>
          <w:lang w:val="en-GB"/>
        </w:rPr>
        <w:footnoteReference w:id="109"/>
      </w:r>
      <w:hyperlink r:id="rId13" w:tgtFrame="_top" w:history="1"/>
      <w:bookmarkEnd w:id="219"/>
      <w:r w:rsidR="009E6479" w:rsidRPr="00DE2EDF">
        <w:rPr>
          <w:rFonts w:eastAsia="Times New Roman" w:cs="Times New Roman"/>
          <w:iCs/>
          <w:lang w:val="en-GB"/>
        </w:rPr>
        <w:t xml:space="preserve"> both highlighted the constitutional foundations (‘</w:t>
      </w:r>
      <w:r w:rsidR="009E6479" w:rsidRPr="00DE2EDF">
        <w:rPr>
          <w:rFonts w:eastAsia="Times New Roman" w:cs="Times New Roman"/>
          <w:i/>
          <w:iCs/>
          <w:lang w:val="en-GB"/>
        </w:rPr>
        <w:t>les bases constitutionnelles</w:t>
      </w:r>
      <w:r w:rsidR="009E6479" w:rsidRPr="00DE2EDF">
        <w:rPr>
          <w:rFonts w:eastAsia="Times New Roman" w:cs="Times New Roman"/>
          <w:iCs/>
          <w:lang w:val="en-GB"/>
        </w:rPr>
        <w:t>’) of administrative law</w:t>
      </w:r>
      <w:bookmarkStart w:id="220" w:name="_ftnref99"/>
      <w:r w:rsidR="00B95A85" w:rsidRPr="00DE2EDF">
        <w:rPr>
          <w:rFonts w:eastAsia="Times New Roman" w:cs="Times New Roman"/>
          <w:iCs/>
          <w:lang w:val="en-GB"/>
        </w:rPr>
        <w:t>.</w:t>
      </w:r>
      <w:r w:rsidR="009E6479" w:rsidRPr="00DE2EDF">
        <w:rPr>
          <w:rStyle w:val="FootnoteReference"/>
          <w:rFonts w:cs="Times New Roman"/>
          <w:lang w:val="en-GB"/>
        </w:rPr>
        <w:footnoteReference w:id="110"/>
      </w:r>
      <w:bookmarkStart w:id="221" w:name="_ftnref101"/>
      <w:bookmarkEnd w:id="220"/>
      <w:r w:rsidR="009E6479" w:rsidRPr="00DE2EDF">
        <w:rPr>
          <w:rFonts w:eastAsia="Times New Roman" w:cs="Times New Roman"/>
          <w:iCs/>
          <w:lang w:val="en-GB"/>
        </w:rPr>
        <w:t xml:space="preserve"> </w:t>
      </w:r>
      <w:bookmarkEnd w:id="221"/>
      <w:r w:rsidR="009E6479" w:rsidRPr="00DE2EDF">
        <w:rPr>
          <w:rFonts w:eastAsia="Times New Roman" w:cs="Times New Roman"/>
          <w:iCs/>
          <w:lang w:val="en-GB"/>
        </w:rPr>
        <w:t>The same was true for Germany: the old masters in public law, such as Robert von Mohl</w:t>
      </w:r>
      <w:r w:rsidR="005D26E3" w:rsidRPr="00DE2EDF">
        <w:rPr>
          <w:rFonts w:eastAsia="Times New Roman" w:cs="Times New Roman"/>
          <w:iCs/>
          <w:lang w:val="en-GB"/>
        </w:rPr>
        <w:t xml:space="preserve">, </w:t>
      </w:r>
      <w:r w:rsidR="00140680" w:rsidRPr="00DE2EDF">
        <w:rPr>
          <w:rFonts w:eastAsia="Times New Roman" w:cs="Times New Roman"/>
          <w:iCs/>
          <w:lang w:val="en-GB"/>
        </w:rPr>
        <w:t xml:space="preserve">Ludwig von </w:t>
      </w:r>
      <w:r w:rsidR="005D26E3" w:rsidRPr="00DE2EDF">
        <w:rPr>
          <w:rFonts w:eastAsia="Times New Roman" w:cs="Times New Roman"/>
          <w:iCs/>
          <w:lang w:val="en-GB"/>
        </w:rPr>
        <w:t>Rönne</w:t>
      </w:r>
      <w:r w:rsidR="009E6479" w:rsidRPr="00DE2EDF">
        <w:rPr>
          <w:rFonts w:eastAsia="Times New Roman" w:cs="Times New Roman"/>
          <w:iCs/>
          <w:lang w:val="en-GB"/>
        </w:rPr>
        <w:t xml:space="preserve"> and Lorenz von Stein,</w:t>
      </w:r>
      <w:r w:rsidR="00140680" w:rsidRPr="00DE2EDF">
        <w:rPr>
          <w:rStyle w:val="FootnoteReference"/>
          <w:rFonts w:cs="Times New Roman"/>
          <w:lang w:val="en-GB"/>
        </w:rPr>
        <w:footnoteReference w:id="111"/>
      </w:r>
      <w:r w:rsidR="009E6479" w:rsidRPr="00DE2EDF">
        <w:rPr>
          <w:rFonts w:eastAsia="Times New Roman" w:cs="Times New Roman"/>
          <w:iCs/>
          <w:lang w:val="en-GB"/>
        </w:rPr>
        <w:t xml:space="preserve"> acknowledged the constitutional basis of administrative law, with the latter coining the famous explanation of administration as ‘</w:t>
      </w:r>
      <w:r w:rsidR="009E6479" w:rsidRPr="00DE2EDF">
        <w:rPr>
          <w:rFonts w:eastAsia="Times New Roman" w:cs="Times New Roman"/>
          <w:i/>
          <w:iCs/>
          <w:lang w:val="en-GB"/>
        </w:rPr>
        <w:t>tätig werdende Verfassung</w:t>
      </w:r>
      <w:r w:rsidR="009E6479" w:rsidRPr="00DE2EDF">
        <w:rPr>
          <w:rFonts w:eastAsia="Times New Roman" w:cs="Times New Roman"/>
          <w:iCs/>
          <w:lang w:val="en-GB"/>
        </w:rPr>
        <w:t>’ (‘the Constitution put into action’).</w:t>
      </w:r>
      <w:r w:rsidR="009E6479" w:rsidRPr="00DE2EDF">
        <w:rPr>
          <w:rStyle w:val="FootnoteReference"/>
          <w:rFonts w:cs="Times New Roman"/>
          <w:lang w:val="en-GB"/>
        </w:rPr>
        <w:footnoteReference w:id="112"/>
      </w:r>
      <w:r w:rsidR="005D26E3" w:rsidRPr="00DE2EDF">
        <w:rPr>
          <w:rFonts w:eastAsia="Times New Roman" w:cs="Times New Roman"/>
          <w:iCs/>
          <w:lang w:val="en-GB"/>
        </w:rPr>
        <w:t xml:space="preserve"> </w:t>
      </w:r>
      <w:r w:rsidR="00475A25" w:rsidRPr="00DE2EDF">
        <w:rPr>
          <w:rFonts w:eastAsia="Times New Roman" w:cs="Times New Roman"/>
          <w:iCs/>
          <w:lang w:val="en-GB"/>
        </w:rPr>
        <w:t xml:space="preserve">In Belgium, </w:t>
      </w:r>
      <w:r w:rsidR="00474CA9" w:rsidRPr="00DE2EDF">
        <w:rPr>
          <w:rFonts w:eastAsia="Times New Roman" w:cs="Times New Roman"/>
          <w:iCs/>
          <w:lang w:val="en-GB"/>
        </w:rPr>
        <w:t xml:space="preserve">the most famous administrative law scholar of </w:t>
      </w:r>
      <w:r w:rsidR="002F1AB7" w:rsidRPr="00DE2EDF">
        <w:rPr>
          <w:rFonts w:eastAsia="Times New Roman" w:cs="Times New Roman"/>
          <w:iCs/>
          <w:lang w:val="en-GB"/>
        </w:rPr>
        <w:t xml:space="preserve">the </w:t>
      </w:r>
      <w:r w:rsidR="000556D2" w:rsidRPr="00DE2EDF">
        <w:rPr>
          <w:rFonts w:eastAsia="Times New Roman" w:cs="Times New Roman"/>
          <w:iCs/>
          <w:lang w:val="en-GB"/>
        </w:rPr>
        <w:t xml:space="preserve">nineteenth </w:t>
      </w:r>
      <w:r w:rsidR="00474CA9" w:rsidRPr="00DE2EDF">
        <w:rPr>
          <w:rFonts w:eastAsia="Times New Roman" w:cs="Times New Roman"/>
          <w:iCs/>
          <w:lang w:val="en-GB"/>
        </w:rPr>
        <w:t>century</w:t>
      </w:r>
      <w:r w:rsidR="00672CBB" w:rsidRPr="00DE2EDF">
        <w:rPr>
          <w:rFonts w:eastAsia="Times New Roman" w:cs="Times New Roman"/>
          <w:iCs/>
          <w:lang w:val="en-GB"/>
        </w:rPr>
        <w:t>,</w:t>
      </w:r>
      <w:r w:rsidR="00474CA9" w:rsidRPr="00DE2EDF">
        <w:rPr>
          <w:rFonts w:eastAsia="Times New Roman" w:cs="Times New Roman"/>
          <w:iCs/>
          <w:lang w:val="en-GB"/>
        </w:rPr>
        <w:t xml:space="preserve"> </w:t>
      </w:r>
      <w:r w:rsidR="00475A25" w:rsidRPr="00DE2EDF">
        <w:rPr>
          <w:rFonts w:eastAsia="Times New Roman" w:cs="Times New Roman"/>
          <w:iCs/>
          <w:lang w:val="en-GB"/>
        </w:rPr>
        <w:t>Alfred Giron (</w:t>
      </w:r>
      <w:r w:rsidR="0060477D" w:rsidRPr="00DE2EDF">
        <w:rPr>
          <w:rFonts w:eastAsia="Times New Roman" w:cs="Times New Roman"/>
          <w:iCs/>
          <w:lang w:val="en-GB"/>
        </w:rPr>
        <w:t>1832</w:t>
      </w:r>
      <w:r w:rsidR="002D20CB" w:rsidRPr="00DE2EDF">
        <w:rPr>
          <w:rFonts w:eastAsia="Times New Roman" w:cs="Times New Roman"/>
          <w:iCs/>
          <w:lang w:val="en-GB"/>
        </w:rPr>
        <w:t>–</w:t>
      </w:r>
      <w:r w:rsidR="0060477D" w:rsidRPr="00DE2EDF">
        <w:rPr>
          <w:rFonts w:eastAsia="Times New Roman" w:cs="Times New Roman"/>
          <w:iCs/>
          <w:lang w:val="en-GB"/>
        </w:rPr>
        <w:t>1910</w:t>
      </w:r>
      <w:r w:rsidR="003F2755" w:rsidRPr="00DE2EDF">
        <w:rPr>
          <w:rFonts w:eastAsia="Times New Roman" w:cs="Times New Roman"/>
          <w:iCs/>
          <w:lang w:val="en-GB"/>
        </w:rPr>
        <w:t>)</w:t>
      </w:r>
      <w:r w:rsidR="00672CBB" w:rsidRPr="00DE2EDF">
        <w:rPr>
          <w:rFonts w:eastAsia="Times New Roman" w:cs="Times New Roman"/>
          <w:iCs/>
          <w:lang w:val="en-GB"/>
        </w:rPr>
        <w:t>,</w:t>
      </w:r>
      <w:r w:rsidR="003F2755" w:rsidRPr="00DE2EDF">
        <w:rPr>
          <w:rFonts w:eastAsia="Times New Roman" w:cs="Times New Roman"/>
          <w:iCs/>
          <w:lang w:val="en-GB"/>
        </w:rPr>
        <w:t xml:space="preserve"> retained a similar definition: ‘The aim of administrative law is to develop and apply the principles </w:t>
      </w:r>
      <w:r w:rsidR="00DD7D25" w:rsidRPr="00DE2EDF">
        <w:rPr>
          <w:rFonts w:eastAsia="Times New Roman" w:cs="Times New Roman"/>
          <w:iCs/>
          <w:lang w:val="en-GB"/>
        </w:rPr>
        <w:t xml:space="preserve">established by </w:t>
      </w:r>
      <w:r w:rsidR="003F2755" w:rsidRPr="00DE2EDF">
        <w:rPr>
          <w:rFonts w:eastAsia="Times New Roman" w:cs="Times New Roman"/>
          <w:iCs/>
          <w:lang w:val="en-GB"/>
        </w:rPr>
        <w:t xml:space="preserve">the Constitution. It regulates the action and fixes the competencies of central and local administrations. Administrative law is far from being as permanent and stable as private law. It is saturated with political principles that </w:t>
      </w:r>
      <w:r w:rsidR="00DD7D25" w:rsidRPr="00DE2EDF">
        <w:rPr>
          <w:rFonts w:eastAsia="Times New Roman" w:cs="Times New Roman"/>
          <w:iCs/>
          <w:lang w:val="en-GB"/>
        </w:rPr>
        <w:t xml:space="preserve">change at the same time </w:t>
      </w:r>
      <w:r w:rsidR="005A07BD" w:rsidRPr="00DE2EDF">
        <w:rPr>
          <w:rFonts w:eastAsia="Times New Roman" w:cs="Times New Roman"/>
          <w:iCs/>
          <w:lang w:val="en-GB"/>
        </w:rPr>
        <w:t>as</w:t>
      </w:r>
      <w:r w:rsidR="00DD7D25" w:rsidRPr="00DE2EDF">
        <w:rPr>
          <w:rFonts w:eastAsia="Times New Roman" w:cs="Times New Roman"/>
          <w:iCs/>
          <w:lang w:val="en-GB"/>
        </w:rPr>
        <w:t xml:space="preserve"> the </w:t>
      </w:r>
      <w:r w:rsidR="009D2894" w:rsidRPr="00DE2EDF">
        <w:rPr>
          <w:rFonts w:eastAsia="Times New Roman" w:cs="Times New Roman"/>
          <w:iCs/>
          <w:lang w:val="en-GB"/>
        </w:rPr>
        <w:t>Instrument of Government</w:t>
      </w:r>
      <w:r w:rsidR="00AA3984">
        <w:rPr>
          <w:rFonts w:eastAsia="Times New Roman" w:cs="Times New Roman"/>
          <w:iCs/>
          <w:lang w:val="en-GB"/>
        </w:rPr>
        <w:t>.</w:t>
      </w:r>
      <w:r w:rsidR="003F2755" w:rsidRPr="00DE2EDF">
        <w:rPr>
          <w:rFonts w:eastAsia="Times New Roman" w:cs="Times New Roman"/>
          <w:iCs/>
          <w:lang w:val="en-GB"/>
        </w:rPr>
        <w:t>’</w:t>
      </w:r>
      <w:r w:rsidR="00DD7D25" w:rsidRPr="00DE2EDF">
        <w:rPr>
          <w:rStyle w:val="FootnoteReference"/>
          <w:rFonts w:eastAsia="Times New Roman" w:cs="Times New Roman"/>
          <w:iCs/>
          <w:lang w:val="en-GB"/>
        </w:rPr>
        <w:footnoteReference w:id="113"/>
      </w:r>
      <w:r w:rsidR="003F2755" w:rsidRPr="00DE2EDF">
        <w:rPr>
          <w:rFonts w:eastAsia="Times New Roman" w:cs="Times New Roman"/>
          <w:iCs/>
          <w:lang w:val="en-GB"/>
        </w:rPr>
        <w:t xml:space="preserve"> </w:t>
      </w:r>
      <w:r w:rsidR="009E6479" w:rsidRPr="00DE2EDF">
        <w:rPr>
          <w:rFonts w:eastAsia="Times New Roman" w:cs="Times New Roman"/>
          <w:iCs/>
          <w:lang w:val="es-ES"/>
        </w:rPr>
        <w:t>In Spain</w:t>
      </w:r>
      <w:r w:rsidR="008462BE" w:rsidRPr="00DE2EDF">
        <w:rPr>
          <w:rFonts w:eastAsia="Times New Roman" w:cs="Times New Roman"/>
          <w:iCs/>
          <w:lang w:val="es-ES"/>
        </w:rPr>
        <w:t>,</w:t>
      </w:r>
      <w:r w:rsidR="009E6479" w:rsidRPr="00DE2EDF">
        <w:rPr>
          <w:rFonts w:eastAsia="Times New Roman" w:cs="Times New Roman"/>
          <w:iCs/>
          <w:lang w:val="es-ES"/>
        </w:rPr>
        <w:t xml:space="preserve"> in 1843, one of the founding fathers of administrative law scholarship, Pedro </w:t>
      </w:r>
      <w:r w:rsidR="009E6479" w:rsidRPr="00DE2EDF">
        <w:rPr>
          <w:rFonts w:eastAsia="Times New Roman" w:cs="Times New Roman"/>
          <w:lang w:val="es-ES" w:eastAsia="fr-FR"/>
        </w:rPr>
        <w:t>Gómez de la Serna</w:t>
      </w:r>
      <w:r w:rsidR="00140680" w:rsidRPr="00DE2EDF">
        <w:rPr>
          <w:rFonts w:eastAsia="Times New Roman" w:cs="Times New Roman"/>
          <w:lang w:val="es-ES" w:eastAsia="fr-FR"/>
        </w:rPr>
        <w:t xml:space="preserve"> (1806</w:t>
      </w:r>
      <w:r w:rsidR="002D20CB" w:rsidRPr="00DE2EDF">
        <w:rPr>
          <w:rFonts w:eastAsia="Times New Roman" w:cs="Times New Roman"/>
          <w:lang w:val="es-ES" w:eastAsia="fr-FR"/>
        </w:rPr>
        <w:t>–</w:t>
      </w:r>
      <w:r w:rsidR="00140680" w:rsidRPr="00DE2EDF">
        <w:rPr>
          <w:rFonts w:eastAsia="Times New Roman" w:cs="Times New Roman"/>
          <w:lang w:val="es-ES" w:eastAsia="fr-FR"/>
        </w:rPr>
        <w:t>1871)</w:t>
      </w:r>
      <w:r w:rsidR="009E6479" w:rsidRPr="00DE2EDF">
        <w:rPr>
          <w:rFonts w:eastAsia="Times New Roman" w:cs="Times New Roman"/>
          <w:lang w:val="es-ES" w:eastAsia="fr-FR"/>
        </w:rPr>
        <w:t xml:space="preserve">, stated: </w:t>
      </w:r>
      <w:r w:rsidR="002965A6" w:rsidRPr="00DE2EDF">
        <w:rPr>
          <w:rFonts w:eastAsia="Times New Roman" w:cs="Times New Roman"/>
          <w:lang w:val="es-ES" w:eastAsia="fr-FR"/>
        </w:rPr>
        <w:t>‘</w:t>
      </w:r>
      <w:r w:rsidR="009E6479" w:rsidRPr="00DE2EDF">
        <w:rPr>
          <w:rFonts w:eastAsia="Times New Roman" w:cs="Times New Roman"/>
          <w:i/>
          <w:lang w:val="es-ES" w:eastAsia="fr-FR"/>
        </w:rPr>
        <w:t>Derecho administrativo tiene por base al derecho public</w:t>
      </w:r>
      <w:r w:rsidR="009E6479" w:rsidRPr="00DE2EDF">
        <w:rPr>
          <w:rFonts w:eastAsia="Times New Roman" w:cs="Times New Roman"/>
          <w:lang w:val="es-ES" w:eastAsia="fr-FR"/>
        </w:rPr>
        <w:t xml:space="preserve"> [constitutional law]</w:t>
      </w:r>
      <w:r w:rsidR="009E6479" w:rsidRPr="00DE2EDF">
        <w:rPr>
          <w:rFonts w:eastAsia="Times New Roman" w:cs="Times New Roman"/>
          <w:i/>
          <w:lang w:val="es-ES" w:eastAsia="fr-FR"/>
        </w:rPr>
        <w:t>, con el que está íntimamente ligado, y del que puede considerarse como consecuencia</w:t>
      </w:r>
      <w:r w:rsidR="00E56886">
        <w:rPr>
          <w:rFonts w:eastAsia="Times New Roman" w:cs="Times New Roman"/>
          <w:i/>
          <w:lang w:val="es-ES" w:eastAsia="fr-FR"/>
        </w:rPr>
        <w:t>.</w:t>
      </w:r>
      <w:r w:rsidR="002965A6" w:rsidRPr="00DE2EDF">
        <w:rPr>
          <w:rFonts w:eastAsia="Times New Roman" w:cs="Times New Roman"/>
          <w:lang w:val="es-ES" w:eastAsia="fr-FR"/>
        </w:rPr>
        <w:t>’</w:t>
      </w:r>
      <w:r w:rsidR="009E6479" w:rsidRPr="00DE2EDF">
        <w:rPr>
          <w:rStyle w:val="FootnoteReference"/>
          <w:rFonts w:cs="Times New Roman"/>
          <w:lang w:val="en-GB" w:eastAsia="fr-FR"/>
        </w:rPr>
        <w:footnoteReference w:id="114"/>
      </w:r>
      <w:r w:rsidR="009E6479" w:rsidRPr="00DE2EDF">
        <w:rPr>
          <w:rFonts w:eastAsia="Times New Roman" w:cs="Times New Roman"/>
          <w:lang w:val="es-ES" w:eastAsia="fr-FR"/>
        </w:rPr>
        <w:t xml:space="preserve"> </w:t>
      </w:r>
      <w:r w:rsidR="009E6479" w:rsidRPr="00DE2EDF">
        <w:rPr>
          <w:rFonts w:eastAsia="Times New Roman" w:cs="Times New Roman"/>
          <w:lang w:val="en-GB" w:eastAsia="fr-FR"/>
        </w:rPr>
        <w:t xml:space="preserve">Thereafter, </w:t>
      </w:r>
      <w:r w:rsidR="005A07BD" w:rsidRPr="00DE2EDF">
        <w:rPr>
          <w:rFonts w:eastAsia="Times New Roman" w:cs="Times New Roman"/>
          <w:lang w:val="en-GB" w:eastAsia="fr-FR"/>
        </w:rPr>
        <w:t>Manuel Colmeiro y Penido (1818</w:t>
      </w:r>
      <w:r w:rsidR="002D20CB" w:rsidRPr="00DE2EDF">
        <w:rPr>
          <w:rFonts w:eastAsia="Times New Roman" w:cs="Times New Roman"/>
          <w:lang w:val="en-GB" w:eastAsia="fr-FR"/>
        </w:rPr>
        <w:t>–</w:t>
      </w:r>
      <w:r w:rsidR="005A07BD" w:rsidRPr="00DE2EDF">
        <w:rPr>
          <w:rFonts w:eastAsia="Times New Roman" w:cs="Times New Roman"/>
          <w:lang w:val="en-GB" w:eastAsia="fr-FR"/>
        </w:rPr>
        <w:t xml:space="preserve">1894), </w:t>
      </w:r>
      <w:r w:rsidR="009E6479" w:rsidRPr="00DE2EDF">
        <w:rPr>
          <w:rFonts w:eastAsia="Times New Roman" w:cs="Times New Roman"/>
          <w:lang w:val="en-GB" w:eastAsia="fr-FR"/>
        </w:rPr>
        <w:t xml:space="preserve">the most famous </w:t>
      </w:r>
      <w:r w:rsidR="008B466A" w:rsidRPr="00DE2EDF">
        <w:rPr>
          <w:rFonts w:eastAsia="Times New Roman" w:cs="Times New Roman"/>
          <w:lang w:val="en-GB" w:eastAsia="fr-FR"/>
        </w:rPr>
        <w:t xml:space="preserve">administrative </w:t>
      </w:r>
      <w:r w:rsidR="008B466A" w:rsidRPr="00DE2EDF">
        <w:rPr>
          <w:rFonts w:eastAsia="Times New Roman" w:cs="Times New Roman"/>
          <w:lang w:val="en-GB" w:eastAsia="fr-FR"/>
        </w:rPr>
        <w:lastRenderedPageBreak/>
        <w:t xml:space="preserve">law </w:t>
      </w:r>
      <w:r w:rsidR="009E6479" w:rsidRPr="00DE2EDF">
        <w:rPr>
          <w:rFonts w:eastAsia="Times New Roman" w:cs="Times New Roman"/>
          <w:lang w:val="en-GB" w:eastAsia="fr-FR"/>
        </w:rPr>
        <w:t xml:space="preserve">academic in late </w:t>
      </w:r>
      <w:r w:rsidR="00FE4844" w:rsidRPr="00DE2EDF">
        <w:rPr>
          <w:rFonts w:eastAsia="Times New Roman" w:cs="Times New Roman"/>
          <w:lang w:val="en-GB" w:eastAsia="fr-FR"/>
        </w:rPr>
        <w:t>ninet</w:t>
      </w:r>
      <w:r w:rsidR="00E31885">
        <w:rPr>
          <w:rFonts w:eastAsia="Times New Roman" w:cs="Times New Roman"/>
          <w:lang w:val="en-GB" w:eastAsia="fr-FR"/>
        </w:rPr>
        <w:t>eenth</w:t>
      </w:r>
      <w:r w:rsidR="00FE4844" w:rsidRPr="00DE2EDF">
        <w:rPr>
          <w:rFonts w:eastAsia="Times New Roman" w:cs="Times New Roman"/>
          <w:lang w:val="en-GB" w:eastAsia="fr-FR"/>
        </w:rPr>
        <w:t xml:space="preserve"> </w:t>
      </w:r>
      <w:r w:rsidR="009E6479" w:rsidRPr="00DE2EDF">
        <w:rPr>
          <w:rFonts w:eastAsia="Times New Roman" w:cs="Times New Roman"/>
          <w:lang w:val="en-GB" w:eastAsia="fr-FR"/>
        </w:rPr>
        <w:t>century Spa</w:t>
      </w:r>
      <w:r w:rsidR="008B466A" w:rsidRPr="00DE2EDF">
        <w:rPr>
          <w:rFonts w:eastAsia="Times New Roman" w:cs="Times New Roman"/>
          <w:lang w:val="en-GB" w:eastAsia="fr-FR"/>
        </w:rPr>
        <w:t>in</w:t>
      </w:r>
      <w:r w:rsidR="009E6479" w:rsidRPr="00DE2EDF">
        <w:rPr>
          <w:rFonts w:eastAsia="Times New Roman" w:cs="Times New Roman"/>
          <w:lang w:val="en-GB" w:eastAsia="fr-FR"/>
        </w:rPr>
        <w:t>, did not hesitate to claim that ‘</w:t>
      </w:r>
      <w:r w:rsidR="009E6479" w:rsidRPr="00DE2EDF">
        <w:rPr>
          <w:rFonts w:eastAsia="Times New Roman" w:cs="Times New Roman"/>
          <w:i/>
          <w:lang w:val="en-GB" w:eastAsia="fr-FR"/>
        </w:rPr>
        <w:t>el derecho político es el fundamento de todo el derecho, asi publico como privado</w:t>
      </w:r>
      <w:r w:rsidR="009E6479" w:rsidRPr="00DE2EDF">
        <w:rPr>
          <w:rFonts w:eastAsia="Times New Roman" w:cs="Times New Roman"/>
          <w:lang w:val="en-GB" w:eastAsia="fr-FR"/>
        </w:rPr>
        <w:t>’</w:t>
      </w:r>
      <w:r w:rsidR="00E56886" w:rsidRPr="00DE2EDF">
        <w:rPr>
          <w:rStyle w:val="FootnoteReference"/>
          <w:rFonts w:cs="Times New Roman"/>
          <w:lang w:val="en-GB" w:eastAsia="fr-FR"/>
        </w:rPr>
        <w:footnoteReference w:id="115"/>
      </w:r>
      <w:r w:rsidR="009E6479" w:rsidRPr="00DE2EDF">
        <w:rPr>
          <w:rFonts w:eastAsia="Times New Roman" w:cs="Times New Roman"/>
          <w:lang w:val="en-GB" w:eastAsia="fr-FR"/>
        </w:rPr>
        <w:t xml:space="preserve"> (constitutional law is the </w:t>
      </w:r>
      <w:r w:rsidR="006B040A" w:rsidRPr="00DE2EDF">
        <w:rPr>
          <w:rFonts w:eastAsia="Times New Roman" w:cs="Times New Roman"/>
          <w:lang w:val="en-GB" w:eastAsia="fr-FR"/>
        </w:rPr>
        <w:t>foundation</w:t>
      </w:r>
      <w:r w:rsidR="009E6479" w:rsidRPr="00DE2EDF">
        <w:rPr>
          <w:rFonts w:eastAsia="Times New Roman" w:cs="Times New Roman"/>
          <w:lang w:val="en-GB" w:eastAsia="fr-FR"/>
        </w:rPr>
        <w:t xml:space="preserve"> of </w:t>
      </w:r>
      <w:r w:rsidR="006B040A" w:rsidRPr="00DE2EDF">
        <w:rPr>
          <w:rFonts w:eastAsia="Times New Roman" w:cs="Times New Roman"/>
          <w:lang w:val="en-GB" w:eastAsia="fr-FR"/>
        </w:rPr>
        <w:t xml:space="preserve">all law, </w:t>
      </w:r>
      <w:r w:rsidR="009E6479" w:rsidRPr="00DE2EDF">
        <w:rPr>
          <w:rFonts w:eastAsia="Times New Roman" w:cs="Times New Roman"/>
          <w:lang w:val="en-GB" w:eastAsia="fr-FR"/>
        </w:rPr>
        <w:t xml:space="preserve">public </w:t>
      </w:r>
      <w:r w:rsidR="006B040A" w:rsidRPr="00DE2EDF">
        <w:rPr>
          <w:rFonts w:eastAsia="Times New Roman" w:cs="Times New Roman"/>
          <w:lang w:val="en-GB" w:eastAsia="fr-FR"/>
        </w:rPr>
        <w:t xml:space="preserve">as </w:t>
      </w:r>
      <w:r w:rsidR="00B95A85" w:rsidRPr="00DE2EDF">
        <w:rPr>
          <w:rFonts w:eastAsia="Times New Roman" w:cs="Times New Roman"/>
          <w:lang w:val="en-GB" w:eastAsia="fr-FR"/>
        </w:rPr>
        <w:t>well</w:t>
      </w:r>
      <w:r w:rsidR="006B040A" w:rsidRPr="00DE2EDF">
        <w:rPr>
          <w:rFonts w:eastAsia="Times New Roman" w:cs="Times New Roman"/>
          <w:lang w:val="en-GB" w:eastAsia="fr-FR"/>
        </w:rPr>
        <w:t xml:space="preserve"> as</w:t>
      </w:r>
      <w:r w:rsidR="009E6479" w:rsidRPr="00DE2EDF">
        <w:rPr>
          <w:rFonts w:eastAsia="Times New Roman" w:cs="Times New Roman"/>
          <w:lang w:val="en-GB" w:eastAsia="fr-FR"/>
        </w:rPr>
        <w:t xml:space="preserve"> private)</w:t>
      </w:r>
      <w:r w:rsidR="00E56886">
        <w:rPr>
          <w:rFonts w:eastAsia="Times New Roman" w:cs="Times New Roman"/>
          <w:lang w:val="en-GB" w:eastAsia="fr-FR"/>
        </w:rPr>
        <w:t>.</w:t>
      </w:r>
      <w:r w:rsidR="009E6479" w:rsidRPr="00DE2EDF">
        <w:rPr>
          <w:rFonts w:eastAsia="Times New Roman" w:cs="Times New Roman"/>
          <w:lang w:val="en-GB" w:eastAsia="fr-FR"/>
        </w:rPr>
        <w:t xml:space="preserve"> This discourse on the ‘</w:t>
      </w:r>
      <w:r w:rsidR="009E6479" w:rsidRPr="00DE2EDF">
        <w:rPr>
          <w:rFonts w:eastAsia="Times New Roman" w:cs="Times New Roman"/>
          <w:i/>
          <w:lang w:val="en-GB" w:eastAsia="fr-FR"/>
        </w:rPr>
        <w:t>bases constitucionales</w:t>
      </w:r>
      <w:r w:rsidR="009E6479" w:rsidRPr="00DE2EDF">
        <w:rPr>
          <w:rFonts w:eastAsia="Times New Roman" w:cs="Times New Roman"/>
          <w:lang w:val="en-GB" w:eastAsia="fr-FR"/>
        </w:rPr>
        <w:t xml:space="preserve">’ of administrative law was common to all Spanish </w:t>
      </w:r>
      <w:r w:rsidR="000556D2" w:rsidRPr="00DE2EDF">
        <w:rPr>
          <w:rFonts w:eastAsia="Times New Roman" w:cs="Times New Roman"/>
          <w:lang w:val="en-GB" w:eastAsia="fr-FR"/>
        </w:rPr>
        <w:t>n</w:t>
      </w:r>
      <w:r w:rsidR="002D20CB" w:rsidRPr="00DE2EDF">
        <w:rPr>
          <w:rFonts w:eastAsia="Times New Roman" w:cs="Times New Roman"/>
          <w:lang w:val="en-GB" w:eastAsia="fr-FR"/>
        </w:rPr>
        <w:t xml:space="preserve">ineteenth </w:t>
      </w:r>
      <w:r w:rsidR="009E6479" w:rsidRPr="00DE2EDF">
        <w:rPr>
          <w:rFonts w:eastAsia="Times New Roman" w:cs="Times New Roman"/>
          <w:lang w:val="en-GB" w:eastAsia="fr-FR"/>
        </w:rPr>
        <w:t>century scholars</w:t>
      </w:r>
      <w:r w:rsidR="009E6479" w:rsidRPr="00DE2EDF">
        <w:rPr>
          <w:rStyle w:val="FootnoteReference"/>
          <w:rFonts w:cs="Times New Roman"/>
          <w:lang w:val="en-GB" w:eastAsia="fr-FR"/>
        </w:rPr>
        <w:footnoteReference w:id="116"/>
      </w:r>
      <w:r w:rsidR="00FE4844" w:rsidRPr="00DE2EDF">
        <w:rPr>
          <w:rFonts w:eastAsia="Times New Roman" w:cs="Times New Roman"/>
          <w:lang w:val="en-GB" w:eastAsia="fr-FR"/>
        </w:rPr>
        <w:t xml:space="preserve"> </w:t>
      </w:r>
      <w:r w:rsidR="009E6479" w:rsidRPr="00DE2EDF">
        <w:rPr>
          <w:rFonts w:eastAsia="Times New Roman" w:cs="Times New Roman"/>
          <w:lang w:val="en-GB" w:eastAsia="fr-FR"/>
        </w:rPr>
        <w:t>and even, as far as I know, to all public law scholars on the European Continent during that period.</w:t>
      </w:r>
    </w:p>
    <w:p w14:paraId="66FBE510" w14:textId="77777777" w:rsidR="009E6479" w:rsidRPr="00DE2EDF" w:rsidRDefault="009E6479" w:rsidP="00DE2EDF">
      <w:pPr>
        <w:pStyle w:val="NoSpacing"/>
        <w:spacing w:line="276" w:lineRule="auto"/>
        <w:rPr>
          <w:rFonts w:cs="Times New Roman"/>
          <w:lang w:val="en-GB"/>
        </w:rPr>
      </w:pPr>
    </w:p>
    <w:p w14:paraId="688F8A20" w14:textId="77777777" w:rsidR="009E6479" w:rsidRPr="00DE2EDF" w:rsidRDefault="009E6479" w:rsidP="00DE2EDF">
      <w:pPr>
        <w:spacing w:after="0"/>
        <w:jc w:val="both"/>
        <w:rPr>
          <w:rFonts w:eastAsia="Times New Roman" w:cs="Times New Roman"/>
          <w:iCs/>
          <w:lang w:val="en-GB"/>
        </w:rPr>
      </w:pPr>
      <w:r w:rsidRPr="00DE2EDF">
        <w:rPr>
          <w:rFonts w:eastAsia="Times New Roman" w:cs="Times New Roman"/>
          <w:lang w:val="en-GB" w:eastAsia="fr-FR"/>
        </w:rPr>
        <w:t>Yet, as demonstrated by the critical analysis of Alberto Gallego Anabitarte with regard to Spain before 1978, this discourse may, in reality, hide a lack of communication between the two disciplines, especially if, for ideological and/or epistemological reasons, constitutional law scholarship is unable or unwilling to develop a strictly juristic (</w:t>
      </w:r>
      <w:r w:rsidR="00E936A1" w:rsidRPr="00DE2EDF">
        <w:rPr>
          <w:rFonts w:eastAsia="Times New Roman" w:cs="Times New Roman"/>
          <w:lang w:val="en-GB" w:eastAsia="fr-FR"/>
        </w:rPr>
        <w:t xml:space="preserve">that is, </w:t>
      </w:r>
      <w:r w:rsidRPr="00DE2EDF">
        <w:rPr>
          <w:rFonts w:eastAsia="Times New Roman" w:cs="Times New Roman"/>
          <w:lang w:val="en-GB" w:eastAsia="fr-FR"/>
        </w:rPr>
        <w:t>legally dogmatic) discourse on the Constitution that may be used by administrative lawyers. Thus, the relationship may be complex, which observation was already made, al</w:t>
      </w:r>
      <w:r w:rsidR="00C90270" w:rsidRPr="00DE2EDF">
        <w:rPr>
          <w:rFonts w:eastAsia="Times New Roman" w:cs="Times New Roman"/>
          <w:lang w:val="en-GB" w:eastAsia="fr-FR"/>
        </w:rPr>
        <w:t>beit</w:t>
      </w:r>
      <w:r w:rsidRPr="00DE2EDF">
        <w:rPr>
          <w:rFonts w:eastAsia="Times New Roman" w:cs="Times New Roman"/>
          <w:lang w:val="en-GB" w:eastAsia="fr-FR"/>
        </w:rPr>
        <w:t xml:space="preserve"> from a different perspective, </w:t>
      </w:r>
      <w:r w:rsidRPr="00DE2EDF">
        <w:rPr>
          <w:rFonts w:eastAsia="Times New Roman" w:cs="Times New Roman"/>
          <w:iCs/>
          <w:lang w:val="en-GB"/>
        </w:rPr>
        <w:t>by Frank Johnson</w:t>
      </w:r>
      <w:r w:rsidRPr="00DE2EDF">
        <w:rPr>
          <w:rFonts w:eastAsia="Times New Roman" w:cs="Times New Roman"/>
          <w:i/>
          <w:lang w:val="en-GB"/>
        </w:rPr>
        <w:t xml:space="preserve"> </w:t>
      </w:r>
      <w:r w:rsidRPr="00DE2EDF">
        <w:rPr>
          <w:rFonts w:eastAsia="Times New Roman" w:cs="Times New Roman"/>
          <w:iCs/>
          <w:lang w:val="en-GB"/>
        </w:rPr>
        <w:t>Goodnow</w:t>
      </w:r>
      <w:r w:rsidRPr="00DE2EDF">
        <w:rPr>
          <w:rFonts w:eastAsia="Times New Roman" w:cs="Times New Roman"/>
          <w:lang w:val="en-GB" w:eastAsia="fr-FR"/>
        </w:rPr>
        <w:t xml:space="preserve"> in</w:t>
      </w:r>
      <w:r w:rsidRPr="00DE2EDF">
        <w:rPr>
          <w:rFonts w:eastAsia="Times New Roman" w:cs="Times New Roman"/>
          <w:iCs/>
          <w:lang w:val="en-GB"/>
        </w:rPr>
        <w:t xml:space="preserve"> 1897. In his comparative survey </w:t>
      </w:r>
      <w:r w:rsidRPr="00DE2EDF">
        <w:rPr>
          <w:rFonts w:eastAsia="Times New Roman" w:cs="Times New Roman"/>
          <w:lang w:val="en-GB"/>
        </w:rPr>
        <w:t>of four major jurisdictions (</w:t>
      </w:r>
      <w:r w:rsidR="00E936A1" w:rsidRPr="00DE2EDF">
        <w:rPr>
          <w:rFonts w:eastAsia="Times New Roman" w:cs="Times New Roman"/>
          <w:lang w:val="en-GB"/>
        </w:rPr>
        <w:t xml:space="preserve">the </w:t>
      </w:r>
      <w:r w:rsidRPr="00DE2EDF">
        <w:rPr>
          <w:rFonts w:eastAsia="Times New Roman" w:cs="Times New Roman"/>
          <w:lang w:val="en-GB"/>
        </w:rPr>
        <w:t xml:space="preserve">USA, England, France, and Germany), </w:t>
      </w:r>
      <w:r w:rsidR="00C90270" w:rsidRPr="00DE2EDF">
        <w:rPr>
          <w:rFonts w:eastAsia="Times New Roman" w:cs="Times New Roman"/>
          <w:lang w:val="en-GB"/>
        </w:rPr>
        <w:t>Goodnow</w:t>
      </w:r>
      <w:r w:rsidRPr="00DE2EDF">
        <w:rPr>
          <w:rFonts w:eastAsia="Times New Roman" w:cs="Times New Roman"/>
          <w:lang w:val="en-GB"/>
        </w:rPr>
        <w:t xml:space="preserve"> stressed the </w:t>
      </w:r>
      <w:r w:rsidRPr="00DE2EDF">
        <w:rPr>
          <w:rFonts w:eastAsia="Times New Roman" w:cs="Times New Roman"/>
          <w:iCs/>
          <w:lang w:val="en-GB"/>
        </w:rPr>
        <w:t>idea of a multifaceted and, thus, complex entanglement</w:t>
      </w:r>
      <w:bookmarkStart w:id="222" w:name="_ftnref104"/>
      <w:r w:rsidRPr="00DE2EDF">
        <w:rPr>
          <w:rFonts w:eastAsia="Times New Roman" w:cs="Times New Roman"/>
          <w:iCs/>
          <w:lang w:val="en-GB"/>
        </w:rPr>
        <w:t xml:space="preserve">. </w:t>
      </w:r>
      <w:bookmarkEnd w:id="222"/>
      <w:r w:rsidRPr="00DE2EDF">
        <w:rPr>
          <w:rFonts w:eastAsia="Times New Roman" w:cs="Times New Roman"/>
          <w:iCs/>
          <w:lang w:val="en-GB"/>
        </w:rPr>
        <w:t>According to him, the subject matter of both areas of law is largely the same (public authority</w:t>
      </w:r>
      <w:r w:rsidR="00E936A1" w:rsidRPr="00DE2EDF">
        <w:rPr>
          <w:rFonts w:eastAsia="Times New Roman" w:cs="Times New Roman"/>
          <w:iCs/>
          <w:lang w:val="en-GB"/>
        </w:rPr>
        <w:t xml:space="preserve"> and </w:t>
      </w:r>
      <w:r w:rsidRPr="00DE2EDF">
        <w:rPr>
          <w:rFonts w:eastAsia="Times New Roman" w:cs="Times New Roman"/>
          <w:iCs/>
          <w:lang w:val="en-GB"/>
        </w:rPr>
        <w:t>liberties). ‘While constitutional law gives the general plan of governmental organization, administrative law carries out this plan in its minutest details</w:t>
      </w:r>
      <w:r w:rsidR="00E56886">
        <w:rPr>
          <w:rFonts w:eastAsia="Times New Roman" w:cs="Times New Roman"/>
          <w:iCs/>
          <w:lang w:val="en-GB"/>
        </w:rPr>
        <w:t>.</w:t>
      </w:r>
      <w:r w:rsidRPr="00DE2EDF">
        <w:rPr>
          <w:rFonts w:eastAsia="Times New Roman" w:cs="Times New Roman"/>
          <w:iCs/>
          <w:lang w:val="en-GB"/>
        </w:rPr>
        <w:t>’</w:t>
      </w:r>
      <w:r w:rsidRPr="00DE2EDF">
        <w:rPr>
          <w:rStyle w:val="FootnoteReference"/>
          <w:rFonts w:cs="Times New Roman"/>
          <w:lang w:val="en-GB"/>
        </w:rPr>
        <w:footnoteReference w:id="117"/>
      </w:r>
      <w:r w:rsidRPr="00DE2EDF">
        <w:rPr>
          <w:rFonts w:eastAsia="Times New Roman" w:cs="Times New Roman"/>
          <w:iCs/>
          <w:lang w:val="en-GB"/>
        </w:rPr>
        <w:t xml:space="preserve"> However, in the eyes of Goodnow, administrative law is not just normalized; it also plays a creative role by filling out the constitutional framework (e.g., it ‘supplements’ or ‘complements’). Certain parts of constitutional law are irrelevant to administrative law, while others (the so-called ‘constitutional foundations’</w:t>
      </w:r>
      <w:r w:rsidRPr="00DE2EDF">
        <w:rPr>
          <w:rStyle w:val="FootnoteReference"/>
          <w:rFonts w:cs="Times New Roman"/>
          <w:lang w:val="en-GB"/>
        </w:rPr>
        <w:footnoteReference w:id="118"/>
      </w:r>
      <w:r w:rsidRPr="00DE2EDF">
        <w:rPr>
          <w:rFonts w:eastAsia="Times New Roman" w:cs="Times New Roman"/>
          <w:iCs/>
          <w:lang w:val="en-GB"/>
        </w:rPr>
        <w:t xml:space="preserve"> of administrative law) are the cornerstone of administrative law. Each area of law looks at the issue of public power from a different perspective: ‘Constitutional law, it has been said </w:t>
      </w:r>
      <w:r w:rsidR="000556D2" w:rsidRPr="00DE2EDF">
        <w:rPr>
          <w:rFonts w:eastAsia="Times New Roman" w:cs="Times New Roman"/>
          <w:iCs/>
          <w:lang w:val="en-GB"/>
        </w:rPr>
        <w:t>(</w:t>
      </w:r>
      <w:r w:rsidRPr="00DE2EDF">
        <w:rPr>
          <w:rFonts w:eastAsia="Times New Roman" w:cs="Times New Roman"/>
          <w:iCs/>
          <w:lang w:val="en-GB"/>
        </w:rPr>
        <w:t>by a French administrative lawyer</w:t>
      </w:r>
      <w:r w:rsidR="000556D2" w:rsidRPr="00DE2EDF">
        <w:rPr>
          <w:rFonts w:eastAsia="Times New Roman" w:cs="Times New Roman"/>
          <w:iCs/>
          <w:lang w:val="en-GB"/>
        </w:rPr>
        <w:t>)</w:t>
      </w:r>
      <w:r w:rsidRPr="00DE2EDF">
        <w:rPr>
          <w:rFonts w:eastAsia="Times New Roman" w:cs="Times New Roman"/>
          <w:iCs/>
          <w:lang w:val="en-GB"/>
        </w:rPr>
        <w:t>, lays stress upon rights; administrative law emphasizes duties</w:t>
      </w:r>
      <w:r w:rsidR="00E03729" w:rsidRPr="00DE2EDF">
        <w:rPr>
          <w:rFonts w:eastAsia="Times New Roman" w:cs="Times New Roman"/>
          <w:iCs/>
          <w:lang w:val="en-GB"/>
        </w:rPr>
        <w:t>.</w:t>
      </w:r>
      <w:r w:rsidRPr="00DE2EDF">
        <w:rPr>
          <w:rFonts w:eastAsia="Times New Roman" w:cs="Times New Roman"/>
          <w:iCs/>
          <w:lang w:val="en-GB"/>
        </w:rPr>
        <w:t>’</w:t>
      </w:r>
      <w:r w:rsidRPr="00DE2EDF">
        <w:rPr>
          <w:rStyle w:val="FootnoteReference"/>
          <w:rFonts w:cs="Times New Roman"/>
          <w:lang w:val="en-GB"/>
        </w:rPr>
        <w:footnoteReference w:id="119"/>
      </w:r>
    </w:p>
    <w:p w14:paraId="65B2DC5E" w14:textId="77777777" w:rsidR="000F4C26" w:rsidRPr="00DE2EDF" w:rsidRDefault="000F4C26" w:rsidP="00DE2EDF">
      <w:pPr>
        <w:spacing w:after="0"/>
        <w:jc w:val="both"/>
        <w:rPr>
          <w:rFonts w:eastAsia="Times New Roman" w:cs="Times New Roman"/>
          <w:iCs/>
          <w:lang w:val="en-GB"/>
        </w:rPr>
      </w:pPr>
    </w:p>
    <w:p w14:paraId="19BCEDD3" w14:textId="77777777" w:rsidR="009E6479" w:rsidRPr="00DE2EDF" w:rsidRDefault="009E6479" w:rsidP="00DE2EDF">
      <w:pPr>
        <w:spacing w:after="0"/>
        <w:jc w:val="both"/>
        <w:rPr>
          <w:rFonts w:eastAsia="Times New Roman" w:cs="Times New Roman"/>
          <w:iCs/>
          <w:lang w:val="en-GB"/>
        </w:rPr>
      </w:pPr>
      <w:r w:rsidRPr="00DE2EDF">
        <w:rPr>
          <w:rFonts w:eastAsia="Times New Roman" w:cs="Times New Roman"/>
          <w:iCs/>
          <w:lang w:val="en-GB"/>
        </w:rPr>
        <w:t xml:space="preserve">The bond between administrative law and constitutional law is indeed complex. It is not a one-sided, but </w:t>
      </w:r>
      <w:r w:rsidRPr="00DE2EDF">
        <w:rPr>
          <w:rFonts w:eastAsia="Times New Roman" w:cs="Times New Roman"/>
          <w:lang w:val="en-GB"/>
        </w:rPr>
        <w:t>two-sided</w:t>
      </w:r>
      <w:r w:rsidRPr="00DE2EDF">
        <w:rPr>
          <w:rFonts w:eastAsia="Times New Roman" w:cs="Times New Roman"/>
          <w:iCs/>
          <w:lang w:val="en-GB"/>
        </w:rPr>
        <w:t xml:space="preserve"> relationship. </w:t>
      </w:r>
      <w:r w:rsidR="00727921" w:rsidRPr="00DE2EDF">
        <w:rPr>
          <w:rFonts w:eastAsia="Times New Roman" w:cs="Times New Roman"/>
          <w:iCs/>
          <w:lang w:val="en-GB"/>
        </w:rPr>
        <w:t xml:space="preserve">(1) </w:t>
      </w:r>
      <w:r w:rsidRPr="00DE2EDF">
        <w:rPr>
          <w:rFonts w:eastAsia="Times New Roman" w:cs="Times New Roman"/>
          <w:iCs/>
          <w:lang w:val="en-GB"/>
        </w:rPr>
        <w:t xml:space="preserve">Ordinary (i.e., sub-constitutional) administrative law </w:t>
      </w:r>
      <w:r w:rsidR="006B040A" w:rsidRPr="00DE2EDF">
        <w:rPr>
          <w:rFonts w:eastAsia="Times New Roman" w:cs="Times New Roman"/>
          <w:iCs/>
          <w:lang w:val="en-GB"/>
        </w:rPr>
        <w:t xml:space="preserve">is informed, through various channels, by </w:t>
      </w:r>
      <w:r w:rsidRPr="00DE2EDF">
        <w:rPr>
          <w:rFonts w:eastAsia="Times New Roman" w:cs="Times New Roman"/>
          <w:iCs/>
          <w:lang w:val="en-GB"/>
        </w:rPr>
        <w:t xml:space="preserve">the </w:t>
      </w:r>
      <w:r w:rsidR="006B040A" w:rsidRPr="00DE2EDF">
        <w:rPr>
          <w:rFonts w:eastAsia="Times New Roman" w:cs="Times New Roman"/>
          <w:iCs/>
          <w:lang w:val="en-GB"/>
        </w:rPr>
        <w:t>normative standards</w:t>
      </w:r>
      <w:r w:rsidR="00C0029F" w:rsidRPr="00DE2EDF">
        <w:rPr>
          <w:rFonts w:eastAsia="Times New Roman" w:cs="Times New Roman"/>
          <w:iCs/>
          <w:lang w:val="en-GB"/>
        </w:rPr>
        <w:t xml:space="preserve"> (principles and/or rules)</w:t>
      </w:r>
      <w:r w:rsidR="006B040A" w:rsidRPr="00DE2EDF">
        <w:rPr>
          <w:rFonts w:eastAsia="Times New Roman" w:cs="Times New Roman"/>
          <w:iCs/>
          <w:lang w:val="en-GB"/>
        </w:rPr>
        <w:t xml:space="preserve"> </w:t>
      </w:r>
      <w:r w:rsidR="00D25E4E" w:rsidRPr="00DE2EDF">
        <w:rPr>
          <w:rFonts w:eastAsia="Times New Roman" w:cs="Times New Roman"/>
          <w:iCs/>
          <w:lang w:val="en-GB"/>
        </w:rPr>
        <w:t>set by</w:t>
      </w:r>
      <w:r w:rsidR="006B040A" w:rsidRPr="00DE2EDF">
        <w:rPr>
          <w:rFonts w:eastAsia="Times New Roman" w:cs="Times New Roman"/>
          <w:iCs/>
          <w:lang w:val="en-GB"/>
        </w:rPr>
        <w:t xml:space="preserve"> the </w:t>
      </w:r>
      <w:r w:rsidR="00727921" w:rsidRPr="00DE2EDF">
        <w:rPr>
          <w:rFonts w:eastAsia="Times New Roman" w:cs="Times New Roman"/>
          <w:iCs/>
          <w:lang w:val="en-GB"/>
        </w:rPr>
        <w:t xml:space="preserve">higher </w:t>
      </w:r>
      <w:r w:rsidRPr="00DE2EDF">
        <w:rPr>
          <w:rFonts w:eastAsia="Times New Roman" w:cs="Times New Roman"/>
          <w:iCs/>
          <w:lang w:val="en-GB"/>
        </w:rPr>
        <w:t xml:space="preserve">Constitution, an aspect that stands out most clearly in the debate. </w:t>
      </w:r>
      <w:r w:rsidR="00727921" w:rsidRPr="00DE2EDF">
        <w:rPr>
          <w:rFonts w:eastAsia="Times New Roman" w:cs="Times New Roman"/>
          <w:iCs/>
          <w:lang w:val="en-GB"/>
        </w:rPr>
        <w:t>However, t</w:t>
      </w:r>
      <w:r w:rsidR="00980811" w:rsidRPr="00DE2EDF">
        <w:rPr>
          <w:rFonts w:eastAsia="Times New Roman" w:cs="Times New Roman"/>
          <w:iCs/>
          <w:lang w:val="en-GB"/>
        </w:rPr>
        <w:t>he extent of this predetermination</w:t>
      </w:r>
      <w:r w:rsidR="00727921" w:rsidRPr="00DE2EDF">
        <w:rPr>
          <w:rFonts w:eastAsia="Times New Roman" w:cs="Times New Roman"/>
          <w:iCs/>
          <w:lang w:val="en-GB"/>
        </w:rPr>
        <w:t xml:space="preserve"> or, to put it </w:t>
      </w:r>
      <w:r w:rsidR="00727921" w:rsidRPr="00DE2EDF">
        <w:rPr>
          <w:rFonts w:eastAsia="Times New Roman" w:cs="Times New Roman"/>
          <w:iCs/>
          <w:lang w:val="en-GB"/>
        </w:rPr>
        <w:lastRenderedPageBreak/>
        <w:t>differently, of ordinary administrative law’s autonomy must</w:t>
      </w:r>
      <w:r w:rsidR="00980811" w:rsidRPr="00DE2EDF">
        <w:rPr>
          <w:rFonts w:eastAsia="Times New Roman" w:cs="Times New Roman"/>
          <w:iCs/>
          <w:lang w:val="en-GB"/>
        </w:rPr>
        <w:t xml:space="preserve"> be assessed </w:t>
      </w:r>
      <w:r w:rsidR="00727921" w:rsidRPr="00DE2EDF">
        <w:rPr>
          <w:rFonts w:eastAsia="Times New Roman" w:cs="Times New Roman"/>
          <w:iCs/>
          <w:lang w:val="en-GB"/>
        </w:rPr>
        <w:t xml:space="preserve">very </w:t>
      </w:r>
      <w:r w:rsidR="00980811" w:rsidRPr="00DE2EDF">
        <w:rPr>
          <w:rFonts w:eastAsia="Times New Roman" w:cs="Times New Roman"/>
          <w:iCs/>
          <w:lang w:val="en-GB"/>
        </w:rPr>
        <w:t>carefully, as it may greatly vary.</w:t>
      </w:r>
      <w:r w:rsidR="00727921" w:rsidRPr="00DE2EDF">
        <w:rPr>
          <w:rFonts w:eastAsia="Times New Roman" w:cs="Times New Roman"/>
          <w:iCs/>
          <w:lang w:val="en-GB"/>
        </w:rPr>
        <w:t xml:space="preserve"> (2)</w:t>
      </w:r>
      <w:r w:rsidR="00980811" w:rsidRPr="00DE2EDF">
        <w:rPr>
          <w:rFonts w:eastAsia="Times New Roman" w:cs="Times New Roman"/>
          <w:iCs/>
          <w:lang w:val="en-GB"/>
        </w:rPr>
        <w:t xml:space="preserve"> </w:t>
      </w:r>
      <w:r w:rsidR="00226C19" w:rsidRPr="00DE2EDF">
        <w:rPr>
          <w:rFonts w:eastAsia="Times New Roman" w:cs="Times New Roman"/>
          <w:iCs/>
          <w:lang w:val="en-GB"/>
        </w:rPr>
        <w:t>I</w:t>
      </w:r>
      <w:r w:rsidRPr="00DE2EDF">
        <w:rPr>
          <w:rFonts w:eastAsia="Times New Roman" w:cs="Times New Roman"/>
          <w:iCs/>
          <w:lang w:val="en-GB"/>
        </w:rPr>
        <w:t xml:space="preserve">n other ways, the Constitution </w:t>
      </w:r>
      <w:r w:rsidR="00226C19" w:rsidRPr="00DE2EDF">
        <w:rPr>
          <w:rFonts w:eastAsia="Times New Roman" w:cs="Times New Roman"/>
          <w:iCs/>
          <w:lang w:val="en-GB"/>
        </w:rPr>
        <w:t xml:space="preserve">also </w:t>
      </w:r>
      <w:r w:rsidR="00E03729" w:rsidRPr="00DE2EDF">
        <w:rPr>
          <w:rFonts w:eastAsia="Times New Roman" w:cs="Times New Roman"/>
          <w:iCs/>
          <w:lang w:val="en-GB"/>
        </w:rPr>
        <w:t xml:space="preserve">(a) </w:t>
      </w:r>
      <w:r w:rsidRPr="00DE2EDF">
        <w:rPr>
          <w:rFonts w:eastAsia="Times New Roman" w:cs="Times New Roman"/>
          <w:iCs/>
          <w:lang w:val="en-GB"/>
        </w:rPr>
        <w:t>depends on</w:t>
      </w:r>
      <w:r w:rsidR="00727921" w:rsidRPr="00DE2EDF">
        <w:rPr>
          <w:rFonts w:eastAsia="Times New Roman" w:cs="Times New Roman"/>
          <w:iCs/>
          <w:lang w:val="en-GB"/>
        </w:rPr>
        <w:t xml:space="preserve"> </w:t>
      </w:r>
      <w:r w:rsidR="00D25E4E" w:rsidRPr="00DE2EDF">
        <w:rPr>
          <w:rFonts w:eastAsia="Times New Roman" w:cs="Times New Roman"/>
          <w:iCs/>
          <w:lang w:val="en-GB"/>
        </w:rPr>
        <w:t xml:space="preserve">or </w:t>
      </w:r>
      <w:r w:rsidR="00E03729" w:rsidRPr="00DE2EDF">
        <w:rPr>
          <w:rFonts w:eastAsia="Times New Roman" w:cs="Times New Roman"/>
          <w:iCs/>
          <w:lang w:val="en-GB"/>
        </w:rPr>
        <w:t xml:space="preserve">(b) </w:t>
      </w:r>
      <w:r w:rsidR="00D25E4E" w:rsidRPr="00DE2EDF">
        <w:rPr>
          <w:rFonts w:eastAsia="Times New Roman" w:cs="Times New Roman"/>
          <w:iCs/>
          <w:lang w:val="en-GB"/>
        </w:rPr>
        <w:t>is inspired by,</w:t>
      </w:r>
      <w:r w:rsidRPr="00DE2EDF">
        <w:rPr>
          <w:rFonts w:eastAsia="Times New Roman" w:cs="Times New Roman"/>
          <w:iCs/>
          <w:lang w:val="en-GB"/>
        </w:rPr>
        <w:t xml:space="preserve"> ordinary administrative law</w:t>
      </w:r>
      <w:r w:rsidR="00A0548B" w:rsidRPr="00DE2EDF">
        <w:rPr>
          <w:rFonts w:eastAsia="Times New Roman" w:cs="Times New Roman"/>
          <w:iCs/>
          <w:lang w:val="en-GB"/>
        </w:rPr>
        <w:t>.</w:t>
      </w:r>
      <w:bookmarkStart w:id="223" w:name="_ftnref105"/>
      <w:r w:rsidRPr="00DE2EDF">
        <w:rPr>
          <w:rFonts w:eastAsia="Times New Roman" w:cs="Times New Roman"/>
          <w:iCs/>
          <w:lang w:val="en-GB"/>
        </w:rPr>
        <w:t xml:space="preserve"> </w:t>
      </w:r>
      <w:r w:rsidR="00727921" w:rsidRPr="00DE2EDF">
        <w:rPr>
          <w:rFonts w:eastAsia="Times New Roman" w:cs="Times New Roman"/>
          <w:iCs/>
          <w:lang w:val="en-GB"/>
        </w:rPr>
        <w:t xml:space="preserve">(2a) </w:t>
      </w:r>
      <w:r w:rsidRPr="00DE2EDF">
        <w:rPr>
          <w:rFonts w:cs="Times New Roman"/>
          <w:lang w:val="en-GB"/>
        </w:rPr>
        <w:t>Without the infrastructure of administrative legislation, regulations,</w:t>
      </w:r>
      <w:r w:rsidR="00226C19" w:rsidRPr="00DE2EDF">
        <w:rPr>
          <w:rFonts w:cs="Times New Roman"/>
          <w:lang w:val="en-GB"/>
        </w:rPr>
        <w:t xml:space="preserve"> case law, contracts</w:t>
      </w:r>
      <w:r w:rsidR="00E03729" w:rsidRPr="00DE2EDF">
        <w:rPr>
          <w:rFonts w:cs="Times New Roman"/>
          <w:lang w:val="en-GB"/>
        </w:rPr>
        <w:t>,</w:t>
      </w:r>
      <w:r w:rsidRPr="00DE2EDF">
        <w:rPr>
          <w:rFonts w:cs="Times New Roman"/>
          <w:lang w:val="en-GB"/>
        </w:rPr>
        <w:t xml:space="preserve"> and decisions, the constitutional superstructure would literally hang in </w:t>
      </w:r>
      <w:r w:rsidR="00EA5C56" w:rsidRPr="00DE2EDF">
        <w:rPr>
          <w:rFonts w:cs="Times New Roman"/>
          <w:lang w:val="en-GB"/>
        </w:rPr>
        <w:t>mid-</w:t>
      </w:r>
      <w:r w:rsidRPr="00DE2EDF">
        <w:rPr>
          <w:rFonts w:cs="Times New Roman"/>
          <w:lang w:val="en-GB"/>
        </w:rPr>
        <w:t>air. The Constitution would be just a piece of paper, perhaps beautifully written, fair, and normative, but ineffective</w:t>
      </w:r>
      <w:r w:rsidR="00981C67" w:rsidRPr="00DE2EDF">
        <w:rPr>
          <w:rFonts w:cs="Times New Roman"/>
          <w:lang w:val="en-GB"/>
        </w:rPr>
        <w:t>.</w:t>
      </w:r>
      <w:r w:rsidR="00800BD4" w:rsidRPr="00DE2EDF">
        <w:rPr>
          <w:rStyle w:val="FootnoteReference"/>
          <w:rFonts w:cs="Times New Roman"/>
          <w:lang w:val="en-GB"/>
        </w:rPr>
        <w:footnoteReference w:id="120"/>
      </w:r>
      <w:r w:rsidR="00D25E4E" w:rsidRPr="00DE2EDF">
        <w:rPr>
          <w:rFonts w:cs="Times New Roman"/>
          <w:lang w:val="en-GB"/>
        </w:rPr>
        <w:t xml:space="preserve"> </w:t>
      </w:r>
      <w:r w:rsidR="00727921" w:rsidRPr="00DE2EDF">
        <w:rPr>
          <w:rFonts w:cs="Times New Roman"/>
          <w:lang w:val="en-GB"/>
        </w:rPr>
        <w:t xml:space="preserve">(2b) </w:t>
      </w:r>
      <w:r w:rsidR="00D25E4E" w:rsidRPr="00DE2EDF">
        <w:rPr>
          <w:rFonts w:cs="Times New Roman"/>
          <w:lang w:val="en-GB"/>
        </w:rPr>
        <w:t xml:space="preserve">The content of constitutional law may also </w:t>
      </w:r>
      <w:r w:rsidR="00226C19" w:rsidRPr="00DE2EDF">
        <w:rPr>
          <w:rFonts w:cs="Times New Roman"/>
          <w:lang w:val="en-GB"/>
        </w:rPr>
        <w:t xml:space="preserve">stem from </w:t>
      </w:r>
      <w:r w:rsidR="00D25E4E" w:rsidRPr="00DE2EDF">
        <w:rPr>
          <w:rFonts w:cs="Times New Roman"/>
          <w:lang w:val="en-GB"/>
        </w:rPr>
        <w:t xml:space="preserve">solutions established long </w:t>
      </w:r>
      <w:r w:rsidR="00981C67" w:rsidRPr="00DE2EDF">
        <w:rPr>
          <w:rFonts w:cs="Times New Roman"/>
          <w:lang w:val="en-GB"/>
        </w:rPr>
        <w:t>ago</w:t>
      </w:r>
      <w:r w:rsidR="00D25E4E" w:rsidRPr="00DE2EDF">
        <w:rPr>
          <w:rFonts w:cs="Times New Roman"/>
          <w:lang w:val="en-GB"/>
        </w:rPr>
        <w:t xml:space="preserve"> by </w:t>
      </w:r>
      <w:r w:rsidR="0091062C" w:rsidRPr="00DE2EDF">
        <w:rPr>
          <w:rFonts w:cs="Times New Roman"/>
          <w:lang w:val="en-GB"/>
        </w:rPr>
        <w:t xml:space="preserve">(ordinary) </w:t>
      </w:r>
      <w:r w:rsidR="00D25E4E" w:rsidRPr="00DE2EDF">
        <w:rPr>
          <w:rFonts w:cs="Times New Roman"/>
          <w:lang w:val="en-GB"/>
        </w:rPr>
        <w:t>administrative law</w:t>
      </w:r>
      <w:r w:rsidR="00A0548B" w:rsidRPr="00DE2EDF">
        <w:rPr>
          <w:rFonts w:cs="Times New Roman"/>
          <w:lang w:val="en-GB"/>
        </w:rPr>
        <w:t>, which have proven valuable</w:t>
      </w:r>
      <w:r w:rsidR="00BF1E57" w:rsidRPr="00DE2EDF">
        <w:rPr>
          <w:rFonts w:cs="Times New Roman"/>
          <w:lang w:val="en-GB"/>
        </w:rPr>
        <w:t xml:space="preserve"> and adaptable</w:t>
      </w:r>
      <w:r w:rsidR="00864B16" w:rsidRPr="00DE2EDF">
        <w:rPr>
          <w:rFonts w:cs="Times New Roman"/>
          <w:lang w:val="en-GB"/>
        </w:rPr>
        <w:t>. This phenomenon of legal transfer or ‘learning process’</w:t>
      </w:r>
      <w:r w:rsidR="002B60B3" w:rsidRPr="00DE2EDF">
        <w:rPr>
          <w:rFonts w:cs="Times New Roman"/>
          <w:lang w:val="en-GB"/>
        </w:rPr>
        <w:t xml:space="preserve"> (Jens Kersten)</w:t>
      </w:r>
      <w:r w:rsidR="00864B16" w:rsidRPr="00DE2EDF">
        <w:rPr>
          <w:rFonts w:cs="Times New Roman"/>
          <w:lang w:val="en-GB"/>
        </w:rPr>
        <w:t xml:space="preserve"> has been </w:t>
      </w:r>
      <w:r w:rsidR="00BF1E57" w:rsidRPr="00DE2EDF">
        <w:rPr>
          <w:rFonts w:cs="Times New Roman"/>
          <w:lang w:val="en-GB"/>
        </w:rPr>
        <w:t>designated</w:t>
      </w:r>
      <w:r w:rsidR="001F3841" w:rsidRPr="00DE2EDF">
        <w:rPr>
          <w:rFonts w:cs="Times New Roman"/>
          <w:lang w:val="en-GB"/>
        </w:rPr>
        <w:t xml:space="preserve">, in France, </w:t>
      </w:r>
      <w:r w:rsidR="00BF1E57" w:rsidRPr="00DE2EDF">
        <w:rPr>
          <w:rFonts w:cs="Times New Roman"/>
          <w:lang w:val="en-GB"/>
        </w:rPr>
        <w:t>by George Vedel</w:t>
      </w:r>
      <w:r w:rsidR="001F3841" w:rsidRPr="00DE2EDF">
        <w:rPr>
          <w:rFonts w:cs="Times New Roman"/>
          <w:lang w:val="en-GB"/>
        </w:rPr>
        <w:t>’s</w:t>
      </w:r>
      <w:r w:rsidR="00BF1E57" w:rsidRPr="00DE2EDF">
        <w:rPr>
          <w:rFonts w:cs="Times New Roman"/>
          <w:lang w:val="en-GB"/>
        </w:rPr>
        <w:t xml:space="preserve"> provocative phrase ‘administrati</w:t>
      </w:r>
      <w:r w:rsidR="00015C30" w:rsidRPr="00DE2EDF">
        <w:rPr>
          <w:rFonts w:cs="Times New Roman"/>
          <w:lang w:val="en-GB"/>
        </w:rPr>
        <w:t>z</w:t>
      </w:r>
      <w:r w:rsidR="001F3841" w:rsidRPr="00DE2EDF">
        <w:rPr>
          <w:rFonts w:cs="Times New Roman"/>
          <w:lang w:val="en-GB"/>
        </w:rPr>
        <w:t>ation of constitutional law</w:t>
      </w:r>
      <w:r w:rsidR="00BF1E57" w:rsidRPr="00DE2EDF">
        <w:rPr>
          <w:rFonts w:cs="Times New Roman"/>
          <w:lang w:val="en-GB"/>
        </w:rPr>
        <w:t>’</w:t>
      </w:r>
      <w:r w:rsidR="001F3841" w:rsidRPr="00DE2EDF">
        <w:rPr>
          <w:rFonts w:cs="Times New Roman"/>
          <w:lang w:val="en-GB"/>
        </w:rPr>
        <w:t xml:space="preserve"> or, in Germany, </w:t>
      </w:r>
      <w:r w:rsidR="00B47F72" w:rsidRPr="00DE2EDF">
        <w:rPr>
          <w:rFonts w:cs="Times New Roman"/>
          <w:lang w:val="en-GB"/>
        </w:rPr>
        <w:t xml:space="preserve">inter alia </w:t>
      </w:r>
      <w:r w:rsidR="001F3841" w:rsidRPr="00DE2EDF">
        <w:rPr>
          <w:rFonts w:cs="Times New Roman"/>
          <w:lang w:val="en-GB"/>
        </w:rPr>
        <w:t>by the qualification of constitutional law as ‘</w:t>
      </w:r>
      <w:r w:rsidR="00B47F72" w:rsidRPr="00DE2EDF">
        <w:rPr>
          <w:rFonts w:cs="Times New Roman"/>
          <w:lang w:val="en-GB"/>
        </w:rPr>
        <w:t>abstracted administrative law’ (Christoph Möllers)</w:t>
      </w:r>
      <w:r w:rsidR="00D25E4E" w:rsidRPr="00DE2EDF">
        <w:rPr>
          <w:rFonts w:cs="Times New Roman"/>
          <w:lang w:val="en-GB"/>
        </w:rPr>
        <w:t>.</w:t>
      </w:r>
      <w:hyperlink r:id="rId14" w:tgtFrame="_top" w:history="1"/>
      <w:bookmarkEnd w:id="223"/>
      <w:r w:rsidRPr="00DE2EDF">
        <w:rPr>
          <w:rFonts w:eastAsia="Times New Roman" w:cs="Times New Roman"/>
          <w:iCs/>
          <w:lang w:val="en-GB"/>
        </w:rPr>
        <w:t xml:space="preserve"> Th</w:t>
      </w:r>
      <w:r w:rsidR="00140F1D" w:rsidRPr="00DE2EDF">
        <w:rPr>
          <w:rFonts w:eastAsia="Times New Roman" w:cs="Times New Roman"/>
          <w:iCs/>
          <w:lang w:val="en-GB"/>
        </w:rPr>
        <w:t>e coexistence of these two perspectives</w:t>
      </w:r>
      <w:r w:rsidR="00727921" w:rsidRPr="00DE2EDF">
        <w:rPr>
          <w:rFonts w:eastAsia="Times New Roman" w:cs="Times New Roman"/>
          <w:iCs/>
          <w:lang w:val="en-GB"/>
        </w:rPr>
        <w:t xml:space="preserve"> (1) and (2)</w:t>
      </w:r>
      <w:r w:rsidR="00140F1D" w:rsidRPr="00DE2EDF">
        <w:rPr>
          <w:rFonts w:eastAsia="Times New Roman" w:cs="Times New Roman"/>
          <w:iCs/>
          <w:lang w:val="en-GB"/>
        </w:rPr>
        <w:t xml:space="preserve"> and the </w:t>
      </w:r>
      <w:r w:rsidR="002B60B3" w:rsidRPr="00DE2EDF">
        <w:rPr>
          <w:rFonts w:eastAsia="Times New Roman" w:cs="Times New Roman"/>
          <w:iCs/>
          <w:lang w:val="en-GB"/>
        </w:rPr>
        <w:t xml:space="preserve">internal </w:t>
      </w:r>
      <w:r w:rsidR="00140F1D" w:rsidRPr="00DE2EDF">
        <w:rPr>
          <w:rFonts w:eastAsia="Times New Roman" w:cs="Times New Roman"/>
          <w:iCs/>
          <w:lang w:val="en-GB"/>
        </w:rPr>
        <w:t xml:space="preserve">complexity of each of </w:t>
      </w:r>
      <w:r w:rsidR="007174C4" w:rsidRPr="00DE2EDF">
        <w:rPr>
          <w:rFonts w:eastAsia="Times New Roman" w:cs="Times New Roman"/>
          <w:iCs/>
          <w:lang w:val="en-GB"/>
        </w:rPr>
        <w:t xml:space="preserve">them </w:t>
      </w:r>
      <w:r w:rsidR="00140F1D" w:rsidRPr="00DE2EDF">
        <w:rPr>
          <w:rFonts w:eastAsia="Times New Roman" w:cs="Times New Roman"/>
          <w:iCs/>
          <w:lang w:val="en-GB"/>
        </w:rPr>
        <w:t>ex</w:t>
      </w:r>
      <w:r w:rsidRPr="00DE2EDF">
        <w:rPr>
          <w:rFonts w:eastAsia="Times New Roman" w:cs="Times New Roman"/>
          <w:iCs/>
          <w:lang w:val="en-GB"/>
        </w:rPr>
        <w:t>plain</w:t>
      </w:r>
      <w:r w:rsidR="00140F1D" w:rsidRPr="00DE2EDF">
        <w:rPr>
          <w:rFonts w:eastAsia="Times New Roman" w:cs="Times New Roman"/>
          <w:iCs/>
          <w:lang w:val="en-GB"/>
        </w:rPr>
        <w:t xml:space="preserve"> the</w:t>
      </w:r>
      <w:r w:rsidRPr="00DE2EDF">
        <w:rPr>
          <w:rFonts w:eastAsia="Times New Roman" w:cs="Times New Roman"/>
          <w:iCs/>
          <w:lang w:val="en-GB"/>
        </w:rPr>
        <w:t xml:space="preserve"> diversity of national solutions. That </w:t>
      </w:r>
      <w:r w:rsidR="00864B16" w:rsidRPr="00DE2EDF">
        <w:rPr>
          <w:rFonts w:eastAsia="Times New Roman" w:cs="Times New Roman"/>
          <w:iCs/>
          <w:lang w:val="en-GB"/>
        </w:rPr>
        <w:t xml:space="preserve">ordinary </w:t>
      </w:r>
      <w:r w:rsidRPr="00DE2EDF">
        <w:rPr>
          <w:rFonts w:eastAsia="Times New Roman" w:cs="Times New Roman"/>
          <w:iCs/>
          <w:lang w:val="en-GB"/>
        </w:rPr>
        <w:t>administrative law depends on constitutional law</w:t>
      </w:r>
      <w:r w:rsidR="00864B16" w:rsidRPr="00DE2EDF">
        <w:rPr>
          <w:rFonts w:eastAsia="Times New Roman" w:cs="Times New Roman"/>
          <w:iCs/>
          <w:lang w:val="en-GB"/>
        </w:rPr>
        <w:t>, and vice versa,</w:t>
      </w:r>
      <w:r w:rsidRPr="00DE2EDF">
        <w:rPr>
          <w:rFonts w:eastAsia="Times New Roman" w:cs="Times New Roman"/>
          <w:iCs/>
          <w:lang w:val="en-GB"/>
        </w:rPr>
        <w:t xml:space="preserve"> is </w:t>
      </w:r>
      <w:r w:rsidR="00943268" w:rsidRPr="00DE2EDF">
        <w:rPr>
          <w:rFonts w:eastAsia="Times New Roman" w:cs="Times New Roman"/>
          <w:iCs/>
          <w:lang w:val="en-GB"/>
        </w:rPr>
        <w:t xml:space="preserve">a </w:t>
      </w:r>
      <w:r w:rsidRPr="00DE2EDF">
        <w:rPr>
          <w:rFonts w:eastAsia="Times New Roman" w:cs="Times New Roman"/>
          <w:iCs/>
          <w:lang w:val="en-GB"/>
        </w:rPr>
        <w:t xml:space="preserve">common European </w:t>
      </w:r>
      <w:r w:rsidR="00864B16" w:rsidRPr="00DE2EDF">
        <w:rPr>
          <w:rFonts w:eastAsia="Times New Roman" w:cs="Times New Roman"/>
          <w:iCs/>
          <w:lang w:val="en-GB"/>
        </w:rPr>
        <w:t>paradigm</w:t>
      </w:r>
      <w:r w:rsidRPr="00DE2EDF">
        <w:rPr>
          <w:rFonts w:eastAsia="Times New Roman" w:cs="Times New Roman"/>
          <w:iCs/>
          <w:lang w:val="en-GB"/>
        </w:rPr>
        <w:t xml:space="preserve">; </w:t>
      </w:r>
      <w:r w:rsidR="005F774D" w:rsidRPr="00DE2EDF">
        <w:rPr>
          <w:rFonts w:eastAsia="Times New Roman" w:cs="Times New Roman"/>
          <w:iCs/>
          <w:lang w:val="en-GB"/>
        </w:rPr>
        <w:t xml:space="preserve">yet, </w:t>
      </w:r>
      <w:r w:rsidR="00864B16" w:rsidRPr="00DE2EDF">
        <w:rPr>
          <w:rFonts w:eastAsia="Times New Roman" w:cs="Times New Roman"/>
          <w:iCs/>
          <w:lang w:val="en-GB"/>
        </w:rPr>
        <w:t>the</w:t>
      </w:r>
      <w:r w:rsidRPr="00DE2EDF">
        <w:rPr>
          <w:rFonts w:eastAsia="Times New Roman" w:cs="Times New Roman"/>
          <w:iCs/>
          <w:lang w:val="en-GB"/>
        </w:rPr>
        <w:t xml:space="preserve"> actual form </w:t>
      </w:r>
      <w:r w:rsidR="00864B16" w:rsidRPr="00DE2EDF">
        <w:rPr>
          <w:rFonts w:eastAsia="Times New Roman" w:cs="Times New Roman"/>
          <w:iCs/>
          <w:lang w:val="en-GB"/>
        </w:rPr>
        <w:t>of this complex relationship</w:t>
      </w:r>
      <w:r w:rsidR="00226C19" w:rsidRPr="00DE2EDF">
        <w:rPr>
          <w:rFonts w:eastAsia="Times New Roman" w:cs="Times New Roman"/>
          <w:iCs/>
          <w:lang w:val="en-GB"/>
        </w:rPr>
        <w:t xml:space="preserve"> may</w:t>
      </w:r>
      <w:r w:rsidR="007174C4" w:rsidRPr="00DE2EDF">
        <w:rPr>
          <w:rFonts w:eastAsia="Times New Roman" w:cs="Times New Roman"/>
          <w:iCs/>
          <w:lang w:val="en-GB"/>
        </w:rPr>
        <w:t xml:space="preserve">, and does, </w:t>
      </w:r>
      <w:r w:rsidR="00226C19" w:rsidRPr="00DE2EDF">
        <w:rPr>
          <w:rFonts w:eastAsia="Times New Roman" w:cs="Times New Roman"/>
          <w:iCs/>
          <w:lang w:val="en-GB"/>
        </w:rPr>
        <w:t xml:space="preserve">vary, </w:t>
      </w:r>
      <w:r w:rsidRPr="00DE2EDF">
        <w:rPr>
          <w:rFonts w:eastAsia="Times New Roman" w:cs="Times New Roman"/>
          <w:iCs/>
          <w:lang w:val="en-GB"/>
        </w:rPr>
        <w:t>depending on</w:t>
      </w:r>
      <w:r w:rsidR="00727921" w:rsidRPr="00DE2EDF">
        <w:rPr>
          <w:rFonts w:eastAsia="Times New Roman" w:cs="Times New Roman"/>
          <w:iCs/>
          <w:lang w:val="en-GB"/>
        </w:rPr>
        <w:t xml:space="preserve"> the specific context of each</w:t>
      </w:r>
      <w:r w:rsidRPr="00DE2EDF">
        <w:rPr>
          <w:rFonts w:eastAsia="Times New Roman" w:cs="Times New Roman"/>
          <w:iCs/>
          <w:lang w:val="en-GB"/>
        </w:rPr>
        <w:t xml:space="preserve"> country and era. There are differences in substance as well as terms. Even if the terminology </w:t>
      </w:r>
      <w:r w:rsidR="00943268" w:rsidRPr="00DE2EDF">
        <w:rPr>
          <w:rFonts w:eastAsia="Times New Roman" w:cs="Times New Roman"/>
          <w:iCs/>
          <w:lang w:val="en-GB"/>
        </w:rPr>
        <w:t xml:space="preserve">used </w:t>
      </w:r>
      <w:r w:rsidRPr="00DE2EDF">
        <w:rPr>
          <w:rFonts w:eastAsia="Times New Roman" w:cs="Times New Roman"/>
          <w:iCs/>
          <w:lang w:val="en-GB"/>
        </w:rPr>
        <w:t>is the same (e.g., the older term</w:t>
      </w:r>
      <w:r w:rsidR="007174C4" w:rsidRPr="00DE2EDF">
        <w:rPr>
          <w:rFonts w:eastAsia="Times New Roman" w:cs="Times New Roman"/>
          <w:iCs/>
          <w:lang w:val="en-GB"/>
        </w:rPr>
        <w:t>:</w:t>
      </w:r>
      <w:r w:rsidRPr="00DE2EDF">
        <w:rPr>
          <w:rFonts w:eastAsia="Times New Roman" w:cs="Times New Roman"/>
          <w:iCs/>
          <w:lang w:val="en-GB"/>
        </w:rPr>
        <w:t xml:space="preserve"> ‘constitutional foundations’ </w:t>
      </w:r>
      <w:r w:rsidR="00E56886">
        <w:rPr>
          <w:rFonts w:eastAsia="Times New Roman" w:cs="Times New Roman"/>
          <w:iCs/>
          <w:lang w:val="en-GB"/>
        </w:rPr>
        <w:t>or the current ‘constitutionaliz</w:t>
      </w:r>
      <w:r w:rsidRPr="00DE2EDF">
        <w:rPr>
          <w:rFonts w:eastAsia="Times New Roman" w:cs="Times New Roman"/>
          <w:iCs/>
          <w:lang w:val="en-GB"/>
        </w:rPr>
        <w:t xml:space="preserve">ation’ of administrative law), one must be careful not to hastily conclude it has the same meaning in each jurisdiction. The following pages will be devoted, first, to a brief outline of the scale of variations, before looking at </w:t>
      </w:r>
      <w:r w:rsidR="005F774D" w:rsidRPr="00DE2EDF">
        <w:rPr>
          <w:rFonts w:eastAsia="Times New Roman" w:cs="Times New Roman"/>
          <w:iCs/>
          <w:lang w:val="en-GB"/>
        </w:rPr>
        <w:t xml:space="preserve">precise </w:t>
      </w:r>
      <w:r w:rsidRPr="00DE2EDF">
        <w:rPr>
          <w:rFonts w:eastAsia="Times New Roman" w:cs="Times New Roman"/>
          <w:iCs/>
          <w:lang w:val="en-GB"/>
        </w:rPr>
        <w:t>parameters that might explain such diversity.</w:t>
      </w:r>
    </w:p>
    <w:p w14:paraId="7FFC6BCD" w14:textId="77777777" w:rsidR="002D66C1" w:rsidRPr="00DE2EDF" w:rsidRDefault="002D66C1" w:rsidP="00DE2EDF">
      <w:pPr>
        <w:spacing w:after="0"/>
        <w:jc w:val="both"/>
        <w:rPr>
          <w:rFonts w:eastAsia="Times New Roman" w:cs="Times New Roman"/>
          <w:iCs/>
          <w:lang w:val="en-GB"/>
        </w:rPr>
      </w:pPr>
    </w:p>
    <w:p w14:paraId="11C08180" w14:textId="77777777" w:rsidR="0073465B" w:rsidRPr="00DE2EDF" w:rsidRDefault="002D66C1" w:rsidP="00DE2EDF">
      <w:pPr>
        <w:pStyle w:val="Heading2"/>
        <w:spacing w:before="0" w:after="0" w:line="276" w:lineRule="auto"/>
        <w:ind w:left="0" w:firstLine="0"/>
        <w:rPr>
          <w:rFonts w:eastAsia="Times New Roman" w:cs="Times New Roman"/>
          <w:szCs w:val="24"/>
          <w:lang w:val="en-GB"/>
        </w:rPr>
      </w:pPr>
      <w:bookmarkStart w:id="224" w:name="_Toc245196676"/>
      <w:bookmarkStart w:id="225" w:name="_Toc460405637"/>
      <w:r w:rsidRPr="00DE2EDF">
        <w:rPr>
          <w:rFonts w:eastAsia="Times New Roman" w:cs="Times New Roman"/>
          <w:szCs w:val="24"/>
          <w:lang w:val="en-GB"/>
        </w:rPr>
        <w:t xml:space="preserve">1. </w:t>
      </w:r>
      <w:r w:rsidR="0073465B" w:rsidRPr="00DE2EDF">
        <w:rPr>
          <w:rFonts w:eastAsia="Times New Roman" w:cs="Times New Roman"/>
          <w:szCs w:val="24"/>
          <w:lang w:val="en-GB"/>
        </w:rPr>
        <w:t xml:space="preserve">A </w:t>
      </w:r>
      <w:r w:rsidR="000556D2" w:rsidRPr="00DE2EDF">
        <w:rPr>
          <w:rFonts w:eastAsia="Times New Roman" w:cs="Times New Roman"/>
          <w:szCs w:val="24"/>
          <w:lang w:val="en-GB"/>
        </w:rPr>
        <w:t>B</w:t>
      </w:r>
      <w:r w:rsidR="0073465B" w:rsidRPr="00DE2EDF">
        <w:rPr>
          <w:rFonts w:eastAsia="Times New Roman" w:cs="Times New Roman"/>
          <w:szCs w:val="24"/>
          <w:lang w:val="en-GB"/>
        </w:rPr>
        <w:t xml:space="preserve">road </w:t>
      </w:r>
      <w:r w:rsidR="000556D2" w:rsidRPr="00DE2EDF">
        <w:rPr>
          <w:rFonts w:eastAsia="Times New Roman" w:cs="Times New Roman"/>
          <w:szCs w:val="24"/>
          <w:lang w:val="en-GB"/>
        </w:rPr>
        <w:t>S</w:t>
      </w:r>
      <w:r w:rsidR="0073465B" w:rsidRPr="00DE2EDF">
        <w:rPr>
          <w:rFonts w:eastAsia="Times New Roman" w:cs="Times New Roman"/>
          <w:szCs w:val="24"/>
          <w:lang w:val="en-GB"/>
        </w:rPr>
        <w:t xml:space="preserve">pectrum: </w:t>
      </w:r>
      <w:r w:rsidR="000556D2" w:rsidRPr="00DE2EDF">
        <w:rPr>
          <w:rFonts w:eastAsia="Times New Roman" w:cs="Times New Roman"/>
          <w:szCs w:val="24"/>
          <w:lang w:val="en-GB"/>
        </w:rPr>
        <w:t>D</w:t>
      </w:r>
      <w:r w:rsidR="0073465B" w:rsidRPr="00DE2EDF">
        <w:rPr>
          <w:rFonts w:eastAsia="Times New Roman" w:cs="Times New Roman"/>
          <w:szCs w:val="24"/>
          <w:lang w:val="en-GB"/>
        </w:rPr>
        <w:t>ifferen</w:t>
      </w:r>
      <w:r w:rsidR="005F774D" w:rsidRPr="00DE2EDF">
        <w:rPr>
          <w:rFonts w:eastAsia="Times New Roman" w:cs="Times New Roman"/>
          <w:szCs w:val="24"/>
          <w:lang w:val="en-GB"/>
        </w:rPr>
        <w:t xml:space="preserve">ces in </w:t>
      </w:r>
      <w:r w:rsidR="000556D2" w:rsidRPr="00DE2EDF">
        <w:rPr>
          <w:rFonts w:eastAsia="Times New Roman" w:cs="Times New Roman"/>
          <w:szCs w:val="24"/>
          <w:lang w:val="en-GB"/>
        </w:rPr>
        <w:t>S</w:t>
      </w:r>
      <w:r w:rsidR="005F774D" w:rsidRPr="00DE2EDF">
        <w:rPr>
          <w:rFonts w:eastAsia="Times New Roman" w:cs="Times New Roman"/>
          <w:szCs w:val="24"/>
          <w:lang w:val="en-GB"/>
        </w:rPr>
        <w:t xml:space="preserve">ubstance and </w:t>
      </w:r>
      <w:r w:rsidR="000556D2" w:rsidRPr="00DE2EDF">
        <w:rPr>
          <w:rFonts w:eastAsia="Times New Roman" w:cs="Times New Roman"/>
          <w:szCs w:val="24"/>
          <w:lang w:val="en-GB"/>
        </w:rPr>
        <w:t>T</w:t>
      </w:r>
      <w:r w:rsidR="0073465B" w:rsidRPr="00DE2EDF">
        <w:rPr>
          <w:rFonts w:eastAsia="Times New Roman" w:cs="Times New Roman"/>
          <w:szCs w:val="24"/>
          <w:lang w:val="en-GB"/>
        </w:rPr>
        <w:t>erm</w:t>
      </w:r>
      <w:r w:rsidR="005F774D" w:rsidRPr="00DE2EDF">
        <w:rPr>
          <w:rFonts w:eastAsia="Times New Roman" w:cs="Times New Roman"/>
          <w:szCs w:val="24"/>
          <w:lang w:val="en-GB"/>
        </w:rPr>
        <w:t>inology</w:t>
      </w:r>
      <w:bookmarkEnd w:id="224"/>
      <w:bookmarkEnd w:id="225"/>
    </w:p>
    <w:p w14:paraId="2134BFE1" w14:textId="77777777" w:rsidR="002D66C1" w:rsidRPr="00DE2EDF" w:rsidRDefault="002D66C1" w:rsidP="00DE2EDF">
      <w:pPr>
        <w:spacing w:after="0"/>
        <w:jc w:val="both"/>
        <w:rPr>
          <w:rFonts w:eastAsia="Times New Roman" w:cs="Times New Roman"/>
          <w:iCs/>
          <w:lang w:val="en-GB"/>
        </w:rPr>
      </w:pPr>
    </w:p>
    <w:p w14:paraId="7FB1CCF0" w14:textId="710801EB" w:rsidR="0073465B" w:rsidRPr="00DE2EDF" w:rsidRDefault="0073465B" w:rsidP="00DE2EDF">
      <w:pPr>
        <w:spacing w:after="0"/>
        <w:jc w:val="both"/>
        <w:rPr>
          <w:rFonts w:eastAsia="Times New Roman" w:cs="Times New Roman"/>
          <w:iCs/>
          <w:lang w:val="en-GB"/>
        </w:rPr>
      </w:pPr>
      <w:r w:rsidRPr="00DE2EDF">
        <w:rPr>
          <w:rFonts w:eastAsia="Times New Roman" w:cs="Times New Roman"/>
          <w:iCs/>
          <w:lang w:val="en-GB"/>
        </w:rPr>
        <w:t xml:space="preserve">The </w:t>
      </w:r>
      <w:r w:rsidR="00407ACB" w:rsidRPr="00DE2EDF">
        <w:rPr>
          <w:rFonts w:eastAsia="Times New Roman" w:cs="Times New Roman"/>
          <w:iCs/>
          <w:lang w:val="en-GB"/>
        </w:rPr>
        <w:t xml:space="preserve">degree of entanglement </w:t>
      </w:r>
      <w:r w:rsidRPr="00DE2EDF">
        <w:rPr>
          <w:rFonts w:eastAsia="Times New Roman" w:cs="Times New Roman"/>
          <w:iCs/>
          <w:lang w:val="en-GB"/>
        </w:rPr>
        <w:t>between administrative law and constitutional law vary by country and era. The link may be close or loose, broad or narrow. Sometimes, it falls into oblivion due to its minimal effect. Sometimes, it is torn apart by the deliberately distanced approach taken by some actors (</w:t>
      </w:r>
      <w:r w:rsidR="00E56886">
        <w:rPr>
          <w:rFonts w:eastAsia="Times New Roman" w:cs="Times New Roman"/>
          <w:iCs/>
          <w:lang w:val="en-GB"/>
        </w:rPr>
        <w:t xml:space="preserve">see </w:t>
      </w:r>
      <w:r w:rsidR="00F14420" w:rsidRPr="00DE2EDF">
        <w:rPr>
          <w:rFonts w:eastAsia="Times New Roman" w:cs="Times New Roman"/>
          <w:iCs/>
          <w:lang w:val="en-GB"/>
        </w:rPr>
        <w:t>e.g.</w:t>
      </w:r>
      <w:r w:rsidR="00D12C2D" w:rsidRPr="00DE2EDF">
        <w:rPr>
          <w:rFonts w:eastAsia="Times New Roman" w:cs="Times New Roman"/>
          <w:iCs/>
          <w:lang w:val="en-GB"/>
        </w:rPr>
        <w:t>,</w:t>
      </w:r>
      <w:r w:rsidR="00C014A1" w:rsidRPr="00DE2EDF">
        <w:rPr>
          <w:rFonts w:eastAsia="Times New Roman" w:cs="Times New Roman"/>
          <w:iCs/>
          <w:lang w:val="en-GB"/>
        </w:rPr>
        <w:t xml:space="preserve"> </w:t>
      </w:r>
      <w:r w:rsidR="00D12C2D" w:rsidRPr="00DE2EDF">
        <w:rPr>
          <w:rFonts w:eastAsia="Times New Roman" w:cs="Times New Roman"/>
          <w:iCs/>
          <w:lang w:val="en-GB"/>
        </w:rPr>
        <w:t xml:space="preserve">past </w:t>
      </w:r>
      <w:r w:rsidR="00407ACB" w:rsidRPr="00DE2EDF">
        <w:rPr>
          <w:rFonts w:eastAsia="Times New Roman" w:cs="Times New Roman"/>
          <w:iCs/>
          <w:lang w:val="en-GB"/>
        </w:rPr>
        <w:t>tensions</w:t>
      </w:r>
      <w:r w:rsidR="00BE2D63" w:rsidRPr="00DE2EDF">
        <w:rPr>
          <w:rFonts w:eastAsia="Times New Roman" w:cs="Times New Roman"/>
          <w:iCs/>
          <w:lang w:val="en-GB"/>
        </w:rPr>
        <w:t xml:space="preserve"> </w:t>
      </w:r>
      <w:r w:rsidR="00407ACB" w:rsidRPr="00DE2EDF">
        <w:rPr>
          <w:rFonts w:eastAsia="Times New Roman" w:cs="Times New Roman"/>
          <w:iCs/>
          <w:lang w:val="en-GB"/>
        </w:rPr>
        <w:t xml:space="preserve">between the </w:t>
      </w:r>
      <w:r w:rsidR="00BE2D63" w:rsidRPr="00DE2EDF">
        <w:rPr>
          <w:rFonts w:eastAsia="Times New Roman" w:cs="Times New Roman"/>
          <w:i/>
          <w:iCs/>
          <w:lang w:val="en-GB"/>
        </w:rPr>
        <w:t>Conseil d’Etat</w:t>
      </w:r>
      <w:r w:rsidR="00BE2D63" w:rsidRPr="00DE2EDF">
        <w:rPr>
          <w:rFonts w:eastAsia="Times New Roman" w:cs="Times New Roman"/>
          <w:iCs/>
          <w:lang w:val="en-GB"/>
        </w:rPr>
        <w:t xml:space="preserve"> and the </w:t>
      </w:r>
      <w:r w:rsidR="00BE2D63" w:rsidRPr="00DE2EDF">
        <w:rPr>
          <w:rFonts w:eastAsia="Times New Roman" w:cs="Times New Roman"/>
          <w:i/>
          <w:iCs/>
          <w:lang w:val="en-GB"/>
        </w:rPr>
        <w:t>Conseil constitutionnel</w:t>
      </w:r>
      <w:r w:rsidR="00D12C2D" w:rsidRPr="00DE2EDF">
        <w:rPr>
          <w:rFonts w:eastAsia="Times New Roman" w:cs="Times New Roman"/>
          <w:iCs/>
          <w:lang w:val="en-GB"/>
        </w:rPr>
        <w:t xml:space="preserve"> in France or </w:t>
      </w:r>
      <w:r w:rsidR="005F774D" w:rsidRPr="00DE2EDF">
        <w:rPr>
          <w:rFonts w:eastAsia="Times New Roman" w:cs="Times New Roman"/>
          <w:iCs/>
          <w:lang w:val="en-GB"/>
        </w:rPr>
        <w:t xml:space="preserve">the mutual </w:t>
      </w:r>
      <w:r w:rsidR="00D12C2D" w:rsidRPr="00DE2EDF">
        <w:rPr>
          <w:rFonts w:eastAsia="Times New Roman" w:cs="Times New Roman"/>
          <w:iCs/>
          <w:lang w:val="en-GB"/>
        </w:rPr>
        <w:t xml:space="preserve">academic </w:t>
      </w:r>
      <w:r w:rsidR="005F774D" w:rsidRPr="00DE2EDF">
        <w:rPr>
          <w:rFonts w:eastAsia="Times New Roman" w:cs="Times New Roman"/>
          <w:iCs/>
          <w:lang w:val="en-GB"/>
        </w:rPr>
        <w:t xml:space="preserve">ignorance of </w:t>
      </w:r>
      <w:r w:rsidR="00F14420" w:rsidRPr="00DE2EDF">
        <w:rPr>
          <w:rFonts w:eastAsia="Times New Roman" w:cs="Times New Roman"/>
          <w:iCs/>
          <w:lang w:val="en-GB"/>
        </w:rPr>
        <w:t xml:space="preserve">either </w:t>
      </w:r>
      <w:r w:rsidR="005F774D" w:rsidRPr="00DE2EDF">
        <w:rPr>
          <w:rFonts w:eastAsia="Times New Roman" w:cs="Times New Roman"/>
          <w:iCs/>
          <w:lang w:val="en-GB"/>
        </w:rPr>
        <w:t>scholarship</w:t>
      </w:r>
      <w:r w:rsidR="00F14420" w:rsidRPr="00DE2EDF">
        <w:rPr>
          <w:rFonts w:eastAsia="Times New Roman" w:cs="Times New Roman"/>
          <w:iCs/>
          <w:lang w:val="en-GB"/>
        </w:rPr>
        <w:t xml:space="preserve"> </w:t>
      </w:r>
      <w:r w:rsidR="00BE2D63" w:rsidRPr="00DE2EDF">
        <w:rPr>
          <w:rFonts w:eastAsia="Times New Roman" w:cs="Times New Roman"/>
          <w:iCs/>
          <w:lang w:val="en-GB"/>
        </w:rPr>
        <w:t xml:space="preserve">in </w:t>
      </w:r>
      <w:r w:rsidR="00DA602F" w:rsidRPr="00DE2EDF">
        <w:rPr>
          <w:rFonts w:eastAsia="Times New Roman" w:cs="Times New Roman"/>
          <w:iCs/>
          <w:lang w:val="en-GB"/>
        </w:rPr>
        <w:t xml:space="preserve">pre-1978 </w:t>
      </w:r>
      <w:r w:rsidR="00BE2D63" w:rsidRPr="00DE2EDF">
        <w:rPr>
          <w:rFonts w:eastAsia="Times New Roman" w:cs="Times New Roman"/>
          <w:iCs/>
          <w:lang w:val="en-GB"/>
        </w:rPr>
        <w:t>Spain</w:t>
      </w:r>
      <w:r w:rsidRPr="00DE2EDF">
        <w:rPr>
          <w:rFonts w:eastAsia="Times New Roman" w:cs="Times New Roman"/>
          <w:iCs/>
          <w:lang w:val="en-GB"/>
        </w:rPr>
        <w:t xml:space="preserve">). </w:t>
      </w:r>
      <w:r w:rsidR="007B6387" w:rsidRPr="00DE2EDF">
        <w:rPr>
          <w:rFonts w:eastAsia="Times New Roman" w:cs="Times New Roman"/>
          <w:iCs/>
          <w:lang w:val="en-GB"/>
        </w:rPr>
        <w:t xml:space="preserve">Whether </w:t>
      </w:r>
      <w:r w:rsidRPr="00DE2EDF">
        <w:rPr>
          <w:rFonts w:eastAsia="Times New Roman" w:cs="Times New Roman"/>
          <w:iCs/>
          <w:lang w:val="en-GB"/>
        </w:rPr>
        <w:t xml:space="preserve">this relationship </w:t>
      </w:r>
      <w:r w:rsidR="007B6387" w:rsidRPr="00DE2EDF">
        <w:rPr>
          <w:rFonts w:eastAsia="Times New Roman" w:cs="Times New Roman"/>
          <w:iCs/>
          <w:lang w:val="en-GB"/>
        </w:rPr>
        <w:t>was</w:t>
      </w:r>
      <w:r w:rsidR="00D12C2D" w:rsidRPr="00DE2EDF">
        <w:rPr>
          <w:rFonts w:eastAsia="Times New Roman" w:cs="Times New Roman"/>
          <w:iCs/>
          <w:lang w:val="en-GB"/>
        </w:rPr>
        <w:t>,</w:t>
      </w:r>
      <w:r w:rsidR="007B6387" w:rsidRPr="00DE2EDF">
        <w:rPr>
          <w:rFonts w:eastAsia="Times New Roman" w:cs="Times New Roman"/>
          <w:iCs/>
          <w:lang w:val="en-GB"/>
        </w:rPr>
        <w:t xml:space="preserve"> in the past</w:t>
      </w:r>
      <w:r w:rsidR="00D12C2D" w:rsidRPr="00DE2EDF">
        <w:rPr>
          <w:rFonts w:eastAsia="Times New Roman" w:cs="Times New Roman"/>
          <w:iCs/>
          <w:lang w:val="en-GB"/>
        </w:rPr>
        <w:t>,</w:t>
      </w:r>
      <w:r w:rsidR="007B6387" w:rsidRPr="00DE2EDF">
        <w:rPr>
          <w:rFonts w:eastAsia="Times New Roman" w:cs="Times New Roman"/>
          <w:iCs/>
          <w:lang w:val="en-GB"/>
        </w:rPr>
        <w:t xml:space="preserve"> </w:t>
      </w:r>
      <w:r w:rsidR="00943268" w:rsidRPr="00DE2EDF">
        <w:rPr>
          <w:rFonts w:eastAsia="Times New Roman" w:cs="Times New Roman"/>
          <w:iCs/>
          <w:lang w:val="en-GB"/>
        </w:rPr>
        <w:t xml:space="preserve">critical to </w:t>
      </w:r>
      <w:r w:rsidRPr="00DE2EDF">
        <w:rPr>
          <w:rFonts w:eastAsia="Times New Roman" w:cs="Times New Roman"/>
          <w:iCs/>
          <w:lang w:val="en-GB"/>
        </w:rPr>
        <w:t>defining the nature of administrative law is a complex question that</w:t>
      </w:r>
      <w:r w:rsidR="007B6387" w:rsidRPr="00DE2EDF">
        <w:rPr>
          <w:rFonts w:eastAsia="Times New Roman" w:cs="Times New Roman"/>
          <w:iCs/>
          <w:lang w:val="en-GB"/>
        </w:rPr>
        <w:t xml:space="preserve"> is beyond the scope of this chapter</w:t>
      </w:r>
      <w:r w:rsidRPr="00DE2EDF">
        <w:rPr>
          <w:rFonts w:eastAsia="Times New Roman" w:cs="Times New Roman"/>
          <w:iCs/>
          <w:lang w:val="en-GB"/>
        </w:rPr>
        <w:t xml:space="preserve"> (there is, however, some evidence that disengagement from private law was much more important</w:t>
      </w:r>
      <w:r w:rsidR="005F774D" w:rsidRPr="00DE2EDF">
        <w:rPr>
          <w:rFonts w:eastAsia="Times New Roman" w:cs="Times New Roman"/>
          <w:iCs/>
          <w:lang w:val="en-GB"/>
        </w:rPr>
        <w:t xml:space="preserve"> in the past</w:t>
      </w:r>
      <w:r w:rsidRPr="00DE2EDF">
        <w:rPr>
          <w:rFonts w:eastAsia="Times New Roman" w:cs="Times New Roman"/>
          <w:iCs/>
          <w:lang w:val="en-GB"/>
        </w:rPr>
        <w:t xml:space="preserve">). </w:t>
      </w:r>
      <w:r w:rsidR="0023015D" w:rsidRPr="00DE2EDF">
        <w:rPr>
          <w:rFonts w:eastAsia="Times New Roman" w:cs="Times New Roman"/>
          <w:iCs/>
          <w:lang w:val="en-GB"/>
        </w:rPr>
        <w:t xml:space="preserve">Today, it is commonplace </w:t>
      </w:r>
      <w:r w:rsidR="00D12C2D" w:rsidRPr="00DE2EDF">
        <w:rPr>
          <w:rFonts w:eastAsia="Times New Roman" w:cs="Times New Roman"/>
          <w:iCs/>
          <w:lang w:val="en-GB"/>
        </w:rPr>
        <w:t>to observe that</w:t>
      </w:r>
      <w:r w:rsidRPr="00DE2EDF">
        <w:rPr>
          <w:rFonts w:eastAsia="Times New Roman" w:cs="Times New Roman"/>
          <w:iCs/>
          <w:lang w:val="en-GB"/>
        </w:rPr>
        <w:t>, from a historical</w:t>
      </w:r>
      <w:r w:rsidR="00D12C2D" w:rsidRPr="00DE2EDF">
        <w:rPr>
          <w:rFonts w:eastAsia="Times New Roman" w:cs="Times New Roman"/>
          <w:iCs/>
          <w:lang w:val="en-GB"/>
        </w:rPr>
        <w:t>-</w:t>
      </w:r>
      <w:r w:rsidRPr="00DE2EDF">
        <w:rPr>
          <w:rFonts w:eastAsia="Times New Roman" w:cs="Times New Roman"/>
          <w:iCs/>
          <w:lang w:val="en-GB"/>
        </w:rPr>
        <w:t>comparative perspective,</w:t>
      </w:r>
      <w:r w:rsidR="0023015D" w:rsidRPr="00DE2EDF">
        <w:rPr>
          <w:rFonts w:eastAsia="Times New Roman" w:cs="Times New Roman"/>
          <w:iCs/>
          <w:lang w:val="en-GB"/>
        </w:rPr>
        <w:t xml:space="preserve"> constitutional law </w:t>
      </w:r>
      <w:r w:rsidR="008D5CA7" w:rsidRPr="00DE2EDF">
        <w:rPr>
          <w:rFonts w:eastAsia="Times New Roman" w:cs="Times New Roman"/>
          <w:iCs/>
          <w:lang w:val="en-GB"/>
        </w:rPr>
        <w:t xml:space="preserve">has </w:t>
      </w:r>
      <w:r w:rsidR="0023015D" w:rsidRPr="00DE2EDF">
        <w:rPr>
          <w:rFonts w:eastAsia="Times New Roman" w:cs="Times New Roman"/>
          <w:iCs/>
          <w:lang w:val="en-GB"/>
        </w:rPr>
        <w:t>increasingly shape</w:t>
      </w:r>
      <w:r w:rsidR="008D5CA7" w:rsidRPr="00DE2EDF">
        <w:rPr>
          <w:rFonts w:eastAsia="Times New Roman" w:cs="Times New Roman"/>
          <w:iCs/>
          <w:lang w:val="en-GB"/>
        </w:rPr>
        <w:t>d</w:t>
      </w:r>
      <w:r w:rsidR="0023015D" w:rsidRPr="00DE2EDF">
        <w:rPr>
          <w:rFonts w:eastAsia="Times New Roman" w:cs="Times New Roman"/>
          <w:iCs/>
          <w:lang w:val="en-GB"/>
        </w:rPr>
        <w:t xml:space="preserve"> administrative law</w:t>
      </w:r>
      <w:r w:rsidRPr="00DE2EDF">
        <w:rPr>
          <w:rFonts w:eastAsia="Times New Roman" w:cs="Times New Roman"/>
          <w:iCs/>
          <w:lang w:val="en-GB"/>
        </w:rPr>
        <w:t>.</w:t>
      </w:r>
      <w:bookmarkStart w:id="226" w:name="_ftnref106"/>
      <w:r w:rsidRPr="00DE2EDF">
        <w:rPr>
          <w:rStyle w:val="FootnoteReference"/>
          <w:rFonts w:cs="Times New Roman"/>
          <w:lang w:val="en-GB"/>
        </w:rPr>
        <w:footnoteReference w:id="121"/>
      </w:r>
      <w:r w:rsidRPr="00DE2EDF">
        <w:rPr>
          <w:rFonts w:eastAsia="Times New Roman" w:cs="Times New Roman"/>
          <w:iCs/>
          <w:lang w:val="en-GB"/>
        </w:rPr>
        <w:t xml:space="preserve"> </w:t>
      </w:r>
      <w:hyperlink r:id="rId15" w:tgtFrame="_top" w:history="1"/>
      <w:bookmarkEnd w:id="226"/>
      <w:r w:rsidRPr="00DE2EDF">
        <w:rPr>
          <w:rFonts w:eastAsia="Times New Roman" w:cs="Times New Roman"/>
          <w:iCs/>
          <w:lang w:val="en-GB"/>
        </w:rPr>
        <w:t>The cross-border discussion</w:t>
      </w:r>
      <w:r w:rsidR="00BE2D63" w:rsidRPr="00DE2EDF">
        <w:rPr>
          <w:rFonts w:eastAsia="Times New Roman" w:cs="Times New Roman"/>
          <w:iCs/>
          <w:lang w:val="en-GB"/>
        </w:rPr>
        <w:t xml:space="preserve"> in Europe</w:t>
      </w:r>
      <w:r w:rsidR="008D5CA7" w:rsidRPr="00DE2EDF">
        <w:rPr>
          <w:rFonts w:eastAsia="Times New Roman" w:cs="Times New Roman"/>
          <w:iCs/>
          <w:lang w:val="en-GB"/>
        </w:rPr>
        <w:t xml:space="preserve"> and around the</w:t>
      </w:r>
      <w:r w:rsidR="0069571A" w:rsidRPr="00DE2EDF">
        <w:rPr>
          <w:rFonts w:eastAsia="Times New Roman" w:cs="Times New Roman"/>
          <w:iCs/>
          <w:lang w:val="en-GB"/>
        </w:rPr>
        <w:t xml:space="preserve"> world</w:t>
      </w:r>
      <w:r w:rsidR="008D5CA7" w:rsidRPr="00DE2EDF">
        <w:rPr>
          <w:rFonts w:eastAsia="Times New Roman" w:cs="Times New Roman"/>
          <w:iCs/>
          <w:lang w:val="en-GB"/>
        </w:rPr>
        <w:t>,</w:t>
      </w:r>
      <w:r w:rsidR="0069571A" w:rsidRPr="00DE2EDF">
        <w:rPr>
          <w:rStyle w:val="FootnoteReference"/>
          <w:rFonts w:eastAsia="Times New Roman" w:cs="Times New Roman"/>
          <w:iCs/>
          <w:lang w:val="en-GB"/>
        </w:rPr>
        <w:footnoteReference w:id="122"/>
      </w:r>
      <w:r w:rsidR="00281421" w:rsidRPr="00DE2EDF">
        <w:rPr>
          <w:rFonts w:eastAsia="Times New Roman" w:cs="Times New Roman"/>
          <w:iCs/>
          <w:lang w:val="en-GB"/>
        </w:rPr>
        <w:t xml:space="preserve"> </w:t>
      </w:r>
      <w:r w:rsidRPr="00DE2EDF">
        <w:rPr>
          <w:rFonts w:eastAsia="Times New Roman" w:cs="Times New Roman"/>
          <w:iCs/>
          <w:lang w:val="en-GB"/>
        </w:rPr>
        <w:t xml:space="preserve">is </w:t>
      </w:r>
      <w:r w:rsidRPr="00DE2EDF">
        <w:rPr>
          <w:rFonts w:eastAsia="Times New Roman" w:cs="Times New Roman"/>
          <w:iCs/>
          <w:lang w:val="en-GB"/>
        </w:rPr>
        <w:lastRenderedPageBreak/>
        <w:t>about the ‘constitutionali</w:t>
      </w:r>
      <w:r w:rsidR="00CC2433" w:rsidRPr="00DE2EDF">
        <w:rPr>
          <w:rFonts w:eastAsia="Times New Roman" w:cs="Times New Roman"/>
          <w:iCs/>
          <w:lang w:val="en-GB"/>
        </w:rPr>
        <w:t>z</w:t>
      </w:r>
      <w:r w:rsidRPr="00DE2EDF">
        <w:rPr>
          <w:rFonts w:eastAsia="Times New Roman" w:cs="Times New Roman"/>
          <w:iCs/>
          <w:lang w:val="en-GB"/>
        </w:rPr>
        <w:t>ation</w:t>
      </w:r>
      <w:bookmarkStart w:id="227" w:name="_Ref252460926"/>
      <w:bookmarkEnd w:id="227"/>
      <w:r w:rsidRPr="00DE2EDF">
        <w:rPr>
          <w:rFonts w:eastAsia="Times New Roman" w:cs="Times New Roman"/>
          <w:iCs/>
          <w:lang w:val="en-GB"/>
        </w:rPr>
        <w:t>’</w:t>
      </w:r>
      <w:bookmarkStart w:id="228" w:name="_Ref401051488"/>
      <w:r w:rsidRPr="00DE2EDF">
        <w:rPr>
          <w:rStyle w:val="FootnoteReference"/>
          <w:rFonts w:cs="Times New Roman"/>
          <w:lang w:val="en-GB"/>
        </w:rPr>
        <w:footnoteReference w:id="123"/>
      </w:r>
      <w:bookmarkEnd w:id="228"/>
      <w:r w:rsidRPr="00DE2EDF">
        <w:rPr>
          <w:rFonts w:eastAsia="Times New Roman" w:cs="Times New Roman"/>
          <w:iCs/>
          <w:lang w:val="en-GB"/>
        </w:rPr>
        <w:t xml:space="preserve"> of law, particularly administrative law. Another common assumption is that said phenomenon dates back to the crucial role of the newly-established constitutional cour</w:t>
      </w:r>
      <w:r w:rsidR="00281421" w:rsidRPr="00DE2EDF">
        <w:rPr>
          <w:rFonts w:eastAsia="Times New Roman" w:cs="Times New Roman"/>
          <w:iCs/>
          <w:lang w:val="en-GB"/>
        </w:rPr>
        <w:t>ts. However, this first image</w:t>
      </w:r>
      <w:r w:rsidR="00281421" w:rsidRPr="00DE2EDF">
        <w:rPr>
          <w:rFonts w:cs="Times New Roman"/>
        </w:rPr>
        <w:t>—</w:t>
      </w:r>
      <w:r w:rsidRPr="00DE2EDF">
        <w:rPr>
          <w:rFonts w:eastAsia="Times New Roman" w:cs="Times New Roman"/>
          <w:iCs/>
          <w:lang w:val="en-GB"/>
        </w:rPr>
        <w:t>a sc</w:t>
      </w:r>
      <w:r w:rsidR="00281421" w:rsidRPr="00DE2EDF">
        <w:rPr>
          <w:rFonts w:eastAsia="Times New Roman" w:cs="Times New Roman"/>
          <w:iCs/>
          <w:lang w:val="en-GB"/>
        </w:rPr>
        <w:t>ientific snapshot, so to speak</w:t>
      </w:r>
      <w:r w:rsidR="00281421" w:rsidRPr="00DE2EDF">
        <w:rPr>
          <w:rFonts w:cs="Times New Roman"/>
        </w:rPr>
        <w:t>—</w:t>
      </w:r>
      <w:r w:rsidRPr="00DE2EDF">
        <w:rPr>
          <w:rFonts w:eastAsia="Times New Roman" w:cs="Times New Roman"/>
          <w:iCs/>
          <w:lang w:val="en-GB"/>
        </w:rPr>
        <w:t xml:space="preserve">is, </w:t>
      </w:r>
      <w:r w:rsidR="00407ACB" w:rsidRPr="00DE2EDF">
        <w:rPr>
          <w:rFonts w:eastAsia="Times New Roman" w:cs="Times New Roman"/>
          <w:iCs/>
          <w:lang w:val="en-GB"/>
        </w:rPr>
        <w:t>to some extent</w:t>
      </w:r>
      <w:r w:rsidRPr="00DE2EDF">
        <w:rPr>
          <w:rFonts w:eastAsia="Times New Roman" w:cs="Times New Roman"/>
          <w:iCs/>
          <w:lang w:val="en-GB"/>
        </w:rPr>
        <w:t>, too grainy. This diagnosis generally refers to the mainstream countries, whose avant-garde is Germany, wh</w:t>
      </w:r>
      <w:r w:rsidR="0028356D" w:rsidRPr="00DE2EDF">
        <w:rPr>
          <w:rFonts w:eastAsia="Times New Roman" w:cs="Times New Roman"/>
          <w:iCs/>
          <w:lang w:val="en-GB"/>
        </w:rPr>
        <w:t>ereas</w:t>
      </w:r>
      <w:r w:rsidRPr="00DE2EDF">
        <w:rPr>
          <w:rFonts w:eastAsia="Times New Roman" w:cs="Times New Roman"/>
          <w:iCs/>
          <w:lang w:val="en-GB"/>
        </w:rPr>
        <w:t xml:space="preserve"> the situation in countries like Sweden remains out of focus.</w:t>
      </w:r>
      <w:r w:rsidR="00B47F72" w:rsidRPr="00DE2EDF">
        <w:rPr>
          <w:rFonts w:eastAsia="Times New Roman" w:cs="Times New Roman"/>
          <w:iCs/>
          <w:lang w:val="en-GB"/>
        </w:rPr>
        <w:t xml:space="preserve"> One should also take into account the existence of variants inside the mainstream: not all countries went as far in the constitutionali</w:t>
      </w:r>
      <w:r w:rsidR="00224B98" w:rsidRPr="00DE2EDF">
        <w:rPr>
          <w:rFonts w:eastAsia="Times New Roman" w:cs="Times New Roman"/>
          <w:iCs/>
          <w:lang w:val="en-GB"/>
        </w:rPr>
        <w:t>z</w:t>
      </w:r>
      <w:r w:rsidR="00B47F72" w:rsidRPr="00DE2EDF">
        <w:rPr>
          <w:rFonts w:eastAsia="Times New Roman" w:cs="Times New Roman"/>
          <w:iCs/>
          <w:lang w:val="en-GB"/>
        </w:rPr>
        <w:t>ation process of administrative law as Germany (example: France).</w:t>
      </w:r>
    </w:p>
    <w:p w14:paraId="631007D9" w14:textId="77777777" w:rsidR="00ED3DAA" w:rsidRPr="00DE2EDF" w:rsidRDefault="00ED3DAA" w:rsidP="00DE2EDF">
      <w:pPr>
        <w:spacing w:after="0"/>
        <w:jc w:val="both"/>
        <w:rPr>
          <w:rFonts w:eastAsia="Times New Roman" w:cs="Times New Roman"/>
          <w:iCs/>
          <w:lang w:val="en-GB"/>
        </w:rPr>
      </w:pPr>
    </w:p>
    <w:p w14:paraId="790A08FD" w14:textId="77777777" w:rsidR="0095673C" w:rsidRPr="00DE2EDF" w:rsidRDefault="00ED3DAA" w:rsidP="00DE2EDF">
      <w:pPr>
        <w:pStyle w:val="Heading3"/>
        <w:rPr>
          <w:rFonts w:cs="Times New Roman"/>
          <w:szCs w:val="24"/>
        </w:rPr>
      </w:pPr>
      <w:bookmarkStart w:id="229" w:name="_Toc253048945"/>
      <w:bookmarkStart w:id="230" w:name="_Toc252700492"/>
      <w:bookmarkStart w:id="231" w:name="_Toc460405638"/>
      <w:bookmarkEnd w:id="229"/>
      <w:bookmarkEnd w:id="230"/>
      <w:r w:rsidRPr="00DE2EDF">
        <w:rPr>
          <w:rFonts w:cs="Times New Roman"/>
          <w:szCs w:val="24"/>
        </w:rPr>
        <w:t xml:space="preserve">a) </w:t>
      </w:r>
      <w:r w:rsidR="0095673C" w:rsidRPr="00DE2EDF">
        <w:rPr>
          <w:rFonts w:cs="Times New Roman"/>
          <w:szCs w:val="24"/>
        </w:rPr>
        <w:t xml:space="preserve">Outside the </w:t>
      </w:r>
      <w:r w:rsidR="00C26C57" w:rsidRPr="00DE2EDF">
        <w:rPr>
          <w:rFonts w:cs="Times New Roman"/>
          <w:szCs w:val="24"/>
        </w:rPr>
        <w:t>M</w:t>
      </w:r>
      <w:r w:rsidR="0095673C" w:rsidRPr="00DE2EDF">
        <w:rPr>
          <w:rFonts w:cs="Times New Roman"/>
          <w:szCs w:val="24"/>
        </w:rPr>
        <w:t>ainstream: Sweden</w:t>
      </w:r>
      <w:bookmarkEnd w:id="231"/>
    </w:p>
    <w:p w14:paraId="1107C71A" w14:textId="77777777" w:rsidR="00ED3DAA" w:rsidRPr="00DE2EDF" w:rsidRDefault="00ED3DAA" w:rsidP="00DE2EDF">
      <w:pPr>
        <w:spacing w:after="0"/>
        <w:rPr>
          <w:rFonts w:cs="Times New Roman"/>
          <w:lang w:val="en-GB"/>
        </w:rPr>
      </w:pPr>
    </w:p>
    <w:p w14:paraId="726DE737" w14:textId="5B3E8FED" w:rsidR="0095673C" w:rsidRPr="00DE2EDF" w:rsidRDefault="00903C0D" w:rsidP="00DE2EDF">
      <w:pPr>
        <w:spacing w:after="0"/>
        <w:jc w:val="both"/>
        <w:rPr>
          <w:rFonts w:eastAsia="Times New Roman" w:cs="Times New Roman"/>
          <w:iCs/>
          <w:lang w:val="en-GB"/>
        </w:rPr>
      </w:pPr>
      <w:r w:rsidRPr="00DE2EDF">
        <w:rPr>
          <w:rFonts w:eastAsia="Times New Roman" w:cs="Times New Roman"/>
          <w:iCs/>
          <w:lang w:val="en-GB"/>
        </w:rPr>
        <w:lastRenderedPageBreak/>
        <w:t>D</w:t>
      </w:r>
      <w:r w:rsidR="00293338" w:rsidRPr="00DE2EDF">
        <w:rPr>
          <w:rFonts w:eastAsia="Times New Roman" w:cs="Times New Roman"/>
          <w:iCs/>
          <w:lang w:val="en-GB"/>
        </w:rPr>
        <w:t xml:space="preserve">uring </w:t>
      </w:r>
      <w:r w:rsidR="008D5CA7" w:rsidRPr="00DE2EDF">
        <w:rPr>
          <w:rFonts w:eastAsia="Times New Roman" w:cs="Times New Roman"/>
          <w:iCs/>
          <w:lang w:val="en-GB"/>
        </w:rPr>
        <w:t xml:space="preserve">the </w:t>
      </w:r>
      <w:r w:rsidR="00281421" w:rsidRPr="00DE2EDF">
        <w:rPr>
          <w:rFonts w:eastAsia="Times New Roman" w:cs="Times New Roman"/>
          <w:iCs/>
          <w:lang w:val="en-GB"/>
        </w:rPr>
        <w:t xml:space="preserve">twentieth </w:t>
      </w:r>
      <w:r w:rsidR="00293338" w:rsidRPr="00DE2EDF">
        <w:rPr>
          <w:rFonts w:eastAsia="Times New Roman" w:cs="Times New Roman"/>
          <w:iCs/>
          <w:lang w:val="en-GB"/>
        </w:rPr>
        <w:t>century</w:t>
      </w:r>
      <w:r w:rsidR="0095673C" w:rsidRPr="00DE2EDF">
        <w:rPr>
          <w:rFonts w:eastAsia="Times New Roman" w:cs="Times New Roman"/>
          <w:iCs/>
          <w:lang w:val="en-GB"/>
        </w:rPr>
        <w:t xml:space="preserve">, the </w:t>
      </w:r>
      <w:r w:rsidR="00DA3223" w:rsidRPr="00DE2EDF">
        <w:rPr>
          <w:rFonts w:eastAsia="Times New Roman" w:cs="Times New Roman"/>
          <w:iCs/>
          <w:lang w:val="en-GB"/>
        </w:rPr>
        <w:t xml:space="preserve">norms of the </w:t>
      </w:r>
      <w:r w:rsidRPr="00DE2EDF">
        <w:rPr>
          <w:rFonts w:eastAsia="Times New Roman" w:cs="Times New Roman"/>
          <w:iCs/>
          <w:lang w:val="en-GB"/>
        </w:rPr>
        <w:t xml:space="preserve">Swedish </w:t>
      </w:r>
      <w:r w:rsidR="0095673C" w:rsidRPr="00DE2EDF">
        <w:rPr>
          <w:rFonts w:eastAsia="Times New Roman" w:cs="Times New Roman"/>
          <w:iCs/>
          <w:lang w:val="en-GB"/>
        </w:rPr>
        <w:t>Constitution</w:t>
      </w:r>
      <w:r w:rsidR="008D5CA7" w:rsidRPr="00DE2EDF">
        <w:rPr>
          <w:rFonts w:eastAsia="Times New Roman" w:cs="Times New Roman"/>
          <w:iCs/>
          <w:lang w:val="en-GB"/>
        </w:rPr>
        <w:t>,</w:t>
      </w:r>
      <w:r w:rsidR="00293338" w:rsidRPr="00DE2EDF">
        <w:rPr>
          <w:rFonts w:eastAsia="Times New Roman" w:cs="Times New Roman"/>
          <w:iCs/>
          <w:lang w:val="en-GB"/>
        </w:rPr>
        <w:t xml:space="preserve"> </w:t>
      </w:r>
      <w:r w:rsidRPr="00DE2EDF">
        <w:rPr>
          <w:rFonts w:eastAsia="Times New Roman" w:cs="Times New Roman"/>
          <w:iCs/>
          <w:lang w:val="en-GB"/>
        </w:rPr>
        <w:t>enshrined in</w:t>
      </w:r>
      <w:r w:rsidR="00293338" w:rsidRPr="00DE2EDF">
        <w:rPr>
          <w:rFonts w:eastAsia="Times New Roman" w:cs="Times New Roman"/>
          <w:iCs/>
          <w:lang w:val="en-GB"/>
        </w:rPr>
        <w:t xml:space="preserve"> various fundamental laws</w:t>
      </w:r>
      <w:r w:rsidR="008D5CA7" w:rsidRPr="00DE2EDF">
        <w:rPr>
          <w:rFonts w:eastAsia="Times New Roman" w:cs="Times New Roman"/>
          <w:iCs/>
          <w:lang w:val="en-GB"/>
        </w:rPr>
        <w:t>,</w:t>
      </w:r>
      <w:r w:rsidRPr="00DE2EDF">
        <w:rPr>
          <w:rFonts w:eastAsia="Times New Roman" w:cs="Times New Roman"/>
          <w:iCs/>
          <w:lang w:val="en-GB"/>
        </w:rPr>
        <w:t xml:space="preserve"> </w:t>
      </w:r>
      <w:r w:rsidR="00DA3223" w:rsidRPr="00DE2EDF">
        <w:rPr>
          <w:rFonts w:eastAsia="Times New Roman" w:cs="Times New Roman"/>
          <w:iCs/>
          <w:lang w:val="en-GB"/>
        </w:rPr>
        <w:t xml:space="preserve">only </w:t>
      </w:r>
      <w:r w:rsidRPr="00DE2EDF">
        <w:rPr>
          <w:rFonts w:eastAsia="Times New Roman" w:cs="Times New Roman"/>
          <w:iCs/>
          <w:lang w:val="en-GB"/>
        </w:rPr>
        <w:t>played a minor role in legal practice and in the teaching of administrative law</w:t>
      </w:r>
      <w:r w:rsidR="00DA3223" w:rsidRPr="00DE2EDF">
        <w:rPr>
          <w:rFonts w:eastAsia="Times New Roman" w:cs="Times New Roman"/>
          <w:iCs/>
          <w:lang w:val="en-GB"/>
        </w:rPr>
        <w:t>. To some extent, this particular situation still prevails today.</w:t>
      </w:r>
      <w:r w:rsidR="0028356D" w:rsidRPr="00DE2EDF">
        <w:rPr>
          <w:rFonts w:cs="Times New Roman"/>
        </w:rPr>
        <w:t xml:space="preserve"> According to </w:t>
      </w:r>
      <w:r w:rsidR="00DA3223" w:rsidRPr="00DE2EDF">
        <w:rPr>
          <w:rFonts w:cs="Times New Roman"/>
        </w:rPr>
        <w:t xml:space="preserve">the opinion of </w:t>
      </w:r>
      <w:r w:rsidR="0028356D" w:rsidRPr="00DE2EDF">
        <w:rPr>
          <w:rFonts w:cs="Times New Roman"/>
        </w:rPr>
        <w:t>H</w:t>
      </w:r>
      <w:r w:rsidR="00590347" w:rsidRPr="00DE2EDF">
        <w:rPr>
          <w:rFonts w:cs="Times New Roman"/>
        </w:rPr>
        <w:t>ans-Heinrich</w:t>
      </w:r>
      <w:r w:rsidR="0028356D" w:rsidRPr="00DE2EDF">
        <w:rPr>
          <w:rFonts w:cs="Times New Roman"/>
        </w:rPr>
        <w:t xml:space="preserve"> Vogel</w:t>
      </w:r>
      <w:r w:rsidR="008D5CA7" w:rsidRPr="00DE2EDF">
        <w:rPr>
          <w:rFonts w:cs="Times New Roman"/>
        </w:rPr>
        <w:t>,</w:t>
      </w:r>
      <w:r w:rsidR="00DA3223" w:rsidRPr="00DE2EDF">
        <w:rPr>
          <w:rFonts w:cs="Times New Roman"/>
        </w:rPr>
        <w:t xml:space="preserve"> expressed in 2007</w:t>
      </w:r>
      <w:r w:rsidR="0028356D" w:rsidRPr="00DE2EDF">
        <w:rPr>
          <w:rFonts w:cs="Times New Roman"/>
        </w:rPr>
        <w:t>, ‘a constitutionali</w:t>
      </w:r>
      <w:r w:rsidR="00E56886">
        <w:rPr>
          <w:rFonts w:cs="Times New Roman"/>
        </w:rPr>
        <w:t>z</w:t>
      </w:r>
      <w:r w:rsidR="0028356D" w:rsidRPr="00DE2EDF">
        <w:rPr>
          <w:rFonts w:cs="Times New Roman"/>
        </w:rPr>
        <w:t xml:space="preserve">ation of administrative or even private law through extension of the </w:t>
      </w:r>
      <w:r w:rsidR="00F14420" w:rsidRPr="00DE2EDF">
        <w:rPr>
          <w:rFonts w:cs="Times New Roman"/>
        </w:rPr>
        <w:t xml:space="preserve">provisions on </w:t>
      </w:r>
      <w:r w:rsidR="0028356D" w:rsidRPr="00DE2EDF">
        <w:rPr>
          <w:rFonts w:cs="Times New Roman"/>
        </w:rPr>
        <w:t>fundamental rights has not been observed so far’</w:t>
      </w:r>
      <w:r w:rsidR="00590347" w:rsidRPr="00DE2EDF">
        <w:rPr>
          <w:rFonts w:cs="Times New Roman"/>
        </w:rPr>
        <w:t>; t</w:t>
      </w:r>
      <w:r w:rsidR="0028356D" w:rsidRPr="00DE2EDF">
        <w:rPr>
          <w:rFonts w:cs="Times New Roman"/>
        </w:rPr>
        <w:t>his statement is confirmed by G</w:t>
      </w:r>
      <w:r w:rsidR="00590347" w:rsidRPr="00DE2EDF">
        <w:rPr>
          <w:rFonts w:cs="Times New Roman"/>
        </w:rPr>
        <w:t>unilla</w:t>
      </w:r>
      <w:r w:rsidR="0028356D" w:rsidRPr="00DE2EDF">
        <w:rPr>
          <w:rFonts w:cs="Times New Roman"/>
        </w:rPr>
        <w:t xml:space="preserve"> Edelstam</w:t>
      </w:r>
      <w:r w:rsidR="00590347" w:rsidRPr="00DE2EDF">
        <w:rPr>
          <w:rFonts w:cs="Times New Roman"/>
        </w:rPr>
        <w:t>: f</w:t>
      </w:r>
      <w:r w:rsidR="0028356D" w:rsidRPr="00DE2EDF">
        <w:rPr>
          <w:rFonts w:cs="Times New Roman"/>
          <w:lang w:val="en-GB"/>
        </w:rPr>
        <w:t xml:space="preserve">or Swedish lawyers it </w:t>
      </w:r>
      <w:r w:rsidR="00307A91" w:rsidRPr="00DE2EDF">
        <w:rPr>
          <w:rFonts w:cs="Times New Roman"/>
          <w:lang w:val="en-GB"/>
        </w:rPr>
        <w:t>wa</w:t>
      </w:r>
      <w:r w:rsidR="0028356D" w:rsidRPr="00DE2EDF">
        <w:rPr>
          <w:rFonts w:cs="Times New Roman"/>
          <w:lang w:val="en-GB"/>
        </w:rPr>
        <w:t xml:space="preserve">s ‘not a natural part of their daily work’ to consider the Constitution, and especially </w:t>
      </w:r>
      <w:r w:rsidR="008D5CA7" w:rsidRPr="00DE2EDF">
        <w:rPr>
          <w:rFonts w:cs="Times New Roman"/>
          <w:lang w:val="en-GB"/>
        </w:rPr>
        <w:t xml:space="preserve">its </w:t>
      </w:r>
      <w:r w:rsidR="0028356D" w:rsidRPr="00DE2EDF">
        <w:rPr>
          <w:rFonts w:cs="Times New Roman"/>
          <w:lang w:val="en-GB"/>
        </w:rPr>
        <w:t>provision on fundamental rights</w:t>
      </w:r>
      <w:r w:rsidR="0028356D" w:rsidRPr="00DE2EDF">
        <w:rPr>
          <w:rFonts w:cs="Times New Roman"/>
        </w:rPr>
        <w:t>.</w:t>
      </w:r>
      <w:bookmarkStart w:id="232" w:name="_Ref457847932"/>
      <w:r w:rsidR="0095673C" w:rsidRPr="00DE2EDF">
        <w:rPr>
          <w:rStyle w:val="FootnoteReference"/>
          <w:rFonts w:cs="Times New Roman"/>
          <w:lang w:val="en-GB"/>
        </w:rPr>
        <w:footnoteReference w:id="124"/>
      </w:r>
      <w:bookmarkEnd w:id="232"/>
      <w:r w:rsidR="0095673C" w:rsidRPr="00DE2EDF">
        <w:rPr>
          <w:rFonts w:eastAsia="Times New Roman" w:cs="Times New Roman"/>
          <w:iCs/>
          <w:lang w:val="en-GB"/>
        </w:rPr>
        <w:t xml:space="preserve"> </w:t>
      </w:r>
      <w:r w:rsidR="00DC5C57" w:rsidRPr="00DE2EDF">
        <w:rPr>
          <w:rFonts w:eastAsia="Times New Roman" w:cs="Times New Roman"/>
          <w:iCs/>
          <w:lang w:val="en-GB"/>
        </w:rPr>
        <w:t xml:space="preserve">At first glance, this might seem rather strange to a foreign observer. </w:t>
      </w:r>
      <w:r w:rsidR="0095673C" w:rsidRPr="00DE2EDF">
        <w:rPr>
          <w:rFonts w:eastAsia="Times New Roman" w:cs="Times New Roman"/>
          <w:iCs/>
          <w:lang w:val="en-GB"/>
        </w:rPr>
        <w:t xml:space="preserve">The </w:t>
      </w:r>
      <w:r w:rsidR="00DC5C57" w:rsidRPr="00DE2EDF">
        <w:rPr>
          <w:rFonts w:eastAsia="Times New Roman" w:cs="Times New Roman"/>
          <w:iCs/>
          <w:lang w:val="en-GB"/>
        </w:rPr>
        <w:t xml:space="preserve">Swedish </w:t>
      </w:r>
      <w:r w:rsidR="0095673C" w:rsidRPr="00DE2EDF">
        <w:rPr>
          <w:rFonts w:eastAsia="Times New Roman" w:cs="Times New Roman"/>
          <w:iCs/>
          <w:lang w:val="en-GB"/>
        </w:rPr>
        <w:t>Constitution is rigid</w:t>
      </w:r>
      <w:r w:rsidR="00AF0D6E" w:rsidRPr="00DE2EDF">
        <w:rPr>
          <w:rFonts w:eastAsia="Times New Roman" w:cs="Times New Roman"/>
          <w:iCs/>
          <w:lang w:val="en-GB"/>
        </w:rPr>
        <w:t>; it</w:t>
      </w:r>
      <w:r w:rsidR="0095673C" w:rsidRPr="00DE2EDF">
        <w:rPr>
          <w:rFonts w:eastAsia="Times New Roman" w:cs="Times New Roman"/>
          <w:iCs/>
          <w:lang w:val="en-GB"/>
        </w:rPr>
        <w:t xml:space="preserve"> prevails over ordinary statutes whose constitutionality can be</w:t>
      </w:r>
      <w:r w:rsidR="00D54416" w:rsidRPr="00DE2EDF">
        <w:rPr>
          <w:rFonts w:eastAsia="Times New Roman" w:cs="Times New Roman"/>
          <w:iCs/>
          <w:lang w:val="en-GB"/>
        </w:rPr>
        <w:t xml:space="preserve"> reviewed</w:t>
      </w:r>
      <w:r w:rsidR="0095673C" w:rsidRPr="00DE2EDF">
        <w:rPr>
          <w:rFonts w:eastAsia="Times New Roman" w:cs="Times New Roman"/>
          <w:iCs/>
          <w:lang w:val="en-GB"/>
        </w:rPr>
        <w:t xml:space="preserve"> by all courts (</w:t>
      </w:r>
      <w:r w:rsidR="00604F0E" w:rsidRPr="00DE2EDF">
        <w:rPr>
          <w:rFonts w:eastAsia="Times New Roman" w:cs="Times New Roman"/>
          <w:iCs/>
          <w:lang w:val="en-GB"/>
        </w:rPr>
        <w:t>c</w:t>
      </w:r>
      <w:r w:rsidR="0095673C" w:rsidRPr="00DE2EDF">
        <w:rPr>
          <w:rFonts w:eastAsia="Times New Roman" w:cs="Times New Roman"/>
          <w:iCs/>
          <w:lang w:val="en-GB"/>
        </w:rPr>
        <w:t>hap</w:t>
      </w:r>
      <w:r w:rsidR="00281421" w:rsidRPr="00DE2EDF">
        <w:rPr>
          <w:rFonts w:eastAsia="Times New Roman" w:cs="Times New Roman"/>
          <w:iCs/>
          <w:lang w:val="en-GB"/>
        </w:rPr>
        <w:t xml:space="preserve">ter XI </w:t>
      </w:r>
      <w:r w:rsidR="0095673C" w:rsidRPr="00DE2EDF">
        <w:rPr>
          <w:rFonts w:eastAsia="Times New Roman" w:cs="Times New Roman"/>
          <w:iCs/>
          <w:lang w:val="en-GB"/>
        </w:rPr>
        <w:t>art</w:t>
      </w:r>
      <w:r w:rsidR="00281421" w:rsidRPr="00DE2EDF">
        <w:rPr>
          <w:rFonts w:eastAsia="Times New Roman" w:cs="Times New Roman"/>
          <w:iCs/>
          <w:lang w:val="en-GB"/>
        </w:rPr>
        <w:t>icle</w:t>
      </w:r>
      <w:r w:rsidR="0095673C" w:rsidRPr="00DE2EDF">
        <w:rPr>
          <w:rFonts w:eastAsia="Times New Roman" w:cs="Times New Roman"/>
          <w:iCs/>
          <w:lang w:val="en-GB"/>
        </w:rPr>
        <w:t xml:space="preserve"> 14 of the 1974 </w:t>
      </w:r>
      <w:r w:rsidR="009D2894" w:rsidRPr="00DE2EDF">
        <w:rPr>
          <w:rFonts w:eastAsia="Times New Roman" w:cs="Times New Roman"/>
          <w:iCs/>
          <w:lang w:val="en-GB"/>
        </w:rPr>
        <w:t>Instrument of Government</w:t>
      </w:r>
      <w:r w:rsidR="0095673C" w:rsidRPr="00DE2EDF">
        <w:rPr>
          <w:rFonts w:eastAsia="Times New Roman" w:cs="Times New Roman"/>
          <w:iCs/>
          <w:lang w:val="en-GB"/>
        </w:rPr>
        <w:t xml:space="preserve">). The concept of </w:t>
      </w:r>
      <w:r w:rsidR="004306C0" w:rsidRPr="00DE2EDF">
        <w:rPr>
          <w:rFonts w:eastAsia="Times New Roman" w:cs="Times New Roman"/>
          <w:iCs/>
          <w:lang w:val="en-GB"/>
        </w:rPr>
        <w:t xml:space="preserve">a </w:t>
      </w:r>
      <w:r w:rsidR="0095673C" w:rsidRPr="00DE2EDF">
        <w:rPr>
          <w:rFonts w:eastAsia="Times New Roman" w:cs="Times New Roman"/>
          <w:iCs/>
          <w:lang w:val="en-GB"/>
        </w:rPr>
        <w:t xml:space="preserve">‘hierarchy of norms’ is well known in </w:t>
      </w:r>
      <w:r w:rsidR="00142CCB" w:rsidRPr="00DE2EDF">
        <w:rPr>
          <w:rFonts w:eastAsia="Times New Roman" w:cs="Times New Roman"/>
          <w:iCs/>
          <w:lang w:val="en-GB"/>
        </w:rPr>
        <w:t xml:space="preserve">Swedish </w:t>
      </w:r>
      <w:r w:rsidR="0095673C" w:rsidRPr="00DE2EDF">
        <w:rPr>
          <w:rFonts w:eastAsia="Times New Roman" w:cs="Times New Roman"/>
          <w:iCs/>
          <w:lang w:val="en-GB"/>
        </w:rPr>
        <w:t xml:space="preserve">legal scholarship. The </w:t>
      </w:r>
      <w:r w:rsidR="00730BCE" w:rsidRPr="00DE2EDF">
        <w:rPr>
          <w:rFonts w:eastAsia="Times New Roman" w:cs="Times New Roman"/>
          <w:iCs/>
          <w:lang w:val="en-GB"/>
        </w:rPr>
        <w:t xml:space="preserve">1974 </w:t>
      </w:r>
      <w:r w:rsidR="009D2894" w:rsidRPr="00DE2EDF">
        <w:rPr>
          <w:rFonts w:eastAsia="Times New Roman" w:cs="Times New Roman"/>
          <w:iCs/>
          <w:lang w:val="en-GB"/>
        </w:rPr>
        <w:t>Instrument of Government</w:t>
      </w:r>
      <w:r w:rsidR="0095673C" w:rsidRPr="00DE2EDF">
        <w:rPr>
          <w:rFonts w:eastAsia="Times New Roman" w:cs="Times New Roman"/>
          <w:iCs/>
          <w:lang w:val="en-GB"/>
        </w:rPr>
        <w:t xml:space="preserve"> contains a series of institutional provisions that establish a minimal bond</w:t>
      </w:r>
      <w:r w:rsidR="00A24AD2" w:rsidRPr="00DE2EDF">
        <w:rPr>
          <w:rFonts w:eastAsia="Times New Roman" w:cs="Times New Roman"/>
          <w:iCs/>
          <w:lang w:val="en-GB"/>
        </w:rPr>
        <w:t xml:space="preserve"> between both areas of law</w:t>
      </w:r>
      <w:r w:rsidR="0095673C" w:rsidRPr="00DE2EDF">
        <w:rPr>
          <w:rFonts w:eastAsia="Times New Roman" w:cs="Times New Roman"/>
          <w:iCs/>
          <w:lang w:val="en-GB"/>
        </w:rPr>
        <w:t xml:space="preserve"> (</w:t>
      </w:r>
      <w:r w:rsidR="00A24AD2" w:rsidRPr="00DE2EDF">
        <w:rPr>
          <w:rFonts w:eastAsia="Times New Roman" w:cs="Times New Roman"/>
          <w:iCs/>
          <w:lang w:val="en-GB"/>
        </w:rPr>
        <w:t>various articles</w:t>
      </w:r>
      <w:r w:rsidR="0095673C" w:rsidRPr="00DE2EDF">
        <w:rPr>
          <w:rFonts w:eastAsia="Times New Roman" w:cs="Times New Roman"/>
          <w:iCs/>
          <w:lang w:val="en-GB"/>
        </w:rPr>
        <w:t xml:space="preserve"> on the organi</w:t>
      </w:r>
      <w:r w:rsidR="00F14420" w:rsidRPr="00DE2EDF">
        <w:rPr>
          <w:rFonts w:eastAsia="Times New Roman" w:cs="Times New Roman"/>
          <w:iCs/>
          <w:lang w:val="en-GB"/>
        </w:rPr>
        <w:t>z</w:t>
      </w:r>
      <w:r w:rsidR="0095673C" w:rsidRPr="00DE2EDF">
        <w:rPr>
          <w:rFonts w:eastAsia="Times New Roman" w:cs="Times New Roman"/>
          <w:iCs/>
          <w:lang w:val="en-GB"/>
        </w:rPr>
        <w:t>ation</w:t>
      </w:r>
      <w:r w:rsidR="009E0A99" w:rsidRPr="00DE2EDF">
        <w:rPr>
          <w:rFonts w:eastAsia="Times New Roman" w:cs="Times New Roman"/>
          <w:iCs/>
          <w:lang w:val="en-GB"/>
        </w:rPr>
        <w:t>, composition</w:t>
      </w:r>
      <w:r w:rsidR="004306C0" w:rsidRPr="00DE2EDF">
        <w:rPr>
          <w:rFonts w:eastAsia="Times New Roman" w:cs="Times New Roman"/>
          <w:iCs/>
          <w:lang w:val="en-GB"/>
        </w:rPr>
        <w:t>,</w:t>
      </w:r>
      <w:r w:rsidR="0095673C" w:rsidRPr="00DE2EDF">
        <w:rPr>
          <w:rFonts w:eastAsia="Times New Roman" w:cs="Times New Roman"/>
          <w:iCs/>
          <w:lang w:val="en-GB"/>
        </w:rPr>
        <w:t xml:space="preserve"> and control of </w:t>
      </w:r>
      <w:r w:rsidR="00A24AD2" w:rsidRPr="00DE2EDF">
        <w:rPr>
          <w:rFonts w:eastAsia="Times New Roman" w:cs="Times New Roman"/>
          <w:iCs/>
          <w:lang w:val="en-GB"/>
        </w:rPr>
        <w:t xml:space="preserve">state and local </w:t>
      </w:r>
      <w:r w:rsidR="0095673C" w:rsidRPr="00DE2EDF">
        <w:rPr>
          <w:rFonts w:eastAsia="Times New Roman" w:cs="Times New Roman"/>
          <w:iCs/>
          <w:lang w:val="en-GB"/>
        </w:rPr>
        <w:t xml:space="preserve">administrative </w:t>
      </w:r>
      <w:r w:rsidR="005A5D53" w:rsidRPr="00DE2EDF">
        <w:rPr>
          <w:rFonts w:eastAsia="Times New Roman" w:cs="Times New Roman"/>
          <w:iCs/>
          <w:lang w:val="en-GB"/>
        </w:rPr>
        <w:t>bodies</w:t>
      </w:r>
      <w:r w:rsidR="0095673C" w:rsidRPr="00DE2EDF">
        <w:rPr>
          <w:rFonts w:eastAsia="Times New Roman" w:cs="Times New Roman"/>
          <w:iCs/>
          <w:lang w:val="en-GB"/>
        </w:rPr>
        <w:t xml:space="preserve">, including its highly original article 2 of </w:t>
      </w:r>
      <w:r w:rsidR="00604F0E" w:rsidRPr="00DE2EDF">
        <w:rPr>
          <w:rFonts w:eastAsia="Times New Roman" w:cs="Times New Roman"/>
          <w:iCs/>
          <w:lang w:val="en-GB"/>
        </w:rPr>
        <w:t>c</w:t>
      </w:r>
      <w:r w:rsidR="0095673C" w:rsidRPr="00DE2EDF">
        <w:rPr>
          <w:rFonts w:eastAsia="Times New Roman" w:cs="Times New Roman"/>
          <w:iCs/>
          <w:lang w:val="en-GB"/>
        </w:rPr>
        <w:t>hapter XII</w:t>
      </w:r>
      <w:r w:rsidR="00D54416" w:rsidRPr="00DE2EDF">
        <w:rPr>
          <w:rFonts w:eastAsia="Times New Roman" w:cs="Times New Roman"/>
          <w:iCs/>
          <w:lang w:val="en-GB"/>
        </w:rPr>
        <w:t xml:space="preserve"> on administrative bodies</w:t>
      </w:r>
      <w:r w:rsidR="00A53339" w:rsidRPr="00DE2EDF">
        <w:rPr>
          <w:rFonts w:eastAsia="Times New Roman" w:cs="Times New Roman"/>
          <w:iCs/>
          <w:lang w:val="en-GB"/>
        </w:rPr>
        <w:t>’ independence</w:t>
      </w:r>
      <w:r w:rsidR="00F14420" w:rsidRPr="00DE2EDF">
        <w:rPr>
          <w:rFonts w:eastAsia="Times New Roman" w:cs="Times New Roman"/>
          <w:iCs/>
          <w:lang w:val="en-GB"/>
        </w:rPr>
        <w:t>,</w:t>
      </w:r>
      <w:r w:rsidR="0095673C" w:rsidRPr="00DE2EDF">
        <w:rPr>
          <w:rFonts w:eastAsia="Times New Roman" w:cs="Times New Roman"/>
          <w:iCs/>
          <w:lang w:val="en-GB"/>
        </w:rPr>
        <w:t xml:space="preserve"> whose specific features have been highlighted by the French comparativist</w:t>
      </w:r>
      <w:r w:rsidR="00943268" w:rsidRPr="00DE2EDF">
        <w:rPr>
          <w:rFonts w:eastAsia="Times New Roman" w:cs="Times New Roman"/>
          <w:iCs/>
          <w:lang w:val="en-GB"/>
        </w:rPr>
        <w:t>,</w:t>
      </w:r>
      <w:r w:rsidR="0095673C" w:rsidRPr="00DE2EDF">
        <w:rPr>
          <w:rFonts w:eastAsia="Times New Roman" w:cs="Times New Roman"/>
          <w:iCs/>
          <w:lang w:val="en-GB"/>
        </w:rPr>
        <w:t xml:space="preserve"> Jacques Ziller</w:t>
      </w:r>
      <w:bookmarkStart w:id="233" w:name="_Ref401130542"/>
      <w:r w:rsidR="0095673C" w:rsidRPr="00DE2EDF">
        <w:rPr>
          <w:rStyle w:val="FootnoteReference"/>
          <w:rFonts w:cs="Times New Roman"/>
          <w:lang w:val="en-GB"/>
        </w:rPr>
        <w:footnoteReference w:id="125"/>
      </w:r>
      <w:bookmarkEnd w:id="233"/>
      <w:r w:rsidR="0095673C" w:rsidRPr="00DE2EDF">
        <w:rPr>
          <w:rFonts w:eastAsia="Times New Roman" w:cs="Times New Roman"/>
          <w:iCs/>
          <w:lang w:val="en-GB"/>
        </w:rPr>
        <w:t xml:space="preserve">). </w:t>
      </w:r>
      <w:r w:rsidR="00C0019C" w:rsidRPr="00DE2EDF">
        <w:rPr>
          <w:rFonts w:eastAsia="Times New Roman" w:cs="Times New Roman"/>
          <w:iCs/>
          <w:lang w:val="en-GB"/>
        </w:rPr>
        <w:t>The</w:t>
      </w:r>
      <w:r w:rsidR="00A53339" w:rsidRPr="00DE2EDF">
        <w:rPr>
          <w:rFonts w:eastAsia="Times New Roman" w:cs="Times New Roman"/>
          <w:iCs/>
          <w:lang w:val="en-GB"/>
        </w:rPr>
        <w:t xml:space="preserve"> rules of the</w:t>
      </w:r>
      <w:r w:rsidR="00C0019C" w:rsidRPr="00DE2EDF">
        <w:rPr>
          <w:rFonts w:eastAsia="Times New Roman" w:cs="Times New Roman"/>
          <w:iCs/>
          <w:lang w:val="en-GB"/>
        </w:rPr>
        <w:t xml:space="preserve"> famous</w:t>
      </w:r>
      <w:r w:rsidR="00A53339" w:rsidRPr="00DE2EDF">
        <w:rPr>
          <w:rFonts w:eastAsia="Times New Roman" w:cs="Times New Roman"/>
          <w:iCs/>
          <w:lang w:val="en-GB"/>
        </w:rPr>
        <w:t xml:space="preserve"> Swedish model of free access to public documents </w:t>
      </w:r>
      <w:r w:rsidR="004306C0" w:rsidRPr="00DE2EDF">
        <w:rPr>
          <w:rFonts w:eastAsia="Times New Roman" w:cs="Times New Roman"/>
          <w:iCs/>
          <w:lang w:val="en-GB"/>
        </w:rPr>
        <w:t>we</w:t>
      </w:r>
      <w:r w:rsidR="00A53339" w:rsidRPr="00DE2EDF">
        <w:rPr>
          <w:rFonts w:eastAsia="Times New Roman" w:cs="Times New Roman"/>
          <w:iCs/>
          <w:lang w:val="en-GB"/>
        </w:rPr>
        <w:t xml:space="preserve">re established in the Freedom of the Press Act (chapter II), which is </w:t>
      </w:r>
      <w:r w:rsidR="009E0A99" w:rsidRPr="00DE2EDF">
        <w:rPr>
          <w:rFonts w:eastAsia="Times New Roman" w:cs="Times New Roman"/>
          <w:iCs/>
          <w:lang w:val="en-GB"/>
        </w:rPr>
        <w:t xml:space="preserve">also </w:t>
      </w:r>
      <w:r w:rsidR="00A53339" w:rsidRPr="00DE2EDF">
        <w:rPr>
          <w:rFonts w:eastAsia="Times New Roman" w:cs="Times New Roman"/>
          <w:iCs/>
          <w:lang w:val="en-GB"/>
        </w:rPr>
        <w:t xml:space="preserve">part of the Constitution. </w:t>
      </w:r>
      <w:r w:rsidR="00F53202" w:rsidRPr="00DE2EDF">
        <w:rPr>
          <w:rFonts w:eastAsia="Times New Roman" w:cs="Times New Roman"/>
          <w:iCs/>
          <w:lang w:val="en-GB"/>
        </w:rPr>
        <w:t>All these institutional provisions are</w:t>
      </w:r>
      <w:r w:rsidR="009E0A99" w:rsidRPr="00DE2EDF">
        <w:rPr>
          <w:rFonts w:eastAsia="Times New Roman" w:cs="Times New Roman"/>
          <w:iCs/>
          <w:lang w:val="en-GB"/>
        </w:rPr>
        <w:t>,</w:t>
      </w:r>
      <w:r w:rsidR="00F53202" w:rsidRPr="00DE2EDF">
        <w:rPr>
          <w:rFonts w:eastAsia="Times New Roman" w:cs="Times New Roman"/>
          <w:iCs/>
          <w:lang w:val="en-GB"/>
        </w:rPr>
        <w:t xml:space="preserve"> of course</w:t>
      </w:r>
      <w:r w:rsidR="009E0A99" w:rsidRPr="00DE2EDF">
        <w:rPr>
          <w:rFonts w:eastAsia="Times New Roman" w:cs="Times New Roman"/>
          <w:iCs/>
          <w:lang w:val="en-GB"/>
        </w:rPr>
        <w:t>,</w:t>
      </w:r>
      <w:r w:rsidR="00F53202" w:rsidRPr="00DE2EDF">
        <w:rPr>
          <w:rFonts w:eastAsia="Times New Roman" w:cs="Times New Roman"/>
          <w:iCs/>
          <w:lang w:val="en-GB"/>
        </w:rPr>
        <w:t xml:space="preserve"> taken into account by Swedish administrative scholars</w:t>
      </w:r>
      <w:r w:rsidR="004306C0" w:rsidRPr="00DE2EDF">
        <w:rPr>
          <w:rFonts w:eastAsia="Times New Roman" w:cs="Times New Roman"/>
          <w:iCs/>
          <w:lang w:val="en-GB"/>
        </w:rPr>
        <w:t>.</w:t>
      </w:r>
      <w:r w:rsidR="009E0A99" w:rsidRPr="00DE2EDF">
        <w:rPr>
          <w:rStyle w:val="FootnoteReference"/>
          <w:rFonts w:eastAsia="Times New Roman" w:cs="Times New Roman"/>
          <w:iCs/>
          <w:lang w:val="en-GB"/>
        </w:rPr>
        <w:footnoteReference w:id="126"/>
      </w:r>
      <w:r w:rsidR="00F53202" w:rsidRPr="00DE2EDF">
        <w:rPr>
          <w:rFonts w:eastAsia="Times New Roman" w:cs="Times New Roman"/>
          <w:iCs/>
          <w:lang w:val="en-GB"/>
        </w:rPr>
        <w:t xml:space="preserve"> </w:t>
      </w:r>
      <w:r w:rsidR="0095673C" w:rsidRPr="00DE2EDF">
        <w:rPr>
          <w:rFonts w:eastAsia="Times New Roman" w:cs="Times New Roman"/>
          <w:iCs/>
          <w:lang w:val="en-GB"/>
        </w:rPr>
        <w:t>Furthermore</w:t>
      </w:r>
      <w:r w:rsidR="00943268" w:rsidRPr="00DE2EDF">
        <w:rPr>
          <w:rFonts w:eastAsia="Times New Roman" w:cs="Times New Roman"/>
          <w:iCs/>
          <w:lang w:val="en-GB"/>
        </w:rPr>
        <w:t>,</w:t>
      </w:r>
      <w:r w:rsidR="0095673C" w:rsidRPr="00DE2EDF">
        <w:rPr>
          <w:rFonts w:eastAsia="Times New Roman" w:cs="Times New Roman"/>
          <w:iCs/>
          <w:lang w:val="en-GB"/>
        </w:rPr>
        <w:t xml:space="preserve"> chapter 2 of the </w:t>
      </w:r>
      <w:r w:rsidR="009D2894" w:rsidRPr="00DE2EDF">
        <w:rPr>
          <w:rFonts w:eastAsia="Times New Roman" w:cs="Times New Roman"/>
          <w:iCs/>
          <w:lang w:val="en-GB"/>
        </w:rPr>
        <w:t>Instrument of Government</w:t>
      </w:r>
      <w:r w:rsidR="0095673C" w:rsidRPr="00DE2EDF">
        <w:rPr>
          <w:rFonts w:eastAsia="Times New Roman" w:cs="Times New Roman"/>
          <w:iCs/>
          <w:lang w:val="en-GB"/>
        </w:rPr>
        <w:t xml:space="preserve"> contains a </w:t>
      </w:r>
      <w:r w:rsidR="00A63C41" w:rsidRPr="00DE2EDF">
        <w:rPr>
          <w:rFonts w:eastAsia="Times New Roman" w:cs="Times New Roman"/>
          <w:iCs/>
          <w:lang w:val="en-GB"/>
        </w:rPr>
        <w:t xml:space="preserve">large </w:t>
      </w:r>
      <w:r w:rsidR="0095673C" w:rsidRPr="00DE2EDF">
        <w:rPr>
          <w:rFonts w:eastAsia="Times New Roman" w:cs="Times New Roman"/>
          <w:iCs/>
          <w:lang w:val="en-GB"/>
        </w:rPr>
        <w:t>catalogue of fundamental rights that</w:t>
      </w:r>
      <w:r w:rsidR="00943268" w:rsidRPr="00DE2EDF">
        <w:rPr>
          <w:rFonts w:eastAsia="Times New Roman" w:cs="Times New Roman"/>
          <w:iCs/>
          <w:lang w:val="en-GB"/>
        </w:rPr>
        <w:t xml:space="preserve"> could</w:t>
      </w:r>
      <w:r w:rsidR="0095673C" w:rsidRPr="00DE2EDF">
        <w:rPr>
          <w:rFonts w:eastAsia="Times New Roman" w:cs="Times New Roman"/>
          <w:iCs/>
          <w:lang w:val="en-GB"/>
        </w:rPr>
        <w:t>, potentially</w:t>
      </w:r>
      <w:r w:rsidR="001D51CE" w:rsidRPr="00DE2EDF">
        <w:rPr>
          <w:rFonts w:eastAsia="Times New Roman" w:cs="Times New Roman"/>
          <w:iCs/>
          <w:lang w:val="en-GB"/>
        </w:rPr>
        <w:t>,</w:t>
      </w:r>
      <w:r w:rsidR="0095673C" w:rsidRPr="00DE2EDF">
        <w:rPr>
          <w:rFonts w:eastAsia="Times New Roman" w:cs="Times New Roman"/>
          <w:iCs/>
          <w:lang w:val="en-GB"/>
        </w:rPr>
        <w:t xml:space="preserve"> if one looks at it through the lenses of a Human Rights lawyer, at least a</w:t>
      </w:r>
      <w:r w:rsidR="00AF3C9E" w:rsidRPr="00DE2EDF">
        <w:rPr>
          <w:rFonts w:eastAsia="Times New Roman" w:cs="Times New Roman"/>
          <w:iCs/>
          <w:lang w:val="en-GB"/>
        </w:rPr>
        <w:t xml:space="preserve"> </w:t>
      </w:r>
      <w:r w:rsidR="0095673C" w:rsidRPr="00DE2EDF">
        <w:rPr>
          <w:rFonts w:eastAsia="Times New Roman" w:cs="Times New Roman"/>
          <w:iCs/>
          <w:lang w:val="en-GB"/>
        </w:rPr>
        <w:t>non-S</w:t>
      </w:r>
      <w:r w:rsidR="00AF3C9E" w:rsidRPr="00DE2EDF">
        <w:rPr>
          <w:rFonts w:eastAsia="Times New Roman" w:cs="Times New Roman"/>
          <w:iCs/>
          <w:lang w:val="en-GB"/>
        </w:rPr>
        <w:t>candinavian</w:t>
      </w:r>
      <w:r w:rsidR="0095673C" w:rsidRPr="00DE2EDF">
        <w:rPr>
          <w:rFonts w:eastAsia="Times New Roman" w:cs="Times New Roman"/>
          <w:iCs/>
          <w:lang w:val="en-GB"/>
        </w:rPr>
        <w:t xml:space="preserve"> Human Rights lawyer</w:t>
      </w:r>
      <w:r w:rsidR="001D51CE" w:rsidRPr="00DE2EDF">
        <w:rPr>
          <w:rFonts w:eastAsia="Times New Roman" w:cs="Times New Roman"/>
          <w:iCs/>
          <w:lang w:val="en-GB"/>
        </w:rPr>
        <w:t>,</w:t>
      </w:r>
      <w:r w:rsidR="00142CCB" w:rsidRPr="00DE2EDF">
        <w:rPr>
          <w:rFonts w:eastAsia="Times New Roman" w:cs="Times New Roman"/>
          <w:iCs/>
          <w:lang w:val="en-GB"/>
        </w:rPr>
        <w:t xml:space="preserve"> </w:t>
      </w:r>
      <w:r w:rsidR="009E0A99" w:rsidRPr="00DE2EDF">
        <w:rPr>
          <w:rFonts w:eastAsia="Times New Roman" w:cs="Times New Roman"/>
          <w:iCs/>
          <w:lang w:val="en-GB"/>
        </w:rPr>
        <w:t>engender</w:t>
      </w:r>
      <w:r w:rsidR="0095673C" w:rsidRPr="00DE2EDF">
        <w:rPr>
          <w:rFonts w:eastAsia="Times New Roman" w:cs="Times New Roman"/>
          <w:iCs/>
          <w:lang w:val="en-GB"/>
        </w:rPr>
        <w:t xml:space="preserve"> a </w:t>
      </w:r>
      <w:r w:rsidR="00C60ADD" w:rsidRPr="00DE2EDF">
        <w:rPr>
          <w:rFonts w:eastAsia="Times New Roman" w:cs="Times New Roman"/>
          <w:iCs/>
          <w:lang w:val="en-GB"/>
        </w:rPr>
        <w:t xml:space="preserve">deep infiltration of </w:t>
      </w:r>
      <w:r w:rsidR="0095673C" w:rsidRPr="00DE2EDF">
        <w:rPr>
          <w:rFonts w:eastAsia="Times New Roman" w:cs="Times New Roman"/>
          <w:iCs/>
          <w:lang w:val="en-GB"/>
        </w:rPr>
        <w:t>constitutional law</w:t>
      </w:r>
      <w:r w:rsidR="00C60ADD" w:rsidRPr="00DE2EDF">
        <w:rPr>
          <w:rFonts w:eastAsia="Times New Roman" w:cs="Times New Roman"/>
          <w:iCs/>
          <w:lang w:val="en-GB"/>
        </w:rPr>
        <w:t xml:space="preserve"> standards</w:t>
      </w:r>
      <w:r w:rsidR="0095673C" w:rsidRPr="00DE2EDF">
        <w:rPr>
          <w:rFonts w:eastAsia="Times New Roman" w:cs="Times New Roman"/>
          <w:iCs/>
          <w:lang w:val="en-GB"/>
        </w:rPr>
        <w:t xml:space="preserve"> </w:t>
      </w:r>
      <w:r w:rsidR="00C60ADD" w:rsidRPr="00DE2EDF">
        <w:rPr>
          <w:rFonts w:eastAsia="Times New Roman" w:cs="Times New Roman"/>
          <w:iCs/>
          <w:lang w:val="en-GB"/>
        </w:rPr>
        <w:t>into</w:t>
      </w:r>
      <w:r w:rsidR="0095673C" w:rsidRPr="00DE2EDF">
        <w:rPr>
          <w:rFonts w:eastAsia="Times New Roman" w:cs="Times New Roman"/>
          <w:iCs/>
          <w:lang w:val="en-GB"/>
        </w:rPr>
        <w:t xml:space="preserve"> administrative law. </w:t>
      </w:r>
      <w:r w:rsidR="00142CCB" w:rsidRPr="00DE2EDF">
        <w:rPr>
          <w:rFonts w:eastAsia="Times New Roman" w:cs="Times New Roman"/>
          <w:iCs/>
          <w:lang w:val="en-GB"/>
        </w:rPr>
        <w:t xml:space="preserve">As a matter of fact, </w:t>
      </w:r>
      <w:r w:rsidR="00F53202" w:rsidRPr="00DE2EDF">
        <w:rPr>
          <w:rFonts w:eastAsia="Times New Roman" w:cs="Times New Roman"/>
          <w:iCs/>
          <w:lang w:val="en-GB"/>
        </w:rPr>
        <w:t>no</w:t>
      </w:r>
      <w:r w:rsidR="0095673C" w:rsidRPr="00DE2EDF">
        <w:rPr>
          <w:rFonts w:eastAsia="Times New Roman" w:cs="Times New Roman"/>
          <w:iCs/>
          <w:lang w:val="en-GB"/>
        </w:rPr>
        <w:t xml:space="preserve"> </w:t>
      </w:r>
      <w:r w:rsidR="008656FF" w:rsidRPr="00DE2EDF">
        <w:rPr>
          <w:rFonts w:eastAsia="Times New Roman" w:cs="Times New Roman"/>
          <w:iCs/>
          <w:lang w:val="en-GB"/>
        </w:rPr>
        <w:t>‘</w:t>
      </w:r>
      <w:r w:rsidR="0095673C" w:rsidRPr="00DE2EDF">
        <w:rPr>
          <w:rFonts w:eastAsia="Times New Roman" w:cs="Times New Roman"/>
          <w:iCs/>
          <w:lang w:val="en-GB"/>
        </w:rPr>
        <w:t>Two World The</w:t>
      </w:r>
      <w:r w:rsidR="00C60ADD" w:rsidRPr="00DE2EDF">
        <w:rPr>
          <w:rFonts w:eastAsia="Times New Roman" w:cs="Times New Roman"/>
          <w:iCs/>
          <w:lang w:val="en-GB"/>
        </w:rPr>
        <w:t>sis</w:t>
      </w:r>
      <w:r w:rsidR="008656FF" w:rsidRPr="00DE2EDF">
        <w:rPr>
          <w:rFonts w:eastAsia="Times New Roman" w:cs="Times New Roman"/>
          <w:iCs/>
          <w:lang w:val="en-GB"/>
        </w:rPr>
        <w:t>’</w:t>
      </w:r>
      <w:r w:rsidR="0095673C" w:rsidRPr="00DE2EDF">
        <w:rPr>
          <w:rFonts w:eastAsia="Times New Roman" w:cs="Times New Roman"/>
          <w:iCs/>
          <w:lang w:val="en-GB"/>
        </w:rPr>
        <w:t xml:space="preserve"> </w:t>
      </w:r>
      <w:r w:rsidR="00F53202" w:rsidRPr="00DE2EDF">
        <w:rPr>
          <w:rFonts w:eastAsia="Times New Roman" w:cs="Times New Roman"/>
          <w:iCs/>
          <w:lang w:val="en-GB"/>
        </w:rPr>
        <w:t xml:space="preserve">has ever been </w:t>
      </w:r>
      <w:r w:rsidR="004306C0" w:rsidRPr="00DE2EDF">
        <w:rPr>
          <w:rFonts w:eastAsia="Times New Roman" w:cs="Times New Roman"/>
          <w:iCs/>
          <w:lang w:val="en-GB"/>
        </w:rPr>
        <w:t>argu</w:t>
      </w:r>
      <w:r w:rsidR="00F53202" w:rsidRPr="00DE2EDF">
        <w:rPr>
          <w:rFonts w:eastAsia="Times New Roman" w:cs="Times New Roman"/>
          <w:iCs/>
          <w:lang w:val="en-GB"/>
        </w:rPr>
        <w:t xml:space="preserve">ed </w:t>
      </w:r>
      <w:r w:rsidR="0095673C" w:rsidRPr="00DE2EDF">
        <w:rPr>
          <w:rFonts w:eastAsia="Times New Roman" w:cs="Times New Roman"/>
          <w:iCs/>
          <w:lang w:val="en-GB"/>
        </w:rPr>
        <w:t xml:space="preserve">in Swedish scholarship or practice. </w:t>
      </w:r>
      <w:r w:rsidR="006808D4" w:rsidRPr="00DE2EDF">
        <w:rPr>
          <w:rFonts w:eastAsia="Times New Roman" w:cs="Times New Roman"/>
          <w:iCs/>
          <w:lang w:val="en-GB"/>
        </w:rPr>
        <w:t>N</w:t>
      </w:r>
      <w:r w:rsidR="00A73BA7" w:rsidRPr="00DE2EDF">
        <w:rPr>
          <w:rFonts w:eastAsia="Times New Roman" w:cs="Times New Roman"/>
          <w:iCs/>
          <w:lang w:val="en-GB"/>
        </w:rPr>
        <w:t xml:space="preserve">or is </w:t>
      </w:r>
      <w:r w:rsidR="0095673C" w:rsidRPr="00DE2EDF">
        <w:rPr>
          <w:rFonts w:eastAsia="Times New Roman" w:cs="Times New Roman"/>
          <w:iCs/>
          <w:lang w:val="en-GB"/>
        </w:rPr>
        <w:t>there</w:t>
      </w:r>
      <w:r w:rsidR="006808D4" w:rsidRPr="00DE2EDF">
        <w:rPr>
          <w:rFonts w:eastAsia="Times New Roman" w:cs="Times New Roman"/>
          <w:iCs/>
          <w:lang w:val="en-GB"/>
        </w:rPr>
        <w:t xml:space="preserve"> </w:t>
      </w:r>
      <w:r w:rsidR="0095673C" w:rsidRPr="00DE2EDF">
        <w:rPr>
          <w:rFonts w:eastAsia="Times New Roman" w:cs="Times New Roman"/>
          <w:iCs/>
          <w:lang w:val="en-GB"/>
        </w:rPr>
        <w:t>a single term that conceptuali</w:t>
      </w:r>
      <w:r w:rsidR="001D51CE" w:rsidRPr="00DE2EDF">
        <w:rPr>
          <w:rFonts w:eastAsia="Times New Roman" w:cs="Times New Roman"/>
          <w:iCs/>
          <w:lang w:val="en-GB"/>
        </w:rPr>
        <w:t>z</w:t>
      </w:r>
      <w:r w:rsidR="0095673C" w:rsidRPr="00DE2EDF">
        <w:rPr>
          <w:rFonts w:eastAsia="Times New Roman" w:cs="Times New Roman"/>
          <w:iCs/>
          <w:lang w:val="en-GB"/>
        </w:rPr>
        <w:t>es the slightest connection between the two branches of law</w:t>
      </w:r>
      <w:r w:rsidR="009E0A99" w:rsidRPr="00DE2EDF">
        <w:rPr>
          <w:rFonts w:eastAsia="Times New Roman" w:cs="Times New Roman"/>
          <w:iCs/>
          <w:lang w:val="en-GB"/>
        </w:rPr>
        <w:t>: t</w:t>
      </w:r>
      <w:r w:rsidR="0095673C" w:rsidRPr="00DE2EDF">
        <w:rPr>
          <w:rFonts w:eastAsia="Times New Roman" w:cs="Times New Roman"/>
          <w:iCs/>
          <w:lang w:val="en-GB"/>
        </w:rPr>
        <w:t>he concept of ‘constitutional sources of administrative law’ is rarely discussed in Sweden</w:t>
      </w:r>
      <w:r w:rsidR="00A63C41" w:rsidRPr="00DE2EDF">
        <w:rPr>
          <w:rFonts w:eastAsia="Times New Roman" w:cs="Times New Roman"/>
          <w:iCs/>
          <w:lang w:val="en-GB"/>
        </w:rPr>
        <w:t>; d</w:t>
      </w:r>
      <w:r w:rsidR="0095673C" w:rsidRPr="00DE2EDF">
        <w:rPr>
          <w:rFonts w:eastAsia="Times New Roman" w:cs="Times New Roman"/>
          <w:iCs/>
          <w:lang w:val="en-GB"/>
        </w:rPr>
        <w:t>iscourse on ‘constitutionali</w:t>
      </w:r>
      <w:r w:rsidR="001D51CE" w:rsidRPr="00DE2EDF">
        <w:rPr>
          <w:rFonts w:eastAsia="Times New Roman" w:cs="Times New Roman"/>
          <w:iCs/>
          <w:lang w:val="en-GB"/>
        </w:rPr>
        <w:t>z</w:t>
      </w:r>
      <w:r w:rsidR="0095673C" w:rsidRPr="00DE2EDF">
        <w:rPr>
          <w:rFonts w:eastAsia="Times New Roman" w:cs="Times New Roman"/>
          <w:iCs/>
          <w:lang w:val="en-GB"/>
        </w:rPr>
        <w:t>ation of (administrative) law’ is</w:t>
      </w:r>
      <w:r w:rsidR="004B697F" w:rsidRPr="00DE2EDF">
        <w:rPr>
          <w:rFonts w:eastAsia="Times New Roman" w:cs="Times New Roman"/>
          <w:iCs/>
          <w:lang w:val="en-GB"/>
        </w:rPr>
        <w:t xml:space="preserve">, </w:t>
      </w:r>
      <w:r w:rsidR="004306C0" w:rsidRPr="00DE2EDF">
        <w:rPr>
          <w:rFonts w:eastAsia="Times New Roman" w:cs="Times New Roman"/>
          <w:iCs/>
          <w:lang w:val="en-GB"/>
        </w:rPr>
        <w:t>to date</w:t>
      </w:r>
      <w:r w:rsidR="004B697F" w:rsidRPr="00DE2EDF">
        <w:rPr>
          <w:rFonts w:eastAsia="Times New Roman" w:cs="Times New Roman"/>
          <w:iCs/>
          <w:lang w:val="en-GB"/>
        </w:rPr>
        <w:t>,</w:t>
      </w:r>
      <w:r w:rsidR="0095673C" w:rsidRPr="00DE2EDF">
        <w:rPr>
          <w:rFonts w:eastAsia="Times New Roman" w:cs="Times New Roman"/>
          <w:iCs/>
          <w:lang w:val="en-GB"/>
        </w:rPr>
        <w:t xml:space="preserve"> totally unknown. Although </w:t>
      </w:r>
      <w:r w:rsidR="0095673C" w:rsidRPr="00DE2EDF">
        <w:rPr>
          <w:rFonts w:eastAsia="Times New Roman" w:cs="Times New Roman"/>
          <w:iCs/>
          <w:lang w:val="en-GB"/>
        </w:rPr>
        <w:lastRenderedPageBreak/>
        <w:t xml:space="preserve">many chairs at different Swedish universities </w:t>
      </w:r>
      <w:r w:rsidR="00142CCB" w:rsidRPr="00DE2EDF">
        <w:rPr>
          <w:rFonts w:eastAsia="Times New Roman" w:cs="Times New Roman"/>
          <w:iCs/>
          <w:lang w:val="en-GB"/>
        </w:rPr>
        <w:t>were</w:t>
      </w:r>
      <w:r w:rsidR="004306C0" w:rsidRPr="00DE2EDF">
        <w:rPr>
          <w:rFonts w:eastAsia="Times New Roman" w:cs="Times New Roman"/>
          <w:iCs/>
          <w:lang w:val="en-GB"/>
        </w:rPr>
        <w:t>,</w:t>
      </w:r>
      <w:r w:rsidR="00142CCB" w:rsidRPr="00DE2EDF">
        <w:rPr>
          <w:rFonts w:eastAsia="Times New Roman" w:cs="Times New Roman"/>
          <w:iCs/>
          <w:lang w:val="en-GB"/>
        </w:rPr>
        <w:t xml:space="preserve"> and </w:t>
      </w:r>
      <w:r w:rsidR="004B697F" w:rsidRPr="00DE2EDF">
        <w:rPr>
          <w:rFonts w:eastAsia="Times New Roman" w:cs="Times New Roman"/>
          <w:iCs/>
          <w:lang w:val="en-GB"/>
        </w:rPr>
        <w:t xml:space="preserve">still </w:t>
      </w:r>
      <w:r w:rsidR="0095673C" w:rsidRPr="00DE2EDF">
        <w:rPr>
          <w:rFonts w:eastAsia="Times New Roman" w:cs="Times New Roman"/>
          <w:iCs/>
          <w:lang w:val="en-GB"/>
        </w:rPr>
        <w:t>are</w:t>
      </w:r>
      <w:r w:rsidR="004306C0" w:rsidRPr="00DE2EDF">
        <w:rPr>
          <w:rFonts w:eastAsia="Times New Roman" w:cs="Times New Roman"/>
          <w:iCs/>
          <w:lang w:val="en-GB"/>
        </w:rPr>
        <w:t>,</w:t>
      </w:r>
      <w:r w:rsidR="0095673C" w:rsidRPr="00DE2EDF">
        <w:rPr>
          <w:rFonts w:eastAsia="Times New Roman" w:cs="Times New Roman"/>
          <w:iCs/>
          <w:lang w:val="en-GB"/>
        </w:rPr>
        <w:t xml:space="preserve"> dedicated to the study of both constitutional and administrative law, it </w:t>
      </w:r>
      <w:r w:rsidR="006808D4" w:rsidRPr="00DE2EDF">
        <w:rPr>
          <w:rFonts w:eastAsia="Times New Roman" w:cs="Times New Roman"/>
          <w:iCs/>
          <w:lang w:val="en-GB"/>
        </w:rPr>
        <w:t>appeared</w:t>
      </w:r>
      <w:r w:rsidR="004306C0" w:rsidRPr="00DE2EDF">
        <w:rPr>
          <w:rFonts w:eastAsia="Times New Roman" w:cs="Times New Roman"/>
          <w:iCs/>
          <w:lang w:val="en-GB"/>
        </w:rPr>
        <w:t>,</w:t>
      </w:r>
      <w:r w:rsidR="006808D4" w:rsidRPr="00DE2EDF">
        <w:rPr>
          <w:rFonts w:eastAsia="Times New Roman" w:cs="Times New Roman"/>
          <w:iCs/>
          <w:lang w:val="en-GB"/>
        </w:rPr>
        <w:t xml:space="preserve"> and still </w:t>
      </w:r>
      <w:r w:rsidR="0095673C" w:rsidRPr="00DE2EDF">
        <w:rPr>
          <w:rFonts w:eastAsia="Times New Roman" w:cs="Times New Roman"/>
          <w:iCs/>
          <w:lang w:val="en-GB"/>
        </w:rPr>
        <w:t>appears</w:t>
      </w:r>
      <w:r w:rsidR="004306C0" w:rsidRPr="00DE2EDF">
        <w:rPr>
          <w:rFonts w:eastAsia="Times New Roman" w:cs="Times New Roman"/>
          <w:iCs/>
          <w:lang w:val="en-GB"/>
        </w:rPr>
        <w:t>,</w:t>
      </w:r>
      <w:r w:rsidR="0095673C" w:rsidRPr="00DE2EDF">
        <w:rPr>
          <w:rFonts w:eastAsia="Times New Roman" w:cs="Times New Roman"/>
          <w:iCs/>
          <w:lang w:val="en-GB"/>
        </w:rPr>
        <w:t xml:space="preserve"> almost impossible for most law professors to establish any </w:t>
      </w:r>
      <w:r w:rsidR="00F53202" w:rsidRPr="00DE2EDF">
        <w:rPr>
          <w:rFonts w:eastAsia="Times New Roman" w:cs="Times New Roman"/>
          <w:iCs/>
          <w:lang w:val="en-GB"/>
        </w:rPr>
        <w:t xml:space="preserve">conceptual </w:t>
      </w:r>
      <w:r w:rsidR="0095673C" w:rsidRPr="00DE2EDF">
        <w:rPr>
          <w:rFonts w:eastAsia="Times New Roman" w:cs="Times New Roman"/>
          <w:iCs/>
          <w:lang w:val="en-GB"/>
        </w:rPr>
        <w:t>connection between the two.</w:t>
      </w:r>
    </w:p>
    <w:p w14:paraId="7D4C20B6" w14:textId="77777777" w:rsidR="000F4C26" w:rsidRPr="00DE2EDF" w:rsidRDefault="000F4C26" w:rsidP="00DE2EDF">
      <w:pPr>
        <w:pStyle w:val="NoSpacing"/>
        <w:spacing w:line="276" w:lineRule="auto"/>
        <w:jc w:val="both"/>
        <w:rPr>
          <w:rFonts w:cs="Times New Roman"/>
          <w:lang w:val="en-GB"/>
        </w:rPr>
      </w:pPr>
    </w:p>
    <w:p w14:paraId="6C8FF082" w14:textId="77777777" w:rsidR="00164411" w:rsidRPr="00DE2EDF" w:rsidRDefault="0095673C" w:rsidP="00DE2EDF">
      <w:pPr>
        <w:pStyle w:val="NoSpacing"/>
        <w:spacing w:line="276" w:lineRule="auto"/>
        <w:jc w:val="both"/>
        <w:rPr>
          <w:rFonts w:cs="Times New Roman"/>
          <w:lang w:val="en-GB"/>
        </w:rPr>
      </w:pPr>
      <w:r w:rsidRPr="00DE2EDF">
        <w:rPr>
          <w:rFonts w:cs="Times New Roman"/>
          <w:lang w:val="en-GB"/>
        </w:rPr>
        <w:t>The causes of this scientific vacuum are numerous.</w:t>
      </w:r>
      <w:bookmarkStart w:id="234" w:name="_Ref457848459"/>
      <w:r w:rsidR="00EF7F21" w:rsidRPr="00DE2EDF">
        <w:rPr>
          <w:rStyle w:val="FootnoteReference"/>
          <w:rFonts w:cs="Times New Roman"/>
          <w:lang w:val="en-GB"/>
        </w:rPr>
        <w:footnoteReference w:id="127"/>
      </w:r>
      <w:bookmarkEnd w:id="234"/>
      <w:r w:rsidRPr="00DE2EDF">
        <w:rPr>
          <w:rFonts w:cs="Times New Roman"/>
          <w:lang w:val="en-GB"/>
        </w:rPr>
        <w:t xml:space="preserve"> One of them is structural lack of interest</w:t>
      </w:r>
      <w:r w:rsidR="001D51CE" w:rsidRPr="00DE2EDF">
        <w:rPr>
          <w:rFonts w:cs="Times New Roman"/>
          <w:lang w:val="en-GB"/>
        </w:rPr>
        <w:t xml:space="preserve"> of Swedish lawyers</w:t>
      </w:r>
      <w:r w:rsidRPr="00DE2EDF">
        <w:rPr>
          <w:rFonts w:cs="Times New Roman"/>
          <w:lang w:val="en-GB"/>
        </w:rPr>
        <w:t xml:space="preserve"> in </w:t>
      </w:r>
      <w:r w:rsidR="00260387" w:rsidRPr="00DE2EDF">
        <w:rPr>
          <w:rFonts w:cs="Times New Roman"/>
          <w:lang w:val="en-GB"/>
        </w:rPr>
        <w:t xml:space="preserve">large-scale </w:t>
      </w:r>
      <w:r w:rsidRPr="00DE2EDF">
        <w:rPr>
          <w:rFonts w:cs="Times New Roman"/>
          <w:lang w:val="en-GB"/>
        </w:rPr>
        <w:t>theoretical systems</w:t>
      </w:r>
      <w:r w:rsidR="00281638" w:rsidRPr="00DE2EDF">
        <w:rPr>
          <w:rFonts w:cs="Times New Roman"/>
          <w:lang w:val="en-GB"/>
        </w:rPr>
        <w:t xml:space="preserve"> and conceptualism</w:t>
      </w:r>
      <w:r w:rsidR="00EF7F21" w:rsidRPr="00DE2EDF">
        <w:rPr>
          <w:rFonts w:cs="Times New Roman"/>
          <w:lang w:val="en-GB"/>
        </w:rPr>
        <w:t xml:space="preserve">; the </w:t>
      </w:r>
      <w:r w:rsidR="00366F22" w:rsidRPr="00DE2EDF">
        <w:rPr>
          <w:rFonts w:cs="Times New Roman"/>
          <w:lang w:val="en-GB"/>
        </w:rPr>
        <w:t>dominant</w:t>
      </w:r>
      <w:r w:rsidR="00EF7F21" w:rsidRPr="00DE2EDF">
        <w:rPr>
          <w:rFonts w:cs="Times New Roman"/>
          <w:lang w:val="en-GB"/>
        </w:rPr>
        <w:t xml:space="preserve"> administrative scholarship</w:t>
      </w:r>
      <w:r w:rsidR="00A73BA7" w:rsidRPr="00DE2EDF">
        <w:rPr>
          <w:rFonts w:cs="Times New Roman"/>
          <w:lang w:val="en-GB"/>
        </w:rPr>
        <w:t>,</w:t>
      </w:r>
      <w:r w:rsidR="00EF7F21" w:rsidRPr="00DE2EDF">
        <w:rPr>
          <w:rFonts w:cs="Times New Roman"/>
          <w:lang w:val="en-GB"/>
        </w:rPr>
        <w:t xml:space="preserve"> </w:t>
      </w:r>
      <w:r w:rsidR="00366F22" w:rsidRPr="00DE2EDF">
        <w:rPr>
          <w:rFonts w:cs="Times New Roman"/>
          <w:lang w:val="en-GB"/>
        </w:rPr>
        <w:t>founded</w:t>
      </w:r>
      <w:r w:rsidR="00EF7F21" w:rsidRPr="00DE2EDF">
        <w:rPr>
          <w:rFonts w:cs="Times New Roman"/>
          <w:lang w:val="en-GB"/>
        </w:rPr>
        <w:t xml:space="preserve"> by </w:t>
      </w:r>
      <w:r w:rsidR="00BD0560" w:rsidRPr="00DE2EDF">
        <w:rPr>
          <w:rFonts w:cs="Times New Roman"/>
          <w:lang w:val="en-GB"/>
        </w:rPr>
        <w:t xml:space="preserve">Carl Axel </w:t>
      </w:r>
      <w:r w:rsidR="00EF7F21" w:rsidRPr="00DE2EDF">
        <w:rPr>
          <w:rFonts w:cs="Times New Roman"/>
          <w:lang w:val="en-GB"/>
        </w:rPr>
        <w:t>Reuterskiöld</w:t>
      </w:r>
      <w:r w:rsidR="00BD0560" w:rsidRPr="00DE2EDF">
        <w:rPr>
          <w:rFonts w:cs="Times New Roman"/>
          <w:lang w:val="en-GB"/>
        </w:rPr>
        <w:t xml:space="preserve"> (1870</w:t>
      </w:r>
      <w:r w:rsidR="00281421" w:rsidRPr="00DE2EDF">
        <w:rPr>
          <w:rFonts w:cs="Times New Roman"/>
        </w:rPr>
        <w:t>–</w:t>
      </w:r>
      <w:r w:rsidR="00BD0560" w:rsidRPr="00DE2EDF">
        <w:rPr>
          <w:rFonts w:cs="Times New Roman"/>
          <w:lang w:val="en-GB"/>
        </w:rPr>
        <w:t>1944)</w:t>
      </w:r>
      <w:r w:rsidR="00EF7F21" w:rsidRPr="00DE2EDF">
        <w:rPr>
          <w:rFonts w:cs="Times New Roman"/>
          <w:lang w:val="en-GB"/>
        </w:rPr>
        <w:t xml:space="preserve"> and </w:t>
      </w:r>
      <w:r w:rsidR="00BD0560" w:rsidRPr="00DE2EDF">
        <w:rPr>
          <w:rFonts w:cs="Times New Roman"/>
          <w:lang w:val="en-GB"/>
        </w:rPr>
        <w:t xml:space="preserve">Halvar </w:t>
      </w:r>
      <w:r w:rsidR="00EF7F21" w:rsidRPr="00DE2EDF">
        <w:rPr>
          <w:rFonts w:cs="Times New Roman"/>
          <w:lang w:val="en-GB"/>
        </w:rPr>
        <w:t>Sundberg</w:t>
      </w:r>
      <w:r w:rsidR="00BD0560" w:rsidRPr="00DE2EDF">
        <w:rPr>
          <w:rFonts w:cs="Times New Roman"/>
          <w:lang w:val="en-GB"/>
        </w:rPr>
        <w:t xml:space="preserve"> (1894</w:t>
      </w:r>
      <w:r w:rsidR="00281421" w:rsidRPr="00DE2EDF">
        <w:rPr>
          <w:rFonts w:cs="Times New Roman"/>
        </w:rPr>
        <w:t>–</w:t>
      </w:r>
      <w:r w:rsidR="00BD0560" w:rsidRPr="00DE2EDF">
        <w:rPr>
          <w:rFonts w:cs="Times New Roman"/>
          <w:lang w:val="en-GB"/>
        </w:rPr>
        <w:t>1973)</w:t>
      </w:r>
      <w:r w:rsidR="00A73BA7" w:rsidRPr="00DE2EDF">
        <w:rPr>
          <w:rFonts w:cs="Times New Roman"/>
          <w:lang w:val="en-GB"/>
        </w:rPr>
        <w:t>,</w:t>
      </w:r>
      <w:r w:rsidR="00EF7F21" w:rsidRPr="00DE2EDF">
        <w:rPr>
          <w:rFonts w:cs="Times New Roman"/>
          <w:lang w:val="en-GB"/>
        </w:rPr>
        <w:t xml:space="preserve"> tends to be </w:t>
      </w:r>
      <w:r w:rsidR="006D0945" w:rsidRPr="00DE2EDF">
        <w:rPr>
          <w:rFonts w:cs="Times New Roman"/>
          <w:lang w:val="en-GB"/>
        </w:rPr>
        <w:t xml:space="preserve">narrowly </w:t>
      </w:r>
      <w:r w:rsidR="00EF7F21" w:rsidRPr="00DE2EDF">
        <w:rPr>
          <w:rFonts w:cs="Times New Roman"/>
          <w:lang w:val="en-GB"/>
        </w:rPr>
        <w:t>descriptive</w:t>
      </w:r>
      <w:r w:rsidR="006D0945" w:rsidRPr="00DE2EDF">
        <w:rPr>
          <w:rFonts w:cs="Times New Roman"/>
          <w:lang w:val="en-GB"/>
        </w:rPr>
        <w:t xml:space="preserve"> and reactive.</w:t>
      </w:r>
      <w:r w:rsidR="00EF7F21" w:rsidRPr="00DE2EDF">
        <w:rPr>
          <w:rStyle w:val="FootnoteReference"/>
          <w:rFonts w:cs="Times New Roman"/>
          <w:lang w:val="en-GB"/>
        </w:rPr>
        <w:footnoteReference w:id="128"/>
      </w:r>
      <w:r w:rsidRPr="00DE2EDF">
        <w:rPr>
          <w:rFonts w:cs="Times New Roman"/>
          <w:lang w:val="en-GB"/>
        </w:rPr>
        <w:t xml:space="preserve"> </w:t>
      </w:r>
      <w:r w:rsidR="00BD0560" w:rsidRPr="00DE2EDF">
        <w:rPr>
          <w:rFonts w:cs="Times New Roman"/>
          <w:lang w:val="en-GB"/>
        </w:rPr>
        <w:t>I</w:t>
      </w:r>
      <w:r w:rsidRPr="00DE2EDF">
        <w:rPr>
          <w:rFonts w:cs="Times New Roman"/>
          <w:lang w:val="en-GB"/>
        </w:rPr>
        <w:t>n the eyes of Swedish lawyers, the constitutional substance of administrative law appears</w:t>
      </w:r>
      <w:r w:rsidR="00BD0560" w:rsidRPr="00DE2EDF">
        <w:rPr>
          <w:rFonts w:cs="Times New Roman"/>
          <w:lang w:val="en-GB"/>
        </w:rPr>
        <w:t xml:space="preserve"> also</w:t>
      </w:r>
      <w:r w:rsidRPr="00DE2EDF">
        <w:rPr>
          <w:rFonts w:cs="Times New Roman"/>
          <w:lang w:val="en-GB"/>
        </w:rPr>
        <w:t xml:space="preserve"> to be </w:t>
      </w:r>
      <w:r w:rsidR="00C14DCD" w:rsidRPr="00DE2EDF">
        <w:rPr>
          <w:rFonts w:cs="Times New Roman"/>
          <w:lang w:val="en-GB"/>
        </w:rPr>
        <w:t>poor</w:t>
      </w:r>
      <w:r w:rsidRPr="00DE2EDF">
        <w:rPr>
          <w:rFonts w:cs="Times New Roman"/>
          <w:lang w:val="en-GB"/>
        </w:rPr>
        <w:t xml:space="preserve">. </w:t>
      </w:r>
      <w:r w:rsidR="00C14DCD" w:rsidRPr="00DE2EDF">
        <w:rPr>
          <w:rFonts w:cs="Times New Roman"/>
          <w:lang w:val="en-GB"/>
        </w:rPr>
        <w:t xml:space="preserve">This raises the general question of the Constitution’s role in the </w:t>
      </w:r>
      <w:r w:rsidR="00BD0560" w:rsidRPr="00DE2EDF">
        <w:rPr>
          <w:rFonts w:cs="Times New Roman"/>
          <w:lang w:val="en-GB"/>
        </w:rPr>
        <w:t xml:space="preserve">Swedish </w:t>
      </w:r>
      <w:r w:rsidR="00C14DCD" w:rsidRPr="00DE2EDF">
        <w:rPr>
          <w:rFonts w:cs="Times New Roman"/>
          <w:lang w:val="en-GB"/>
        </w:rPr>
        <w:t xml:space="preserve">legal system. </w:t>
      </w:r>
      <w:r w:rsidRPr="00DE2EDF">
        <w:rPr>
          <w:rFonts w:cs="Times New Roman"/>
          <w:lang w:val="en-GB"/>
        </w:rPr>
        <w:t>According to Mats Kumlien and Kjell Åke Modéer, a discussion of constitutional arguments in political and judicial fora was considered ‘unusual’, ‘frivolous’, or even ‘ridiculous’</w:t>
      </w:r>
      <w:bookmarkStart w:id="235" w:name="_Ref457848221"/>
      <w:r w:rsidR="002965A6" w:rsidRPr="00DE2EDF">
        <w:rPr>
          <w:rStyle w:val="FootnoteReference"/>
          <w:rFonts w:cs="Times New Roman"/>
          <w:lang w:val="en-GB"/>
        </w:rPr>
        <w:footnoteReference w:id="129"/>
      </w:r>
      <w:bookmarkEnd w:id="235"/>
      <w:r w:rsidR="0031053B" w:rsidRPr="00DE2EDF">
        <w:rPr>
          <w:rFonts w:cs="Times New Roman"/>
          <w:lang w:val="en-GB"/>
        </w:rPr>
        <w:t xml:space="preserve"> during the period from 1917 to 1974</w:t>
      </w:r>
      <w:r w:rsidR="00366F22" w:rsidRPr="00DE2EDF">
        <w:rPr>
          <w:rFonts w:cs="Times New Roman"/>
          <w:lang w:val="en-GB"/>
        </w:rPr>
        <w:t xml:space="preserve">, </w:t>
      </w:r>
      <w:r w:rsidR="001F2E88" w:rsidRPr="00DE2EDF">
        <w:rPr>
          <w:rFonts w:cs="Times New Roman"/>
          <w:lang w:val="en-GB"/>
        </w:rPr>
        <w:t>the so-called ‘half century without a Constitution’</w:t>
      </w:r>
      <w:r w:rsidR="004F1535" w:rsidRPr="00DE2EDF">
        <w:rPr>
          <w:rFonts w:cs="Times New Roman"/>
          <w:lang w:val="en-GB"/>
        </w:rPr>
        <w:t>.</w:t>
      </w:r>
      <w:r w:rsidR="00366F22" w:rsidRPr="00DE2EDF">
        <w:rPr>
          <w:rStyle w:val="FootnoteReference"/>
          <w:rFonts w:cs="Times New Roman"/>
          <w:lang w:val="en-GB"/>
        </w:rPr>
        <w:footnoteReference w:id="130"/>
      </w:r>
      <w:bookmarkStart w:id="236" w:name="_ftnref110"/>
      <w:r w:rsidRPr="00DE2EDF">
        <w:rPr>
          <w:rFonts w:cs="Times New Roman"/>
          <w:lang w:val="en-GB"/>
        </w:rPr>
        <w:t xml:space="preserve"> </w:t>
      </w:r>
      <w:bookmarkEnd w:id="236"/>
      <w:r w:rsidRPr="00DE2EDF">
        <w:rPr>
          <w:rFonts w:cs="Times New Roman"/>
          <w:lang w:val="en-GB"/>
        </w:rPr>
        <w:t xml:space="preserve">The </w:t>
      </w:r>
      <w:r w:rsidR="001F2E88" w:rsidRPr="00DE2EDF">
        <w:rPr>
          <w:rFonts w:cs="Times New Roman"/>
          <w:lang w:val="en-GB"/>
        </w:rPr>
        <w:t>c</w:t>
      </w:r>
      <w:r w:rsidRPr="00DE2EDF">
        <w:rPr>
          <w:rFonts w:cs="Times New Roman"/>
          <w:lang w:val="en-GB"/>
        </w:rPr>
        <w:t>onstitution</w:t>
      </w:r>
      <w:r w:rsidR="001F2E88" w:rsidRPr="00DE2EDF">
        <w:rPr>
          <w:rFonts w:cs="Times New Roman"/>
          <w:lang w:val="en-GB"/>
        </w:rPr>
        <w:t>al text</w:t>
      </w:r>
      <w:r w:rsidRPr="00DE2EDF">
        <w:rPr>
          <w:rFonts w:cs="Times New Roman"/>
          <w:lang w:val="en-GB"/>
        </w:rPr>
        <w:t xml:space="preserve"> was</w:t>
      </w:r>
      <w:r w:rsidR="002965A6" w:rsidRPr="00DE2EDF">
        <w:rPr>
          <w:rFonts w:cs="Times New Roman"/>
          <w:lang w:val="en-GB"/>
        </w:rPr>
        <w:t xml:space="preserve"> largely </w:t>
      </w:r>
      <w:r w:rsidR="001F2E88" w:rsidRPr="00DE2EDF">
        <w:rPr>
          <w:rFonts w:cs="Times New Roman"/>
          <w:lang w:val="en-GB"/>
        </w:rPr>
        <w:t>a fa</w:t>
      </w:r>
      <w:r w:rsidR="00DB4CAF">
        <w:rPr>
          <w:rFonts w:cs="Times New Roman"/>
          <w:lang w:val="en-GB"/>
        </w:rPr>
        <w:t>c</w:t>
      </w:r>
      <w:r w:rsidR="001F2E88" w:rsidRPr="00DE2EDF">
        <w:rPr>
          <w:rFonts w:cs="Times New Roman"/>
          <w:lang w:val="en-GB"/>
        </w:rPr>
        <w:t xml:space="preserve">ade as the new political practice of parliamentary democracy developed in contradiction to the black letter norms of the </w:t>
      </w:r>
      <w:r w:rsidR="00714FE0" w:rsidRPr="00DE2EDF">
        <w:rPr>
          <w:rFonts w:cs="Times New Roman"/>
          <w:lang w:val="en-GB"/>
        </w:rPr>
        <w:t xml:space="preserve">1809 </w:t>
      </w:r>
      <w:r w:rsidR="009D2894" w:rsidRPr="00DE2EDF">
        <w:rPr>
          <w:rFonts w:cs="Times New Roman"/>
          <w:lang w:val="en-GB"/>
        </w:rPr>
        <w:t>Instrument of Government</w:t>
      </w:r>
      <w:r w:rsidR="001F2E88" w:rsidRPr="00DE2EDF">
        <w:rPr>
          <w:rFonts w:cs="Times New Roman"/>
          <w:lang w:val="en-GB"/>
        </w:rPr>
        <w:t>.</w:t>
      </w:r>
      <w:r w:rsidRPr="00DE2EDF">
        <w:rPr>
          <w:rFonts w:cs="Times New Roman"/>
          <w:lang w:val="en-GB"/>
        </w:rPr>
        <w:t xml:space="preserve"> </w:t>
      </w:r>
      <w:r w:rsidR="00ED2D0D" w:rsidRPr="00DE2EDF">
        <w:rPr>
          <w:rFonts w:cs="Times New Roman"/>
          <w:lang w:val="en-GB"/>
        </w:rPr>
        <w:t>Even in the 1970s, the Constitution was mostly seen as an ‘unpractical decoration for the Nation State’</w:t>
      </w:r>
      <w:r w:rsidR="00281421" w:rsidRPr="00DE2EDF">
        <w:rPr>
          <w:rFonts w:cs="Times New Roman"/>
          <w:lang w:val="en-GB"/>
        </w:rPr>
        <w:t>.</w:t>
      </w:r>
      <w:r w:rsidR="00ED2D0D" w:rsidRPr="00DE2EDF">
        <w:rPr>
          <w:rStyle w:val="FootnoteReference"/>
          <w:rFonts w:cs="Times New Roman"/>
          <w:lang w:val="en-GB"/>
        </w:rPr>
        <w:footnoteReference w:id="131"/>
      </w:r>
      <w:r w:rsidR="00ED2D0D" w:rsidRPr="00DE2EDF">
        <w:rPr>
          <w:rFonts w:cs="Times New Roman"/>
          <w:lang w:val="en-GB"/>
        </w:rPr>
        <w:t xml:space="preserve"> </w:t>
      </w:r>
      <w:r w:rsidR="00F310D5" w:rsidRPr="00DE2EDF">
        <w:rPr>
          <w:rFonts w:cs="Times New Roman"/>
          <w:lang w:val="en-GB"/>
        </w:rPr>
        <w:t>It took some time before it was ‘considered to be part of the valid legal rules’</w:t>
      </w:r>
      <w:r w:rsidR="00281421" w:rsidRPr="00DE2EDF">
        <w:rPr>
          <w:rFonts w:cs="Times New Roman"/>
          <w:lang w:val="en-GB"/>
        </w:rPr>
        <w:t>.</w:t>
      </w:r>
      <w:r w:rsidR="00F310D5" w:rsidRPr="00DE2EDF">
        <w:rPr>
          <w:rStyle w:val="FootnoteReference"/>
          <w:rFonts w:cs="Times New Roman"/>
          <w:lang w:val="en-GB"/>
        </w:rPr>
        <w:footnoteReference w:id="132"/>
      </w:r>
      <w:r w:rsidR="00F310D5" w:rsidRPr="00DE2EDF">
        <w:rPr>
          <w:rFonts w:cs="Times New Roman"/>
          <w:lang w:val="en-GB"/>
        </w:rPr>
        <w:t xml:space="preserve"> </w:t>
      </w:r>
      <w:r w:rsidR="00F9625A" w:rsidRPr="00DE2EDF">
        <w:rPr>
          <w:rFonts w:cs="Times New Roman"/>
          <w:lang w:val="en-GB"/>
        </w:rPr>
        <w:t>At the time, legal s</w:t>
      </w:r>
      <w:r w:rsidR="00E62F04" w:rsidRPr="00DE2EDF">
        <w:rPr>
          <w:rFonts w:cs="Times New Roman"/>
          <w:lang w:val="en-GB"/>
        </w:rPr>
        <w:t xml:space="preserve">cholars </w:t>
      </w:r>
      <w:r w:rsidR="00F9625A" w:rsidRPr="00DE2EDF">
        <w:rPr>
          <w:rFonts w:cs="Times New Roman"/>
          <w:lang w:val="en-GB"/>
        </w:rPr>
        <w:t xml:space="preserve">also </w:t>
      </w:r>
      <w:r w:rsidR="00E62F04" w:rsidRPr="00DE2EDF">
        <w:rPr>
          <w:rFonts w:cs="Times New Roman"/>
          <w:lang w:val="en-GB"/>
        </w:rPr>
        <w:t>showed a lack of interest in constitutional debates (</w:t>
      </w:r>
      <w:r w:rsidR="00C614A9" w:rsidRPr="00DE2EDF">
        <w:rPr>
          <w:rFonts w:cs="Times New Roman"/>
          <w:lang w:val="en-GB"/>
        </w:rPr>
        <w:t xml:space="preserve">Joakim </w:t>
      </w:r>
      <w:r w:rsidR="00E62F04" w:rsidRPr="00DE2EDF">
        <w:rPr>
          <w:rFonts w:cs="Times New Roman"/>
          <w:lang w:val="en-GB"/>
        </w:rPr>
        <w:t>Nergelius spoke, in that context, of a ‘theory deficit’</w:t>
      </w:r>
      <w:r w:rsidR="00CD5CC5" w:rsidRPr="00DE2EDF">
        <w:rPr>
          <w:rStyle w:val="FootnoteReference"/>
          <w:rFonts w:cs="Times New Roman"/>
          <w:lang w:val="en-GB"/>
        </w:rPr>
        <w:footnoteReference w:id="133"/>
      </w:r>
      <w:r w:rsidR="00E62F04" w:rsidRPr="00DE2EDF">
        <w:rPr>
          <w:rFonts w:cs="Times New Roman"/>
          <w:lang w:val="en-GB"/>
        </w:rPr>
        <w:t xml:space="preserve">). Until </w:t>
      </w:r>
      <w:r w:rsidR="002A576E" w:rsidRPr="00DE2EDF">
        <w:rPr>
          <w:rFonts w:cs="Times New Roman"/>
          <w:lang w:val="en-GB"/>
        </w:rPr>
        <w:t xml:space="preserve">the end of </w:t>
      </w:r>
      <w:r w:rsidR="004A6257">
        <w:rPr>
          <w:rFonts w:cs="Times New Roman"/>
          <w:lang w:val="en-GB"/>
        </w:rPr>
        <w:t xml:space="preserve">the </w:t>
      </w:r>
      <w:r w:rsidR="003F3A10" w:rsidRPr="00DE2EDF">
        <w:rPr>
          <w:rFonts w:cs="Times New Roman"/>
          <w:lang w:val="en-GB"/>
        </w:rPr>
        <w:t>twentieth</w:t>
      </w:r>
      <w:r w:rsidR="002A576E" w:rsidRPr="00DE2EDF">
        <w:rPr>
          <w:rFonts w:cs="Times New Roman"/>
          <w:lang w:val="en-GB"/>
        </w:rPr>
        <w:t xml:space="preserve"> century, </w:t>
      </w:r>
      <w:r w:rsidR="00E62F04" w:rsidRPr="00DE2EDF">
        <w:rPr>
          <w:rFonts w:cs="Times New Roman"/>
          <w:lang w:val="en-GB"/>
        </w:rPr>
        <w:t xml:space="preserve">there was no critical </w:t>
      </w:r>
      <w:r w:rsidR="00C14DCD" w:rsidRPr="00DE2EDF">
        <w:rPr>
          <w:rFonts w:cs="Times New Roman"/>
          <w:lang w:val="en-GB"/>
        </w:rPr>
        <w:t xml:space="preserve">academic </w:t>
      </w:r>
      <w:r w:rsidR="00E62F04" w:rsidRPr="00DE2EDF">
        <w:rPr>
          <w:rFonts w:cs="Times New Roman"/>
          <w:lang w:val="en-GB"/>
        </w:rPr>
        <w:t xml:space="preserve">assessment of </w:t>
      </w:r>
      <w:r w:rsidR="00C14DCD" w:rsidRPr="00DE2EDF">
        <w:rPr>
          <w:rFonts w:cs="Times New Roman"/>
          <w:lang w:val="en-GB"/>
        </w:rPr>
        <w:t xml:space="preserve">the judges’ very deferential handling of constitutional rights. </w:t>
      </w:r>
      <w:r w:rsidR="002A576E" w:rsidRPr="00DE2EDF">
        <w:rPr>
          <w:rFonts w:cs="Times New Roman"/>
          <w:lang w:val="en-GB"/>
        </w:rPr>
        <w:t xml:space="preserve">Compared to other </w:t>
      </w:r>
      <w:r w:rsidR="001D51CE" w:rsidRPr="00DE2EDF">
        <w:rPr>
          <w:rFonts w:cs="Times New Roman"/>
          <w:lang w:val="en-GB"/>
        </w:rPr>
        <w:t>W</w:t>
      </w:r>
      <w:r w:rsidR="002A576E" w:rsidRPr="00DE2EDF">
        <w:rPr>
          <w:rFonts w:cs="Times New Roman"/>
          <w:lang w:val="en-GB"/>
        </w:rPr>
        <w:t>estern democracies, f</w:t>
      </w:r>
      <w:r w:rsidRPr="00DE2EDF">
        <w:rPr>
          <w:rFonts w:cs="Times New Roman"/>
          <w:lang w:val="en-GB"/>
        </w:rPr>
        <w:t xml:space="preserve">undamental rights were incorporated in the </w:t>
      </w:r>
      <w:r w:rsidR="002A576E" w:rsidRPr="00DE2EDF">
        <w:rPr>
          <w:rFonts w:cs="Times New Roman"/>
          <w:lang w:val="en-GB"/>
        </w:rPr>
        <w:t xml:space="preserve">Swedish Constitution </w:t>
      </w:r>
      <w:r w:rsidR="00B2019D" w:rsidRPr="00DE2EDF">
        <w:rPr>
          <w:rFonts w:cs="Times New Roman"/>
          <w:lang w:val="en-GB"/>
        </w:rPr>
        <w:t>quite late</w:t>
      </w:r>
      <w:r w:rsidR="00281421" w:rsidRPr="00DE2EDF">
        <w:rPr>
          <w:rFonts w:cs="Times New Roman"/>
        </w:rPr>
        <w:t>—</w:t>
      </w:r>
      <w:r w:rsidR="002A576E" w:rsidRPr="00DE2EDF">
        <w:rPr>
          <w:rFonts w:cs="Times New Roman"/>
          <w:lang w:val="en-GB"/>
        </w:rPr>
        <w:t xml:space="preserve">only </w:t>
      </w:r>
      <w:r w:rsidRPr="00DE2EDF">
        <w:rPr>
          <w:rFonts w:cs="Times New Roman"/>
          <w:lang w:val="en-GB"/>
        </w:rPr>
        <w:t>in</w:t>
      </w:r>
      <w:r w:rsidR="001D51CE" w:rsidRPr="00DE2EDF">
        <w:rPr>
          <w:rFonts w:cs="Times New Roman"/>
          <w:lang w:val="en-GB"/>
        </w:rPr>
        <w:t xml:space="preserve"> three waves in</w:t>
      </w:r>
      <w:r w:rsidRPr="00DE2EDF">
        <w:rPr>
          <w:rFonts w:cs="Times New Roman"/>
          <w:lang w:val="en-GB"/>
        </w:rPr>
        <w:t xml:space="preserve"> </w:t>
      </w:r>
      <w:r w:rsidR="002A576E" w:rsidRPr="00DE2EDF">
        <w:rPr>
          <w:rFonts w:cs="Times New Roman"/>
          <w:lang w:val="en-GB"/>
        </w:rPr>
        <w:t>1974</w:t>
      </w:r>
      <w:r w:rsidR="00281421" w:rsidRPr="00DE2EDF">
        <w:rPr>
          <w:rFonts w:cs="Times New Roman"/>
          <w:lang w:val="en-GB"/>
        </w:rPr>
        <w:t>,</w:t>
      </w:r>
      <w:r w:rsidR="00A918A6">
        <w:rPr>
          <w:rFonts w:cs="Times New Roman"/>
          <w:lang w:val="en-GB"/>
        </w:rPr>
        <w:t xml:space="preserve"> </w:t>
      </w:r>
      <w:r w:rsidR="002A576E" w:rsidRPr="00DE2EDF">
        <w:rPr>
          <w:rFonts w:cs="Times New Roman"/>
          <w:lang w:val="en-GB"/>
        </w:rPr>
        <w:t>1976</w:t>
      </w:r>
      <w:r w:rsidR="00281421" w:rsidRPr="00DE2EDF">
        <w:rPr>
          <w:rFonts w:cs="Times New Roman"/>
          <w:lang w:val="en-GB"/>
        </w:rPr>
        <w:t>, and</w:t>
      </w:r>
      <w:r w:rsidR="00A918A6">
        <w:rPr>
          <w:rFonts w:cs="Times New Roman"/>
          <w:lang w:val="en-GB"/>
        </w:rPr>
        <w:t xml:space="preserve"> </w:t>
      </w:r>
      <w:r w:rsidRPr="00DE2EDF">
        <w:rPr>
          <w:rFonts w:cs="Times New Roman"/>
          <w:lang w:val="en-GB"/>
        </w:rPr>
        <w:t>1979</w:t>
      </w:r>
      <w:r w:rsidR="00281421" w:rsidRPr="00DE2EDF">
        <w:rPr>
          <w:rFonts w:cs="Times New Roman"/>
        </w:rPr>
        <w:t>—</w:t>
      </w:r>
      <w:r w:rsidRPr="00DE2EDF">
        <w:rPr>
          <w:rFonts w:cs="Times New Roman"/>
          <w:lang w:val="en-GB"/>
        </w:rPr>
        <w:t xml:space="preserve">due to the Social Democratic Party’s fear of </w:t>
      </w:r>
      <w:r w:rsidR="00A73BA7" w:rsidRPr="00DE2EDF">
        <w:rPr>
          <w:rFonts w:cs="Times New Roman"/>
          <w:lang w:val="en-GB"/>
        </w:rPr>
        <w:t>the ‘</w:t>
      </w:r>
      <w:r w:rsidRPr="00DE2EDF">
        <w:rPr>
          <w:rFonts w:cs="Times New Roman"/>
          <w:lang w:val="en-GB"/>
        </w:rPr>
        <w:t>judiciali</w:t>
      </w:r>
      <w:r w:rsidR="001D51CE" w:rsidRPr="00DE2EDF">
        <w:rPr>
          <w:rFonts w:cs="Times New Roman"/>
          <w:lang w:val="en-GB"/>
        </w:rPr>
        <w:t>z</w:t>
      </w:r>
      <w:r w:rsidRPr="00DE2EDF">
        <w:rPr>
          <w:rFonts w:cs="Times New Roman"/>
          <w:lang w:val="en-GB"/>
        </w:rPr>
        <w:t>ation</w:t>
      </w:r>
      <w:r w:rsidR="00A73BA7" w:rsidRPr="00DE2EDF">
        <w:rPr>
          <w:rFonts w:cs="Times New Roman"/>
          <w:lang w:val="en-GB"/>
        </w:rPr>
        <w:t>’</w:t>
      </w:r>
      <w:r w:rsidRPr="00DE2EDF">
        <w:rPr>
          <w:rFonts w:cs="Times New Roman"/>
          <w:lang w:val="en-GB"/>
        </w:rPr>
        <w:t xml:space="preserve"> of politics and its optimistic view of the consensual democratic process.</w:t>
      </w:r>
      <w:r w:rsidR="00366F22" w:rsidRPr="00DE2EDF">
        <w:rPr>
          <w:rFonts w:cs="Times New Roman"/>
          <w:lang w:val="en-GB"/>
        </w:rPr>
        <w:t xml:space="preserve"> The idea of popular sovereignty, expressed through Parliament, was the dominant constitutional value</w:t>
      </w:r>
      <w:r w:rsidR="00D33C89" w:rsidRPr="00DE2EDF">
        <w:rPr>
          <w:rFonts w:cs="Times New Roman"/>
          <w:lang w:val="en-GB"/>
        </w:rPr>
        <w:t xml:space="preserve"> in Sweden, like in all other Nordic States</w:t>
      </w:r>
      <w:r w:rsidR="00366F22" w:rsidRPr="00DE2EDF">
        <w:rPr>
          <w:rFonts w:cs="Times New Roman"/>
          <w:lang w:val="en-GB"/>
        </w:rPr>
        <w:t>.</w:t>
      </w:r>
      <w:r w:rsidRPr="00DE2EDF">
        <w:rPr>
          <w:rFonts w:cs="Times New Roman"/>
          <w:lang w:val="en-GB"/>
        </w:rPr>
        <w:t xml:space="preserve"> Given this context, which permeated the legal culture</w:t>
      </w:r>
      <w:r w:rsidR="00D33C89" w:rsidRPr="00DE2EDF">
        <w:rPr>
          <w:rFonts w:cs="Times New Roman"/>
          <w:lang w:val="en-GB"/>
        </w:rPr>
        <w:t xml:space="preserve"> of Sweden</w:t>
      </w:r>
      <w:r w:rsidRPr="00DE2EDF">
        <w:rPr>
          <w:rFonts w:cs="Times New Roman"/>
          <w:lang w:val="en-GB"/>
        </w:rPr>
        <w:t xml:space="preserve">, </w:t>
      </w:r>
      <w:r w:rsidR="00B2019D" w:rsidRPr="00DE2EDF">
        <w:rPr>
          <w:rFonts w:cs="Times New Roman"/>
          <w:lang w:val="en-GB"/>
        </w:rPr>
        <w:t xml:space="preserve">ordinary </w:t>
      </w:r>
      <w:r w:rsidRPr="00DE2EDF">
        <w:rPr>
          <w:rFonts w:cs="Times New Roman"/>
          <w:lang w:val="en-GB"/>
        </w:rPr>
        <w:t xml:space="preserve">and administrative </w:t>
      </w:r>
      <w:r w:rsidRPr="00DE2EDF">
        <w:rPr>
          <w:rFonts w:cs="Times New Roman"/>
          <w:lang w:val="en-GB"/>
        </w:rPr>
        <w:lastRenderedPageBreak/>
        <w:t>courts hardly mobili</w:t>
      </w:r>
      <w:r w:rsidR="001D51CE" w:rsidRPr="00DE2EDF">
        <w:rPr>
          <w:rFonts w:cs="Times New Roman"/>
          <w:lang w:val="en-GB"/>
        </w:rPr>
        <w:t>z</w:t>
      </w:r>
      <w:r w:rsidRPr="00DE2EDF">
        <w:rPr>
          <w:rFonts w:cs="Times New Roman"/>
          <w:lang w:val="en-GB"/>
        </w:rPr>
        <w:t xml:space="preserve">ed fundamental rights </w:t>
      </w:r>
      <w:r w:rsidR="002A576E" w:rsidRPr="00DE2EDF">
        <w:rPr>
          <w:rFonts w:cs="Times New Roman"/>
          <w:lang w:val="en-GB"/>
        </w:rPr>
        <w:t>in the 1980s and 1990s</w:t>
      </w:r>
      <w:r w:rsidR="00281421" w:rsidRPr="00DE2EDF">
        <w:rPr>
          <w:rFonts w:cs="Times New Roman"/>
          <w:lang w:val="en-GB"/>
        </w:rPr>
        <w:t>.</w:t>
      </w:r>
      <w:r w:rsidRPr="00DE2EDF">
        <w:rPr>
          <w:rStyle w:val="FootnoteReference"/>
          <w:rFonts w:cs="Times New Roman"/>
          <w:iCs/>
          <w:lang w:val="en-GB"/>
        </w:rPr>
        <w:footnoteReference w:id="134"/>
      </w:r>
      <w:r w:rsidR="00B2019D" w:rsidRPr="00DE2EDF">
        <w:rPr>
          <w:rFonts w:cs="Times New Roman"/>
          <w:lang w:val="en-GB"/>
        </w:rPr>
        <w:t xml:space="preserve"> </w:t>
      </w:r>
      <w:r w:rsidRPr="00DE2EDF">
        <w:rPr>
          <w:rFonts w:cs="Times New Roman"/>
          <w:lang w:val="en-GB"/>
        </w:rPr>
        <w:t xml:space="preserve">Rights were already </w:t>
      </w:r>
      <w:r w:rsidR="00F050A4" w:rsidRPr="00DE2EDF">
        <w:rPr>
          <w:rFonts w:cs="Times New Roman"/>
          <w:lang w:val="en-GB"/>
        </w:rPr>
        <w:t xml:space="preserve">embodied </w:t>
      </w:r>
      <w:r w:rsidRPr="00DE2EDF">
        <w:rPr>
          <w:rFonts w:cs="Times New Roman"/>
          <w:lang w:val="en-GB"/>
        </w:rPr>
        <w:t>in statutes and were efficiently protected by organs such as ombudsmen. In some disputes, judges did not take notice of the constitutional rights issue or, if they did, they did not attach much weight to it. Courts were</w:t>
      </w:r>
      <w:r w:rsidR="00F050A4" w:rsidRPr="00DE2EDF">
        <w:rPr>
          <w:rFonts w:cs="Times New Roman"/>
          <w:lang w:val="en-GB"/>
        </w:rPr>
        <w:t>,</w:t>
      </w:r>
      <w:r w:rsidRPr="00DE2EDF">
        <w:rPr>
          <w:rFonts w:cs="Times New Roman"/>
          <w:lang w:val="en-GB"/>
        </w:rPr>
        <w:t xml:space="preserve"> and </w:t>
      </w:r>
      <w:r w:rsidR="00F050A4" w:rsidRPr="00DE2EDF">
        <w:rPr>
          <w:rFonts w:cs="Times New Roman"/>
          <w:lang w:val="en-GB"/>
        </w:rPr>
        <w:t xml:space="preserve">remain, </w:t>
      </w:r>
      <w:r w:rsidRPr="00DE2EDF">
        <w:rPr>
          <w:rFonts w:cs="Times New Roman"/>
          <w:lang w:val="en-GB"/>
        </w:rPr>
        <w:t xml:space="preserve">deferential to </w:t>
      </w:r>
      <w:r w:rsidR="00F050A4" w:rsidRPr="00DE2EDF">
        <w:rPr>
          <w:rFonts w:cs="Times New Roman"/>
          <w:lang w:val="en-GB"/>
        </w:rPr>
        <w:t xml:space="preserve">the </w:t>
      </w:r>
      <w:r w:rsidR="00B2019D" w:rsidRPr="00DE2EDF">
        <w:rPr>
          <w:rFonts w:cs="Times New Roman"/>
          <w:lang w:val="en-GB"/>
        </w:rPr>
        <w:t xml:space="preserve">elected </w:t>
      </w:r>
      <w:r w:rsidRPr="00DE2EDF">
        <w:rPr>
          <w:rFonts w:cs="Times New Roman"/>
          <w:lang w:val="en-GB"/>
        </w:rPr>
        <w:t xml:space="preserve">parliament who is primarily responsible for ensuring that statutes </w:t>
      </w:r>
      <w:r w:rsidR="00ED2D0D" w:rsidRPr="00DE2EDF">
        <w:rPr>
          <w:rFonts w:cs="Times New Roman"/>
          <w:lang w:val="en-GB"/>
        </w:rPr>
        <w:t xml:space="preserve">comply </w:t>
      </w:r>
      <w:r w:rsidRPr="00DE2EDF">
        <w:rPr>
          <w:rFonts w:cs="Times New Roman"/>
          <w:lang w:val="en-GB"/>
        </w:rPr>
        <w:t xml:space="preserve">with fundamental rights standards. </w:t>
      </w:r>
      <w:r w:rsidR="00F310D5" w:rsidRPr="00DE2EDF">
        <w:rPr>
          <w:rFonts w:cs="Times New Roman"/>
          <w:lang w:val="en-GB"/>
        </w:rPr>
        <w:t>Traditionally</w:t>
      </w:r>
      <w:r w:rsidR="001D51CE" w:rsidRPr="00DE2EDF">
        <w:rPr>
          <w:rFonts w:cs="Times New Roman"/>
          <w:lang w:val="en-GB"/>
        </w:rPr>
        <w:t>,</w:t>
      </w:r>
      <w:r w:rsidR="00F310D5" w:rsidRPr="00DE2EDF">
        <w:rPr>
          <w:rFonts w:cs="Times New Roman"/>
          <w:lang w:val="en-GB"/>
        </w:rPr>
        <w:t xml:space="preserve"> </w:t>
      </w:r>
      <w:r w:rsidR="00A63C41" w:rsidRPr="00DE2EDF">
        <w:rPr>
          <w:rFonts w:cs="Times New Roman"/>
          <w:lang w:val="en-GB"/>
        </w:rPr>
        <w:t xml:space="preserve">Swedish </w:t>
      </w:r>
      <w:r w:rsidR="004E14AA" w:rsidRPr="00DE2EDF">
        <w:rPr>
          <w:rFonts w:cs="Times New Roman"/>
          <w:lang w:val="en-GB"/>
        </w:rPr>
        <w:t>Courts refuse</w:t>
      </w:r>
      <w:r w:rsidR="00F310D5" w:rsidRPr="00DE2EDF">
        <w:rPr>
          <w:rFonts w:cs="Times New Roman"/>
          <w:lang w:val="en-GB"/>
        </w:rPr>
        <w:t>d</w:t>
      </w:r>
      <w:r w:rsidR="004E14AA" w:rsidRPr="00DE2EDF">
        <w:rPr>
          <w:rFonts w:cs="Times New Roman"/>
          <w:lang w:val="en-GB"/>
        </w:rPr>
        <w:t xml:space="preserve"> to interpret the </w:t>
      </w:r>
      <w:r w:rsidR="00ED2D0D" w:rsidRPr="00DE2EDF">
        <w:rPr>
          <w:rFonts w:cs="Times New Roman"/>
          <w:lang w:val="en-GB"/>
        </w:rPr>
        <w:t>constitutional</w:t>
      </w:r>
      <w:r w:rsidR="004E14AA" w:rsidRPr="00DE2EDF">
        <w:rPr>
          <w:rFonts w:cs="Times New Roman"/>
          <w:lang w:val="en-GB"/>
        </w:rPr>
        <w:t xml:space="preserve"> rights provisions dynamically</w:t>
      </w:r>
      <w:r w:rsidR="009D0451" w:rsidRPr="00DE2EDF">
        <w:rPr>
          <w:rFonts w:cs="Times New Roman"/>
          <w:lang w:val="en-GB"/>
        </w:rPr>
        <w:t>. The reasons for th</w:t>
      </w:r>
      <w:r w:rsidR="004F1535" w:rsidRPr="00DE2EDF">
        <w:rPr>
          <w:rFonts w:cs="Times New Roman"/>
          <w:lang w:val="en-GB"/>
        </w:rPr>
        <w:t>at</w:t>
      </w:r>
      <w:r w:rsidR="009D0451" w:rsidRPr="00DE2EDF">
        <w:rPr>
          <w:rFonts w:cs="Times New Roman"/>
          <w:lang w:val="en-GB"/>
        </w:rPr>
        <w:t xml:space="preserve"> </w:t>
      </w:r>
      <w:r w:rsidR="00595E79" w:rsidRPr="00DE2EDF">
        <w:rPr>
          <w:rFonts w:cs="Times New Roman"/>
          <w:lang w:val="en-GB"/>
        </w:rPr>
        <w:t xml:space="preserve">attitude </w:t>
      </w:r>
      <w:r w:rsidR="009D0451" w:rsidRPr="00DE2EDF">
        <w:rPr>
          <w:rFonts w:cs="Times New Roman"/>
          <w:lang w:val="en-GB"/>
        </w:rPr>
        <w:t>were manifold</w:t>
      </w:r>
      <w:r w:rsidR="004600F5" w:rsidRPr="00DE2EDF">
        <w:rPr>
          <w:rFonts w:cs="Times New Roman"/>
          <w:lang w:val="en-GB"/>
        </w:rPr>
        <w:t>.</w:t>
      </w:r>
      <w:r w:rsidR="009D0451" w:rsidRPr="00DE2EDF">
        <w:rPr>
          <w:rFonts w:cs="Times New Roman"/>
          <w:lang w:val="en-GB"/>
        </w:rPr>
        <w:t xml:space="preserve"> </w:t>
      </w:r>
      <w:r w:rsidR="004600F5" w:rsidRPr="00DE2EDF">
        <w:rPr>
          <w:rFonts w:cs="Times New Roman"/>
          <w:lang w:val="en-GB"/>
        </w:rPr>
        <w:t xml:space="preserve">Prior to 2010, a court could only refuse to apply a statute passed by the </w:t>
      </w:r>
      <w:r w:rsidR="004600F5" w:rsidRPr="00DE2EDF">
        <w:rPr>
          <w:rFonts w:cs="Times New Roman"/>
          <w:i/>
          <w:lang w:val="en-GB"/>
        </w:rPr>
        <w:t>Riksdag</w:t>
      </w:r>
      <w:r w:rsidR="004600F5" w:rsidRPr="00DE2EDF">
        <w:rPr>
          <w:rFonts w:cs="Times New Roman"/>
          <w:lang w:val="en-GB"/>
        </w:rPr>
        <w:t xml:space="preserve"> or a regulation enacted by the Government if its unconstitutionality was </w:t>
      </w:r>
      <w:r w:rsidR="004600F5" w:rsidRPr="00DE2EDF">
        <w:rPr>
          <w:rFonts w:cs="Times New Roman"/>
          <w:i/>
          <w:lang w:val="en-GB"/>
        </w:rPr>
        <w:t>uppenbart</w:t>
      </w:r>
      <w:r w:rsidR="004600F5" w:rsidRPr="00DE2EDF">
        <w:rPr>
          <w:rFonts w:cs="Times New Roman"/>
          <w:lang w:val="en-GB"/>
        </w:rPr>
        <w:t xml:space="preserve">, that is to say, obvious or manifest (see </w:t>
      </w:r>
      <w:r w:rsidR="00281421" w:rsidRPr="00DE2EDF">
        <w:rPr>
          <w:rFonts w:cs="Times New Roman"/>
          <w:lang w:val="en-GB"/>
        </w:rPr>
        <w:t>the older version of chapter XI article</w:t>
      </w:r>
      <w:r w:rsidR="004600F5" w:rsidRPr="00DE2EDF">
        <w:rPr>
          <w:rFonts w:cs="Times New Roman"/>
          <w:lang w:val="en-GB"/>
        </w:rPr>
        <w:t xml:space="preserve"> 14</w:t>
      </w:r>
      <w:r w:rsidR="00281421" w:rsidRPr="00DE2EDF">
        <w:rPr>
          <w:rFonts w:cs="Times New Roman"/>
          <w:lang w:val="en-GB"/>
        </w:rPr>
        <w:t xml:space="preserve"> para</w:t>
      </w:r>
      <w:r w:rsidR="004600F5" w:rsidRPr="00DE2EDF">
        <w:rPr>
          <w:rFonts w:cs="Times New Roman"/>
          <w:lang w:val="en-GB"/>
        </w:rPr>
        <w:t xml:space="preserve"> 2 of the 1974 Instrument of Government</w:t>
      </w:r>
      <w:r w:rsidR="004600F5" w:rsidRPr="00DE2EDF">
        <w:rPr>
          <w:rStyle w:val="FootnoteReference"/>
          <w:rFonts w:cs="Times New Roman"/>
          <w:lang w:val="en-GB"/>
        </w:rPr>
        <w:footnoteReference w:id="135"/>
      </w:r>
      <w:r w:rsidR="004600F5" w:rsidRPr="00DE2EDF">
        <w:rPr>
          <w:rFonts w:cs="Times New Roman"/>
          <w:lang w:val="en-GB"/>
        </w:rPr>
        <w:t>). Yet, this was virtually never the case, if one looked at the matter from Axel Hägerströms’ positivist theory of law.</w:t>
      </w:r>
      <w:r w:rsidR="004600F5" w:rsidRPr="00DE2EDF">
        <w:rPr>
          <w:rStyle w:val="FootnoteReference"/>
          <w:rFonts w:cs="Times New Roman"/>
          <w:lang w:val="en-GB"/>
        </w:rPr>
        <w:footnoteReference w:id="136"/>
      </w:r>
      <w:r w:rsidR="004600F5" w:rsidRPr="00DE2EDF">
        <w:rPr>
          <w:rFonts w:cs="Times New Roman"/>
          <w:lang w:val="en-GB"/>
        </w:rPr>
        <w:t xml:space="preserve"> The spiritual heritage of the Scandinavian School of Realism weighed on the shoulders of Swedish judges and lawyers; few knew how to escape its grasp. The ethos of Swedish judges </w:t>
      </w:r>
      <w:r w:rsidR="0080189E">
        <w:rPr>
          <w:rFonts w:cs="Times New Roman"/>
          <w:lang w:val="en-GB"/>
        </w:rPr>
        <w:t>was characteriz</w:t>
      </w:r>
      <w:r w:rsidR="004600F5" w:rsidRPr="00DE2EDF">
        <w:rPr>
          <w:rFonts w:cs="Times New Roman"/>
          <w:lang w:val="en-GB"/>
        </w:rPr>
        <w:t xml:space="preserve">ed by </w:t>
      </w:r>
      <w:r w:rsidR="00260387" w:rsidRPr="00DE2EDF">
        <w:rPr>
          <w:rFonts w:cs="Times New Roman"/>
          <w:lang w:val="en-GB"/>
        </w:rPr>
        <w:t>loyalty to Parliament</w:t>
      </w:r>
      <w:r w:rsidR="004600F5" w:rsidRPr="00DE2EDF">
        <w:rPr>
          <w:rFonts w:cs="Times New Roman"/>
          <w:lang w:val="en-GB"/>
        </w:rPr>
        <w:t xml:space="preserve"> and a </w:t>
      </w:r>
      <w:r w:rsidR="00260387" w:rsidRPr="00DE2EDF">
        <w:rPr>
          <w:rFonts w:cs="Times New Roman"/>
          <w:lang w:val="en-GB"/>
        </w:rPr>
        <w:t>civil-service mind</w:t>
      </w:r>
      <w:r w:rsidR="004600F5" w:rsidRPr="00DE2EDF">
        <w:rPr>
          <w:rFonts w:cs="Times New Roman"/>
          <w:lang w:val="en-GB"/>
        </w:rPr>
        <w:t>set.</w:t>
      </w:r>
      <w:r w:rsidR="00260387" w:rsidRPr="00DE2EDF">
        <w:rPr>
          <w:rFonts w:cs="Times New Roman"/>
          <w:lang w:val="en-GB"/>
        </w:rPr>
        <w:t xml:space="preserve"> </w:t>
      </w:r>
      <w:r w:rsidR="004600F5" w:rsidRPr="00DE2EDF">
        <w:rPr>
          <w:rFonts w:cs="Times New Roman"/>
          <w:lang w:val="en-GB"/>
        </w:rPr>
        <w:t xml:space="preserve">Thus, </w:t>
      </w:r>
      <w:r w:rsidR="00260387" w:rsidRPr="00DE2EDF">
        <w:rPr>
          <w:rFonts w:cs="Times New Roman"/>
          <w:lang w:val="en-GB"/>
        </w:rPr>
        <w:t>Swedish courts</w:t>
      </w:r>
      <w:r w:rsidR="004E14AA" w:rsidRPr="00DE2EDF">
        <w:rPr>
          <w:rFonts w:cs="Times New Roman"/>
          <w:lang w:val="en-GB"/>
        </w:rPr>
        <w:t xml:space="preserve"> </w:t>
      </w:r>
      <w:r w:rsidR="00260387" w:rsidRPr="00DE2EDF">
        <w:rPr>
          <w:rFonts w:cs="Times New Roman"/>
          <w:lang w:val="en-GB"/>
        </w:rPr>
        <w:t>preferred</w:t>
      </w:r>
      <w:r w:rsidR="004E14AA" w:rsidRPr="00DE2EDF">
        <w:rPr>
          <w:rFonts w:cs="Times New Roman"/>
          <w:lang w:val="en-GB"/>
        </w:rPr>
        <w:t xml:space="preserve"> to interpret statutes and the Constitution in light of</w:t>
      </w:r>
      <w:r w:rsidR="00D33C89" w:rsidRPr="00DE2EDF">
        <w:rPr>
          <w:rFonts w:cs="Times New Roman"/>
          <w:lang w:val="en-GB"/>
        </w:rPr>
        <w:t xml:space="preserve"> </w:t>
      </w:r>
      <w:r w:rsidR="00F050A4" w:rsidRPr="00DE2EDF">
        <w:rPr>
          <w:rFonts w:cs="Times New Roman"/>
          <w:lang w:val="en-GB"/>
        </w:rPr>
        <w:t>its legislative history</w:t>
      </w:r>
      <w:r w:rsidR="004E14AA" w:rsidRPr="00DE2EDF">
        <w:rPr>
          <w:rFonts w:cs="Times New Roman"/>
          <w:lang w:val="en-GB"/>
        </w:rPr>
        <w:t xml:space="preserve"> </w:t>
      </w:r>
      <w:r w:rsidR="00F050A4" w:rsidRPr="00DE2EDF">
        <w:rPr>
          <w:rFonts w:cs="Times New Roman"/>
          <w:lang w:val="en-GB"/>
        </w:rPr>
        <w:t>(</w:t>
      </w:r>
      <w:r w:rsidR="004E14AA" w:rsidRPr="00DE2EDF">
        <w:rPr>
          <w:rFonts w:cs="Times New Roman"/>
          <w:i/>
          <w:lang w:val="en-GB"/>
        </w:rPr>
        <w:t>travaux préparatoires</w:t>
      </w:r>
      <w:r w:rsidR="00C911F0" w:rsidRPr="00DE2EDF">
        <w:rPr>
          <w:rFonts w:cs="Times New Roman"/>
          <w:lang w:val="en-GB"/>
        </w:rPr>
        <w:t>)</w:t>
      </w:r>
      <w:r w:rsidR="004E14AA" w:rsidRPr="00DE2EDF">
        <w:rPr>
          <w:rFonts w:cs="Times New Roman"/>
          <w:lang w:val="en-GB"/>
        </w:rPr>
        <w:t>.</w:t>
      </w:r>
    </w:p>
    <w:p w14:paraId="690A97F2" w14:textId="77777777" w:rsidR="00164411" w:rsidRPr="00DE2EDF" w:rsidRDefault="00164411" w:rsidP="00DE2EDF">
      <w:pPr>
        <w:pStyle w:val="NoSpacing"/>
        <w:spacing w:line="276" w:lineRule="auto"/>
        <w:jc w:val="both"/>
        <w:rPr>
          <w:rFonts w:cs="Times New Roman"/>
          <w:lang w:val="en-GB"/>
        </w:rPr>
      </w:pPr>
    </w:p>
    <w:p w14:paraId="56740E55" w14:textId="77777777" w:rsidR="0095673C" w:rsidRPr="00DE2EDF" w:rsidRDefault="004E14AA" w:rsidP="00DE2EDF">
      <w:pPr>
        <w:pStyle w:val="NoSpacing"/>
        <w:spacing w:line="276" w:lineRule="auto"/>
        <w:jc w:val="both"/>
        <w:rPr>
          <w:rFonts w:cs="Times New Roman"/>
          <w:lang w:val="en-GB"/>
        </w:rPr>
      </w:pPr>
      <w:r w:rsidRPr="00DE2EDF">
        <w:rPr>
          <w:rFonts w:cs="Times New Roman"/>
          <w:lang w:val="en-GB"/>
        </w:rPr>
        <w:t xml:space="preserve">Since 2010, </w:t>
      </w:r>
      <w:r w:rsidR="00F050A4" w:rsidRPr="00DE2EDF">
        <w:rPr>
          <w:rFonts w:cs="Times New Roman"/>
          <w:lang w:val="en-GB"/>
        </w:rPr>
        <w:t>chapter</w:t>
      </w:r>
      <w:r w:rsidR="00281421" w:rsidRPr="00DE2EDF">
        <w:rPr>
          <w:rFonts w:cs="Times New Roman"/>
          <w:lang w:val="en-GB"/>
        </w:rPr>
        <w:t xml:space="preserve"> XI</w:t>
      </w:r>
      <w:r w:rsidRPr="00DE2EDF">
        <w:rPr>
          <w:rFonts w:cs="Times New Roman"/>
          <w:lang w:val="en-GB"/>
        </w:rPr>
        <w:t xml:space="preserve"> article 14</w:t>
      </w:r>
      <w:r w:rsidR="001403D1" w:rsidRPr="00DE2EDF">
        <w:rPr>
          <w:rFonts w:cs="Times New Roman"/>
          <w:lang w:val="en-GB"/>
        </w:rPr>
        <w:t xml:space="preserve"> of the Instrument of Government</w:t>
      </w:r>
      <w:r w:rsidRPr="00DE2EDF">
        <w:rPr>
          <w:rFonts w:cs="Times New Roman"/>
          <w:lang w:val="en-GB"/>
        </w:rPr>
        <w:t xml:space="preserve"> reads: ‘(1)</w:t>
      </w:r>
      <w:r w:rsidRPr="00DE2EDF">
        <w:rPr>
          <w:rFonts w:cs="Times New Roman"/>
          <w:b/>
          <w:bCs/>
          <w:lang w:val="en-GB"/>
        </w:rPr>
        <w:t xml:space="preserve"> </w:t>
      </w:r>
      <w:r w:rsidRPr="00DE2EDF">
        <w:rPr>
          <w:rFonts w:cs="Times New Roman"/>
          <w:lang w:val="en-GB"/>
        </w:rPr>
        <w:t xml:space="preserve">If a court finds that a provision conflicts with a rule of fundamental law or other superior statute, the provision shall not be applied. The same applies if a procedure laid down in law has been disregarded in any important respect when the provision was made. (2) In the case of review of an act of law under paragraph one, particular attention must be paid to the fact that the </w:t>
      </w:r>
      <w:r w:rsidRPr="00DE2EDF">
        <w:rPr>
          <w:rFonts w:cs="Times New Roman"/>
          <w:i/>
          <w:lang w:val="en-GB"/>
        </w:rPr>
        <w:t>Riksdag</w:t>
      </w:r>
      <w:r w:rsidRPr="00DE2EDF">
        <w:rPr>
          <w:rFonts w:cs="Times New Roman"/>
          <w:lang w:val="en-GB"/>
        </w:rPr>
        <w:t xml:space="preserve"> is the foremost representative of the people and that fundamental law takes precedence over other law.’</w:t>
      </w:r>
      <w:r w:rsidR="002A576E" w:rsidRPr="00DE2EDF">
        <w:rPr>
          <w:rFonts w:cs="Times New Roman"/>
          <w:lang w:val="en-GB"/>
        </w:rPr>
        <w:t xml:space="preserve"> This new </w:t>
      </w:r>
      <w:r w:rsidR="001403D1" w:rsidRPr="00DE2EDF">
        <w:rPr>
          <w:rFonts w:cs="Times New Roman"/>
          <w:lang w:val="en-GB"/>
        </w:rPr>
        <w:t xml:space="preserve">wording </w:t>
      </w:r>
      <w:r w:rsidR="002A576E" w:rsidRPr="00DE2EDF">
        <w:rPr>
          <w:rFonts w:cs="Times New Roman"/>
          <w:lang w:val="en-GB"/>
        </w:rPr>
        <w:t xml:space="preserve">of </w:t>
      </w:r>
      <w:r w:rsidR="00281421" w:rsidRPr="00DE2EDF">
        <w:rPr>
          <w:rFonts w:cs="Times New Roman"/>
          <w:lang w:val="en-GB"/>
        </w:rPr>
        <w:t xml:space="preserve">para </w:t>
      </w:r>
      <w:r w:rsidR="002A576E" w:rsidRPr="00DE2EDF">
        <w:rPr>
          <w:rFonts w:cs="Times New Roman"/>
          <w:lang w:val="en-GB"/>
        </w:rPr>
        <w:t>2</w:t>
      </w:r>
      <w:r w:rsidR="00164411" w:rsidRPr="00DE2EDF">
        <w:rPr>
          <w:rFonts w:cs="Times New Roman"/>
          <w:lang w:val="en-GB"/>
        </w:rPr>
        <w:t xml:space="preserve">, which is the result of a compromise between the </w:t>
      </w:r>
      <w:r w:rsidR="00CC408C" w:rsidRPr="00DE2EDF">
        <w:rPr>
          <w:rFonts w:cs="Times New Roman"/>
          <w:lang w:val="en-GB"/>
        </w:rPr>
        <w:t>s</w:t>
      </w:r>
      <w:r w:rsidR="001403D1" w:rsidRPr="00DE2EDF">
        <w:rPr>
          <w:rFonts w:cs="Times New Roman"/>
          <w:lang w:val="en-GB"/>
        </w:rPr>
        <w:t xml:space="preserve">ocial </w:t>
      </w:r>
      <w:r w:rsidR="00CC408C" w:rsidRPr="00DE2EDF">
        <w:rPr>
          <w:rFonts w:cs="Times New Roman"/>
          <w:lang w:val="en-GB"/>
        </w:rPr>
        <w:t>d</w:t>
      </w:r>
      <w:r w:rsidR="001403D1" w:rsidRPr="00DE2EDF">
        <w:rPr>
          <w:rFonts w:cs="Times New Roman"/>
          <w:lang w:val="en-GB"/>
        </w:rPr>
        <w:t xml:space="preserve">emocrats </w:t>
      </w:r>
      <w:r w:rsidR="00164411" w:rsidRPr="00DE2EDF">
        <w:rPr>
          <w:rFonts w:cs="Times New Roman"/>
          <w:lang w:val="en-GB"/>
        </w:rPr>
        <w:t>and right wing parties,</w:t>
      </w:r>
      <w:r w:rsidR="002A576E" w:rsidRPr="00DE2EDF">
        <w:rPr>
          <w:rFonts w:cs="Times New Roman"/>
          <w:lang w:val="en-GB"/>
        </w:rPr>
        <w:t xml:space="preserve"> is quite ambiguous:</w:t>
      </w:r>
      <w:r w:rsidR="00164411" w:rsidRPr="00DE2EDF">
        <w:rPr>
          <w:rFonts w:cs="Times New Roman"/>
          <w:lang w:val="en-GB"/>
        </w:rPr>
        <w:t xml:space="preserve"> </w:t>
      </w:r>
      <w:r w:rsidR="00CE2357" w:rsidRPr="00DE2EDF">
        <w:rPr>
          <w:rFonts w:cs="Times New Roman"/>
          <w:lang w:val="en-GB"/>
        </w:rPr>
        <w:t xml:space="preserve">are </w:t>
      </w:r>
      <w:r w:rsidR="00164411" w:rsidRPr="00DE2EDF">
        <w:rPr>
          <w:rFonts w:cs="Times New Roman"/>
          <w:lang w:val="en-GB"/>
        </w:rPr>
        <w:t>the courts supposed to be more proactive (a tendency which is strongly encouraged by ‘Europe’, i.e.</w:t>
      </w:r>
      <w:r w:rsidR="000B0EAE" w:rsidRPr="00DE2EDF">
        <w:rPr>
          <w:rFonts w:cs="Times New Roman"/>
          <w:lang w:val="en-GB"/>
        </w:rPr>
        <w:t>,</w:t>
      </w:r>
      <w:r w:rsidR="00164411" w:rsidRPr="00DE2EDF">
        <w:rPr>
          <w:rFonts w:cs="Times New Roman"/>
          <w:lang w:val="en-GB"/>
        </w:rPr>
        <w:t xml:space="preserve"> the case law of the </w:t>
      </w:r>
      <w:r w:rsidR="00F17D61" w:rsidRPr="00DE2EDF">
        <w:rPr>
          <w:rFonts w:cs="Times New Roman"/>
          <w:lang w:val="en-GB"/>
        </w:rPr>
        <w:t xml:space="preserve">courts </w:t>
      </w:r>
      <w:r w:rsidR="00164411" w:rsidRPr="00DE2EDF">
        <w:rPr>
          <w:rFonts w:cs="Times New Roman"/>
          <w:lang w:val="en-GB"/>
        </w:rPr>
        <w:t>in Luxembourg</w:t>
      </w:r>
      <w:r w:rsidR="00A90144" w:rsidRPr="00DE2EDF">
        <w:rPr>
          <w:rStyle w:val="FootnoteReference"/>
          <w:rFonts w:cs="Times New Roman"/>
          <w:lang w:val="en-GB"/>
        </w:rPr>
        <w:footnoteReference w:id="137"/>
      </w:r>
      <w:r w:rsidR="00164411" w:rsidRPr="00DE2EDF">
        <w:rPr>
          <w:rFonts w:cs="Times New Roman"/>
          <w:lang w:val="en-GB"/>
        </w:rPr>
        <w:t xml:space="preserve"> and Strasbourg</w:t>
      </w:r>
      <w:r w:rsidR="00A90144" w:rsidRPr="00DE2EDF">
        <w:rPr>
          <w:rStyle w:val="FootnoteReference"/>
          <w:rFonts w:cs="Times New Roman"/>
          <w:lang w:val="en-GB"/>
        </w:rPr>
        <w:footnoteReference w:id="138"/>
      </w:r>
      <w:r w:rsidR="00164411" w:rsidRPr="00DE2EDF">
        <w:rPr>
          <w:rFonts w:cs="Times New Roman"/>
          <w:lang w:val="en-GB"/>
        </w:rPr>
        <w:t xml:space="preserve">) or should they still be deferential to the will of Parliament (the wish expressed by some of the political participants in this reform)? </w:t>
      </w:r>
      <w:r w:rsidR="00CE2357" w:rsidRPr="00DE2EDF">
        <w:rPr>
          <w:rFonts w:cs="Times New Roman"/>
          <w:lang w:val="en-GB"/>
        </w:rPr>
        <w:t xml:space="preserve">Future </w:t>
      </w:r>
      <w:r w:rsidR="00BC7DDC" w:rsidRPr="00DE2EDF">
        <w:rPr>
          <w:rFonts w:cs="Times New Roman"/>
          <w:lang w:val="en-GB"/>
        </w:rPr>
        <w:t xml:space="preserve">developments </w:t>
      </w:r>
      <w:r w:rsidR="00CE2357" w:rsidRPr="00DE2EDF">
        <w:rPr>
          <w:rFonts w:cs="Times New Roman"/>
          <w:lang w:val="en-GB"/>
        </w:rPr>
        <w:t xml:space="preserve">will show whether the </w:t>
      </w:r>
      <w:r w:rsidR="00CE2357" w:rsidRPr="00DE2EDF">
        <w:rPr>
          <w:rFonts w:cs="Times New Roman"/>
          <w:lang w:val="en-GB"/>
        </w:rPr>
        <w:lastRenderedPageBreak/>
        <w:t>peculiarities of the Swedish constitutional culture</w:t>
      </w:r>
      <w:r w:rsidR="001F3841" w:rsidRPr="00DE2EDF">
        <w:rPr>
          <w:rFonts w:cs="Times New Roman"/>
          <w:lang w:val="en-GB"/>
        </w:rPr>
        <w:t xml:space="preserve"> (which are shared by some other Nordic countries</w:t>
      </w:r>
      <w:r w:rsidR="008656FF" w:rsidRPr="00DE2EDF">
        <w:rPr>
          <w:rStyle w:val="FootnoteReference"/>
          <w:rFonts w:cs="Times New Roman"/>
          <w:lang w:val="en-GB"/>
        </w:rPr>
        <w:footnoteReference w:id="139"/>
      </w:r>
      <w:r w:rsidR="001F3841" w:rsidRPr="00DE2EDF">
        <w:rPr>
          <w:rFonts w:cs="Times New Roman"/>
          <w:lang w:val="en-GB"/>
        </w:rPr>
        <w:t>)</w:t>
      </w:r>
      <w:r w:rsidR="00CE2357" w:rsidRPr="00DE2EDF">
        <w:rPr>
          <w:rFonts w:cs="Times New Roman"/>
          <w:lang w:val="en-GB"/>
        </w:rPr>
        <w:t xml:space="preserve"> will remain </w:t>
      </w:r>
      <w:r w:rsidR="009F60C9" w:rsidRPr="00DE2EDF">
        <w:rPr>
          <w:rFonts w:cs="Times New Roman"/>
          <w:lang w:val="en-GB"/>
        </w:rPr>
        <w:t xml:space="preserve">under </w:t>
      </w:r>
      <w:r w:rsidR="00CE2357" w:rsidRPr="00DE2EDF">
        <w:rPr>
          <w:rFonts w:cs="Times New Roman"/>
          <w:lang w:val="en-GB"/>
        </w:rPr>
        <w:t>European</w:t>
      </w:r>
      <w:r w:rsidR="009F60C9" w:rsidRPr="00DE2EDF">
        <w:rPr>
          <w:rFonts w:cs="Times New Roman"/>
          <w:lang w:val="en-GB"/>
        </w:rPr>
        <w:t xml:space="preserve"> integration.</w:t>
      </w:r>
    </w:p>
    <w:p w14:paraId="3D56B08A" w14:textId="77777777" w:rsidR="00ED3DAA" w:rsidRPr="00DE2EDF" w:rsidRDefault="00ED3DAA" w:rsidP="00DE2EDF">
      <w:pPr>
        <w:pStyle w:val="NoSpacing"/>
        <w:spacing w:line="276" w:lineRule="auto"/>
        <w:jc w:val="both"/>
        <w:rPr>
          <w:rFonts w:cs="Times New Roman"/>
          <w:lang w:val="en-GB"/>
        </w:rPr>
      </w:pPr>
    </w:p>
    <w:p w14:paraId="41BF79EC" w14:textId="77777777" w:rsidR="003472F3" w:rsidRPr="00DE2EDF" w:rsidRDefault="00ED3DAA" w:rsidP="00DE2EDF">
      <w:pPr>
        <w:pStyle w:val="Heading3"/>
        <w:rPr>
          <w:rFonts w:cs="Times New Roman"/>
          <w:szCs w:val="24"/>
        </w:rPr>
      </w:pPr>
      <w:bookmarkStart w:id="237" w:name="_Toc460405639"/>
      <w:r w:rsidRPr="00DE2EDF">
        <w:rPr>
          <w:rFonts w:cs="Times New Roman"/>
          <w:szCs w:val="24"/>
        </w:rPr>
        <w:t xml:space="preserve">b) </w:t>
      </w:r>
      <w:r w:rsidR="003472F3" w:rsidRPr="00DE2EDF">
        <w:rPr>
          <w:rFonts w:cs="Times New Roman"/>
          <w:szCs w:val="24"/>
        </w:rPr>
        <w:t xml:space="preserve">The </w:t>
      </w:r>
      <w:r w:rsidR="00C911F0" w:rsidRPr="00DE2EDF">
        <w:rPr>
          <w:rFonts w:cs="Times New Roman"/>
          <w:szCs w:val="24"/>
        </w:rPr>
        <w:t>M</w:t>
      </w:r>
      <w:r w:rsidR="003472F3" w:rsidRPr="00DE2EDF">
        <w:rPr>
          <w:rFonts w:cs="Times New Roman"/>
          <w:szCs w:val="24"/>
        </w:rPr>
        <w:t>ainstream</w:t>
      </w:r>
      <w:r w:rsidR="00530E16" w:rsidRPr="00DE2EDF">
        <w:rPr>
          <w:rFonts w:cs="Times New Roman"/>
          <w:szCs w:val="24"/>
        </w:rPr>
        <w:t>’</w:t>
      </w:r>
      <w:r w:rsidR="003472F3" w:rsidRPr="00DE2EDF">
        <w:rPr>
          <w:rFonts w:cs="Times New Roman"/>
          <w:szCs w:val="24"/>
        </w:rPr>
        <w:t xml:space="preserve">s </w:t>
      </w:r>
      <w:r w:rsidR="00C911F0" w:rsidRPr="00DE2EDF">
        <w:rPr>
          <w:rFonts w:cs="Times New Roman"/>
          <w:szCs w:val="24"/>
        </w:rPr>
        <w:t>A</w:t>
      </w:r>
      <w:r w:rsidR="003472F3" w:rsidRPr="00DE2EDF">
        <w:rPr>
          <w:rFonts w:cs="Times New Roman"/>
          <w:szCs w:val="24"/>
        </w:rPr>
        <w:t>vant-garde: Germany</w:t>
      </w:r>
      <w:bookmarkEnd w:id="5"/>
      <w:bookmarkEnd w:id="237"/>
    </w:p>
    <w:p w14:paraId="69B519C4" w14:textId="77777777" w:rsidR="00ED3DAA" w:rsidRPr="00DE2EDF" w:rsidRDefault="00ED3DAA" w:rsidP="00DE2EDF">
      <w:pPr>
        <w:spacing w:after="0"/>
        <w:rPr>
          <w:rFonts w:cs="Times New Roman"/>
          <w:lang w:val="en-GB"/>
        </w:rPr>
      </w:pPr>
    </w:p>
    <w:p w14:paraId="63AA5588" w14:textId="586AE709"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A very different picture emerges in Germany which</w:t>
      </w:r>
      <w:r w:rsidR="001E1540" w:rsidRPr="00DE2EDF">
        <w:rPr>
          <w:rFonts w:eastAsia="Times New Roman" w:cs="Times New Roman"/>
          <w:iCs/>
          <w:lang w:val="en-GB"/>
        </w:rPr>
        <w:t xml:space="preserve">, after the trauma of the Nazi </w:t>
      </w:r>
      <w:r w:rsidR="00B47F72" w:rsidRPr="00DE2EDF">
        <w:rPr>
          <w:rFonts w:eastAsia="Times New Roman" w:cs="Times New Roman"/>
          <w:iCs/>
          <w:lang w:val="en-GB"/>
        </w:rPr>
        <w:t>dictatorship</w:t>
      </w:r>
      <w:r w:rsidR="001E1540" w:rsidRPr="00DE2EDF">
        <w:rPr>
          <w:rFonts w:eastAsia="Times New Roman" w:cs="Times New Roman"/>
          <w:iCs/>
          <w:lang w:val="en-GB"/>
        </w:rPr>
        <w:t>,</w:t>
      </w:r>
      <w:r w:rsidRPr="00DE2EDF">
        <w:rPr>
          <w:rFonts w:eastAsia="Times New Roman" w:cs="Times New Roman"/>
          <w:iCs/>
          <w:lang w:val="en-GB"/>
        </w:rPr>
        <w:t xml:space="preserve"> has expanded the precedence of its Constitution to the maximum extent possible (keywords: eternity clause, justiciability of fundamental rights, </w:t>
      </w:r>
      <w:r w:rsidR="000472FB" w:rsidRPr="00DE2EDF">
        <w:rPr>
          <w:rFonts w:eastAsia="Times New Roman" w:cs="Times New Roman"/>
          <w:iCs/>
          <w:lang w:val="en-GB"/>
        </w:rPr>
        <w:t xml:space="preserve">horizontal </w:t>
      </w:r>
      <w:r w:rsidRPr="00DE2EDF">
        <w:rPr>
          <w:rFonts w:eastAsia="Times New Roman" w:cs="Times New Roman"/>
          <w:iCs/>
          <w:lang w:val="en-GB"/>
        </w:rPr>
        <w:t xml:space="preserve">effect, </w:t>
      </w:r>
      <w:r w:rsidR="000472FB" w:rsidRPr="00DE2EDF">
        <w:rPr>
          <w:rFonts w:eastAsia="Times New Roman" w:cs="Times New Roman"/>
          <w:iCs/>
          <w:lang w:val="en-GB"/>
        </w:rPr>
        <w:t xml:space="preserve">primacy of the </w:t>
      </w:r>
      <w:r w:rsidR="000472FB" w:rsidRPr="00DE2EDF">
        <w:rPr>
          <w:rFonts w:eastAsia="Times New Roman" w:cs="Times New Roman"/>
          <w:i/>
          <w:iCs/>
          <w:lang w:val="en-GB"/>
        </w:rPr>
        <w:t>Grundgesetz</w:t>
      </w:r>
      <w:r w:rsidR="000472FB" w:rsidRPr="00DE2EDF">
        <w:rPr>
          <w:rFonts w:eastAsia="Times New Roman" w:cs="Times New Roman"/>
          <w:iCs/>
          <w:lang w:val="en-GB"/>
        </w:rPr>
        <w:t xml:space="preserve"> over EU law</w:t>
      </w:r>
      <w:r w:rsidRPr="00DE2EDF">
        <w:rPr>
          <w:rFonts w:eastAsia="Times New Roman" w:cs="Times New Roman"/>
          <w:iCs/>
          <w:lang w:val="en-GB"/>
        </w:rPr>
        <w:t xml:space="preserve">, etc.). </w:t>
      </w:r>
      <w:r w:rsidR="001359BC" w:rsidRPr="00DE2EDF">
        <w:rPr>
          <w:rFonts w:eastAsia="Times New Roman" w:cs="Times New Roman"/>
          <w:iCs/>
          <w:lang w:val="en-GB"/>
        </w:rPr>
        <w:t xml:space="preserve">The </w:t>
      </w:r>
      <w:r w:rsidR="00791906" w:rsidRPr="00DE2EDF">
        <w:rPr>
          <w:rFonts w:eastAsia="Times New Roman" w:cs="Times New Roman"/>
          <w:iCs/>
          <w:lang w:val="en-GB"/>
        </w:rPr>
        <w:t>empire</w:t>
      </w:r>
      <w:r w:rsidR="001359BC" w:rsidRPr="00DE2EDF">
        <w:rPr>
          <w:rFonts w:eastAsia="Times New Roman" w:cs="Times New Roman"/>
          <w:iCs/>
          <w:lang w:val="en-GB"/>
        </w:rPr>
        <w:t xml:space="preserve"> of the </w:t>
      </w:r>
      <w:r w:rsidR="001359BC" w:rsidRPr="00DE2EDF">
        <w:rPr>
          <w:rFonts w:eastAsia="Times New Roman" w:cs="Times New Roman"/>
          <w:i/>
          <w:iCs/>
          <w:lang w:val="en-GB"/>
        </w:rPr>
        <w:t>Grundgesetz</w:t>
      </w:r>
      <w:r w:rsidR="001359BC" w:rsidRPr="00DE2EDF">
        <w:rPr>
          <w:rFonts w:eastAsia="Times New Roman" w:cs="Times New Roman"/>
          <w:iCs/>
          <w:lang w:val="en-GB"/>
        </w:rPr>
        <w:t xml:space="preserve"> is ‘total’</w:t>
      </w:r>
      <w:bookmarkStart w:id="238" w:name="_Ref401127967"/>
      <w:r w:rsidR="0080189E">
        <w:rPr>
          <w:rFonts w:eastAsia="Times New Roman" w:cs="Times New Roman"/>
          <w:iCs/>
          <w:lang w:val="en-GB"/>
        </w:rPr>
        <w:t>:</w:t>
      </w:r>
      <w:r w:rsidR="001359BC" w:rsidRPr="00DE2EDF">
        <w:rPr>
          <w:rStyle w:val="FootnoteReference"/>
          <w:rFonts w:eastAsia="Times New Roman" w:cs="Times New Roman"/>
          <w:iCs/>
          <w:lang w:val="en-GB"/>
        </w:rPr>
        <w:footnoteReference w:id="140"/>
      </w:r>
      <w:bookmarkEnd w:id="238"/>
      <w:r w:rsidR="0080189E">
        <w:rPr>
          <w:rFonts w:eastAsia="Times New Roman" w:cs="Times New Roman"/>
          <w:iCs/>
          <w:lang w:val="en-GB"/>
        </w:rPr>
        <w:t xml:space="preserve"> </w:t>
      </w:r>
      <w:r w:rsidR="001359BC" w:rsidRPr="00DE2EDF">
        <w:rPr>
          <w:rFonts w:eastAsia="Times New Roman" w:cs="Times New Roman"/>
          <w:iCs/>
          <w:lang w:val="en-GB"/>
        </w:rPr>
        <w:t xml:space="preserve">in </w:t>
      </w:r>
      <w:r w:rsidR="000864D0" w:rsidRPr="00DE2EDF">
        <w:rPr>
          <w:rFonts w:eastAsia="Times New Roman" w:cs="Times New Roman"/>
          <w:iCs/>
          <w:lang w:val="en-GB"/>
        </w:rPr>
        <w:t xml:space="preserve">almost </w:t>
      </w:r>
      <w:r w:rsidR="00BC7DDC" w:rsidRPr="00DE2EDF">
        <w:rPr>
          <w:rFonts w:eastAsia="Times New Roman" w:cs="Times New Roman"/>
          <w:iCs/>
          <w:lang w:val="en-GB"/>
        </w:rPr>
        <w:t xml:space="preserve">any </w:t>
      </w:r>
      <w:r w:rsidR="000864D0" w:rsidRPr="00DE2EDF">
        <w:rPr>
          <w:rFonts w:eastAsia="Times New Roman" w:cs="Times New Roman"/>
          <w:iCs/>
          <w:lang w:val="en-GB"/>
        </w:rPr>
        <w:t xml:space="preserve">daily life </w:t>
      </w:r>
      <w:r w:rsidR="001359BC" w:rsidRPr="00DE2EDF">
        <w:rPr>
          <w:rFonts w:eastAsia="Times New Roman" w:cs="Times New Roman"/>
          <w:iCs/>
          <w:lang w:val="en-GB"/>
        </w:rPr>
        <w:t>dispute</w:t>
      </w:r>
      <w:r w:rsidR="00BC7DDC" w:rsidRPr="00DE2EDF">
        <w:rPr>
          <w:rFonts w:eastAsia="Times New Roman" w:cs="Times New Roman"/>
          <w:iCs/>
          <w:lang w:val="en-GB"/>
        </w:rPr>
        <w:t>,</w:t>
      </w:r>
      <w:r w:rsidR="001359BC" w:rsidRPr="00DE2EDF">
        <w:rPr>
          <w:rFonts w:eastAsia="Times New Roman" w:cs="Times New Roman"/>
          <w:iCs/>
          <w:lang w:val="en-GB"/>
        </w:rPr>
        <w:t xml:space="preserve"> a constitutional </w:t>
      </w:r>
      <w:r w:rsidR="000864D0" w:rsidRPr="00DE2EDF">
        <w:rPr>
          <w:rFonts w:eastAsia="Times New Roman" w:cs="Times New Roman"/>
          <w:iCs/>
          <w:lang w:val="en-GB"/>
        </w:rPr>
        <w:t xml:space="preserve">law </w:t>
      </w:r>
      <w:r w:rsidR="001359BC" w:rsidRPr="00DE2EDF">
        <w:rPr>
          <w:rFonts w:eastAsia="Times New Roman" w:cs="Times New Roman"/>
          <w:iCs/>
          <w:lang w:val="en-GB"/>
        </w:rPr>
        <w:t>argument</w:t>
      </w:r>
      <w:r w:rsidR="00BC7DDC" w:rsidRPr="00DE2EDF">
        <w:rPr>
          <w:rFonts w:eastAsia="Times New Roman" w:cs="Times New Roman"/>
          <w:iCs/>
          <w:lang w:val="en-GB"/>
        </w:rPr>
        <w:t xml:space="preserve"> could be asserted</w:t>
      </w:r>
      <w:r w:rsidR="001359BC" w:rsidRPr="00DE2EDF">
        <w:rPr>
          <w:rFonts w:eastAsia="Times New Roman" w:cs="Times New Roman"/>
          <w:iCs/>
          <w:lang w:val="en-GB"/>
        </w:rPr>
        <w:t>.</w:t>
      </w:r>
      <w:r w:rsidR="00CC4368" w:rsidRPr="00DE2EDF">
        <w:rPr>
          <w:rFonts w:eastAsia="Times New Roman" w:cs="Times New Roman"/>
          <w:iCs/>
          <w:lang w:val="en-GB"/>
        </w:rPr>
        <w:t xml:space="preserve"> ‘Every administrative law case is potentially also a constitutional law case</w:t>
      </w:r>
      <w:r w:rsidR="0080189E">
        <w:rPr>
          <w:rFonts w:eastAsia="Times New Roman" w:cs="Times New Roman"/>
          <w:iCs/>
          <w:lang w:val="en-GB"/>
        </w:rPr>
        <w:t>.</w:t>
      </w:r>
      <w:r w:rsidR="00CC4368" w:rsidRPr="00DE2EDF">
        <w:rPr>
          <w:rFonts w:eastAsia="Times New Roman" w:cs="Times New Roman"/>
          <w:iCs/>
          <w:lang w:val="en-GB"/>
        </w:rPr>
        <w:t>’</w:t>
      </w:r>
      <w:r w:rsidR="00CC4368" w:rsidRPr="00DE2EDF">
        <w:rPr>
          <w:rStyle w:val="FootnoteReference"/>
          <w:rFonts w:eastAsia="Times New Roman" w:cs="Times New Roman"/>
          <w:iCs/>
          <w:lang w:val="en-GB"/>
        </w:rPr>
        <w:footnoteReference w:id="141"/>
      </w:r>
      <w:r w:rsidR="001359BC" w:rsidRPr="00DE2EDF">
        <w:rPr>
          <w:rFonts w:eastAsia="Times New Roman" w:cs="Times New Roman"/>
          <w:iCs/>
          <w:lang w:val="en-GB"/>
        </w:rPr>
        <w:t xml:space="preserve"> </w:t>
      </w:r>
      <w:r w:rsidR="000864D0" w:rsidRPr="00DE2EDF">
        <w:rPr>
          <w:rFonts w:eastAsia="Times New Roman" w:cs="Times New Roman"/>
          <w:iCs/>
          <w:lang w:val="en-GB"/>
        </w:rPr>
        <w:t xml:space="preserve">The extent to which the </w:t>
      </w:r>
      <w:r w:rsidR="00672CBB" w:rsidRPr="00DE2EDF">
        <w:rPr>
          <w:rFonts w:eastAsia="Times New Roman" w:cs="Times New Roman"/>
          <w:iCs/>
          <w:lang w:val="en-GB"/>
        </w:rPr>
        <w:t>(</w:t>
      </w:r>
      <w:r w:rsidR="000864D0" w:rsidRPr="00DE2EDF">
        <w:rPr>
          <w:rFonts w:eastAsia="Times New Roman" w:cs="Times New Roman"/>
          <w:iCs/>
          <w:lang w:val="en-GB"/>
        </w:rPr>
        <w:t>federal</w:t>
      </w:r>
      <w:r w:rsidR="00672CBB" w:rsidRPr="00DE2EDF">
        <w:rPr>
          <w:rFonts w:eastAsia="Times New Roman" w:cs="Times New Roman"/>
          <w:iCs/>
          <w:lang w:val="en-GB"/>
        </w:rPr>
        <w:t>)</w:t>
      </w:r>
      <w:r w:rsidR="000864D0" w:rsidRPr="00DE2EDF">
        <w:rPr>
          <w:rFonts w:eastAsia="Times New Roman" w:cs="Times New Roman"/>
          <w:iCs/>
          <w:lang w:val="en-GB"/>
        </w:rPr>
        <w:t xml:space="preserve"> Constitution </w:t>
      </w:r>
      <w:r w:rsidR="00BC7DDC" w:rsidRPr="00DE2EDF">
        <w:rPr>
          <w:rFonts w:eastAsia="Times New Roman" w:cs="Times New Roman"/>
          <w:iCs/>
          <w:lang w:val="en-GB"/>
        </w:rPr>
        <w:t xml:space="preserve">has been </w:t>
      </w:r>
      <w:r w:rsidR="000864D0" w:rsidRPr="00DE2EDF">
        <w:rPr>
          <w:rFonts w:eastAsia="Times New Roman" w:cs="Times New Roman"/>
          <w:iCs/>
          <w:lang w:val="en-GB"/>
        </w:rPr>
        <w:t>mobili</w:t>
      </w:r>
      <w:r w:rsidR="001403D1" w:rsidRPr="00DE2EDF">
        <w:rPr>
          <w:rFonts w:eastAsia="Times New Roman" w:cs="Times New Roman"/>
          <w:iCs/>
          <w:lang w:val="en-GB"/>
        </w:rPr>
        <w:t>z</w:t>
      </w:r>
      <w:r w:rsidR="000864D0" w:rsidRPr="00DE2EDF">
        <w:rPr>
          <w:rFonts w:eastAsia="Times New Roman" w:cs="Times New Roman"/>
          <w:iCs/>
          <w:lang w:val="en-GB"/>
        </w:rPr>
        <w:t>ed</w:t>
      </w:r>
      <w:r w:rsidR="000A5B96" w:rsidRPr="00DE2EDF">
        <w:rPr>
          <w:rFonts w:eastAsia="Times New Roman" w:cs="Times New Roman"/>
          <w:iCs/>
          <w:lang w:val="en-GB"/>
        </w:rPr>
        <w:t xml:space="preserve"> in Germany seems without precedent in history</w:t>
      </w:r>
      <w:r w:rsidR="004A4936" w:rsidRPr="00DE2EDF">
        <w:rPr>
          <w:rFonts w:eastAsia="Times New Roman" w:cs="Times New Roman"/>
          <w:iCs/>
          <w:lang w:val="en-GB"/>
        </w:rPr>
        <w:t>, at least in Europe</w:t>
      </w:r>
      <w:r w:rsidR="000A5B96" w:rsidRPr="00DE2EDF">
        <w:rPr>
          <w:rFonts w:eastAsia="Times New Roman" w:cs="Times New Roman"/>
          <w:iCs/>
          <w:lang w:val="en-GB"/>
        </w:rPr>
        <w:t>.</w:t>
      </w:r>
      <w:r w:rsidR="000A5B96" w:rsidRPr="00DE2EDF">
        <w:rPr>
          <w:rStyle w:val="FootnoteReference"/>
          <w:rFonts w:eastAsia="Times New Roman" w:cs="Times New Roman"/>
          <w:iCs/>
          <w:lang w:val="en-GB"/>
        </w:rPr>
        <w:footnoteReference w:id="142"/>
      </w:r>
      <w:r w:rsidR="000A5B96" w:rsidRPr="00DE2EDF">
        <w:rPr>
          <w:rFonts w:eastAsia="Times New Roman" w:cs="Times New Roman"/>
          <w:iCs/>
          <w:lang w:val="en-GB"/>
        </w:rPr>
        <w:t xml:space="preserve"> </w:t>
      </w:r>
      <w:r w:rsidRPr="00DE2EDF">
        <w:rPr>
          <w:rFonts w:eastAsia="Times New Roman" w:cs="Times New Roman"/>
          <w:iCs/>
          <w:lang w:val="en-GB"/>
        </w:rPr>
        <w:t>The primacy of the Constitution over ordinary law is accompanied</w:t>
      </w:r>
      <w:r w:rsidR="004A4936" w:rsidRPr="00DE2EDF">
        <w:rPr>
          <w:rFonts w:eastAsia="Times New Roman" w:cs="Times New Roman"/>
          <w:iCs/>
          <w:lang w:val="en-GB"/>
        </w:rPr>
        <w:t>, on the courts’ level,</w:t>
      </w:r>
      <w:r w:rsidRPr="00DE2EDF">
        <w:rPr>
          <w:rFonts w:eastAsia="Times New Roman" w:cs="Times New Roman"/>
          <w:iCs/>
          <w:lang w:val="en-GB"/>
        </w:rPr>
        <w:t xml:space="preserve"> by the primacy of the Federal Constitutional Court over other</w:t>
      </w:r>
      <w:r w:rsidR="000472FB" w:rsidRPr="00DE2EDF">
        <w:rPr>
          <w:rFonts w:eastAsia="Times New Roman" w:cs="Times New Roman"/>
          <w:iCs/>
          <w:lang w:val="en-GB"/>
        </w:rPr>
        <w:t xml:space="preserve"> courts (</w:t>
      </w:r>
      <w:r w:rsidR="002C03C4" w:rsidRPr="00DE2EDF">
        <w:rPr>
          <w:rFonts w:eastAsia="Times New Roman" w:cs="Times New Roman"/>
          <w:iCs/>
          <w:lang w:val="en-GB"/>
        </w:rPr>
        <w:t xml:space="preserve">the so-called </w:t>
      </w:r>
      <w:r w:rsidR="000472FB" w:rsidRPr="00DE2EDF">
        <w:rPr>
          <w:rFonts w:eastAsia="Times New Roman" w:cs="Times New Roman"/>
          <w:iCs/>
          <w:lang w:val="en-GB"/>
        </w:rPr>
        <w:t>‘</w:t>
      </w:r>
      <w:r w:rsidR="000472FB" w:rsidRPr="00DE2EDF">
        <w:rPr>
          <w:rFonts w:eastAsia="Times New Roman" w:cs="Times New Roman"/>
          <w:i/>
          <w:iCs/>
          <w:lang w:val="en-GB"/>
        </w:rPr>
        <w:t>Fachgerichte’</w:t>
      </w:r>
      <w:r w:rsidR="000472FB" w:rsidRPr="00DE2EDF">
        <w:rPr>
          <w:rFonts w:eastAsia="Times New Roman" w:cs="Times New Roman"/>
          <w:iCs/>
          <w:lang w:val="en-GB"/>
        </w:rPr>
        <w:t>, lit</w:t>
      </w:r>
      <w:r w:rsidR="002C03C4" w:rsidRPr="00DE2EDF">
        <w:rPr>
          <w:rFonts w:eastAsia="Times New Roman" w:cs="Times New Roman"/>
          <w:iCs/>
          <w:lang w:val="en-GB"/>
        </w:rPr>
        <w:t>erally</w:t>
      </w:r>
      <w:r w:rsidRPr="00DE2EDF">
        <w:rPr>
          <w:rFonts w:eastAsia="Times New Roman" w:cs="Times New Roman"/>
          <w:iCs/>
          <w:lang w:val="en-GB"/>
        </w:rPr>
        <w:t xml:space="preserve"> </w:t>
      </w:r>
      <w:r w:rsidR="002C03C4" w:rsidRPr="00DE2EDF">
        <w:rPr>
          <w:rFonts w:eastAsia="Times New Roman" w:cs="Times New Roman"/>
          <w:iCs/>
          <w:lang w:val="en-GB"/>
        </w:rPr>
        <w:t>‘</w:t>
      </w:r>
      <w:r w:rsidR="000472FB" w:rsidRPr="00DE2EDF">
        <w:rPr>
          <w:rFonts w:eastAsia="Times New Roman" w:cs="Times New Roman"/>
          <w:iCs/>
          <w:lang w:val="en-GB"/>
        </w:rPr>
        <w:t>s</w:t>
      </w:r>
      <w:r w:rsidRPr="00DE2EDF">
        <w:rPr>
          <w:rFonts w:eastAsia="Times New Roman" w:cs="Times New Roman"/>
          <w:iCs/>
          <w:lang w:val="en-GB"/>
        </w:rPr>
        <w:t>peciali</w:t>
      </w:r>
      <w:r w:rsidR="001403D1" w:rsidRPr="00DE2EDF">
        <w:rPr>
          <w:rFonts w:eastAsia="Times New Roman" w:cs="Times New Roman"/>
          <w:iCs/>
          <w:lang w:val="en-GB"/>
        </w:rPr>
        <w:t>z</w:t>
      </w:r>
      <w:r w:rsidRPr="00DE2EDF">
        <w:rPr>
          <w:rFonts w:eastAsia="Times New Roman" w:cs="Times New Roman"/>
          <w:iCs/>
          <w:lang w:val="en-GB"/>
        </w:rPr>
        <w:t>ed courts</w:t>
      </w:r>
      <w:r w:rsidR="002C03C4" w:rsidRPr="00DE2EDF">
        <w:rPr>
          <w:rFonts w:eastAsia="Times New Roman" w:cs="Times New Roman"/>
          <w:iCs/>
          <w:lang w:val="en-GB"/>
        </w:rPr>
        <w:t>’</w:t>
      </w:r>
      <w:r w:rsidR="000644C8" w:rsidRPr="00DE2EDF">
        <w:rPr>
          <w:rFonts w:eastAsia="Times New Roman" w:cs="Times New Roman"/>
          <w:iCs/>
          <w:lang w:val="en-GB"/>
        </w:rPr>
        <w:t>: the civil</w:t>
      </w:r>
      <w:r w:rsidR="00063FA1" w:rsidRPr="00DE2EDF">
        <w:rPr>
          <w:rFonts w:eastAsia="Times New Roman" w:cs="Times New Roman"/>
          <w:iCs/>
          <w:lang w:val="en-GB"/>
        </w:rPr>
        <w:t xml:space="preserve"> </w:t>
      </w:r>
      <w:r w:rsidR="00C948CE" w:rsidRPr="00DE2EDF">
        <w:rPr>
          <w:rFonts w:eastAsia="Times New Roman" w:cs="Times New Roman"/>
          <w:iCs/>
          <w:lang w:val="en-GB"/>
        </w:rPr>
        <w:t xml:space="preserve">and </w:t>
      </w:r>
      <w:r w:rsidR="000644C8" w:rsidRPr="00DE2EDF">
        <w:rPr>
          <w:rFonts w:eastAsia="Times New Roman" w:cs="Times New Roman"/>
          <w:iCs/>
          <w:lang w:val="en-GB"/>
        </w:rPr>
        <w:t>criminal, administrative, tax, labour</w:t>
      </w:r>
      <w:r w:rsidR="00063FA1" w:rsidRPr="00DE2EDF">
        <w:rPr>
          <w:rFonts w:eastAsia="Times New Roman" w:cs="Times New Roman"/>
          <w:iCs/>
          <w:lang w:val="en-GB"/>
        </w:rPr>
        <w:t>,</w:t>
      </w:r>
      <w:r w:rsidR="000644C8" w:rsidRPr="00DE2EDF">
        <w:rPr>
          <w:rFonts w:eastAsia="Times New Roman" w:cs="Times New Roman"/>
          <w:iCs/>
          <w:lang w:val="en-GB"/>
        </w:rPr>
        <w:t xml:space="preserve"> and social security courts</w:t>
      </w:r>
      <w:r w:rsidR="000472FB" w:rsidRPr="00DE2EDF">
        <w:rPr>
          <w:rFonts w:eastAsia="Times New Roman" w:cs="Times New Roman"/>
          <w:iCs/>
          <w:lang w:val="en-GB"/>
        </w:rPr>
        <w:t>)</w:t>
      </w:r>
      <w:r w:rsidR="00296C96" w:rsidRPr="00DE2EDF">
        <w:rPr>
          <w:rStyle w:val="FootnoteReference"/>
          <w:rFonts w:eastAsia="Times New Roman" w:cs="Times New Roman"/>
          <w:iCs/>
          <w:lang w:val="en-GB"/>
        </w:rPr>
        <w:footnoteReference w:id="143"/>
      </w:r>
      <w:r w:rsidRPr="00DE2EDF">
        <w:rPr>
          <w:rFonts w:eastAsia="Times New Roman" w:cs="Times New Roman"/>
          <w:iCs/>
          <w:lang w:val="en-GB"/>
        </w:rPr>
        <w:t xml:space="preserve"> and</w:t>
      </w:r>
      <w:r w:rsidR="00281421" w:rsidRPr="00DE2EDF">
        <w:rPr>
          <w:rFonts w:cs="Times New Roman"/>
        </w:rPr>
        <w:t>—</w:t>
      </w:r>
      <w:r w:rsidRPr="00DE2EDF">
        <w:rPr>
          <w:rFonts w:eastAsia="Times New Roman" w:cs="Times New Roman"/>
          <w:iCs/>
          <w:lang w:val="en-GB"/>
        </w:rPr>
        <w:t xml:space="preserve">within </w:t>
      </w:r>
      <w:r w:rsidR="00234542" w:rsidRPr="00DE2EDF">
        <w:rPr>
          <w:rFonts w:eastAsia="Times New Roman" w:cs="Times New Roman"/>
          <w:iCs/>
          <w:lang w:val="en-GB"/>
        </w:rPr>
        <w:t>science</w:t>
      </w:r>
      <w:r w:rsidR="00281421" w:rsidRPr="00DE2EDF">
        <w:rPr>
          <w:rFonts w:cs="Times New Roman"/>
        </w:rPr>
        <w:t>—</w:t>
      </w:r>
      <w:r w:rsidR="00CC4368" w:rsidRPr="00DE2EDF">
        <w:rPr>
          <w:rFonts w:eastAsia="Times New Roman" w:cs="Times New Roman"/>
          <w:iCs/>
          <w:lang w:val="en-GB"/>
        </w:rPr>
        <w:t xml:space="preserve">by </w:t>
      </w:r>
      <w:r w:rsidR="00234542" w:rsidRPr="00DE2EDF">
        <w:rPr>
          <w:rFonts w:eastAsia="Times New Roman" w:cs="Times New Roman"/>
          <w:iCs/>
          <w:lang w:val="en-GB"/>
        </w:rPr>
        <w:t xml:space="preserve">the primacy </w:t>
      </w:r>
      <w:r w:rsidR="002C03C4" w:rsidRPr="00DE2EDF">
        <w:rPr>
          <w:rFonts w:eastAsia="Times New Roman" w:cs="Times New Roman"/>
          <w:iCs/>
          <w:lang w:val="en-GB"/>
        </w:rPr>
        <w:t xml:space="preserve">of </w:t>
      </w:r>
      <w:r w:rsidR="00234542" w:rsidRPr="00DE2EDF">
        <w:rPr>
          <w:rFonts w:eastAsia="Times New Roman" w:cs="Times New Roman"/>
          <w:iCs/>
          <w:lang w:val="en-GB"/>
        </w:rPr>
        <w:t>constitutional law scholarship over</w:t>
      </w:r>
      <w:r w:rsidR="000644C8" w:rsidRPr="00DE2EDF">
        <w:rPr>
          <w:rFonts w:eastAsia="Times New Roman" w:cs="Times New Roman"/>
          <w:iCs/>
          <w:lang w:val="en-GB"/>
        </w:rPr>
        <w:t xml:space="preserve"> the other fields of legal science</w:t>
      </w:r>
      <w:bookmarkStart w:id="239" w:name="_ftnref112"/>
      <w:r w:rsidR="00234542" w:rsidRPr="00DE2EDF">
        <w:rPr>
          <w:rFonts w:eastAsia="Times New Roman" w:cs="Times New Roman"/>
          <w:iCs/>
          <w:lang w:val="en-GB"/>
        </w:rPr>
        <w:t>.</w:t>
      </w:r>
      <w:r w:rsidRPr="00DE2EDF">
        <w:rPr>
          <w:rStyle w:val="FootnoteReference"/>
          <w:rFonts w:eastAsia="Times New Roman" w:cs="Times New Roman"/>
          <w:iCs/>
          <w:lang w:val="en-GB"/>
        </w:rPr>
        <w:footnoteReference w:id="144"/>
      </w:r>
      <w:bookmarkEnd w:id="239"/>
      <w:r w:rsidRPr="00DE2EDF">
        <w:rPr>
          <w:rFonts w:eastAsia="Times New Roman" w:cs="Times New Roman"/>
          <w:iCs/>
          <w:lang w:val="en-GB"/>
        </w:rPr>
        <w:t xml:space="preserve"> The three </w:t>
      </w:r>
      <w:r w:rsidR="00252A9C" w:rsidRPr="00DE2EDF">
        <w:rPr>
          <w:rFonts w:eastAsia="Times New Roman" w:cs="Times New Roman"/>
          <w:iCs/>
          <w:lang w:val="en-GB"/>
        </w:rPr>
        <w:t>levels</w:t>
      </w:r>
      <w:r w:rsidRPr="00DE2EDF">
        <w:rPr>
          <w:rFonts w:eastAsia="Times New Roman" w:cs="Times New Roman"/>
          <w:iCs/>
          <w:lang w:val="en-GB"/>
        </w:rPr>
        <w:t xml:space="preserve"> are closely coordinated with one another. </w:t>
      </w:r>
      <w:r w:rsidR="00234542" w:rsidRPr="00DE2EDF">
        <w:rPr>
          <w:rFonts w:eastAsia="Times New Roman" w:cs="Times New Roman"/>
          <w:iCs/>
          <w:lang w:val="en-GB"/>
        </w:rPr>
        <w:t>Today</w:t>
      </w:r>
      <w:r w:rsidR="003845B6" w:rsidRPr="00DE2EDF">
        <w:rPr>
          <w:rFonts w:eastAsia="Times New Roman" w:cs="Times New Roman"/>
          <w:iCs/>
          <w:lang w:val="en-GB"/>
        </w:rPr>
        <w:t xml:space="preserve">, although the </w:t>
      </w:r>
      <w:r w:rsidR="009513C2" w:rsidRPr="00DE2EDF">
        <w:rPr>
          <w:rFonts w:eastAsia="Times New Roman" w:cs="Times New Roman"/>
          <w:iCs/>
          <w:lang w:val="en-GB"/>
        </w:rPr>
        <w:t>phrase</w:t>
      </w:r>
      <w:r w:rsidR="003845B6" w:rsidRPr="00DE2EDF">
        <w:rPr>
          <w:rFonts w:eastAsia="Times New Roman" w:cs="Times New Roman"/>
          <w:iCs/>
          <w:lang w:val="en-GB"/>
        </w:rPr>
        <w:t xml:space="preserve"> ‘</w:t>
      </w:r>
      <w:r w:rsidR="003845B6" w:rsidRPr="00DE2EDF">
        <w:rPr>
          <w:rFonts w:eastAsia="Times New Roman" w:cs="Times New Roman"/>
          <w:i/>
          <w:iCs/>
          <w:lang w:val="en-GB"/>
        </w:rPr>
        <w:t>Konstitutionalisierung des Verwaltungsrechts</w:t>
      </w:r>
      <w:r w:rsidR="003845B6" w:rsidRPr="00DE2EDF">
        <w:rPr>
          <w:rFonts w:eastAsia="Times New Roman" w:cs="Times New Roman"/>
          <w:iCs/>
          <w:lang w:val="en-GB"/>
        </w:rPr>
        <w:t>’</w:t>
      </w:r>
      <w:r w:rsidR="002B5376" w:rsidRPr="00DE2EDF">
        <w:rPr>
          <w:rFonts w:eastAsia="Times New Roman" w:cs="Times New Roman"/>
          <w:iCs/>
          <w:lang w:val="en-GB"/>
        </w:rPr>
        <w:t xml:space="preserve"> (constitutionali</w:t>
      </w:r>
      <w:r w:rsidR="00F51298" w:rsidRPr="00DE2EDF">
        <w:rPr>
          <w:rFonts w:eastAsia="Times New Roman" w:cs="Times New Roman"/>
          <w:iCs/>
          <w:lang w:val="en-GB"/>
        </w:rPr>
        <w:t>z</w:t>
      </w:r>
      <w:r w:rsidR="002B5376" w:rsidRPr="00DE2EDF">
        <w:rPr>
          <w:rFonts w:eastAsia="Times New Roman" w:cs="Times New Roman"/>
          <w:iCs/>
          <w:lang w:val="en-GB"/>
        </w:rPr>
        <w:t>ation of administrative law)</w:t>
      </w:r>
      <w:r w:rsidR="003845B6" w:rsidRPr="00DE2EDF">
        <w:rPr>
          <w:rFonts w:eastAsia="Times New Roman" w:cs="Times New Roman"/>
          <w:iCs/>
          <w:lang w:val="en-GB"/>
        </w:rPr>
        <w:t xml:space="preserve"> </w:t>
      </w:r>
      <w:r w:rsidR="0003433B" w:rsidRPr="00DE2EDF">
        <w:rPr>
          <w:rFonts w:eastAsia="Times New Roman" w:cs="Times New Roman"/>
          <w:iCs/>
          <w:lang w:val="en-GB"/>
        </w:rPr>
        <w:t xml:space="preserve">has </w:t>
      </w:r>
      <w:r w:rsidR="003845B6" w:rsidRPr="00DE2EDF">
        <w:rPr>
          <w:rFonts w:eastAsia="Times New Roman" w:cs="Times New Roman"/>
          <w:iCs/>
          <w:lang w:val="en-GB"/>
        </w:rPr>
        <w:t>tend</w:t>
      </w:r>
      <w:r w:rsidR="0003433B" w:rsidRPr="00DE2EDF">
        <w:rPr>
          <w:rFonts w:eastAsia="Times New Roman" w:cs="Times New Roman"/>
          <w:iCs/>
          <w:lang w:val="en-GB"/>
        </w:rPr>
        <w:t>ed</w:t>
      </w:r>
      <w:r w:rsidR="003845B6" w:rsidRPr="00DE2EDF">
        <w:rPr>
          <w:rFonts w:eastAsia="Times New Roman" w:cs="Times New Roman"/>
          <w:iCs/>
          <w:lang w:val="en-GB"/>
        </w:rPr>
        <w:t xml:space="preserve"> to become more f</w:t>
      </w:r>
      <w:r w:rsidR="00C43AB0" w:rsidRPr="00DE2EDF">
        <w:rPr>
          <w:rFonts w:eastAsia="Times New Roman" w:cs="Times New Roman"/>
          <w:iCs/>
          <w:lang w:val="en-GB"/>
        </w:rPr>
        <w:t>requent</w:t>
      </w:r>
      <w:r w:rsidR="002B5376" w:rsidRPr="00DE2EDF">
        <w:rPr>
          <w:rFonts w:eastAsia="Times New Roman" w:cs="Times New Roman"/>
          <w:iCs/>
          <w:lang w:val="en-GB"/>
        </w:rPr>
        <w:t xml:space="preserve"> amongst German scholars</w:t>
      </w:r>
      <w:r w:rsidR="003845B6" w:rsidRPr="00DE2EDF">
        <w:rPr>
          <w:rFonts w:eastAsia="Times New Roman" w:cs="Times New Roman"/>
          <w:iCs/>
          <w:lang w:val="en-GB"/>
        </w:rPr>
        <w:t xml:space="preserve"> since the beginning of the </w:t>
      </w:r>
      <w:r w:rsidR="00281421" w:rsidRPr="00DE2EDF">
        <w:rPr>
          <w:rFonts w:eastAsia="Times New Roman" w:cs="Times New Roman"/>
          <w:iCs/>
          <w:lang w:val="en-GB"/>
        </w:rPr>
        <w:t>twenty-first</w:t>
      </w:r>
      <w:r w:rsidR="003845B6" w:rsidRPr="00DE2EDF">
        <w:rPr>
          <w:rFonts w:eastAsia="Times New Roman" w:cs="Times New Roman"/>
          <w:iCs/>
          <w:lang w:val="en-GB"/>
        </w:rPr>
        <w:t xml:space="preserve"> century, </w:t>
      </w:r>
      <w:r w:rsidR="00234542" w:rsidRPr="00DE2EDF">
        <w:rPr>
          <w:rFonts w:eastAsia="Times New Roman" w:cs="Times New Roman"/>
          <w:iCs/>
          <w:lang w:val="en-GB"/>
        </w:rPr>
        <w:t>t</w:t>
      </w:r>
      <w:r w:rsidRPr="00DE2EDF">
        <w:rPr>
          <w:rFonts w:eastAsia="Times New Roman" w:cs="Times New Roman"/>
          <w:iCs/>
          <w:lang w:val="en-GB"/>
        </w:rPr>
        <w:t>h</w:t>
      </w:r>
      <w:r w:rsidR="002943E6" w:rsidRPr="00DE2EDF">
        <w:rPr>
          <w:rFonts w:eastAsia="Times New Roman" w:cs="Times New Roman"/>
          <w:iCs/>
          <w:lang w:val="en-GB"/>
        </w:rPr>
        <w:t>e</w:t>
      </w:r>
      <w:r w:rsidRPr="00DE2EDF">
        <w:rPr>
          <w:rFonts w:eastAsia="Times New Roman" w:cs="Times New Roman"/>
          <w:iCs/>
          <w:lang w:val="en-GB"/>
        </w:rPr>
        <w:t xml:space="preserve"> </w:t>
      </w:r>
      <w:r w:rsidR="00234542" w:rsidRPr="00DE2EDF">
        <w:rPr>
          <w:rFonts w:eastAsia="Times New Roman" w:cs="Times New Roman"/>
          <w:iCs/>
          <w:lang w:val="en-GB"/>
        </w:rPr>
        <w:t>situation</w:t>
      </w:r>
      <w:r w:rsidR="002943E6" w:rsidRPr="00DE2EDF">
        <w:rPr>
          <w:rFonts w:eastAsia="Times New Roman" w:cs="Times New Roman"/>
          <w:iCs/>
          <w:lang w:val="en-GB"/>
        </w:rPr>
        <w:t xml:space="preserve"> of administrative law</w:t>
      </w:r>
      <w:r w:rsidR="009513C2" w:rsidRPr="00DE2EDF">
        <w:rPr>
          <w:rFonts w:eastAsia="Times New Roman" w:cs="Times New Roman"/>
          <w:iCs/>
          <w:lang w:val="en-GB"/>
        </w:rPr>
        <w:t>’s relationship to constitutional law</w:t>
      </w:r>
      <w:r w:rsidR="00234542" w:rsidRPr="00DE2EDF">
        <w:rPr>
          <w:rFonts w:eastAsia="Times New Roman" w:cs="Times New Roman"/>
          <w:iCs/>
          <w:lang w:val="en-GB"/>
        </w:rPr>
        <w:t xml:space="preserve"> </w:t>
      </w:r>
      <w:r w:rsidRPr="00DE2EDF">
        <w:rPr>
          <w:rFonts w:eastAsia="Times New Roman" w:cs="Times New Roman"/>
          <w:iCs/>
          <w:lang w:val="en-GB"/>
        </w:rPr>
        <w:t xml:space="preserve">is </w:t>
      </w:r>
      <w:r w:rsidR="002943E6" w:rsidRPr="00DE2EDF">
        <w:rPr>
          <w:rFonts w:eastAsia="Times New Roman" w:cs="Times New Roman"/>
          <w:iCs/>
          <w:lang w:val="en-GB"/>
        </w:rPr>
        <w:t xml:space="preserve">still </w:t>
      </w:r>
      <w:r w:rsidR="00252A9C" w:rsidRPr="00DE2EDF">
        <w:rPr>
          <w:rFonts w:eastAsia="Times New Roman" w:cs="Times New Roman"/>
          <w:iCs/>
          <w:lang w:val="en-GB"/>
        </w:rPr>
        <w:t>often</w:t>
      </w:r>
      <w:r w:rsidRPr="00DE2EDF">
        <w:rPr>
          <w:rFonts w:eastAsia="Times New Roman" w:cs="Times New Roman"/>
          <w:iCs/>
          <w:lang w:val="en-GB"/>
        </w:rPr>
        <w:t xml:space="preserve"> </w:t>
      </w:r>
      <w:r w:rsidR="00234542" w:rsidRPr="00DE2EDF">
        <w:rPr>
          <w:rFonts w:eastAsia="Times New Roman" w:cs="Times New Roman"/>
          <w:iCs/>
          <w:lang w:val="en-GB"/>
        </w:rPr>
        <w:t>described</w:t>
      </w:r>
      <w:r w:rsidR="00252A9C" w:rsidRPr="00DE2EDF">
        <w:rPr>
          <w:rFonts w:eastAsia="Times New Roman" w:cs="Times New Roman"/>
          <w:iCs/>
          <w:lang w:val="en-GB"/>
        </w:rPr>
        <w:t>, or at least discussed</w:t>
      </w:r>
      <w:r w:rsidR="002943E6" w:rsidRPr="00DE2EDF">
        <w:rPr>
          <w:rFonts w:eastAsia="Times New Roman" w:cs="Times New Roman"/>
          <w:iCs/>
          <w:lang w:val="en-GB"/>
        </w:rPr>
        <w:t xml:space="preserve">, </w:t>
      </w:r>
      <w:r w:rsidR="00234542" w:rsidRPr="00DE2EDF">
        <w:rPr>
          <w:rFonts w:eastAsia="Times New Roman" w:cs="Times New Roman"/>
          <w:iCs/>
          <w:lang w:val="en-GB"/>
        </w:rPr>
        <w:t xml:space="preserve">by reference to </w:t>
      </w:r>
      <w:r w:rsidR="002C03C4" w:rsidRPr="00DE2EDF">
        <w:rPr>
          <w:rFonts w:eastAsia="Times New Roman" w:cs="Times New Roman"/>
          <w:iCs/>
          <w:lang w:val="en-GB"/>
        </w:rPr>
        <w:t xml:space="preserve">the </w:t>
      </w:r>
      <w:r w:rsidR="00234542" w:rsidRPr="00DE2EDF">
        <w:rPr>
          <w:rFonts w:eastAsia="Times New Roman" w:cs="Times New Roman"/>
          <w:iCs/>
          <w:lang w:val="en-GB"/>
        </w:rPr>
        <w:t xml:space="preserve">formula coined in 1959 by Fritz Werner, the first president of the </w:t>
      </w:r>
      <w:r w:rsidR="00BC7DDC" w:rsidRPr="00DE2EDF">
        <w:rPr>
          <w:rFonts w:eastAsia="Times New Roman" w:cs="Times New Roman"/>
          <w:iCs/>
          <w:lang w:val="en-GB"/>
        </w:rPr>
        <w:t>newly-</w:t>
      </w:r>
      <w:r w:rsidR="00234542" w:rsidRPr="00DE2EDF">
        <w:rPr>
          <w:rFonts w:eastAsia="Times New Roman" w:cs="Times New Roman"/>
          <w:iCs/>
          <w:lang w:val="en-GB"/>
        </w:rPr>
        <w:t xml:space="preserve">created </w:t>
      </w:r>
      <w:r w:rsidR="002C03C4" w:rsidRPr="00DE2EDF">
        <w:rPr>
          <w:rFonts w:eastAsia="Times New Roman" w:cs="Times New Roman"/>
          <w:iCs/>
          <w:lang w:val="en-GB"/>
        </w:rPr>
        <w:t>Supreme</w:t>
      </w:r>
      <w:r w:rsidR="00234542" w:rsidRPr="00DE2EDF">
        <w:rPr>
          <w:rFonts w:eastAsia="Times New Roman" w:cs="Times New Roman"/>
          <w:iCs/>
          <w:lang w:val="en-GB"/>
        </w:rPr>
        <w:t xml:space="preserve"> Administrative Court</w:t>
      </w:r>
      <w:r w:rsidR="002C03C4" w:rsidRPr="00DE2EDF">
        <w:rPr>
          <w:rFonts w:eastAsia="Times New Roman" w:cs="Times New Roman"/>
          <w:iCs/>
          <w:lang w:val="en-GB"/>
        </w:rPr>
        <w:t xml:space="preserve"> of the </w:t>
      </w:r>
      <w:r w:rsidR="002C03C4" w:rsidRPr="00DE2EDF">
        <w:rPr>
          <w:rFonts w:eastAsia="Times New Roman" w:cs="Times New Roman"/>
          <w:iCs/>
          <w:lang w:val="en-GB"/>
        </w:rPr>
        <w:lastRenderedPageBreak/>
        <w:t>Federation</w:t>
      </w:r>
      <w:r w:rsidR="00234542" w:rsidRPr="00DE2EDF">
        <w:rPr>
          <w:rFonts w:eastAsia="Times New Roman" w:cs="Times New Roman"/>
          <w:iCs/>
          <w:lang w:val="en-GB"/>
        </w:rPr>
        <w:t xml:space="preserve">: </w:t>
      </w:r>
      <w:r w:rsidR="00530E16" w:rsidRPr="00DE2EDF">
        <w:rPr>
          <w:rFonts w:eastAsia="Times New Roman" w:cs="Times New Roman"/>
          <w:iCs/>
          <w:lang w:val="en-GB"/>
        </w:rPr>
        <w:t>‘</w:t>
      </w:r>
      <w:r w:rsidR="00234542" w:rsidRPr="00DE2EDF">
        <w:rPr>
          <w:rFonts w:eastAsia="Times New Roman" w:cs="Times New Roman"/>
          <w:iCs/>
          <w:lang w:val="en-GB"/>
        </w:rPr>
        <w:t>A</w:t>
      </w:r>
      <w:r w:rsidRPr="00DE2EDF">
        <w:rPr>
          <w:rFonts w:eastAsia="Times New Roman" w:cs="Times New Roman"/>
          <w:iCs/>
          <w:lang w:val="en-GB"/>
        </w:rPr>
        <w:t>dministrative law as</w:t>
      </w:r>
      <w:r w:rsidR="00234542" w:rsidRPr="00DE2EDF">
        <w:rPr>
          <w:rFonts w:eastAsia="Times New Roman" w:cs="Times New Roman"/>
          <w:iCs/>
          <w:lang w:val="en-GB"/>
        </w:rPr>
        <w:t xml:space="preserve"> </w:t>
      </w:r>
      <w:r w:rsidRPr="00DE2EDF">
        <w:rPr>
          <w:rFonts w:eastAsia="Times New Roman" w:cs="Times New Roman"/>
          <w:iCs/>
          <w:lang w:val="en-GB"/>
        </w:rPr>
        <w:t>concret</w:t>
      </w:r>
      <w:r w:rsidR="002C03C4" w:rsidRPr="00DE2EDF">
        <w:rPr>
          <w:rFonts w:eastAsia="Times New Roman" w:cs="Times New Roman"/>
          <w:iCs/>
          <w:lang w:val="en-GB"/>
        </w:rPr>
        <w:t>i</w:t>
      </w:r>
      <w:r w:rsidR="00D54B6E" w:rsidRPr="00DE2EDF">
        <w:rPr>
          <w:rFonts w:eastAsia="Times New Roman" w:cs="Times New Roman"/>
          <w:iCs/>
          <w:lang w:val="en-GB"/>
        </w:rPr>
        <w:t>z</w:t>
      </w:r>
      <w:r w:rsidR="00434AA9" w:rsidRPr="00DE2EDF">
        <w:rPr>
          <w:rFonts w:eastAsia="Times New Roman" w:cs="Times New Roman"/>
          <w:iCs/>
          <w:lang w:val="en-GB"/>
        </w:rPr>
        <w:t>ed</w:t>
      </w:r>
      <w:r w:rsidRPr="00DE2EDF">
        <w:rPr>
          <w:rFonts w:eastAsia="Times New Roman" w:cs="Times New Roman"/>
          <w:iCs/>
          <w:lang w:val="en-GB"/>
        </w:rPr>
        <w:t xml:space="preserve"> constitutional law</w:t>
      </w:r>
      <w:r w:rsidR="0080189E">
        <w:rPr>
          <w:rFonts w:eastAsia="Times New Roman" w:cs="Times New Roman"/>
          <w:iCs/>
          <w:lang w:val="en-GB"/>
        </w:rPr>
        <w:t>.</w:t>
      </w:r>
      <w:r w:rsidR="00530E16" w:rsidRPr="00DE2EDF">
        <w:rPr>
          <w:rFonts w:eastAsia="Times New Roman" w:cs="Times New Roman"/>
          <w:iCs/>
          <w:lang w:val="en-GB"/>
        </w:rPr>
        <w:t>’</w:t>
      </w:r>
      <w:bookmarkStart w:id="240" w:name="_Ref401053910"/>
      <w:bookmarkStart w:id="241" w:name="_Ref457850823"/>
      <w:r w:rsidRPr="00DE2EDF">
        <w:rPr>
          <w:rStyle w:val="FootnoteReference"/>
          <w:rFonts w:eastAsia="Times New Roman" w:cs="Times New Roman"/>
          <w:iCs/>
          <w:lang w:val="en-GB"/>
        </w:rPr>
        <w:footnoteReference w:id="145"/>
      </w:r>
      <w:bookmarkEnd w:id="240"/>
      <w:bookmarkEnd w:id="241"/>
      <w:r w:rsidR="002C03C4" w:rsidRPr="00DE2EDF">
        <w:rPr>
          <w:rFonts w:eastAsia="Times New Roman" w:cs="Times New Roman"/>
          <w:iCs/>
          <w:lang w:val="en-GB"/>
        </w:rPr>
        <w:t xml:space="preserve"> This phrase w</w:t>
      </w:r>
      <w:r w:rsidRPr="00DE2EDF">
        <w:rPr>
          <w:rFonts w:eastAsia="Times New Roman" w:cs="Times New Roman"/>
          <w:iCs/>
          <w:lang w:val="en-GB"/>
        </w:rPr>
        <w:t>as later found appealing abroad</w:t>
      </w:r>
      <w:r w:rsidR="0003433B" w:rsidRPr="00DE2EDF">
        <w:rPr>
          <w:rFonts w:eastAsia="Times New Roman" w:cs="Times New Roman"/>
          <w:iCs/>
          <w:lang w:val="en-GB"/>
        </w:rPr>
        <w:t>,</w:t>
      </w:r>
      <w:r w:rsidR="002C03C4" w:rsidRPr="00DE2EDF">
        <w:rPr>
          <w:rFonts w:eastAsia="Times New Roman" w:cs="Times New Roman"/>
          <w:iCs/>
          <w:lang w:val="en-GB"/>
        </w:rPr>
        <w:t xml:space="preserve"> </w:t>
      </w:r>
      <w:r w:rsidRPr="00DE2EDF">
        <w:rPr>
          <w:rFonts w:eastAsia="Times New Roman" w:cs="Times New Roman"/>
          <w:iCs/>
          <w:lang w:val="en-GB"/>
        </w:rPr>
        <w:t xml:space="preserve">in </w:t>
      </w:r>
      <w:r w:rsidR="00717EAF" w:rsidRPr="00DE2EDF">
        <w:rPr>
          <w:rFonts w:eastAsia="Times New Roman" w:cs="Times New Roman"/>
          <w:iCs/>
          <w:lang w:val="en-GB"/>
        </w:rPr>
        <w:t xml:space="preserve">Spain, Portugal, Switzerland, and </w:t>
      </w:r>
      <w:r w:rsidRPr="00DE2EDF">
        <w:rPr>
          <w:rFonts w:eastAsia="Times New Roman" w:cs="Times New Roman"/>
          <w:iCs/>
          <w:lang w:val="en-GB"/>
        </w:rPr>
        <w:t>Poland</w:t>
      </w:r>
      <w:r w:rsidR="00BC7DDC" w:rsidRPr="00DE2EDF">
        <w:rPr>
          <w:rFonts w:eastAsia="Times New Roman" w:cs="Times New Roman"/>
          <w:iCs/>
          <w:lang w:val="en-GB"/>
        </w:rPr>
        <w:t>,</w:t>
      </w:r>
      <w:r w:rsidRPr="00DE2EDF">
        <w:rPr>
          <w:rFonts w:eastAsia="Times New Roman" w:cs="Times New Roman"/>
          <w:iCs/>
          <w:lang w:val="en-GB"/>
        </w:rPr>
        <w:t xml:space="preserve"> for example. The overwhelming weight of constitutional law and </w:t>
      </w:r>
      <w:r w:rsidR="00F05DC6" w:rsidRPr="00DE2EDF">
        <w:rPr>
          <w:rFonts w:eastAsia="Times New Roman" w:cs="Times New Roman"/>
          <w:iCs/>
          <w:lang w:val="en-GB"/>
        </w:rPr>
        <w:t xml:space="preserve">of </w:t>
      </w:r>
      <w:r w:rsidRPr="00DE2EDF">
        <w:rPr>
          <w:rFonts w:eastAsia="Times New Roman" w:cs="Times New Roman"/>
          <w:iCs/>
          <w:lang w:val="en-GB"/>
        </w:rPr>
        <w:t xml:space="preserve">the Federal Constitutional Court </w:t>
      </w:r>
      <w:r w:rsidR="000644C8" w:rsidRPr="00DE2EDF">
        <w:rPr>
          <w:rFonts w:eastAsia="Times New Roman" w:cs="Times New Roman"/>
          <w:iCs/>
          <w:lang w:val="en-GB"/>
        </w:rPr>
        <w:t xml:space="preserve">in Germany </w:t>
      </w:r>
      <w:r w:rsidRPr="00DE2EDF">
        <w:rPr>
          <w:rFonts w:eastAsia="Times New Roman" w:cs="Times New Roman"/>
          <w:iCs/>
          <w:lang w:val="en-GB"/>
        </w:rPr>
        <w:t xml:space="preserve">is </w:t>
      </w:r>
      <w:r w:rsidR="002B5376" w:rsidRPr="00DE2EDF">
        <w:rPr>
          <w:rFonts w:eastAsia="Times New Roman" w:cs="Times New Roman"/>
          <w:iCs/>
          <w:lang w:val="en-GB"/>
        </w:rPr>
        <w:t xml:space="preserve">even more emphasized </w:t>
      </w:r>
      <w:r w:rsidR="00AB12C4" w:rsidRPr="00DE2EDF">
        <w:rPr>
          <w:rFonts w:eastAsia="Times New Roman" w:cs="Times New Roman"/>
          <w:iCs/>
          <w:lang w:val="en-GB"/>
        </w:rPr>
        <w:t>by</w:t>
      </w:r>
      <w:r w:rsidRPr="00DE2EDF">
        <w:rPr>
          <w:rFonts w:eastAsia="Times New Roman" w:cs="Times New Roman"/>
          <w:iCs/>
          <w:lang w:val="en-GB"/>
        </w:rPr>
        <w:t xml:space="preserve"> </w:t>
      </w:r>
      <w:r w:rsidR="00A55794" w:rsidRPr="00DE2EDF">
        <w:rPr>
          <w:rFonts w:eastAsia="Times New Roman" w:cs="Times New Roman"/>
          <w:iCs/>
          <w:lang w:val="en-GB"/>
        </w:rPr>
        <w:t xml:space="preserve">various </w:t>
      </w:r>
      <w:r w:rsidR="002943E6" w:rsidRPr="00DE2EDF">
        <w:rPr>
          <w:rFonts w:eastAsia="Times New Roman" w:cs="Times New Roman"/>
          <w:iCs/>
          <w:lang w:val="en-GB"/>
        </w:rPr>
        <w:t xml:space="preserve">other </w:t>
      </w:r>
      <w:r w:rsidR="00A55794" w:rsidRPr="00DE2EDF">
        <w:rPr>
          <w:rFonts w:eastAsia="Times New Roman" w:cs="Times New Roman"/>
          <w:iCs/>
          <w:lang w:val="en-GB"/>
        </w:rPr>
        <w:t>terms coined by German scholars such as</w:t>
      </w:r>
      <w:r w:rsidR="00AB12C4" w:rsidRPr="00DE2EDF">
        <w:rPr>
          <w:rFonts w:eastAsia="Times New Roman" w:cs="Times New Roman"/>
          <w:iCs/>
          <w:lang w:val="en-GB"/>
        </w:rPr>
        <w:t xml:space="preserve"> </w:t>
      </w:r>
      <w:r w:rsidR="00530E16" w:rsidRPr="0080189E">
        <w:rPr>
          <w:rFonts w:eastAsia="Times New Roman" w:cs="Times New Roman"/>
          <w:iCs/>
          <w:lang w:val="en-GB"/>
        </w:rPr>
        <w:t>‘</w:t>
      </w:r>
      <w:r w:rsidRPr="0080189E">
        <w:rPr>
          <w:rFonts w:eastAsia="Times New Roman" w:cs="Times New Roman"/>
          <w:iCs/>
          <w:lang w:val="en-GB"/>
        </w:rPr>
        <w:t xml:space="preserve">constitutional </w:t>
      </w:r>
      <w:r w:rsidR="00156FA8">
        <w:rPr>
          <w:rFonts w:eastAsia="Times New Roman" w:cs="Times New Roman"/>
          <w:iCs/>
          <w:lang w:val="en-GB"/>
        </w:rPr>
        <w:t>reshaping</w:t>
      </w:r>
      <w:r w:rsidR="00E0490B" w:rsidRPr="0080189E">
        <w:rPr>
          <w:rFonts w:eastAsia="Times New Roman" w:cs="Times New Roman"/>
          <w:iCs/>
          <w:lang w:val="en-GB"/>
        </w:rPr>
        <w:t>’</w:t>
      </w:r>
      <w:r w:rsidR="00A55794" w:rsidRPr="00DE2EDF">
        <w:rPr>
          <w:rFonts w:eastAsia="Times New Roman" w:cs="Times New Roman"/>
          <w:iCs/>
          <w:lang w:val="en-GB"/>
        </w:rPr>
        <w:t xml:space="preserve"> (</w:t>
      </w:r>
      <w:r w:rsidR="00AB12C4" w:rsidRPr="00DE2EDF">
        <w:rPr>
          <w:rFonts w:eastAsia="Times New Roman" w:cs="Times New Roman"/>
          <w:i/>
          <w:iCs/>
          <w:lang w:val="en-GB"/>
        </w:rPr>
        <w:t>verfassungsrechtliche Überformung</w:t>
      </w:r>
      <w:r w:rsidR="00A55794" w:rsidRPr="00DE2EDF">
        <w:rPr>
          <w:rFonts w:eastAsia="Times New Roman" w:cs="Times New Roman"/>
          <w:iCs/>
          <w:lang w:val="en-GB"/>
        </w:rPr>
        <w:t>)</w:t>
      </w:r>
      <w:r w:rsidR="00073ECF" w:rsidRPr="00DE2EDF">
        <w:rPr>
          <w:rFonts w:eastAsia="Times New Roman" w:cs="Times New Roman"/>
          <w:iCs/>
          <w:lang w:val="en-GB"/>
        </w:rPr>
        <w:t xml:space="preserve"> </w:t>
      </w:r>
      <w:r w:rsidR="00A55794" w:rsidRPr="00DE2EDF">
        <w:rPr>
          <w:rFonts w:eastAsia="Times New Roman" w:cs="Times New Roman"/>
          <w:iCs/>
          <w:lang w:val="en-GB"/>
        </w:rPr>
        <w:t>of administrative law (C</w:t>
      </w:r>
      <w:r w:rsidR="009801A2" w:rsidRPr="00DE2EDF">
        <w:rPr>
          <w:rFonts w:eastAsia="Times New Roman" w:cs="Times New Roman"/>
          <w:iCs/>
          <w:lang w:val="en-GB"/>
        </w:rPr>
        <w:t>hristoph</w:t>
      </w:r>
      <w:r w:rsidR="00A55794" w:rsidRPr="00DE2EDF">
        <w:rPr>
          <w:rFonts w:eastAsia="Times New Roman" w:cs="Times New Roman"/>
          <w:iCs/>
          <w:lang w:val="en-GB"/>
        </w:rPr>
        <w:t xml:space="preserve"> Schönberger)</w:t>
      </w:r>
      <w:r w:rsidR="00252A9C" w:rsidRPr="00DE2EDF">
        <w:rPr>
          <w:rFonts w:eastAsia="Times New Roman" w:cs="Times New Roman"/>
          <w:iCs/>
          <w:lang w:val="en-GB"/>
        </w:rPr>
        <w:t>,</w:t>
      </w:r>
      <w:r w:rsidR="00A55794" w:rsidRPr="00DE2EDF">
        <w:rPr>
          <w:rFonts w:eastAsia="Times New Roman" w:cs="Times New Roman"/>
          <w:iCs/>
          <w:lang w:val="en-GB"/>
        </w:rPr>
        <w:t xml:space="preserve"> ‘over-</w:t>
      </w:r>
      <w:r w:rsidR="00D54B6E" w:rsidRPr="00DE2EDF">
        <w:rPr>
          <w:rFonts w:eastAsia="Times New Roman" w:cs="Times New Roman"/>
          <w:iCs/>
          <w:lang w:val="en-GB"/>
        </w:rPr>
        <w:t xml:space="preserve">constitutionalization </w:t>
      </w:r>
      <w:r w:rsidR="00A55794" w:rsidRPr="00DE2EDF">
        <w:rPr>
          <w:rFonts w:eastAsia="Times New Roman" w:cs="Times New Roman"/>
          <w:iCs/>
          <w:lang w:val="en-GB"/>
        </w:rPr>
        <w:t>(</w:t>
      </w:r>
      <w:r w:rsidR="00A55794" w:rsidRPr="00DE2EDF">
        <w:rPr>
          <w:rFonts w:eastAsia="Times New Roman" w:cs="Times New Roman"/>
          <w:i/>
          <w:iCs/>
          <w:lang w:val="en-GB"/>
        </w:rPr>
        <w:t>Überkonstitutionalisierung</w:t>
      </w:r>
      <w:r w:rsidR="00A55794" w:rsidRPr="00DE2EDF">
        <w:rPr>
          <w:rFonts w:eastAsia="Times New Roman" w:cs="Times New Roman"/>
          <w:iCs/>
          <w:lang w:val="en-GB"/>
        </w:rPr>
        <w:t>) (K</w:t>
      </w:r>
      <w:r w:rsidR="009801A2" w:rsidRPr="00DE2EDF">
        <w:rPr>
          <w:rFonts w:eastAsia="Times New Roman" w:cs="Times New Roman"/>
          <w:iCs/>
          <w:lang w:val="en-GB"/>
        </w:rPr>
        <w:t>arl-</w:t>
      </w:r>
      <w:r w:rsidR="00A55794" w:rsidRPr="00DE2EDF">
        <w:rPr>
          <w:rFonts w:eastAsia="Times New Roman" w:cs="Times New Roman"/>
          <w:iCs/>
          <w:lang w:val="en-GB"/>
        </w:rPr>
        <w:t>P</w:t>
      </w:r>
      <w:r w:rsidR="009801A2" w:rsidRPr="00DE2EDF">
        <w:rPr>
          <w:rFonts w:eastAsia="Times New Roman" w:cs="Times New Roman"/>
          <w:iCs/>
          <w:lang w:val="en-GB"/>
        </w:rPr>
        <w:t>eter</w:t>
      </w:r>
      <w:r w:rsidR="00A55794" w:rsidRPr="00DE2EDF">
        <w:rPr>
          <w:rFonts w:eastAsia="Times New Roman" w:cs="Times New Roman"/>
          <w:iCs/>
          <w:lang w:val="en-GB"/>
        </w:rPr>
        <w:t xml:space="preserve"> Sommermann)</w:t>
      </w:r>
      <w:r w:rsidR="00223757">
        <w:rPr>
          <w:rFonts w:eastAsia="Times New Roman" w:cs="Times New Roman"/>
          <w:iCs/>
          <w:lang w:val="en-GB"/>
        </w:rPr>
        <w:t>,</w:t>
      </w:r>
      <w:r w:rsidR="00A55794" w:rsidRPr="00DE2EDF">
        <w:rPr>
          <w:rStyle w:val="FootnoteReference"/>
          <w:rFonts w:eastAsia="Times New Roman" w:cs="Times New Roman"/>
          <w:iCs/>
          <w:lang w:val="en-GB"/>
        </w:rPr>
        <w:footnoteReference w:id="146"/>
      </w:r>
      <w:r w:rsidR="00252A9C" w:rsidRPr="00DE2EDF">
        <w:rPr>
          <w:rFonts w:eastAsia="Times New Roman" w:cs="Times New Roman"/>
          <w:iCs/>
          <w:lang w:val="en-GB"/>
        </w:rPr>
        <w:t xml:space="preserve"> ‘over-saturation’</w:t>
      </w:r>
      <w:r w:rsidR="00453902" w:rsidRPr="00DE2EDF">
        <w:rPr>
          <w:rFonts w:eastAsia="Times New Roman" w:cs="Times New Roman"/>
          <w:iCs/>
          <w:lang w:val="en-GB"/>
        </w:rPr>
        <w:t>,</w:t>
      </w:r>
      <w:r w:rsidR="00252A9C" w:rsidRPr="00DE2EDF">
        <w:rPr>
          <w:rStyle w:val="FootnoteReference"/>
          <w:rFonts w:eastAsia="Times New Roman" w:cs="Times New Roman"/>
          <w:iCs/>
          <w:lang w:val="en-GB"/>
        </w:rPr>
        <w:footnoteReference w:id="147"/>
      </w:r>
      <w:r w:rsidR="00252A9C" w:rsidRPr="00DE2EDF">
        <w:rPr>
          <w:rFonts w:eastAsia="Times New Roman" w:cs="Times New Roman"/>
          <w:iCs/>
          <w:lang w:val="en-GB"/>
        </w:rPr>
        <w:t xml:space="preserve"> or ‘hypertrophy’ that would result in ‘German exceptionalism</w:t>
      </w:r>
      <w:r w:rsidR="0080189E" w:rsidRPr="00DE2EDF">
        <w:rPr>
          <w:rFonts w:eastAsia="Times New Roman" w:cs="Times New Roman"/>
          <w:iCs/>
          <w:lang w:val="en-GB"/>
        </w:rPr>
        <w:t>’</w:t>
      </w:r>
      <w:r w:rsidR="00252A9C" w:rsidRPr="00DE2EDF">
        <w:rPr>
          <w:rFonts w:eastAsia="Times New Roman" w:cs="Times New Roman"/>
          <w:iCs/>
          <w:lang w:val="en-GB"/>
        </w:rPr>
        <w:t xml:space="preserve"> (</w:t>
      </w:r>
      <w:r w:rsidR="00252A9C" w:rsidRPr="00DE2EDF">
        <w:rPr>
          <w:rFonts w:eastAsia="Times New Roman" w:cs="Times New Roman"/>
          <w:i/>
          <w:iCs/>
          <w:lang w:val="en-GB"/>
        </w:rPr>
        <w:t>Sonderweg</w:t>
      </w:r>
      <w:r w:rsidR="00252A9C" w:rsidRPr="00DE2EDF">
        <w:rPr>
          <w:rFonts w:eastAsia="Times New Roman" w:cs="Times New Roman"/>
          <w:iCs/>
          <w:lang w:val="en-GB"/>
        </w:rPr>
        <w:t>) in terms of constitutionalization of administrative law.</w:t>
      </w:r>
      <w:bookmarkStart w:id="242" w:name="_Ref457855020"/>
      <w:r w:rsidR="00252A9C" w:rsidRPr="00DE2EDF">
        <w:rPr>
          <w:rStyle w:val="FootnoteReference"/>
          <w:rFonts w:eastAsia="Times New Roman" w:cs="Times New Roman"/>
          <w:iCs/>
          <w:lang w:val="en-GB"/>
        </w:rPr>
        <w:footnoteReference w:id="148"/>
      </w:r>
      <w:bookmarkEnd w:id="242"/>
      <w:r w:rsidR="00314642" w:rsidRPr="00DE2EDF">
        <w:rPr>
          <w:rFonts w:eastAsia="Times New Roman" w:cs="Times New Roman"/>
          <w:iCs/>
          <w:lang w:val="en-GB"/>
        </w:rPr>
        <w:t xml:space="preserve"> </w:t>
      </w:r>
      <w:r w:rsidR="002B5376" w:rsidRPr="00DE2EDF">
        <w:rPr>
          <w:rFonts w:eastAsia="Times New Roman" w:cs="Times New Roman"/>
          <w:iCs/>
          <w:lang w:val="en-GB"/>
        </w:rPr>
        <w:t>However, it should also be noticed that v</w:t>
      </w:r>
      <w:r w:rsidR="008D3819" w:rsidRPr="00DE2EDF">
        <w:rPr>
          <w:rFonts w:eastAsia="Times New Roman" w:cs="Times New Roman"/>
          <w:iCs/>
          <w:lang w:val="en-GB"/>
        </w:rPr>
        <w:t>arious</w:t>
      </w:r>
      <w:r w:rsidR="00314642" w:rsidRPr="00DE2EDF">
        <w:rPr>
          <w:rFonts w:eastAsia="Times New Roman" w:cs="Times New Roman"/>
          <w:iCs/>
          <w:lang w:val="en-GB"/>
        </w:rPr>
        <w:t xml:space="preserve"> German authors</w:t>
      </w:r>
      <w:r w:rsidR="009513C2" w:rsidRPr="00DE2EDF">
        <w:rPr>
          <w:rFonts w:eastAsia="Times New Roman" w:cs="Times New Roman"/>
          <w:iCs/>
          <w:lang w:val="en-GB"/>
        </w:rPr>
        <w:t xml:space="preserve">, especially in the last </w:t>
      </w:r>
      <w:r w:rsidR="0080189E">
        <w:rPr>
          <w:rFonts w:eastAsia="Times New Roman" w:cs="Times New Roman"/>
          <w:iCs/>
          <w:lang w:val="en-GB"/>
        </w:rPr>
        <w:t>twenty</w:t>
      </w:r>
      <w:r w:rsidR="009513C2" w:rsidRPr="00DE2EDF">
        <w:rPr>
          <w:rFonts w:eastAsia="Times New Roman" w:cs="Times New Roman"/>
          <w:iCs/>
          <w:lang w:val="en-GB"/>
        </w:rPr>
        <w:t xml:space="preserve"> years,</w:t>
      </w:r>
      <w:r w:rsidR="00314642" w:rsidRPr="00DE2EDF">
        <w:rPr>
          <w:rFonts w:eastAsia="Times New Roman" w:cs="Times New Roman"/>
          <w:iCs/>
          <w:lang w:val="en-GB"/>
        </w:rPr>
        <w:t xml:space="preserve"> </w:t>
      </w:r>
      <w:r w:rsidR="00A07FE6" w:rsidRPr="00DE2EDF">
        <w:rPr>
          <w:rFonts w:eastAsia="Times New Roman" w:cs="Times New Roman"/>
          <w:iCs/>
          <w:lang w:val="en-GB"/>
        </w:rPr>
        <w:t xml:space="preserve">have </w:t>
      </w:r>
      <w:r w:rsidR="00314642" w:rsidRPr="00DE2EDF">
        <w:rPr>
          <w:rFonts w:eastAsia="Times New Roman" w:cs="Times New Roman"/>
          <w:iCs/>
          <w:lang w:val="en-GB"/>
        </w:rPr>
        <w:t>tend</w:t>
      </w:r>
      <w:r w:rsidR="009513C2" w:rsidRPr="00DE2EDF">
        <w:rPr>
          <w:rFonts w:eastAsia="Times New Roman" w:cs="Times New Roman"/>
          <w:iCs/>
          <w:lang w:val="en-GB"/>
        </w:rPr>
        <w:t>ed</w:t>
      </w:r>
      <w:r w:rsidR="00314642" w:rsidRPr="00DE2EDF">
        <w:rPr>
          <w:rFonts w:eastAsia="Times New Roman" w:cs="Times New Roman"/>
          <w:iCs/>
          <w:lang w:val="en-GB"/>
        </w:rPr>
        <w:t xml:space="preserve"> to qualify thi</w:t>
      </w:r>
      <w:r w:rsidR="00F74740" w:rsidRPr="00DE2EDF">
        <w:rPr>
          <w:rFonts w:eastAsia="Times New Roman" w:cs="Times New Roman"/>
          <w:iCs/>
          <w:lang w:val="en-GB"/>
        </w:rPr>
        <w:t>s situation</w:t>
      </w:r>
      <w:r w:rsidR="00A07FE6" w:rsidRPr="00DE2EDF">
        <w:rPr>
          <w:rFonts w:eastAsia="Times New Roman" w:cs="Times New Roman"/>
          <w:iCs/>
          <w:lang w:val="en-GB"/>
        </w:rPr>
        <w:t>.</w:t>
      </w:r>
      <w:r w:rsidR="002943E6" w:rsidRPr="00DE2EDF">
        <w:rPr>
          <w:rStyle w:val="FootnoteReference"/>
          <w:rFonts w:eastAsia="Times New Roman" w:cs="Times New Roman"/>
          <w:iCs/>
          <w:lang w:val="en-GB"/>
        </w:rPr>
        <w:footnoteReference w:id="149"/>
      </w:r>
      <w:r w:rsidR="008D3819" w:rsidRPr="00DE2EDF">
        <w:rPr>
          <w:rFonts w:eastAsia="Times New Roman" w:cs="Times New Roman"/>
          <w:iCs/>
          <w:lang w:val="en-GB"/>
        </w:rPr>
        <w:t xml:space="preserve"> Werner’s dictum</w:t>
      </w:r>
      <w:r w:rsidR="002B5376" w:rsidRPr="00DE2EDF">
        <w:rPr>
          <w:rFonts w:eastAsia="Times New Roman" w:cs="Times New Roman"/>
          <w:iCs/>
          <w:lang w:val="en-GB"/>
        </w:rPr>
        <w:t xml:space="preserve">, </w:t>
      </w:r>
      <w:r w:rsidR="008D3819" w:rsidRPr="00DE2EDF">
        <w:rPr>
          <w:rFonts w:eastAsia="Times New Roman" w:cs="Times New Roman"/>
          <w:iCs/>
          <w:lang w:val="en-GB"/>
        </w:rPr>
        <w:t>especially the term ‘concretisation’</w:t>
      </w:r>
      <w:r w:rsidR="002B5376" w:rsidRPr="00DE2EDF">
        <w:rPr>
          <w:rFonts w:eastAsia="Times New Roman" w:cs="Times New Roman"/>
          <w:iCs/>
          <w:lang w:val="en-GB"/>
        </w:rPr>
        <w:t>,</w:t>
      </w:r>
      <w:r w:rsidR="008D3819" w:rsidRPr="00DE2EDF">
        <w:rPr>
          <w:rFonts w:eastAsia="Times New Roman" w:cs="Times New Roman"/>
          <w:iCs/>
          <w:lang w:val="en-GB"/>
        </w:rPr>
        <w:t xml:space="preserve"> </w:t>
      </w:r>
      <w:r w:rsidR="003845B6" w:rsidRPr="00DE2EDF">
        <w:rPr>
          <w:rFonts w:eastAsia="Times New Roman" w:cs="Times New Roman"/>
          <w:iCs/>
          <w:lang w:val="en-GB"/>
        </w:rPr>
        <w:t>would</w:t>
      </w:r>
      <w:r w:rsidR="008D3819" w:rsidRPr="00DE2EDF">
        <w:rPr>
          <w:rFonts w:eastAsia="Times New Roman" w:cs="Times New Roman"/>
          <w:iCs/>
          <w:lang w:val="en-GB"/>
        </w:rPr>
        <w:t xml:space="preserve"> </w:t>
      </w:r>
      <w:r w:rsidR="00C43AB0" w:rsidRPr="00DE2EDF">
        <w:rPr>
          <w:rFonts w:eastAsia="Times New Roman" w:cs="Times New Roman"/>
          <w:iCs/>
          <w:lang w:val="en-GB"/>
        </w:rPr>
        <w:t>hide</w:t>
      </w:r>
      <w:r w:rsidR="008D3819" w:rsidRPr="00DE2EDF">
        <w:rPr>
          <w:rFonts w:eastAsia="Times New Roman" w:cs="Times New Roman"/>
          <w:iCs/>
          <w:lang w:val="en-GB"/>
        </w:rPr>
        <w:t xml:space="preserve"> </w:t>
      </w:r>
      <w:r w:rsidR="00C43AB0" w:rsidRPr="00DE2EDF">
        <w:rPr>
          <w:rFonts w:eastAsia="Times New Roman" w:cs="Times New Roman"/>
          <w:iCs/>
          <w:lang w:val="en-GB"/>
        </w:rPr>
        <w:t>parliament</w:t>
      </w:r>
      <w:r w:rsidR="008D3819" w:rsidRPr="00DE2EDF">
        <w:rPr>
          <w:rFonts w:eastAsia="Times New Roman" w:cs="Times New Roman"/>
          <w:iCs/>
          <w:lang w:val="en-GB"/>
        </w:rPr>
        <w:t>’s discretionary power</w:t>
      </w:r>
      <w:r w:rsidR="00C43AB0" w:rsidRPr="00DE2EDF">
        <w:rPr>
          <w:rFonts w:eastAsia="Times New Roman" w:cs="Times New Roman"/>
          <w:iCs/>
          <w:lang w:val="en-GB"/>
        </w:rPr>
        <w:t xml:space="preserve"> and the autonomy of (ordinary) administrative law</w:t>
      </w:r>
      <w:r w:rsidR="003845B6" w:rsidRPr="00DE2EDF">
        <w:rPr>
          <w:rFonts w:eastAsia="Times New Roman" w:cs="Times New Roman"/>
          <w:iCs/>
          <w:lang w:val="en-GB"/>
        </w:rPr>
        <w:t>. Others insist on the bilateral nature</w:t>
      </w:r>
      <w:r w:rsidR="002D4FAE" w:rsidRPr="00DE2EDF">
        <w:rPr>
          <w:rFonts w:eastAsia="Times New Roman" w:cs="Times New Roman"/>
          <w:iCs/>
          <w:lang w:val="en-GB"/>
        </w:rPr>
        <w:t xml:space="preserve"> </w:t>
      </w:r>
      <w:r w:rsidR="003845B6" w:rsidRPr="00DE2EDF">
        <w:rPr>
          <w:rFonts w:eastAsia="Times New Roman" w:cs="Times New Roman"/>
          <w:iCs/>
          <w:lang w:val="en-GB"/>
        </w:rPr>
        <w:t>of the relationship between both areas of law</w:t>
      </w:r>
      <w:r w:rsidR="002D4FAE" w:rsidRPr="00DE2EDF">
        <w:rPr>
          <w:rFonts w:eastAsia="Times New Roman" w:cs="Times New Roman"/>
          <w:iCs/>
          <w:lang w:val="en-GB"/>
        </w:rPr>
        <w:t xml:space="preserve">, </w:t>
      </w:r>
      <w:r w:rsidR="003E4B91" w:rsidRPr="00DE2EDF">
        <w:rPr>
          <w:rFonts w:eastAsia="Times New Roman" w:cs="Times New Roman"/>
          <w:iCs/>
          <w:lang w:val="en-GB"/>
        </w:rPr>
        <w:t xml:space="preserve">some </w:t>
      </w:r>
      <w:r w:rsidR="00AB12C4" w:rsidRPr="00DE2EDF">
        <w:rPr>
          <w:rFonts w:eastAsia="Times New Roman" w:cs="Times New Roman"/>
          <w:iCs/>
          <w:lang w:val="en-GB"/>
        </w:rPr>
        <w:t xml:space="preserve">solutions of the </w:t>
      </w:r>
      <w:r w:rsidR="00AB12C4" w:rsidRPr="00DE2EDF">
        <w:rPr>
          <w:rFonts w:eastAsia="Times New Roman" w:cs="Times New Roman"/>
          <w:i/>
          <w:iCs/>
          <w:lang w:val="en-GB"/>
        </w:rPr>
        <w:t>Grundgesetz</w:t>
      </w:r>
      <w:r w:rsidR="00AB12C4" w:rsidRPr="00DE2EDF">
        <w:rPr>
          <w:rFonts w:eastAsia="Times New Roman" w:cs="Times New Roman"/>
          <w:iCs/>
          <w:lang w:val="en-GB"/>
        </w:rPr>
        <w:t xml:space="preserve"> and/</w:t>
      </w:r>
      <w:r w:rsidRPr="00DE2EDF">
        <w:rPr>
          <w:rFonts w:eastAsia="Times New Roman" w:cs="Times New Roman"/>
          <w:iCs/>
          <w:lang w:val="en-GB"/>
        </w:rPr>
        <w:t xml:space="preserve">or </w:t>
      </w:r>
      <w:r w:rsidR="00AB12C4" w:rsidRPr="00DE2EDF">
        <w:rPr>
          <w:rFonts w:eastAsia="Times New Roman" w:cs="Times New Roman"/>
          <w:iCs/>
          <w:lang w:val="en-GB"/>
        </w:rPr>
        <w:t xml:space="preserve">of </w:t>
      </w:r>
      <w:r w:rsidRPr="00DE2EDF">
        <w:rPr>
          <w:rFonts w:eastAsia="Times New Roman" w:cs="Times New Roman"/>
          <w:iCs/>
          <w:lang w:val="en-GB"/>
        </w:rPr>
        <w:t xml:space="preserve">the Karlsruhe </w:t>
      </w:r>
      <w:r w:rsidR="00977790" w:rsidRPr="00DE2EDF">
        <w:rPr>
          <w:rFonts w:eastAsia="Times New Roman" w:cs="Times New Roman"/>
          <w:iCs/>
          <w:lang w:val="en-GB"/>
        </w:rPr>
        <w:t>C</w:t>
      </w:r>
      <w:r w:rsidRPr="00DE2EDF">
        <w:rPr>
          <w:rFonts w:eastAsia="Times New Roman" w:cs="Times New Roman"/>
          <w:iCs/>
          <w:lang w:val="en-GB"/>
        </w:rPr>
        <w:t>ourt</w:t>
      </w:r>
      <w:r w:rsidR="00AB12C4" w:rsidRPr="00DE2EDF">
        <w:rPr>
          <w:rFonts w:eastAsia="Times New Roman" w:cs="Times New Roman"/>
          <w:iCs/>
          <w:lang w:val="en-GB"/>
        </w:rPr>
        <w:t xml:space="preserve"> </w:t>
      </w:r>
      <w:r w:rsidR="002D4FAE" w:rsidRPr="00DE2EDF">
        <w:rPr>
          <w:rFonts w:eastAsia="Times New Roman" w:cs="Times New Roman"/>
          <w:iCs/>
          <w:lang w:val="en-GB"/>
        </w:rPr>
        <w:t xml:space="preserve">being </w:t>
      </w:r>
      <w:r w:rsidR="00AB12C4" w:rsidRPr="00DE2EDF">
        <w:rPr>
          <w:rFonts w:eastAsia="Times New Roman" w:cs="Times New Roman"/>
          <w:iCs/>
          <w:lang w:val="en-GB"/>
        </w:rPr>
        <w:t xml:space="preserve">inspired by former administrative law solutions </w:t>
      </w:r>
      <w:r w:rsidR="00421A5D" w:rsidRPr="00DE2EDF">
        <w:rPr>
          <w:rFonts w:eastAsia="Times New Roman" w:cs="Times New Roman"/>
          <w:iCs/>
          <w:lang w:val="en-GB"/>
        </w:rPr>
        <w:t xml:space="preserve">that </w:t>
      </w:r>
      <w:r w:rsidR="00AB12C4" w:rsidRPr="00DE2EDF">
        <w:rPr>
          <w:rFonts w:eastAsia="Times New Roman" w:cs="Times New Roman"/>
          <w:iCs/>
          <w:lang w:val="en-GB"/>
        </w:rPr>
        <w:t>are put on a higher level</w:t>
      </w:r>
      <w:r w:rsidR="003845B6" w:rsidRPr="00DE2EDF">
        <w:rPr>
          <w:rFonts w:eastAsia="Times New Roman" w:cs="Times New Roman"/>
          <w:iCs/>
          <w:lang w:val="en-GB"/>
        </w:rPr>
        <w:t>. Similar to Vedel’s discourse in France on the ‘administrati</w:t>
      </w:r>
      <w:r w:rsidR="00015C30" w:rsidRPr="00DE2EDF">
        <w:rPr>
          <w:rFonts w:eastAsia="Times New Roman" w:cs="Times New Roman"/>
          <w:iCs/>
          <w:lang w:val="en-GB"/>
        </w:rPr>
        <w:t>z</w:t>
      </w:r>
      <w:r w:rsidR="003845B6" w:rsidRPr="00DE2EDF">
        <w:rPr>
          <w:rFonts w:eastAsia="Times New Roman" w:cs="Times New Roman"/>
          <w:iCs/>
          <w:lang w:val="en-GB"/>
        </w:rPr>
        <w:t>ation of constitution</w:t>
      </w:r>
      <w:r w:rsidR="00D262E4">
        <w:rPr>
          <w:rFonts w:eastAsia="Times New Roman" w:cs="Times New Roman"/>
          <w:iCs/>
          <w:lang w:val="en-GB"/>
        </w:rPr>
        <w:t>a</w:t>
      </w:r>
      <w:r w:rsidR="003845B6" w:rsidRPr="00DE2EDF">
        <w:rPr>
          <w:rFonts w:eastAsia="Times New Roman" w:cs="Times New Roman"/>
          <w:iCs/>
          <w:lang w:val="en-GB"/>
        </w:rPr>
        <w:t xml:space="preserve">l law’, some German authors </w:t>
      </w:r>
      <w:r w:rsidR="002B5376" w:rsidRPr="00DE2EDF">
        <w:rPr>
          <w:rFonts w:eastAsia="Times New Roman" w:cs="Times New Roman"/>
          <w:iCs/>
          <w:lang w:val="en-GB"/>
        </w:rPr>
        <w:t>address</w:t>
      </w:r>
      <w:r w:rsidR="003845B6" w:rsidRPr="00DE2EDF">
        <w:rPr>
          <w:rFonts w:eastAsia="Times New Roman" w:cs="Times New Roman"/>
          <w:iCs/>
          <w:lang w:val="en-GB"/>
        </w:rPr>
        <w:t xml:space="preserve"> </w:t>
      </w:r>
      <w:r w:rsidR="002B5376" w:rsidRPr="00DE2EDF">
        <w:rPr>
          <w:rFonts w:eastAsia="Times New Roman" w:cs="Times New Roman"/>
          <w:iCs/>
          <w:lang w:val="en-GB"/>
        </w:rPr>
        <w:t>c</w:t>
      </w:r>
      <w:r w:rsidR="008D3819" w:rsidRPr="00DE2EDF">
        <w:rPr>
          <w:rFonts w:eastAsia="Times New Roman" w:cs="Times New Roman"/>
          <w:iCs/>
          <w:lang w:val="en-GB"/>
        </w:rPr>
        <w:t xml:space="preserve">onstitutional law as </w:t>
      </w:r>
      <w:r w:rsidR="00AB12C4" w:rsidRPr="00DE2EDF">
        <w:rPr>
          <w:rFonts w:eastAsia="Times New Roman" w:cs="Times New Roman"/>
          <w:iCs/>
          <w:lang w:val="en-GB"/>
        </w:rPr>
        <w:t>‘</w:t>
      </w:r>
      <w:r w:rsidR="00AB12C4" w:rsidRPr="00DE2EDF">
        <w:rPr>
          <w:rFonts w:eastAsia="Times New Roman" w:cs="Times New Roman"/>
          <w:i/>
          <w:iCs/>
          <w:lang w:val="en-GB"/>
        </w:rPr>
        <w:t>abstrahiertes Verwaltungsrecht</w:t>
      </w:r>
      <w:r w:rsidR="00AB12C4" w:rsidRPr="00DE2EDF">
        <w:rPr>
          <w:rFonts w:eastAsia="Times New Roman" w:cs="Times New Roman"/>
          <w:iCs/>
          <w:lang w:val="en-GB"/>
        </w:rPr>
        <w:t>’</w:t>
      </w:r>
      <w:r w:rsidR="002B5376" w:rsidRPr="00DE2EDF">
        <w:rPr>
          <w:rFonts w:eastAsia="Times New Roman" w:cs="Times New Roman"/>
          <w:iCs/>
          <w:lang w:val="en-GB"/>
        </w:rPr>
        <w:t xml:space="preserve"> (</w:t>
      </w:r>
      <w:r w:rsidR="008D3819" w:rsidRPr="00DE2EDF">
        <w:rPr>
          <w:rFonts w:eastAsia="Times New Roman" w:cs="Times New Roman"/>
          <w:iCs/>
          <w:lang w:val="en-GB"/>
        </w:rPr>
        <w:t>‘</w:t>
      </w:r>
      <w:r w:rsidR="00AB12C4" w:rsidRPr="00DE2EDF">
        <w:rPr>
          <w:rFonts w:eastAsia="Times New Roman" w:cs="Times New Roman"/>
          <w:iCs/>
          <w:lang w:val="en-GB"/>
        </w:rPr>
        <w:t>abstracted</w:t>
      </w:r>
      <w:r w:rsidR="008D3819" w:rsidRPr="00DE2EDF">
        <w:rPr>
          <w:rFonts w:eastAsia="Times New Roman" w:cs="Times New Roman"/>
          <w:iCs/>
          <w:lang w:val="en-GB"/>
        </w:rPr>
        <w:t>’</w:t>
      </w:r>
      <w:r w:rsidR="00AB12C4" w:rsidRPr="00DE2EDF">
        <w:rPr>
          <w:rFonts w:eastAsia="Times New Roman" w:cs="Times New Roman"/>
          <w:iCs/>
          <w:lang w:val="en-GB"/>
        </w:rPr>
        <w:t xml:space="preserve"> </w:t>
      </w:r>
      <w:r w:rsidRPr="00DE2EDF">
        <w:rPr>
          <w:rFonts w:eastAsia="Times New Roman" w:cs="Times New Roman"/>
          <w:iCs/>
          <w:lang w:val="en-GB"/>
        </w:rPr>
        <w:t>administrative law</w:t>
      </w:r>
      <w:bookmarkStart w:id="243" w:name="_ftnref116"/>
      <w:r w:rsidR="002B5376" w:rsidRPr="00DE2EDF">
        <w:rPr>
          <w:rFonts w:eastAsia="Times New Roman" w:cs="Times New Roman"/>
          <w:iCs/>
          <w:lang w:val="en-GB"/>
        </w:rPr>
        <w:t>)</w:t>
      </w:r>
      <w:r w:rsidR="008D3819" w:rsidRPr="00DE2EDF">
        <w:rPr>
          <w:rFonts w:eastAsia="Times New Roman" w:cs="Times New Roman"/>
          <w:iCs/>
          <w:lang w:val="en-GB"/>
        </w:rPr>
        <w:t xml:space="preserve">, the best example being </w:t>
      </w:r>
      <w:hyperlink r:id="rId16" w:tgtFrame="_top" w:history="1"/>
      <w:bookmarkEnd w:id="243"/>
      <w:r w:rsidR="00073421" w:rsidRPr="00DE2EDF">
        <w:rPr>
          <w:rFonts w:eastAsia="Times New Roman" w:cs="Times New Roman"/>
          <w:iCs/>
          <w:lang w:val="en-GB"/>
        </w:rPr>
        <w:t>the principle of proportionality</w:t>
      </w:r>
      <w:r w:rsidR="00A07FE6" w:rsidRPr="00DE2EDF">
        <w:rPr>
          <w:rFonts w:eastAsia="Times New Roman" w:cs="Times New Roman"/>
          <w:iCs/>
          <w:lang w:val="en-GB"/>
        </w:rPr>
        <w:t>.</w:t>
      </w:r>
      <w:r w:rsidR="00073421" w:rsidRPr="00DE2EDF">
        <w:rPr>
          <w:rStyle w:val="FootnoteReference"/>
          <w:rFonts w:eastAsia="Times New Roman" w:cs="Times New Roman"/>
          <w:iCs/>
          <w:lang w:val="en-GB"/>
        </w:rPr>
        <w:footnoteReference w:id="150"/>
      </w:r>
      <w:r w:rsidRPr="00DE2EDF">
        <w:rPr>
          <w:rFonts w:eastAsia="Times New Roman" w:cs="Times New Roman"/>
          <w:iCs/>
          <w:lang w:val="en-GB"/>
        </w:rPr>
        <w:t xml:space="preserve"> </w:t>
      </w:r>
      <w:r w:rsidR="002943E6" w:rsidRPr="00DE2EDF">
        <w:rPr>
          <w:rFonts w:eastAsia="Times New Roman" w:cs="Times New Roman"/>
          <w:iCs/>
          <w:lang w:val="en-GB"/>
        </w:rPr>
        <w:t>Last</w:t>
      </w:r>
      <w:r w:rsidR="000746A4" w:rsidRPr="00DE2EDF">
        <w:rPr>
          <w:rFonts w:eastAsia="Times New Roman" w:cs="Times New Roman"/>
          <w:iCs/>
          <w:lang w:val="en-GB"/>
        </w:rPr>
        <w:t>ly</w:t>
      </w:r>
      <w:r w:rsidR="00A07FE6" w:rsidRPr="00DE2EDF">
        <w:rPr>
          <w:rFonts w:eastAsia="Times New Roman" w:cs="Times New Roman"/>
          <w:iCs/>
          <w:lang w:val="en-GB"/>
        </w:rPr>
        <w:t>,</w:t>
      </w:r>
      <w:r w:rsidR="008462BE" w:rsidRPr="00DE2EDF">
        <w:rPr>
          <w:rFonts w:eastAsia="Times New Roman" w:cs="Times New Roman"/>
          <w:iCs/>
          <w:lang w:val="en-GB"/>
        </w:rPr>
        <w:t xml:space="preserve"> </w:t>
      </w:r>
      <w:r w:rsidR="002943E6" w:rsidRPr="00DE2EDF">
        <w:rPr>
          <w:rFonts w:eastAsia="Times New Roman" w:cs="Times New Roman"/>
          <w:iCs/>
          <w:lang w:val="en-GB"/>
        </w:rPr>
        <w:t>the growi</w:t>
      </w:r>
      <w:r w:rsidR="00DF48F5">
        <w:rPr>
          <w:rFonts w:eastAsia="Times New Roman" w:cs="Times New Roman"/>
          <w:iCs/>
          <w:lang w:val="en-GB"/>
        </w:rPr>
        <w:t>ng impact of EU law (‘Europeaniz</w:t>
      </w:r>
      <w:r w:rsidR="002943E6" w:rsidRPr="00DE2EDF">
        <w:rPr>
          <w:rFonts w:eastAsia="Times New Roman" w:cs="Times New Roman"/>
          <w:iCs/>
          <w:lang w:val="en-GB"/>
        </w:rPr>
        <w:t xml:space="preserve">ation’) </w:t>
      </w:r>
      <w:r w:rsidR="00A07FE6" w:rsidRPr="00DE2EDF">
        <w:rPr>
          <w:rFonts w:eastAsia="Times New Roman" w:cs="Times New Roman"/>
          <w:iCs/>
          <w:lang w:val="en-GB"/>
        </w:rPr>
        <w:t xml:space="preserve">also </w:t>
      </w:r>
      <w:r w:rsidR="002943E6" w:rsidRPr="00DE2EDF">
        <w:rPr>
          <w:rFonts w:eastAsia="Times New Roman" w:cs="Times New Roman"/>
          <w:iCs/>
          <w:lang w:val="en-GB"/>
        </w:rPr>
        <w:t>tends to relativize the older phenomenon of the constitutionali</w:t>
      </w:r>
      <w:r w:rsidR="00F51298" w:rsidRPr="00DE2EDF">
        <w:rPr>
          <w:rFonts w:eastAsia="Times New Roman" w:cs="Times New Roman"/>
          <w:iCs/>
          <w:lang w:val="en-GB"/>
        </w:rPr>
        <w:t>z</w:t>
      </w:r>
      <w:r w:rsidR="002943E6" w:rsidRPr="00DE2EDF">
        <w:rPr>
          <w:rFonts w:eastAsia="Times New Roman" w:cs="Times New Roman"/>
          <w:iCs/>
          <w:lang w:val="en-GB"/>
        </w:rPr>
        <w:t>ation</w:t>
      </w:r>
      <w:r w:rsidR="002D4FAE" w:rsidRPr="00DE2EDF">
        <w:rPr>
          <w:rFonts w:eastAsia="Times New Roman" w:cs="Times New Roman"/>
          <w:iCs/>
          <w:lang w:val="en-GB"/>
        </w:rPr>
        <w:t>, an evolution which</w:t>
      </w:r>
      <w:r w:rsidR="009513C2" w:rsidRPr="00DE2EDF">
        <w:rPr>
          <w:rFonts w:eastAsia="Times New Roman" w:cs="Times New Roman"/>
          <w:iCs/>
          <w:lang w:val="en-GB"/>
        </w:rPr>
        <w:t xml:space="preserve"> is seen</w:t>
      </w:r>
      <w:r w:rsidR="002D4FAE" w:rsidRPr="00DE2EDF">
        <w:rPr>
          <w:rFonts w:eastAsia="Times New Roman" w:cs="Times New Roman"/>
          <w:iCs/>
          <w:lang w:val="en-GB"/>
        </w:rPr>
        <w:t>, by some</w:t>
      </w:r>
      <w:r w:rsidR="009513C2" w:rsidRPr="00DE2EDF">
        <w:rPr>
          <w:rFonts w:eastAsia="Times New Roman" w:cs="Times New Roman"/>
          <w:iCs/>
          <w:lang w:val="en-GB"/>
        </w:rPr>
        <w:t>,</w:t>
      </w:r>
      <w:r w:rsidR="002D4FAE" w:rsidRPr="00DE2EDF">
        <w:rPr>
          <w:rFonts w:eastAsia="Times New Roman" w:cs="Times New Roman"/>
          <w:iCs/>
          <w:lang w:val="en-GB"/>
        </w:rPr>
        <w:t xml:space="preserve"> as a </w:t>
      </w:r>
      <w:r w:rsidR="002D4FAE" w:rsidRPr="00DE2EDF">
        <w:rPr>
          <w:rFonts w:eastAsia="Times New Roman" w:cs="Times New Roman"/>
          <w:iCs/>
          <w:lang w:val="en-GB"/>
        </w:rPr>
        <w:lastRenderedPageBreak/>
        <w:t xml:space="preserve">threat </w:t>
      </w:r>
      <w:r w:rsidR="00BE2D63" w:rsidRPr="00DE2EDF">
        <w:rPr>
          <w:rFonts w:eastAsia="Times New Roman" w:cs="Times New Roman"/>
          <w:iCs/>
          <w:lang w:val="en-GB"/>
        </w:rPr>
        <w:t xml:space="preserve">of </w:t>
      </w:r>
      <w:r w:rsidR="002D4FAE" w:rsidRPr="00DE2EDF">
        <w:rPr>
          <w:rFonts w:eastAsia="Times New Roman" w:cs="Times New Roman"/>
          <w:iCs/>
          <w:lang w:val="en-GB"/>
        </w:rPr>
        <w:t>‘deconstitutionali</w:t>
      </w:r>
      <w:r w:rsidR="00F51298" w:rsidRPr="00DE2EDF">
        <w:rPr>
          <w:rFonts w:eastAsia="Times New Roman" w:cs="Times New Roman"/>
          <w:iCs/>
          <w:lang w:val="en-GB"/>
        </w:rPr>
        <w:t>z</w:t>
      </w:r>
      <w:r w:rsidR="002D4FAE" w:rsidRPr="00DE2EDF">
        <w:rPr>
          <w:rFonts w:eastAsia="Times New Roman" w:cs="Times New Roman"/>
          <w:iCs/>
          <w:lang w:val="en-GB"/>
        </w:rPr>
        <w:t>ation</w:t>
      </w:r>
      <w:r w:rsidR="00BE2D63" w:rsidRPr="00DE2EDF">
        <w:rPr>
          <w:rFonts w:eastAsia="Times New Roman" w:cs="Times New Roman"/>
          <w:iCs/>
          <w:lang w:val="en-GB"/>
        </w:rPr>
        <w:t>’ (</w:t>
      </w:r>
      <w:r w:rsidR="002D4FAE" w:rsidRPr="00DE2EDF">
        <w:rPr>
          <w:rFonts w:eastAsia="Times New Roman" w:cs="Times New Roman"/>
          <w:i/>
          <w:iCs/>
          <w:lang w:val="en-GB"/>
        </w:rPr>
        <w:t>Entkonstitutionalisierung</w:t>
      </w:r>
      <w:r w:rsidR="002D4FAE" w:rsidRPr="00DE2EDF">
        <w:rPr>
          <w:rFonts w:eastAsia="Times New Roman" w:cs="Times New Roman"/>
          <w:iCs/>
          <w:lang w:val="en-GB"/>
        </w:rPr>
        <w:t xml:space="preserve">, </w:t>
      </w:r>
      <w:r w:rsidR="002D4FAE" w:rsidRPr="00DE2EDF">
        <w:rPr>
          <w:rFonts w:eastAsia="Times New Roman" w:cs="Times New Roman"/>
          <w:i/>
          <w:iCs/>
          <w:lang w:val="en-GB"/>
        </w:rPr>
        <w:t>Dekonstitution</w:t>
      </w:r>
      <w:r w:rsidR="00BE2D63" w:rsidRPr="00DE2EDF">
        <w:rPr>
          <w:rFonts w:eastAsia="Times New Roman" w:cs="Times New Roman"/>
          <w:i/>
          <w:iCs/>
          <w:lang w:val="en-GB"/>
        </w:rPr>
        <w:t>a</w:t>
      </w:r>
      <w:r w:rsidR="002D4FAE" w:rsidRPr="00DE2EDF">
        <w:rPr>
          <w:rFonts w:eastAsia="Times New Roman" w:cs="Times New Roman"/>
          <w:i/>
          <w:iCs/>
          <w:lang w:val="en-GB"/>
        </w:rPr>
        <w:t>lisierung</w:t>
      </w:r>
      <w:r w:rsidR="002D4FAE" w:rsidRPr="00DE2EDF">
        <w:rPr>
          <w:rFonts w:eastAsia="Times New Roman" w:cs="Times New Roman"/>
          <w:iCs/>
          <w:lang w:val="en-GB"/>
        </w:rPr>
        <w:t>), by others as a</w:t>
      </w:r>
      <w:r w:rsidR="009513C2" w:rsidRPr="00DE2EDF">
        <w:rPr>
          <w:rFonts w:eastAsia="Times New Roman" w:cs="Times New Roman"/>
          <w:iCs/>
          <w:lang w:val="en-GB"/>
        </w:rPr>
        <w:t>n impulse to</w:t>
      </w:r>
      <w:r w:rsidR="002D4FAE" w:rsidRPr="00DE2EDF">
        <w:rPr>
          <w:rFonts w:eastAsia="Times New Roman" w:cs="Times New Roman"/>
          <w:iCs/>
          <w:lang w:val="en-GB"/>
        </w:rPr>
        <w:t xml:space="preserve"> rethink the constitutionali</w:t>
      </w:r>
      <w:r w:rsidR="00F51298" w:rsidRPr="00DE2EDF">
        <w:rPr>
          <w:rFonts w:eastAsia="Times New Roman" w:cs="Times New Roman"/>
          <w:iCs/>
          <w:lang w:val="en-GB"/>
        </w:rPr>
        <w:t>z</w:t>
      </w:r>
      <w:r w:rsidR="002D4FAE" w:rsidRPr="00DE2EDF">
        <w:rPr>
          <w:rFonts w:eastAsia="Times New Roman" w:cs="Times New Roman"/>
          <w:iCs/>
          <w:lang w:val="en-GB"/>
        </w:rPr>
        <w:t>ation process</w:t>
      </w:r>
      <w:r w:rsidR="002943E6" w:rsidRPr="00DE2EDF">
        <w:rPr>
          <w:rFonts w:eastAsia="Times New Roman" w:cs="Times New Roman"/>
          <w:iCs/>
          <w:lang w:val="en-GB"/>
        </w:rPr>
        <w:t xml:space="preserve">. </w:t>
      </w:r>
    </w:p>
    <w:p w14:paraId="18A040BD" w14:textId="77777777" w:rsidR="00ED3DAA" w:rsidRPr="00DE2EDF" w:rsidRDefault="00ED3DAA" w:rsidP="00DE2EDF">
      <w:pPr>
        <w:spacing w:after="0"/>
        <w:jc w:val="both"/>
        <w:rPr>
          <w:rFonts w:eastAsia="Times New Roman" w:cs="Times New Roman"/>
          <w:iCs/>
          <w:lang w:val="en-GB"/>
        </w:rPr>
      </w:pPr>
    </w:p>
    <w:p w14:paraId="56E04F93" w14:textId="77777777" w:rsidR="003472F3" w:rsidRPr="00DE2EDF" w:rsidRDefault="00ED3DAA" w:rsidP="00DE2EDF">
      <w:pPr>
        <w:pStyle w:val="Heading3"/>
        <w:rPr>
          <w:rFonts w:cs="Times New Roman"/>
          <w:szCs w:val="24"/>
        </w:rPr>
      </w:pPr>
      <w:bookmarkStart w:id="244" w:name="_Toc253048947"/>
      <w:bookmarkStart w:id="245" w:name="_Toc252700494"/>
      <w:bookmarkStart w:id="246" w:name="_Toc245196679"/>
      <w:bookmarkStart w:id="247" w:name="_Toc460405640"/>
      <w:bookmarkEnd w:id="244"/>
      <w:bookmarkEnd w:id="245"/>
      <w:r w:rsidRPr="00DE2EDF">
        <w:rPr>
          <w:rFonts w:cs="Times New Roman"/>
          <w:szCs w:val="24"/>
        </w:rPr>
        <w:t xml:space="preserve">c) </w:t>
      </w:r>
      <w:r w:rsidR="003472F3" w:rsidRPr="00DE2EDF">
        <w:rPr>
          <w:rFonts w:cs="Times New Roman"/>
          <w:szCs w:val="24"/>
        </w:rPr>
        <w:t xml:space="preserve">A </w:t>
      </w:r>
      <w:r w:rsidR="00E0490B" w:rsidRPr="00DE2EDF">
        <w:rPr>
          <w:rFonts w:cs="Times New Roman"/>
          <w:szCs w:val="24"/>
        </w:rPr>
        <w:t>V</w:t>
      </w:r>
      <w:r w:rsidR="003472F3" w:rsidRPr="00DE2EDF">
        <w:rPr>
          <w:rFonts w:cs="Times New Roman"/>
          <w:szCs w:val="24"/>
        </w:rPr>
        <w:t xml:space="preserve">ariant </w:t>
      </w:r>
      <w:r w:rsidR="00E0490B" w:rsidRPr="00DE2EDF">
        <w:rPr>
          <w:rFonts w:cs="Times New Roman"/>
          <w:szCs w:val="24"/>
        </w:rPr>
        <w:t>W</w:t>
      </w:r>
      <w:r w:rsidR="003472F3" w:rsidRPr="00DE2EDF">
        <w:rPr>
          <w:rFonts w:cs="Times New Roman"/>
          <w:szCs w:val="24"/>
        </w:rPr>
        <w:t xml:space="preserve">ithin the </w:t>
      </w:r>
      <w:r w:rsidR="00E0490B" w:rsidRPr="00DE2EDF">
        <w:rPr>
          <w:rFonts w:cs="Times New Roman"/>
          <w:szCs w:val="24"/>
        </w:rPr>
        <w:t>M</w:t>
      </w:r>
      <w:r w:rsidR="003472F3" w:rsidRPr="00DE2EDF">
        <w:rPr>
          <w:rFonts w:cs="Times New Roman"/>
          <w:szCs w:val="24"/>
        </w:rPr>
        <w:t>ainstream: France</w:t>
      </w:r>
      <w:bookmarkEnd w:id="246"/>
      <w:bookmarkEnd w:id="247"/>
    </w:p>
    <w:p w14:paraId="7659AE17" w14:textId="77777777" w:rsidR="00ED3DAA" w:rsidRPr="00DE2EDF" w:rsidRDefault="00ED3DAA" w:rsidP="00DE2EDF">
      <w:pPr>
        <w:spacing w:after="0"/>
        <w:rPr>
          <w:rFonts w:cs="Times New Roman"/>
          <w:lang w:val="en-GB"/>
        </w:rPr>
      </w:pPr>
    </w:p>
    <w:p w14:paraId="69789393" w14:textId="77777777" w:rsidR="00DB4CA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In France, </w:t>
      </w:r>
      <w:r w:rsidR="002705B7" w:rsidRPr="00DE2EDF">
        <w:rPr>
          <w:rFonts w:eastAsia="Times New Roman" w:cs="Times New Roman"/>
          <w:iCs/>
          <w:lang w:val="en-GB"/>
        </w:rPr>
        <w:t>the term</w:t>
      </w:r>
      <w:r w:rsidR="00D3593D" w:rsidRPr="00DE2EDF">
        <w:rPr>
          <w:rFonts w:eastAsia="Times New Roman" w:cs="Times New Roman"/>
          <w:iCs/>
          <w:lang w:val="en-GB"/>
        </w:rPr>
        <w:t>inology</w:t>
      </w:r>
      <w:r w:rsidR="002705B7" w:rsidRPr="00DE2EDF">
        <w:rPr>
          <w:rFonts w:eastAsia="Times New Roman" w:cs="Times New Roman"/>
          <w:iCs/>
          <w:lang w:val="en-GB"/>
        </w:rPr>
        <w:t xml:space="preserve"> used</w:t>
      </w:r>
      <w:r w:rsidR="00285B45" w:rsidRPr="00DE2EDF">
        <w:rPr>
          <w:rFonts w:eastAsia="Times New Roman" w:cs="Times New Roman"/>
          <w:iCs/>
          <w:lang w:val="en-GB"/>
        </w:rPr>
        <w:t xml:space="preserve"> by scholars</w:t>
      </w:r>
      <w:r w:rsidR="002705B7" w:rsidRPr="00DE2EDF">
        <w:rPr>
          <w:rFonts w:eastAsia="Times New Roman" w:cs="Times New Roman"/>
          <w:iCs/>
          <w:lang w:val="en-GB"/>
        </w:rPr>
        <w:t xml:space="preserve"> to conceptuali</w:t>
      </w:r>
      <w:r w:rsidR="00D54B6E" w:rsidRPr="00DE2EDF">
        <w:rPr>
          <w:rFonts w:eastAsia="Times New Roman" w:cs="Times New Roman"/>
          <w:iCs/>
          <w:lang w:val="en-GB"/>
        </w:rPr>
        <w:t>z</w:t>
      </w:r>
      <w:r w:rsidR="002705B7" w:rsidRPr="00DE2EDF">
        <w:rPr>
          <w:rFonts w:eastAsia="Times New Roman" w:cs="Times New Roman"/>
          <w:iCs/>
          <w:lang w:val="en-GB"/>
        </w:rPr>
        <w:t xml:space="preserve">e the relationship between constitutional law and administrative law </w:t>
      </w:r>
      <w:r w:rsidR="00421A5D" w:rsidRPr="00DE2EDF">
        <w:rPr>
          <w:rFonts w:eastAsia="Times New Roman" w:cs="Times New Roman"/>
          <w:iCs/>
          <w:lang w:val="en-GB"/>
        </w:rPr>
        <w:t>has not yet achieved consensus</w:t>
      </w:r>
      <w:r w:rsidR="00D3593D" w:rsidRPr="00DE2EDF">
        <w:rPr>
          <w:rFonts w:eastAsia="Times New Roman" w:cs="Times New Roman"/>
          <w:iCs/>
          <w:lang w:val="en-GB"/>
        </w:rPr>
        <w:t xml:space="preserve">. There are various words </w:t>
      </w:r>
      <w:r w:rsidR="00421A5D" w:rsidRPr="00DE2EDF">
        <w:rPr>
          <w:rFonts w:eastAsia="Times New Roman" w:cs="Times New Roman"/>
          <w:iCs/>
          <w:lang w:val="en-GB"/>
        </w:rPr>
        <w:t xml:space="preserve">that each </w:t>
      </w:r>
      <w:r w:rsidR="00D54B6E" w:rsidRPr="00DE2EDF">
        <w:rPr>
          <w:rFonts w:eastAsia="Times New Roman" w:cs="Times New Roman"/>
          <w:iCs/>
          <w:lang w:val="en-GB"/>
        </w:rPr>
        <w:t xml:space="preserve">express </w:t>
      </w:r>
      <w:r w:rsidR="00D3593D" w:rsidRPr="00DE2EDF">
        <w:rPr>
          <w:rFonts w:eastAsia="Times New Roman" w:cs="Times New Roman"/>
          <w:iCs/>
          <w:lang w:val="en-GB"/>
        </w:rPr>
        <w:t>quite different view</w:t>
      </w:r>
      <w:r w:rsidR="00421A5D" w:rsidRPr="00DE2EDF">
        <w:rPr>
          <w:rFonts w:eastAsia="Times New Roman" w:cs="Times New Roman"/>
          <w:iCs/>
          <w:lang w:val="en-GB"/>
        </w:rPr>
        <w:t>s</w:t>
      </w:r>
      <w:r w:rsidR="00D3593D" w:rsidRPr="00DE2EDF">
        <w:rPr>
          <w:rFonts w:eastAsia="Times New Roman" w:cs="Times New Roman"/>
          <w:iCs/>
          <w:lang w:val="en-GB"/>
        </w:rPr>
        <w:t xml:space="preserve"> of the matter. </w:t>
      </w:r>
      <w:r w:rsidRPr="00DE2EDF">
        <w:rPr>
          <w:rFonts w:eastAsia="Times New Roman" w:cs="Times New Roman"/>
          <w:iCs/>
          <w:lang w:val="en-GB"/>
        </w:rPr>
        <w:t>As to the Constitution</w:t>
      </w:r>
      <w:r w:rsidR="00530E16" w:rsidRPr="00DE2EDF">
        <w:rPr>
          <w:rFonts w:eastAsia="Times New Roman" w:cs="Times New Roman"/>
          <w:iCs/>
          <w:lang w:val="en-GB"/>
        </w:rPr>
        <w:t>’</w:t>
      </w:r>
      <w:r w:rsidRPr="00DE2EDF">
        <w:rPr>
          <w:rFonts w:eastAsia="Times New Roman" w:cs="Times New Roman"/>
          <w:iCs/>
          <w:lang w:val="en-GB"/>
        </w:rPr>
        <w:t>s impact on administrative law, scholarly opinion</w:t>
      </w:r>
      <w:r w:rsidR="00D3593D" w:rsidRPr="00DE2EDF">
        <w:rPr>
          <w:rFonts w:eastAsia="Times New Roman" w:cs="Times New Roman"/>
          <w:iCs/>
          <w:lang w:val="en-GB"/>
        </w:rPr>
        <w:t>s are indeed</w:t>
      </w:r>
      <w:r w:rsidRPr="00DE2EDF">
        <w:rPr>
          <w:rFonts w:eastAsia="Times New Roman" w:cs="Times New Roman"/>
          <w:iCs/>
          <w:lang w:val="en-GB"/>
        </w:rPr>
        <w:t xml:space="preserve"> divided: while some authors suggest that the Constitution has a heavy impact</w:t>
      </w:r>
      <w:bookmarkStart w:id="248" w:name="_ftnref119"/>
      <w:r w:rsidRPr="00DE2EDF">
        <w:rPr>
          <w:rFonts w:eastAsia="Times New Roman" w:cs="Times New Roman"/>
          <w:iCs/>
          <w:lang w:val="en-GB"/>
        </w:rPr>
        <w:t>,</w:t>
      </w:r>
      <w:bookmarkStart w:id="249" w:name="_Ref457898374"/>
      <w:r w:rsidRPr="00DE2EDF">
        <w:rPr>
          <w:rStyle w:val="FootnoteReference"/>
          <w:rFonts w:eastAsia="Times New Roman" w:cs="Times New Roman"/>
          <w:iCs/>
          <w:lang w:val="en-GB"/>
        </w:rPr>
        <w:footnoteReference w:id="151"/>
      </w:r>
      <w:bookmarkEnd w:id="248"/>
      <w:bookmarkEnd w:id="249"/>
      <w:r w:rsidRPr="00DE2EDF">
        <w:rPr>
          <w:rFonts w:eastAsia="Times New Roman" w:cs="Times New Roman"/>
          <w:iCs/>
          <w:lang w:val="en-GB"/>
        </w:rPr>
        <w:t xml:space="preserve"> others see the constitutionali</w:t>
      </w:r>
      <w:r w:rsidR="00D54B6E" w:rsidRPr="00DE2EDF">
        <w:rPr>
          <w:rFonts w:eastAsia="Times New Roman" w:cs="Times New Roman"/>
          <w:iCs/>
          <w:lang w:val="en-GB"/>
        </w:rPr>
        <w:t>z</w:t>
      </w:r>
      <w:r w:rsidRPr="00DE2EDF">
        <w:rPr>
          <w:rFonts w:eastAsia="Times New Roman" w:cs="Times New Roman"/>
          <w:iCs/>
          <w:lang w:val="en-GB"/>
        </w:rPr>
        <w:t xml:space="preserve">ation of administrative law as a superficial phenomenon, which consolidates, rather than transforms, </w:t>
      </w:r>
      <w:r w:rsidR="00D3593D" w:rsidRPr="00DE2EDF">
        <w:rPr>
          <w:rFonts w:eastAsia="Times New Roman" w:cs="Times New Roman"/>
          <w:iCs/>
          <w:lang w:val="en-GB"/>
        </w:rPr>
        <w:t xml:space="preserve">its </w:t>
      </w:r>
      <w:r w:rsidRPr="00DE2EDF">
        <w:rPr>
          <w:rFonts w:eastAsia="Times New Roman" w:cs="Times New Roman"/>
          <w:iCs/>
          <w:lang w:val="en-GB"/>
        </w:rPr>
        <w:t>traditional principles.</w:t>
      </w:r>
      <w:bookmarkStart w:id="250" w:name="_Ref252450921"/>
      <w:bookmarkStart w:id="251" w:name="_Ref457851622"/>
      <w:bookmarkEnd w:id="250"/>
      <w:r w:rsidRPr="00DE2EDF">
        <w:rPr>
          <w:rStyle w:val="FootnoteReference"/>
          <w:rFonts w:eastAsia="Times New Roman" w:cs="Times New Roman"/>
          <w:iCs/>
          <w:lang w:val="en-GB"/>
        </w:rPr>
        <w:footnoteReference w:id="152"/>
      </w:r>
      <w:bookmarkEnd w:id="251"/>
      <w:r w:rsidR="00281421" w:rsidRPr="00DE2EDF">
        <w:rPr>
          <w:rFonts w:eastAsia="Times New Roman" w:cs="Times New Roman"/>
          <w:iCs/>
          <w:lang w:val="en-GB"/>
        </w:rPr>
        <w:t xml:space="preserve"> </w:t>
      </w:r>
      <w:r w:rsidR="00D3593D" w:rsidRPr="00DE2EDF">
        <w:rPr>
          <w:rFonts w:eastAsia="Times New Roman" w:cs="Times New Roman"/>
          <w:iCs/>
          <w:lang w:val="en-GB"/>
        </w:rPr>
        <w:t>T</w:t>
      </w:r>
      <w:r w:rsidRPr="00DE2EDF">
        <w:rPr>
          <w:rFonts w:eastAsia="Times New Roman" w:cs="Times New Roman"/>
          <w:iCs/>
          <w:lang w:val="en-GB"/>
        </w:rPr>
        <w:t xml:space="preserve">he relationship between the two </w:t>
      </w:r>
      <w:r w:rsidR="00D3593D" w:rsidRPr="00DE2EDF">
        <w:rPr>
          <w:rFonts w:eastAsia="Times New Roman" w:cs="Times New Roman"/>
          <w:iCs/>
          <w:lang w:val="en-GB"/>
        </w:rPr>
        <w:t>groups of legal norms</w:t>
      </w:r>
      <w:r w:rsidR="006634EA" w:rsidRPr="00DE2EDF">
        <w:rPr>
          <w:rFonts w:eastAsia="Times New Roman" w:cs="Times New Roman"/>
          <w:iCs/>
          <w:lang w:val="en-GB"/>
        </w:rPr>
        <w:t xml:space="preserve"> (but not between the two courts: </w:t>
      </w:r>
      <w:r w:rsidR="006634EA" w:rsidRPr="00DE2EDF">
        <w:rPr>
          <w:rFonts w:eastAsia="Times New Roman" w:cs="Times New Roman"/>
          <w:i/>
          <w:iCs/>
          <w:lang w:val="en-GB"/>
        </w:rPr>
        <w:t>Conseil constitutionnel</w:t>
      </w:r>
      <w:r w:rsidR="006634EA" w:rsidRPr="00DE2EDF">
        <w:rPr>
          <w:rFonts w:eastAsia="Times New Roman" w:cs="Times New Roman"/>
          <w:iCs/>
          <w:lang w:val="en-GB"/>
        </w:rPr>
        <w:t xml:space="preserve"> and </w:t>
      </w:r>
      <w:r w:rsidR="006634EA" w:rsidRPr="00DE2EDF">
        <w:rPr>
          <w:rFonts w:eastAsia="Times New Roman" w:cs="Times New Roman"/>
          <w:i/>
          <w:iCs/>
          <w:lang w:val="en-GB"/>
        </w:rPr>
        <w:t>Conseil d’Etat</w:t>
      </w:r>
      <w:r w:rsidR="006634EA" w:rsidRPr="00DE2EDF">
        <w:rPr>
          <w:rFonts w:eastAsia="Times New Roman" w:cs="Times New Roman"/>
          <w:iCs/>
          <w:lang w:val="en-GB"/>
        </w:rPr>
        <w:t xml:space="preserve">) </w:t>
      </w:r>
      <w:r w:rsidRPr="00DE2EDF">
        <w:rPr>
          <w:rFonts w:eastAsia="Times New Roman" w:cs="Times New Roman"/>
          <w:iCs/>
          <w:lang w:val="en-GB"/>
        </w:rPr>
        <w:t>is generally addressed on the vertical plane. Th</w:t>
      </w:r>
      <w:r w:rsidR="006634EA" w:rsidRPr="00DE2EDF">
        <w:rPr>
          <w:rFonts w:eastAsia="Times New Roman" w:cs="Times New Roman"/>
          <w:iCs/>
          <w:lang w:val="en-GB"/>
        </w:rPr>
        <w:t>ere are th</w:t>
      </w:r>
      <w:r w:rsidRPr="00DE2EDF">
        <w:rPr>
          <w:rFonts w:eastAsia="Times New Roman" w:cs="Times New Roman"/>
          <w:iCs/>
          <w:lang w:val="en-GB"/>
        </w:rPr>
        <w:t xml:space="preserve">ree main </w:t>
      </w:r>
      <w:r w:rsidR="00702C90" w:rsidRPr="00DE2EDF">
        <w:rPr>
          <w:rFonts w:eastAsia="Times New Roman" w:cs="Times New Roman"/>
          <w:iCs/>
          <w:lang w:val="en-GB"/>
        </w:rPr>
        <w:t>formulations of said relationship</w:t>
      </w:r>
      <w:r w:rsidRPr="00DE2EDF">
        <w:rPr>
          <w:rFonts w:eastAsia="Times New Roman" w:cs="Times New Roman"/>
          <w:iCs/>
          <w:lang w:val="en-GB"/>
        </w:rPr>
        <w:t xml:space="preserve">. The first is the classic </w:t>
      </w:r>
      <w:r w:rsidR="006634EA" w:rsidRPr="00DE2EDF">
        <w:rPr>
          <w:rFonts w:eastAsia="Times New Roman" w:cs="Times New Roman"/>
          <w:iCs/>
          <w:lang w:val="en-GB"/>
        </w:rPr>
        <w:t>formula</w:t>
      </w:r>
      <w:r w:rsidRPr="00DE2EDF">
        <w:rPr>
          <w:rFonts w:eastAsia="Times New Roman" w:cs="Times New Roman"/>
          <w:iCs/>
          <w:lang w:val="en-GB"/>
        </w:rPr>
        <w:t xml:space="preserve"> </w:t>
      </w:r>
      <w:r w:rsidR="006634EA" w:rsidRPr="00D262E4">
        <w:rPr>
          <w:rFonts w:eastAsia="Times New Roman" w:cs="Times New Roman"/>
          <w:iCs/>
          <w:lang w:val="en-GB"/>
        </w:rPr>
        <w:t>‘</w:t>
      </w:r>
      <w:r w:rsidR="006634EA" w:rsidRPr="00DE2EDF">
        <w:rPr>
          <w:rFonts w:eastAsia="Times New Roman" w:cs="Times New Roman"/>
          <w:i/>
          <w:lang w:val="en-GB"/>
        </w:rPr>
        <w:t>les bases constitutionnelles du droit administratif</w:t>
      </w:r>
      <w:r w:rsidR="006634EA" w:rsidRPr="00DE2EDF">
        <w:rPr>
          <w:rFonts w:eastAsia="Times New Roman" w:cs="Times New Roman"/>
          <w:iCs/>
          <w:lang w:val="en-GB"/>
        </w:rPr>
        <w:t xml:space="preserve">’ (that is, the constitutional bases of administrative law) </w:t>
      </w:r>
      <w:r w:rsidRPr="00DE2EDF">
        <w:rPr>
          <w:rFonts w:eastAsia="Times New Roman" w:cs="Times New Roman"/>
          <w:iCs/>
          <w:lang w:val="en-GB"/>
        </w:rPr>
        <w:t>coined by Gérando and re-introduced</w:t>
      </w:r>
      <w:r w:rsidR="00F60DF8" w:rsidRPr="00DE2EDF">
        <w:rPr>
          <w:rFonts w:eastAsia="Times New Roman" w:cs="Times New Roman"/>
          <w:iCs/>
          <w:lang w:val="en-GB"/>
        </w:rPr>
        <w:t xml:space="preserve"> in 195</w:t>
      </w:r>
      <w:r w:rsidR="001B03BB" w:rsidRPr="00DE2EDF">
        <w:rPr>
          <w:rFonts w:eastAsia="Times New Roman" w:cs="Times New Roman"/>
          <w:iCs/>
          <w:lang w:val="en-GB"/>
        </w:rPr>
        <w:t>4</w:t>
      </w:r>
      <w:r w:rsidRPr="00DE2EDF">
        <w:rPr>
          <w:rFonts w:eastAsia="Times New Roman" w:cs="Times New Roman"/>
          <w:iCs/>
          <w:lang w:val="en-GB"/>
        </w:rPr>
        <w:t xml:space="preserve"> by Vedel.</w:t>
      </w:r>
      <w:bookmarkStart w:id="252" w:name="_ftnref121"/>
      <w:r w:rsidRPr="00DE2EDF">
        <w:rPr>
          <w:rStyle w:val="FootnoteReference"/>
          <w:rFonts w:eastAsia="Times New Roman" w:cs="Times New Roman"/>
          <w:iCs/>
          <w:lang w:val="en-GB"/>
        </w:rPr>
        <w:footnoteReference w:id="153"/>
      </w:r>
      <w:r w:rsidRPr="00DE2EDF">
        <w:rPr>
          <w:rFonts w:eastAsia="Times New Roman" w:cs="Times New Roman"/>
          <w:iCs/>
          <w:lang w:val="en-GB"/>
        </w:rPr>
        <w:t xml:space="preserve"> </w:t>
      </w:r>
      <w:bookmarkEnd w:id="252"/>
      <w:r w:rsidRPr="00DE2EDF">
        <w:rPr>
          <w:rFonts w:eastAsia="Times New Roman" w:cs="Times New Roman"/>
          <w:iCs/>
          <w:lang w:val="en-GB"/>
        </w:rPr>
        <w:t>Th</w:t>
      </w:r>
      <w:r w:rsidR="006634EA" w:rsidRPr="00DE2EDF">
        <w:rPr>
          <w:rFonts w:eastAsia="Times New Roman" w:cs="Times New Roman"/>
          <w:iCs/>
          <w:lang w:val="en-GB"/>
        </w:rPr>
        <w:t>is</w:t>
      </w:r>
      <w:r w:rsidRPr="00DE2EDF">
        <w:rPr>
          <w:rFonts w:eastAsia="Times New Roman" w:cs="Times New Roman"/>
          <w:iCs/>
          <w:lang w:val="en-GB"/>
        </w:rPr>
        <w:t xml:space="preserve"> </w:t>
      </w:r>
      <w:r w:rsidR="00702C90" w:rsidRPr="00DE2EDF">
        <w:rPr>
          <w:rFonts w:eastAsia="Times New Roman" w:cs="Times New Roman"/>
          <w:iCs/>
          <w:lang w:val="en-GB"/>
        </w:rPr>
        <w:t xml:space="preserve">phrase </w:t>
      </w:r>
      <w:r w:rsidRPr="00DE2EDF">
        <w:rPr>
          <w:rFonts w:eastAsia="Times New Roman" w:cs="Times New Roman"/>
          <w:iCs/>
          <w:lang w:val="en-GB"/>
        </w:rPr>
        <w:t xml:space="preserve">only </w:t>
      </w:r>
      <w:r w:rsidR="006634EA" w:rsidRPr="00DE2EDF">
        <w:rPr>
          <w:rFonts w:eastAsia="Times New Roman" w:cs="Times New Roman"/>
          <w:iCs/>
          <w:lang w:val="en-GB"/>
        </w:rPr>
        <w:t>refers to</w:t>
      </w:r>
      <w:r w:rsidRPr="00DE2EDF">
        <w:rPr>
          <w:rFonts w:eastAsia="Times New Roman" w:cs="Times New Roman"/>
          <w:iCs/>
          <w:lang w:val="en-GB"/>
        </w:rPr>
        <w:t xml:space="preserve"> constitutional foundations, principles</w:t>
      </w:r>
      <w:r w:rsidR="00702C90" w:rsidRPr="00DE2EDF">
        <w:rPr>
          <w:rFonts w:eastAsia="Times New Roman" w:cs="Times New Roman"/>
          <w:iCs/>
          <w:lang w:val="en-GB"/>
        </w:rPr>
        <w:t>,</w:t>
      </w:r>
      <w:r w:rsidRPr="00DE2EDF">
        <w:rPr>
          <w:rFonts w:eastAsia="Times New Roman" w:cs="Times New Roman"/>
          <w:iCs/>
          <w:lang w:val="en-GB"/>
        </w:rPr>
        <w:t xml:space="preserve"> and guiding ideas. </w:t>
      </w:r>
      <w:r w:rsidR="001B03BB" w:rsidRPr="00DE2EDF">
        <w:rPr>
          <w:rFonts w:eastAsia="Times New Roman" w:cs="Times New Roman"/>
          <w:iCs/>
          <w:lang w:val="en-GB"/>
        </w:rPr>
        <w:t>A second discourse</w:t>
      </w:r>
      <w:r w:rsidRPr="00DE2EDF">
        <w:rPr>
          <w:rFonts w:eastAsia="Times New Roman" w:cs="Times New Roman"/>
          <w:iCs/>
          <w:lang w:val="en-GB"/>
        </w:rPr>
        <w:t xml:space="preserve"> uses </w:t>
      </w:r>
      <w:r w:rsidR="006634EA" w:rsidRPr="00DE2EDF">
        <w:rPr>
          <w:rFonts w:eastAsia="Times New Roman" w:cs="Times New Roman"/>
          <w:iCs/>
          <w:lang w:val="en-GB"/>
        </w:rPr>
        <w:t>the expression</w:t>
      </w:r>
      <w:r w:rsidRPr="00DE2EDF">
        <w:rPr>
          <w:rFonts w:eastAsia="Times New Roman" w:cs="Times New Roman"/>
          <w:iCs/>
          <w:lang w:val="en-GB"/>
        </w:rPr>
        <w:t xml:space="preserve"> </w:t>
      </w:r>
      <w:r w:rsidR="006634EA" w:rsidRPr="00D262E4">
        <w:rPr>
          <w:rFonts w:eastAsia="Times New Roman" w:cs="Times New Roman"/>
          <w:iCs/>
          <w:lang w:val="en-GB"/>
        </w:rPr>
        <w:t>‘</w:t>
      </w:r>
      <w:r w:rsidRPr="00DE2EDF">
        <w:rPr>
          <w:rFonts w:eastAsia="Times New Roman" w:cs="Times New Roman"/>
          <w:i/>
          <w:iCs/>
          <w:lang w:val="en-GB"/>
        </w:rPr>
        <w:t>les sources constitutio</w:t>
      </w:r>
      <w:r w:rsidR="006634EA" w:rsidRPr="00DE2EDF">
        <w:rPr>
          <w:rFonts w:eastAsia="Times New Roman" w:cs="Times New Roman"/>
          <w:i/>
          <w:iCs/>
          <w:lang w:val="en-GB"/>
        </w:rPr>
        <w:t>n</w:t>
      </w:r>
      <w:r w:rsidRPr="00DE2EDF">
        <w:rPr>
          <w:rFonts w:eastAsia="Times New Roman" w:cs="Times New Roman"/>
          <w:i/>
          <w:iCs/>
          <w:lang w:val="en-GB"/>
        </w:rPr>
        <w:t>nelles</w:t>
      </w:r>
      <w:r w:rsidR="006634EA" w:rsidRPr="00DE2EDF">
        <w:rPr>
          <w:rFonts w:eastAsia="Times New Roman" w:cs="Times New Roman"/>
          <w:i/>
          <w:iCs/>
          <w:lang w:val="en-GB"/>
        </w:rPr>
        <w:t xml:space="preserve"> du droit administratif</w:t>
      </w:r>
      <w:r w:rsidR="006634EA" w:rsidRPr="00D262E4">
        <w:rPr>
          <w:rFonts w:eastAsia="Times New Roman" w:cs="Times New Roman"/>
          <w:iCs/>
          <w:lang w:val="en-GB"/>
        </w:rPr>
        <w:t>’</w:t>
      </w:r>
      <w:r w:rsidR="006634EA" w:rsidRPr="00DE2EDF">
        <w:rPr>
          <w:rFonts w:eastAsia="Times New Roman" w:cs="Times New Roman"/>
          <w:iCs/>
          <w:lang w:val="en-GB"/>
        </w:rPr>
        <w:t xml:space="preserve"> (</w:t>
      </w:r>
      <w:r w:rsidRPr="00DE2EDF">
        <w:rPr>
          <w:rFonts w:eastAsia="Times New Roman" w:cs="Times New Roman"/>
          <w:iCs/>
          <w:lang w:val="en-GB"/>
        </w:rPr>
        <w:t xml:space="preserve">the constitutional sources of administrative law), </w:t>
      </w:r>
      <w:r w:rsidR="001B03BB" w:rsidRPr="00DE2EDF">
        <w:rPr>
          <w:rFonts w:eastAsia="Times New Roman" w:cs="Times New Roman"/>
          <w:iCs/>
          <w:lang w:val="en-GB"/>
        </w:rPr>
        <w:t xml:space="preserve">which </w:t>
      </w:r>
      <w:r w:rsidRPr="00DE2EDF">
        <w:rPr>
          <w:rFonts w:eastAsia="Times New Roman" w:cs="Times New Roman"/>
          <w:iCs/>
          <w:lang w:val="en-GB"/>
        </w:rPr>
        <w:t>is commonly accepted</w:t>
      </w:r>
      <w:r w:rsidR="00DB6666" w:rsidRPr="00DE2EDF">
        <w:rPr>
          <w:rFonts w:eastAsia="Times New Roman" w:cs="Times New Roman"/>
          <w:iCs/>
          <w:lang w:val="en-GB"/>
        </w:rPr>
        <w:t xml:space="preserve"> in all textbooks</w:t>
      </w:r>
      <w:r w:rsidRPr="00DE2EDF">
        <w:rPr>
          <w:rFonts w:eastAsia="Times New Roman" w:cs="Times New Roman"/>
          <w:iCs/>
          <w:lang w:val="en-GB"/>
        </w:rPr>
        <w:t>. Th</w:t>
      </w:r>
      <w:r w:rsidR="006634EA" w:rsidRPr="00DE2EDF">
        <w:rPr>
          <w:rFonts w:eastAsia="Times New Roman" w:cs="Times New Roman"/>
          <w:iCs/>
          <w:lang w:val="en-GB"/>
        </w:rPr>
        <w:t>e scope of th</w:t>
      </w:r>
      <w:r w:rsidR="001B03BB" w:rsidRPr="00DE2EDF">
        <w:rPr>
          <w:rFonts w:eastAsia="Times New Roman" w:cs="Times New Roman"/>
          <w:iCs/>
          <w:lang w:val="en-GB"/>
        </w:rPr>
        <w:t>at</w:t>
      </w:r>
      <w:r w:rsidRPr="00DE2EDF">
        <w:rPr>
          <w:rFonts w:eastAsia="Times New Roman" w:cs="Times New Roman"/>
          <w:iCs/>
          <w:lang w:val="en-GB"/>
        </w:rPr>
        <w:t xml:space="preserve"> </w:t>
      </w:r>
      <w:r w:rsidR="00702C90" w:rsidRPr="00DE2EDF">
        <w:rPr>
          <w:rFonts w:eastAsia="Times New Roman" w:cs="Times New Roman"/>
          <w:iCs/>
          <w:lang w:val="en-GB"/>
        </w:rPr>
        <w:t xml:space="preserve">phrase </w:t>
      </w:r>
      <w:r w:rsidR="006634EA" w:rsidRPr="00DE2EDF">
        <w:rPr>
          <w:rFonts w:eastAsia="Times New Roman" w:cs="Times New Roman"/>
          <w:iCs/>
          <w:lang w:val="en-GB"/>
        </w:rPr>
        <w:t>is much broader</w:t>
      </w:r>
      <w:r w:rsidR="00702C90" w:rsidRPr="00DE2EDF">
        <w:rPr>
          <w:rFonts w:eastAsia="Times New Roman" w:cs="Times New Roman"/>
          <w:iCs/>
          <w:lang w:val="en-GB"/>
        </w:rPr>
        <w:t>,</w:t>
      </w:r>
      <w:r w:rsidR="006634EA" w:rsidRPr="00DE2EDF">
        <w:rPr>
          <w:rFonts w:eastAsia="Times New Roman" w:cs="Times New Roman"/>
          <w:iCs/>
          <w:lang w:val="en-GB"/>
        </w:rPr>
        <w:t xml:space="preserve"> as it</w:t>
      </w:r>
      <w:r w:rsidRPr="00DE2EDF">
        <w:rPr>
          <w:rFonts w:eastAsia="Times New Roman" w:cs="Times New Roman"/>
          <w:iCs/>
          <w:lang w:val="en-GB"/>
        </w:rPr>
        <w:t xml:space="preserve"> includes all constitutional norms, not just guiding </w:t>
      </w:r>
      <w:r w:rsidRPr="00DE2EDF">
        <w:rPr>
          <w:rFonts w:eastAsia="Times New Roman" w:cs="Times New Roman"/>
          <w:i/>
          <w:iCs/>
          <w:lang w:val="en-GB"/>
        </w:rPr>
        <w:t>principles</w:t>
      </w:r>
      <w:r w:rsidRPr="00DE2EDF">
        <w:rPr>
          <w:rFonts w:eastAsia="Times New Roman" w:cs="Times New Roman"/>
          <w:iCs/>
          <w:lang w:val="en-GB"/>
        </w:rPr>
        <w:t xml:space="preserve">, but also technical </w:t>
      </w:r>
      <w:r w:rsidRPr="00DE2EDF">
        <w:rPr>
          <w:rFonts w:eastAsia="Times New Roman" w:cs="Times New Roman"/>
          <w:i/>
          <w:iCs/>
          <w:lang w:val="en-GB"/>
        </w:rPr>
        <w:t>rules</w:t>
      </w:r>
      <w:r w:rsidR="006634EA" w:rsidRPr="00DE2EDF">
        <w:rPr>
          <w:rFonts w:eastAsia="Times New Roman" w:cs="Times New Roman"/>
          <w:iCs/>
          <w:lang w:val="en-GB"/>
        </w:rPr>
        <w:t>. The constitutional source</w:t>
      </w:r>
      <w:r w:rsidR="00F34A22" w:rsidRPr="00DE2EDF">
        <w:rPr>
          <w:rFonts w:eastAsia="Times New Roman" w:cs="Times New Roman"/>
          <w:iCs/>
          <w:lang w:val="en-GB"/>
        </w:rPr>
        <w:t>s</w:t>
      </w:r>
      <w:r w:rsidR="00702C90" w:rsidRPr="00DE2EDF">
        <w:rPr>
          <w:rFonts w:eastAsia="Times New Roman" w:cs="Times New Roman"/>
          <w:iCs/>
          <w:lang w:val="en-GB"/>
        </w:rPr>
        <w:t xml:space="preserve"> formulation</w:t>
      </w:r>
      <w:r w:rsidR="006634EA" w:rsidRPr="00DE2EDF">
        <w:rPr>
          <w:rFonts w:eastAsia="Times New Roman" w:cs="Times New Roman"/>
          <w:iCs/>
          <w:lang w:val="en-GB"/>
        </w:rPr>
        <w:t xml:space="preserve"> i</w:t>
      </w:r>
      <w:r w:rsidRPr="00DE2EDF">
        <w:rPr>
          <w:rFonts w:eastAsia="Times New Roman" w:cs="Times New Roman"/>
          <w:iCs/>
          <w:lang w:val="en-GB"/>
        </w:rPr>
        <w:t>s</w:t>
      </w:r>
      <w:r w:rsidR="006634EA" w:rsidRPr="00DE2EDF">
        <w:rPr>
          <w:rFonts w:eastAsia="Times New Roman" w:cs="Times New Roman"/>
          <w:iCs/>
          <w:lang w:val="en-GB"/>
        </w:rPr>
        <w:t xml:space="preserve"> also</w:t>
      </w:r>
      <w:r w:rsidRPr="00DE2EDF">
        <w:rPr>
          <w:rFonts w:eastAsia="Times New Roman" w:cs="Times New Roman"/>
          <w:iCs/>
          <w:lang w:val="en-GB"/>
        </w:rPr>
        <w:t xml:space="preserve"> relatively neutral: it does not reflect a dominant, or even </w:t>
      </w:r>
      <w:r w:rsidR="006634EA" w:rsidRPr="00DE2EDF">
        <w:rPr>
          <w:rFonts w:eastAsia="Times New Roman" w:cs="Times New Roman"/>
          <w:iCs/>
          <w:lang w:val="en-GB"/>
        </w:rPr>
        <w:t xml:space="preserve">imperialist, </w:t>
      </w:r>
      <w:r w:rsidR="003D6EFC" w:rsidRPr="00DE2EDF">
        <w:rPr>
          <w:rFonts w:eastAsia="Times New Roman" w:cs="Times New Roman"/>
          <w:iCs/>
          <w:lang w:val="en-GB"/>
        </w:rPr>
        <w:t>posi</w:t>
      </w:r>
      <w:r w:rsidRPr="00DE2EDF">
        <w:rPr>
          <w:rFonts w:eastAsia="Times New Roman" w:cs="Times New Roman"/>
          <w:iCs/>
          <w:lang w:val="en-GB"/>
        </w:rPr>
        <w:t xml:space="preserve">tion of constitutional law. The third </w:t>
      </w:r>
      <w:r w:rsidR="00702C90" w:rsidRPr="00DE2EDF">
        <w:rPr>
          <w:rFonts w:eastAsia="Times New Roman" w:cs="Times New Roman"/>
          <w:iCs/>
          <w:lang w:val="en-GB"/>
        </w:rPr>
        <w:t xml:space="preserve">formulation </w:t>
      </w:r>
      <w:r w:rsidR="003D6EFC" w:rsidRPr="00DE2EDF">
        <w:rPr>
          <w:rFonts w:eastAsia="Times New Roman" w:cs="Times New Roman"/>
          <w:iCs/>
          <w:lang w:val="en-GB"/>
        </w:rPr>
        <w:t xml:space="preserve">refers to the </w:t>
      </w:r>
      <w:r w:rsidR="00371411" w:rsidRPr="00DE2EDF">
        <w:rPr>
          <w:rFonts w:eastAsia="Times New Roman" w:cs="Times New Roman"/>
          <w:iCs/>
          <w:smallCaps/>
          <w:lang w:val="en-GB"/>
        </w:rPr>
        <w:t>‘</w:t>
      </w:r>
      <w:r w:rsidR="003D6EFC" w:rsidRPr="00DE2EDF">
        <w:rPr>
          <w:rFonts w:eastAsia="Times New Roman" w:cs="Times New Roman"/>
          <w:i/>
          <w:iCs/>
          <w:lang w:val="en-GB"/>
        </w:rPr>
        <w:t>constitutionnalisation du droit administratif</w:t>
      </w:r>
      <w:r w:rsidR="003D6EFC" w:rsidRPr="00DE2EDF">
        <w:rPr>
          <w:rFonts w:eastAsia="Times New Roman" w:cs="Times New Roman"/>
          <w:iCs/>
          <w:lang w:val="en-GB"/>
        </w:rPr>
        <w:t>’ (constitutionali</w:t>
      </w:r>
      <w:r w:rsidR="00F51298" w:rsidRPr="00DE2EDF">
        <w:rPr>
          <w:rFonts w:eastAsia="Times New Roman" w:cs="Times New Roman"/>
          <w:iCs/>
          <w:lang w:val="en-GB"/>
        </w:rPr>
        <w:t>z</w:t>
      </w:r>
      <w:r w:rsidR="003D6EFC" w:rsidRPr="00DE2EDF">
        <w:rPr>
          <w:rFonts w:eastAsia="Times New Roman" w:cs="Times New Roman"/>
          <w:iCs/>
          <w:lang w:val="en-GB"/>
        </w:rPr>
        <w:t>ation of administrative law). Its inventor and most prominent supporter</w:t>
      </w:r>
      <w:r w:rsidR="00702C90" w:rsidRPr="00DE2EDF">
        <w:rPr>
          <w:rFonts w:eastAsia="Times New Roman" w:cs="Times New Roman"/>
          <w:iCs/>
          <w:lang w:val="en-GB"/>
        </w:rPr>
        <w:t>,</w:t>
      </w:r>
      <w:r w:rsidR="003D6EFC" w:rsidRPr="00DE2EDF">
        <w:rPr>
          <w:rFonts w:eastAsia="Times New Roman" w:cs="Times New Roman"/>
          <w:iCs/>
          <w:lang w:val="en-GB"/>
        </w:rPr>
        <w:t xml:space="preserve"> </w:t>
      </w:r>
      <w:r w:rsidRPr="00DE2EDF">
        <w:rPr>
          <w:rFonts w:eastAsia="Times New Roman" w:cs="Times New Roman"/>
          <w:iCs/>
          <w:lang w:val="en-GB"/>
        </w:rPr>
        <w:t>Louis Favoreu</w:t>
      </w:r>
      <w:r w:rsidR="00702C90" w:rsidRPr="00DE2EDF">
        <w:rPr>
          <w:rFonts w:eastAsia="Times New Roman" w:cs="Times New Roman"/>
          <w:iCs/>
          <w:lang w:val="en-GB"/>
        </w:rPr>
        <w:t xml:space="preserve">, </w:t>
      </w:r>
      <w:r w:rsidRPr="00DE2EDF">
        <w:rPr>
          <w:rFonts w:eastAsia="Times New Roman" w:cs="Times New Roman"/>
          <w:iCs/>
          <w:lang w:val="en-GB"/>
        </w:rPr>
        <w:t>introduced</w:t>
      </w:r>
      <w:r w:rsidR="003D6EFC" w:rsidRPr="00DE2EDF">
        <w:rPr>
          <w:rFonts w:eastAsia="Times New Roman" w:cs="Times New Roman"/>
          <w:iCs/>
          <w:lang w:val="en-GB"/>
        </w:rPr>
        <w:t xml:space="preserve"> </w:t>
      </w:r>
      <w:r w:rsidR="00702C90" w:rsidRPr="00DE2EDF">
        <w:rPr>
          <w:rFonts w:eastAsia="Times New Roman" w:cs="Times New Roman"/>
          <w:iCs/>
          <w:lang w:val="en-GB"/>
        </w:rPr>
        <w:t xml:space="preserve">the formulation </w:t>
      </w:r>
      <w:r w:rsidRPr="00DE2EDF">
        <w:rPr>
          <w:rFonts w:eastAsia="Times New Roman" w:cs="Times New Roman"/>
          <w:iCs/>
          <w:lang w:val="en-GB"/>
        </w:rPr>
        <w:t xml:space="preserve">in </w:t>
      </w:r>
      <w:r w:rsidR="00371411" w:rsidRPr="00DE2EDF">
        <w:rPr>
          <w:rFonts w:eastAsia="Times New Roman" w:cs="Times New Roman"/>
          <w:iCs/>
          <w:lang w:val="en-GB"/>
        </w:rPr>
        <w:t xml:space="preserve">the </w:t>
      </w:r>
      <w:r w:rsidR="00146F9D" w:rsidRPr="00DE2EDF">
        <w:rPr>
          <w:rFonts w:eastAsia="Times New Roman" w:cs="Times New Roman"/>
          <w:iCs/>
          <w:lang w:val="en-GB"/>
        </w:rPr>
        <w:t>French debate</w:t>
      </w:r>
      <w:r w:rsidRPr="00DE2EDF">
        <w:rPr>
          <w:rFonts w:eastAsia="Times New Roman" w:cs="Times New Roman"/>
          <w:iCs/>
          <w:lang w:val="en-GB"/>
        </w:rPr>
        <w:t xml:space="preserve"> </w:t>
      </w:r>
      <w:r w:rsidR="00702C90" w:rsidRPr="00DE2EDF">
        <w:rPr>
          <w:rFonts w:eastAsia="Times New Roman" w:cs="Times New Roman"/>
          <w:iCs/>
          <w:lang w:val="en-GB"/>
        </w:rPr>
        <w:t xml:space="preserve">as early as the 1980s </w:t>
      </w:r>
      <w:r w:rsidRPr="00DE2EDF">
        <w:rPr>
          <w:rFonts w:eastAsia="Times New Roman" w:cs="Times New Roman"/>
          <w:iCs/>
          <w:lang w:val="en-GB"/>
        </w:rPr>
        <w:t xml:space="preserve">and </w:t>
      </w:r>
      <w:r w:rsidR="00702C90" w:rsidRPr="00DE2EDF">
        <w:rPr>
          <w:rFonts w:eastAsia="Times New Roman" w:cs="Times New Roman"/>
          <w:iCs/>
          <w:lang w:val="en-GB"/>
        </w:rPr>
        <w:t xml:space="preserve">thereafter </w:t>
      </w:r>
      <w:r w:rsidRPr="00DE2EDF">
        <w:rPr>
          <w:rFonts w:eastAsia="Times New Roman" w:cs="Times New Roman"/>
          <w:iCs/>
          <w:lang w:val="en-GB"/>
        </w:rPr>
        <w:t xml:space="preserve">in </w:t>
      </w:r>
      <w:r w:rsidR="00371411" w:rsidRPr="00DE2EDF">
        <w:rPr>
          <w:rFonts w:eastAsia="Times New Roman" w:cs="Times New Roman"/>
          <w:iCs/>
          <w:lang w:val="en-GB"/>
        </w:rPr>
        <w:t xml:space="preserve">the </w:t>
      </w:r>
      <w:r w:rsidRPr="00DE2EDF">
        <w:rPr>
          <w:rFonts w:eastAsia="Times New Roman" w:cs="Times New Roman"/>
          <w:iCs/>
          <w:lang w:val="en-GB"/>
        </w:rPr>
        <w:t>international debate</w:t>
      </w:r>
      <w:bookmarkStart w:id="253" w:name="_Ref252450817"/>
      <w:bookmarkStart w:id="254" w:name="_ftnref122"/>
      <w:bookmarkEnd w:id="253"/>
      <w:r w:rsidRPr="00DE2EDF">
        <w:rPr>
          <w:rFonts w:eastAsia="Times New Roman" w:cs="Times New Roman"/>
          <w:iCs/>
          <w:lang w:val="en-GB"/>
        </w:rPr>
        <w:t>.</w:t>
      </w:r>
      <w:bookmarkStart w:id="255" w:name="_Ref401126372"/>
      <w:r w:rsidRPr="00DE2EDF">
        <w:rPr>
          <w:rStyle w:val="FootnoteReference"/>
          <w:rFonts w:eastAsia="Times New Roman" w:cs="Times New Roman"/>
          <w:iCs/>
          <w:lang w:val="en-GB"/>
        </w:rPr>
        <w:footnoteReference w:id="154"/>
      </w:r>
      <w:bookmarkEnd w:id="255"/>
      <w:r w:rsidRPr="00DE2EDF">
        <w:rPr>
          <w:rFonts w:eastAsia="Times New Roman" w:cs="Times New Roman"/>
          <w:iCs/>
          <w:lang w:val="en-GB"/>
        </w:rPr>
        <w:t xml:space="preserve"> </w:t>
      </w:r>
      <w:bookmarkEnd w:id="254"/>
      <w:r w:rsidRPr="00DE2EDF">
        <w:rPr>
          <w:rFonts w:eastAsia="Times New Roman" w:cs="Times New Roman"/>
          <w:iCs/>
          <w:lang w:val="en-GB"/>
        </w:rPr>
        <w:t xml:space="preserve">As </w:t>
      </w:r>
      <w:r w:rsidR="001B03BB" w:rsidRPr="00DE2EDF">
        <w:rPr>
          <w:rFonts w:eastAsia="Times New Roman" w:cs="Times New Roman"/>
          <w:iCs/>
          <w:lang w:val="en-GB"/>
        </w:rPr>
        <w:t xml:space="preserve">the term </w:t>
      </w:r>
      <w:r w:rsidR="00146F9D" w:rsidRPr="00DE2EDF">
        <w:rPr>
          <w:rFonts w:eastAsia="Times New Roman" w:cs="Times New Roman"/>
          <w:iCs/>
          <w:lang w:val="en-GB"/>
        </w:rPr>
        <w:t>‘</w:t>
      </w:r>
      <w:r w:rsidRPr="00DE2EDF">
        <w:rPr>
          <w:rFonts w:eastAsia="Times New Roman" w:cs="Times New Roman"/>
          <w:iCs/>
          <w:lang w:val="en-GB"/>
        </w:rPr>
        <w:t>constitutionali</w:t>
      </w:r>
      <w:r w:rsidR="00F51298" w:rsidRPr="00DE2EDF">
        <w:rPr>
          <w:rFonts w:eastAsia="Times New Roman" w:cs="Times New Roman"/>
          <w:iCs/>
          <w:lang w:val="en-GB"/>
        </w:rPr>
        <w:t>z</w:t>
      </w:r>
      <w:r w:rsidRPr="00DE2EDF">
        <w:rPr>
          <w:rFonts w:eastAsia="Times New Roman" w:cs="Times New Roman"/>
          <w:iCs/>
          <w:lang w:val="en-GB"/>
        </w:rPr>
        <w:t>ation</w:t>
      </w:r>
      <w:r w:rsidR="00146F9D" w:rsidRPr="00DE2EDF">
        <w:rPr>
          <w:rFonts w:eastAsia="Times New Roman" w:cs="Times New Roman"/>
          <w:iCs/>
          <w:lang w:val="en-GB"/>
        </w:rPr>
        <w:t>’</w:t>
      </w:r>
      <w:r w:rsidRPr="00DE2EDF">
        <w:rPr>
          <w:rFonts w:eastAsia="Times New Roman" w:cs="Times New Roman"/>
          <w:iCs/>
          <w:lang w:val="en-GB"/>
        </w:rPr>
        <w:t xml:space="preserve"> </w:t>
      </w:r>
      <w:r w:rsidR="00702C90" w:rsidRPr="00DE2EDF">
        <w:rPr>
          <w:rFonts w:eastAsia="Times New Roman" w:cs="Times New Roman"/>
          <w:iCs/>
          <w:lang w:val="en-GB"/>
        </w:rPr>
        <w:t xml:space="preserve">may be </w:t>
      </w:r>
      <w:r w:rsidR="00146F9D" w:rsidRPr="00DE2EDF">
        <w:rPr>
          <w:rFonts w:eastAsia="Times New Roman" w:cs="Times New Roman"/>
          <w:iCs/>
          <w:lang w:val="en-GB"/>
        </w:rPr>
        <w:t xml:space="preserve">used </w:t>
      </w:r>
      <w:r w:rsidR="00702C90" w:rsidRPr="00DE2EDF">
        <w:rPr>
          <w:rFonts w:eastAsia="Times New Roman" w:cs="Times New Roman"/>
          <w:iCs/>
          <w:lang w:val="en-GB"/>
        </w:rPr>
        <w:t xml:space="preserve">throughout </w:t>
      </w:r>
      <w:r w:rsidR="00146F9D" w:rsidRPr="00DE2EDF">
        <w:rPr>
          <w:rFonts w:eastAsia="Times New Roman" w:cs="Times New Roman"/>
          <w:iCs/>
          <w:lang w:val="en-GB"/>
        </w:rPr>
        <w:t xml:space="preserve">Europe in quite </w:t>
      </w:r>
      <w:r w:rsidR="00702C90" w:rsidRPr="00DE2EDF">
        <w:rPr>
          <w:rFonts w:eastAsia="Times New Roman" w:cs="Times New Roman"/>
          <w:iCs/>
          <w:lang w:val="en-GB"/>
        </w:rPr>
        <w:t xml:space="preserve">a number of different </w:t>
      </w:r>
      <w:r w:rsidR="00146F9D" w:rsidRPr="00DE2EDF">
        <w:rPr>
          <w:rFonts w:eastAsia="Times New Roman" w:cs="Times New Roman"/>
          <w:iCs/>
          <w:lang w:val="en-GB"/>
        </w:rPr>
        <w:t xml:space="preserve">ways, it is important </w:t>
      </w:r>
      <w:r w:rsidRPr="00DE2EDF">
        <w:rPr>
          <w:rFonts w:eastAsia="Times New Roman" w:cs="Times New Roman"/>
          <w:iCs/>
          <w:lang w:val="en-GB"/>
        </w:rPr>
        <w:t xml:space="preserve">to </w:t>
      </w:r>
      <w:r w:rsidR="00702C90" w:rsidRPr="00DE2EDF">
        <w:rPr>
          <w:rFonts w:eastAsia="Times New Roman" w:cs="Times New Roman"/>
          <w:iCs/>
          <w:lang w:val="en-GB"/>
        </w:rPr>
        <w:t xml:space="preserve">clarify </w:t>
      </w:r>
      <w:r w:rsidRPr="00DE2EDF">
        <w:rPr>
          <w:rFonts w:eastAsia="Times New Roman" w:cs="Times New Roman"/>
          <w:iCs/>
          <w:lang w:val="en-GB"/>
        </w:rPr>
        <w:t xml:space="preserve">the specific </w:t>
      </w:r>
      <w:r w:rsidR="00146F9D" w:rsidRPr="00DE2EDF">
        <w:rPr>
          <w:rFonts w:eastAsia="Times New Roman" w:cs="Times New Roman"/>
          <w:iCs/>
          <w:lang w:val="en-GB"/>
        </w:rPr>
        <w:t xml:space="preserve">content </w:t>
      </w:r>
      <w:r w:rsidRPr="00DE2EDF">
        <w:rPr>
          <w:rFonts w:eastAsia="Times New Roman" w:cs="Times New Roman"/>
          <w:iCs/>
          <w:lang w:val="en-GB"/>
        </w:rPr>
        <w:t xml:space="preserve">of </w:t>
      </w:r>
      <w:r w:rsidR="00146F9D" w:rsidRPr="00DE2EDF">
        <w:rPr>
          <w:rFonts w:eastAsia="Times New Roman" w:cs="Times New Roman"/>
          <w:iCs/>
          <w:lang w:val="en-GB"/>
        </w:rPr>
        <w:t xml:space="preserve">the </w:t>
      </w:r>
      <w:r w:rsidRPr="00DE2EDF">
        <w:rPr>
          <w:rFonts w:eastAsia="Times New Roman" w:cs="Times New Roman"/>
          <w:iCs/>
          <w:lang w:val="en-GB"/>
        </w:rPr>
        <w:t xml:space="preserve">French </w:t>
      </w:r>
      <w:r w:rsidR="00702C90" w:rsidRPr="00DE2EDF">
        <w:rPr>
          <w:rFonts w:eastAsia="Times New Roman" w:cs="Times New Roman"/>
          <w:iCs/>
          <w:lang w:val="en-GB"/>
        </w:rPr>
        <w:t>scholars’ use thereof</w:t>
      </w:r>
      <w:r w:rsidRPr="00DE2EDF">
        <w:rPr>
          <w:rFonts w:eastAsia="Times New Roman" w:cs="Times New Roman"/>
          <w:iCs/>
          <w:lang w:val="en-GB"/>
        </w:rPr>
        <w:t xml:space="preserve">. </w:t>
      </w:r>
    </w:p>
    <w:p w14:paraId="51C26BE8" w14:textId="77777777" w:rsidR="00DB4CAF" w:rsidRDefault="00DB4CAF" w:rsidP="00DE2EDF">
      <w:pPr>
        <w:spacing w:after="0"/>
        <w:jc w:val="both"/>
        <w:rPr>
          <w:rFonts w:eastAsia="Times New Roman" w:cs="Times New Roman"/>
          <w:iCs/>
          <w:lang w:val="en-GB"/>
        </w:rPr>
      </w:pPr>
    </w:p>
    <w:p w14:paraId="2AB286A3" w14:textId="77777777" w:rsidR="003472F3" w:rsidRPr="00D262E4" w:rsidRDefault="00BE0EA4" w:rsidP="00DE2EDF">
      <w:pPr>
        <w:spacing w:after="0"/>
        <w:jc w:val="both"/>
        <w:rPr>
          <w:rFonts w:eastAsia="Times New Roman" w:cs="Times New Roman"/>
          <w:iCs/>
        </w:rPr>
      </w:pPr>
      <w:r w:rsidRPr="00DE2EDF">
        <w:rPr>
          <w:rFonts w:eastAsia="Times New Roman" w:cs="Times New Roman"/>
          <w:iCs/>
          <w:lang w:val="en-GB"/>
        </w:rPr>
        <w:t>Generally speaking</w:t>
      </w:r>
      <w:r w:rsidR="003472F3" w:rsidRPr="00DE2EDF">
        <w:rPr>
          <w:rFonts w:eastAsia="Times New Roman" w:cs="Times New Roman"/>
          <w:iCs/>
          <w:lang w:val="en-GB"/>
        </w:rPr>
        <w:t xml:space="preserve">, the term </w:t>
      </w:r>
      <w:r w:rsidR="00530E16" w:rsidRPr="00DE2EDF">
        <w:rPr>
          <w:rFonts w:eastAsia="Times New Roman" w:cs="Times New Roman"/>
          <w:iCs/>
          <w:lang w:val="en-GB"/>
        </w:rPr>
        <w:t>‘</w:t>
      </w:r>
      <w:r w:rsidR="00E56886">
        <w:rPr>
          <w:rFonts w:eastAsia="Times New Roman" w:cs="Times New Roman"/>
          <w:iCs/>
          <w:lang w:val="en-GB"/>
        </w:rPr>
        <w:t>constitutionaliz</w:t>
      </w:r>
      <w:r w:rsidR="003472F3" w:rsidRPr="00DE2EDF">
        <w:rPr>
          <w:rFonts w:eastAsia="Times New Roman" w:cs="Times New Roman"/>
          <w:iCs/>
          <w:lang w:val="en-GB"/>
        </w:rPr>
        <w:t>ation</w:t>
      </w:r>
      <w:r w:rsidR="00530E16" w:rsidRPr="00DE2EDF">
        <w:rPr>
          <w:rFonts w:eastAsia="Times New Roman" w:cs="Times New Roman"/>
          <w:iCs/>
          <w:lang w:val="en-GB"/>
        </w:rPr>
        <w:t>’</w:t>
      </w:r>
      <w:r w:rsidRPr="00DE2EDF">
        <w:rPr>
          <w:rFonts w:eastAsia="Times New Roman" w:cs="Times New Roman"/>
          <w:iCs/>
          <w:lang w:val="en-GB"/>
        </w:rPr>
        <w:t xml:space="preserve"> designates a </w:t>
      </w:r>
      <w:r w:rsidR="00CE6F0E" w:rsidRPr="00DE2EDF">
        <w:rPr>
          <w:rFonts w:eastAsia="Times New Roman" w:cs="Times New Roman"/>
          <w:iCs/>
          <w:lang w:val="en-GB"/>
        </w:rPr>
        <w:t>process</w:t>
      </w:r>
      <w:r w:rsidRPr="00DE2EDF">
        <w:rPr>
          <w:rFonts w:eastAsia="Times New Roman" w:cs="Times New Roman"/>
          <w:iCs/>
          <w:lang w:val="en-GB"/>
        </w:rPr>
        <w:t xml:space="preserve"> </w:t>
      </w:r>
      <w:r w:rsidR="001B03BB" w:rsidRPr="00DE2EDF">
        <w:rPr>
          <w:rFonts w:eastAsia="Times New Roman" w:cs="Times New Roman"/>
          <w:iCs/>
          <w:lang w:val="en-GB"/>
        </w:rPr>
        <w:t>moving</w:t>
      </w:r>
      <w:r w:rsidRPr="00DE2EDF">
        <w:rPr>
          <w:rFonts w:eastAsia="Times New Roman" w:cs="Times New Roman"/>
          <w:iCs/>
          <w:lang w:val="en-GB"/>
        </w:rPr>
        <w:t xml:space="preserve"> towards</w:t>
      </w:r>
      <w:r w:rsidR="003F10D5" w:rsidRPr="00DE2EDF">
        <w:rPr>
          <w:rFonts w:eastAsia="Times New Roman" w:cs="Times New Roman"/>
          <w:iCs/>
          <w:lang w:val="en-GB"/>
        </w:rPr>
        <w:t xml:space="preserve"> a Constitution</w:t>
      </w:r>
      <w:r w:rsidRPr="00DE2EDF">
        <w:rPr>
          <w:rFonts w:eastAsia="Times New Roman" w:cs="Times New Roman"/>
          <w:iCs/>
          <w:lang w:val="en-GB"/>
        </w:rPr>
        <w:t xml:space="preserve"> or </w:t>
      </w:r>
      <w:r w:rsidR="001B03BB" w:rsidRPr="00DE2EDF">
        <w:rPr>
          <w:rFonts w:eastAsia="Times New Roman" w:cs="Times New Roman"/>
          <w:iCs/>
          <w:lang w:val="en-GB"/>
        </w:rPr>
        <w:t>flowing</w:t>
      </w:r>
      <w:r w:rsidRPr="00DE2EDF">
        <w:rPr>
          <w:rFonts w:eastAsia="Times New Roman" w:cs="Times New Roman"/>
          <w:iCs/>
          <w:lang w:val="en-GB"/>
        </w:rPr>
        <w:t xml:space="preserve"> from</w:t>
      </w:r>
      <w:r w:rsidR="003F10D5" w:rsidRPr="00DE2EDF">
        <w:rPr>
          <w:rFonts w:eastAsia="Times New Roman" w:cs="Times New Roman"/>
          <w:iCs/>
          <w:lang w:val="en-GB"/>
        </w:rPr>
        <w:t xml:space="preserve"> it.</w:t>
      </w:r>
      <w:r w:rsidR="003472F3" w:rsidRPr="00DE2EDF">
        <w:rPr>
          <w:rFonts w:eastAsia="Times New Roman" w:cs="Times New Roman"/>
          <w:iCs/>
          <w:lang w:val="en-GB"/>
        </w:rPr>
        <w:t xml:space="preserve"> </w:t>
      </w:r>
      <w:r w:rsidR="003F10D5" w:rsidRPr="00DE2EDF">
        <w:rPr>
          <w:rFonts w:eastAsia="Times New Roman" w:cs="Times New Roman"/>
          <w:iCs/>
          <w:lang w:val="en-GB"/>
        </w:rPr>
        <w:t>More precisely</w:t>
      </w:r>
      <w:r w:rsidR="00146F9D" w:rsidRPr="00DE2EDF">
        <w:rPr>
          <w:rFonts w:eastAsia="Times New Roman" w:cs="Times New Roman"/>
          <w:iCs/>
          <w:lang w:val="en-GB"/>
        </w:rPr>
        <w:t xml:space="preserve">, </w:t>
      </w:r>
      <w:r w:rsidR="003F10D5" w:rsidRPr="00DE2EDF">
        <w:rPr>
          <w:rFonts w:eastAsia="Times New Roman" w:cs="Times New Roman"/>
          <w:iCs/>
          <w:lang w:val="en-GB"/>
        </w:rPr>
        <w:t xml:space="preserve">it may </w:t>
      </w:r>
      <w:r w:rsidR="003472F3" w:rsidRPr="00DE2EDF">
        <w:rPr>
          <w:rFonts w:eastAsia="Times New Roman" w:cs="Times New Roman"/>
          <w:iCs/>
          <w:lang w:val="en-GB"/>
        </w:rPr>
        <w:t>refer to</w:t>
      </w:r>
      <w:r w:rsidR="00A82EB9" w:rsidRPr="00DE2EDF">
        <w:rPr>
          <w:rFonts w:eastAsia="Times New Roman" w:cs="Times New Roman"/>
          <w:iCs/>
          <w:lang w:val="en-GB"/>
        </w:rPr>
        <w:t xml:space="preserve"> three</w:t>
      </w:r>
      <w:r w:rsidR="003472F3" w:rsidRPr="00DE2EDF">
        <w:rPr>
          <w:rFonts w:eastAsia="Times New Roman" w:cs="Times New Roman"/>
          <w:iCs/>
          <w:lang w:val="en-GB"/>
        </w:rPr>
        <w:t xml:space="preserve"> distinct </w:t>
      </w:r>
      <w:r w:rsidR="00146F9D" w:rsidRPr="00DE2EDF">
        <w:rPr>
          <w:rFonts w:eastAsia="Times New Roman" w:cs="Times New Roman"/>
          <w:iCs/>
          <w:lang w:val="en-GB"/>
        </w:rPr>
        <w:t>meanings</w:t>
      </w:r>
      <w:r w:rsidR="002D794C" w:rsidRPr="00DE2EDF">
        <w:rPr>
          <w:rFonts w:eastAsia="Times New Roman" w:cs="Times New Roman"/>
          <w:iCs/>
          <w:lang w:val="en-GB"/>
        </w:rPr>
        <w:t xml:space="preserve">, </w:t>
      </w:r>
      <w:r w:rsidR="004B4B44" w:rsidRPr="00DE2EDF">
        <w:rPr>
          <w:rFonts w:eastAsia="Times New Roman" w:cs="Times New Roman"/>
          <w:iCs/>
          <w:lang w:val="en-GB"/>
        </w:rPr>
        <w:t xml:space="preserve">which </w:t>
      </w:r>
      <w:r w:rsidR="00316231" w:rsidRPr="00DE2EDF">
        <w:rPr>
          <w:rFonts w:eastAsia="Times New Roman" w:cs="Times New Roman"/>
          <w:iCs/>
          <w:lang w:val="en-GB"/>
        </w:rPr>
        <w:t>can</w:t>
      </w:r>
      <w:r w:rsidR="002D794C" w:rsidRPr="00DE2EDF">
        <w:rPr>
          <w:rFonts w:eastAsia="Times New Roman" w:cs="Times New Roman"/>
          <w:iCs/>
          <w:lang w:val="en-GB"/>
        </w:rPr>
        <w:t xml:space="preserve"> be</w:t>
      </w:r>
      <w:r w:rsidR="00A82EB9" w:rsidRPr="00DE2EDF">
        <w:rPr>
          <w:rFonts w:eastAsia="Times New Roman" w:cs="Times New Roman"/>
          <w:iCs/>
          <w:lang w:val="en-GB"/>
        </w:rPr>
        <w:t>, and often are,</w:t>
      </w:r>
      <w:r w:rsidR="002D794C" w:rsidRPr="00DE2EDF">
        <w:rPr>
          <w:rFonts w:eastAsia="Times New Roman" w:cs="Times New Roman"/>
          <w:iCs/>
          <w:lang w:val="en-GB"/>
        </w:rPr>
        <w:t xml:space="preserve"> </w:t>
      </w:r>
      <w:r w:rsidR="00316231" w:rsidRPr="00DE2EDF">
        <w:rPr>
          <w:rFonts w:eastAsia="Times New Roman" w:cs="Times New Roman"/>
          <w:iCs/>
          <w:lang w:val="en-GB"/>
        </w:rPr>
        <w:t xml:space="preserve">intermingled </w:t>
      </w:r>
      <w:r w:rsidR="00A82EB9" w:rsidRPr="00DE2EDF">
        <w:rPr>
          <w:rFonts w:eastAsia="Times New Roman" w:cs="Times New Roman"/>
          <w:iCs/>
          <w:lang w:val="en-GB"/>
        </w:rPr>
        <w:t xml:space="preserve">in a </w:t>
      </w:r>
      <w:r w:rsidR="001D3444" w:rsidRPr="00DE2EDF">
        <w:rPr>
          <w:rFonts w:eastAsia="Times New Roman" w:cs="Times New Roman"/>
          <w:iCs/>
          <w:lang w:val="en-GB"/>
        </w:rPr>
        <w:t xml:space="preserve">given </w:t>
      </w:r>
      <w:r w:rsidR="004B4B44" w:rsidRPr="00DE2EDF">
        <w:rPr>
          <w:rFonts w:eastAsia="Times New Roman" w:cs="Times New Roman"/>
          <w:iCs/>
          <w:lang w:val="en-GB"/>
        </w:rPr>
        <w:t>discussion</w:t>
      </w:r>
      <w:r w:rsidR="003472F3" w:rsidRPr="00DE2EDF">
        <w:rPr>
          <w:rFonts w:eastAsia="Times New Roman" w:cs="Times New Roman"/>
          <w:iCs/>
          <w:lang w:val="en-GB"/>
        </w:rPr>
        <w:t>: (</w:t>
      </w:r>
      <w:r w:rsidR="001B03BB" w:rsidRPr="00DE2EDF">
        <w:rPr>
          <w:rFonts w:eastAsia="Times New Roman" w:cs="Times New Roman"/>
          <w:iCs/>
          <w:lang w:val="en-GB"/>
        </w:rPr>
        <w:t>a</w:t>
      </w:r>
      <w:r w:rsidR="003472F3" w:rsidRPr="00DE2EDF">
        <w:rPr>
          <w:rFonts w:eastAsia="Times New Roman" w:cs="Times New Roman"/>
          <w:iCs/>
          <w:lang w:val="en-GB"/>
        </w:rPr>
        <w:t>) </w:t>
      </w:r>
      <w:r w:rsidR="00293761" w:rsidRPr="00DE2EDF">
        <w:rPr>
          <w:rFonts w:eastAsia="Times New Roman" w:cs="Times New Roman"/>
          <w:iCs/>
          <w:lang w:val="en-GB"/>
        </w:rPr>
        <w:t xml:space="preserve">the </w:t>
      </w:r>
      <w:r w:rsidR="00293761" w:rsidRPr="00DE2EDF">
        <w:rPr>
          <w:rFonts w:eastAsia="Times New Roman" w:cs="Times New Roman"/>
          <w:iCs/>
          <w:lang w:val="en-GB"/>
        </w:rPr>
        <w:lastRenderedPageBreak/>
        <w:t>progressive i</w:t>
      </w:r>
      <w:r w:rsidRPr="00DE2EDF">
        <w:rPr>
          <w:rFonts w:eastAsia="Times New Roman" w:cs="Times New Roman"/>
          <w:iCs/>
          <w:lang w:val="en-GB"/>
        </w:rPr>
        <w:t>mplantation</w:t>
      </w:r>
      <w:r w:rsidR="00293761" w:rsidRPr="00DE2EDF">
        <w:rPr>
          <w:rFonts w:eastAsia="Times New Roman" w:cs="Times New Roman"/>
          <w:iCs/>
          <w:lang w:val="en-GB"/>
        </w:rPr>
        <w:t xml:space="preserve"> of</w:t>
      </w:r>
      <w:r w:rsidR="003472F3" w:rsidRPr="00DE2EDF">
        <w:rPr>
          <w:rFonts w:eastAsia="Times New Roman" w:cs="Times New Roman"/>
          <w:iCs/>
          <w:lang w:val="en-GB"/>
        </w:rPr>
        <w:t xml:space="preserve"> </w:t>
      </w:r>
      <w:r w:rsidR="00F8240A" w:rsidRPr="00DE2EDF">
        <w:rPr>
          <w:rFonts w:eastAsia="Times New Roman" w:cs="Times New Roman"/>
          <w:iCs/>
          <w:lang w:val="en-GB"/>
        </w:rPr>
        <w:t xml:space="preserve">some or even, ultimately, </w:t>
      </w:r>
      <w:r w:rsidR="003472F3" w:rsidRPr="00DE2EDF">
        <w:rPr>
          <w:rFonts w:eastAsia="Times New Roman" w:cs="Times New Roman"/>
          <w:iCs/>
          <w:lang w:val="en-GB"/>
        </w:rPr>
        <w:t>all components of a Constitution</w:t>
      </w:r>
      <w:r w:rsidR="003F10D5" w:rsidRPr="00DE2EDF">
        <w:rPr>
          <w:rFonts w:eastAsia="Times New Roman" w:cs="Times New Roman"/>
          <w:iCs/>
          <w:lang w:val="en-GB"/>
        </w:rPr>
        <w:t xml:space="preserve"> </w:t>
      </w:r>
      <w:r w:rsidR="003F10D5" w:rsidRPr="00DE2EDF">
        <w:rPr>
          <w:rFonts w:eastAsia="Times New Roman" w:cs="Times New Roman"/>
          <w:i/>
          <w:iCs/>
          <w:lang w:val="en-GB"/>
        </w:rPr>
        <w:t>stricto sensu</w:t>
      </w:r>
      <w:r w:rsidR="003472F3" w:rsidRPr="00DE2EDF">
        <w:rPr>
          <w:rFonts w:eastAsia="Times New Roman" w:cs="Times New Roman"/>
          <w:iCs/>
          <w:lang w:val="en-GB"/>
        </w:rPr>
        <w:t xml:space="preserve"> in</w:t>
      </w:r>
      <w:r w:rsidR="00293761" w:rsidRPr="00DE2EDF">
        <w:rPr>
          <w:rFonts w:eastAsia="Times New Roman" w:cs="Times New Roman"/>
          <w:iCs/>
          <w:lang w:val="en-GB"/>
        </w:rPr>
        <w:t xml:space="preserve">to a legal system that, so far, lacked </w:t>
      </w:r>
      <w:r w:rsidR="003F10D5" w:rsidRPr="00DE2EDF">
        <w:rPr>
          <w:rFonts w:eastAsia="Times New Roman" w:cs="Times New Roman"/>
          <w:iCs/>
          <w:lang w:val="en-GB"/>
        </w:rPr>
        <w:t>one</w:t>
      </w:r>
      <w:r w:rsidR="00D262E4" w:rsidRPr="00D262E4">
        <w:rPr>
          <w:rFonts w:eastAsia="Times New Roman" w:cs="Times New Roman"/>
          <w:iCs/>
          <w:lang w:val="en-GB"/>
        </w:rPr>
        <w:t>—</w:t>
      </w:r>
      <w:r w:rsidR="00B32D41" w:rsidRPr="00DE2EDF">
        <w:rPr>
          <w:rFonts w:eastAsia="Times New Roman" w:cs="Times New Roman"/>
          <w:iCs/>
          <w:lang w:val="en-GB"/>
        </w:rPr>
        <w:t xml:space="preserve">it implies </w:t>
      </w:r>
      <w:r w:rsidR="00316231" w:rsidRPr="00DE2EDF">
        <w:rPr>
          <w:rFonts w:eastAsia="Times New Roman" w:cs="Times New Roman"/>
          <w:iCs/>
          <w:lang w:val="en-GB"/>
        </w:rPr>
        <w:t>the</w:t>
      </w:r>
      <w:r w:rsidR="00B32D41" w:rsidRPr="00DE2EDF">
        <w:rPr>
          <w:rFonts w:eastAsia="Times New Roman" w:cs="Times New Roman"/>
          <w:iCs/>
          <w:lang w:val="en-GB"/>
        </w:rPr>
        <w:t xml:space="preserve"> transformation of </w:t>
      </w:r>
      <w:r w:rsidR="003F10D5" w:rsidRPr="00DE2EDF">
        <w:rPr>
          <w:rFonts w:eastAsia="Times New Roman" w:cs="Times New Roman"/>
          <w:iCs/>
          <w:lang w:val="en-GB"/>
        </w:rPr>
        <w:t xml:space="preserve">a series of </w:t>
      </w:r>
      <w:r w:rsidR="00B32D41" w:rsidRPr="00DE2EDF">
        <w:rPr>
          <w:rFonts w:eastAsia="Times New Roman" w:cs="Times New Roman"/>
          <w:iCs/>
          <w:lang w:val="en-GB"/>
        </w:rPr>
        <w:t>(domestic, European</w:t>
      </w:r>
      <w:r w:rsidR="004B4B44" w:rsidRPr="00DE2EDF">
        <w:rPr>
          <w:rFonts w:eastAsia="Times New Roman" w:cs="Times New Roman"/>
          <w:iCs/>
          <w:lang w:val="en-GB"/>
        </w:rPr>
        <w:t>,</w:t>
      </w:r>
      <w:r w:rsidR="00B32D41" w:rsidRPr="00DE2EDF">
        <w:rPr>
          <w:rFonts w:eastAsia="Times New Roman" w:cs="Times New Roman"/>
          <w:iCs/>
          <w:lang w:val="en-GB"/>
        </w:rPr>
        <w:t xml:space="preserve"> or international) </w:t>
      </w:r>
      <w:r w:rsidR="003F10D5" w:rsidRPr="00DE2EDF">
        <w:rPr>
          <w:rFonts w:eastAsia="Times New Roman" w:cs="Times New Roman"/>
          <w:iCs/>
          <w:lang w:val="en-GB"/>
        </w:rPr>
        <w:t xml:space="preserve">norms </w:t>
      </w:r>
      <w:r w:rsidR="00B32D41" w:rsidRPr="00DE2EDF">
        <w:rPr>
          <w:rFonts w:eastAsia="Times New Roman" w:cs="Times New Roman"/>
          <w:iCs/>
          <w:lang w:val="en-GB"/>
        </w:rPr>
        <w:t xml:space="preserve">into a hybrid creature </w:t>
      </w:r>
      <w:r w:rsidR="004B4B44" w:rsidRPr="00DE2EDF">
        <w:rPr>
          <w:rFonts w:eastAsia="Times New Roman" w:cs="Times New Roman"/>
          <w:iCs/>
          <w:lang w:val="en-GB"/>
        </w:rPr>
        <w:t>that</w:t>
      </w:r>
      <w:r w:rsidR="00B32D41" w:rsidRPr="00DE2EDF">
        <w:rPr>
          <w:rFonts w:eastAsia="Times New Roman" w:cs="Times New Roman"/>
          <w:iCs/>
          <w:lang w:val="en-GB"/>
        </w:rPr>
        <w:t xml:space="preserve"> comes close </w:t>
      </w:r>
      <w:r w:rsidR="003F10D5" w:rsidRPr="00DE2EDF">
        <w:rPr>
          <w:rFonts w:eastAsia="Times New Roman" w:cs="Times New Roman"/>
          <w:iCs/>
          <w:lang w:val="en-GB"/>
        </w:rPr>
        <w:t>to a Constitution</w:t>
      </w:r>
      <w:r w:rsidR="00B32D41" w:rsidRPr="00DE2EDF">
        <w:rPr>
          <w:rFonts w:eastAsia="Times New Roman" w:cs="Times New Roman"/>
          <w:iCs/>
          <w:lang w:val="en-GB"/>
        </w:rPr>
        <w:t xml:space="preserve"> and </w:t>
      </w:r>
      <w:r w:rsidR="004B4B44" w:rsidRPr="00DE2EDF">
        <w:rPr>
          <w:rFonts w:eastAsia="Times New Roman" w:cs="Times New Roman"/>
          <w:iCs/>
          <w:lang w:val="en-GB"/>
        </w:rPr>
        <w:t>that</w:t>
      </w:r>
      <w:r w:rsidR="00B32D41" w:rsidRPr="00DE2EDF">
        <w:rPr>
          <w:rFonts w:eastAsia="Times New Roman" w:cs="Times New Roman"/>
          <w:iCs/>
          <w:lang w:val="en-GB"/>
        </w:rPr>
        <w:t xml:space="preserve"> if this process goes on, eventually becomes a full-fledged Constitution</w:t>
      </w:r>
      <w:r w:rsidR="003472F3" w:rsidRPr="00DE2EDF">
        <w:rPr>
          <w:rFonts w:eastAsia="Times New Roman" w:cs="Times New Roman"/>
          <w:iCs/>
          <w:lang w:val="en-GB"/>
        </w:rPr>
        <w:t xml:space="preserve"> (</w:t>
      </w:r>
      <w:r w:rsidR="00E56886">
        <w:rPr>
          <w:rFonts w:eastAsia="Times New Roman" w:cs="Times New Roman"/>
          <w:iCs/>
          <w:lang w:val="en-GB"/>
        </w:rPr>
        <w:t>constitutionaliz</w:t>
      </w:r>
      <w:r w:rsidR="00B32D41" w:rsidRPr="00DE2EDF">
        <w:rPr>
          <w:rFonts w:eastAsia="Times New Roman" w:cs="Times New Roman"/>
          <w:iCs/>
          <w:lang w:val="en-GB"/>
        </w:rPr>
        <w:t xml:space="preserve">ation as partial or </w:t>
      </w:r>
      <w:r w:rsidR="00316231" w:rsidRPr="00DE2EDF">
        <w:rPr>
          <w:rFonts w:eastAsia="Times New Roman" w:cs="Times New Roman"/>
          <w:iCs/>
          <w:lang w:val="en-GB"/>
        </w:rPr>
        <w:t xml:space="preserve">continuous </w:t>
      </w:r>
      <w:r w:rsidR="00B32D41" w:rsidRPr="00DE2EDF">
        <w:rPr>
          <w:rFonts w:eastAsia="Times New Roman" w:cs="Times New Roman"/>
          <w:iCs/>
          <w:lang w:val="en-GB"/>
        </w:rPr>
        <w:t>C</w:t>
      </w:r>
      <w:r w:rsidR="00B623F3" w:rsidRPr="00DE2EDF">
        <w:rPr>
          <w:rFonts w:eastAsia="Times New Roman" w:cs="Times New Roman"/>
          <w:lang w:val="en-GB"/>
        </w:rPr>
        <w:t>onstitution-</w:t>
      </w:r>
      <w:r w:rsidR="003472F3" w:rsidRPr="00DE2EDF">
        <w:rPr>
          <w:rFonts w:eastAsia="Times New Roman" w:cs="Times New Roman"/>
          <w:lang w:val="en-GB"/>
        </w:rPr>
        <w:t>making</w:t>
      </w:r>
      <w:r w:rsidR="008859E1" w:rsidRPr="00DE2EDF">
        <w:rPr>
          <w:rFonts w:eastAsia="Times New Roman" w:cs="Times New Roman"/>
          <w:iCs/>
          <w:lang w:val="en-GB"/>
        </w:rPr>
        <w:t xml:space="preserve"> </w:t>
      </w:r>
      <w:r w:rsidR="003472F3" w:rsidRPr="00DE2EDF">
        <w:rPr>
          <w:rFonts w:eastAsia="Times New Roman" w:cs="Times New Roman"/>
          <w:iCs/>
          <w:lang w:val="en-GB"/>
        </w:rPr>
        <w:t>process);</w:t>
      </w:r>
      <w:r w:rsidR="00763065" w:rsidRPr="00DE2EDF">
        <w:rPr>
          <w:rFonts w:eastAsia="Times New Roman" w:cs="Times New Roman"/>
          <w:iCs/>
          <w:lang w:val="en-GB"/>
        </w:rPr>
        <w:t xml:space="preserve"> </w:t>
      </w:r>
      <w:r w:rsidR="003472F3" w:rsidRPr="00DE2EDF">
        <w:rPr>
          <w:rFonts w:eastAsia="Times New Roman" w:cs="Times New Roman"/>
          <w:iCs/>
          <w:lang w:val="en-GB"/>
        </w:rPr>
        <w:t>(</w:t>
      </w:r>
      <w:r w:rsidR="001B03BB" w:rsidRPr="00DE2EDF">
        <w:rPr>
          <w:rFonts w:eastAsia="Times New Roman" w:cs="Times New Roman"/>
          <w:iCs/>
          <w:lang w:val="en-GB"/>
        </w:rPr>
        <w:t>b</w:t>
      </w:r>
      <w:r w:rsidR="003472F3" w:rsidRPr="00DE2EDF">
        <w:rPr>
          <w:rFonts w:eastAsia="Times New Roman" w:cs="Times New Roman"/>
          <w:iCs/>
          <w:lang w:val="en-GB"/>
        </w:rPr>
        <w:t>) </w:t>
      </w:r>
      <w:r w:rsidR="00043714" w:rsidRPr="00DE2EDF">
        <w:rPr>
          <w:rFonts w:eastAsia="Times New Roman" w:cs="Times New Roman"/>
          <w:iCs/>
          <w:lang w:val="en-GB"/>
        </w:rPr>
        <w:t xml:space="preserve">the enlargement of the content of </w:t>
      </w:r>
      <w:r w:rsidR="008F328C" w:rsidRPr="00DE2EDF">
        <w:rPr>
          <w:rFonts w:eastAsia="Times New Roman" w:cs="Times New Roman"/>
          <w:iCs/>
          <w:lang w:val="en-GB"/>
        </w:rPr>
        <w:t>an</w:t>
      </w:r>
      <w:r w:rsidR="00043714" w:rsidRPr="00DE2EDF">
        <w:rPr>
          <w:rFonts w:eastAsia="Times New Roman" w:cs="Times New Roman"/>
          <w:iCs/>
          <w:lang w:val="en-GB"/>
        </w:rPr>
        <w:t xml:space="preserve"> established Constitution</w:t>
      </w:r>
      <w:r w:rsidR="00B32D41" w:rsidRPr="00DE2EDF">
        <w:rPr>
          <w:rFonts w:eastAsia="Times New Roman" w:cs="Times New Roman"/>
          <w:iCs/>
          <w:lang w:val="en-GB"/>
        </w:rPr>
        <w:t xml:space="preserve"> </w:t>
      </w:r>
      <w:r w:rsidR="00B32D41" w:rsidRPr="00DE2EDF">
        <w:rPr>
          <w:rFonts w:eastAsia="Times New Roman" w:cs="Times New Roman"/>
          <w:i/>
          <w:iCs/>
          <w:lang w:val="en-GB"/>
        </w:rPr>
        <w:t>stricto sensu</w:t>
      </w:r>
      <w:r w:rsidR="00043714" w:rsidRPr="00DE2EDF">
        <w:rPr>
          <w:rFonts w:eastAsia="Times New Roman" w:cs="Times New Roman"/>
          <w:iCs/>
          <w:lang w:val="en-GB"/>
        </w:rPr>
        <w:t xml:space="preserve"> by </w:t>
      </w:r>
      <w:r w:rsidR="003472F3" w:rsidRPr="00DE2EDF">
        <w:rPr>
          <w:rFonts w:eastAsia="Times New Roman" w:cs="Times New Roman"/>
          <w:iCs/>
          <w:lang w:val="en-GB"/>
        </w:rPr>
        <w:t>upgrading</w:t>
      </w:r>
      <w:r w:rsidR="00293761" w:rsidRPr="00DE2EDF">
        <w:rPr>
          <w:rFonts w:eastAsia="Times New Roman" w:cs="Times New Roman"/>
          <w:iCs/>
          <w:lang w:val="en-GB"/>
        </w:rPr>
        <w:t xml:space="preserve"> </w:t>
      </w:r>
      <w:r w:rsidR="003472F3" w:rsidRPr="00DE2EDF">
        <w:rPr>
          <w:rFonts w:eastAsia="Times New Roman" w:cs="Times New Roman"/>
          <w:iCs/>
          <w:lang w:val="en-GB"/>
        </w:rPr>
        <w:t xml:space="preserve">lower-level </w:t>
      </w:r>
      <w:r w:rsidR="00043714" w:rsidRPr="00DE2EDF">
        <w:rPr>
          <w:rFonts w:eastAsia="Times New Roman" w:cs="Times New Roman"/>
          <w:iCs/>
          <w:lang w:val="en-GB"/>
        </w:rPr>
        <w:t xml:space="preserve">legal </w:t>
      </w:r>
      <w:r w:rsidR="003472F3" w:rsidRPr="00DE2EDF">
        <w:rPr>
          <w:rFonts w:eastAsia="Times New Roman" w:cs="Times New Roman"/>
          <w:iCs/>
          <w:lang w:val="en-GB"/>
        </w:rPr>
        <w:t xml:space="preserve">standards to </w:t>
      </w:r>
      <w:r w:rsidR="00293761" w:rsidRPr="00DE2EDF">
        <w:rPr>
          <w:rFonts w:eastAsia="Times New Roman" w:cs="Times New Roman"/>
          <w:iCs/>
          <w:lang w:val="en-GB"/>
        </w:rPr>
        <w:t>constitutional</w:t>
      </w:r>
      <w:r w:rsidR="003472F3" w:rsidRPr="00DE2EDF">
        <w:rPr>
          <w:rFonts w:eastAsia="Times New Roman" w:cs="Times New Roman"/>
          <w:iCs/>
          <w:lang w:val="en-GB"/>
        </w:rPr>
        <w:t xml:space="preserve"> </w:t>
      </w:r>
      <w:r w:rsidR="00702C90" w:rsidRPr="00DE2EDF">
        <w:rPr>
          <w:rFonts w:eastAsia="Times New Roman" w:cs="Times New Roman"/>
          <w:iCs/>
          <w:lang w:val="en-GB"/>
        </w:rPr>
        <w:t xml:space="preserve">status </w:t>
      </w:r>
      <w:r w:rsidR="00B32D41" w:rsidRPr="00DE2EDF">
        <w:rPr>
          <w:rFonts w:eastAsia="Times New Roman" w:cs="Times New Roman"/>
          <w:iCs/>
          <w:lang w:val="en-GB"/>
        </w:rPr>
        <w:t>and/</w:t>
      </w:r>
      <w:r w:rsidR="00043714" w:rsidRPr="00DE2EDF">
        <w:rPr>
          <w:rFonts w:eastAsia="Times New Roman" w:cs="Times New Roman"/>
          <w:iCs/>
          <w:lang w:val="en-GB"/>
        </w:rPr>
        <w:t xml:space="preserve">or by </w:t>
      </w:r>
      <w:r w:rsidR="00702C90" w:rsidRPr="00DE2EDF">
        <w:rPr>
          <w:rFonts w:eastAsia="Times New Roman" w:cs="Times New Roman"/>
          <w:iCs/>
          <w:lang w:val="en-GB"/>
        </w:rPr>
        <w:t xml:space="preserve">including </w:t>
      </w:r>
      <w:r w:rsidR="00043714" w:rsidRPr="00DE2EDF">
        <w:rPr>
          <w:rFonts w:eastAsia="Times New Roman" w:cs="Times New Roman"/>
          <w:iCs/>
          <w:lang w:val="en-GB"/>
        </w:rPr>
        <w:t xml:space="preserve">non-legal standards into the highest level </w:t>
      </w:r>
      <w:r w:rsidR="00702C90" w:rsidRPr="00DE2EDF">
        <w:rPr>
          <w:rFonts w:eastAsia="Times New Roman" w:cs="Times New Roman"/>
          <w:iCs/>
          <w:lang w:val="en-GB"/>
        </w:rPr>
        <w:t xml:space="preserve">in </w:t>
      </w:r>
      <w:r w:rsidR="00043714" w:rsidRPr="00DE2EDF">
        <w:rPr>
          <w:rFonts w:eastAsia="Times New Roman" w:cs="Times New Roman"/>
          <w:iCs/>
          <w:lang w:val="en-GB"/>
        </w:rPr>
        <w:t>the hierarchy of legal norms</w:t>
      </w:r>
      <w:r w:rsidR="008859E1" w:rsidRPr="00DE2EDF">
        <w:rPr>
          <w:rFonts w:eastAsia="Times New Roman" w:cs="Times New Roman"/>
          <w:iCs/>
          <w:lang w:val="en-GB"/>
        </w:rPr>
        <w:t xml:space="preserve"> (</w:t>
      </w:r>
      <w:r w:rsidR="00B32D41" w:rsidRPr="00DE2EDF">
        <w:rPr>
          <w:rFonts w:eastAsia="Times New Roman" w:cs="Times New Roman"/>
          <w:iCs/>
          <w:lang w:val="en-GB"/>
        </w:rPr>
        <w:t xml:space="preserve">a vertical, </w:t>
      </w:r>
      <w:r w:rsidR="008859E1" w:rsidRPr="00DE2EDF">
        <w:rPr>
          <w:rFonts w:eastAsia="Times New Roman" w:cs="Times New Roman"/>
          <w:iCs/>
          <w:lang w:val="en-GB"/>
        </w:rPr>
        <w:t>bottom-up movement</w:t>
      </w:r>
      <w:r w:rsidR="00B32D41" w:rsidRPr="00DE2EDF">
        <w:rPr>
          <w:rFonts w:eastAsia="Times New Roman" w:cs="Times New Roman"/>
          <w:iCs/>
          <w:lang w:val="en-GB"/>
        </w:rPr>
        <w:t xml:space="preserve"> towards the Constitution</w:t>
      </w:r>
      <w:r w:rsidR="008859E1" w:rsidRPr="00DE2EDF">
        <w:rPr>
          <w:rFonts w:eastAsia="Times New Roman" w:cs="Times New Roman"/>
          <w:iCs/>
          <w:lang w:val="en-GB"/>
        </w:rPr>
        <w:t>)</w:t>
      </w:r>
      <w:r w:rsidR="003472F3" w:rsidRPr="00DE2EDF">
        <w:rPr>
          <w:rFonts w:eastAsia="Times New Roman" w:cs="Times New Roman"/>
          <w:iCs/>
          <w:lang w:val="en-GB"/>
        </w:rPr>
        <w:t>; (</w:t>
      </w:r>
      <w:r w:rsidR="001B03BB" w:rsidRPr="00DE2EDF">
        <w:rPr>
          <w:rFonts w:eastAsia="Times New Roman" w:cs="Times New Roman"/>
          <w:iCs/>
          <w:lang w:val="en-GB"/>
        </w:rPr>
        <w:t>c</w:t>
      </w:r>
      <w:r w:rsidR="009C3302" w:rsidRPr="00DE2EDF">
        <w:rPr>
          <w:rFonts w:eastAsia="Times New Roman" w:cs="Times New Roman"/>
          <w:iCs/>
          <w:lang w:val="en-GB"/>
        </w:rPr>
        <w:t xml:space="preserve">) </w:t>
      </w:r>
      <w:r w:rsidR="003472F3" w:rsidRPr="00DE2EDF">
        <w:rPr>
          <w:rFonts w:eastAsia="Times New Roman" w:cs="Times New Roman"/>
          <w:iCs/>
          <w:lang w:val="en-GB"/>
        </w:rPr>
        <w:t xml:space="preserve">the </w:t>
      </w:r>
      <w:r w:rsidR="003472F3" w:rsidRPr="00DE2EDF">
        <w:rPr>
          <w:rFonts w:eastAsia="Times New Roman" w:cs="Times New Roman"/>
          <w:lang w:val="en-GB"/>
        </w:rPr>
        <w:t>ripple effect</w:t>
      </w:r>
      <w:r w:rsidR="00293761" w:rsidRPr="00DE2EDF">
        <w:rPr>
          <w:rFonts w:eastAsia="Times New Roman" w:cs="Times New Roman"/>
          <w:iCs/>
          <w:lang w:val="en-GB"/>
        </w:rPr>
        <w:t xml:space="preserve">, shaping power, </w:t>
      </w:r>
      <w:r w:rsidR="00C83242" w:rsidRPr="00DE2EDF">
        <w:rPr>
          <w:rFonts w:eastAsia="Times New Roman" w:cs="Times New Roman"/>
          <w:iCs/>
          <w:lang w:val="en-GB"/>
        </w:rPr>
        <w:t>or</w:t>
      </w:r>
      <w:r w:rsidR="004105CE" w:rsidRPr="00DE2EDF">
        <w:rPr>
          <w:rFonts w:eastAsia="Times New Roman" w:cs="Times New Roman"/>
          <w:iCs/>
          <w:lang w:val="en-GB"/>
        </w:rPr>
        <w:t xml:space="preserve"> </w:t>
      </w:r>
      <w:r w:rsidR="00293761" w:rsidRPr="00DE2EDF">
        <w:rPr>
          <w:rFonts w:eastAsia="Times New Roman" w:cs="Times New Roman"/>
          <w:iCs/>
          <w:lang w:val="en-GB"/>
        </w:rPr>
        <w:t>influence</w:t>
      </w:r>
      <w:r w:rsidR="004105CE" w:rsidRPr="00DE2EDF">
        <w:rPr>
          <w:rFonts w:eastAsia="Times New Roman" w:cs="Times New Roman"/>
          <w:iCs/>
          <w:lang w:val="en-GB"/>
        </w:rPr>
        <w:t xml:space="preserve"> radiating from</w:t>
      </w:r>
      <w:r w:rsidR="003472F3" w:rsidRPr="00DE2EDF">
        <w:rPr>
          <w:rFonts w:eastAsia="Times New Roman" w:cs="Times New Roman"/>
          <w:iCs/>
          <w:lang w:val="en-GB"/>
        </w:rPr>
        <w:t xml:space="preserve"> </w:t>
      </w:r>
      <w:r w:rsidR="00CE6F0E" w:rsidRPr="00DE2EDF">
        <w:rPr>
          <w:rFonts w:eastAsia="Times New Roman" w:cs="Times New Roman"/>
          <w:iCs/>
          <w:lang w:val="en-GB"/>
        </w:rPr>
        <w:t xml:space="preserve">constitutional principles such as fundamental rights, democracy, </w:t>
      </w:r>
      <w:r w:rsidR="004B4B44" w:rsidRPr="00DE2EDF">
        <w:rPr>
          <w:rFonts w:eastAsia="Times New Roman" w:cs="Times New Roman"/>
          <w:iCs/>
          <w:lang w:val="en-GB"/>
        </w:rPr>
        <w:t xml:space="preserve">the </w:t>
      </w:r>
      <w:r w:rsidR="00CE6F0E" w:rsidRPr="00DE2EDF">
        <w:rPr>
          <w:rFonts w:eastAsia="Times New Roman" w:cs="Times New Roman"/>
          <w:iCs/>
          <w:lang w:val="en-GB"/>
        </w:rPr>
        <w:t>rule of law, etc., on lower-level norms</w:t>
      </w:r>
      <w:r w:rsidR="008859E1" w:rsidRPr="00DE2EDF">
        <w:rPr>
          <w:rFonts w:eastAsia="Times New Roman" w:cs="Times New Roman"/>
          <w:iCs/>
          <w:lang w:val="en-GB"/>
        </w:rPr>
        <w:t xml:space="preserve"> (</w:t>
      </w:r>
      <w:r w:rsidR="00B32D41" w:rsidRPr="00DE2EDF">
        <w:rPr>
          <w:rFonts w:eastAsia="Times New Roman" w:cs="Times New Roman"/>
          <w:iCs/>
          <w:lang w:val="en-GB"/>
        </w:rPr>
        <w:t>a vertical</w:t>
      </w:r>
      <w:r w:rsidR="004B4B44" w:rsidRPr="00DE2EDF">
        <w:rPr>
          <w:rFonts w:eastAsia="Times New Roman" w:cs="Times New Roman"/>
          <w:iCs/>
          <w:lang w:val="en-GB"/>
        </w:rPr>
        <w:t>,</w:t>
      </w:r>
      <w:r w:rsidR="00B32D41" w:rsidRPr="00DE2EDF">
        <w:rPr>
          <w:rFonts w:eastAsia="Times New Roman" w:cs="Times New Roman"/>
          <w:iCs/>
          <w:lang w:val="en-GB"/>
        </w:rPr>
        <w:t xml:space="preserve"> </w:t>
      </w:r>
      <w:r w:rsidR="008859E1" w:rsidRPr="00DE2EDF">
        <w:rPr>
          <w:rFonts w:eastAsia="Times New Roman" w:cs="Times New Roman"/>
          <w:iCs/>
          <w:lang w:val="en-GB"/>
        </w:rPr>
        <w:t>top-down influence</w:t>
      </w:r>
      <w:r w:rsidR="003472F3" w:rsidRPr="00DE2EDF">
        <w:rPr>
          <w:rFonts w:eastAsia="Times New Roman" w:cs="Times New Roman"/>
          <w:iCs/>
          <w:lang w:val="en-GB"/>
        </w:rPr>
        <w:t>)</w:t>
      </w:r>
      <w:r w:rsidR="00A82EB9" w:rsidRPr="00DE2EDF">
        <w:rPr>
          <w:rFonts w:eastAsia="Times New Roman" w:cs="Times New Roman"/>
          <w:iCs/>
          <w:lang w:val="en-GB"/>
        </w:rPr>
        <w:t>.</w:t>
      </w:r>
      <w:r w:rsidR="00997996" w:rsidRPr="00DE2EDF">
        <w:rPr>
          <w:rStyle w:val="FootnoteReference"/>
          <w:rFonts w:eastAsia="Times New Roman" w:cs="Times New Roman"/>
          <w:iCs/>
          <w:lang w:val="en-GB"/>
        </w:rPr>
        <w:t xml:space="preserve"> </w:t>
      </w:r>
    </w:p>
    <w:p w14:paraId="1DE3EF83" w14:textId="77777777" w:rsidR="000F4C26" w:rsidRPr="00DE2EDF" w:rsidRDefault="000F4C26" w:rsidP="00DE2EDF">
      <w:pPr>
        <w:spacing w:after="0"/>
        <w:jc w:val="both"/>
        <w:rPr>
          <w:rFonts w:eastAsia="Times New Roman" w:cs="Times New Roman"/>
          <w:iCs/>
          <w:lang w:val="en-GB"/>
        </w:rPr>
      </w:pPr>
    </w:p>
    <w:p w14:paraId="4C683554"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German scholars almost exclusively assign the third </w:t>
      </w:r>
      <w:r w:rsidR="00C33A45" w:rsidRPr="00DE2EDF">
        <w:rPr>
          <w:rFonts w:eastAsia="Times New Roman" w:cs="Times New Roman"/>
          <w:iCs/>
          <w:lang w:val="en-GB"/>
        </w:rPr>
        <w:t>signification</w:t>
      </w:r>
      <w:r w:rsidRPr="00DE2EDF">
        <w:rPr>
          <w:rFonts w:eastAsia="Times New Roman" w:cs="Times New Roman"/>
          <w:iCs/>
          <w:lang w:val="en-GB"/>
        </w:rPr>
        <w:t xml:space="preserve"> to the term </w:t>
      </w:r>
      <w:r w:rsidR="00530E16" w:rsidRPr="00DE2EDF">
        <w:rPr>
          <w:rFonts w:eastAsia="Times New Roman" w:cs="Times New Roman"/>
          <w:iCs/>
          <w:lang w:val="en-GB"/>
        </w:rPr>
        <w:t>‘</w:t>
      </w:r>
      <w:r w:rsidR="00E56886">
        <w:rPr>
          <w:rFonts w:eastAsia="Times New Roman" w:cs="Times New Roman"/>
          <w:iCs/>
          <w:lang w:val="en-GB"/>
        </w:rPr>
        <w:t>constitutionaliz</w:t>
      </w:r>
      <w:r w:rsidRPr="00DE2EDF">
        <w:rPr>
          <w:rFonts w:eastAsia="Times New Roman" w:cs="Times New Roman"/>
          <w:iCs/>
          <w:lang w:val="en-GB"/>
        </w:rPr>
        <w:t>ation</w:t>
      </w:r>
      <w:r w:rsidR="00530E16" w:rsidRPr="00DE2EDF">
        <w:rPr>
          <w:rFonts w:eastAsia="Times New Roman" w:cs="Times New Roman"/>
          <w:iCs/>
          <w:lang w:val="en-GB"/>
        </w:rPr>
        <w:t>’</w:t>
      </w:r>
      <w:r w:rsidR="00043714" w:rsidRPr="00DE2EDF">
        <w:rPr>
          <w:rFonts w:eastAsia="Times New Roman" w:cs="Times New Roman"/>
          <w:iCs/>
          <w:lang w:val="en-GB"/>
        </w:rPr>
        <w:t xml:space="preserve"> with regard to domestic settings</w:t>
      </w:r>
      <w:r w:rsidRPr="00DE2EDF">
        <w:rPr>
          <w:rFonts w:eastAsia="Times New Roman" w:cs="Times New Roman"/>
          <w:iCs/>
          <w:lang w:val="en-GB"/>
        </w:rPr>
        <w:t>.</w:t>
      </w:r>
      <w:bookmarkStart w:id="256" w:name="_ftnref125"/>
      <w:r w:rsidRPr="00DE2EDF">
        <w:rPr>
          <w:rStyle w:val="FootnoteReference"/>
          <w:rFonts w:eastAsia="Times New Roman" w:cs="Times New Roman"/>
          <w:iCs/>
          <w:lang w:val="en-GB"/>
        </w:rPr>
        <w:footnoteReference w:id="155"/>
      </w:r>
      <w:bookmarkEnd w:id="256"/>
      <w:r w:rsidRPr="00DE2EDF">
        <w:rPr>
          <w:rFonts w:eastAsia="Times New Roman" w:cs="Times New Roman"/>
          <w:iCs/>
          <w:lang w:val="en-GB"/>
        </w:rPr>
        <w:t xml:space="preserve"> </w:t>
      </w:r>
      <w:r w:rsidR="00C33A45" w:rsidRPr="00DE2EDF">
        <w:rPr>
          <w:rFonts w:eastAsia="Times New Roman" w:cs="Times New Roman"/>
          <w:iCs/>
          <w:lang w:val="en-GB"/>
        </w:rPr>
        <w:t xml:space="preserve">In contrast, </w:t>
      </w:r>
      <w:r w:rsidRPr="00DE2EDF">
        <w:rPr>
          <w:rFonts w:eastAsia="Times New Roman" w:cs="Times New Roman"/>
          <w:iCs/>
          <w:lang w:val="en-GB"/>
        </w:rPr>
        <w:t xml:space="preserve">French scholars use the term to refer </w:t>
      </w:r>
      <w:r w:rsidR="00C33A45" w:rsidRPr="00DE2EDF">
        <w:rPr>
          <w:rFonts w:eastAsia="Times New Roman" w:cs="Times New Roman"/>
          <w:iCs/>
          <w:lang w:val="en-GB"/>
        </w:rPr>
        <w:t xml:space="preserve">both </w:t>
      </w:r>
      <w:r w:rsidRPr="00DE2EDF">
        <w:rPr>
          <w:rFonts w:eastAsia="Times New Roman" w:cs="Times New Roman"/>
          <w:iCs/>
          <w:lang w:val="en-GB"/>
        </w:rPr>
        <w:t xml:space="preserve">to </w:t>
      </w:r>
      <w:r w:rsidR="00C33A45" w:rsidRPr="00DE2EDF">
        <w:rPr>
          <w:rFonts w:eastAsia="Times New Roman" w:cs="Times New Roman"/>
          <w:iCs/>
          <w:lang w:val="en-GB"/>
        </w:rPr>
        <w:t>the second meaning</w:t>
      </w:r>
      <w:r w:rsidR="000B0EAE" w:rsidRPr="00DE2EDF">
        <w:rPr>
          <w:rFonts w:eastAsia="Times New Roman" w:cs="Times New Roman"/>
          <w:iCs/>
          <w:lang w:val="en-GB"/>
        </w:rPr>
        <w:t xml:space="preserve"> (</w:t>
      </w:r>
      <w:r w:rsidR="002D3770" w:rsidRPr="00DE2EDF">
        <w:rPr>
          <w:rFonts w:eastAsia="Times New Roman" w:cs="Times New Roman"/>
          <w:iCs/>
          <w:lang w:val="en-GB"/>
        </w:rPr>
        <w:t>i.e.</w:t>
      </w:r>
      <w:r w:rsidR="000B0EAE" w:rsidRPr="00DE2EDF">
        <w:rPr>
          <w:rFonts w:eastAsia="Times New Roman" w:cs="Times New Roman"/>
          <w:iCs/>
          <w:lang w:val="en-GB"/>
        </w:rPr>
        <w:t>,</w:t>
      </w:r>
      <w:r w:rsidR="002D3770" w:rsidRPr="00DE2EDF">
        <w:rPr>
          <w:rFonts w:eastAsia="Times New Roman" w:cs="Times New Roman"/>
          <w:iCs/>
          <w:lang w:val="en-GB"/>
        </w:rPr>
        <w:t xml:space="preserve"> the enlargement of the content</w:t>
      </w:r>
      <w:r w:rsidR="000B0EAE" w:rsidRPr="00DE2EDF">
        <w:rPr>
          <w:rFonts w:eastAsia="Times New Roman" w:cs="Times New Roman"/>
          <w:iCs/>
          <w:lang w:val="en-GB"/>
        </w:rPr>
        <w:t>)</w:t>
      </w:r>
      <w:r w:rsidR="009C3302" w:rsidRPr="00DE2EDF">
        <w:rPr>
          <w:rFonts w:cs="Times New Roman"/>
        </w:rPr>
        <w:t>—</w:t>
      </w:r>
      <w:r w:rsidR="00043714" w:rsidRPr="00DE2EDF">
        <w:rPr>
          <w:rFonts w:eastAsia="Times New Roman" w:cs="Times New Roman"/>
          <w:iCs/>
          <w:lang w:val="en-GB"/>
        </w:rPr>
        <w:t>a</w:t>
      </w:r>
      <w:r w:rsidR="00C83242" w:rsidRPr="00DE2EDF">
        <w:rPr>
          <w:rFonts w:eastAsia="Times New Roman" w:cs="Times New Roman"/>
          <w:iCs/>
          <w:lang w:val="en-GB"/>
        </w:rPr>
        <w:t xml:space="preserve"> major</w:t>
      </w:r>
      <w:r w:rsidR="00043714" w:rsidRPr="00DE2EDF">
        <w:rPr>
          <w:rFonts w:eastAsia="Times New Roman" w:cs="Times New Roman"/>
          <w:iCs/>
          <w:lang w:val="en-GB"/>
        </w:rPr>
        <w:t xml:space="preserve"> </w:t>
      </w:r>
      <w:r w:rsidR="00C33A45" w:rsidRPr="00DE2EDF">
        <w:rPr>
          <w:rFonts w:eastAsia="Times New Roman" w:cs="Times New Roman"/>
          <w:iCs/>
          <w:lang w:val="en-GB"/>
        </w:rPr>
        <w:t xml:space="preserve">example </w:t>
      </w:r>
      <w:r w:rsidR="001D3444" w:rsidRPr="00DE2EDF">
        <w:rPr>
          <w:rFonts w:eastAsia="Times New Roman" w:cs="Times New Roman"/>
          <w:iCs/>
          <w:lang w:val="en-GB"/>
        </w:rPr>
        <w:t>is</w:t>
      </w:r>
      <w:r w:rsidR="00C33A45" w:rsidRPr="00DE2EDF">
        <w:rPr>
          <w:rFonts w:eastAsia="Times New Roman" w:cs="Times New Roman"/>
          <w:iCs/>
          <w:lang w:val="en-GB"/>
        </w:rPr>
        <w:t xml:space="preserve"> t</w:t>
      </w:r>
      <w:r w:rsidRPr="00DE2EDF">
        <w:rPr>
          <w:rFonts w:eastAsia="Times New Roman" w:cs="Times New Roman"/>
          <w:iCs/>
          <w:lang w:val="en-GB"/>
        </w:rPr>
        <w:t xml:space="preserve">he </w:t>
      </w:r>
      <w:r w:rsidR="00DB293B" w:rsidRPr="00DE2EDF">
        <w:rPr>
          <w:rFonts w:eastAsia="Times New Roman" w:cs="Times New Roman"/>
          <w:iCs/>
          <w:lang w:val="en-GB"/>
        </w:rPr>
        <w:t xml:space="preserve">incorporation </w:t>
      </w:r>
      <w:r w:rsidRPr="00DE2EDF">
        <w:rPr>
          <w:rFonts w:eastAsia="Times New Roman" w:cs="Times New Roman"/>
          <w:iCs/>
          <w:lang w:val="en-GB"/>
        </w:rPr>
        <w:t xml:space="preserve">of </w:t>
      </w:r>
      <w:r w:rsidR="00C33A45" w:rsidRPr="00DE2EDF">
        <w:rPr>
          <w:rFonts w:eastAsia="Times New Roman" w:cs="Times New Roman"/>
          <w:iCs/>
          <w:lang w:val="en-GB"/>
        </w:rPr>
        <w:t xml:space="preserve">the 1789 Declaration of the Rights of Man and of Citizen </w:t>
      </w:r>
      <w:r w:rsidR="00DB293B" w:rsidRPr="00DE2EDF">
        <w:rPr>
          <w:rFonts w:eastAsia="Times New Roman" w:cs="Times New Roman"/>
          <w:iCs/>
          <w:lang w:val="en-GB"/>
        </w:rPr>
        <w:t xml:space="preserve">into the 1958 Constitution </w:t>
      </w:r>
      <w:r w:rsidR="00C33A45" w:rsidRPr="00DE2EDF">
        <w:rPr>
          <w:rFonts w:eastAsia="Times New Roman" w:cs="Times New Roman"/>
          <w:iCs/>
          <w:lang w:val="en-GB"/>
        </w:rPr>
        <w:t xml:space="preserve">by the </w:t>
      </w:r>
      <w:r w:rsidRPr="00DE2EDF">
        <w:rPr>
          <w:rFonts w:eastAsia="Times New Roman" w:cs="Times New Roman"/>
          <w:i/>
          <w:lang w:val="en-GB"/>
        </w:rPr>
        <w:t>Conseil</w:t>
      </w:r>
      <w:r w:rsidR="008F328C" w:rsidRPr="00DE2EDF">
        <w:rPr>
          <w:rFonts w:eastAsia="Times New Roman" w:cs="Times New Roman"/>
          <w:i/>
          <w:lang w:val="en-GB"/>
        </w:rPr>
        <w:t xml:space="preserve"> </w:t>
      </w:r>
      <w:r w:rsidRPr="00DE2EDF">
        <w:rPr>
          <w:rFonts w:eastAsia="Times New Roman" w:cs="Times New Roman"/>
          <w:i/>
          <w:lang w:val="en-GB"/>
        </w:rPr>
        <w:t>constitutionnel</w:t>
      </w:r>
      <w:r w:rsidR="00530E16" w:rsidRPr="00DE2EDF">
        <w:rPr>
          <w:rFonts w:eastAsia="Times New Roman" w:cs="Times New Roman"/>
          <w:lang w:val="en-GB"/>
        </w:rPr>
        <w:t>’</w:t>
      </w:r>
      <w:r w:rsidRPr="00DE2EDF">
        <w:rPr>
          <w:rFonts w:eastAsia="Times New Roman" w:cs="Times New Roman"/>
          <w:lang w:val="en-GB"/>
        </w:rPr>
        <w:t xml:space="preserve">s decision of </w:t>
      </w:r>
      <w:r w:rsidRPr="00DE2EDF">
        <w:rPr>
          <w:rFonts w:eastAsia="Times New Roman" w:cs="Times New Roman"/>
          <w:iCs/>
          <w:lang w:val="en-GB"/>
        </w:rPr>
        <w:t xml:space="preserve">16 July 1971 </w:t>
      </w:r>
      <w:r w:rsidR="00C33A45" w:rsidRPr="00DE2EDF">
        <w:rPr>
          <w:rFonts w:eastAsia="Times New Roman" w:cs="Times New Roman"/>
          <w:iCs/>
          <w:lang w:val="en-GB"/>
        </w:rPr>
        <w:t>on freedom of association</w:t>
      </w:r>
      <w:r w:rsidR="009C3302" w:rsidRPr="00DE2EDF">
        <w:rPr>
          <w:rFonts w:cs="Times New Roman"/>
        </w:rPr>
        <w:t>—</w:t>
      </w:r>
      <w:r w:rsidR="00C33A45" w:rsidRPr="00DE2EDF">
        <w:rPr>
          <w:rFonts w:eastAsia="Times New Roman" w:cs="Times New Roman"/>
          <w:iCs/>
          <w:lang w:val="en-GB"/>
        </w:rPr>
        <w:t>and to the third meaning</w:t>
      </w:r>
      <w:r w:rsidR="00043714" w:rsidRPr="00DE2EDF">
        <w:rPr>
          <w:rFonts w:eastAsia="Times New Roman" w:cs="Times New Roman"/>
          <w:iCs/>
          <w:lang w:val="en-GB"/>
        </w:rPr>
        <w:t xml:space="preserve"> (the normative influence of the Constitution on </w:t>
      </w:r>
      <w:r w:rsidRPr="00DE2EDF">
        <w:rPr>
          <w:rFonts w:eastAsia="Times New Roman" w:cs="Times New Roman"/>
          <w:iCs/>
          <w:lang w:val="en-GB"/>
        </w:rPr>
        <w:t>ordinary</w:t>
      </w:r>
      <w:r w:rsidR="00C83242" w:rsidRPr="00DE2EDF">
        <w:rPr>
          <w:rFonts w:eastAsia="Times New Roman" w:cs="Times New Roman"/>
          <w:iCs/>
          <w:lang w:val="en-GB"/>
        </w:rPr>
        <w:t>, i.e.</w:t>
      </w:r>
      <w:r w:rsidR="00A020CC" w:rsidRPr="00DE2EDF">
        <w:rPr>
          <w:rFonts w:eastAsia="Times New Roman" w:cs="Times New Roman"/>
          <w:iCs/>
          <w:lang w:val="en-GB"/>
        </w:rPr>
        <w:t>,</w:t>
      </w:r>
      <w:r w:rsidR="00C83242" w:rsidRPr="00DE2EDF">
        <w:rPr>
          <w:rFonts w:eastAsia="Times New Roman" w:cs="Times New Roman"/>
          <w:iCs/>
          <w:lang w:val="en-GB"/>
        </w:rPr>
        <w:t xml:space="preserve"> subconstitutional</w:t>
      </w:r>
      <w:r w:rsidRPr="00DE2EDF">
        <w:rPr>
          <w:rFonts w:eastAsia="Times New Roman" w:cs="Times New Roman"/>
          <w:iCs/>
          <w:lang w:val="en-GB"/>
        </w:rPr>
        <w:t xml:space="preserve"> law</w:t>
      </w:r>
      <w:r w:rsidR="00043714" w:rsidRPr="00DE2EDF">
        <w:rPr>
          <w:rFonts w:eastAsia="Times New Roman" w:cs="Times New Roman"/>
          <w:iCs/>
          <w:lang w:val="en-GB"/>
        </w:rPr>
        <w:t>)</w:t>
      </w:r>
      <w:r w:rsidRPr="00DE2EDF">
        <w:rPr>
          <w:rFonts w:eastAsia="Times New Roman" w:cs="Times New Roman"/>
          <w:iCs/>
          <w:lang w:val="en-GB"/>
        </w:rPr>
        <w:t>.</w:t>
      </w:r>
      <w:bookmarkStart w:id="257" w:name="_ftnref126"/>
      <w:r w:rsidRPr="00DE2EDF">
        <w:rPr>
          <w:rStyle w:val="FootnoteReference"/>
          <w:rFonts w:eastAsia="Times New Roman" w:cs="Times New Roman"/>
          <w:iCs/>
          <w:lang w:val="en-GB"/>
        </w:rPr>
        <w:footnoteReference w:id="156"/>
      </w:r>
      <w:r w:rsidRPr="00DE2EDF">
        <w:rPr>
          <w:rFonts w:eastAsia="Times New Roman" w:cs="Times New Roman"/>
          <w:iCs/>
          <w:lang w:val="en-GB"/>
        </w:rPr>
        <w:t xml:space="preserve"> </w:t>
      </w:r>
      <w:bookmarkEnd w:id="257"/>
      <w:r w:rsidRPr="00DE2EDF">
        <w:rPr>
          <w:rFonts w:eastAsia="Times New Roman" w:cs="Times New Roman"/>
          <w:iCs/>
          <w:lang w:val="en-GB"/>
        </w:rPr>
        <w:t xml:space="preserve">Accordingly, on </w:t>
      </w:r>
      <w:r w:rsidR="006A3582">
        <w:rPr>
          <w:rFonts w:eastAsia="Times New Roman" w:cs="Times New Roman"/>
          <w:iCs/>
          <w:lang w:val="en-GB"/>
        </w:rPr>
        <w:t xml:space="preserve">a </w:t>
      </w:r>
      <w:r w:rsidRPr="00DE2EDF">
        <w:rPr>
          <w:rFonts w:eastAsia="Times New Roman" w:cs="Times New Roman"/>
          <w:iCs/>
          <w:lang w:val="en-GB"/>
        </w:rPr>
        <w:t>vertical plane, the term</w:t>
      </w:r>
      <w:r w:rsidR="004B4B44" w:rsidRPr="00DE2EDF">
        <w:rPr>
          <w:rFonts w:eastAsia="Times New Roman" w:cs="Times New Roman"/>
          <w:iCs/>
          <w:lang w:val="en-GB"/>
        </w:rPr>
        <w:t>,</w:t>
      </w:r>
      <w:r w:rsidRPr="00DE2EDF">
        <w:rPr>
          <w:rFonts w:eastAsia="Times New Roman" w:cs="Times New Roman"/>
          <w:iCs/>
          <w:lang w:val="en-GB"/>
        </w:rPr>
        <w:t xml:space="preserve"> </w:t>
      </w:r>
      <w:r w:rsidR="001D3444" w:rsidRPr="00DE2EDF">
        <w:rPr>
          <w:rFonts w:eastAsia="Times New Roman" w:cs="Times New Roman"/>
          <w:iCs/>
          <w:lang w:val="en-GB"/>
        </w:rPr>
        <w:t>as used in France</w:t>
      </w:r>
      <w:r w:rsidR="004B4B44" w:rsidRPr="00DE2EDF">
        <w:rPr>
          <w:rFonts w:eastAsia="Times New Roman" w:cs="Times New Roman"/>
          <w:iCs/>
          <w:lang w:val="en-GB"/>
        </w:rPr>
        <w:t>,</w:t>
      </w:r>
      <w:r w:rsidR="001D3444" w:rsidRPr="00DE2EDF">
        <w:rPr>
          <w:rFonts w:eastAsia="Times New Roman" w:cs="Times New Roman"/>
          <w:iCs/>
          <w:lang w:val="en-GB"/>
        </w:rPr>
        <w:t xml:space="preserve"> </w:t>
      </w:r>
      <w:r w:rsidRPr="00DE2EDF">
        <w:rPr>
          <w:rFonts w:eastAsia="Times New Roman" w:cs="Times New Roman"/>
          <w:iCs/>
          <w:lang w:val="en-GB"/>
        </w:rPr>
        <w:t xml:space="preserve">connotes not only the top-down influence (third meaning), but also a not-to-be-underestimated bottom-up influence (second meaning). Constitutional law, particularly </w:t>
      </w:r>
      <w:r w:rsidR="002D3770" w:rsidRPr="00DE2EDF">
        <w:rPr>
          <w:rFonts w:eastAsia="Times New Roman" w:cs="Times New Roman"/>
          <w:iCs/>
          <w:lang w:val="en-GB"/>
        </w:rPr>
        <w:t xml:space="preserve">the </w:t>
      </w:r>
      <w:r w:rsidR="00C83242" w:rsidRPr="00DE2EDF">
        <w:rPr>
          <w:rFonts w:eastAsia="Times New Roman" w:cs="Times New Roman"/>
          <w:iCs/>
          <w:lang w:val="en-GB"/>
        </w:rPr>
        <w:t>norms</w:t>
      </w:r>
      <w:r w:rsidR="002D3770" w:rsidRPr="00DE2EDF">
        <w:rPr>
          <w:rFonts w:eastAsia="Times New Roman" w:cs="Times New Roman"/>
          <w:iCs/>
          <w:lang w:val="en-GB"/>
        </w:rPr>
        <w:t xml:space="preserve"> </w:t>
      </w:r>
      <w:r w:rsidRPr="00DE2EDF">
        <w:rPr>
          <w:rFonts w:eastAsia="Times New Roman" w:cs="Times New Roman"/>
          <w:iCs/>
          <w:lang w:val="en-GB"/>
        </w:rPr>
        <w:t xml:space="preserve">generated by the </w:t>
      </w:r>
      <w:r w:rsidRPr="00DE2EDF">
        <w:rPr>
          <w:rFonts w:eastAsia="Times New Roman" w:cs="Times New Roman"/>
          <w:i/>
          <w:lang w:val="en-GB"/>
        </w:rPr>
        <w:t>Conseil constitutionnel</w:t>
      </w:r>
      <w:r w:rsidR="00530E16" w:rsidRPr="00DE2EDF">
        <w:rPr>
          <w:rFonts w:eastAsia="Times New Roman" w:cs="Times New Roman"/>
          <w:lang w:val="en-GB"/>
        </w:rPr>
        <w:t>’</w:t>
      </w:r>
      <w:r w:rsidRPr="00DE2EDF">
        <w:rPr>
          <w:rFonts w:eastAsia="Times New Roman" w:cs="Times New Roman"/>
          <w:lang w:val="en-GB"/>
        </w:rPr>
        <w:t>s</w:t>
      </w:r>
      <w:r w:rsidRPr="00DE2EDF">
        <w:rPr>
          <w:rFonts w:eastAsia="Times New Roman" w:cs="Times New Roman"/>
          <w:iCs/>
          <w:lang w:val="en-GB"/>
        </w:rPr>
        <w:t xml:space="preserve"> case law, uses standards, concepts</w:t>
      </w:r>
      <w:r w:rsidR="00DB293B" w:rsidRPr="00DE2EDF">
        <w:rPr>
          <w:rFonts w:eastAsia="Times New Roman" w:cs="Times New Roman"/>
          <w:iCs/>
          <w:lang w:val="en-GB"/>
        </w:rPr>
        <w:t>,</w:t>
      </w:r>
      <w:r w:rsidRPr="00DE2EDF">
        <w:rPr>
          <w:rFonts w:eastAsia="Times New Roman" w:cs="Times New Roman"/>
          <w:iCs/>
          <w:lang w:val="en-GB"/>
        </w:rPr>
        <w:t xml:space="preserve"> and methods first formed and applied by the </w:t>
      </w:r>
      <w:r w:rsidRPr="00DE2EDF">
        <w:rPr>
          <w:rFonts w:eastAsia="Times New Roman" w:cs="Times New Roman"/>
          <w:i/>
          <w:lang w:val="en-GB"/>
        </w:rPr>
        <w:t xml:space="preserve">Conseil </w:t>
      </w:r>
      <w:r w:rsidR="00825DB5" w:rsidRPr="00DE2EDF">
        <w:rPr>
          <w:rFonts w:eastAsia="Times New Roman" w:cs="Times New Roman"/>
          <w:i/>
          <w:lang w:val="en-GB"/>
        </w:rPr>
        <w:t>d’Etat</w:t>
      </w:r>
      <w:r w:rsidRPr="00DE2EDF">
        <w:rPr>
          <w:rFonts w:eastAsia="Times New Roman" w:cs="Times New Roman"/>
          <w:iCs/>
          <w:lang w:val="en-GB"/>
        </w:rPr>
        <w:t xml:space="preserve"> in administrative law.</w:t>
      </w:r>
      <w:bookmarkStart w:id="258" w:name="_Ref252452383"/>
      <w:bookmarkStart w:id="259" w:name="_Ref401126521"/>
      <w:bookmarkEnd w:id="258"/>
      <w:r w:rsidRPr="00DE2EDF">
        <w:rPr>
          <w:rStyle w:val="FootnoteReference"/>
          <w:rFonts w:eastAsia="Times New Roman" w:cs="Times New Roman"/>
          <w:iCs/>
          <w:lang w:val="en-GB"/>
        </w:rPr>
        <w:footnoteReference w:id="157"/>
      </w:r>
      <w:bookmarkEnd w:id="259"/>
      <w:r w:rsidRPr="00DE2EDF">
        <w:rPr>
          <w:rFonts w:eastAsia="Times New Roman" w:cs="Times New Roman"/>
          <w:iCs/>
          <w:lang w:val="en-GB"/>
        </w:rPr>
        <w:t xml:space="preserve"> </w:t>
      </w:r>
      <w:r w:rsidR="00B40975" w:rsidRPr="00DE2EDF">
        <w:rPr>
          <w:rFonts w:eastAsia="Times New Roman" w:cs="Times New Roman"/>
          <w:iCs/>
          <w:lang w:val="en-GB"/>
        </w:rPr>
        <w:t>Thus, d</w:t>
      </w:r>
      <w:r w:rsidRPr="00DE2EDF">
        <w:rPr>
          <w:rFonts w:eastAsia="Times New Roman" w:cs="Times New Roman"/>
          <w:iCs/>
          <w:lang w:val="en-GB"/>
        </w:rPr>
        <w:t xml:space="preserve">efenders of administrative law and </w:t>
      </w:r>
      <w:r w:rsidR="00B40975" w:rsidRPr="00DE2EDF">
        <w:rPr>
          <w:rFonts w:eastAsia="Times New Roman" w:cs="Times New Roman"/>
          <w:iCs/>
          <w:lang w:val="en-GB"/>
        </w:rPr>
        <w:t xml:space="preserve">of </w:t>
      </w:r>
      <w:r w:rsidRPr="00DE2EDF">
        <w:rPr>
          <w:rFonts w:eastAsia="Times New Roman" w:cs="Times New Roman"/>
          <w:iCs/>
          <w:lang w:val="en-GB"/>
        </w:rPr>
        <w:t xml:space="preserve">the </w:t>
      </w:r>
      <w:r w:rsidRPr="00DE2EDF">
        <w:rPr>
          <w:rFonts w:eastAsia="Times New Roman" w:cs="Times New Roman"/>
          <w:i/>
          <w:lang w:val="en-GB"/>
        </w:rPr>
        <w:t xml:space="preserve">Conseil </w:t>
      </w:r>
      <w:r w:rsidR="00825DB5" w:rsidRPr="00DE2EDF">
        <w:rPr>
          <w:rFonts w:eastAsia="Times New Roman" w:cs="Times New Roman"/>
          <w:i/>
          <w:lang w:val="en-GB"/>
        </w:rPr>
        <w:t>d’Etat</w:t>
      </w:r>
      <w:r w:rsidRPr="00DE2EDF">
        <w:rPr>
          <w:rFonts w:eastAsia="Times New Roman" w:cs="Times New Roman"/>
          <w:iCs/>
          <w:lang w:val="en-GB"/>
        </w:rPr>
        <w:t xml:space="preserve"> insist not only on the autonomy of administrative law</w:t>
      </w:r>
      <w:r w:rsidR="00B40975" w:rsidRPr="00DE2EDF">
        <w:rPr>
          <w:rFonts w:eastAsia="Times New Roman" w:cs="Times New Roman"/>
          <w:iCs/>
          <w:lang w:val="en-GB"/>
        </w:rPr>
        <w:t xml:space="preserve"> and its judge</w:t>
      </w:r>
      <w:r w:rsidRPr="00DE2EDF">
        <w:rPr>
          <w:rFonts w:eastAsia="Times New Roman" w:cs="Times New Roman"/>
          <w:iCs/>
          <w:lang w:val="en-GB"/>
        </w:rPr>
        <w:t>, but also on the contribution</w:t>
      </w:r>
      <w:r w:rsidR="00DB293B" w:rsidRPr="00DE2EDF">
        <w:rPr>
          <w:rFonts w:eastAsia="Times New Roman" w:cs="Times New Roman"/>
          <w:iCs/>
          <w:lang w:val="en-GB"/>
        </w:rPr>
        <w:t>s</w:t>
      </w:r>
      <w:r w:rsidRPr="00DE2EDF">
        <w:rPr>
          <w:rFonts w:eastAsia="Times New Roman" w:cs="Times New Roman"/>
          <w:iCs/>
          <w:lang w:val="en-GB"/>
        </w:rPr>
        <w:t xml:space="preserve"> </w:t>
      </w:r>
      <w:r w:rsidR="00B40975" w:rsidRPr="00DE2EDF">
        <w:rPr>
          <w:rFonts w:eastAsia="Times New Roman" w:cs="Times New Roman"/>
          <w:iCs/>
          <w:lang w:val="en-GB"/>
        </w:rPr>
        <w:t xml:space="preserve">made by </w:t>
      </w:r>
      <w:r w:rsidRPr="00DE2EDF">
        <w:rPr>
          <w:rFonts w:eastAsia="Times New Roman" w:cs="Times New Roman"/>
          <w:iCs/>
          <w:lang w:val="en-GB"/>
        </w:rPr>
        <w:t>administrative law</w:t>
      </w:r>
      <w:r w:rsidR="00B40975" w:rsidRPr="00DE2EDF">
        <w:rPr>
          <w:rFonts w:eastAsia="Times New Roman" w:cs="Times New Roman"/>
          <w:iCs/>
          <w:lang w:val="en-GB"/>
        </w:rPr>
        <w:t xml:space="preserve"> and the </w:t>
      </w:r>
      <w:r w:rsidR="00B40975" w:rsidRPr="00DE2EDF">
        <w:rPr>
          <w:rFonts w:eastAsia="Times New Roman" w:cs="Times New Roman"/>
          <w:i/>
          <w:iCs/>
          <w:lang w:val="en-GB"/>
        </w:rPr>
        <w:t>Conseil d’Etat</w:t>
      </w:r>
      <w:r w:rsidRPr="00DE2EDF">
        <w:rPr>
          <w:rFonts w:eastAsia="Times New Roman" w:cs="Times New Roman"/>
          <w:iCs/>
          <w:lang w:val="en-GB"/>
        </w:rPr>
        <w:t xml:space="preserve"> to constitutional law</w:t>
      </w:r>
      <w:r w:rsidR="00B40975" w:rsidRPr="00DE2EDF">
        <w:rPr>
          <w:rFonts w:eastAsia="Times New Roman" w:cs="Times New Roman"/>
          <w:iCs/>
          <w:lang w:val="en-GB"/>
        </w:rPr>
        <w:t xml:space="preserve"> and the </w:t>
      </w:r>
      <w:r w:rsidR="00DB293B" w:rsidRPr="00DE2EDF">
        <w:rPr>
          <w:rFonts w:eastAsia="Times New Roman" w:cs="Times New Roman"/>
          <w:iCs/>
          <w:lang w:val="en-GB"/>
        </w:rPr>
        <w:t>newly-</w:t>
      </w:r>
      <w:r w:rsidR="00B40975" w:rsidRPr="00DE2EDF">
        <w:rPr>
          <w:rFonts w:eastAsia="Times New Roman" w:cs="Times New Roman"/>
          <w:iCs/>
          <w:lang w:val="en-GB"/>
        </w:rPr>
        <w:t xml:space="preserve">established </w:t>
      </w:r>
      <w:r w:rsidR="00B40975" w:rsidRPr="00DE2EDF">
        <w:rPr>
          <w:rFonts w:eastAsia="Times New Roman" w:cs="Times New Roman"/>
          <w:i/>
          <w:iCs/>
          <w:lang w:val="en-GB"/>
        </w:rPr>
        <w:t>Conseil constitutionnel</w:t>
      </w:r>
      <w:r w:rsidRPr="00DE2EDF">
        <w:rPr>
          <w:rFonts w:eastAsia="Times New Roman" w:cs="Times New Roman"/>
          <w:iCs/>
          <w:lang w:val="en-GB"/>
        </w:rPr>
        <w:t xml:space="preserve">. </w:t>
      </w:r>
      <w:r w:rsidR="00B40975" w:rsidRPr="00DE2EDF">
        <w:rPr>
          <w:rFonts w:eastAsia="Times New Roman" w:cs="Times New Roman"/>
          <w:iCs/>
          <w:lang w:val="en-GB"/>
        </w:rPr>
        <w:t xml:space="preserve">This explains why, for some authors and actors, </w:t>
      </w:r>
      <w:r w:rsidRPr="00DE2EDF">
        <w:rPr>
          <w:rFonts w:eastAsia="Times New Roman" w:cs="Times New Roman"/>
          <w:iCs/>
          <w:lang w:val="en-GB"/>
        </w:rPr>
        <w:t xml:space="preserve">the term </w:t>
      </w:r>
      <w:r w:rsidR="00530E16" w:rsidRPr="00DE2EDF">
        <w:rPr>
          <w:rFonts w:eastAsia="Times New Roman" w:cs="Times New Roman"/>
          <w:iCs/>
          <w:lang w:val="en-GB"/>
        </w:rPr>
        <w:t>‘</w:t>
      </w:r>
      <w:r w:rsidR="00E56886">
        <w:rPr>
          <w:rFonts w:eastAsia="Times New Roman" w:cs="Times New Roman"/>
          <w:iCs/>
          <w:lang w:val="en-GB"/>
        </w:rPr>
        <w:t>constitutionaliz</w:t>
      </w:r>
      <w:r w:rsidRPr="00DE2EDF">
        <w:rPr>
          <w:rFonts w:eastAsia="Times New Roman" w:cs="Times New Roman"/>
          <w:iCs/>
          <w:lang w:val="en-GB"/>
        </w:rPr>
        <w:t>ation</w:t>
      </w:r>
      <w:r w:rsidR="00530E16" w:rsidRPr="00DE2EDF">
        <w:rPr>
          <w:rFonts w:eastAsia="Times New Roman" w:cs="Times New Roman"/>
          <w:iCs/>
          <w:lang w:val="en-GB"/>
        </w:rPr>
        <w:t>’</w:t>
      </w:r>
      <w:r w:rsidRPr="00DE2EDF">
        <w:rPr>
          <w:rFonts w:eastAsia="Times New Roman" w:cs="Times New Roman"/>
          <w:iCs/>
          <w:lang w:val="en-GB"/>
        </w:rPr>
        <w:t xml:space="preserve"> goes all too far. To Vedel</w:t>
      </w:r>
      <w:r w:rsidR="00530E16" w:rsidRPr="00DE2EDF">
        <w:rPr>
          <w:rFonts w:eastAsia="Times New Roman" w:cs="Times New Roman"/>
          <w:iCs/>
          <w:lang w:val="en-GB"/>
        </w:rPr>
        <w:t>’</w:t>
      </w:r>
      <w:r w:rsidRPr="00DE2EDF">
        <w:rPr>
          <w:rFonts w:eastAsia="Times New Roman" w:cs="Times New Roman"/>
          <w:iCs/>
          <w:lang w:val="en-GB"/>
        </w:rPr>
        <w:t xml:space="preserve">s ear (one of </w:t>
      </w:r>
      <w:r w:rsidR="00DB293B" w:rsidRPr="00DE2EDF">
        <w:rPr>
          <w:rFonts w:eastAsia="Times New Roman" w:cs="Times New Roman"/>
          <w:iCs/>
          <w:lang w:val="en-GB"/>
        </w:rPr>
        <w:t xml:space="preserve">its </w:t>
      </w:r>
      <w:r w:rsidRPr="00DE2EDF">
        <w:rPr>
          <w:rFonts w:eastAsia="Times New Roman" w:cs="Times New Roman"/>
          <w:iCs/>
          <w:lang w:val="en-GB"/>
        </w:rPr>
        <w:t xml:space="preserve">most outspoken critics), </w:t>
      </w:r>
      <w:r w:rsidR="00DB293B" w:rsidRPr="00DE2EDF">
        <w:rPr>
          <w:rFonts w:eastAsia="Times New Roman" w:cs="Times New Roman"/>
          <w:iCs/>
          <w:lang w:val="en-GB"/>
        </w:rPr>
        <w:t xml:space="preserve">the </w:t>
      </w:r>
      <w:r w:rsidRPr="00DE2EDF">
        <w:rPr>
          <w:rFonts w:eastAsia="Times New Roman" w:cs="Times New Roman"/>
          <w:iCs/>
          <w:lang w:val="en-GB"/>
        </w:rPr>
        <w:t xml:space="preserve">term suggests </w:t>
      </w:r>
      <w:r w:rsidR="00B40975" w:rsidRPr="00DE2EDF">
        <w:rPr>
          <w:rFonts w:eastAsia="Times New Roman" w:cs="Times New Roman"/>
          <w:iCs/>
          <w:lang w:val="en-GB"/>
        </w:rPr>
        <w:t xml:space="preserve">the existence of </w:t>
      </w:r>
      <w:r w:rsidRPr="00DE2EDF">
        <w:rPr>
          <w:rFonts w:eastAsia="Times New Roman" w:cs="Times New Roman"/>
          <w:iCs/>
          <w:lang w:val="en-GB"/>
        </w:rPr>
        <w:t xml:space="preserve">a form of </w:t>
      </w:r>
      <w:r w:rsidR="00530E16" w:rsidRPr="00DE2EDF">
        <w:rPr>
          <w:rFonts w:eastAsia="Times New Roman" w:cs="Times New Roman"/>
          <w:iCs/>
          <w:lang w:val="en-GB"/>
        </w:rPr>
        <w:t>‘</w:t>
      </w:r>
      <w:r w:rsidRPr="00DE2EDF">
        <w:rPr>
          <w:rFonts w:eastAsia="Times New Roman" w:cs="Times New Roman"/>
          <w:iCs/>
          <w:lang w:val="en-GB"/>
        </w:rPr>
        <w:t>imperialism</w:t>
      </w:r>
      <w:r w:rsidR="00530E16" w:rsidRPr="00DE2EDF">
        <w:rPr>
          <w:rFonts w:eastAsia="Times New Roman" w:cs="Times New Roman"/>
          <w:iCs/>
          <w:lang w:val="en-GB"/>
        </w:rPr>
        <w:t>’</w:t>
      </w:r>
      <w:r w:rsidRPr="00DE2EDF">
        <w:rPr>
          <w:rFonts w:eastAsia="Times New Roman" w:cs="Times New Roman"/>
          <w:iCs/>
          <w:lang w:val="en-GB"/>
        </w:rPr>
        <w:t xml:space="preserve"> by constitutional law and by the </w:t>
      </w:r>
      <w:r w:rsidRPr="00DE2EDF">
        <w:rPr>
          <w:rFonts w:eastAsia="Times New Roman" w:cs="Times New Roman"/>
          <w:i/>
          <w:lang w:val="en-GB"/>
        </w:rPr>
        <w:t>Conseil constitutionnel</w:t>
      </w:r>
      <w:r w:rsidRPr="00DE2EDF">
        <w:rPr>
          <w:rFonts w:eastAsia="Times New Roman" w:cs="Times New Roman"/>
          <w:iCs/>
          <w:lang w:val="en-GB"/>
        </w:rPr>
        <w:t xml:space="preserve">, </w:t>
      </w:r>
      <w:r w:rsidR="00B40975" w:rsidRPr="00DE2EDF">
        <w:rPr>
          <w:rFonts w:eastAsia="Times New Roman" w:cs="Times New Roman"/>
          <w:iCs/>
          <w:lang w:val="en-GB"/>
        </w:rPr>
        <w:t xml:space="preserve">which, fortunately, is neither </w:t>
      </w:r>
      <w:r w:rsidR="00DB293B" w:rsidRPr="00DE2EDF">
        <w:rPr>
          <w:rFonts w:eastAsia="Times New Roman" w:cs="Times New Roman"/>
          <w:iCs/>
          <w:lang w:val="en-GB"/>
        </w:rPr>
        <w:t xml:space="preserve">visible </w:t>
      </w:r>
      <w:r w:rsidR="00B40975" w:rsidRPr="00DE2EDF">
        <w:rPr>
          <w:rFonts w:eastAsia="Times New Roman" w:cs="Times New Roman"/>
          <w:iCs/>
          <w:lang w:val="en-GB"/>
        </w:rPr>
        <w:t xml:space="preserve">in </w:t>
      </w:r>
      <w:r w:rsidR="00D74000" w:rsidRPr="00DE2EDF">
        <w:rPr>
          <w:rFonts w:eastAsia="Times New Roman" w:cs="Times New Roman"/>
          <w:iCs/>
          <w:lang w:val="en-GB"/>
        </w:rPr>
        <w:t>the past</w:t>
      </w:r>
      <w:r w:rsidR="00B40975" w:rsidRPr="00DE2EDF">
        <w:rPr>
          <w:rFonts w:eastAsia="Times New Roman" w:cs="Times New Roman"/>
          <w:iCs/>
          <w:lang w:val="en-GB"/>
        </w:rPr>
        <w:t>, nor desirable for the future.</w:t>
      </w:r>
      <w:r w:rsidRPr="00DE2EDF">
        <w:rPr>
          <w:rFonts w:eastAsia="Times New Roman" w:cs="Times New Roman"/>
          <w:iCs/>
          <w:lang w:val="en-GB"/>
        </w:rPr>
        <w:t xml:space="preserve"> </w:t>
      </w:r>
      <w:r w:rsidR="00B40975" w:rsidRPr="00DE2EDF">
        <w:rPr>
          <w:rFonts w:eastAsia="Times New Roman" w:cs="Times New Roman"/>
          <w:iCs/>
          <w:lang w:val="en-GB"/>
        </w:rPr>
        <w:t xml:space="preserve">According to Vedel, traditional </w:t>
      </w:r>
      <w:r w:rsidRPr="00DE2EDF">
        <w:rPr>
          <w:rFonts w:eastAsia="Times New Roman" w:cs="Times New Roman"/>
          <w:iCs/>
          <w:lang w:val="en-GB"/>
        </w:rPr>
        <w:t xml:space="preserve">administrative law is not transformed </w:t>
      </w:r>
      <w:r w:rsidR="00B40975" w:rsidRPr="00DE2EDF">
        <w:rPr>
          <w:rFonts w:eastAsia="Times New Roman" w:cs="Times New Roman"/>
          <w:iCs/>
          <w:lang w:val="en-GB"/>
        </w:rPr>
        <w:t>(</w:t>
      </w:r>
      <w:r w:rsidR="00A348C8" w:rsidRPr="00DE2EDF">
        <w:rPr>
          <w:rFonts w:eastAsia="Times New Roman" w:cs="Times New Roman"/>
          <w:iCs/>
          <w:lang w:val="en-GB"/>
        </w:rPr>
        <w:t>much less</w:t>
      </w:r>
      <w:r w:rsidR="00B40975" w:rsidRPr="00DE2EDF">
        <w:rPr>
          <w:rFonts w:eastAsia="Times New Roman" w:cs="Times New Roman"/>
          <w:iCs/>
          <w:lang w:val="en-GB"/>
        </w:rPr>
        <w:t xml:space="preserve"> revolutioni</w:t>
      </w:r>
      <w:r w:rsidR="002D3770" w:rsidRPr="00DE2EDF">
        <w:rPr>
          <w:rFonts w:eastAsia="Times New Roman" w:cs="Times New Roman"/>
          <w:iCs/>
          <w:lang w:val="en-GB"/>
        </w:rPr>
        <w:t>z</w:t>
      </w:r>
      <w:r w:rsidR="00B40975" w:rsidRPr="00DE2EDF">
        <w:rPr>
          <w:rFonts w:eastAsia="Times New Roman" w:cs="Times New Roman"/>
          <w:iCs/>
          <w:lang w:val="en-GB"/>
        </w:rPr>
        <w:t xml:space="preserve">ed) </w:t>
      </w:r>
      <w:r w:rsidRPr="00DE2EDF">
        <w:rPr>
          <w:rFonts w:eastAsia="Times New Roman" w:cs="Times New Roman"/>
          <w:iCs/>
          <w:lang w:val="en-GB"/>
        </w:rPr>
        <w:t>by the Constitution</w:t>
      </w:r>
      <w:r w:rsidR="00B40975" w:rsidRPr="00DE2EDF">
        <w:rPr>
          <w:rFonts w:eastAsia="Times New Roman" w:cs="Times New Roman"/>
          <w:iCs/>
          <w:lang w:val="en-GB"/>
        </w:rPr>
        <w:t xml:space="preserve">; it </w:t>
      </w:r>
      <w:r w:rsidRPr="00DE2EDF">
        <w:rPr>
          <w:rFonts w:eastAsia="Times New Roman" w:cs="Times New Roman"/>
          <w:iCs/>
          <w:lang w:val="en-GB"/>
        </w:rPr>
        <w:t xml:space="preserve">is simply consolidated by it. In a provocative </w:t>
      </w:r>
      <w:r w:rsidR="00B40975" w:rsidRPr="00DE2EDF">
        <w:rPr>
          <w:rFonts w:eastAsia="Times New Roman" w:cs="Times New Roman"/>
          <w:iCs/>
          <w:lang w:val="en-GB"/>
        </w:rPr>
        <w:t>reply to Favoreu’s d</w:t>
      </w:r>
      <w:r w:rsidR="00E56886">
        <w:rPr>
          <w:rFonts w:eastAsia="Times New Roman" w:cs="Times New Roman"/>
          <w:iCs/>
          <w:lang w:val="en-GB"/>
        </w:rPr>
        <w:t>iscourse on the constitutionaliz</w:t>
      </w:r>
      <w:r w:rsidR="00B40975" w:rsidRPr="00DE2EDF">
        <w:rPr>
          <w:rFonts w:eastAsia="Times New Roman" w:cs="Times New Roman"/>
          <w:iCs/>
          <w:lang w:val="en-GB"/>
        </w:rPr>
        <w:t xml:space="preserve">ation of </w:t>
      </w:r>
      <w:r w:rsidR="00B40975" w:rsidRPr="00DE2EDF">
        <w:rPr>
          <w:rFonts w:eastAsia="Times New Roman" w:cs="Times New Roman"/>
          <w:iCs/>
          <w:lang w:val="en-GB"/>
        </w:rPr>
        <w:lastRenderedPageBreak/>
        <w:t xml:space="preserve">administrative law, </w:t>
      </w:r>
      <w:r w:rsidRPr="00DE2EDF">
        <w:rPr>
          <w:rFonts w:eastAsia="Times New Roman" w:cs="Times New Roman"/>
          <w:iCs/>
          <w:lang w:val="en-GB"/>
        </w:rPr>
        <w:t>Vedel</w:t>
      </w:r>
      <w:r w:rsidR="00B40975" w:rsidRPr="00DE2EDF">
        <w:rPr>
          <w:rFonts w:eastAsia="Times New Roman" w:cs="Times New Roman"/>
          <w:iCs/>
          <w:lang w:val="en-GB"/>
        </w:rPr>
        <w:t xml:space="preserve"> speaks of </w:t>
      </w:r>
      <w:r w:rsidR="00530E16" w:rsidRPr="00DE2EDF">
        <w:rPr>
          <w:rFonts w:eastAsia="Times New Roman" w:cs="Times New Roman"/>
          <w:iCs/>
          <w:lang w:val="en-GB"/>
        </w:rPr>
        <w:t>‘</w:t>
      </w:r>
      <w:r w:rsidRPr="00DE2EDF">
        <w:rPr>
          <w:rFonts w:eastAsia="Times New Roman" w:cs="Times New Roman"/>
          <w:i/>
          <w:iCs/>
          <w:lang w:val="en-GB"/>
        </w:rPr>
        <w:t>administrativisation</w:t>
      </w:r>
      <w:r w:rsidR="008642D5" w:rsidRPr="00DE2EDF">
        <w:rPr>
          <w:rFonts w:eastAsia="Times New Roman" w:cs="Times New Roman"/>
          <w:i/>
          <w:iCs/>
          <w:lang w:val="en-GB"/>
        </w:rPr>
        <w:t xml:space="preserve"> du droit constitutionnel</w:t>
      </w:r>
      <w:r w:rsidR="00530E16" w:rsidRPr="00DE2EDF">
        <w:rPr>
          <w:rFonts w:eastAsia="Times New Roman" w:cs="Times New Roman"/>
          <w:iCs/>
          <w:lang w:val="en-GB"/>
        </w:rPr>
        <w:t>’</w:t>
      </w:r>
      <w:r w:rsidR="008642D5" w:rsidRPr="00DE2EDF">
        <w:rPr>
          <w:rFonts w:eastAsia="Times New Roman" w:cs="Times New Roman"/>
          <w:iCs/>
          <w:lang w:val="en-GB"/>
        </w:rPr>
        <w:t xml:space="preserve"> (administratization of constitutional law)</w:t>
      </w:r>
      <w:r w:rsidRPr="00DE2EDF">
        <w:rPr>
          <w:rFonts w:eastAsia="Times New Roman" w:cs="Times New Roman"/>
          <w:iCs/>
          <w:lang w:val="en-GB"/>
        </w:rPr>
        <w:t xml:space="preserve"> </w:t>
      </w:r>
      <w:r w:rsidR="008642D5" w:rsidRPr="00DE2EDF">
        <w:rPr>
          <w:rFonts w:eastAsia="Times New Roman" w:cs="Times New Roman"/>
          <w:iCs/>
          <w:lang w:val="en-GB"/>
        </w:rPr>
        <w:t xml:space="preserve">and, </w:t>
      </w:r>
      <w:r w:rsidR="00B40975" w:rsidRPr="00DE2EDF">
        <w:rPr>
          <w:rFonts w:eastAsia="Times New Roman" w:cs="Times New Roman"/>
          <w:iCs/>
          <w:lang w:val="en-GB"/>
        </w:rPr>
        <w:t>in the domain of private</w:t>
      </w:r>
      <w:r w:rsidR="008642D5" w:rsidRPr="00DE2EDF">
        <w:rPr>
          <w:rFonts w:eastAsia="Times New Roman" w:cs="Times New Roman"/>
          <w:iCs/>
          <w:lang w:val="en-GB"/>
        </w:rPr>
        <w:t>/civil</w:t>
      </w:r>
      <w:r w:rsidR="00B40975" w:rsidRPr="00DE2EDF">
        <w:rPr>
          <w:rFonts w:eastAsia="Times New Roman" w:cs="Times New Roman"/>
          <w:iCs/>
          <w:lang w:val="en-GB"/>
        </w:rPr>
        <w:t xml:space="preserve"> law</w:t>
      </w:r>
      <w:r w:rsidR="008642D5" w:rsidRPr="00DE2EDF">
        <w:rPr>
          <w:rFonts w:eastAsia="Times New Roman" w:cs="Times New Roman"/>
          <w:iCs/>
          <w:lang w:val="en-GB"/>
        </w:rPr>
        <w:t>,</w:t>
      </w:r>
      <w:r w:rsidRPr="00DE2EDF">
        <w:rPr>
          <w:rFonts w:eastAsia="Times New Roman" w:cs="Times New Roman"/>
          <w:iCs/>
          <w:lang w:val="en-GB"/>
        </w:rPr>
        <w:t xml:space="preserve"> </w:t>
      </w:r>
      <w:r w:rsidR="008642D5" w:rsidRPr="00DE2EDF">
        <w:rPr>
          <w:rFonts w:eastAsia="Times New Roman" w:cs="Times New Roman"/>
          <w:iCs/>
          <w:lang w:val="en-GB"/>
        </w:rPr>
        <w:t xml:space="preserve">of </w:t>
      </w:r>
      <w:r w:rsidR="00530E16" w:rsidRPr="00DE2EDF">
        <w:rPr>
          <w:rFonts w:eastAsia="Times New Roman" w:cs="Times New Roman"/>
          <w:iCs/>
          <w:lang w:val="en-GB"/>
        </w:rPr>
        <w:t>‘</w:t>
      </w:r>
      <w:r w:rsidRPr="00DE2EDF">
        <w:rPr>
          <w:rFonts w:eastAsia="Times New Roman" w:cs="Times New Roman"/>
          <w:i/>
          <w:iCs/>
          <w:lang w:val="en-GB"/>
        </w:rPr>
        <w:t>civilisation du droit constitutionnel</w:t>
      </w:r>
      <w:r w:rsidR="00530E16" w:rsidRPr="00DE2EDF">
        <w:rPr>
          <w:rFonts w:eastAsia="Times New Roman" w:cs="Times New Roman"/>
          <w:iCs/>
          <w:lang w:val="en-GB"/>
        </w:rPr>
        <w:t>’</w:t>
      </w:r>
      <w:r w:rsidR="008642D5" w:rsidRPr="00DE2EDF">
        <w:rPr>
          <w:rFonts w:eastAsia="Times New Roman" w:cs="Times New Roman"/>
          <w:iCs/>
          <w:lang w:val="en-GB"/>
        </w:rPr>
        <w:t xml:space="preserve"> (civilization of constitutional law)</w:t>
      </w:r>
      <w:r w:rsidRPr="00DE2EDF">
        <w:rPr>
          <w:rFonts w:eastAsia="Times New Roman" w:cs="Times New Roman"/>
          <w:iCs/>
          <w:lang w:val="en-GB"/>
        </w:rPr>
        <w:t>.</w:t>
      </w:r>
      <w:bookmarkStart w:id="260" w:name="_ftnref128"/>
      <w:r w:rsidRPr="00DE2EDF">
        <w:rPr>
          <w:rStyle w:val="FootnoteReference"/>
          <w:rFonts w:eastAsia="Times New Roman" w:cs="Times New Roman"/>
          <w:iCs/>
          <w:lang w:val="en-GB"/>
        </w:rPr>
        <w:footnoteReference w:id="158"/>
      </w:r>
      <w:r w:rsidRPr="00DE2EDF">
        <w:rPr>
          <w:rFonts w:eastAsia="Times New Roman" w:cs="Times New Roman"/>
          <w:iCs/>
          <w:lang w:val="en-GB"/>
        </w:rPr>
        <w:t xml:space="preserve"> </w:t>
      </w:r>
      <w:bookmarkEnd w:id="260"/>
      <w:r w:rsidRPr="00DE2EDF">
        <w:rPr>
          <w:rFonts w:eastAsia="Times New Roman" w:cs="Times New Roman"/>
          <w:iCs/>
          <w:lang w:val="en-GB"/>
        </w:rPr>
        <w:t xml:space="preserve">In </w:t>
      </w:r>
      <w:r w:rsidR="00A348C8" w:rsidRPr="00DE2EDF">
        <w:rPr>
          <w:rFonts w:eastAsia="Times New Roman" w:cs="Times New Roman"/>
          <w:iCs/>
          <w:lang w:val="en-GB"/>
        </w:rPr>
        <w:t xml:space="preserve">his </w:t>
      </w:r>
      <w:r w:rsidRPr="00DE2EDF">
        <w:rPr>
          <w:rFonts w:eastAsia="Times New Roman" w:cs="Times New Roman"/>
          <w:iCs/>
          <w:lang w:val="en-GB"/>
        </w:rPr>
        <w:t xml:space="preserve">opinion, the simpler term </w:t>
      </w:r>
      <w:r w:rsidR="00530E16" w:rsidRPr="00DE2EDF">
        <w:rPr>
          <w:rFonts w:eastAsia="Times New Roman" w:cs="Times New Roman"/>
          <w:iCs/>
          <w:lang w:val="en-GB"/>
        </w:rPr>
        <w:t>‘</w:t>
      </w:r>
      <w:r w:rsidR="00B40975" w:rsidRPr="00DE2EDF">
        <w:rPr>
          <w:rFonts w:eastAsia="Times New Roman" w:cs="Times New Roman"/>
          <w:iCs/>
          <w:lang w:val="en-GB"/>
        </w:rPr>
        <w:t>constitutional sources’</w:t>
      </w:r>
      <w:r w:rsidRPr="00DE2EDF">
        <w:rPr>
          <w:rFonts w:eastAsia="Times New Roman" w:cs="Times New Roman"/>
          <w:iCs/>
          <w:lang w:val="en-GB"/>
        </w:rPr>
        <w:t xml:space="preserve"> </w:t>
      </w:r>
      <w:r w:rsidR="002F4BB4" w:rsidRPr="00DE2EDF">
        <w:rPr>
          <w:rFonts w:eastAsia="Times New Roman" w:cs="Times New Roman"/>
          <w:iCs/>
          <w:lang w:val="en-GB"/>
        </w:rPr>
        <w:t>is</w:t>
      </w:r>
      <w:r w:rsidRPr="00DE2EDF">
        <w:rPr>
          <w:rFonts w:eastAsia="Times New Roman" w:cs="Times New Roman"/>
          <w:iCs/>
          <w:lang w:val="en-GB"/>
        </w:rPr>
        <w:t xml:space="preserve"> the most appropriate</w:t>
      </w:r>
      <w:r w:rsidR="002F4BB4" w:rsidRPr="00DE2EDF">
        <w:rPr>
          <w:rFonts w:eastAsia="Times New Roman" w:cs="Times New Roman"/>
          <w:iCs/>
          <w:lang w:val="en-GB"/>
        </w:rPr>
        <w:t xml:space="preserve"> term</w:t>
      </w:r>
      <w:r w:rsidRPr="00DE2EDF">
        <w:rPr>
          <w:rFonts w:eastAsia="Times New Roman" w:cs="Times New Roman"/>
          <w:iCs/>
          <w:lang w:val="en-GB"/>
        </w:rPr>
        <w:t xml:space="preserve">, which opinion is also held by the former President of the </w:t>
      </w:r>
      <w:r w:rsidR="000A790C" w:rsidRPr="00DE2EDF">
        <w:rPr>
          <w:rFonts w:eastAsia="Times New Roman" w:cs="Times New Roman"/>
          <w:i/>
          <w:iCs/>
          <w:lang w:val="en-GB"/>
        </w:rPr>
        <w:t>S</w:t>
      </w:r>
      <w:r w:rsidRPr="00DE2EDF">
        <w:rPr>
          <w:rFonts w:eastAsia="Times New Roman" w:cs="Times New Roman"/>
          <w:i/>
          <w:iCs/>
          <w:lang w:val="en-GB"/>
        </w:rPr>
        <w:t>ection du contentieux</w:t>
      </w:r>
      <w:r w:rsidRPr="00DE2EDF">
        <w:rPr>
          <w:rFonts w:eastAsia="Times New Roman" w:cs="Times New Roman"/>
          <w:iCs/>
          <w:lang w:val="en-GB"/>
        </w:rPr>
        <w:t xml:space="preserve"> of the </w:t>
      </w:r>
      <w:r w:rsidRPr="00DE2EDF">
        <w:rPr>
          <w:rFonts w:eastAsia="Times New Roman" w:cs="Times New Roman"/>
          <w:i/>
          <w:lang w:val="en-GB"/>
        </w:rPr>
        <w:t xml:space="preserve">Conseil </w:t>
      </w:r>
      <w:r w:rsidR="00825DB5" w:rsidRPr="00DE2EDF">
        <w:rPr>
          <w:rFonts w:eastAsia="Times New Roman" w:cs="Times New Roman"/>
          <w:i/>
          <w:lang w:val="en-GB"/>
        </w:rPr>
        <w:t>d’Etat</w:t>
      </w:r>
      <w:r w:rsidRPr="00DE2EDF">
        <w:rPr>
          <w:rFonts w:eastAsia="Times New Roman" w:cs="Times New Roman"/>
          <w:iCs/>
          <w:lang w:val="en-GB"/>
        </w:rPr>
        <w:t>, Bruno Genevois.</w:t>
      </w:r>
      <w:bookmarkStart w:id="261" w:name="_ftnref129"/>
      <w:r w:rsidRPr="00DE2EDF">
        <w:rPr>
          <w:rStyle w:val="FootnoteReference"/>
          <w:rFonts w:eastAsia="Times New Roman" w:cs="Times New Roman"/>
          <w:iCs/>
          <w:lang w:val="en-GB"/>
        </w:rPr>
        <w:footnoteReference w:id="159"/>
      </w:r>
      <w:r w:rsidRPr="00DE2EDF">
        <w:rPr>
          <w:rFonts w:eastAsia="Times New Roman" w:cs="Times New Roman"/>
          <w:iCs/>
          <w:lang w:val="en-GB"/>
        </w:rPr>
        <w:t xml:space="preserve"> </w:t>
      </w:r>
      <w:bookmarkEnd w:id="261"/>
      <w:r w:rsidRPr="00DE2EDF">
        <w:rPr>
          <w:rFonts w:eastAsia="Times New Roman" w:cs="Times New Roman"/>
          <w:iCs/>
          <w:lang w:val="en-GB"/>
        </w:rPr>
        <w:t xml:space="preserve">It is hardly surprising that, </w:t>
      </w:r>
      <w:r w:rsidR="000A790C" w:rsidRPr="00DE2EDF">
        <w:rPr>
          <w:rFonts w:eastAsia="Times New Roman" w:cs="Times New Roman"/>
          <w:iCs/>
          <w:lang w:val="en-GB"/>
        </w:rPr>
        <w:t>so far</w:t>
      </w:r>
      <w:r w:rsidRPr="00DE2EDF">
        <w:rPr>
          <w:rFonts w:eastAsia="Times New Roman" w:cs="Times New Roman"/>
          <w:iCs/>
          <w:lang w:val="en-GB"/>
        </w:rPr>
        <w:t>, Fritz Werner</w:t>
      </w:r>
      <w:r w:rsidR="00530E16" w:rsidRPr="00DE2EDF">
        <w:rPr>
          <w:rFonts w:eastAsia="Times New Roman" w:cs="Times New Roman"/>
          <w:iCs/>
          <w:lang w:val="en-GB"/>
        </w:rPr>
        <w:t>’</w:t>
      </w:r>
      <w:r w:rsidRPr="00DE2EDF">
        <w:rPr>
          <w:rFonts w:eastAsia="Times New Roman" w:cs="Times New Roman"/>
          <w:iCs/>
          <w:lang w:val="en-GB"/>
        </w:rPr>
        <w:t xml:space="preserve">s </w:t>
      </w:r>
      <w:r w:rsidR="00D74000" w:rsidRPr="00DE2EDF">
        <w:rPr>
          <w:rFonts w:eastAsia="Times New Roman" w:cs="Times New Roman"/>
          <w:iCs/>
          <w:lang w:val="en-GB"/>
        </w:rPr>
        <w:t>formula</w:t>
      </w:r>
      <w:r w:rsidRPr="00DE2EDF">
        <w:rPr>
          <w:rFonts w:eastAsia="Times New Roman" w:cs="Times New Roman"/>
          <w:iCs/>
          <w:lang w:val="en-GB"/>
        </w:rPr>
        <w:t xml:space="preserve"> found few supporters</w:t>
      </w:r>
      <w:r w:rsidR="000A790C" w:rsidRPr="00DE2EDF">
        <w:rPr>
          <w:rFonts w:eastAsia="Times New Roman" w:cs="Times New Roman"/>
          <w:iCs/>
          <w:lang w:val="en-GB"/>
        </w:rPr>
        <w:t xml:space="preserve"> in France</w:t>
      </w:r>
      <w:r w:rsidRPr="00DE2EDF">
        <w:rPr>
          <w:rFonts w:eastAsia="Times New Roman" w:cs="Times New Roman"/>
          <w:iCs/>
          <w:lang w:val="en-GB"/>
        </w:rPr>
        <w:t>.</w:t>
      </w:r>
      <w:bookmarkStart w:id="262" w:name="_ftnref130"/>
      <w:r w:rsidRPr="00DE2EDF">
        <w:rPr>
          <w:rStyle w:val="FootnoteReference"/>
          <w:rFonts w:eastAsia="Times New Roman" w:cs="Times New Roman"/>
          <w:iCs/>
          <w:lang w:val="en-GB"/>
        </w:rPr>
        <w:footnoteReference w:id="160"/>
      </w:r>
      <w:bookmarkEnd w:id="262"/>
    </w:p>
    <w:p w14:paraId="54D2AEF5" w14:textId="77777777" w:rsidR="000F4C26" w:rsidRPr="00DE2EDF" w:rsidRDefault="000F4C26" w:rsidP="00DE2EDF">
      <w:pPr>
        <w:spacing w:after="0"/>
        <w:jc w:val="both"/>
        <w:rPr>
          <w:rFonts w:eastAsia="Times New Roman" w:cs="Times New Roman"/>
          <w:iCs/>
          <w:lang w:val="en-GB"/>
        </w:rPr>
      </w:pPr>
    </w:p>
    <w:p w14:paraId="318EC5DF"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From the foregoing, the following conclusion can be drawn: </w:t>
      </w:r>
      <w:r w:rsidR="000A790C" w:rsidRPr="00DE2EDF">
        <w:rPr>
          <w:rFonts w:eastAsia="Times New Roman" w:cs="Times New Roman"/>
          <w:iCs/>
          <w:lang w:val="en-GB"/>
        </w:rPr>
        <w:t xml:space="preserve">the issue of the </w:t>
      </w:r>
      <w:r w:rsidRPr="00DE2EDF">
        <w:rPr>
          <w:rFonts w:eastAsia="Times New Roman" w:cs="Times New Roman"/>
          <w:i/>
          <w:lang w:val="en-GB"/>
        </w:rPr>
        <w:t>normative</w:t>
      </w:r>
      <w:bookmarkStart w:id="263" w:name="_Ref457885741"/>
      <w:r w:rsidRPr="00DE2EDF">
        <w:rPr>
          <w:rStyle w:val="FootnoteReference"/>
          <w:rFonts w:eastAsia="Times New Roman" w:cs="Times New Roman"/>
          <w:lang w:val="en-GB"/>
        </w:rPr>
        <w:footnoteReference w:id="161"/>
      </w:r>
      <w:bookmarkEnd w:id="263"/>
      <w:r w:rsidRPr="00DE2EDF">
        <w:rPr>
          <w:rFonts w:eastAsia="Times New Roman" w:cs="Times New Roman"/>
          <w:i/>
          <w:lang w:val="en-GB"/>
        </w:rPr>
        <w:t xml:space="preserve"> </w:t>
      </w:r>
      <w:r w:rsidRPr="00DE2EDF">
        <w:rPr>
          <w:rFonts w:eastAsia="Times New Roman" w:cs="Times New Roman"/>
          <w:iCs/>
          <w:lang w:val="en-GB"/>
        </w:rPr>
        <w:t xml:space="preserve">influence </w:t>
      </w:r>
      <w:r w:rsidR="000A790C" w:rsidRPr="00DE2EDF">
        <w:rPr>
          <w:rFonts w:eastAsia="Times New Roman" w:cs="Times New Roman"/>
          <w:iCs/>
          <w:lang w:val="en-GB"/>
        </w:rPr>
        <w:t xml:space="preserve">of </w:t>
      </w:r>
      <w:r w:rsidRPr="00DE2EDF">
        <w:rPr>
          <w:rFonts w:eastAsia="Times New Roman" w:cs="Times New Roman"/>
          <w:iCs/>
          <w:lang w:val="en-GB"/>
        </w:rPr>
        <w:t>the Constitution opens up a wide range of results. Germany and Sweden represent</w:t>
      </w:r>
      <w:r w:rsidR="00015C30" w:rsidRPr="00DE2EDF">
        <w:rPr>
          <w:rFonts w:eastAsia="Times New Roman" w:cs="Times New Roman"/>
          <w:iCs/>
          <w:lang w:val="en-GB"/>
        </w:rPr>
        <w:t>, in Europe,</w:t>
      </w:r>
      <w:r w:rsidRPr="00DE2EDF">
        <w:rPr>
          <w:rFonts w:eastAsia="Times New Roman" w:cs="Times New Roman"/>
          <w:iCs/>
          <w:lang w:val="en-GB"/>
        </w:rPr>
        <w:t xml:space="preserve"> the two extremes of the spectrum</w:t>
      </w:r>
      <w:bookmarkStart w:id="264" w:name="_ftnref132"/>
      <w:r w:rsidR="00CE24E4">
        <w:rPr>
          <w:rFonts w:eastAsia="Times New Roman" w:cs="Times New Roman"/>
          <w:iCs/>
          <w:lang w:val="en-GB"/>
        </w:rPr>
        <w:t>,</w:t>
      </w:r>
      <w:r w:rsidRPr="00DE2EDF">
        <w:rPr>
          <w:rStyle w:val="FootnoteReference"/>
          <w:rFonts w:eastAsia="Times New Roman" w:cs="Times New Roman"/>
          <w:iCs/>
          <w:lang w:val="en-GB"/>
        </w:rPr>
        <w:footnoteReference w:id="162"/>
      </w:r>
      <w:r w:rsidRPr="00DE2EDF">
        <w:rPr>
          <w:rFonts w:eastAsia="Times New Roman" w:cs="Times New Roman"/>
          <w:iCs/>
          <w:lang w:val="en-GB"/>
        </w:rPr>
        <w:t xml:space="preserve"> </w:t>
      </w:r>
      <w:bookmarkEnd w:id="264"/>
      <w:r w:rsidRPr="00DE2EDF">
        <w:rPr>
          <w:rFonts w:eastAsia="Times New Roman" w:cs="Times New Roman"/>
          <w:iCs/>
          <w:lang w:val="en-GB"/>
        </w:rPr>
        <w:t>and in between is a plurality of legal systems, in which the intensity of the influence of the Constitution, depending on the commentator, is assessed as strong,</w:t>
      </w:r>
      <w:bookmarkStart w:id="265" w:name="_Ref401053466"/>
      <w:r w:rsidRPr="00DE2EDF">
        <w:rPr>
          <w:rStyle w:val="FootnoteReference"/>
          <w:rFonts w:eastAsia="Times New Roman" w:cs="Times New Roman"/>
          <w:iCs/>
          <w:lang w:val="en-GB"/>
        </w:rPr>
        <w:footnoteReference w:id="163"/>
      </w:r>
      <w:bookmarkEnd w:id="265"/>
      <w:r w:rsidRPr="00DE2EDF">
        <w:rPr>
          <w:rFonts w:eastAsia="Times New Roman" w:cs="Times New Roman"/>
          <w:iCs/>
          <w:lang w:val="en-GB"/>
        </w:rPr>
        <w:t xml:space="preserve"> weak, or relatively limited</w:t>
      </w:r>
      <w:bookmarkStart w:id="266" w:name="_Ref252452105"/>
      <w:bookmarkStart w:id="267" w:name="_Ref252457059"/>
      <w:bookmarkStart w:id="268" w:name="_ftnref134"/>
      <w:bookmarkEnd w:id="266"/>
      <w:bookmarkEnd w:id="267"/>
      <w:r w:rsidRPr="00DE2EDF">
        <w:rPr>
          <w:rFonts w:eastAsia="Times New Roman" w:cs="Times New Roman"/>
          <w:iCs/>
          <w:lang w:val="en-GB"/>
        </w:rPr>
        <w:t>.</w:t>
      </w:r>
      <w:bookmarkStart w:id="269" w:name="_Ref401125425"/>
      <w:r w:rsidRPr="00DE2EDF">
        <w:rPr>
          <w:rStyle w:val="FootnoteReference"/>
          <w:rFonts w:eastAsia="Times New Roman" w:cs="Times New Roman"/>
          <w:iCs/>
          <w:lang w:val="en-GB"/>
        </w:rPr>
        <w:footnoteReference w:id="164"/>
      </w:r>
      <w:bookmarkEnd w:id="268"/>
      <w:bookmarkEnd w:id="269"/>
      <w:r w:rsidRPr="00DE2EDF">
        <w:rPr>
          <w:rFonts w:eastAsia="Times New Roman" w:cs="Times New Roman"/>
          <w:iCs/>
          <w:lang w:val="en-GB"/>
        </w:rPr>
        <w:t xml:space="preserve"> </w:t>
      </w:r>
      <w:r w:rsidR="000A790C" w:rsidRPr="00DE2EDF">
        <w:rPr>
          <w:rFonts w:eastAsia="Times New Roman" w:cs="Times New Roman"/>
          <w:iCs/>
          <w:lang w:val="en-GB"/>
        </w:rPr>
        <w:t xml:space="preserve">Due to lack of time and space, </w:t>
      </w:r>
      <w:r w:rsidR="002F4BB4" w:rsidRPr="00DE2EDF">
        <w:rPr>
          <w:rFonts w:eastAsia="Times New Roman" w:cs="Times New Roman"/>
          <w:iCs/>
          <w:lang w:val="en-GB"/>
        </w:rPr>
        <w:t xml:space="preserve">neither </w:t>
      </w:r>
      <w:r w:rsidR="000A790C" w:rsidRPr="00DE2EDF">
        <w:rPr>
          <w:rFonts w:eastAsia="Times New Roman" w:cs="Times New Roman"/>
          <w:iCs/>
          <w:lang w:val="en-GB"/>
        </w:rPr>
        <w:t>s</w:t>
      </w:r>
      <w:r w:rsidR="0080189E">
        <w:rPr>
          <w:rFonts w:eastAsia="Times New Roman" w:cs="Times New Roman"/>
          <w:iCs/>
          <w:lang w:val="en-GB"/>
        </w:rPr>
        <w:t>uch global characteriz</w:t>
      </w:r>
      <w:r w:rsidRPr="00DE2EDF">
        <w:rPr>
          <w:rFonts w:eastAsia="Times New Roman" w:cs="Times New Roman"/>
          <w:iCs/>
          <w:lang w:val="en-GB"/>
        </w:rPr>
        <w:t xml:space="preserve">ations </w:t>
      </w:r>
      <w:r w:rsidR="002F4BB4" w:rsidRPr="00DE2EDF">
        <w:rPr>
          <w:rFonts w:eastAsia="Times New Roman" w:cs="Times New Roman"/>
          <w:iCs/>
          <w:lang w:val="en-GB"/>
        </w:rPr>
        <w:t xml:space="preserve">nor </w:t>
      </w:r>
      <w:r w:rsidR="000A790C" w:rsidRPr="00DE2EDF">
        <w:rPr>
          <w:rFonts w:eastAsia="Times New Roman" w:cs="Times New Roman"/>
          <w:iCs/>
          <w:lang w:val="en-GB"/>
        </w:rPr>
        <w:t xml:space="preserve">the methodological foundations </w:t>
      </w:r>
      <w:r w:rsidR="003A0559" w:rsidRPr="00DE2EDF">
        <w:rPr>
          <w:rFonts w:eastAsia="Times New Roman" w:cs="Times New Roman"/>
          <w:iCs/>
          <w:lang w:val="en-GB"/>
        </w:rPr>
        <w:t>there</w:t>
      </w:r>
      <w:r w:rsidR="000A790C" w:rsidRPr="00DE2EDF">
        <w:rPr>
          <w:rFonts w:eastAsia="Times New Roman" w:cs="Times New Roman"/>
          <w:iCs/>
          <w:lang w:val="en-GB"/>
        </w:rPr>
        <w:t xml:space="preserve">of </w:t>
      </w:r>
      <w:r w:rsidRPr="00DE2EDF">
        <w:rPr>
          <w:rFonts w:eastAsia="Times New Roman" w:cs="Times New Roman"/>
          <w:iCs/>
          <w:lang w:val="en-GB"/>
        </w:rPr>
        <w:t xml:space="preserve">(e.g., do all authors understand </w:t>
      </w:r>
      <w:r w:rsidR="00977790" w:rsidRPr="00DE2EDF">
        <w:rPr>
          <w:rFonts w:eastAsia="Times New Roman" w:cs="Times New Roman"/>
          <w:iCs/>
          <w:lang w:val="en-GB"/>
        </w:rPr>
        <w:t>the</w:t>
      </w:r>
      <w:r w:rsidRPr="00DE2EDF">
        <w:rPr>
          <w:rFonts w:eastAsia="Times New Roman" w:cs="Times New Roman"/>
          <w:iCs/>
          <w:lang w:val="en-GB"/>
        </w:rPr>
        <w:t xml:space="preserve"> terms </w:t>
      </w:r>
      <w:r w:rsidR="00530E16" w:rsidRPr="00DE2EDF">
        <w:rPr>
          <w:rFonts w:eastAsia="Times New Roman" w:cs="Times New Roman"/>
          <w:iCs/>
          <w:lang w:val="en-GB"/>
        </w:rPr>
        <w:t>‘</w:t>
      </w:r>
      <w:r w:rsidRPr="00DE2EDF">
        <w:rPr>
          <w:rFonts w:eastAsia="Times New Roman" w:cs="Times New Roman"/>
          <w:iCs/>
          <w:lang w:val="en-GB"/>
        </w:rPr>
        <w:t>strong</w:t>
      </w:r>
      <w:r w:rsidR="00530E16" w:rsidRPr="00DE2EDF">
        <w:rPr>
          <w:rFonts w:eastAsia="Times New Roman" w:cs="Times New Roman"/>
          <w:iCs/>
          <w:lang w:val="en-GB"/>
        </w:rPr>
        <w:t>’</w:t>
      </w:r>
      <w:r w:rsidRPr="00DE2EDF">
        <w:rPr>
          <w:rFonts w:eastAsia="Times New Roman" w:cs="Times New Roman"/>
          <w:iCs/>
          <w:lang w:val="en-GB"/>
        </w:rPr>
        <w:t xml:space="preserve"> and </w:t>
      </w:r>
      <w:r w:rsidR="00530E16" w:rsidRPr="00DE2EDF">
        <w:rPr>
          <w:rFonts w:eastAsia="Times New Roman" w:cs="Times New Roman"/>
          <w:iCs/>
          <w:lang w:val="en-GB"/>
        </w:rPr>
        <w:t>‘</w:t>
      </w:r>
      <w:r w:rsidRPr="00DE2EDF">
        <w:rPr>
          <w:rFonts w:eastAsia="Times New Roman" w:cs="Times New Roman"/>
          <w:iCs/>
          <w:lang w:val="en-GB"/>
        </w:rPr>
        <w:t>weak</w:t>
      </w:r>
      <w:r w:rsidR="00530E16" w:rsidRPr="00DE2EDF">
        <w:rPr>
          <w:rFonts w:eastAsia="Times New Roman" w:cs="Times New Roman"/>
          <w:iCs/>
          <w:lang w:val="en-GB"/>
        </w:rPr>
        <w:t>’</w:t>
      </w:r>
      <w:r w:rsidRPr="00DE2EDF">
        <w:rPr>
          <w:rFonts w:eastAsia="Times New Roman" w:cs="Times New Roman"/>
          <w:iCs/>
          <w:lang w:val="en-GB"/>
        </w:rPr>
        <w:t xml:space="preserve"> in the same way?)</w:t>
      </w:r>
      <w:r w:rsidR="002F4BB4" w:rsidRPr="00DE2EDF">
        <w:rPr>
          <w:rFonts w:eastAsia="Times New Roman" w:cs="Times New Roman"/>
          <w:iCs/>
          <w:lang w:val="en-GB"/>
        </w:rPr>
        <w:t xml:space="preserve"> can be discussed here</w:t>
      </w:r>
      <w:r w:rsidRPr="00DE2EDF">
        <w:rPr>
          <w:rFonts w:eastAsia="Times New Roman" w:cs="Times New Roman"/>
          <w:iCs/>
          <w:lang w:val="en-GB"/>
        </w:rPr>
        <w:t xml:space="preserve">. </w:t>
      </w:r>
      <w:r w:rsidR="002F4BB4" w:rsidRPr="00DE2EDF">
        <w:rPr>
          <w:rFonts w:eastAsia="Times New Roman" w:cs="Times New Roman"/>
          <w:iCs/>
          <w:lang w:val="en-GB"/>
        </w:rPr>
        <w:t xml:space="preserve">However, it </w:t>
      </w:r>
      <w:r w:rsidRPr="00DE2EDF">
        <w:rPr>
          <w:rFonts w:eastAsia="Times New Roman" w:cs="Times New Roman"/>
          <w:iCs/>
          <w:lang w:val="en-GB"/>
        </w:rPr>
        <w:t xml:space="preserve">is undeniable that there are different degrees of constitutional </w:t>
      </w:r>
      <w:r w:rsidR="008642D5" w:rsidRPr="00DE2EDF">
        <w:rPr>
          <w:rFonts w:eastAsia="Times New Roman" w:cs="Times New Roman"/>
          <w:iCs/>
          <w:lang w:val="en-GB"/>
        </w:rPr>
        <w:t>predetermination of administrative law norms</w:t>
      </w:r>
      <w:r w:rsidRPr="00DE2EDF">
        <w:rPr>
          <w:rFonts w:eastAsia="Times New Roman" w:cs="Times New Roman"/>
          <w:iCs/>
          <w:lang w:val="en-GB"/>
        </w:rPr>
        <w:t xml:space="preserve">. The channels (actors, instruments), the pace, the range (e.g., are all legal </w:t>
      </w:r>
      <w:r w:rsidR="000A790C" w:rsidRPr="00DE2EDF">
        <w:rPr>
          <w:rFonts w:eastAsia="Times New Roman" w:cs="Times New Roman"/>
          <w:iCs/>
          <w:lang w:val="en-GB"/>
        </w:rPr>
        <w:t>areas</w:t>
      </w:r>
      <w:r w:rsidRPr="00DE2EDF">
        <w:rPr>
          <w:rFonts w:eastAsia="Times New Roman" w:cs="Times New Roman"/>
          <w:iCs/>
          <w:lang w:val="en-GB"/>
        </w:rPr>
        <w:t xml:space="preserve"> affected in the same way?) as well a</w:t>
      </w:r>
      <w:r w:rsidR="00E56886">
        <w:rPr>
          <w:rFonts w:eastAsia="Times New Roman" w:cs="Times New Roman"/>
          <w:iCs/>
          <w:lang w:val="en-GB"/>
        </w:rPr>
        <w:t>s the result of constitutionaliz</w:t>
      </w:r>
      <w:r w:rsidRPr="00DE2EDF">
        <w:rPr>
          <w:rFonts w:eastAsia="Times New Roman" w:cs="Times New Roman"/>
          <w:iCs/>
          <w:lang w:val="en-GB"/>
        </w:rPr>
        <w:t>ation (e.g., does it convert or simply consolidate ordinary law?) vary.</w:t>
      </w:r>
      <w:bookmarkStart w:id="270" w:name="_ftnref135"/>
      <w:r w:rsidRPr="00DE2EDF">
        <w:rPr>
          <w:rStyle w:val="FootnoteReference"/>
          <w:rFonts w:eastAsia="Times New Roman" w:cs="Times New Roman"/>
          <w:iCs/>
          <w:lang w:val="en-GB"/>
        </w:rPr>
        <w:footnoteReference w:id="165"/>
      </w:r>
      <w:bookmarkEnd w:id="270"/>
    </w:p>
    <w:p w14:paraId="4D49BFD2" w14:textId="77777777" w:rsidR="002D66C1" w:rsidRPr="00DE2EDF" w:rsidRDefault="002D66C1" w:rsidP="00DE2EDF">
      <w:pPr>
        <w:spacing w:after="0"/>
        <w:jc w:val="both"/>
        <w:rPr>
          <w:rFonts w:eastAsia="Times New Roman" w:cs="Times New Roman"/>
          <w:iCs/>
          <w:lang w:val="en-GB"/>
        </w:rPr>
      </w:pPr>
    </w:p>
    <w:p w14:paraId="2150C3E4" w14:textId="77777777" w:rsidR="003472F3" w:rsidRPr="00DE2EDF" w:rsidRDefault="002D66C1" w:rsidP="00DE2EDF">
      <w:pPr>
        <w:pStyle w:val="Heading2"/>
        <w:spacing w:before="0" w:after="0" w:line="276" w:lineRule="auto"/>
        <w:ind w:left="0" w:firstLine="0"/>
        <w:rPr>
          <w:rFonts w:eastAsia="Times New Roman" w:cs="Times New Roman"/>
          <w:szCs w:val="24"/>
          <w:lang w:val="en-GB"/>
        </w:rPr>
      </w:pPr>
      <w:bookmarkStart w:id="271" w:name="_Toc253048948"/>
      <w:bookmarkStart w:id="272" w:name="_Toc252700495"/>
      <w:bookmarkStart w:id="273" w:name="_Toc245196680"/>
      <w:bookmarkStart w:id="274" w:name="_Toc460405641"/>
      <w:bookmarkEnd w:id="271"/>
      <w:bookmarkEnd w:id="272"/>
      <w:r w:rsidRPr="00DE2EDF">
        <w:rPr>
          <w:rFonts w:eastAsia="Times New Roman" w:cs="Times New Roman"/>
          <w:szCs w:val="24"/>
          <w:lang w:val="en-GB"/>
        </w:rPr>
        <w:lastRenderedPageBreak/>
        <w:t xml:space="preserve">2. </w:t>
      </w:r>
      <w:r w:rsidR="003472F3" w:rsidRPr="00DE2EDF">
        <w:rPr>
          <w:rFonts w:eastAsia="Times New Roman" w:cs="Times New Roman"/>
          <w:szCs w:val="24"/>
          <w:lang w:val="en-GB"/>
        </w:rPr>
        <w:t xml:space="preserve">The </w:t>
      </w:r>
      <w:r w:rsidR="007B2077" w:rsidRPr="00DE2EDF">
        <w:rPr>
          <w:rFonts w:eastAsia="Times New Roman" w:cs="Times New Roman"/>
          <w:szCs w:val="24"/>
          <w:lang w:val="en-GB"/>
        </w:rPr>
        <w:t>C</w:t>
      </w:r>
      <w:r w:rsidR="003472F3" w:rsidRPr="00DE2EDF">
        <w:rPr>
          <w:rFonts w:eastAsia="Times New Roman" w:cs="Times New Roman"/>
          <w:szCs w:val="24"/>
          <w:lang w:val="en-GB"/>
        </w:rPr>
        <w:t>auses</w:t>
      </w:r>
      <w:r w:rsidR="00C53B02" w:rsidRPr="00DE2EDF">
        <w:rPr>
          <w:rFonts w:eastAsia="Times New Roman" w:cs="Times New Roman"/>
          <w:szCs w:val="24"/>
          <w:lang w:val="en-GB"/>
        </w:rPr>
        <w:t xml:space="preserve"> of the </w:t>
      </w:r>
      <w:r w:rsidR="007B2077" w:rsidRPr="00DE2EDF">
        <w:rPr>
          <w:rFonts w:eastAsia="Times New Roman" w:cs="Times New Roman"/>
          <w:szCs w:val="24"/>
          <w:lang w:val="en-GB"/>
        </w:rPr>
        <w:t>D</w:t>
      </w:r>
      <w:r w:rsidR="00C53B02" w:rsidRPr="00DE2EDF">
        <w:rPr>
          <w:rFonts w:eastAsia="Times New Roman" w:cs="Times New Roman"/>
          <w:szCs w:val="24"/>
          <w:lang w:val="en-GB"/>
        </w:rPr>
        <w:t>iversity</w:t>
      </w:r>
      <w:r w:rsidR="003472F3" w:rsidRPr="00DE2EDF">
        <w:rPr>
          <w:rFonts w:eastAsia="Times New Roman" w:cs="Times New Roman"/>
          <w:szCs w:val="24"/>
          <w:lang w:val="en-GB"/>
        </w:rPr>
        <w:t xml:space="preserve">: </w:t>
      </w:r>
      <w:r w:rsidR="00EA2E67" w:rsidRPr="00DE2EDF">
        <w:rPr>
          <w:rFonts w:eastAsia="Times New Roman" w:cs="Times New Roman"/>
          <w:szCs w:val="24"/>
          <w:lang w:val="en-GB"/>
        </w:rPr>
        <w:t>T</w:t>
      </w:r>
      <w:r w:rsidR="003472F3" w:rsidRPr="00DE2EDF">
        <w:rPr>
          <w:rFonts w:eastAsia="Times New Roman" w:cs="Times New Roman"/>
          <w:szCs w:val="24"/>
          <w:lang w:val="en-GB"/>
        </w:rPr>
        <w:t xml:space="preserve">he </w:t>
      </w:r>
      <w:r w:rsidR="007B2077" w:rsidRPr="00DE2EDF">
        <w:rPr>
          <w:rFonts w:eastAsia="Times New Roman" w:cs="Times New Roman"/>
          <w:szCs w:val="24"/>
          <w:lang w:val="en-GB"/>
        </w:rPr>
        <w:t>D</w:t>
      </w:r>
      <w:r w:rsidR="003472F3" w:rsidRPr="00DE2EDF">
        <w:rPr>
          <w:rFonts w:eastAsia="Times New Roman" w:cs="Times New Roman"/>
          <w:szCs w:val="24"/>
          <w:lang w:val="en-GB"/>
        </w:rPr>
        <w:t>i</w:t>
      </w:r>
      <w:r w:rsidR="00C53B02" w:rsidRPr="00DE2EDF">
        <w:rPr>
          <w:rFonts w:eastAsia="Times New Roman" w:cs="Times New Roman"/>
          <w:szCs w:val="24"/>
          <w:lang w:val="en-GB"/>
        </w:rPr>
        <w:t>fferent</w:t>
      </w:r>
      <w:r w:rsidR="003472F3" w:rsidRPr="00DE2EDF">
        <w:rPr>
          <w:rFonts w:eastAsia="Times New Roman" w:cs="Times New Roman"/>
          <w:szCs w:val="24"/>
          <w:lang w:val="en-GB"/>
        </w:rPr>
        <w:t xml:space="preserve"> </w:t>
      </w:r>
      <w:r w:rsidR="007B2077" w:rsidRPr="00DE2EDF">
        <w:rPr>
          <w:rFonts w:eastAsia="Times New Roman" w:cs="Times New Roman"/>
          <w:szCs w:val="24"/>
          <w:lang w:val="en-GB"/>
        </w:rPr>
        <w:t>P</w:t>
      </w:r>
      <w:r w:rsidR="003472F3" w:rsidRPr="00DE2EDF">
        <w:rPr>
          <w:rFonts w:eastAsia="Times New Roman" w:cs="Times New Roman"/>
          <w:szCs w:val="24"/>
          <w:lang w:val="en-GB"/>
        </w:rPr>
        <w:t xml:space="preserve">arameters of </w:t>
      </w:r>
      <w:r w:rsidR="00015C30" w:rsidRPr="00DE2EDF">
        <w:rPr>
          <w:rFonts w:eastAsia="Times New Roman" w:cs="Times New Roman"/>
          <w:szCs w:val="24"/>
          <w:lang w:val="en-GB"/>
        </w:rPr>
        <w:t xml:space="preserve">a </w:t>
      </w:r>
      <w:r w:rsidR="007B2077" w:rsidRPr="00DE2EDF">
        <w:rPr>
          <w:rFonts w:eastAsia="Times New Roman" w:cs="Times New Roman"/>
          <w:szCs w:val="24"/>
          <w:lang w:val="en-GB"/>
        </w:rPr>
        <w:t>C</w:t>
      </w:r>
      <w:r w:rsidR="003472F3" w:rsidRPr="00DE2EDF">
        <w:rPr>
          <w:rFonts w:eastAsia="Times New Roman" w:cs="Times New Roman"/>
          <w:szCs w:val="24"/>
          <w:lang w:val="en-GB"/>
        </w:rPr>
        <w:t xml:space="preserve">omplex </w:t>
      </w:r>
      <w:r w:rsidR="007B2077" w:rsidRPr="00DE2EDF">
        <w:rPr>
          <w:rFonts w:eastAsia="Times New Roman" w:cs="Times New Roman"/>
          <w:szCs w:val="24"/>
          <w:lang w:val="en-GB"/>
        </w:rPr>
        <w:t>P</w:t>
      </w:r>
      <w:r w:rsidR="00015C30" w:rsidRPr="00DE2EDF">
        <w:rPr>
          <w:rFonts w:eastAsia="Times New Roman" w:cs="Times New Roman"/>
          <w:szCs w:val="24"/>
          <w:lang w:val="en-GB"/>
        </w:rPr>
        <w:t>henomenon</w:t>
      </w:r>
      <w:bookmarkEnd w:id="273"/>
      <w:bookmarkEnd w:id="274"/>
    </w:p>
    <w:p w14:paraId="3277CB2F" w14:textId="77777777" w:rsidR="002D66C1" w:rsidRPr="00DE2EDF" w:rsidRDefault="002D66C1" w:rsidP="00DE2EDF">
      <w:pPr>
        <w:spacing w:after="0"/>
        <w:jc w:val="both"/>
        <w:rPr>
          <w:rFonts w:eastAsia="Times New Roman" w:cs="Times New Roman"/>
          <w:iCs/>
          <w:lang w:val="en-GB"/>
        </w:rPr>
      </w:pPr>
    </w:p>
    <w:p w14:paraId="38BA9D3F" w14:textId="77777777" w:rsidR="003472F3" w:rsidRPr="00DE2EDF" w:rsidRDefault="00E56886" w:rsidP="00DE2EDF">
      <w:pPr>
        <w:spacing w:after="0"/>
        <w:jc w:val="both"/>
        <w:rPr>
          <w:rFonts w:eastAsia="Times New Roman" w:cs="Times New Roman"/>
          <w:iCs/>
          <w:lang w:val="en-GB"/>
        </w:rPr>
      </w:pPr>
      <w:r>
        <w:rPr>
          <w:rFonts w:eastAsia="Times New Roman" w:cs="Times New Roman"/>
          <w:iCs/>
          <w:lang w:val="en-GB"/>
        </w:rPr>
        <w:t>Constitutionaliz</w:t>
      </w:r>
      <w:r w:rsidR="003472F3" w:rsidRPr="00DE2EDF">
        <w:rPr>
          <w:rFonts w:eastAsia="Times New Roman" w:cs="Times New Roman"/>
          <w:iCs/>
          <w:lang w:val="en-GB"/>
        </w:rPr>
        <w:t>ation</w:t>
      </w:r>
      <w:r w:rsidR="009C4C75" w:rsidRPr="00DE2EDF">
        <w:rPr>
          <w:rFonts w:eastAsia="Times New Roman" w:cs="Times New Roman"/>
          <w:iCs/>
          <w:lang w:val="en-GB"/>
        </w:rPr>
        <w:t xml:space="preserve">, </w:t>
      </w:r>
      <w:r w:rsidR="003472F3" w:rsidRPr="00DE2EDF">
        <w:rPr>
          <w:rFonts w:eastAsia="Times New Roman" w:cs="Times New Roman"/>
          <w:iCs/>
          <w:lang w:val="en-GB"/>
        </w:rPr>
        <w:t>in the third sense</w:t>
      </w:r>
      <w:r w:rsidR="009C4C75" w:rsidRPr="00DE2EDF">
        <w:rPr>
          <w:rFonts w:eastAsia="Times New Roman" w:cs="Times New Roman"/>
          <w:iCs/>
          <w:lang w:val="en-GB"/>
        </w:rPr>
        <w:t xml:space="preserve">, </w:t>
      </w:r>
      <w:r w:rsidR="003472F3" w:rsidRPr="00DE2EDF">
        <w:rPr>
          <w:rFonts w:eastAsia="Times New Roman" w:cs="Times New Roman"/>
          <w:iCs/>
          <w:lang w:val="en-GB"/>
        </w:rPr>
        <w:t xml:space="preserve">is a phenomenon that can take different shapes and forms, which is supported, artificially exaggerated, inhibited, or thwarted by a variety of factors. </w:t>
      </w:r>
    </w:p>
    <w:p w14:paraId="6A2F4530" w14:textId="77777777" w:rsidR="00ED3DAA" w:rsidRPr="00DE2EDF" w:rsidRDefault="00ED3DAA" w:rsidP="00DE2EDF">
      <w:pPr>
        <w:spacing w:after="0"/>
        <w:jc w:val="both"/>
        <w:rPr>
          <w:rFonts w:eastAsia="Times New Roman" w:cs="Times New Roman"/>
          <w:iCs/>
          <w:lang w:val="en-GB"/>
        </w:rPr>
      </w:pPr>
    </w:p>
    <w:p w14:paraId="327E3155" w14:textId="77777777" w:rsidR="003472F3" w:rsidRPr="00DE2EDF" w:rsidRDefault="00ED3DAA" w:rsidP="00DE2EDF">
      <w:pPr>
        <w:pStyle w:val="Heading3"/>
        <w:rPr>
          <w:rStyle w:val="Heading3Char"/>
          <w:rFonts w:cs="Times New Roman"/>
          <w:i/>
          <w:szCs w:val="24"/>
        </w:rPr>
      </w:pPr>
      <w:bookmarkStart w:id="275" w:name="_Toc253048949"/>
      <w:bookmarkStart w:id="276" w:name="_Toc252700496"/>
      <w:bookmarkStart w:id="277" w:name="_Toc245196681"/>
      <w:bookmarkStart w:id="278" w:name="_Toc460405642"/>
      <w:bookmarkEnd w:id="275"/>
      <w:bookmarkEnd w:id="276"/>
      <w:r w:rsidRPr="00DE2EDF">
        <w:rPr>
          <w:rStyle w:val="Heading3Char"/>
          <w:rFonts w:cs="Times New Roman"/>
          <w:i/>
          <w:szCs w:val="24"/>
        </w:rPr>
        <w:t xml:space="preserve">a) </w:t>
      </w:r>
      <w:r w:rsidR="003472F3" w:rsidRPr="00DE2EDF">
        <w:rPr>
          <w:rStyle w:val="Heading3Char"/>
          <w:rFonts w:cs="Times New Roman"/>
          <w:i/>
          <w:szCs w:val="24"/>
        </w:rPr>
        <w:t xml:space="preserve">The </w:t>
      </w:r>
      <w:r w:rsidR="007B2077" w:rsidRPr="00DE2EDF">
        <w:rPr>
          <w:rStyle w:val="Heading3Char"/>
          <w:rFonts w:cs="Times New Roman"/>
          <w:i/>
          <w:szCs w:val="24"/>
        </w:rPr>
        <w:t>N</w:t>
      </w:r>
      <w:r w:rsidR="003472F3" w:rsidRPr="00DE2EDF">
        <w:rPr>
          <w:rStyle w:val="Heading3Char"/>
          <w:rFonts w:cs="Times New Roman"/>
          <w:i/>
          <w:szCs w:val="24"/>
        </w:rPr>
        <w:t xml:space="preserve">umber of </w:t>
      </w:r>
      <w:r w:rsidR="007B2077" w:rsidRPr="00DE2EDF">
        <w:rPr>
          <w:rStyle w:val="Heading3Char"/>
          <w:rFonts w:cs="Times New Roman"/>
          <w:i/>
          <w:szCs w:val="24"/>
        </w:rPr>
        <w:t>A</w:t>
      </w:r>
      <w:r w:rsidR="003472F3" w:rsidRPr="00DE2EDF">
        <w:rPr>
          <w:rStyle w:val="Heading3Char"/>
          <w:rFonts w:cs="Times New Roman"/>
          <w:i/>
          <w:szCs w:val="24"/>
        </w:rPr>
        <w:t>dministratively-</w:t>
      </w:r>
      <w:r w:rsidR="007B2077" w:rsidRPr="00DE2EDF">
        <w:rPr>
          <w:rStyle w:val="Heading3Char"/>
          <w:rFonts w:cs="Times New Roman"/>
          <w:i/>
          <w:szCs w:val="24"/>
        </w:rPr>
        <w:t>R</w:t>
      </w:r>
      <w:r w:rsidR="003472F3" w:rsidRPr="00DE2EDF">
        <w:rPr>
          <w:rStyle w:val="Heading3Char"/>
          <w:rFonts w:cs="Times New Roman"/>
          <w:i/>
          <w:szCs w:val="24"/>
        </w:rPr>
        <w:t xml:space="preserve">elevant </w:t>
      </w:r>
      <w:r w:rsidR="007B2077" w:rsidRPr="00DE2EDF">
        <w:rPr>
          <w:rStyle w:val="Heading3Char"/>
          <w:rFonts w:cs="Times New Roman"/>
          <w:i/>
          <w:szCs w:val="24"/>
        </w:rPr>
        <w:t>C</w:t>
      </w:r>
      <w:r w:rsidR="003472F3" w:rsidRPr="00DE2EDF">
        <w:rPr>
          <w:rStyle w:val="Heading3Char"/>
          <w:rFonts w:cs="Times New Roman"/>
          <w:i/>
          <w:szCs w:val="24"/>
        </w:rPr>
        <w:t xml:space="preserve">onstitutional </w:t>
      </w:r>
      <w:r w:rsidR="007B2077" w:rsidRPr="00DE2EDF">
        <w:rPr>
          <w:rStyle w:val="Heading3Char"/>
          <w:rFonts w:cs="Times New Roman"/>
          <w:i/>
          <w:szCs w:val="24"/>
        </w:rPr>
        <w:t>N</w:t>
      </w:r>
      <w:r w:rsidR="003472F3" w:rsidRPr="00DE2EDF">
        <w:rPr>
          <w:rStyle w:val="Heading3Char"/>
          <w:rFonts w:cs="Times New Roman"/>
          <w:i/>
          <w:szCs w:val="24"/>
        </w:rPr>
        <w:t>orms</w:t>
      </w:r>
      <w:bookmarkEnd w:id="277"/>
      <w:bookmarkEnd w:id="278"/>
    </w:p>
    <w:p w14:paraId="2E375D20" w14:textId="77777777" w:rsidR="00ED3DAA" w:rsidRPr="00DE2EDF" w:rsidRDefault="00ED3DAA" w:rsidP="00DE2EDF">
      <w:pPr>
        <w:spacing w:after="0"/>
        <w:rPr>
          <w:rFonts w:cs="Times New Roman"/>
          <w:lang w:val="en-GB"/>
        </w:rPr>
      </w:pPr>
    </w:p>
    <w:p w14:paraId="1CFC66E6"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The shaping power of a Constitution depends, first, on </w:t>
      </w:r>
      <w:r w:rsidR="00390968" w:rsidRPr="00DE2EDF">
        <w:rPr>
          <w:rFonts w:eastAsia="Times New Roman" w:cs="Times New Roman"/>
          <w:iCs/>
          <w:lang w:val="en-GB"/>
        </w:rPr>
        <w:t>its</w:t>
      </w:r>
      <w:r w:rsidRPr="00DE2EDF">
        <w:rPr>
          <w:rFonts w:eastAsia="Times New Roman" w:cs="Times New Roman"/>
          <w:iCs/>
          <w:lang w:val="en-GB"/>
        </w:rPr>
        <w:t xml:space="preserve"> co</w:t>
      </w:r>
      <w:r w:rsidR="003150F1" w:rsidRPr="00DE2EDF">
        <w:rPr>
          <w:rFonts w:eastAsia="Times New Roman" w:cs="Times New Roman"/>
          <w:iCs/>
          <w:lang w:val="en-GB"/>
        </w:rPr>
        <w:t>ntent</w:t>
      </w:r>
      <w:r w:rsidRPr="00DE2EDF">
        <w:rPr>
          <w:rFonts w:eastAsia="Times New Roman" w:cs="Times New Roman"/>
          <w:iCs/>
          <w:lang w:val="en-GB"/>
        </w:rPr>
        <w:t xml:space="preserve">. If looking at the question from a </w:t>
      </w:r>
      <w:r w:rsidRPr="00DE2EDF">
        <w:rPr>
          <w:rFonts w:eastAsia="Times New Roman" w:cs="Times New Roman"/>
          <w:i/>
          <w:lang w:val="en-GB"/>
        </w:rPr>
        <w:t>quantitative</w:t>
      </w:r>
      <w:r w:rsidRPr="00DE2EDF">
        <w:rPr>
          <w:rFonts w:eastAsia="Times New Roman" w:cs="Times New Roman"/>
          <w:iCs/>
          <w:lang w:val="en-GB"/>
        </w:rPr>
        <w:t xml:space="preserve"> perspective, divergences immediately </w:t>
      </w:r>
      <w:r w:rsidR="003150F1" w:rsidRPr="00DE2EDF">
        <w:rPr>
          <w:rFonts w:eastAsia="Times New Roman" w:cs="Times New Roman"/>
          <w:iCs/>
          <w:lang w:val="en-GB"/>
        </w:rPr>
        <w:t>appear, although t</w:t>
      </w:r>
      <w:r w:rsidRPr="00DE2EDF">
        <w:rPr>
          <w:rFonts w:eastAsia="Times New Roman" w:cs="Times New Roman"/>
          <w:iCs/>
          <w:lang w:val="en-GB"/>
        </w:rPr>
        <w:t>here are no exact figures</w:t>
      </w:r>
      <w:r w:rsidR="00C812CF" w:rsidRPr="00DE2EDF">
        <w:rPr>
          <w:rFonts w:eastAsia="Times New Roman" w:cs="Times New Roman"/>
          <w:iCs/>
          <w:lang w:val="en-GB"/>
        </w:rPr>
        <w:t>.</w:t>
      </w:r>
      <w:r w:rsidR="003150F1" w:rsidRPr="00DE2EDF">
        <w:rPr>
          <w:rFonts w:eastAsia="Times New Roman" w:cs="Times New Roman"/>
          <w:iCs/>
          <w:lang w:val="en-GB"/>
        </w:rPr>
        <w:t xml:space="preserve"> </w:t>
      </w:r>
      <w:r w:rsidR="003A0559" w:rsidRPr="00DE2EDF">
        <w:rPr>
          <w:rFonts w:eastAsia="Times New Roman" w:cs="Times New Roman"/>
          <w:iCs/>
          <w:lang w:val="en-GB"/>
        </w:rPr>
        <w:t xml:space="preserve">Establishing </w:t>
      </w:r>
      <w:r w:rsidR="00C812CF" w:rsidRPr="00DE2EDF">
        <w:rPr>
          <w:rFonts w:eastAsia="Times New Roman" w:cs="Times New Roman"/>
          <w:iCs/>
          <w:lang w:val="en-GB"/>
        </w:rPr>
        <w:t>those raise</w:t>
      </w:r>
      <w:r w:rsidR="003A0559" w:rsidRPr="00DE2EDF">
        <w:rPr>
          <w:rFonts w:eastAsia="Times New Roman" w:cs="Times New Roman"/>
          <w:iCs/>
          <w:lang w:val="en-GB"/>
        </w:rPr>
        <w:t>s</w:t>
      </w:r>
      <w:r w:rsidR="00C812CF" w:rsidRPr="00DE2EDF">
        <w:rPr>
          <w:rFonts w:eastAsia="Times New Roman" w:cs="Times New Roman"/>
          <w:iCs/>
          <w:lang w:val="en-GB"/>
        </w:rPr>
        <w:t xml:space="preserve"> some delicate theoretical and methodological questions: </w:t>
      </w:r>
      <w:r w:rsidRPr="00DE2EDF">
        <w:rPr>
          <w:rFonts w:eastAsia="Times New Roman" w:cs="Times New Roman"/>
          <w:iCs/>
          <w:lang w:val="en-GB"/>
        </w:rPr>
        <w:t xml:space="preserve">How can one count </w:t>
      </w:r>
      <w:r w:rsidR="00530E16" w:rsidRPr="00DE2EDF">
        <w:rPr>
          <w:rFonts w:eastAsia="Times New Roman" w:cs="Times New Roman"/>
          <w:iCs/>
          <w:lang w:val="en-GB"/>
        </w:rPr>
        <w:t>‘</w:t>
      </w:r>
      <w:r w:rsidRPr="00DE2EDF">
        <w:rPr>
          <w:rFonts w:eastAsia="Times New Roman" w:cs="Times New Roman"/>
          <w:iCs/>
          <w:lang w:val="en-GB"/>
        </w:rPr>
        <w:t>norms</w:t>
      </w:r>
      <w:r w:rsidR="00530E16" w:rsidRPr="00DE2EDF">
        <w:rPr>
          <w:rFonts w:eastAsia="Times New Roman" w:cs="Times New Roman"/>
          <w:iCs/>
          <w:lang w:val="en-GB"/>
        </w:rPr>
        <w:t>’</w:t>
      </w:r>
      <w:r w:rsidRPr="00DE2EDF">
        <w:rPr>
          <w:rFonts w:eastAsia="Times New Roman" w:cs="Times New Roman"/>
          <w:iCs/>
          <w:lang w:val="en-GB"/>
        </w:rPr>
        <w:t>?</w:t>
      </w:r>
      <w:bookmarkStart w:id="279" w:name="_Ref252454462"/>
      <w:bookmarkStart w:id="280" w:name="_Ref457852984"/>
      <w:bookmarkEnd w:id="279"/>
      <w:r w:rsidRPr="00DE2EDF">
        <w:rPr>
          <w:rStyle w:val="FootnoteReference"/>
          <w:rFonts w:eastAsia="Times New Roman" w:cs="Times New Roman"/>
          <w:iCs/>
          <w:lang w:val="en-GB"/>
        </w:rPr>
        <w:footnoteReference w:id="166"/>
      </w:r>
      <w:bookmarkEnd w:id="280"/>
      <w:r w:rsidRPr="00DE2EDF">
        <w:rPr>
          <w:rFonts w:eastAsia="Times New Roman" w:cs="Times New Roman"/>
          <w:iCs/>
          <w:lang w:val="en-GB"/>
        </w:rPr>
        <w:t xml:space="preserve"> </w:t>
      </w:r>
      <w:r w:rsidR="000448D8" w:rsidRPr="00DE2EDF">
        <w:rPr>
          <w:rFonts w:eastAsia="Times New Roman" w:cs="Times New Roman"/>
          <w:iCs/>
          <w:lang w:val="en-GB"/>
        </w:rPr>
        <w:t>Should one count words, paragraphs, signs (which is quite easy), or meanings</w:t>
      </w:r>
      <w:r w:rsidR="000D26FD" w:rsidRPr="00DE2EDF">
        <w:rPr>
          <w:rFonts w:eastAsia="Times New Roman" w:cs="Times New Roman"/>
          <w:iCs/>
          <w:lang w:val="en-GB"/>
        </w:rPr>
        <w:t xml:space="preserve"> (which would be more appropriate, but also far more difficult)</w:t>
      </w:r>
      <w:r w:rsidR="000448D8" w:rsidRPr="00DE2EDF">
        <w:rPr>
          <w:rFonts w:eastAsia="Times New Roman" w:cs="Times New Roman"/>
          <w:iCs/>
          <w:lang w:val="en-GB"/>
        </w:rPr>
        <w:t xml:space="preserve">? </w:t>
      </w:r>
      <w:r w:rsidRPr="00DE2EDF">
        <w:rPr>
          <w:rFonts w:eastAsia="Times New Roman" w:cs="Times New Roman"/>
          <w:iCs/>
          <w:lang w:val="en-GB"/>
        </w:rPr>
        <w:t xml:space="preserve">What is </w:t>
      </w:r>
      <w:r w:rsidR="00C812CF" w:rsidRPr="00DE2EDF">
        <w:rPr>
          <w:rFonts w:eastAsia="Times New Roman" w:cs="Times New Roman"/>
          <w:i/>
          <w:iCs/>
          <w:lang w:val="en-GB"/>
        </w:rPr>
        <w:t>one</w:t>
      </w:r>
      <w:r w:rsidRPr="00DE2EDF">
        <w:rPr>
          <w:rFonts w:eastAsia="Times New Roman" w:cs="Times New Roman"/>
          <w:iCs/>
          <w:lang w:val="en-GB"/>
        </w:rPr>
        <w:t xml:space="preserve"> norm? </w:t>
      </w:r>
      <w:r w:rsidR="007C689F" w:rsidRPr="00DE2EDF">
        <w:rPr>
          <w:rFonts w:eastAsia="Times New Roman" w:cs="Times New Roman"/>
          <w:iCs/>
          <w:lang w:val="en-GB"/>
        </w:rPr>
        <w:t>How should one count a constitutional principle</w:t>
      </w:r>
      <w:r w:rsidR="000448D8" w:rsidRPr="00DE2EDF">
        <w:rPr>
          <w:rFonts w:eastAsia="Times New Roman" w:cs="Times New Roman"/>
          <w:iCs/>
          <w:lang w:val="en-GB"/>
        </w:rPr>
        <w:t xml:space="preserve"> such as the rule of law</w:t>
      </w:r>
      <w:r w:rsidR="007C689F" w:rsidRPr="00DE2EDF">
        <w:rPr>
          <w:rFonts w:eastAsia="Times New Roman" w:cs="Times New Roman"/>
          <w:iCs/>
          <w:lang w:val="en-GB"/>
        </w:rPr>
        <w:t xml:space="preserve">: is it one norm or </w:t>
      </w:r>
      <w:r w:rsidR="000448D8" w:rsidRPr="00DE2EDF">
        <w:rPr>
          <w:rFonts w:eastAsia="Times New Roman" w:cs="Times New Roman"/>
          <w:iCs/>
          <w:lang w:val="en-GB"/>
        </w:rPr>
        <w:t>a plurality of norms?</w:t>
      </w:r>
      <w:r w:rsidR="006615F2" w:rsidRPr="00DE2EDF">
        <w:rPr>
          <w:rFonts w:eastAsia="Times New Roman" w:cs="Times New Roman"/>
          <w:iCs/>
          <w:lang w:val="en-GB"/>
        </w:rPr>
        <w:t xml:space="preserve"> One also needs to</w:t>
      </w:r>
      <w:r w:rsidR="00D16193" w:rsidRPr="00DE2EDF">
        <w:rPr>
          <w:rFonts w:eastAsia="Times New Roman" w:cs="Times New Roman"/>
          <w:iCs/>
          <w:lang w:val="en-GB"/>
        </w:rPr>
        <w:t xml:space="preserve"> </w:t>
      </w:r>
      <w:r w:rsidR="00A020CC" w:rsidRPr="00DE2EDF">
        <w:rPr>
          <w:rFonts w:eastAsia="Times New Roman" w:cs="Times New Roman"/>
          <w:iCs/>
          <w:lang w:val="en-GB"/>
        </w:rPr>
        <w:t xml:space="preserve">precisely </w:t>
      </w:r>
      <w:r w:rsidR="00D16193" w:rsidRPr="00DE2EDF">
        <w:rPr>
          <w:rFonts w:eastAsia="Times New Roman" w:cs="Times New Roman"/>
          <w:iCs/>
          <w:lang w:val="en-GB"/>
        </w:rPr>
        <w:t>deli</w:t>
      </w:r>
      <w:r w:rsidR="000D26FD" w:rsidRPr="00DE2EDF">
        <w:rPr>
          <w:rFonts w:eastAsia="Times New Roman" w:cs="Times New Roman"/>
          <w:iCs/>
          <w:lang w:val="en-GB"/>
        </w:rPr>
        <w:t>neate</w:t>
      </w:r>
      <w:r w:rsidR="00D16193" w:rsidRPr="00DE2EDF">
        <w:rPr>
          <w:rFonts w:eastAsia="Times New Roman" w:cs="Times New Roman"/>
          <w:iCs/>
          <w:lang w:val="en-GB"/>
        </w:rPr>
        <w:t xml:space="preserve"> the borders of the Constitution, particularly with regard to customary </w:t>
      </w:r>
      <w:r w:rsidR="000D26FD" w:rsidRPr="00DE2EDF">
        <w:rPr>
          <w:rFonts w:eastAsia="Times New Roman" w:cs="Times New Roman"/>
          <w:iCs/>
          <w:lang w:val="en-GB"/>
        </w:rPr>
        <w:t xml:space="preserve">and judge-made </w:t>
      </w:r>
      <w:r w:rsidR="00D16193" w:rsidRPr="00DE2EDF">
        <w:rPr>
          <w:rFonts w:eastAsia="Times New Roman" w:cs="Times New Roman"/>
          <w:iCs/>
          <w:lang w:val="en-GB"/>
        </w:rPr>
        <w:t>norms.</w:t>
      </w:r>
      <w:r w:rsidR="000448D8" w:rsidRPr="00DE2EDF">
        <w:rPr>
          <w:rFonts w:eastAsia="Times New Roman" w:cs="Times New Roman"/>
          <w:iCs/>
          <w:lang w:val="en-GB"/>
        </w:rPr>
        <w:t xml:space="preserve"> </w:t>
      </w:r>
      <w:r w:rsidR="00E80D00" w:rsidRPr="00DE2EDF">
        <w:rPr>
          <w:rFonts w:eastAsia="Times New Roman" w:cs="Times New Roman"/>
          <w:iCs/>
          <w:lang w:val="en-GB"/>
        </w:rPr>
        <w:t>Superficial</w:t>
      </w:r>
      <w:r w:rsidR="000D26FD" w:rsidRPr="00DE2EDF">
        <w:rPr>
          <w:rFonts w:eastAsia="Times New Roman" w:cs="Times New Roman"/>
          <w:iCs/>
          <w:lang w:val="en-GB"/>
        </w:rPr>
        <w:t xml:space="preserve"> and incomplete</w:t>
      </w:r>
      <w:r w:rsidR="00E80D00" w:rsidRPr="00DE2EDF">
        <w:rPr>
          <w:rFonts w:eastAsia="Times New Roman" w:cs="Times New Roman"/>
          <w:iCs/>
          <w:lang w:val="en-GB"/>
        </w:rPr>
        <w:t xml:space="preserve"> q</w:t>
      </w:r>
      <w:r w:rsidR="000448D8" w:rsidRPr="00DE2EDF">
        <w:rPr>
          <w:rFonts w:eastAsia="Times New Roman" w:cs="Times New Roman"/>
          <w:iCs/>
          <w:lang w:val="en-GB"/>
        </w:rPr>
        <w:t>uantitative analyses</w:t>
      </w:r>
      <w:r w:rsidRPr="00DE2EDF">
        <w:rPr>
          <w:rFonts w:eastAsia="Times New Roman" w:cs="Times New Roman"/>
          <w:iCs/>
          <w:lang w:val="en-GB"/>
        </w:rPr>
        <w:t xml:space="preserve"> show </w:t>
      </w:r>
      <w:r w:rsidR="003150F1" w:rsidRPr="00DE2EDF">
        <w:rPr>
          <w:rFonts w:eastAsia="Times New Roman" w:cs="Times New Roman"/>
          <w:iCs/>
          <w:lang w:val="en-GB"/>
        </w:rPr>
        <w:t xml:space="preserve">at least </w:t>
      </w:r>
      <w:r w:rsidRPr="00DE2EDF">
        <w:rPr>
          <w:rFonts w:eastAsia="Times New Roman" w:cs="Times New Roman"/>
          <w:iCs/>
          <w:lang w:val="en-GB"/>
        </w:rPr>
        <w:t>that constitutional texts vary in length (trend: growing)</w:t>
      </w:r>
      <w:r w:rsidR="009C3302" w:rsidRPr="00DE2EDF">
        <w:rPr>
          <w:rFonts w:eastAsia="Times New Roman" w:cs="Times New Roman"/>
          <w:iCs/>
          <w:lang w:val="en-GB"/>
        </w:rPr>
        <w:t>.</w:t>
      </w:r>
      <w:r w:rsidR="000448D8" w:rsidRPr="00DE2EDF">
        <w:rPr>
          <w:rStyle w:val="FootnoteReference"/>
          <w:rFonts w:eastAsia="Times New Roman" w:cs="Times New Roman"/>
          <w:iCs/>
          <w:lang w:val="en-GB"/>
        </w:rPr>
        <w:footnoteReference w:id="167"/>
      </w:r>
      <w:r w:rsidR="009C3302" w:rsidRPr="00DE2EDF">
        <w:rPr>
          <w:rFonts w:eastAsia="Times New Roman" w:cs="Times New Roman"/>
          <w:iCs/>
          <w:lang w:val="en-GB"/>
        </w:rPr>
        <w:t xml:space="preserve"> </w:t>
      </w:r>
      <w:r w:rsidR="003150F1" w:rsidRPr="00DE2EDF">
        <w:rPr>
          <w:rFonts w:eastAsia="Times New Roman" w:cs="Times New Roman"/>
          <w:iCs/>
          <w:lang w:val="en-GB"/>
        </w:rPr>
        <w:t>From the latter observation</w:t>
      </w:r>
      <w:r w:rsidR="000448D8" w:rsidRPr="00DE2EDF">
        <w:rPr>
          <w:rFonts w:eastAsia="Times New Roman" w:cs="Times New Roman"/>
          <w:iCs/>
          <w:lang w:val="en-GB"/>
        </w:rPr>
        <w:t>, one may roughly conclude that the number of constitutional norms is also increasing</w:t>
      </w:r>
      <w:r w:rsidRPr="00DE2EDF">
        <w:rPr>
          <w:rFonts w:eastAsia="Times New Roman" w:cs="Times New Roman"/>
          <w:iCs/>
          <w:lang w:val="en-GB"/>
        </w:rPr>
        <w:t xml:space="preserve">. </w:t>
      </w:r>
      <w:r w:rsidR="0064473B" w:rsidRPr="00DE2EDF">
        <w:rPr>
          <w:rFonts w:eastAsia="Times New Roman" w:cs="Times New Roman"/>
          <w:iCs/>
          <w:lang w:val="en-GB"/>
        </w:rPr>
        <w:t>In Europe, t</w:t>
      </w:r>
      <w:r w:rsidRPr="00DE2EDF">
        <w:rPr>
          <w:rFonts w:eastAsia="Times New Roman" w:cs="Times New Roman"/>
          <w:iCs/>
          <w:lang w:val="en-GB"/>
        </w:rPr>
        <w:t xml:space="preserve">he </w:t>
      </w:r>
      <w:r w:rsidR="003A0559" w:rsidRPr="00DE2EDF">
        <w:rPr>
          <w:rFonts w:eastAsia="Times New Roman" w:cs="Times New Roman"/>
          <w:iCs/>
          <w:lang w:val="en-GB"/>
        </w:rPr>
        <w:t xml:space="preserve">opposite </w:t>
      </w:r>
      <w:r w:rsidRPr="00DE2EDF">
        <w:rPr>
          <w:rFonts w:eastAsia="Times New Roman" w:cs="Times New Roman"/>
          <w:iCs/>
          <w:lang w:val="en-GB"/>
        </w:rPr>
        <w:t>ends of the spectrum in this regard would likely be the Constitution of the French Third Republic</w:t>
      </w:r>
      <w:r w:rsidR="009C3302" w:rsidRPr="00DE2EDF">
        <w:rPr>
          <w:rFonts w:eastAsia="Times New Roman" w:cs="Times New Roman"/>
          <w:iCs/>
          <w:lang w:val="en-GB"/>
        </w:rPr>
        <w:t>,</w:t>
      </w:r>
      <w:r w:rsidR="000E7C90" w:rsidRPr="00DE2EDF">
        <w:rPr>
          <w:rStyle w:val="FootnoteReference"/>
          <w:rFonts w:eastAsia="Times New Roman" w:cs="Times New Roman"/>
          <w:iCs/>
          <w:lang w:val="en-GB"/>
        </w:rPr>
        <w:footnoteReference w:id="168"/>
      </w:r>
      <w:r w:rsidRPr="00DE2EDF">
        <w:rPr>
          <w:rFonts w:eastAsia="Times New Roman" w:cs="Times New Roman"/>
          <w:iCs/>
          <w:lang w:val="en-GB"/>
        </w:rPr>
        <w:t xml:space="preserve"> on the one hand, and detail-loving Constitutions such as those of </w:t>
      </w:r>
      <w:r w:rsidR="0064473B" w:rsidRPr="00DE2EDF">
        <w:rPr>
          <w:rFonts w:eastAsia="Times New Roman" w:cs="Times New Roman"/>
          <w:iCs/>
          <w:lang w:val="en-GB"/>
        </w:rPr>
        <w:t xml:space="preserve">contemporary </w:t>
      </w:r>
      <w:r w:rsidRPr="00DE2EDF">
        <w:rPr>
          <w:rFonts w:eastAsia="Times New Roman" w:cs="Times New Roman"/>
          <w:iCs/>
          <w:lang w:val="en-GB"/>
        </w:rPr>
        <w:t>Portugal and Austria</w:t>
      </w:r>
      <w:r w:rsidR="009C3302" w:rsidRPr="00DE2EDF">
        <w:rPr>
          <w:rFonts w:eastAsia="Times New Roman" w:cs="Times New Roman"/>
          <w:iCs/>
          <w:lang w:val="en-GB"/>
        </w:rPr>
        <w:t>.</w:t>
      </w:r>
      <w:r w:rsidR="00247484" w:rsidRPr="00DE2EDF">
        <w:rPr>
          <w:rStyle w:val="FootnoteReference"/>
          <w:rFonts w:eastAsia="Times New Roman" w:cs="Times New Roman"/>
          <w:iCs/>
          <w:lang w:val="en-GB"/>
        </w:rPr>
        <w:footnoteReference w:id="169"/>
      </w:r>
      <w:r w:rsidR="009C3302" w:rsidRPr="00DE2EDF">
        <w:rPr>
          <w:rFonts w:eastAsia="Times New Roman" w:cs="Times New Roman"/>
          <w:iCs/>
          <w:lang w:val="en-GB"/>
        </w:rPr>
        <w:t xml:space="preserve"> </w:t>
      </w:r>
      <w:r w:rsidRPr="00DE2EDF">
        <w:rPr>
          <w:rFonts w:eastAsia="Times New Roman" w:cs="Times New Roman"/>
          <w:iCs/>
          <w:lang w:val="en-GB"/>
        </w:rPr>
        <w:t>The interest of the Constitution</w:t>
      </w:r>
      <w:r w:rsidR="00530E16" w:rsidRPr="00DE2EDF">
        <w:rPr>
          <w:rFonts w:eastAsia="Times New Roman" w:cs="Times New Roman"/>
          <w:iCs/>
          <w:lang w:val="en-GB"/>
        </w:rPr>
        <w:t>’</w:t>
      </w:r>
      <w:r w:rsidRPr="00DE2EDF">
        <w:rPr>
          <w:rFonts w:eastAsia="Times New Roman" w:cs="Times New Roman"/>
          <w:iCs/>
          <w:lang w:val="en-GB"/>
        </w:rPr>
        <w:t>s drafter in transforming</w:t>
      </w:r>
      <w:r w:rsidR="00E94363" w:rsidRPr="00DE2EDF">
        <w:rPr>
          <w:rFonts w:eastAsia="Times New Roman" w:cs="Times New Roman"/>
          <w:iCs/>
          <w:lang w:val="en-GB"/>
        </w:rPr>
        <w:t>, and thus, regulating</w:t>
      </w:r>
      <w:r w:rsidRPr="00DE2EDF">
        <w:rPr>
          <w:rFonts w:eastAsia="Times New Roman" w:cs="Times New Roman"/>
          <w:iCs/>
          <w:lang w:val="en-GB"/>
        </w:rPr>
        <w:t xml:space="preserve"> </w:t>
      </w:r>
      <w:r w:rsidR="0064473B" w:rsidRPr="00DE2EDF">
        <w:rPr>
          <w:rFonts w:eastAsia="Times New Roman" w:cs="Times New Roman"/>
          <w:iCs/>
          <w:lang w:val="en-GB"/>
        </w:rPr>
        <w:t xml:space="preserve">pre-existing </w:t>
      </w:r>
      <w:r w:rsidR="00E94363" w:rsidRPr="00DE2EDF">
        <w:rPr>
          <w:rFonts w:eastAsia="Times New Roman" w:cs="Times New Roman"/>
          <w:iCs/>
          <w:lang w:val="en-GB"/>
        </w:rPr>
        <w:t xml:space="preserve">public </w:t>
      </w:r>
      <w:r w:rsidRPr="00DE2EDF">
        <w:rPr>
          <w:rFonts w:eastAsia="Times New Roman" w:cs="Times New Roman"/>
          <w:iCs/>
          <w:lang w:val="en-GB"/>
        </w:rPr>
        <w:t>administration</w:t>
      </w:r>
      <w:r w:rsidR="00E94363" w:rsidRPr="00DE2EDF">
        <w:rPr>
          <w:rFonts w:eastAsia="Times New Roman" w:cs="Times New Roman"/>
          <w:iCs/>
          <w:lang w:val="en-GB"/>
        </w:rPr>
        <w:t>s will be strong or weak</w:t>
      </w:r>
      <w:r w:rsidRPr="00DE2EDF">
        <w:rPr>
          <w:rFonts w:eastAsia="Times New Roman" w:cs="Times New Roman"/>
          <w:iCs/>
          <w:lang w:val="en-GB"/>
        </w:rPr>
        <w:t xml:space="preserve">, depending on the </w:t>
      </w:r>
      <w:r w:rsidR="00E94363" w:rsidRPr="00DE2EDF">
        <w:rPr>
          <w:rFonts w:eastAsia="Times New Roman" w:cs="Times New Roman"/>
          <w:iCs/>
          <w:lang w:val="en-GB"/>
        </w:rPr>
        <w:t xml:space="preserve">political </w:t>
      </w:r>
      <w:r w:rsidRPr="00DE2EDF">
        <w:rPr>
          <w:rFonts w:eastAsia="Times New Roman" w:cs="Times New Roman"/>
          <w:iCs/>
          <w:lang w:val="en-GB"/>
        </w:rPr>
        <w:t xml:space="preserve">circumstances. When the </w:t>
      </w:r>
      <w:r w:rsidR="006615F2" w:rsidRPr="00DE2EDF">
        <w:rPr>
          <w:rFonts w:eastAsia="Times New Roman" w:cs="Times New Roman"/>
          <w:iCs/>
          <w:lang w:val="en-GB"/>
        </w:rPr>
        <w:t>French</w:t>
      </w:r>
      <w:r w:rsidRPr="00DE2EDF">
        <w:rPr>
          <w:rFonts w:eastAsia="Times New Roman" w:cs="Times New Roman"/>
          <w:iCs/>
          <w:lang w:val="en-GB"/>
        </w:rPr>
        <w:t xml:space="preserve"> Constitution of 1958 was being drafted</w:t>
      </w:r>
      <w:r w:rsidR="006615F2" w:rsidRPr="00DE2EDF">
        <w:rPr>
          <w:rFonts w:eastAsia="Times New Roman" w:cs="Times New Roman"/>
          <w:iCs/>
          <w:lang w:val="en-GB"/>
        </w:rPr>
        <w:t xml:space="preserve"> by the government led by de Gaulle</w:t>
      </w:r>
      <w:r w:rsidRPr="00DE2EDF">
        <w:rPr>
          <w:rFonts w:eastAsia="Times New Roman" w:cs="Times New Roman"/>
          <w:iCs/>
          <w:lang w:val="en-GB"/>
        </w:rPr>
        <w:t>, France was in the midst of a colonial war in Algeria</w:t>
      </w:r>
      <w:r w:rsidR="00E94363" w:rsidRPr="00DE2EDF">
        <w:rPr>
          <w:rFonts w:eastAsia="Times New Roman" w:cs="Times New Roman"/>
          <w:iCs/>
          <w:lang w:val="en-GB"/>
        </w:rPr>
        <w:t xml:space="preserve">; </w:t>
      </w:r>
      <w:r w:rsidRPr="00DE2EDF">
        <w:rPr>
          <w:rFonts w:eastAsia="Times New Roman" w:cs="Times New Roman"/>
          <w:iCs/>
          <w:lang w:val="en-GB"/>
        </w:rPr>
        <w:t xml:space="preserve">its drafters wanted, in particular, to strengthen the position of the </w:t>
      </w:r>
      <w:r w:rsidR="006615F2" w:rsidRPr="00DE2EDF">
        <w:rPr>
          <w:rFonts w:eastAsia="Times New Roman" w:cs="Times New Roman"/>
          <w:iCs/>
          <w:lang w:val="en-GB"/>
        </w:rPr>
        <w:t>h</w:t>
      </w:r>
      <w:r w:rsidRPr="00DE2EDF">
        <w:rPr>
          <w:rFonts w:eastAsia="Times New Roman" w:cs="Times New Roman"/>
          <w:iCs/>
          <w:lang w:val="en-GB"/>
        </w:rPr>
        <w:t xml:space="preserve">ead of </w:t>
      </w:r>
      <w:r w:rsidR="007A3A23" w:rsidRPr="00DE2EDF">
        <w:rPr>
          <w:rFonts w:eastAsia="Times New Roman" w:cs="Times New Roman"/>
          <w:iCs/>
          <w:lang w:val="en-GB"/>
        </w:rPr>
        <w:t>state</w:t>
      </w:r>
      <w:r w:rsidRPr="00DE2EDF">
        <w:rPr>
          <w:rFonts w:eastAsia="Times New Roman" w:cs="Times New Roman"/>
          <w:iCs/>
          <w:lang w:val="en-GB"/>
        </w:rPr>
        <w:t xml:space="preserve"> at the expense of the legislature, but </w:t>
      </w:r>
      <w:r w:rsidR="00E94363" w:rsidRPr="00DE2EDF">
        <w:rPr>
          <w:rFonts w:eastAsia="Times New Roman" w:cs="Times New Roman"/>
          <w:iCs/>
          <w:lang w:val="en-GB"/>
        </w:rPr>
        <w:t>wished</w:t>
      </w:r>
      <w:r w:rsidRPr="00DE2EDF">
        <w:rPr>
          <w:rFonts w:eastAsia="Times New Roman" w:cs="Times New Roman"/>
          <w:iCs/>
          <w:lang w:val="en-GB"/>
        </w:rPr>
        <w:t xml:space="preserve"> to leave the administration </w:t>
      </w:r>
      <w:r w:rsidR="006615F2" w:rsidRPr="00DE2EDF">
        <w:rPr>
          <w:rFonts w:eastAsia="Times New Roman" w:cs="Times New Roman"/>
          <w:iCs/>
          <w:lang w:val="en-GB"/>
        </w:rPr>
        <w:t>unchanged</w:t>
      </w:r>
      <w:r w:rsidRPr="00DE2EDF">
        <w:rPr>
          <w:rFonts w:eastAsia="Times New Roman" w:cs="Times New Roman"/>
          <w:iCs/>
          <w:lang w:val="en-GB"/>
        </w:rPr>
        <w:t xml:space="preserve">, as it </w:t>
      </w:r>
      <w:r w:rsidR="003A0559" w:rsidRPr="00DE2EDF">
        <w:rPr>
          <w:rFonts w:eastAsia="Times New Roman" w:cs="Times New Roman"/>
          <w:iCs/>
          <w:lang w:val="en-GB"/>
        </w:rPr>
        <w:t xml:space="preserve">had </w:t>
      </w:r>
      <w:r w:rsidRPr="00DE2EDF">
        <w:rPr>
          <w:rFonts w:eastAsia="Times New Roman" w:cs="Times New Roman"/>
          <w:iCs/>
          <w:lang w:val="en-GB"/>
        </w:rPr>
        <w:t xml:space="preserve">represented a stable force since the Third Republic. Thus, the </w:t>
      </w:r>
      <w:r w:rsidR="00E94363" w:rsidRPr="00DE2EDF">
        <w:rPr>
          <w:rFonts w:eastAsia="Times New Roman" w:cs="Times New Roman"/>
          <w:iCs/>
          <w:lang w:val="en-GB"/>
        </w:rPr>
        <w:t xml:space="preserve">initial </w:t>
      </w:r>
      <w:r w:rsidR="006615F2" w:rsidRPr="00DE2EDF">
        <w:rPr>
          <w:rFonts w:eastAsia="Times New Roman" w:cs="Times New Roman"/>
          <w:iCs/>
          <w:lang w:val="en-GB"/>
        </w:rPr>
        <w:t xml:space="preserve">text of the </w:t>
      </w:r>
      <w:r w:rsidRPr="00DE2EDF">
        <w:rPr>
          <w:rFonts w:eastAsia="Times New Roman" w:cs="Times New Roman"/>
          <w:iCs/>
          <w:lang w:val="en-GB"/>
        </w:rPr>
        <w:t>Constitution of 1958 sa</w:t>
      </w:r>
      <w:r w:rsidR="00E94363" w:rsidRPr="00DE2EDF">
        <w:rPr>
          <w:rFonts w:eastAsia="Times New Roman" w:cs="Times New Roman"/>
          <w:iCs/>
          <w:lang w:val="en-GB"/>
        </w:rPr>
        <w:t>id</w:t>
      </w:r>
      <w:r w:rsidRPr="00DE2EDF">
        <w:rPr>
          <w:rFonts w:eastAsia="Times New Roman" w:cs="Times New Roman"/>
          <w:iCs/>
          <w:lang w:val="en-GB"/>
        </w:rPr>
        <w:t xml:space="preserve"> relatively little about administration (or about human rights)</w:t>
      </w:r>
      <w:bookmarkStart w:id="281" w:name="_ftnref137"/>
      <w:r w:rsidRPr="00DE2EDF">
        <w:rPr>
          <w:rFonts w:eastAsia="Times New Roman" w:cs="Times New Roman"/>
          <w:iCs/>
          <w:lang w:val="en-GB"/>
        </w:rPr>
        <w:t>.</w:t>
      </w:r>
      <w:r w:rsidRPr="00DE2EDF">
        <w:rPr>
          <w:rStyle w:val="FootnoteReference"/>
          <w:rFonts w:eastAsia="Times New Roman" w:cs="Times New Roman"/>
          <w:iCs/>
          <w:lang w:val="en-GB"/>
        </w:rPr>
        <w:footnoteReference w:id="170"/>
      </w:r>
      <w:bookmarkEnd w:id="281"/>
      <w:r w:rsidRPr="00DE2EDF">
        <w:rPr>
          <w:rFonts w:eastAsia="Times New Roman" w:cs="Times New Roman"/>
          <w:iCs/>
          <w:lang w:val="en-GB"/>
        </w:rPr>
        <w:t xml:space="preserve"> </w:t>
      </w:r>
      <w:r w:rsidR="00C86D0B" w:rsidRPr="00DE2EDF">
        <w:rPr>
          <w:rFonts w:eastAsia="Times New Roman" w:cs="Times New Roman"/>
          <w:iCs/>
          <w:lang w:val="en-GB"/>
        </w:rPr>
        <w:t>In the case of</w:t>
      </w:r>
      <w:r w:rsidRPr="00DE2EDF">
        <w:rPr>
          <w:rFonts w:eastAsia="Times New Roman" w:cs="Times New Roman"/>
          <w:iCs/>
          <w:lang w:val="en-GB"/>
        </w:rPr>
        <w:t xml:space="preserve"> Italy, Sabino Cassese</w:t>
      </w:r>
      <w:r w:rsidR="0064473B" w:rsidRPr="00DE2EDF">
        <w:rPr>
          <w:rFonts w:eastAsia="Times New Roman" w:cs="Times New Roman"/>
          <w:iCs/>
          <w:lang w:val="en-GB"/>
        </w:rPr>
        <w:t xml:space="preserve"> also noticed a</w:t>
      </w:r>
      <w:r w:rsidR="008E0857" w:rsidRPr="00DE2EDF">
        <w:rPr>
          <w:rFonts w:eastAsia="Times New Roman" w:cs="Times New Roman"/>
          <w:iCs/>
          <w:lang w:val="en-GB"/>
        </w:rPr>
        <w:t xml:space="preserve"> </w:t>
      </w:r>
      <w:r w:rsidR="0064473B" w:rsidRPr="00DE2EDF">
        <w:rPr>
          <w:rFonts w:eastAsia="Times New Roman" w:cs="Times New Roman"/>
          <w:iCs/>
          <w:lang w:val="en-GB"/>
        </w:rPr>
        <w:t xml:space="preserve">certain </w:t>
      </w:r>
      <w:r w:rsidR="00C86D0B" w:rsidRPr="00DE2EDF">
        <w:rPr>
          <w:rFonts w:eastAsia="Times New Roman" w:cs="Times New Roman"/>
          <w:iCs/>
          <w:lang w:val="en-GB"/>
        </w:rPr>
        <w:t>indifference, based partly on ignorance, on the part of the Constituent Assembly regarding the power</w:t>
      </w:r>
      <w:r w:rsidR="006615F2" w:rsidRPr="00DE2EDF">
        <w:rPr>
          <w:rFonts w:eastAsia="Times New Roman" w:cs="Times New Roman"/>
          <w:iCs/>
          <w:lang w:val="en-GB"/>
        </w:rPr>
        <w:t>s</w:t>
      </w:r>
      <w:r w:rsidR="00C86D0B" w:rsidRPr="00DE2EDF">
        <w:rPr>
          <w:rFonts w:eastAsia="Times New Roman" w:cs="Times New Roman"/>
          <w:iCs/>
          <w:lang w:val="en-GB"/>
        </w:rPr>
        <w:t xml:space="preserve"> and functions of administrative authorities</w:t>
      </w:r>
      <w:r w:rsidRPr="00DE2EDF">
        <w:rPr>
          <w:rFonts w:eastAsia="Times New Roman" w:cs="Times New Roman"/>
          <w:iCs/>
          <w:lang w:val="en-GB"/>
        </w:rPr>
        <w:t>.</w:t>
      </w:r>
      <w:bookmarkStart w:id="282" w:name="_ftnref138"/>
      <w:r w:rsidRPr="00DE2EDF">
        <w:rPr>
          <w:rStyle w:val="FootnoteReference"/>
          <w:rFonts w:eastAsia="Times New Roman" w:cs="Times New Roman"/>
          <w:iCs/>
          <w:lang w:val="en-GB"/>
        </w:rPr>
        <w:footnoteReference w:id="171"/>
      </w:r>
      <w:bookmarkEnd w:id="282"/>
      <w:r w:rsidRPr="00DE2EDF">
        <w:rPr>
          <w:rFonts w:eastAsia="Times New Roman" w:cs="Times New Roman"/>
          <w:iCs/>
          <w:lang w:val="en-GB"/>
        </w:rPr>
        <w:t xml:space="preserve"> In other countries, however, </w:t>
      </w:r>
      <w:r w:rsidR="00C86D0B" w:rsidRPr="00DE2EDF">
        <w:rPr>
          <w:rFonts w:eastAsia="Times New Roman" w:cs="Times New Roman"/>
          <w:iCs/>
          <w:lang w:val="en-GB"/>
        </w:rPr>
        <w:t>the constituent power clearly addresse</w:t>
      </w:r>
      <w:r w:rsidR="00DD241A" w:rsidRPr="00DE2EDF">
        <w:rPr>
          <w:rFonts w:eastAsia="Times New Roman" w:cs="Times New Roman"/>
          <w:iCs/>
          <w:lang w:val="en-GB"/>
        </w:rPr>
        <w:t>d</w:t>
      </w:r>
      <w:r w:rsidR="00C86D0B" w:rsidRPr="00DE2EDF">
        <w:rPr>
          <w:rFonts w:eastAsia="Times New Roman" w:cs="Times New Roman"/>
          <w:iCs/>
          <w:lang w:val="en-GB"/>
        </w:rPr>
        <w:t xml:space="preserve"> the </w:t>
      </w:r>
      <w:r w:rsidR="00C86D0B" w:rsidRPr="00DE2EDF">
        <w:rPr>
          <w:rFonts w:eastAsia="Times New Roman" w:cs="Times New Roman"/>
          <w:iCs/>
          <w:lang w:val="en-GB"/>
        </w:rPr>
        <w:lastRenderedPageBreak/>
        <w:t>crucial issue of the administration’s power.</w:t>
      </w:r>
      <w:bookmarkStart w:id="283" w:name="_ftnref139"/>
      <w:r w:rsidRPr="00DE2EDF">
        <w:rPr>
          <w:rStyle w:val="FootnoteReference"/>
          <w:rFonts w:eastAsia="Times New Roman" w:cs="Times New Roman"/>
          <w:iCs/>
          <w:lang w:val="en-GB"/>
        </w:rPr>
        <w:footnoteReference w:id="172"/>
      </w:r>
      <w:r w:rsidRPr="00DE2EDF">
        <w:rPr>
          <w:rFonts w:eastAsia="Times New Roman" w:cs="Times New Roman"/>
          <w:iCs/>
          <w:lang w:val="en-GB"/>
        </w:rPr>
        <w:t xml:space="preserve"> </w:t>
      </w:r>
      <w:bookmarkEnd w:id="283"/>
      <w:r w:rsidRPr="00DE2EDF">
        <w:rPr>
          <w:rFonts w:eastAsia="Times New Roman" w:cs="Times New Roman"/>
          <w:iCs/>
          <w:lang w:val="en-GB"/>
        </w:rPr>
        <w:t>Revolutions</w:t>
      </w:r>
      <w:bookmarkStart w:id="284" w:name="_ftnref140"/>
      <w:r w:rsidRPr="00DE2EDF">
        <w:rPr>
          <w:rStyle w:val="FootnoteReference"/>
          <w:rFonts w:eastAsia="Times New Roman" w:cs="Times New Roman"/>
          <w:iCs/>
          <w:lang w:val="en-GB"/>
        </w:rPr>
        <w:footnoteReference w:id="173"/>
      </w:r>
      <w:r w:rsidRPr="00DE2EDF">
        <w:rPr>
          <w:rFonts w:eastAsia="Times New Roman" w:cs="Times New Roman"/>
          <w:iCs/>
          <w:lang w:val="en-GB"/>
        </w:rPr>
        <w:t xml:space="preserve"> </w:t>
      </w:r>
      <w:bookmarkEnd w:id="284"/>
      <w:r w:rsidR="003A0559" w:rsidRPr="00DE2EDF">
        <w:rPr>
          <w:rFonts w:eastAsia="Times New Roman" w:cs="Times New Roman"/>
          <w:iCs/>
          <w:lang w:val="en-GB"/>
        </w:rPr>
        <w:t xml:space="preserve">and </w:t>
      </w:r>
      <w:r w:rsidRPr="00DE2EDF">
        <w:rPr>
          <w:rFonts w:eastAsia="Times New Roman" w:cs="Times New Roman"/>
          <w:iCs/>
          <w:lang w:val="en-GB"/>
        </w:rPr>
        <w:t>dictatorships, as well as a State</w:t>
      </w:r>
      <w:r w:rsidR="00530E16" w:rsidRPr="00DE2EDF">
        <w:rPr>
          <w:rFonts w:eastAsia="Times New Roman" w:cs="Times New Roman"/>
          <w:iCs/>
          <w:lang w:val="en-GB"/>
        </w:rPr>
        <w:t>’</w:t>
      </w:r>
      <w:r w:rsidRPr="00DE2EDF">
        <w:rPr>
          <w:rFonts w:eastAsia="Times New Roman" w:cs="Times New Roman"/>
          <w:iCs/>
          <w:lang w:val="en-GB"/>
        </w:rPr>
        <w:t>s federal structure</w:t>
      </w:r>
      <w:bookmarkStart w:id="285" w:name="_ftnref141"/>
      <w:r w:rsidR="003A0559" w:rsidRPr="00DE2EDF">
        <w:rPr>
          <w:rFonts w:eastAsia="Times New Roman" w:cs="Times New Roman"/>
          <w:iCs/>
          <w:lang w:val="en-GB"/>
        </w:rPr>
        <w:t>,</w:t>
      </w:r>
      <w:r w:rsidRPr="00DE2EDF">
        <w:rPr>
          <w:rStyle w:val="FootnoteReference"/>
          <w:rFonts w:eastAsia="Times New Roman" w:cs="Times New Roman"/>
          <w:iCs/>
          <w:lang w:val="en-GB"/>
        </w:rPr>
        <w:footnoteReference w:id="174"/>
      </w:r>
      <w:bookmarkEnd w:id="285"/>
      <w:r w:rsidRPr="00DE2EDF">
        <w:rPr>
          <w:rFonts w:eastAsia="Times New Roman" w:cs="Times New Roman"/>
          <w:iCs/>
          <w:lang w:val="en-GB"/>
        </w:rPr>
        <w:t xml:space="preserve"> promote the latter tendency. </w:t>
      </w:r>
      <w:r w:rsidR="00C86D0B" w:rsidRPr="00DE2EDF">
        <w:rPr>
          <w:rFonts w:eastAsia="Times New Roman" w:cs="Times New Roman"/>
          <w:iCs/>
          <w:lang w:val="en-GB"/>
        </w:rPr>
        <w:t>Furthermore, t</w:t>
      </w:r>
      <w:r w:rsidRPr="00DE2EDF">
        <w:rPr>
          <w:rFonts w:eastAsia="Times New Roman" w:cs="Times New Roman"/>
          <w:iCs/>
          <w:lang w:val="en-GB"/>
        </w:rPr>
        <w:t xml:space="preserve">he </w:t>
      </w:r>
      <w:r w:rsidR="00977790" w:rsidRPr="00DE2EDF">
        <w:rPr>
          <w:rFonts w:eastAsia="Times New Roman" w:cs="Times New Roman"/>
          <w:iCs/>
          <w:lang w:val="en-GB"/>
        </w:rPr>
        <w:t xml:space="preserve">volume of </w:t>
      </w:r>
      <w:r w:rsidR="006615F2" w:rsidRPr="00DE2EDF">
        <w:rPr>
          <w:rFonts w:eastAsia="Times New Roman" w:cs="Times New Roman"/>
          <w:iCs/>
          <w:lang w:val="en-GB"/>
        </w:rPr>
        <w:t>c</w:t>
      </w:r>
      <w:r w:rsidR="00977790" w:rsidRPr="00DE2EDF">
        <w:rPr>
          <w:rFonts w:eastAsia="Times New Roman" w:cs="Times New Roman"/>
          <w:iCs/>
          <w:lang w:val="en-GB"/>
        </w:rPr>
        <w:t>onstitution</w:t>
      </w:r>
      <w:r w:rsidR="006615F2" w:rsidRPr="00DE2EDF">
        <w:rPr>
          <w:rFonts w:eastAsia="Times New Roman" w:cs="Times New Roman"/>
          <w:iCs/>
          <w:lang w:val="en-GB"/>
        </w:rPr>
        <w:t>al texts</w:t>
      </w:r>
      <w:r w:rsidR="00977790" w:rsidRPr="00DE2EDF">
        <w:rPr>
          <w:rFonts w:eastAsia="Times New Roman" w:cs="Times New Roman"/>
          <w:iCs/>
          <w:lang w:val="en-GB"/>
        </w:rPr>
        <w:t xml:space="preserve"> continues</w:t>
      </w:r>
      <w:r w:rsidRPr="00DE2EDF">
        <w:rPr>
          <w:rFonts w:eastAsia="Times New Roman" w:cs="Times New Roman"/>
          <w:iCs/>
          <w:lang w:val="en-GB"/>
        </w:rPr>
        <w:t xml:space="preserve"> to grow over time </w:t>
      </w:r>
      <w:r w:rsidR="00C86D0B" w:rsidRPr="00DE2EDF">
        <w:rPr>
          <w:rFonts w:eastAsia="Times New Roman" w:cs="Times New Roman"/>
          <w:iCs/>
          <w:lang w:val="en-GB"/>
        </w:rPr>
        <w:t>by amendment</w:t>
      </w:r>
      <w:r w:rsidR="006615F2" w:rsidRPr="00DE2EDF">
        <w:rPr>
          <w:rFonts w:eastAsia="Times New Roman" w:cs="Times New Roman"/>
          <w:iCs/>
          <w:lang w:val="en-GB"/>
        </w:rPr>
        <w:t xml:space="preserve">. </w:t>
      </w:r>
      <w:r w:rsidR="000746A4" w:rsidRPr="00DE2EDF">
        <w:rPr>
          <w:rFonts w:eastAsia="Times New Roman" w:cs="Times New Roman"/>
          <w:iCs/>
          <w:lang w:val="en-GB"/>
        </w:rPr>
        <w:t>Finally</w:t>
      </w:r>
      <w:r w:rsidR="006615F2" w:rsidRPr="00DE2EDF">
        <w:rPr>
          <w:rFonts w:eastAsia="Times New Roman" w:cs="Times New Roman"/>
          <w:iCs/>
          <w:lang w:val="en-GB"/>
        </w:rPr>
        <w:t xml:space="preserve">, one has to take into account the </w:t>
      </w:r>
      <w:r w:rsidR="00CD1CC6" w:rsidRPr="00DE2EDF">
        <w:rPr>
          <w:rFonts w:eastAsia="Times New Roman" w:cs="Times New Roman"/>
          <w:iCs/>
          <w:lang w:val="en-GB"/>
        </w:rPr>
        <w:t>increasing importance</w:t>
      </w:r>
      <w:r w:rsidR="00C86D0B" w:rsidRPr="00DE2EDF">
        <w:rPr>
          <w:rFonts w:eastAsia="Times New Roman" w:cs="Times New Roman"/>
          <w:iCs/>
          <w:lang w:val="en-GB"/>
        </w:rPr>
        <w:t xml:space="preserve"> </w:t>
      </w:r>
      <w:r w:rsidR="006615F2" w:rsidRPr="00DE2EDF">
        <w:rPr>
          <w:rFonts w:eastAsia="Times New Roman" w:cs="Times New Roman"/>
          <w:iCs/>
          <w:lang w:val="en-GB"/>
        </w:rPr>
        <w:t xml:space="preserve">of </w:t>
      </w:r>
      <w:r w:rsidRPr="00DE2EDF">
        <w:rPr>
          <w:rFonts w:eastAsia="Times New Roman" w:cs="Times New Roman"/>
          <w:iCs/>
          <w:lang w:val="en-GB"/>
        </w:rPr>
        <w:t>constitutional case law</w:t>
      </w:r>
      <w:r w:rsidR="000746A4" w:rsidRPr="00DE2EDF">
        <w:rPr>
          <w:rFonts w:eastAsia="Times New Roman" w:cs="Times New Roman"/>
          <w:iCs/>
          <w:lang w:val="en-GB"/>
        </w:rPr>
        <w:t xml:space="preserve">, especially that </w:t>
      </w:r>
      <w:r w:rsidR="006615F2" w:rsidRPr="00DE2EDF">
        <w:rPr>
          <w:rFonts w:eastAsia="Times New Roman" w:cs="Times New Roman"/>
          <w:iCs/>
          <w:lang w:val="en-GB"/>
        </w:rPr>
        <w:t xml:space="preserve">developed </w:t>
      </w:r>
      <w:r w:rsidR="00CD1CC6" w:rsidRPr="00DE2EDF">
        <w:rPr>
          <w:rFonts w:eastAsia="Times New Roman" w:cs="Times New Roman"/>
          <w:iCs/>
          <w:lang w:val="en-GB"/>
        </w:rPr>
        <w:t xml:space="preserve">by </w:t>
      </w:r>
      <w:r w:rsidR="006615F2" w:rsidRPr="00DE2EDF">
        <w:rPr>
          <w:rFonts w:eastAsia="Times New Roman" w:cs="Times New Roman"/>
          <w:iCs/>
          <w:lang w:val="en-GB"/>
        </w:rPr>
        <w:t>constitutional courts.</w:t>
      </w:r>
    </w:p>
    <w:p w14:paraId="1A0449F8" w14:textId="77777777" w:rsidR="000F4C26" w:rsidRPr="00DE2EDF" w:rsidRDefault="000F4C26" w:rsidP="00DE2EDF">
      <w:pPr>
        <w:spacing w:after="0"/>
        <w:jc w:val="both"/>
        <w:rPr>
          <w:rFonts w:eastAsia="Times New Roman" w:cs="Times New Roman"/>
          <w:iCs/>
          <w:lang w:val="en-GB"/>
        </w:rPr>
      </w:pPr>
    </w:p>
    <w:p w14:paraId="31965C5A" w14:textId="77777777" w:rsidR="003472F3" w:rsidRPr="00DE2EDF" w:rsidRDefault="00C86D0B" w:rsidP="00DE2EDF">
      <w:pPr>
        <w:spacing w:after="0"/>
        <w:jc w:val="both"/>
        <w:rPr>
          <w:rFonts w:eastAsia="Times New Roman" w:cs="Times New Roman"/>
          <w:iCs/>
          <w:lang w:val="en-GB"/>
        </w:rPr>
      </w:pPr>
      <w:r w:rsidRPr="00DE2EDF">
        <w:rPr>
          <w:rFonts w:eastAsia="Times New Roman" w:cs="Times New Roman"/>
          <w:iCs/>
          <w:lang w:val="en-GB"/>
        </w:rPr>
        <w:t>However, n</w:t>
      </w:r>
      <w:r w:rsidR="003472F3" w:rsidRPr="00DE2EDF">
        <w:rPr>
          <w:rFonts w:eastAsia="Times New Roman" w:cs="Times New Roman"/>
          <w:iCs/>
          <w:lang w:val="en-GB"/>
        </w:rPr>
        <w:t xml:space="preserve">ot all constitutional norms are relevant to </w:t>
      </w:r>
      <w:r w:rsidR="008E0857" w:rsidRPr="00DE2EDF">
        <w:rPr>
          <w:rFonts w:eastAsia="Times New Roman" w:cs="Times New Roman"/>
          <w:iCs/>
          <w:lang w:val="en-GB"/>
        </w:rPr>
        <w:t xml:space="preserve">the </w:t>
      </w:r>
      <w:r w:rsidR="003472F3" w:rsidRPr="00DE2EDF">
        <w:rPr>
          <w:rFonts w:eastAsia="Times New Roman" w:cs="Times New Roman"/>
          <w:iCs/>
          <w:lang w:val="en-GB"/>
        </w:rPr>
        <w:t xml:space="preserve">administration. From this perspective, three categories of constitutional norms can be distinguished: (1) constitutional norms that do </w:t>
      </w:r>
      <w:r w:rsidR="00977790" w:rsidRPr="00DE2EDF">
        <w:rPr>
          <w:rFonts w:eastAsia="Times New Roman" w:cs="Times New Roman"/>
          <w:iCs/>
          <w:lang w:val="en-GB"/>
        </w:rPr>
        <w:t>not</w:t>
      </w:r>
      <w:r w:rsidR="003472F3" w:rsidRPr="00DE2EDF">
        <w:rPr>
          <w:rFonts w:eastAsia="Times New Roman" w:cs="Times New Roman"/>
          <w:iCs/>
          <w:lang w:val="en-GB"/>
        </w:rPr>
        <w:t xml:space="preserve"> refer to the </w:t>
      </w:r>
      <w:r w:rsidR="00CD1CC6" w:rsidRPr="00DE2EDF">
        <w:rPr>
          <w:rFonts w:eastAsia="Times New Roman" w:cs="Times New Roman"/>
          <w:iCs/>
          <w:lang w:val="en-GB"/>
        </w:rPr>
        <w:t xml:space="preserve">organs and/or functions of public </w:t>
      </w:r>
      <w:r w:rsidR="003472F3" w:rsidRPr="00DE2EDF">
        <w:rPr>
          <w:rFonts w:eastAsia="Times New Roman" w:cs="Times New Roman"/>
          <w:iCs/>
          <w:lang w:val="en-GB"/>
        </w:rPr>
        <w:t>administration (e.g., provisions relating to the internal structure of the legislature); (2) constitutional norms that are directed at all actors and areas of law and, hence,</w:t>
      </w:r>
      <w:r w:rsidR="00CD1CC6" w:rsidRPr="00DE2EDF">
        <w:rPr>
          <w:rFonts w:eastAsia="Times New Roman" w:cs="Times New Roman"/>
          <w:iCs/>
          <w:lang w:val="en-GB"/>
        </w:rPr>
        <w:t xml:space="preserve"> also to</w:t>
      </w:r>
      <w:r w:rsidR="003472F3" w:rsidRPr="00DE2EDF">
        <w:rPr>
          <w:rFonts w:eastAsia="Times New Roman" w:cs="Times New Roman"/>
          <w:iCs/>
          <w:lang w:val="en-GB"/>
        </w:rPr>
        <w:t xml:space="preserve"> administrati</w:t>
      </w:r>
      <w:r w:rsidR="00CD1CC6" w:rsidRPr="00DE2EDF">
        <w:rPr>
          <w:rFonts w:eastAsia="Times New Roman" w:cs="Times New Roman"/>
          <w:iCs/>
          <w:lang w:val="en-GB"/>
        </w:rPr>
        <w:t>ve authorities</w:t>
      </w:r>
      <w:r w:rsidR="003472F3" w:rsidRPr="00DE2EDF">
        <w:rPr>
          <w:rFonts w:eastAsia="Times New Roman" w:cs="Times New Roman"/>
          <w:iCs/>
          <w:lang w:val="en-GB"/>
        </w:rPr>
        <w:t xml:space="preserve"> (e.g., fundamental rights</w:t>
      </w:r>
      <w:r w:rsidR="00794325" w:rsidRPr="00DE2EDF">
        <w:rPr>
          <w:rFonts w:eastAsia="Times New Roman" w:cs="Times New Roman"/>
          <w:iCs/>
          <w:lang w:val="en-GB"/>
        </w:rPr>
        <w:t>, principles of the rule of law</w:t>
      </w:r>
      <w:r w:rsidR="003A0559" w:rsidRPr="00DE2EDF">
        <w:rPr>
          <w:rFonts w:eastAsia="Times New Roman" w:cs="Times New Roman"/>
          <w:iCs/>
          <w:lang w:val="en-GB"/>
        </w:rPr>
        <w:t>,</w:t>
      </w:r>
      <w:r w:rsidR="00794325" w:rsidRPr="00DE2EDF">
        <w:rPr>
          <w:rFonts w:eastAsia="Times New Roman" w:cs="Times New Roman"/>
          <w:iCs/>
          <w:lang w:val="en-GB"/>
        </w:rPr>
        <w:t xml:space="preserve"> and democracy</w:t>
      </w:r>
      <w:r w:rsidR="003472F3" w:rsidRPr="00DE2EDF">
        <w:rPr>
          <w:rFonts w:eastAsia="Times New Roman" w:cs="Times New Roman"/>
          <w:iCs/>
          <w:lang w:val="en-GB"/>
        </w:rPr>
        <w:t xml:space="preserve">); and (3) constitutional norms that specifically address </w:t>
      </w:r>
      <w:r w:rsidR="00CD1CC6" w:rsidRPr="00DE2EDF">
        <w:rPr>
          <w:rFonts w:eastAsia="Times New Roman" w:cs="Times New Roman"/>
          <w:iCs/>
          <w:lang w:val="en-GB"/>
        </w:rPr>
        <w:t xml:space="preserve">public </w:t>
      </w:r>
      <w:r w:rsidR="003472F3" w:rsidRPr="00DE2EDF">
        <w:rPr>
          <w:rFonts w:eastAsia="Times New Roman" w:cs="Times New Roman"/>
          <w:iCs/>
          <w:lang w:val="en-GB"/>
        </w:rPr>
        <w:t xml:space="preserve">administration and administrative law (e.g., </w:t>
      </w:r>
      <w:r w:rsidR="00A80D62" w:rsidRPr="00DE2EDF">
        <w:rPr>
          <w:rFonts w:eastAsia="Times New Roman" w:cs="Times New Roman"/>
          <w:iCs/>
          <w:lang w:val="en-GB"/>
        </w:rPr>
        <w:t xml:space="preserve">the </w:t>
      </w:r>
      <w:r w:rsidR="00182E7B" w:rsidRPr="00DE2EDF">
        <w:rPr>
          <w:rFonts w:eastAsia="Times New Roman" w:cs="Times New Roman"/>
          <w:iCs/>
          <w:lang w:val="en-GB"/>
        </w:rPr>
        <w:t>competenc</w:t>
      </w:r>
      <w:r w:rsidR="00760B71" w:rsidRPr="00DE2EDF">
        <w:rPr>
          <w:rFonts w:eastAsia="Times New Roman" w:cs="Times New Roman"/>
          <w:iCs/>
          <w:lang w:val="en-GB"/>
        </w:rPr>
        <w:t>y</w:t>
      </w:r>
      <w:r w:rsidR="00182E7B" w:rsidRPr="00DE2EDF">
        <w:rPr>
          <w:rFonts w:eastAsia="Times New Roman" w:cs="Times New Roman"/>
          <w:iCs/>
          <w:lang w:val="en-GB"/>
        </w:rPr>
        <w:t xml:space="preserve"> of the head of </w:t>
      </w:r>
      <w:r w:rsidR="005F4563" w:rsidRPr="00DE2EDF">
        <w:rPr>
          <w:rFonts w:eastAsia="Times New Roman" w:cs="Times New Roman"/>
          <w:iCs/>
          <w:lang w:val="en-GB"/>
        </w:rPr>
        <w:t>s</w:t>
      </w:r>
      <w:r w:rsidR="00182E7B" w:rsidRPr="00DE2EDF">
        <w:rPr>
          <w:rFonts w:eastAsia="Times New Roman" w:cs="Times New Roman"/>
          <w:iCs/>
          <w:lang w:val="en-GB"/>
        </w:rPr>
        <w:t>tate</w:t>
      </w:r>
      <w:r w:rsidR="00760B71" w:rsidRPr="00DE2EDF">
        <w:rPr>
          <w:rFonts w:eastAsia="Times New Roman" w:cs="Times New Roman"/>
          <w:iCs/>
          <w:lang w:val="en-GB"/>
        </w:rPr>
        <w:t>/</w:t>
      </w:r>
      <w:r w:rsidR="00182E7B" w:rsidRPr="00DE2EDF">
        <w:rPr>
          <w:rFonts w:eastAsia="Times New Roman" w:cs="Times New Roman"/>
          <w:iCs/>
          <w:lang w:val="en-GB"/>
        </w:rPr>
        <w:t xml:space="preserve">government or Parliament to regulate </w:t>
      </w:r>
      <w:r w:rsidR="00C24607" w:rsidRPr="00DE2EDF">
        <w:rPr>
          <w:rFonts w:eastAsia="Times New Roman" w:cs="Times New Roman"/>
          <w:iCs/>
          <w:lang w:val="en-GB"/>
        </w:rPr>
        <w:t>administrati</w:t>
      </w:r>
      <w:r w:rsidR="00760B71" w:rsidRPr="00DE2EDF">
        <w:rPr>
          <w:rFonts w:eastAsia="Times New Roman" w:cs="Times New Roman"/>
          <w:iCs/>
          <w:lang w:val="en-GB"/>
        </w:rPr>
        <w:t>ve matters</w:t>
      </w:r>
      <w:r w:rsidR="00C24607" w:rsidRPr="00DE2EDF">
        <w:rPr>
          <w:rFonts w:eastAsia="Times New Roman" w:cs="Times New Roman"/>
          <w:iCs/>
          <w:lang w:val="en-GB"/>
        </w:rPr>
        <w:t>;</w:t>
      </w:r>
      <w:r w:rsidR="00A80D62" w:rsidRPr="00DE2EDF">
        <w:rPr>
          <w:rFonts w:eastAsia="Times New Roman" w:cs="Times New Roman"/>
          <w:iCs/>
          <w:lang w:val="en-GB"/>
        </w:rPr>
        <w:t xml:space="preserve"> the position of administration in the current multi-level system;</w:t>
      </w:r>
      <w:r w:rsidR="00C24607" w:rsidRPr="00DE2EDF">
        <w:rPr>
          <w:rFonts w:eastAsia="Times New Roman" w:cs="Times New Roman"/>
          <w:iCs/>
          <w:lang w:val="en-GB"/>
        </w:rPr>
        <w:t xml:space="preserve"> </w:t>
      </w:r>
      <w:r w:rsidRPr="00DE2EDF">
        <w:rPr>
          <w:rFonts w:eastAsia="Times New Roman" w:cs="Times New Roman"/>
          <w:iCs/>
          <w:lang w:val="en-GB"/>
        </w:rPr>
        <w:t xml:space="preserve">the </w:t>
      </w:r>
      <w:r w:rsidR="00C24607" w:rsidRPr="00DE2EDF">
        <w:rPr>
          <w:rFonts w:eastAsia="Times New Roman" w:cs="Times New Roman"/>
          <w:iCs/>
          <w:lang w:val="en-GB"/>
        </w:rPr>
        <w:t>structure</w:t>
      </w:r>
      <w:r w:rsidR="004C4746" w:rsidRPr="00DE2EDF">
        <w:rPr>
          <w:rFonts w:eastAsia="Times New Roman" w:cs="Times New Roman"/>
          <w:iCs/>
          <w:lang w:val="en-GB"/>
        </w:rPr>
        <w:t xml:space="preserve">, </w:t>
      </w:r>
      <w:r w:rsidR="00EE0BF8" w:rsidRPr="00DE2EDF">
        <w:rPr>
          <w:rFonts w:eastAsia="Times New Roman" w:cs="Times New Roman"/>
          <w:iCs/>
          <w:lang w:val="en-GB"/>
        </w:rPr>
        <w:t>powers</w:t>
      </w:r>
      <w:r w:rsidR="003A0559" w:rsidRPr="00DE2EDF">
        <w:rPr>
          <w:rFonts w:eastAsia="Times New Roman" w:cs="Times New Roman"/>
          <w:iCs/>
          <w:lang w:val="en-GB"/>
        </w:rPr>
        <w:t>,</w:t>
      </w:r>
      <w:r w:rsidR="004C4746" w:rsidRPr="00DE2EDF">
        <w:rPr>
          <w:rFonts w:eastAsia="Times New Roman" w:cs="Times New Roman"/>
          <w:iCs/>
          <w:lang w:val="en-GB"/>
        </w:rPr>
        <w:t xml:space="preserve"> and hierarchy</w:t>
      </w:r>
      <w:r w:rsidRPr="00DE2EDF">
        <w:rPr>
          <w:rFonts w:eastAsia="Times New Roman" w:cs="Times New Roman"/>
          <w:iCs/>
          <w:lang w:val="en-GB"/>
        </w:rPr>
        <w:t xml:space="preserve"> of administrative </w:t>
      </w:r>
      <w:r w:rsidR="003472F3" w:rsidRPr="00DE2EDF">
        <w:rPr>
          <w:rFonts w:eastAsia="Times New Roman" w:cs="Times New Roman"/>
          <w:iCs/>
          <w:lang w:val="en-GB"/>
        </w:rPr>
        <w:t>authorit</w:t>
      </w:r>
      <w:r w:rsidRPr="00DE2EDF">
        <w:rPr>
          <w:rFonts w:eastAsia="Times New Roman" w:cs="Times New Roman"/>
          <w:iCs/>
          <w:lang w:val="en-GB"/>
        </w:rPr>
        <w:t>ies</w:t>
      </w:r>
      <w:r w:rsidR="00B4538B" w:rsidRPr="00DE2EDF">
        <w:rPr>
          <w:rFonts w:eastAsia="Times New Roman" w:cs="Times New Roman"/>
          <w:iCs/>
          <w:lang w:val="en-GB"/>
        </w:rPr>
        <w:t>: ministries,</w:t>
      </w:r>
      <w:r w:rsidR="00C24607" w:rsidRPr="00DE2EDF">
        <w:rPr>
          <w:rFonts w:eastAsia="Times New Roman" w:cs="Times New Roman"/>
          <w:iCs/>
          <w:lang w:val="en-GB"/>
        </w:rPr>
        <w:t xml:space="preserve"> public services,</w:t>
      </w:r>
      <w:r w:rsidR="00B4538B" w:rsidRPr="00DE2EDF">
        <w:rPr>
          <w:rFonts w:eastAsia="Times New Roman" w:cs="Times New Roman"/>
          <w:iCs/>
          <w:lang w:val="en-GB"/>
        </w:rPr>
        <w:t xml:space="preserve"> </w:t>
      </w:r>
      <w:r w:rsidR="00182E7B" w:rsidRPr="00DE2EDF">
        <w:rPr>
          <w:rFonts w:eastAsia="Times New Roman" w:cs="Times New Roman"/>
          <w:iCs/>
          <w:lang w:val="en-GB"/>
        </w:rPr>
        <w:t>local self-government</w:t>
      </w:r>
      <w:r w:rsidR="00B4538B" w:rsidRPr="00DE2EDF">
        <w:rPr>
          <w:rFonts w:eastAsia="Times New Roman" w:cs="Times New Roman"/>
          <w:iCs/>
          <w:lang w:val="en-GB"/>
        </w:rPr>
        <w:t>, independent bodies</w:t>
      </w:r>
      <w:r w:rsidR="00BC11C8" w:rsidRPr="00DE2EDF">
        <w:rPr>
          <w:rFonts w:eastAsia="Times New Roman" w:cs="Times New Roman"/>
          <w:iCs/>
          <w:lang w:val="en-GB"/>
        </w:rPr>
        <w:t xml:space="preserve">, </w:t>
      </w:r>
      <w:r w:rsidR="00182E7B" w:rsidRPr="00DE2EDF">
        <w:rPr>
          <w:rFonts w:eastAsia="Times New Roman" w:cs="Times New Roman"/>
          <w:iCs/>
          <w:lang w:val="en-GB"/>
        </w:rPr>
        <w:t xml:space="preserve">army, </w:t>
      </w:r>
      <w:r w:rsidR="00BC11C8" w:rsidRPr="00DE2EDF">
        <w:rPr>
          <w:rFonts w:eastAsia="Times New Roman" w:cs="Times New Roman"/>
          <w:iCs/>
          <w:lang w:val="en-GB"/>
        </w:rPr>
        <w:t>etc.</w:t>
      </w:r>
      <w:r w:rsidR="00B4538B" w:rsidRPr="00DE2EDF">
        <w:rPr>
          <w:rFonts w:eastAsia="Times New Roman" w:cs="Times New Roman"/>
          <w:iCs/>
          <w:lang w:val="en-GB"/>
        </w:rPr>
        <w:t>;</w:t>
      </w:r>
      <w:r w:rsidR="003472F3" w:rsidRPr="00DE2EDF">
        <w:rPr>
          <w:rFonts w:eastAsia="Times New Roman" w:cs="Times New Roman"/>
          <w:iCs/>
          <w:lang w:val="en-GB"/>
        </w:rPr>
        <w:t xml:space="preserve"> </w:t>
      </w:r>
      <w:r w:rsidRPr="00DE2EDF">
        <w:rPr>
          <w:rFonts w:eastAsia="Times New Roman" w:cs="Times New Roman"/>
          <w:iCs/>
          <w:lang w:val="en-GB"/>
        </w:rPr>
        <w:t>administrative procedural rules</w:t>
      </w:r>
      <w:r w:rsidR="00B4538B" w:rsidRPr="00DE2EDF">
        <w:rPr>
          <w:rFonts w:eastAsia="Times New Roman" w:cs="Times New Roman"/>
          <w:iCs/>
          <w:lang w:val="en-GB"/>
        </w:rPr>
        <w:t xml:space="preserve">: </w:t>
      </w:r>
      <w:r w:rsidR="00B04DCA" w:rsidRPr="00DE2EDF">
        <w:rPr>
          <w:rFonts w:eastAsia="Times New Roman" w:cs="Times New Roman"/>
          <w:iCs/>
          <w:lang w:val="en-GB"/>
        </w:rPr>
        <w:t xml:space="preserve">right to good administration, </w:t>
      </w:r>
      <w:r w:rsidR="00B4538B" w:rsidRPr="00DE2EDF">
        <w:rPr>
          <w:rFonts w:eastAsia="Times New Roman" w:cs="Times New Roman"/>
          <w:iCs/>
          <w:lang w:val="en-GB"/>
        </w:rPr>
        <w:t xml:space="preserve">transparency, </w:t>
      </w:r>
      <w:r w:rsidR="00B04DCA" w:rsidRPr="00DE2EDF">
        <w:rPr>
          <w:rFonts w:eastAsia="Times New Roman" w:cs="Times New Roman"/>
          <w:iCs/>
          <w:lang w:val="en-GB"/>
        </w:rPr>
        <w:t xml:space="preserve">access to information, </w:t>
      </w:r>
      <w:r w:rsidR="00B4538B" w:rsidRPr="00DE2EDF">
        <w:rPr>
          <w:rFonts w:eastAsia="Times New Roman" w:cs="Times New Roman"/>
          <w:iCs/>
          <w:lang w:val="en-GB"/>
        </w:rPr>
        <w:t xml:space="preserve">participation, </w:t>
      </w:r>
      <w:r w:rsidR="00BC11C8" w:rsidRPr="00DE2EDF">
        <w:rPr>
          <w:rFonts w:eastAsia="Times New Roman" w:cs="Times New Roman"/>
          <w:iCs/>
          <w:lang w:val="en-GB"/>
        </w:rPr>
        <w:t>etc.</w:t>
      </w:r>
      <w:r w:rsidR="00B4538B" w:rsidRPr="00DE2EDF">
        <w:rPr>
          <w:rFonts w:eastAsia="Times New Roman" w:cs="Times New Roman"/>
          <w:iCs/>
          <w:lang w:val="en-GB"/>
        </w:rPr>
        <w:t>;</w:t>
      </w:r>
      <w:r w:rsidRPr="00DE2EDF">
        <w:rPr>
          <w:rFonts w:eastAsia="Times New Roman" w:cs="Times New Roman"/>
          <w:iCs/>
          <w:lang w:val="en-GB"/>
        </w:rPr>
        <w:t xml:space="preserve"> </w:t>
      </w:r>
      <w:r w:rsidR="009E5F38" w:rsidRPr="00DE2EDF">
        <w:rPr>
          <w:rFonts w:eastAsia="Times New Roman" w:cs="Times New Roman"/>
          <w:iCs/>
          <w:lang w:val="en-GB"/>
        </w:rPr>
        <w:t>supervision</w:t>
      </w:r>
      <w:r w:rsidR="00B4538B" w:rsidRPr="00DE2EDF">
        <w:rPr>
          <w:rFonts w:eastAsia="Times New Roman" w:cs="Times New Roman"/>
          <w:iCs/>
          <w:lang w:val="en-GB"/>
        </w:rPr>
        <w:t xml:space="preserve"> by courts, Parliament, ombudsmen, citizens;</w:t>
      </w:r>
      <w:r w:rsidRPr="00DE2EDF">
        <w:rPr>
          <w:rFonts w:eastAsia="Times New Roman" w:cs="Times New Roman"/>
          <w:iCs/>
          <w:lang w:val="en-GB"/>
        </w:rPr>
        <w:t xml:space="preserve"> </w:t>
      </w:r>
      <w:r w:rsidR="00B4538B" w:rsidRPr="00DE2EDF">
        <w:rPr>
          <w:rFonts w:eastAsia="Times New Roman" w:cs="Times New Roman"/>
          <w:iCs/>
          <w:lang w:val="en-GB"/>
        </w:rPr>
        <w:t xml:space="preserve">scope and </w:t>
      </w:r>
      <w:r w:rsidR="00BC11C8" w:rsidRPr="00DE2EDF">
        <w:rPr>
          <w:rFonts w:eastAsia="Times New Roman" w:cs="Times New Roman"/>
          <w:iCs/>
          <w:lang w:val="en-GB"/>
        </w:rPr>
        <w:t xml:space="preserve">content </w:t>
      </w:r>
      <w:r w:rsidR="00B4538B" w:rsidRPr="00DE2EDF">
        <w:rPr>
          <w:rFonts w:eastAsia="Times New Roman" w:cs="Times New Roman"/>
          <w:iCs/>
          <w:lang w:val="en-GB"/>
        </w:rPr>
        <w:t xml:space="preserve">of </w:t>
      </w:r>
      <w:r w:rsidR="00BC11C8" w:rsidRPr="00DE2EDF">
        <w:rPr>
          <w:rFonts w:eastAsia="Times New Roman" w:cs="Times New Roman"/>
          <w:iCs/>
          <w:lang w:val="en-GB"/>
        </w:rPr>
        <w:t xml:space="preserve">the </w:t>
      </w:r>
      <w:r w:rsidRPr="00DE2EDF">
        <w:rPr>
          <w:rFonts w:eastAsia="Times New Roman" w:cs="Times New Roman"/>
          <w:iCs/>
          <w:lang w:val="en-GB"/>
        </w:rPr>
        <w:t>civil service</w:t>
      </w:r>
      <w:r w:rsidR="00BC11C8" w:rsidRPr="00DE2EDF">
        <w:rPr>
          <w:rFonts w:eastAsia="Times New Roman" w:cs="Times New Roman"/>
          <w:iCs/>
          <w:lang w:val="en-GB"/>
        </w:rPr>
        <w:t>’s regime</w:t>
      </w:r>
      <w:r w:rsidR="00DE5EFF" w:rsidRPr="00DE2EDF">
        <w:rPr>
          <w:rFonts w:eastAsia="Times New Roman" w:cs="Times New Roman"/>
          <w:iCs/>
          <w:lang w:val="en-GB"/>
        </w:rPr>
        <w:t xml:space="preserve"> and the possibility to establish private law labour contract</w:t>
      </w:r>
      <w:r w:rsidR="003E011C" w:rsidRPr="00DE2EDF">
        <w:rPr>
          <w:rFonts w:eastAsia="Times New Roman" w:cs="Times New Roman"/>
          <w:iCs/>
          <w:lang w:val="en-GB"/>
        </w:rPr>
        <w:t>s</w:t>
      </w:r>
      <w:r w:rsidR="00B4538B" w:rsidRPr="00DE2EDF">
        <w:rPr>
          <w:rFonts w:eastAsia="Times New Roman" w:cs="Times New Roman"/>
          <w:iCs/>
          <w:lang w:val="en-GB"/>
        </w:rPr>
        <w:t xml:space="preserve">; the boundaries of the State: </w:t>
      </w:r>
      <w:r w:rsidR="00EE0BF8" w:rsidRPr="00DE2EDF">
        <w:rPr>
          <w:rFonts w:eastAsia="Times New Roman" w:cs="Times New Roman"/>
          <w:iCs/>
          <w:lang w:val="en-GB"/>
        </w:rPr>
        <w:t>nationali</w:t>
      </w:r>
      <w:r w:rsidR="003B180C" w:rsidRPr="00DE2EDF">
        <w:rPr>
          <w:rFonts w:eastAsia="Times New Roman" w:cs="Times New Roman"/>
          <w:iCs/>
          <w:lang w:val="en-GB"/>
        </w:rPr>
        <w:t>z</w:t>
      </w:r>
      <w:r w:rsidR="00EE0BF8" w:rsidRPr="00DE2EDF">
        <w:rPr>
          <w:rFonts w:eastAsia="Times New Roman" w:cs="Times New Roman"/>
          <w:iCs/>
          <w:lang w:val="en-GB"/>
        </w:rPr>
        <w:t>ation of private enterprises, privati</w:t>
      </w:r>
      <w:r w:rsidR="003B180C" w:rsidRPr="00DE2EDF">
        <w:rPr>
          <w:rFonts w:eastAsia="Times New Roman" w:cs="Times New Roman"/>
          <w:iCs/>
          <w:lang w:val="en-GB"/>
        </w:rPr>
        <w:t>z</w:t>
      </w:r>
      <w:r w:rsidR="00EE0BF8" w:rsidRPr="00DE2EDF">
        <w:rPr>
          <w:rFonts w:eastAsia="Times New Roman" w:cs="Times New Roman"/>
          <w:iCs/>
          <w:lang w:val="en-GB"/>
        </w:rPr>
        <w:t xml:space="preserve">ation of administrative functions, </w:t>
      </w:r>
      <w:r w:rsidR="00B4538B" w:rsidRPr="00DE2EDF">
        <w:rPr>
          <w:rFonts w:eastAsia="Times New Roman" w:cs="Times New Roman"/>
          <w:iCs/>
          <w:lang w:val="en-GB"/>
        </w:rPr>
        <w:t xml:space="preserve">cross-border cooperation, </w:t>
      </w:r>
      <w:r w:rsidR="00EE0BF8" w:rsidRPr="00DE2EDF">
        <w:rPr>
          <w:rFonts w:eastAsia="Times New Roman" w:cs="Times New Roman"/>
          <w:iCs/>
          <w:lang w:val="en-GB"/>
        </w:rPr>
        <w:t>etc.</w:t>
      </w:r>
      <w:r w:rsidR="003472F3" w:rsidRPr="00DE2EDF">
        <w:rPr>
          <w:rFonts w:eastAsia="Times New Roman" w:cs="Times New Roman"/>
          <w:iCs/>
          <w:lang w:val="en-GB"/>
        </w:rPr>
        <w:t xml:space="preserve">). The function of a Constitution is to define the foundations of the political community. But, the more narrowly-defined the concept of </w:t>
      </w:r>
      <w:r w:rsidR="00530E16" w:rsidRPr="00DE2EDF">
        <w:rPr>
          <w:rFonts w:eastAsia="Times New Roman" w:cs="Times New Roman"/>
          <w:iCs/>
          <w:lang w:val="en-GB"/>
        </w:rPr>
        <w:t>‘</w:t>
      </w:r>
      <w:r w:rsidR="003472F3" w:rsidRPr="00DE2EDF">
        <w:rPr>
          <w:rFonts w:eastAsia="Times New Roman" w:cs="Times New Roman"/>
          <w:iCs/>
          <w:lang w:val="en-GB"/>
        </w:rPr>
        <w:t>foundations</w:t>
      </w:r>
      <w:r w:rsidR="00530E16" w:rsidRPr="00DE2EDF">
        <w:rPr>
          <w:rFonts w:eastAsia="Times New Roman" w:cs="Times New Roman"/>
          <w:iCs/>
          <w:lang w:val="en-GB"/>
        </w:rPr>
        <w:t>’</w:t>
      </w:r>
      <w:r w:rsidR="003472F3" w:rsidRPr="00DE2EDF">
        <w:rPr>
          <w:rFonts w:eastAsia="Times New Roman" w:cs="Times New Roman"/>
          <w:iCs/>
          <w:lang w:val="en-GB"/>
        </w:rPr>
        <w:t xml:space="preserve"> is, the more likely that administration will be left</w:t>
      </w:r>
      <w:r w:rsidR="007B6387" w:rsidRPr="00DE2EDF">
        <w:rPr>
          <w:rFonts w:eastAsia="Times New Roman" w:cs="Times New Roman"/>
          <w:iCs/>
          <w:lang w:val="en-GB"/>
        </w:rPr>
        <w:t xml:space="preserve"> out. </w:t>
      </w:r>
      <w:r w:rsidR="003472F3" w:rsidRPr="00DE2EDF">
        <w:rPr>
          <w:rFonts w:eastAsia="Times New Roman" w:cs="Times New Roman"/>
          <w:iCs/>
          <w:lang w:val="en-GB"/>
        </w:rPr>
        <w:t xml:space="preserve">At its absolute minimum, </w:t>
      </w:r>
      <w:r w:rsidR="00EE0BF8" w:rsidRPr="00DE2EDF">
        <w:rPr>
          <w:rFonts w:eastAsia="Times New Roman" w:cs="Times New Roman"/>
          <w:iCs/>
          <w:lang w:val="en-GB"/>
        </w:rPr>
        <w:t xml:space="preserve">the core function of a </w:t>
      </w:r>
      <w:r w:rsidR="003472F3" w:rsidRPr="00DE2EDF">
        <w:rPr>
          <w:rFonts w:eastAsia="Times New Roman" w:cs="Times New Roman"/>
          <w:iCs/>
          <w:lang w:val="en-GB"/>
        </w:rPr>
        <w:t xml:space="preserve">Constitution is </w:t>
      </w:r>
      <w:r w:rsidR="00EE0BF8" w:rsidRPr="00DE2EDF">
        <w:rPr>
          <w:rFonts w:eastAsia="Times New Roman" w:cs="Times New Roman"/>
          <w:iCs/>
          <w:lang w:val="en-GB"/>
        </w:rPr>
        <w:t>to</w:t>
      </w:r>
      <w:r w:rsidR="003472F3" w:rsidRPr="00DE2EDF">
        <w:rPr>
          <w:rFonts w:eastAsia="Times New Roman" w:cs="Times New Roman"/>
          <w:iCs/>
          <w:lang w:val="en-GB"/>
        </w:rPr>
        <w:t xml:space="preserve"> establish the highest </w:t>
      </w:r>
      <w:r w:rsidR="00CC573B" w:rsidRPr="00DE2EDF">
        <w:rPr>
          <w:rFonts w:eastAsia="Times New Roman" w:cs="Times New Roman"/>
          <w:iCs/>
          <w:lang w:val="en-GB"/>
        </w:rPr>
        <w:t>s</w:t>
      </w:r>
      <w:r w:rsidR="003472F3" w:rsidRPr="00DE2EDF">
        <w:rPr>
          <w:rFonts w:eastAsia="Times New Roman" w:cs="Times New Roman"/>
          <w:iCs/>
          <w:lang w:val="en-GB"/>
        </w:rPr>
        <w:t xml:space="preserve">tate </w:t>
      </w:r>
      <w:r w:rsidR="00EE0BF8" w:rsidRPr="00DE2EDF">
        <w:rPr>
          <w:rFonts w:eastAsia="Times New Roman" w:cs="Times New Roman"/>
          <w:iCs/>
          <w:lang w:val="en-GB"/>
        </w:rPr>
        <w:t>organs</w:t>
      </w:r>
      <w:r w:rsidR="003472F3" w:rsidRPr="00DE2EDF">
        <w:rPr>
          <w:rFonts w:eastAsia="Times New Roman" w:cs="Times New Roman"/>
          <w:iCs/>
          <w:lang w:val="en-GB"/>
        </w:rPr>
        <w:t xml:space="preserve">. Thus, </w:t>
      </w:r>
      <w:r w:rsidR="009E5F38" w:rsidRPr="00DE2EDF">
        <w:rPr>
          <w:rFonts w:eastAsia="Times New Roman" w:cs="Times New Roman"/>
          <w:iCs/>
          <w:lang w:val="en-GB"/>
        </w:rPr>
        <w:t xml:space="preserve">the task to regulate </w:t>
      </w:r>
      <w:r w:rsidR="00977790" w:rsidRPr="00DE2EDF">
        <w:rPr>
          <w:rFonts w:eastAsia="Times New Roman" w:cs="Times New Roman"/>
          <w:iCs/>
          <w:lang w:val="en-GB"/>
        </w:rPr>
        <w:t>administration and</w:t>
      </w:r>
      <w:r w:rsidR="00271FF6" w:rsidRPr="00DE2EDF">
        <w:rPr>
          <w:rFonts w:eastAsia="Times New Roman" w:cs="Times New Roman"/>
          <w:iCs/>
          <w:lang w:val="en-GB"/>
        </w:rPr>
        <w:t>,</w:t>
      </w:r>
      <w:r w:rsidR="00977790" w:rsidRPr="00DE2EDF">
        <w:rPr>
          <w:rFonts w:eastAsia="Times New Roman" w:cs="Times New Roman"/>
          <w:iCs/>
          <w:lang w:val="en-GB"/>
        </w:rPr>
        <w:t xml:space="preserve"> sometimes</w:t>
      </w:r>
      <w:r w:rsidR="00271FF6" w:rsidRPr="00DE2EDF">
        <w:rPr>
          <w:rFonts w:eastAsia="Times New Roman" w:cs="Times New Roman"/>
          <w:iCs/>
          <w:lang w:val="en-GB"/>
        </w:rPr>
        <w:t>,</w:t>
      </w:r>
      <w:r w:rsidR="00977790" w:rsidRPr="00DE2EDF">
        <w:rPr>
          <w:rFonts w:eastAsia="Times New Roman" w:cs="Times New Roman"/>
          <w:iCs/>
          <w:lang w:val="en-GB"/>
        </w:rPr>
        <w:t xml:space="preserve"> even </w:t>
      </w:r>
      <w:r w:rsidR="003B180C" w:rsidRPr="00DE2EDF">
        <w:rPr>
          <w:rFonts w:eastAsia="Times New Roman" w:cs="Times New Roman"/>
          <w:iCs/>
          <w:lang w:val="en-GB"/>
        </w:rPr>
        <w:t xml:space="preserve">to regulate the </w:t>
      </w:r>
      <w:r w:rsidR="00977790" w:rsidRPr="00DE2EDF">
        <w:rPr>
          <w:rFonts w:eastAsia="Times New Roman" w:cs="Times New Roman"/>
          <w:iCs/>
          <w:lang w:val="en-GB"/>
        </w:rPr>
        <w:t xml:space="preserve">judiciary </w:t>
      </w:r>
      <w:r w:rsidR="009E5F38" w:rsidRPr="00DE2EDF">
        <w:rPr>
          <w:rFonts w:eastAsia="Times New Roman" w:cs="Times New Roman"/>
          <w:iCs/>
          <w:lang w:val="en-GB"/>
        </w:rPr>
        <w:t>is</w:t>
      </w:r>
      <w:r w:rsidR="00271FF6" w:rsidRPr="00DE2EDF">
        <w:rPr>
          <w:rFonts w:eastAsia="Times New Roman" w:cs="Times New Roman"/>
          <w:iCs/>
          <w:lang w:val="en-GB"/>
        </w:rPr>
        <w:t xml:space="preserve"> </w:t>
      </w:r>
      <w:r w:rsidR="009E5F38" w:rsidRPr="00DE2EDF">
        <w:rPr>
          <w:rFonts w:eastAsia="Times New Roman" w:cs="Times New Roman"/>
          <w:iCs/>
          <w:lang w:val="en-GB"/>
        </w:rPr>
        <w:t xml:space="preserve">left </w:t>
      </w:r>
      <w:r w:rsidR="003472F3" w:rsidRPr="00DE2EDF">
        <w:rPr>
          <w:rFonts w:eastAsia="Times New Roman" w:cs="Times New Roman"/>
          <w:iCs/>
          <w:lang w:val="en-GB"/>
        </w:rPr>
        <w:t xml:space="preserve">to ordinary law. Today, </w:t>
      </w:r>
      <w:r w:rsidR="003B180C" w:rsidRPr="00DE2EDF">
        <w:rPr>
          <w:rFonts w:eastAsia="Times New Roman" w:cs="Times New Roman"/>
          <w:iCs/>
          <w:lang w:val="en-GB"/>
        </w:rPr>
        <w:t>s</w:t>
      </w:r>
      <w:r w:rsidR="003472F3" w:rsidRPr="00DE2EDF">
        <w:rPr>
          <w:rFonts w:eastAsia="Times New Roman" w:cs="Times New Roman"/>
          <w:iCs/>
          <w:lang w:val="en-GB"/>
        </w:rPr>
        <w:t>tate objectives and declarations of human</w:t>
      </w:r>
      <w:r w:rsidR="00EE0BF8" w:rsidRPr="00DE2EDF">
        <w:rPr>
          <w:rFonts w:eastAsia="Times New Roman" w:cs="Times New Roman"/>
          <w:iCs/>
          <w:lang w:val="en-GB"/>
        </w:rPr>
        <w:t xml:space="preserve"> (or ‘fundamental’)</w:t>
      </w:r>
      <w:r w:rsidR="003472F3" w:rsidRPr="00DE2EDF">
        <w:rPr>
          <w:rFonts w:eastAsia="Times New Roman" w:cs="Times New Roman"/>
          <w:iCs/>
          <w:lang w:val="en-GB"/>
        </w:rPr>
        <w:t xml:space="preserve"> rights, especially </w:t>
      </w:r>
      <w:r w:rsidR="003472F3" w:rsidRPr="00DE2EDF">
        <w:rPr>
          <w:rFonts w:eastAsia="Times New Roman" w:cs="Times New Roman"/>
          <w:iCs/>
          <w:lang w:val="en-GB"/>
        </w:rPr>
        <w:lastRenderedPageBreak/>
        <w:t xml:space="preserve">in countries previously suffering under dictatorships, are a political </w:t>
      </w:r>
      <w:r w:rsidR="00EE0BF8" w:rsidRPr="00DE2EDF">
        <w:rPr>
          <w:rFonts w:eastAsia="Times New Roman" w:cs="Times New Roman"/>
          <w:iCs/>
          <w:lang w:val="en-GB"/>
        </w:rPr>
        <w:t>must</w:t>
      </w:r>
      <w:r w:rsidR="003472F3" w:rsidRPr="00DE2EDF">
        <w:rPr>
          <w:rFonts w:eastAsia="Times New Roman" w:cs="Times New Roman"/>
          <w:iCs/>
          <w:lang w:val="en-GB"/>
        </w:rPr>
        <w:t xml:space="preserve">. In the </w:t>
      </w:r>
      <w:r w:rsidR="003472F3" w:rsidRPr="00DE2EDF">
        <w:rPr>
          <w:rFonts w:eastAsia="Times New Roman" w:cs="Times New Roman"/>
          <w:i/>
          <w:iCs/>
          <w:lang w:val="en-GB"/>
        </w:rPr>
        <w:t>Belle Époque</w:t>
      </w:r>
      <w:r w:rsidR="00271FF6" w:rsidRPr="00DE2EDF">
        <w:rPr>
          <w:rFonts w:eastAsia="Times New Roman" w:cs="Times New Roman"/>
          <w:iCs/>
          <w:lang w:val="en-GB"/>
        </w:rPr>
        <w:t>,</w:t>
      </w:r>
      <w:r w:rsidR="003472F3" w:rsidRPr="00DE2EDF">
        <w:rPr>
          <w:rFonts w:eastAsia="Times New Roman" w:cs="Times New Roman"/>
          <w:iCs/>
          <w:lang w:val="en-GB"/>
        </w:rPr>
        <w:t xml:space="preserve"> there was no such catalogue of fundamental rights in Great Britain, France (Constitution of 1875), Germany (Constitution of</w:t>
      </w:r>
      <w:r w:rsidR="00EE0BF8" w:rsidRPr="00DE2EDF">
        <w:rPr>
          <w:rFonts w:eastAsia="Times New Roman" w:cs="Times New Roman"/>
          <w:iCs/>
          <w:lang w:val="en-GB"/>
        </w:rPr>
        <w:t xml:space="preserve"> the Empire of</w:t>
      </w:r>
      <w:r w:rsidR="003472F3" w:rsidRPr="00DE2EDF">
        <w:rPr>
          <w:rFonts w:eastAsia="Times New Roman" w:cs="Times New Roman"/>
          <w:iCs/>
          <w:lang w:val="en-GB"/>
        </w:rPr>
        <w:t xml:space="preserve"> 1871)</w:t>
      </w:r>
      <w:r w:rsidR="00EE0BF8" w:rsidRPr="00DE2EDF">
        <w:rPr>
          <w:rFonts w:eastAsia="Times New Roman" w:cs="Times New Roman"/>
          <w:iCs/>
          <w:lang w:val="en-GB"/>
        </w:rPr>
        <w:t xml:space="preserve"> or Sweden (</w:t>
      </w:r>
      <w:r w:rsidR="009D2894" w:rsidRPr="00DE2EDF">
        <w:rPr>
          <w:rFonts w:eastAsia="Times New Roman" w:cs="Times New Roman"/>
          <w:iCs/>
          <w:lang w:val="en-GB"/>
        </w:rPr>
        <w:t>Instrument of Government</w:t>
      </w:r>
      <w:r w:rsidR="00EE0BF8" w:rsidRPr="00DE2EDF">
        <w:rPr>
          <w:rFonts w:eastAsia="Times New Roman" w:cs="Times New Roman"/>
          <w:iCs/>
          <w:lang w:val="en-GB"/>
        </w:rPr>
        <w:t xml:space="preserve"> of 1809)</w:t>
      </w:r>
      <w:r w:rsidR="003472F3" w:rsidRPr="00DE2EDF">
        <w:rPr>
          <w:rFonts w:eastAsia="Times New Roman" w:cs="Times New Roman"/>
          <w:iCs/>
          <w:lang w:val="en-GB"/>
        </w:rPr>
        <w:t>. In some countries, the presence of such provisions is still relatively new</w:t>
      </w:r>
      <w:bookmarkStart w:id="286" w:name="_ftnref142"/>
      <w:r w:rsidR="003472F3" w:rsidRPr="00DE2EDF">
        <w:rPr>
          <w:rStyle w:val="FootnoteReference"/>
          <w:rFonts w:eastAsia="Times New Roman" w:cs="Times New Roman"/>
          <w:iCs/>
          <w:lang w:val="en-GB"/>
        </w:rPr>
        <w:footnoteReference w:id="175"/>
      </w:r>
      <w:r w:rsidR="003472F3" w:rsidRPr="00DE2EDF">
        <w:rPr>
          <w:rFonts w:eastAsia="Times New Roman" w:cs="Times New Roman"/>
          <w:iCs/>
          <w:lang w:val="en-GB"/>
        </w:rPr>
        <w:t xml:space="preserve"> </w:t>
      </w:r>
      <w:bookmarkEnd w:id="286"/>
      <w:r w:rsidR="003472F3" w:rsidRPr="00DE2EDF">
        <w:rPr>
          <w:rFonts w:eastAsia="Times New Roman" w:cs="Times New Roman"/>
          <w:iCs/>
          <w:lang w:val="en-GB"/>
        </w:rPr>
        <w:t>or is met with uneasiness in some legal cultures due to their abstractness</w:t>
      </w:r>
      <w:r w:rsidR="00EE0BF8" w:rsidRPr="00DE2EDF">
        <w:rPr>
          <w:rFonts w:eastAsia="Times New Roman" w:cs="Times New Roman"/>
          <w:iCs/>
          <w:lang w:val="en-GB"/>
        </w:rPr>
        <w:t xml:space="preserve"> and their impact on democracy (</w:t>
      </w:r>
      <w:r w:rsidR="00CD1CC6" w:rsidRPr="00DE2EDF">
        <w:rPr>
          <w:rFonts w:eastAsia="Times New Roman" w:cs="Times New Roman"/>
          <w:iCs/>
          <w:lang w:val="en-GB"/>
        </w:rPr>
        <w:t xml:space="preserve">the fear of </w:t>
      </w:r>
      <w:r w:rsidR="005F4563" w:rsidRPr="00DE2EDF">
        <w:rPr>
          <w:rFonts w:eastAsia="Times New Roman" w:cs="Times New Roman"/>
          <w:iCs/>
          <w:lang w:val="en-GB"/>
        </w:rPr>
        <w:t xml:space="preserve">the </w:t>
      </w:r>
      <w:r w:rsidR="00EE0BF8" w:rsidRPr="00DE2EDF">
        <w:rPr>
          <w:rFonts w:eastAsia="Times New Roman" w:cs="Times New Roman"/>
          <w:iCs/>
          <w:lang w:val="en-GB"/>
        </w:rPr>
        <w:t>judiciali</w:t>
      </w:r>
      <w:r w:rsidR="001C6962" w:rsidRPr="00DE2EDF">
        <w:rPr>
          <w:rFonts w:eastAsia="Times New Roman" w:cs="Times New Roman"/>
          <w:iCs/>
          <w:lang w:val="en-GB"/>
        </w:rPr>
        <w:t>z</w:t>
      </w:r>
      <w:r w:rsidR="00EE0BF8" w:rsidRPr="00DE2EDF">
        <w:rPr>
          <w:rFonts w:eastAsia="Times New Roman" w:cs="Times New Roman"/>
          <w:iCs/>
          <w:lang w:val="en-GB"/>
        </w:rPr>
        <w:t>ation of politics)</w:t>
      </w:r>
      <w:r w:rsidR="003472F3" w:rsidRPr="00DE2EDF">
        <w:rPr>
          <w:rFonts w:eastAsia="Times New Roman" w:cs="Times New Roman"/>
          <w:iCs/>
          <w:lang w:val="en-GB"/>
        </w:rPr>
        <w:t>.</w:t>
      </w:r>
      <w:bookmarkStart w:id="287" w:name="_ftnref143"/>
      <w:r w:rsidR="003472F3" w:rsidRPr="00DE2EDF">
        <w:rPr>
          <w:rStyle w:val="FootnoteReference"/>
          <w:rFonts w:eastAsia="Times New Roman" w:cs="Times New Roman"/>
          <w:iCs/>
          <w:lang w:val="en-GB"/>
        </w:rPr>
        <w:footnoteReference w:id="176"/>
      </w:r>
      <w:bookmarkEnd w:id="287"/>
    </w:p>
    <w:p w14:paraId="7061B771" w14:textId="77777777" w:rsidR="002D66C1" w:rsidRPr="00DE2EDF" w:rsidRDefault="002D66C1" w:rsidP="00DE2EDF">
      <w:pPr>
        <w:spacing w:after="0"/>
        <w:jc w:val="both"/>
        <w:rPr>
          <w:rFonts w:eastAsia="Times New Roman" w:cs="Times New Roman"/>
          <w:iCs/>
          <w:lang w:val="en-GB"/>
        </w:rPr>
      </w:pPr>
    </w:p>
    <w:p w14:paraId="6FC76694" w14:textId="77777777" w:rsidR="003472F3" w:rsidRPr="00DE2EDF" w:rsidRDefault="002D66C1" w:rsidP="00DE2EDF">
      <w:pPr>
        <w:pStyle w:val="Heading3"/>
        <w:rPr>
          <w:rFonts w:cs="Times New Roman"/>
          <w:szCs w:val="24"/>
        </w:rPr>
      </w:pPr>
      <w:bookmarkStart w:id="288" w:name="_Toc253048950"/>
      <w:bookmarkStart w:id="289" w:name="_Toc252700497"/>
      <w:bookmarkStart w:id="290" w:name="_Toc245196682"/>
      <w:bookmarkStart w:id="291" w:name="_Toc460405643"/>
      <w:bookmarkEnd w:id="288"/>
      <w:bookmarkEnd w:id="289"/>
      <w:r w:rsidRPr="00DE2EDF">
        <w:rPr>
          <w:rFonts w:cs="Times New Roman"/>
          <w:szCs w:val="24"/>
        </w:rPr>
        <w:t xml:space="preserve">b) </w:t>
      </w:r>
      <w:r w:rsidR="003472F3" w:rsidRPr="00DE2EDF">
        <w:rPr>
          <w:rFonts w:cs="Times New Roman"/>
          <w:szCs w:val="24"/>
        </w:rPr>
        <w:t xml:space="preserve">Preconceptions: The Constitution as the </w:t>
      </w:r>
      <w:r w:rsidR="00CC573B" w:rsidRPr="00DE2EDF">
        <w:rPr>
          <w:rFonts w:cs="Times New Roman"/>
          <w:szCs w:val="24"/>
        </w:rPr>
        <w:t>L</w:t>
      </w:r>
      <w:r w:rsidR="00585725" w:rsidRPr="00DE2EDF">
        <w:rPr>
          <w:rFonts w:cs="Times New Roman"/>
          <w:szCs w:val="24"/>
        </w:rPr>
        <w:t xml:space="preserve">aw’s </w:t>
      </w:r>
      <w:r w:rsidR="003472F3" w:rsidRPr="00DE2EDF">
        <w:rPr>
          <w:rFonts w:cs="Times New Roman"/>
          <w:szCs w:val="24"/>
        </w:rPr>
        <w:t>World Egg or as a Framework?</w:t>
      </w:r>
      <w:bookmarkEnd w:id="290"/>
      <w:bookmarkEnd w:id="291"/>
    </w:p>
    <w:p w14:paraId="4FB737C5" w14:textId="77777777" w:rsidR="002D66C1" w:rsidRPr="00DE2EDF" w:rsidRDefault="002D66C1" w:rsidP="00DE2EDF">
      <w:pPr>
        <w:spacing w:after="0"/>
        <w:rPr>
          <w:rFonts w:cs="Times New Roman"/>
          <w:lang w:val="en-GB"/>
        </w:rPr>
      </w:pPr>
    </w:p>
    <w:p w14:paraId="42E37215" w14:textId="77777777" w:rsidR="003472F3" w:rsidRPr="00DE2EDF" w:rsidRDefault="00025DDC" w:rsidP="00DE2EDF">
      <w:pPr>
        <w:spacing w:after="0"/>
        <w:jc w:val="both"/>
        <w:rPr>
          <w:rFonts w:eastAsia="Times New Roman" w:cs="Times New Roman"/>
          <w:i/>
          <w:iCs/>
          <w:lang w:val="en-GB"/>
        </w:rPr>
      </w:pPr>
      <w:r w:rsidRPr="00DE2EDF">
        <w:rPr>
          <w:rFonts w:eastAsia="Times New Roman" w:cs="Times New Roman"/>
          <w:iCs/>
          <w:lang w:val="en-GB"/>
        </w:rPr>
        <w:t>Albeit necessary, t</w:t>
      </w:r>
      <w:r w:rsidR="003472F3" w:rsidRPr="00DE2EDF">
        <w:rPr>
          <w:rFonts w:eastAsia="Times New Roman" w:cs="Times New Roman"/>
          <w:iCs/>
          <w:lang w:val="en-GB"/>
        </w:rPr>
        <w:t>he foregoing quantitative analysis is</w:t>
      </w:r>
      <w:r w:rsidR="00EA701F" w:rsidRPr="00DE2EDF">
        <w:rPr>
          <w:rFonts w:eastAsia="Times New Roman" w:cs="Times New Roman"/>
          <w:iCs/>
          <w:lang w:val="en-GB"/>
        </w:rPr>
        <w:t>,</w:t>
      </w:r>
      <w:r w:rsidR="003472F3" w:rsidRPr="00DE2EDF">
        <w:rPr>
          <w:rFonts w:eastAsia="Times New Roman" w:cs="Times New Roman"/>
          <w:iCs/>
          <w:lang w:val="en-GB"/>
        </w:rPr>
        <w:t xml:space="preserve"> </w:t>
      </w:r>
      <w:r w:rsidR="00A67FF5" w:rsidRPr="00DE2EDF">
        <w:rPr>
          <w:rFonts w:eastAsia="Times New Roman" w:cs="Times New Roman"/>
          <w:iCs/>
          <w:lang w:val="en-GB"/>
        </w:rPr>
        <w:t>however</w:t>
      </w:r>
      <w:r w:rsidR="00EA701F" w:rsidRPr="00DE2EDF">
        <w:rPr>
          <w:rFonts w:eastAsia="Times New Roman" w:cs="Times New Roman"/>
          <w:iCs/>
          <w:lang w:val="en-GB"/>
        </w:rPr>
        <w:t>,</w:t>
      </w:r>
      <w:r w:rsidR="00A67FF5" w:rsidRPr="00DE2EDF">
        <w:rPr>
          <w:rFonts w:eastAsia="Times New Roman" w:cs="Times New Roman"/>
          <w:iCs/>
          <w:lang w:val="en-GB"/>
        </w:rPr>
        <w:t xml:space="preserve"> </w:t>
      </w:r>
      <w:r w:rsidR="003472F3" w:rsidRPr="00DE2EDF">
        <w:rPr>
          <w:rFonts w:eastAsia="Times New Roman" w:cs="Times New Roman"/>
          <w:iCs/>
          <w:lang w:val="en-GB"/>
        </w:rPr>
        <w:t xml:space="preserve">not sufficient. </w:t>
      </w:r>
      <w:r w:rsidRPr="00DE2EDF">
        <w:rPr>
          <w:rFonts w:eastAsia="Times New Roman" w:cs="Times New Roman"/>
          <w:iCs/>
          <w:lang w:val="en-GB"/>
        </w:rPr>
        <w:t xml:space="preserve">In order to </w:t>
      </w:r>
      <w:r w:rsidR="00A67FF5" w:rsidRPr="00DE2EDF">
        <w:rPr>
          <w:rFonts w:eastAsia="Times New Roman" w:cs="Times New Roman"/>
          <w:iCs/>
          <w:lang w:val="en-GB"/>
        </w:rPr>
        <w:t>understand</w:t>
      </w:r>
      <w:r w:rsidRPr="00DE2EDF">
        <w:rPr>
          <w:rFonts w:eastAsia="Times New Roman" w:cs="Times New Roman"/>
          <w:iCs/>
          <w:lang w:val="en-GB"/>
        </w:rPr>
        <w:t xml:space="preserve"> the content of the Constitution, it does not suffice to </w:t>
      </w:r>
      <w:r w:rsidR="003472F3" w:rsidRPr="00DE2EDF">
        <w:rPr>
          <w:rFonts w:eastAsia="Times New Roman" w:cs="Times New Roman"/>
          <w:iCs/>
          <w:lang w:val="en-GB"/>
        </w:rPr>
        <w:t>simply read what is printed in black and white</w:t>
      </w:r>
      <w:r w:rsidRPr="00DE2EDF">
        <w:rPr>
          <w:rFonts w:eastAsia="Times New Roman" w:cs="Times New Roman"/>
          <w:iCs/>
          <w:lang w:val="en-GB"/>
        </w:rPr>
        <w:t xml:space="preserve"> in the </w:t>
      </w:r>
      <w:r w:rsidR="00A67FF5" w:rsidRPr="00DE2EDF">
        <w:rPr>
          <w:rFonts w:eastAsia="Times New Roman" w:cs="Times New Roman"/>
          <w:iCs/>
          <w:lang w:val="en-GB"/>
        </w:rPr>
        <w:t xml:space="preserve">constitutional </w:t>
      </w:r>
      <w:r w:rsidRPr="00DE2EDF">
        <w:rPr>
          <w:rFonts w:eastAsia="Times New Roman" w:cs="Times New Roman"/>
          <w:iCs/>
          <w:lang w:val="en-GB"/>
        </w:rPr>
        <w:t>text</w:t>
      </w:r>
      <w:r w:rsidR="003472F3" w:rsidRPr="00DE2EDF">
        <w:rPr>
          <w:rFonts w:eastAsia="Times New Roman" w:cs="Times New Roman"/>
          <w:iCs/>
          <w:lang w:val="en-GB"/>
        </w:rPr>
        <w:t xml:space="preserve">. </w:t>
      </w:r>
      <w:r w:rsidR="00A67FF5" w:rsidRPr="00DE2EDF">
        <w:rPr>
          <w:rFonts w:eastAsia="Times New Roman" w:cs="Times New Roman"/>
          <w:iCs/>
          <w:lang w:val="en-GB"/>
        </w:rPr>
        <w:t xml:space="preserve">To quote Georg Jellinek: </w:t>
      </w:r>
      <w:r w:rsidR="00530E16" w:rsidRPr="00DE2EDF">
        <w:rPr>
          <w:rFonts w:eastAsia="Times New Roman" w:cs="Times New Roman"/>
          <w:iCs/>
          <w:lang w:val="en-GB"/>
        </w:rPr>
        <w:t>‘</w:t>
      </w:r>
      <w:r w:rsidR="003472F3" w:rsidRPr="00DE2EDF">
        <w:rPr>
          <w:rFonts w:eastAsia="Times New Roman" w:cs="Times New Roman"/>
          <w:i/>
          <w:iCs/>
          <w:lang w:val="en-GB"/>
        </w:rPr>
        <w:t>Das Recht existiert in unseren Köpfen</w:t>
      </w:r>
      <w:r w:rsidR="00CC573B" w:rsidRPr="00DE2EDF">
        <w:rPr>
          <w:rFonts w:eastAsia="Times New Roman" w:cs="Times New Roman"/>
          <w:iCs/>
          <w:lang w:val="en-GB"/>
        </w:rPr>
        <w:t>’</w:t>
      </w:r>
      <w:r w:rsidR="003472F3" w:rsidRPr="00DE2EDF">
        <w:rPr>
          <w:rFonts w:eastAsia="Times New Roman" w:cs="Times New Roman"/>
          <w:iCs/>
          <w:lang w:val="en-GB"/>
        </w:rPr>
        <w:t xml:space="preserve"> (The law exists in our </w:t>
      </w:r>
      <w:r w:rsidRPr="00DE2EDF">
        <w:rPr>
          <w:rFonts w:eastAsia="Times New Roman" w:cs="Times New Roman"/>
          <w:iCs/>
          <w:lang w:val="en-GB"/>
        </w:rPr>
        <w:t>minds</w:t>
      </w:r>
      <w:r w:rsidR="00A67FF5" w:rsidRPr="00DE2EDF">
        <w:rPr>
          <w:rFonts w:eastAsia="Times New Roman" w:cs="Times New Roman"/>
          <w:iCs/>
          <w:lang w:val="en-GB"/>
        </w:rPr>
        <w:t>)</w:t>
      </w:r>
      <w:bookmarkStart w:id="292" w:name="_ftnref144"/>
      <w:r w:rsidR="003472F3" w:rsidRPr="00DE2EDF">
        <w:rPr>
          <w:rFonts w:eastAsia="Times New Roman" w:cs="Times New Roman"/>
          <w:iCs/>
          <w:lang w:val="en-GB"/>
        </w:rPr>
        <w:t>.</w:t>
      </w:r>
      <w:r w:rsidR="003472F3" w:rsidRPr="00DE2EDF">
        <w:rPr>
          <w:rStyle w:val="FootnoteReference"/>
          <w:rFonts w:eastAsia="Times New Roman" w:cs="Times New Roman"/>
          <w:iCs/>
          <w:lang w:val="en-GB"/>
        </w:rPr>
        <w:footnoteReference w:id="177"/>
      </w:r>
      <w:bookmarkEnd w:id="292"/>
      <w:r w:rsidR="003472F3" w:rsidRPr="00DE2EDF">
        <w:rPr>
          <w:rFonts w:eastAsia="Times New Roman" w:cs="Times New Roman"/>
          <w:iCs/>
          <w:lang w:val="en-GB"/>
        </w:rPr>
        <w:t xml:space="preserve"> The same text can be interpreted quite differently in two countries</w:t>
      </w:r>
      <w:r w:rsidR="00A67FF5" w:rsidRPr="00DE2EDF">
        <w:rPr>
          <w:rFonts w:eastAsia="Times New Roman" w:cs="Times New Roman"/>
          <w:iCs/>
          <w:lang w:val="en-GB"/>
        </w:rPr>
        <w:t xml:space="preserve"> and/or in two </w:t>
      </w:r>
      <w:r w:rsidR="00EA701F" w:rsidRPr="00DE2EDF">
        <w:rPr>
          <w:rFonts w:eastAsia="Times New Roman" w:cs="Times New Roman"/>
          <w:iCs/>
          <w:lang w:val="en-GB"/>
        </w:rPr>
        <w:t xml:space="preserve">time </w:t>
      </w:r>
      <w:r w:rsidR="00A67FF5" w:rsidRPr="00DE2EDF">
        <w:rPr>
          <w:rFonts w:eastAsia="Times New Roman" w:cs="Times New Roman"/>
          <w:iCs/>
          <w:lang w:val="en-GB"/>
        </w:rPr>
        <w:t>periods</w:t>
      </w:r>
      <w:r w:rsidR="003472F3" w:rsidRPr="00DE2EDF">
        <w:rPr>
          <w:rFonts w:eastAsia="Times New Roman" w:cs="Times New Roman"/>
          <w:iCs/>
          <w:lang w:val="en-GB"/>
        </w:rPr>
        <w:t xml:space="preserve">. What a lawyer draws from the written text will depend on </w:t>
      </w:r>
      <w:r w:rsidR="001E46CC" w:rsidRPr="00DE2EDF">
        <w:rPr>
          <w:rFonts w:eastAsia="Times New Roman" w:cs="Times New Roman"/>
          <w:iCs/>
          <w:lang w:val="en-GB"/>
        </w:rPr>
        <w:t xml:space="preserve">her or </w:t>
      </w:r>
      <w:r w:rsidR="003472F3" w:rsidRPr="00DE2EDF">
        <w:rPr>
          <w:rFonts w:eastAsia="Times New Roman" w:cs="Times New Roman"/>
          <w:iCs/>
          <w:lang w:val="en-GB"/>
        </w:rPr>
        <w:t xml:space="preserve">his </w:t>
      </w:r>
      <w:r w:rsidR="0082077F" w:rsidRPr="00DE2EDF">
        <w:rPr>
          <w:rFonts w:eastAsia="Times New Roman" w:cs="Times New Roman"/>
          <w:iCs/>
          <w:lang w:val="en-GB"/>
        </w:rPr>
        <w:t xml:space="preserve">hermeneutical </w:t>
      </w:r>
      <w:r w:rsidR="003472F3" w:rsidRPr="00DE2EDF">
        <w:rPr>
          <w:rFonts w:eastAsia="Times New Roman" w:cs="Times New Roman"/>
          <w:iCs/>
          <w:lang w:val="en-GB"/>
        </w:rPr>
        <w:t>preconceptions: that is</w:t>
      </w:r>
      <w:r w:rsidR="00EA701F" w:rsidRPr="00DE2EDF">
        <w:rPr>
          <w:rFonts w:eastAsia="Times New Roman" w:cs="Times New Roman"/>
          <w:iCs/>
          <w:lang w:val="en-GB"/>
        </w:rPr>
        <w:t>,</w:t>
      </w:r>
      <w:r w:rsidR="0082077F" w:rsidRPr="00DE2EDF">
        <w:rPr>
          <w:rFonts w:eastAsia="Times New Roman" w:cs="Times New Roman"/>
          <w:iCs/>
          <w:lang w:val="en-GB"/>
        </w:rPr>
        <w:t xml:space="preserve"> </w:t>
      </w:r>
      <w:r w:rsidR="001E46CC" w:rsidRPr="00DE2EDF">
        <w:rPr>
          <w:rFonts w:eastAsia="Times New Roman" w:cs="Times New Roman"/>
          <w:iCs/>
          <w:lang w:val="en-GB"/>
        </w:rPr>
        <w:t xml:space="preserve">her or </w:t>
      </w:r>
      <w:r w:rsidR="0082077F" w:rsidRPr="00DE2EDF">
        <w:rPr>
          <w:rFonts w:eastAsia="Times New Roman" w:cs="Times New Roman"/>
          <w:iCs/>
          <w:lang w:val="en-GB"/>
        </w:rPr>
        <w:t>his assumptions of constitutional theory</w:t>
      </w:r>
      <w:r w:rsidR="003472F3" w:rsidRPr="00DE2EDF">
        <w:rPr>
          <w:rFonts w:eastAsia="Times New Roman" w:cs="Times New Roman"/>
          <w:iCs/>
          <w:lang w:val="en-GB"/>
        </w:rPr>
        <w:t>.</w:t>
      </w:r>
      <w:bookmarkStart w:id="293" w:name="_ftnref145"/>
      <w:r w:rsidR="003472F3" w:rsidRPr="00DE2EDF">
        <w:rPr>
          <w:rStyle w:val="FootnoteReference"/>
          <w:rFonts w:eastAsia="Times New Roman" w:cs="Times New Roman"/>
          <w:iCs/>
          <w:lang w:val="en-GB"/>
        </w:rPr>
        <w:footnoteReference w:id="178"/>
      </w:r>
      <w:r w:rsidR="003472F3" w:rsidRPr="00DE2EDF">
        <w:rPr>
          <w:rFonts w:eastAsia="Times New Roman" w:cs="Times New Roman"/>
          <w:iCs/>
          <w:lang w:val="en-GB"/>
        </w:rPr>
        <w:t xml:space="preserve"> </w:t>
      </w:r>
      <w:bookmarkEnd w:id="293"/>
      <w:r w:rsidR="003472F3" w:rsidRPr="00DE2EDF">
        <w:rPr>
          <w:rFonts w:eastAsia="Times New Roman" w:cs="Times New Roman"/>
          <w:iCs/>
          <w:lang w:val="en-GB"/>
        </w:rPr>
        <w:t xml:space="preserve">It is beyond the scope of this article to create a map of </w:t>
      </w:r>
      <w:r w:rsidR="009A197F" w:rsidRPr="00DE2EDF">
        <w:rPr>
          <w:rFonts w:eastAsia="Times New Roman" w:cs="Times New Roman"/>
          <w:iCs/>
          <w:lang w:val="en-GB"/>
        </w:rPr>
        <w:t>constitutional</w:t>
      </w:r>
      <w:r w:rsidR="003472F3" w:rsidRPr="00DE2EDF">
        <w:rPr>
          <w:rFonts w:eastAsia="Times New Roman" w:cs="Times New Roman"/>
          <w:iCs/>
          <w:lang w:val="en-GB"/>
        </w:rPr>
        <w:t xml:space="preserve"> thought throughout Europe; </w:t>
      </w:r>
      <w:r w:rsidR="00EA701F" w:rsidRPr="00DE2EDF">
        <w:rPr>
          <w:rFonts w:eastAsia="Times New Roman" w:cs="Times New Roman"/>
          <w:iCs/>
          <w:lang w:val="en-GB"/>
        </w:rPr>
        <w:t xml:space="preserve">in </w:t>
      </w:r>
      <w:r w:rsidR="0082077F" w:rsidRPr="00DE2EDF">
        <w:rPr>
          <w:rFonts w:eastAsia="Times New Roman" w:cs="Times New Roman"/>
          <w:iCs/>
          <w:lang w:val="en-GB"/>
        </w:rPr>
        <w:t xml:space="preserve">looking for ideal types in the sense of Max Weber, </w:t>
      </w:r>
      <w:r w:rsidR="001E46CC" w:rsidRPr="00DE2EDF">
        <w:rPr>
          <w:rFonts w:eastAsia="Times New Roman" w:cs="Times New Roman"/>
          <w:iCs/>
          <w:lang w:val="en-GB"/>
        </w:rPr>
        <w:t xml:space="preserve">one may, </w:t>
      </w:r>
      <w:r w:rsidR="00EA701F" w:rsidRPr="00DE2EDF">
        <w:rPr>
          <w:rFonts w:eastAsia="Times New Roman" w:cs="Times New Roman"/>
          <w:iCs/>
          <w:lang w:val="en-GB"/>
        </w:rPr>
        <w:t xml:space="preserve">however, </w:t>
      </w:r>
      <w:r w:rsidR="003472F3" w:rsidRPr="00DE2EDF">
        <w:rPr>
          <w:rFonts w:eastAsia="Times New Roman" w:cs="Times New Roman"/>
          <w:iCs/>
          <w:lang w:val="en-GB"/>
        </w:rPr>
        <w:t xml:space="preserve">differentiate between two </w:t>
      </w:r>
      <w:r w:rsidR="00E16ACE" w:rsidRPr="00DE2EDF">
        <w:rPr>
          <w:rFonts w:eastAsia="Times New Roman" w:cs="Times New Roman"/>
          <w:iCs/>
          <w:lang w:val="en-GB"/>
        </w:rPr>
        <w:t>methods of reasoning</w:t>
      </w:r>
      <w:r w:rsidR="003472F3" w:rsidRPr="00DE2EDF">
        <w:rPr>
          <w:rFonts w:eastAsia="Times New Roman" w:cs="Times New Roman"/>
          <w:iCs/>
          <w:lang w:val="en-GB"/>
        </w:rPr>
        <w:t>.</w:t>
      </w:r>
      <w:bookmarkStart w:id="294" w:name="_ftnref146"/>
      <w:r w:rsidR="003472F3" w:rsidRPr="00DE2EDF">
        <w:rPr>
          <w:rStyle w:val="FootnoteReference"/>
          <w:rFonts w:eastAsia="Times New Roman" w:cs="Times New Roman"/>
          <w:iCs/>
          <w:lang w:val="en-GB"/>
        </w:rPr>
        <w:footnoteReference w:id="179"/>
      </w:r>
      <w:bookmarkEnd w:id="294"/>
    </w:p>
    <w:p w14:paraId="2A9C7096" w14:textId="77777777" w:rsidR="000F4C26" w:rsidRPr="00DE2EDF" w:rsidRDefault="000F4C26" w:rsidP="00DE2EDF">
      <w:pPr>
        <w:spacing w:after="0"/>
        <w:jc w:val="both"/>
        <w:rPr>
          <w:rFonts w:eastAsia="Times New Roman" w:cs="Times New Roman"/>
          <w:iCs/>
          <w:lang w:val="en-GB"/>
        </w:rPr>
      </w:pPr>
    </w:p>
    <w:p w14:paraId="4E9805FB" w14:textId="77777777" w:rsidR="003472F3" w:rsidRPr="00DE2EDF" w:rsidRDefault="00E16ACE" w:rsidP="00DE2EDF">
      <w:pPr>
        <w:spacing w:after="0"/>
        <w:jc w:val="both"/>
        <w:rPr>
          <w:rFonts w:eastAsia="Times New Roman" w:cs="Times New Roman"/>
          <w:iCs/>
          <w:lang w:val="en-GB"/>
        </w:rPr>
      </w:pPr>
      <w:r w:rsidRPr="00DE2EDF">
        <w:rPr>
          <w:rFonts w:eastAsia="Times New Roman" w:cs="Times New Roman"/>
          <w:iCs/>
          <w:lang w:val="en-GB"/>
        </w:rPr>
        <w:t>T</w:t>
      </w:r>
      <w:r w:rsidR="003472F3" w:rsidRPr="00DE2EDF">
        <w:rPr>
          <w:rFonts w:eastAsia="Times New Roman" w:cs="Times New Roman"/>
          <w:iCs/>
          <w:lang w:val="en-GB"/>
        </w:rPr>
        <w:t>hose</w:t>
      </w:r>
      <w:r w:rsidR="001E46CC" w:rsidRPr="00DE2EDF">
        <w:rPr>
          <w:rFonts w:eastAsia="Times New Roman" w:cs="Times New Roman"/>
          <w:iCs/>
          <w:lang w:val="en-GB"/>
        </w:rPr>
        <w:t xml:space="preserve"> </w:t>
      </w:r>
      <w:r w:rsidR="00CC573B" w:rsidRPr="00DE2EDF">
        <w:rPr>
          <w:rFonts w:eastAsia="Times New Roman" w:cs="Times New Roman"/>
          <w:iCs/>
          <w:lang w:val="en-GB"/>
        </w:rPr>
        <w:t>lawyers,</w:t>
      </w:r>
      <w:r w:rsidR="001E46CC" w:rsidRPr="00DE2EDF">
        <w:rPr>
          <w:rFonts w:eastAsia="Times New Roman" w:cs="Times New Roman"/>
          <w:iCs/>
          <w:lang w:val="en-GB"/>
        </w:rPr>
        <w:t xml:space="preserve"> who</w:t>
      </w:r>
      <w:r w:rsidR="003472F3" w:rsidRPr="00DE2EDF">
        <w:rPr>
          <w:rFonts w:eastAsia="Times New Roman" w:cs="Times New Roman"/>
          <w:iCs/>
          <w:lang w:val="en-GB"/>
        </w:rPr>
        <w:t xml:space="preserve"> embed the constitutional text </w:t>
      </w:r>
      <w:r w:rsidR="00C45355" w:rsidRPr="00DE2EDF">
        <w:rPr>
          <w:rFonts w:eastAsia="Times New Roman" w:cs="Times New Roman"/>
          <w:iCs/>
          <w:lang w:val="en-GB"/>
        </w:rPr>
        <w:t xml:space="preserve">in </w:t>
      </w:r>
      <w:r w:rsidR="003472F3" w:rsidRPr="00DE2EDF">
        <w:rPr>
          <w:rFonts w:eastAsia="Times New Roman" w:cs="Times New Roman"/>
          <w:iCs/>
          <w:lang w:val="en-GB"/>
        </w:rPr>
        <w:t xml:space="preserve">a set of moral beliefs and </w:t>
      </w:r>
      <w:r w:rsidR="00CB370F" w:rsidRPr="00DE2EDF">
        <w:rPr>
          <w:rFonts w:eastAsia="Times New Roman" w:cs="Times New Roman"/>
          <w:iCs/>
          <w:lang w:val="en-GB"/>
        </w:rPr>
        <w:t xml:space="preserve">natural law </w:t>
      </w:r>
      <w:r w:rsidR="003472F3" w:rsidRPr="00DE2EDF">
        <w:rPr>
          <w:rFonts w:eastAsia="Times New Roman" w:cs="Times New Roman"/>
          <w:iCs/>
          <w:lang w:val="en-GB"/>
        </w:rPr>
        <w:t xml:space="preserve">values, tend to enrich the </w:t>
      </w:r>
      <w:r w:rsidR="00C45355" w:rsidRPr="00DE2EDF">
        <w:rPr>
          <w:rFonts w:eastAsia="Times New Roman" w:cs="Times New Roman"/>
          <w:iCs/>
          <w:lang w:val="en-GB"/>
        </w:rPr>
        <w:t xml:space="preserve">content of that </w:t>
      </w:r>
      <w:r w:rsidR="003472F3" w:rsidRPr="00DE2EDF">
        <w:rPr>
          <w:rFonts w:eastAsia="Times New Roman" w:cs="Times New Roman"/>
          <w:iCs/>
          <w:lang w:val="en-GB"/>
        </w:rPr>
        <w:t>text.</w:t>
      </w:r>
      <w:bookmarkStart w:id="295" w:name="_ftnref147"/>
      <w:r w:rsidR="003472F3" w:rsidRPr="00DE2EDF">
        <w:rPr>
          <w:rStyle w:val="FootnoteReference"/>
          <w:rFonts w:eastAsia="Times New Roman" w:cs="Times New Roman"/>
          <w:iCs/>
          <w:lang w:val="en-GB"/>
        </w:rPr>
        <w:footnoteReference w:id="180"/>
      </w:r>
      <w:r w:rsidR="003472F3" w:rsidRPr="00DE2EDF">
        <w:rPr>
          <w:rFonts w:eastAsia="Times New Roman" w:cs="Times New Roman"/>
          <w:iCs/>
          <w:lang w:val="en-GB"/>
        </w:rPr>
        <w:t xml:space="preserve"> </w:t>
      </w:r>
      <w:bookmarkEnd w:id="295"/>
      <w:r w:rsidR="003472F3" w:rsidRPr="00DE2EDF">
        <w:rPr>
          <w:rFonts w:eastAsia="Times New Roman" w:cs="Times New Roman"/>
          <w:iCs/>
          <w:lang w:val="en-GB"/>
        </w:rPr>
        <w:t xml:space="preserve">The most extreme example of this </w:t>
      </w:r>
      <w:r w:rsidR="00A67FF5" w:rsidRPr="00DE2EDF">
        <w:rPr>
          <w:rFonts w:eastAsia="Times New Roman" w:cs="Times New Roman"/>
          <w:iCs/>
          <w:lang w:val="en-GB"/>
        </w:rPr>
        <w:lastRenderedPageBreak/>
        <w:t>attitude</w:t>
      </w:r>
      <w:r w:rsidR="003472F3" w:rsidRPr="00DE2EDF">
        <w:rPr>
          <w:rFonts w:eastAsia="Times New Roman" w:cs="Times New Roman"/>
          <w:iCs/>
          <w:lang w:val="en-GB"/>
        </w:rPr>
        <w:t xml:space="preserve"> </w:t>
      </w:r>
      <w:r w:rsidR="00EA701F" w:rsidRPr="00DE2EDF">
        <w:rPr>
          <w:rFonts w:eastAsia="Times New Roman" w:cs="Times New Roman"/>
          <w:iCs/>
          <w:lang w:val="en-GB"/>
        </w:rPr>
        <w:t xml:space="preserve">is </w:t>
      </w:r>
      <w:r w:rsidR="003472F3" w:rsidRPr="00DE2EDF">
        <w:rPr>
          <w:rFonts w:eastAsia="Times New Roman" w:cs="Times New Roman"/>
          <w:iCs/>
          <w:lang w:val="en-GB"/>
        </w:rPr>
        <w:t>the previously</w:t>
      </w:r>
      <w:r w:rsidR="00537BB7" w:rsidRPr="00DE2EDF">
        <w:rPr>
          <w:rFonts w:eastAsia="Times New Roman" w:cs="Times New Roman"/>
          <w:iCs/>
          <w:lang w:val="en-GB"/>
        </w:rPr>
        <w:t xml:space="preserve"> </w:t>
      </w:r>
      <w:r w:rsidR="003472F3" w:rsidRPr="00DE2EDF">
        <w:rPr>
          <w:rFonts w:eastAsia="Times New Roman" w:cs="Times New Roman"/>
          <w:iCs/>
          <w:lang w:val="en-GB"/>
        </w:rPr>
        <w:t>mentioned position of Hauriou and Duguit with respect to the existence of a constitutional guarantee of fundamental rights in the French Third Republic.</w:t>
      </w:r>
      <w:bookmarkStart w:id="296" w:name="_ftnref148"/>
      <w:r w:rsidR="003472F3" w:rsidRPr="00DE2EDF">
        <w:rPr>
          <w:rStyle w:val="FootnoteReference"/>
          <w:rFonts w:eastAsia="Times New Roman" w:cs="Times New Roman"/>
          <w:iCs/>
          <w:lang w:val="en-GB"/>
        </w:rPr>
        <w:footnoteReference w:id="181"/>
      </w:r>
      <w:r w:rsidR="003472F3" w:rsidRPr="00DE2EDF">
        <w:rPr>
          <w:rFonts w:eastAsia="Times New Roman" w:cs="Times New Roman"/>
          <w:iCs/>
          <w:lang w:val="en-GB"/>
        </w:rPr>
        <w:t xml:space="preserve"> </w:t>
      </w:r>
      <w:bookmarkEnd w:id="296"/>
      <w:r w:rsidR="00CB370F" w:rsidRPr="00DE2EDF">
        <w:rPr>
          <w:rFonts w:eastAsia="Times New Roman" w:cs="Times New Roman"/>
          <w:iCs/>
          <w:lang w:val="en-GB"/>
        </w:rPr>
        <w:t>To those legal scholars, t</w:t>
      </w:r>
      <w:r w:rsidR="003472F3" w:rsidRPr="00DE2EDF">
        <w:rPr>
          <w:rFonts w:eastAsia="Times New Roman" w:cs="Times New Roman"/>
          <w:iCs/>
          <w:lang w:val="en-GB"/>
        </w:rPr>
        <w:t>he justiciability of abstract principles, such as human dignity and fundamental rights, appears</w:t>
      </w:r>
      <w:r w:rsidR="007D427F" w:rsidRPr="00DE2EDF">
        <w:rPr>
          <w:rFonts w:eastAsia="Times New Roman" w:cs="Times New Roman"/>
          <w:iCs/>
          <w:lang w:val="en-GB"/>
        </w:rPr>
        <w:t xml:space="preserve"> to be</w:t>
      </w:r>
      <w:r w:rsidR="003472F3" w:rsidRPr="00DE2EDF">
        <w:rPr>
          <w:rFonts w:eastAsia="Times New Roman" w:cs="Times New Roman"/>
          <w:iCs/>
          <w:lang w:val="en-GB"/>
        </w:rPr>
        <w:t xml:space="preserve"> self-evident. </w:t>
      </w:r>
      <w:r w:rsidR="003B012E" w:rsidRPr="00DE2EDF">
        <w:rPr>
          <w:rFonts w:eastAsia="Times New Roman" w:cs="Times New Roman"/>
          <w:iCs/>
          <w:lang w:val="en-GB"/>
        </w:rPr>
        <w:t xml:space="preserve">The apparent vagueness of the </w:t>
      </w:r>
      <w:r w:rsidR="003472F3" w:rsidRPr="00DE2EDF">
        <w:rPr>
          <w:rFonts w:eastAsia="Times New Roman" w:cs="Times New Roman"/>
          <w:iCs/>
          <w:lang w:val="en-GB"/>
        </w:rPr>
        <w:t>Constitution</w:t>
      </w:r>
      <w:r w:rsidR="003B012E" w:rsidRPr="00DE2EDF">
        <w:rPr>
          <w:rFonts w:eastAsia="Times New Roman" w:cs="Times New Roman"/>
          <w:iCs/>
          <w:lang w:val="en-GB"/>
        </w:rPr>
        <w:t xml:space="preserve">’s words </w:t>
      </w:r>
      <w:r w:rsidR="003472F3" w:rsidRPr="00DE2EDF">
        <w:rPr>
          <w:rFonts w:eastAsia="Times New Roman" w:cs="Times New Roman"/>
          <w:iCs/>
          <w:lang w:val="en-GB"/>
        </w:rPr>
        <w:t>is filled by a dense ideological and philosophical substructure. Such a lawyer tends</w:t>
      </w:r>
      <w:r w:rsidR="003B012E" w:rsidRPr="00DE2EDF">
        <w:rPr>
          <w:rFonts w:eastAsia="Times New Roman" w:cs="Times New Roman"/>
          <w:iCs/>
          <w:lang w:val="en-GB"/>
        </w:rPr>
        <w:t xml:space="preserve"> not only</w:t>
      </w:r>
      <w:r w:rsidR="003472F3" w:rsidRPr="00DE2EDF">
        <w:rPr>
          <w:rFonts w:eastAsia="Times New Roman" w:cs="Times New Roman"/>
          <w:iCs/>
          <w:lang w:val="en-GB"/>
        </w:rPr>
        <w:t xml:space="preserve"> to </w:t>
      </w:r>
      <w:r w:rsidR="003472F3" w:rsidRPr="00DE2EDF">
        <w:rPr>
          <w:rFonts w:eastAsia="Times New Roman" w:cs="Times New Roman"/>
          <w:i/>
          <w:iCs/>
          <w:lang w:val="en-GB"/>
        </w:rPr>
        <w:t>seek</w:t>
      </w:r>
      <w:r w:rsidR="003472F3" w:rsidRPr="00DE2EDF">
        <w:rPr>
          <w:rFonts w:eastAsia="Times New Roman" w:cs="Times New Roman"/>
          <w:iCs/>
          <w:lang w:val="en-GB"/>
        </w:rPr>
        <w:t xml:space="preserve"> the answer to all fundamental administrative law</w:t>
      </w:r>
      <w:r w:rsidR="00A67FF5" w:rsidRPr="00DE2EDF">
        <w:rPr>
          <w:rFonts w:eastAsia="Times New Roman" w:cs="Times New Roman"/>
          <w:iCs/>
          <w:lang w:val="en-GB"/>
        </w:rPr>
        <w:t xml:space="preserve"> questions</w:t>
      </w:r>
      <w:r w:rsidR="003472F3" w:rsidRPr="00DE2EDF">
        <w:rPr>
          <w:rFonts w:eastAsia="Times New Roman" w:cs="Times New Roman"/>
          <w:iCs/>
          <w:lang w:val="en-GB"/>
        </w:rPr>
        <w:t xml:space="preserve"> in the Constitution (which is methodologically appropriate due to the supremacy of the Constitution)</w:t>
      </w:r>
      <w:r w:rsidR="00CB370F" w:rsidRPr="00DE2EDF">
        <w:rPr>
          <w:rFonts w:eastAsia="Times New Roman" w:cs="Times New Roman"/>
          <w:iCs/>
          <w:lang w:val="en-GB"/>
        </w:rPr>
        <w:t xml:space="preserve">; </w:t>
      </w:r>
      <w:r w:rsidRPr="00DE2EDF">
        <w:rPr>
          <w:rFonts w:eastAsia="Times New Roman" w:cs="Times New Roman"/>
          <w:iCs/>
          <w:lang w:val="en-GB"/>
        </w:rPr>
        <w:t>s</w:t>
      </w:r>
      <w:r w:rsidR="00CB370F" w:rsidRPr="00DE2EDF">
        <w:rPr>
          <w:rFonts w:eastAsia="Times New Roman" w:cs="Times New Roman"/>
          <w:iCs/>
          <w:lang w:val="en-GB"/>
        </w:rPr>
        <w:t>he</w:t>
      </w:r>
      <w:r w:rsidR="00384D9F" w:rsidRPr="00DE2EDF">
        <w:rPr>
          <w:rFonts w:eastAsia="Times New Roman" w:cs="Times New Roman"/>
          <w:iCs/>
          <w:lang w:val="en-GB"/>
        </w:rPr>
        <w:t xml:space="preserve"> or </w:t>
      </w:r>
      <w:r w:rsidR="00CB370F" w:rsidRPr="00DE2EDF">
        <w:rPr>
          <w:rFonts w:eastAsia="Times New Roman" w:cs="Times New Roman"/>
          <w:iCs/>
          <w:lang w:val="en-GB"/>
        </w:rPr>
        <w:t xml:space="preserve">he will </w:t>
      </w:r>
      <w:r w:rsidR="003472F3" w:rsidRPr="00DE2EDF">
        <w:rPr>
          <w:rFonts w:eastAsia="Times New Roman" w:cs="Times New Roman"/>
          <w:iCs/>
          <w:lang w:val="en-GB"/>
        </w:rPr>
        <w:t>also</w:t>
      </w:r>
      <w:r w:rsidR="00CB370F" w:rsidRPr="00DE2EDF">
        <w:rPr>
          <w:rFonts w:eastAsia="Times New Roman" w:cs="Times New Roman"/>
          <w:iCs/>
          <w:lang w:val="en-GB"/>
        </w:rPr>
        <w:t xml:space="preserve"> tend</w:t>
      </w:r>
      <w:r w:rsidR="003472F3" w:rsidRPr="00DE2EDF">
        <w:rPr>
          <w:rFonts w:eastAsia="Times New Roman" w:cs="Times New Roman"/>
          <w:iCs/>
          <w:lang w:val="en-GB"/>
        </w:rPr>
        <w:t xml:space="preserve"> </w:t>
      </w:r>
      <w:r w:rsidR="003B012E" w:rsidRPr="00DE2EDF">
        <w:rPr>
          <w:rFonts w:eastAsia="Times New Roman" w:cs="Times New Roman"/>
          <w:iCs/>
          <w:lang w:val="en-GB"/>
        </w:rPr>
        <w:t xml:space="preserve">to </w:t>
      </w:r>
      <w:r w:rsidR="003B012E" w:rsidRPr="00DE2EDF">
        <w:rPr>
          <w:rFonts w:eastAsia="Times New Roman" w:cs="Times New Roman"/>
          <w:i/>
          <w:iCs/>
          <w:lang w:val="en-GB"/>
        </w:rPr>
        <w:t>find</w:t>
      </w:r>
      <w:r w:rsidR="003B012E" w:rsidRPr="00DE2EDF">
        <w:rPr>
          <w:rFonts w:eastAsia="Times New Roman" w:cs="Times New Roman"/>
          <w:iCs/>
          <w:lang w:val="en-GB"/>
        </w:rPr>
        <w:t xml:space="preserve"> them there</w:t>
      </w:r>
      <w:r w:rsidR="003472F3" w:rsidRPr="00DE2EDF">
        <w:rPr>
          <w:rFonts w:eastAsia="Times New Roman" w:cs="Times New Roman"/>
          <w:iCs/>
          <w:lang w:val="en-GB"/>
        </w:rPr>
        <w:t xml:space="preserve">, </w:t>
      </w:r>
      <w:r w:rsidR="007D427F" w:rsidRPr="00DE2EDF">
        <w:rPr>
          <w:rFonts w:eastAsia="Times New Roman" w:cs="Times New Roman"/>
          <w:iCs/>
          <w:lang w:val="en-GB"/>
        </w:rPr>
        <w:t xml:space="preserve">a </w:t>
      </w:r>
      <w:r w:rsidR="003472F3" w:rsidRPr="00DE2EDF">
        <w:rPr>
          <w:rFonts w:eastAsia="Times New Roman" w:cs="Times New Roman"/>
          <w:iCs/>
          <w:lang w:val="en-GB"/>
        </w:rPr>
        <w:t>mistake positivists may also make.</w:t>
      </w:r>
      <w:bookmarkStart w:id="297" w:name="_ftnref149"/>
      <w:r w:rsidR="003472F3" w:rsidRPr="00DE2EDF">
        <w:rPr>
          <w:rStyle w:val="FootnoteReference"/>
          <w:rFonts w:eastAsia="Times New Roman" w:cs="Times New Roman"/>
          <w:iCs/>
          <w:lang w:val="en-GB"/>
        </w:rPr>
        <w:footnoteReference w:id="182"/>
      </w:r>
      <w:r w:rsidR="003472F3" w:rsidRPr="00DE2EDF">
        <w:rPr>
          <w:rFonts w:eastAsia="Times New Roman" w:cs="Times New Roman"/>
          <w:iCs/>
          <w:lang w:val="en-GB"/>
        </w:rPr>
        <w:t xml:space="preserve"> </w:t>
      </w:r>
      <w:bookmarkEnd w:id="297"/>
      <w:r w:rsidR="003472F3" w:rsidRPr="00DE2EDF">
        <w:rPr>
          <w:rFonts w:eastAsia="Times New Roman" w:cs="Times New Roman"/>
          <w:iCs/>
          <w:lang w:val="en-GB"/>
        </w:rPr>
        <w:t xml:space="preserve">The Constitution, as the epitome of all that is good and just, becomes </w:t>
      </w:r>
      <w:r w:rsidR="00AF1217" w:rsidRPr="00DE2EDF">
        <w:rPr>
          <w:rFonts w:eastAsia="Times New Roman" w:cs="Times New Roman"/>
          <w:iCs/>
          <w:lang w:val="en-GB"/>
        </w:rPr>
        <w:t>a kind of legal bible</w:t>
      </w:r>
      <w:r w:rsidR="009C3302" w:rsidRPr="00DE2EDF">
        <w:rPr>
          <w:rFonts w:cs="Times New Roman"/>
        </w:rPr>
        <w:t>—</w:t>
      </w:r>
      <w:r w:rsidR="003472F3" w:rsidRPr="00DE2EDF">
        <w:rPr>
          <w:rFonts w:eastAsia="Times New Roman" w:cs="Times New Roman"/>
          <w:iCs/>
          <w:lang w:val="en-GB"/>
        </w:rPr>
        <w:t xml:space="preserve">the </w:t>
      </w:r>
      <w:r w:rsidR="00A67FF5" w:rsidRPr="00DE2EDF">
        <w:rPr>
          <w:rFonts w:eastAsia="Times New Roman" w:cs="Times New Roman"/>
          <w:iCs/>
          <w:lang w:val="en-GB"/>
        </w:rPr>
        <w:t xml:space="preserve">legal </w:t>
      </w:r>
      <w:r w:rsidR="003472F3" w:rsidRPr="00DE2EDF">
        <w:rPr>
          <w:rFonts w:eastAsia="Times New Roman" w:cs="Times New Roman"/>
          <w:iCs/>
          <w:lang w:val="en-GB"/>
        </w:rPr>
        <w:t>source in which all fundamental</w:t>
      </w:r>
      <w:r w:rsidR="00A67FF5" w:rsidRPr="00DE2EDF">
        <w:rPr>
          <w:rFonts w:eastAsia="Times New Roman" w:cs="Times New Roman"/>
          <w:iCs/>
          <w:lang w:val="en-GB"/>
        </w:rPr>
        <w:t xml:space="preserve"> rules regarding administrative law</w:t>
      </w:r>
      <w:r w:rsidR="003472F3" w:rsidRPr="00DE2EDF">
        <w:rPr>
          <w:rFonts w:eastAsia="Times New Roman" w:cs="Times New Roman"/>
          <w:iCs/>
          <w:lang w:val="en-GB"/>
        </w:rPr>
        <w:t xml:space="preserve"> somehow already exist. By means of human dignity (from which, in turn, fundamental rights </w:t>
      </w:r>
      <w:bookmarkStart w:id="298" w:name="_ftnref150"/>
      <w:r w:rsidR="003472F3" w:rsidRPr="00DE2EDF">
        <w:rPr>
          <w:rFonts w:eastAsia="Times New Roman" w:cs="Times New Roman"/>
          <w:iCs/>
          <w:lang w:val="en-GB"/>
        </w:rPr>
        <w:t>are derived</w:t>
      </w:r>
      <w:r w:rsidR="003472F3" w:rsidRPr="00DE2EDF">
        <w:rPr>
          <w:rStyle w:val="FootnoteReference"/>
          <w:rFonts w:eastAsia="Times New Roman" w:cs="Times New Roman"/>
          <w:iCs/>
          <w:lang w:val="en-GB"/>
        </w:rPr>
        <w:footnoteReference w:id="183"/>
      </w:r>
      <w:bookmarkEnd w:id="298"/>
      <w:r w:rsidR="003472F3" w:rsidRPr="00DE2EDF">
        <w:rPr>
          <w:rFonts w:eastAsia="Times New Roman" w:cs="Times New Roman"/>
          <w:iCs/>
          <w:lang w:val="en-GB"/>
        </w:rPr>
        <w:t xml:space="preserve">), the Constitution </w:t>
      </w:r>
      <w:r w:rsidRPr="00DE2EDF">
        <w:rPr>
          <w:rFonts w:eastAsia="Times New Roman" w:cs="Times New Roman"/>
          <w:iCs/>
          <w:lang w:val="en-GB"/>
        </w:rPr>
        <w:t>tends to become</w:t>
      </w:r>
      <w:r w:rsidR="003472F3" w:rsidRPr="00DE2EDF">
        <w:rPr>
          <w:rFonts w:eastAsia="Times New Roman" w:cs="Times New Roman"/>
          <w:iCs/>
          <w:lang w:val="en-GB"/>
        </w:rPr>
        <w:t xml:space="preserve"> the fountainhead of the entire legal system. </w:t>
      </w:r>
      <w:r w:rsidR="00910952" w:rsidRPr="00DE2EDF">
        <w:rPr>
          <w:rFonts w:eastAsia="Times New Roman" w:cs="Times New Roman"/>
          <w:iCs/>
          <w:lang w:val="en-GB"/>
        </w:rPr>
        <w:t>Especially if its text is construed in an extensive, activist way, i</w:t>
      </w:r>
      <w:r w:rsidR="003472F3" w:rsidRPr="00DE2EDF">
        <w:rPr>
          <w:rFonts w:eastAsia="Times New Roman" w:cs="Times New Roman"/>
          <w:iCs/>
          <w:lang w:val="en-GB"/>
        </w:rPr>
        <w:t>t becomes</w:t>
      </w:r>
      <w:r w:rsidR="00A67FF5" w:rsidRPr="00DE2EDF">
        <w:rPr>
          <w:rFonts w:eastAsia="Times New Roman" w:cs="Times New Roman"/>
          <w:iCs/>
          <w:lang w:val="en-GB"/>
        </w:rPr>
        <w:t>, to quote Ernst Forsthoff,</w:t>
      </w:r>
      <w:r w:rsidR="003472F3" w:rsidRPr="00DE2EDF">
        <w:rPr>
          <w:rFonts w:eastAsia="Times New Roman" w:cs="Times New Roman"/>
          <w:iCs/>
          <w:lang w:val="en-GB"/>
        </w:rPr>
        <w:t xml:space="preserve"> the </w:t>
      </w:r>
      <w:r w:rsidR="00530E16" w:rsidRPr="00DE2EDF">
        <w:rPr>
          <w:rFonts w:eastAsia="Times New Roman" w:cs="Times New Roman"/>
          <w:iCs/>
          <w:lang w:val="en-GB"/>
        </w:rPr>
        <w:t>‘</w:t>
      </w:r>
      <w:r w:rsidR="003472F3" w:rsidRPr="00DE2EDF">
        <w:rPr>
          <w:rFonts w:eastAsia="Times New Roman" w:cs="Times New Roman"/>
          <w:i/>
          <w:iCs/>
          <w:lang w:val="en-GB"/>
        </w:rPr>
        <w:t>juristische</w:t>
      </w:r>
      <w:r w:rsidR="007D427F" w:rsidRPr="00DE2EDF">
        <w:rPr>
          <w:rFonts w:eastAsia="Times New Roman" w:cs="Times New Roman"/>
          <w:i/>
          <w:iCs/>
          <w:lang w:val="en-GB"/>
        </w:rPr>
        <w:t>[s]</w:t>
      </w:r>
      <w:r w:rsidR="003472F3" w:rsidRPr="00DE2EDF">
        <w:rPr>
          <w:rFonts w:eastAsia="Times New Roman" w:cs="Times New Roman"/>
          <w:i/>
          <w:iCs/>
          <w:lang w:val="en-GB"/>
        </w:rPr>
        <w:t xml:space="preserve"> Weltenei</w:t>
      </w:r>
      <w:r w:rsidR="00530E16" w:rsidRPr="00DE2EDF">
        <w:rPr>
          <w:rFonts w:eastAsia="Times New Roman" w:cs="Times New Roman"/>
          <w:iCs/>
          <w:lang w:val="en-GB"/>
        </w:rPr>
        <w:t>’</w:t>
      </w:r>
      <w:r w:rsidR="003472F3" w:rsidRPr="00DE2EDF">
        <w:rPr>
          <w:rFonts w:eastAsia="Times New Roman" w:cs="Times New Roman"/>
          <w:iCs/>
          <w:lang w:val="en-GB"/>
        </w:rPr>
        <w:t xml:space="preserve"> (the </w:t>
      </w:r>
      <w:r w:rsidR="00530E16" w:rsidRPr="00DE2EDF">
        <w:rPr>
          <w:rFonts w:eastAsia="Times New Roman" w:cs="Times New Roman"/>
          <w:iCs/>
          <w:lang w:val="en-GB"/>
        </w:rPr>
        <w:t>‘</w:t>
      </w:r>
      <w:r w:rsidR="003472F3" w:rsidRPr="00DE2EDF">
        <w:rPr>
          <w:rFonts w:eastAsia="Times New Roman" w:cs="Times New Roman"/>
          <w:iCs/>
          <w:lang w:val="en-GB"/>
        </w:rPr>
        <w:t>legal World Egg</w:t>
      </w:r>
      <w:r w:rsidR="00530E16" w:rsidRPr="00DE2EDF">
        <w:rPr>
          <w:rFonts w:eastAsia="Times New Roman" w:cs="Times New Roman"/>
          <w:iCs/>
          <w:lang w:val="en-GB"/>
        </w:rPr>
        <w:t>’</w:t>
      </w:r>
      <w:r w:rsidR="00A67FF5" w:rsidRPr="00DE2EDF">
        <w:rPr>
          <w:rFonts w:eastAsia="Times New Roman" w:cs="Times New Roman"/>
          <w:iCs/>
          <w:lang w:val="en-GB"/>
        </w:rPr>
        <w:t>)</w:t>
      </w:r>
      <w:r w:rsidR="00791906" w:rsidRPr="00DE2EDF">
        <w:rPr>
          <w:rStyle w:val="FootnoteReference"/>
          <w:rFonts w:eastAsia="Times New Roman" w:cs="Times New Roman"/>
          <w:iCs/>
          <w:lang w:val="en-GB"/>
        </w:rPr>
        <w:footnoteReference w:id="184"/>
      </w:r>
      <w:r w:rsidR="00910952" w:rsidRPr="00DE2EDF">
        <w:rPr>
          <w:rFonts w:eastAsia="Times New Roman" w:cs="Times New Roman"/>
          <w:iCs/>
          <w:lang w:val="en-GB"/>
        </w:rPr>
        <w:t xml:space="preserve"> or a ‘total Constitution’</w:t>
      </w:r>
      <w:r w:rsidR="00D849F6">
        <w:rPr>
          <w:rFonts w:eastAsia="Times New Roman" w:cs="Times New Roman"/>
          <w:iCs/>
          <w:lang w:val="en-GB"/>
        </w:rPr>
        <w:t>.</w:t>
      </w:r>
      <w:r w:rsidR="00BF04A0" w:rsidRPr="00DE2EDF">
        <w:rPr>
          <w:rStyle w:val="FootnoteReference"/>
          <w:rFonts w:eastAsia="Times New Roman" w:cs="Times New Roman"/>
          <w:iCs/>
          <w:lang w:val="en-GB"/>
        </w:rPr>
        <w:footnoteReference w:id="185"/>
      </w:r>
    </w:p>
    <w:p w14:paraId="392A3FB5" w14:textId="77777777" w:rsidR="000F4C26" w:rsidRPr="00DE2EDF" w:rsidRDefault="000F4C26" w:rsidP="00DE2EDF">
      <w:pPr>
        <w:spacing w:after="0"/>
        <w:jc w:val="both"/>
        <w:rPr>
          <w:rFonts w:eastAsia="Times New Roman" w:cs="Times New Roman"/>
          <w:iCs/>
          <w:lang w:val="en-GB"/>
        </w:rPr>
      </w:pPr>
    </w:p>
    <w:p w14:paraId="24DACE35" w14:textId="182E186B" w:rsidR="003472F3" w:rsidRPr="00DE2EDF" w:rsidRDefault="00A67FF5" w:rsidP="00DE2EDF">
      <w:pPr>
        <w:spacing w:after="0"/>
        <w:jc w:val="both"/>
        <w:rPr>
          <w:rFonts w:eastAsia="Times New Roman" w:cs="Times New Roman"/>
          <w:iCs/>
          <w:lang w:val="en-GB"/>
        </w:rPr>
      </w:pPr>
      <w:r w:rsidRPr="00DE2EDF">
        <w:rPr>
          <w:rFonts w:eastAsia="Times New Roman" w:cs="Times New Roman"/>
          <w:iCs/>
          <w:lang w:val="en-GB"/>
        </w:rPr>
        <w:t>In contrast, t</w:t>
      </w:r>
      <w:r w:rsidR="003472F3" w:rsidRPr="00DE2EDF">
        <w:rPr>
          <w:rFonts w:eastAsia="Times New Roman" w:cs="Times New Roman"/>
          <w:iCs/>
          <w:lang w:val="en-GB"/>
        </w:rPr>
        <w:t xml:space="preserve">he most radical critics of this </w:t>
      </w:r>
      <w:r w:rsidRPr="00DE2EDF">
        <w:rPr>
          <w:rFonts w:eastAsia="Times New Roman" w:cs="Times New Roman"/>
          <w:iCs/>
          <w:lang w:val="en-GB"/>
        </w:rPr>
        <w:t>view</w:t>
      </w:r>
      <w:r w:rsidR="003472F3" w:rsidRPr="00DE2EDF">
        <w:rPr>
          <w:rFonts w:eastAsia="Times New Roman" w:cs="Times New Roman"/>
          <w:iCs/>
          <w:lang w:val="en-GB"/>
        </w:rPr>
        <w:t xml:space="preserve"> insist that </w:t>
      </w:r>
      <w:r w:rsidRPr="00DE2EDF">
        <w:rPr>
          <w:rFonts w:eastAsia="Times New Roman" w:cs="Times New Roman"/>
          <w:iCs/>
          <w:lang w:val="en-GB"/>
        </w:rPr>
        <w:t>‘</w:t>
      </w:r>
      <w:r w:rsidR="003472F3" w:rsidRPr="00DE2EDF">
        <w:rPr>
          <w:rFonts w:eastAsia="Times New Roman" w:cs="Times New Roman"/>
          <w:iCs/>
          <w:lang w:val="en-GB"/>
        </w:rPr>
        <w:t xml:space="preserve">all </w:t>
      </w:r>
      <w:r w:rsidRPr="00DE2EDF">
        <w:rPr>
          <w:rFonts w:eastAsia="Times New Roman" w:cs="Times New Roman"/>
          <w:iCs/>
          <w:lang w:val="en-GB"/>
        </w:rPr>
        <w:t xml:space="preserve">may not be </w:t>
      </w:r>
      <w:r w:rsidR="003472F3" w:rsidRPr="00DE2EDF">
        <w:rPr>
          <w:rFonts w:eastAsia="Times New Roman" w:cs="Times New Roman"/>
          <w:iCs/>
          <w:lang w:val="en-GB"/>
        </w:rPr>
        <w:t>conjured from the Constitution</w:t>
      </w:r>
      <w:bookmarkStart w:id="299" w:name="_Ref252456934"/>
      <w:bookmarkEnd w:id="299"/>
      <w:r w:rsidRPr="00DE2EDF">
        <w:rPr>
          <w:rFonts w:eastAsia="Times New Roman" w:cs="Times New Roman"/>
          <w:iCs/>
          <w:lang w:val="en-GB"/>
        </w:rPr>
        <w:t>’</w:t>
      </w:r>
      <w:bookmarkStart w:id="300" w:name="_Ref401124955"/>
      <w:r w:rsidR="003472F3" w:rsidRPr="00DE2EDF">
        <w:rPr>
          <w:rStyle w:val="FootnoteReference"/>
          <w:rFonts w:eastAsia="Times New Roman" w:cs="Times New Roman"/>
          <w:iCs/>
          <w:lang w:val="en-GB"/>
        </w:rPr>
        <w:footnoteReference w:id="186"/>
      </w:r>
      <w:bookmarkEnd w:id="300"/>
      <w:r w:rsidR="003472F3" w:rsidRPr="00DE2EDF">
        <w:rPr>
          <w:rFonts w:eastAsia="Times New Roman" w:cs="Times New Roman"/>
          <w:iCs/>
          <w:lang w:val="en-GB"/>
        </w:rPr>
        <w:t xml:space="preserve"> or be logically deduced therefrom. </w:t>
      </w:r>
      <w:r w:rsidR="00977790" w:rsidRPr="00DE2EDF">
        <w:rPr>
          <w:rFonts w:eastAsia="Times New Roman" w:cs="Times New Roman"/>
          <w:iCs/>
          <w:lang w:val="en-GB"/>
        </w:rPr>
        <w:t>Rather, the Constitution is a framework: although it establishes certain limits, it does not fix all of the fundamentals of the legal order.</w:t>
      </w:r>
      <w:bookmarkStart w:id="301" w:name="_ftnref152"/>
      <w:r w:rsidR="00977790" w:rsidRPr="00DE2EDF">
        <w:rPr>
          <w:rStyle w:val="FootnoteReference"/>
          <w:rFonts w:eastAsia="Times New Roman" w:cs="Times New Roman"/>
          <w:iCs/>
          <w:lang w:val="en-GB"/>
        </w:rPr>
        <w:footnoteReference w:id="187"/>
      </w:r>
      <w:r w:rsidR="00977790" w:rsidRPr="00DE2EDF">
        <w:rPr>
          <w:rFonts w:eastAsia="Times New Roman" w:cs="Times New Roman"/>
          <w:iCs/>
          <w:lang w:val="en-GB"/>
        </w:rPr>
        <w:t xml:space="preserve"> </w:t>
      </w:r>
      <w:bookmarkEnd w:id="301"/>
      <w:r w:rsidR="003472F3" w:rsidRPr="00DE2EDF">
        <w:rPr>
          <w:rFonts w:eastAsia="Times New Roman" w:cs="Times New Roman"/>
          <w:iCs/>
          <w:lang w:val="en-GB"/>
        </w:rPr>
        <w:t>Such criticism touches on Werner</w:t>
      </w:r>
      <w:r w:rsidR="00530E16" w:rsidRPr="00DE2EDF">
        <w:rPr>
          <w:rFonts w:eastAsia="Times New Roman" w:cs="Times New Roman"/>
          <w:iCs/>
          <w:lang w:val="en-GB"/>
        </w:rPr>
        <w:t>’</w:t>
      </w:r>
      <w:r w:rsidR="003472F3" w:rsidRPr="00DE2EDF">
        <w:rPr>
          <w:rFonts w:eastAsia="Times New Roman" w:cs="Times New Roman"/>
          <w:iCs/>
          <w:lang w:val="en-GB"/>
        </w:rPr>
        <w:t xml:space="preserve">s notion of </w:t>
      </w:r>
      <w:r w:rsidR="00530E16" w:rsidRPr="00DE2EDF">
        <w:rPr>
          <w:rFonts w:eastAsia="Times New Roman" w:cs="Times New Roman"/>
          <w:iCs/>
          <w:lang w:val="en-GB"/>
        </w:rPr>
        <w:t>‘</w:t>
      </w:r>
      <w:bookmarkStart w:id="302" w:name="_ftnref153"/>
      <w:r w:rsidR="007D427F" w:rsidRPr="00DE2EDF">
        <w:rPr>
          <w:rFonts w:eastAsia="Times New Roman" w:cs="Times New Roman"/>
          <w:iCs/>
          <w:lang w:val="en-GB"/>
        </w:rPr>
        <w:t>concretization’</w:t>
      </w:r>
      <w:r w:rsidR="003472F3" w:rsidRPr="00DE2EDF">
        <w:rPr>
          <w:rFonts w:eastAsia="Times New Roman" w:cs="Times New Roman"/>
          <w:iCs/>
          <w:lang w:val="en-GB"/>
        </w:rPr>
        <w:t>,</w:t>
      </w:r>
      <w:r w:rsidR="003472F3" w:rsidRPr="00DE2EDF">
        <w:rPr>
          <w:rStyle w:val="FootnoteReference"/>
          <w:rFonts w:eastAsia="Times New Roman" w:cs="Times New Roman"/>
          <w:iCs/>
          <w:lang w:val="en-GB"/>
        </w:rPr>
        <w:footnoteReference w:id="188"/>
      </w:r>
      <w:r w:rsidR="003472F3" w:rsidRPr="00DE2EDF">
        <w:rPr>
          <w:rFonts w:eastAsia="Times New Roman" w:cs="Times New Roman"/>
          <w:iCs/>
          <w:lang w:val="en-GB"/>
        </w:rPr>
        <w:t xml:space="preserve"> </w:t>
      </w:r>
      <w:bookmarkEnd w:id="302"/>
      <w:r w:rsidR="003472F3" w:rsidRPr="00DE2EDF">
        <w:rPr>
          <w:rFonts w:eastAsia="Times New Roman" w:cs="Times New Roman"/>
          <w:iCs/>
          <w:lang w:val="en-GB"/>
        </w:rPr>
        <w:t xml:space="preserve">which suggests that </w:t>
      </w:r>
      <w:r w:rsidR="003472F3" w:rsidRPr="00DE2EDF">
        <w:rPr>
          <w:rFonts w:eastAsia="Times New Roman" w:cs="Times New Roman"/>
          <w:i/>
          <w:lang w:val="en-GB"/>
        </w:rPr>
        <w:t>everything</w:t>
      </w:r>
      <w:r w:rsidR="003472F3" w:rsidRPr="00DE2EDF">
        <w:rPr>
          <w:rFonts w:eastAsia="Times New Roman" w:cs="Times New Roman"/>
          <w:iCs/>
          <w:lang w:val="en-GB"/>
        </w:rPr>
        <w:t xml:space="preserve"> essential has already been decided. Only the technical, practical implementation remains. The freedom of the democratic legislature and/or the </w:t>
      </w:r>
      <w:r w:rsidR="003472F3" w:rsidRPr="00DE2EDF">
        <w:rPr>
          <w:rFonts w:eastAsia="Times New Roman" w:cs="Times New Roman"/>
          <w:iCs/>
          <w:lang w:val="en-GB"/>
        </w:rPr>
        <w:lastRenderedPageBreak/>
        <w:t>administrative court would be hidden or even restricted. The change of mood is particularly striking</w:t>
      </w:r>
      <w:r w:rsidR="00B72241" w:rsidRPr="00DE2EDF">
        <w:rPr>
          <w:rFonts w:cs="Times New Roman"/>
          <w:lang w:val="en-GB"/>
        </w:rPr>
        <w:t xml:space="preserve"> </w:t>
      </w:r>
      <w:r w:rsidR="00B72241" w:rsidRPr="00DE2EDF">
        <w:rPr>
          <w:rFonts w:eastAsia="Times New Roman" w:cs="Times New Roman"/>
          <w:iCs/>
          <w:lang w:val="en-GB"/>
        </w:rPr>
        <w:t>in Switzerland</w:t>
      </w:r>
      <w:r w:rsidR="003472F3" w:rsidRPr="00DE2EDF">
        <w:rPr>
          <w:rFonts w:eastAsia="Times New Roman" w:cs="Times New Roman"/>
          <w:iCs/>
          <w:lang w:val="en-GB"/>
        </w:rPr>
        <w:t xml:space="preserve">. After the </w:t>
      </w:r>
      <w:r w:rsidR="00530E16" w:rsidRPr="00DE2EDF">
        <w:rPr>
          <w:rFonts w:eastAsia="Times New Roman" w:cs="Times New Roman"/>
          <w:iCs/>
          <w:lang w:val="en-GB"/>
        </w:rPr>
        <w:t>‘</w:t>
      </w:r>
      <w:r w:rsidR="003472F3" w:rsidRPr="00DE2EDF">
        <w:rPr>
          <w:rFonts w:eastAsia="Times New Roman" w:cs="Times New Roman"/>
          <w:iCs/>
          <w:lang w:val="en-GB"/>
        </w:rPr>
        <w:t>idolatry of the Constitution</w:t>
      </w:r>
      <w:r w:rsidR="00530E16" w:rsidRPr="00DE2EDF">
        <w:rPr>
          <w:rFonts w:eastAsia="Times New Roman" w:cs="Times New Roman"/>
          <w:iCs/>
          <w:lang w:val="en-GB"/>
        </w:rPr>
        <w:t>’</w:t>
      </w:r>
      <w:r w:rsidR="003472F3" w:rsidRPr="00DE2EDF">
        <w:rPr>
          <w:rFonts w:eastAsia="Times New Roman" w:cs="Times New Roman"/>
          <w:iCs/>
          <w:lang w:val="en-GB"/>
        </w:rPr>
        <w:t xml:space="preserve"> in the 1960s and 1970s, a certain </w:t>
      </w:r>
      <w:r w:rsidR="00530E16" w:rsidRPr="00DE2EDF">
        <w:rPr>
          <w:rFonts w:eastAsia="Times New Roman" w:cs="Times New Roman"/>
          <w:iCs/>
          <w:lang w:val="en-GB"/>
        </w:rPr>
        <w:t>‘</w:t>
      </w:r>
      <w:r w:rsidR="003472F3" w:rsidRPr="00DE2EDF">
        <w:rPr>
          <w:rFonts w:eastAsia="Times New Roman" w:cs="Times New Roman"/>
          <w:iCs/>
          <w:lang w:val="en-GB"/>
        </w:rPr>
        <w:t>fundamental rights</w:t>
      </w:r>
      <w:r w:rsidR="00B72241" w:rsidRPr="00DE2EDF">
        <w:rPr>
          <w:rFonts w:eastAsia="Times New Roman" w:cs="Times New Roman"/>
          <w:iCs/>
          <w:lang w:val="en-GB"/>
        </w:rPr>
        <w:t xml:space="preserve"> fatigue’</w:t>
      </w:r>
      <w:r w:rsidR="003472F3" w:rsidRPr="00DE2EDF">
        <w:rPr>
          <w:rFonts w:eastAsia="Times New Roman" w:cs="Times New Roman"/>
          <w:iCs/>
          <w:lang w:val="en-GB"/>
        </w:rPr>
        <w:t xml:space="preserve"> (Pierre Tschannen) now appears in parts of its doctrine. A</w:t>
      </w:r>
      <w:r w:rsidR="00B72241" w:rsidRPr="00DE2EDF">
        <w:rPr>
          <w:rFonts w:eastAsia="Times New Roman" w:cs="Times New Roman"/>
          <w:iCs/>
          <w:lang w:val="en-GB"/>
        </w:rPr>
        <w:t>s a</w:t>
      </w:r>
      <w:r w:rsidR="003472F3" w:rsidRPr="00DE2EDF">
        <w:rPr>
          <w:rFonts w:eastAsia="Times New Roman" w:cs="Times New Roman"/>
          <w:iCs/>
          <w:lang w:val="en-GB"/>
        </w:rPr>
        <w:t xml:space="preserve"> framework, the Constitution is also a lock, through which fundamental ideas</w:t>
      </w:r>
      <w:r w:rsidR="00315C91" w:rsidRPr="00DE2EDF">
        <w:rPr>
          <w:rFonts w:eastAsia="Times New Roman" w:cs="Times New Roman"/>
          <w:iCs/>
          <w:lang w:val="en-GB"/>
        </w:rPr>
        <w:t xml:space="preserve">, whatever their </w:t>
      </w:r>
      <w:r w:rsidR="008F7C68" w:rsidRPr="00DE2EDF">
        <w:rPr>
          <w:rFonts w:eastAsia="Times New Roman" w:cs="Times New Roman"/>
          <w:iCs/>
          <w:lang w:val="en-GB"/>
        </w:rPr>
        <w:t xml:space="preserve">provenance </w:t>
      </w:r>
      <w:r w:rsidR="003472F3" w:rsidRPr="00DE2EDF">
        <w:rPr>
          <w:rFonts w:eastAsia="Times New Roman" w:cs="Times New Roman"/>
          <w:iCs/>
          <w:lang w:val="en-GB"/>
        </w:rPr>
        <w:t>(</w:t>
      </w:r>
      <w:r w:rsidR="00315C91" w:rsidRPr="00DE2EDF">
        <w:rPr>
          <w:rFonts w:eastAsia="Times New Roman" w:cs="Times New Roman"/>
          <w:iCs/>
          <w:lang w:val="en-GB"/>
        </w:rPr>
        <w:t xml:space="preserve">whether </w:t>
      </w:r>
      <w:r w:rsidR="003472F3" w:rsidRPr="00DE2EDF">
        <w:rPr>
          <w:rFonts w:eastAsia="Times New Roman" w:cs="Times New Roman"/>
          <w:iCs/>
          <w:lang w:val="en-GB"/>
        </w:rPr>
        <w:t>they</w:t>
      </w:r>
      <w:r w:rsidR="00315C91" w:rsidRPr="00DE2EDF">
        <w:rPr>
          <w:rFonts w:eastAsia="Times New Roman" w:cs="Times New Roman"/>
          <w:iCs/>
          <w:lang w:val="en-GB"/>
        </w:rPr>
        <w:t xml:space="preserve"> come</w:t>
      </w:r>
      <w:r w:rsidR="003472F3" w:rsidRPr="00DE2EDF">
        <w:rPr>
          <w:rFonts w:eastAsia="Times New Roman" w:cs="Times New Roman"/>
          <w:iCs/>
          <w:lang w:val="en-GB"/>
        </w:rPr>
        <w:t xml:space="preserve"> from politics</w:t>
      </w:r>
      <w:r w:rsidR="00315C91" w:rsidRPr="00DE2EDF">
        <w:rPr>
          <w:rFonts w:eastAsia="Times New Roman" w:cs="Times New Roman"/>
          <w:iCs/>
          <w:lang w:val="en-GB"/>
        </w:rPr>
        <w:t xml:space="preserve">, </w:t>
      </w:r>
      <w:r w:rsidR="003472F3" w:rsidRPr="00DE2EDF">
        <w:rPr>
          <w:rFonts w:eastAsia="Times New Roman" w:cs="Times New Roman"/>
          <w:iCs/>
          <w:lang w:val="en-GB"/>
        </w:rPr>
        <w:t>ideolog</w:t>
      </w:r>
      <w:r w:rsidR="00315C91" w:rsidRPr="00DE2EDF">
        <w:rPr>
          <w:rFonts w:eastAsia="Times New Roman" w:cs="Times New Roman"/>
          <w:iCs/>
          <w:lang w:val="en-GB"/>
        </w:rPr>
        <w:t>ical movements</w:t>
      </w:r>
      <w:r w:rsidR="003472F3" w:rsidRPr="00DE2EDF">
        <w:rPr>
          <w:rFonts w:eastAsia="Times New Roman" w:cs="Times New Roman"/>
          <w:iCs/>
          <w:lang w:val="en-GB"/>
        </w:rPr>
        <w:t>, inte</w:t>
      </w:r>
      <w:r w:rsidR="009C3302" w:rsidRPr="00DE2EDF">
        <w:rPr>
          <w:rFonts w:eastAsia="Times New Roman" w:cs="Times New Roman"/>
          <w:iCs/>
          <w:lang w:val="en-GB"/>
        </w:rPr>
        <w:t>rnational or European law, or</w:t>
      </w:r>
      <w:r w:rsidR="009C3302" w:rsidRPr="00DE2EDF">
        <w:rPr>
          <w:rFonts w:cs="Times New Roman"/>
        </w:rPr>
        <w:t>—</w:t>
      </w:r>
      <w:r w:rsidR="008F7C68" w:rsidRPr="00DE2EDF">
        <w:rPr>
          <w:rFonts w:eastAsia="Times New Roman" w:cs="Times New Roman"/>
          <w:iCs/>
          <w:lang w:val="en-GB"/>
        </w:rPr>
        <w:t xml:space="preserve">from </w:t>
      </w:r>
      <w:r w:rsidR="003472F3" w:rsidRPr="00DE2EDF">
        <w:rPr>
          <w:rFonts w:eastAsia="Times New Roman" w:cs="Times New Roman"/>
          <w:iCs/>
          <w:lang w:val="en-GB"/>
        </w:rPr>
        <w:t>a historical p</w:t>
      </w:r>
      <w:r w:rsidR="009C3302" w:rsidRPr="00DE2EDF">
        <w:rPr>
          <w:rFonts w:eastAsia="Times New Roman" w:cs="Times New Roman"/>
          <w:iCs/>
          <w:lang w:val="en-GB"/>
        </w:rPr>
        <w:t>erspective</w:t>
      </w:r>
      <w:r w:rsidR="009C3302" w:rsidRPr="00DE2EDF">
        <w:rPr>
          <w:rFonts w:cs="Times New Roman"/>
        </w:rPr>
        <w:t>—</w:t>
      </w:r>
      <w:r w:rsidR="00315C91" w:rsidRPr="00DE2EDF">
        <w:rPr>
          <w:rFonts w:eastAsia="Times New Roman" w:cs="Times New Roman"/>
          <w:iCs/>
          <w:lang w:val="en-GB"/>
        </w:rPr>
        <w:t xml:space="preserve">from </w:t>
      </w:r>
      <w:r w:rsidR="003472F3" w:rsidRPr="00DE2EDF">
        <w:rPr>
          <w:rFonts w:eastAsia="Times New Roman" w:cs="Times New Roman"/>
          <w:iCs/>
          <w:lang w:val="en-GB"/>
        </w:rPr>
        <w:t>the prior legal order)</w:t>
      </w:r>
      <w:r w:rsidR="00315C91" w:rsidRPr="00DE2EDF">
        <w:rPr>
          <w:rFonts w:eastAsia="Times New Roman" w:cs="Times New Roman"/>
          <w:iCs/>
          <w:lang w:val="en-GB"/>
        </w:rPr>
        <w:t xml:space="preserve">, may pass and </w:t>
      </w:r>
      <w:r w:rsidR="003472F3" w:rsidRPr="00DE2EDF">
        <w:rPr>
          <w:rFonts w:eastAsia="Times New Roman" w:cs="Times New Roman"/>
          <w:iCs/>
          <w:lang w:val="en-GB"/>
        </w:rPr>
        <w:t xml:space="preserve">be incorporated into ordinary law. The impetus for many recent reforms (privatization, </w:t>
      </w:r>
      <w:r w:rsidR="003472F3" w:rsidRPr="00DE2EDF">
        <w:rPr>
          <w:rFonts w:eastAsia="Times New Roman" w:cs="Times New Roman"/>
          <w:lang w:val="en-GB"/>
        </w:rPr>
        <w:t>New Public Management</w:t>
      </w:r>
      <w:r w:rsidR="003472F3" w:rsidRPr="00DE2EDF">
        <w:rPr>
          <w:rFonts w:eastAsia="Times New Roman" w:cs="Times New Roman"/>
          <w:iCs/>
          <w:lang w:val="en-GB"/>
        </w:rPr>
        <w:t xml:space="preserve">, etc.) did not arise from the Constitution, but from a variety of other factors, including: intellectual movements (such as the Chicago school of economics); changing party platforms; the attractiveness of foreign models; the vertical influence </w:t>
      </w:r>
      <w:r w:rsidR="00B53C19">
        <w:rPr>
          <w:rFonts w:eastAsia="Times New Roman" w:cs="Times New Roman"/>
          <w:iCs/>
          <w:lang w:val="en-GB"/>
        </w:rPr>
        <w:t xml:space="preserve">of </w:t>
      </w:r>
      <w:r w:rsidR="003472F3" w:rsidRPr="00DE2EDF">
        <w:rPr>
          <w:rFonts w:eastAsia="Times New Roman" w:cs="Times New Roman"/>
          <w:iCs/>
          <w:lang w:val="en-GB"/>
        </w:rPr>
        <w:t>other national laws (e.g.</w:t>
      </w:r>
      <w:r w:rsidR="008F7C68" w:rsidRPr="00DE2EDF">
        <w:rPr>
          <w:rFonts w:eastAsia="Times New Roman" w:cs="Times New Roman"/>
          <w:iCs/>
          <w:lang w:val="en-GB"/>
        </w:rPr>
        <w:t>,</w:t>
      </w:r>
      <w:r w:rsidR="003472F3" w:rsidRPr="00DE2EDF">
        <w:rPr>
          <w:rFonts w:eastAsia="Times New Roman" w:cs="Times New Roman"/>
          <w:iCs/>
          <w:lang w:val="en-GB"/>
        </w:rPr>
        <w:t xml:space="preserve"> private law); and supranational law (e.g., European law). In this way, administrative law can, to a certain extent, develop or maintain a different culture or mentality.</w:t>
      </w:r>
      <w:bookmarkStart w:id="303" w:name="_ftnref154"/>
      <w:r w:rsidR="003472F3" w:rsidRPr="00DE2EDF">
        <w:rPr>
          <w:rStyle w:val="FootnoteReference"/>
          <w:rFonts w:eastAsia="Times New Roman" w:cs="Times New Roman"/>
          <w:iCs/>
          <w:lang w:val="en-GB"/>
        </w:rPr>
        <w:footnoteReference w:id="189"/>
      </w:r>
      <w:bookmarkEnd w:id="303"/>
      <w:r w:rsidR="003472F3" w:rsidRPr="00DE2EDF">
        <w:rPr>
          <w:rFonts w:eastAsia="Times New Roman" w:cs="Times New Roman"/>
          <w:iCs/>
          <w:lang w:val="en-GB"/>
        </w:rPr>
        <w:t xml:space="preserve"> Thus, the </w:t>
      </w:r>
      <w:r w:rsidR="00F13207" w:rsidRPr="00DE2EDF">
        <w:rPr>
          <w:rFonts w:eastAsia="Times New Roman" w:cs="Times New Roman"/>
          <w:iCs/>
          <w:lang w:val="en-GB"/>
        </w:rPr>
        <w:t xml:space="preserve">relative independence </w:t>
      </w:r>
      <w:r w:rsidR="003472F3" w:rsidRPr="00DE2EDF">
        <w:rPr>
          <w:rFonts w:eastAsia="Times New Roman" w:cs="Times New Roman"/>
          <w:iCs/>
          <w:lang w:val="en-GB"/>
        </w:rPr>
        <w:t>of ordinary law is manifest.</w:t>
      </w:r>
    </w:p>
    <w:p w14:paraId="79259DB8" w14:textId="77777777" w:rsidR="002D66C1" w:rsidRPr="00DE2EDF" w:rsidRDefault="002D66C1" w:rsidP="00DE2EDF">
      <w:pPr>
        <w:spacing w:after="0"/>
        <w:jc w:val="both"/>
        <w:rPr>
          <w:rFonts w:eastAsia="Times New Roman" w:cs="Times New Roman"/>
          <w:iCs/>
          <w:lang w:val="en-GB"/>
        </w:rPr>
      </w:pPr>
    </w:p>
    <w:p w14:paraId="33208D36" w14:textId="77777777" w:rsidR="003472F3" w:rsidRPr="00DE2EDF" w:rsidRDefault="002D66C1" w:rsidP="00DE2EDF">
      <w:pPr>
        <w:pStyle w:val="Heading3"/>
        <w:rPr>
          <w:rFonts w:cs="Times New Roman"/>
          <w:szCs w:val="24"/>
        </w:rPr>
      </w:pPr>
      <w:bookmarkStart w:id="304" w:name="_Toc253048951"/>
      <w:bookmarkStart w:id="305" w:name="_Toc252700498"/>
      <w:bookmarkStart w:id="306" w:name="_Toc245196683"/>
      <w:bookmarkStart w:id="307" w:name="_Toc460405644"/>
      <w:bookmarkEnd w:id="304"/>
      <w:bookmarkEnd w:id="305"/>
      <w:r w:rsidRPr="00DE2EDF">
        <w:rPr>
          <w:rFonts w:cs="Times New Roman"/>
          <w:szCs w:val="24"/>
        </w:rPr>
        <w:t xml:space="preserve">c) </w:t>
      </w:r>
      <w:r w:rsidR="00FC0488" w:rsidRPr="00DE2EDF">
        <w:rPr>
          <w:rFonts w:cs="Times New Roman"/>
          <w:szCs w:val="24"/>
        </w:rPr>
        <w:t xml:space="preserve">Preconceptions: </w:t>
      </w:r>
      <w:r w:rsidR="007412C2" w:rsidRPr="00DE2EDF">
        <w:rPr>
          <w:rFonts w:cs="Times New Roman"/>
          <w:szCs w:val="24"/>
        </w:rPr>
        <w:t>A</w:t>
      </w:r>
      <w:r w:rsidR="003472F3" w:rsidRPr="00DE2EDF">
        <w:rPr>
          <w:rFonts w:cs="Times New Roman"/>
          <w:szCs w:val="24"/>
        </w:rPr>
        <w:t>bstract</w:t>
      </w:r>
      <w:r w:rsidR="00D065F4" w:rsidRPr="00DE2EDF">
        <w:rPr>
          <w:rFonts w:cs="Times New Roman"/>
          <w:szCs w:val="24"/>
        </w:rPr>
        <w:t>ness</w:t>
      </w:r>
      <w:r w:rsidR="00D823E5" w:rsidRPr="00DE2EDF">
        <w:rPr>
          <w:rFonts w:cs="Times New Roman"/>
          <w:szCs w:val="24"/>
        </w:rPr>
        <w:t xml:space="preserve"> and </w:t>
      </w:r>
      <w:r w:rsidR="007412C2" w:rsidRPr="00DE2EDF">
        <w:rPr>
          <w:rFonts w:cs="Times New Roman"/>
          <w:szCs w:val="24"/>
        </w:rPr>
        <w:t>N</w:t>
      </w:r>
      <w:r w:rsidR="00D823E5" w:rsidRPr="00DE2EDF">
        <w:rPr>
          <w:rFonts w:cs="Times New Roman"/>
          <w:szCs w:val="24"/>
        </w:rPr>
        <w:t>ormativity</w:t>
      </w:r>
      <w:r w:rsidR="003472F3" w:rsidRPr="00DE2EDF">
        <w:rPr>
          <w:rFonts w:cs="Times New Roman"/>
          <w:szCs w:val="24"/>
        </w:rPr>
        <w:t xml:space="preserve"> of </w:t>
      </w:r>
      <w:r w:rsidR="007412C2" w:rsidRPr="00DE2EDF">
        <w:rPr>
          <w:rFonts w:cs="Times New Roman"/>
          <w:szCs w:val="24"/>
        </w:rPr>
        <w:t>C</w:t>
      </w:r>
      <w:r w:rsidR="003472F3" w:rsidRPr="00DE2EDF">
        <w:rPr>
          <w:rFonts w:cs="Times New Roman"/>
          <w:szCs w:val="24"/>
        </w:rPr>
        <w:t xml:space="preserve">onstitutional </w:t>
      </w:r>
      <w:r w:rsidR="007412C2" w:rsidRPr="00DE2EDF">
        <w:rPr>
          <w:rFonts w:cs="Times New Roman"/>
          <w:szCs w:val="24"/>
        </w:rPr>
        <w:t>P</w:t>
      </w:r>
      <w:r w:rsidR="003472F3" w:rsidRPr="00DE2EDF">
        <w:rPr>
          <w:rFonts w:cs="Times New Roman"/>
          <w:szCs w:val="24"/>
        </w:rPr>
        <w:t>rinciples</w:t>
      </w:r>
      <w:bookmarkEnd w:id="306"/>
      <w:bookmarkEnd w:id="307"/>
    </w:p>
    <w:p w14:paraId="02D623B7" w14:textId="77777777" w:rsidR="002D66C1" w:rsidRPr="00DE2EDF" w:rsidRDefault="002D66C1" w:rsidP="00DE2EDF">
      <w:pPr>
        <w:spacing w:after="0"/>
        <w:rPr>
          <w:rFonts w:cs="Times New Roman"/>
          <w:lang w:val="en-GB"/>
        </w:rPr>
      </w:pPr>
    </w:p>
    <w:p w14:paraId="6C24E7D0" w14:textId="77777777" w:rsidR="0048163B"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The dispute between these two constitutional models is fuelled by the </w:t>
      </w:r>
      <w:r w:rsidR="009F297B" w:rsidRPr="00DE2EDF">
        <w:rPr>
          <w:rFonts w:eastAsia="Times New Roman" w:cs="Times New Roman"/>
          <w:iCs/>
          <w:lang w:val="en-GB"/>
        </w:rPr>
        <w:t>abstract</w:t>
      </w:r>
      <w:r w:rsidRPr="00DE2EDF">
        <w:rPr>
          <w:rFonts w:eastAsia="Times New Roman" w:cs="Times New Roman"/>
          <w:iCs/>
          <w:lang w:val="en-GB"/>
        </w:rPr>
        <w:t xml:space="preserve"> nature of constitutional </w:t>
      </w:r>
      <w:r w:rsidRPr="00DE2EDF">
        <w:rPr>
          <w:rFonts w:eastAsia="Times New Roman" w:cs="Times New Roman"/>
          <w:lang w:val="en-GB"/>
        </w:rPr>
        <w:t>principles</w:t>
      </w:r>
      <w:r w:rsidRPr="00DE2EDF">
        <w:rPr>
          <w:rFonts w:eastAsia="Times New Roman" w:cs="Times New Roman"/>
          <w:iCs/>
          <w:lang w:val="en-GB"/>
        </w:rPr>
        <w:t xml:space="preserve">. Their </w:t>
      </w:r>
      <w:r w:rsidR="009F297B" w:rsidRPr="00DE2EDF">
        <w:rPr>
          <w:rFonts w:eastAsia="Times New Roman" w:cs="Times New Roman"/>
          <w:iCs/>
          <w:lang w:val="en-GB"/>
        </w:rPr>
        <w:t>vagueness</w:t>
      </w:r>
      <w:r w:rsidRPr="00DE2EDF">
        <w:rPr>
          <w:rFonts w:eastAsia="Times New Roman" w:cs="Times New Roman"/>
          <w:iCs/>
          <w:lang w:val="en-GB"/>
        </w:rPr>
        <w:t xml:space="preserve"> is viewed as either a boon (the more abstract the norm, the greater </w:t>
      </w:r>
      <w:r w:rsidR="00B53C19">
        <w:rPr>
          <w:rFonts w:eastAsia="Times New Roman" w:cs="Times New Roman"/>
          <w:iCs/>
          <w:lang w:val="en-GB"/>
        </w:rPr>
        <w:t xml:space="preserve">the </w:t>
      </w:r>
      <w:r w:rsidRPr="00DE2EDF">
        <w:rPr>
          <w:rFonts w:eastAsia="Times New Roman" w:cs="Times New Roman"/>
          <w:iCs/>
          <w:lang w:val="en-GB"/>
        </w:rPr>
        <w:t>chance of creative adaptation by a</w:t>
      </w:r>
      <w:r w:rsidR="004B38BB" w:rsidRPr="00DE2EDF">
        <w:rPr>
          <w:rFonts w:eastAsia="Times New Roman" w:cs="Times New Roman"/>
          <w:iCs/>
          <w:lang w:val="en-GB"/>
        </w:rPr>
        <w:t xml:space="preserve"> scholar,</w:t>
      </w:r>
      <w:r w:rsidRPr="00DE2EDF">
        <w:rPr>
          <w:rFonts w:eastAsia="Times New Roman" w:cs="Times New Roman"/>
          <w:iCs/>
          <w:lang w:val="en-GB"/>
        </w:rPr>
        <w:t xml:space="preserve"> </w:t>
      </w:r>
      <w:r w:rsidR="00DE19E8" w:rsidRPr="00DE2EDF">
        <w:rPr>
          <w:rFonts w:eastAsia="Times New Roman" w:cs="Times New Roman"/>
          <w:iCs/>
          <w:lang w:val="en-GB"/>
        </w:rPr>
        <w:t>a</w:t>
      </w:r>
      <w:r w:rsidR="00210BE8" w:rsidRPr="00DE2EDF">
        <w:rPr>
          <w:rFonts w:eastAsia="Times New Roman" w:cs="Times New Roman"/>
          <w:iCs/>
          <w:lang w:val="en-GB"/>
        </w:rPr>
        <w:t>n advocate</w:t>
      </w:r>
      <w:r w:rsidR="00537BB7" w:rsidRPr="00DE2EDF">
        <w:rPr>
          <w:rFonts w:eastAsia="Times New Roman" w:cs="Times New Roman"/>
          <w:iCs/>
          <w:lang w:val="en-GB"/>
        </w:rPr>
        <w:t>,</w:t>
      </w:r>
      <w:r w:rsidRPr="00DE2EDF">
        <w:rPr>
          <w:rFonts w:eastAsia="Times New Roman" w:cs="Times New Roman"/>
          <w:iCs/>
          <w:lang w:val="en-GB"/>
        </w:rPr>
        <w:t xml:space="preserve"> </w:t>
      </w:r>
      <w:r w:rsidR="00DE19E8" w:rsidRPr="00DE2EDF">
        <w:rPr>
          <w:rFonts w:eastAsia="Times New Roman" w:cs="Times New Roman"/>
          <w:iCs/>
          <w:lang w:val="en-GB"/>
        </w:rPr>
        <w:t>and eventually a</w:t>
      </w:r>
      <w:r w:rsidRPr="00DE2EDF">
        <w:rPr>
          <w:rFonts w:eastAsia="Times New Roman" w:cs="Times New Roman"/>
          <w:iCs/>
          <w:lang w:val="en-GB"/>
        </w:rPr>
        <w:t xml:space="preserve"> judge) or, on the contrary, </w:t>
      </w:r>
      <w:r w:rsidR="00DE19E8" w:rsidRPr="00DE2EDF">
        <w:rPr>
          <w:rFonts w:eastAsia="Times New Roman" w:cs="Times New Roman"/>
          <w:iCs/>
          <w:lang w:val="en-GB"/>
        </w:rPr>
        <w:t xml:space="preserve">it is seen </w:t>
      </w:r>
      <w:r w:rsidRPr="00DE2EDF">
        <w:rPr>
          <w:rFonts w:eastAsia="Times New Roman" w:cs="Times New Roman"/>
          <w:iCs/>
          <w:lang w:val="en-GB"/>
        </w:rPr>
        <w:t>as a</w:t>
      </w:r>
      <w:r w:rsidR="009F297B" w:rsidRPr="00DE2EDF">
        <w:rPr>
          <w:rFonts w:eastAsia="Times New Roman" w:cs="Times New Roman"/>
          <w:iCs/>
          <w:lang w:val="en-GB"/>
        </w:rPr>
        <w:t xml:space="preserve"> trouble area</w:t>
      </w:r>
      <w:r w:rsidRPr="00DE2EDF">
        <w:rPr>
          <w:rFonts w:eastAsia="Times New Roman" w:cs="Times New Roman"/>
          <w:iCs/>
          <w:lang w:val="en-GB"/>
        </w:rPr>
        <w:t xml:space="preserve">. </w:t>
      </w:r>
      <w:r w:rsidR="003067B6" w:rsidRPr="00DE2EDF">
        <w:rPr>
          <w:rFonts w:eastAsia="Times New Roman" w:cs="Times New Roman"/>
          <w:iCs/>
          <w:lang w:val="en-GB"/>
        </w:rPr>
        <w:t>If the law, a</w:t>
      </w:r>
      <w:r w:rsidRPr="00DE2EDF">
        <w:rPr>
          <w:rFonts w:eastAsia="Times New Roman" w:cs="Times New Roman"/>
          <w:iCs/>
          <w:lang w:val="en-GB"/>
        </w:rPr>
        <w:t>s was common with many positivists</w:t>
      </w:r>
      <w:r w:rsidR="003067B6" w:rsidRPr="00DE2EDF">
        <w:rPr>
          <w:rFonts w:eastAsia="Times New Roman" w:cs="Times New Roman"/>
          <w:iCs/>
          <w:lang w:val="en-GB"/>
        </w:rPr>
        <w:t xml:space="preserve"> in the past</w:t>
      </w:r>
      <w:r w:rsidRPr="00DE2EDF">
        <w:rPr>
          <w:rFonts w:eastAsia="Times New Roman" w:cs="Times New Roman"/>
          <w:iCs/>
          <w:lang w:val="en-GB"/>
        </w:rPr>
        <w:t xml:space="preserve">, is identified with </w:t>
      </w:r>
      <w:r w:rsidRPr="00DE2EDF">
        <w:rPr>
          <w:rFonts w:eastAsia="Times New Roman" w:cs="Times New Roman"/>
          <w:lang w:val="en-GB"/>
        </w:rPr>
        <w:t>r</w:t>
      </w:r>
      <w:r w:rsidR="003067B6" w:rsidRPr="00DE2EDF">
        <w:rPr>
          <w:rFonts w:eastAsia="Times New Roman" w:cs="Times New Roman"/>
          <w:lang w:val="en-GB"/>
        </w:rPr>
        <w:t>ules</w:t>
      </w:r>
      <w:r w:rsidRPr="00DE2EDF">
        <w:rPr>
          <w:rFonts w:eastAsia="Times New Roman" w:cs="Times New Roman"/>
          <w:iCs/>
          <w:lang w:val="en-GB"/>
        </w:rPr>
        <w:t xml:space="preserve"> (law is precise</w:t>
      </w:r>
      <w:r w:rsidR="003067B6" w:rsidRPr="00DE2EDF">
        <w:rPr>
          <w:rFonts w:eastAsia="Times New Roman" w:cs="Times New Roman"/>
          <w:iCs/>
          <w:lang w:val="en-GB"/>
        </w:rPr>
        <w:t xml:space="preserve"> and</w:t>
      </w:r>
      <w:r w:rsidRPr="00DE2EDF">
        <w:rPr>
          <w:rFonts w:eastAsia="Times New Roman" w:cs="Times New Roman"/>
          <w:iCs/>
          <w:lang w:val="en-GB"/>
        </w:rPr>
        <w:t xml:space="preserve"> sharp-edged), </w:t>
      </w:r>
      <w:r w:rsidR="003067B6" w:rsidRPr="00DE2EDF">
        <w:rPr>
          <w:rFonts w:eastAsia="Times New Roman" w:cs="Times New Roman"/>
          <w:iCs/>
          <w:lang w:val="en-GB"/>
        </w:rPr>
        <w:t xml:space="preserve">principles such as human rights are, in effect, denied the nature of legal norms despite the fact that they are </w:t>
      </w:r>
      <w:r w:rsidR="0078331E" w:rsidRPr="00DE2EDF">
        <w:rPr>
          <w:rFonts w:eastAsia="Times New Roman" w:cs="Times New Roman"/>
          <w:iCs/>
          <w:lang w:val="en-GB"/>
        </w:rPr>
        <w:t>laid down</w:t>
      </w:r>
      <w:r w:rsidR="003067B6" w:rsidRPr="00DE2EDF">
        <w:rPr>
          <w:rFonts w:eastAsia="Times New Roman" w:cs="Times New Roman"/>
          <w:iCs/>
          <w:lang w:val="en-GB"/>
        </w:rPr>
        <w:t xml:space="preserve"> in a text </w:t>
      </w:r>
      <w:r w:rsidR="0078331E" w:rsidRPr="00DE2EDF">
        <w:rPr>
          <w:rFonts w:eastAsia="Times New Roman" w:cs="Times New Roman"/>
          <w:iCs/>
          <w:lang w:val="en-GB"/>
        </w:rPr>
        <w:t>belonging to</w:t>
      </w:r>
      <w:r w:rsidR="003067B6" w:rsidRPr="00DE2EDF">
        <w:rPr>
          <w:rFonts w:eastAsia="Times New Roman" w:cs="Times New Roman"/>
          <w:iCs/>
          <w:lang w:val="en-GB"/>
        </w:rPr>
        <w:t xml:space="preserve"> positive law</w:t>
      </w:r>
      <w:bookmarkStart w:id="308" w:name="_ftnref155"/>
      <w:r w:rsidRPr="00DE2EDF">
        <w:rPr>
          <w:rFonts w:eastAsia="Times New Roman" w:cs="Times New Roman"/>
          <w:iCs/>
          <w:lang w:val="en-GB"/>
        </w:rPr>
        <w:t>.</w:t>
      </w:r>
      <w:r w:rsidRPr="00DE2EDF">
        <w:rPr>
          <w:rStyle w:val="FootnoteReference"/>
          <w:rFonts w:eastAsia="Times New Roman" w:cs="Times New Roman"/>
          <w:iCs/>
          <w:lang w:val="en-GB"/>
        </w:rPr>
        <w:footnoteReference w:id="190"/>
      </w:r>
      <w:r w:rsidRPr="00DE2EDF">
        <w:rPr>
          <w:rFonts w:eastAsia="Times New Roman" w:cs="Times New Roman"/>
          <w:iCs/>
          <w:lang w:val="en-GB"/>
        </w:rPr>
        <w:t xml:space="preserve"> </w:t>
      </w:r>
      <w:bookmarkEnd w:id="308"/>
      <w:r w:rsidR="003067B6" w:rsidRPr="00DE2EDF">
        <w:rPr>
          <w:rFonts w:eastAsia="Times New Roman" w:cs="Times New Roman"/>
          <w:iCs/>
          <w:lang w:val="en-GB"/>
        </w:rPr>
        <w:t>Thus, fundamental</w:t>
      </w:r>
      <w:r w:rsidRPr="00DE2EDF">
        <w:rPr>
          <w:rFonts w:eastAsia="Times New Roman" w:cs="Times New Roman"/>
          <w:iCs/>
          <w:lang w:val="en-GB"/>
        </w:rPr>
        <w:t xml:space="preserve"> rights</w:t>
      </w:r>
      <w:r w:rsidR="003067B6" w:rsidRPr="00DE2EDF">
        <w:rPr>
          <w:rFonts w:eastAsia="Times New Roman" w:cs="Times New Roman"/>
          <w:iCs/>
          <w:lang w:val="en-GB"/>
        </w:rPr>
        <w:t xml:space="preserve"> </w:t>
      </w:r>
      <w:r w:rsidR="00955E5B" w:rsidRPr="00DE2EDF">
        <w:rPr>
          <w:rFonts w:eastAsia="Times New Roman" w:cs="Times New Roman"/>
          <w:iCs/>
          <w:lang w:val="en-GB"/>
        </w:rPr>
        <w:t xml:space="preserve">enshrined </w:t>
      </w:r>
      <w:r w:rsidR="003067B6" w:rsidRPr="00DE2EDF">
        <w:rPr>
          <w:rFonts w:eastAsia="Times New Roman" w:cs="Times New Roman"/>
          <w:iCs/>
          <w:lang w:val="en-GB"/>
        </w:rPr>
        <w:t>in the Constitution</w:t>
      </w:r>
      <w:r w:rsidRPr="00DE2EDF">
        <w:rPr>
          <w:rFonts w:eastAsia="Times New Roman" w:cs="Times New Roman"/>
          <w:iCs/>
          <w:lang w:val="en-GB"/>
        </w:rPr>
        <w:t xml:space="preserve"> are </w:t>
      </w:r>
      <w:r w:rsidR="003067B6" w:rsidRPr="00DE2EDF">
        <w:rPr>
          <w:rFonts w:eastAsia="Times New Roman" w:cs="Times New Roman"/>
          <w:iCs/>
          <w:lang w:val="en-GB"/>
        </w:rPr>
        <w:t xml:space="preserve">considered to be </w:t>
      </w:r>
      <w:r w:rsidRPr="00DE2EDF">
        <w:rPr>
          <w:rFonts w:eastAsia="Times New Roman" w:cs="Times New Roman"/>
          <w:iCs/>
          <w:lang w:val="en-GB"/>
        </w:rPr>
        <w:t xml:space="preserve">only </w:t>
      </w:r>
      <w:r w:rsidR="00530E16" w:rsidRPr="00DE2EDF">
        <w:rPr>
          <w:rFonts w:eastAsia="Times New Roman" w:cs="Times New Roman"/>
          <w:iCs/>
          <w:lang w:val="en-GB"/>
        </w:rPr>
        <w:t>‘</w:t>
      </w:r>
      <w:r w:rsidRPr="00DE2EDF">
        <w:rPr>
          <w:rFonts w:eastAsia="Times New Roman" w:cs="Times New Roman"/>
          <w:iCs/>
          <w:lang w:val="en-GB"/>
        </w:rPr>
        <w:t>programmatic</w:t>
      </w:r>
      <w:r w:rsidR="00530E16" w:rsidRPr="00DE2EDF">
        <w:rPr>
          <w:rFonts w:eastAsia="Times New Roman" w:cs="Times New Roman"/>
          <w:iCs/>
          <w:lang w:val="en-GB"/>
        </w:rPr>
        <w:t>’</w:t>
      </w:r>
      <w:r w:rsidRPr="00DE2EDF">
        <w:rPr>
          <w:rFonts w:eastAsia="Times New Roman" w:cs="Times New Roman"/>
          <w:iCs/>
          <w:lang w:val="en-GB"/>
        </w:rPr>
        <w:t xml:space="preserve"> or </w:t>
      </w:r>
      <w:r w:rsidR="00530E16" w:rsidRPr="00DE2EDF">
        <w:rPr>
          <w:rFonts w:eastAsia="Times New Roman" w:cs="Times New Roman"/>
          <w:iCs/>
          <w:lang w:val="en-GB"/>
        </w:rPr>
        <w:t>‘</w:t>
      </w:r>
      <w:r w:rsidRPr="00DE2EDF">
        <w:rPr>
          <w:rFonts w:eastAsia="Times New Roman" w:cs="Times New Roman"/>
          <w:iCs/>
          <w:lang w:val="en-GB"/>
        </w:rPr>
        <w:t>political</w:t>
      </w:r>
      <w:r w:rsidR="00530E16" w:rsidRPr="00DE2EDF">
        <w:rPr>
          <w:rFonts w:eastAsia="Times New Roman" w:cs="Times New Roman"/>
          <w:iCs/>
          <w:lang w:val="en-GB"/>
        </w:rPr>
        <w:t>’</w:t>
      </w:r>
      <w:r w:rsidRPr="00DE2EDF">
        <w:rPr>
          <w:rFonts w:eastAsia="Times New Roman" w:cs="Times New Roman"/>
          <w:iCs/>
          <w:lang w:val="en-GB"/>
        </w:rPr>
        <w:t xml:space="preserve"> standards</w:t>
      </w:r>
      <w:r w:rsidR="0048163B" w:rsidRPr="00DE2EDF">
        <w:rPr>
          <w:rFonts w:eastAsia="Times New Roman" w:cs="Times New Roman"/>
          <w:iCs/>
          <w:lang w:val="en-GB"/>
        </w:rPr>
        <w:t>,</w:t>
      </w:r>
      <w:r w:rsidR="00EA11D3" w:rsidRPr="00DE2EDF">
        <w:rPr>
          <w:rFonts w:eastAsia="Times New Roman" w:cs="Times New Roman"/>
          <w:iCs/>
          <w:lang w:val="en-GB"/>
        </w:rPr>
        <w:t xml:space="preserve"> which are not </w:t>
      </w:r>
      <w:r w:rsidRPr="00DE2EDF">
        <w:rPr>
          <w:rFonts w:eastAsia="Times New Roman" w:cs="Times New Roman"/>
          <w:iCs/>
          <w:lang w:val="en-GB"/>
        </w:rPr>
        <w:t>justiciable</w:t>
      </w:r>
      <w:r w:rsidR="003067B6" w:rsidRPr="00DE2EDF">
        <w:rPr>
          <w:rFonts w:eastAsia="Times New Roman" w:cs="Times New Roman"/>
          <w:iCs/>
          <w:lang w:val="en-GB"/>
        </w:rPr>
        <w:t xml:space="preserve"> </w:t>
      </w:r>
      <w:r w:rsidR="008F7C68" w:rsidRPr="00DE2EDF">
        <w:rPr>
          <w:rFonts w:eastAsia="Times New Roman" w:cs="Times New Roman"/>
          <w:iCs/>
          <w:lang w:val="en-GB"/>
        </w:rPr>
        <w:t xml:space="preserve">vis-à-vis </w:t>
      </w:r>
      <w:r w:rsidR="003067B6" w:rsidRPr="00DE2EDF">
        <w:rPr>
          <w:rFonts w:eastAsia="Times New Roman" w:cs="Times New Roman"/>
          <w:iCs/>
          <w:lang w:val="en-GB"/>
        </w:rPr>
        <w:t xml:space="preserve">Parliament. </w:t>
      </w:r>
      <w:r w:rsidR="004F39E2" w:rsidRPr="00DE2EDF">
        <w:rPr>
          <w:rFonts w:eastAsia="Times New Roman" w:cs="Times New Roman"/>
          <w:iCs/>
          <w:lang w:val="en-GB"/>
        </w:rPr>
        <w:t>When raised i</w:t>
      </w:r>
      <w:r w:rsidR="0048163B" w:rsidRPr="00DE2EDF">
        <w:rPr>
          <w:rFonts w:eastAsia="Times New Roman" w:cs="Times New Roman"/>
          <w:iCs/>
          <w:lang w:val="en-GB"/>
        </w:rPr>
        <w:t>n</w:t>
      </w:r>
      <w:r w:rsidR="009D30FA" w:rsidRPr="00DE2EDF">
        <w:rPr>
          <w:rFonts w:eastAsia="Times New Roman" w:cs="Times New Roman"/>
          <w:iCs/>
          <w:lang w:val="en-GB"/>
        </w:rPr>
        <w:t xml:space="preserve"> the context of</w:t>
      </w:r>
      <w:r w:rsidR="0048163B" w:rsidRPr="00DE2EDF">
        <w:rPr>
          <w:rFonts w:eastAsia="Times New Roman" w:cs="Times New Roman"/>
          <w:iCs/>
          <w:lang w:val="en-GB"/>
        </w:rPr>
        <w:t xml:space="preserve"> judicial review of administrative acts, </w:t>
      </w:r>
      <w:r w:rsidR="00EA11D3" w:rsidRPr="00DE2EDF">
        <w:rPr>
          <w:rFonts w:eastAsia="Times New Roman" w:cs="Times New Roman"/>
          <w:iCs/>
          <w:lang w:val="en-GB"/>
        </w:rPr>
        <w:t xml:space="preserve">the </w:t>
      </w:r>
      <w:r w:rsidR="004F39E2" w:rsidRPr="00DE2EDF">
        <w:rPr>
          <w:rFonts w:eastAsia="Times New Roman" w:cs="Times New Roman"/>
          <w:iCs/>
          <w:lang w:val="en-GB"/>
        </w:rPr>
        <w:t xml:space="preserve">fundamental </w:t>
      </w:r>
      <w:r w:rsidR="0048163B" w:rsidRPr="00DE2EDF">
        <w:rPr>
          <w:rFonts w:eastAsia="Times New Roman" w:cs="Times New Roman"/>
          <w:iCs/>
          <w:lang w:val="en-GB"/>
        </w:rPr>
        <w:t xml:space="preserve">rights discourse </w:t>
      </w:r>
      <w:r w:rsidR="0078331E" w:rsidRPr="00DE2EDF">
        <w:rPr>
          <w:rFonts w:eastAsia="Times New Roman" w:cs="Times New Roman"/>
          <w:iCs/>
          <w:lang w:val="en-GB"/>
        </w:rPr>
        <w:t>is</w:t>
      </w:r>
      <w:r w:rsidR="0048163B" w:rsidRPr="00DE2EDF">
        <w:rPr>
          <w:rFonts w:eastAsia="Times New Roman" w:cs="Times New Roman"/>
          <w:iCs/>
          <w:lang w:val="en-GB"/>
        </w:rPr>
        <w:t xml:space="preserve"> </w:t>
      </w:r>
      <w:r w:rsidR="0078331E" w:rsidRPr="00DE2EDF">
        <w:rPr>
          <w:rFonts w:eastAsia="Times New Roman" w:cs="Times New Roman"/>
          <w:iCs/>
          <w:lang w:val="en-GB"/>
        </w:rPr>
        <w:t>deemed</w:t>
      </w:r>
      <w:r w:rsidR="0048163B" w:rsidRPr="00DE2EDF">
        <w:rPr>
          <w:rFonts w:eastAsia="Times New Roman" w:cs="Times New Roman"/>
          <w:iCs/>
          <w:lang w:val="en-GB"/>
        </w:rPr>
        <w:t xml:space="preserve"> to be addressed </w:t>
      </w:r>
      <w:r w:rsidR="00352049" w:rsidRPr="00DE2EDF">
        <w:rPr>
          <w:rFonts w:eastAsia="Times New Roman" w:cs="Times New Roman"/>
          <w:iCs/>
          <w:lang w:val="en-GB"/>
        </w:rPr>
        <w:t xml:space="preserve">only </w:t>
      </w:r>
      <w:r w:rsidR="0048163B" w:rsidRPr="00DE2EDF">
        <w:rPr>
          <w:rFonts w:eastAsia="Times New Roman" w:cs="Times New Roman"/>
          <w:iCs/>
          <w:lang w:val="en-GB"/>
        </w:rPr>
        <w:t>to Parliament and not to administrati</w:t>
      </w:r>
      <w:r w:rsidR="009D30FA" w:rsidRPr="00DE2EDF">
        <w:rPr>
          <w:rFonts w:eastAsia="Times New Roman" w:cs="Times New Roman"/>
          <w:iCs/>
          <w:lang w:val="en-GB"/>
        </w:rPr>
        <w:t>ve authorities</w:t>
      </w:r>
      <w:r w:rsidR="0048163B" w:rsidRPr="00DE2EDF">
        <w:rPr>
          <w:rFonts w:eastAsia="Times New Roman" w:cs="Times New Roman"/>
          <w:iCs/>
          <w:lang w:val="en-GB"/>
        </w:rPr>
        <w:t xml:space="preserve"> </w:t>
      </w:r>
      <w:r w:rsidR="009D30FA" w:rsidRPr="00DE2EDF">
        <w:rPr>
          <w:rFonts w:eastAsia="Times New Roman" w:cs="Times New Roman"/>
          <w:iCs/>
          <w:lang w:val="en-GB"/>
        </w:rPr>
        <w:t>and</w:t>
      </w:r>
      <w:r w:rsidR="00352049" w:rsidRPr="00DE2EDF">
        <w:rPr>
          <w:rFonts w:eastAsia="Times New Roman" w:cs="Times New Roman"/>
          <w:iCs/>
          <w:lang w:val="en-GB"/>
        </w:rPr>
        <w:t xml:space="preserve"> </w:t>
      </w:r>
      <w:r w:rsidR="0048163B" w:rsidRPr="00DE2EDF">
        <w:rPr>
          <w:rFonts w:eastAsia="Times New Roman" w:cs="Times New Roman"/>
          <w:iCs/>
          <w:lang w:val="en-GB"/>
        </w:rPr>
        <w:t xml:space="preserve">individuals. This attitude, which </w:t>
      </w:r>
      <w:r w:rsidR="00352049" w:rsidRPr="00DE2EDF">
        <w:rPr>
          <w:rFonts w:eastAsia="Times New Roman" w:cs="Times New Roman"/>
          <w:iCs/>
          <w:lang w:val="en-GB"/>
        </w:rPr>
        <w:t xml:space="preserve">had </w:t>
      </w:r>
      <w:r w:rsidR="0048163B" w:rsidRPr="00DE2EDF">
        <w:rPr>
          <w:rFonts w:eastAsia="Times New Roman" w:cs="Times New Roman"/>
          <w:iCs/>
          <w:lang w:val="en-GB"/>
        </w:rPr>
        <w:t xml:space="preserve">been very influential in many countries </w:t>
      </w:r>
      <w:r w:rsidR="00EA11D3" w:rsidRPr="00DE2EDF">
        <w:rPr>
          <w:rFonts w:eastAsia="Times New Roman" w:cs="Times New Roman"/>
          <w:iCs/>
          <w:lang w:val="en-GB"/>
        </w:rPr>
        <w:t>during</w:t>
      </w:r>
      <w:r w:rsidR="0048163B" w:rsidRPr="00DE2EDF">
        <w:rPr>
          <w:rFonts w:eastAsia="Times New Roman" w:cs="Times New Roman"/>
          <w:iCs/>
          <w:lang w:val="en-GB"/>
        </w:rPr>
        <w:t xml:space="preserve"> </w:t>
      </w:r>
      <w:r w:rsidR="00B53C19">
        <w:rPr>
          <w:rFonts w:eastAsia="Times New Roman" w:cs="Times New Roman"/>
          <w:iCs/>
          <w:lang w:val="en-GB"/>
        </w:rPr>
        <w:t xml:space="preserve">the </w:t>
      </w:r>
      <w:r w:rsidR="003F3A10" w:rsidRPr="00DE2EDF">
        <w:rPr>
          <w:rFonts w:eastAsia="Times New Roman" w:cs="Times New Roman"/>
          <w:iCs/>
          <w:lang w:val="en-GB"/>
        </w:rPr>
        <w:t>nineteenth</w:t>
      </w:r>
      <w:r w:rsidR="0048163B" w:rsidRPr="00DE2EDF">
        <w:rPr>
          <w:rFonts w:eastAsia="Times New Roman" w:cs="Times New Roman"/>
          <w:iCs/>
          <w:lang w:val="en-GB"/>
        </w:rPr>
        <w:t xml:space="preserve"> century and in the first half of </w:t>
      </w:r>
      <w:r w:rsidR="007D427F" w:rsidRPr="00DE2EDF">
        <w:rPr>
          <w:rFonts w:eastAsia="Times New Roman" w:cs="Times New Roman"/>
          <w:iCs/>
          <w:lang w:val="en-GB"/>
        </w:rPr>
        <w:t xml:space="preserve">the </w:t>
      </w:r>
      <w:r w:rsidR="003F3A10" w:rsidRPr="00DE2EDF">
        <w:rPr>
          <w:rFonts w:eastAsia="Times New Roman" w:cs="Times New Roman"/>
          <w:iCs/>
          <w:lang w:val="en-GB"/>
        </w:rPr>
        <w:t>twentieth</w:t>
      </w:r>
      <w:r w:rsidR="0048163B" w:rsidRPr="00DE2EDF">
        <w:rPr>
          <w:rFonts w:eastAsia="Times New Roman" w:cs="Times New Roman"/>
          <w:iCs/>
          <w:lang w:val="en-GB"/>
        </w:rPr>
        <w:t xml:space="preserve"> century, has been progressively </w:t>
      </w:r>
      <w:r w:rsidRPr="00DE2EDF">
        <w:rPr>
          <w:rFonts w:eastAsia="Times New Roman" w:cs="Times New Roman"/>
          <w:iCs/>
          <w:lang w:val="en-GB"/>
        </w:rPr>
        <w:t xml:space="preserve">abandoned in </w:t>
      </w:r>
      <w:r w:rsidR="0048163B" w:rsidRPr="00DE2EDF">
        <w:rPr>
          <w:rFonts w:eastAsia="Times New Roman" w:cs="Times New Roman"/>
          <w:iCs/>
          <w:lang w:val="en-GB"/>
        </w:rPr>
        <w:t xml:space="preserve">almost </w:t>
      </w:r>
      <w:r w:rsidRPr="00DE2EDF">
        <w:rPr>
          <w:rFonts w:eastAsia="Times New Roman" w:cs="Times New Roman"/>
          <w:iCs/>
          <w:lang w:val="en-GB"/>
        </w:rPr>
        <w:t>all E</w:t>
      </w:r>
      <w:r w:rsidR="0048163B" w:rsidRPr="00DE2EDF">
        <w:rPr>
          <w:rFonts w:eastAsia="Times New Roman" w:cs="Times New Roman"/>
          <w:iCs/>
          <w:lang w:val="en-GB"/>
        </w:rPr>
        <w:t>uropean count</w:t>
      </w:r>
      <w:r w:rsidRPr="00DE2EDF">
        <w:rPr>
          <w:rFonts w:eastAsia="Times New Roman" w:cs="Times New Roman"/>
          <w:iCs/>
          <w:lang w:val="en-GB"/>
        </w:rPr>
        <w:t xml:space="preserve">ries, as it was </w:t>
      </w:r>
      <w:r w:rsidR="00B70212" w:rsidRPr="00DE2EDF">
        <w:rPr>
          <w:rFonts w:eastAsia="Times New Roman" w:cs="Times New Roman"/>
          <w:iCs/>
          <w:lang w:val="en-GB"/>
        </w:rPr>
        <w:t xml:space="preserve">excluded either by an explicit provision of the </w:t>
      </w:r>
      <w:r w:rsidRPr="00DE2EDF">
        <w:rPr>
          <w:rFonts w:eastAsia="Times New Roman" w:cs="Times New Roman"/>
          <w:iCs/>
          <w:lang w:val="en-GB"/>
        </w:rPr>
        <w:t xml:space="preserve">Constitution </w:t>
      </w:r>
      <w:r w:rsidR="00B70212" w:rsidRPr="00DE2EDF">
        <w:rPr>
          <w:rFonts w:eastAsia="Times New Roman" w:cs="Times New Roman"/>
          <w:iCs/>
          <w:lang w:val="en-GB"/>
        </w:rPr>
        <w:t>itself</w:t>
      </w:r>
      <w:r w:rsidRPr="00DE2EDF">
        <w:rPr>
          <w:rFonts w:eastAsia="Times New Roman" w:cs="Times New Roman"/>
          <w:iCs/>
          <w:lang w:val="en-GB"/>
        </w:rPr>
        <w:t xml:space="preserve"> (</w:t>
      </w:r>
      <w:r w:rsidR="00B70212" w:rsidRPr="00DE2EDF">
        <w:rPr>
          <w:rFonts w:eastAsia="Times New Roman" w:cs="Times New Roman"/>
          <w:iCs/>
          <w:lang w:val="en-GB"/>
        </w:rPr>
        <w:t>especially in those countries with a dictatorial experience: see</w:t>
      </w:r>
      <w:r w:rsidRPr="00DE2EDF">
        <w:rPr>
          <w:rFonts w:eastAsia="Times New Roman" w:cs="Times New Roman"/>
          <w:iCs/>
          <w:lang w:val="en-GB"/>
        </w:rPr>
        <w:t xml:space="preserve"> </w:t>
      </w:r>
      <w:r w:rsidR="000C3C3E" w:rsidRPr="00DE2EDF">
        <w:rPr>
          <w:rFonts w:eastAsia="Times New Roman" w:cs="Times New Roman"/>
          <w:iCs/>
          <w:lang w:val="en-GB"/>
        </w:rPr>
        <w:t>a</w:t>
      </w:r>
      <w:r w:rsidR="009C3302" w:rsidRPr="00DE2EDF">
        <w:rPr>
          <w:rFonts w:eastAsia="Times New Roman" w:cs="Times New Roman"/>
          <w:iCs/>
          <w:lang w:val="en-GB"/>
        </w:rPr>
        <w:t>rticle 1</w:t>
      </w:r>
      <w:r w:rsidRPr="00DE2EDF">
        <w:rPr>
          <w:rFonts w:eastAsia="Times New Roman" w:cs="Times New Roman"/>
          <w:iCs/>
          <w:lang w:val="en-GB"/>
        </w:rPr>
        <w:t xml:space="preserve"> para 3 of the German </w:t>
      </w:r>
      <w:r w:rsidR="00B70212" w:rsidRPr="00DE2EDF">
        <w:rPr>
          <w:rFonts w:eastAsia="Times New Roman" w:cs="Times New Roman"/>
          <w:i/>
          <w:iCs/>
          <w:lang w:val="en-GB"/>
        </w:rPr>
        <w:t>Grundgesetz</w:t>
      </w:r>
      <w:r w:rsidRPr="00DE2EDF">
        <w:rPr>
          <w:rFonts w:eastAsia="Times New Roman" w:cs="Times New Roman"/>
          <w:iCs/>
          <w:lang w:val="en-GB"/>
        </w:rPr>
        <w:t xml:space="preserve">; </w:t>
      </w:r>
      <w:r w:rsidR="000C3C3E" w:rsidRPr="00DE2EDF">
        <w:rPr>
          <w:rFonts w:eastAsia="Times New Roman" w:cs="Times New Roman"/>
          <w:iCs/>
          <w:lang w:val="en-GB"/>
        </w:rPr>
        <w:t>articles 3 and 18 of the Portuguese Constitution of 1976; a</w:t>
      </w:r>
      <w:r w:rsidRPr="00DE2EDF">
        <w:rPr>
          <w:rFonts w:eastAsia="Times New Roman" w:cs="Times New Roman"/>
          <w:iCs/>
          <w:lang w:val="en-GB"/>
        </w:rPr>
        <w:t xml:space="preserve">rticle 53 of the Spanish Constitution of 1978; and </w:t>
      </w:r>
      <w:r w:rsidR="000C3C3E" w:rsidRPr="00DE2EDF">
        <w:rPr>
          <w:rFonts w:eastAsia="Times New Roman" w:cs="Times New Roman"/>
          <w:iCs/>
          <w:lang w:val="en-GB"/>
        </w:rPr>
        <w:t>a</w:t>
      </w:r>
      <w:r w:rsidRPr="00DE2EDF">
        <w:rPr>
          <w:rFonts w:eastAsia="Times New Roman" w:cs="Times New Roman"/>
          <w:iCs/>
          <w:lang w:val="en-GB"/>
        </w:rPr>
        <w:t>rticle 8 para 2 of the Polish Constitution of 1997)</w:t>
      </w:r>
      <w:r w:rsidR="00B70212" w:rsidRPr="00DE2EDF">
        <w:rPr>
          <w:rFonts w:eastAsia="Times New Roman" w:cs="Times New Roman"/>
          <w:iCs/>
          <w:lang w:val="en-GB"/>
        </w:rPr>
        <w:t xml:space="preserve">, by a decision of </w:t>
      </w:r>
      <w:r w:rsidRPr="00DE2EDF">
        <w:rPr>
          <w:rFonts w:eastAsia="Times New Roman" w:cs="Times New Roman"/>
          <w:iCs/>
          <w:lang w:val="en-GB"/>
        </w:rPr>
        <w:t>the national Constitutional Court</w:t>
      </w:r>
      <w:bookmarkStart w:id="309" w:name="_ftnref156"/>
      <w:r w:rsidR="00B70212" w:rsidRPr="00DE2EDF">
        <w:rPr>
          <w:rFonts w:eastAsia="Times New Roman" w:cs="Times New Roman"/>
          <w:iCs/>
          <w:lang w:val="en-GB"/>
        </w:rPr>
        <w:t xml:space="preserve"> (see the </w:t>
      </w:r>
      <w:r w:rsidR="00EA11D3" w:rsidRPr="00DE2EDF">
        <w:rPr>
          <w:rFonts w:eastAsia="Times New Roman" w:cs="Times New Roman"/>
          <w:iCs/>
          <w:lang w:val="en-GB"/>
        </w:rPr>
        <w:t>paradigmatic</w:t>
      </w:r>
      <w:r w:rsidR="00B70212" w:rsidRPr="00DE2EDF">
        <w:rPr>
          <w:rFonts w:eastAsia="Times New Roman" w:cs="Times New Roman"/>
          <w:iCs/>
          <w:lang w:val="en-GB"/>
        </w:rPr>
        <w:t xml:space="preserve"> case of Italy</w:t>
      </w:r>
      <w:r w:rsidRPr="00DE2EDF">
        <w:rPr>
          <w:rStyle w:val="FootnoteReference"/>
          <w:rFonts w:eastAsia="Times New Roman" w:cs="Times New Roman"/>
          <w:iCs/>
          <w:lang w:val="en-GB"/>
        </w:rPr>
        <w:footnoteReference w:id="191"/>
      </w:r>
      <w:bookmarkEnd w:id="309"/>
      <w:r w:rsidR="00B70212" w:rsidRPr="00DE2EDF">
        <w:rPr>
          <w:rFonts w:eastAsia="Times New Roman" w:cs="Times New Roman"/>
          <w:iCs/>
          <w:lang w:val="en-GB"/>
        </w:rPr>
        <w:t>) or by the case</w:t>
      </w:r>
      <w:r w:rsidR="00EA11D3" w:rsidRPr="00DE2EDF">
        <w:rPr>
          <w:rFonts w:eastAsia="Times New Roman" w:cs="Times New Roman"/>
          <w:iCs/>
          <w:lang w:val="en-GB"/>
        </w:rPr>
        <w:t xml:space="preserve"> law</w:t>
      </w:r>
      <w:r w:rsidR="00B70212" w:rsidRPr="00DE2EDF">
        <w:rPr>
          <w:rFonts w:eastAsia="Times New Roman" w:cs="Times New Roman"/>
          <w:iCs/>
          <w:lang w:val="en-GB"/>
        </w:rPr>
        <w:t xml:space="preserve"> </w:t>
      </w:r>
      <w:r w:rsidR="00B70212" w:rsidRPr="00DE2EDF">
        <w:rPr>
          <w:rFonts w:eastAsia="Times New Roman" w:cs="Times New Roman"/>
          <w:iCs/>
          <w:lang w:val="en-GB"/>
        </w:rPr>
        <w:lastRenderedPageBreak/>
        <w:t>of the European Court of Human Rights (</w:t>
      </w:r>
      <w:r w:rsidR="0078331E" w:rsidRPr="00DE2EDF">
        <w:rPr>
          <w:rFonts w:eastAsia="Times New Roman" w:cs="Times New Roman"/>
          <w:iCs/>
          <w:lang w:val="en-GB"/>
        </w:rPr>
        <w:t>this</w:t>
      </w:r>
      <w:r w:rsidR="00B70212" w:rsidRPr="00DE2EDF">
        <w:rPr>
          <w:rFonts w:eastAsia="Times New Roman" w:cs="Times New Roman"/>
          <w:iCs/>
          <w:lang w:val="en-GB"/>
        </w:rPr>
        <w:t xml:space="preserve"> spill</w:t>
      </w:r>
      <w:r w:rsidR="00352049" w:rsidRPr="00DE2EDF">
        <w:rPr>
          <w:rFonts w:eastAsia="Times New Roman" w:cs="Times New Roman"/>
          <w:iCs/>
          <w:lang w:val="en-GB"/>
        </w:rPr>
        <w:t>-</w:t>
      </w:r>
      <w:r w:rsidR="00B70212" w:rsidRPr="00DE2EDF">
        <w:rPr>
          <w:rFonts w:eastAsia="Times New Roman" w:cs="Times New Roman"/>
          <w:iCs/>
          <w:lang w:val="en-GB"/>
        </w:rPr>
        <w:t xml:space="preserve">over effect is visible particularly in Nordic countries where the scepticism against constitutional rights talk persisted </w:t>
      </w:r>
      <w:r w:rsidR="00352049" w:rsidRPr="00DE2EDF">
        <w:rPr>
          <w:rFonts w:eastAsia="Times New Roman" w:cs="Times New Roman"/>
          <w:iCs/>
          <w:lang w:val="en-GB"/>
        </w:rPr>
        <w:t>up un</w:t>
      </w:r>
      <w:r w:rsidR="00B70212" w:rsidRPr="00DE2EDF">
        <w:rPr>
          <w:rFonts w:eastAsia="Times New Roman" w:cs="Times New Roman"/>
          <w:iCs/>
          <w:lang w:val="en-GB"/>
        </w:rPr>
        <w:t xml:space="preserve">til the end of </w:t>
      </w:r>
      <w:r w:rsidR="00F13332">
        <w:rPr>
          <w:rFonts w:eastAsia="Times New Roman" w:cs="Times New Roman"/>
          <w:iCs/>
          <w:lang w:val="en-GB"/>
        </w:rPr>
        <w:t xml:space="preserve">the </w:t>
      </w:r>
      <w:r w:rsidR="003F3A10" w:rsidRPr="00DE2EDF">
        <w:rPr>
          <w:rFonts w:eastAsia="Times New Roman" w:cs="Times New Roman"/>
          <w:iCs/>
          <w:lang w:val="en-GB"/>
        </w:rPr>
        <w:t>twentieth</w:t>
      </w:r>
      <w:r w:rsidR="00B70212" w:rsidRPr="00DE2EDF">
        <w:rPr>
          <w:rFonts w:eastAsia="Times New Roman" w:cs="Times New Roman"/>
          <w:iCs/>
          <w:lang w:val="en-GB"/>
        </w:rPr>
        <w:t xml:space="preserve"> century). </w:t>
      </w:r>
      <w:r w:rsidR="00EA11D3" w:rsidRPr="00DE2EDF">
        <w:rPr>
          <w:rFonts w:eastAsia="Times New Roman" w:cs="Times New Roman"/>
          <w:iCs/>
          <w:lang w:val="en-GB"/>
        </w:rPr>
        <w:t>Nowadays</w:t>
      </w:r>
      <w:r w:rsidR="00B70212" w:rsidRPr="00DE2EDF">
        <w:rPr>
          <w:rFonts w:eastAsia="Times New Roman" w:cs="Times New Roman"/>
          <w:iCs/>
          <w:lang w:val="en-GB"/>
        </w:rPr>
        <w:t xml:space="preserve">, one may still observe such an attitude from time to time, </w:t>
      </w:r>
      <w:r w:rsidR="00EA11D3" w:rsidRPr="00DE2EDF">
        <w:rPr>
          <w:rFonts w:eastAsia="Times New Roman" w:cs="Times New Roman"/>
          <w:iCs/>
          <w:lang w:val="en-GB"/>
        </w:rPr>
        <w:t>when</w:t>
      </w:r>
      <w:r w:rsidR="00B70212" w:rsidRPr="00DE2EDF">
        <w:rPr>
          <w:rFonts w:eastAsia="Times New Roman" w:cs="Times New Roman"/>
          <w:iCs/>
          <w:lang w:val="en-GB"/>
        </w:rPr>
        <w:t xml:space="preserve"> </w:t>
      </w:r>
      <w:r w:rsidR="00556BEE" w:rsidRPr="00DE2EDF">
        <w:rPr>
          <w:rFonts w:eastAsia="Times New Roman" w:cs="Times New Roman"/>
          <w:iCs/>
          <w:lang w:val="en-GB"/>
        </w:rPr>
        <w:t>advocates</w:t>
      </w:r>
      <w:r w:rsidR="00B70212" w:rsidRPr="00DE2EDF">
        <w:rPr>
          <w:rFonts w:eastAsia="Times New Roman" w:cs="Times New Roman"/>
          <w:iCs/>
          <w:lang w:val="en-GB"/>
        </w:rPr>
        <w:t xml:space="preserve"> </w:t>
      </w:r>
      <w:r w:rsidR="00EA11D3" w:rsidRPr="00DE2EDF">
        <w:rPr>
          <w:rFonts w:eastAsia="Times New Roman" w:cs="Times New Roman"/>
          <w:iCs/>
          <w:lang w:val="en-GB"/>
        </w:rPr>
        <w:t>and</w:t>
      </w:r>
      <w:r w:rsidR="00B70212" w:rsidRPr="00DE2EDF">
        <w:rPr>
          <w:rFonts w:eastAsia="Times New Roman" w:cs="Times New Roman"/>
          <w:iCs/>
          <w:lang w:val="en-GB"/>
        </w:rPr>
        <w:t xml:space="preserve"> judges consider some</w:t>
      </w:r>
      <w:r w:rsidR="00397E4D" w:rsidRPr="00DE2EDF">
        <w:rPr>
          <w:rFonts w:eastAsia="Times New Roman" w:cs="Times New Roman"/>
          <w:iCs/>
          <w:lang w:val="en-GB"/>
        </w:rPr>
        <w:t xml:space="preserve"> very abstract constitutional principles </w:t>
      </w:r>
      <w:r w:rsidR="0078331E" w:rsidRPr="00DE2EDF">
        <w:rPr>
          <w:rFonts w:eastAsia="Times New Roman" w:cs="Times New Roman"/>
          <w:iCs/>
          <w:lang w:val="en-GB"/>
        </w:rPr>
        <w:t>to be</w:t>
      </w:r>
      <w:r w:rsidR="00397E4D" w:rsidRPr="00DE2EDF">
        <w:rPr>
          <w:rFonts w:eastAsia="Times New Roman" w:cs="Times New Roman"/>
          <w:iCs/>
          <w:lang w:val="en-GB"/>
        </w:rPr>
        <w:t xml:space="preserve"> </w:t>
      </w:r>
      <w:r w:rsidR="00397E4D" w:rsidRPr="00DE2EDF">
        <w:rPr>
          <w:rFonts w:eastAsia="Times New Roman" w:cs="Times New Roman"/>
          <w:i/>
          <w:iCs/>
          <w:lang w:val="en-GB"/>
        </w:rPr>
        <w:t>too</w:t>
      </w:r>
      <w:r w:rsidR="00397E4D" w:rsidRPr="00DE2EDF">
        <w:rPr>
          <w:rFonts w:eastAsia="Times New Roman" w:cs="Times New Roman"/>
          <w:iCs/>
          <w:lang w:val="en-GB"/>
        </w:rPr>
        <w:t xml:space="preserve"> abstract</w:t>
      </w:r>
      <w:r w:rsidR="009C3302" w:rsidRPr="00DE2EDF">
        <w:rPr>
          <w:rFonts w:eastAsia="Times New Roman" w:cs="Times New Roman"/>
          <w:iCs/>
          <w:lang w:val="en-GB"/>
        </w:rPr>
        <w:t>.</w:t>
      </w:r>
      <w:r w:rsidR="00397E4D" w:rsidRPr="00DE2EDF">
        <w:rPr>
          <w:rStyle w:val="FootnoteReference"/>
          <w:rFonts w:eastAsia="Times New Roman" w:cs="Times New Roman"/>
          <w:iCs/>
          <w:lang w:val="en-GB"/>
        </w:rPr>
        <w:footnoteReference w:id="192"/>
      </w:r>
      <w:r w:rsidR="009C3302" w:rsidRPr="00DE2EDF">
        <w:rPr>
          <w:rFonts w:eastAsia="Times New Roman" w:cs="Times New Roman"/>
          <w:iCs/>
          <w:lang w:val="en-GB"/>
        </w:rPr>
        <w:t xml:space="preserve"> </w:t>
      </w:r>
      <w:r w:rsidR="00EA11D3" w:rsidRPr="00DE2EDF">
        <w:rPr>
          <w:rFonts w:eastAsia="Times New Roman" w:cs="Times New Roman"/>
          <w:iCs/>
          <w:lang w:val="en-GB"/>
        </w:rPr>
        <w:t>S</w:t>
      </w:r>
      <w:r w:rsidR="00556BEE" w:rsidRPr="00DE2EDF">
        <w:rPr>
          <w:rFonts w:eastAsia="Times New Roman" w:cs="Times New Roman"/>
          <w:iCs/>
          <w:lang w:val="en-GB"/>
        </w:rPr>
        <w:t>ocial and economic rights</w:t>
      </w:r>
      <w:r w:rsidR="00EA11D3" w:rsidRPr="00DE2EDF">
        <w:rPr>
          <w:rFonts w:eastAsia="Times New Roman" w:cs="Times New Roman"/>
          <w:iCs/>
          <w:lang w:val="en-GB"/>
        </w:rPr>
        <w:t xml:space="preserve"> are particularly concerned, as their</w:t>
      </w:r>
      <w:r w:rsidR="00556BEE" w:rsidRPr="00DE2EDF">
        <w:rPr>
          <w:rFonts w:eastAsia="Times New Roman" w:cs="Times New Roman"/>
          <w:iCs/>
          <w:lang w:val="en-GB"/>
        </w:rPr>
        <w:t xml:space="preserve"> justiciability is still controversial</w:t>
      </w:r>
      <w:r w:rsidR="00397E4D" w:rsidRPr="00DE2EDF">
        <w:rPr>
          <w:rFonts w:eastAsia="Times New Roman" w:cs="Times New Roman"/>
          <w:iCs/>
          <w:lang w:val="en-GB"/>
        </w:rPr>
        <w:t>.</w:t>
      </w:r>
      <w:r w:rsidR="0048163B" w:rsidRPr="00DE2EDF">
        <w:rPr>
          <w:rFonts w:eastAsia="Times New Roman" w:cs="Times New Roman"/>
          <w:iCs/>
          <w:lang w:val="en-GB"/>
        </w:rPr>
        <w:t xml:space="preserve"> </w:t>
      </w:r>
    </w:p>
    <w:p w14:paraId="5EDE0994" w14:textId="77777777" w:rsidR="000F4C26" w:rsidRPr="00DE2EDF" w:rsidRDefault="000F4C26" w:rsidP="00DE2EDF">
      <w:pPr>
        <w:spacing w:after="0"/>
        <w:jc w:val="both"/>
        <w:rPr>
          <w:rFonts w:eastAsia="Times New Roman" w:cs="Times New Roman"/>
          <w:iCs/>
          <w:lang w:val="en-GB"/>
        </w:rPr>
      </w:pPr>
    </w:p>
    <w:p w14:paraId="07225CA5" w14:textId="77777777" w:rsidR="003472F3" w:rsidRPr="00DE2EDF" w:rsidRDefault="00B91451" w:rsidP="00DE2EDF">
      <w:pPr>
        <w:spacing w:after="0"/>
        <w:jc w:val="both"/>
        <w:rPr>
          <w:rFonts w:eastAsia="Times New Roman" w:cs="Times New Roman"/>
          <w:iCs/>
          <w:lang w:val="en-GB"/>
        </w:rPr>
      </w:pPr>
      <w:r w:rsidRPr="00DE2EDF">
        <w:rPr>
          <w:rFonts w:eastAsia="Times New Roman" w:cs="Times New Roman"/>
          <w:iCs/>
          <w:lang w:val="en-GB"/>
        </w:rPr>
        <w:t xml:space="preserve">Apart from the latter aspect, </w:t>
      </w:r>
      <w:r w:rsidR="003472F3" w:rsidRPr="00DE2EDF">
        <w:rPr>
          <w:rFonts w:eastAsia="Times New Roman" w:cs="Times New Roman"/>
          <w:iCs/>
          <w:lang w:val="en-GB"/>
        </w:rPr>
        <w:t>the problem of abstractness has</w:t>
      </w:r>
      <w:r w:rsidR="00352049" w:rsidRPr="00DE2EDF">
        <w:rPr>
          <w:rFonts w:eastAsia="Times New Roman" w:cs="Times New Roman"/>
          <w:iCs/>
          <w:lang w:val="en-GB"/>
        </w:rPr>
        <w:t>, to a large extent,</w:t>
      </w:r>
      <w:r w:rsidR="003472F3" w:rsidRPr="00DE2EDF">
        <w:rPr>
          <w:rFonts w:eastAsia="Times New Roman" w:cs="Times New Roman"/>
          <w:iCs/>
          <w:lang w:val="en-GB"/>
        </w:rPr>
        <w:t xml:space="preserve"> shifted. At the forefront of the discussion is</w:t>
      </w:r>
      <w:r w:rsidR="00BC48F9" w:rsidRPr="00DE2EDF">
        <w:rPr>
          <w:rFonts w:eastAsia="Times New Roman" w:cs="Times New Roman"/>
          <w:iCs/>
          <w:lang w:val="en-GB"/>
        </w:rPr>
        <w:t>, on the one hand,</w:t>
      </w:r>
      <w:r w:rsidR="003472F3" w:rsidRPr="00DE2EDF">
        <w:rPr>
          <w:rFonts w:eastAsia="Times New Roman" w:cs="Times New Roman"/>
          <w:iCs/>
          <w:lang w:val="en-GB"/>
        </w:rPr>
        <w:t xml:space="preserve"> the thorny question of balance:</w:t>
      </w:r>
      <w:bookmarkStart w:id="310" w:name="_ftnref157"/>
      <w:r w:rsidR="003472F3" w:rsidRPr="00DE2EDF">
        <w:rPr>
          <w:rStyle w:val="FootnoteReference"/>
          <w:rFonts w:eastAsia="Times New Roman" w:cs="Times New Roman"/>
          <w:iCs/>
          <w:lang w:val="en-GB"/>
        </w:rPr>
        <w:footnoteReference w:id="193"/>
      </w:r>
      <w:bookmarkEnd w:id="310"/>
      <w:r w:rsidR="003472F3" w:rsidRPr="00DE2EDF">
        <w:rPr>
          <w:rFonts w:eastAsia="Times New Roman" w:cs="Times New Roman"/>
          <w:iCs/>
          <w:lang w:val="en-GB"/>
        </w:rPr>
        <w:t xml:space="preserve"> </w:t>
      </w:r>
      <w:r w:rsidR="00B5096A">
        <w:rPr>
          <w:rFonts w:eastAsia="Times New Roman" w:cs="Times New Roman"/>
          <w:iCs/>
          <w:lang w:val="en-GB"/>
        </w:rPr>
        <w:t>W</w:t>
      </w:r>
      <w:r w:rsidR="003472F3" w:rsidRPr="00DE2EDF">
        <w:rPr>
          <w:rFonts w:eastAsia="Times New Roman" w:cs="Times New Roman"/>
          <w:iCs/>
          <w:lang w:val="en-GB"/>
        </w:rPr>
        <w:t>hich of the sometimes-contradictory constitutional principles should guide ordinary</w:t>
      </w:r>
      <w:r w:rsidR="009004AF" w:rsidRPr="00DE2EDF">
        <w:rPr>
          <w:rFonts w:eastAsia="Times New Roman" w:cs="Times New Roman"/>
          <w:iCs/>
          <w:lang w:val="en-GB"/>
        </w:rPr>
        <w:t xml:space="preserve"> (administrative)</w:t>
      </w:r>
      <w:r w:rsidR="003472F3" w:rsidRPr="00DE2EDF">
        <w:rPr>
          <w:rFonts w:eastAsia="Times New Roman" w:cs="Times New Roman"/>
          <w:iCs/>
          <w:lang w:val="en-GB"/>
        </w:rPr>
        <w:t xml:space="preserve"> law more? Who is entitled to decide the ultimate balance: </w:t>
      </w:r>
      <w:r w:rsidR="0033192A" w:rsidRPr="00DE2EDF">
        <w:rPr>
          <w:rFonts w:eastAsia="Times New Roman" w:cs="Times New Roman"/>
          <w:iCs/>
          <w:lang w:val="en-GB"/>
        </w:rPr>
        <w:t xml:space="preserve">the </w:t>
      </w:r>
      <w:r w:rsidR="003472F3" w:rsidRPr="00DE2EDF">
        <w:rPr>
          <w:rFonts w:eastAsia="Times New Roman" w:cs="Times New Roman"/>
          <w:iCs/>
          <w:lang w:val="en-GB"/>
        </w:rPr>
        <w:t xml:space="preserve">legislature or the judiciary? The intensity of judicial review, as well as the </w:t>
      </w:r>
      <w:r w:rsidR="00BC48F9" w:rsidRPr="00DE2EDF">
        <w:rPr>
          <w:rFonts w:eastAsia="Times New Roman" w:cs="Times New Roman"/>
          <w:iCs/>
          <w:lang w:val="en-GB"/>
        </w:rPr>
        <w:t>assignment of roles between the various courts</w:t>
      </w:r>
      <w:r w:rsidR="003472F3" w:rsidRPr="00DE2EDF">
        <w:rPr>
          <w:rFonts w:eastAsia="Times New Roman" w:cs="Times New Roman"/>
          <w:iCs/>
          <w:lang w:val="en-GB"/>
        </w:rPr>
        <w:t>, may vary depending on the country.</w:t>
      </w:r>
      <w:r w:rsidR="00BC48F9" w:rsidRPr="00DE2EDF">
        <w:rPr>
          <w:rFonts w:eastAsia="Times New Roman" w:cs="Times New Roman"/>
          <w:iCs/>
          <w:lang w:val="en-GB"/>
        </w:rPr>
        <w:t xml:space="preserve"> On the other hand, </w:t>
      </w:r>
      <w:r w:rsidR="003472F3" w:rsidRPr="00DE2EDF">
        <w:rPr>
          <w:rFonts w:eastAsia="Times New Roman" w:cs="Times New Roman"/>
          <w:iCs/>
          <w:lang w:val="en-GB"/>
        </w:rPr>
        <w:t>the old problem of the Constitution</w:t>
      </w:r>
      <w:r w:rsidR="00530E16" w:rsidRPr="00DE2EDF">
        <w:rPr>
          <w:rFonts w:eastAsia="Times New Roman" w:cs="Times New Roman"/>
          <w:iCs/>
          <w:lang w:val="en-GB"/>
        </w:rPr>
        <w:t>’</w:t>
      </w:r>
      <w:r w:rsidR="003472F3" w:rsidRPr="00DE2EDF">
        <w:rPr>
          <w:rFonts w:eastAsia="Times New Roman" w:cs="Times New Roman"/>
          <w:iCs/>
          <w:lang w:val="en-GB"/>
        </w:rPr>
        <w:t xml:space="preserve">s abstractness </w:t>
      </w:r>
      <w:r w:rsidR="00352049" w:rsidRPr="00DE2EDF">
        <w:rPr>
          <w:rFonts w:eastAsia="Times New Roman" w:cs="Times New Roman"/>
          <w:iCs/>
          <w:lang w:val="en-GB"/>
        </w:rPr>
        <w:t xml:space="preserve">sometimes </w:t>
      </w:r>
      <w:r w:rsidR="003472F3" w:rsidRPr="00DE2EDF">
        <w:rPr>
          <w:rFonts w:eastAsia="Times New Roman" w:cs="Times New Roman"/>
          <w:iCs/>
          <w:lang w:val="en-GB"/>
        </w:rPr>
        <w:t>reappears</w:t>
      </w:r>
      <w:r w:rsidR="003C3D9A" w:rsidRPr="00DE2EDF">
        <w:rPr>
          <w:rFonts w:eastAsia="Times New Roman" w:cs="Times New Roman"/>
          <w:iCs/>
          <w:lang w:val="en-GB"/>
        </w:rPr>
        <w:t xml:space="preserve"> </w:t>
      </w:r>
      <w:r w:rsidR="003472F3" w:rsidRPr="00DE2EDF">
        <w:rPr>
          <w:rFonts w:eastAsia="Times New Roman" w:cs="Times New Roman"/>
          <w:iCs/>
          <w:lang w:val="en-GB"/>
        </w:rPr>
        <w:t>under a new guise</w:t>
      </w:r>
      <w:r w:rsidR="00352049" w:rsidRPr="00DE2EDF">
        <w:rPr>
          <w:rFonts w:eastAsia="Times New Roman" w:cs="Times New Roman"/>
          <w:iCs/>
          <w:lang w:val="en-GB"/>
        </w:rPr>
        <w:t xml:space="preserve">, as </w:t>
      </w:r>
      <w:r w:rsidR="003C3D9A" w:rsidRPr="00DE2EDF">
        <w:rPr>
          <w:rFonts w:eastAsia="Times New Roman" w:cs="Times New Roman"/>
          <w:iCs/>
          <w:lang w:val="en-GB"/>
        </w:rPr>
        <w:t xml:space="preserve">illustrated by </w:t>
      </w:r>
      <w:r w:rsidR="003472F3" w:rsidRPr="00DE2EDF">
        <w:rPr>
          <w:rFonts w:eastAsia="Times New Roman" w:cs="Times New Roman"/>
          <w:iCs/>
          <w:lang w:val="en-GB"/>
        </w:rPr>
        <w:t xml:space="preserve">the </w:t>
      </w:r>
      <w:r w:rsidR="000C3C3E" w:rsidRPr="00DE2EDF">
        <w:rPr>
          <w:rFonts w:eastAsia="Times New Roman" w:cs="Times New Roman"/>
          <w:iCs/>
          <w:lang w:val="en-GB"/>
        </w:rPr>
        <w:t xml:space="preserve">German </w:t>
      </w:r>
      <w:r w:rsidR="0030076C" w:rsidRPr="00DE2EDF">
        <w:rPr>
          <w:rFonts w:eastAsia="Times New Roman" w:cs="Times New Roman"/>
          <w:iCs/>
          <w:lang w:val="en-GB"/>
        </w:rPr>
        <w:t>discourse</w:t>
      </w:r>
      <w:bookmarkStart w:id="311" w:name="_ftnref158"/>
      <w:r w:rsidR="003C3D9A" w:rsidRPr="00DE2EDF">
        <w:rPr>
          <w:rFonts w:eastAsia="Times New Roman" w:cs="Times New Roman"/>
          <w:iCs/>
          <w:lang w:val="en-GB"/>
        </w:rPr>
        <w:t xml:space="preserve"> </w:t>
      </w:r>
      <w:bookmarkEnd w:id="311"/>
      <w:r w:rsidR="003C3D9A" w:rsidRPr="00DE2EDF">
        <w:rPr>
          <w:rFonts w:eastAsia="Times New Roman" w:cs="Times New Roman"/>
          <w:iCs/>
          <w:lang w:val="en-GB"/>
        </w:rPr>
        <w:t>o</w:t>
      </w:r>
      <w:r w:rsidR="0030076C" w:rsidRPr="00DE2EDF">
        <w:rPr>
          <w:rFonts w:eastAsia="Times New Roman" w:cs="Times New Roman"/>
          <w:iCs/>
          <w:lang w:val="en-GB"/>
        </w:rPr>
        <w:t>n the</w:t>
      </w:r>
      <w:r w:rsidR="003C3D9A" w:rsidRPr="00DE2EDF">
        <w:rPr>
          <w:rFonts w:eastAsia="Times New Roman" w:cs="Times New Roman"/>
          <w:iCs/>
          <w:lang w:val="en-GB"/>
        </w:rPr>
        <w:t xml:space="preserve"> </w:t>
      </w:r>
      <w:r w:rsidR="003C3D9A" w:rsidRPr="00DE2EDF">
        <w:rPr>
          <w:rFonts w:eastAsia="Times New Roman" w:cs="Times New Roman"/>
          <w:i/>
          <w:iCs/>
          <w:lang w:val="en-GB"/>
        </w:rPr>
        <w:t>Anw</w:t>
      </w:r>
      <w:r w:rsidR="006D411C" w:rsidRPr="00DE2EDF">
        <w:rPr>
          <w:rFonts w:eastAsia="Times New Roman" w:cs="Times New Roman"/>
          <w:i/>
          <w:iCs/>
          <w:lang w:val="en-GB"/>
        </w:rPr>
        <w:t>endungsvorrang</w:t>
      </w:r>
      <w:r w:rsidR="003C3D9A" w:rsidRPr="00DE2EDF">
        <w:rPr>
          <w:rFonts w:eastAsia="Times New Roman" w:cs="Times New Roman"/>
          <w:iCs/>
          <w:lang w:val="en-GB"/>
        </w:rPr>
        <w:t xml:space="preserve"> (primacy of implementation) of the most concret</w:t>
      </w:r>
      <w:r w:rsidR="00B41EC5" w:rsidRPr="00DE2EDF">
        <w:rPr>
          <w:rFonts w:eastAsia="Times New Roman" w:cs="Times New Roman"/>
          <w:iCs/>
          <w:lang w:val="en-GB"/>
        </w:rPr>
        <w:t>e</w:t>
      </w:r>
      <w:r w:rsidR="003C3D9A" w:rsidRPr="00DE2EDF">
        <w:rPr>
          <w:rFonts w:eastAsia="Times New Roman" w:cs="Times New Roman"/>
          <w:iCs/>
          <w:lang w:val="en-GB"/>
        </w:rPr>
        <w:t xml:space="preserve"> norm</w:t>
      </w:r>
      <w:r w:rsidR="000B0EAE" w:rsidRPr="00DE2EDF">
        <w:rPr>
          <w:rFonts w:eastAsia="Times New Roman" w:cs="Times New Roman"/>
          <w:iCs/>
          <w:lang w:val="en-GB"/>
        </w:rPr>
        <w:t xml:space="preserve"> (</w:t>
      </w:r>
      <w:r w:rsidR="003C3D9A" w:rsidRPr="00DE2EDF">
        <w:rPr>
          <w:rFonts w:eastAsia="Times New Roman" w:cs="Times New Roman"/>
          <w:iCs/>
          <w:lang w:val="en-GB"/>
        </w:rPr>
        <w:t>i.e.</w:t>
      </w:r>
      <w:r w:rsidR="000B0EAE" w:rsidRPr="00DE2EDF">
        <w:rPr>
          <w:rFonts w:eastAsia="Times New Roman" w:cs="Times New Roman"/>
          <w:iCs/>
          <w:lang w:val="en-GB"/>
        </w:rPr>
        <w:t>,</w:t>
      </w:r>
      <w:r w:rsidR="003C3D9A" w:rsidRPr="00DE2EDF">
        <w:rPr>
          <w:rFonts w:eastAsia="Times New Roman" w:cs="Times New Roman"/>
          <w:iCs/>
          <w:lang w:val="en-GB"/>
        </w:rPr>
        <w:t xml:space="preserve"> the lowest ranking norm</w:t>
      </w:r>
      <w:r w:rsidR="000B0EAE" w:rsidRPr="00DE2EDF">
        <w:rPr>
          <w:rFonts w:eastAsia="Times New Roman" w:cs="Times New Roman"/>
          <w:iCs/>
          <w:lang w:val="en-GB"/>
        </w:rPr>
        <w:t>).</w:t>
      </w:r>
      <w:r w:rsidR="000C3C3E" w:rsidRPr="00DE2EDF">
        <w:rPr>
          <w:rStyle w:val="FootnoteReference"/>
          <w:rFonts w:eastAsia="Times New Roman" w:cs="Times New Roman"/>
          <w:iCs/>
          <w:lang w:val="en-GB"/>
        </w:rPr>
        <w:footnoteReference w:id="194"/>
      </w:r>
      <w:r w:rsidR="003C3D9A" w:rsidRPr="00DE2EDF">
        <w:rPr>
          <w:rFonts w:eastAsia="Times New Roman" w:cs="Times New Roman"/>
          <w:iCs/>
          <w:lang w:val="en-GB"/>
        </w:rPr>
        <w:t xml:space="preserve"> </w:t>
      </w:r>
      <w:r w:rsidR="003472F3" w:rsidRPr="00DE2EDF">
        <w:rPr>
          <w:rFonts w:eastAsia="Times New Roman" w:cs="Times New Roman"/>
          <w:iCs/>
          <w:lang w:val="en-GB"/>
        </w:rPr>
        <w:t xml:space="preserve">The </w:t>
      </w:r>
      <w:r w:rsidR="006023BC" w:rsidRPr="00DE2EDF">
        <w:rPr>
          <w:rFonts w:eastAsia="Times New Roman" w:cs="Times New Roman"/>
          <w:iCs/>
          <w:lang w:val="en-GB"/>
        </w:rPr>
        <w:t>notion of</w:t>
      </w:r>
      <w:r w:rsidR="003472F3" w:rsidRPr="00DE2EDF">
        <w:rPr>
          <w:rFonts w:eastAsia="Times New Roman" w:cs="Times New Roman"/>
          <w:iCs/>
          <w:lang w:val="en-GB"/>
        </w:rPr>
        <w:t xml:space="preserve"> </w:t>
      </w:r>
      <w:r w:rsidR="00530E16" w:rsidRPr="00DE2EDF">
        <w:rPr>
          <w:rFonts w:eastAsia="Times New Roman" w:cs="Times New Roman"/>
          <w:iCs/>
          <w:lang w:val="en-GB"/>
        </w:rPr>
        <w:t>‘</w:t>
      </w:r>
      <w:r w:rsidR="003C3D9A" w:rsidRPr="00DE2EDF">
        <w:rPr>
          <w:rFonts w:eastAsia="Times New Roman" w:cs="Times New Roman"/>
          <w:iCs/>
          <w:lang w:val="en-GB"/>
        </w:rPr>
        <w:t xml:space="preserve">implementation </w:t>
      </w:r>
      <w:r w:rsidR="003472F3" w:rsidRPr="00DE2EDF">
        <w:rPr>
          <w:rFonts w:eastAsia="Times New Roman" w:cs="Times New Roman"/>
          <w:iCs/>
          <w:lang w:val="en-GB"/>
        </w:rPr>
        <w:t>primacy</w:t>
      </w:r>
      <w:r w:rsidR="00530E16" w:rsidRPr="00DE2EDF">
        <w:rPr>
          <w:rFonts w:eastAsia="Times New Roman" w:cs="Times New Roman"/>
          <w:iCs/>
          <w:lang w:val="en-GB"/>
        </w:rPr>
        <w:t>’</w:t>
      </w:r>
      <w:r w:rsidR="003472F3" w:rsidRPr="00DE2EDF">
        <w:rPr>
          <w:rFonts w:eastAsia="Times New Roman" w:cs="Times New Roman"/>
          <w:iCs/>
          <w:lang w:val="en-GB"/>
        </w:rPr>
        <w:t xml:space="preserve"> </w:t>
      </w:r>
      <w:r w:rsidR="003C3D9A" w:rsidRPr="00DE2EDF">
        <w:rPr>
          <w:rFonts w:eastAsia="Times New Roman" w:cs="Times New Roman"/>
          <w:iCs/>
          <w:lang w:val="en-GB"/>
        </w:rPr>
        <w:t xml:space="preserve">of </w:t>
      </w:r>
      <w:r w:rsidR="003472F3" w:rsidRPr="00DE2EDF">
        <w:rPr>
          <w:rFonts w:eastAsia="Times New Roman" w:cs="Times New Roman"/>
          <w:iCs/>
          <w:lang w:val="en-GB"/>
        </w:rPr>
        <w:t>ordinary law</w:t>
      </w:r>
      <w:r w:rsidR="003C3D9A" w:rsidRPr="00DE2EDF">
        <w:rPr>
          <w:rFonts w:eastAsia="Times New Roman" w:cs="Times New Roman"/>
          <w:iCs/>
          <w:lang w:val="en-GB"/>
        </w:rPr>
        <w:t>, which is</w:t>
      </w:r>
      <w:r w:rsidR="003472F3" w:rsidRPr="00DE2EDF">
        <w:rPr>
          <w:rFonts w:eastAsia="Times New Roman" w:cs="Times New Roman"/>
          <w:iCs/>
          <w:lang w:val="en-GB"/>
        </w:rPr>
        <w:t xml:space="preserve"> </w:t>
      </w:r>
      <w:r w:rsidR="003C3D9A" w:rsidRPr="00DE2EDF">
        <w:rPr>
          <w:rFonts w:eastAsia="Times New Roman" w:cs="Times New Roman"/>
          <w:iCs/>
          <w:lang w:val="en-GB"/>
        </w:rPr>
        <w:t xml:space="preserve">opposed to </w:t>
      </w:r>
      <w:r w:rsidR="003472F3" w:rsidRPr="00DE2EDF">
        <w:rPr>
          <w:rFonts w:eastAsia="Times New Roman" w:cs="Times New Roman"/>
          <w:iCs/>
          <w:lang w:val="en-GB"/>
        </w:rPr>
        <w:t xml:space="preserve">the </w:t>
      </w:r>
      <w:r w:rsidR="003C3D9A" w:rsidRPr="00DE2EDF">
        <w:rPr>
          <w:rFonts w:eastAsia="Times New Roman" w:cs="Times New Roman"/>
          <w:i/>
          <w:iCs/>
          <w:lang w:val="en-GB"/>
        </w:rPr>
        <w:t>Geltungsvorrang</w:t>
      </w:r>
      <w:r w:rsidR="003C3D9A" w:rsidRPr="00DE2EDF">
        <w:rPr>
          <w:rFonts w:eastAsia="Times New Roman" w:cs="Times New Roman"/>
          <w:iCs/>
          <w:lang w:val="en-GB"/>
        </w:rPr>
        <w:t xml:space="preserve"> (</w:t>
      </w:r>
      <w:r w:rsidR="003472F3" w:rsidRPr="00DE2EDF">
        <w:rPr>
          <w:rFonts w:eastAsia="Times New Roman" w:cs="Times New Roman"/>
          <w:iCs/>
          <w:lang w:val="en-GB"/>
        </w:rPr>
        <w:t>primacy</w:t>
      </w:r>
      <w:r w:rsidR="003C3D9A" w:rsidRPr="00DE2EDF">
        <w:rPr>
          <w:rFonts w:eastAsia="Times New Roman" w:cs="Times New Roman"/>
          <w:iCs/>
          <w:lang w:val="en-GB"/>
        </w:rPr>
        <w:t xml:space="preserve"> of validity)</w:t>
      </w:r>
      <w:r w:rsidR="003472F3" w:rsidRPr="00DE2EDF">
        <w:rPr>
          <w:rFonts w:eastAsia="Times New Roman" w:cs="Times New Roman"/>
          <w:iCs/>
          <w:lang w:val="en-GB"/>
        </w:rPr>
        <w:t xml:space="preserve"> </w:t>
      </w:r>
      <w:r w:rsidR="003C3D9A" w:rsidRPr="00DE2EDF">
        <w:rPr>
          <w:rFonts w:eastAsia="Times New Roman" w:cs="Times New Roman"/>
          <w:iCs/>
          <w:lang w:val="en-GB"/>
        </w:rPr>
        <w:t xml:space="preserve">of </w:t>
      </w:r>
      <w:r w:rsidR="003472F3" w:rsidRPr="00DE2EDF">
        <w:rPr>
          <w:rFonts w:eastAsia="Times New Roman" w:cs="Times New Roman"/>
          <w:iCs/>
          <w:lang w:val="en-GB"/>
        </w:rPr>
        <w:t>the Constitution</w:t>
      </w:r>
      <w:r w:rsidR="003C3D9A" w:rsidRPr="00DE2EDF">
        <w:rPr>
          <w:rFonts w:eastAsia="Times New Roman" w:cs="Times New Roman"/>
          <w:iCs/>
          <w:lang w:val="en-GB"/>
        </w:rPr>
        <w:t xml:space="preserve">, </w:t>
      </w:r>
      <w:r w:rsidR="003472F3" w:rsidRPr="00DE2EDF">
        <w:rPr>
          <w:rFonts w:eastAsia="Times New Roman" w:cs="Times New Roman"/>
          <w:iCs/>
          <w:lang w:val="en-GB"/>
        </w:rPr>
        <w:t xml:space="preserve">is </w:t>
      </w:r>
      <w:r w:rsidR="006023BC" w:rsidRPr="00DE2EDF">
        <w:rPr>
          <w:rFonts w:eastAsia="Times New Roman" w:cs="Times New Roman"/>
          <w:iCs/>
          <w:lang w:val="en-GB"/>
        </w:rPr>
        <w:t>ambiguous and</w:t>
      </w:r>
      <w:r w:rsidR="00860DA5" w:rsidRPr="00DE2EDF">
        <w:rPr>
          <w:rFonts w:eastAsia="Times New Roman" w:cs="Times New Roman"/>
          <w:iCs/>
          <w:lang w:val="en-GB"/>
        </w:rPr>
        <w:t xml:space="preserve"> questionable. </w:t>
      </w:r>
      <w:r w:rsidR="00B41EC5" w:rsidRPr="00DE2EDF">
        <w:rPr>
          <w:rFonts w:eastAsia="Times New Roman" w:cs="Times New Roman"/>
          <w:iCs/>
          <w:lang w:val="en-GB"/>
        </w:rPr>
        <w:t>O</w:t>
      </w:r>
      <w:r w:rsidR="003C3D9A" w:rsidRPr="00DE2EDF">
        <w:rPr>
          <w:rFonts w:eastAsia="Times New Roman" w:cs="Times New Roman"/>
          <w:iCs/>
          <w:lang w:val="en-GB"/>
        </w:rPr>
        <w:t xml:space="preserve">n </w:t>
      </w:r>
      <w:r w:rsidR="00352049" w:rsidRPr="00DE2EDF">
        <w:rPr>
          <w:rFonts w:eastAsia="Times New Roman" w:cs="Times New Roman"/>
          <w:iCs/>
          <w:lang w:val="en-GB"/>
        </w:rPr>
        <w:t xml:space="preserve">an </w:t>
      </w:r>
      <w:r w:rsidR="003472F3" w:rsidRPr="00DE2EDF">
        <w:rPr>
          <w:rFonts w:eastAsia="Times New Roman" w:cs="Times New Roman"/>
          <w:iCs/>
          <w:lang w:val="en-GB"/>
        </w:rPr>
        <w:t xml:space="preserve">empirical-sociological </w:t>
      </w:r>
      <w:r w:rsidR="003C3D9A" w:rsidRPr="00DE2EDF">
        <w:rPr>
          <w:rFonts w:eastAsia="Times New Roman" w:cs="Times New Roman"/>
          <w:iCs/>
          <w:lang w:val="en-GB"/>
        </w:rPr>
        <w:t xml:space="preserve">level, the </w:t>
      </w:r>
      <w:r w:rsidR="00410252" w:rsidRPr="00DE2EDF">
        <w:rPr>
          <w:rFonts w:eastAsia="Times New Roman" w:cs="Times New Roman"/>
          <w:iCs/>
          <w:lang w:val="en-GB"/>
        </w:rPr>
        <w:t>term</w:t>
      </w:r>
      <w:r w:rsidR="003C3D9A" w:rsidRPr="00DE2EDF">
        <w:rPr>
          <w:rFonts w:eastAsia="Times New Roman" w:cs="Times New Roman"/>
          <w:iCs/>
          <w:lang w:val="en-GB"/>
        </w:rPr>
        <w:t xml:space="preserve"> </w:t>
      </w:r>
      <w:r w:rsidR="0078331E" w:rsidRPr="00DE2EDF">
        <w:rPr>
          <w:rFonts w:eastAsia="Times New Roman" w:cs="Times New Roman"/>
          <w:iCs/>
          <w:lang w:val="en-GB"/>
        </w:rPr>
        <w:t>m</w:t>
      </w:r>
      <w:r w:rsidR="00860DA5" w:rsidRPr="00DE2EDF">
        <w:rPr>
          <w:rFonts w:eastAsia="Times New Roman" w:cs="Times New Roman"/>
          <w:iCs/>
          <w:lang w:val="en-GB"/>
        </w:rPr>
        <w:t>ight</w:t>
      </w:r>
      <w:r w:rsidR="0078331E" w:rsidRPr="00DE2EDF">
        <w:rPr>
          <w:rFonts w:eastAsia="Times New Roman" w:cs="Times New Roman"/>
          <w:iCs/>
          <w:lang w:val="en-GB"/>
        </w:rPr>
        <w:t xml:space="preserve"> claim </w:t>
      </w:r>
      <w:r w:rsidR="00B41EC5" w:rsidRPr="00DE2EDF">
        <w:rPr>
          <w:rFonts w:eastAsia="Times New Roman" w:cs="Times New Roman"/>
          <w:iCs/>
          <w:lang w:val="en-GB"/>
        </w:rPr>
        <w:t xml:space="preserve">certain </w:t>
      </w:r>
      <w:r w:rsidR="003C3D9A" w:rsidRPr="00DE2EDF">
        <w:rPr>
          <w:rFonts w:eastAsia="Times New Roman" w:cs="Times New Roman"/>
          <w:iCs/>
          <w:lang w:val="en-GB"/>
        </w:rPr>
        <w:t>accura</w:t>
      </w:r>
      <w:r w:rsidR="0078331E" w:rsidRPr="00DE2EDF">
        <w:rPr>
          <w:rFonts w:eastAsia="Times New Roman" w:cs="Times New Roman"/>
          <w:iCs/>
          <w:lang w:val="en-GB"/>
        </w:rPr>
        <w:t>cy, as i</w:t>
      </w:r>
      <w:r w:rsidR="003C3D9A" w:rsidRPr="00DE2EDF">
        <w:rPr>
          <w:rFonts w:eastAsia="Times New Roman" w:cs="Times New Roman"/>
          <w:iCs/>
          <w:lang w:val="en-GB"/>
        </w:rPr>
        <w:t xml:space="preserve">t reflects part of </w:t>
      </w:r>
      <w:r w:rsidR="00B41EC5" w:rsidRPr="00DE2EDF">
        <w:rPr>
          <w:rFonts w:eastAsia="Times New Roman" w:cs="Times New Roman"/>
          <w:iCs/>
          <w:lang w:val="en-GB"/>
        </w:rPr>
        <w:t xml:space="preserve">bureaucracy’s </w:t>
      </w:r>
      <w:r w:rsidR="003C3D9A" w:rsidRPr="00DE2EDF">
        <w:rPr>
          <w:rFonts w:eastAsia="Times New Roman" w:cs="Times New Roman"/>
          <w:iCs/>
          <w:lang w:val="en-GB"/>
        </w:rPr>
        <w:t>real</w:t>
      </w:r>
      <w:r w:rsidR="00860DA5" w:rsidRPr="00DE2EDF">
        <w:rPr>
          <w:rFonts w:eastAsia="Times New Roman" w:cs="Times New Roman"/>
          <w:iCs/>
          <w:lang w:val="en-GB"/>
        </w:rPr>
        <w:t>i</w:t>
      </w:r>
      <w:r w:rsidR="003C3D9A" w:rsidRPr="00DE2EDF">
        <w:rPr>
          <w:rFonts w:eastAsia="Times New Roman" w:cs="Times New Roman"/>
          <w:iCs/>
          <w:lang w:val="en-GB"/>
        </w:rPr>
        <w:t>ty</w:t>
      </w:r>
      <w:r w:rsidR="0030076C" w:rsidRPr="00DE2EDF">
        <w:rPr>
          <w:rFonts w:eastAsia="Times New Roman" w:cs="Times New Roman"/>
          <w:iCs/>
          <w:lang w:val="en-GB"/>
        </w:rPr>
        <w:t xml:space="preserve">: </w:t>
      </w:r>
      <w:r w:rsidR="00930413" w:rsidRPr="00DE2EDF">
        <w:rPr>
          <w:rFonts w:eastAsia="Times New Roman" w:cs="Times New Roman"/>
          <w:iCs/>
          <w:lang w:val="en-GB"/>
        </w:rPr>
        <w:t xml:space="preserve">it is commonly known </w:t>
      </w:r>
      <w:r w:rsidR="0030076C" w:rsidRPr="00DE2EDF">
        <w:rPr>
          <w:rFonts w:eastAsia="Times New Roman" w:cs="Times New Roman"/>
          <w:iCs/>
          <w:lang w:val="en-GB"/>
        </w:rPr>
        <w:t>t</w:t>
      </w:r>
      <w:r w:rsidR="003472F3" w:rsidRPr="00DE2EDF">
        <w:rPr>
          <w:rFonts w:eastAsia="Times New Roman" w:cs="Times New Roman"/>
          <w:iCs/>
          <w:lang w:val="en-GB"/>
        </w:rPr>
        <w:t xml:space="preserve">hat </w:t>
      </w:r>
      <w:r w:rsidR="00930413" w:rsidRPr="00DE2EDF">
        <w:rPr>
          <w:rFonts w:eastAsia="Times New Roman" w:cs="Times New Roman"/>
          <w:iCs/>
          <w:lang w:val="en-GB"/>
        </w:rPr>
        <w:t>lower ranking</w:t>
      </w:r>
      <w:r w:rsidR="003C3D9A" w:rsidRPr="00DE2EDF">
        <w:rPr>
          <w:rFonts w:eastAsia="Times New Roman" w:cs="Times New Roman"/>
          <w:iCs/>
          <w:lang w:val="en-GB"/>
        </w:rPr>
        <w:t xml:space="preserve"> civil servants </w:t>
      </w:r>
      <w:r w:rsidR="003472F3" w:rsidRPr="00DE2EDF">
        <w:rPr>
          <w:rFonts w:eastAsia="Times New Roman" w:cs="Times New Roman"/>
          <w:iCs/>
          <w:lang w:val="en-GB"/>
        </w:rPr>
        <w:t xml:space="preserve">will often refuse to lift a finger unless the requirements of the Constitution </w:t>
      </w:r>
      <w:r w:rsidR="00B34B5A" w:rsidRPr="00DE2EDF">
        <w:rPr>
          <w:rFonts w:eastAsia="Times New Roman" w:cs="Times New Roman"/>
          <w:iCs/>
          <w:lang w:val="en-GB"/>
        </w:rPr>
        <w:t>(</w:t>
      </w:r>
      <w:r w:rsidR="003472F3" w:rsidRPr="00DE2EDF">
        <w:rPr>
          <w:rFonts w:eastAsia="Times New Roman" w:cs="Times New Roman"/>
          <w:iCs/>
          <w:lang w:val="en-GB"/>
        </w:rPr>
        <w:t xml:space="preserve">and even </w:t>
      </w:r>
      <w:r w:rsidR="00860DA5" w:rsidRPr="00DE2EDF">
        <w:rPr>
          <w:rFonts w:eastAsia="Times New Roman" w:cs="Times New Roman"/>
          <w:iCs/>
          <w:lang w:val="en-GB"/>
        </w:rPr>
        <w:t>statutes</w:t>
      </w:r>
      <w:r w:rsidR="003472F3" w:rsidRPr="00DE2EDF">
        <w:rPr>
          <w:rFonts w:eastAsia="Times New Roman" w:cs="Times New Roman"/>
          <w:iCs/>
          <w:lang w:val="en-GB"/>
        </w:rPr>
        <w:t xml:space="preserve"> and regulations</w:t>
      </w:r>
      <w:r w:rsidR="00B34B5A" w:rsidRPr="00DE2EDF">
        <w:rPr>
          <w:rFonts w:eastAsia="Times New Roman" w:cs="Times New Roman"/>
          <w:iCs/>
          <w:lang w:val="en-GB"/>
        </w:rPr>
        <w:t>)</w:t>
      </w:r>
      <w:r w:rsidR="003472F3" w:rsidRPr="00DE2EDF">
        <w:rPr>
          <w:rFonts w:eastAsia="Times New Roman" w:cs="Times New Roman"/>
          <w:iCs/>
          <w:lang w:val="en-GB"/>
        </w:rPr>
        <w:t xml:space="preserve"> have been spelled out in internal administrative instructions. </w:t>
      </w:r>
      <w:r w:rsidR="00B34B5A" w:rsidRPr="00DE2EDF">
        <w:rPr>
          <w:rFonts w:eastAsia="Times New Roman" w:cs="Times New Roman"/>
          <w:iCs/>
          <w:lang w:val="en-GB"/>
        </w:rPr>
        <w:t>However,</w:t>
      </w:r>
      <w:r w:rsidR="00410252" w:rsidRPr="00DE2EDF">
        <w:rPr>
          <w:rFonts w:eastAsia="Times New Roman" w:cs="Times New Roman"/>
          <w:iCs/>
          <w:lang w:val="en-GB"/>
        </w:rPr>
        <w:t xml:space="preserve"> the authors of the </w:t>
      </w:r>
      <w:r w:rsidR="00410252" w:rsidRPr="00DE2EDF">
        <w:rPr>
          <w:rFonts w:eastAsia="Times New Roman" w:cs="Times New Roman"/>
          <w:i/>
          <w:iCs/>
          <w:lang w:val="en-GB"/>
        </w:rPr>
        <w:t>Anwendungsvorrang</w:t>
      </w:r>
      <w:r w:rsidR="0030076C" w:rsidRPr="00DE2EDF">
        <w:rPr>
          <w:rFonts w:eastAsia="Times New Roman" w:cs="Times New Roman"/>
          <w:iCs/>
          <w:lang w:val="en-GB"/>
        </w:rPr>
        <w:t xml:space="preserve"> discourse</w:t>
      </w:r>
      <w:r w:rsidR="00410252" w:rsidRPr="00DE2EDF">
        <w:rPr>
          <w:rFonts w:eastAsia="Times New Roman" w:cs="Times New Roman"/>
          <w:iCs/>
          <w:lang w:val="en-GB"/>
        </w:rPr>
        <w:t xml:space="preserve"> do not understand the </w:t>
      </w:r>
      <w:r w:rsidR="0030076C" w:rsidRPr="00DE2EDF">
        <w:rPr>
          <w:rFonts w:eastAsia="Times New Roman" w:cs="Times New Roman"/>
          <w:iCs/>
          <w:lang w:val="en-GB"/>
        </w:rPr>
        <w:t>term</w:t>
      </w:r>
      <w:r w:rsidR="00410252" w:rsidRPr="00DE2EDF">
        <w:rPr>
          <w:rFonts w:eastAsia="Times New Roman" w:cs="Times New Roman"/>
          <w:iCs/>
          <w:lang w:val="en-GB"/>
        </w:rPr>
        <w:t xml:space="preserve"> in th</w:t>
      </w:r>
      <w:r w:rsidR="0030076C" w:rsidRPr="00DE2EDF">
        <w:rPr>
          <w:rFonts w:eastAsia="Times New Roman" w:cs="Times New Roman"/>
          <w:iCs/>
          <w:lang w:val="en-GB"/>
        </w:rPr>
        <w:t>at</w:t>
      </w:r>
      <w:r w:rsidR="00410252" w:rsidRPr="00DE2EDF">
        <w:rPr>
          <w:rFonts w:eastAsia="Times New Roman" w:cs="Times New Roman"/>
          <w:iCs/>
          <w:lang w:val="en-GB"/>
        </w:rPr>
        <w:t xml:space="preserve"> way. Their concept is supposed to be a legal-dogmatic concept. </w:t>
      </w:r>
      <w:r w:rsidR="00860DA5" w:rsidRPr="00DE2EDF">
        <w:rPr>
          <w:rFonts w:eastAsia="Times New Roman" w:cs="Times New Roman"/>
          <w:iCs/>
          <w:lang w:val="en-GB"/>
        </w:rPr>
        <w:t>Yet, a</w:t>
      </w:r>
      <w:r w:rsidR="00B221A0" w:rsidRPr="00DE2EDF">
        <w:rPr>
          <w:rFonts w:eastAsia="Times New Roman" w:cs="Times New Roman"/>
          <w:iCs/>
          <w:lang w:val="en-GB"/>
        </w:rPr>
        <w:t>s such</w:t>
      </w:r>
      <w:r w:rsidR="00860DA5" w:rsidRPr="00DE2EDF">
        <w:rPr>
          <w:rFonts w:eastAsia="Times New Roman" w:cs="Times New Roman"/>
          <w:iCs/>
          <w:lang w:val="en-GB"/>
        </w:rPr>
        <w:t>,</w:t>
      </w:r>
      <w:r w:rsidR="00B221A0" w:rsidRPr="00DE2EDF">
        <w:rPr>
          <w:rFonts w:eastAsia="Times New Roman" w:cs="Times New Roman"/>
          <w:iCs/>
          <w:lang w:val="en-GB"/>
        </w:rPr>
        <w:t xml:space="preserve"> </w:t>
      </w:r>
      <w:r w:rsidR="00E756E0" w:rsidRPr="00DE2EDF">
        <w:rPr>
          <w:rFonts w:eastAsia="Times New Roman" w:cs="Times New Roman"/>
          <w:iCs/>
          <w:lang w:val="en-GB"/>
        </w:rPr>
        <w:t>it is either</w:t>
      </w:r>
      <w:r w:rsidR="00930413" w:rsidRPr="00DE2EDF">
        <w:rPr>
          <w:rFonts w:eastAsia="Times New Roman" w:cs="Times New Roman"/>
          <w:iCs/>
          <w:lang w:val="en-GB"/>
        </w:rPr>
        <w:t xml:space="preserve"> (a)</w:t>
      </w:r>
      <w:r w:rsidR="00E756E0" w:rsidRPr="00DE2EDF">
        <w:rPr>
          <w:rFonts w:eastAsia="Times New Roman" w:cs="Times New Roman"/>
          <w:iCs/>
          <w:lang w:val="en-GB"/>
        </w:rPr>
        <w:t xml:space="preserve"> illegal or </w:t>
      </w:r>
      <w:r w:rsidR="00930413" w:rsidRPr="00DE2EDF">
        <w:rPr>
          <w:rFonts w:eastAsia="Times New Roman" w:cs="Times New Roman"/>
          <w:iCs/>
          <w:lang w:val="en-GB"/>
        </w:rPr>
        <w:t xml:space="preserve">(b) </w:t>
      </w:r>
      <w:r w:rsidR="00E756E0" w:rsidRPr="00DE2EDF">
        <w:rPr>
          <w:rFonts w:eastAsia="Times New Roman" w:cs="Times New Roman"/>
          <w:iCs/>
          <w:lang w:val="en-GB"/>
        </w:rPr>
        <w:t>logically inconsistent.</w:t>
      </w:r>
      <w:r w:rsidR="00B34B5A" w:rsidRPr="00DE2EDF">
        <w:rPr>
          <w:rFonts w:eastAsia="Times New Roman" w:cs="Times New Roman"/>
          <w:iCs/>
          <w:lang w:val="en-GB"/>
        </w:rPr>
        <w:t xml:space="preserve"> </w:t>
      </w:r>
      <w:r w:rsidR="00930413" w:rsidRPr="00DE2EDF">
        <w:rPr>
          <w:rFonts w:eastAsia="Times New Roman" w:cs="Times New Roman"/>
          <w:iCs/>
          <w:lang w:val="en-GB"/>
        </w:rPr>
        <w:t>(a) If</w:t>
      </w:r>
      <w:r w:rsidR="00B221A0" w:rsidRPr="00DE2EDF">
        <w:rPr>
          <w:rFonts w:eastAsia="Times New Roman" w:cs="Times New Roman"/>
          <w:iCs/>
          <w:lang w:val="en-GB"/>
        </w:rPr>
        <w:t xml:space="preserve"> the term aims at a </w:t>
      </w:r>
      <w:r w:rsidR="00860DA5" w:rsidRPr="00DE2EDF">
        <w:rPr>
          <w:rFonts w:eastAsia="Times New Roman" w:cs="Times New Roman"/>
          <w:iCs/>
          <w:lang w:val="en-GB"/>
        </w:rPr>
        <w:t xml:space="preserve">real primacy (in the sense of exclusivity) </w:t>
      </w:r>
      <w:r w:rsidR="00B221A0" w:rsidRPr="00DE2EDF">
        <w:rPr>
          <w:rFonts w:eastAsia="Times New Roman" w:cs="Times New Roman"/>
          <w:iCs/>
          <w:lang w:val="en-GB"/>
        </w:rPr>
        <w:t xml:space="preserve">of implementation of the most </w:t>
      </w:r>
      <w:r w:rsidR="00B221A0" w:rsidRPr="00DE2EDF">
        <w:rPr>
          <w:rFonts w:eastAsia="Times New Roman" w:cs="Times New Roman"/>
          <w:iCs/>
          <w:lang w:val="en-GB"/>
        </w:rPr>
        <w:lastRenderedPageBreak/>
        <w:t>concrete norm, thus allowing administrative bodies to ignore the Constitution</w:t>
      </w:r>
      <w:r w:rsidR="00B5096A">
        <w:rPr>
          <w:rFonts w:eastAsia="Times New Roman" w:cs="Times New Roman"/>
          <w:iCs/>
          <w:lang w:val="en-GB"/>
        </w:rPr>
        <w:t>, such</w:t>
      </w:r>
      <w:r w:rsidR="00B221A0" w:rsidRPr="00DE2EDF">
        <w:rPr>
          <w:rFonts w:eastAsia="Times New Roman" w:cs="Times New Roman"/>
          <w:iCs/>
          <w:lang w:val="en-GB"/>
        </w:rPr>
        <w:t xml:space="preserve"> a concept would undermine the superiority and applicability of the Constitution, which</w:t>
      </w:r>
      <w:r w:rsidR="00E756E0" w:rsidRPr="00DE2EDF">
        <w:rPr>
          <w:rFonts w:eastAsia="Times New Roman" w:cs="Times New Roman"/>
          <w:iCs/>
          <w:lang w:val="en-GB"/>
        </w:rPr>
        <w:t>, in most systems,</w:t>
      </w:r>
      <w:r w:rsidR="00B221A0" w:rsidRPr="00DE2EDF">
        <w:rPr>
          <w:rFonts w:eastAsia="Times New Roman" w:cs="Times New Roman"/>
          <w:iCs/>
          <w:lang w:val="en-GB"/>
        </w:rPr>
        <w:t xml:space="preserve"> </w:t>
      </w:r>
      <w:r w:rsidR="00977790" w:rsidRPr="00DE2EDF">
        <w:rPr>
          <w:rFonts w:eastAsia="Times New Roman" w:cs="Times New Roman"/>
          <w:iCs/>
          <w:lang w:val="en-GB"/>
        </w:rPr>
        <w:t>is a</w:t>
      </w:r>
      <w:r w:rsidR="00860DA5" w:rsidRPr="00DE2EDF">
        <w:rPr>
          <w:rFonts w:eastAsia="Times New Roman" w:cs="Times New Roman"/>
          <w:iCs/>
          <w:lang w:val="en-GB"/>
        </w:rPr>
        <w:t xml:space="preserve">ddressed to </w:t>
      </w:r>
      <w:r w:rsidR="00977790" w:rsidRPr="00DE2EDF">
        <w:rPr>
          <w:rFonts w:eastAsia="Times New Roman" w:cs="Times New Roman"/>
          <w:iCs/>
          <w:lang w:val="en-GB"/>
        </w:rPr>
        <w:t>all State organs</w:t>
      </w:r>
      <w:r w:rsidR="00B221A0" w:rsidRPr="00DE2EDF">
        <w:rPr>
          <w:rFonts w:eastAsia="Times New Roman" w:cs="Times New Roman"/>
          <w:iCs/>
          <w:lang w:val="en-GB"/>
        </w:rPr>
        <w:t xml:space="preserve">, </w:t>
      </w:r>
      <w:r w:rsidR="00977790" w:rsidRPr="00DE2EDF">
        <w:rPr>
          <w:rFonts w:eastAsia="Times New Roman" w:cs="Times New Roman"/>
          <w:iCs/>
          <w:lang w:val="en-GB"/>
        </w:rPr>
        <w:t xml:space="preserve">including </w:t>
      </w:r>
      <w:r w:rsidR="00B34B5A" w:rsidRPr="00DE2EDF">
        <w:rPr>
          <w:rFonts w:eastAsia="Times New Roman" w:cs="Times New Roman"/>
          <w:iCs/>
          <w:lang w:val="en-GB"/>
        </w:rPr>
        <w:t>civil servants</w:t>
      </w:r>
      <w:bookmarkStart w:id="312" w:name="_ftnref159"/>
      <w:r w:rsidR="009C3302" w:rsidRPr="00DE2EDF">
        <w:rPr>
          <w:rFonts w:eastAsia="Times New Roman" w:cs="Times New Roman"/>
          <w:iCs/>
          <w:lang w:val="en-GB"/>
        </w:rPr>
        <w:t>.</w:t>
      </w:r>
      <w:r w:rsidR="00977790" w:rsidRPr="00DE2EDF">
        <w:rPr>
          <w:rStyle w:val="FootnoteReference"/>
          <w:rFonts w:eastAsia="Times New Roman" w:cs="Times New Roman"/>
          <w:iCs/>
          <w:lang w:val="en-GB"/>
        </w:rPr>
        <w:footnoteReference w:id="195"/>
      </w:r>
      <w:bookmarkEnd w:id="312"/>
      <w:r w:rsidR="00977790" w:rsidRPr="00DE2EDF">
        <w:rPr>
          <w:rFonts w:eastAsia="Times New Roman" w:cs="Times New Roman"/>
          <w:iCs/>
          <w:lang w:val="en-GB"/>
        </w:rPr>
        <w:t xml:space="preserve"> </w:t>
      </w:r>
      <w:r w:rsidR="00930413" w:rsidRPr="00DE2EDF">
        <w:rPr>
          <w:rFonts w:eastAsia="Times New Roman" w:cs="Times New Roman"/>
          <w:iCs/>
          <w:lang w:val="en-GB"/>
        </w:rPr>
        <w:t xml:space="preserve">(b) If </w:t>
      </w:r>
      <w:r w:rsidR="00B221A0" w:rsidRPr="00DE2EDF">
        <w:rPr>
          <w:rFonts w:eastAsia="Times New Roman" w:cs="Times New Roman"/>
          <w:iCs/>
          <w:lang w:val="en-GB"/>
        </w:rPr>
        <w:t xml:space="preserve">the concept does not allow </w:t>
      </w:r>
      <w:r w:rsidR="0030076C" w:rsidRPr="00DE2EDF">
        <w:rPr>
          <w:rFonts w:eastAsia="Times New Roman" w:cs="Times New Roman"/>
          <w:iCs/>
          <w:lang w:val="en-GB"/>
        </w:rPr>
        <w:t>administrative bodies</w:t>
      </w:r>
      <w:r w:rsidR="00B221A0" w:rsidRPr="00DE2EDF">
        <w:rPr>
          <w:rFonts w:eastAsia="Times New Roman" w:cs="Times New Roman"/>
          <w:iCs/>
          <w:lang w:val="en-GB"/>
        </w:rPr>
        <w:t xml:space="preserve"> to ignore the Constitution</w:t>
      </w:r>
      <w:r w:rsidR="006023BC" w:rsidRPr="00DE2EDF">
        <w:rPr>
          <w:rFonts w:eastAsia="Times New Roman" w:cs="Times New Roman"/>
          <w:iCs/>
          <w:lang w:val="en-GB"/>
        </w:rPr>
        <w:t xml:space="preserve"> (they must construe statutes in a way which is compatible with the Constitution)</w:t>
      </w:r>
      <w:r w:rsidR="00930413" w:rsidRPr="00DE2EDF">
        <w:rPr>
          <w:rFonts w:eastAsia="Times New Roman" w:cs="Times New Roman"/>
          <w:iCs/>
          <w:lang w:val="en-GB"/>
        </w:rPr>
        <w:t xml:space="preserve">, </w:t>
      </w:r>
      <w:r w:rsidR="00E756E0" w:rsidRPr="00DE2EDF">
        <w:rPr>
          <w:rFonts w:eastAsia="Times New Roman" w:cs="Times New Roman"/>
          <w:iCs/>
          <w:lang w:val="en-GB"/>
        </w:rPr>
        <w:t>i</w:t>
      </w:r>
      <w:r w:rsidR="00B221A0" w:rsidRPr="00DE2EDF">
        <w:rPr>
          <w:rFonts w:eastAsia="Times New Roman" w:cs="Times New Roman"/>
          <w:iCs/>
          <w:lang w:val="en-GB"/>
        </w:rPr>
        <w:t xml:space="preserve">t makes no sense to speak of ‘a </w:t>
      </w:r>
      <w:r w:rsidR="00B221A0" w:rsidRPr="00DE2EDF">
        <w:rPr>
          <w:rFonts w:eastAsia="Times New Roman" w:cs="Times New Roman"/>
          <w:i/>
          <w:iCs/>
          <w:lang w:val="en-GB"/>
        </w:rPr>
        <w:t>primacy</w:t>
      </w:r>
      <w:r w:rsidR="00B221A0" w:rsidRPr="00DE2EDF">
        <w:rPr>
          <w:rFonts w:eastAsia="Times New Roman" w:cs="Times New Roman"/>
          <w:iCs/>
          <w:lang w:val="en-GB"/>
        </w:rPr>
        <w:t xml:space="preserve"> of implementation’ as </w:t>
      </w:r>
      <w:r w:rsidR="0030076C" w:rsidRPr="00DE2EDF">
        <w:rPr>
          <w:rFonts w:eastAsia="Times New Roman" w:cs="Times New Roman"/>
          <w:iCs/>
          <w:lang w:val="en-GB"/>
        </w:rPr>
        <w:t>the administration is</w:t>
      </w:r>
      <w:r w:rsidR="00B221A0" w:rsidRPr="00DE2EDF">
        <w:rPr>
          <w:rFonts w:eastAsia="Times New Roman" w:cs="Times New Roman"/>
          <w:iCs/>
          <w:lang w:val="en-GB"/>
        </w:rPr>
        <w:t xml:space="preserve"> supposed</w:t>
      </w:r>
      <w:r w:rsidR="00E756E0" w:rsidRPr="00DE2EDF">
        <w:rPr>
          <w:rFonts w:eastAsia="Times New Roman" w:cs="Times New Roman"/>
          <w:iCs/>
          <w:lang w:val="en-GB"/>
        </w:rPr>
        <w:t xml:space="preserve"> to apply, simultaneously, all relevant legal norms, either c</w:t>
      </w:r>
      <w:r w:rsidR="00860DA5" w:rsidRPr="00DE2EDF">
        <w:rPr>
          <w:rFonts w:eastAsia="Times New Roman" w:cs="Times New Roman"/>
          <w:iCs/>
          <w:lang w:val="en-GB"/>
        </w:rPr>
        <w:t>oncrete or abstract, in a given case.</w:t>
      </w:r>
    </w:p>
    <w:p w14:paraId="4C48CC4E" w14:textId="77777777" w:rsidR="002D66C1" w:rsidRPr="00DE2EDF" w:rsidRDefault="002D66C1" w:rsidP="00DE2EDF">
      <w:pPr>
        <w:spacing w:after="0"/>
        <w:jc w:val="both"/>
        <w:rPr>
          <w:rFonts w:eastAsia="Times New Roman" w:cs="Times New Roman"/>
          <w:iCs/>
          <w:lang w:val="en-GB"/>
        </w:rPr>
      </w:pPr>
    </w:p>
    <w:p w14:paraId="1FD2A62D" w14:textId="77777777" w:rsidR="003472F3" w:rsidRPr="00DE2EDF" w:rsidRDefault="003472F3" w:rsidP="00DE2EDF">
      <w:pPr>
        <w:pStyle w:val="Heading3"/>
        <w:rPr>
          <w:rFonts w:cs="Times New Roman"/>
          <w:szCs w:val="24"/>
        </w:rPr>
      </w:pPr>
      <w:bookmarkStart w:id="313" w:name="_Toc253048952"/>
      <w:bookmarkStart w:id="314" w:name="_Toc252700499"/>
      <w:bookmarkStart w:id="315" w:name="_Toc245196684"/>
      <w:bookmarkStart w:id="316" w:name="_Toc460405645"/>
      <w:bookmarkEnd w:id="313"/>
      <w:bookmarkEnd w:id="314"/>
      <w:r w:rsidRPr="00DE2EDF">
        <w:rPr>
          <w:rFonts w:cs="Times New Roman"/>
          <w:szCs w:val="24"/>
        </w:rPr>
        <w:t>d</w:t>
      </w:r>
      <w:r w:rsidR="002D66C1" w:rsidRPr="00DE2EDF">
        <w:rPr>
          <w:rFonts w:cs="Times New Roman"/>
          <w:szCs w:val="24"/>
        </w:rPr>
        <w:t xml:space="preserve">) </w:t>
      </w:r>
      <w:r w:rsidR="00EA2E67" w:rsidRPr="00DE2EDF">
        <w:rPr>
          <w:rFonts w:cs="Times New Roman"/>
          <w:szCs w:val="24"/>
        </w:rPr>
        <w:t xml:space="preserve">The </w:t>
      </w:r>
      <w:r w:rsidR="00EA2E67" w:rsidRPr="00DE2EDF">
        <w:rPr>
          <w:rFonts w:cs="Times New Roman"/>
          <w:i w:val="0"/>
          <w:szCs w:val="24"/>
        </w:rPr>
        <w:t>T</w:t>
      </w:r>
      <w:r w:rsidRPr="00DE2EDF">
        <w:rPr>
          <w:rFonts w:cs="Times New Roman"/>
          <w:i w:val="0"/>
          <w:szCs w:val="24"/>
        </w:rPr>
        <w:t>elos</w:t>
      </w:r>
      <w:r w:rsidRPr="00DE2EDF">
        <w:rPr>
          <w:rFonts w:cs="Times New Roman"/>
          <w:szCs w:val="24"/>
        </w:rPr>
        <w:t xml:space="preserve"> of the Constitution: </w:t>
      </w:r>
      <w:r w:rsidR="0086237D" w:rsidRPr="00DE2EDF">
        <w:rPr>
          <w:rFonts w:cs="Times New Roman"/>
          <w:szCs w:val="24"/>
        </w:rPr>
        <w:t>T</w:t>
      </w:r>
      <w:r w:rsidRPr="00DE2EDF">
        <w:rPr>
          <w:rFonts w:cs="Times New Roman"/>
          <w:szCs w:val="24"/>
        </w:rPr>
        <w:t xml:space="preserve">ransformation or </w:t>
      </w:r>
      <w:r w:rsidR="0086237D" w:rsidRPr="00DE2EDF">
        <w:rPr>
          <w:rFonts w:cs="Times New Roman"/>
          <w:szCs w:val="24"/>
        </w:rPr>
        <w:t>C</w:t>
      </w:r>
      <w:r w:rsidRPr="00DE2EDF">
        <w:rPr>
          <w:rFonts w:cs="Times New Roman"/>
          <w:szCs w:val="24"/>
        </w:rPr>
        <w:t xml:space="preserve">onsolidation of the </w:t>
      </w:r>
      <w:r w:rsidR="0086237D" w:rsidRPr="00DE2EDF">
        <w:rPr>
          <w:rFonts w:cs="Times New Roman"/>
          <w:szCs w:val="24"/>
        </w:rPr>
        <w:t>P</w:t>
      </w:r>
      <w:r w:rsidR="0002127C" w:rsidRPr="00DE2EDF">
        <w:rPr>
          <w:rFonts w:cs="Times New Roman"/>
          <w:szCs w:val="24"/>
        </w:rPr>
        <w:t>re-</w:t>
      </w:r>
      <w:r w:rsidR="0086237D" w:rsidRPr="00DE2EDF">
        <w:rPr>
          <w:rFonts w:cs="Times New Roman"/>
          <w:szCs w:val="24"/>
        </w:rPr>
        <w:t>E</w:t>
      </w:r>
      <w:r w:rsidRPr="00DE2EDF">
        <w:rPr>
          <w:rFonts w:cs="Times New Roman"/>
          <w:szCs w:val="24"/>
        </w:rPr>
        <w:t xml:space="preserve">xisting </w:t>
      </w:r>
      <w:r w:rsidR="0002127C" w:rsidRPr="00DE2EDF">
        <w:rPr>
          <w:rFonts w:cs="Times New Roman"/>
          <w:szCs w:val="24"/>
        </w:rPr>
        <w:t>(</w:t>
      </w:r>
      <w:r w:rsidR="00EA2E67" w:rsidRPr="00DE2EDF">
        <w:rPr>
          <w:rFonts w:cs="Times New Roman"/>
          <w:szCs w:val="24"/>
        </w:rPr>
        <w:t>A</w:t>
      </w:r>
      <w:r w:rsidR="0002127C" w:rsidRPr="00DE2EDF">
        <w:rPr>
          <w:rFonts w:cs="Times New Roman"/>
          <w:szCs w:val="24"/>
        </w:rPr>
        <w:t xml:space="preserve">dministrative) </w:t>
      </w:r>
      <w:r w:rsidR="0086237D" w:rsidRPr="00DE2EDF">
        <w:rPr>
          <w:rFonts w:cs="Times New Roman"/>
          <w:szCs w:val="24"/>
        </w:rPr>
        <w:t>O</w:t>
      </w:r>
      <w:r w:rsidR="0002127C" w:rsidRPr="00DE2EDF">
        <w:rPr>
          <w:rFonts w:cs="Times New Roman"/>
          <w:szCs w:val="24"/>
        </w:rPr>
        <w:t xml:space="preserve">rdinary </w:t>
      </w:r>
      <w:r w:rsidR="0086237D" w:rsidRPr="00DE2EDF">
        <w:rPr>
          <w:rFonts w:cs="Times New Roman"/>
          <w:szCs w:val="24"/>
        </w:rPr>
        <w:t>L</w:t>
      </w:r>
      <w:r w:rsidR="0002127C" w:rsidRPr="00DE2EDF">
        <w:rPr>
          <w:rFonts w:cs="Times New Roman"/>
          <w:szCs w:val="24"/>
        </w:rPr>
        <w:t>aw</w:t>
      </w:r>
      <w:r w:rsidRPr="00DE2EDF">
        <w:rPr>
          <w:rFonts w:cs="Times New Roman"/>
          <w:szCs w:val="24"/>
        </w:rPr>
        <w:t>?</w:t>
      </w:r>
      <w:bookmarkEnd w:id="315"/>
      <w:bookmarkEnd w:id="316"/>
    </w:p>
    <w:p w14:paraId="6F3DDE04" w14:textId="77777777" w:rsidR="002D66C1" w:rsidRPr="00DE2EDF" w:rsidRDefault="002D66C1" w:rsidP="00DE2EDF">
      <w:pPr>
        <w:spacing w:after="0"/>
        <w:rPr>
          <w:rFonts w:cs="Times New Roman"/>
          <w:lang w:val="en-GB"/>
        </w:rPr>
      </w:pPr>
    </w:p>
    <w:p w14:paraId="337B3F35"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One absolutely key parameter for </w:t>
      </w:r>
      <w:r w:rsidR="002F451A" w:rsidRPr="00DE2EDF">
        <w:rPr>
          <w:rFonts w:eastAsia="Times New Roman" w:cs="Times New Roman"/>
          <w:iCs/>
          <w:lang w:val="en-GB"/>
        </w:rPr>
        <w:t>defining</w:t>
      </w:r>
      <w:r w:rsidR="006C5EE6" w:rsidRPr="00DE2EDF">
        <w:rPr>
          <w:rFonts w:eastAsia="Times New Roman" w:cs="Times New Roman"/>
          <w:iCs/>
          <w:lang w:val="en-GB"/>
        </w:rPr>
        <w:t xml:space="preserve"> the nature</w:t>
      </w:r>
      <w:r w:rsidR="005F3E0A" w:rsidRPr="00DE2EDF">
        <w:rPr>
          <w:rFonts w:eastAsia="Times New Roman" w:cs="Times New Roman"/>
          <w:iCs/>
          <w:lang w:val="en-GB"/>
        </w:rPr>
        <w:t xml:space="preserve"> and scope</w:t>
      </w:r>
      <w:r w:rsidR="006C5EE6" w:rsidRPr="00DE2EDF">
        <w:rPr>
          <w:rFonts w:eastAsia="Times New Roman" w:cs="Times New Roman"/>
          <w:iCs/>
          <w:lang w:val="en-GB"/>
        </w:rPr>
        <w:t xml:space="preserve"> of</w:t>
      </w:r>
      <w:r w:rsidRPr="00DE2EDF">
        <w:rPr>
          <w:rFonts w:eastAsia="Times New Roman" w:cs="Times New Roman"/>
          <w:iCs/>
          <w:lang w:val="en-GB"/>
        </w:rPr>
        <w:t xml:space="preserve"> </w:t>
      </w:r>
      <w:r w:rsidR="009004AF" w:rsidRPr="00DE2EDF">
        <w:rPr>
          <w:rFonts w:eastAsia="Times New Roman" w:cs="Times New Roman"/>
          <w:iCs/>
          <w:lang w:val="en-GB"/>
        </w:rPr>
        <w:t xml:space="preserve">the </w:t>
      </w:r>
      <w:r w:rsidR="00E56886">
        <w:rPr>
          <w:rFonts w:eastAsia="Times New Roman" w:cs="Times New Roman"/>
          <w:iCs/>
          <w:lang w:val="en-GB"/>
        </w:rPr>
        <w:t>constitutionaliz</w:t>
      </w:r>
      <w:r w:rsidRPr="00DE2EDF">
        <w:rPr>
          <w:rFonts w:eastAsia="Times New Roman" w:cs="Times New Roman"/>
          <w:iCs/>
          <w:lang w:val="en-GB"/>
        </w:rPr>
        <w:t>ation</w:t>
      </w:r>
      <w:r w:rsidR="009004AF" w:rsidRPr="00DE2EDF">
        <w:rPr>
          <w:rFonts w:eastAsia="Times New Roman" w:cs="Times New Roman"/>
          <w:iCs/>
          <w:lang w:val="en-GB"/>
        </w:rPr>
        <w:t xml:space="preserve"> phenomenon in a given country</w:t>
      </w:r>
      <w:r w:rsidRPr="00DE2EDF">
        <w:rPr>
          <w:rFonts w:eastAsia="Times New Roman" w:cs="Times New Roman"/>
          <w:iCs/>
          <w:lang w:val="en-GB"/>
        </w:rPr>
        <w:t xml:space="preserve"> is the Constitution</w:t>
      </w:r>
      <w:r w:rsidR="00530E16" w:rsidRPr="00DE2EDF">
        <w:rPr>
          <w:rFonts w:eastAsia="Times New Roman" w:cs="Times New Roman"/>
          <w:iCs/>
          <w:lang w:val="en-GB"/>
        </w:rPr>
        <w:t>’</w:t>
      </w:r>
      <w:r w:rsidRPr="00DE2EDF">
        <w:rPr>
          <w:rFonts w:eastAsia="Times New Roman" w:cs="Times New Roman"/>
          <w:iCs/>
          <w:lang w:val="en-GB"/>
        </w:rPr>
        <w:t xml:space="preserve">s </w:t>
      </w:r>
      <w:r w:rsidR="00FF7A53" w:rsidRPr="00DE2EDF">
        <w:rPr>
          <w:rFonts w:eastAsia="Times New Roman" w:cs="Times New Roman"/>
          <w:iCs/>
          <w:lang w:val="en-GB"/>
        </w:rPr>
        <w:t>claim</w:t>
      </w:r>
      <w:r w:rsidRPr="00DE2EDF">
        <w:rPr>
          <w:rFonts w:eastAsia="Times New Roman" w:cs="Times New Roman"/>
          <w:iCs/>
          <w:lang w:val="en-GB"/>
        </w:rPr>
        <w:t xml:space="preserve"> to </w:t>
      </w:r>
      <w:r w:rsidR="00A622D4" w:rsidRPr="00DE2EDF">
        <w:rPr>
          <w:rFonts w:eastAsia="Times New Roman" w:cs="Times New Roman"/>
          <w:iCs/>
          <w:lang w:val="en-GB"/>
        </w:rPr>
        <w:t xml:space="preserve">either </w:t>
      </w:r>
      <w:r w:rsidRPr="00DE2EDF">
        <w:rPr>
          <w:rFonts w:eastAsia="Times New Roman" w:cs="Times New Roman"/>
          <w:i/>
          <w:iCs/>
          <w:lang w:val="en-GB"/>
        </w:rPr>
        <w:t>transform</w:t>
      </w:r>
      <w:r w:rsidRPr="00DE2EDF">
        <w:rPr>
          <w:rFonts w:eastAsia="Times New Roman" w:cs="Times New Roman"/>
          <w:iCs/>
          <w:lang w:val="en-GB"/>
        </w:rPr>
        <w:t xml:space="preserve"> </w:t>
      </w:r>
      <w:r w:rsidR="00DF3B4B" w:rsidRPr="00DE2EDF">
        <w:rPr>
          <w:rFonts w:eastAsia="Times New Roman" w:cs="Times New Roman"/>
          <w:iCs/>
          <w:lang w:val="en-GB"/>
        </w:rPr>
        <w:t xml:space="preserve">or </w:t>
      </w:r>
      <w:r w:rsidR="00DF3B4B" w:rsidRPr="00DE2EDF">
        <w:rPr>
          <w:rFonts w:eastAsia="Times New Roman" w:cs="Times New Roman"/>
          <w:i/>
          <w:iCs/>
          <w:lang w:val="en-GB"/>
        </w:rPr>
        <w:t>ratify</w:t>
      </w:r>
      <w:r w:rsidR="00DF3B4B" w:rsidRPr="00DE2EDF">
        <w:rPr>
          <w:rFonts w:eastAsia="Times New Roman" w:cs="Times New Roman"/>
          <w:iCs/>
          <w:lang w:val="en-GB"/>
        </w:rPr>
        <w:t xml:space="preserve"> pre-existing </w:t>
      </w:r>
      <w:r w:rsidRPr="00DE2EDF">
        <w:rPr>
          <w:rFonts w:eastAsia="Times New Roman" w:cs="Times New Roman"/>
          <w:iCs/>
          <w:lang w:val="en-GB"/>
        </w:rPr>
        <w:t xml:space="preserve">ordinary law. </w:t>
      </w:r>
      <w:r w:rsidR="00FF7A53" w:rsidRPr="00DE2EDF">
        <w:rPr>
          <w:rFonts w:eastAsia="Times New Roman" w:cs="Times New Roman"/>
          <w:iCs/>
          <w:lang w:val="en-GB"/>
        </w:rPr>
        <w:t>Its</w:t>
      </w:r>
      <w:r w:rsidR="00DF3B4B" w:rsidRPr="00DE2EDF">
        <w:rPr>
          <w:rFonts w:eastAsia="Times New Roman" w:cs="Times New Roman"/>
          <w:iCs/>
          <w:lang w:val="en-GB"/>
        </w:rPr>
        <w:t xml:space="preserve"> force to</w:t>
      </w:r>
      <w:r w:rsidR="00FF7A53" w:rsidRPr="00DE2EDF">
        <w:rPr>
          <w:rFonts w:eastAsia="Times New Roman" w:cs="Times New Roman"/>
          <w:iCs/>
          <w:lang w:val="en-GB"/>
        </w:rPr>
        <w:t xml:space="preserve"> transform</w:t>
      </w:r>
      <w:r w:rsidR="005615A3" w:rsidRPr="00DE2EDF">
        <w:rPr>
          <w:rFonts w:eastAsia="Times New Roman" w:cs="Times New Roman"/>
          <w:iCs/>
          <w:lang w:val="en-GB"/>
        </w:rPr>
        <w:t>,</w:t>
      </w:r>
      <w:r w:rsidR="00DF3B4B" w:rsidRPr="00DE2EDF">
        <w:rPr>
          <w:rFonts w:eastAsia="Times New Roman" w:cs="Times New Roman"/>
          <w:iCs/>
          <w:lang w:val="en-GB"/>
        </w:rPr>
        <w:t xml:space="preserve"> or even to revolutioni</w:t>
      </w:r>
      <w:r w:rsidR="00104BAD" w:rsidRPr="00DE2EDF">
        <w:rPr>
          <w:rFonts w:eastAsia="Times New Roman" w:cs="Times New Roman"/>
          <w:iCs/>
          <w:lang w:val="en-GB"/>
        </w:rPr>
        <w:t>z</w:t>
      </w:r>
      <w:r w:rsidR="00DF3B4B" w:rsidRPr="00DE2EDF">
        <w:rPr>
          <w:rFonts w:eastAsia="Times New Roman" w:cs="Times New Roman"/>
          <w:iCs/>
          <w:lang w:val="en-GB"/>
        </w:rPr>
        <w:t>e</w:t>
      </w:r>
      <w:r w:rsidR="005615A3" w:rsidRPr="00DE2EDF">
        <w:rPr>
          <w:rFonts w:eastAsia="Times New Roman" w:cs="Times New Roman"/>
          <w:iCs/>
          <w:lang w:val="en-GB"/>
        </w:rPr>
        <w:t>,</w:t>
      </w:r>
      <w:r w:rsidR="00DF3B4B" w:rsidRPr="00DE2EDF">
        <w:rPr>
          <w:rFonts w:eastAsia="Times New Roman" w:cs="Times New Roman"/>
          <w:iCs/>
          <w:lang w:val="en-GB"/>
        </w:rPr>
        <w:t xml:space="preserve"> the legal order depends: </w:t>
      </w:r>
      <w:r w:rsidR="00A622D4" w:rsidRPr="00DE2EDF">
        <w:rPr>
          <w:rFonts w:eastAsia="Times New Roman" w:cs="Times New Roman"/>
          <w:iCs/>
          <w:lang w:val="en-GB"/>
        </w:rPr>
        <w:t>(</w:t>
      </w:r>
      <w:r w:rsidR="00DF3B4B" w:rsidRPr="00DE2EDF">
        <w:rPr>
          <w:rFonts w:eastAsia="Times New Roman" w:cs="Times New Roman"/>
          <w:iCs/>
          <w:lang w:val="en-GB"/>
        </w:rPr>
        <w:t xml:space="preserve">a) on </w:t>
      </w:r>
      <w:r w:rsidRPr="00DE2EDF">
        <w:rPr>
          <w:rFonts w:eastAsia="Times New Roman" w:cs="Times New Roman"/>
          <w:iCs/>
          <w:lang w:val="en-GB"/>
        </w:rPr>
        <w:t xml:space="preserve">the </w:t>
      </w:r>
      <w:r w:rsidR="00A622D4" w:rsidRPr="00DE2EDF">
        <w:rPr>
          <w:rFonts w:eastAsia="Times New Roman" w:cs="Times New Roman"/>
          <w:iCs/>
          <w:lang w:val="en-GB"/>
        </w:rPr>
        <w:t>more-or-</w:t>
      </w:r>
      <w:r w:rsidR="001814A3" w:rsidRPr="00DE2EDF">
        <w:rPr>
          <w:rFonts w:eastAsia="Times New Roman" w:cs="Times New Roman"/>
          <w:iCs/>
          <w:lang w:val="en-GB"/>
        </w:rPr>
        <w:t xml:space="preserve">less important </w:t>
      </w:r>
      <w:r w:rsidR="005615A3" w:rsidRPr="00DE2EDF">
        <w:rPr>
          <w:rFonts w:eastAsia="Times New Roman" w:cs="Times New Roman"/>
          <w:iCs/>
          <w:lang w:val="en-GB"/>
        </w:rPr>
        <w:t>g</w:t>
      </w:r>
      <w:r w:rsidRPr="00DE2EDF">
        <w:rPr>
          <w:rFonts w:eastAsia="Times New Roman" w:cs="Times New Roman"/>
          <w:iCs/>
          <w:lang w:val="en-GB"/>
        </w:rPr>
        <w:t>ap between</w:t>
      </w:r>
      <w:r w:rsidR="00DF3B4B" w:rsidRPr="00DE2EDF">
        <w:rPr>
          <w:rFonts w:eastAsia="Times New Roman" w:cs="Times New Roman"/>
          <w:iCs/>
          <w:lang w:val="en-GB"/>
        </w:rPr>
        <w:t xml:space="preserve"> its own requirements and the content of </w:t>
      </w:r>
      <w:r w:rsidRPr="00DE2EDF">
        <w:rPr>
          <w:rFonts w:eastAsia="Times New Roman" w:cs="Times New Roman"/>
          <w:iCs/>
          <w:lang w:val="en-GB"/>
        </w:rPr>
        <w:t>ordinary law</w:t>
      </w:r>
      <w:r w:rsidR="00C21684" w:rsidRPr="00DE2EDF">
        <w:rPr>
          <w:rFonts w:eastAsia="Times New Roman" w:cs="Times New Roman"/>
          <w:iCs/>
          <w:lang w:val="en-GB"/>
        </w:rPr>
        <w:t xml:space="preserve"> inherited from the previous regime</w:t>
      </w:r>
      <w:r w:rsidR="00DF3B4B" w:rsidRPr="00DE2EDF">
        <w:rPr>
          <w:rFonts w:eastAsia="Times New Roman" w:cs="Times New Roman"/>
          <w:iCs/>
          <w:lang w:val="en-GB"/>
        </w:rPr>
        <w:t xml:space="preserve">; </w:t>
      </w:r>
      <w:r w:rsidR="00A622D4" w:rsidRPr="00DE2EDF">
        <w:rPr>
          <w:rFonts w:eastAsia="Times New Roman" w:cs="Times New Roman"/>
          <w:iCs/>
          <w:lang w:val="en-GB"/>
        </w:rPr>
        <w:t>and (</w:t>
      </w:r>
      <w:r w:rsidR="00DF3B4B" w:rsidRPr="00DE2EDF">
        <w:rPr>
          <w:rFonts w:eastAsia="Times New Roman" w:cs="Times New Roman"/>
          <w:iCs/>
          <w:lang w:val="en-GB"/>
        </w:rPr>
        <w:t xml:space="preserve">b) </w:t>
      </w:r>
      <w:r w:rsidR="00266059" w:rsidRPr="00DE2EDF">
        <w:rPr>
          <w:rFonts w:eastAsia="Times New Roman" w:cs="Times New Roman"/>
          <w:iCs/>
          <w:lang w:val="en-GB"/>
        </w:rPr>
        <w:t xml:space="preserve">on the ability and </w:t>
      </w:r>
      <w:r w:rsidR="00D31CFA" w:rsidRPr="00DE2EDF">
        <w:rPr>
          <w:rFonts w:eastAsia="Times New Roman" w:cs="Times New Roman"/>
          <w:iCs/>
          <w:lang w:val="en-GB"/>
        </w:rPr>
        <w:t xml:space="preserve">will of </w:t>
      </w:r>
      <w:r w:rsidR="005615A3" w:rsidRPr="00DE2EDF">
        <w:rPr>
          <w:rFonts w:eastAsia="Times New Roman" w:cs="Times New Roman"/>
          <w:iCs/>
          <w:lang w:val="en-GB"/>
        </w:rPr>
        <w:t xml:space="preserve">the </w:t>
      </w:r>
      <w:r w:rsidR="00D31CFA" w:rsidRPr="00DE2EDF">
        <w:rPr>
          <w:rFonts w:eastAsia="Times New Roman" w:cs="Times New Roman"/>
          <w:iCs/>
          <w:lang w:val="en-GB"/>
        </w:rPr>
        <w:t>various state organs to</w:t>
      </w:r>
      <w:r w:rsidR="00DF3B4B" w:rsidRPr="00DE2EDF">
        <w:rPr>
          <w:rFonts w:eastAsia="Times New Roman" w:cs="Times New Roman"/>
          <w:iCs/>
          <w:lang w:val="en-GB"/>
        </w:rPr>
        <w:t xml:space="preserve"> enforc</w:t>
      </w:r>
      <w:r w:rsidR="00D31CFA" w:rsidRPr="00DE2EDF">
        <w:rPr>
          <w:rFonts w:eastAsia="Times New Roman" w:cs="Times New Roman"/>
          <w:iCs/>
          <w:lang w:val="en-GB"/>
        </w:rPr>
        <w:t>e</w:t>
      </w:r>
      <w:r w:rsidR="00DF3B4B" w:rsidRPr="00DE2EDF">
        <w:rPr>
          <w:rFonts w:eastAsia="Times New Roman" w:cs="Times New Roman"/>
          <w:iCs/>
          <w:lang w:val="en-GB"/>
        </w:rPr>
        <w:t xml:space="preserve"> the Constitution’s claim to supremacy</w:t>
      </w:r>
      <w:r w:rsidRPr="00DE2EDF">
        <w:rPr>
          <w:rFonts w:eastAsia="Times New Roman" w:cs="Times New Roman"/>
          <w:iCs/>
          <w:lang w:val="en-GB"/>
        </w:rPr>
        <w:t xml:space="preserve">. </w:t>
      </w:r>
      <w:r w:rsidR="00DF3B4B" w:rsidRPr="00DE2EDF">
        <w:rPr>
          <w:rFonts w:eastAsia="Times New Roman" w:cs="Times New Roman"/>
          <w:iCs/>
          <w:lang w:val="en-GB"/>
        </w:rPr>
        <w:t xml:space="preserve">Paradigmatic </w:t>
      </w:r>
      <w:r w:rsidRPr="00DE2EDF">
        <w:rPr>
          <w:rFonts w:eastAsia="Times New Roman" w:cs="Times New Roman"/>
          <w:iCs/>
          <w:lang w:val="en-GB"/>
        </w:rPr>
        <w:t>examples</w:t>
      </w:r>
      <w:r w:rsidR="001814A3" w:rsidRPr="00DE2EDF">
        <w:rPr>
          <w:rFonts w:eastAsia="Times New Roman" w:cs="Times New Roman"/>
          <w:iCs/>
          <w:lang w:val="en-GB"/>
        </w:rPr>
        <w:t xml:space="preserve"> of factor </w:t>
      </w:r>
      <w:r w:rsidR="00A622D4" w:rsidRPr="00DE2EDF">
        <w:rPr>
          <w:rFonts w:eastAsia="Times New Roman" w:cs="Times New Roman"/>
          <w:iCs/>
          <w:lang w:val="en-GB"/>
        </w:rPr>
        <w:t>(</w:t>
      </w:r>
      <w:r w:rsidR="001814A3" w:rsidRPr="00DE2EDF">
        <w:rPr>
          <w:rFonts w:eastAsia="Times New Roman" w:cs="Times New Roman"/>
          <w:iCs/>
          <w:lang w:val="en-GB"/>
        </w:rPr>
        <w:t>a)</w:t>
      </w:r>
      <w:r w:rsidRPr="00DE2EDF">
        <w:rPr>
          <w:rFonts w:eastAsia="Times New Roman" w:cs="Times New Roman"/>
          <w:iCs/>
          <w:lang w:val="en-GB"/>
        </w:rPr>
        <w:t xml:space="preserve"> are </w:t>
      </w:r>
      <w:r w:rsidR="00530E16" w:rsidRPr="00DE2EDF">
        <w:rPr>
          <w:rFonts w:eastAsia="Times New Roman" w:cs="Times New Roman"/>
          <w:iCs/>
          <w:lang w:val="en-GB"/>
        </w:rPr>
        <w:t>‘</w:t>
      </w:r>
      <w:r w:rsidRPr="00DE2EDF">
        <w:rPr>
          <w:rFonts w:eastAsia="Times New Roman" w:cs="Times New Roman"/>
          <w:iCs/>
          <w:lang w:val="en-GB"/>
        </w:rPr>
        <w:t>younger</w:t>
      </w:r>
      <w:r w:rsidR="00530E16" w:rsidRPr="00DE2EDF">
        <w:rPr>
          <w:rFonts w:eastAsia="Times New Roman" w:cs="Times New Roman"/>
          <w:iCs/>
          <w:lang w:val="en-GB"/>
        </w:rPr>
        <w:t>’</w:t>
      </w:r>
      <w:r w:rsidRPr="00DE2EDF">
        <w:rPr>
          <w:rFonts w:eastAsia="Times New Roman" w:cs="Times New Roman"/>
          <w:iCs/>
          <w:lang w:val="en-GB"/>
        </w:rPr>
        <w:t xml:space="preserve"> democrac</w:t>
      </w:r>
      <w:r w:rsidR="002F451A" w:rsidRPr="00DE2EDF">
        <w:rPr>
          <w:rFonts w:eastAsia="Times New Roman" w:cs="Times New Roman"/>
          <w:iCs/>
          <w:lang w:val="en-GB"/>
        </w:rPr>
        <w:t xml:space="preserve">ies, with a new liberal Constitution, </w:t>
      </w:r>
      <w:r w:rsidRPr="00DE2EDF">
        <w:rPr>
          <w:rFonts w:eastAsia="Times New Roman" w:cs="Times New Roman"/>
          <w:iCs/>
          <w:lang w:val="en-GB"/>
        </w:rPr>
        <w:t xml:space="preserve">that have inherited </w:t>
      </w:r>
      <w:r w:rsidR="005615A3" w:rsidRPr="00DE2EDF">
        <w:rPr>
          <w:rFonts w:eastAsia="Times New Roman" w:cs="Times New Roman"/>
          <w:iCs/>
          <w:lang w:val="en-GB"/>
        </w:rPr>
        <w:t>authoritarian</w:t>
      </w:r>
      <w:r w:rsidR="006C5EE6" w:rsidRPr="00DE2EDF">
        <w:rPr>
          <w:rFonts w:eastAsia="Times New Roman" w:cs="Times New Roman"/>
          <w:iCs/>
          <w:lang w:val="en-GB"/>
        </w:rPr>
        <w:t xml:space="preserve"> </w:t>
      </w:r>
      <w:r w:rsidR="005F3E0A" w:rsidRPr="00DE2EDF">
        <w:rPr>
          <w:rFonts w:eastAsia="Times New Roman" w:cs="Times New Roman"/>
          <w:iCs/>
          <w:lang w:val="en-GB"/>
        </w:rPr>
        <w:t>administrative law</w:t>
      </w:r>
      <w:r w:rsidR="00C21684" w:rsidRPr="00DE2EDF">
        <w:rPr>
          <w:rFonts w:eastAsia="Times New Roman" w:cs="Times New Roman"/>
          <w:iCs/>
          <w:lang w:val="en-GB"/>
        </w:rPr>
        <w:t>s (statutes, regulations, case law, etc.)</w:t>
      </w:r>
      <w:r w:rsidRPr="00DE2EDF">
        <w:rPr>
          <w:rFonts w:eastAsia="Times New Roman" w:cs="Times New Roman"/>
          <w:iCs/>
          <w:lang w:val="en-GB"/>
        </w:rPr>
        <w:t xml:space="preserve"> from a previous dictatorship (e.g., Germany, Italy, Spain, Portugal,</w:t>
      </w:r>
      <w:r w:rsidR="0002127C" w:rsidRPr="00DE2EDF">
        <w:rPr>
          <w:rFonts w:eastAsia="Times New Roman" w:cs="Times New Roman"/>
          <w:iCs/>
          <w:lang w:val="en-GB"/>
        </w:rPr>
        <w:t xml:space="preserve"> Greece,</w:t>
      </w:r>
      <w:r w:rsidRPr="00DE2EDF">
        <w:rPr>
          <w:rFonts w:eastAsia="Times New Roman" w:cs="Times New Roman"/>
          <w:iCs/>
          <w:lang w:val="en-GB"/>
        </w:rPr>
        <w:t xml:space="preserve"> Eastern and Central Europe</w:t>
      </w:r>
      <w:r w:rsidR="009947BF" w:rsidRPr="00DE2EDF">
        <w:rPr>
          <w:rFonts w:eastAsia="Times New Roman" w:cs="Times New Roman"/>
          <w:iCs/>
          <w:lang w:val="en-GB"/>
        </w:rPr>
        <w:t xml:space="preserve">, South America, </w:t>
      </w:r>
      <w:r w:rsidR="00D065F4" w:rsidRPr="00DE2EDF">
        <w:rPr>
          <w:rFonts w:eastAsia="Times New Roman" w:cs="Times New Roman"/>
          <w:iCs/>
          <w:lang w:val="en-GB"/>
        </w:rPr>
        <w:t xml:space="preserve">South Africa, </w:t>
      </w:r>
      <w:r w:rsidR="009947BF" w:rsidRPr="00DE2EDF">
        <w:rPr>
          <w:rFonts w:eastAsia="Times New Roman" w:cs="Times New Roman"/>
          <w:iCs/>
          <w:lang w:val="en-GB"/>
        </w:rPr>
        <w:t>etc.</w:t>
      </w:r>
      <w:r w:rsidRPr="00DE2EDF">
        <w:rPr>
          <w:rFonts w:eastAsia="Times New Roman" w:cs="Times New Roman"/>
          <w:iCs/>
          <w:lang w:val="en-GB"/>
        </w:rPr>
        <w:t xml:space="preserve">). </w:t>
      </w:r>
      <w:r w:rsidR="006C5EE6" w:rsidRPr="00DE2EDF">
        <w:rPr>
          <w:rFonts w:eastAsia="Times New Roman" w:cs="Times New Roman"/>
          <w:iCs/>
          <w:lang w:val="en-GB"/>
        </w:rPr>
        <w:t>In such cases, t</w:t>
      </w:r>
      <w:r w:rsidRPr="00DE2EDF">
        <w:rPr>
          <w:rFonts w:eastAsia="Times New Roman" w:cs="Times New Roman"/>
          <w:iCs/>
          <w:lang w:val="en-GB"/>
        </w:rPr>
        <w:t>he potential for</w:t>
      </w:r>
      <w:r w:rsidR="005F3E0A" w:rsidRPr="00DE2EDF">
        <w:rPr>
          <w:rFonts w:eastAsia="Times New Roman" w:cs="Times New Roman"/>
          <w:iCs/>
          <w:lang w:val="en-GB"/>
        </w:rPr>
        <w:t xml:space="preserve"> a </w:t>
      </w:r>
      <w:r w:rsidR="006C5EE6" w:rsidRPr="00DE2EDF">
        <w:rPr>
          <w:rFonts w:eastAsia="Times New Roman" w:cs="Times New Roman"/>
          <w:iCs/>
          <w:lang w:val="en-GB"/>
        </w:rPr>
        <w:t xml:space="preserve">transformation of </w:t>
      </w:r>
      <w:r w:rsidR="00C21684" w:rsidRPr="00DE2EDF">
        <w:rPr>
          <w:rFonts w:eastAsia="Times New Roman" w:cs="Times New Roman"/>
          <w:iCs/>
          <w:lang w:val="en-GB"/>
        </w:rPr>
        <w:t xml:space="preserve">ordinary </w:t>
      </w:r>
      <w:r w:rsidR="006C5EE6" w:rsidRPr="00DE2EDF">
        <w:rPr>
          <w:rFonts w:eastAsia="Times New Roman" w:cs="Times New Roman"/>
          <w:iCs/>
          <w:lang w:val="en-GB"/>
        </w:rPr>
        <w:t xml:space="preserve">administrative law, by the legislature and/or the courts, in light of </w:t>
      </w:r>
      <w:r w:rsidR="00C21684" w:rsidRPr="00DE2EDF">
        <w:rPr>
          <w:rFonts w:eastAsia="Times New Roman" w:cs="Times New Roman"/>
          <w:iCs/>
          <w:lang w:val="en-GB"/>
        </w:rPr>
        <w:t xml:space="preserve">the new </w:t>
      </w:r>
      <w:r w:rsidR="006C5EE6" w:rsidRPr="00DE2EDF">
        <w:rPr>
          <w:rFonts w:eastAsia="Times New Roman" w:cs="Times New Roman"/>
          <w:iCs/>
          <w:lang w:val="en-GB"/>
        </w:rPr>
        <w:t>constitutional values</w:t>
      </w:r>
      <w:r w:rsidRPr="00DE2EDF">
        <w:rPr>
          <w:rFonts w:eastAsia="Times New Roman" w:cs="Times New Roman"/>
          <w:iCs/>
          <w:lang w:val="en-GB"/>
        </w:rPr>
        <w:t xml:space="preserve"> is </w:t>
      </w:r>
      <w:r w:rsidR="006C5EE6" w:rsidRPr="00DE2EDF">
        <w:rPr>
          <w:rFonts w:eastAsia="Times New Roman" w:cs="Times New Roman"/>
          <w:iCs/>
          <w:lang w:val="en-GB"/>
        </w:rPr>
        <w:t xml:space="preserve">particularly high. </w:t>
      </w:r>
      <w:r w:rsidRPr="00DE2EDF">
        <w:rPr>
          <w:rFonts w:eastAsia="Times New Roman" w:cs="Times New Roman"/>
          <w:iCs/>
          <w:lang w:val="en-GB"/>
        </w:rPr>
        <w:t xml:space="preserve">The situation in </w:t>
      </w:r>
      <w:r w:rsidR="00530E16" w:rsidRPr="00DE2EDF">
        <w:rPr>
          <w:rFonts w:eastAsia="Times New Roman" w:cs="Times New Roman"/>
          <w:iCs/>
          <w:lang w:val="en-GB"/>
        </w:rPr>
        <w:t>‘</w:t>
      </w:r>
      <w:r w:rsidRPr="00DE2EDF">
        <w:rPr>
          <w:rFonts w:eastAsia="Times New Roman" w:cs="Times New Roman"/>
          <w:iCs/>
          <w:lang w:val="en-GB"/>
        </w:rPr>
        <w:t>old</w:t>
      </w:r>
      <w:r w:rsidR="00530E16" w:rsidRPr="00DE2EDF">
        <w:rPr>
          <w:rFonts w:eastAsia="Times New Roman" w:cs="Times New Roman"/>
          <w:iCs/>
          <w:lang w:val="en-GB"/>
        </w:rPr>
        <w:t>’</w:t>
      </w:r>
      <w:r w:rsidRPr="00DE2EDF">
        <w:rPr>
          <w:rFonts w:eastAsia="Times New Roman" w:cs="Times New Roman"/>
          <w:iCs/>
          <w:lang w:val="en-GB"/>
        </w:rPr>
        <w:t xml:space="preserve"> democracies (e.g., France, </w:t>
      </w:r>
      <w:r w:rsidR="006C5EE6" w:rsidRPr="00DE2EDF">
        <w:rPr>
          <w:rFonts w:eastAsia="Times New Roman" w:cs="Times New Roman"/>
          <w:iCs/>
          <w:lang w:val="en-GB"/>
        </w:rPr>
        <w:t>Nordic countries,</w:t>
      </w:r>
      <w:r w:rsidRPr="00DE2EDF">
        <w:rPr>
          <w:rFonts w:eastAsia="Times New Roman" w:cs="Times New Roman"/>
          <w:iCs/>
          <w:lang w:val="en-GB"/>
        </w:rPr>
        <w:t xml:space="preserve"> Benelux</w:t>
      </w:r>
      <w:r w:rsidR="006C5EE6" w:rsidRPr="00DE2EDF">
        <w:rPr>
          <w:rFonts w:eastAsia="Times New Roman" w:cs="Times New Roman"/>
          <w:iCs/>
          <w:lang w:val="en-GB"/>
        </w:rPr>
        <w:t>-States</w:t>
      </w:r>
      <w:r w:rsidR="00537BB7" w:rsidRPr="00DE2EDF">
        <w:rPr>
          <w:rFonts w:eastAsia="Times New Roman" w:cs="Times New Roman"/>
          <w:iCs/>
          <w:lang w:val="en-GB"/>
        </w:rPr>
        <w:t>,</w:t>
      </w:r>
      <w:r w:rsidRPr="00DE2EDF">
        <w:rPr>
          <w:rFonts w:eastAsia="Times New Roman" w:cs="Times New Roman"/>
          <w:iCs/>
          <w:lang w:val="en-GB"/>
        </w:rPr>
        <w:t xml:space="preserve"> and </w:t>
      </w:r>
      <w:r w:rsidR="00A918A6">
        <w:rPr>
          <w:rFonts w:eastAsia="Times New Roman" w:cs="Times New Roman"/>
          <w:iCs/>
          <w:lang w:val="en-GB"/>
        </w:rPr>
        <w:t>the United Kingdom</w:t>
      </w:r>
      <w:r w:rsidRPr="00DE2EDF">
        <w:rPr>
          <w:rFonts w:eastAsia="Times New Roman" w:cs="Times New Roman"/>
          <w:iCs/>
          <w:lang w:val="en-GB"/>
        </w:rPr>
        <w:t xml:space="preserve">) </w:t>
      </w:r>
      <w:r w:rsidR="005F3E0A" w:rsidRPr="00DE2EDF">
        <w:rPr>
          <w:rFonts w:eastAsia="Times New Roman" w:cs="Times New Roman"/>
          <w:iCs/>
          <w:lang w:val="en-GB"/>
        </w:rPr>
        <w:t>is</w:t>
      </w:r>
      <w:r w:rsidRPr="00DE2EDF">
        <w:rPr>
          <w:rFonts w:eastAsia="Times New Roman" w:cs="Times New Roman"/>
          <w:iCs/>
          <w:lang w:val="en-GB"/>
        </w:rPr>
        <w:t xml:space="preserve"> quite different</w:t>
      </w:r>
      <w:r w:rsidR="001A16F0" w:rsidRPr="00DE2EDF">
        <w:rPr>
          <w:rFonts w:eastAsia="Times New Roman" w:cs="Times New Roman"/>
          <w:iCs/>
          <w:lang w:val="en-GB"/>
        </w:rPr>
        <w:t>. A</w:t>
      </w:r>
      <w:r w:rsidRPr="00DE2EDF">
        <w:rPr>
          <w:rFonts w:eastAsia="Times New Roman" w:cs="Times New Roman"/>
          <w:iCs/>
          <w:lang w:val="en-GB"/>
        </w:rPr>
        <w:t xml:space="preserve">lthough the </w:t>
      </w:r>
      <w:r w:rsidR="00C21684" w:rsidRPr="00DE2EDF">
        <w:rPr>
          <w:rFonts w:eastAsia="Times New Roman" w:cs="Times New Roman"/>
          <w:iCs/>
          <w:lang w:val="en-GB"/>
        </w:rPr>
        <w:t xml:space="preserve">scholarly </w:t>
      </w:r>
      <w:r w:rsidRPr="00DE2EDF">
        <w:rPr>
          <w:rFonts w:eastAsia="Times New Roman" w:cs="Times New Roman"/>
          <w:iCs/>
          <w:lang w:val="en-GB"/>
        </w:rPr>
        <w:t xml:space="preserve">discourse </w:t>
      </w:r>
      <w:r w:rsidR="005F3E0A" w:rsidRPr="00DE2EDF">
        <w:rPr>
          <w:rFonts w:eastAsia="Times New Roman" w:cs="Times New Roman"/>
          <w:iCs/>
          <w:lang w:val="en-GB"/>
        </w:rPr>
        <w:t>tends</w:t>
      </w:r>
      <w:r w:rsidR="00750B9C" w:rsidRPr="00DE2EDF">
        <w:rPr>
          <w:rFonts w:eastAsia="Times New Roman" w:cs="Times New Roman"/>
          <w:iCs/>
          <w:lang w:val="en-GB"/>
        </w:rPr>
        <w:t>,</w:t>
      </w:r>
      <w:r w:rsidR="005F3E0A" w:rsidRPr="00DE2EDF">
        <w:rPr>
          <w:rFonts w:eastAsia="Times New Roman" w:cs="Times New Roman"/>
          <w:iCs/>
          <w:lang w:val="en-GB"/>
        </w:rPr>
        <w:t xml:space="preserve"> sometimes</w:t>
      </w:r>
      <w:r w:rsidR="00750B9C" w:rsidRPr="00DE2EDF">
        <w:rPr>
          <w:rFonts w:eastAsia="Times New Roman" w:cs="Times New Roman"/>
          <w:iCs/>
          <w:lang w:val="en-GB"/>
        </w:rPr>
        <w:t>,</w:t>
      </w:r>
      <w:r w:rsidR="005F3E0A" w:rsidRPr="00DE2EDF">
        <w:rPr>
          <w:rFonts w:eastAsia="Times New Roman" w:cs="Times New Roman"/>
          <w:iCs/>
          <w:lang w:val="en-GB"/>
        </w:rPr>
        <w:t xml:space="preserve"> to </w:t>
      </w:r>
      <w:r w:rsidRPr="00DE2EDF">
        <w:rPr>
          <w:rFonts w:eastAsia="Times New Roman" w:cs="Times New Roman"/>
          <w:iCs/>
          <w:lang w:val="en-GB"/>
        </w:rPr>
        <w:t>paint a too-rosy picture</w:t>
      </w:r>
      <w:r w:rsidR="00450B4B" w:rsidRPr="00DE2EDF">
        <w:rPr>
          <w:rFonts w:eastAsia="Times New Roman" w:cs="Times New Roman"/>
          <w:iCs/>
          <w:lang w:val="en-GB"/>
        </w:rPr>
        <w:t>,</w:t>
      </w:r>
      <w:r w:rsidR="00C21684" w:rsidRPr="00DE2EDF">
        <w:rPr>
          <w:rStyle w:val="FootnoteReference"/>
          <w:rFonts w:eastAsia="Times New Roman" w:cs="Times New Roman"/>
          <w:iCs/>
          <w:lang w:val="en-GB"/>
        </w:rPr>
        <w:footnoteReference w:id="196"/>
      </w:r>
      <w:r w:rsidRPr="00DE2EDF">
        <w:rPr>
          <w:rFonts w:eastAsia="Times New Roman" w:cs="Times New Roman"/>
          <w:iCs/>
          <w:lang w:val="en-GB"/>
        </w:rPr>
        <w:t xml:space="preserve"> </w:t>
      </w:r>
      <w:r w:rsidR="005F3E0A" w:rsidRPr="00DE2EDF">
        <w:rPr>
          <w:rFonts w:eastAsia="Times New Roman" w:cs="Times New Roman"/>
          <w:iCs/>
          <w:lang w:val="en-GB"/>
        </w:rPr>
        <w:t xml:space="preserve">one may assert </w:t>
      </w:r>
      <w:r w:rsidRPr="00DE2EDF">
        <w:rPr>
          <w:rFonts w:eastAsia="Times New Roman" w:cs="Times New Roman"/>
          <w:iCs/>
          <w:lang w:val="en-GB"/>
        </w:rPr>
        <w:t>th</w:t>
      </w:r>
      <w:r w:rsidR="005F3E0A" w:rsidRPr="00DE2EDF">
        <w:rPr>
          <w:rFonts w:eastAsia="Times New Roman" w:cs="Times New Roman"/>
          <w:iCs/>
          <w:lang w:val="en-GB"/>
        </w:rPr>
        <w:t>at</w:t>
      </w:r>
      <w:r w:rsidRPr="00DE2EDF">
        <w:rPr>
          <w:rFonts w:eastAsia="Times New Roman" w:cs="Times New Roman"/>
          <w:iCs/>
          <w:lang w:val="en-GB"/>
        </w:rPr>
        <w:t xml:space="preserve"> </w:t>
      </w:r>
      <w:r w:rsidR="005F3E0A" w:rsidRPr="00DE2EDF">
        <w:rPr>
          <w:rFonts w:eastAsia="Times New Roman" w:cs="Times New Roman"/>
          <w:iCs/>
          <w:lang w:val="en-GB"/>
        </w:rPr>
        <w:t xml:space="preserve">the </w:t>
      </w:r>
      <w:r w:rsidRPr="00DE2EDF">
        <w:rPr>
          <w:rFonts w:eastAsia="Times New Roman" w:cs="Times New Roman"/>
          <w:iCs/>
          <w:lang w:val="en-GB"/>
        </w:rPr>
        <w:t xml:space="preserve">administrative law </w:t>
      </w:r>
      <w:r w:rsidR="002F451A" w:rsidRPr="00DE2EDF">
        <w:rPr>
          <w:rFonts w:eastAsia="Times New Roman" w:cs="Times New Roman"/>
          <w:iCs/>
          <w:lang w:val="en-GB"/>
        </w:rPr>
        <w:t xml:space="preserve">of these countries </w:t>
      </w:r>
      <w:r w:rsidRPr="00DE2EDF">
        <w:rPr>
          <w:rFonts w:eastAsia="Times New Roman" w:cs="Times New Roman"/>
          <w:iCs/>
          <w:lang w:val="en-GB"/>
        </w:rPr>
        <w:t>was already marked by liberal</w:t>
      </w:r>
      <w:r w:rsidR="001814A3" w:rsidRPr="00DE2EDF">
        <w:rPr>
          <w:rFonts w:eastAsia="Times New Roman" w:cs="Times New Roman"/>
          <w:iCs/>
          <w:lang w:val="en-GB"/>
        </w:rPr>
        <w:t xml:space="preserve"> ideas </w:t>
      </w:r>
      <w:r w:rsidR="005F3E0A" w:rsidRPr="00DE2EDF">
        <w:rPr>
          <w:rFonts w:eastAsia="Times New Roman" w:cs="Times New Roman"/>
          <w:iCs/>
          <w:lang w:val="en-GB"/>
        </w:rPr>
        <w:t>in the past</w:t>
      </w:r>
      <w:r w:rsidRPr="00DE2EDF">
        <w:rPr>
          <w:rFonts w:eastAsia="Times New Roman" w:cs="Times New Roman"/>
          <w:iCs/>
          <w:lang w:val="en-GB"/>
        </w:rPr>
        <w:t>.</w:t>
      </w:r>
    </w:p>
    <w:p w14:paraId="1A34A28E" w14:textId="77777777" w:rsidR="000F4C26" w:rsidRPr="00DE2EDF" w:rsidRDefault="000F4C26" w:rsidP="00DE2EDF">
      <w:pPr>
        <w:spacing w:after="0"/>
        <w:jc w:val="both"/>
        <w:rPr>
          <w:rFonts w:eastAsia="Times New Roman" w:cs="Times New Roman"/>
          <w:iCs/>
          <w:lang w:val="en-GB"/>
        </w:rPr>
      </w:pPr>
    </w:p>
    <w:p w14:paraId="704CF44E" w14:textId="77777777" w:rsidR="00EE1F1D" w:rsidRPr="00DE2EDF" w:rsidRDefault="001814A3" w:rsidP="00DE2EDF">
      <w:pPr>
        <w:spacing w:after="0"/>
        <w:jc w:val="both"/>
        <w:rPr>
          <w:rFonts w:eastAsia="Times New Roman" w:cs="Times New Roman"/>
          <w:iCs/>
          <w:lang w:val="en-GB"/>
        </w:rPr>
      </w:pPr>
      <w:r w:rsidRPr="00DE2EDF">
        <w:rPr>
          <w:rFonts w:eastAsia="Times New Roman" w:cs="Times New Roman"/>
          <w:iCs/>
          <w:lang w:val="en-GB"/>
        </w:rPr>
        <w:t>T</w:t>
      </w:r>
      <w:r w:rsidR="004C3FA2" w:rsidRPr="00DE2EDF">
        <w:rPr>
          <w:rFonts w:eastAsia="Times New Roman" w:cs="Times New Roman"/>
          <w:iCs/>
          <w:lang w:val="en-GB"/>
        </w:rPr>
        <w:t>wo</w:t>
      </w:r>
      <w:r w:rsidR="002F451A" w:rsidRPr="00DE2EDF">
        <w:rPr>
          <w:rFonts w:eastAsia="Times New Roman" w:cs="Times New Roman"/>
          <w:iCs/>
          <w:lang w:val="en-GB"/>
        </w:rPr>
        <w:t xml:space="preserve"> ideal type</w:t>
      </w:r>
      <w:r w:rsidR="009F24A6" w:rsidRPr="00DE2EDF">
        <w:rPr>
          <w:rFonts w:eastAsia="Times New Roman" w:cs="Times New Roman"/>
          <w:iCs/>
          <w:lang w:val="en-GB"/>
        </w:rPr>
        <w:t>s</w:t>
      </w:r>
      <w:r w:rsidR="004C3FA2" w:rsidRPr="00DE2EDF">
        <w:rPr>
          <w:rFonts w:eastAsia="Times New Roman" w:cs="Times New Roman"/>
          <w:iCs/>
          <w:lang w:val="en-GB"/>
        </w:rPr>
        <w:t xml:space="preserve">, in the sense of </w:t>
      </w:r>
      <w:r w:rsidR="00750B9C" w:rsidRPr="00DE2EDF">
        <w:rPr>
          <w:rFonts w:eastAsia="Times New Roman" w:cs="Times New Roman"/>
          <w:iCs/>
          <w:lang w:val="en-GB"/>
        </w:rPr>
        <w:t xml:space="preserve">Max </w:t>
      </w:r>
      <w:r w:rsidR="004C3FA2" w:rsidRPr="00DE2EDF">
        <w:rPr>
          <w:rFonts w:eastAsia="Times New Roman" w:cs="Times New Roman"/>
          <w:iCs/>
          <w:lang w:val="en-GB"/>
        </w:rPr>
        <w:t>Weber</w:t>
      </w:r>
      <w:r w:rsidRPr="00DE2EDF">
        <w:rPr>
          <w:rFonts w:eastAsia="Times New Roman" w:cs="Times New Roman"/>
          <w:iCs/>
          <w:lang w:val="en-GB"/>
        </w:rPr>
        <w:t>, may serve as an analytical framework</w:t>
      </w:r>
      <w:r w:rsidR="004C3FA2" w:rsidRPr="00DE2EDF">
        <w:rPr>
          <w:rFonts w:eastAsia="Times New Roman" w:cs="Times New Roman"/>
          <w:iCs/>
          <w:lang w:val="en-GB"/>
        </w:rPr>
        <w:t>.</w:t>
      </w:r>
      <w:r w:rsidR="002F451A" w:rsidRPr="00DE2EDF">
        <w:rPr>
          <w:rFonts w:eastAsia="Times New Roman" w:cs="Times New Roman"/>
          <w:iCs/>
          <w:lang w:val="en-GB"/>
        </w:rPr>
        <w:t xml:space="preserve"> </w:t>
      </w:r>
      <w:r w:rsidR="004C3FA2" w:rsidRPr="00DE2EDF">
        <w:rPr>
          <w:rFonts w:eastAsia="Times New Roman" w:cs="Times New Roman"/>
          <w:iCs/>
          <w:lang w:val="en-GB"/>
        </w:rPr>
        <w:t>T</w:t>
      </w:r>
      <w:r w:rsidR="003472F3" w:rsidRPr="00DE2EDF">
        <w:rPr>
          <w:rFonts w:eastAsia="Times New Roman" w:cs="Times New Roman"/>
          <w:iCs/>
          <w:lang w:val="en-GB"/>
        </w:rPr>
        <w:t xml:space="preserve">he first </w:t>
      </w:r>
      <w:r w:rsidR="004C3FA2" w:rsidRPr="00DE2EDF">
        <w:rPr>
          <w:rFonts w:eastAsia="Times New Roman" w:cs="Times New Roman"/>
          <w:iCs/>
          <w:lang w:val="en-GB"/>
        </w:rPr>
        <w:t>model, which I propose to call ‘the Constitution as a motor’</w:t>
      </w:r>
      <w:r w:rsidR="009C3302" w:rsidRPr="00DE2EDF">
        <w:rPr>
          <w:rFonts w:eastAsia="Times New Roman" w:cs="Times New Roman"/>
          <w:iCs/>
          <w:lang w:val="en-GB"/>
        </w:rPr>
        <w:t>,</w:t>
      </w:r>
      <w:bookmarkStart w:id="317" w:name="_Ref457886580"/>
      <w:r w:rsidR="00A9249F" w:rsidRPr="00DE2EDF">
        <w:rPr>
          <w:rStyle w:val="FootnoteReference"/>
          <w:rFonts w:eastAsia="Times New Roman" w:cs="Times New Roman"/>
          <w:iCs/>
          <w:lang w:val="en-GB"/>
        </w:rPr>
        <w:footnoteReference w:id="197"/>
      </w:r>
      <w:bookmarkEnd w:id="317"/>
      <w:r w:rsidR="004C3FA2" w:rsidRPr="00DE2EDF">
        <w:rPr>
          <w:rFonts w:eastAsia="Times New Roman" w:cs="Times New Roman"/>
          <w:iCs/>
          <w:lang w:val="en-GB"/>
        </w:rPr>
        <w:t xml:space="preserve"> </w:t>
      </w:r>
      <w:r w:rsidR="003472F3" w:rsidRPr="00DE2EDF">
        <w:rPr>
          <w:rFonts w:eastAsia="Times New Roman" w:cs="Times New Roman"/>
          <w:iCs/>
          <w:lang w:val="en-GB"/>
        </w:rPr>
        <w:t xml:space="preserve">views the Constitution as the </w:t>
      </w:r>
      <w:r w:rsidR="004C3FA2" w:rsidRPr="00DE2EDF">
        <w:rPr>
          <w:rFonts w:eastAsia="Times New Roman" w:cs="Times New Roman"/>
          <w:iCs/>
          <w:lang w:val="en-GB"/>
        </w:rPr>
        <w:t>s</w:t>
      </w:r>
      <w:r w:rsidR="009F24A6" w:rsidRPr="00DE2EDF">
        <w:rPr>
          <w:rFonts w:eastAsia="Times New Roman" w:cs="Times New Roman"/>
          <w:iCs/>
          <w:lang w:val="en-GB"/>
        </w:rPr>
        <w:t xml:space="preserve">tarting point </w:t>
      </w:r>
      <w:r w:rsidR="00750B9C" w:rsidRPr="00DE2EDF">
        <w:rPr>
          <w:rFonts w:eastAsia="Times New Roman" w:cs="Times New Roman"/>
          <w:iCs/>
          <w:lang w:val="en-GB"/>
        </w:rPr>
        <w:t>for</w:t>
      </w:r>
      <w:r w:rsidR="00D34216" w:rsidRPr="00DE2EDF">
        <w:rPr>
          <w:rFonts w:eastAsia="Times New Roman" w:cs="Times New Roman"/>
          <w:iCs/>
          <w:lang w:val="en-GB"/>
        </w:rPr>
        <w:t>,</w:t>
      </w:r>
      <w:r w:rsidR="00750B9C" w:rsidRPr="00DE2EDF">
        <w:rPr>
          <w:rFonts w:eastAsia="Times New Roman" w:cs="Times New Roman"/>
          <w:iCs/>
          <w:lang w:val="en-GB"/>
        </w:rPr>
        <w:t xml:space="preserve"> </w:t>
      </w:r>
      <w:r w:rsidR="009F24A6" w:rsidRPr="00DE2EDF">
        <w:rPr>
          <w:rFonts w:eastAsia="Times New Roman" w:cs="Times New Roman"/>
          <w:iCs/>
          <w:lang w:val="en-GB"/>
        </w:rPr>
        <w:t xml:space="preserve">and driving force </w:t>
      </w:r>
      <w:r w:rsidR="00750B9C" w:rsidRPr="00DE2EDF">
        <w:rPr>
          <w:rFonts w:eastAsia="Times New Roman" w:cs="Times New Roman"/>
          <w:iCs/>
          <w:lang w:val="en-GB"/>
        </w:rPr>
        <w:t>behind</w:t>
      </w:r>
      <w:r w:rsidR="00D34216" w:rsidRPr="00DE2EDF">
        <w:rPr>
          <w:rFonts w:eastAsia="Times New Roman" w:cs="Times New Roman"/>
          <w:iCs/>
          <w:lang w:val="en-GB"/>
        </w:rPr>
        <w:t>,</w:t>
      </w:r>
      <w:r w:rsidR="00750B9C" w:rsidRPr="00DE2EDF">
        <w:rPr>
          <w:rFonts w:eastAsia="Times New Roman" w:cs="Times New Roman"/>
          <w:iCs/>
          <w:lang w:val="en-GB"/>
        </w:rPr>
        <w:t xml:space="preserve"> </w:t>
      </w:r>
      <w:r w:rsidR="003472F3" w:rsidRPr="00DE2EDF">
        <w:rPr>
          <w:rFonts w:eastAsia="Times New Roman" w:cs="Times New Roman"/>
          <w:iCs/>
          <w:lang w:val="en-GB"/>
        </w:rPr>
        <w:t>the new legal order</w:t>
      </w:r>
      <w:r w:rsidR="004C3FA2" w:rsidRPr="00DE2EDF">
        <w:rPr>
          <w:rFonts w:eastAsia="Times New Roman" w:cs="Times New Roman"/>
          <w:iCs/>
          <w:lang w:val="en-GB"/>
        </w:rPr>
        <w:t>.</w:t>
      </w:r>
      <w:r w:rsidR="009F24A6" w:rsidRPr="00DE2EDF">
        <w:rPr>
          <w:rFonts w:eastAsia="Times New Roman" w:cs="Times New Roman"/>
          <w:iCs/>
          <w:lang w:val="en-GB"/>
        </w:rPr>
        <w:t xml:space="preserve"> </w:t>
      </w:r>
      <w:r w:rsidR="00D96FF6" w:rsidRPr="00DE2EDF">
        <w:rPr>
          <w:rFonts w:eastAsia="Times New Roman" w:cs="Times New Roman"/>
          <w:iCs/>
          <w:lang w:val="en-GB"/>
        </w:rPr>
        <w:t xml:space="preserve">Age </w:t>
      </w:r>
      <w:r w:rsidR="00D96FF6" w:rsidRPr="00DE2EDF">
        <w:rPr>
          <w:rFonts w:eastAsia="Times New Roman" w:cs="Times New Roman"/>
          <w:iCs/>
          <w:lang w:val="en-GB"/>
        </w:rPr>
        <w:lastRenderedPageBreak/>
        <w:t>is considered a stain</w:t>
      </w:r>
      <w:r w:rsidR="00D065F4" w:rsidRPr="00DE2EDF">
        <w:rPr>
          <w:rFonts w:eastAsia="Times New Roman" w:cs="Times New Roman"/>
          <w:iCs/>
          <w:lang w:val="en-GB"/>
        </w:rPr>
        <w:t xml:space="preserve">, </w:t>
      </w:r>
      <w:r w:rsidR="00BF1AEF" w:rsidRPr="00DE2EDF">
        <w:rPr>
          <w:rFonts w:eastAsia="Times New Roman" w:cs="Times New Roman"/>
          <w:iCs/>
          <w:lang w:val="en-GB"/>
        </w:rPr>
        <w:t xml:space="preserve">everything old </w:t>
      </w:r>
      <w:r w:rsidR="00D065F4" w:rsidRPr="00DE2EDF">
        <w:rPr>
          <w:rFonts w:eastAsia="Times New Roman" w:cs="Times New Roman"/>
          <w:iCs/>
          <w:lang w:val="en-GB"/>
        </w:rPr>
        <w:t xml:space="preserve">being linked to </w:t>
      </w:r>
      <w:r w:rsidR="00D96FF6" w:rsidRPr="00DE2EDF">
        <w:rPr>
          <w:rFonts w:eastAsia="Times New Roman" w:cs="Times New Roman"/>
          <w:iCs/>
          <w:lang w:val="en-GB"/>
        </w:rPr>
        <w:t>the former dictatorship</w:t>
      </w:r>
      <w:bookmarkStart w:id="318" w:name="_ftnref162"/>
      <w:r w:rsidR="009C3302" w:rsidRPr="00DE2EDF">
        <w:rPr>
          <w:rFonts w:eastAsia="Times New Roman" w:cs="Times New Roman"/>
          <w:iCs/>
          <w:lang w:val="en-GB"/>
        </w:rPr>
        <w:t>.</w:t>
      </w:r>
      <w:r w:rsidR="005D047E" w:rsidRPr="00DE2EDF">
        <w:rPr>
          <w:rStyle w:val="FootnoteReference"/>
          <w:rFonts w:eastAsia="Times New Roman" w:cs="Times New Roman"/>
          <w:iCs/>
          <w:lang w:val="en-GB"/>
        </w:rPr>
        <w:footnoteReference w:id="198"/>
      </w:r>
      <w:bookmarkEnd w:id="318"/>
      <w:r w:rsidR="00BF1AEF" w:rsidRPr="00DE2EDF">
        <w:rPr>
          <w:rFonts w:eastAsia="Times New Roman" w:cs="Times New Roman"/>
          <w:iCs/>
          <w:lang w:val="en-GB"/>
        </w:rPr>
        <w:t xml:space="preserve"> The Constitution</w:t>
      </w:r>
      <w:r w:rsidR="004C3FA2" w:rsidRPr="00DE2EDF">
        <w:rPr>
          <w:rFonts w:eastAsia="Times New Roman" w:cs="Times New Roman"/>
          <w:iCs/>
          <w:lang w:val="en-GB"/>
        </w:rPr>
        <w:t xml:space="preserve"> is a major tool for legal re</w:t>
      </w:r>
      <w:r w:rsidR="00D34216" w:rsidRPr="00DE2EDF">
        <w:rPr>
          <w:rFonts w:eastAsia="Times New Roman" w:cs="Times New Roman"/>
          <w:iCs/>
          <w:lang w:val="en-GB"/>
        </w:rPr>
        <w:t>generation</w:t>
      </w:r>
      <w:r w:rsidR="004C3FA2" w:rsidRPr="00DE2EDF">
        <w:rPr>
          <w:rFonts w:eastAsia="Times New Roman" w:cs="Times New Roman"/>
          <w:iCs/>
          <w:lang w:val="en-GB"/>
        </w:rPr>
        <w:t xml:space="preserve">. </w:t>
      </w:r>
      <w:r w:rsidR="005D047E" w:rsidRPr="00DE2EDF">
        <w:rPr>
          <w:rFonts w:eastAsia="Times New Roman" w:cs="Times New Roman"/>
          <w:iCs/>
          <w:lang w:val="en-GB"/>
        </w:rPr>
        <w:t xml:space="preserve">All expectations for a new </w:t>
      </w:r>
      <w:r w:rsidR="00750B9C" w:rsidRPr="00DE2EDF">
        <w:rPr>
          <w:rFonts w:eastAsia="Times New Roman" w:cs="Times New Roman"/>
          <w:iCs/>
          <w:lang w:val="en-GB"/>
        </w:rPr>
        <w:t xml:space="preserve">and </w:t>
      </w:r>
      <w:r w:rsidR="00604A9C" w:rsidRPr="00DE2EDF">
        <w:rPr>
          <w:rFonts w:eastAsia="Times New Roman" w:cs="Times New Roman"/>
          <w:iCs/>
          <w:lang w:val="en-GB"/>
        </w:rPr>
        <w:t>fair</w:t>
      </w:r>
      <w:r w:rsidR="005D047E" w:rsidRPr="00DE2EDF">
        <w:rPr>
          <w:rFonts w:eastAsia="Times New Roman" w:cs="Times New Roman"/>
          <w:iCs/>
          <w:lang w:val="en-GB"/>
        </w:rPr>
        <w:t xml:space="preserve"> </w:t>
      </w:r>
      <w:r w:rsidR="004C3FA2" w:rsidRPr="00DE2EDF">
        <w:rPr>
          <w:rFonts w:eastAsia="Times New Roman" w:cs="Times New Roman"/>
          <w:iCs/>
          <w:lang w:val="en-GB"/>
        </w:rPr>
        <w:t>administrative law and/or private law</w:t>
      </w:r>
      <w:r w:rsidR="005D047E" w:rsidRPr="00DE2EDF">
        <w:rPr>
          <w:rFonts w:eastAsia="Times New Roman" w:cs="Times New Roman"/>
          <w:iCs/>
          <w:lang w:val="en-GB"/>
        </w:rPr>
        <w:t xml:space="preserve"> are projected onto the Constitution</w:t>
      </w:r>
      <w:r w:rsidR="005D047E" w:rsidRPr="00DE2EDF">
        <w:rPr>
          <w:rStyle w:val="FootnoteReference"/>
          <w:rFonts w:eastAsia="Times New Roman" w:cs="Times New Roman"/>
          <w:iCs/>
          <w:lang w:val="en-GB"/>
        </w:rPr>
        <w:footnoteReference w:id="199"/>
      </w:r>
      <w:r w:rsidR="0002127C" w:rsidRPr="00DE2EDF">
        <w:rPr>
          <w:rFonts w:eastAsia="Times New Roman" w:cs="Times New Roman"/>
          <w:iCs/>
          <w:lang w:val="en-GB"/>
        </w:rPr>
        <w:t xml:space="preserve"> and its main </w:t>
      </w:r>
      <w:r w:rsidR="00D34216" w:rsidRPr="00DE2EDF">
        <w:rPr>
          <w:rFonts w:eastAsia="Times New Roman" w:cs="Times New Roman"/>
          <w:iCs/>
          <w:lang w:val="en-GB"/>
        </w:rPr>
        <w:t xml:space="preserve">judicial </w:t>
      </w:r>
      <w:r w:rsidR="0002127C" w:rsidRPr="00DE2EDF">
        <w:rPr>
          <w:rFonts w:eastAsia="Times New Roman" w:cs="Times New Roman"/>
          <w:iCs/>
          <w:lang w:val="en-GB"/>
        </w:rPr>
        <w:t>guardian, the ne</w:t>
      </w:r>
      <w:r w:rsidR="00D96FF6" w:rsidRPr="00DE2EDF">
        <w:rPr>
          <w:rFonts w:eastAsia="Times New Roman" w:cs="Times New Roman"/>
          <w:iCs/>
          <w:lang w:val="en-GB"/>
        </w:rPr>
        <w:t xml:space="preserve">wly-created Constitutional </w:t>
      </w:r>
      <w:r w:rsidR="0002127C" w:rsidRPr="00DE2EDF">
        <w:rPr>
          <w:rFonts w:eastAsia="Times New Roman" w:cs="Times New Roman"/>
          <w:iCs/>
          <w:lang w:val="en-GB"/>
        </w:rPr>
        <w:t>C</w:t>
      </w:r>
      <w:r w:rsidR="00D96FF6" w:rsidRPr="00DE2EDF">
        <w:rPr>
          <w:rFonts w:eastAsia="Times New Roman" w:cs="Times New Roman"/>
          <w:iCs/>
          <w:lang w:val="en-GB"/>
        </w:rPr>
        <w:t>ourt.</w:t>
      </w:r>
      <w:r w:rsidR="005D047E" w:rsidRPr="00DE2EDF">
        <w:rPr>
          <w:rFonts w:eastAsia="Times New Roman" w:cs="Times New Roman"/>
          <w:iCs/>
          <w:lang w:val="en-GB"/>
        </w:rPr>
        <w:t xml:space="preserve"> The drafters of such Constitutions tend</w:t>
      </w:r>
      <w:r w:rsidR="0002127C" w:rsidRPr="00DE2EDF">
        <w:rPr>
          <w:rFonts w:eastAsia="Times New Roman" w:cs="Times New Roman"/>
          <w:iCs/>
          <w:lang w:val="en-GB"/>
        </w:rPr>
        <w:t>, indeed,</w:t>
      </w:r>
      <w:r w:rsidR="005D047E" w:rsidRPr="00DE2EDF">
        <w:rPr>
          <w:rFonts w:eastAsia="Times New Roman" w:cs="Times New Roman"/>
          <w:iCs/>
          <w:lang w:val="en-GB"/>
        </w:rPr>
        <w:t xml:space="preserve"> to distrust </w:t>
      </w:r>
      <w:r w:rsidR="0002127C" w:rsidRPr="00DE2EDF">
        <w:rPr>
          <w:rFonts w:eastAsia="Times New Roman" w:cs="Times New Roman"/>
          <w:iCs/>
          <w:lang w:val="en-GB"/>
        </w:rPr>
        <w:t xml:space="preserve">judges sitting in </w:t>
      </w:r>
      <w:r w:rsidR="005D047E" w:rsidRPr="00DE2EDF">
        <w:rPr>
          <w:rFonts w:eastAsia="Times New Roman" w:cs="Times New Roman"/>
          <w:iCs/>
          <w:lang w:val="en-GB"/>
        </w:rPr>
        <w:t xml:space="preserve">the </w:t>
      </w:r>
      <w:r w:rsidR="0002127C" w:rsidRPr="00DE2EDF">
        <w:rPr>
          <w:rFonts w:eastAsia="Times New Roman" w:cs="Times New Roman"/>
          <w:iCs/>
          <w:lang w:val="en-GB"/>
        </w:rPr>
        <w:t xml:space="preserve">ordinary courts (civil </w:t>
      </w:r>
      <w:r w:rsidR="00750B9C" w:rsidRPr="00DE2EDF">
        <w:rPr>
          <w:rFonts w:eastAsia="Times New Roman" w:cs="Times New Roman"/>
          <w:iCs/>
          <w:lang w:val="en-GB"/>
        </w:rPr>
        <w:t xml:space="preserve">and </w:t>
      </w:r>
      <w:r w:rsidR="0002127C" w:rsidRPr="00DE2EDF">
        <w:rPr>
          <w:rFonts w:eastAsia="Times New Roman" w:cs="Times New Roman"/>
          <w:iCs/>
          <w:lang w:val="en-GB"/>
        </w:rPr>
        <w:t>administrative courts) as the</w:t>
      </w:r>
      <w:r w:rsidR="00BE4FC4" w:rsidRPr="00DE2EDF">
        <w:rPr>
          <w:rFonts w:eastAsia="Times New Roman" w:cs="Times New Roman"/>
          <w:iCs/>
          <w:lang w:val="en-GB"/>
        </w:rPr>
        <w:t xml:space="preserve">ir </w:t>
      </w:r>
      <w:r w:rsidR="00EE1F1D" w:rsidRPr="00DE2EDF">
        <w:rPr>
          <w:rFonts w:eastAsia="Times New Roman" w:cs="Times New Roman"/>
          <w:iCs/>
          <w:lang w:val="en-GB"/>
        </w:rPr>
        <w:t>training and</w:t>
      </w:r>
      <w:r w:rsidR="0002127C" w:rsidRPr="00DE2EDF">
        <w:rPr>
          <w:rFonts w:eastAsia="Times New Roman" w:cs="Times New Roman"/>
          <w:iCs/>
          <w:lang w:val="en-GB"/>
        </w:rPr>
        <w:t xml:space="preserve"> career</w:t>
      </w:r>
      <w:r w:rsidR="00750B9C" w:rsidRPr="00DE2EDF">
        <w:rPr>
          <w:rFonts w:eastAsia="Times New Roman" w:cs="Times New Roman"/>
          <w:iCs/>
          <w:lang w:val="en-GB"/>
        </w:rPr>
        <w:t>,</w:t>
      </w:r>
      <w:r w:rsidR="0002127C" w:rsidRPr="00DE2EDF">
        <w:rPr>
          <w:rFonts w:eastAsia="Times New Roman" w:cs="Times New Roman"/>
          <w:iCs/>
          <w:lang w:val="en-GB"/>
        </w:rPr>
        <w:t xml:space="preserve"> </w:t>
      </w:r>
      <w:r w:rsidR="00EE1F1D" w:rsidRPr="00DE2EDF">
        <w:rPr>
          <w:rFonts w:eastAsia="Times New Roman" w:cs="Times New Roman"/>
          <w:iCs/>
          <w:lang w:val="en-GB"/>
        </w:rPr>
        <w:t xml:space="preserve">as well as </w:t>
      </w:r>
      <w:r w:rsidR="0002127C" w:rsidRPr="00DE2EDF">
        <w:rPr>
          <w:rFonts w:eastAsia="Times New Roman" w:cs="Times New Roman"/>
          <w:iCs/>
          <w:lang w:val="en-GB"/>
        </w:rPr>
        <w:t>the whole tradition of their institution</w:t>
      </w:r>
      <w:r w:rsidR="00750B9C" w:rsidRPr="00DE2EDF">
        <w:rPr>
          <w:rFonts w:eastAsia="Times New Roman" w:cs="Times New Roman"/>
          <w:iCs/>
          <w:lang w:val="en-GB"/>
        </w:rPr>
        <w:t>s,</w:t>
      </w:r>
      <w:r w:rsidR="0002127C" w:rsidRPr="00DE2EDF">
        <w:rPr>
          <w:rFonts w:eastAsia="Times New Roman" w:cs="Times New Roman"/>
          <w:iCs/>
          <w:lang w:val="en-GB"/>
        </w:rPr>
        <w:t xml:space="preserve"> go back to the </w:t>
      </w:r>
      <w:r w:rsidR="004C3FA2" w:rsidRPr="00DE2EDF">
        <w:rPr>
          <w:rFonts w:eastAsia="Times New Roman" w:cs="Times New Roman"/>
          <w:iCs/>
          <w:lang w:val="en-GB"/>
        </w:rPr>
        <w:t>former authoritarian regime</w:t>
      </w:r>
      <w:r w:rsidR="0002127C" w:rsidRPr="00DE2EDF">
        <w:rPr>
          <w:rFonts w:eastAsia="Times New Roman" w:cs="Times New Roman"/>
          <w:iCs/>
          <w:lang w:val="en-GB"/>
        </w:rPr>
        <w:t>.</w:t>
      </w:r>
      <w:r w:rsidR="005D047E" w:rsidRPr="00DE2EDF">
        <w:rPr>
          <w:rFonts w:eastAsia="Times New Roman" w:cs="Times New Roman"/>
          <w:iCs/>
          <w:lang w:val="en-GB"/>
        </w:rPr>
        <w:t xml:space="preserve"> </w:t>
      </w:r>
      <w:r w:rsidR="00BF1AEF" w:rsidRPr="00DE2EDF">
        <w:rPr>
          <w:rFonts w:eastAsia="Times New Roman" w:cs="Times New Roman"/>
          <w:iCs/>
          <w:lang w:val="en-GB"/>
        </w:rPr>
        <w:t>In contrast, t</w:t>
      </w:r>
      <w:r w:rsidR="0002127C" w:rsidRPr="00DE2EDF">
        <w:rPr>
          <w:rFonts w:eastAsia="Times New Roman" w:cs="Times New Roman"/>
          <w:iCs/>
          <w:lang w:val="en-GB"/>
        </w:rPr>
        <w:t xml:space="preserve">he Constitutional </w:t>
      </w:r>
      <w:r w:rsidR="001A16F0" w:rsidRPr="00DE2EDF">
        <w:rPr>
          <w:rFonts w:eastAsia="Times New Roman" w:cs="Times New Roman"/>
          <w:iCs/>
          <w:lang w:val="en-GB"/>
        </w:rPr>
        <w:t>C</w:t>
      </w:r>
      <w:r w:rsidR="0002127C" w:rsidRPr="00DE2EDF">
        <w:rPr>
          <w:rFonts w:eastAsia="Times New Roman" w:cs="Times New Roman"/>
          <w:iCs/>
          <w:lang w:val="en-GB"/>
        </w:rPr>
        <w:t>ourt</w:t>
      </w:r>
      <w:r w:rsidR="004C3FA2" w:rsidRPr="00DE2EDF">
        <w:rPr>
          <w:rFonts w:eastAsia="Times New Roman" w:cs="Times New Roman"/>
          <w:iCs/>
          <w:lang w:val="en-GB"/>
        </w:rPr>
        <w:t xml:space="preserve">, as a </w:t>
      </w:r>
      <w:r w:rsidR="00A70312" w:rsidRPr="00DE2EDF">
        <w:rPr>
          <w:rFonts w:eastAsia="Times New Roman" w:cs="Times New Roman"/>
          <w:iCs/>
          <w:lang w:val="en-GB"/>
        </w:rPr>
        <w:t>new institution</w:t>
      </w:r>
      <w:r w:rsidR="00785905" w:rsidRPr="00DE2EDF">
        <w:rPr>
          <w:rFonts w:eastAsia="Times New Roman" w:cs="Times New Roman"/>
          <w:iCs/>
          <w:lang w:val="en-GB"/>
        </w:rPr>
        <w:t xml:space="preserve"> with specially selected, and therefore more reliable judges</w:t>
      </w:r>
      <w:r w:rsidR="004C3FA2" w:rsidRPr="00DE2EDF">
        <w:rPr>
          <w:rFonts w:eastAsia="Times New Roman" w:cs="Times New Roman"/>
          <w:iCs/>
          <w:lang w:val="en-GB"/>
        </w:rPr>
        <w:t>,</w:t>
      </w:r>
      <w:r w:rsidR="0002127C" w:rsidRPr="00DE2EDF">
        <w:rPr>
          <w:rFonts w:eastAsia="Times New Roman" w:cs="Times New Roman"/>
          <w:iCs/>
          <w:lang w:val="en-GB"/>
        </w:rPr>
        <w:t xml:space="preserve"> is </w:t>
      </w:r>
      <w:r w:rsidR="00750B9C" w:rsidRPr="00DE2EDF">
        <w:rPr>
          <w:rFonts w:eastAsia="Times New Roman" w:cs="Times New Roman"/>
          <w:iCs/>
          <w:lang w:val="en-GB"/>
        </w:rPr>
        <w:t>expected</w:t>
      </w:r>
      <w:r w:rsidR="00785905" w:rsidRPr="00DE2EDF">
        <w:rPr>
          <w:rFonts w:eastAsia="Times New Roman" w:cs="Times New Roman"/>
          <w:iCs/>
          <w:lang w:val="en-GB"/>
        </w:rPr>
        <w:t>, alongside the legislative reform</w:t>
      </w:r>
      <w:r w:rsidR="00F57697" w:rsidRPr="00DE2EDF">
        <w:rPr>
          <w:rFonts w:eastAsia="Times New Roman" w:cs="Times New Roman"/>
          <w:iCs/>
          <w:lang w:val="en-GB"/>
        </w:rPr>
        <w:t xml:space="preserve"> </w:t>
      </w:r>
      <w:r w:rsidR="00785905" w:rsidRPr="00DE2EDF">
        <w:rPr>
          <w:rFonts w:eastAsia="Times New Roman" w:cs="Times New Roman"/>
          <w:iCs/>
          <w:lang w:val="en-GB"/>
        </w:rPr>
        <w:t>agenda of Parliament,</w:t>
      </w:r>
      <w:r w:rsidR="00750B9C" w:rsidRPr="00DE2EDF">
        <w:rPr>
          <w:rFonts w:eastAsia="Times New Roman" w:cs="Times New Roman"/>
          <w:iCs/>
          <w:lang w:val="en-GB"/>
        </w:rPr>
        <w:t xml:space="preserve"> </w:t>
      </w:r>
      <w:r w:rsidR="0002127C" w:rsidRPr="00DE2EDF">
        <w:rPr>
          <w:rFonts w:eastAsia="Times New Roman" w:cs="Times New Roman"/>
          <w:iCs/>
          <w:lang w:val="en-GB"/>
        </w:rPr>
        <w:t xml:space="preserve">to give </w:t>
      </w:r>
      <w:r w:rsidR="001A16F0" w:rsidRPr="00DE2EDF">
        <w:rPr>
          <w:rFonts w:eastAsia="Times New Roman" w:cs="Times New Roman"/>
          <w:iCs/>
          <w:lang w:val="en-GB"/>
        </w:rPr>
        <w:t xml:space="preserve">a </w:t>
      </w:r>
      <w:r w:rsidR="0002127C" w:rsidRPr="00DE2EDF">
        <w:rPr>
          <w:rFonts w:eastAsia="Times New Roman" w:cs="Times New Roman"/>
          <w:iCs/>
          <w:lang w:val="en-GB"/>
        </w:rPr>
        <w:t>new (liberal</w:t>
      </w:r>
      <w:r w:rsidR="00604A9C" w:rsidRPr="00DE2EDF">
        <w:rPr>
          <w:rFonts w:eastAsia="Times New Roman" w:cs="Times New Roman"/>
          <w:iCs/>
          <w:lang w:val="en-GB"/>
        </w:rPr>
        <w:t xml:space="preserve">, </w:t>
      </w:r>
      <w:r w:rsidRPr="00DE2EDF">
        <w:rPr>
          <w:rFonts w:eastAsia="Times New Roman" w:cs="Times New Roman"/>
          <w:iCs/>
          <w:lang w:val="en-GB"/>
        </w:rPr>
        <w:t>democratic</w:t>
      </w:r>
      <w:r w:rsidR="00450B4B" w:rsidRPr="00DE2EDF">
        <w:rPr>
          <w:rFonts w:eastAsia="Times New Roman" w:cs="Times New Roman"/>
          <w:iCs/>
          <w:lang w:val="en-GB"/>
        </w:rPr>
        <w:t>,</w:t>
      </w:r>
      <w:r w:rsidRPr="00DE2EDF">
        <w:rPr>
          <w:rFonts w:eastAsia="Times New Roman" w:cs="Times New Roman"/>
          <w:iCs/>
          <w:lang w:val="en-GB"/>
        </w:rPr>
        <w:t xml:space="preserve"> and/or </w:t>
      </w:r>
      <w:r w:rsidR="00604A9C" w:rsidRPr="00DE2EDF">
        <w:rPr>
          <w:rFonts w:eastAsia="Times New Roman" w:cs="Times New Roman"/>
          <w:iCs/>
          <w:lang w:val="en-GB"/>
        </w:rPr>
        <w:t>social</w:t>
      </w:r>
      <w:r w:rsidR="0002127C" w:rsidRPr="00DE2EDF">
        <w:rPr>
          <w:rFonts w:eastAsia="Times New Roman" w:cs="Times New Roman"/>
          <w:iCs/>
          <w:lang w:val="en-GB"/>
        </w:rPr>
        <w:t>) imp</w:t>
      </w:r>
      <w:r w:rsidR="001A16F0" w:rsidRPr="00DE2EDF">
        <w:rPr>
          <w:rFonts w:eastAsia="Times New Roman" w:cs="Times New Roman"/>
          <w:iCs/>
          <w:lang w:val="en-GB"/>
        </w:rPr>
        <w:t>etus</w:t>
      </w:r>
      <w:r w:rsidR="0002127C" w:rsidRPr="00DE2EDF">
        <w:rPr>
          <w:rFonts w:eastAsia="Times New Roman" w:cs="Times New Roman"/>
          <w:iCs/>
          <w:lang w:val="en-GB"/>
        </w:rPr>
        <w:t xml:space="preserve"> to the old administrative</w:t>
      </w:r>
      <w:r w:rsidR="00785905" w:rsidRPr="00DE2EDF">
        <w:rPr>
          <w:rFonts w:eastAsia="Times New Roman" w:cs="Times New Roman"/>
          <w:iCs/>
          <w:lang w:val="en-GB"/>
        </w:rPr>
        <w:t xml:space="preserve"> law by invalidating</w:t>
      </w:r>
      <w:r w:rsidR="0002127C" w:rsidRPr="00DE2EDF">
        <w:rPr>
          <w:rFonts w:eastAsia="Times New Roman" w:cs="Times New Roman"/>
          <w:iCs/>
          <w:lang w:val="en-GB"/>
        </w:rPr>
        <w:t xml:space="preserve"> </w:t>
      </w:r>
      <w:r w:rsidR="00D34216" w:rsidRPr="00DE2EDF">
        <w:rPr>
          <w:rFonts w:eastAsia="Times New Roman" w:cs="Times New Roman"/>
          <w:iCs/>
          <w:lang w:val="en-GB"/>
        </w:rPr>
        <w:t>statutes, regulations</w:t>
      </w:r>
      <w:r w:rsidR="00450B4B" w:rsidRPr="00DE2EDF">
        <w:rPr>
          <w:rFonts w:eastAsia="Times New Roman" w:cs="Times New Roman"/>
          <w:iCs/>
          <w:lang w:val="en-GB"/>
        </w:rPr>
        <w:t>,</w:t>
      </w:r>
      <w:r w:rsidR="00BF1AEF" w:rsidRPr="00DE2EDF">
        <w:rPr>
          <w:rFonts w:eastAsia="Times New Roman" w:cs="Times New Roman"/>
          <w:iCs/>
          <w:lang w:val="en-GB"/>
        </w:rPr>
        <w:t xml:space="preserve"> and</w:t>
      </w:r>
      <w:r w:rsidR="00785905" w:rsidRPr="00DE2EDF">
        <w:rPr>
          <w:rFonts w:eastAsia="Times New Roman" w:cs="Times New Roman"/>
          <w:iCs/>
          <w:lang w:val="en-GB"/>
        </w:rPr>
        <w:t>, in some case</w:t>
      </w:r>
      <w:r w:rsidR="00F57697" w:rsidRPr="00DE2EDF">
        <w:rPr>
          <w:rFonts w:eastAsia="Times New Roman" w:cs="Times New Roman"/>
          <w:iCs/>
          <w:lang w:val="en-GB"/>
        </w:rPr>
        <w:t>s</w:t>
      </w:r>
      <w:r w:rsidR="00785905" w:rsidRPr="00DE2EDF">
        <w:rPr>
          <w:rFonts w:eastAsia="Times New Roman" w:cs="Times New Roman"/>
          <w:iCs/>
          <w:lang w:val="en-GB"/>
        </w:rPr>
        <w:t>, even</w:t>
      </w:r>
      <w:r w:rsidR="00BF1AEF" w:rsidRPr="00DE2EDF">
        <w:rPr>
          <w:rFonts w:eastAsia="Times New Roman" w:cs="Times New Roman"/>
          <w:iCs/>
          <w:lang w:val="en-GB"/>
        </w:rPr>
        <w:t xml:space="preserve"> </w:t>
      </w:r>
      <w:r w:rsidR="00785905" w:rsidRPr="00DE2EDF">
        <w:rPr>
          <w:rFonts w:eastAsia="Times New Roman" w:cs="Times New Roman"/>
          <w:iCs/>
          <w:lang w:val="en-GB"/>
        </w:rPr>
        <w:t>judicial decision</w:t>
      </w:r>
      <w:r w:rsidR="00F57697" w:rsidRPr="00DE2EDF">
        <w:rPr>
          <w:rFonts w:eastAsia="Times New Roman" w:cs="Times New Roman"/>
          <w:iCs/>
          <w:lang w:val="en-GB"/>
        </w:rPr>
        <w:t>s</w:t>
      </w:r>
      <w:r w:rsidR="00785905" w:rsidRPr="00DE2EDF">
        <w:rPr>
          <w:rFonts w:eastAsia="Times New Roman" w:cs="Times New Roman"/>
          <w:iCs/>
          <w:lang w:val="en-GB"/>
        </w:rPr>
        <w:t>.</w:t>
      </w:r>
      <w:r w:rsidR="00EE1F1D" w:rsidRPr="00DE2EDF">
        <w:rPr>
          <w:rFonts w:eastAsia="Times New Roman" w:cs="Times New Roman"/>
          <w:iCs/>
          <w:lang w:val="en-GB"/>
        </w:rPr>
        <w:t xml:space="preserve"> </w:t>
      </w:r>
      <w:r w:rsidRPr="00DE2EDF">
        <w:rPr>
          <w:rFonts w:eastAsia="Times New Roman" w:cs="Times New Roman"/>
          <w:iCs/>
          <w:lang w:val="en-GB"/>
        </w:rPr>
        <w:t>Constitutionali</w:t>
      </w:r>
      <w:r w:rsidR="00104BAD" w:rsidRPr="00DE2EDF">
        <w:rPr>
          <w:rFonts w:eastAsia="Times New Roman" w:cs="Times New Roman"/>
          <w:iCs/>
          <w:lang w:val="en-GB"/>
        </w:rPr>
        <w:t>z</w:t>
      </w:r>
      <w:r w:rsidRPr="00DE2EDF">
        <w:rPr>
          <w:rFonts w:eastAsia="Times New Roman" w:cs="Times New Roman"/>
          <w:iCs/>
          <w:lang w:val="en-GB"/>
        </w:rPr>
        <w:t>ation is</w:t>
      </w:r>
      <w:r w:rsidR="00B952A6" w:rsidRPr="00DE2EDF">
        <w:rPr>
          <w:rFonts w:eastAsia="Times New Roman" w:cs="Times New Roman"/>
          <w:iCs/>
          <w:lang w:val="en-GB"/>
        </w:rPr>
        <w:t>, therefore,</w:t>
      </w:r>
      <w:r w:rsidRPr="00DE2EDF">
        <w:rPr>
          <w:rFonts w:eastAsia="Times New Roman" w:cs="Times New Roman"/>
          <w:iCs/>
          <w:lang w:val="en-GB"/>
        </w:rPr>
        <w:t xml:space="preserve"> a dynamic</w:t>
      </w:r>
      <w:r w:rsidR="00D31CFA" w:rsidRPr="00DE2EDF">
        <w:rPr>
          <w:rFonts w:eastAsia="Times New Roman" w:cs="Times New Roman"/>
          <w:iCs/>
          <w:lang w:val="en-GB"/>
        </w:rPr>
        <w:t>, transformative</w:t>
      </w:r>
      <w:r w:rsidRPr="00DE2EDF">
        <w:rPr>
          <w:rFonts w:eastAsia="Times New Roman" w:cs="Times New Roman"/>
          <w:iCs/>
          <w:lang w:val="en-GB"/>
        </w:rPr>
        <w:t xml:space="preserve"> process. </w:t>
      </w:r>
    </w:p>
    <w:p w14:paraId="5345428E" w14:textId="77777777" w:rsidR="000F4C26" w:rsidRPr="00DE2EDF" w:rsidRDefault="000F4C26" w:rsidP="00DE2EDF">
      <w:pPr>
        <w:spacing w:after="0"/>
        <w:jc w:val="both"/>
        <w:rPr>
          <w:rFonts w:eastAsia="Times New Roman" w:cs="Times New Roman"/>
          <w:iCs/>
          <w:lang w:val="en-GB"/>
        </w:rPr>
      </w:pPr>
    </w:p>
    <w:p w14:paraId="231722EB" w14:textId="77777777" w:rsidR="003472F3" w:rsidRPr="00DE2EDF" w:rsidRDefault="005D047E" w:rsidP="00DE2EDF">
      <w:pPr>
        <w:spacing w:after="0"/>
        <w:jc w:val="both"/>
        <w:rPr>
          <w:rFonts w:eastAsia="Times New Roman" w:cs="Times New Roman"/>
          <w:iCs/>
          <w:color w:val="0000FF"/>
          <w:u w:val="single"/>
          <w:vertAlign w:val="superscript"/>
          <w:lang w:val="en-GB"/>
        </w:rPr>
      </w:pPr>
      <w:r w:rsidRPr="00DE2EDF">
        <w:rPr>
          <w:rFonts w:eastAsia="Times New Roman" w:cs="Times New Roman"/>
          <w:iCs/>
          <w:lang w:val="en-GB"/>
        </w:rPr>
        <w:t>In the</w:t>
      </w:r>
      <w:r w:rsidR="00EE1F1D" w:rsidRPr="00DE2EDF">
        <w:rPr>
          <w:rFonts w:eastAsia="Times New Roman" w:cs="Times New Roman"/>
          <w:iCs/>
          <w:lang w:val="en-GB"/>
        </w:rPr>
        <w:t xml:space="preserve"> </w:t>
      </w:r>
      <w:r w:rsidR="003472F3" w:rsidRPr="00DE2EDF">
        <w:rPr>
          <w:rFonts w:eastAsia="Times New Roman" w:cs="Times New Roman"/>
          <w:iCs/>
          <w:lang w:val="en-GB"/>
        </w:rPr>
        <w:t>second</w:t>
      </w:r>
      <w:r w:rsidR="00EE1F1D" w:rsidRPr="00DE2EDF">
        <w:rPr>
          <w:rFonts w:eastAsia="Times New Roman" w:cs="Times New Roman"/>
          <w:iCs/>
          <w:lang w:val="en-GB"/>
        </w:rPr>
        <w:t xml:space="preserve"> model, which I propose to call ‘the Constitution as a treasury’</w:t>
      </w:r>
      <w:r w:rsidR="003472F3" w:rsidRPr="00DE2EDF">
        <w:rPr>
          <w:rFonts w:eastAsia="Times New Roman" w:cs="Times New Roman"/>
          <w:iCs/>
          <w:lang w:val="en-GB"/>
        </w:rPr>
        <w:t xml:space="preserve">, the new Constitution </w:t>
      </w:r>
      <w:r w:rsidR="009F24A6" w:rsidRPr="00DE2EDF">
        <w:rPr>
          <w:rFonts w:eastAsia="Times New Roman" w:cs="Times New Roman"/>
          <w:iCs/>
          <w:lang w:val="en-GB"/>
        </w:rPr>
        <w:t xml:space="preserve">serves simply </w:t>
      </w:r>
      <w:r w:rsidR="003472F3" w:rsidRPr="00DE2EDF">
        <w:rPr>
          <w:rFonts w:eastAsia="Times New Roman" w:cs="Times New Roman"/>
          <w:iCs/>
          <w:lang w:val="en-GB"/>
        </w:rPr>
        <w:t>as the endpoint</w:t>
      </w:r>
      <w:r w:rsidR="009F24A6" w:rsidRPr="00DE2EDF">
        <w:rPr>
          <w:rFonts w:eastAsia="Times New Roman" w:cs="Times New Roman"/>
          <w:iCs/>
          <w:lang w:val="en-GB"/>
        </w:rPr>
        <w:t xml:space="preserve">, </w:t>
      </w:r>
      <w:r w:rsidR="00B952A6" w:rsidRPr="00DE2EDF">
        <w:rPr>
          <w:rFonts w:eastAsia="Times New Roman" w:cs="Times New Roman"/>
          <w:iCs/>
          <w:lang w:val="en-GB"/>
        </w:rPr>
        <w:t xml:space="preserve">a </w:t>
      </w:r>
      <w:r w:rsidR="009947BF" w:rsidRPr="00DE2EDF">
        <w:rPr>
          <w:rFonts w:eastAsia="Times New Roman" w:cs="Times New Roman"/>
          <w:iCs/>
          <w:lang w:val="en-GB"/>
        </w:rPr>
        <w:t xml:space="preserve">storeroom or receptacle </w:t>
      </w:r>
      <w:r w:rsidR="003472F3" w:rsidRPr="00DE2EDF">
        <w:rPr>
          <w:rFonts w:eastAsia="Times New Roman" w:cs="Times New Roman"/>
          <w:iCs/>
          <w:lang w:val="en-GB"/>
        </w:rPr>
        <w:t xml:space="preserve">of the </w:t>
      </w:r>
      <w:r w:rsidR="009947BF" w:rsidRPr="00DE2EDF">
        <w:rPr>
          <w:rFonts w:eastAsia="Times New Roman" w:cs="Times New Roman"/>
          <w:iCs/>
          <w:lang w:val="en-GB"/>
        </w:rPr>
        <w:t xml:space="preserve">prior </w:t>
      </w:r>
      <w:r w:rsidR="00D96FF6" w:rsidRPr="00DE2EDF">
        <w:rPr>
          <w:rFonts w:eastAsia="Times New Roman" w:cs="Times New Roman"/>
          <w:iCs/>
          <w:lang w:val="en-GB"/>
        </w:rPr>
        <w:t>historic</w:t>
      </w:r>
      <w:r w:rsidR="001A16F0" w:rsidRPr="00DE2EDF">
        <w:rPr>
          <w:rFonts w:eastAsia="Times New Roman" w:cs="Times New Roman"/>
          <w:iCs/>
          <w:lang w:val="en-GB"/>
        </w:rPr>
        <w:t>,</w:t>
      </w:r>
      <w:r w:rsidR="00D96FF6" w:rsidRPr="00DE2EDF">
        <w:rPr>
          <w:rFonts w:eastAsia="Times New Roman" w:cs="Times New Roman"/>
          <w:iCs/>
          <w:lang w:val="en-GB"/>
        </w:rPr>
        <w:t xml:space="preserve"> </w:t>
      </w:r>
      <w:r w:rsidR="001A16F0" w:rsidRPr="00DE2EDF">
        <w:rPr>
          <w:rFonts w:eastAsia="Times New Roman" w:cs="Times New Roman"/>
          <w:iCs/>
          <w:lang w:val="en-GB"/>
        </w:rPr>
        <w:t xml:space="preserve">highly </w:t>
      </w:r>
      <w:r w:rsidR="00B952A6" w:rsidRPr="00DE2EDF">
        <w:rPr>
          <w:rFonts w:eastAsia="Times New Roman" w:cs="Times New Roman"/>
          <w:iCs/>
          <w:lang w:val="en-GB"/>
        </w:rPr>
        <w:t xml:space="preserve">esteemed </w:t>
      </w:r>
      <w:r w:rsidR="001A16F0" w:rsidRPr="00DE2EDF">
        <w:rPr>
          <w:rFonts w:eastAsia="Times New Roman" w:cs="Times New Roman"/>
          <w:iCs/>
          <w:lang w:val="en-GB"/>
        </w:rPr>
        <w:t>development</w:t>
      </w:r>
      <w:r w:rsidR="00B952A6" w:rsidRPr="00DE2EDF">
        <w:rPr>
          <w:rFonts w:eastAsia="Times New Roman" w:cs="Times New Roman"/>
          <w:iCs/>
          <w:lang w:val="en-GB"/>
        </w:rPr>
        <w:t>s</w:t>
      </w:r>
      <w:r w:rsidR="003472F3" w:rsidRPr="00DE2EDF">
        <w:rPr>
          <w:rFonts w:eastAsia="Times New Roman" w:cs="Times New Roman"/>
          <w:iCs/>
          <w:lang w:val="en-GB"/>
        </w:rPr>
        <w:t>.</w:t>
      </w:r>
      <w:bookmarkStart w:id="319" w:name="_ftnref161"/>
      <w:r w:rsidR="003472F3" w:rsidRPr="00DE2EDF">
        <w:rPr>
          <w:rStyle w:val="FootnoteReference"/>
          <w:rFonts w:eastAsia="Times New Roman" w:cs="Times New Roman"/>
          <w:iCs/>
          <w:lang w:val="en-GB"/>
        </w:rPr>
        <w:footnoteReference w:id="200"/>
      </w:r>
      <w:r w:rsidR="003472F3" w:rsidRPr="00DE2EDF">
        <w:rPr>
          <w:rFonts w:eastAsia="Times New Roman" w:cs="Times New Roman"/>
          <w:iCs/>
          <w:lang w:val="en-GB"/>
        </w:rPr>
        <w:t xml:space="preserve"> </w:t>
      </w:r>
      <w:bookmarkEnd w:id="319"/>
      <w:r w:rsidR="00A70312" w:rsidRPr="00DE2EDF">
        <w:rPr>
          <w:rFonts w:eastAsia="Times New Roman" w:cs="Times New Roman"/>
          <w:iCs/>
          <w:lang w:val="en-GB"/>
        </w:rPr>
        <w:t>The Constitution is not supposed to reform or</w:t>
      </w:r>
      <w:r w:rsidR="00B952A6" w:rsidRPr="00DE2EDF">
        <w:rPr>
          <w:rFonts w:eastAsia="Times New Roman" w:cs="Times New Roman"/>
          <w:iCs/>
          <w:lang w:val="en-GB"/>
        </w:rPr>
        <w:t>,</w:t>
      </w:r>
      <w:r w:rsidR="00A70312" w:rsidRPr="00DE2EDF">
        <w:rPr>
          <w:rFonts w:eastAsia="Times New Roman" w:cs="Times New Roman"/>
          <w:iCs/>
          <w:lang w:val="en-GB"/>
        </w:rPr>
        <w:t xml:space="preserve"> </w:t>
      </w:r>
      <w:r w:rsidR="00B952A6" w:rsidRPr="00DE2EDF">
        <w:rPr>
          <w:rFonts w:eastAsia="Times New Roman" w:cs="Times New Roman"/>
          <w:iCs/>
          <w:lang w:val="en-GB"/>
        </w:rPr>
        <w:t>worse,</w:t>
      </w:r>
      <w:r w:rsidR="00A70312" w:rsidRPr="00DE2EDF">
        <w:rPr>
          <w:rFonts w:eastAsia="Times New Roman" w:cs="Times New Roman"/>
          <w:iCs/>
          <w:lang w:val="en-GB"/>
        </w:rPr>
        <w:t xml:space="preserve"> revolutioni</w:t>
      </w:r>
      <w:r w:rsidR="00104BAD" w:rsidRPr="00DE2EDF">
        <w:rPr>
          <w:rFonts w:eastAsia="Times New Roman" w:cs="Times New Roman"/>
          <w:iCs/>
          <w:lang w:val="en-GB"/>
        </w:rPr>
        <w:t>z</w:t>
      </w:r>
      <w:r w:rsidR="00A70312" w:rsidRPr="00DE2EDF">
        <w:rPr>
          <w:rFonts w:eastAsia="Times New Roman" w:cs="Times New Roman"/>
          <w:iCs/>
          <w:lang w:val="en-GB"/>
        </w:rPr>
        <w:t>e</w:t>
      </w:r>
      <w:r w:rsidR="009947BF" w:rsidRPr="00DE2EDF">
        <w:rPr>
          <w:rFonts w:eastAsia="Times New Roman" w:cs="Times New Roman"/>
          <w:iCs/>
          <w:lang w:val="en-GB"/>
        </w:rPr>
        <w:t xml:space="preserve"> </w:t>
      </w:r>
      <w:r w:rsidR="001A16F0" w:rsidRPr="00DE2EDF">
        <w:rPr>
          <w:rFonts w:eastAsia="Times New Roman" w:cs="Times New Roman"/>
          <w:iCs/>
          <w:lang w:val="en-GB"/>
        </w:rPr>
        <w:t>tradition</w:t>
      </w:r>
      <w:r w:rsidR="00A70312" w:rsidRPr="00DE2EDF">
        <w:rPr>
          <w:rFonts w:eastAsia="Times New Roman" w:cs="Times New Roman"/>
          <w:iCs/>
          <w:lang w:val="en-GB"/>
        </w:rPr>
        <w:t>; its main purpose is to consolidate</w:t>
      </w:r>
      <w:r w:rsidR="001A16F0" w:rsidRPr="00DE2EDF">
        <w:rPr>
          <w:rFonts w:eastAsia="Times New Roman" w:cs="Times New Roman"/>
          <w:iCs/>
          <w:lang w:val="en-GB"/>
        </w:rPr>
        <w:t xml:space="preserve"> it</w:t>
      </w:r>
      <w:r w:rsidR="00A70312" w:rsidRPr="00DE2EDF">
        <w:rPr>
          <w:rFonts w:eastAsia="Times New Roman" w:cs="Times New Roman"/>
          <w:iCs/>
          <w:lang w:val="en-GB"/>
        </w:rPr>
        <w:t xml:space="preserve">. </w:t>
      </w:r>
      <w:r w:rsidR="00EE1F1D" w:rsidRPr="00DE2EDF">
        <w:rPr>
          <w:rFonts w:eastAsia="Times New Roman" w:cs="Times New Roman"/>
          <w:iCs/>
          <w:lang w:val="en-GB"/>
        </w:rPr>
        <w:t xml:space="preserve">Age is considered a sign of </w:t>
      </w:r>
      <w:r w:rsidR="001A16F0" w:rsidRPr="00DE2EDF">
        <w:rPr>
          <w:rFonts w:eastAsia="Times New Roman" w:cs="Times New Roman"/>
          <w:iCs/>
          <w:lang w:val="en-GB"/>
        </w:rPr>
        <w:t xml:space="preserve">experience and </w:t>
      </w:r>
      <w:r w:rsidR="00EE1F1D" w:rsidRPr="00DE2EDF">
        <w:rPr>
          <w:rFonts w:eastAsia="Times New Roman" w:cs="Times New Roman"/>
          <w:iCs/>
          <w:lang w:val="en-GB"/>
        </w:rPr>
        <w:t>trustworthiness</w:t>
      </w:r>
      <w:r w:rsidR="00F96256" w:rsidRPr="00DE2EDF">
        <w:rPr>
          <w:rFonts w:eastAsia="Times New Roman" w:cs="Times New Roman"/>
          <w:iCs/>
          <w:lang w:val="en-GB"/>
        </w:rPr>
        <w:t>. T</w:t>
      </w:r>
      <w:r w:rsidR="00EE1F1D" w:rsidRPr="00DE2EDF">
        <w:rPr>
          <w:rFonts w:eastAsia="Times New Roman" w:cs="Times New Roman"/>
          <w:iCs/>
          <w:lang w:val="en-GB"/>
        </w:rPr>
        <w:t xml:space="preserve">he new Constitution incorporates solutions that have already proved </w:t>
      </w:r>
      <w:r w:rsidR="001A16F0" w:rsidRPr="00DE2EDF">
        <w:rPr>
          <w:rFonts w:eastAsia="Times New Roman" w:cs="Times New Roman"/>
          <w:iCs/>
          <w:lang w:val="en-GB"/>
        </w:rPr>
        <w:t>beneficial</w:t>
      </w:r>
      <w:r w:rsidR="00EE1F1D" w:rsidRPr="00DE2EDF">
        <w:rPr>
          <w:rFonts w:eastAsia="Times New Roman" w:cs="Times New Roman"/>
          <w:iCs/>
          <w:lang w:val="en-GB"/>
        </w:rPr>
        <w:t xml:space="preserve"> in political practice</w:t>
      </w:r>
      <w:r w:rsidR="00F96256" w:rsidRPr="00DE2EDF">
        <w:rPr>
          <w:rFonts w:eastAsia="Times New Roman" w:cs="Times New Roman"/>
          <w:iCs/>
          <w:lang w:val="en-GB"/>
        </w:rPr>
        <w:t xml:space="preserve"> (informal </w:t>
      </w:r>
      <w:r w:rsidR="00F57697" w:rsidRPr="00DE2EDF">
        <w:rPr>
          <w:rFonts w:eastAsia="Times New Roman" w:cs="Times New Roman"/>
          <w:iCs/>
          <w:lang w:val="en-GB"/>
        </w:rPr>
        <w:t xml:space="preserve">political </w:t>
      </w:r>
      <w:r w:rsidR="00F96256" w:rsidRPr="00DE2EDF">
        <w:rPr>
          <w:rFonts w:eastAsia="Times New Roman" w:cs="Times New Roman"/>
          <w:iCs/>
          <w:lang w:val="en-GB"/>
        </w:rPr>
        <w:t>rules</w:t>
      </w:r>
      <w:r w:rsidR="00F57697" w:rsidRPr="00DE2EDF">
        <w:rPr>
          <w:rFonts w:eastAsia="Times New Roman" w:cs="Times New Roman"/>
          <w:iCs/>
          <w:lang w:val="en-GB"/>
        </w:rPr>
        <w:t xml:space="preserve">, </w:t>
      </w:r>
      <w:r w:rsidR="00C014A1" w:rsidRPr="00DE2EDF">
        <w:rPr>
          <w:rFonts w:eastAsia="Times New Roman" w:cs="Times New Roman"/>
          <w:iCs/>
          <w:lang w:val="en-GB"/>
        </w:rPr>
        <w:t xml:space="preserve">e.g., </w:t>
      </w:r>
      <w:r w:rsidR="00F57697" w:rsidRPr="00DE2EDF">
        <w:rPr>
          <w:rFonts w:eastAsia="Times New Roman" w:cs="Times New Roman"/>
          <w:iCs/>
          <w:lang w:val="en-GB"/>
        </w:rPr>
        <w:t>on political accountability,</w:t>
      </w:r>
      <w:r w:rsidR="00F96256" w:rsidRPr="00DE2EDF">
        <w:rPr>
          <w:rFonts w:eastAsia="Times New Roman" w:cs="Times New Roman"/>
          <w:iCs/>
          <w:lang w:val="en-GB"/>
        </w:rPr>
        <w:t xml:space="preserve"> are written down and legalised)</w:t>
      </w:r>
      <w:r w:rsidR="00EE1F1D" w:rsidRPr="00DE2EDF">
        <w:rPr>
          <w:rFonts w:eastAsia="Times New Roman" w:cs="Times New Roman"/>
          <w:iCs/>
          <w:lang w:val="en-GB"/>
        </w:rPr>
        <w:t xml:space="preserve"> or in ordinary law</w:t>
      </w:r>
      <w:r w:rsidR="00F96256" w:rsidRPr="00DE2EDF">
        <w:rPr>
          <w:rFonts w:eastAsia="Times New Roman" w:cs="Times New Roman"/>
          <w:iCs/>
          <w:lang w:val="en-GB"/>
        </w:rPr>
        <w:t xml:space="preserve"> (the</w:t>
      </w:r>
      <w:r w:rsidR="001A16F0" w:rsidRPr="00DE2EDF">
        <w:rPr>
          <w:rFonts w:eastAsia="Times New Roman" w:cs="Times New Roman"/>
          <w:iCs/>
          <w:lang w:val="en-GB"/>
        </w:rPr>
        <w:t>se</w:t>
      </w:r>
      <w:r w:rsidR="00F96256" w:rsidRPr="00DE2EDF">
        <w:rPr>
          <w:rFonts w:eastAsia="Times New Roman" w:cs="Times New Roman"/>
          <w:iCs/>
          <w:lang w:val="en-GB"/>
        </w:rPr>
        <w:t xml:space="preserve"> </w:t>
      </w:r>
      <w:r w:rsidR="00F57697" w:rsidRPr="00DE2EDF">
        <w:rPr>
          <w:rFonts w:eastAsia="Times New Roman" w:cs="Times New Roman"/>
          <w:iCs/>
          <w:lang w:val="en-GB"/>
        </w:rPr>
        <w:t xml:space="preserve">subconstitutional </w:t>
      </w:r>
      <w:r w:rsidR="00F96256" w:rsidRPr="00DE2EDF">
        <w:rPr>
          <w:rFonts w:eastAsia="Times New Roman" w:cs="Times New Roman"/>
          <w:iCs/>
          <w:lang w:val="en-GB"/>
        </w:rPr>
        <w:t>legal rules are given a higher, constitutional, ranking)</w:t>
      </w:r>
      <w:r w:rsidR="00EE1F1D" w:rsidRPr="00DE2EDF">
        <w:rPr>
          <w:rFonts w:eastAsia="Times New Roman" w:cs="Times New Roman"/>
          <w:iCs/>
          <w:lang w:val="en-GB"/>
        </w:rPr>
        <w:t xml:space="preserve">. </w:t>
      </w:r>
      <w:r w:rsidR="00A70312" w:rsidRPr="00DE2EDF">
        <w:rPr>
          <w:rFonts w:eastAsia="Times New Roman" w:cs="Times New Roman"/>
          <w:iCs/>
          <w:lang w:val="en-GB"/>
        </w:rPr>
        <w:t>This</w:t>
      </w:r>
      <w:r w:rsidR="00D96FF6" w:rsidRPr="00DE2EDF">
        <w:rPr>
          <w:rFonts w:eastAsia="Times New Roman" w:cs="Times New Roman"/>
          <w:iCs/>
          <w:lang w:val="en-GB"/>
        </w:rPr>
        <w:t xml:space="preserve"> </w:t>
      </w:r>
      <w:r w:rsidR="003472F3" w:rsidRPr="00DE2EDF">
        <w:rPr>
          <w:rFonts w:eastAsia="Times New Roman" w:cs="Times New Roman"/>
          <w:iCs/>
          <w:lang w:val="en-GB"/>
        </w:rPr>
        <w:t>model result</w:t>
      </w:r>
      <w:r w:rsidR="00A70312" w:rsidRPr="00DE2EDF">
        <w:rPr>
          <w:rFonts w:eastAsia="Times New Roman" w:cs="Times New Roman"/>
          <w:iCs/>
          <w:lang w:val="en-GB"/>
        </w:rPr>
        <w:t>s</w:t>
      </w:r>
      <w:r w:rsidR="003472F3" w:rsidRPr="00DE2EDF">
        <w:rPr>
          <w:rFonts w:eastAsia="Times New Roman" w:cs="Times New Roman"/>
          <w:iCs/>
          <w:lang w:val="en-GB"/>
        </w:rPr>
        <w:t xml:space="preserve"> in a </w:t>
      </w:r>
      <w:r w:rsidR="00A70312" w:rsidRPr="00DE2EDF">
        <w:rPr>
          <w:rFonts w:eastAsia="Times New Roman" w:cs="Times New Roman"/>
          <w:iCs/>
          <w:lang w:val="en-GB"/>
        </w:rPr>
        <w:t xml:space="preserve">slightly </w:t>
      </w:r>
      <w:r w:rsidR="003472F3" w:rsidRPr="00DE2EDF">
        <w:rPr>
          <w:rFonts w:eastAsia="Times New Roman" w:cs="Times New Roman"/>
          <w:iCs/>
          <w:lang w:val="en-GB"/>
        </w:rPr>
        <w:t xml:space="preserve">different relationship between the newly-created Constitutional Court and the highest, and typically far older, administrative court. The Constitutional Court, as a </w:t>
      </w:r>
      <w:r w:rsidR="00530E16" w:rsidRPr="00DE2EDF">
        <w:rPr>
          <w:rFonts w:eastAsia="Times New Roman" w:cs="Times New Roman"/>
          <w:iCs/>
          <w:lang w:val="en-GB"/>
        </w:rPr>
        <w:t>‘</w:t>
      </w:r>
      <w:r w:rsidR="003472F3" w:rsidRPr="00DE2EDF">
        <w:rPr>
          <w:rFonts w:eastAsia="Times New Roman" w:cs="Times New Roman"/>
          <w:iCs/>
          <w:lang w:val="en-GB"/>
        </w:rPr>
        <w:t>newbie</w:t>
      </w:r>
      <w:r w:rsidR="00530E16" w:rsidRPr="00DE2EDF">
        <w:rPr>
          <w:rFonts w:eastAsia="Times New Roman" w:cs="Times New Roman"/>
          <w:iCs/>
          <w:lang w:val="en-GB"/>
        </w:rPr>
        <w:t>’</w:t>
      </w:r>
      <w:r w:rsidR="00D96FF6" w:rsidRPr="00DE2EDF">
        <w:rPr>
          <w:rFonts w:eastAsia="Times New Roman" w:cs="Times New Roman"/>
          <w:iCs/>
          <w:lang w:val="en-GB"/>
        </w:rPr>
        <w:t>,</w:t>
      </w:r>
      <w:r w:rsidR="003472F3" w:rsidRPr="00DE2EDF">
        <w:rPr>
          <w:rFonts w:eastAsia="Times New Roman" w:cs="Times New Roman"/>
          <w:iCs/>
          <w:lang w:val="en-GB"/>
        </w:rPr>
        <w:t xml:space="preserve"> is expected to be content to accept the classical concepts, methods, and solutions of the older and wiser administrative </w:t>
      </w:r>
      <w:r w:rsidR="00A70312" w:rsidRPr="00DE2EDF">
        <w:rPr>
          <w:rFonts w:eastAsia="Times New Roman" w:cs="Times New Roman"/>
          <w:iCs/>
          <w:lang w:val="en-GB"/>
        </w:rPr>
        <w:t xml:space="preserve">(case) </w:t>
      </w:r>
      <w:r w:rsidR="003472F3" w:rsidRPr="00DE2EDF">
        <w:rPr>
          <w:rFonts w:eastAsia="Times New Roman" w:cs="Times New Roman"/>
          <w:iCs/>
          <w:lang w:val="en-GB"/>
        </w:rPr>
        <w:t>law in terms of</w:t>
      </w:r>
      <w:r w:rsidR="001A16F0" w:rsidRPr="00DE2EDF">
        <w:rPr>
          <w:rFonts w:eastAsia="Times New Roman" w:cs="Times New Roman"/>
          <w:iCs/>
          <w:lang w:val="en-GB"/>
        </w:rPr>
        <w:t xml:space="preserve"> </w:t>
      </w:r>
      <w:r w:rsidR="00B952A6" w:rsidRPr="00DE2EDF">
        <w:rPr>
          <w:rFonts w:eastAsia="Times New Roman" w:cs="Times New Roman"/>
          <w:iCs/>
          <w:lang w:val="en-GB"/>
        </w:rPr>
        <w:t>defining</w:t>
      </w:r>
      <w:r w:rsidR="003472F3" w:rsidRPr="00DE2EDF">
        <w:rPr>
          <w:rFonts w:eastAsia="Times New Roman" w:cs="Times New Roman"/>
          <w:iCs/>
          <w:lang w:val="en-GB"/>
        </w:rPr>
        <w:t xml:space="preserve"> fundamental rights, </w:t>
      </w:r>
      <w:r w:rsidR="00F57697" w:rsidRPr="00DE2EDF">
        <w:rPr>
          <w:rFonts w:eastAsia="Times New Roman" w:cs="Times New Roman"/>
          <w:iCs/>
          <w:lang w:val="en-GB"/>
        </w:rPr>
        <w:t xml:space="preserve">secularism, </w:t>
      </w:r>
      <w:r w:rsidR="00530E16" w:rsidRPr="00DE2EDF">
        <w:rPr>
          <w:rFonts w:eastAsia="Times New Roman" w:cs="Times New Roman"/>
          <w:iCs/>
          <w:lang w:val="en-GB"/>
        </w:rPr>
        <w:t>‘</w:t>
      </w:r>
      <w:r w:rsidR="003472F3" w:rsidRPr="00DE2EDF">
        <w:rPr>
          <w:rFonts w:eastAsia="Times New Roman" w:cs="Times New Roman"/>
          <w:iCs/>
          <w:lang w:val="en-GB"/>
        </w:rPr>
        <w:t>public service</w:t>
      </w:r>
      <w:r w:rsidR="00530E16" w:rsidRPr="00DE2EDF">
        <w:rPr>
          <w:rFonts w:eastAsia="Times New Roman" w:cs="Times New Roman"/>
          <w:iCs/>
          <w:lang w:val="en-GB"/>
        </w:rPr>
        <w:t>’</w:t>
      </w:r>
      <w:r w:rsidR="00B952A6" w:rsidRPr="00DE2EDF">
        <w:rPr>
          <w:rFonts w:eastAsia="Times New Roman" w:cs="Times New Roman"/>
          <w:iCs/>
          <w:lang w:val="en-GB"/>
        </w:rPr>
        <w:t>,</w:t>
      </w:r>
      <w:r w:rsidR="001A16F0" w:rsidRPr="00DE2EDF">
        <w:rPr>
          <w:rFonts w:eastAsia="Times New Roman" w:cs="Times New Roman"/>
          <w:iCs/>
          <w:lang w:val="en-GB"/>
        </w:rPr>
        <w:t xml:space="preserve"> ‘general interest’</w:t>
      </w:r>
      <w:r w:rsidR="003472F3" w:rsidRPr="00DE2EDF">
        <w:rPr>
          <w:rFonts w:eastAsia="Times New Roman" w:cs="Times New Roman"/>
          <w:iCs/>
          <w:lang w:val="en-GB"/>
        </w:rPr>
        <w:t xml:space="preserve">, separation of powers, </w:t>
      </w:r>
      <w:r w:rsidR="00F57697" w:rsidRPr="00DE2EDF">
        <w:rPr>
          <w:rFonts w:eastAsia="Times New Roman" w:cs="Times New Roman"/>
          <w:iCs/>
          <w:lang w:val="en-GB"/>
        </w:rPr>
        <w:t>methods</w:t>
      </w:r>
      <w:r w:rsidR="00B91451" w:rsidRPr="00DE2EDF">
        <w:rPr>
          <w:rFonts w:eastAsia="Times New Roman" w:cs="Times New Roman"/>
          <w:iCs/>
          <w:lang w:val="en-GB"/>
        </w:rPr>
        <w:t xml:space="preserve"> of</w:t>
      </w:r>
      <w:r w:rsidR="00F96256" w:rsidRPr="00DE2EDF">
        <w:rPr>
          <w:rFonts w:eastAsia="Times New Roman" w:cs="Times New Roman"/>
          <w:iCs/>
          <w:lang w:val="en-GB"/>
        </w:rPr>
        <w:t xml:space="preserve"> </w:t>
      </w:r>
      <w:r w:rsidR="003472F3" w:rsidRPr="00DE2EDF">
        <w:rPr>
          <w:rFonts w:eastAsia="Times New Roman" w:cs="Times New Roman"/>
          <w:iCs/>
          <w:lang w:val="en-GB"/>
        </w:rPr>
        <w:t xml:space="preserve">judicial </w:t>
      </w:r>
      <w:r w:rsidR="00B91451" w:rsidRPr="00DE2EDF">
        <w:rPr>
          <w:rFonts w:eastAsia="Times New Roman" w:cs="Times New Roman"/>
          <w:iCs/>
          <w:lang w:val="en-GB"/>
        </w:rPr>
        <w:t>scrutiny</w:t>
      </w:r>
      <w:r w:rsidR="003472F3" w:rsidRPr="00DE2EDF">
        <w:rPr>
          <w:rFonts w:eastAsia="Times New Roman" w:cs="Times New Roman"/>
          <w:iCs/>
          <w:lang w:val="en-GB"/>
        </w:rPr>
        <w:t xml:space="preserve">, etc. Thus, in France, </w:t>
      </w:r>
      <w:r w:rsidR="00A70312" w:rsidRPr="00DE2EDF">
        <w:rPr>
          <w:rFonts w:eastAsia="Times New Roman" w:cs="Times New Roman"/>
          <w:iCs/>
          <w:lang w:val="en-GB"/>
        </w:rPr>
        <w:t xml:space="preserve">at the beginning of the </w:t>
      </w:r>
      <w:r w:rsidR="009C3302" w:rsidRPr="00DE2EDF">
        <w:rPr>
          <w:rFonts w:eastAsia="Times New Roman" w:cs="Times New Roman"/>
          <w:iCs/>
          <w:lang w:val="en-GB"/>
        </w:rPr>
        <w:t>Fifth</w:t>
      </w:r>
      <w:r w:rsidR="00A70312" w:rsidRPr="00DE2EDF">
        <w:rPr>
          <w:rFonts w:eastAsia="Times New Roman" w:cs="Times New Roman"/>
          <w:iCs/>
          <w:lang w:val="en-GB"/>
        </w:rPr>
        <w:t xml:space="preserve"> Republic, </w:t>
      </w:r>
      <w:r w:rsidR="003472F3" w:rsidRPr="00DE2EDF">
        <w:rPr>
          <w:rFonts w:eastAsia="Times New Roman" w:cs="Times New Roman"/>
          <w:iCs/>
          <w:lang w:val="en-GB"/>
        </w:rPr>
        <w:t xml:space="preserve">the </w:t>
      </w:r>
      <w:r w:rsidR="003472F3" w:rsidRPr="00DE2EDF">
        <w:rPr>
          <w:rFonts w:eastAsia="Times New Roman" w:cs="Times New Roman"/>
          <w:i/>
          <w:lang w:val="en-GB"/>
        </w:rPr>
        <w:t xml:space="preserve">Conseil </w:t>
      </w:r>
      <w:r w:rsidR="00825DB5" w:rsidRPr="00DE2EDF">
        <w:rPr>
          <w:rFonts w:eastAsia="Times New Roman" w:cs="Times New Roman"/>
          <w:i/>
          <w:lang w:val="en-GB"/>
        </w:rPr>
        <w:t>d’Etat</w:t>
      </w:r>
      <w:r w:rsidR="003472F3" w:rsidRPr="00DE2EDF">
        <w:rPr>
          <w:rFonts w:eastAsia="Times New Roman" w:cs="Times New Roman"/>
          <w:iCs/>
          <w:lang w:val="en-GB"/>
        </w:rPr>
        <w:t xml:space="preserve"> </w:t>
      </w:r>
      <w:r w:rsidR="00A70312" w:rsidRPr="00DE2EDF">
        <w:rPr>
          <w:rFonts w:eastAsia="Times New Roman" w:cs="Times New Roman"/>
          <w:iCs/>
          <w:lang w:val="en-GB"/>
        </w:rPr>
        <w:t>was</w:t>
      </w:r>
      <w:r w:rsidR="003472F3" w:rsidRPr="00DE2EDF">
        <w:rPr>
          <w:rFonts w:eastAsia="Times New Roman" w:cs="Times New Roman"/>
          <w:iCs/>
          <w:lang w:val="en-GB"/>
        </w:rPr>
        <w:t xml:space="preserve"> styled as</w:t>
      </w:r>
      <w:r w:rsidR="00A70312" w:rsidRPr="00DE2EDF">
        <w:rPr>
          <w:rFonts w:eastAsia="Times New Roman" w:cs="Times New Roman"/>
          <w:iCs/>
          <w:lang w:val="en-GB"/>
        </w:rPr>
        <w:t xml:space="preserve"> </w:t>
      </w:r>
      <w:r w:rsidR="00B952A6" w:rsidRPr="00DE2EDF">
        <w:rPr>
          <w:rFonts w:eastAsia="Times New Roman" w:cs="Times New Roman"/>
          <w:iCs/>
          <w:lang w:val="en-GB"/>
        </w:rPr>
        <w:t xml:space="preserve">the </w:t>
      </w:r>
      <w:r w:rsidR="00530E16" w:rsidRPr="00DE2EDF">
        <w:rPr>
          <w:rFonts w:eastAsia="Times New Roman" w:cs="Times New Roman"/>
          <w:iCs/>
          <w:lang w:val="en-GB"/>
        </w:rPr>
        <w:t>‘</w:t>
      </w:r>
      <w:r w:rsidR="00F96256" w:rsidRPr="00DE2EDF">
        <w:rPr>
          <w:rFonts w:eastAsia="Times New Roman" w:cs="Times New Roman"/>
          <w:iCs/>
          <w:lang w:val="en-GB"/>
        </w:rPr>
        <w:t>older</w:t>
      </w:r>
      <w:r w:rsidR="00023F37" w:rsidRPr="00DE2EDF">
        <w:rPr>
          <w:rFonts w:eastAsia="Times New Roman" w:cs="Times New Roman"/>
          <w:iCs/>
          <w:lang w:val="en-GB"/>
        </w:rPr>
        <w:t>, wiser</w:t>
      </w:r>
      <w:r w:rsidR="003472F3" w:rsidRPr="00DE2EDF">
        <w:rPr>
          <w:rFonts w:eastAsia="Times New Roman" w:cs="Times New Roman"/>
          <w:iCs/>
          <w:lang w:val="en-GB"/>
        </w:rPr>
        <w:t xml:space="preserve"> brother</w:t>
      </w:r>
      <w:r w:rsidR="00530E16" w:rsidRPr="00DE2EDF">
        <w:rPr>
          <w:rFonts w:eastAsia="Times New Roman" w:cs="Times New Roman"/>
          <w:iCs/>
          <w:lang w:val="en-GB"/>
        </w:rPr>
        <w:t>’</w:t>
      </w:r>
      <w:r w:rsidR="003472F3" w:rsidRPr="00DE2EDF">
        <w:rPr>
          <w:rFonts w:eastAsia="Times New Roman" w:cs="Times New Roman"/>
          <w:iCs/>
          <w:lang w:val="en-GB"/>
        </w:rPr>
        <w:t xml:space="preserve"> of the </w:t>
      </w:r>
      <w:r w:rsidR="003472F3" w:rsidRPr="00DE2EDF">
        <w:rPr>
          <w:rFonts w:eastAsia="Times New Roman" w:cs="Times New Roman"/>
          <w:i/>
          <w:lang w:val="en-GB"/>
        </w:rPr>
        <w:t>Conseil constitutionnel</w:t>
      </w:r>
      <w:r w:rsidR="00A70312" w:rsidRPr="00DE2EDF">
        <w:rPr>
          <w:rFonts w:eastAsia="Times New Roman" w:cs="Times New Roman"/>
          <w:iCs/>
          <w:lang w:val="en-GB"/>
        </w:rPr>
        <w:t>, with the former taking the l</w:t>
      </w:r>
      <w:r w:rsidR="003472F3" w:rsidRPr="00DE2EDF">
        <w:rPr>
          <w:rFonts w:eastAsia="Times New Roman" w:cs="Times New Roman"/>
          <w:iCs/>
          <w:lang w:val="en-GB"/>
        </w:rPr>
        <w:t>a</w:t>
      </w:r>
      <w:r w:rsidR="00A70312" w:rsidRPr="00DE2EDF">
        <w:rPr>
          <w:rFonts w:eastAsia="Times New Roman" w:cs="Times New Roman"/>
          <w:iCs/>
          <w:lang w:val="en-GB"/>
        </w:rPr>
        <w:t xml:space="preserve">tter </w:t>
      </w:r>
      <w:r w:rsidR="003472F3" w:rsidRPr="00DE2EDF">
        <w:rPr>
          <w:rFonts w:eastAsia="Times New Roman" w:cs="Times New Roman"/>
          <w:iCs/>
          <w:lang w:val="en-GB"/>
        </w:rPr>
        <w:t>under its wing.</w:t>
      </w:r>
      <w:bookmarkStart w:id="320" w:name="_Ref252270169"/>
      <w:bookmarkEnd w:id="320"/>
      <w:r w:rsidR="00F57697" w:rsidRPr="00DE2EDF">
        <w:rPr>
          <w:rStyle w:val="FootnoteReference"/>
          <w:rFonts w:eastAsia="Times New Roman" w:cs="Times New Roman"/>
          <w:iCs/>
          <w:lang w:val="en-GB"/>
        </w:rPr>
        <w:footnoteReference w:id="201"/>
      </w:r>
      <w:r w:rsidR="003472F3" w:rsidRPr="00DE2EDF">
        <w:rPr>
          <w:rFonts w:eastAsia="Times New Roman" w:cs="Times New Roman"/>
          <w:iCs/>
          <w:lang w:val="en-GB"/>
        </w:rPr>
        <w:t xml:space="preserve"> This bottom-to-top </w:t>
      </w:r>
      <w:r w:rsidR="00A70312" w:rsidRPr="00DE2EDF">
        <w:rPr>
          <w:rFonts w:eastAsia="Times New Roman" w:cs="Times New Roman"/>
          <w:iCs/>
          <w:lang w:val="en-GB"/>
        </w:rPr>
        <w:t>relationship</w:t>
      </w:r>
      <w:r w:rsidR="003472F3" w:rsidRPr="00DE2EDF">
        <w:rPr>
          <w:rFonts w:eastAsia="Times New Roman" w:cs="Times New Roman"/>
          <w:iCs/>
          <w:lang w:val="en-GB"/>
        </w:rPr>
        <w:t xml:space="preserve">, espoused by Vedel under the polemical </w:t>
      </w:r>
      <w:r w:rsidR="003472F3" w:rsidRPr="00DE2EDF">
        <w:rPr>
          <w:rFonts w:eastAsia="Times New Roman" w:cs="Times New Roman"/>
          <w:iCs/>
          <w:lang w:val="en-GB"/>
        </w:rPr>
        <w:lastRenderedPageBreak/>
        <w:t xml:space="preserve">catchphrase </w:t>
      </w:r>
      <w:r w:rsidR="00530E16" w:rsidRPr="00DE2EDF">
        <w:rPr>
          <w:rFonts w:eastAsia="Times New Roman" w:cs="Times New Roman"/>
          <w:iCs/>
          <w:lang w:val="en-GB"/>
        </w:rPr>
        <w:t>‘</w:t>
      </w:r>
      <w:r w:rsidR="003472F3" w:rsidRPr="00DE2EDF">
        <w:rPr>
          <w:rFonts w:eastAsia="Times New Roman" w:cs="Times New Roman"/>
          <w:i/>
          <w:iCs/>
          <w:lang w:val="en-GB"/>
        </w:rPr>
        <w:t>administrativisation du droit constitutionnel</w:t>
      </w:r>
      <w:r w:rsidR="00530E16" w:rsidRPr="00DE2EDF">
        <w:rPr>
          <w:rFonts w:eastAsia="Times New Roman" w:cs="Times New Roman"/>
          <w:iCs/>
          <w:lang w:val="en-GB"/>
        </w:rPr>
        <w:t>’</w:t>
      </w:r>
      <w:r w:rsidR="003472F3" w:rsidRPr="00DE2EDF">
        <w:rPr>
          <w:rFonts w:eastAsia="Times New Roman" w:cs="Times New Roman"/>
          <w:iCs/>
          <w:lang w:val="en-GB"/>
        </w:rPr>
        <w:t xml:space="preserve">, </w:t>
      </w:r>
      <w:r w:rsidR="00F96256" w:rsidRPr="00DE2EDF">
        <w:rPr>
          <w:rFonts w:eastAsia="Times New Roman" w:cs="Times New Roman"/>
          <w:iCs/>
          <w:lang w:val="en-GB"/>
        </w:rPr>
        <w:t xml:space="preserve">preceded </w:t>
      </w:r>
      <w:r w:rsidR="003472F3" w:rsidRPr="00DE2EDF">
        <w:rPr>
          <w:rFonts w:eastAsia="Times New Roman" w:cs="Times New Roman"/>
          <w:iCs/>
          <w:lang w:val="en-GB"/>
        </w:rPr>
        <w:t xml:space="preserve">the Kelsenian </w:t>
      </w:r>
      <w:r w:rsidR="00F96256" w:rsidRPr="00DE2EDF">
        <w:rPr>
          <w:rFonts w:eastAsia="Times New Roman" w:cs="Times New Roman"/>
          <w:iCs/>
          <w:lang w:val="en-GB"/>
        </w:rPr>
        <w:t xml:space="preserve">perspective </w:t>
      </w:r>
      <w:r w:rsidR="003472F3" w:rsidRPr="00DE2EDF">
        <w:rPr>
          <w:rFonts w:eastAsia="Times New Roman" w:cs="Times New Roman"/>
          <w:iCs/>
          <w:lang w:val="en-GB"/>
        </w:rPr>
        <w:t xml:space="preserve">according to which the </w:t>
      </w:r>
      <w:r w:rsidR="00F96256" w:rsidRPr="00DE2EDF">
        <w:rPr>
          <w:rFonts w:eastAsia="Times New Roman" w:cs="Times New Roman"/>
          <w:iCs/>
          <w:lang w:val="en-GB"/>
        </w:rPr>
        <w:t>h</w:t>
      </w:r>
      <w:r w:rsidR="003472F3" w:rsidRPr="00DE2EDF">
        <w:rPr>
          <w:rFonts w:eastAsia="Times New Roman" w:cs="Times New Roman"/>
          <w:iCs/>
          <w:lang w:val="en-GB"/>
        </w:rPr>
        <w:t>ierarchy</w:t>
      </w:r>
      <w:r w:rsidR="00F96256" w:rsidRPr="00DE2EDF">
        <w:rPr>
          <w:rFonts w:eastAsia="Times New Roman" w:cs="Times New Roman"/>
          <w:iCs/>
          <w:lang w:val="en-GB"/>
        </w:rPr>
        <w:t xml:space="preserve"> of norms</w:t>
      </w:r>
      <w:r w:rsidR="003472F3" w:rsidRPr="00DE2EDF">
        <w:rPr>
          <w:rFonts w:eastAsia="Times New Roman" w:cs="Times New Roman"/>
          <w:iCs/>
          <w:lang w:val="en-GB"/>
        </w:rPr>
        <w:t xml:space="preserve"> should be</w:t>
      </w:r>
      <w:r w:rsidR="00F96256" w:rsidRPr="00DE2EDF">
        <w:rPr>
          <w:rFonts w:eastAsia="Times New Roman" w:cs="Times New Roman"/>
          <w:iCs/>
          <w:lang w:val="en-GB"/>
        </w:rPr>
        <w:t xml:space="preserve"> read</w:t>
      </w:r>
      <w:r w:rsidR="003472F3" w:rsidRPr="00DE2EDF">
        <w:rPr>
          <w:rFonts w:eastAsia="Times New Roman" w:cs="Times New Roman"/>
          <w:iCs/>
          <w:lang w:val="en-GB"/>
        </w:rPr>
        <w:t xml:space="preserve"> from top to bottom. </w:t>
      </w:r>
      <w:r w:rsidR="00AB346A" w:rsidRPr="00DE2EDF">
        <w:rPr>
          <w:rFonts w:eastAsia="Times New Roman" w:cs="Times New Roman"/>
          <w:iCs/>
          <w:lang w:val="en-GB"/>
        </w:rPr>
        <w:t>In this context, constitutionali</w:t>
      </w:r>
      <w:r w:rsidR="00104BAD" w:rsidRPr="00DE2EDF">
        <w:rPr>
          <w:rFonts w:eastAsia="Times New Roman" w:cs="Times New Roman"/>
          <w:iCs/>
          <w:lang w:val="en-GB"/>
        </w:rPr>
        <w:t>z</w:t>
      </w:r>
      <w:r w:rsidR="00AB346A" w:rsidRPr="00DE2EDF">
        <w:rPr>
          <w:rFonts w:eastAsia="Times New Roman" w:cs="Times New Roman"/>
          <w:iCs/>
          <w:lang w:val="en-GB"/>
        </w:rPr>
        <w:t xml:space="preserve">ation in the </w:t>
      </w:r>
      <w:r w:rsidR="003E5D4C" w:rsidRPr="00DE2EDF">
        <w:rPr>
          <w:rFonts w:eastAsia="Times New Roman" w:cs="Times New Roman"/>
          <w:iCs/>
          <w:lang w:val="en-GB"/>
        </w:rPr>
        <w:t xml:space="preserve">‘bottom-up’ </w:t>
      </w:r>
      <w:r w:rsidR="00AB346A" w:rsidRPr="00DE2EDF">
        <w:rPr>
          <w:rFonts w:eastAsia="Times New Roman" w:cs="Times New Roman"/>
          <w:iCs/>
          <w:lang w:val="en-GB"/>
        </w:rPr>
        <w:t>sens</w:t>
      </w:r>
      <w:r w:rsidR="003E5D4C" w:rsidRPr="00DE2EDF">
        <w:rPr>
          <w:rFonts w:eastAsia="Times New Roman" w:cs="Times New Roman"/>
          <w:iCs/>
          <w:lang w:val="en-GB"/>
        </w:rPr>
        <w:t>e</w:t>
      </w:r>
      <w:r w:rsidR="00AB346A" w:rsidRPr="00DE2EDF">
        <w:rPr>
          <w:rFonts w:eastAsia="Times New Roman" w:cs="Times New Roman"/>
          <w:iCs/>
          <w:lang w:val="en-GB"/>
        </w:rPr>
        <w:t xml:space="preserve"> mentioned above</w:t>
      </w:r>
      <w:r w:rsidR="00DB4CAF">
        <w:rPr>
          <w:rFonts w:eastAsia="Times New Roman" w:cs="Times New Roman"/>
          <w:iCs/>
          <w:lang w:val="en-GB"/>
        </w:rPr>
        <w:t xml:space="preserve"> (see above D. 1. c), meaning (b)</w:t>
      </w:r>
      <w:r w:rsidR="006F5A4C" w:rsidRPr="00DE2EDF">
        <w:rPr>
          <w:rFonts w:eastAsia="Times New Roman" w:cs="Times New Roman"/>
          <w:iCs/>
          <w:lang w:val="en-GB"/>
        </w:rPr>
        <w:t>)</w:t>
      </w:r>
      <w:r w:rsidR="00AB346A" w:rsidRPr="00DE2EDF">
        <w:rPr>
          <w:rFonts w:eastAsia="Times New Roman" w:cs="Times New Roman"/>
          <w:iCs/>
          <w:lang w:val="en-GB"/>
        </w:rPr>
        <w:t xml:space="preserve"> plays a major role. </w:t>
      </w:r>
      <w:r w:rsidR="00BE4FC4" w:rsidRPr="00DE2EDF">
        <w:rPr>
          <w:rFonts w:eastAsia="Times New Roman" w:cs="Times New Roman"/>
          <w:iCs/>
          <w:lang w:val="en-GB"/>
        </w:rPr>
        <w:t>C</w:t>
      </w:r>
      <w:r w:rsidR="003472F3" w:rsidRPr="00DE2EDF">
        <w:rPr>
          <w:rFonts w:eastAsia="Times New Roman" w:cs="Times New Roman"/>
          <w:iCs/>
          <w:lang w:val="en-GB"/>
        </w:rPr>
        <w:t>onstitutionali</w:t>
      </w:r>
      <w:r w:rsidR="00104BAD" w:rsidRPr="00DE2EDF">
        <w:rPr>
          <w:rFonts w:eastAsia="Times New Roman" w:cs="Times New Roman"/>
          <w:iCs/>
          <w:lang w:val="en-GB"/>
        </w:rPr>
        <w:t>z</w:t>
      </w:r>
      <w:r w:rsidR="003472F3" w:rsidRPr="00DE2EDF">
        <w:rPr>
          <w:rFonts w:eastAsia="Times New Roman" w:cs="Times New Roman"/>
          <w:iCs/>
          <w:lang w:val="en-GB"/>
        </w:rPr>
        <w:t>ation</w:t>
      </w:r>
      <w:r w:rsidR="001A16F0" w:rsidRPr="00DE2EDF">
        <w:rPr>
          <w:rFonts w:eastAsia="Times New Roman" w:cs="Times New Roman"/>
          <w:iCs/>
          <w:lang w:val="en-GB"/>
        </w:rPr>
        <w:t xml:space="preserve"> </w:t>
      </w:r>
      <w:r w:rsidR="003472F3" w:rsidRPr="00DE2EDF">
        <w:rPr>
          <w:rFonts w:eastAsia="Times New Roman" w:cs="Times New Roman"/>
          <w:iCs/>
          <w:lang w:val="en-GB"/>
        </w:rPr>
        <w:t xml:space="preserve">in the </w:t>
      </w:r>
      <w:r w:rsidR="003E5D4C" w:rsidRPr="00DE2EDF">
        <w:rPr>
          <w:rFonts w:eastAsia="Times New Roman" w:cs="Times New Roman"/>
          <w:iCs/>
          <w:lang w:val="en-GB"/>
        </w:rPr>
        <w:t>‘top-down’</w:t>
      </w:r>
      <w:r w:rsidR="006F5A4C" w:rsidRPr="00DE2EDF">
        <w:rPr>
          <w:rFonts w:eastAsia="Times New Roman" w:cs="Times New Roman"/>
          <w:iCs/>
          <w:lang w:val="en-GB"/>
        </w:rPr>
        <w:t xml:space="preserve"> </w:t>
      </w:r>
      <w:r w:rsidR="003472F3" w:rsidRPr="00DE2EDF">
        <w:rPr>
          <w:rFonts w:eastAsia="Times New Roman" w:cs="Times New Roman"/>
          <w:iCs/>
          <w:lang w:val="en-GB"/>
        </w:rPr>
        <w:t>sense</w:t>
      </w:r>
      <w:r w:rsidR="006F5A4C" w:rsidRPr="00DE2EDF">
        <w:rPr>
          <w:rFonts w:eastAsia="Times New Roman" w:cs="Times New Roman"/>
          <w:iCs/>
          <w:lang w:val="en-GB"/>
        </w:rPr>
        <w:t xml:space="preserve"> (</w:t>
      </w:r>
      <w:r w:rsidR="00DB4CAF">
        <w:rPr>
          <w:rFonts w:eastAsia="Times New Roman" w:cs="Times New Roman"/>
          <w:iCs/>
          <w:lang w:val="en-GB"/>
        </w:rPr>
        <w:t>see above, D. 1. c), meaning (c)</w:t>
      </w:r>
      <w:r w:rsidR="006F5A4C" w:rsidRPr="00DE2EDF">
        <w:rPr>
          <w:rFonts w:eastAsia="Times New Roman" w:cs="Times New Roman"/>
          <w:iCs/>
          <w:lang w:val="en-GB"/>
        </w:rPr>
        <w:t>)</w:t>
      </w:r>
      <w:r w:rsidR="00AB346A" w:rsidRPr="00DE2EDF">
        <w:rPr>
          <w:rFonts w:eastAsia="Times New Roman" w:cs="Times New Roman"/>
          <w:iCs/>
          <w:lang w:val="en-GB"/>
        </w:rPr>
        <w:t xml:space="preserve"> is not absent, </w:t>
      </w:r>
      <w:r w:rsidR="00BE4FC4" w:rsidRPr="00DE2EDF">
        <w:rPr>
          <w:rFonts w:eastAsia="Times New Roman" w:cs="Times New Roman"/>
          <w:iCs/>
          <w:lang w:val="en-GB"/>
        </w:rPr>
        <w:t>yet</w:t>
      </w:r>
      <w:r w:rsidR="00AB346A" w:rsidRPr="00DE2EDF">
        <w:rPr>
          <w:rFonts w:eastAsia="Times New Roman" w:cs="Times New Roman"/>
          <w:iCs/>
          <w:lang w:val="en-GB"/>
        </w:rPr>
        <w:t xml:space="preserve"> the nature of </w:t>
      </w:r>
      <w:r w:rsidR="00BE4FC4" w:rsidRPr="00DE2EDF">
        <w:rPr>
          <w:rFonts w:eastAsia="Times New Roman" w:cs="Times New Roman"/>
          <w:iCs/>
          <w:lang w:val="en-GB"/>
        </w:rPr>
        <w:t>its</w:t>
      </w:r>
      <w:r w:rsidR="00AB346A" w:rsidRPr="00DE2EDF">
        <w:rPr>
          <w:rFonts w:eastAsia="Times New Roman" w:cs="Times New Roman"/>
          <w:iCs/>
          <w:lang w:val="en-GB"/>
        </w:rPr>
        <w:t xml:space="preserve"> impact changes: it </w:t>
      </w:r>
      <w:r w:rsidR="00BE4FC4" w:rsidRPr="00DE2EDF">
        <w:rPr>
          <w:rFonts w:eastAsia="Times New Roman" w:cs="Times New Roman"/>
          <w:iCs/>
          <w:lang w:val="en-GB"/>
        </w:rPr>
        <w:t xml:space="preserve">does not lead to a transformation of the </w:t>
      </w:r>
      <w:r w:rsidR="00BE4FC4" w:rsidRPr="00DE2EDF">
        <w:rPr>
          <w:rFonts w:eastAsia="Times New Roman" w:cs="Times New Roman"/>
          <w:i/>
          <w:iCs/>
          <w:lang w:val="en-GB"/>
        </w:rPr>
        <w:t>status quo ante</w:t>
      </w:r>
      <w:r w:rsidR="00BE4FC4" w:rsidRPr="00DE2EDF">
        <w:rPr>
          <w:rFonts w:eastAsia="Times New Roman" w:cs="Times New Roman"/>
          <w:iCs/>
          <w:lang w:val="en-GB"/>
        </w:rPr>
        <w:t xml:space="preserve"> in ordinary law, but to its</w:t>
      </w:r>
      <w:r w:rsidR="003472F3" w:rsidRPr="00DE2EDF">
        <w:rPr>
          <w:rFonts w:eastAsia="Times New Roman" w:cs="Times New Roman"/>
          <w:iCs/>
          <w:lang w:val="en-GB"/>
        </w:rPr>
        <w:t xml:space="preserve"> petrification. </w:t>
      </w:r>
      <w:r w:rsidR="00BE4FC4" w:rsidRPr="00DE2EDF">
        <w:rPr>
          <w:rFonts w:eastAsia="Times New Roman" w:cs="Times New Roman"/>
          <w:iCs/>
          <w:lang w:val="en-GB"/>
        </w:rPr>
        <w:t>T</w:t>
      </w:r>
      <w:r w:rsidR="006F5A4C" w:rsidRPr="00DE2EDF">
        <w:rPr>
          <w:rFonts w:eastAsia="Times New Roman" w:cs="Times New Roman"/>
          <w:iCs/>
          <w:lang w:val="en-GB"/>
        </w:rPr>
        <w:t>he content of ordinary law</w:t>
      </w:r>
      <w:r w:rsidR="00EE385D" w:rsidRPr="00DE2EDF">
        <w:rPr>
          <w:rFonts w:eastAsia="Times New Roman" w:cs="Times New Roman"/>
          <w:iCs/>
          <w:lang w:val="en-GB"/>
        </w:rPr>
        <w:t xml:space="preserve"> is consolidated, </w:t>
      </w:r>
      <w:r w:rsidR="00BE4FC4" w:rsidRPr="00DE2EDF">
        <w:rPr>
          <w:rFonts w:eastAsia="Times New Roman" w:cs="Times New Roman"/>
          <w:iCs/>
          <w:lang w:val="en-GB"/>
        </w:rPr>
        <w:t>and</w:t>
      </w:r>
      <w:r w:rsidR="00EE385D" w:rsidRPr="00DE2EDF">
        <w:rPr>
          <w:rFonts w:eastAsia="Times New Roman" w:cs="Times New Roman"/>
          <w:iCs/>
          <w:lang w:val="en-GB"/>
        </w:rPr>
        <w:t xml:space="preserve"> guaranteed, by the Constitution.</w:t>
      </w:r>
      <w:r w:rsidR="00A918A6">
        <w:rPr>
          <w:rFonts w:eastAsia="Times New Roman" w:cs="Times New Roman"/>
          <w:iCs/>
          <w:lang w:val="en-GB"/>
        </w:rPr>
        <w:t xml:space="preserve"> </w:t>
      </w:r>
      <w:r w:rsidR="0018349D" w:rsidRPr="00DE2EDF">
        <w:rPr>
          <w:rFonts w:eastAsia="Times New Roman" w:cs="Times New Roman"/>
          <w:iCs/>
          <w:lang w:val="en-GB"/>
        </w:rPr>
        <w:t>Ordinary a</w:t>
      </w:r>
      <w:r w:rsidR="003472F3" w:rsidRPr="00DE2EDF">
        <w:rPr>
          <w:rFonts w:eastAsia="Times New Roman" w:cs="Times New Roman"/>
          <w:iCs/>
          <w:lang w:val="en-GB"/>
        </w:rPr>
        <w:t xml:space="preserve">dministrative law is not </w:t>
      </w:r>
      <w:r w:rsidR="00AB346A" w:rsidRPr="00DE2EDF">
        <w:rPr>
          <w:rFonts w:eastAsia="Times New Roman" w:cs="Times New Roman"/>
          <w:iCs/>
          <w:lang w:val="en-GB"/>
        </w:rPr>
        <w:t xml:space="preserve">brought in line </w:t>
      </w:r>
      <w:r w:rsidR="003472F3" w:rsidRPr="00DE2EDF">
        <w:rPr>
          <w:rFonts w:eastAsia="Times New Roman" w:cs="Times New Roman"/>
          <w:iCs/>
          <w:lang w:val="en-GB"/>
        </w:rPr>
        <w:t xml:space="preserve">with constitutional law, but constitutional law with </w:t>
      </w:r>
      <w:r w:rsidR="0018349D" w:rsidRPr="00DE2EDF">
        <w:rPr>
          <w:rFonts w:eastAsia="Times New Roman" w:cs="Times New Roman"/>
          <w:iCs/>
          <w:lang w:val="en-GB"/>
        </w:rPr>
        <w:t xml:space="preserve">ordinary </w:t>
      </w:r>
      <w:r w:rsidR="003472F3" w:rsidRPr="00DE2EDF">
        <w:rPr>
          <w:rFonts w:eastAsia="Times New Roman" w:cs="Times New Roman"/>
          <w:iCs/>
          <w:lang w:val="en-GB"/>
        </w:rPr>
        <w:t>administrative law.</w:t>
      </w:r>
      <w:bookmarkStart w:id="321" w:name="_ftnref164"/>
      <w:r w:rsidR="003472F3" w:rsidRPr="00DE2EDF">
        <w:rPr>
          <w:rStyle w:val="FootnoteReference"/>
          <w:rFonts w:eastAsia="Times New Roman" w:cs="Times New Roman"/>
          <w:iCs/>
          <w:lang w:val="en-GB"/>
        </w:rPr>
        <w:footnoteReference w:id="202"/>
      </w:r>
      <w:hyperlink r:id="rId17" w:tgtFrame="_top" w:history="1">
        <w:r w:rsidR="003472F3" w:rsidRPr="00DE2EDF">
          <w:rPr>
            <w:rFonts w:eastAsia="Times New Roman" w:cs="Times New Roman"/>
            <w:iCs/>
            <w:color w:val="0000FF"/>
            <w:u w:val="single"/>
            <w:vertAlign w:val="superscript"/>
            <w:lang w:val="en-GB"/>
          </w:rPr>
          <w:t xml:space="preserve"> </w:t>
        </w:r>
      </w:hyperlink>
      <w:bookmarkEnd w:id="321"/>
    </w:p>
    <w:p w14:paraId="49A36956" w14:textId="77777777" w:rsidR="002D66C1" w:rsidRPr="00DE2EDF" w:rsidRDefault="002D66C1" w:rsidP="00DE2EDF">
      <w:pPr>
        <w:spacing w:after="0"/>
        <w:jc w:val="both"/>
        <w:rPr>
          <w:rFonts w:eastAsia="Times New Roman" w:cs="Times New Roman"/>
          <w:iCs/>
          <w:lang w:val="en-GB"/>
        </w:rPr>
      </w:pPr>
    </w:p>
    <w:p w14:paraId="1D0CEB86" w14:textId="77777777" w:rsidR="003472F3" w:rsidRPr="00DE2EDF" w:rsidRDefault="002D66C1" w:rsidP="00DE2EDF">
      <w:pPr>
        <w:pStyle w:val="Heading3"/>
        <w:rPr>
          <w:rFonts w:cs="Times New Roman"/>
          <w:szCs w:val="24"/>
        </w:rPr>
      </w:pPr>
      <w:bookmarkStart w:id="322" w:name="_Toc253048953"/>
      <w:bookmarkStart w:id="323" w:name="_Toc252700500"/>
      <w:bookmarkStart w:id="324" w:name="_Toc245196685"/>
      <w:bookmarkStart w:id="325" w:name="_Toc460405646"/>
      <w:bookmarkEnd w:id="322"/>
      <w:bookmarkEnd w:id="323"/>
      <w:r w:rsidRPr="00DE2EDF">
        <w:rPr>
          <w:rFonts w:cs="Times New Roman"/>
          <w:szCs w:val="24"/>
        </w:rPr>
        <w:t xml:space="preserve">e) </w:t>
      </w:r>
      <w:r w:rsidR="003472F3" w:rsidRPr="00DE2EDF">
        <w:rPr>
          <w:rFonts w:cs="Times New Roman"/>
          <w:szCs w:val="24"/>
        </w:rPr>
        <w:t xml:space="preserve">The </w:t>
      </w:r>
      <w:r w:rsidR="00E630ED" w:rsidRPr="00DE2EDF">
        <w:rPr>
          <w:rFonts w:cs="Times New Roman"/>
          <w:szCs w:val="24"/>
        </w:rPr>
        <w:t>P</w:t>
      </w:r>
      <w:r w:rsidR="003472F3" w:rsidRPr="00DE2EDF">
        <w:rPr>
          <w:rFonts w:cs="Times New Roman"/>
          <w:szCs w:val="24"/>
        </w:rPr>
        <w:t xml:space="preserve">rimacy </w:t>
      </w:r>
      <w:r w:rsidR="004747C5" w:rsidRPr="00DE2EDF">
        <w:rPr>
          <w:rFonts w:cs="Times New Roman"/>
          <w:szCs w:val="24"/>
        </w:rPr>
        <w:t xml:space="preserve">and </w:t>
      </w:r>
      <w:r w:rsidR="00E630ED" w:rsidRPr="00DE2EDF">
        <w:rPr>
          <w:rFonts w:cs="Times New Roman"/>
          <w:szCs w:val="24"/>
        </w:rPr>
        <w:t>L</w:t>
      </w:r>
      <w:r w:rsidR="004747C5" w:rsidRPr="00DE2EDF">
        <w:rPr>
          <w:rFonts w:cs="Times New Roman"/>
          <w:szCs w:val="24"/>
        </w:rPr>
        <w:t xml:space="preserve">egitimacy </w:t>
      </w:r>
      <w:r w:rsidR="003472F3" w:rsidRPr="00DE2EDF">
        <w:rPr>
          <w:rFonts w:cs="Times New Roman"/>
          <w:szCs w:val="24"/>
        </w:rPr>
        <w:t>of the Constitution</w:t>
      </w:r>
      <w:bookmarkEnd w:id="324"/>
      <w:bookmarkEnd w:id="325"/>
    </w:p>
    <w:p w14:paraId="13B44102" w14:textId="77777777" w:rsidR="002D66C1" w:rsidRPr="00DE2EDF" w:rsidRDefault="002D66C1" w:rsidP="00DE2EDF">
      <w:pPr>
        <w:spacing w:after="0"/>
        <w:rPr>
          <w:rFonts w:cs="Times New Roman"/>
          <w:lang w:val="en-GB"/>
        </w:rPr>
      </w:pPr>
    </w:p>
    <w:p w14:paraId="052EAE97"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In addition to its content, the Constitution</w:t>
      </w:r>
      <w:r w:rsidR="00530E16" w:rsidRPr="00DE2EDF">
        <w:rPr>
          <w:rFonts w:eastAsia="Times New Roman" w:cs="Times New Roman"/>
          <w:iCs/>
          <w:lang w:val="en-GB"/>
        </w:rPr>
        <w:t>’</w:t>
      </w:r>
      <w:r w:rsidRPr="00DE2EDF">
        <w:rPr>
          <w:rFonts w:eastAsia="Times New Roman" w:cs="Times New Roman"/>
          <w:iCs/>
          <w:lang w:val="en-GB"/>
        </w:rPr>
        <w:t>s primacy is a crucial element of constitut</w:t>
      </w:r>
      <w:r w:rsidR="00E56886">
        <w:rPr>
          <w:rFonts w:eastAsia="Times New Roman" w:cs="Times New Roman"/>
          <w:iCs/>
          <w:lang w:val="en-GB"/>
        </w:rPr>
        <w:t>ionaliz</w:t>
      </w:r>
      <w:r w:rsidRPr="00DE2EDF">
        <w:rPr>
          <w:rFonts w:eastAsia="Times New Roman" w:cs="Times New Roman"/>
          <w:iCs/>
          <w:lang w:val="en-GB"/>
        </w:rPr>
        <w:t xml:space="preserve">ation. </w:t>
      </w:r>
      <w:r w:rsidR="00A0369F" w:rsidRPr="00DE2EDF">
        <w:rPr>
          <w:rFonts w:eastAsia="Times New Roman" w:cs="Times New Roman"/>
          <w:iCs/>
          <w:lang w:val="en-GB"/>
        </w:rPr>
        <w:t>The latter aspect is</w:t>
      </w:r>
      <w:r w:rsidRPr="00DE2EDF">
        <w:rPr>
          <w:rFonts w:eastAsia="Times New Roman" w:cs="Times New Roman"/>
          <w:iCs/>
          <w:lang w:val="en-GB"/>
        </w:rPr>
        <w:t xml:space="preserve"> closely linked</w:t>
      </w:r>
      <w:r w:rsidR="00A0369F" w:rsidRPr="00DE2EDF">
        <w:rPr>
          <w:rFonts w:eastAsia="Times New Roman" w:cs="Times New Roman"/>
          <w:iCs/>
          <w:lang w:val="en-GB"/>
        </w:rPr>
        <w:t xml:space="preserve"> to the former</w:t>
      </w:r>
      <w:r w:rsidRPr="00DE2EDF">
        <w:rPr>
          <w:rFonts w:eastAsia="Times New Roman" w:cs="Times New Roman"/>
          <w:iCs/>
          <w:lang w:val="en-GB"/>
        </w:rPr>
        <w:t xml:space="preserve">. </w:t>
      </w:r>
      <w:r w:rsidR="00545BE2" w:rsidRPr="00DE2EDF">
        <w:rPr>
          <w:rFonts w:eastAsia="Times New Roman" w:cs="Times New Roman"/>
          <w:iCs/>
          <w:lang w:val="en-GB"/>
        </w:rPr>
        <w:t xml:space="preserve">Yet, very often, scholars focus exclusively on </w:t>
      </w:r>
      <w:r w:rsidRPr="00DE2EDF">
        <w:rPr>
          <w:rFonts w:eastAsia="Times New Roman" w:cs="Times New Roman"/>
          <w:iCs/>
          <w:lang w:val="en-GB"/>
        </w:rPr>
        <w:t xml:space="preserve">the formal criterion of </w:t>
      </w:r>
      <w:r w:rsidR="00C514A4" w:rsidRPr="00DE2EDF">
        <w:rPr>
          <w:rFonts w:eastAsia="Times New Roman" w:cs="Times New Roman"/>
          <w:iCs/>
          <w:lang w:val="en-GB"/>
        </w:rPr>
        <w:t xml:space="preserve">rigidity </w:t>
      </w:r>
      <w:r w:rsidR="00A0369F" w:rsidRPr="00DE2EDF">
        <w:rPr>
          <w:rFonts w:eastAsia="Times New Roman" w:cs="Times New Roman"/>
          <w:iCs/>
          <w:lang w:val="en-GB"/>
        </w:rPr>
        <w:t>in order to grasp the idea of the Constitution</w:t>
      </w:r>
      <w:r w:rsidR="003E5D4C" w:rsidRPr="00DE2EDF">
        <w:rPr>
          <w:rFonts w:eastAsia="Times New Roman" w:cs="Times New Roman"/>
          <w:iCs/>
          <w:lang w:val="en-GB"/>
        </w:rPr>
        <w:t>’s</w:t>
      </w:r>
      <w:r w:rsidR="00A0369F" w:rsidRPr="00DE2EDF">
        <w:rPr>
          <w:rFonts w:eastAsia="Times New Roman" w:cs="Times New Roman"/>
          <w:iCs/>
          <w:lang w:val="en-GB"/>
        </w:rPr>
        <w:t xml:space="preserve"> primacy or supremacy, leaving aside any substantive consideration</w:t>
      </w:r>
      <w:r w:rsidRPr="00DE2EDF">
        <w:rPr>
          <w:rFonts w:eastAsia="Times New Roman" w:cs="Times New Roman"/>
          <w:iCs/>
          <w:lang w:val="en-GB"/>
        </w:rPr>
        <w:t xml:space="preserve">. However, </w:t>
      </w:r>
      <w:r w:rsidR="005F4AC6" w:rsidRPr="00DE2EDF">
        <w:rPr>
          <w:rFonts w:eastAsia="Times New Roman" w:cs="Times New Roman"/>
          <w:iCs/>
          <w:lang w:val="en-GB"/>
        </w:rPr>
        <w:t xml:space="preserve">from a comparative perspective, </w:t>
      </w:r>
      <w:r w:rsidRPr="00DE2EDF">
        <w:rPr>
          <w:rFonts w:eastAsia="Times New Roman" w:cs="Times New Roman"/>
          <w:iCs/>
          <w:lang w:val="en-GB"/>
        </w:rPr>
        <w:t>this</w:t>
      </w:r>
      <w:r w:rsidR="00A0369F" w:rsidRPr="00DE2EDF">
        <w:rPr>
          <w:rFonts w:eastAsia="Times New Roman" w:cs="Times New Roman"/>
          <w:iCs/>
          <w:lang w:val="en-GB"/>
        </w:rPr>
        <w:t xml:space="preserve"> approach</w:t>
      </w:r>
      <w:r w:rsidRPr="00DE2EDF">
        <w:rPr>
          <w:rFonts w:eastAsia="Times New Roman" w:cs="Times New Roman"/>
          <w:iCs/>
          <w:lang w:val="en-GB"/>
        </w:rPr>
        <w:t xml:space="preserve"> </w:t>
      </w:r>
      <w:r w:rsidR="005F4AC6" w:rsidRPr="00DE2EDF">
        <w:rPr>
          <w:rFonts w:eastAsia="Times New Roman" w:cs="Times New Roman"/>
          <w:iCs/>
          <w:lang w:val="en-GB"/>
        </w:rPr>
        <w:t>turns out to be</w:t>
      </w:r>
      <w:r w:rsidRPr="00DE2EDF">
        <w:rPr>
          <w:rFonts w:eastAsia="Times New Roman" w:cs="Times New Roman"/>
          <w:iCs/>
          <w:lang w:val="en-GB"/>
        </w:rPr>
        <w:t xml:space="preserve"> too narrow: an important part of reality is </w:t>
      </w:r>
      <w:r w:rsidR="00545BE2" w:rsidRPr="00DE2EDF">
        <w:rPr>
          <w:rFonts w:eastAsia="Times New Roman" w:cs="Times New Roman"/>
          <w:iCs/>
          <w:lang w:val="en-GB"/>
        </w:rPr>
        <w:t>ignored</w:t>
      </w:r>
      <w:r w:rsidR="00E56886">
        <w:rPr>
          <w:rFonts w:eastAsia="Times New Roman" w:cs="Times New Roman"/>
          <w:iCs/>
          <w:lang w:val="en-GB"/>
        </w:rPr>
        <w:t>. Constitutionaliz</w:t>
      </w:r>
      <w:r w:rsidRPr="00DE2EDF">
        <w:rPr>
          <w:rFonts w:eastAsia="Times New Roman" w:cs="Times New Roman"/>
          <w:iCs/>
          <w:lang w:val="en-GB"/>
        </w:rPr>
        <w:t xml:space="preserve">ation can take place without </w:t>
      </w:r>
      <w:r w:rsidR="00A75819" w:rsidRPr="00DE2EDF">
        <w:rPr>
          <w:rFonts w:eastAsia="Times New Roman" w:cs="Times New Roman"/>
          <w:iCs/>
          <w:lang w:val="en-GB"/>
        </w:rPr>
        <w:t>the classic form of entrenchment</w:t>
      </w:r>
      <w:r w:rsidRPr="00DE2EDF">
        <w:rPr>
          <w:rFonts w:eastAsia="Times New Roman" w:cs="Times New Roman"/>
          <w:iCs/>
          <w:lang w:val="en-GB"/>
        </w:rPr>
        <w:t xml:space="preserve">, as the British example, above, showed. A certain liberal ideal of justice was the driving force inspiring </w:t>
      </w:r>
      <w:r w:rsidR="003E5D4C" w:rsidRPr="00DE2EDF">
        <w:rPr>
          <w:rFonts w:eastAsia="Times New Roman" w:cs="Times New Roman"/>
          <w:iCs/>
          <w:lang w:val="en-GB"/>
        </w:rPr>
        <w:t xml:space="preserve">Britain’s </w:t>
      </w:r>
      <w:r w:rsidR="00545BE2" w:rsidRPr="00DE2EDF">
        <w:rPr>
          <w:rFonts w:eastAsia="Times New Roman" w:cs="Times New Roman"/>
          <w:iCs/>
          <w:lang w:val="en-GB"/>
        </w:rPr>
        <w:t>highest courts and, similarly, the Supreme Court of Israel,</w:t>
      </w:r>
      <w:r w:rsidRPr="00DE2EDF">
        <w:rPr>
          <w:rFonts w:eastAsia="Times New Roman" w:cs="Times New Roman"/>
          <w:iCs/>
          <w:lang w:val="en-GB"/>
        </w:rPr>
        <w:t xml:space="preserve"> to</w:t>
      </w:r>
      <w:r w:rsidR="00C514A4" w:rsidRPr="00DE2EDF">
        <w:rPr>
          <w:rFonts w:eastAsia="Times New Roman" w:cs="Times New Roman"/>
          <w:iCs/>
          <w:lang w:val="en-GB"/>
        </w:rPr>
        <w:t xml:space="preserve"> reconstruct</w:t>
      </w:r>
      <w:r w:rsidRPr="00DE2EDF">
        <w:rPr>
          <w:rFonts w:eastAsia="Times New Roman" w:cs="Times New Roman"/>
          <w:iCs/>
          <w:lang w:val="en-GB"/>
        </w:rPr>
        <w:t xml:space="preserve"> the highest level of the hierarchy of </w:t>
      </w:r>
      <w:r w:rsidR="00A75819" w:rsidRPr="00DE2EDF">
        <w:rPr>
          <w:rFonts w:eastAsia="Times New Roman" w:cs="Times New Roman"/>
          <w:iCs/>
          <w:lang w:val="en-GB"/>
        </w:rPr>
        <w:t xml:space="preserve">legal </w:t>
      </w:r>
      <w:r w:rsidRPr="00DE2EDF">
        <w:rPr>
          <w:rFonts w:eastAsia="Times New Roman" w:cs="Times New Roman"/>
          <w:iCs/>
          <w:lang w:val="en-GB"/>
        </w:rPr>
        <w:t>norms. Even in those countries in which the formal legal criterion of rigidity is given, the question of the legitimacy</w:t>
      </w:r>
      <w:bookmarkStart w:id="326" w:name="_ftnref165"/>
      <w:r w:rsidRPr="00DE2EDF">
        <w:rPr>
          <w:rStyle w:val="FootnoteReference"/>
          <w:rFonts w:eastAsia="Times New Roman" w:cs="Times New Roman"/>
          <w:iCs/>
          <w:lang w:val="en-GB"/>
        </w:rPr>
        <w:footnoteReference w:id="203"/>
      </w:r>
      <w:bookmarkEnd w:id="326"/>
      <w:r w:rsidRPr="00DE2EDF">
        <w:rPr>
          <w:rFonts w:eastAsia="Times New Roman" w:cs="Times New Roman"/>
          <w:iCs/>
          <w:lang w:val="en-GB"/>
        </w:rPr>
        <w:t xml:space="preserve"> (or illegitimacy</w:t>
      </w:r>
      <w:bookmarkStart w:id="327" w:name="_ftnref166"/>
      <w:r w:rsidRPr="00DE2EDF">
        <w:rPr>
          <w:rStyle w:val="FootnoteReference"/>
          <w:rFonts w:eastAsia="Times New Roman" w:cs="Times New Roman"/>
          <w:iCs/>
          <w:lang w:val="en-GB"/>
        </w:rPr>
        <w:footnoteReference w:id="204"/>
      </w:r>
      <w:bookmarkEnd w:id="327"/>
      <w:r w:rsidRPr="00DE2EDF">
        <w:rPr>
          <w:rFonts w:eastAsia="Times New Roman" w:cs="Times New Roman"/>
          <w:iCs/>
          <w:lang w:val="en-GB"/>
        </w:rPr>
        <w:t xml:space="preserve">) of the Constitution </w:t>
      </w:r>
      <w:r w:rsidR="00C514A4" w:rsidRPr="00DE2EDF">
        <w:rPr>
          <w:rFonts w:eastAsia="Times New Roman" w:cs="Times New Roman"/>
          <w:iCs/>
          <w:lang w:val="en-GB"/>
        </w:rPr>
        <w:t>is not pointless</w:t>
      </w:r>
      <w:r w:rsidRPr="00DE2EDF">
        <w:rPr>
          <w:rFonts w:eastAsia="Times New Roman" w:cs="Times New Roman"/>
          <w:iCs/>
          <w:lang w:val="en-GB"/>
        </w:rPr>
        <w:t>. In the former communist regimes, the Constitution, despite its higher rank in the formal legal hierarchy, was a taboo zone from which the judiciary kept its distance (the Constitution</w:t>
      </w:r>
      <w:r w:rsidR="00545BE2" w:rsidRPr="00DE2EDF">
        <w:rPr>
          <w:rFonts w:eastAsia="Times New Roman" w:cs="Times New Roman"/>
          <w:iCs/>
          <w:lang w:val="en-GB"/>
        </w:rPr>
        <w:t xml:space="preserve"> was</w:t>
      </w:r>
      <w:r w:rsidRPr="00DE2EDF">
        <w:rPr>
          <w:rFonts w:eastAsia="Times New Roman" w:cs="Times New Roman"/>
          <w:iCs/>
          <w:lang w:val="en-GB"/>
        </w:rPr>
        <w:t xml:space="preserve"> a mere facade).</w:t>
      </w:r>
      <w:bookmarkStart w:id="328" w:name="_ftnref167"/>
      <w:r w:rsidRPr="00DE2EDF">
        <w:rPr>
          <w:rStyle w:val="FootnoteReference"/>
          <w:rFonts w:eastAsia="Times New Roman" w:cs="Times New Roman"/>
          <w:iCs/>
          <w:lang w:val="en-GB"/>
        </w:rPr>
        <w:footnoteReference w:id="205"/>
      </w:r>
      <w:bookmarkEnd w:id="328"/>
      <w:r w:rsidRPr="00DE2EDF">
        <w:rPr>
          <w:rFonts w:eastAsia="Times New Roman" w:cs="Times New Roman"/>
          <w:iCs/>
          <w:lang w:val="en-GB"/>
        </w:rPr>
        <w:t xml:space="preserve"> </w:t>
      </w:r>
      <w:r w:rsidR="007F4B39" w:rsidRPr="00DE2EDF">
        <w:rPr>
          <w:rFonts w:eastAsia="Times New Roman" w:cs="Times New Roman"/>
          <w:iCs/>
          <w:lang w:val="en-GB"/>
        </w:rPr>
        <w:t xml:space="preserve">Generally speaking, </w:t>
      </w:r>
      <w:r w:rsidRPr="00DE2EDF">
        <w:rPr>
          <w:rFonts w:eastAsia="Times New Roman" w:cs="Times New Roman"/>
          <w:iCs/>
          <w:lang w:val="en-GB"/>
        </w:rPr>
        <w:t>the supreme State organ</w:t>
      </w:r>
      <w:r w:rsidR="00C514A4" w:rsidRPr="00DE2EDF">
        <w:rPr>
          <w:rFonts w:eastAsia="Times New Roman" w:cs="Times New Roman"/>
          <w:iCs/>
          <w:lang w:val="en-GB"/>
        </w:rPr>
        <w:t>s</w:t>
      </w:r>
      <w:r w:rsidR="0046492C" w:rsidRPr="00DE2EDF">
        <w:rPr>
          <w:rFonts w:eastAsia="Times New Roman" w:cs="Times New Roman"/>
          <w:iCs/>
          <w:lang w:val="en-GB"/>
        </w:rPr>
        <w:t>’</w:t>
      </w:r>
      <w:r w:rsidR="007F4B39" w:rsidRPr="00DE2EDF">
        <w:rPr>
          <w:rFonts w:eastAsia="Times New Roman" w:cs="Times New Roman"/>
          <w:iCs/>
          <w:lang w:val="en-GB"/>
        </w:rPr>
        <w:t xml:space="preserve"> obligation to comply with </w:t>
      </w:r>
      <w:r w:rsidRPr="00DE2EDF">
        <w:rPr>
          <w:rFonts w:eastAsia="Times New Roman" w:cs="Times New Roman"/>
          <w:iCs/>
          <w:lang w:val="en-GB"/>
        </w:rPr>
        <w:t xml:space="preserve">the Constitution </w:t>
      </w:r>
      <w:r w:rsidR="007F4B39" w:rsidRPr="00DE2EDF">
        <w:rPr>
          <w:rFonts w:eastAsia="Times New Roman" w:cs="Times New Roman"/>
          <w:iCs/>
          <w:lang w:val="en-GB"/>
        </w:rPr>
        <w:t xml:space="preserve">is not enforced by coercion. It is mainly founded </w:t>
      </w:r>
      <w:r w:rsidRPr="00DE2EDF">
        <w:rPr>
          <w:rFonts w:eastAsia="Times New Roman" w:cs="Times New Roman"/>
          <w:iCs/>
          <w:lang w:val="en-GB"/>
        </w:rPr>
        <w:t xml:space="preserve">on </w:t>
      </w:r>
      <w:r w:rsidR="007F4B39" w:rsidRPr="00DE2EDF">
        <w:rPr>
          <w:rFonts w:eastAsia="Times New Roman" w:cs="Times New Roman"/>
          <w:iCs/>
          <w:lang w:val="en-GB"/>
        </w:rPr>
        <w:t xml:space="preserve">the Constitution’s </w:t>
      </w:r>
      <w:r w:rsidRPr="00DE2EDF">
        <w:rPr>
          <w:rFonts w:eastAsia="Times New Roman" w:cs="Times New Roman"/>
          <w:iCs/>
          <w:lang w:val="en-GB"/>
        </w:rPr>
        <w:t xml:space="preserve">legitimacy, which may be called into question either generally (the best example: a military coup) or selectively. </w:t>
      </w:r>
      <w:r w:rsidR="007F4B39" w:rsidRPr="00DE2EDF">
        <w:rPr>
          <w:rFonts w:eastAsia="Times New Roman" w:cs="Times New Roman"/>
          <w:iCs/>
          <w:lang w:val="en-GB"/>
        </w:rPr>
        <w:t xml:space="preserve">If, for example, the political parties’ commitment to the Constitution </w:t>
      </w:r>
      <w:r w:rsidR="000461AC" w:rsidRPr="00DE2EDF">
        <w:rPr>
          <w:rFonts w:eastAsia="Times New Roman" w:cs="Times New Roman"/>
          <w:iCs/>
          <w:lang w:val="en-GB"/>
        </w:rPr>
        <w:t>dwindles</w:t>
      </w:r>
      <w:r w:rsidR="007F4B39" w:rsidRPr="00DE2EDF">
        <w:rPr>
          <w:rFonts w:eastAsia="Times New Roman" w:cs="Times New Roman"/>
          <w:iCs/>
          <w:lang w:val="en-GB"/>
        </w:rPr>
        <w:t>,</w:t>
      </w:r>
      <w:bookmarkStart w:id="329" w:name="_Ref252459412"/>
      <w:bookmarkStart w:id="330" w:name="_Ref401053524"/>
      <w:bookmarkStart w:id="331" w:name="_ftnref168"/>
      <w:bookmarkEnd w:id="329"/>
      <w:r w:rsidRPr="00DE2EDF">
        <w:rPr>
          <w:rStyle w:val="FootnoteReference"/>
          <w:rFonts w:eastAsia="Times New Roman" w:cs="Times New Roman"/>
          <w:iCs/>
          <w:lang w:val="en-GB"/>
        </w:rPr>
        <w:footnoteReference w:id="206"/>
      </w:r>
      <w:bookmarkEnd w:id="330"/>
      <w:r w:rsidRPr="00DE2EDF">
        <w:rPr>
          <w:rFonts w:eastAsia="Times New Roman" w:cs="Times New Roman"/>
          <w:iCs/>
          <w:lang w:val="en-GB"/>
        </w:rPr>
        <w:t xml:space="preserve"> </w:t>
      </w:r>
      <w:bookmarkEnd w:id="331"/>
      <w:r w:rsidRPr="00DE2EDF">
        <w:rPr>
          <w:rFonts w:eastAsia="Times New Roman" w:cs="Times New Roman"/>
          <w:iCs/>
          <w:lang w:val="en-GB"/>
        </w:rPr>
        <w:t xml:space="preserve">the </w:t>
      </w:r>
      <w:r w:rsidR="000461AC" w:rsidRPr="00DE2EDF">
        <w:rPr>
          <w:rFonts w:eastAsia="Times New Roman" w:cs="Times New Roman"/>
          <w:iCs/>
          <w:lang w:val="en-GB"/>
        </w:rPr>
        <w:t xml:space="preserve">dynamic of </w:t>
      </w:r>
      <w:r w:rsidR="00E56886">
        <w:rPr>
          <w:rFonts w:eastAsia="Times New Roman" w:cs="Times New Roman"/>
          <w:iCs/>
          <w:lang w:val="en-GB"/>
        </w:rPr>
        <w:lastRenderedPageBreak/>
        <w:t>constitutionaliz</w:t>
      </w:r>
      <w:r w:rsidRPr="00DE2EDF">
        <w:rPr>
          <w:rFonts w:eastAsia="Times New Roman" w:cs="Times New Roman"/>
          <w:iCs/>
          <w:lang w:val="en-GB"/>
        </w:rPr>
        <w:t xml:space="preserve">ation by means of parliamentary legislation </w:t>
      </w:r>
      <w:r w:rsidR="000461AC" w:rsidRPr="00DE2EDF">
        <w:rPr>
          <w:rFonts w:eastAsia="Times New Roman" w:cs="Times New Roman"/>
          <w:iCs/>
          <w:lang w:val="en-GB"/>
        </w:rPr>
        <w:t>will slow down</w:t>
      </w:r>
      <w:r w:rsidR="005F4AC6" w:rsidRPr="00DE2EDF">
        <w:rPr>
          <w:rFonts w:eastAsia="Times New Roman" w:cs="Times New Roman"/>
          <w:iCs/>
          <w:lang w:val="en-GB"/>
        </w:rPr>
        <w:t xml:space="preserve"> and may even stop</w:t>
      </w:r>
      <w:r w:rsidR="000461AC" w:rsidRPr="00DE2EDF">
        <w:rPr>
          <w:rFonts w:eastAsia="Times New Roman" w:cs="Times New Roman"/>
          <w:iCs/>
          <w:lang w:val="en-GB"/>
        </w:rPr>
        <w:t>. From outside, courts could possibly give a new boost to the process if citizen</w:t>
      </w:r>
      <w:r w:rsidR="00A75819" w:rsidRPr="00DE2EDF">
        <w:rPr>
          <w:rFonts w:eastAsia="Times New Roman" w:cs="Times New Roman"/>
          <w:iCs/>
          <w:lang w:val="en-GB"/>
        </w:rPr>
        <w:t>s</w:t>
      </w:r>
      <w:r w:rsidR="000461AC" w:rsidRPr="00DE2EDF">
        <w:rPr>
          <w:rFonts w:eastAsia="Times New Roman" w:cs="Times New Roman"/>
          <w:iCs/>
          <w:lang w:val="en-GB"/>
        </w:rPr>
        <w:t xml:space="preserve"> are allowed to lodge an appeal against the legislature’s </w:t>
      </w:r>
      <w:r w:rsidR="0046492C" w:rsidRPr="00DE2EDF">
        <w:rPr>
          <w:rFonts w:eastAsia="Times New Roman" w:cs="Times New Roman"/>
          <w:iCs/>
          <w:lang w:val="en-GB"/>
        </w:rPr>
        <w:t xml:space="preserve">failure </w:t>
      </w:r>
      <w:r w:rsidR="000461AC" w:rsidRPr="00DE2EDF">
        <w:rPr>
          <w:rFonts w:eastAsia="Times New Roman" w:cs="Times New Roman"/>
          <w:iCs/>
          <w:lang w:val="en-GB"/>
        </w:rPr>
        <w:t>to take action. Yet</w:t>
      </w:r>
      <w:r w:rsidR="0046492C" w:rsidRPr="00DE2EDF">
        <w:rPr>
          <w:rFonts w:eastAsia="Times New Roman" w:cs="Times New Roman"/>
          <w:iCs/>
          <w:lang w:val="en-GB"/>
        </w:rPr>
        <w:t>,</w:t>
      </w:r>
      <w:r w:rsidR="000461AC" w:rsidRPr="00DE2EDF">
        <w:rPr>
          <w:rFonts w:eastAsia="Times New Roman" w:cs="Times New Roman"/>
          <w:iCs/>
          <w:lang w:val="en-GB"/>
        </w:rPr>
        <w:t xml:space="preserve"> such</w:t>
      </w:r>
      <w:r w:rsidR="004747C5" w:rsidRPr="00DE2EDF">
        <w:rPr>
          <w:rFonts w:eastAsia="Times New Roman" w:cs="Times New Roman"/>
          <w:iCs/>
          <w:lang w:val="en-GB"/>
        </w:rPr>
        <w:t xml:space="preserve"> a procedure is </w:t>
      </w:r>
      <w:r w:rsidR="000461AC" w:rsidRPr="00DE2EDF">
        <w:rPr>
          <w:rFonts w:eastAsia="Times New Roman" w:cs="Times New Roman"/>
          <w:iCs/>
          <w:lang w:val="en-GB"/>
        </w:rPr>
        <w:t>quite rare</w:t>
      </w:r>
      <w:r w:rsidR="004747C5" w:rsidRPr="00DE2EDF">
        <w:rPr>
          <w:rFonts w:eastAsia="Times New Roman" w:cs="Times New Roman"/>
          <w:iCs/>
          <w:lang w:val="en-GB"/>
        </w:rPr>
        <w:t xml:space="preserve"> and, generally, </w:t>
      </w:r>
      <w:r w:rsidRPr="00DE2EDF">
        <w:rPr>
          <w:rFonts w:eastAsia="Times New Roman" w:cs="Times New Roman"/>
          <w:iCs/>
          <w:lang w:val="en-GB"/>
        </w:rPr>
        <w:t>the courts</w:t>
      </w:r>
      <w:r w:rsidR="004747C5" w:rsidRPr="00DE2EDF">
        <w:rPr>
          <w:rFonts w:eastAsia="Times New Roman" w:cs="Times New Roman"/>
          <w:iCs/>
          <w:lang w:val="en-GB"/>
        </w:rPr>
        <w:t xml:space="preserve">’ role in guaranteeing the values of the Constitution should not be overestimated. </w:t>
      </w:r>
      <w:r w:rsidRPr="00DE2EDF">
        <w:rPr>
          <w:rFonts w:eastAsia="Times New Roman" w:cs="Times New Roman"/>
          <w:iCs/>
          <w:lang w:val="en-GB"/>
        </w:rPr>
        <w:t>The legislature</w:t>
      </w:r>
      <w:r w:rsidR="005F4AC6" w:rsidRPr="00DE2EDF">
        <w:rPr>
          <w:rFonts w:eastAsia="Times New Roman" w:cs="Times New Roman"/>
          <w:iCs/>
          <w:lang w:val="en-GB"/>
        </w:rPr>
        <w:t xml:space="preserve"> </w:t>
      </w:r>
      <w:r w:rsidR="0085124C" w:rsidRPr="00DE2EDF">
        <w:rPr>
          <w:rFonts w:eastAsia="Times New Roman" w:cs="Times New Roman"/>
          <w:iCs/>
          <w:lang w:val="en-GB"/>
        </w:rPr>
        <w:t xml:space="preserve">also </w:t>
      </w:r>
      <w:r w:rsidR="005F4AC6" w:rsidRPr="00DE2EDF">
        <w:rPr>
          <w:rFonts w:eastAsia="Times New Roman" w:cs="Times New Roman"/>
          <w:iCs/>
          <w:lang w:val="en-GB"/>
        </w:rPr>
        <w:t>plays a crucial role</w:t>
      </w:r>
      <w:r w:rsidRPr="00DE2EDF">
        <w:rPr>
          <w:rFonts w:eastAsia="Times New Roman" w:cs="Times New Roman"/>
          <w:iCs/>
          <w:lang w:val="en-GB"/>
        </w:rPr>
        <w:t xml:space="preserve"> in the implementation of fundamental rights</w:t>
      </w:r>
      <w:r w:rsidR="004747C5" w:rsidRPr="00DE2EDF">
        <w:rPr>
          <w:rFonts w:eastAsia="Times New Roman" w:cs="Times New Roman"/>
          <w:iCs/>
          <w:lang w:val="en-GB"/>
        </w:rPr>
        <w:t xml:space="preserve">, especially of </w:t>
      </w:r>
      <w:r w:rsidRPr="00DE2EDF">
        <w:rPr>
          <w:rFonts w:eastAsia="Times New Roman" w:cs="Times New Roman"/>
          <w:iCs/>
          <w:lang w:val="en-GB"/>
        </w:rPr>
        <w:t>economic and social rights.</w:t>
      </w:r>
      <w:bookmarkStart w:id="332" w:name="_ftnref169"/>
      <w:r w:rsidRPr="00DE2EDF">
        <w:rPr>
          <w:rFonts w:eastAsia="Times New Roman" w:cs="Times New Roman"/>
          <w:iCs/>
          <w:lang w:val="en-GB"/>
        </w:rPr>
        <w:t xml:space="preserve"> </w:t>
      </w:r>
      <w:bookmarkEnd w:id="332"/>
      <w:r w:rsidRPr="00DE2EDF">
        <w:rPr>
          <w:rFonts w:eastAsia="Times New Roman" w:cs="Times New Roman"/>
          <w:iCs/>
          <w:lang w:val="en-GB"/>
        </w:rPr>
        <w:t xml:space="preserve">Moreover, </w:t>
      </w:r>
      <w:r w:rsidR="005F4AC6" w:rsidRPr="00DE2EDF">
        <w:rPr>
          <w:rFonts w:eastAsia="Times New Roman" w:cs="Times New Roman"/>
          <w:iCs/>
          <w:lang w:val="en-GB"/>
        </w:rPr>
        <w:t xml:space="preserve">it should be taken into account that </w:t>
      </w:r>
      <w:r w:rsidRPr="00DE2EDF">
        <w:rPr>
          <w:rFonts w:eastAsia="Times New Roman" w:cs="Times New Roman"/>
          <w:iCs/>
          <w:lang w:val="en-GB"/>
        </w:rPr>
        <w:t>courts (</w:t>
      </w:r>
      <w:r w:rsidR="004747C5" w:rsidRPr="00DE2EDF">
        <w:rPr>
          <w:rFonts w:eastAsia="Times New Roman" w:cs="Times New Roman"/>
          <w:iCs/>
          <w:lang w:val="en-GB"/>
        </w:rPr>
        <w:t>ordinary</w:t>
      </w:r>
      <w:r w:rsidRPr="00DE2EDF">
        <w:rPr>
          <w:rFonts w:eastAsia="Times New Roman" w:cs="Times New Roman"/>
          <w:iCs/>
          <w:lang w:val="en-GB"/>
        </w:rPr>
        <w:t xml:space="preserve"> courts and</w:t>
      </w:r>
      <w:r w:rsidR="004747C5" w:rsidRPr="00DE2EDF">
        <w:rPr>
          <w:rFonts w:eastAsia="Times New Roman" w:cs="Times New Roman"/>
          <w:iCs/>
          <w:lang w:val="en-GB"/>
        </w:rPr>
        <w:t>/or</w:t>
      </w:r>
      <w:r w:rsidRPr="00DE2EDF">
        <w:rPr>
          <w:rFonts w:eastAsia="Times New Roman" w:cs="Times New Roman"/>
          <w:iCs/>
          <w:lang w:val="en-GB"/>
        </w:rPr>
        <w:t xml:space="preserve"> </w:t>
      </w:r>
      <w:r w:rsidR="004747C5" w:rsidRPr="00DE2EDF">
        <w:rPr>
          <w:rFonts w:eastAsia="Times New Roman" w:cs="Times New Roman"/>
          <w:iCs/>
          <w:lang w:val="en-GB"/>
        </w:rPr>
        <w:t>c</w:t>
      </w:r>
      <w:r w:rsidRPr="00DE2EDF">
        <w:rPr>
          <w:rFonts w:eastAsia="Times New Roman" w:cs="Times New Roman"/>
          <w:iCs/>
          <w:lang w:val="en-GB"/>
        </w:rPr>
        <w:t xml:space="preserve">onstitutional </w:t>
      </w:r>
      <w:r w:rsidR="004747C5" w:rsidRPr="00DE2EDF">
        <w:rPr>
          <w:rFonts w:eastAsia="Times New Roman" w:cs="Times New Roman"/>
          <w:iCs/>
          <w:lang w:val="en-GB"/>
        </w:rPr>
        <w:t>c</w:t>
      </w:r>
      <w:r w:rsidRPr="00DE2EDF">
        <w:rPr>
          <w:rFonts w:eastAsia="Times New Roman" w:cs="Times New Roman"/>
          <w:iCs/>
          <w:lang w:val="en-GB"/>
        </w:rPr>
        <w:t>ourt</w:t>
      </w:r>
      <w:r w:rsidR="004747C5" w:rsidRPr="00DE2EDF">
        <w:rPr>
          <w:rFonts w:eastAsia="Times New Roman" w:cs="Times New Roman"/>
          <w:iCs/>
          <w:lang w:val="en-GB"/>
        </w:rPr>
        <w:t>s</w:t>
      </w:r>
      <w:r w:rsidRPr="00DE2EDF">
        <w:rPr>
          <w:rFonts w:eastAsia="Times New Roman" w:cs="Times New Roman"/>
          <w:iCs/>
          <w:lang w:val="en-GB"/>
        </w:rPr>
        <w:t xml:space="preserve">) are not, </w:t>
      </w:r>
      <w:r w:rsidRPr="00DE2EDF">
        <w:rPr>
          <w:rFonts w:eastAsia="Times New Roman" w:cs="Times New Roman"/>
          <w:i/>
          <w:iCs/>
          <w:lang w:val="en-GB"/>
        </w:rPr>
        <w:t>per se</w:t>
      </w:r>
      <w:r w:rsidRPr="00DE2EDF">
        <w:rPr>
          <w:rFonts w:eastAsia="Times New Roman" w:cs="Times New Roman"/>
          <w:iCs/>
          <w:lang w:val="en-GB"/>
        </w:rPr>
        <w:t xml:space="preserve">, immune </w:t>
      </w:r>
      <w:r w:rsidRPr="00DE2EDF">
        <w:rPr>
          <w:rFonts w:eastAsia="Times New Roman" w:cs="Times New Roman"/>
          <w:lang w:val="en-GB"/>
        </w:rPr>
        <w:t xml:space="preserve">from </w:t>
      </w:r>
      <w:r w:rsidRPr="00DE2EDF">
        <w:rPr>
          <w:rFonts w:eastAsia="Times New Roman" w:cs="Times New Roman"/>
          <w:iCs/>
          <w:lang w:val="en-GB"/>
        </w:rPr>
        <w:t>violating the Constitution.</w:t>
      </w:r>
      <w:bookmarkStart w:id="333" w:name="_ftnref170"/>
      <w:r w:rsidRPr="00DE2EDF">
        <w:rPr>
          <w:rStyle w:val="FootnoteReference"/>
          <w:rFonts w:eastAsia="Times New Roman" w:cs="Times New Roman"/>
          <w:iCs/>
          <w:lang w:val="en-GB"/>
        </w:rPr>
        <w:footnoteReference w:id="207"/>
      </w:r>
      <w:bookmarkEnd w:id="333"/>
    </w:p>
    <w:p w14:paraId="6AEC878E" w14:textId="77777777" w:rsidR="002D66C1" w:rsidRPr="00DE2EDF" w:rsidRDefault="002D66C1" w:rsidP="00DE2EDF">
      <w:pPr>
        <w:spacing w:after="0"/>
        <w:jc w:val="both"/>
        <w:rPr>
          <w:rFonts w:eastAsia="Times New Roman" w:cs="Times New Roman"/>
          <w:iCs/>
          <w:lang w:val="en-GB"/>
        </w:rPr>
      </w:pPr>
    </w:p>
    <w:p w14:paraId="0F195557" w14:textId="77777777" w:rsidR="003472F3" w:rsidRPr="00DE2EDF" w:rsidRDefault="002D66C1" w:rsidP="00DE2EDF">
      <w:pPr>
        <w:pStyle w:val="Heading3"/>
        <w:rPr>
          <w:rFonts w:cs="Times New Roman"/>
          <w:szCs w:val="24"/>
        </w:rPr>
      </w:pPr>
      <w:bookmarkStart w:id="334" w:name="_Toc253048954"/>
      <w:bookmarkStart w:id="335" w:name="_Toc252700501"/>
      <w:bookmarkStart w:id="336" w:name="_Toc245196686"/>
      <w:bookmarkStart w:id="337" w:name="_Toc460405647"/>
      <w:bookmarkEnd w:id="334"/>
      <w:bookmarkEnd w:id="335"/>
      <w:r w:rsidRPr="00DE2EDF">
        <w:rPr>
          <w:rFonts w:cs="Times New Roman"/>
          <w:szCs w:val="24"/>
        </w:rPr>
        <w:t xml:space="preserve">f) </w:t>
      </w:r>
      <w:r w:rsidR="003472F3" w:rsidRPr="00DE2EDF">
        <w:rPr>
          <w:rFonts w:cs="Times New Roman"/>
          <w:szCs w:val="24"/>
        </w:rPr>
        <w:t xml:space="preserve">The </w:t>
      </w:r>
      <w:r w:rsidR="00E630ED" w:rsidRPr="00DE2EDF">
        <w:rPr>
          <w:rFonts w:cs="Times New Roman"/>
          <w:szCs w:val="24"/>
        </w:rPr>
        <w:t>S</w:t>
      </w:r>
      <w:r w:rsidR="003472F3" w:rsidRPr="00DE2EDF">
        <w:rPr>
          <w:rFonts w:cs="Times New Roman"/>
          <w:szCs w:val="24"/>
        </w:rPr>
        <w:t xml:space="preserve">tability or </w:t>
      </w:r>
      <w:r w:rsidR="00E630ED" w:rsidRPr="00DE2EDF">
        <w:rPr>
          <w:rFonts w:cs="Times New Roman"/>
          <w:szCs w:val="24"/>
        </w:rPr>
        <w:t>I</w:t>
      </w:r>
      <w:r w:rsidR="003472F3" w:rsidRPr="00DE2EDF">
        <w:rPr>
          <w:rFonts w:cs="Times New Roman"/>
          <w:szCs w:val="24"/>
        </w:rPr>
        <w:t>nstability of the Constitution</w:t>
      </w:r>
      <w:bookmarkEnd w:id="336"/>
      <w:bookmarkEnd w:id="337"/>
    </w:p>
    <w:p w14:paraId="59EB9CBB" w14:textId="77777777" w:rsidR="002D66C1" w:rsidRPr="00DE2EDF" w:rsidRDefault="002D66C1" w:rsidP="00DE2EDF">
      <w:pPr>
        <w:spacing w:after="0"/>
        <w:rPr>
          <w:rFonts w:cs="Times New Roman"/>
          <w:lang w:val="en-GB"/>
        </w:rPr>
      </w:pPr>
    </w:p>
    <w:p w14:paraId="3EE89FA1"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Only a </w:t>
      </w:r>
      <w:r w:rsidR="00B03F61" w:rsidRPr="00DE2EDF">
        <w:rPr>
          <w:rFonts w:eastAsia="Times New Roman" w:cs="Times New Roman"/>
          <w:iCs/>
          <w:lang w:val="en-GB"/>
        </w:rPr>
        <w:t xml:space="preserve">relatively </w:t>
      </w:r>
      <w:r w:rsidRPr="00DE2EDF">
        <w:rPr>
          <w:rFonts w:eastAsia="Times New Roman" w:cs="Times New Roman"/>
          <w:iCs/>
          <w:lang w:val="en-GB"/>
        </w:rPr>
        <w:t>fixed point can act as a reference point. The Constitution can only penetrate the</w:t>
      </w:r>
      <w:r w:rsidR="009E5954" w:rsidRPr="00DE2EDF">
        <w:rPr>
          <w:rFonts w:eastAsia="Times New Roman" w:cs="Times New Roman"/>
          <w:iCs/>
          <w:lang w:val="en-GB"/>
        </w:rPr>
        <w:t xml:space="preserve"> thicket of </w:t>
      </w:r>
      <w:r w:rsidR="00116E1D" w:rsidRPr="00DE2EDF">
        <w:rPr>
          <w:rFonts w:eastAsia="Times New Roman" w:cs="Times New Roman"/>
          <w:iCs/>
          <w:lang w:val="en-GB"/>
        </w:rPr>
        <w:t xml:space="preserve">ordinary </w:t>
      </w:r>
      <w:r w:rsidR="009E5954" w:rsidRPr="00DE2EDF">
        <w:rPr>
          <w:rFonts w:eastAsia="Times New Roman" w:cs="Times New Roman"/>
          <w:iCs/>
          <w:lang w:val="en-GB"/>
        </w:rPr>
        <w:t xml:space="preserve">administrative law, with its various sub-branches and layers, </w:t>
      </w:r>
      <w:r w:rsidRPr="00DE2EDF">
        <w:rPr>
          <w:rFonts w:eastAsia="Times New Roman" w:cs="Times New Roman"/>
          <w:iCs/>
          <w:lang w:val="en-GB"/>
        </w:rPr>
        <w:t>if it is given the necessary time</w:t>
      </w:r>
      <w:r w:rsidR="007B652A" w:rsidRPr="00DE2EDF">
        <w:rPr>
          <w:rFonts w:eastAsia="Times New Roman" w:cs="Times New Roman"/>
          <w:iCs/>
          <w:lang w:val="en-GB"/>
        </w:rPr>
        <w:t xml:space="preserve"> to do so</w:t>
      </w:r>
      <w:r w:rsidRPr="00DE2EDF">
        <w:rPr>
          <w:rFonts w:eastAsia="Times New Roman" w:cs="Times New Roman"/>
          <w:iCs/>
          <w:lang w:val="en-GB"/>
        </w:rPr>
        <w:t xml:space="preserve">. </w:t>
      </w:r>
      <w:r w:rsidR="009E5954" w:rsidRPr="00DE2EDF">
        <w:rPr>
          <w:rFonts w:eastAsia="Times New Roman" w:cs="Times New Roman"/>
          <w:iCs/>
          <w:lang w:val="en-GB"/>
        </w:rPr>
        <w:t>As shown by the historical experience of countries confronted with an authoritarian legacy, the adaptation of ordinary law</w:t>
      </w:r>
      <w:r w:rsidR="007B652A" w:rsidRPr="00DE2EDF">
        <w:rPr>
          <w:rFonts w:eastAsia="Times New Roman" w:cs="Times New Roman"/>
          <w:iCs/>
          <w:lang w:val="en-GB"/>
        </w:rPr>
        <w:t xml:space="preserve"> is a long and complex process (I consider here only </w:t>
      </w:r>
      <w:r w:rsidR="006903AC" w:rsidRPr="00DE2EDF">
        <w:rPr>
          <w:rFonts w:eastAsia="Times New Roman" w:cs="Times New Roman"/>
          <w:iCs/>
          <w:lang w:val="en-GB"/>
        </w:rPr>
        <w:t>‘</w:t>
      </w:r>
      <w:r w:rsidR="009E5954" w:rsidRPr="00DE2EDF">
        <w:rPr>
          <w:rFonts w:eastAsia="Times New Roman" w:cs="Times New Roman"/>
          <w:iCs/>
          <w:lang w:val="en-GB"/>
        </w:rPr>
        <w:t>transformative constitutionali</w:t>
      </w:r>
      <w:r w:rsidR="000343EF" w:rsidRPr="00DE2EDF">
        <w:rPr>
          <w:rFonts w:eastAsia="Times New Roman" w:cs="Times New Roman"/>
          <w:iCs/>
          <w:lang w:val="en-GB"/>
        </w:rPr>
        <w:t>z</w:t>
      </w:r>
      <w:r w:rsidR="009E5954" w:rsidRPr="00DE2EDF">
        <w:rPr>
          <w:rFonts w:eastAsia="Times New Roman" w:cs="Times New Roman"/>
          <w:iCs/>
          <w:lang w:val="en-GB"/>
        </w:rPr>
        <w:t>ation</w:t>
      </w:r>
      <w:r w:rsidR="006903AC" w:rsidRPr="00DE2EDF">
        <w:rPr>
          <w:rFonts w:eastAsia="Times New Roman" w:cs="Times New Roman"/>
          <w:iCs/>
          <w:lang w:val="en-GB"/>
        </w:rPr>
        <w:t>’</w:t>
      </w:r>
      <w:r w:rsidR="007B652A" w:rsidRPr="00DE2EDF">
        <w:rPr>
          <w:rFonts w:eastAsia="Times New Roman" w:cs="Times New Roman"/>
          <w:iCs/>
          <w:lang w:val="en-GB"/>
        </w:rPr>
        <w:t>; indeed, constitutionali</w:t>
      </w:r>
      <w:r w:rsidR="000343EF" w:rsidRPr="00DE2EDF">
        <w:rPr>
          <w:rFonts w:eastAsia="Times New Roman" w:cs="Times New Roman"/>
          <w:iCs/>
          <w:lang w:val="en-GB"/>
        </w:rPr>
        <w:t>z</w:t>
      </w:r>
      <w:r w:rsidR="007B652A" w:rsidRPr="00DE2EDF">
        <w:rPr>
          <w:rFonts w:eastAsia="Times New Roman" w:cs="Times New Roman"/>
          <w:iCs/>
          <w:lang w:val="en-GB"/>
        </w:rPr>
        <w:t xml:space="preserve">ation in the context of a Constitution </w:t>
      </w:r>
      <w:r w:rsidR="0046492C" w:rsidRPr="00DE2EDF">
        <w:rPr>
          <w:rFonts w:eastAsia="Times New Roman" w:cs="Times New Roman"/>
          <w:iCs/>
          <w:lang w:val="en-GB"/>
        </w:rPr>
        <w:t xml:space="preserve">aimed at conserving </w:t>
      </w:r>
      <w:r w:rsidR="007B652A" w:rsidRPr="00DE2EDF">
        <w:rPr>
          <w:rFonts w:eastAsia="Times New Roman" w:cs="Times New Roman"/>
          <w:iCs/>
          <w:lang w:val="en-GB"/>
        </w:rPr>
        <w:t>the status quo ante has an immediate effect)</w:t>
      </w:r>
      <w:r w:rsidR="009E5954" w:rsidRPr="00DE2EDF">
        <w:rPr>
          <w:rFonts w:eastAsia="Times New Roman" w:cs="Times New Roman"/>
          <w:iCs/>
          <w:lang w:val="en-GB"/>
        </w:rPr>
        <w:t xml:space="preserve">. </w:t>
      </w:r>
      <w:r w:rsidRPr="00DE2EDF">
        <w:rPr>
          <w:rFonts w:eastAsia="Times New Roman" w:cs="Times New Roman"/>
          <w:iCs/>
          <w:lang w:val="en-GB"/>
        </w:rPr>
        <w:t xml:space="preserve">If, as was the case in </w:t>
      </w:r>
      <w:r w:rsidR="009C3302" w:rsidRPr="00DE2EDF">
        <w:rPr>
          <w:rFonts w:eastAsia="Times New Roman" w:cs="Times New Roman"/>
          <w:iCs/>
          <w:lang w:val="en-GB"/>
        </w:rPr>
        <w:t>ninet</w:t>
      </w:r>
      <w:r w:rsidR="00E31885">
        <w:rPr>
          <w:rFonts w:eastAsia="Times New Roman" w:cs="Times New Roman"/>
          <w:iCs/>
          <w:lang w:val="en-GB"/>
        </w:rPr>
        <w:t>eenth</w:t>
      </w:r>
      <w:r w:rsidR="00896C5D" w:rsidRPr="00DE2EDF">
        <w:rPr>
          <w:rFonts w:eastAsia="Times New Roman" w:cs="Times New Roman"/>
          <w:iCs/>
          <w:lang w:val="en-GB"/>
        </w:rPr>
        <w:t xml:space="preserve"> </w:t>
      </w:r>
      <w:r w:rsidR="00B03F61" w:rsidRPr="00DE2EDF">
        <w:rPr>
          <w:rFonts w:eastAsia="Times New Roman" w:cs="Times New Roman"/>
          <w:iCs/>
          <w:lang w:val="en-GB"/>
        </w:rPr>
        <w:t xml:space="preserve">century </w:t>
      </w:r>
      <w:r w:rsidRPr="00DE2EDF">
        <w:rPr>
          <w:rFonts w:eastAsia="Times New Roman" w:cs="Times New Roman"/>
          <w:iCs/>
          <w:lang w:val="en-GB"/>
        </w:rPr>
        <w:t xml:space="preserve">France </w:t>
      </w:r>
      <w:r w:rsidR="00D823E5" w:rsidRPr="00DE2EDF">
        <w:rPr>
          <w:rFonts w:eastAsia="Times New Roman" w:cs="Times New Roman"/>
          <w:iCs/>
          <w:lang w:val="en-GB"/>
        </w:rPr>
        <w:t>or Spain</w:t>
      </w:r>
      <w:r w:rsidRPr="00DE2EDF">
        <w:rPr>
          <w:rFonts w:eastAsia="Times New Roman" w:cs="Times New Roman"/>
          <w:iCs/>
          <w:lang w:val="en-GB"/>
        </w:rPr>
        <w:t xml:space="preserve">, the Constitution is subject to constant change, it loses its ability to </w:t>
      </w:r>
      <w:r w:rsidR="007B652A" w:rsidRPr="00DE2EDF">
        <w:rPr>
          <w:rFonts w:eastAsia="Times New Roman" w:cs="Times New Roman"/>
          <w:iCs/>
          <w:lang w:val="en-GB"/>
        </w:rPr>
        <w:t>serve as guide for legal reform</w:t>
      </w:r>
      <w:r w:rsidRPr="00DE2EDF">
        <w:rPr>
          <w:rFonts w:eastAsia="Times New Roman" w:cs="Times New Roman"/>
          <w:iCs/>
          <w:lang w:val="en-GB"/>
        </w:rPr>
        <w:t xml:space="preserve">. To avoid being drawn into </w:t>
      </w:r>
      <w:r w:rsidR="006903AC" w:rsidRPr="00DE2EDF">
        <w:rPr>
          <w:rFonts w:eastAsia="Times New Roman" w:cs="Times New Roman"/>
          <w:iCs/>
          <w:lang w:val="en-GB"/>
        </w:rPr>
        <w:t>c</w:t>
      </w:r>
      <w:r w:rsidRPr="00DE2EDF">
        <w:rPr>
          <w:rFonts w:eastAsia="Times New Roman" w:cs="Times New Roman"/>
          <w:iCs/>
          <w:lang w:val="en-GB"/>
        </w:rPr>
        <w:t>onstitution</w:t>
      </w:r>
      <w:r w:rsidR="006903AC" w:rsidRPr="00DE2EDF">
        <w:rPr>
          <w:rFonts w:eastAsia="Times New Roman" w:cs="Times New Roman"/>
          <w:iCs/>
          <w:lang w:val="en-GB"/>
        </w:rPr>
        <w:t xml:space="preserve">al </w:t>
      </w:r>
      <w:r w:rsidRPr="00DE2EDF">
        <w:rPr>
          <w:rFonts w:eastAsia="Times New Roman" w:cs="Times New Roman"/>
          <w:iCs/>
          <w:lang w:val="en-GB"/>
        </w:rPr>
        <w:t>upheaval</w:t>
      </w:r>
      <w:r w:rsidR="006903AC" w:rsidRPr="00DE2EDF">
        <w:rPr>
          <w:rFonts w:eastAsia="Times New Roman" w:cs="Times New Roman"/>
          <w:iCs/>
          <w:lang w:val="en-GB"/>
        </w:rPr>
        <w:t>s</w:t>
      </w:r>
      <w:r w:rsidRPr="00DE2EDF">
        <w:rPr>
          <w:rFonts w:eastAsia="Times New Roman" w:cs="Times New Roman"/>
          <w:iCs/>
          <w:lang w:val="en-GB"/>
        </w:rPr>
        <w:t xml:space="preserve">, ordinary law may even tend to insulate </w:t>
      </w:r>
      <w:r w:rsidR="006903AC" w:rsidRPr="00DE2EDF">
        <w:rPr>
          <w:rFonts w:eastAsia="Times New Roman" w:cs="Times New Roman"/>
          <w:iCs/>
          <w:lang w:val="en-GB"/>
        </w:rPr>
        <w:t>its</w:t>
      </w:r>
      <w:r w:rsidRPr="00DE2EDF">
        <w:rPr>
          <w:rFonts w:eastAsia="Times New Roman" w:cs="Times New Roman"/>
          <w:iCs/>
          <w:lang w:val="en-GB"/>
        </w:rPr>
        <w:t>el</w:t>
      </w:r>
      <w:r w:rsidR="006903AC" w:rsidRPr="00DE2EDF">
        <w:rPr>
          <w:rFonts w:eastAsia="Times New Roman" w:cs="Times New Roman"/>
          <w:iCs/>
          <w:lang w:val="en-GB"/>
        </w:rPr>
        <w:t>f</w:t>
      </w:r>
      <w:r w:rsidRPr="00DE2EDF">
        <w:rPr>
          <w:rFonts w:eastAsia="Times New Roman" w:cs="Times New Roman"/>
          <w:iCs/>
          <w:lang w:val="en-GB"/>
        </w:rPr>
        <w:t>, as much as possible, from the Constitution.</w:t>
      </w:r>
      <w:bookmarkStart w:id="338" w:name="_ftnref171"/>
      <w:r w:rsidRPr="00DE2EDF">
        <w:rPr>
          <w:rStyle w:val="FootnoteReference"/>
          <w:rFonts w:eastAsia="Times New Roman" w:cs="Times New Roman"/>
          <w:iCs/>
          <w:lang w:val="en-GB"/>
        </w:rPr>
        <w:footnoteReference w:id="208"/>
      </w:r>
      <w:bookmarkEnd w:id="338"/>
      <w:r w:rsidRPr="00DE2EDF">
        <w:rPr>
          <w:rFonts w:eastAsia="Times New Roman" w:cs="Times New Roman"/>
          <w:iCs/>
          <w:lang w:val="en-GB"/>
        </w:rPr>
        <w:t xml:space="preserve"> In this way, each area of law develops its own foundations and general principles: the Civil Code becomes the </w:t>
      </w:r>
      <w:r w:rsidR="00530E16" w:rsidRPr="00DE2EDF">
        <w:rPr>
          <w:rFonts w:eastAsia="Times New Roman" w:cs="Times New Roman"/>
          <w:iCs/>
          <w:lang w:val="en-GB"/>
        </w:rPr>
        <w:t>‘</w:t>
      </w:r>
      <w:r w:rsidRPr="00DE2EDF">
        <w:rPr>
          <w:rFonts w:eastAsia="Times New Roman" w:cs="Times New Roman"/>
          <w:iCs/>
          <w:lang w:val="en-GB"/>
        </w:rPr>
        <w:t xml:space="preserve">true </w:t>
      </w:r>
      <w:r w:rsidR="000343EF" w:rsidRPr="00DE2EDF">
        <w:rPr>
          <w:rFonts w:eastAsia="Times New Roman" w:cs="Times New Roman"/>
          <w:iCs/>
          <w:lang w:val="en-GB"/>
        </w:rPr>
        <w:t>c</w:t>
      </w:r>
      <w:r w:rsidRPr="00DE2EDF">
        <w:rPr>
          <w:rFonts w:eastAsia="Times New Roman" w:cs="Times New Roman"/>
          <w:iCs/>
          <w:lang w:val="en-GB"/>
        </w:rPr>
        <w:t>onstitution of society</w:t>
      </w:r>
      <w:r w:rsidR="00530E16" w:rsidRPr="00DE2EDF">
        <w:rPr>
          <w:rFonts w:eastAsia="Times New Roman" w:cs="Times New Roman"/>
          <w:iCs/>
          <w:lang w:val="en-GB"/>
        </w:rPr>
        <w:t>’</w:t>
      </w:r>
      <w:r w:rsidRPr="00DE2EDF">
        <w:rPr>
          <w:rFonts w:eastAsia="Times New Roman" w:cs="Times New Roman"/>
          <w:iCs/>
          <w:lang w:val="en-GB"/>
        </w:rPr>
        <w:t xml:space="preserve"> (Jean Carbonnier)</w:t>
      </w:r>
      <w:bookmarkStart w:id="339" w:name="_ftnref172"/>
      <w:r w:rsidR="0023485F">
        <w:rPr>
          <w:rFonts w:eastAsia="Times New Roman" w:cs="Times New Roman"/>
          <w:iCs/>
          <w:lang w:val="en-GB"/>
        </w:rPr>
        <w:t>,</w:t>
      </w:r>
      <w:r w:rsidR="00280A0C" w:rsidRPr="00DE2EDF">
        <w:rPr>
          <w:rStyle w:val="FootnoteReference"/>
          <w:rFonts w:eastAsia="Times New Roman" w:cs="Times New Roman"/>
          <w:iCs/>
          <w:lang w:val="en-GB"/>
        </w:rPr>
        <w:footnoteReference w:id="209"/>
      </w:r>
      <w:bookmarkEnd w:id="339"/>
      <w:r w:rsidR="0023485F">
        <w:rPr>
          <w:rFonts w:eastAsia="Times New Roman" w:cs="Times New Roman"/>
          <w:iCs/>
          <w:lang w:val="en-GB"/>
        </w:rPr>
        <w:t xml:space="preserve"> </w:t>
      </w:r>
      <w:r w:rsidRPr="00DE2EDF">
        <w:rPr>
          <w:rFonts w:eastAsia="Times New Roman" w:cs="Times New Roman"/>
          <w:iCs/>
          <w:lang w:val="en-GB"/>
        </w:rPr>
        <w:t xml:space="preserve">and </w:t>
      </w:r>
      <w:r w:rsidR="0067119F" w:rsidRPr="00DE2EDF">
        <w:rPr>
          <w:rFonts w:eastAsia="Times New Roman" w:cs="Times New Roman"/>
          <w:iCs/>
          <w:lang w:val="en-GB"/>
        </w:rPr>
        <w:t xml:space="preserve">ordinary </w:t>
      </w:r>
      <w:r w:rsidRPr="00DE2EDF">
        <w:rPr>
          <w:rFonts w:eastAsia="Times New Roman" w:cs="Times New Roman"/>
          <w:iCs/>
          <w:lang w:val="en-GB"/>
        </w:rPr>
        <w:t>administrative law becomes the true backbone of the State.</w:t>
      </w:r>
      <w:r w:rsidR="006903AC" w:rsidRPr="00DE2EDF">
        <w:rPr>
          <w:rStyle w:val="FootnoteReference"/>
          <w:rFonts w:eastAsia="Times New Roman" w:cs="Times New Roman"/>
          <w:iCs/>
          <w:lang w:val="en-GB"/>
        </w:rPr>
        <w:footnoteReference w:id="210"/>
      </w:r>
    </w:p>
    <w:p w14:paraId="7D40BA54" w14:textId="77777777" w:rsidR="002D66C1" w:rsidRPr="00DE2EDF" w:rsidRDefault="002D66C1" w:rsidP="00DE2EDF">
      <w:pPr>
        <w:spacing w:after="0"/>
        <w:jc w:val="both"/>
        <w:rPr>
          <w:rFonts w:eastAsia="Times New Roman" w:cs="Times New Roman"/>
          <w:iCs/>
          <w:lang w:val="en-GB"/>
        </w:rPr>
      </w:pPr>
    </w:p>
    <w:p w14:paraId="3739165D" w14:textId="77777777" w:rsidR="003472F3" w:rsidRPr="00DE2EDF" w:rsidRDefault="003472F3" w:rsidP="00DE2EDF">
      <w:pPr>
        <w:pStyle w:val="Heading3"/>
        <w:rPr>
          <w:rFonts w:cs="Times New Roman"/>
          <w:szCs w:val="24"/>
        </w:rPr>
      </w:pPr>
      <w:bookmarkStart w:id="340" w:name="_Toc253048955"/>
      <w:bookmarkStart w:id="341" w:name="_Toc252700502"/>
      <w:bookmarkStart w:id="342" w:name="_Toc245196687"/>
      <w:bookmarkStart w:id="343" w:name="_Toc460405648"/>
      <w:bookmarkEnd w:id="340"/>
      <w:bookmarkEnd w:id="341"/>
      <w:r w:rsidRPr="00DE2EDF">
        <w:rPr>
          <w:rFonts w:cs="Times New Roman"/>
          <w:szCs w:val="24"/>
        </w:rPr>
        <w:lastRenderedPageBreak/>
        <w:t>g)</w:t>
      </w:r>
      <w:bookmarkEnd w:id="342"/>
      <w:r w:rsidR="002D66C1" w:rsidRPr="00DE2EDF">
        <w:rPr>
          <w:rFonts w:cs="Times New Roman"/>
          <w:szCs w:val="24"/>
        </w:rPr>
        <w:t xml:space="preserve"> </w:t>
      </w:r>
      <w:r w:rsidR="00783A6E" w:rsidRPr="00DE2EDF">
        <w:rPr>
          <w:rFonts w:cs="Times New Roman"/>
          <w:szCs w:val="24"/>
        </w:rPr>
        <w:t xml:space="preserve">The </w:t>
      </w:r>
      <w:r w:rsidR="0012435B" w:rsidRPr="00DE2EDF">
        <w:rPr>
          <w:rFonts w:cs="Times New Roman"/>
          <w:szCs w:val="24"/>
        </w:rPr>
        <w:t>G</w:t>
      </w:r>
      <w:r w:rsidR="00783A6E" w:rsidRPr="00DE2EDF">
        <w:rPr>
          <w:rFonts w:cs="Times New Roman"/>
          <w:szCs w:val="24"/>
        </w:rPr>
        <w:t xml:space="preserve">uardianship of the Constitution: Are </w:t>
      </w:r>
      <w:r w:rsidR="0012435B" w:rsidRPr="00DE2EDF">
        <w:rPr>
          <w:rFonts w:cs="Times New Roman"/>
          <w:szCs w:val="24"/>
        </w:rPr>
        <w:t>A</w:t>
      </w:r>
      <w:r w:rsidR="0000724E" w:rsidRPr="00DE2EDF">
        <w:rPr>
          <w:rFonts w:cs="Times New Roman"/>
          <w:szCs w:val="24"/>
        </w:rPr>
        <w:t xml:space="preserve">dministrative </w:t>
      </w:r>
      <w:r w:rsidR="0012435B" w:rsidRPr="00DE2EDF">
        <w:rPr>
          <w:rFonts w:cs="Times New Roman"/>
          <w:szCs w:val="24"/>
        </w:rPr>
        <w:t>A</w:t>
      </w:r>
      <w:r w:rsidR="007E054F" w:rsidRPr="00DE2EDF">
        <w:rPr>
          <w:rFonts w:cs="Times New Roman"/>
          <w:szCs w:val="24"/>
        </w:rPr>
        <w:t>uthorities</w:t>
      </w:r>
      <w:r w:rsidR="00AE3C7F" w:rsidRPr="00DE2EDF">
        <w:rPr>
          <w:rFonts w:cs="Times New Roman"/>
          <w:szCs w:val="24"/>
        </w:rPr>
        <w:t xml:space="preserve"> </w:t>
      </w:r>
      <w:r w:rsidR="0012435B" w:rsidRPr="00DE2EDF">
        <w:rPr>
          <w:rFonts w:cs="Times New Roman"/>
          <w:szCs w:val="24"/>
        </w:rPr>
        <w:t>E</w:t>
      </w:r>
      <w:r w:rsidR="00783A6E" w:rsidRPr="00DE2EDF">
        <w:rPr>
          <w:rFonts w:cs="Times New Roman"/>
          <w:szCs w:val="24"/>
        </w:rPr>
        <w:t xml:space="preserve">ntitled, </w:t>
      </w:r>
      <w:r w:rsidR="0012435B" w:rsidRPr="00DE2EDF">
        <w:rPr>
          <w:rFonts w:cs="Times New Roman"/>
          <w:szCs w:val="24"/>
        </w:rPr>
        <w:t>O</w:t>
      </w:r>
      <w:r w:rsidR="00783A6E" w:rsidRPr="00DE2EDF">
        <w:rPr>
          <w:rFonts w:cs="Times New Roman"/>
          <w:szCs w:val="24"/>
        </w:rPr>
        <w:t xml:space="preserve">r </w:t>
      </w:r>
      <w:r w:rsidR="0012435B" w:rsidRPr="00DE2EDF">
        <w:rPr>
          <w:rFonts w:cs="Times New Roman"/>
          <w:szCs w:val="24"/>
        </w:rPr>
        <w:t>E</w:t>
      </w:r>
      <w:r w:rsidR="0098583F" w:rsidRPr="00DE2EDF">
        <w:rPr>
          <w:rFonts w:cs="Times New Roman"/>
          <w:szCs w:val="24"/>
        </w:rPr>
        <w:t xml:space="preserve">ven </w:t>
      </w:r>
      <w:r w:rsidR="0012435B" w:rsidRPr="00DE2EDF">
        <w:rPr>
          <w:rFonts w:cs="Times New Roman"/>
          <w:szCs w:val="24"/>
        </w:rPr>
        <w:t>O</w:t>
      </w:r>
      <w:r w:rsidR="00783A6E" w:rsidRPr="00DE2EDF">
        <w:rPr>
          <w:rFonts w:cs="Times New Roman"/>
          <w:szCs w:val="24"/>
        </w:rPr>
        <w:t xml:space="preserve">bliged, to </w:t>
      </w:r>
      <w:r w:rsidR="0012435B" w:rsidRPr="00DE2EDF">
        <w:rPr>
          <w:rFonts w:cs="Times New Roman"/>
          <w:szCs w:val="24"/>
        </w:rPr>
        <w:t>I</w:t>
      </w:r>
      <w:r w:rsidR="009B2962" w:rsidRPr="00DE2EDF">
        <w:rPr>
          <w:rFonts w:cs="Times New Roman"/>
          <w:szCs w:val="24"/>
        </w:rPr>
        <w:t>gnore</w:t>
      </w:r>
      <w:r w:rsidR="00783A6E" w:rsidRPr="00DE2EDF">
        <w:rPr>
          <w:rFonts w:cs="Times New Roman"/>
          <w:szCs w:val="24"/>
        </w:rPr>
        <w:t xml:space="preserve"> </w:t>
      </w:r>
      <w:r w:rsidR="0012435B" w:rsidRPr="00DE2EDF">
        <w:rPr>
          <w:rFonts w:cs="Times New Roman"/>
          <w:szCs w:val="24"/>
        </w:rPr>
        <w:t>U</w:t>
      </w:r>
      <w:r w:rsidR="00783A6E" w:rsidRPr="00DE2EDF">
        <w:rPr>
          <w:rFonts w:cs="Times New Roman"/>
          <w:szCs w:val="24"/>
        </w:rPr>
        <w:t xml:space="preserve">nconstitutional </w:t>
      </w:r>
      <w:r w:rsidR="0012435B" w:rsidRPr="00DE2EDF">
        <w:rPr>
          <w:rFonts w:cs="Times New Roman"/>
          <w:szCs w:val="24"/>
        </w:rPr>
        <w:t>N</w:t>
      </w:r>
      <w:r w:rsidR="00783A6E" w:rsidRPr="00DE2EDF">
        <w:rPr>
          <w:rFonts w:cs="Times New Roman"/>
          <w:szCs w:val="24"/>
        </w:rPr>
        <w:t>orms?</w:t>
      </w:r>
      <w:bookmarkEnd w:id="343"/>
    </w:p>
    <w:p w14:paraId="241BAC5A" w14:textId="77777777" w:rsidR="002D66C1" w:rsidRPr="00DE2EDF" w:rsidRDefault="002D66C1" w:rsidP="00DE2EDF">
      <w:pPr>
        <w:spacing w:after="0"/>
        <w:rPr>
          <w:rFonts w:cs="Times New Roman"/>
          <w:lang w:val="en-GB"/>
        </w:rPr>
      </w:pPr>
    </w:p>
    <w:p w14:paraId="54AFC5DF" w14:textId="77777777" w:rsidR="007C1493" w:rsidRPr="00DE2EDF" w:rsidRDefault="007C1493" w:rsidP="00DE2EDF">
      <w:pPr>
        <w:spacing w:after="0"/>
        <w:jc w:val="both"/>
        <w:rPr>
          <w:rFonts w:eastAsia="Times New Roman" w:cs="Times New Roman"/>
          <w:iCs/>
          <w:lang w:val="en-GB"/>
        </w:rPr>
      </w:pPr>
      <w:r w:rsidRPr="00DE2EDF">
        <w:rPr>
          <w:rFonts w:eastAsia="Times New Roman" w:cs="Times New Roman"/>
          <w:iCs/>
          <w:lang w:val="en-GB"/>
        </w:rPr>
        <w:t xml:space="preserve">The </w:t>
      </w:r>
      <w:r w:rsidR="003472F3" w:rsidRPr="00DE2EDF">
        <w:rPr>
          <w:rFonts w:eastAsia="Times New Roman" w:cs="Times New Roman"/>
          <w:iCs/>
          <w:lang w:val="en-GB"/>
        </w:rPr>
        <w:t xml:space="preserve">implementation of constitutional </w:t>
      </w:r>
      <w:r w:rsidR="00E56524" w:rsidRPr="00DE2EDF">
        <w:rPr>
          <w:rFonts w:eastAsia="Times New Roman" w:cs="Times New Roman"/>
          <w:iCs/>
          <w:lang w:val="en-GB"/>
        </w:rPr>
        <w:t>norms</w:t>
      </w:r>
      <w:r w:rsidRPr="00DE2EDF">
        <w:rPr>
          <w:rFonts w:eastAsia="Times New Roman" w:cs="Times New Roman"/>
          <w:iCs/>
          <w:lang w:val="en-GB"/>
        </w:rPr>
        <w:t xml:space="preserve"> in ordinary, particularly administrative law,</w:t>
      </w:r>
      <w:r w:rsidR="003472F3" w:rsidRPr="00DE2EDF">
        <w:rPr>
          <w:rFonts w:eastAsia="Times New Roman" w:cs="Times New Roman"/>
          <w:iCs/>
          <w:lang w:val="en-GB"/>
        </w:rPr>
        <w:t xml:space="preserve"> involves a wide range of actors</w:t>
      </w:r>
      <w:r w:rsidR="005C75DE" w:rsidRPr="00DE2EDF">
        <w:rPr>
          <w:rFonts w:eastAsia="Times New Roman" w:cs="Times New Roman"/>
          <w:iCs/>
          <w:lang w:val="en-GB"/>
        </w:rPr>
        <w:t xml:space="preserve">. </w:t>
      </w:r>
      <w:r w:rsidR="0000724E" w:rsidRPr="00DE2EDF">
        <w:rPr>
          <w:rFonts w:eastAsia="Times New Roman" w:cs="Times New Roman"/>
          <w:iCs/>
          <w:lang w:val="en-GB"/>
        </w:rPr>
        <w:t>Quite frequently, observers focus exclusively on courts. Their role as guardians of constitutional norms</w:t>
      </w:r>
      <w:r w:rsidR="00B03F61" w:rsidRPr="00DE2EDF">
        <w:rPr>
          <w:rFonts w:eastAsia="Times New Roman" w:cs="Times New Roman"/>
          <w:iCs/>
          <w:lang w:val="en-GB"/>
        </w:rPr>
        <w:t xml:space="preserve"> vis-à-vis</w:t>
      </w:r>
      <w:r w:rsidR="0000724E" w:rsidRPr="00DE2EDF">
        <w:rPr>
          <w:rFonts w:eastAsia="Times New Roman" w:cs="Times New Roman"/>
          <w:iCs/>
          <w:lang w:val="en-GB"/>
        </w:rPr>
        <w:t xml:space="preserve"> administrative law norms is certainly crucial</w:t>
      </w:r>
      <w:r w:rsidR="00E56524" w:rsidRPr="00DE2EDF">
        <w:rPr>
          <w:rFonts w:eastAsia="Times New Roman" w:cs="Times New Roman"/>
          <w:iCs/>
          <w:lang w:val="en-GB"/>
        </w:rPr>
        <w:t>, but it is not exclusive, especially as</w:t>
      </w:r>
      <w:r w:rsidR="0046492C" w:rsidRPr="00DE2EDF">
        <w:rPr>
          <w:rFonts w:eastAsia="Times New Roman" w:cs="Times New Roman"/>
          <w:iCs/>
          <w:lang w:val="en-GB"/>
        </w:rPr>
        <w:t>,</w:t>
      </w:r>
      <w:r w:rsidR="00AE3C7F" w:rsidRPr="00DE2EDF">
        <w:rPr>
          <w:rFonts w:eastAsia="Times New Roman" w:cs="Times New Roman"/>
          <w:iCs/>
          <w:lang w:val="en-GB"/>
        </w:rPr>
        <w:t xml:space="preserve"> in most cases</w:t>
      </w:r>
      <w:r w:rsidR="0046492C" w:rsidRPr="00DE2EDF">
        <w:rPr>
          <w:rFonts w:eastAsia="Times New Roman" w:cs="Times New Roman"/>
          <w:iCs/>
          <w:lang w:val="en-GB"/>
        </w:rPr>
        <w:t>,</w:t>
      </w:r>
      <w:r w:rsidR="00E56524" w:rsidRPr="00DE2EDF">
        <w:rPr>
          <w:rFonts w:eastAsia="Times New Roman" w:cs="Times New Roman"/>
          <w:iCs/>
          <w:lang w:val="en-GB"/>
        </w:rPr>
        <w:t xml:space="preserve"> court</w:t>
      </w:r>
      <w:r w:rsidR="00AE3C7F" w:rsidRPr="00DE2EDF">
        <w:rPr>
          <w:rFonts w:eastAsia="Times New Roman" w:cs="Times New Roman"/>
          <w:iCs/>
          <w:lang w:val="en-GB"/>
        </w:rPr>
        <w:t>s</w:t>
      </w:r>
      <w:r w:rsidR="00E56524" w:rsidRPr="00DE2EDF">
        <w:rPr>
          <w:rFonts w:eastAsia="Times New Roman" w:cs="Times New Roman"/>
          <w:iCs/>
          <w:lang w:val="en-GB"/>
        </w:rPr>
        <w:t xml:space="preserve"> intervene only in a re</w:t>
      </w:r>
      <w:r w:rsidR="007E054F" w:rsidRPr="00DE2EDF">
        <w:rPr>
          <w:rFonts w:eastAsia="Times New Roman" w:cs="Times New Roman"/>
          <w:iCs/>
          <w:lang w:val="en-GB"/>
        </w:rPr>
        <w:t>active</w:t>
      </w:r>
      <w:r w:rsidR="0046492C" w:rsidRPr="00DE2EDF">
        <w:rPr>
          <w:rFonts w:eastAsia="Times New Roman" w:cs="Times New Roman"/>
          <w:iCs/>
          <w:lang w:val="en-GB"/>
        </w:rPr>
        <w:t xml:space="preserve">, </w:t>
      </w:r>
      <w:r w:rsidR="007C533E" w:rsidRPr="00DE2EDF">
        <w:rPr>
          <w:rFonts w:eastAsia="Times New Roman" w:cs="Times New Roman"/>
          <w:i/>
          <w:iCs/>
          <w:lang w:val="en-GB"/>
        </w:rPr>
        <w:t>ex post facto</w:t>
      </w:r>
      <w:r w:rsidR="00E56524" w:rsidRPr="00DE2EDF">
        <w:rPr>
          <w:rFonts w:eastAsia="Times New Roman" w:cs="Times New Roman"/>
          <w:iCs/>
          <w:lang w:val="en-GB"/>
        </w:rPr>
        <w:t xml:space="preserve"> manner</w:t>
      </w:r>
      <w:r w:rsidR="006B511E" w:rsidRPr="00DE2EDF">
        <w:rPr>
          <w:rFonts w:eastAsia="Times New Roman" w:cs="Times New Roman"/>
          <w:iCs/>
          <w:lang w:val="en-GB"/>
        </w:rPr>
        <w:t>. Th</w:t>
      </w:r>
      <w:r w:rsidR="00E56524" w:rsidRPr="00DE2EDF">
        <w:rPr>
          <w:rFonts w:eastAsia="Times New Roman" w:cs="Times New Roman"/>
          <w:iCs/>
          <w:lang w:val="en-GB"/>
        </w:rPr>
        <w:t xml:space="preserve">e first, active role is assumed by </w:t>
      </w:r>
      <w:r w:rsidR="000056D6" w:rsidRPr="00DE2EDF">
        <w:rPr>
          <w:rFonts w:eastAsia="Times New Roman" w:cs="Times New Roman"/>
          <w:iCs/>
          <w:lang w:val="en-GB"/>
        </w:rPr>
        <w:t xml:space="preserve">the </w:t>
      </w:r>
      <w:r w:rsidR="003472F3" w:rsidRPr="00DE2EDF">
        <w:rPr>
          <w:rFonts w:eastAsia="Times New Roman" w:cs="Times New Roman"/>
          <w:iCs/>
          <w:lang w:val="en-GB"/>
        </w:rPr>
        <w:t xml:space="preserve">legislature, </w:t>
      </w:r>
      <w:r w:rsidR="000056D6" w:rsidRPr="00DE2EDF">
        <w:rPr>
          <w:rFonts w:eastAsia="Times New Roman" w:cs="Times New Roman"/>
          <w:iCs/>
          <w:lang w:val="en-GB"/>
        </w:rPr>
        <w:t xml:space="preserve">the </w:t>
      </w:r>
      <w:r w:rsidR="00E56524" w:rsidRPr="00DE2EDF">
        <w:rPr>
          <w:rFonts w:eastAsia="Times New Roman" w:cs="Times New Roman"/>
          <w:iCs/>
          <w:lang w:val="en-GB"/>
        </w:rPr>
        <w:t>government</w:t>
      </w:r>
      <w:r w:rsidR="00D4275E" w:rsidRPr="00DE2EDF">
        <w:rPr>
          <w:rFonts w:eastAsia="Times New Roman" w:cs="Times New Roman"/>
          <w:iCs/>
          <w:lang w:val="en-GB"/>
        </w:rPr>
        <w:t>, the head of State</w:t>
      </w:r>
      <w:r w:rsidR="007A3A23" w:rsidRPr="00DE2EDF">
        <w:rPr>
          <w:rFonts w:eastAsia="Times New Roman" w:cs="Times New Roman"/>
          <w:iCs/>
          <w:lang w:val="en-GB"/>
        </w:rPr>
        <w:t>,</w:t>
      </w:r>
      <w:r w:rsidR="007C06F4" w:rsidRPr="00DE2EDF">
        <w:rPr>
          <w:rFonts w:eastAsia="Times New Roman" w:cs="Times New Roman"/>
          <w:iCs/>
          <w:lang w:val="en-GB"/>
        </w:rPr>
        <w:t xml:space="preserve"> and, to some extent, administrative organs</w:t>
      </w:r>
      <w:r w:rsidR="00E56524" w:rsidRPr="00DE2EDF">
        <w:rPr>
          <w:rFonts w:eastAsia="Times New Roman" w:cs="Times New Roman"/>
          <w:iCs/>
          <w:lang w:val="en-GB"/>
        </w:rPr>
        <w:t>. Citizens also give their input (</w:t>
      </w:r>
      <w:r w:rsidR="000343EF" w:rsidRPr="00DE2EDF">
        <w:rPr>
          <w:rFonts w:eastAsia="Times New Roman" w:cs="Times New Roman"/>
          <w:iCs/>
          <w:lang w:val="en-GB"/>
        </w:rPr>
        <w:t>e.g.</w:t>
      </w:r>
      <w:r w:rsidR="00450B4B" w:rsidRPr="00DE2EDF">
        <w:rPr>
          <w:rFonts w:eastAsia="Times New Roman" w:cs="Times New Roman"/>
          <w:iCs/>
          <w:lang w:val="en-GB"/>
        </w:rPr>
        <w:t>,</w:t>
      </w:r>
      <w:r w:rsidR="000343EF" w:rsidRPr="00DE2EDF">
        <w:rPr>
          <w:rFonts w:eastAsia="Times New Roman" w:cs="Times New Roman"/>
          <w:iCs/>
          <w:lang w:val="en-GB"/>
        </w:rPr>
        <w:t xml:space="preserve"> by means of</w:t>
      </w:r>
      <w:r w:rsidR="003472F3" w:rsidRPr="00DE2EDF">
        <w:rPr>
          <w:rFonts w:eastAsia="Times New Roman" w:cs="Times New Roman"/>
          <w:iCs/>
          <w:lang w:val="en-GB"/>
        </w:rPr>
        <w:t xml:space="preserve"> </w:t>
      </w:r>
      <w:r w:rsidR="00E56524" w:rsidRPr="00DE2EDF">
        <w:rPr>
          <w:rFonts w:eastAsia="Times New Roman" w:cs="Times New Roman"/>
          <w:iCs/>
          <w:lang w:val="en-GB"/>
        </w:rPr>
        <w:t xml:space="preserve">elections, </w:t>
      </w:r>
      <w:r w:rsidR="00D4275E" w:rsidRPr="00DE2EDF">
        <w:rPr>
          <w:rFonts w:eastAsia="Times New Roman" w:cs="Times New Roman"/>
          <w:iCs/>
          <w:lang w:val="en-GB"/>
        </w:rPr>
        <w:t>protest, semi-direct democracy</w:t>
      </w:r>
      <w:r w:rsidR="006B511E" w:rsidRPr="00DE2EDF">
        <w:rPr>
          <w:rFonts w:eastAsia="Times New Roman" w:cs="Times New Roman"/>
          <w:iCs/>
          <w:lang w:val="en-GB"/>
        </w:rPr>
        <w:t xml:space="preserve"> mechanisms</w:t>
      </w:r>
      <w:r w:rsidR="00D4275E" w:rsidRPr="00DE2EDF">
        <w:rPr>
          <w:rFonts w:eastAsia="Times New Roman" w:cs="Times New Roman"/>
          <w:iCs/>
          <w:lang w:val="en-GB"/>
        </w:rPr>
        <w:t xml:space="preserve">). One should also mention the </w:t>
      </w:r>
      <w:r w:rsidR="007E054F" w:rsidRPr="00DE2EDF">
        <w:rPr>
          <w:rFonts w:eastAsia="Times New Roman" w:cs="Times New Roman"/>
          <w:iCs/>
          <w:lang w:val="en-GB"/>
        </w:rPr>
        <w:t xml:space="preserve">important </w:t>
      </w:r>
      <w:r w:rsidR="00D4275E" w:rsidRPr="00DE2EDF">
        <w:rPr>
          <w:rFonts w:eastAsia="Times New Roman" w:cs="Times New Roman"/>
          <w:iCs/>
          <w:lang w:val="en-GB"/>
        </w:rPr>
        <w:t xml:space="preserve">work of advisory bodies </w:t>
      </w:r>
      <w:r w:rsidR="000056D6" w:rsidRPr="00DE2EDF">
        <w:rPr>
          <w:rFonts w:eastAsia="Times New Roman" w:cs="Times New Roman"/>
          <w:iCs/>
          <w:lang w:val="en-GB"/>
        </w:rPr>
        <w:t>that</w:t>
      </w:r>
      <w:r w:rsidR="00D4275E" w:rsidRPr="00DE2EDF">
        <w:rPr>
          <w:rFonts w:eastAsia="Times New Roman" w:cs="Times New Roman"/>
          <w:iCs/>
          <w:lang w:val="en-GB"/>
        </w:rPr>
        <w:t>, during debates on legislati</w:t>
      </w:r>
      <w:r w:rsidR="005C1868" w:rsidRPr="00DE2EDF">
        <w:rPr>
          <w:rFonts w:eastAsia="Times New Roman" w:cs="Times New Roman"/>
          <w:iCs/>
          <w:lang w:val="en-GB"/>
        </w:rPr>
        <w:t>ve</w:t>
      </w:r>
      <w:r w:rsidR="00D4275E" w:rsidRPr="00DE2EDF">
        <w:rPr>
          <w:rFonts w:eastAsia="Times New Roman" w:cs="Times New Roman"/>
          <w:iCs/>
          <w:lang w:val="en-GB"/>
        </w:rPr>
        <w:t xml:space="preserve"> or regulat</w:t>
      </w:r>
      <w:r w:rsidR="005C1868" w:rsidRPr="00DE2EDF">
        <w:rPr>
          <w:rFonts w:eastAsia="Times New Roman" w:cs="Times New Roman"/>
          <w:iCs/>
          <w:lang w:val="en-GB"/>
        </w:rPr>
        <w:t>ory drafts</w:t>
      </w:r>
      <w:r w:rsidR="00D4275E" w:rsidRPr="00DE2EDF">
        <w:rPr>
          <w:rFonts w:eastAsia="Times New Roman" w:cs="Times New Roman"/>
          <w:iCs/>
          <w:lang w:val="en-GB"/>
        </w:rPr>
        <w:t xml:space="preserve">, may </w:t>
      </w:r>
      <w:r w:rsidR="005C75DE" w:rsidRPr="00DE2EDF">
        <w:rPr>
          <w:rFonts w:eastAsia="Times New Roman" w:cs="Times New Roman"/>
          <w:iCs/>
          <w:lang w:val="en-GB"/>
        </w:rPr>
        <w:t xml:space="preserve">raise the awareness </w:t>
      </w:r>
      <w:r w:rsidR="00757CF9" w:rsidRPr="00DE2EDF">
        <w:rPr>
          <w:rFonts w:eastAsia="Times New Roman" w:cs="Times New Roman"/>
          <w:iCs/>
          <w:lang w:val="en-GB"/>
        </w:rPr>
        <w:t>of</w:t>
      </w:r>
      <w:r w:rsidR="005C75DE" w:rsidRPr="00DE2EDF">
        <w:rPr>
          <w:rFonts w:eastAsia="Times New Roman" w:cs="Times New Roman"/>
          <w:iCs/>
          <w:lang w:val="en-GB"/>
        </w:rPr>
        <w:t xml:space="preserve"> constitutional issues</w:t>
      </w:r>
      <w:r w:rsidR="006B511E" w:rsidRPr="00DE2EDF">
        <w:rPr>
          <w:rFonts w:eastAsia="Times New Roman" w:cs="Times New Roman"/>
          <w:iCs/>
          <w:lang w:val="en-GB"/>
        </w:rPr>
        <w:t>. Paradigmatic examples are the</w:t>
      </w:r>
      <w:r w:rsidR="00F9375C" w:rsidRPr="00DE2EDF">
        <w:rPr>
          <w:rFonts w:eastAsia="Times New Roman" w:cs="Times New Roman"/>
          <w:iCs/>
          <w:lang w:val="en-GB"/>
        </w:rPr>
        <w:t xml:space="preserve"> so-</w:t>
      </w:r>
      <w:r w:rsidR="00890A3E" w:rsidRPr="00DE2EDF">
        <w:rPr>
          <w:rFonts w:eastAsia="Times New Roman" w:cs="Times New Roman"/>
          <w:iCs/>
          <w:lang w:val="en-GB"/>
        </w:rPr>
        <w:t xml:space="preserve">called </w:t>
      </w:r>
      <w:r w:rsidR="00D4275E" w:rsidRPr="00DE2EDF">
        <w:rPr>
          <w:rFonts w:eastAsia="Times New Roman" w:cs="Times New Roman"/>
          <w:i/>
          <w:iCs/>
          <w:lang w:val="en-GB"/>
        </w:rPr>
        <w:t>Conseil d’Etat</w:t>
      </w:r>
      <w:r w:rsidR="0023485F">
        <w:rPr>
          <w:rFonts w:eastAsia="Times New Roman" w:cs="Times New Roman"/>
          <w:i/>
          <w:iCs/>
          <w:lang w:val="en-GB"/>
        </w:rPr>
        <w:t>s</w:t>
      </w:r>
      <w:r w:rsidR="000056D6" w:rsidRPr="00DE2EDF">
        <w:rPr>
          <w:rStyle w:val="FootnoteReference"/>
          <w:rFonts w:eastAsia="Times New Roman" w:cs="Times New Roman"/>
          <w:iCs/>
          <w:lang w:val="en-GB"/>
        </w:rPr>
        <w:footnoteReference w:id="211"/>
      </w:r>
      <w:r w:rsidR="00D4275E" w:rsidRPr="00DE2EDF">
        <w:rPr>
          <w:rFonts w:eastAsia="Times New Roman" w:cs="Times New Roman"/>
          <w:iCs/>
          <w:lang w:val="en-GB"/>
        </w:rPr>
        <w:t xml:space="preserve"> in France, Belgium</w:t>
      </w:r>
      <w:r w:rsidR="00F9375C" w:rsidRPr="00DE2EDF">
        <w:rPr>
          <w:rFonts w:eastAsia="Times New Roman" w:cs="Times New Roman"/>
          <w:iCs/>
          <w:lang w:val="en-GB"/>
        </w:rPr>
        <w:t>, Netherlands, Italy</w:t>
      </w:r>
      <w:r w:rsidR="000056D6" w:rsidRPr="00DE2EDF">
        <w:rPr>
          <w:rFonts w:eastAsia="Times New Roman" w:cs="Times New Roman"/>
          <w:iCs/>
          <w:lang w:val="en-GB"/>
        </w:rPr>
        <w:t>,</w:t>
      </w:r>
      <w:r w:rsidR="00D4275E" w:rsidRPr="00DE2EDF">
        <w:rPr>
          <w:rFonts w:eastAsia="Times New Roman" w:cs="Times New Roman"/>
          <w:iCs/>
          <w:lang w:val="en-GB"/>
        </w:rPr>
        <w:t xml:space="preserve"> and Luxembourg</w:t>
      </w:r>
      <w:r w:rsidR="00F9375C" w:rsidRPr="00DE2EDF">
        <w:rPr>
          <w:rFonts w:eastAsia="Times New Roman" w:cs="Times New Roman"/>
          <w:iCs/>
          <w:lang w:val="en-GB"/>
        </w:rPr>
        <w:t xml:space="preserve"> and, in the Nordic context,</w:t>
      </w:r>
      <w:r w:rsidR="00D4275E" w:rsidRPr="00DE2EDF">
        <w:rPr>
          <w:rFonts w:eastAsia="Times New Roman" w:cs="Times New Roman"/>
          <w:iCs/>
          <w:lang w:val="en-GB"/>
        </w:rPr>
        <w:t xml:space="preserve"> the </w:t>
      </w:r>
      <w:r w:rsidR="009037BD" w:rsidRPr="00DE2EDF">
        <w:rPr>
          <w:rFonts w:eastAsia="Times New Roman" w:cs="Times New Roman"/>
          <w:iCs/>
          <w:lang w:val="en-GB"/>
        </w:rPr>
        <w:t>Law Council in Sweden</w:t>
      </w:r>
      <w:r w:rsidR="00890A3E" w:rsidRPr="00DE2EDF">
        <w:rPr>
          <w:rStyle w:val="FootnoteReference"/>
          <w:rFonts w:eastAsia="Times New Roman" w:cs="Times New Roman"/>
          <w:iCs/>
          <w:lang w:val="en-GB"/>
        </w:rPr>
        <w:footnoteReference w:id="212"/>
      </w:r>
      <w:r w:rsidR="009037BD" w:rsidRPr="00DE2EDF">
        <w:rPr>
          <w:rFonts w:eastAsia="Times New Roman" w:cs="Times New Roman"/>
          <w:iCs/>
          <w:lang w:val="en-GB"/>
        </w:rPr>
        <w:t xml:space="preserve"> and</w:t>
      </w:r>
      <w:r w:rsidR="00890A3E" w:rsidRPr="00DE2EDF">
        <w:rPr>
          <w:rFonts w:eastAsia="Times New Roman" w:cs="Times New Roman"/>
          <w:iCs/>
          <w:lang w:val="en-GB"/>
        </w:rPr>
        <w:t xml:space="preserve"> </w:t>
      </w:r>
      <w:r w:rsidR="009037BD" w:rsidRPr="00DE2EDF">
        <w:rPr>
          <w:rFonts w:eastAsia="Times New Roman" w:cs="Times New Roman"/>
          <w:iCs/>
          <w:lang w:val="en-GB"/>
        </w:rPr>
        <w:t>the S</w:t>
      </w:r>
      <w:r w:rsidR="005C1868" w:rsidRPr="00DE2EDF">
        <w:rPr>
          <w:rFonts w:eastAsia="Times New Roman" w:cs="Times New Roman"/>
          <w:iCs/>
          <w:lang w:val="en-GB"/>
        </w:rPr>
        <w:t xml:space="preserve">tanding </w:t>
      </w:r>
      <w:r w:rsidR="009037BD" w:rsidRPr="00DE2EDF">
        <w:rPr>
          <w:rFonts w:eastAsia="Times New Roman" w:cs="Times New Roman"/>
          <w:iCs/>
          <w:lang w:val="en-GB"/>
        </w:rPr>
        <w:t>C</w:t>
      </w:r>
      <w:r w:rsidR="005C1868" w:rsidRPr="00DE2EDF">
        <w:rPr>
          <w:rFonts w:eastAsia="Times New Roman" w:cs="Times New Roman"/>
          <w:iCs/>
          <w:lang w:val="en-GB"/>
        </w:rPr>
        <w:t>ommittee of</w:t>
      </w:r>
      <w:r w:rsidR="009037BD" w:rsidRPr="00DE2EDF">
        <w:rPr>
          <w:rFonts w:eastAsia="Times New Roman" w:cs="Times New Roman"/>
          <w:iCs/>
          <w:lang w:val="en-GB"/>
        </w:rPr>
        <w:t xml:space="preserve"> the Finnish</w:t>
      </w:r>
      <w:r w:rsidR="005C1868" w:rsidRPr="00DE2EDF">
        <w:rPr>
          <w:rFonts w:eastAsia="Times New Roman" w:cs="Times New Roman"/>
          <w:iCs/>
          <w:lang w:val="en-GB"/>
        </w:rPr>
        <w:t xml:space="preserve"> Parliament speciali</w:t>
      </w:r>
      <w:r w:rsidR="001F564A" w:rsidRPr="00DE2EDF">
        <w:rPr>
          <w:rFonts w:eastAsia="Times New Roman" w:cs="Times New Roman"/>
          <w:iCs/>
          <w:lang w:val="en-GB"/>
        </w:rPr>
        <w:t>z</w:t>
      </w:r>
      <w:r w:rsidR="005C1868" w:rsidRPr="00DE2EDF">
        <w:rPr>
          <w:rFonts w:eastAsia="Times New Roman" w:cs="Times New Roman"/>
          <w:iCs/>
          <w:lang w:val="en-GB"/>
        </w:rPr>
        <w:t xml:space="preserve">ed in Constitutional law </w:t>
      </w:r>
      <w:r w:rsidR="009037BD" w:rsidRPr="00DE2EDF">
        <w:rPr>
          <w:rFonts w:eastAsia="Times New Roman" w:cs="Times New Roman"/>
          <w:iCs/>
          <w:lang w:val="en-GB"/>
        </w:rPr>
        <w:t>(</w:t>
      </w:r>
      <w:r w:rsidR="005C1868" w:rsidRPr="00DE2EDF">
        <w:rPr>
          <w:rFonts w:eastAsia="Times New Roman" w:cs="Times New Roman"/>
          <w:i/>
          <w:iCs/>
          <w:lang w:val="en-GB"/>
        </w:rPr>
        <w:t>Perustuslakivaliokunta</w:t>
      </w:r>
      <w:r w:rsidR="009C3302" w:rsidRPr="00DE2EDF">
        <w:rPr>
          <w:rFonts w:eastAsia="Times New Roman" w:cs="Times New Roman"/>
          <w:iCs/>
          <w:lang w:val="en-GB"/>
        </w:rPr>
        <w:t>).</w:t>
      </w:r>
      <w:bookmarkStart w:id="344" w:name="_Ref457886113"/>
      <w:r w:rsidR="00890A3E" w:rsidRPr="00DE2EDF">
        <w:rPr>
          <w:rStyle w:val="FootnoteReference"/>
          <w:rFonts w:eastAsia="Times New Roman" w:cs="Times New Roman"/>
          <w:iCs/>
          <w:lang w:val="en-GB"/>
        </w:rPr>
        <w:footnoteReference w:id="213"/>
      </w:r>
      <w:bookmarkEnd w:id="344"/>
      <w:r w:rsidR="009C3302" w:rsidRPr="00DE2EDF">
        <w:rPr>
          <w:rFonts w:eastAsia="Times New Roman" w:cs="Times New Roman"/>
          <w:iCs/>
          <w:lang w:val="en-GB"/>
        </w:rPr>
        <w:t xml:space="preserve"> </w:t>
      </w:r>
      <w:r w:rsidR="007E054F" w:rsidRPr="00DE2EDF">
        <w:rPr>
          <w:rFonts w:eastAsia="Times New Roman" w:cs="Times New Roman"/>
          <w:iCs/>
          <w:lang w:val="en-GB"/>
        </w:rPr>
        <w:t>M</w:t>
      </w:r>
      <w:r w:rsidR="006B511E" w:rsidRPr="00DE2EDF">
        <w:rPr>
          <w:rFonts w:eastAsia="Times New Roman" w:cs="Times New Roman"/>
          <w:iCs/>
          <w:lang w:val="en-GB"/>
        </w:rPr>
        <w:t>onitoring functions may also be exerci</w:t>
      </w:r>
      <w:r w:rsidR="00134902" w:rsidRPr="00DE2EDF">
        <w:rPr>
          <w:rFonts w:eastAsia="Times New Roman" w:cs="Times New Roman"/>
          <w:iCs/>
          <w:lang w:val="en-GB"/>
        </w:rPr>
        <w:t>s</w:t>
      </w:r>
      <w:r w:rsidR="006B511E" w:rsidRPr="00DE2EDF">
        <w:rPr>
          <w:rFonts w:eastAsia="Times New Roman" w:cs="Times New Roman"/>
          <w:iCs/>
          <w:lang w:val="en-GB"/>
        </w:rPr>
        <w:t>ed by ‘Chancellors of Justice’ (</w:t>
      </w:r>
      <w:r w:rsidR="000056D6" w:rsidRPr="00DE2EDF">
        <w:rPr>
          <w:rFonts w:eastAsia="Times New Roman" w:cs="Times New Roman"/>
          <w:iCs/>
          <w:lang w:val="en-GB"/>
        </w:rPr>
        <w:t xml:space="preserve">e.g., </w:t>
      </w:r>
      <w:r w:rsidR="006B511E" w:rsidRPr="00DE2EDF">
        <w:rPr>
          <w:rFonts w:eastAsia="Times New Roman" w:cs="Times New Roman"/>
          <w:iCs/>
          <w:lang w:val="en-GB"/>
        </w:rPr>
        <w:t xml:space="preserve">Finland, Sweden, </w:t>
      </w:r>
      <w:r w:rsidR="00757CF9" w:rsidRPr="00DE2EDF">
        <w:rPr>
          <w:rFonts w:eastAsia="Times New Roman" w:cs="Times New Roman"/>
          <w:iCs/>
          <w:lang w:val="en-GB"/>
        </w:rPr>
        <w:t xml:space="preserve">and </w:t>
      </w:r>
      <w:r w:rsidR="006B511E" w:rsidRPr="00DE2EDF">
        <w:rPr>
          <w:rFonts w:eastAsia="Times New Roman" w:cs="Times New Roman"/>
          <w:iCs/>
          <w:lang w:val="en-GB"/>
        </w:rPr>
        <w:t>Est</w:t>
      </w:r>
      <w:r w:rsidR="00757CF9" w:rsidRPr="00DE2EDF">
        <w:rPr>
          <w:rFonts w:eastAsia="Times New Roman" w:cs="Times New Roman"/>
          <w:iCs/>
          <w:lang w:val="en-GB"/>
        </w:rPr>
        <w:t>onia</w:t>
      </w:r>
      <w:r w:rsidR="006B511E" w:rsidRPr="00DE2EDF">
        <w:rPr>
          <w:rFonts w:eastAsia="Times New Roman" w:cs="Times New Roman"/>
          <w:iCs/>
          <w:lang w:val="en-GB"/>
        </w:rPr>
        <w:t>)</w:t>
      </w:r>
      <w:r w:rsidR="00757CF9" w:rsidRPr="00DE2EDF">
        <w:rPr>
          <w:rFonts w:eastAsia="Times New Roman" w:cs="Times New Roman"/>
          <w:iCs/>
          <w:lang w:val="en-GB"/>
        </w:rPr>
        <w:t>.</w:t>
      </w:r>
      <w:r w:rsidR="00F9375C" w:rsidRPr="00DE2EDF">
        <w:rPr>
          <w:rStyle w:val="FootnoteReference"/>
          <w:rFonts w:eastAsia="Times New Roman" w:cs="Times New Roman"/>
          <w:iCs/>
          <w:lang w:val="en-GB"/>
        </w:rPr>
        <w:footnoteReference w:id="214"/>
      </w:r>
    </w:p>
    <w:p w14:paraId="7646D94B" w14:textId="77777777" w:rsidR="000F4C26" w:rsidRPr="00DE2EDF" w:rsidRDefault="000F4C26" w:rsidP="00DE2EDF">
      <w:pPr>
        <w:spacing w:after="0"/>
        <w:jc w:val="both"/>
        <w:rPr>
          <w:rFonts w:eastAsia="Times New Roman" w:cs="Times New Roman"/>
          <w:iCs/>
          <w:lang w:val="en-GB"/>
        </w:rPr>
      </w:pPr>
    </w:p>
    <w:p w14:paraId="170B17EC" w14:textId="77777777" w:rsidR="00E678E1" w:rsidRPr="00DE2EDF" w:rsidRDefault="009A388E" w:rsidP="00DE2EDF">
      <w:pPr>
        <w:spacing w:after="0"/>
        <w:jc w:val="both"/>
        <w:rPr>
          <w:rFonts w:eastAsia="Times New Roman" w:cs="Times New Roman"/>
          <w:iCs/>
          <w:lang w:val="en-GB"/>
        </w:rPr>
      </w:pPr>
      <w:r w:rsidRPr="00DE2EDF">
        <w:rPr>
          <w:rFonts w:eastAsia="Times New Roman" w:cs="Times New Roman"/>
          <w:iCs/>
          <w:lang w:val="en-GB"/>
        </w:rPr>
        <w:t>A</w:t>
      </w:r>
      <w:r w:rsidR="00A84D71" w:rsidRPr="00DE2EDF">
        <w:rPr>
          <w:rFonts w:eastAsia="Times New Roman" w:cs="Times New Roman"/>
          <w:iCs/>
          <w:lang w:val="en-GB"/>
        </w:rPr>
        <w:t>n issue</w:t>
      </w:r>
      <w:r w:rsidRPr="00DE2EDF">
        <w:rPr>
          <w:rFonts w:eastAsia="Times New Roman" w:cs="Times New Roman"/>
          <w:iCs/>
          <w:lang w:val="en-GB"/>
        </w:rPr>
        <w:t xml:space="preserve"> </w:t>
      </w:r>
      <w:r w:rsidR="00757CF9" w:rsidRPr="00DE2EDF">
        <w:rPr>
          <w:rFonts w:eastAsia="Times New Roman" w:cs="Times New Roman"/>
          <w:iCs/>
          <w:lang w:val="en-GB"/>
        </w:rPr>
        <w:t xml:space="preserve">that </w:t>
      </w:r>
      <w:r w:rsidRPr="00DE2EDF">
        <w:rPr>
          <w:rFonts w:eastAsia="Times New Roman" w:cs="Times New Roman"/>
          <w:iCs/>
          <w:lang w:val="en-GB"/>
        </w:rPr>
        <w:t xml:space="preserve">shall be </w:t>
      </w:r>
      <w:r w:rsidR="001F564A" w:rsidRPr="00DE2EDF">
        <w:rPr>
          <w:rFonts w:eastAsia="Times New Roman" w:cs="Times New Roman"/>
          <w:iCs/>
          <w:lang w:val="en-GB"/>
        </w:rPr>
        <w:t>analy</w:t>
      </w:r>
      <w:r w:rsidR="002A2CE8" w:rsidRPr="00DE2EDF">
        <w:rPr>
          <w:rFonts w:eastAsia="Times New Roman" w:cs="Times New Roman"/>
          <w:iCs/>
          <w:lang w:val="en-GB"/>
        </w:rPr>
        <w:t>s</w:t>
      </w:r>
      <w:r w:rsidR="001F564A" w:rsidRPr="00DE2EDF">
        <w:rPr>
          <w:rFonts w:eastAsia="Times New Roman" w:cs="Times New Roman"/>
          <w:iCs/>
          <w:lang w:val="en-GB"/>
        </w:rPr>
        <w:t xml:space="preserve">ed </w:t>
      </w:r>
      <w:r w:rsidR="007E054F" w:rsidRPr="00DE2EDF">
        <w:rPr>
          <w:rFonts w:eastAsia="Times New Roman" w:cs="Times New Roman"/>
          <w:iCs/>
          <w:lang w:val="en-GB"/>
        </w:rPr>
        <w:t>in more detail</w:t>
      </w:r>
      <w:r w:rsidR="00A84D71" w:rsidRPr="00DE2EDF">
        <w:rPr>
          <w:rFonts w:eastAsia="Times New Roman" w:cs="Times New Roman"/>
          <w:iCs/>
          <w:lang w:val="en-GB"/>
        </w:rPr>
        <w:t xml:space="preserve"> here is </w:t>
      </w:r>
      <w:r w:rsidR="00133E98" w:rsidRPr="00DE2EDF">
        <w:rPr>
          <w:rFonts w:eastAsia="Times New Roman" w:cs="Times New Roman"/>
          <w:iCs/>
          <w:lang w:val="en-GB"/>
        </w:rPr>
        <w:t>to what extent</w:t>
      </w:r>
      <w:r w:rsidR="008A1EDF" w:rsidRPr="00DE2EDF">
        <w:rPr>
          <w:rFonts w:eastAsia="Times New Roman" w:cs="Times New Roman"/>
          <w:iCs/>
          <w:lang w:val="en-GB"/>
        </w:rPr>
        <w:t xml:space="preserve"> administrative</w:t>
      </w:r>
      <w:r w:rsidR="00134902" w:rsidRPr="00DE2EDF">
        <w:rPr>
          <w:rFonts w:eastAsia="Times New Roman" w:cs="Times New Roman"/>
          <w:iCs/>
          <w:lang w:val="en-GB"/>
        </w:rPr>
        <w:t xml:space="preserve"> organs</w:t>
      </w:r>
      <w:r w:rsidR="0071556E" w:rsidRPr="00DE2EDF">
        <w:rPr>
          <w:rFonts w:eastAsia="Times New Roman" w:cs="Times New Roman"/>
          <w:iCs/>
          <w:lang w:val="en-GB"/>
        </w:rPr>
        <w:t>, whether inferior or superior,</w:t>
      </w:r>
      <w:r w:rsidR="00A84D71" w:rsidRPr="00DE2EDF">
        <w:rPr>
          <w:rFonts w:eastAsia="Times New Roman" w:cs="Times New Roman"/>
          <w:iCs/>
          <w:lang w:val="en-GB"/>
        </w:rPr>
        <w:t xml:space="preserve"> </w:t>
      </w:r>
      <w:r w:rsidRPr="00DE2EDF">
        <w:rPr>
          <w:rFonts w:eastAsia="Times New Roman" w:cs="Times New Roman"/>
          <w:iCs/>
          <w:lang w:val="en-GB"/>
        </w:rPr>
        <w:t xml:space="preserve">contribute to </w:t>
      </w:r>
      <w:r w:rsidR="000056D6" w:rsidRPr="00DE2EDF">
        <w:rPr>
          <w:rFonts w:eastAsia="Times New Roman" w:cs="Times New Roman"/>
          <w:iCs/>
          <w:lang w:val="en-GB"/>
        </w:rPr>
        <w:t xml:space="preserve">ensuring </w:t>
      </w:r>
      <w:r w:rsidRPr="00DE2EDF">
        <w:rPr>
          <w:rFonts w:eastAsia="Times New Roman" w:cs="Times New Roman"/>
          <w:iCs/>
          <w:lang w:val="en-GB"/>
        </w:rPr>
        <w:t>the constitutionality of administrative actions</w:t>
      </w:r>
      <w:r w:rsidR="00133E98" w:rsidRPr="00DE2EDF">
        <w:rPr>
          <w:rFonts w:eastAsia="Times New Roman" w:cs="Times New Roman"/>
          <w:iCs/>
          <w:lang w:val="en-GB"/>
        </w:rPr>
        <w:t>.</w:t>
      </w:r>
      <w:r w:rsidRPr="00DE2EDF">
        <w:rPr>
          <w:rFonts w:eastAsia="Times New Roman" w:cs="Times New Roman"/>
          <w:iCs/>
          <w:lang w:val="en-GB"/>
        </w:rPr>
        <w:t xml:space="preserve"> </w:t>
      </w:r>
      <w:r w:rsidR="00C65470" w:rsidRPr="00DE2EDF">
        <w:rPr>
          <w:rFonts w:eastAsia="Times New Roman" w:cs="Times New Roman"/>
          <w:iCs/>
        </w:rPr>
        <w:t>Administrative authorities are</w:t>
      </w:r>
      <w:r w:rsidR="00CB6DF9" w:rsidRPr="00DE2EDF">
        <w:rPr>
          <w:rFonts w:eastAsia="Times New Roman" w:cs="Times New Roman"/>
          <w:iCs/>
        </w:rPr>
        <w:t xml:space="preserve"> certainly</w:t>
      </w:r>
      <w:r w:rsidR="00C65470" w:rsidRPr="00DE2EDF">
        <w:rPr>
          <w:rFonts w:eastAsia="Times New Roman" w:cs="Times New Roman"/>
          <w:iCs/>
        </w:rPr>
        <w:t xml:space="preserve"> </w:t>
      </w:r>
      <w:r w:rsidR="00CB6DF9" w:rsidRPr="00DE2EDF">
        <w:rPr>
          <w:rFonts w:eastAsia="Times New Roman" w:cs="Times New Roman"/>
          <w:iCs/>
        </w:rPr>
        <w:t>supposed</w:t>
      </w:r>
      <w:r w:rsidR="00C65470" w:rsidRPr="00DE2EDF">
        <w:rPr>
          <w:rFonts w:eastAsia="Times New Roman" w:cs="Times New Roman"/>
          <w:iCs/>
        </w:rPr>
        <w:t xml:space="preserve"> to </w:t>
      </w:r>
      <w:r w:rsidR="007669C6" w:rsidRPr="00DE2EDF">
        <w:rPr>
          <w:rFonts w:eastAsia="Times New Roman" w:cs="Times New Roman"/>
          <w:iCs/>
        </w:rPr>
        <w:t xml:space="preserve">implement </w:t>
      </w:r>
      <w:r w:rsidR="00C65470" w:rsidRPr="00DE2EDF">
        <w:rPr>
          <w:rFonts w:eastAsia="Times New Roman" w:cs="Times New Roman"/>
          <w:iCs/>
        </w:rPr>
        <w:t xml:space="preserve">the </w:t>
      </w:r>
      <w:r w:rsidR="00CB6DF9" w:rsidRPr="00DE2EDF">
        <w:rPr>
          <w:rFonts w:eastAsia="Times New Roman" w:cs="Times New Roman"/>
          <w:iCs/>
        </w:rPr>
        <w:t>values</w:t>
      </w:r>
      <w:r w:rsidR="00C65470" w:rsidRPr="00DE2EDF">
        <w:rPr>
          <w:rFonts w:eastAsia="Times New Roman" w:cs="Times New Roman"/>
          <w:iCs/>
        </w:rPr>
        <w:t xml:space="preserve"> of the </w:t>
      </w:r>
      <w:r w:rsidR="00A74C7D" w:rsidRPr="00DE2EDF">
        <w:rPr>
          <w:rFonts w:eastAsia="Times New Roman" w:cs="Times New Roman"/>
          <w:iCs/>
        </w:rPr>
        <w:t>Constitution</w:t>
      </w:r>
      <w:r w:rsidR="00C65470" w:rsidRPr="00DE2EDF">
        <w:rPr>
          <w:rFonts w:eastAsia="Times New Roman" w:cs="Times New Roman"/>
          <w:iCs/>
        </w:rPr>
        <w:t xml:space="preserve"> within the framework </w:t>
      </w:r>
      <w:r w:rsidR="00CB6DF9" w:rsidRPr="00DE2EDF">
        <w:rPr>
          <w:rFonts w:eastAsia="Times New Roman" w:cs="Times New Roman"/>
          <w:iCs/>
        </w:rPr>
        <w:t>set</w:t>
      </w:r>
      <w:r w:rsidR="00C65470" w:rsidRPr="00DE2EDF">
        <w:rPr>
          <w:rFonts w:eastAsia="Times New Roman" w:cs="Times New Roman"/>
          <w:iCs/>
        </w:rPr>
        <w:t xml:space="preserve"> by the </w:t>
      </w:r>
      <w:r w:rsidR="007669C6" w:rsidRPr="00DE2EDF">
        <w:rPr>
          <w:rFonts w:eastAsia="Times New Roman" w:cs="Times New Roman"/>
          <w:iCs/>
        </w:rPr>
        <w:t>various infra-constitutional norms</w:t>
      </w:r>
      <w:r w:rsidR="00C65470" w:rsidRPr="00DE2EDF">
        <w:rPr>
          <w:rFonts w:eastAsia="Times New Roman" w:cs="Times New Roman"/>
          <w:iCs/>
        </w:rPr>
        <w:t>. Yet, to what extent are they able to use the Constitution against statutes</w:t>
      </w:r>
      <w:r w:rsidR="00AB1593" w:rsidRPr="00DE2EDF">
        <w:rPr>
          <w:rFonts w:eastAsia="Times New Roman" w:cs="Times New Roman"/>
          <w:iCs/>
        </w:rPr>
        <w:t xml:space="preserve">, </w:t>
      </w:r>
      <w:r w:rsidR="00C65470" w:rsidRPr="00DE2EDF">
        <w:rPr>
          <w:rFonts w:eastAsia="Times New Roman" w:cs="Times New Roman"/>
          <w:iCs/>
        </w:rPr>
        <w:t>regulations</w:t>
      </w:r>
      <w:r w:rsidR="00654655" w:rsidRPr="00DE2EDF">
        <w:rPr>
          <w:rFonts w:eastAsia="Times New Roman" w:cs="Times New Roman"/>
          <w:iCs/>
        </w:rPr>
        <w:t>,</w:t>
      </w:r>
      <w:r w:rsidR="00AB1593" w:rsidRPr="00DE2EDF">
        <w:rPr>
          <w:rFonts w:eastAsia="Times New Roman" w:cs="Times New Roman"/>
          <w:iCs/>
        </w:rPr>
        <w:t xml:space="preserve"> or orders? In all European legal systems</w:t>
      </w:r>
      <w:r w:rsidR="00450B4B" w:rsidRPr="00DE2EDF">
        <w:rPr>
          <w:rFonts w:eastAsia="Times New Roman" w:cs="Times New Roman"/>
          <w:iCs/>
        </w:rPr>
        <w:t>,</w:t>
      </w:r>
      <w:bookmarkStart w:id="345" w:name="_Ref457853943"/>
      <w:r w:rsidR="00AB1593" w:rsidRPr="00DE2EDF">
        <w:rPr>
          <w:rStyle w:val="FootnoteReference"/>
          <w:rFonts w:eastAsia="Times New Roman" w:cs="Times New Roman"/>
          <w:iCs/>
          <w:lang w:val="en-GB"/>
        </w:rPr>
        <w:footnoteReference w:id="215"/>
      </w:r>
      <w:bookmarkEnd w:id="345"/>
      <w:r w:rsidR="00AB1593" w:rsidRPr="00DE2EDF">
        <w:rPr>
          <w:rFonts w:eastAsia="Times New Roman" w:cs="Times New Roman"/>
          <w:iCs/>
        </w:rPr>
        <w:t xml:space="preserve"> t</w:t>
      </w:r>
      <w:r w:rsidR="00FB6654" w:rsidRPr="00DE2EDF">
        <w:rPr>
          <w:rFonts w:eastAsia="Times New Roman" w:cs="Times New Roman"/>
          <w:iCs/>
          <w:lang w:val="en-GB"/>
        </w:rPr>
        <w:t>hey are</w:t>
      </w:r>
      <w:r w:rsidR="00CB6DF9" w:rsidRPr="00DE2EDF">
        <w:rPr>
          <w:rFonts w:eastAsia="Times New Roman" w:cs="Times New Roman"/>
          <w:iCs/>
          <w:lang w:val="en-GB"/>
        </w:rPr>
        <w:t xml:space="preserve"> entitled, and </w:t>
      </w:r>
      <w:r w:rsidR="00ED1F91" w:rsidRPr="00DE2EDF">
        <w:rPr>
          <w:rFonts w:eastAsia="Times New Roman" w:cs="Times New Roman"/>
          <w:iCs/>
          <w:lang w:val="en-GB"/>
        </w:rPr>
        <w:t xml:space="preserve">may </w:t>
      </w:r>
      <w:r w:rsidR="00AB6FBB" w:rsidRPr="00DE2EDF">
        <w:rPr>
          <w:rFonts w:eastAsia="Times New Roman" w:cs="Times New Roman"/>
          <w:iCs/>
          <w:lang w:val="en-GB"/>
        </w:rPr>
        <w:t xml:space="preserve">be </w:t>
      </w:r>
      <w:r w:rsidR="00CB6DF9" w:rsidRPr="00DE2EDF">
        <w:rPr>
          <w:rFonts w:eastAsia="Times New Roman" w:cs="Times New Roman"/>
          <w:iCs/>
          <w:lang w:val="en-GB"/>
        </w:rPr>
        <w:t>even obliged,</w:t>
      </w:r>
      <w:r w:rsidR="00FB6654" w:rsidRPr="00DE2EDF">
        <w:rPr>
          <w:rFonts w:eastAsia="Times New Roman" w:cs="Times New Roman"/>
          <w:iCs/>
          <w:lang w:val="en-GB"/>
        </w:rPr>
        <w:t xml:space="preserve"> to interpret the norms in a way </w:t>
      </w:r>
      <w:r w:rsidR="007A3A23" w:rsidRPr="00DE2EDF">
        <w:rPr>
          <w:rFonts w:eastAsia="Times New Roman" w:cs="Times New Roman"/>
          <w:iCs/>
          <w:lang w:val="en-GB"/>
        </w:rPr>
        <w:t xml:space="preserve">that </w:t>
      </w:r>
      <w:r w:rsidR="00FB6654" w:rsidRPr="00DE2EDF">
        <w:rPr>
          <w:rFonts w:eastAsia="Times New Roman" w:cs="Times New Roman"/>
          <w:iCs/>
          <w:lang w:val="en-GB"/>
        </w:rPr>
        <w:t>is compatible with the Constitution. But</w:t>
      </w:r>
      <w:r w:rsidR="00FE43A6" w:rsidRPr="00DE2EDF">
        <w:rPr>
          <w:rFonts w:eastAsia="Times New Roman" w:cs="Times New Roman"/>
          <w:iCs/>
          <w:lang w:val="en-GB"/>
        </w:rPr>
        <w:t>,</w:t>
      </w:r>
      <w:r w:rsidR="00FB6654" w:rsidRPr="00DE2EDF">
        <w:rPr>
          <w:rFonts w:eastAsia="Times New Roman" w:cs="Times New Roman"/>
          <w:iCs/>
          <w:lang w:val="en-GB"/>
        </w:rPr>
        <w:t xml:space="preserve"> are they also </w:t>
      </w:r>
      <w:r w:rsidR="00CB6DF9" w:rsidRPr="00DE2EDF">
        <w:rPr>
          <w:rFonts w:eastAsia="Times New Roman" w:cs="Times New Roman"/>
          <w:iCs/>
          <w:lang w:val="en-GB"/>
        </w:rPr>
        <w:t>empowered</w:t>
      </w:r>
      <w:r w:rsidR="00FB6654" w:rsidRPr="00DE2EDF">
        <w:rPr>
          <w:rFonts w:eastAsia="Times New Roman" w:cs="Times New Roman"/>
          <w:iCs/>
          <w:lang w:val="en-GB"/>
        </w:rPr>
        <w:t xml:space="preserve">, </w:t>
      </w:r>
      <w:r w:rsidRPr="00DE2EDF">
        <w:rPr>
          <w:rFonts w:eastAsia="Times New Roman" w:cs="Times New Roman"/>
          <w:iCs/>
          <w:lang w:val="en-GB"/>
        </w:rPr>
        <w:t xml:space="preserve">or even obliged, to verify </w:t>
      </w:r>
      <w:r w:rsidR="004C6B1A" w:rsidRPr="00DE2EDF">
        <w:rPr>
          <w:rFonts w:eastAsia="Times New Roman" w:cs="Times New Roman"/>
          <w:iCs/>
          <w:lang w:val="en-GB"/>
        </w:rPr>
        <w:t>the c</w:t>
      </w:r>
      <w:r w:rsidR="0071556E" w:rsidRPr="00DE2EDF">
        <w:rPr>
          <w:rFonts w:eastAsia="Times New Roman" w:cs="Times New Roman"/>
          <w:iCs/>
          <w:lang w:val="en-GB"/>
        </w:rPr>
        <w:t>o</w:t>
      </w:r>
      <w:r w:rsidR="00AB1593" w:rsidRPr="00DE2EDF">
        <w:rPr>
          <w:rFonts w:eastAsia="Times New Roman" w:cs="Times New Roman"/>
          <w:iCs/>
          <w:lang w:val="en-GB"/>
        </w:rPr>
        <w:t xml:space="preserve">nstitutionality </w:t>
      </w:r>
      <w:r w:rsidR="004C6B1A" w:rsidRPr="00DE2EDF">
        <w:rPr>
          <w:rFonts w:eastAsia="Times New Roman" w:cs="Times New Roman"/>
          <w:iCs/>
          <w:lang w:val="en-GB"/>
        </w:rPr>
        <w:t>of</w:t>
      </w:r>
      <w:r w:rsidR="00024335" w:rsidRPr="00DE2EDF">
        <w:rPr>
          <w:rFonts w:eastAsia="Times New Roman" w:cs="Times New Roman"/>
          <w:iCs/>
          <w:lang w:val="en-GB"/>
        </w:rPr>
        <w:t xml:space="preserve"> </w:t>
      </w:r>
      <w:r w:rsidR="00654655" w:rsidRPr="00DE2EDF">
        <w:rPr>
          <w:rFonts w:eastAsia="Times New Roman" w:cs="Times New Roman"/>
          <w:iCs/>
          <w:lang w:val="en-GB"/>
        </w:rPr>
        <w:t>these norms</w:t>
      </w:r>
      <w:r w:rsidRPr="00DE2EDF">
        <w:rPr>
          <w:rFonts w:eastAsia="Times New Roman" w:cs="Times New Roman"/>
          <w:iCs/>
          <w:lang w:val="en-GB"/>
        </w:rPr>
        <w:t xml:space="preserve"> </w:t>
      </w:r>
      <w:r w:rsidR="004C6B1A" w:rsidRPr="00DE2EDF">
        <w:rPr>
          <w:rFonts w:eastAsia="Times New Roman" w:cs="Times New Roman"/>
          <w:iCs/>
          <w:lang w:val="en-GB"/>
        </w:rPr>
        <w:t xml:space="preserve">and to </w:t>
      </w:r>
      <w:r w:rsidR="00E678E1" w:rsidRPr="00DE2EDF">
        <w:rPr>
          <w:rFonts w:eastAsia="Times New Roman" w:cs="Times New Roman"/>
          <w:iCs/>
          <w:lang w:val="en-GB"/>
        </w:rPr>
        <w:t>refuse t</w:t>
      </w:r>
      <w:r w:rsidR="00366B21" w:rsidRPr="00DE2EDF">
        <w:rPr>
          <w:rFonts w:eastAsia="Times New Roman" w:cs="Times New Roman"/>
          <w:iCs/>
          <w:lang w:val="en-GB"/>
        </w:rPr>
        <w:t>o apply them</w:t>
      </w:r>
      <w:r w:rsidR="00E678E1" w:rsidRPr="00DE2EDF">
        <w:rPr>
          <w:rFonts w:eastAsia="Times New Roman" w:cs="Times New Roman"/>
          <w:iCs/>
          <w:lang w:val="en-GB"/>
        </w:rPr>
        <w:t xml:space="preserve"> </w:t>
      </w:r>
      <w:r w:rsidR="0071556E" w:rsidRPr="00DE2EDF">
        <w:rPr>
          <w:rFonts w:eastAsia="Times New Roman" w:cs="Times New Roman"/>
          <w:iCs/>
          <w:lang w:val="en-GB"/>
        </w:rPr>
        <w:t>i</w:t>
      </w:r>
      <w:r w:rsidR="00027962" w:rsidRPr="00DE2EDF">
        <w:rPr>
          <w:rFonts w:eastAsia="Times New Roman" w:cs="Times New Roman"/>
          <w:iCs/>
          <w:lang w:val="en-GB"/>
        </w:rPr>
        <w:t>f</w:t>
      </w:r>
      <w:r w:rsidR="0071556E" w:rsidRPr="00DE2EDF">
        <w:rPr>
          <w:rFonts w:eastAsia="Times New Roman" w:cs="Times New Roman"/>
          <w:iCs/>
          <w:lang w:val="en-GB"/>
        </w:rPr>
        <w:t xml:space="preserve"> </w:t>
      </w:r>
      <w:r w:rsidR="00654655" w:rsidRPr="00DE2EDF">
        <w:rPr>
          <w:rFonts w:eastAsia="Times New Roman" w:cs="Times New Roman"/>
          <w:iCs/>
          <w:lang w:val="en-GB"/>
        </w:rPr>
        <w:t>they are</w:t>
      </w:r>
      <w:r w:rsidR="00CB6DF9" w:rsidRPr="00DE2EDF">
        <w:rPr>
          <w:rFonts w:eastAsia="Times New Roman" w:cs="Times New Roman"/>
          <w:iCs/>
          <w:lang w:val="en-GB"/>
        </w:rPr>
        <w:t xml:space="preserve"> inconsistent</w:t>
      </w:r>
      <w:r w:rsidRPr="00DE2EDF">
        <w:rPr>
          <w:rFonts w:eastAsia="Times New Roman" w:cs="Times New Roman"/>
          <w:iCs/>
          <w:lang w:val="en-GB"/>
        </w:rPr>
        <w:t xml:space="preserve">? </w:t>
      </w:r>
      <w:r w:rsidR="007669C6" w:rsidRPr="00DE2EDF">
        <w:rPr>
          <w:rFonts w:eastAsia="Times New Roman" w:cs="Times New Roman"/>
          <w:iCs/>
          <w:lang w:val="en-GB"/>
        </w:rPr>
        <w:t xml:space="preserve">Does the legal system establish a constitutional review by some or all administrative organs distinct from, and prior to, the constitutional review </w:t>
      </w:r>
      <w:r w:rsidR="00CB6DF9" w:rsidRPr="00DE2EDF">
        <w:rPr>
          <w:rFonts w:eastAsia="Times New Roman" w:cs="Times New Roman"/>
          <w:iCs/>
          <w:lang w:val="en-GB"/>
        </w:rPr>
        <w:t xml:space="preserve">exercised by </w:t>
      </w:r>
      <w:r w:rsidR="007669C6" w:rsidRPr="00DE2EDF">
        <w:rPr>
          <w:rFonts w:eastAsia="Times New Roman" w:cs="Times New Roman"/>
          <w:iCs/>
          <w:lang w:val="en-GB"/>
        </w:rPr>
        <w:t xml:space="preserve">judges? </w:t>
      </w:r>
      <w:r w:rsidR="0027079C" w:rsidRPr="00DE2EDF">
        <w:rPr>
          <w:rFonts w:eastAsia="Times New Roman" w:cs="Times New Roman"/>
          <w:iCs/>
          <w:lang w:val="en-GB"/>
        </w:rPr>
        <w:t xml:space="preserve">Although the possibility of such </w:t>
      </w:r>
      <w:r w:rsidR="00ED1F91" w:rsidRPr="00DE2EDF">
        <w:rPr>
          <w:rFonts w:eastAsia="Times New Roman" w:cs="Times New Roman"/>
          <w:iCs/>
          <w:lang w:val="en-GB"/>
        </w:rPr>
        <w:t>review</w:t>
      </w:r>
      <w:r w:rsidR="0027079C" w:rsidRPr="00DE2EDF">
        <w:rPr>
          <w:rFonts w:eastAsia="Times New Roman" w:cs="Times New Roman"/>
          <w:iCs/>
          <w:lang w:val="en-GB"/>
        </w:rPr>
        <w:t xml:space="preserve"> ha</w:t>
      </w:r>
      <w:r w:rsidR="00ED1F91" w:rsidRPr="00DE2EDF">
        <w:rPr>
          <w:rFonts w:eastAsia="Times New Roman" w:cs="Times New Roman"/>
          <w:iCs/>
          <w:lang w:val="en-GB"/>
        </w:rPr>
        <w:t>d</w:t>
      </w:r>
      <w:r w:rsidR="0027079C" w:rsidRPr="00DE2EDF">
        <w:rPr>
          <w:rFonts w:eastAsia="Times New Roman" w:cs="Times New Roman"/>
          <w:iCs/>
          <w:lang w:val="en-GB"/>
        </w:rPr>
        <w:t xml:space="preserve"> been discussed by some scholars, in some </w:t>
      </w:r>
      <w:r w:rsidR="0027079C" w:rsidRPr="00DE2EDF">
        <w:rPr>
          <w:rFonts w:eastAsia="Times New Roman" w:cs="Times New Roman"/>
          <w:iCs/>
          <w:lang w:val="en-GB"/>
        </w:rPr>
        <w:lastRenderedPageBreak/>
        <w:t xml:space="preserve">countries, </w:t>
      </w:r>
      <w:r w:rsidR="00ED1F91" w:rsidRPr="00DE2EDF">
        <w:rPr>
          <w:rFonts w:eastAsia="Times New Roman" w:cs="Times New Roman"/>
          <w:iCs/>
          <w:lang w:val="en-GB"/>
        </w:rPr>
        <w:t>as early as</w:t>
      </w:r>
      <w:r w:rsidR="0027079C" w:rsidRPr="00DE2EDF">
        <w:rPr>
          <w:rFonts w:eastAsia="Times New Roman" w:cs="Times New Roman"/>
          <w:iCs/>
          <w:lang w:val="en-GB"/>
        </w:rPr>
        <w:t xml:space="preserve"> </w:t>
      </w:r>
      <w:r w:rsidR="00ED1F91" w:rsidRPr="00DE2EDF">
        <w:rPr>
          <w:rFonts w:eastAsia="Times New Roman" w:cs="Times New Roman"/>
          <w:iCs/>
          <w:lang w:val="en-GB"/>
        </w:rPr>
        <w:t xml:space="preserve">the </w:t>
      </w:r>
      <w:r w:rsidR="009C3302" w:rsidRPr="00DE2EDF">
        <w:rPr>
          <w:rFonts w:eastAsia="Times New Roman" w:cs="Times New Roman"/>
          <w:iCs/>
          <w:lang w:val="en-GB"/>
        </w:rPr>
        <w:t>ninet</w:t>
      </w:r>
      <w:r w:rsidR="00E31885">
        <w:rPr>
          <w:rFonts w:eastAsia="Times New Roman" w:cs="Times New Roman"/>
          <w:iCs/>
          <w:lang w:val="en-GB"/>
        </w:rPr>
        <w:t>eenth</w:t>
      </w:r>
      <w:r w:rsidR="009C3302" w:rsidRPr="00DE2EDF">
        <w:rPr>
          <w:rFonts w:eastAsia="Times New Roman" w:cs="Times New Roman"/>
          <w:iCs/>
          <w:lang w:val="en-GB"/>
        </w:rPr>
        <w:t xml:space="preserve"> </w:t>
      </w:r>
      <w:r w:rsidR="0027079C" w:rsidRPr="00DE2EDF">
        <w:rPr>
          <w:rFonts w:eastAsia="Times New Roman" w:cs="Times New Roman"/>
          <w:iCs/>
          <w:lang w:val="en-GB"/>
        </w:rPr>
        <w:t>century</w:t>
      </w:r>
      <w:r w:rsidR="00ED1F91" w:rsidRPr="00DE2EDF">
        <w:rPr>
          <w:rFonts w:eastAsia="Times New Roman" w:cs="Times New Roman"/>
          <w:iCs/>
          <w:lang w:val="en-GB"/>
        </w:rPr>
        <w:t>,</w:t>
      </w:r>
      <w:bookmarkStart w:id="346" w:name="_Ref457886541"/>
      <w:r w:rsidR="0027079C" w:rsidRPr="00DE2EDF">
        <w:rPr>
          <w:rStyle w:val="FootnoteReference"/>
          <w:rFonts w:eastAsia="Times New Roman" w:cs="Times New Roman"/>
          <w:iCs/>
          <w:lang w:val="en-GB"/>
        </w:rPr>
        <w:footnoteReference w:id="216"/>
      </w:r>
      <w:bookmarkEnd w:id="346"/>
      <w:r w:rsidR="0027079C" w:rsidRPr="00DE2EDF">
        <w:rPr>
          <w:rFonts w:eastAsia="Times New Roman" w:cs="Times New Roman"/>
          <w:iCs/>
          <w:lang w:val="en-GB"/>
        </w:rPr>
        <w:t xml:space="preserve"> the simple </w:t>
      </w:r>
      <w:r w:rsidR="0098583F" w:rsidRPr="00DE2EDF">
        <w:rPr>
          <w:rFonts w:eastAsia="Times New Roman" w:cs="Times New Roman"/>
          <w:iCs/>
          <w:lang w:val="en-GB"/>
        </w:rPr>
        <w:t xml:space="preserve">question may seem </w:t>
      </w:r>
      <w:r w:rsidR="0027079C" w:rsidRPr="00DE2EDF">
        <w:rPr>
          <w:rFonts w:eastAsia="Times New Roman" w:cs="Times New Roman"/>
          <w:iCs/>
          <w:lang w:val="en-GB"/>
        </w:rPr>
        <w:t xml:space="preserve">strange to </w:t>
      </w:r>
      <w:r w:rsidR="00C62D84" w:rsidRPr="00DE2EDF">
        <w:rPr>
          <w:rFonts w:eastAsia="Times New Roman" w:cs="Times New Roman"/>
          <w:iCs/>
          <w:lang w:val="en-GB"/>
        </w:rPr>
        <w:t>many</w:t>
      </w:r>
      <w:r w:rsidR="0027079C" w:rsidRPr="00DE2EDF">
        <w:rPr>
          <w:rFonts w:eastAsia="Times New Roman" w:cs="Times New Roman"/>
          <w:iCs/>
          <w:lang w:val="en-GB"/>
        </w:rPr>
        <w:t xml:space="preserve"> contemporary lawyers in Europe. A positive answer would, indeed, qualify one of the most classic principles</w:t>
      </w:r>
      <w:r w:rsidR="00ED1F91" w:rsidRPr="00DE2EDF">
        <w:rPr>
          <w:rFonts w:eastAsia="Times New Roman" w:cs="Times New Roman"/>
          <w:iCs/>
          <w:lang w:val="en-GB"/>
        </w:rPr>
        <w:t xml:space="preserve"> (</w:t>
      </w:r>
      <w:r w:rsidR="0027079C" w:rsidRPr="00DE2EDF">
        <w:rPr>
          <w:rFonts w:eastAsia="Times New Roman" w:cs="Times New Roman"/>
          <w:iCs/>
          <w:lang w:val="en-GB"/>
        </w:rPr>
        <w:t>i.e.</w:t>
      </w:r>
      <w:r w:rsidR="00ED1F91" w:rsidRPr="00DE2EDF">
        <w:rPr>
          <w:rFonts w:eastAsia="Times New Roman" w:cs="Times New Roman"/>
          <w:iCs/>
          <w:lang w:val="en-GB"/>
        </w:rPr>
        <w:t>,</w:t>
      </w:r>
      <w:r w:rsidR="0027079C" w:rsidRPr="00DE2EDF">
        <w:rPr>
          <w:rFonts w:eastAsia="Times New Roman" w:cs="Times New Roman"/>
          <w:iCs/>
          <w:lang w:val="en-GB"/>
        </w:rPr>
        <w:t xml:space="preserve"> the subordination of the executive to law, specifically to statutes</w:t>
      </w:r>
      <w:r w:rsidR="00ED1F91" w:rsidRPr="00DE2EDF">
        <w:rPr>
          <w:rFonts w:eastAsia="Times New Roman" w:cs="Times New Roman"/>
          <w:iCs/>
          <w:lang w:val="en-GB"/>
        </w:rPr>
        <w:t>)</w:t>
      </w:r>
      <w:r w:rsidR="0027079C" w:rsidRPr="00DE2EDF">
        <w:rPr>
          <w:rFonts w:eastAsia="Times New Roman" w:cs="Times New Roman"/>
          <w:iCs/>
          <w:lang w:val="en-GB"/>
        </w:rPr>
        <w:t xml:space="preserve">. </w:t>
      </w:r>
      <w:r w:rsidR="00F252BA" w:rsidRPr="00DE2EDF">
        <w:rPr>
          <w:rFonts w:eastAsia="Times New Roman" w:cs="Times New Roman"/>
          <w:iCs/>
          <w:lang w:val="en-GB"/>
        </w:rPr>
        <w:t>There are</w:t>
      </w:r>
      <w:r w:rsidR="00ED1F91" w:rsidRPr="00DE2EDF">
        <w:rPr>
          <w:rFonts w:eastAsia="Times New Roman" w:cs="Times New Roman"/>
          <w:iCs/>
          <w:lang w:val="en-GB"/>
        </w:rPr>
        <w:t xml:space="preserve"> </w:t>
      </w:r>
      <w:r w:rsidR="00F252BA" w:rsidRPr="00DE2EDF">
        <w:rPr>
          <w:rFonts w:eastAsia="Times New Roman" w:cs="Times New Roman"/>
          <w:iCs/>
          <w:lang w:val="en-GB"/>
        </w:rPr>
        <w:t xml:space="preserve">some examples in some legal systems, but, as this topic has attracted </w:t>
      </w:r>
      <w:r w:rsidR="00ED1F91" w:rsidRPr="00DE2EDF">
        <w:rPr>
          <w:rFonts w:eastAsia="Times New Roman" w:cs="Times New Roman"/>
          <w:iCs/>
          <w:lang w:val="en-GB"/>
        </w:rPr>
        <w:t xml:space="preserve">little </w:t>
      </w:r>
      <w:r w:rsidR="00F252BA" w:rsidRPr="00DE2EDF">
        <w:rPr>
          <w:rFonts w:eastAsia="Times New Roman" w:cs="Times New Roman"/>
          <w:iCs/>
          <w:lang w:val="en-GB"/>
        </w:rPr>
        <w:t>or no attention in comparative research, the</w:t>
      </w:r>
      <w:r w:rsidR="00ED1F91" w:rsidRPr="00DE2EDF">
        <w:rPr>
          <w:rFonts w:eastAsia="Times New Roman" w:cs="Times New Roman"/>
          <w:iCs/>
          <w:lang w:val="en-GB"/>
        </w:rPr>
        <w:t>y</w:t>
      </w:r>
      <w:r w:rsidR="00F252BA" w:rsidRPr="00DE2EDF">
        <w:rPr>
          <w:rFonts w:eastAsia="Times New Roman" w:cs="Times New Roman"/>
          <w:iCs/>
          <w:lang w:val="en-GB"/>
        </w:rPr>
        <w:t xml:space="preserve"> are </w:t>
      </w:r>
      <w:r w:rsidR="00ED1F91" w:rsidRPr="00DE2EDF">
        <w:rPr>
          <w:rFonts w:eastAsia="Times New Roman" w:cs="Times New Roman"/>
          <w:iCs/>
          <w:lang w:val="en-GB"/>
        </w:rPr>
        <w:t>hardly</w:t>
      </w:r>
      <w:r w:rsidR="00F252BA" w:rsidRPr="00DE2EDF">
        <w:rPr>
          <w:rFonts w:eastAsia="Times New Roman" w:cs="Times New Roman"/>
          <w:iCs/>
          <w:lang w:val="en-GB"/>
        </w:rPr>
        <w:t xml:space="preserve"> known abroad. </w:t>
      </w:r>
      <w:r w:rsidR="00027962" w:rsidRPr="00DE2EDF">
        <w:rPr>
          <w:rFonts w:eastAsia="Times New Roman" w:cs="Times New Roman"/>
          <w:iCs/>
          <w:lang w:val="en-GB"/>
        </w:rPr>
        <w:t>Such a review</w:t>
      </w:r>
      <w:r w:rsidR="0027079C" w:rsidRPr="00DE2EDF">
        <w:rPr>
          <w:rFonts w:eastAsia="Times New Roman" w:cs="Times New Roman"/>
          <w:iCs/>
          <w:lang w:val="en-GB"/>
        </w:rPr>
        <w:t xml:space="preserve"> exercised by administrative organs</w:t>
      </w:r>
      <w:r w:rsidR="00027962" w:rsidRPr="00DE2EDF">
        <w:rPr>
          <w:rFonts w:eastAsia="Times New Roman" w:cs="Times New Roman"/>
          <w:iCs/>
          <w:lang w:val="en-GB"/>
        </w:rPr>
        <w:t xml:space="preserve"> could, </w:t>
      </w:r>
      <w:r w:rsidR="007669C6" w:rsidRPr="00DE2EDF">
        <w:rPr>
          <w:rFonts w:eastAsia="Times New Roman" w:cs="Times New Roman"/>
          <w:iCs/>
          <w:lang w:val="en-GB"/>
        </w:rPr>
        <w:t>theoretical</w:t>
      </w:r>
      <w:r w:rsidR="00027962" w:rsidRPr="00DE2EDF">
        <w:rPr>
          <w:rFonts w:eastAsia="Times New Roman" w:cs="Times New Roman"/>
          <w:iCs/>
          <w:lang w:val="en-GB"/>
        </w:rPr>
        <w:t xml:space="preserve">ly, take two forms. </w:t>
      </w:r>
      <w:r w:rsidR="007B3AFB" w:rsidRPr="00DE2EDF">
        <w:rPr>
          <w:rFonts w:eastAsia="Times New Roman" w:cs="Times New Roman"/>
          <w:iCs/>
          <w:lang w:val="en-GB"/>
        </w:rPr>
        <w:t>(</w:t>
      </w:r>
      <w:r w:rsidR="00027962" w:rsidRPr="00DE2EDF">
        <w:rPr>
          <w:rFonts w:eastAsia="Times New Roman" w:cs="Times New Roman"/>
          <w:iCs/>
          <w:lang w:val="en-GB"/>
        </w:rPr>
        <w:t>a</w:t>
      </w:r>
      <w:r w:rsidR="007669C6" w:rsidRPr="00DE2EDF">
        <w:rPr>
          <w:rFonts w:eastAsia="Times New Roman" w:cs="Times New Roman"/>
          <w:iCs/>
          <w:lang w:val="en-GB"/>
        </w:rPr>
        <w:t xml:space="preserve">) </w:t>
      </w:r>
      <w:r w:rsidR="00027962" w:rsidRPr="00DE2EDF">
        <w:rPr>
          <w:rFonts w:eastAsia="Times New Roman" w:cs="Times New Roman"/>
          <w:iCs/>
          <w:lang w:val="en-GB"/>
        </w:rPr>
        <w:t>W</w:t>
      </w:r>
      <w:r w:rsidR="007669C6" w:rsidRPr="00DE2EDF">
        <w:rPr>
          <w:rFonts w:eastAsia="Times New Roman" w:cs="Times New Roman"/>
          <w:iCs/>
          <w:lang w:val="en-GB"/>
        </w:rPr>
        <w:t>hen adopting a regulation, administrative authorit</w:t>
      </w:r>
      <w:r w:rsidR="00027962" w:rsidRPr="00DE2EDF">
        <w:rPr>
          <w:rFonts w:eastAsia="Times New Roman" w:cs="Times New Roman"/>
          <w:iCs/>
          <w:lang w:val="en-GB"/>
        </w:rPr>
        <w:t>ies</w:t>
      </w:r>
      <w:r w:rsidR="007669C6" w:rsidRPr="00DE2EDF">
        <w:rPr>
          <w:rFonts w:eastAsia="Times New Roman" w:cs="Times New Roman"/>
          <w:iCs/>
          <w:lang w:val="en-GB"/>
        </w:rPr>
        <w:t xml:space="preserve"> (head of state, government, local authority, etc.)</w:t>
      </w:r>
      <w:r w:rsidR="00027962" w:rsidRPr="00DE2EDF">
        <w:rPr>
          <w:rFonts w:eastAsia="Times New Roman" w:cs="Times New Roman"/>
          <w:iCs/>
          <w:lang w:val="en-GB"/>
        </w:rPr>
        <w:t xml:space="preserve"> </w:t>
      </w:r>
      <w:r w:rsidR="0027079C" w:rsidRPr="00DE2EDF">
        <w:rPr>
          <w:rFonts w:eastAsia="Times New Roman" w:cs="Times New Roman"/>
          <w:iCs/>
          <w:lang w:val="en-GB"/>
        </w:rPr>
        <w:t xml:space="preserve">could disregard, as void, a </w:t>
      </w:r>
      <w:r w:rsidR="00F252BA" w:rsidRPr="00DE2EDF">
        <w:rPr>
          <w:rFonts w:eastAsia="Times New Roman" w:cs="Times New Roman"/>
          <w:iCs/>
          <w:lang w:val="en-GB"/>
        </w:rPr>
        <w:t xml:space="preserve">so-called </w:t>
      </w:r>
      <w:r w:rsidR="0027079C" w:rsidRPr="00DE2EDF">
        <w:rPr>
          <w:rFonts w:eastAsia="Times New Roman" w:cs="Times New Roman"/>
          <w:iCs/>
          <w:lang w:val="en-GB"/>
        </w:rPr>
        <w:t>‘statute’</w:t>
      </w:r>
      <w:r w:rsidR="00517038" w:rsidRPr="00DE2EDF">
        <w:rPr>
          <w:rFonts w:eastAsia="Times New Roman" w:cs="Times New Roman"/>
          <w:iCs/>
          <w:lang w:val="en-GB"/>
        </w:rPr>
        <w:t xml:space="preserve"> that is inconsistent with the Constitution</w:t>
      </w:r>
      <w:r w:rsidR="0027079C" w:rsidRPr="00DE2EDF">
        <w:rPr>
          <w:rFonts w:eastAsia="Times New Roman" w:cs="Times New Roman"/>
          <w:iCs/>
          <w:lang w:val="en-GB"/>
        </w:rPr>
        <w:t xml:space="preserve">. </w:t>
      </w:r>
      <w:r w:rsidR="00027962" w:rsidRPr="00DE2EDF">
        <w:rPr>
          <w:rFonts w:eastAsia="Times New Roman" w:cs="Times New Roman"/>
          <w:iCs/>
          <w:lang w:val="en-GB"/>
        </w:rPr>
        <w:t>This would result in an abstract</w:t>
      </w:r>
      <w:r w:rsidR="0027079C" w:rsidRPr="00DE2EDF">
        <w:rPr>
          <w:rFonts w:eastAsia="Times New Roman" w:cs="Times New Roman"/>
          <w:iCs/>
          <w:lang w:val="en-GB"/>
        </w:rPr>
        <w:t xml:space="preserve"> review, a hypothesis </w:t>
      </w:r>
      <w:r w:rsidR="00ED1F91" w:rsidRPr="00DE2EDF">
        <w:rPr>
          <w:rFonts w:eastAsia="Times New Roman" w:cs="Times New Roman"/>
          <w:iCs/>
          <w:lang w:val="en-GB"/>
        </w:rPr>
        <w:t>that</w:t>
      </w:r>
      <w:r w:rsidR="00F252BA" w:rsidRPr="00DE2EDF">
        <w:rPr>
          <w:rFonts w:eastAsia="Times New Roman" w:cs="Times New Roman"/>
          <w:iCs/>
          <w:lang w:val="en-GB"/>
        </w:rPr>
        <w:t>, as far as I know,</w:t>
      </w:r>
      <w:r w:rsidR="0027079C" w:rsidRPr="00DE2EDF">
        <w:rPr>
          <w:rFonts w:eastAsia="Times New Roman" w:cs="Times New Roman"/>
          <w:iCs/>
          <w:lang w:val="en-GB"/>
        </w:rPr>
        <w:t xml:space="preserve"> </w:t>
      </w:r>
      <w:r w:rsidR="00F252BA" w:rsidRPr="00DE2EDF">
        <w:rPr>
          <w:rFonts w:eastAsia="Times New Roman" w:cs="Times New Roman"/>
          <w:iCs/>
          <w:lang w:val="en-GB"/>
        </w:rPr>
        <w:t>exists nowhere in Europe</w:t>
      </w:r>
      <w:r w:rsidR="00ED1F91" w:rsidRPr="00DE2EDF">
        <w:rPr>
          <w:rFonts w:eastAsia="Times New Roman" w:cs="Times New Roman"/>
          <w:iCs/>
          <w:lang w:val="en-GB"/>
        </w:rPr>
        <w:t>.</w:t>
      </w:r>
      <w:r w:rsidR="00517038" w:rsidRPr="00DE2EDF">
        <w:rPr>
          <w:rStyle w:val="FootnoteReference"/>
          <w:rFonts w:eastAsia="Times New Roman" w:cs="Times New Roman"/>
          <w:iCs/>
          <w:lang w:val="en-GB"/>
        </w:rPr>
        <w:footnoteReference w:id="217"/>
      </w:r>
      <w:r w:rsidR="0027079C" w:rsidRPr="00DE2EDF">
        <w:rPr>
          <w:rFonts w:eastAsia="Times New Roman" w:cs="Times New Roman"/>
          <w:iCs/>
          <w:lang w:val="en-GB"/>
        </w:rPr>
        <w:t xml:space="preserve"> </w:t>
      </w:r>
      <w:r w:rsidR="007B3AFB" w:rsidRPr="00DE2EDF">
        <w:rPr>
          <w:rFonts w:eastAsia="Times New Roman" w:cs="Times New Roman"/>
          <w:iCs/>
          <w:lang w:val="en-GB"/>
        </w:rPr>
        <w:t>(</w:t>
      </w:r>
      <w:r w:rsidR="0027079C" w:rsidRPr="00DE2EDF">
        <w:rPr>
          <w:rFonts w:eastAsia="Times New Roman" w:cs="Times New Roman"/>
          <w:iCs/>
          <w:lang w:val="en-GB"/>
        </w:rPr>
        <w:t xml:space="preserve">b) </w:t>
      </w:r>
      <w:r w:rsidR="00517038" w:rsidRPr="00DE2EDF">
        <w:rPr>
          <w:rFonts w:eastAsia="Times New Roman" w:cs="Times New Roman"/>
          <w:iCs/>
          <w:lang w:val="en-GB"/>
        </w:rPr>
        <w:t>I</w:t>
      </w:r>
      <w:r w:rsidR="0027079C" w:rsidRPr="00DE2EDF">
        <w:rPr>
          <w:rFonts w:eastAsia="Times New Roman" w:cs="Times New Roman"/>
          <w:iCs/>
          <w:lang w:val="en-GB"/>
        </w:rPr>
        <w:t xml:space="preserve">n a particular case, </w:t>
      </w:r>
      <w:r w:rsidR="00F252BA" w:rsidRPr="00DE2EDF">
        <w:rPr>
          <w:rFonts w:eastAsia="Times New Roman" w:cs="Times New Roman"/>
          <w:iCs/>
          <w:lang w:val="en-GB"/>
        </w:rPr>
        <w:t xml:space="preserve">lower </w:t>
      </w:r>
      <w:r w:rsidR="00520627" w:rsidRPr="00DE2EDF">
        <w:rPr>
          <w:rFonts w:eastAsia="Times New Roman" w:cs="Times New Roman"/>
          <w:iCs/>
          <w:lang w:val="en-GB"/>
        </w:rPr>
        <w:t>(</w:t>
      </w:r>
      <w:r w:rsidR="00F252BA" w:rsidRPr="00DE2EDF">
        <w:rPr>
          <w:rFonts w:eastAsia="Times New Roman" w:cs="Times New Roman"/>
          <w:iCs/>
          <w:lang w:val="en-GB"/>
        </w:rPr>
        <w:t>or at least highe</w:t>
      </w:r>
      <w:r w:rsidR="0098583F" w:rsidRPr="00DE2EDF">
        <w:rPr>
          <w:rFonts w:eastAsia="Times New Roman" w:cs="Times New Roman"/>
          <w:iCs/>
          <w:lang w:val="en-GB"/>
        </w:rPr>
        <w:t>r</w:t>
      </w:r>
      <w:r w:rsidR="00520627" w:rsidRPr="00DE2EDF">
        <w:rPr>
          <w:rFonts w:eastAsia="Times New Roman" w:cs="Times New Roman"/>
          <w:iCs/>
          <w:lang w:val="en-GB"/>
        </w:rPr>
        <w:t>)</w:t>
      </w:r>
      <w:r w:rsidR="00F252BA" w:rsidRPr="00DE2EDF">
        <w:rPr>
          <w:rFonts w:eastAsia="Times New Roman" w:cs="Times New Roman"/>
          <w:iCs/>
          <w:lang w:val="en-GB"/>
        </w:rPr>
        <w:t xml:space="preserve"> </w:t>
      </w:r>
      <w:r w:rsidR="0027079C" w:rsidRPr="00DE2EDF">
        <w:rPr>
          <w:rFonts w:eastAsia="Times New Roman" w:cs="Times New Roman"/>
          <w:iCs/>
          <w:lang w:val="en-GB"/>
        </w:rPr>
        <w:t>administrative authorities</w:t>
      </w:r>
      <w:r w:rsidR="00F252BA" w:rsidRPr="00DE2EDF">
        <w:rPr>
          <w:rFonts w:eastAsia="Times New Roman" w:cs="Times New Roman"/>
          <w:iCs/>
          <w:lang w:val="en-GB"/>
        </w:rPr>
        <w:t xml:space="preserve"> would be empowered, or even obliged, to refuse to apply any unlawful</w:t>
      </w:r>
      <w:r w:rsidR="00517038" w:rsidRPr="00DE2EDF">
        <w:rPr>
          <w:rFonts w:eastAsia="Times New Roman" w:cs="Times New Roman"/>
          <w:iCs/>
          <w:lang w:val="en-GB"/>
        </w:rPr>
        <w:t xml:space="preserve"> norm</w:t>
      </w:r>
      <w:r w:rsidR="0098583F" w:rsidRPr="00DE2EDF">
        <w:rPr>
          <w:rFonts w:eastAsia="Times New Roman" w:cs="Times New Roman"/>
          <w:iCs/>
          <w:lang w:val="en-GB"/>
        </w:rPr>
        <w:t>,</w:t>
      </w:r>
      <w:r w:rsidR="00F252BA" w:rsidRPr="00DE2EDF">
        <w:rPr>
          <w:rFonts w:eastAsia="Times New Roman" w:cs="Times New Roman"/>
          <w:iCs/>
          <w:lang w:val="en-GB"/>
        </w:rPr>
        <w:t xml:space="preserve"> </w:t>
      </w:r>
      <w:r w:rsidR="0098583F" w:rsidRPr="00DE2EDF">
        <w:rPr>
          <w:rFonts w:eastAsia="Times New Roman" w:cs="Times New Roman"/>
          <w:iCs/>
          <w:lang w:val="en-GB"/>
        </w:rPr>
        <w:t>general or individual</w:t>
      </w:r>
      <w:r w:rsidR="00F252BA" w:rsidRPr="00DE2EDF">
        <w:rPr>
          <w:rFonts w:eastAsia="Times New Roman" w:cs="Times New Roman"/>
          <w:iCs/>
          <w:lang w:val="en-GB"/>
        </w:rPr>
        <w:t>.</w:t>
      </w:r>
      <w:r w:rsidR="00517038" w:rsidRPr="00DE2EDF">
        <w:rPr>
          <w:rFonts w:eastAsia="Times New Roman" w:cs="Times New Roman"/>
          <w:iCs/>
          <w:lang w:val="en-GB"/>
        </w:rPr>
        <w:t xml:space="preserve"> This would result in a concrete administrative review.</w:t>
      </w:r>
      <w:r w:rsidR="0027079C" w:rsidRPr="00DE2EDF">
        <w:rPr>
          <w:rFonts w:eastAsia="Times New Roman" w:cs="Times New Roman"/>
          <w:iCs/>
          <w:lang w:val="en-GB"/>
        </w:rPr>
        <w:t xml:space="preserve"> </w:t>
      </w:r>
    </w:p>
    <w:p w14:paraId="1FA16E03" w14:textId="77777777" w:rsidR="000F4C26" w:rsidRPr="00DE2EDF" w:rsidRDefault="000F4C26" w:rsidP="00DE2EDF">
      <w:pPr>
        <w:spacing w:after="0"/>
        <w:jc w:val="both"/>
        <w:rPr>
          <w:rFonts w:eastAsia="Times New Roman" w:cs="Times New Roman"/>
          <w:iCs/>
          <w:lang w:val="en-GB"/>
        </w:rPr>
      </w:pPr>
    </w:p>
    <w:p w14:paraId="0F062230" w14:textId="77777777" w:rsidR="00325728" w:rsidRPr="00DE2EDF" w:rsidRDefault="0098583F" w:rsidP="00DE2EDF">
      <w:pPr>
        <w:spacing w:after="0"/>
        <w:jc w:val="both"/>
        <w:rPr>
          <w:rFonts w:eastAsia="Times New Roman" w:cs="Times New Roman"/>
          <w:iCs/>
          <w:lang w:val="en-GB"/>
        </w:rPr>
      </w:pPr>
      <w:r w:rsidRPr="00DE2EDF">
        <w:rPr>
          <w:rFonts w:eastAsia="Times New Roman" w:cs="Times New Roman"/>
          <w:iCs/>
          <w:lang w:val="en-GB"/>
        </w:rPr>
        <w:t>One of the first, if not the first</w:t>
      </w:r>
      <w:r w:rsidR="00520627" w:rsidRPr="00DE2EDF">
        <w:rPr>
          <w:rFonts w:eastAsia="Times New Roman" w:cs="Times New Roman"/>
          <w:iCs/>
          <w:lang w:val="en-GB"/>
        </w:rPr>
        <w:t>,</w:t>
      </w:r>
      <w:r w:rsidRPr="00DE2EDF">
        <w:rPr>
          <w:rFonts w:eastAsia="Times New Roman" w:cs="Times New Roman"/>
          <w:iCs/>
          <w:lang w:val="en-GB"/>
        </w:rPr>
        <w:t xml:space="preserve"> </w:t>
      </w:r>
      <w:r w:rsidR="00594611" w:rsidRPr="00DE2EDF">
        <w:rPr>
          <w:rFonts w:eastAsia="Times New Roman" w:cs="Times New Roman"/>
          <w:iCs/>
          <w:lang w:val="en-GB"/>
        </w:rPr>
        <w:t>European countr</w:t>
      </w:r>
      <w:r w:rsidR="00520627" w:rsidRPr="00DE2EDF">
        <w:rPr>
          <w:rFonts w:eastAsia="Times New Roman" w:cs="Times New Roman"/>
          <w:iCs/>
          <w:lang w:val="en-GB"/>
        </w:rPr>
        <w:t>ies</w:t>
      </w:r>
      <w:r w:rsidR="00594611" w:rsidRPr="00DE2EDF">
        <w:rPr>
          <w:rFonts w:eastAsia="Times New Roman" w:cs="Times New Roman"/>
          <w:iCs/>
          <w:lang w:val="en-GB"/>
        </w:rPr>
        <w:t xml:space="preserve"> to have implemented</w:t>
      </w:r>
      <w:r w:rsidR="00BF5971" w:rsidRPr="00DE2EDF">
        <w:rPr>
          <w:rFonts w:eastAsia="Times New Roman" w:cs="Times New Roman"/>
          <w:iCs/>
          <w:lang w:val="en-GB"/>
        </w:rPr>
        <w:t xml:space="preserve"> in positive law</w:t>
      </w:r>
      <w:r w:rsidR="00594611" w:rsidRPr="00DE2EDF">
        <w:rPr>
          <w:rFonts w:eastAsia="Times New Roman" w:cs="Times New Roman"/>
          <w:iCs/>
          <w:lang w:val="en-GB"/>
        </w:rPr>
        <w:t xml:space="preserve">, albeit with some restrictions, such a </w:t>
      </w:r>
      <w:r w:rsidRPr="00DE2EDF">
        <w:rPr>
          <w:rFonts w:eastAsia="Times New Roman" w:cs="Times New Roman"/>
          <w:iCs/>
          <w:lang w:val="en-GB"/>
        </w:rPr>
        <w:t xml:space="preserve">concrete </w:t>
      </w:r>
      <w:r w:rsidR="00520627" w:rsidRPr="00DE2EDF">
        <w:rPr>
          <w:rFonts w:eastAsia="Times New Roman" w:cs="Times New Roman"/>
          <w:iCs/>
          <w:lang w:val="en-GB"/>
        </w:rPr>
        <w:t xml:space="preserve">review </w:t>
      </w:r>
      <w:r w:rsidRPr="00DE2EDF">
        <w:rPr>
          <w:rFonts w:eastAsia="Times New Roman" w:cs="Times New Roman"/>
          <w:iCs/>
          <w:lang w:val="en-GB"/>
        </w:rPr>
        <w:t xml:space="preserve">appears </w:t>
      </w:r>
      <w:r w:rsidR="00594611" w:rsidRPr="00DE2EDF">
        <w:rPr>
          <w:rFonts w:eastAsia="Times New Roman" w:cs="Times New Roman"/>
          <w:iCs/>
          <w:lang w:val="en-GB"/>
        </w:rPr>
        <w:t>to be Switzerland</w:t>
      </w:r>
      <w:r w:rsidR="00520627" w:rsidRPr="00DE2EDF">
        <w:rPr>
          <w:rFonts w:eastAsia="Times New Roman" w:cs="Times New Roman"/>
          <w:iCs/>
          <w:lang w:val="en-GB"/>
        </w:rPr>
        <w:t>.</w:t>
      </w:r>
      <w:bookmarkStart w:id="347" w:name="_Ref457886386"/>
      <w:r w:rsidR="00F6624A" w:rsidRPr="00DE2EDF">
        <w:rPr>
          <w:rStyle w:val="FootnoteReference"/>
          <w:rFonts w:eastAsia="Times New Roman" w:cs="Times New Roman"/>
          <w:iCs/>
          <w:lang w:val="en-GB"/>
        </w:rPr>
        <w:footnoteReference w:id="218"/>
      </w:r>
      <w:bookmarkEnd w:id="347"/>
      <w:r w:rsidR="003A6512" w:rsidRPr="00DE2EDF">
        <w:rPr>
          <w:rFonts w:eastAsia="Times New Roman" w:cs="Times New Roman"/>
          <w:iCs/>
          <w:lang w:val="en-GB"/>
        </w:rPr>
        <w:t xml:space="preserve"> It is also the country </w:t>
      </w:r>
      <w:r w:rsidR="00520627" w:rsidRPr="00DE2EDF">
        <w:rPr>
          <w:rFonts w:eastAsia="Times New Roman" w:cs="Times New Roman"/>
          <w:iCs/>
          <w:lang w:val="en-GB"/>
        </w:rPr>
        <w:t>that</w:t>
      </w:r>
      <w:r w:rsidR="003A6512" w:rsidRPr="00DE2EDF">
        <w:rPr>
          <w:rFonts w:eastAsia="Times New Roman" w:cs="Times New Roman"/>
          <w:iCs/>
          <w:lang w:val="en-GB"/>
        </w:rPr>
        <w:t xml:space="preserve">, today, seems the most </w:t>
      </w:r>
      <w:r w:rsidR="00517038" w:rsidRPr="00DE2EDF">
        <w:rPr>
          <w:rFonts w:eastAsia="Times New Roman" w:cs="Times New Roman"/>
          <w:iCs/>
          <w:lang w:val="en-GB"/>
        </w:rPr>
        <w:t>open</w:t>
      </w:r>
      <w:r w:rsidR="003A6512" w:rsidRPr="00DE2EDF">
        <w:rPr>
          <w:rFonts w:eastAsia="Times New Roman" w:cs="Times New Roman"/>
          <w:iCs/>
          <w:lang w:val="en-GB"/>
        </w:rPr>
        <w:t xml:space="preserve"> </w:t>
      </w:r>
      <w:r w:rsidR="00517038" w:rsidRPr="00DE2EDF">
        <w:rPr>
          <w:rFonts w:eastAsia="Times New Roman" w:cs="Times New Roman"/>
          <w:iCs/>
          <w:lang w:val="en-GB"/>
        </w:rPr>
        <w:t xml:space="preserve">to </w:t>
      </w:r>
      <w:r w:rsidR="003A6512" w:rsidRPr="00DE2EDF">
        <w:rPr>
          <w:rFonts w:eastAsia="Times New Roman" w:cs="Times New Roman"/>
          <w:iCs/>
          <w:lang w:val="en-GB"/>
        </w:rPr>
        <w:t xml:space="preserve">this </w:t>
      </w:r>
      <w:r w:rsidR="00517038" w:rsidRPr="00DE2EDF">
        <w:rPr>
          <w:rFonts w:eastAsia="Times New Roman" w:cs="Times New Roman"/>
          <w:iCs/>
          <w:lang w:val="en-GB"/>
        </w:rPr>
        <w:t xml:space="preserve">issue, </w:t>
      </w:r>
      <w:r w:rsidR="00520627" w:rsidRPr="00DE2EDF">
        <w:rPr>
          <w:rFonts w:eastAsia="Times New Roman" w:cs="Times New Roman"/>
          <w:iCs/>
          <w:lang w:val="en-GB"/>
        </w:rPr>
        <w:t xml:space="preserve">along </w:t>
      </w:r>
      <w:r w:rsidR="00517038" w:rsidRPr="00DE2EDF">
        <w:rPr>
          <w:rFonts w:eastAsia="Times New Roman" w:cs="Times New Roman"/>
          <w:iCs/>
          <w:lang w:val="en-GB"/>
        </w:rPr>
        <w:t>with Sweden</w:t>
      </w:r>
      <w:r w:rsidR="00790A61" w:rsidRPr="00DE2EDF">
        <w:rPr>
          <w:rFonts w:eastAsia="Times New Roman" w:cs="Times New Roman"/>
          <w:iCs/>
          <w:lang w:val="en-GB"/>
        </w:rPr>
        <w:t xml:space="preserve"> and, to some extent, Portugal</w:t>
      </w:r>
      <w:r w:rsidR="00594611" w:rsidRPr="00DE2EDF">
        <w:rPr>
          <w:rFonts w:eastAsia="Times New Roman" w:cs="Times New Roman"/>
          <w:iCs/>
          <w:lang w:val="en-GB"/>
        </w:rPr>
        <w:t>.</w:t>
      </w:r>
      <w:r w:rsidR="00BF5971" w:rsidRPr="00DE2EDF">
        <w:rPr>
          <w:rFonts w:eastAsia="Times New Roman" w:cs="Times New Roman"/>
          <w:iCs/>
          <w:lang w:val="en-GB"/>
        </w:rPr>
        <w:t xml:space="preserve"> </w:t>
      </w:r>
      <w:r w:rsidR="00520627" w:rsidRPr="00DE2EDF">
        <w:rPr>
          <w:rFonts w:eastAsia="Times New Roman" w:cs="Times New Roman"/>
          <w:iCs/>
          <w:lang w:val="en-GB"/>
        </w:rPr>
        <w:t xml:space="preserve">At </w:t>
      </w:r>
      <w:r w:rsidR="00BF5971" w:rsidRPr="00DE2EDF">
        <w:rPr>
          <w:rFonts w:eastAsia="Times New Roman" w:cs="Times New Roman"/>
          <w:iCs/>
          <w:lang w:val="en-GB"/>
        </w:rPr>
        <w:t xml:space="preserve">the outset, </w:t>
      </w:r>
      <w:r w:rsidR="00520627" w:rsidRPr="00DE2EDF">
        <w:rPr>
          <w:rFonts w:eastAsia="Times New Roman" w:cs="Times New Roman"/>
          <w:iCs/>
          <w:lang w:val="en-GB"/>
        </w:rPr>
        <w:t xml:space="preserve">a </w:t>
      </w:r>
      <w:r w:rsidR="00BF5971" w:rsidRPr="00DE2EDF">
        <w:rPr>
          <w:rFonts w:eastAsia="Times New Roman" w:cs="Times New Roman"/>
          <w:iCs/>
          <w:lang w:val="en-GB"/>
        </w:rPr>
        <w:t>foreign obse</w:t>
      </w:r>
      <w:r w:rsidR="00CF797B" w:rsidRPr="00DE2EDF">
        <w:rPr>
          <w:rFonts w:eastAsia="Times New Roman" w:cs="Times New Roman"/>
          <w:iCs/>
          <w:lang w:val="en-GB"/>
        </w:rPr>
        <w:t xml:space="preserve">rver is struck by the fact that </w:t>
      </w:r>
      <w:r w:rsidR="0090655F" w:rsidRPr="00DE2EDF">
        <w:rPr>
          <w:rFonts w:eastAsia="Times New Roman" w:cs="Times New Roman"/>
          <w:iCs/>
          <w:lang w:val="en-GB"/>
        </w:rPr>
        <w:t xml:space="preserve">the </w:t>
      </w:r>
      <w:r w:rsidR="003A6512" w:rsidRPr="00DE2EDF">
        <w:rPr>
          <w:rFonts w:eastAsia="Times New Roman" w:cs="Times New Roman"/>
          <w:iCs/>
          <w:lang w:val="en-GB"/>
        </w:rPr>
        <w:t xml:space="preserve">current </w:t>
      </w:r>
      <w:r w:rsidR="0090655F" w:rsidRPr="00DE2EDF">
        <w:rPr>
          <w:rFonts w:eastAsia="Times New Roman" w:cs="Times New Roman"/>
          <w:iCs/>
          <w:lang w:val="en-GB"/>
        </w:rPr>
        <w:t>Swiss doctrine</w:t>
      </w:r>
      <w:r w:rsidR="00BF5971" w:rsidRPr="00DE2EDF">
        <w:rPr>
          <w:rFonts w:eastAsia="Times New Roman" w:cs="Times New Roman"/>
          <w:iCs/>
          <w:lang w:val="en-GB"/>
        </w:rPr>
        <w:t xml:space="preserve"> </w:t>
      </w:r>
      <w:r w:rsidR="00520627" w:rsidRPr="00DE2EDF">
        <w:rPr>
          <w:rFonts w:eastAsia="Times New Roman" w:cs="Times New Roman"/>
          <w:iCs/>
          <w:lang w:val="en-GB"/>
        </w:rPr>
        <w:t>accepts</w:t>
      </w:r>
      <w:r w:rsidR="00BF5971" w:rsidRPr="00DE2EDF">
        <w:rPr>
          <w:rFonts w:eastAsia="Times New Roman" w:cs="Times New Roman"/>
          <w:iCs/>
          <w:lang w:val="en-GB"/>
        </w:rPr>
        <w:t xml:space="preserve"> that: </w:t>
      </w:r>
      <w:r w:rsidR="007B3AFB" w:rsidRPr="00DE2EDF">
        <w:rPr>
          <w:rFonts w:eastAsia="Times New Roman" w:cs="Times New Roman"/>
          <w:iCs/>
          <w:lang w:val="en-GB"/>
        </w:rPr>
        <w:t>(</w:t>
      </w:r>
      <w:r w:rsidR="00BF5971" w:rsidRPr="00DE2EDF">
        <w:rPr>
          <w:rFonts w:eastAsia="Times New Roman" w:cs="Times New Roman"/>
          <w:iCs/>
          <w:lang w:val="en-GB"/>
        </w:rPr>
        <w:t xml:space="preserve">a) </w:t>
      </w:r>
      <w:r w:rsidR="003E7E7A" w:rsidRPr="00DE2EDF">
        <w:rPr>
          <w:rFonts w:eastAsia="Times New Roman" w:cs="Times New Roman"/>
          <w:iCs/>
          <w:lang w:val="en-GB"/>
        </w:rPr>
        <w:t xml:space="preserve">subject to some </w:t>
      </w:r>
      <w:r w:rsidRPr="00DE2EDF">
        <w:rPr>
          <w:rFonts w:eastAsia="Times New Roman" w:cs="Times New Roman"/>
          <w:iCs/>
          <w:lang w:val="en-GB"/>
        </w:rPr>
        <w:t>qualifications</w:t>
      </w:r>
      <w:r w:rsidR="003E7E7A" w:rsidRPr="00DE2EDF">
        <w:rPr>
          <w:rFonts w:eastAsia="Times New Roman" w:cs="Times New Roman"/>
          <w:iCs/>
          <w:lang w:val="en-GB"/>
        </w:rPr>
        <w:t xml:space="preserve">, </w:t>
      </w:r>
      <w:r w:rsidR="00BF5971" w:rsidRPr="00DE2EDF">
        <w:rPr>
          <w:rFonts w:eastAsia="Times New Roman" w:cs="Times New Roman"/>
          <w:iCs/>
          <w:lang w:val="en-GB"/>
        </w:rPr>
        <w:t>the principle of rule of law (art</w:t>
      </w:r>
      <w:r w:rsidR="009C3302" w:rsidRPr="00DE2EDF">
        <w:rPr>
          <w:rFonts w:eastAsia="Times New Roman" w:cs="Times New Roman"/>
          <w:iCs/>
          <w:lang w:val="en-GB"/>
        </w:rPr>
        <w:t>icle</w:t>
      </w:r>
      <w:r w:rsidR="00BF5971" w:rsidRPr="00DE2EDF">
        <w:rPr>
          <w:rFonts w:eastAsia="Times New Roman" w:cs="Times New Roman"/>
          <w:iCs/>
          <w:lang w:val="en-GB"/>
        </w:rPr>
        <w:t xml:space="preserve"> 5 </w:t>
      </w:r>
      <w:r w:rsidR="00E70F25" w:rsidRPr="00DE2EDF">
        <w:rPr>
          <w:rFonts w:eastAsia="Times New Roman" w:cs="Times New Roman"/>
          <w:iCs/>
          <w:lang w:val="en-GB"/>
        </w:rPr>
        <w:t xml:space="preserve">of the </w:t>
      </w:r>
      <w:r w:rsidR="00BF5971" w:rsidRPr="00DE2EDF">
        <w:rPr>
          <w:rFonts w:eastAsia="Times New Roman" w:cs="Times New Roman"/>
          <w:iCs/>
          <w:lang w:val="en-GB"/>
        </w:rPr>
        <w:t>Swiss Constitution</w:t>
      </w:r>
      <w:r w:rsidR="00E70F25" w:rsidRPr="00DE2EDF">
        <w:rPr>
          <w:rFonts w:eastAsia="Times New Roman" w:cs="Times New Roman"/>
          <w:iCs/>
          <w:lang w:val="en-GB"/>
        </w:rPr>
        <w:t xml:space="preserve"> of 1999</w:t>
      </w:r>
      <w:r w:rsidR="00BF5971" w:rsidRPr="00DE2EDF">
        <w:rPr>
          <w:rFonts w:eastAsia="Times New Roman" w:cs="Times New Roman"/>
          <w:iCs/>
          <w:lang w:val="en-GB"/>
        </w:rPr>
        <w:t xml:space="preserve">) </w:t>
      </w:r>
      <w:r w:rsidR="00A57695" w:rsidRPr="00DE2EDF">
        <w:rPr>
          <w:rFonts w:eastAsia="Times New Roman" w:cs="Times New Roman"/>
          <w:iCs/>
          <w:lang w:val="en-GB"/>
        </w:rPr>
        <w:t>encompasses</w:t>
      </w:r>
      <w:r w:rsidR="00BF5971" w:rsidRPr="00DE2EDF">
        <w:rPr>
          <w:rFonts w:eastAsia="Times New Roman" w:cs="Times New Roman"/>
          <w:iCs/>
          <w:lang w:val="en-GB"/>
        </w:rPr>
        <w:t xml:space="preserve"> a general </w:t>
      </w:r>
      <w:r w:rsidR="00A57695" w:rsidRPr="00DE2EDF">
        <w:rPr>
          <w:rFonts w:eastAsia="Times New Roman" w:cs="Times New Roman"/>
          <w:iCs/>
          <w:lang w:val="en-GB"/>
        </w:rPr>
        <w:t xml:space="preserve">entitlement </w:t>
      </w:r>
      <w:r w:rsidR="00BF5971" w:rsidRPr="00DE2EDF">
        <w:rPr>
          <w:rFonts w:eastAsia="Times New Roman" w:cs="Times New Roman"/>
          <w:iCs/>
          <w:lang w:val="en-GB"/>
        </w:rPr>
        <w:t>to exercise</w:t>
      </w:r>
      <w:r w:rsidR="00A57695" w:rsidRPr="00DE2EDF">
        <w:rPr>
          <w:rFonts w:eastAsia="Times New Roman" w:cs="Times New Roman"/>
          <w:iCs/>
          <w:lang w:val="en-GB"/>
        </w:rPr>
        <w:t>,</w:t>
      </w:r>
      <w:r w:rsidR="003E7E7A" w:rsidRPr="00DE2EDF">
        <w:rPr>
          <w:rFonts w:eastAsia="Times New Roman" w:cs="Times New Roman"/>
          <w:iCs/>
          <w:lang w:val="en-GB"/>
        </w:rPr>
        <w:t xml:space="preserve"> on demand or ex officio</w:t>
      </w:r>
      <w:r w:rsidR="00A57695" w:rsidRPr="00DE2EDF">
        <w:rPr>
          <w:rFonts w:eastAsia="Times New Roman" w:cs="Times New Roman"/>
          <w:iCs/>
          <w:lang w:val="en-GB"/>
        </w:rPr>
        <w:t xml:space="preserve">, </w:t>
      </w:r>
      <w:r w:rsidR="00BF5971" w:rsidRPr="00DE2EDF">
        <w:rPr>
          <w:rFonts w:eastAsia="Times New Roman" w:cs="Times New Roman"/>
          <w:iCs/>
          <w:lang w:val="en-GB"/>
        </w:rPr>
        <w:t xml:space="preserve">a concrete review of the lawfulness of all norms; </w:t>
      </w:r>
      <w:r w:rsidR="007B3AFB" w:rsidRPr="00DE2EDF">
        <w:rPr>
          <w:rFonts w:eastAsia="Times New Roman" w:cs="Times New Roman"/>
          <w:iCs/>
          <w:lang w:val="en-GB"/>
        </w:rPr>
        <w:t>(</w:t>
      </w:r>
      <w:r w:rsidR="00BF5971" w:rsidRPr="00DE2EDF">
        <w:rPr>
          <w:rFonts w:eastAsia="Times New Roman" w:cs="Times New Roman"/>
          <w:iCs/>
          <w:lang w:val="en-GB"/>
        </w:rPr>
        <w:t>b) this power is granted</w:t>
      </w:r>
      <w:r w:rsidR="0090655F" w:rsidRPr="00DE2EDF">
        <w:rPr>
          <w:rFonts w:eastAsia="Times New Roman" w:cs="Times New Roman"/>
          <w:iCs/>
          <w:lang w:val="en-GB"/>
        </w:rPr>
        <w:t>, with some reservations,</w:t>
      </w:r>
      <w:r w:rsidR="00BF5971" w:rsidRPr="00DE2EDF">
        <w:rPr>
          <w:rFonts w:eastAsia="Times New Roman" w:cs="Times New Roman"/>
          <w:iCs/>
          <w:lang w:val="en-GB"/>
        </w:rPr>
        <w:t xml:space="preserve"> to all public authorities</w:t>
      </w:r>
      <w:r w:rsidR="00CF797B" w:rsidRPr="00DE2EDF">
        <w:rPr>
          <w:rFonts w:eastAsia="Times New Roman" w:cs="Times New Roman"/>
          <w:iCs/>
          <w:lang w:val="en-GB"/>
        </w:rPr>
        <w:t xml:space="preserve"> </w:t>
      </w:r>
      <w:r w:rsidR="00BF5971" w:rsidRPr="00DE2EDF">
        <w:rPr>
          <w:rFonts w:eastAsia="Times New Roman" w:cs="Times New Roman"/>
          <w:iCs/>
          <w:lang w:val="en-GB"/>
        </w:rPr>
        <w:t>applying the law, meanin</w:t>
      </w:r>
      <w:r w:rsidR="00A57695" w:rsidRPr="00DE2EDF">
        <w:rPr>
          <w:rFonts w:eastAsia="Times New Roman" w:cs="Times New Roman"/>
          <w:iCs/>
          <w:lang w:val="en-GB"/>
        </w:rPr>
        <w:t>g both courts and administ</w:t>
      </w:r>
      <w:r w:rsidR="00BF5971" w:rsidRPr="00DE2EDF">
        <w:rPr>
          <w:rFonts w:eastAsia="Times New Roman" w:cs="Times New Roman"/>
          <w:iCs/>
          <w:lang w:val="en-GB"/>
        </w:rPr>
        <w:t xml:space="preserve">rative authorities, whether on </w:t>
      </w:r>
      <w:r w:rsidR="00520627" w:rsidRPr="00DE2EDF">
        <w:rPr>
          <w:rFonts w:eastAsia="Times New Roman" w:cs="Times New Roman"/>
          <w:iCs/>
          <w:lang w:val="en-GB"/>
        </w:rPr>
        <w:t xml:space="preserve">a </w:t>
      </w:r>
      <w:r w:rsidR="00BF5971" w:rsidRPr="00DE2EDF">
        <w:rPr>
          <w:rFonts w:eastAsia="Times New Roman" w:cs="Times New Roman"/>
          <w:iCs/>
          <w:lang w:val="en-GB"/>
        </w:rPr>
        <w:t>federal or cantonal level</w:t>
      </w:r>
      <w:r w:rsidR="00CF797B" w:rsidRPr="00DE2EDF">
        <w:rPr>
          <w:rFonts w:eastAsia="Times New Roman" w:cs="Times New Roman"/>
          <w:iCs/>
          <w:lang w:val="en-GB"/>
        </w:rPr>
        <w:t xml:space="preserve">; </w:t>
      </w:r>
      <w:r w:rsidR="007B3AFB" w:rsidRPr="00DE2EDF">
        <w:rPr>
          <w:rFonts w:eastAsia="Times New Roman" w:cs="Times New Roman"/>
          <w:iCs/>
          <w:lang w:val="en-GB"/>
        </w:rPr>
        <w:t>(</w:t>
      </w:r>
      <w:r w:rsidR="00CF797B" w:rsidRPr="00DE2EDF">
        <w:rPr>
          <w:rFonts w:eastAsia="Times New Roman" w:cs="Times New Roman"/>
          <w:iCs/>
          <w:lang w:val="en-GB"/>
        </w:rPr>
        <w:t xml:space="preserve">c) </w:t>
      </w:r>
      <w:r w:rsidR="00DD40F4" w:rsidRPr="00DE2EDF">
        <w:rPr>
          <w:rFonts w:eastAsia="Times New Roman" w:cs="Times New Roman"/>
          <w:iCs/>
          <w:lang w:val="en-GB"/>
        </w:rPr>
        <w:t>the principle of federalism</w:t>
      </w:r>
      <w:r w:rsidR="00E70F25" w:rsidRPr="00DE2EDF">
        <w:rPr>
          <w:rFonts w:eastAsia="Times New Roman" w:cs="Times New Roman"/>
          <w:iCs/>
          <w:lang w:val="en-GB"/>
        </w:rPr>
        <w:t xml:space="preserve"> (the primacy of federal law)</w:t>
      </w:r>
      <w:r w:rsidR="00A57695" w:rsidRPr="00DE2EDF">
        <w:rPr>
          <w:rFonts w:eastAsia="Times New Roman" w:cs="Times New Roman"/>
          <w:iCs/>
          <w:lang w:val="en-GB"/>
        </w:rPr>
        <w:t xml:space="preserve"> </w:t>
      </w:r>
      <w:r w:rsidR="00E70F25" w:rsidRPr="00DE2EDF">
        <w:rPr>
          <w:rFonts w:eastAsia="Times New Roman" w:cs="Times New Roman"/>
          <w:iCs/>
          <w:lang w:val="en-GB"/>
        </w:rPr>
        <w:t xml:space="preserve">reinforces </w:t>
      </w:r>
      <w:r w:rsidR="00A57695" w:rsidRPr="00DE2EDF">
        <w:rPr>
          <w:rFonts w:eastAsia="Times New Roman" w:cs="Times New Roman"/>
          <w:iCs/>
          <w:lang w:val="en-GB"/>
        </w:rPr>
        <w:t>this solution as it</w:t>
      </w:r>
      <w:r w:rsidR="003E7E7A" w:rsidRPr="00DE2EDF">
        <w:rPr>
          <w:rFonts w:eastAsia="Times New Roman" w:cs="Times New Roman"/>
          <w:iCs/>
          <w:lang w:val="en-GB"/>
        </w:rPr>
        <w:t xml:space="preserve"> also </w:t>
      </w:r>
      <w:r w:rsidR="00A57695" w:rsidRPr="00DE2EDF">
        <w:rPr>
          <w:rFonts w:eastAsia="Times New Roman" w:cs="Times New Roman"/>
          <w:iCs/>
          <w:lang w:val="en-GB"/>
        </w:rPr>
        <w:t>requires</w:t>
      </w:r>
      <w:r w:rsidR="003E7E7A" w:rsidRPr="00DE2EDF">
        <w:rPr>
          <w:rFonts w:eastAsia="Times New Roman" w:cs="Times New Roman"/>
          <w:iCs/>
          <w:lang w:val="en-GB"/>
        </w:rPr>
        <w:t xml:space="preserve"> a concrete review of cantonal statutes and </w:t>
      </w:r>
      <w:r w:rsidR="003E7E7A" w:rsidRPr="00DE2EDF">
        <w:rPr>
          <w:rFonts w:eastAsia="Times New Roman" w:cs="Times New Roman"/>
          <w:iCs/>
          <w:lang w:val="en-GB"/>
        </w:rPr>
        <w:lastRenderedPageBreak/>
        <w:t xml:space="preserve">regulations </w:t>
      </w:r>
      <w:r w:rsidR="00E70F25" w:rsidRPr="00DE2EDF">
        <w:rPr>
          <w:rFonts w:eastAsia="Times New Roman" w:cs="Times New Roman"/>
          <w:iCs/>
          <w:lang w:val="en-GB"/>
        </w:rPr>
        <w:t xml:space="preserve">with regard to </w:t>
      </w:r>
      <w:r w:rsidR="00520627" w:rsidRPr="00DE2EDF">
        <w:rPr>
          <w:rFonts w:eastAsia="Times New Roman" w:cs="Times New Roman"/>
          <w:iCs/>
          <w:lang w:val="en-GB"/>
        </w:rPr>
        <w:t xml:space="preserve">their </w:t>
      </w:r>
      <w:r w:rsidR="00E70F25" w:rsidRPr="00DE2EDF">
        <w:rPr>
          <w:rFonts w:eastAsia="Times New Roman" w:cs="Times New Roman"/>
          <w:iCs/>
          <w:lang w:val="en-GB"/>
        </w:rPr>
        <w:t xml:space="preserve">consistency with federal law, </w:t>
      </w:r>
      <w:r w:rsidR="003E7E7A" w:rsidRPr="00DE2EDF">
        <w:rPr>
          <w:rFonts w:eastAsia="Times New Roman" w:cs="Times New Roman"/>
          <w:iCs/>
          <w:lang w:val="en-GB"/>
        </w:rPr>
        <w:t xml:space="preserve">by </w:t>
      </w:r>
      <w:r w:rsidR="00E70F25" w:rsidRPr="00DE2EDF">
        <w:rPr>
          <w:rFonts w:eastAsia="Times New Roman" w:cs="Times New Roman"/>
          <w:iCs/>
          <w:lang w:val="en-GB"/>
        </w:rPr>
        <w:t>all cantonal</w:t>
      </w:r>
      <w:r w:rsidR="003E7E7A" w:rsidRPr="00DE2EDF">
        <w:rPr>
          <w:rFonts w:eastAsia="Times New Roman" w:cs="Times New Roman"/>
          <w:iCs/>
          <w:lang w:val="en-GB"/>
        </w:rPr>
        <w:t xml:space="preserve"> courts and </w:t>
      </w:r>
      <w:r w:rsidR="00E70F25" w:rsidRPr="00DE2EDF">
        <w:rPr>
          <w:rFonts w:eastAsia="Times New Roman" w:cs="Times New Roman"/>
          <w:iCs/>
          <w:lang w:val="en-GB"/>
        </w:rPr>
        <w:t xml:space="preserve">by </w:t>
      </w:r>
      <w:r w:rsidR="003E7E7A" w:rsidRPr="00DE2EDF">
        <w:rPr>
          <w:rFonts w:eastAsia="Times New Roman" w:cs="Times New Roman"/>
          <w:iCs/>
          <w:lang w:val="en-GB"/>
        </w:rPr>
        <w:t xml:space="preserve">certain </w:t>
      </w:r>
      <w:r w:rsidR="00520627" w:rsidRPr="00DE2EDF">
        <w:rPr>
          <w:rFonts w:eastAsia="Times New Roman" w:cs="Times New Roman"/>
          <w:iCs/>
          <w:lang w:val="en-GB"/>
        </w:rPr>
        <w:t xml:space="preserve">of the cantons’ </w:t>
      </w:r>
      <w:r w:rsidR="003E7E7A" w:rsidRPr="00DE2EDF">
        <w:rPr>
          <w:rFonts w:eastAsia="Times New Roman" w:cs="Times New Roman"/>
          <w:iCs/>
          <w:lang w:val="en-GB"/>
        </w:rPr>
        <w:t>administrative authorities</w:t>
      </w:r>
      <w:r w:rsidR="00BF5971" w:rsidRPr="00DE2EDF">
        <w:rPr>
          <w:rFonts w:eastAsia="Times New Roman" w:cs="Times New Roman"/>
          <w:iCs/>
          <w:lang w:val="en-GB"/>
        </w:rPr>
        <w:t>.</w:t>
      </w:r>
      <w:r w:rsidR="00CF797B" w:rsidRPr="00DE2EDF">
        <w:rPr>
          <w:rFonts w:eastAsia="Times New Roman" w:cs="Times New Roman"/>
          <w:iCs/>
          <w:lang w:val="en-GB"/>
        </w:rPr>
        <w:t xml:space="preserve"> This opens, </w:t>
      </w:r>
      <w:r w:rsidR="00520627" w:rsidRPr="00DE2EDF">
        <w:rPr>
          <w:rFonts w:eastAsia="Times New Roman" w:cs="Times New Roman"/>
          <w:iCs/>
          <w:lang w:val="en-GB"/>
        </w:rPr>
        <w:t>at</w:t>
      </w:r>
      <w:r w:rsidR="00CF797B" w:rsidRPr="00DE2EDF">
        <w:rPr>
          <w:rFonts w:eastAsia="Times New Roman" w:cs="Times New Roman"/>
          <w:iCs/>
          <w:lang w:val="en-GB"/>
        </w:rPr>
        <w:t xml:space="preserve"> the level of the most fundamental principles</w:t>
      </w:r>
      <w:r w:rsidR="00DD40F4" w:rsidRPr="00DE2EDF">
        <w:rPr>
          <w:rFonts w:eastAsia="Times New Roman" w:cs="Times New Roman"/>
          <w:iCs/>
          <w:lang w:val="en-GB"/>
        </w:rPr>
        <w:t>,</w:t>
      </w:r>
      <w:r w:rsidR="00CF797B" w:rsidRPr="00DE2EDF">
        <w:rPr>
          <w:rFonts w:eastAsia="Times New Roman" w:cs="Times New Roman"/>
          <w:iCs/>
          <w:lang w:val="en-GB"/>
        </w:rPr>
        <w:t xml:space="preserve"> a broad perspective</w:t>
      </w:r>
      <w:r w:rsidR="00DD40F4" w:rsidRPr="00DE2EDF">
        <w:rPr>
          <w:rFonts w:eastAsia="Times New Roman" w:cs="Times New Roman"/>
          <w:iCs/>
          <w:lang w:val="en-GB"/>
        </w:rPr>
        <w:t xml:space="preserve"> for a lawfulness/constitutionality review by administrative authorities. </w:t>
      </w:r>
      <w:r w:rsidR="003E7E7A" w:rsidRPr="00DE2EDF">
        <w:rPr>
          <w:rFonts w:eastAsia="Times New Roman" w:cs="Times New Roman"/>
          <w:iCs/>
          <w:lang w:val="en-GB"/>
        </w:rPr>
        <w:t xml:space="preserve">Yet, Swiss </w:t>
      </w:r>
      <w:r w:rsidR="003A6512" w:rsidRPr="00DE2EDF">
        <w:rPr>
          <w:rFonts w:eastAsia="Times New Roman" w:cs="Times New Roman"/>
          <w:iCs/>
          <w:lang w:val="en-GB"/>
        </w:rPr>
        <w:t>positive law</w:t>
      </w:r>
      <w:r w:rsidR="003E7E7A" w:rsidRPr="00DE2EDF">
        <w:rPr>
          <w:rFonts w:eastAsia="Times New Roman" w:cs="Times New Roman"/>
          <w:iCs/>
          <w:lang w:val="en-GB"/>
        </w:rPr>
        <w:t xml:space="preserve"> </w:t>
      </w:r>
      <w:r w:rsidR="00520627" w:rsidRPr="00DE2EDF">
        <w:rPr>
          <w:rFonts w:eastAsia="Times New Roman" w:cs="Times New Roman"/>
          <w:iCs/>
          <w:lang w:val="en-GB"/>
        </w:rPr>
        <w:t xml:space="preserve">incorporates </w:t>
      </w:r>
      <w:r w:rsidR="00F6624A" w:rsidRPr="00DE2EDF">
        <w:rPr>
          <w:rFonts w:eastAsia="Times New Roman" w:cs="Times New Roman"/>
          <w:iCs/>
          <w:lang w:val="en-GB"/>
        </w:rPr>
        <w:t xml:space="preserve">also </w:t>
      </w:r>
      <w:r w:rsidR="005E60C3" w:rsidRPr="00DE2EDF">
        <w:rPr>
          <w:rFonts w:eastAsia="Times New Roman" w:cs="Times New Roman"/>
          <w:iCs/>
          <w:lang w:val="en-GB"/>
        </w:rPr>
        <w:t>s</w:t>
      </w:r>
      <w:r w:rsidR="00DD40F4" w:rsidRPr="00DE2EDF">
        <w:rPr>
          <w:rFonts w:eastAsia="Times New Roman" w:cs="Times New Roman"/>
          <w:iCs/>
          <w:lang w:val="en-GB"/>
        </w:rPr>
        <w:t xml:space="preserve">ome </w:t>
      </w:r>
      <w:r w:rsidR="003E7E7A" w:rsidRPr="00DE2EDF">
        <w:rPr>
          <w:rFonts w:eastAsia="Times New Roman" w:cs="Times New Roman"/>
          <w:iCs/>
          <w:lang w:val="en-GB"/>
        </w:rPr>
        <w:t xml:space="preserve">(major) </w:t>
      </w:r>
      <w:r w:rsidR="00DD40F4" w:rsidRPr="00DE2EDF">
        <w:rPr>
          <w:rFonts w:eastAsia="Times New Roman" w:cs="Times New Roman"/>
          <w:iCs/>
          <w:lang w:val="en-GB"/>
        </w:rPr>
        <w:t>q</w:t>
      </w:r>
      <w:r w:rsidR="008B589A" w:rsidRPr="00DE2EDF">
        <w:rPr>
          <w:rFonts w:eastAsia="Times New Roman" w:cs="Times New Roman"/>
          <w:iCs/>
          <w:lang w:val="en-GB"/>
        </w:rPr>
        <w:t>ualifications</w:t>
      </w:r>
      <w:r w:rsidR="00F6624A" w:rsidRPr="00DE2EDF">
        <w:rPr>
          <w:rFonts w:eastAsia="Times New Roman" w:cs="Times New Roman"/>
          <w:iCs/>
          <w:lang w:val="en-GB"/>
        </w:rPr>
        <w:t>,</w:t>
      </w:r>
      <w:r w:rsidR="00DD40F4" w:rsidRPr="00DE2EDF">
        <w:rPr>
          <w:rFonts w:eastAsia="Times New Roman" w:cs="Times New Roman"/>
          <w:iCs/>
          <w:lang w:val="en-GB"/>
        </w:rPr>
        <w:t xml:space="preserve"> which</w:t>
      </w:r>
      <w:r w:rsidR="008B589A" w:rsidRPr="00DE2EDF">
        <w:rPr>
          <w:rFonts w:eastAsia="Times New Roman" w:cs="Times New Roman"/>
          <w:iCs/>
          <w:lang w:val="en-GB"/>
        </w:rPr>
        <w:t xml:space="preserve"> concern</w:t>
      </w:r>
      <w:r w:rsidR="00520627" w:rsidRPr="00DE2EDF">
        <w:rPr>
          <w:rFonts w:eastAsia="Times New Roman" w:cs="Times New Roman"/>
          <w:iCs/>
          <w:lang w:val="en-GB"/>
        </w:rPr>
        <w:t>,</w:t>
      </w:r>
      <w:r w:rsidR="008B589A" w:rsidRPr="00DE2EDF">
        <w:rPr>
          <w:rFonts w:eastAsia="Times New Roman" w:cs="Times New Roman"/>
          <w:iCs/>
          <w:lang w:val="en-GB"/>
        </w:rPr>
        <w:t xml:space="preserve"> </w:t>
      </w:r>
      <w:r w:rsidR="00E70F25" w:rsidRPr="00DE2EDF">
        <w:rPr>
          <w:rFonts w:eastAsia="Times New Roman" w:cs="Times New Roman"/>
          <w:iCs/>
          <w:lang w:val="en-GB"/>
        </w:rPr>
        <w:t xml:space="preserve">in </w:t>
      </w:r>
      <w:r w:rsidR="0060008D" w:rsidRPr="00DE2EDF">
        <w:rPr>
          <w:rFonts w:eastAsia="Times New Roman" w:cs="Times New Roman"/>
          <w:iCs/>
          <w:lang w:val="en-GB"/>
        </w:rPr>
        <w:t>particular</w:t>
      </w:r>
      <w:r w:rsidR="00520627" w:rsidRPr="00DE2EDF">
        <w:rPr>
          <w:rFonts w:eastAsia="Times New Roman" w:cs="Times New Roman"/>
          <w:iCs/>
          <w:lang w:val="en-GB"/>
        </w:rPr>
        <w:t>,</w:t>
      </w:r>
      <w:r w:rsidR="003E7E7A" w:rsidRPr="00DE2EDF">
        <w:rPr>
          <w:rFonts w:eastAsia="Times New Roman" w:cs="Times New Roman"/>
          <w:iCs/>
          <w:lang w:val="en-GB"/>
        </w:rPr>
        <w:t xml:space="preserve"> </w:t>
      </w:r>
      <w:r w:rsidR="008B589A" w:rsidRPr="00DE2EDF">
        <w:rPr>
          <w:rFonts w:eastAsia="Times New Roman" w:cs="Times New Roman"/>
          <w:iCs/>
          <w:lang w:val="en-GB"/>
        </w:rPr>
        <w:t>federal law</w:t>
      </w:r>
      <w:r w:rsidR="00DD40F4" w:rsidRPr="00DE2EDF">
        <w:rPr>
          <w:rFonts w:eastAsia="Times New Roman" w:cs="Times New Roman"/>
          <w:iCs/>
          <w:lang w:val="en-GB"/>
        </w:rPr>
        <w:t>.</w:t>
      </w:r>
      <w:r w:rsidR="005E60C3" w:rsidRPr="00DE2EDF">
        <w:rPr>
          <w:rFonts w:eastAsia="Times New Roman" w:cs="Times New Roman"/>
          <w:iCs/>
          <w:lang w:val="en-GB"/>
        </w:rPr>
        <w:t xml:space="preserve"> </w:t>
      </w:r>
      <w:r w:rsidR="00DD40F4" w:rsidRPr="00DE2EDF">
        <w:rPr>
          <w:rFonts w:eastAsia="Times New Roman" w:cs="Times New Roman"/>
          <w:iCs/>
          <w:lang w:val="en-GB"/>
        </w:rPr>
        <w:t>S</w:t>
      </w:r>
      <w:r w:rsidR="00D23C7A" w:rsidRPr="00DE2EDF">
        <w:rPr>
          <w:rFonts w:eastAsia="Times New Roman" w:cs="Times New Roman"/>
          <w:iCs/>
          <w:lang w:val="en-GB"/>
        </w:rPr>
        <w:t xml:space="preserve">ince the </w:t>
      </w:r>
      <w:r w:rsidR="009C3302" w:rsidRPr="00DE2EDF">
        <w:rPr>
          <w:rFonts w:eastAsia="Times New Roman" w:cs="Times New Roman"/>
          <w:iCs/>
          <w:lang w:val="en-GB"/>
        </w:rPr>
        <w:t>ninet</w:t>
      </w:r>
      <w:r w:rsidR="00E31885">
        <w:rPr>
          <w:rFonts w:eastAsia="Times New Roman" w:cs="Times New Roman"/>
          <w:iCs/>
          <w:lang w:val="en-GB"/>
        </w:rPr>
        <w:t xml:space="preserve">eenth </w:t>
      </w:r>
      <w:r w:rsidR="00D23C7A" w:rsidRPr="00DE2EDF">
        <w:rPr>
          <w:rFonts w:eastAsia="Times New Roman" w:cs="Times New Roman"/>
          <w:iCs/>
          <w:lang w:val="en-GB"/>
        </w:rPr>
        <w:t>century</w:t>
      </w:r>
      <w:r w:rsidR="008C094E" w:rsidRPr="00DE2EDF">
        <w:rPr>
          <w:rFonts w:eastAsia="Times New Roman" w:cs="Times New Roman"/>
          <w:iCs/>
          <w:lang w:val="en-GB"/>
        </w:rPr>
        <w:t>,</w:t>
      </w:r>
      <w:r w:rsidR="00D23C7A" w:rsidRPr="00DE2EDF">
        <w:rPr>
          <w:rFonts w:eastAsia="Times New Roman" w:cs="Times New Roman"/>
          <w:iCs/>
          <w:lang w:val="en-GB"/>
        </w:rPr>
        <w:t xml:space="preserve"> the </w:t>
      </w:r>
      <w:r w:rsidR="003E7E7A" w:rsidRPr="00DE2EDF">
        <w:rPr>
          <w:rFonts w:eastAsia="Times New Roman" w:cs="Times New Roman"/>
          <w:iCs/>
          <w:lang w:val="en-GB"/>
        </w:rPr>
        <w:t>Federal</w:t>
      </w:r>
      <w:r w:rsidR="00D23C7A" w:rsidRPr="00DE2EDF">
        <w:rPr>
          <w:rFonts w:eastAsia="Times New Roman" w:cs="Times New Roman"/>
          <w:iCs/>
          <w:lang w:val="en-GB"/>
        </w:rPr>
        <w:t xml:space="preserve"> Constitution </w:t>
      </w:r>
      <w:r w:rsidR="00520627" w:rsidRPr="00DE2EDF">
        <w:rPr>
          <w:rFonts w:eastAsia="Times New Roman" w:cs="Times New Roman"/>
          <w:iCs/>
          <w:lang w:val="en-GB"/>
        </w:rPr>
        <w:t xml:space="preserve">has explicitly </w:t>
      </w:r>
      <w:r w:rsidR="00D23C7A" w:rsidRPr="00DE2EDF">
        <w:rPr>
          <w:rFonts w:eastAsia="Times New Roman" w:cs="Times New Roman"/>
          <w:iCs/>
          <w:lang w:val="en-GB"/>
        </w:rPr>
        <w:t>prohibit</w:t>
      </w:r>
      <w:r w:rsidR="00520627" w:rsidRPr="00DE2EDF">
        <w:rPr>
          <w:rFonts w:eastAsia="Times New Roman" w:cs="Times New Roman"/>
          <w:iCs/>
          <w:lang w:val="en-GB"/>
        </w:rPr>
        <w:t>ed</w:t>
      </w:r>
      <w:r w:rsidR="00D23C7A" w:rsidRPr="00DE2EDF">
        <w:rPr>
          <w:rFonts w:eastAsia="Times New Roman" w:cs="Times New Roman"/>
          <w:iCs/>
          <w:lang w:val="en-GB"/>
        </w:rPr>
        <w:t xml:space="preserve"> </w:t>
      </w:r>
      <w:r w:rsidR="003E7E7A" w:rsidRPr="00DE2EDF">
        <w:rPr>
          <w:rFonts w:eastAsia="Times New Roman" w:cs="Times New Roman"/>
          <w:iCs/>
          <w:lang w:val="en-GB"/>
        </w:rPr>
        <w:t xml:space="preserve">both </w:t>
      </w:r>
      <w:r w:rsidR="00D23C7A" w:rsidRPr="00DE2EDF">
        <w:rPr>
          <w:rFonts w:eastAsia="Times New Roman" w:cs="Times New Roman"/>
          <w:iCs/>
          <w:lang w:val="en-GB"/>
        </w:rPr>
        <w:t xml:space="preserve">courts and administrative bodies </w:t>
      </w:r>
      <w:r w:rsidR="002A783E" w:rsidRPr="00DE2EDF">
        <w:rPr>
          <w:rFonts w:eastAsia="Times New Roman" w:cs="Times New Roman"/>
          <w:iCs/>
          <w:lang w:val="en-GB"/>
        </w:rPr>
        <w:t xml:space="preserve">from </w:t>
      </w:r>
      <w:r w:rsidR="00D23C7A" w:rsidRPr="00DE2EDF">
        <w:rPr>
          <w:rFonts w:eastAsia="Times New Roman" w:cs="Times New Roman"/>
          <w:iCs/>
          <w:lang w:val="en-GB"/>
        </w:rPr>
        <w:t>question</w:t>
      </w:r>
      <w:r w:rsidR="002A783E" w:rsidRPr="00DE2EDF">
        <w:rPr>
          <w:rFonts w:eastAsia="Times New Roman" w:cs="Times New Roman"/>
          <w:iCs/>
          <w:lang w:val="en-GB"/>
        </w:rPr>
        <w:t>ing</w:t>
      </w:r>
      <w:r w:rsidR="00D23C7A" w:rsidRPr="00DE2EDF">
        <w:rPr>
          <w:rFonts w:eastAsia="Times New Roman" w:cs="Times New Roman"/>
          <w:iCs/>
          <w:lang w:val="en-GB"/>
        </w:rPr>
        <w:t xml:space="preserve"> the validity of federal statutes (art</w:t>
      </w:r>
      <w:r w:rsidR="009C3302" w:rsidRPr="00DE2EDF">
        <w:rPr>
          <w:rFonts w:eastAsia="Times New Roman" w:cs="Times New Roman"/>
          <w:iCs/>
          <w:lang w:val="en-GB"/>
        </w:rPr>
        <w:t>icle</w:t>
      </w:r>
      <w:r w:rsidR="00D23C7A" w:rsidRPr="00DE2EDF">
        <w:rPr>
          <w:rFonts w:eastAsia="Times New Roman" w:cs="Times New Roman"/>
          <w:iCs/>
          <w:lang w:val="en-GB"/>
        </w:rPr>
        <w:t xml:space="preserve"> 190 </w:t>
      </w:r>
      <w:r w:rsidR="009C3302" w:rsidRPr="00DE2EDF">
        <w:rPr>
          <w:rFonts w:eastAsia="Times New Roman" w:cs="Times New Roman"/>
          <w:iCs/>
          <w:lang w:val="en-GB"/>
        </w:rPr>
        <w:t xml:space="preserve">of </w:t>
      </w:r>
      <w:r w:rsidR="00D23C7A" w:rsidRPr="00DE2EDF">
        <w:rPr>
          <w:rFonts w:eastAsia="Times New Roman" w:cs="Times New Roman"/>
          <w:iCs/>
          <w:lang w:val="en-GB"/>
        </w:rPr>
        <w:t>Const</w:t>
      </w:r>
      <w:r w:rsidR="009C3302" w:rsidRPr="00DE2EDF">
        <w:rPr>
          <w:rFonts w:eastAsia="Times New Roman" w:cs="Times New Roman"/>
          <w:iCs/>
          <w:lang w:val="en-GB"/>
        </w:rPr>
        <w:t>itution</w:t>
      </w:r>
      <w:r w:rsidR="00D23C7A" w:rsidRPr="00DE2EDF">
        <w:rPr>
          <w:rFonts w:eastAsia="Times New Roman" w:cs="Times New Roman"/>
          <w:iCs/>
          <w:lang w:val="en-GB"/>
        </w:rPr>
        <w:t xml:space="preserve"> 1999)</w:t>
      </w:r>
      <w:r w:rsidR="005E60C3" w:rsidRPr="00DE2EDF">
        <w:rPr>
          <w:rFonts w:eastAsia="Times New Roman" w:cs="Times New Roman"/>
          <w:iCs/>
          <w:lang w:val="en-GB"/>
        </w:rPr>
        <w:t>. R</w:t>
      </w:r>
      <w:r w:rsidR="00BD40B2" w:rsidRPr="00DE2EDF">
        <w:rPr>
          <w:rFonts w:eastAsia="Times New Roman" w:cs="Times New Roman"/>
          <w:iCs/>
          <w:lang w:val="en-GB"/>
        </w:rPr>
        <w:t>egarding regulations</w:t>
      </w:r>
      <w:r w:rsidR="00541611" w:rsidRPr="00DE2EDF">
        <w:rPr>
          <w:rFonts w:eastAsia="Times New Roman" w:cs="Times New Roman"/>
          <w:iCs/>
          <w:lang w:val="en-GB"/>
        </w:rPr>
        <w:t xml:space="preserve"> of the Federal government</w:t>
      </w:r>
      <w:r w:rsidR="00BD40B2" w:rsidRPr="00DE2EDF">
        <w:rPr>
          <w:rFonts w:eastAsia="Times New Roman" w:cs="Times New Roman"/>
          <w:iCs/>
          <w:lang w:val="en-GB"/>
        </w:rPr>
        <w:t>, the Federal Tribunal held</w:t>
      </w:r>
      <w:r w:rsidR="002A783E" w:rsidRPr="00DE2EDF">
        <w:rPr>
          <w:rFonts w:eastAsia="Times New Roman" w:cs="Times New Roman"/>
          <w:iCs/>
          <w:lang w:val="en-GB"/>
        </w:rPr>
        <w:t>,</w:t>
      </w:r>
      <w:r w:rsidR="005E60C3" w:rsidRPr="00DE2EDF">
        <w:rPr>
          <w:rFonts w:eastAsia="Times New Roman" w:cs="Times New Roman"/>
          <w:iCs/>
          <w:lang w:val="en-GB"/>
        </w:rPr>
        <w:t xml:space="preserve"> in 19</w:t>
      </w:r>
      <w:r w:rsidR="00541611" w:rsidRPr="00DE2EDF">
        <w:rPr>
          <w:rFonts w:eastAsia="Times New Roman" w:cs="Times New Roman"/>
          <w:iCs/>
          <w:lang w:val="en-GB"/>
        </w:rPr>
        <w:t>74</w:t>
      </w:r>
      <w:r w:rsidR="002A783E" w:rsidRPr="00DE2EDF">
        <w:rPr>
          <w:rFonts w:eastAsia="Times New Roman" w:cs="Times New Roman"/>
          <w:iCs/>
          <w:lang w:val="en-GB"/>
        </w:rPr>
        <w:t>,</w:t>
      </w:r>
      <w:r w:rsidR="00661579" w:rsidRPr="00DE2EDF">
        <w:rPr>
          <w:rStyle w:val="FootnoteReference"/>
          <w:rFonts w:eastAsia="Times New Roman" w:cs="Times New Roman"/>
          <w:iCs/>
          <w:lang w:val="en-GB"/>
        </w:rPr>
        <w:footnoteReference w:id="219"/>
      </w:r>
      <w:r w:rsidR="00541611" w:rsidRPr="00DE2EDF">
        <w:rPr>
          <w:rFonts w:eastAsia="Times New Roman" w:cs="Times New Roman"/>
          <w:iCs/>
          <w:lang w:val="en-GB"/>
        </w:rPr>
        <w:t xml:space="preserve"> </w:t>
      </w:r>
      <w:r w:rsidR="00BD40B2" w:rsidRPr="00DE2EDF">
        <w:rPr>
          <w:rFonts w:eastAsia="Times New Roman" w:cs="Times New Roman"/>
          <w:iCs/>
          <w:lang w:val="en-GB"/>
        </w:rPr>
        <w:t xml:space="preserve">that federal </w:t>
      </w:r>
      <w:r w:rsidR="00541611" w:rsidRPr="00DE2EDF">
        <w:rPr>
          <w:rFonts w:eastAsia="Times New Roman" w:cs="Times New Roman"/>
          <w:iCs/>
          <w:lang w:val="en-GB"/>
        </w:rPr>
        <w:t>civil servant</w:t>
      </w:r>
      <w:r w:rsidR="002A783E" w:rsidRPr="00DE2EDF">
        <w:rPr>
          <w:rFonts w:eastAsia="Times New Roman" w:cs="Times New Roman"/>
          <w:iCs/>
          <w:lang w:val="en-GB"/>
        </w:rPr>
        <w:t>s</w:t>
      </w:r>
      <w:r w:rsidR="00541611" w:rsidRPr="00DE2EDF">
        <w:rPr>
          <w:rFonts w:eastAsia="Times New Roman" w:cs="Times New Roman"/>
          <w:iCs/>
          <w:lang w:val="en-GB"/>
        </w:rPr>
        <w:t xml:space="preserve"> </w:t>
      </w:r>
      <w:r w:rsidR="00BD40B2" w:rsidRPr="00DE2EDF">
        <w:rPr>
          <w:rFonts w:eastAsia="Times New Roman" w:cs="Times New Roman"/>
          <w:iCs/>
          <w:lang w:val="en-GB"/>
        </w:rPr>
        <w:t>w</w:t>
      </w:r>
      <w:r w:rsidR="00541611" w:rsidRPr="00DE2EDF">
        <w:rPr>
          <w:rFonts w:eastAsia="Times New Roman" w:cs="Times New Roman"/>
          <w:iCs/>
          <w:lang w:val="en-GB"/>
        </w:rPr>
        <w:t>ere</w:t>
      </w:r>
      <w:r w:rsidR="00BD40B2" w:rsidRPr="00DE2EDF">
        <w:rPr>
          <w:rFonts w:eastAsia="Times New Roman" w:cs="Times New Roman"/>
          <w:iCs/>
          <w:lang w:val="en-GB"/>
        </w:rPr>
        <w:t xml:space="preserve"> bound</w:t>
      </w:r>
      <w:r w:rsidR="00200E9C" w:rsidRPr="00DE2EDF">
        <w:rPr>
          <w:rFonts w:eastAsia="Times New Roman" w:cs="Times New Roman"/>
          <w:iCs/>
          <w:lang w:val="en-GB"/>
        </w:rPr>
        <w:t xml:space="preserve"> by them, unless they were ‘manifestly illegal’</w:t>
      </w:r>
      <w:r w:rsidR="005E60C3" w:rsidRPr="00DE2EDF">
        <w:rPr>
          <w:rFonts w:eastAsia="Times New Roman" w:cs="Times New Roman"/>
          <w:iCs/>
          <w:lang w:val="en-GB"/>
        </w:rPr>
        <w:t xml:space="preserve"> (a </w:t>
      </w:r>
      <w:r w:rsidR="00D14900" w:rsidRPr="00DE2EDF">
        <w:rPr>
          <w:rFonts w:eastAsia="Times New Roman" w:cs="Times New Roman"/>
          <w:iCs/>
          <w:lang w:val="en-GB"/>
        </w:rPr>
        <w:t xml:space="preserve">conclusion </w:t>
      </w:r>
      <w:r w:rsidR="005E60C3" w:rsidRPr="00DE2EDF">
        <w:rPr>
          <w:rFonts w:eastAsia="Times New Roman" w:cs="Times New Roman"/>
          <w:iCs/>
          <w:lang w:val="en-GB"/>
        </w:rPr>
        <w:t>that</w:t>
      </w:r>
      <w:r w:rsidR="00124029" w:rsidRPr="00DE2EDF">
        <w:rPr>
          <w:rFonts w:eastAsia="Times New Roman" w:cs="Times New Roman"/>
          <w:iCs/>
          <w:lang w:val="en-GB"/>
        </w:rPr>
        <w:t>, today,</w:t>
      </w:r>
      <w:r w:rsidR="005E60C3" w:rsidRPr="00DE2EDF">
        <w:rPr>
          <w:rFonts w:eastAsia="Times New Roman" w:cs="Times New Roman"/>
          <w:iCs/>
          <w:lang w:val="en-GB"/>
        </w:rPr>
        <w:t xml:space="preserve"> some scholars</w:t>
      </w:r>
      <w:r w:rsidR="00D14900" w:rsidRPr="00DE2EDF">
        <w:rPr>
          <w:rFonts w:eastAsia="Times New Roman" w:cs="Times New Roman"/>
          <w:iCs/>
          <w:lang w:val="en-GB"/>
        </w:rPr>
        <w:t xml:space="preserve"> </w:t>
      </w:r>
      <w:r w:rsidR="002A783E" w:rsidRPr="00DE2EDF">
        <w:rPr>
          <w:rFonts w:eastAsia="Times New Roman" w:cs="Times New Roman"/>
          <w:iCs/>
          <w:lang w:val="en-GB"/>
        </w:rPr>
        <w:t xml:space="preserve">still </w:t>
      </w:r>
      <w:r w:rsidR="00D14900" w:rsidRPr="00DE2EDF">
        <w:rPr>
          <w:rFonts w:eastAsia="Times New Roman" w:cs="Times New Roman"/>
          <w:iCs/>
          <w:lang w:val="en-GB"/>
        </w:rPr>
        <w:t>uph</w:t>
      </w:r>
      <w:r w:rsidR="002A783E" w:rsidRPr="00DE2EDF">
        <w:rPr>
          <w:rFonts w:eastAsia="Times New Roman" w:cs="Times New Roman"/>
          <w:iCs/>
          <w:lang w:val="en-GB"/>
        </w:rPr>
        <w:t>o</w:t>
      </w:r>
      <w:r w:rsidR="00D14900" w:rsidRPr="00DE2EDF">
        <w:rPr>
          <w:rFonts w:eastAsia="Times New Roman" w:cs="Times New Roman"/>
          <w:iCs/>
          <w:lang w:val="en-GB"/>
        </w:rPr>
        <w:t>ld</w:t>
      </w:r>
      <w:r w:rsidR="00124029" w:rsidRPr="00DE2EDF">
        <w:rPr>
          <w:rFonts w:eastAsia="Times New Roman" w:cs="Times New Roman"/>
          <w:iCs/>
          <w:lang w:val="en-GB"/>
        </w:rPr>
        <w:t xml:space="preserve"> on the ground of </w:t>
      </w:r>
      <w:r w:rsidR="00541611" w:rsidRPr="00DE2EDF">
        <w:rPr>
          <w:rFonts w:eastAsia="Times New Roman" w:cs="Times New Roman"/>
          <w:iCs/>
          <w:lang w:val="en-GB"/>
        </w:rPr>
        <w:t xml:space="preserve">the hierarchical subordination to government, </w:t>
      </w:r>
      <w:r w:rsidR="002A783E" w:rsidRPr="00DE2EDF">
        <w:rPr>
          <w:rFonts w:eastAsia="Times New Roman" w:cs="Times New Roman"/>
          <w:iCs/>
          <w:lang w:val="en-GB"/>
        </w:rPr>
        <w:t xml:space="preserve">while </w:t>
      </w:r>
      <w:r w:rsidR="00D14900" w:rsidRPr="00DE2EDF">
        <w:rPr>
          <w:rFonts w:eastAsia="Times New Roman" w:cs="Times New Roman"/>
          <w:iCs/>
          <w:lang w:val="en-GB"/>
        </w:rPr>
        <w:t>others, in view of</w:t>
      </w:r>
      <w:r w:rsidR="005E60C3" w:rsidRPr="00DE2EDF">
        <w:rPr>
          <w:rFonts w:eastAsia="Times New Roman" w:cs="Times New Roman"/>
          <w:iCs/>
          <w:lang w:val="en-GB"/>
        </w:rPr>
        <w:t xml:space="preserve"> art</w:t>
      </w:r>
      <w:r w:rsidR="009C3302" w:rsidRPr="00DE2EDF">
        <w:rPr>
          <w:rFonts w:eastAsia="Times New Roman" w:cs="Times New Roman"/>
          <w:iCs/>
          <w:lang w:val="en-GB"/>
        </w:rPr>
        <w:t>icle</w:t>
      </w:r>
      <w:r w:rsidR="005E60C3" w:rsidRPr="00DE2EDF">
        <w:rPr>
          <w:rFonts w:eastAsia="Times New Roman" w:cs="Times New Roman"/>
          <w:iCs/>
          <w:lang w:val="en-GB"/>
        </w:rPr>
        <w:t xml:space="preserve"> 5, consider </w:t>
      </w:r>
      <w:r w:rsidR="002A783E" w:rsidRPr="00DE2EDF">
        <w:rPr>
          <w:rFonts w:eastAsia="Times New Roman" w:cs="Times New Roman"/>
          <w:iCs/>
          <w:lang w:val="en-GB"/>
        </w:rPr>
        <w:t xml:space="preserve">it </w:t>
      </w:r>
      <w:r w:rsidR="005E60C3" w:rsidRPr="00DE2EDF">
        <w:rPr>
          <w:rFonts w:eastAsia="Times New Roman" w:cs="Times New Roman"/>
          <w:iCs/>
          <w:lang w:val="en-GB"/>
        </w:rPr>
        <w:t>too restrictive)</w:t>
      </w:r>
      <w:r w:rsidR="00200E9C" w:rsidRPr="00DE2EDF">
        <w:rPr>
          <w:rFonts w:eastAsia="Times New Roman" w:cs="Times New Roman"/>
          <w:iCs/>
          <w:lang w:val="en-GB"/>
        </w:rPr>
        <w:t xml:space="preserve">. </w:t>
      </w:r>
      <w:r w:rsidR="00E452A3" w:rsidRPr="00DE2EDF">
        <w:rPr>
          <w:rFonts w:eastAsia="Times New Roman" w:cs="Times New Roman"/>
          <w:iCs/>
          <w:lang w:val="en-GB"/>
        </w:rPr>
        <w:t>M</w:t>
      </w:r>
      <w:r w:rsidR="003A6512" w:rsidRPr="00DE2EDF">
        <w:rPr>
          <w:rFonts w:eastAsia="Times New Roman" w:cs="Times New Roman"/>
          <w:iCs/>
          <w:lang w:val="en-GB"/>
        </w:rPr>
        <w:t>ost firmly established</w:t>
      </w:r>
      <w:r w:rsidR="00277082" w:rsidRPr="00DE2EDF">
        <w:rPr>
          <w:rFonts w:eastAsia="Times New Roman" w:cs="Times New Roman"/>
          <w:iCs/>
          <w:lang w:val="en-GB"/>
        </w:rPr>
        <w:t>, at least de jure,</w:t>
      </w:r>
      <w:r w:rsidR="003A6512" w:rsidRPr="00DE2EDF">
        <w:rPr>
          <w:rFonts w:eastAsia="Times New Roman" w:cs="Times New Roman"/>
          <w:iCs/>
          <w:lang w:val="en-GB"/>
        </w:rPr>
        <w:t xml:space="preserve"> is t</w:t>
      </w:r>
      <w:r w:rsidR="005E60C3" w:rsidRPr="00DE2EDF">
        <w:rPr>
          <w:rFonts w:eastAsia="Times New Roman" w:cs="Times New Roman"/>
          <w:iCs/>
          <w:lang w:val="en-GB"/>
        </w:rPr>
        <w:t>he</w:t>
      </w:r>
      <w:r w:rsidR="00200E9C" w:rsidRPr="00DE2EDF">
        <w:rPr>
          <w:rFonts w:eastAsia="Times New Roman" w:cs="Times New Roman"/>
          <w:iCs/>
          <w:lang w:val="en-GB"/>
        </w:rPr>
        <w:t xml:space="preserve"> concrete review by administrative bodies </w:t>
      </w:r>
      <w:r w:rsidR="00124029" w:rsidRPr="00DE2EDF">
        <w:rPr>
          <w:rFonts w:eastAsia="Times New Roman" w:cs="Times New Roman"/>
          <w:iCs/>
          <w:lang w:val="en-GB"/>
        </w:rPr>
        <w:t xml:space="preserve">on the level of the </w:t>
      </w:r>
      <w:r w:rsidR="002A783E" w:rsidRPr="00DE2EDF">
        <w:rPr>
          <w:rFonts w:eastAsia="Times New Roman" w:cs="Times New Roman"/>
          <w:iCs/>
          <w:lang w:val="en-GB"/>
        </w:rPr>
        <w:t>c</w:t>
      </w:r>
      <w:r w:rsidR="00124029" w:rsidRPr="00DE2EDF">
        <w:rPr>
          <w:rFonts w:eastAsia="Times New Roman" w:cs="Times New Roman"/>
          <w:iCs/>
          <w:lang w:val="en-GB"/>
        </w:rPr>
        <w:t>antons.</w:t>
      </w:r>
      <w:r w:rsidR="00200E9C" w:rsidRPr="00DE2EDF">
        <w:rPr>
          <w:rFonts w:eastAsia="Times New Roman" w:cs="Times New Roman"/>
          <w:iCs/>
          <w:lang w:val="en-GB"/>
        </w:rPr>
        <w:t xml:space="preserve"> </w:t>
      </w:r>
      <w:r w:rsidR="00661579" w:rsidRPr="00DE2EDF">
        <w:rPr>
          <w:rFonts w:eastAsia="Times New Roman" w:cs="Times New Roman"/>
          <w:iCs/>
          <w:lang w:val="en-GB"/>
        </w:rPr>
        <w:t xml:space="preserve">First, </w:t>
      </w:r>
      <w:r w:rsidR="00200E9C" w:rsidRPr="00DE2EDF">
        <w:rPr>
          <w:rFonts w:eastAsia="Times New Roman" w:cs="Times New Roman"/>
          <w:iCs/>
          <w:lang w:val="en-GB"/>
        </w:rPr>
        <w:t xml:space="preserve">according to the </w:t>
      </w:r>
      <w:r w:rsidR="006E0658" w:rsidRPr="00DE2EDF">
        <w:rPr>
          <w:rFonts w:eastAsia="Times New Roman" w:cs="Times New Roman"/>
          <w:iCs/>
          <w:lang w:val="en-GB"/>
        </w:rPr>
        <w:t>F</w:t>
      </w:r>
      <w:r w:rsidR="00200E9C" w:rsidRPr="00DE2EDF">
        <w:rPr>
          <w:rFonts w:eastAsia="Times New Roman" w:cs="Times New Roman"/>
          <w:iCs/>
          <w:lang w:val="en-GB"/>
        </w:rPr>
        <w:t xml:space="preserve">ederal Court, the </w:t>
      </w:r>
      <w:r w:rsidR="0027454C" w:rsidRPr="00DE2EDF">
        <w:rPr>
          <w:rFonts w:eastAsia="Times New Roman" w:cs="Times New Roman"/>
          <w:iCs/>
          <w:lang w:val="en-GB"/>
        </w:rPr>
        <w:t>‘</w:t>
      </w:r>
      <w:r w:rsidR="00200E9C" w:rsidRPr="00DE2EDF">
        <w:rPr>
          <w:rFonts w:eastAsia="Times New Roman" w:cs="Times New Roman"/>
          <w:iCs/>
          <w:lang w:val="en-GB"/>
        </w:rPr>
        <w:t>nature of the Federal state and the principle of supremacy of federal law</w:t>
      </w:r>
      <w:r w:rsidR="0027454C" w:rsidRPr="00DE2EDF">
        <w:rPr>
          <w:rFonts w:eastAsia="Times New Roman" w:cs="Times New Roman"/>
          <w:iCs/>
          <w:lang w:val="en-GB"/>
        </w:rPr>
        <w:t>’</w:t>
      </w:r>
      <w:r w:rsidR="00A57695" w:rsidRPr="00DE2EDF">
        <w:rPr>
          <w:rFonts w:eastAsia="Times New Roman" w:cs="Times New Roman"/>
          <w:iCs/>
          <w:lang w:val="en-GB"/>
        </w:rPr>
        <w:t xml:space="preserve"> (now </w:t>
      </w:r>
      <w:r w:rsidR="00F6624A" w:rsidRPr="00DE2EDF">
        <w:rPr>
          <w:rFonts w:eastAsia="Times New Roman" w:cs="Times New Roman"/>
          <w:iCs/>
          <w:lang w:val="en-GB"/>
        </w:rPr>
        <w:t>a</w:t>
      </w:r>
      <w:r w:rsidR="00F26E46" w:rsidRPr="00DE2EDF">
        <w:rPr>
          <w:rFonts w:eastAsia="Times New Roman" w:cs="Times New Roman"/>
          <w:iCs/>
          <w:lang w:val="en-GB"/>
        </w:rPr>
        <w:t>rt</w:t>
      </w:r>
      <w:r w:rsidR="00277082" w:rsidRPr="00DE2EDF">
        <w:rPr>
          <w:rFonts w:eastAsia="Times New Roman" w:cs="Times New Roman"/>
          <w:iCs/>
          <w:lang w:val="en-GB"/>
        </w:rPr>
        <w:t>icle</w:t>
      </w:r>
      <w:r w:rsidR="00F26E46" w:rsidRPr="00DE2EDF">
        <w:rPr>
          <w:rFonts w:eastAsia="Times New Roman" w:cs="Times New Roman"/>
          <w:iCs/>
          <w:lang w:val="en-GB"/>
        </w:rPr>
        <w:t xml:space="preserve"> 49 of the 1999 Constitution</w:t>
      </w:r>
      <w:r w:rsidR="00A57695" w:rsidRPr="00DE2EDF">
        <w:rPr>
          <w:rFonts w:eastAsia="Times New Roman" w:cs="Times New Roman"/>
          <w:iCs/>
          <w:lang w:val="en-GB"/>
        </w:rPr>
        <w:t>)</w:t>
      </w:r>
      <w:r w:rsidR="00200E9C" w:rsidRPr="00DE2EDF">
        <w:rPr>
          <w:rFonts w:eastAsia="Times New Roman" w:cs="Times New Roman"/>
          <w:iCs/>
          <w:lang w:val="en-GB"/>
        </w:rPr>
        <w:t xml:space="preserve"> </w:t>
      </w:r>
      <w:r w:rsidR="0027454C" w:rsidRPr="00DE2EDF">
        <w:rPr>
          <w:rFonts w:eastAsia="Times New Roman" w:cs="Times New Roman"/>
          <w:iCs/>
          <w:lang w:val="en-GB"/>
        </w:rPr>
        <w:t xml:space="preserve">empower, and oblige, </w:t>
      </w:r>
      <w:r w:rsidR="00200E9C" w:rsidRPr="00DE2EDF">
        <w:rPr>
          <w:rFonts w:eastAsia="Times New Roman" w:cs="Times New Roman"/>
          <w:iCs/>
          <w:lang w:val="en-GB"/>
        </w:rPr>
        <w:t xml:space="preserve">not only </w:t>
      </w:r>
      <w:r w:rsidR="006E0658" w:rsidRPr="00DE2EDF">
        <w:rPr>
          <w:rFonts w:eastAsia="Times New Roman" w:cs="Times New Roman"/>
          <w:iCs/>
          <w:lang w:val="en-GB"/>
        </w:rPr>
        <w:t xml:space="preserve">the cantonal </w:t>
      </w:r>
      <w:r w:rsidR="00200E9C" w:rsidRPr="00DE2EDF">
        <w:rPr>
          <w:rFonts w:eastAsia="Times New Roman" w:cs="Times New Roman"/>
          <w:iCs/>
          <w:lang w:val="en-GB"/>
        </w:rPr>
        <w:t>courts</w:t>
      </w:r>
      <w:r w:rsidR="002A783E" w:rsidRPr="00DE2EDF">
        <w:rPr>
          <w:rFonts w:eastAsia="Times New Roman" w:cs="Times New Roman"/>
          <w:iCs/>
          <w:lang w:val="en-GB"/>
        </w:rPr>
        <w:t>,</w:t>
      </w:r>
      <w:r w:rsidR="00200E9C" w:rsidRPr="00DE2EDF">
        <w:rPr>
          <w:rFonts w:eastAsia="Times New Roman" w:cs="Times New Roman"/>
          <w:iCs/>
          <w:lang w:val="en-GB"/>
        </w:rPr>
        <w:t xml:space="preserve"> but also </w:t>
      </w:r>
      <w:r w:rsidR="00661579" w:rsidRPr="00DE2EDF">
        <w:rPr>
          <w:rFonts w:eastAsia="Times New Roman" w:cs="Times New Roman"/>
          <w:iCs/>
          <w:lang w:val="en-GB"/>
        </w:rPr>
        <w:t>the</w:t>
      </w:r>
      <w:r w:rsidR="00625D95" w:rsidRPr="00DE2EDF">
        <w:rPr>
          <w:rFonts w:eastAsia="Times New Roman" w:cs="Times New Roman"/>
          <w:iCs/>
          <w:lang w:val="en-GB"/>
        </w:rPr>
        <w:t xml:space="preserve"> cantonal ‘</w:t>
      </w:r>
      <w:r w:rsidR="006E0658" w:rsidRPr="00DE2EDF">
        <w:rPr>
          <w:rFonts w:eastAsia="Times New Roman" w:cs="Times New Roman"/>
          <w:iCs/>
          <w:lang w:val="en-GB"/>
        </w:rPr>
        <w:t>administrative authorities</w:t>
      </w:r>
      <w:r w:rsidR="00625D95" w:rsidRPr="00DE2EDF">
        <w:rPr>
          <w:rFonts w:eastAsia="Times New Roman" w:cs="Times New Roman"/>
          <w:iCs/>
          <w:lang w:val="en-GB"/>
        </w:rPr>
        <w:t>’ (meaning at least the government)</w:t>
      </w:r>
      <w:r w:rsidR="006E0658" w:rsidRPr="00DE2EDF">
        <w:rPr>
          <w:rFonts w:eastAsia="Times New Roman" w:cs="Times New Roman"/>
          <w:iCs/>
          <w:lang w:val="en-GB"/>
        </w:rPr>
        <w:t xml:space="preserve"> to </w:t>
      </w:r>
      <w:r w:rsidR="0060008D" w:rsidRPr="00DE2EDF">
        <w:rPr>
          <w:rFonts w:eastAsia="Times New Roman" w:cs="Times New Roman"/>
          <w:iCs/>
          <w:lang w:val="en-GB"/>
        </w:rPr>
        <w:t>disregard</w:t>
      </w:r>
      <w:r w:rsidR="00124029" w:rsidRPr="00DE2EDF">
        <w:rPr>
          <w:rFonts w:eastAsia="Times New Roman" w:cs="Times New Roman"/>
          <w:iCs/>
          <w:lang w:val="en-GB"/>
        </w:rPr>
        <w:t>,</w:t>
      </w:r>
      <w:r w:rsidR="00A333A3" w:rsidRPr="00DE2EDF">
        <w:rPr>
          <w:rFonts w:eastAsia="Times New Roman" w:cs="Times New Roman"/>
          <w:iCs/>
          <w:lang w:val="en-GB"/>
        </w:rPr>
        <w:t xml:space="preserve"> in a particular case,</w:t>
      </w:r>
      <w:r w:rsidR="006E0658" w:rsidRPr="00DE2EDF">
        <w:rPr>
          <w:rFonts w:eastAsia="Times New Roman" w:cs="Times New Roman"/>
          <w:iCs/>
          <w:lang w:val="en-GB"/>
        </w:rPr>
        <w:t xml:space="preserve"> </w:t>
      </w:r>
      <w:r w:rsidR="0060008D" w:rsidRPr="00DE2EDF">
        <w:rPr>
          <w:rFonts w:eastAsia="Times New Roman" w:cs="Times New Roman"/>
          <w:iCs/>
          <w:lang w:val="en-GB"/>
        </w:rPr>
        <w:t xml:space="preserve">any </w:t>
      </w:r>
      <w:r w:rsidR="00F6624A" w:rsidRPr="00DE2EDF">
        <w:rPr>
          <w:rFonts w:eastAsia="Times New Roman" w:cs="Times New Roman"/>
          <w:iCs/>
          <w:lang w:val="en-GB"/>
        </w:rPr>
        <w:t>c</w:t>
      </w:r>
      <w:r w:rsidR="00661579" w:rsidRPr="00DE2EDF">
        <w:rPr>
          <w:rFonts w:eastAsia="Times New Roman" w:cs="Times New Roman"/>
          <w:iCs/>
          <w:lang w:val="en-GB"/>
        </w:rPr>
        <w:t>antonal</w:t>
      </w:r>
      <w:r w:rsidR="006E0658" w:rsidRPr="00DE2EDF">
        <w:rPr>
          <w:rFonts w:eastAsia="Times New Roman" w:cs="Times New Roman"/>
          <w:iCs/>
          <w:lang w:val="en-GB"/>
        </w:rPr>
        <w:t xml:space="preserve"> statute or regulation </w:t>
      </w:r>
      <w:r w:rsidR="0060008D" w:rsidRPr="00DE2EDF">
        <w:rPr>
          <w:rFonts w:eastAsia="Times New Roman" w:cs="Times New Roman"/>
          <w:iCs/>
          <w:lang w:val="en-GB"/>
        </w:rPr>
        <w:t xml:space="preserve">that </w:t>
      </w:r>
      <w:r w:rsidR="00F6624A" w:rsidRPr="00DE2EDF">
        <w:rPr>
          <w:rFonts w:eastAsia="Times New Roman" w:cs="Times New Roman"/>
          <w:iCs/>
          <w:lang w:val="en-GB"/>
        </w:rPr>
        <w:t>breaches</w:t>
      </w:r>
      <w:r w:rsidR="0060008D" w:rsidRPr="00DE2EDF">
        <w:rPr>
          <w:rFonts w:eastAsia="Times New Roman" w:cs="Times New Roman"/>
          <w:iCs/>
          <w:lang w:val="en-GB"/>
        </w:rPr>
        <w:t xml:space="preserve"> </w:t>
      </w:r>
      <w:r w:rsidR="006E0658" w:rsidRPr="00DE2EDF">
        <w:rPr>
          <w:rFonts w:eastAsia="Times New Roman" w:cs="Times New Roman"/>
          <w:iCs/>
          <w:lang w:val="en-GB"/>
        </w:rPr>
        <w:t>federal law, especially the Federal Constitution</w:t>
      </w:r>
      <w:r w:rsidR="002A783E" w:rsidRPr="00DE2EDF">
        <w:rPr>
          <w:rFonts w:eastAsia="Times New Roman" w:cs="Times New Roman"/>
          <w:iCs/>
          <w:lang w:val="en-GB"/>
        </w:rPr>
        <w:t>.</w:t>
      </w:r>
      <w:r w:rsidR="00661579" w:rsidRPr="00DE2EDF">
        <w:rPr>
          <w:rStyle w:val="FootnoteReference"/>
          <w:rFonts w:eastAsia="Times New Roman" w:cs="Times New Roman"/>
          <w:iCs/>
          <w:lang w:val="en-GB"/>
        </w:rPr>
        <w:footnoteReference w:id="220"/>
      </w:r>
      <w:r w:rsidR="006E0658" w:rsidRPr="00DE2EDF">
        <w:rPr>
          <w:rFonts w:eastAsia="Times New Roman" w:cs="Times New Roman"/>
          <w:iCs/>
          <w:lang w:val="en-GB"/>
        </w:rPr>
        <w:t xml:space="preserve"> Second, in </w:t>
      </w:r>
      <w:r w:rsidR="00DD40F4" w:rsidRPr="00DE2EDF">
        <w:rPr>
          <w:rFonts w:eastAsia="Times New Roman" w:cs="Times New Roman"/>
          <w:iCs/>
          <w:lang w:val="en-GB"/>
        </w:rPr>
        <w:t xml:space="preserve">some </w:t>
      </w:r>
      <w:r w:rsidR="008C094E" w:rsidRPr="00DE2EDF">
        <w:rPr>
          <w:rFonts w:eastAsia="Times New Roman" w:cs="Times New Roman"/>
          <w:iCs/>
          <w:lang w:val="en-GB"/>
        </w:rPr>
        <w:t xml:space="preserve">of </w:t>
      </w:r>
      <w:r w:rsidR="00DD40F4" w:rsidRPr="00DE2EDF">
        <w:rPr>
          <w:rFonts w:eastAsia="Times New Roman" w:cs="Times New Roman"/>
          <w:iCs/>
          <w:lang w:val="en-GB"/>
        </w:rPr>
        <w:t xml:space="preserve">the 26 </w:t>
      </w:r>
      <w:r w:rsidR="002A783E" w:rsidRPr="00DE2EDF">
        <w:rPr>
          <w:rFonts w:eastAsia="Times New Roman" w:cs="Times New Roman"/>
          <w:iCs/>
          <w:lang w:val="en-GB"/>
        </w:rPr>
        <w:t>c</w:t>
      </w:r>
      <w:r w:rsidR="006E0658" w:rsidRPr="00DE2EDF">
        <w:rPr>
          <w:rFonts w:eastAsia="Times New Roman" w:cs="Times New Roman"/>
          <w:iCs/>
          <w:lang w:val="en-GB"/>
        </w:rPr>
        <w:t xml:space="preserve">antons, </w:t>
      </w:r>
      <w:r w:rsidR="00DD40F4" w:rsidRPr="00DE2EDF">
        <w:rPr>
          <w:rFonts w:eastAsia="Times New Roman" w:cs="Times New Roman"/>
          <w:iCs/>
          <w:lang w:val="en-GB"/>
        </w:rPr>
        <w:t>the Cantonal Constitution explicitly impose</w:t>
      </w:r>
      <w:r w:rsidR="004E45FB" w:rsidRPr="00DE2EDF">
        <w:rPr>
          <w:rFonts w:eastAsia="Times New Roman" w:cs="Times New Roman"/>
          <w:iCs/>
          <w:lang w:val="en-GB"/>
        </w:rPr>
        <w:t>s</w:t>
      </w:r>
      <w:r w:rsidR="00DD40F4" w:rsidRPr="00DE2EDF">
        <w:rPr>
          <w:rFonts w:eastAsia="Times New Roman" w:cs="Times New Roman"/>
          <w:iCs/>
          <w:lang w:val="en-GB"/>
        </w:rPr>
        <w:t xml:space="preserve"> on </w:t>
      </w:r>
      <w:r w:rsidR="00AB3289" w:rsidRPr="00DE2EDF">
        <w:rPr>
          <w:rFonts w:eastAsia="Times New Roman" w:cs="Times New Roman"/>
          <w:iCs/>
          <w:lang w:val="en-GB"/>
        </w:rPr>
        <w:t xml:space="preserve">certain </w:t>
      </w:r>
      <w:r w:rsidR="006E0658" w:rsidRPr="00DE2EDF">
        <w:rPr>
          <w:rFonts w:eastAsia="Times New Roman" w:cs="Times New Roman"/>
          <w:iCs/>
          <w:lang w:val="en-GB"/>
        </w:rPr>
        <w:t>administrative authorities</w:t>
      </w:r>
      <w:r w:rsidR="00124029" w:rsidRPr="00DE2EDF">
        <w:rPr>
          <w:rFonts w:eastAsia="Times New Roman" w:cs="Times New Roman"/>
          <w:iCs/>
          <w:lang w:val="en-GB"/>
        </w:rPr>
        <w:t>, when applying a general norm in a particular case,</w:t>
      </w:r>
      <w:r w:rsidR="00DD40F4" w:rsidRPr="00DE2EDF">
        <w:rPr>
          <w:rFonts w:eastAsia="Times New Roman" w:cs="Times New Roman"/>
          <w:iCs/>
          <w:lang w:val="en-GB"/>
        </w:rPr>
        <w:t xml:space="preserve"> </w:t>
      </w:r>
      <w:r w:rsidR="002A783E" w:rsidRPr="00DE2EDF">
        <w:rPr>
          <w:rFonts w:eastAsia="Times New Roman" w:cs="Times New Roman"/>
          <w:iCs/>
          <w:lang w:val="en-GB"/>
        </w:rPr>
        <w:t>a</w:t>
      </w:r>
      <w:r w:rsidR="00DD40F4" w:rsidRPr="00DE2EDF">
        <w:rPr>
          <w:rFonts w:eastAsia="Times New Roman" w:cs="Times New Roman"/>
          <w:iCs/>
          <w:lang w:val="en-GB"/>
        </w:rPr>
        <w:t xml:space="preserve"> duty</w:t>
      </w:r>
      <w:r w:rsidR="0027454C" w:rsidRPr="00DE2EDF">
        <w:rPr>
          <w:rFonts w:eastAsia="Times New Roman" w:cs="Times New Roman"/>
          <w:iCs/>
          <w:lang w:val="en-GB"/>
        </w:rPr>
        <w:t xml:space="preserve"> to ignore a</w:t>
      </w:r>
      <w:r w:rsidR="002D6068" w:rsidRPr="00DE2EDF">
        <w:rPr>
          <w:rFonts w:eastAsia="Times New Roman" w:cs="Times New Roman"/>
          <w:iCs/>
          <w:lang w:val="en-GB"/>
        </w:rPr>
        <w:t>n</w:t>
      </w:r>
      <w:r w:rsidR="00124029" w:rsidRPr="00DE2EDF">
        <w:rPr>
          <w:rFonts w:eastAsia="Times New Roman" w:cs="Times New Roman"/>
          <w:iCs/>
          <w:lang w:val="en-GB"/>
        </w:rPr>
        <w:t>y</w:t>
      </w:r>
      <w:r w:rsidR="002D6068" w:rsidRPr="00DE2EDF">
        <w:rPr>
          <w:rFonts w:eastAsia="Times New Roman" w:cs="Times New Roman"/>
          <w:iCs/>
          <w:lang w:val="en-GB"/>
        </w:rPr>
        <w:t xml:space="preserve"> </w:t>
      </w:r>
      <w:r w:rsidR="0027454C" w:rsidRPr="00DE2EDF">
        <w:rPr>
          <w:rFonts w:eastAsia="Times New Roman" w:cs="Times New Roman"/>
          <w:iCs/>
          <w:lang w:val="en-GB"/>
        </w:rPr>
        <w:t>cantonal statute or regulation</w:t>
      </w:r>
      <w:r w:rsidR="002A783E" w:rsidRPr="00DE2EDF">
        <w:rPr>
          <w:rFonts w:eastAsia="Times New Roman" w:cs="Times New Roman"/>
          <w:iCs/>
          <w:lang w:val="en-GB"/>
        </w:rPr>
        <w:t xml:space="preserve"> that is</w:t>
      </w:r>
      <w:r w:rsidR="00124029" w:rsidRPr="00DE2EDF">
        <w:rPr>
          <w:rFonts w:eastAsia="Times New Roman" w:cs="Times New Roman"/>
          <w:iCs/>
          <w:lang w:val="en-GB"/>
        </w:rPr>
        <w:t xml:space="preserve"> inconsistent with a higher (</w:t>
      </w:r>
      <w:r w:rsidR="00F6624A" w:rsidRPr="00DE2EDF">
        <w:rPr>
          <w:rFonts w:eastAsia="Times New Roman" w:cs="Times New Roman"/>
          <w:iCs/>
          <w:lang w:val="en-GB"/>
        </w:rPr>
        <w:t>c</w:t>
      </w:r>
      <w:r w:rsidR="00124029" w:rsidRPr="00DE2EDF">
        <w:rPr>
          <w:rFonts w:eastAsia="Times New Roman" w:cs="Times New Roman"/>
          <w:iCs/>
          <w:lang w:val="en-GB"/>
        </w:rPr>
        <w:t xml:space="preserve">antonal, </w:t>
      </w:r>
      <w:r w:rsidR="00F6624A" w:rsidRPr="00DE2EDF">
        <w:rPr>
          <w:rFonts w:eastAsia="Times New Roman" w:cs="Times New Roman"/>
          <w:iCs/>
          <w:lang w:val="en-GB"/>
        </w:rPr>
        <w:t>f</w:t>
      </w:r>
      <w:r w:rsidR="00124029" w:rsidRPr="00DE2EDF">
        <w:rPr>
          <w:rFonts w:eastAsia="Times New Roman" w:cs="Times New Roman"/>
          <w:iCs/>
          <w:lang w:val="en-GB"/>
        </w:rPr>
        <w:t>ederal</w:t>
      </w:r>
      <w:r w:rsidR="002A783E" w:rsidRPr="00DE2EDF">
        <w:rPr>
          <w:rFonts w:eastAsia="Times New Roman" w:cs="Times New Roman"/>
          <w:iCs/>
          <w:lang w:val="en-GB"/>
        </w:rPr>
        <w:t>,</w:t>
      </w:r>
      <w:r w:rsidR="00124029" w:rsidRPr="00DE2EDF">
        <w:rPr>
          <w:rFonts w:eastAsia="Times New Roman" w:cs="Times New Roman"/>
          <w:iCs/>
          <w:lang w:val="en-GB"/>
        </w:rPr>
        <w:t xml:space="preserve"> or </w:t>
      </w:r>
      <w:r w:rsidR="00F6624A" w:rsidRPr="00DE2EDF">
        <w:rPr>
          <w:rFonts w:eastAsia="Times New Roman" w:cs="Times New Roman"/>
          <w:iCs/>
          <w:lang w:val="en-GB"/>
        </w:rPr>
        <w:t>i</w:t>
      </w:r>
      <w:r w:rsidR="00124029" w:rsidRPr="00DE2EDF">
        <w:rPr>
          <w:rFonts w:eastAsia="Times New Roman" w:cs="Times New Roman"/>
          <w:iCs/>
          <w:lang w:val="en-GB"/>
        </w:rPr>
        <w:t>nternational) norm.</w:t>
      </w:r>
      <w:r w:rsidR="0050779B" w:rsidRPr="00DE2EDF">
        <w:rPr>
          <w:rStyle w:val="FootnoteReference"/>
          <w:rFonts w:eastAsia="Times New Roman" w:cs="Times New Roman"/>
          <w:iCs/>
          <w:lang w:val="en-GB"/>
        </w:rPr>
        <w:footnoteReference w:id="221"/>
      </w:r>
      <w:r w:rsidR="00200E9C" w:rsidRPr="00DE2EDF">
        <w:rPr>
          <w:rFonts w:eastAsia="Times New Roman" w:cs="Times New Roman"/>
          <w:iCs/>
          <w:lang w:val="en-GB"/>
        </w:rPr>
        <w:t xml:space="preserve"> </w:t>
      </w:r>
      <w:r w:rsidR="00124029" w:rsidRPr="00DE2EDF">
        <w:rPr>
          <w:rFonts w:eastAsia="Times New Roman" w:cs="Times New Roman"/>
          <w:iCs/>
          <w:lang w:val="en-GB"/>
        </w:rPr>
        <w:t>Thus</w:t>
      </w:r>
      <w:r w:rsidR="002A783E" w:rsidRPr="00DE2EDF">
        <w:rPr>
          <w:rFonts w:eastAsia="Times New Roman" w:cs="Times New Roman"/>
          <w:iCs/>
          <w:lang w:val="en-GB"/>
        </w:rPr>
        <w:t>,</w:t>
      </w:r>
      <w:r w:rsidR="00124029" w:rsidRPr="00DE2EDF">
        <w:rPr>
          <w:rFonts w:eastAsia="Times New Roman" w:cs="Times New Roman"/>
          <w:iCs/>
          <w:lang w:val="en-GB"/>
        </w:rPr>
        <w:t xml:space="preserve"> the classic understanding of the separation of power is being redefined.</w:t>
      </w:r>
    </w:p>
    <w:p w14:paraId="795A4EA5" w14:textId="77777777" w:rsidR="000F4C26" w:rsidRPr="00DE2EDF" w:rsidRDefault="000F4C26" w:rsidP="00DE2EDF">
      <w:pPr>
        <w:spacing w:after="0"/>
        <w:jc w:val="both"/>
        <w:rPr>
          <w:rFonts w:eastAsia="Times New Roman" w:cs="Times New Roman"/>
          <w:iCs/>
          <w:lang w:val="en-GB"/>
        </w:rPr>
      </w:pPr>
    </w:p>
    <w:p w14:paraId="18880D86" w14:textId="77777777" w:rsidR="009F2549" w:rsidRPr="00DE2EDF" w:rsidRDefault="00EE3B47" w:rsidP="00DE2EDF">
      <w:pPr>
        <w:spacing w:after="0"/>
        <w:jc w:val="both"/>
        <w:rPr>
          <w:rFonts w:cs="Times New Roman"/>
          <w:lang w:val="en-GB"/>
        </w:rPr>
      </w:pPr>
      <w:r w:rsidRPr="00DE2EDF">
        <w:rPr>
          <w:rFonts w:eastAsia="Times New Roman" w:cs="Times New Roman"/>
          <w:iCs/>
          <w:lang w:val="en-GB"/>
        </w:rPr>
        <w:t>Another legal system</w:t>
      </w:r>
      <w:r w:rsidR="003A6512" w:rsidRPr="00DE2EDF">
        <w:rPr>
          <w:rFonts w:eastAsia="Times New Roman" w:cs="Times New Roman"/>
          <w:iCs/>
          <w:lang w:val="en-GB"/>
        </w:rPr>
        <w:t>,</w:t>
      </w:r>
      <w:r w:rsidRPr="00DE2EDF">
        <w:rPr>
          <w:rFonts w:eastAsia="Times New Roman" w:cs="Times New Roman"/>
          <w:iCs/>
          <w:lang w:val="en-GB"/>
        </w:rPr>
        <w:t xml:space="preserve"> whose Constitution </w:t>
      </w:r>
      <w:r w:rsidR="00E678E1" w:rsidRPr="00DE2EDF">
        <w:rPr>
          <w:rFonts w:eastAsia="Times New Roman" w:cs="Times New Roman"/>
          <w:iCs/>
          <w:lang w:val="en-GB"/>
        </w:rPr>
        <w:t>allow</w:t>
      </w:r>
      <w:r w:rsidR="008B5BB3" w:rsidRPr="00DE2EDF">
        <w:rPr>
          <w:rFonts w:eastAsia="Times New Roman" w:cs="Times New Roman"/>
          <w:iCs/>
          <w:lang w:val="en-GB"/>
        </w:rPr>
        <w:t>s</w:t>
      </w:r>
      <w:r w:rsidR="00E678E1" w:rsidRPr="00DE2EDF">
        <w:rPr>
          <w:rFonts w:eastAsia="Times New Roman" w:cs="Times New Roman"/>
          <w:iCs/>
          <w:lang w:val="en-GB"/>
        </w:rPr>
        <w:t xml:space="preserve">, albeit under </w:t>
      </w:r>
      <w:r w:rsidR="00783A6E" w:rsidRPr="00DE2EDF">
        <w:rPr>
          <w:rFonts w:eastAsia="Times New Roman" w:cs="Times New Roman"/>
          <w:iCs/>
          <w:lang w:val="en-GB"/>
        </w:rPr>
        <w:t>ambivalent</w:t>
      </w:r>
      <w:r w:rsidR="00E678E1" w:rsidRPr="00DE2EDF">
        <w:rPr>
          <w:rFonts w:eastAsia="Times New Roman" w:cs="Times New Roman"/>
          <w:iCs/>
          <w:lang w:val="en-GB"/>
        </w:rPr>
        <w:t xml:space="preserve"> conditions, such a review </w:t>
      </w:r>
      <w:r w:rsidRPr="00DE2EDF">
        <w:rPr>
          <w:rFonts w:eastAsia="Times New Roman" w:cs="Times New Roman"/>
          <w:iCs/>
          <w:lang w:val="en-GB"/>
        </w:rPr>
        <w:t xml:space="preserve">is </w:t>
      </w:r>
      <w:r w:rsidR="007C06F4" w:rsidRPr="00DE2EDF">
        <w:rPr>
          <w:rFonts w:eastAsia="Times New Roman" w:cs="Times New Roman"/>
          <w:iCs/>
          <w:lang w:val="en-GB"/>
        </w:rPr>
        <w:t>Sweden</w:t>
      </w:r>
      <w:r w:rsidR="008B1411" w:rsidRPr="00DE2EDF">
        <w:rPr>
          <w:rFonts w:eastAsia="Times New Roman" w:cs="Times New Roman"/>
          <w:iCs/>
          <w:lang w:val="en-GB"/>
        </w:rPr>
        <w:t xml:space="preserve">. According to </w:t>
      </w:r>
      <w:r w:rsidR="008B1411" w:rsidRPr="00DE2EDF">
        <w:rPr>
          <w:rFonts w:cs="Times New Roman"/>
          <w:lang w:val="en-GB"/>
        </w:rPr>
        <w:t xml:space="preserve">the </w:t>
      </w:r>
      <w:r w:rsidR="00783A6E" w:rsidRPr="00DE2EDF">
        <w:rPr>
          <w:rFonts w:eastAsia="Times New Roman" w:cs="Times New Roman"/>
          <w:iCs/>
          <w:lang w:val="en-GB"/>
        </w:rPr>
        <w:t>Instrument of Government of 1974</w:t>
      </w:r>
      <w:r w:rsidR="00A908F6" w:rsidRPr="00DE2EDF">
        <w:rPr>
          <w:rFonts w:eastAsia="Times New Roman" w:cs="Times New Roman"/>
          <w:iCs/>
          <w:lang w:val="en-GB"/>
        </w:rPr>
        <w:t xml:space="preserve"> (currently: </w:t>
      </w:r>
      <w:r w:rsidR="009C3302" w:rsidRPr="00DE2EDF">
        <w:rPr>
          <w:rFonts w:eastAsia="Times New Roman" w:cs="Times New Roman"/>
          <w:iCs/>
          <w:lang w:val="en-GB"/>
        </w:rPr>
        <w:t>c</w:t>
      </w:r>
      <w:r w:rsidR="0060008D" w:rsidRPr="00DE2EDF">
        <w:rPr>
          <w:rFonts w:cs="Times New Roman"/>
          <w:lang w:val="en-GB"/>
        </w:rPr>
        <w:t>hap</w:t>
      </w:r>
      <w:r w:rsidR="009C3302" w:rsidRPr="00DE2EDF">
        <w:rPr>
          <w:rFonts w:cs="Times New Roman"/>
          <w:lang w:val="en-GB"/>
        </w:rPr>
        <w:t>ter 12</w:t>
      </w:r>
      <w:r w:rsidR="0060008D" w:rsidRPr="00DE2EDF">
        <w:rPr>
          <w:rFonts w:cs="Times New Roman"/>
          <w:lang w:val="en-GB"/>
        </w:rPr>
        <w:t xml:space="preserve"> </w:t>
      </w:r>
      <w:r w:rsidR="009C3302" w:rsidRPr="00DE2EDF">
        <w:rPr>
          <w:rFonts w:cs="Times New Roman"/>
          <w:lang w:val="en-GB"/>
        </w:rPr>
        <w:t>article 10 para</w:t>
      </w:r>
      <w:r w:rsidR="00A908F6" w:rsidRPr="00DE2EDF">
        <w:rPr>
          <w:rFonts w:cs="Times New Roman"/>
          <w:lang w:val="en-GB"/>
        </w:rPr>
        <w:t xml:space="preserve"> 1)</w:t>
      </w:r>
      <w:r w:rsidR="008B1411" w:rsidRPr="00DE2EDF">
        <w:rPr>
          <w:rFonts w:cs="Times New Roman"/>
          <w:lang w:val="en-GB"/>
        </w:rPr>
        <w:t>, ‘if a public body finds that a provision conflicts with a rule of fundamental law … the provision shall not be applied’. Until 2010, a</w:t>
      </w:r>
      <w:r w:rsidRPr="00DE2EDF">
        <w:rPr>
          <w:rFonts w:cs="Times New Roman"/>
          <w:lang w:val="en-GB"/>
        </w:rPr>
        <w:t>ny administrative</w:t>
      </w:r>
      <w:r w:rsidR="0060008D" w:rsidRPr="00DE2EDF">
        <w:rPr>
          <w:rFonts w:cs="Times New Roman"/>
          <w:lang w:val="en-GB"/>
        </w:rPr>
        <w:t xml:space="preserve"> organ</w:t>
      </w:r>
      <w:r w:rsidR="00F00B1A" w:rsidRPr="00DE2EDF">
        <w:rPr>
          <w:rFonts w:cs="Times New Roman"/>
          <w:lang w:val="en-GB"/>
        </w:rPr>
        <w:t xml:space="preserve"> </w:t>
      </w:r>
      <w:r w:rsidR="008B1411" w:rsidRPr="00DE2EDF">
        <w:rPr>
          <w:rFonts w:cs="Times New Roman"/>
          <w:lang w:val="en-GB"/>
        </w:rPr>
        <w:t>could only refuse to apply a statute or regulation if the conflict was ‘</w:t>
      </w:r>
      <w:r w:rsidR="00F00B1A" w:rsidRPr="00DE2EDF">
        <w:rPr>
          <w:rFonts w:cs="Times New Roman"/>
          <w:lang w:val="en-GB"/>
        </w:rPr>
        <w:t>manifest/</w:t>
      </w:r>
      <w:r w:rsidR="008B1411" w:rsidRPr="00DE2EDF">
        <w:rPr>
          <w:rFonts w:cs="Times New Roman"/>
          <w:lang w:val="en-GB"/>
        </w:rPr>
        <w:t>obvious’. This restriction, applicable</w:t>
      </w:r>
      <w:r w:rsidRPr="00DE2EDF">
        <w:rPr>
          <w:rFonts w:cs="Times New Roman"/>
          <w:lang w:val="en-GB"/>
        </w:rPr>
        <w:t xml:space="preserve"> to the</w:t>
      </w:r>
      <w:r w:rsidR="00F26E46" w:rsidRPr="00DE2EDF">
        <w:rPr>
          <w:rFonts w:cs="Times New Roman"/>
          <w:lang w:val="en-GB"/>
        </w:rPr>
        <w:t xml:space="preserve"> concrete rev</w:t>
      </w:r>
      <w:r w:rsidRPr="00DE2EDF">
        <w:rPr>
          <w:rFonts w:cs="Times New Roman"/>
          <w:lang w:val="en-GB"/>
        </w:rPr>
        <w:t>iew of</w:t>
      </w:r>
      <w:r w:rsidR="008B1411" w:rsidRPr="00DE2EDF">
        <w:rPr>
          <w:rFonts w:cs="Times New Roman"/>
          <w:lang w:val="en-GB"/>
        </w:rPr>
        <w:t xml:space="preserve"> both</w:t>
      </w:r>
      <w:r w:rsidR="00F00B1A" w:rsidRPr="00DE2EDF">
        <w:rPr>
          <w:rFonts w:cs="Times New Roman"/>
          <w:lang w:val="en-GB"/>
        </w:rPr>
        <w:t xml:space="preserve"> </w:t>
      </w:r>
      <w:r w:rsidR="00F26E46" w:rsidRPr="00DE2EDF">
        <w:rPr>
          <w:rFonts w:cs="Times New Roman"/>
          <w:lang w:val="en-GB"/>
        </w:rPr>
        <w:t>courts and</w:t>
      </w:r>
      <w:r w:rsidR="003A2456" w:rsidRPr="00DE2EDF">
        <w:rPr>
          <w:rFonts w:cs="Times New Roman"/>
          <w:lang w:val="en-GB"/>
        </w:rPr>
        <w:t xml:space="preserve"> </w:t>
      </w:r>
      <w:r w:rsidR="00F00B1A" w:rsidRPr="00DE2EDF">
        <w:rPr>
          <w:rFonts w:cs="Times New Roman"/>
          <w:lang w:val="en-GB"/>
        </w:rPr>
        <w:t>administrati</w:t>
      </w:r>
      <w:r w:rsidR="004C6B1A" w:rsidRPr="00DE2EDF">
        <w:rPr>
          <w:rFonts w:cs="Times New Roman"/>
          <w:lang w:val="en-GB"/>
        </w:rPr>
        <w:t>ve</w:t>
      </w:r>
      <w:r w:rsidR="00F26E46" w:rsidRPr="00DE2EDF">
        <w:rPr>
          <w:rFonts w:cs="Times New Roman"/>
          <w:lang w:val="en-GB"/>
        </w:rPr>
        <w:t xml:space="preserve"> organs</w:t>
      </w:r>
      <w:r w:rsidR="00575AE8" w:rsidRPr="00DE2EDF">
        <w:rPr>
          <w:rFonts w:cs="Times New Roman"/>
          <w:lang w:val="en-GB"/>
        </w:rPr>
        <w:t>,</w:t>
      </w:r>
      <w:r w:rsidR="0060008D" w:rsidRPr="00DE2EDF">
        <w:rPr>
          <w:rFonts w:cs="Times New Roman"/>
          <w:lang w:val="en-GB"/>
        </w:rPr>
        <w:t xml:space="preserve"> </w:t>
      </w:r>
      <w:r w:rsidR="00643F7A" w:rsidRPr="00DE2EDF">
        <w:rPr>
          <w:rFonts w:cs="Times New Roman"/>
          <w:lang w:val="en-GB"/>
        </w:rPr>
        <w:t>was</w:t>
      </w:r>
      <w:r w:rsidR="00575AE8" w:rsidRPr="00DE2EDF">
        <w:rPr>
          <w:rFonts w:cs="Times New Roman"/>
          <w:lang w:val="en-GB"/>
        </w:rPr>
        <w:t xml:space="preserve"> replaced </w:t>
      </w:r>
      <w:r w:rsidR="0060008D" w:rsidRPr="00DE2EDF">
        <w:rPr>
          <w:rFonts w:cs="Times New Roman"/>
          <w:lang w:val="en-GB"/>
        </w:rPr>
        <w:t xml:space="preserve">in 2010 </w:t>
      </w:r>
      <w:r w:rsidR="00575AE8" w:rsidRPr="00DE2EDF">
        <w:rPr>
          <w:rFonts w:cs="Times New Roman"/>
          <w:lang w:val="en-GB"/>
        </w:rPr>
        <w:t>by a more ambiguous limit</w:t>
      </w:r>
      <w:r w:rsidR="005C2460" w:rsidRPr="00DE2EDF">
        <w:rPr>
          <w:rFonts w:cs="Times New Roman"/>
          <w:lang w:val="en-GB"/>
        </w:rPr>
        <w:t>ation</w:t>
      </w:r>
      <w:r w:rsidR="00575AE8" w:rsidRPr="00DE2EDF">
        <w:rPr>
          <w:rFonts w:cs="Times New Roman"/>
          <w:lang w:val="en-GB"/>
        </w:rPr>
        <w:t xml:space="preserve">: </w:t>
      </w:r>
      <w:r w:rsidR="00643F7A" w:rsidRPr="00DE2EDF">
        <w:rPr>
          <w:rFonts w:cs="Times New Roman"/>
          <w:lang w:val="en-GB"/>
        </w:rPr>
        <w:t>like</w:t>
      </w:r>
      <w:r w:rsidR="00575AE8" w:rsidRPr="00DE2EDF">
        <w:rPr>
          <w:rFonts w:cs="Times New Roman"/>
          <w:lang w:val="en-GB"/>
        </w:rPr>
        <w:t xml:space="preserve"> courts, administrative bodies have to pay ‘particular attention </w:t>
      </w:r>
      <w:r w:rsidR="0057271D" w:rsidRPr="00DE2EDF">
        <w:rPr>
          <w:rFonts w:cs="Times New Roman"/>
          <w:lang w:val="en-GB"/>
        </w:rPr>
        <w:t>[</w:t>
      </w:r>
      <w:r w:rsidR="00575AE8" w:rsidRPr="00DE2EDF">
        <w:rPr>
          <w:rFonts w:cs="Times New Roman"/>
          <w:lang w:val="en-GB"/>
        </w:rPr>
        <w:t>…</w:t>
      </w:r>
      <w:r w:rsidR="0057271D" w:rsidRPr="00DE2EDF">
        <w:rPr>
          <w:rFonts w:cs="Times New Roman"/>
          <w:lang w:val="en-GB"/>
        </w:rPr>
        <w:t>]</w:t>
      </w:r>
      <w:r w:rsidR="00575AE8" w:rsidRPr="00DE2EDF">
        <w:rPr>
          <w:rFonts w:cs="Times New Roman"/>
          <w:lang w:val="en-GB"/>
        </w:rPr>
        <w:t xml:space="preserve"> to the fact that the </w:t>
      </w:r>
      <w:r w:rsidR="00575AE8" w:rsidRPr="00DE2EDF">
        <w:rPr>
          <w:rFonts w:cs="Times New Roman"/>
          <w:i/>
          <w:lang w:val="en-GB"/>
        </w:rPr>
        <w:t>Riksdag</w:t>
      </w:r>
      <w:r w:rsidR="00575AE8" w:rsidRPr="00DE2EDF">
        <w:rPr>
          <w:rFonts w:cs="Times New Roman"/>
          <w:lang w:val="en-GB"/>
        </w:rPr>
        <w:t xml:space="preserve"> is the foremost representative of people and that fundamental law takes </w:t>
      </w:r>
      <w:r w:rsidR="00575AE8" w:rsidRPr="00DE2EDF">
        <w:rPr>
          <w:rFonts w:cs="Times New Roman"/>
          <w:lang w:val="en-GB"/>
        </w:rPr>
        <w:lastRenderedPageBreak/>
        <w:t>precedence over other law’ (</w:t>
      </w:r>
      <w:r w:rsidR="0057271D" w:rsidRPr="00DE2EDF">
        <w:rPr>
          <w:rFonts w:cs="Times New Roman"/>
          <w:lang w:val="en-GB"/>
        </w:rPr>
        <w:t>c</w:t>
      </w:r>
      <w:r w:rsidR="00575AE8" w:rsidRPr="00DE2EDF">
        <w:rPr>
          <w:rFonts w:cs="Times New Roman"/>
          <w:lang w:val="en-GB"/>
        </w:rPr>
        <w:t>hap</w:t>
      </w:r>
      <w:r w:rsidR="0057271D" w:rsidRPr="00DE2EDF">
        <w:rPr>
          <w:rFonts w:cs="Times New Roman"/>
          <w:lang w:val="en-GB"/>
        </w:rPr>
        <w:t>ter 12 article 10 para</w:t>
      </w:r>
      <w:r w:rsidR="00575AE8" w:rsidRPr="00DE2EDF">
        <w:rPr>
          <w:rFonts w:cs="Times New Roman"/>
          <w:lang w:val="en-GB"/>
        </w:rPr>
        <w:t xml:space="preserve"> 2)</w:t>
      </w:r>
      <w:r w:rsidR="00643F7A" w:rsidRPr="00DE2EDF">
        <w:rPr>
          <w:rFonts w:cs="Times New Roman"/>
          <w:lang w:val="en-GB"/>
        </w:rPr>
        <w:t>.</w:t>
      </w:r>
      <w:r w:rsidR="00575AE8" w:rsidRPr="00DE2EDF">
        <w:rPr>
          <w:rStyle w:val="FootnoteReference"/>
          <w:rFonts w:cs="Times New Roman"/>
          <w:lang w:val="en-GB"/>
        </w:rPr>
        <w:footnoteReference w:id="222"/>
      </w:r>
      <w:r w:rsidR="00575AE8" w:rsidRPr="00DE2EDF">
        <w:rPr>
          <w:rFonts w:cs="Times New Roman"/>
          <w:lang w:val="en-GB"/>
        </w:rPr>
        <w:t xml:space="preserve"> </w:t>
      </w:r>
      <w:r w:rsidR="00F26E46" w:rsidRPr="00DE2EDF">
        <w:rPr>
          <w:rFonts w:cs="Times New Roman"/>
          <w:lang w:val="en-GB"/>
        </w:rPr>
        <w:t>I</w:t>
      </w:r>
      <w:r w:rsidR="00575AE8" w:rsidRPr="00DE2EDF">
        <w:rPr>
          <w:rFonts w:cs="Times New Roman"/>
          <w:lang w:val="en-GB"/>
        </w:rPr>
        <w:t xml:space="preserve">n practice, </w:t>
      </w:r>
      <w:r w:rsidR="00643F7A" w:rsidRPr="00DE2EDF">
        <w:rPr>
          <w:rFonts w:cs="Times New Roman"/>
          <w:lang w:val="en-GB"/>
        </w:rPr>
        <w:t xml:space="preserve">however, </w:t>
      </w:r>
      <w:r w:rsidR="00575AE8" w:rsidRPr="00DE2EDF">
        <w:rPr>
          <w:rFonts w:cs="Times New Roman"/>
          <w:lang w:val="en-GB"/>
        </w:rPr>
        <w:t>it seems that</w:t>
      </w:r>
      <w:r w:rsidR="00F26E46" w:rsidRPr="00DE2EDF">
        <w:rPr>
          <w:rFonts w:cs="Times New Roman"/>
          <w:lang w:val="en-GB"/>
        </w:rPr>
        <w:t xml:space="preserve">, </w:t>
      </w:r>
      <w:r w:rsidR="00643F7A" w:rsidRPr="00DE2EDF">
        <w:rPr>
          <w:rFonts w:cs="Times New Roman"/>
          <w:lang w:val="en-GB"/>
        </w:rPr>
        <w:t>like</w:t>
      </w:r>
      <w:r w:rsidR="00F26E46" w:rsidRPr="00DE2EDF">
        <w:rPr>
          <w:rFonts w:cs="Times New Roman"/>
          <w:lang w:val="en-GB"/>
        </w:rPr>
        <w:t xml:space="preserve"> courts,</w:t>
      </w:r>
      <w:r w:rsidR="00575AE8" w:rsidRPr="00DE2EDF">
        <w:rPr>
          <w:rFonts w:cs="Times New Roman"/>
          <w:lang w:val="en-GB"/>
        </w:rPr>
        <w:t xml:space="preserve"> </w:t>
      </w:r>
      <w:r w:rsidR="00F26E46" w:rsidRPr="00DE2EDF">
        <w:rPr>
          <w:rFonts w:cs="Times New Roman"/>
          <w:lang w:val="en-GB"/>
        </w:rPr>
        <w:t>administrative bodies</w:t>
      </w:r>
      <w:r w:rsidR="00575AE8" w:rsidRPr="00DE2EDF">
        <w:rPr>
          <w:rFonts w:cs="Times New Roman"/>
          <w:lang w:val="en-GB"/>
        </w:rPr>
        <w:t xml:space="preserve"> rarely use this power. </w:t>
      </w:r>
    </w:p>
    <w:p w14:paraId="367B91A4" w14:textId="77777777" w:rsidR="000F4C26" w:rsidRPr="00DE2EDF" w:rsidRDefault="000F4C26" w:rsidP="00DE2EDF">
      <w:pPr>
        <w:spacing w:after="0"/>
        <w:jc w:val="both"/>
        <w:rPr>
          <w:rFonts w:eastAsia="Times New Roman" w:cs="Times New Roman"/>
          <w:iCs/>
          <w:lang w:val="en-GB"/>
        </w:rPr>
      </w:pPr>
    </w:p>
    <w:p w14:paraId="3D8F10C0" w14:textId="487428E9" w:rsidR="008B5BB3" w:rsidRPr="00DE2EDF" w:rsidRDefault="00790A61" w:rsidP="00DE2EDF">
      <w:pPr>
        <w:spacing w:after="0"/>
        <w:jc w:val="both"/>
        <w:rPr>
          <w:rFonts w:cs="Times New Roman"/>
          <w:lang w:val="en-GB"/>
        </w:rPr>
      </w:pPr>
      <w:r w:rsidRPr="00DE2EDF">
        <w:rPr>
          <w:rFonts w:cs="Times New Roman"/>
          <w:lang w:val="en-GB"/>
        </w:rPr>
        <w:t>In Germany, Italy and Portugal, the text of the Constitution does not contain a precise, and explicit, answer to the present question, but the issue has given rise to a rich, and controversial, debate. In Portugal, under the new Constitution of 1976, a considerable number of scholars, in the past and still today, admit the competence of administrative organs to ‘disapply’ an unconstitutional statute at least in a limited number of cases</w:t>
      </w:r>
      <w:r w:rsidR="0057271D" w:rsidRPr="00DE2EDF">
        <w:rPr>
          <w:rFonts w:cs="Times New Roman"/>
          <w:lang w:val="en-GB"/>
        </w:rPr>
        <w:t>.</w:t>
      </w:r>
      <w:bookmarkStart w:id="348" w:name="_Ref457886479"/>
      <w:r w:rsidRPr="00DE2EDF">
        <w:rPr>
          <w:rStyle w:val="FootnoteReference"/>
          <w:rFonts w:cs="Times New Roman"/>
          <w:lang w:val="en-GB"/>
        </w:rPr>
        <w:footnoteReference w:id="223"/>
      </w:r>
      <w:bookmarkEnd w:id="348"/>
      <w:r w:rsidRPr="00DE2EDF">
        <w:rPr>
          <w:rFonts w:cs="Times New Roman"/>
          <w:lang w:val="en-GB"/>
        </w:rPr>
        <w:t xml:space="preserve"> </w:t>
      </w:r>
      <w:r w:rsidRPr="00DE2EDF">
        <w:rPr>
          <w:rFonts w:eastAsia="Times New Roman" w:cs="Times New Roman"/>
          <w:iCs/>
          <w:lang w:val="en-GB"/>
        </w:rPr>
        <w:t>In Italy</w:t>
      </w:r>
      <w:r w:rsidR="00BF7F47" w:rsidRPr="00DE2EDF">
        <w:rPr>
          <w:rFonts w:eastAsia="Times New Roman" w:cs="Times New Roman"/>
          <w:iCs/>
          <w:lang w:val="en-GB"/>
        </w:rPr>
        <w:t>,</w:t>
      </w:r>
      <w:bookmarkStart w:id="349" w:name="_Ref457886328"/>
      <w:r w:rsidRPr="00DE2EDF">
        <w:rPr>
          <w:rStyle w:val="FootnoteReference"/>
          <w:rFonts w:eastAsia="Times New Roman" w:cs="Times New Roman"/>
          <w:iCs/>
          <w:lang w:val="en-GB"/>
        </w:rPr>
        <w:footnoteReference w:id="224"/>
      </w:r>
      <w:bookmarkEnd w:id="349"/>
      <w:r w:rsidRPr="00DE2EDF">
        <w:rPr>
          <w:rFonts w:eastAsia="Times New Roman" w:cs="Times New Roman"/>
          <w:iCs/>
          <w:lang w:val="en-GB"/>
        </w:rPr>
        <w:t xml:space="preserve"> on the contrary, the Council of State and most authors tend to reject such a control with regard to the exclusive jurisdiction of the Constitution Court: unconstitutional statutes are valid and</w:t>
      </w:r>
      <w:r w:rsidR="00BF7F47" w:rsidRPr="00DE2EDF">
        <w:rPr>
          <w:rFonts w:eastAsia="Times New Roman" w:cs="Times New Roman"/>
          <w:iCs/>
          <w:lang w:val="en-GB"/>
        </w:rPr>
        <w:t>,</w:t>
      </w:r>
      <w:r w:rsidRPr="00DE2EDF">
        <w:rPr>
          <w:rFonts w:eastAsia="Times New Roman" w:cs="Times New Roman"/>
          <w:iCs/>
          <w:lang w:val="en-GB"/>
        </w:rPr>
        <w:t xml:space="preserve"> thus</w:t>
      </w:r>
      <w:r w:rsidR="00BF7F47" w:rsidRPr="00DE2EDF">
        <w:rPr>
          <w:rFonts w:eastAsia="Times New Roman" w:cs="Times New Roman"/>
          <w:iCs/>
          <w:lang w:val="en-GB"/>
        </w:rPr>
        <w:t>,</w:t>
      </w:r>
      <w:r w:rsidRPr="00DE2EDF">
        <w:rPr>
          <w:rFonts w:eastAsia="Times New Roman" w:cs="Times New Roman"/>
          <w:iCs/>
          <w:lang w:val="en-GB"/>
        </w:rPr>
        <w:t xml:space="preserve"> binding </w:t>
      </w:r>
      <w:r w:rsidR="00BF7F47" w:rsidRPr="00DE2EDF">
        <w:rPr>
          <w:rFonts w:eastAsia="Times New Roman" w:cs="Times New Roman"/>
          <w:iCs/>
          <w:lang w:val="en-GB"/>
        </w:rPr>
        <w:t>on</w:t>
      </w:r>
      <w:r w:rsidRPr="00DE2EDF">
        <w:rPr>
          <w:rFonts w:eastAsia="Times New Roman" w:cs="Times New Roman"/>
          <w:iCs/>
          <w:lang w:val="en-GB"/>
        </w:rPr>
        <w:t xml:space="preserve"> the executive and ordinary courts, </w:t>
      </w:r>
      <w:r w:rsidR="00BF7F47" w:rsidRPr="00DE2EDF">
        <w:rPr>
          <w:rFonts w:eastAsia="Times New Roman" w:cs="Times New Roman"/>
          <w:iCs/>
          <w:lang w:val="en-GB"/>
        </w:rPr>
        <w:t xml:space="preserve">unless and until </w:t>
      </w:r>
      <w:r w:rsidRPr="00DE2EDF">
        <w:rPr>
          <w:rFonts w:eastAsia="Times New Roman" w:cs="Times New Roman"/>
          <w:iCs/>
          <w:lang w:val="en-GB"/>
        </w:rPr>
        <w:t xml:space="preserve">they have been abrogated </w:t>
      </w:r>
      <w:r w:rsidRPr="00DE2EDF">
        <w:rPr>
          <w:rFonts w:eastAsia="Times New Roman" w:cs="Times New Roman"/>
          <w:i/>
          <w:iCs/>
          <w:lang w:val="en-GB"/>
        </w:rPr>
        <w:t>ex nunc</w:t>
      </w:r>
      <w:r w:rsidRPr="00DE2EDF">
        <w:rPr>
          <w:rFonts w:eastAsia="Times New Roman" w:cs="Times New Roman"/>
          <w:iCs/>
          <w:lang w:val="en-GB"/>
        </w:rPr>
        <w:t xml:space="preserve"> by the Constitutional Court (art</w:t>
      </w:r>
      <w:r w:rsidR="0057271D" w:rsidRPr="00DE2EDF">
        <w:rPr>
          <w:rFonts w:eastAsia="Times New Roman" w:cs="Times New Roman"/>
          <w:iCs/>
          <w:lang w:val="en-GB"/>
        </w:rPr>
        <w:t>icle</w:t>
      </w:r>
      <w:r w:rsidRPr="00DE2EDF">
        <w:rPr>
          <w:rFonts w:eastAsia="Times New Roman" w:cs="Times New Roman"/>
          <w:iCs/>
          <w:lang w:val="en-GB"/>
        </w:rPr>
        <w:t xml:space="preserve"> 136 Const</w:t>
      </w:r>
      <w:r w:rsidR="0057271D" w:rsidRPr="00DE2EDF">
        <w:rPr>
          <w:rFonts w:eastAsia="Times New Roman" w:cs="Times New Roman"/>
          <w:iCs/>
          <w:lang w:val="en-GB"/>
        </w:rPr>
        <w:t>itution</w:t>
      </w:r>
      <w:r w:rsidRPr="00DE2EDF">
        <w:rPr>
          <w:rFonts w:eastAsia="Times New Roman" w:cs="Times New Roman"/>
          <w:iCs/>
          <w:lang w:val="en-GB"/>
        </w:rPr>
        <w:t xml:space="preserve">). </w:t>
      </w:r>
      <w:r w:rsidR="00605C2D" w:rsidRPr="00DE2EDF">
        <w:rPr>
          <w:rFonts w:cs="Times New Roman"/>
          <w:lang w:val="en-GB"/>
        </w:rPr>
        <w:t xml:space="preserve">In Germany, </w:t>
      </w:r>
      <w:r w:rsidR="009A5181" w:rsidRPr="00DE2EDF">
        <w:rPr>
          <w:rFonts w:cs="Times New Roman"/>
          <w:lang w:val="en-GB"/>
        </w:rPr>
        <w:t xml:space="preserve">in light of the terrible experience of the </w:t>
      </w:r>
      <w:r w:rsidR="00643F7A" w:rsidRPr="00DE2EDF">
        <w:rPr>
          <w:rFonts w:cs="Times New Roman"/>
          <w:lang w:val="en-GB"/>
        </w:rPr>
        <w:t xml:space="preserve">Third </w:t>
      </w:r>
      <w:r w:rsidR="009A5181" w:rsidRPr="00DE2EDF">
        <w:rPr>
          <w:rFonts w:cs="Times New Roman"/>
          <w:lang w:val="en-GB"/>
        </w:rPr>
        <w:t xml:space="preserve">Reich, and the new </w:t>
      </w:r>
      <w:r w:rsidR="00C16574" w:rsidRPr="00DE2EDF">
        <w:rPr>
          <w:rFonts w:cs="Times New Roman"/>
          <w:lang w:val="en-GB"/>
        </w:rPr>
        <w:t xml:space="preserve">paramount </w:t>
      </w:r>
      <w:r w:rsidR="009A5181" w:rsidRPr="00DE2EDF">
        <w:rPr>
          <w:rFonts w:cs="Times New Roman"/>
          <w:lang w:val="en-GB"/>
        </w:rPr>
        <w:t xml:space="preserve">position of the Constitution in the </w:t>
      </w:r>
      <w:r w:rsidR="00643F7A" w:rsidRPr="00DE2EDF">
        <w:rPr>
          <w:rFonts w:cs="Times New Roman"/>
          <w:lang w:val="en-GB"/>
        </w:rPr>
        <w:t xml:space="preserve">succeeding </w:t>
      </w:r>
      <w:r w:rsidR="009A5181" w:rsidRPr="00DE2EDF">
        <w:rPr>
          <w:rFonts w:cs="Times New Roman"/>
          <w:lang w:val="en-GB"/>
        </w:rPr>
        <w:t>legal system, a series of scholars</w:t>
      </w:r>
      <w:r w:rsidR="002611A1" w:rsidRPr="00DE2EDF">
        <w:rPr>
          <w:rFonts w:cs="Times New Roman"/>
          <w:lang w:val="en-GB"/>
        </w:rPr>
        <w:t xml:space="preserve"> </w:t>
      </w:r>
      <w:r w:rsidR="00707F8E" w:rsidRPr="00DE2EDF">
        <w:rPr>
          <w:rFonts w:cs="Times New Roman"/>
          <w:lang w:val="en-GB"/>
        </w:rPr>
        <w:t>in the 19</w:t>
      </w:r>
      <w:r w:rsidR="00FC229B" w:rsidRPr="00DE2EDF">
        <w:rPr>
          <w:rFonts w:cs="Times New Roman"/>
          <w:lang w:val="en-GB"/>
        </w:rPr>
        <w:t xml:space="preserve">50s and </w:t>
      </w:r>
      <w:r w:rsidR="00A97A92" w:rsidRPr="00DE2EDF">
        <w:rPr>
          <w:rFonts w:cs="Times New Roman"/>
          <w:lang w:val="en-GB"/>
        </w:rPr>
        <w:t>6</w:t>
      </w:r>
      <w:r w:rsidR="00707F8E" w:rsidRPr="00DE2EDF">
        <w:rPr>
          <w:rFonts w:cs="Times New Roman"/>
          <w:lang w:val="en-GB"/>
        </w:rPr>
        <w:t>0s</w:t>
      </w:r>
      <w:r w:rsidR="00C16574" w:rsidRPr="00DE2EDF">
        <w:rPr>
          <w:rFonts w:cs="Times New Roman"/>
          <w:lang w:val="en-GB"/>
        </w:rPr>
        <w:t xml:space="preserve">, </w:t>
      </w:r>
      <w:r w:rsidR="002611A1" w:rsidRPr="00DE2EDF">
        <w:rPr>
          <w:rFonts w:cs="Times New Roman"/>
          <w:lang w:val="en-GB"/>
        </w:rPr>
        <w:t>amongst whom</w:t>
      </w:r>
      <w:r w:rsidR="00DA2F7B" w:rsidRPr="00DE2EDF">
        <w:rPr>
          <w:rFonts w:cs="Times New Roman"/>
          <w:lang w:val="en-GB"/>
        </w:rPr>
        <w:t>, most prominently,</w:t>
      </w:r>
      <w:r w:rsidR="002611A1" w:rsidRPr="00DE2EDF">
        <w:rPr>
          <w:rFonts w:cs="Times New Roman"/>
          <w:lang w:val="en-GB"/>
        </w:rPr>
        <w:t xml:space="preserve"> Otto Bachof</w:t>
      </w:r>
      <w:r w:rsidR="0057271D" w:rsidRPr="00DE2EDF">
        <w:rPr>
          <w:rFonts w:cs="Times New Roman"/>
          <w:lang w:val="en-GB"/>
        </w:rPr>
        <w:t>,</w:t>
      </w:r>
      <w:bookmarkStart w:id="350" w:name="_Ref457886617"/>
      <w:r w:rsidR="009F2549" w:rsidRPr="00DE2EDF">
        <w:rPr>
          <w:rStyle w:val="FootnoteReference"/>
          <w:rFonts w:cs="Times New Roman"/>
          <w:lang w:val="en-GB"/>
        </w:rPr>
        <w:footnoteReference w:id="225"/>
      </w:r>
      <w:bookmarkEnd w:id="350"/>
      <w:r w:rsidR="009A5181" w:rsidRPr="00DE2EDF">
        <w:rPr>
          <w:rFonts w:cs="Times New Roman"/>
          <w:lang w:val="en-GB"/>
        </w:rPr>
        <w:t xml:space="preserve"> </w:t>
      </w:r>
      <w:r w:rsidR="002611A1" w:rsidRPr="00DE2EDF">
        <w:rPr>
          <w:rFonts w:cs="Times New Roman"/>
          <w:lang w:val="en-GB"/>
        </w:rPr>
        <w:t>concluded</w:t>
      </w:r>
      <w:r w:rsidR="00707F8E" w:rsidRPr="00DE2EDF">
        <w:rPr>
          <w:rFonts w:cs="Times New Roman"/>
          <w:lang w:val="en-GB"/>
        </w:rPr>
        <w:t xml:space="preserve"> </w:t>
      </w:r>
      <w:r w:rsidR="002611A1" w:rsidRPr="00DE2EDF">
        <w:rPr>
          <w:rFonts w:cs="Times New Roman"/>
          <w:lang w:val="en-GB"/>
        </w:rPr>
        <w:t xml:space="preserve">that, </w:t>
      </w:r>
      <w:r w:rsidR="000E02BA" w:rsidRPr="00DE2EDF">
        <w:rPr>
          <w:rFonts w:cs="Times New Roman"/>
          <w:lang w:val="en-GB"/>
        </w:rPr>
        <w:t xml:space="preserve">in a </w:t>
      </w:r>
      <w:r w:rsidR="001A7E3C" w:rsidRPr="00DE2EDF">
        <w:rPr>
          <w:rFonts w:cs="Times New Roman"/>
          <w:lang w:val="en-GB"/>
        </w:rPr>
        <w:t>certain</w:t>
      </w:r>
      <w:r w:rsidR="000E02BA" w:rsidRPr="00DE2EDF">
        <w:rPr>
          <w:rFonts w:cs="Times New Roman"/>
          <w:lang w:val="en-GB"/>
        </w:rPr>
        <w:t xml:space="preserve"> case</w:t>
      </w:r>
      <w:r w:rsidR="001A7E3C" w:rsidRPr="00DE2EDF">
        <w:rPr>
          <w:rFonts w:cs="Times New Roman"/>
          <w:lang w:val="en-GB"/>
        </w:rPr>
        <w:t>s</w:t>
      </w:r>
      <w:r w:rsidR="000E02BA" w:rsidRPr="00DE2EDF">
        <w:rPr>
          <w:rFonts w:cs="Times New Roman"/>
          <w:lang w:val="en-GB"/>
        </w:rPr>
        <w:t>,</w:t>
      </w:r>
      <w:r w:rsidR="002611A1" w:rsidRPr="00DE2EDF">
        <w:rPr>
          <w:rFonts w:cs="Times New Roman"/>
          <w:lang w:val="en-GB"/>
        </w:rPr>
        <w:t xml:space="preserve"> </w:t>
      </w:r>
      <w:r w:rsidR="00ED5326" w:rsidRPr="00DE2EDF">
        <w:rPr>
          <w:rFonts w:cs="Times New Roman"/>
          <w:lang w:val="en-GB"/>
        </w:rPr>
        <w:t xml:space="preserve">all </w:t>
      </w:r>
      <w:r w:rsidR="002611A1" w:rsidRPr="00DE2EDF">
        <w:rPr>
          <w:rFonts w:cs="Times New Roman"/>
          <w:lang w:val="en-GB"/>
        </w:rPr>
        <w:t xml:space="preserve">administrative authorities had the right, and even the obligation, to </w:t>
      </w:r>
      <w:r w:rsidR="00236DD3" w:rsidRPr="00DE2EDF">
        <w:rPr>
          <w:rFonts w:cs="Times New Roman"/>
          <w:lang w:val="en-GB"/>
        </w:rPr>
        <w:t>analyse</w:t>
      </w:r>
      <w:r w:rsidR="002611A1" w:rsidRPr="00DE2EDF">
        <w:rPr>
          <w:rFonts w:eastAsia="Times New Roman" w:cs="Times New Roman"/>
          <w:iCs/>
          <w:lang w:val="en-GB"/>
        </w:rPr>
        <w:t xml:space="preserve"> the </w:t>
      </w:r>
      <w:r w:rsidR="00236DD3" w:rsidRPr="00DE2EDF">
        <w:rPr>
          <w:rFonts w:eastAsia="Times New Roman" w:cs="Times New Roman"/>
          <w:iCs/>
          <w:lang w:val="en-GB"/>
        </w:rPr>
        <w:t xml:space="preserve">lawfulness </w:t>
      </w:r>
      <w:r w:rsidR="002611A1" w:rsidRPr="00DE2EDF">
        <w:rPr>
          <w:rFonts w:eastAsia="Times New Roman" w:cs="Times New Roman"/>
          <w:iCs/>
          <w:lang w:val="en-GB"/>
        </w:rPr>
        <w:t xml:space="preserve">of </w:t>
      </w:r>
      <w:r w:rsidR="004B0472" w:rsidRPr="00DE2EDF">
        <w:rPr>
          <w:rFonts w:eastAsia="Times New Roman" w:cs="Times New Roman"/>
          <w:iCs/>
          <w:lang w:val="en-GB"/>
        </w:rPr>
        <w:t xml:space="preserve">post-constitutional </w:t>
      </w:r>
      <w:r w:rsidR="002611A1" w:rsidRPr="00DE2EDF">
        <w:rPr>
          <w:rFonts w:eastAsia="Times New Roman" w:cs="Times New Roman"/>
          <w:iCs/>
          <w:lang w:val="en-GB"/>
        </w:rPr>
        <w:t>statutes and regulations</w:t>
      </w:r>
      <w:r w:rsidR="00707F8E" w:rsidRPr="00DE2EDF">
        <w:rPr>
          <w:rFonts w:eastAsia="Times New Roman" w:cs="Times New Roman"/>
          <w:iCs/>
          <w:lang w:val="en-GB"/>
        </w:rPr>
        <w:t xml:space="preserve"> (</w:t>
      </w:r>
      <w:r w:rsidR="00707F8E" w:rsidRPr="00DE2EDF">
        <w:rPr>
          <w:rFonts w:eastAsia="Times New Roman" w:cs="Times New Roman"/>
          <w:i/>
          <w:iCs/>
          <w:lang w:val="en-GB"/>
        </w:rPr>
        <w:t>Prüfungskompetenz der Behörden</w:t>
      </w:r>
      <w:r w:rsidR="00707F8E" w:rsidRPr="00DE2EDF">
        <w:rPr>
          <w:rFonts w:eastAsia="Times New Roman" w:cs="Times New Roman"/>
          <w:iCs/>
          <w:lang w:val="en-GB"/>
        </w:rPr>
        <w:t>)</w:t>
      </w:r>
      <w:r w:rsidR="002611A1" w:rsidRPr="00DE2EDF">
        <w:rPr>
          <w:rFonts w:eastAsia="Times New Roman" w:cs="Times New Roman"/>
          <w:iCs/>
          <w:lang w:val="en-GB"/>
        </w:rPr>
        <w:t xml:space="preserve"> and</w:t>
      </w:r>
      <w:r w:rsidR="00236DD3" w:rsidRPr="00DE2EDF">
        <w:rPr>
          <w:rFonts w:eastAsia="Times New Roman" w:cs="Times New Roman"/>
          <w:iCs/>
          <w:lang w:val="en-GB"/>
        </w:rPr>
        <w:t xml:space="preserve">, </w:t>
      </w:r>
      <w:r w:rsidR="001A7E3C" w:rsidRPr="00DE2EDF">
        <w:rPr>
          <w:rFonts w:eastAsia="Times New Roman" w:cs="Times New Roman"/>
          <w:iCs/>
          <w:lang w:val="en-GB"/>
        </w:rPr>
        <w:t>if</w:t>
      </w:r>
      <w:r w:rsidR="00236DD3" w:rsidRPr="00DE2EDF">
        <w:rPr>
          <w:rFonts w:eastAsia="Times New Roman" w:cs="Times New Roman"/>
          <w:iCs/>
          <w:lang w:val="en-GB"/>
        </w:rPr>
        <w:t xml:space="preserve"> they were convinced of the inconstancy with a higher norm (Constitution, federal law, etc.),</w:t>
      </w:r>
      <w:r w:rsidR="00707F8E" w:rsidRPr="00DE2EDF">
        <w:rPr>
          <w:rFonts w:eastAsia="Times New Roman" w:cs="Times New Roman"/>
          <w:iCs/>
          <w:lang w:val="en-GB"/>
        </w:rPr>
        <w:t xml:space="preserve"> to </w:t>
      </w:r>
      <w:r w:rsidR="00236DD3" w:rsidRPr="00DE2EDF">
        <w:rPr>
          <w:rFonts w:eastAsia="Times New Roman" w:cs="Times New Roman"/>
          <w:iCs/>
          <w:lang w:val="en-GB"/>
        </w:rPr>
        <w:t>set aside</w:t>
      </w:r>
      <w:r w:rsidR="00707F8E" w:rsidRPr="00DE2EDF">
        <w:rPr>
          <w:rFonts w:eastAsia="Times New Roman" w:cs="Times New Roman"/>
          <w:iCs/>
          <w:lang w:val="en-GB"/>
        </w:rPr>
        <w:t xml:space="preserve"> the contested norm (</w:t>
      </w:r>
      <w:r w:rsidR="00707F8E" w:rsidRPr="00DE2EDF">
        <w:rPr>
          <w:rFonts w:eastAsia="Times New Roman" w:cs="Times New Roman"/>
          <w:i/>
          <w:iCs/>
          <w:lang w:val="en-GB"/>
        </w:rPr>
        <w:t>Verwerfungskompetenz der Behörden</w:t>
      </w:r>
      <w:r w:rsidR="00707F8E" w:rsidRPr="00DE2EDF">
        <w:rPr>
          <w:rFonts w:eastAsia="Times New Roman" w:cs="Times New Roman"/>
          <w:iCs/>
          <w:lang w:val="en-GB"/>
        </w:rPr>
        <w:t xml:space="preserve">). Bachof put it in a nutshell: </w:t>
      </w:r>
      <w:r w:rsidR="00A96B03" w:rsidRPr="00DE2EDF">
        <w:rPr>
          <w:rFonts w:eastAsia="Times New Roman" w:cs="Times New Roman"/>
          <w:iCs/>
          <w:lang w:val="en-GB"/>
        </w:rPr>
        <w:t xml:space="preserve">after the </w:t>
      </w:r>
      <w:r w:rsidR="0051168A" w:rsidRPr="00DE2EDF">
        <w:rPr>
          <w:rFonts w:eastAsia="Times New Roman" w:cs="Times New Roman"/>
          <w:iCs/>
          <w:lang w:val="en-GB"/>
        </w:rPr>
        <w:t>dramatic</w:t>
      </w:r>
      <w:r w:rsidR="00A96B03" w:rsidRPr="00DE2EDF">
        <w:rPr>
          <w:rFonts w:eastAsia="Times New Roman" w:cs="Times New Roman"/>
          <w:iCs/>
          <w:lang w:val="en-GB"/>
        </w:rPr>
        <w:t xml:space="preserve"> abuses</w:t>
      </w:r>
      <w:r w:rsidR="00236DD3" w:rsidRPr="00DE2EDF">
        <w:rPr>
          <w:rFonts w:eastAsia="Times New Roman" w:cs="Times New Roman"/>
          <w:iCs/>
          <w:lang w:val="en-GB"/>
        </w:rPr>
        <w:t xml:space="preserve"> of power</w:t>
      </w:r>
      <w:r w:rsidR="00A96B03" w:rsidRPr="00DE2EDF">
        <w:rPr>
          <w:rFonts w:eastAsia="Times New Roman" w:cs="Times New Roman"/>
          <w:iCs/>
          <w:lang w:val="en-GB"/>
        </w:rPr>
        <w:t xml:space="preserve"> under Hitler, the former </w:t>
      </w:r>
      <w:r w:rsidR="000F488B" w:rsidRPr="00DE2EDF">
        <w:rPr>
          <w:rFonts w:eastAsia="Times New Roman" w:cs="Times New Roman"/>
          <w:iCs/>
          <w:lang w:val="en-GB"/>
        </w:rPr>
        <w:t xml:space="preserve">German </w:t>
      </w:r>
      <w:r w:rsidR="00A96B03" w:rsidRPr="00DE2EDF">
        <w:rPr>
          <w:rFonts w:eastAsia="Times New Roman" w:cs="Times New Roman"/>
          <w:iCs/>
          <w:lang w:val="en-GB"/>
        </w:rPr>
        <w:t xml:space="preserve">tradition of civil servants duty of obedience must be </w:t>
      </w:r>
      <w:r w:rsidR="0051168A" w:rsidRPr="00DE2EDF">
        <w:rPr>
          <w:rFonts w:eastAsia="Times New Roman" w:cs="Times New Roman"/>
          <w:iCs/>
          <w:lang w:val="en-GB"/>
        </w:rPr>
        <w:t>transformed</w:t>
      </w:r>
      <w:r w:rsidR="00A96B03" w:rsidRPr="00DE2EDF">
        <w:rPr>
          <w:rFonts w:eastAsia="Times New Roman" w:cs="Times New Roman"/>
          <w:iCs/>
          <w:lang w:val="en-GB"/>
        </w:rPr>
        <w:t xml:space="preserve"> with regard to the new responsibility of administrative authorities toward</w:t>
      </w:r>
      <w:r w:rsidR="000F488B" w:rsidRPr="00DE2EDF">
        <w:rPr>
          <w:rFonts w:eastAsia="Times New Roman" w:cs="Times New Roman"/>
          <w:iCs/>
          <w:lang w:val="en-GB"/>
        </w:rPr>
        <w:t>s</w:t>
      </w:r>
      <w:r w:rsidR="00A96B03" w:rsidRPr="00DE2EDF">
        <w:rPr>
          <w:rFonts w:eastAsia="Times New Roman" w:cs="Times New Roman"/>
          <w:iCs/>
          <w:lang w:val="en-GB"/>
        </w:rPr>
        <w:t xml:space="preserve"> law, especially the Constitution</w:t>
      </w:r>
      <w:r w:rsidR="001A7E3C" w:rsidRPr="00DE2EDF">
        <w:rPr>
          <w:rFonts w:eastAsia="Times New Roman" w:cs="Times New Roman"/>
          <w:iCs/>
          <w:lang w:val="en-GB"/>
        </w:rPr>
        <w:t>.</w:t>
      </w:r>
      <w:r w:rsidR="0035425D" w:rsidRPr="00DE2EDF">
        <w:rPr>
          <w:rStyle w:val="FootnoteReference"/>
          <w:rFonts w:eastAsia="Times New Roman" w:cs="Times New Roman"/>
          <w:iCs/>
          <w:lang w:val="en-GB"/>
        </w:rPr>
        <w:footnoteReference w:id="226"/>
      </w:r>
      <w:r w:rsidR="00A96B03" w:rsidRPr="00DE2EDF">
        <w:rPr>
          <w:rFonts w:eastAsia="Times New Roman" w:cs="Times New Roman"/>
          <w:iCs/>
          <w:lang w:val="en-GB"/>
        </w:rPr>
        <w:t xml:space="preserve"> Yet, </w:t>
      </w:r>
      <w:r w:rsidR="00A908F6" w:rsidRPr="00DE2EDF">
        <w:rPr>
          <w:rFonts w:eastAsia="Times New Roman" w:cs="Times New Roman"/>
          <w:iCs/>
          <w:lang w:val="en-GB"/>
        </w:rPr>
        <w:t xml:space="preserve">this thesis </w:t>
      </w:r>
      <w:r w:rsidR="00B641F1" w:rsidRPr="00DE2EDF">
        <w:rPr>
          <w:rFonts w:eastAsia="Times New Roman" w:cs="Times New Roman"/>
          <w:iCs/>
          <w:lang w:val="en-GB"/>
        </w:rPr>
        <w:t>was not uncontroversial</w:t>
      </w:r>
      <w:r w:rsidR="001A7E3C" w:rsidRPr="00DE2EDF">
        <w:rPr>
          <w:rFonts w:eastAsia="Times New Roman" w:cs="Times New Roman"/>
          <w:iCs/>
          <w:lang w:val="en-GB"/>
        </w:rPr>
        <w:t>,</w:t>
      </w:r>
      <w:r w:rsidR="00B641F1" w:rsidRPr="00DE2EDF">
        <w:rPr>
          <w:rFonts w:eastAsia="Times New Roman" w:cs="Times New Roman"/>
          <w:iCs/>
          <w:lang w:val="en-GB"/>
        </w:rPr>
        <w:t xml:space="preserve"> </w:t>
      </w:r>
      <w:r w:rsidR="00A96B03" w:rsidRPr="00DE2EDF">
        <w:rPr>
          <w:rFonts w:eastAsia="Times New Roman" w:cs="Times New Roman"/>
          <w:iCs/>
          <w:lang w:val="en-GB"/>
        </w:rPr>
        <w:t>e</w:t>
      </w:r>
      <w:r w:rsidR="00707F8E" w:rsidRPr="00DE2EDF">
        <w:rPr>
          <w:rFonts w:eastAsia="Times New Roman" w:cs="Times New Roman"/>
          <w:iCs/>
          <w:lang w:val="en-GB"/>
        </w:rPr>
        <w:t xml:space="preserve">ven </w:t>
      </w:r>
      <w:r w:rsidR="00A96B03" w:rsidRPr="00DE2EDF">
        <w:rPr>
          <w:rFonts w:eastAsia="Times New Roman" w:cs="Times New Roman"/>
          <w:iCs/>
          <w:lang w:val="en-GB"/>
        </w:rPr>
        <w:t xml:space="preserve">in </w:t>
      </w:r>
      <w:r w:rsidR="001A7E3C" w:rsidRPr="00DE2EDF">
        <w:rPr>
          <w:rFonts w:eastAsia="Times New Roman" w:cs="Times New Roman"/>
          <w:iCs/>
          <w:lang w:val="en-GB"/>
        </w:rPr>
        <w:t>post</w:t>
      </w:r>
      <w:r w:rsidR="00A96B03" w:rsidRPr="00DE2EDF">
        <w:rPr>
          <w:rFonts w:eastAsia="Times New Roman" w:cs="Times New Roman"/>
          <w:iCs/>
          <w:lang w:val="en-GB"/>
        </w:rPr>
        <w:t xml:space="preserve">-war </w:t>
      </w:r>
      <w:r w:rsidR="00B641F1" w:rsidRPr="00DE2EDF">
        <w:rPr>
          <w:rFonts w:eastAsia="Times New Roman" w:cs="Times New Roman"/>
          <w:iCs/>
          <w:lang w:val="en-GB"/>
        </w:rPr>
        <w:t>Germany</w:t>
      </w:r>
      <w:r w:rsidR="00A96B03" w:rsidRPr="00DE2EDF">
        <w:rPr>
          <w:rFonts w:eastAsia="Times New Roman" w:cs="Times New Roman"/>
          <w:iCs/>
          <w:lang w:val="en-GB"/>
        </w:rPr>
        <w:t xml:space="preserve">. </w:t>
      </w:r>
      <w:r w:rsidR="00424DB0" w:rsidRPr="00DE2EDF">
        <w:rPr>
          <w:rFonts w:eastAsia="Times New Roman" w:cs="Times New Roman"/>
          <w:iCs/>
          <w:lang w:val="en-GB"/>
        </w:rPr>
        <w:t xml:space="preserve">Some scholars </w:t>
      </w:r>
      <w:r w:rsidR="001A7E3C" w:rsidRPr="00DE2EDF">
        <w:rPr>
          <w:rFonts w:eastAsia="Times New Roman" w:cs="Times New Roman"/>
          <w:iCs/>
          <w:lang w:val="en-GB"/>
        </w:rPr>
        <w:t xml:space="preserve">totally </w:t>
      </w:r>
      <w:r w:rsidR="00424DB0" w:rsidRPr="00DE2EDF">
        <w:rPr>
          <w:rFonts w:eastAsia="Times New Roman" w:cs="Times New Roman"/>
          <w:iCs/>
          <w:lang w:val="en-GB"/>
        </w:rPr>
        <w:t xml:space="preserve">rejected it. </w:t>
      </w:r>
      <w:r w:rsidR="00A96B03" w:rsidRPr="00DE2EDF">
        <w:rPr>
          <w:rFonts w:eastAsia="Times New Roman" w:cs="Times New Roman"/>
          <w:iCs/>
          <w:lang w:val="en-GB"/>
        </w:rPr>
        <w:t>Others acknowledged such competence to dis</w:t>
      </w:r>
      <w:r w:rsidR="001A7E3C" w:rsidRPr="00DE2EDF">
        <w:rPr>
          <w:rFonts w:eastAsia="Times New Roman" w:cs="Times New Roman"/>
          <w:iCs/>
          <w:lang w:val="en-GB"/>
        </w:rPr>
        <w:t xml:space="preserve">regard </w:t>
      </w:r>
      <w:r w:rsidR="00A96B03" w:rsidRPr="00DE2EDF">
        <w:rPr>
          <w:rFonts w:eastAsia="Times New Roman" w:cs="Times New Roman"/>
          <w:iCs/>
          <w:lang w:val="en-GB"/>
        </w:rPr>
        <w:t>unlawful norms</w:t>
      </w:r>
      <w:r w:rsidR="001A7E3C" w:rsidRPr="00DE2EDF">
        <w:rPr>
          <w:rFonts w:eastAsia="Times New Roman" w:cs="Times New Roman"/>
          <w:iCs/>
          <w:lang w:val="en-GB"/>
        </w:rPr>
        <w:t>, but</w:t>
      </w:r>
      <w:r w:rsidR="00A96B03" w:rsidRPr="00DE2EDF">
        <w:rPr>
          <w:rFonts w:eastAsia="Times New Roman" w:cs="Times New Roman"/>
          <w:iCs/>
          <w:lang w:val="en-GB"/>
        </w:rPr>
        <w:t xml:space="preserve"> only</w:t>
      </w:r>
      <w:r w:rsidR="00B641F1" w:rsidRPr="00DE2EDF">
        <w:rPr>
          <w:rFonts w:eastAsia="Times New Roman" w:cs="Times New Roman"/>
          <w:iCs/>
          <w:lang w:val="en-GB"/>
        </w:rPr>
        <w:t xml:space="preserve"> for lower norms</w:t>
      </w:r>
      <w:r w:rsidR="00A96B03" w:rsidRPr="00DE2EDF">
        <w:rPr>
          <w:rFonts w:eastAsia="Times New Roman" w:cs="Times New Roman"/>
          <w:iCs/>
          <w:lang w:val="en-GB"/>
        </w:rPr>
        <w:t xml:space="preserve"> in certain circumstances. Still others argued</w:t>
      </w:r>
      <w:r w:rsidR="000E02BA" w:rsidRPr="00DE2EDF">
        <w:rPr>
          <w:rFonts w:eastAsia="Times New Roman" w:cs="Times New Roman"/>
          <w:iCs/>
          <w:lang w:val="en-GB"/>
        </w:rPr>
        <w:t xml:space="preserve">, </w:t>
      </w:r>
      <w:r w:rsidR="001A7E3C" w:rsidRPr="00DE2EDF">
        <w:rPr>
          <w:rFonts w:eastAsia="Times New Roman" w:cs="Times New Roman"/>
          <w:iCs/>
          <w:lang w:val="en-GB"/>
        </w:rPr>
        <w:t xml:space="preserve">with respect to </w:t>
      </w:r>
      <w:r w:rsidR="000E02BA" w:rsidRPr="00DE2EDF">
        <w:rPr>
          <w:rFonts w:eastAsia="Times New Roman" w:cs="Times New Roman"/>
          <w:iCs/>
          <w:lang w:val="en-GB"/>
        </w:rPr>
        <w:t>statutes</w:t>
      </w:r>
      <w:r w:rsidR="001A7E3C" w:rsidRPr="00DE2EDF">
        <w:rPr>
          <w:rFonts w:eastAsia="Times New Roman" w:cs="Times New Roman"/>
          <w:iCs/>
          <w:lang w:val="en-GB"/>
        </w:rPr>
        <w:t xml:space="preserve"> in particular</w:t>
      </w:r>
      <w:r w:rsidR="000E02BA" w:rsidRPr="00DE2EDF">
        <w:rPr>
          <w:rFonts w:eastAsia="Times New Roman" w:cs="Times New Roman"/>
          <w:iCs/>
          <w:lang w:val="en-GB"/>
        </w:rPr>
        <w:t>,</w:t>
      </w:r>
      <w:r w:rsidR="00A96B03" w:rsidRPr="00DE2EDF">
        <w:rPr>
          <w:rFonts w:eastAsia="Times New Roman" w:cs="Times New Roman"/>
          <w:iCs/>
          <w:lang w:val="en-GB"/>
        </w:rPr>
        <w:t xml:space="preserve"> that </w:t>
      </w:r>
      <w:r w:rsidR="00C92743" w:rsidRPr="00DE2EDF">
        <w:rPr>
          <w:rFonts w:eastAsia="Times New Roman" w:cs="Times New Roman"/>
          <w:iCs/>
          <w:lang w:val="en-GB"/>
        </w:rPr>
        <w:t>inferior</w:t>
      </w:r>
      <w:r w:rsidR="0051168A" w:rsidRPr="00DE2EDF">
        <w:rPr>
          <w:rFonts w:eastAsia="Times New Roman" w:cs="Times New Roman"/>
          <w:iCs/>
          <w:lang w:val="en-GB"/>
        </w:rPr>
        <w:t xml:space="preserve"> </w:t>
      </w:r>
      <w:r w:rsidR="00424DB0" w:rsidRPr="00DE2EDF">
        <w:rPr>
          <w:rFonts w:eastAsia="Times New Roman" w:cs="Times New Roman"/>
          <w:iCs/>
          <w:lang w:val="en-GB"/>
        </w:rPr>
        <w:t xml:space="preserve">administrative </w:t>
      </w:r>
      <w:r w:rsidR="000E02BA" w:rsidRPr="00DE2EDF">
        <w:rPr>
          <w:rFonts w:eastAsia="Times New Roman" w:cs="Times New Roman"/>
          <w:iCs/>
          <w:lang w:val="en-GB"/>
        </w:rPr>
        <w:t>organs</w:t>
      </w:r>
      <w:r w:rsidR="00C92743" w:rsidRPr="00DE2EDF">
        <w:rPr>
          <w:rFonts w:eastAsia="Times New Roman" w:cs="Times New Roman"/>
          <w:iCs/>
          <w:lang w:val="en-GB"/>
        </w:rPr>
        <w:t xml:space="preserve"> could only submit the</w:t>
      </w:r>
      <w:r w:rsidR="0051168A" w:rsidRPr="00DE2EDF">
        <w:rPr>
          <w:rFonts w:eastAsia="Times New Roman" w:cs="Times New Roman"/>
          <w:iCs/>
          <w:lang w:val="en-GB"/>
        </w:rPr>
        <w:t>ir doubts</w:t>
      </w:r>
      <w:r w:rsidR="00C92743" w:rsidRPr="00DE2EDF">
        <w:rPr>
          <w:rFonts w:eastAsia="Times New Roman" w:cs="Times New Roman"/>
          <w:iCs/>
          <w:lang w:val="en-GB"/>
        </w:rPr>
        <w:t xml:space="preserve"> to</w:t>
      </w:r>
      <w:r w:rsidR="0051168A" w:rsidRPr="00DE2EDF">
        <w:rPr>
          <w:rFonts w:eastAsia="Times New Roman" w:cs="Times New Roman"/>
          <w:iCs/>
          <w:lang w:val="en-GB"/>
        </w:rPr>
        <w:t xml:space="preserve"> the</w:t>
      </w:r>
      <w:r w:rsidR="00424DB0" w:rsidRPr="00DE2EDF">
        <w:rPr>
          <w:rFonts w:eastAsia="Times New Roman" w:cs="Times New Roman"/>
          <w:iCs/>
          <w:lang w:val="en-GB"/>
        </w:rPr>
        <w:t xml:space="preserve"> government</w:t>
      </w:r>
      <w:r w:rsidR="00ED5326" w:rsidRPr="00DE2EDF">
        <w:rPr>
          <w:rFonts w:eastAsia="Times New Roman" w:cs="Times New Roman"/>
          <w:iCs/>
          <w:lang w:val="en-GB"/>
        </w:rPr>
        <w:t xml:space="preserve">. </w:t>
      </w:r>
      <w:r w:rsidR="00ED5326" w:rsidRPr="00DE2EDF">
        <w:rPr>
          <w:rFonts w:eastAsia="Times New Roman" w:cs="Times New Roman"/>
          <w:iCs/>
          <w:lang w:val="en-GB"/>
        </w:rPr>
        <w:lastRenderedPageBreak/>
        <w:t>I</w:t>
      </w:r>
      <w:r w:rsidR="00424DB0" w:rsidRPr="00DE2EDF">
        <w:rPr>
          <w:rFonts w:eastAsia="Times New Roman" w:cs="Times New Roman"/>
          <w:iCs/>
          <w:lang w:val="en-GB"/>
        </w:rPr>
        <w:t xml:space="preserve">nside </w:t>
      </w:r>
      <w:r w:rsidR="000E02BA" w:rsidRPr="00DE2EDF">
        <w:rPr>
          <w:rFonts w:eastAsia="Times New Roman" w:cs="Times New Roman"/>
          <w:iCs/>
          <w:lang w:val="en-GB"/>
        </w:rPr>
        <w:t>the executive</w:t>
      </w:r>
      <w:r w:rsidR="00424DB0" w:rsidRPr="00DE2EDF">
        <w:rPr>
          <w:rFonts w:eastAsia="Times New Roman" w:cs="Times New Roman"/>
          <w:iCs/>
          <w:lang w:val="en-GB"/>
        </w:rPr>
        <w:t xml:space="preserve">, </w:t>
      </w:r>
      <w:r w:rsidR="00ED5326" w:rsidRPr="00DE2EDF">
        <w:rPr>
          <w:rFonts w:eastAsia="Times New Roman" w:cs="Times New Roman"/>
          <w:iCs/>
          <w:lang w:val="en-GB"/>
        </w:rPr>
        <w:t xml:space="preserve">the government </w:t>
      </w:r>
      <w:r w:rsidR="00424DB0" w:rsidRPr="00DE2EDF">
        <w:rPr>
          <w:rFonts w:eastAsia="Times New Roman" w:cs="Times New Roman"/>
          <w:iCs/>
          <w:lang w:val="en-GB"/>
        </w:rPr>
        <w:t>is the only</w:t>
      </w:r>
      <w:r w:rsidR="00ED5326" w:rsidRPr="00DE2EDF">
        <w:rPr>
          <w:rFonts w:eastAsia="Times New Roman" w:cs="Times New Roman"/>
          <w:iCs/>
          <w:lang w:val="en-GB"/>
        </w:rPr>
        <w:t xml:space="preserve"> organ</w:t>
      </w:r>
      <w:r w:rsidR="00424DB0" w:rsidRPr="00DE2EDF">
        <w:rPr>
          <w:rFonts w:eastAsia="Times New Roman" w:cs="Times New Roman"/>
          <w:iCs/>
          <w:lang w:val="en-GB"/>
        </w:rPr>
        <w:t xml:space="preserve"> </w:t>
      </w:r>
      <w:r w:rsidR="00ED5326" w:rsidRPr="00DE2EDF">
        <w:rPr>
          <w:rFonts w:eastAsia="Times New Roman" w:cs="Times New Roman"/>
          <w:iCs/>
          <w:lang w:val="en-GB"/>
        </w:rPr>
        <w:t>entitled</w:t>
      </w:r>
      <w:r w:rsidR="00E85932" w:rsidRPr="00DE2EDF">
        <w:rPr>
          <w:rFonts w:eastAsia="Times New Roman" w:cs="Times New Roman"/>
          <w:iCs/>
          <w:lang w:val="en-GB"/>
        </w:rPr>
        <w:t xml:space="preserve"> to (</w:t>
      </w:r>
      <w:r w:rsidR="00ED5326" w:rsidRPr="00DE2EDF">
        <w:rPr>
          <w:rFonts w:eastAsia="Times New Roman" w:cs="Times New Roman"/>
          <w:iCs/>
          <w:lang w:val="en-GB"/>
        </w:rPr>
        <w:t xml:space="preserve">and, in this </w:t>
      </w:r>
      <w:r w:rsidR="00A908F6" w:rsidRPr="00DE2EDF">
        <w:rPr>
          <w:rFonts w:eastAsia="Times New Roman" w:cs="Times New Roman"/>
          <w:iCs/>
          <w:lang w:val="en-GB"/>
        </w:rPr>
        <w:t xml:space="preserve">kind of </w:t>
      </w:r>
      <w:r w:rsidR="00ED5326" w:rsidRPr="00DE2EDF">
        <w:rPr>
          <w:rFonts w:eastAsia="Times New Roman" w:cs="Times New Roman"/>
          <w:iCs/>
          <w:lang w:val="en-GB"/>
        </w:rPr>
        <w:t>matter, is only entitled</w:t>
      </w:r>
      <w:r w:rsidR="00E85932" w:rsidRPr="00DE2EDF">
        <w:rPr>
          <w:rFonts w:eastAsia="Times New Roman" w:cs="Times New Roman"/>
          <w:iCs/>
          <w:lang w:val="en-GB"/>
        </w:rPr>
        <w:t xml:space="preserve"> to)</w:t>
      </w:r>
      <w:r w:rsidR="00ED5326" w:rsidRPr="00DE2EDF">
        <w:rPr>
          <w:rFonts w:eastAsia="Times New Roman" w:cs="Times New Roman"/>
          <w:iCs/>
          <w:lang w:val="en-GB"/>
        </w:rPr>
        <w:t xml:space="preserve"> </w:t>
      </w:r>
      <w:r w:rsidR="0051168A" w:rsidRPr="00DE2EDF">
        <w:rPr>
          <w:rFonts w:eastAsia="Times New Roman" w:cs="Times New Roman"/>
          <w:iCs/>
          <w:lang w:val="en-GB"/>
        </w:rPr>
        <w:t xml:space="preserve">petition </w:t>
      </w:r>
      <w:r w:rsidR="00424DB0" w:rsidRPr="00DE2EDF">
        <w:rPr>
          <w:rFonts w:eastAsia="Times New Roman" w:cs="Times New Roman"/>
          <w:iCs/>
          <w:lang w:val="en-GB"/>
        </w:rPr>
        <w:t>the Constitutional</w:t>
      </w:r>
      <w:r w:rsidR="0051168A" w:rsidRPr="00DE2EDF">
        <w:rPr>
          <w:rFonts w:eastAsia="Times New Roman" w:cs="Times New Roman"/>
          <w:iCs/>
          <w:lang w:val="en-GB"/>
        </w:rPr>
        <w:t xml:space="preserve"> </w:t>
      </w:r>
      <w:r w:rsidR="00424DB0" w:rsidRPr="00DE2EDF">
        <w:rPr>
          <w:rFonts w:eastAsia="Times New Roman" w:cs="Times New Roman"/>
          <w:iCs/>
          <w:lang w:val="en-GB"/>
        </w:rPr>
        <w:t>C</w:t>
      </w:r>
      <w:r w:rsidR="0051168A" w:rsidRPr="00DE2EDF">
        <w:rPr>
          <w:rFonts w:eastAsia="Times New Roman" w:cs="Times New Roman"/>
          <w:iCs/>
          <w:lang w:val="en-GB"/>
        </w:rPr>
        <w:t>ourt</w:t>
      </w:r>
      <w:r w:rsidR="00FB6DE0" w:rsidRPr="00DE2EDF">
        <w:rPr>
          <w:rFonts w:eastAsia="Times New Roman" w:cs="Times New Roman"/>
          <w:iCs/>
          <w:lang w:val="en-GB"/>
        </w:rPr>
        <w:t xml:space="preserve"> (of the Federation or of the Land)</w:t>
      </w:r>
      <w:r w:rsidR="00E85932" w:rsidRPr="00DE2EDF">
        <w:rPr>
          <w:rFonts w:eastAsia="Times New Roman" w:cs="Times New Roman"/>
          <w:iCs/>
          <w:lang w:val="en-GB"/>
        </w:rPr>
        <w:t xml:space="preserve"> for a final determination</w:t>
      </w:r>
      <w:r w:rsidR="00A96B03" w:rsidRPr="00DE2EDF">
        <w:rPr>
          <w:rFonts w:eastAsia="Times New Roman" w:cs="Times New Roman"/>
          <w:iCs/>
          <w:lang w:val="en-GB"/>
        </w:rPr>
        <w:t xml:space="preserve">. In this </w:t>
      </w:r>
      <w:r w:rsidR="00580462" w:rsidRPr="00DE2EDF">
        <w:rPr>
          <w:rFonts w:eastAsia="Times New Roman" w:cs="Times New Roman"/>
          <w:iCs/>
          <w:lang w:val="en-GB"/>
        </w:rPr>
        <w:t xml:space="preserve">very vivid </w:t>
      </w:r>
      <w:r w:rsidR="00A96B03" w:rsidRPr="00DE2EDF">
        <w:rPr>
          <w:rFonts w:eastAsia="Times New Roman" w:cs="Times New Roman"/>
          <w:iCs/>
          <w:lang w:val="en-GB"/>
        </w:rPr>
        <w:t>debate, which is still going on</w:t>
      </w:r>
      <w:r w:rsidR="00A908F6" w:rsidRPr="00DE2EDF">
        <w:rPr>
          <w:rFonts w:eastAsia="Times New Roman" w:cs="Times New Roman"/>
          <w:iCs/>
          <w:lang w:val="en-GB"/>
        </w:rPr>
        <w:t>,</w:t>
      </w:r>
      <w:r w:rsidR="00A96B03" w:rsidRPr="00DE2EDF">
        <w:rPr>
          <w:rFonts w:eastAsia="Times New Roman" w:cs="Times New Roman"/>
          <w:iCs/>
          <w:lang w:val="en-GB"/>
        </w:rPr>
        <w:t xml:space="preserve"> most scholars refer to the same norms: the constitutional principles of </w:t>
      </w:r>
      <w:r w:rsidR="00A96B03" w:rsidRPr="00DE2EDF">
        <w:rPr>
          <w:rFonts w:eastAsia="Times New Roman" w:cs="Times New Roman"/>
          <w:i/>
          <w:iCs/>
          <w:lang w:val="en-GB"/>
        </w:rPr>
        <w:t>Rechtsstaat</w:t>
      </w:r>
      <w:r w:rsidR="00A96B03" w:rsidRPr="00DE2EDF">
        <w:rPr>
          <w:rFonts w:eastAsia="Times New Roman" w:cs="Times New Roman"/>
          <w:iCs/>
          <w:lang w:val="en-GB"/>
        </w:rPr>
        <w:t>, democracy, and separation of power</w:t>
      </w:r>
      <w:r w:rsidR="00E85932" w:rsidRPr="00DE2EDF">
        <w:rPr>
          <w:rFonts w:eastAsia="Times New Roman" w:cs="Times New Roman"/>
          <w:iCs/>
          <w:lang w:val="en-GB"/>
        </w:rPr>
        <w:t>s</w:t>
      </w:r>
      <w:r w:rsidR="00A96B03" w:rsidRPr="00DE2EDF">
        <w:rPr>
          <w:rFonts w:eastAsia="Times New Roman" w:cs="Times New Roman"/>
          <w:iCs/>
          <w:lang w:val="en-GB"/>
        </w:rPr>
        <w:t xml:space="preserve"> (article 20 </w:t>
      </w:r>
      <w:r w:rsidR="00A96B03" w:rsidRPr="00DE2EDF">
        <w:rPr>
          <w:rFonts w:eastAsia="Times New Roman" w:cs="Times New Roman"/>
          <w:i/>
          <w:iCs/>
          <w:lang w:val="en-GB"/>
        </w:rPr>
        <w:t>Grundgesetz</w:t>
      </w:r>
      <w:r w:rsidR="00A96B03" w:rsidRPr="00DE2EDF">
        <w:rPr>
          <w:rFonts w:eastAsia="Times New Roman" w:cs="Times New Roman"/>
          <w:iCs/>
          <w:lang w:val="en-GB"/>
        </w:rPr>
        <w:t>)</w:t>
      </w:r>
      <w:r w:rsidR="00E85932" w:rsidRPr="00DE2EDF">
        <w:rPr>
          <w:rFonts w:eastAsia="Times New Roman" w:cs="Times New Roman"/>
          <w:iCs/>
          <w:lang w:val="en-GB"/>
        </w:rPr>
        <w:t>;</w:t>
      </w:r>
      <w:r w:rsidR="00A96B03" w:rsidRPr="00DE2EDF">
        <w:rPr>
          <w:rFonts w:eastAsia="Times New Roman" w:cs="Times New Roman"/>
          <w:iCs/>
          <w:lang w:val="en-GB"/>
        </w:rPr>
        <w:t xml:space="preserve"> </w:t>
      </w:r>
      <w:r w:rsidR="00FB6DE0" w:rsidRPr="00DE2EDF">
        <w:rPr>
          <w:rFonts w:eastAsia="Times New Roman" w:cs="Times New Roman"/>
          <w:iCs/>
          <w:lang w:val="en-GB"/>
        </w:rPr>
        <w:t>the directly binding nature of fun</w:t>
      </w:r>
      <w:r w:rsidR="0057271D" w:rsidRPr="00DE2EDF">
        <w:rPr>
          <w:rFonts w:eastAsia="Times New Roman" w:cs="Times New Roman"/>
          <w:iCs/>
          <w:lang w:val="en-GB"/>
        </w:rPr>
        <w:t>damental rights (article 1 para</w:t>
      </w:r>
      <w:r w:rsidR="00FB6DE0" w:rsidRPr="00DE2EDF">
        <w:rPr>
          <w:rFonts w:eastAsia="Times New Roman" w:cs="Times New Roman"/>
          <w:iCs/>
          <w:lang w:val="en-GB"/>
        </w:rPr>
        <w:t xml:space="preserve"> 3 </w:t>
      </w:r>
      <w:r w:rsidR="00FB6DE0" w:rsidRPr="00DE2EDF">
        <w:rPr>
          <w:rFonts w:eastAsia="Times New Roman" w:cs="Times New Roman"/>
          <w:i/>
          <w:iCs/>
          <w:lang w:val="en-GB"/>
        </w:rPr>
        <w:t>Grundgesetz</w:t>
      </w:r>
      <w:r w:rsidR="00FB6DE0" w:rsidRPr="00DE2EDF">
        <w:rPr>
          <w:rFonts w:eastAsia="Times New Roman" w:cs="Times New Roman"/>
          <w:iCs/>
          <w:lang w:val="en-GB"/>
        </w:rPr>
        <w:t>)</w:t>
      </w:r>
      <w:r w:rsidR="00E85932" w:rsidRPr="00DE2EDF">
        <w:rPr>
          <w:rFonts w:eastAsia="Times New Roman" w:cs="Times New Roman"/>
          <w:iCs/>
          <w:lang w:val="en-GB"/>
        </w:rPr>
        <w:t>;</w:t>
      </w:r>
      <w:r w:rsidR="00FB6DE0" w:rsidRPr="00DE2EDF">
        <w:rPr>
          <w:rFonts w:eastAsia="Times New Roman" w:cs="Times New Roman"/>
          <w:iCs/>
          <w:lang w:val="en-GB"/>
        </w:rPr>
        <w:t xml:space="preserve"> </w:t>
      </w:r>
      <w:r w:rsidR="00A96B03" w:rsidRPr="00DE2EDF">
        <w:rPr>
          <w:rFonts w:eastAsia="Times New Roman" w:cs="Times New Roman"/>
          <w:iCs/>
          <w:lang w:val="en-GB"/>
        </w:rPr>
        <w:t xml:space="preserve">the subordination of </w:t>
      </w:r>
      <w:r w:rsidR="00FB6DE0" w:rsidRPr="00DE2EDF">
        <w:rPr>
          <w:rFonts w:eastAsia="Times New Roman" w:cs="Times New Roman"/>
          <w:iCs/>
          <w:lang w:val="en-GB"/>
        </w:rPr>
        <w:t xml:space="preserve">the </w:t>
      </w:r>
      <w:r w:rsidR="000E02BA" w:rsidRPr="00DE2EDF">
        <w:rPr>
          <w:rFonts w:eastAsia="Times New Roman" w:cs="Times New Roman"/>
          <w:iCs/>
          <w:lang w:val="en-GB"/>
        </w:rPr>
        <w:t>executive</w:t>
      </w:r>
      <w:r w:rsidR="00A96B03" w:rsidRPr="00DE2EDF">
        <w:rPr>
          <w:rFonts w:eastAsia="Times New Roman" w:cs="Times New Roman"/>
          <w:iCs/>
          <w:lang w:val="en-GB"/>
        </w:rPr>
        <w:t xml:space="preserve"> to ‘law and justice’ (article 20 para 3 </w:t>
      </w:r>
      <w:r w:rsidR="00A96B03" w:rsidRPr="00DE2EDF">
        <w:rPr>
          <w:rFonts w:eastAsia="Times New Roman" w:cs="Times New Roman"/>
          <w:i/>
          <w:iCs/>
          <w:lang w:val="en-GB"/>
        </w:rPr>
        <w:t>Grundgesetz</w:t>
      </w:r>
      <w:r w:rsidR="00A96B03" w:rsidRPr="00DE2EDF">
        <w:rPr>
          <w:rFonts w:eastAsia="Times New Roman" w:cs="Times New Roman"/>
          <w:iCs/>
          <w:lang w:val="en-GB"/>
        </w:rPr>
        <w:t>)</w:t>
      </w:r>
      <w:r w:rsidR="00E85932" w:rsidRPr="00DE2EDF">
        <w:rPr>
          <w:rFonts w:eastAsia="Times New Roman" w:cs="Times New Roman"/>
          <w:iCs/>
          <w:lang w:val="en-GB"/>
        </w:rPr>
        <w:t>;</w:t>
      </w:r>
      <w:r w:rsidR="00A96B03" w:rsidRPr="00DE2EDF">
        <w:rPr>
          <w:rFonts w:eastAsia="Times New Roman" w:cs="Times New Roman"/>
          <w:iCs/>
          <w:lang w:val="en-GB"/>
        </w:rPr>
        <w:t xml:space="preserve"> the principle of legal security</w:t>
      </w:r>
      <w:r w:rsidR="007C4D1C" w:rsidRPr="00DE2EDF">
        <w:rPr>
          <w:rFonts w:eastAsia="Times New Roman" w:cs="Times New Roman"/>
          <w:iCs/>
          <w:lang w:val="en-GB"/>
        </w:rPr>
        <w:t>;</w:t>
      </w:r>
      <w:r w:rsidR="00A96B03" w:rsidRPr="00DE2EDF">
        <w:rPr>
          <w:rFonts w:eastAsia="Times New Roman" w:cs="Times New Roman"/>
          <w:iCs/>
          <w:lang w:val="en-GB"/>
        </w:rPr>
        <w:t xml:space="preserve"> </w:t>
      </w:r>
      <w:r w:rsidR="004643A0">
        <w:rPr>
          <w:rFonts w:eastAsia="Times New Roman" w:cs="Times New Roman"/>
          <w:iCs/>
          <w:lang w:val="en-GB"/>
        </w:rPr>
        <w:t xml:space="preserve">the </w:t>
      </w:r>
      <w:r w:rsidR="004643A0" w:rsidRPr="00DE2EDF">
        <w:rPr>
          <w:rFonts w:eastAsia="Times New Roman" w:cs="Times New Roman"/>
          <w:iCs/>
          <w:lang w:val="en-GB"/>
        </w:rPr>
        <w:t xml:space="preserve">jurisdiction of the </w:t>
      </w:r>
      <w:r w:rsidR="004643A0" w:rsidRPr="00DE2EDF">
        <w:rPr>
          <w:rFonts w:eastAsia="Times New Roman" w:cs="Times New Roman"/>
          <w:i/>
          <w:iCs/>
          <w:lang w:val="en-GB"/>
        </w:rPr>
        <w:t>Bundesverfassungsgericht</w:t>
      </w:r>
      <w:r w:rsidR="004643A0" w:rsidRPr="00DE2EDF">
        <w:rPr>
          <w:rFonts w:eastAsia="Times New Roman" w:cs="Times New Roman"/>
          <w:iCs/>
          <w:lang w:val="en-GB"/>
        </w:rPr>
        <w:t xml:space="preserve"> </w:t>
      </w:r>
      <w:r w:rsidR="004643A0">
        <w:rPr>
          <w:rFonts w:eastAsia="Times New Roman" w:cs="Times New Roman"/>
          <w:iCs/>
          <w:lang w:val="en-GB"/>
        </w:rPr>
        <w:t>(</w:t>
      </w:r>
      <w:r w:rsidR="00A96B03" w:rsidRPr="00DE2EDF">
        <w:rPr>
          <w:rFonts w:eastAsia="Times New Roman" w:cs="Times New Roman"/>
          <w:iCs/>
          <w:lang w:val="en-GB"/>
        </w:rPr>
        <w:t xml:space="preserve">article 100 para 1 </w:t>
      </w:r>
      <w:r w:rsidR="00A96B03" w:rsidRPr="00DE2EDF">
        <w:rPr>
          <w:rFonts w:eastAsia="Times New Roman" w:cs="Times New Roman"/>
          <w:i/>
          <w:iCs/>
          <w:lang w:val="en-GB"/>
        </w:rPr>
        <w:t>Grundgesetz</w:t>
      </w:r>
      <w:r w:rsidR="00A96B03" w:rsidRPr="00DE2EDF">
        <w:rPr>
          <w:rFonts w:eastAsia="Times New Roman" w:cs="Times New Roman"/>
          <w:iCs/>
          <w:lang w:val="en-GB"/>
        </w:rPr>
        <w:t>)</w:t>
      </w:r>
      <w:r w:rsidR="007C4D1C" w:rsidRPr="00DE2EDF">
        <w:rPr>
          <w:rFonts w:eastAsia="Times New Roman" w:cs="Times New Roman"/>
          <w:iCs/>
          <w:lang w:val="en-GB"/>
        </w:rPr>
        <w:t>;</w:t>
      </w:r>
      <w:r w:rsidR="00A96B03" w:rsidRPr="00DE2EDF">
        <w:rPr>
          <w:rFonts w:eastAsia="Times New Roman" w:cs="Times New Roman"/>
          <w:iCs/>
          <w:lang w:val="en-GB"/>
        </w:rPr>
        <w:t xml:space="preserve"> article 93 para 1 </w:t>
      </w:r>
      <w:r w:rsidR="0057271D" w:rsidRPr="00DE2EDF">
        <w:rPr>
          <w:rFonts w:eastAsia="Times New Roman" w:cs="Times New Roman"/>
          <w:iCs/>
          <w:lang w:val="en-GB"/>
        </w:rPr>
        <w:t xml:space="preserve">no </w:t>
      </w:r>
      <w:r w:rsidR="00A96B03" w:rsidRPr="00DE2EDF">
        <w:rPr>
          <w:rFonts w:eastAsia="Times New Roman" w:cs="Times New Roman"/>
          <w:iCs/>
          <w:lang w:val="en-GB"/>
        </w:rPr>
        <w:t xml:space="preserve">2 </w:t>
      </w:r>
      <w:r w:rsidR="00A96B03" w:rsidRPr="00DE2EDF">
        <w:rPr>
          <w:rFonts w:eastAsia="Times New Roman" w:cs="Times New Roman"/>
          <w:i/>
          <w:iCs/>
          <w:lang w:val="en-GB"/>
        </w:rPr>
        <w:t>Grundgesetz</w:t>
      </w:r>
      <w:r w:rsidR="00A96B03" w:rsidRPr="00DE2EDF">
        <w:rPr>
          <w:rFonts w:eastAsia="Times New Roman" w:cs="Times New Roman"/>
          <w:iCs/>
          <w:lang w:val="en-GB"/>
        </w:rPr>
        <w:t xml:space="preserve"> in conjunction with </w:t>
      </w:r>
      <w:r w:rsidR="0057271D" w:rsidRPr="00DE2EDF">
        <w:rPr>
          <w:rFonts w:eastAsia="Times New Roman" w:cs="Times New Roman"/>
          <w:iCs/>
          <w:lang w:val="en-GB"/>
        </w:rPr>
        <w:t>section</w:t>
      </w:r>
      <w:r w:rsidR="00A96B03" w:rsidRPr="00DE2EDF">
        <w:rPr>
          <w:rFonts w:eastAsia="Times New Roman" w:cs="Times New Roman"/>
          <w:iCs/>
          <w:lang w:val="en-GB"/>
        </w:rPr>
        <w:t xml:space="preserve"> 76 of the Federal Constitutional Court Act</w:t>
      </w:r>
      <w:r w:rsidR="00916EEF">
        <w:rPr>
          <w:rFonts w:eastAsia="Times New Roman" w:cs="Times New Roman"/>
          <w:iCs/>
          <w:lang w:val="en-GB"/>
        </w:rPr>
        <w:t xml:space="preserve"> (</w:t>
      </w:r>
      <w:r w:rsidR="00916EEF" w:rsidRPr="00916EEF">
        <w:rPr>
          <w:rFonts w:eastAsia="Times New Roman" w:cs="Times New Roman"/>
          <w:i/>
          <w:iCs/>
          <w:lang w:val="en-GB"/>
        </w:rPr>
        <w:t>Bundesverfassungsgerichtsgesetz</w:t>
      </w:r>
      <w:r w:rsidR="00916EEF">
        <w:rPr>
          <w:rFonts w:eastAsia="Times New Roman" w:cs="Times New Roman"/>
          <w:iCs/>
          <w:lang w:val="en-GB"/>
        </w:rPr>
        <w:t>)</w:t>
      </w:r>
      <w:r w:rsidR="007C4D1C" w:rsidRPr="00DE2EDF">
        <w:rPr>
          <w:rFonts w:eastAsia="Times New Roman" w:cs="Times New Roman"/>
          <w:iCs/>
          <w:lang w:val="en-GB"/>
        </w:rPr>
        <w:t>;</w:t>
      </w:r>
      <w:r w:rsidR="00A96B03" w:rsidRPr="00DE2EDF">
        <w:rPr>
          <w:rFonts w:eastAsia="Times New Roman" w:cs="Times New Roman"/>
          <w:iCs/>
          <w:lang w:val="en-GB"/>
        </w:rPr>
        <w:t xml:space="preserve"> the</w:t>
      </w:r>
      <w:r w:rsidR="00C92743" w:rsidRPr="00DE2EDF">
        <w:rPr>
          <w:rFonts w:eastAsia="Times New Roman" w:cs="Times New Roman"/>
          <w:iCs/>
          <w:lang w:val="en-GB"/>
        </w:rPr>
        <w:t xml:space="preserve"> traditional German solution of the</w:t>
      </w:r>
      <w:r w:rsidR="00A96B03" w:rsidRPr="00DE2EDF">
        <w:rPr>
          <w:rFonts w:eastAsia="Times New Roman" w:cs="Times New Roman"/>
          <w:iCs/>
          <w:lang w:val="en-GB"/>
        </w:rPr>
        <w:t xml:space="preserve"> ex-tunc</w:t>
      </w:r>
      <w:r w:rsidR="000A0494" w:rsidRPr="00DE2EDF">
        <w:rPr>
          <w:rFonts w:eastAsia="Times New Roman" w:cs="Times New Roman"/>
          <w:iCs/>
          <w:lang w:val="en-GB"/>
        </w:rPr>
        <w:t xml:space="preserve"> </w:t>
      </w:r>
      <w:r w:rsidR="00A96B03" w:rsidRPr="00DE2EDF">
        <w:rPr>
          <w:rFonts w:eastAsia="Times New Roman" w:cs="Times New Roman"/>
          <w:iCs/>
          <w:lang w:val="en-GB"/>
        </w:rPr>
        <w:t xml:space="preserve">nullity of </w:t>
      </w:r>
      <w:r w:rsidR="00C92743" w:rsidRPr="00DE2EDF">
        <w:rPr>
          <w:rFonts w:eastAsia="Times New Roman" w:cs="Times New Roman"/>
          <w:iCs/>
          <w:lang w:val="en-GB"/>
        </w:rPr>
        <w:t>any unlawful general norm</w:t>
      </w:r>
      <w:r w:rsidR="00A96B03" w:rsidRPr="00DE2EDF">
        <w:rPr>
          <w:rFonts w:eastAsia="Times New Roman" w:cs="Times New Roman"/>
          <w:iCs/>
          <w:lang w:val="en-GB"/>
        </w:rPr>
        <w:t>, etc. But</w:t>
      </w:r>
      <w:r w:rsidR="000A0494" w:rsidRPr="00DE2EDF">
        <w:rPr>
          <w:rFonts w:eastAsia="Times New Roman" w:cs="Times New Roman"/>
          <w:iCs/>
          <w:lang w:val="en-GB"/>
        </w:rPr>
        <w:t>,</w:t>
      </w:r>
      <w:r w:rsidR="00A96B03" w:rsidRPr="00DE2EDF">
        <w:rPr>
          <w:rFonts w:eastAsia="Times New Roman" w:cs="Times New Roman"/>
          <w:iCs/>
          <w:lang w:val="en-GB"/>
        </w:rPr>
        <w:t xml:space="preserve"> they attach slightly different meanings to them. </w:t>
      </w:r>
      <w:r w:rsidR="0057271D" w:rsidRPr="00DE2EDF">
        <w:rPr>
          <w:rFonts w:cs="Times New Roman"/>
          <w:lang w:val="en-GB"/>
        </w:rPr>
        <w:t xml:space="preserve">Section </w:t>
      </w:r>
      <w:r w:rsidR="00A96B03" w:rsidRPr="00DE2EDF">
        <w:rPr>
          <w:rFonts w:cs="Times New Roman"/>
          <w:lang w:val="en-GB"/>
        </w:rPr>
        <w:t>63 of the 2009 Federal Civil Service Act (</w:t>
      </w:r>
      <w:r w:rsidR="00A96B03" w:rsidRPr="00DE2EDF">
        <w:rPr>
          <w:rFonts w:cs="Times New Roman"/>
          <w:i/>
          <w:lang w:val="en-GB"/>
        </w:rPr>
        <w:t>Bundesbeamtengesetz</w:t>
      </w:r>
      <w:r w:rsidR="00A96B03" w:rsidRPr="00DE2EDF">
        <w:rPr>
          <w:rFonts w:cs="Times New Roman"/>
          <w:lang w:val="en-GB"/>
        </w:rPr>
        <w:t>)</w:t>
      </w:r>
      <w:r w:rsidR="0057271D" w:rsidRPr="00DE2EDF">
        <w:rPr>
          <w:rFonts w:cs="Times New Roman"/>
          <w:lang w:val="en-GB"/>
        </w:rPr>
        <w:t xml:space="preserve"> </w:t>
      </w:r>
      <w:r w:rsidR="00525D7C" w:rsidRPr="00DE2EDF">
        <w:rPr>
          <w:rFonts w:cs="Times New Roman"/>
          <w:lang w:val="en-GB"/>
        </w:rPr>
        <w:t>which</w:t>
      </w:r>
      <w:r w:rsidR="00A96B03" w:rsidRPr="00DE2EDF">
        <w:rPr>
          <w:rFonts w:cs="Times New Roman"/>
          <w:lang w:val="en-GB"/>
        </w:rPr>
        <w:t xml:space="preserve"> discharg</w:t>
      </w:r>
      <w:r w:rsidR="000A0494" w:rsidRPr="00DE2EDF">
        <w:rPr>
          <w:rFonts w:cs="Times New Roman"/>
          <w:lang w:val="en-GB"/>
        </w:rPr>
        <w:t>es</w:t>
      </w:r>
      <w:r w:rsidR="00A96B03" w:rsidRPr="00DE2EDF">
        <w:rPr>
          <w:rFonts w:cs="Times New Roman"/>
          <w:lang w:val="en-GB"/>
        </w:rPr>
        <w:t xml:space="preserve"> Federal civil servants from their obedience to superiors whenever the order infringes human dignity (article 1 </w:t>
      </w:r>
      <w:r w:rsidR="00A96B03" w:rsidRPr="00DE2EDF">
        <w:rPr>
          <w:rFonts w:cs="Times New Roman"/>
          <w:i/>
          <w:lang w:val="en-GB"/>
        </w:rPr>
        <w:t>Grundgesetz</w:t>
      </w:r>
      <w:r w:rsidR="00A96B03" w:rsidRPr="00DE2EDF">
        <w:rPr>
          <w:rFonts w:cs="Times New Roman"/>
          <w:lang w:val="en-GB"/>
        </w:rPr>
        <w:t>) or violates an obvious criminal standard, is</w:t>
      </w:r>
      <w:r w:rsidR="00A96B03" w:rsidRPr="00DE2EDF">
        <w:rPr>
          <w:rFonts w:eastAsia="Times New Roman" w:cs="Times New Roman"/>
          <w:iCs/>
          <w:lang w:val="en-GB"/>
        </w:rPr>
        <w:t xml:space="preserve"> only mentioned at the margin</w:t>
      </w:r>
      <w:r w:rsidR="00A96B03" w:rsidRPr="00DE2EDF">
        <w:rPr>
          <w:rFonts w:cs="Times New Roman"/>
          <w:lang w:val="en-GB"/>
        </w:rPr>
        <w:t>.</w:t>
      </w:r>
      <w:r w:rsidR="00C92743" w:rsidRPr="00DE2EDF">
        <w:rPr>
          <w:rFonts w:cs="Times New Roman"/>
          <w:lang w:val="en-GB"/>
        </w:rPr>
        <w:t xml:space="preserve"> </w:t>
      </w:r>
      <w:r w:rsidR="00FB6DE0" w:rsidRPr="00DE2EDF">
        <w:rPr>
          <w:rFonts w:cs="Times New Roman"/>
          <w:lang w:val="en-GB"/>
        </w:rPr>
        <w:t>Today, h</w:t>
      </w:r>
      <w:r w:rsidR="009F2549" w:rsidRPr="00DE2EDF">
        <w:rPr>
          <w:rFonts w:cs="Times New Roman"/>
          <w:lang w:val="en-GB"/>
        </w:rPr>
        <w:t xml:space="preserve">owever, </w:t>
      </w:r>
      <w:r w:rsidR="001915B7" w:rsidRPr="00DE2EDF">
        <w:rPr>
          <w:rFonts w:cs="Times New Roman"/>
          <w:lang w:val="en-GB"/>
        </w:rPr>
        <w:t xml:space="preserve">the old thesis of Bachof, which is quite unusual compared to most legal traditions in Europe, </w:t>
      </w:r>
      <w:r w:rsidR="00F43F3F" w:rsidRPr="00DE2EDF">
        <w:rPr>
          <w:rFonts w:cs="Times New Roman"/>
          <w:lang w:val="en-GB"/>
        </w:rPr>
        <w:t>seems to</w:t>
      </w:r>
      <w:r w:rsidR="006810E3" w:rsidRPr="00DE2EDF">
        <w:rPr>
          <w:rFonts w:cs="Times New Roman"/>
          <w:lang w:val="en-GB"/>
        </w:rPr>
        <w:t xml:space="preserve"> be </w:t>
      </w:r>
      <w:r w:rsidR="000F488B" w:rsidRPr="00DE2EDF">
        <w:rPr>
          <w:rFonts w:cs="Times New Roman"/>
          <w:lang w:val="en-GB"/>
        </w:rPr>
        <w:t>declin</w:t>
      </w:r>
      <w:r w:rsidR="006810E3" w:rsidRPr="00DE2EDF">
        <w:rPr>
          <w:rFonts w:cs="Times New Roman"/>
          <w:lang w:val="en-GB"/>
        </w:rPr>
        <w:t>ing</w:t>
      </w:r>
      <w:r w:rsidR="00E34624" w:rsidRPr="00DE2EDF">
        <w:rPr>
          <w:rFonts w:cs="Times New Roman"/>
          <w:lang w:val="en-GB"/>
        </w:rPr>
        <w:t xml:space="preserve"> in Germany</w:t>
      </w:r>
      <w:r w:rsidR="000F488B" w:rsidRPr="00DE2EDF">
        <w:rPr>
          <w:rFonts w:cs="Times New Roman"/>
          <w:lang w:val="en-GB"/>
        </w:rPr>
        <w:t>. It has been abandoned by almost all scholars with regard to unlawful statutes</w:t>
      </w:r>
      <w:r w:rsidR="00E34624" w:rsidRPr="00DE2EDF">
        <w:rPr>
          <w:rFonts w:cs="Times New Roman"/>
          <w:lang w:val="en-GB"/>
        </w:rPr>
        <w:t xml:space="preserve">, </w:t>
      </w:r>
      <w:r w:rsidR="000F488B" w:rsidRPr="00DE2EDF">
        <w:rPr>
          <w:rFonts w:cs="Times New Roman"/>
          <w:lang w:val="en-GB"/>
        </w:rPr>
        <w:t xml:space="preserve">passed by the Federation or a </w:t>
      </w:r>
      <w:r w:rsidR="000F488B" w:rsidRPr="00DE2EDF">
        <w:rPr>
          <w:rFonts w:cs="Times New Roman"/>
          <w:i/>
          <w:lang w:val="en-GB"/>
        </w:rPr>
        <w:t>Land</w:t>
      </w:r>
      <w:r w:rsidR="00F43F3F" w:rsidRPr="00DE2EDF">
        <w:rPr>
          <w:rFonts w:cs="Times New Roman"/>
          <w:lang w:val="en-GB"/>
        </w:rPr>
        <w:t xml:space="preserve">. Concerning regulations, the question is uncertain and controversial: </w:t>
      </w:r>
      <w:r w:rsidR="00E34624" w:rsidRPr="00DE2EDF">
        <w:rPr>
          <w:rFonts w:cs="Times New Roman"/>
          <w:lang w:val="en-GB"/>
        </w:rPr>
        <w:t>administrative c</w:t>
      </w:r>
      <w:r w:rsidR="00F43F3F" w:rsidRPr="00DE2EDF">
        <w:rPr>
          <w:rFonts w:cs="Times New Roman"/>
          <w:lang w:val="en-GB"/>
        </w:rPr>
        <w:t>ourt</w:t>
      </w:r>
      <w:r w:rsidR="00E34624" w:rsidRPr="00DE2EDF">
        <w:rPr>
          <w:rFonts w:cs="Times New Roman"/>
          <w:lang w:val="en-GB"/>
        </w:rPr>
        <w:t>s</w:t>
      </w:r>
      <w:r w:rsidR="00F43F3F" w:rsidRPr="00DE2EDF">
        <w:rPr>
          <w:rFonts w:cs="Times New Roman"/>
          <w:lang w:val="en-GB"/>
        </w:rPr>
        <w:t xml:space="preserve"> ha</w:t>
      </w:r>
      <w:r w:rsidR="00E34624" w:rsidRPr="00DE2EDF">
        <w:rPr>
          <w:rFonts w:cs="Times New Roman"/>
          <w:lang w:val="en-GB"/>
        </w:rPr>
        <w:t>ve</w:t>
      </w:r>
      <w:r w:rsidR="00F43F3F" w:rsidRPr="00DE2EDF">
        <w:rPr>
          <w:rFonts w:cs="Times New Roman"/>
          <w:lang w:val="en-GB"/>
        </w:rPr>
        <w:t xml:space="preserve"> admitted it</w:t>
      </w:r>
      <w:r w:rsidR="006E0578" w:rsidRPr="00DE2EDF">
        <w:rPr>
          <w:rFonts w:cs="Times New Roman"/>
          <w:lang w:val="en-GB"/>
        </w:rPr>
        <w:t>, but only under very strict conditions in the field of urban plan</w:t>
      </w:r>
      <w:r w:rsidR="00FB6DE0" w:rsidRPr="00DE2EDF">
        <w:rPr>
          <w:rFonts w:cs="Times New Roman"/>
          <w:lang w:val="en-GB"/>
        </w:rPr>
        <w:t>ning</w:t>
      </w:r>
      <w:r w:rsidR="006E0578" w:rsidRPr="00DE2EDF">
        <w:rPr>
          <w:rFonts w:cs="Times New Roman"/>
          <w:lang w:val="en-GB"/>
        </w:rPr>
        <w:t xml:space="preserve">. </w:t>
      </w:r>
      <w:r w:rsidR="001915B7" w:rsidRPr="00DE2EDF">
        <w:rPr>
          <w:rFonts w:cs="Times New Roman"/>
          <w:lang w:val="en-GB"/>
        </w:rPr>
        <w:t xml:space="preserve">A certain, </w:t>
      </w:r>
      <w:r w:rsidR="00525D7C" w:rsidRPr="00DE2EDF">
        <w:rPr>
          <w:rFonts w:cs="Times New Roman"/>
          <w:lang w:val="en-GB"/>
        </w:rPr>
        <w:t xml:space="preserve">and </w:t>
      </w:r>
      <w:r w:rsidR="001915B7" w:rsidRPr="00DE2EDF">
        <w:rPr>
          <w:rFonts w:cs="Times New Roman"/>
          <w:lang w:val="en-GB"/>
        </w:rPr>
        <w:t>to some extent paradoxical</w:t>
      </w:r>
      <w:r w:rsidR="00525D7C" w:rsidRPr="00DE2EDF">
        <w:rPr>
          <w:rFonts w:cs="Times New Roman"/>
          <w:lang w:val="en-GB"/>
        </w:rPr>
        <w:t>,</w:t>
      </w:r>
      <w:r w:rsidR="001915B7" w:rsidRPr="00DE2EDF">
        <w:rPr>
          <w:rStyle w:val="FootnoteReference"/>
          <w:rFonts w:cs="Times New Roman"/>
          <w:lang w:val="en-GB"/>
        </w:rPr>
        <w:footnoteReference w:id="227"/>
      </w:r>
      <w:r w:rsidR="001915B7" w:rsidRPr="00DE2EDF">
        <w:rPr>
          <w:rFonts w:cs="Times New Roman"/>
          <w:lang w:val="en-GB"/>
        </w:rPr>
        <w:t xml:space="preserve"> ‘normalisation’ of Germany is on its way.</w:t>
      </w:r>
      <w:r w:rsidR="00DA2F7B" w:rsidRPr="00DE2EDF">
        <w:rPr>
          <w:rFonts w:cs="Times New Roman"/>
          <w:lang w:val="en-GB"/>
        </w:rPr>
        <w:t xml:space="preserve"> </w:t>
      </w:r>
    </w:p>
    <w:p w14:paraId="34827D3A" w14:textId="77777777" w:rsidR="000F4C26" w:rsidRPr="00DE2EDF" w:rsidRDefault="000F4C26" w:rsidP="00DE2EDF">
      <w:pPr>
        <w:spacing w:after="0"/>
        <w:jc w:val="both"/>
        <w:rPr>
          <w:rFonts w:cs="Times New Roman"/>
          <w:lang w:val="en-GB"/>
        </w:rPr>
      </w:pPr>
    </w:p>
    <w:p w14:paraId="0D0AEDFE" w14:textId="2B523D0D" w:rsidR="00244534" w:rsidRPr="00DE2EDF" w:rsidRDefault="00AD12AF" w:rsidP="00DE2EDF">
      <w:pPr>
        <w:spacing w:after="0"/>
        <w:jc w:val="both"/>
        <w:rPr>
          <w:rFonts w:eastAsia="Times New Roman" w:cs="Times New Roman"/>
          <w:iCs/>
          <w:lang w:val="en-GB"/>
        </w:rPr>
      </w:pPr>
      <w:r w:rsidRPr="00DE2EDF">
        <w:rPr>
          <w:rFonts w:cs="Times New Roman"/>
          <w:lang w:val="en-GB"/>
        </w:rPr>
        <w:t>In</w:t>
      </w:r>
      <w:r w:rsidR="00FB6DE0" w:rsidRPr="00DE2EDF">
        <w:rPr>
          <w:rFonts w:cs="Times New Roman"/>
          <w:lang w:val="en-GB"/>
        </w:rPr>
        <w:t>deed, in</w:t>
      </w:r>
      <w:r w:rsidR="00E87E69" w:rsidRPr="00DE2EDF">
        <w:rPr>
          <w:rFonts w:cs="Times New Roman"/>
          <w:lang w:val="en-GB"/>
        </w:rPr>
        <w:t xml:space="preserve"> most</w:t>
      </w:r>
      <w:r w:rsidRPr="00DE2EDF">
        <w:rPr>
          <w:rFonts w:cs="Times New Roman"/>
          <w:lang w:val="en-GB"/>
        </w:rPr>
        <w:t xml:space="preserve"> European countries, the opposite thesis</w:t>
      </w:r>
      <w:r w:rsidR="00E34624" w:rsidRPr="00DE2EDF">
        <w:rPr>
          <w:rFonts w:cs="Times New Roman"/>
          <w:lang w:val="en-GB"/>
        </w:rPr>
        <w:t xml:space="preserve">, </w:t>
      </w:r>
      <w:r w:rsidR="00B34036" w:rsidRPr="00DE2EDF">
        <w:rPr>
          <w:rFonts w:cs="Times New Roman"/>
          <w:lang w:val="en-GB"/>
        </w:rPr>
        <w:t xml:space="preserve">supported and </w:t>
      </w:r>
      <w:r w:rsidR="00E34624" w:rsidRPr="00DE2EDF">
        <w:rPr>
          <w:rFonts w:cs="Times New Roman"/>
          <w:lang w:val="en-GB"/>
        </w:rPr>
        <w:t xml:space="preserve">conveyed by national </w:t>
      </w:r>
      <w:r w:rsidR="00B34036" w:rsidRPr="00DE2EDF">
        <w:rPr>
          <w:rFonts w:cs="Times New Roman"/>
          <w:lang w:val="en-GB"/>
        </w:rPr>
        <w:t xml:space="preserve">legal </w:t>
      </w:r>
      <w:r w:rsidR="00E34624" w:rsidRPr="00DE2EDF">
        <w:rPr>
          <w:rFonts w:cs="Times New Roman"/>
          <w:lang w:val="en-GB"/>
        </w:rPr>
        <w:t>tradition</w:t>
      </w:r>
      <w:r w:rsidR="00525D7C" w:rsidRPr="00DE2EDF">
        <w:rPr>
          <w:rFonts w:cs="Times New Roman"/>
          <w:lang w:val="en-GB"/>
        </w:rPr>
        <w:t>s</w:t>
      </w:r>
      <w:r w:rsidR="00E34624" w:rsidRPr="00DE2EDF">
        <w:rPr>
          <w:rFonts w:cs="Times New Roman"/>
          <w:lang w:val="en-GB"/>
        </w:rPr>
        <w:t>,</w:t>
      </w:r>
      <w:r w:rsidR="000B53C6" w:rsidRPr="00DE2EDF">
        <w:rPr>
          <w:rFonts w:cs="Times New Roman"/>
          <w:lang w:val="en-GB"/>
        </w:rPr>
        <w:t xml:space="preserve"> prevails</w:t>
      </w:r>
      <w:r w:rsidR="006810E3" w:rsidRPr="00DE2EDF">
        <w:rPr>
          <w:rFonts w:cs="Times New Roman"/>
          <w:lang w:val="en-GB"/>
        </w:rPr>
        <w:t>.</w:t>
      </w:r>
      <w:r w:rsidR="00E34624" w:rsidRPr="00DE2EDF">
        <w:rPr>
          <w:rFonts w:cs="Times New Roman"/>
          <w:lang w:val="en-GB"/>
        </w:rPr>
        <w:t xml:space="preserve"> </w:t>
      </w:r>
      <w:r w:rsidR="00677BEE" w:rsidRPr="00DE2EDF">
        <w:rPr>
          <w:rFonts w:cs="Times New Roman"/>
          <w:lang w:val="en-GB"/>
        </w:rPr>
        <w:t xml:space="preserve">Finland, although quite near to </w:t>
      </w:r>
      <w:r w:rsidR="00525D7C" w:rsidRPr="00DE2EDF">
        <w:rPr>
          <w:rFonts w:cs="Times New Roman"/>
          <w:lang w:val="en-GB"/>
        </w:rPr>
        <w:t xml:space="preserve">it </w:t>
      </w:r>
      <w:r w:rsidR="00677BEE" w:rsidRPr="00DE2EDF">
        <w:rPr>
          <w:rFonts w:cs="Times New Roman"/>
          <w:lang w:val="en-GB"/>
        </w:rPr>
        <w:t xml:space="preserve">in matters of judicial constitutional review, has not adopted </w:t>
      </w:r>
      <w:r w:rsidR="00525D7C" w:rsidRPr="00DE2EDF">
        <w:rPr>
          <w:rFonts w:cs="Times New Roman"/>
          <w:lang w:val="en-GB"/>
        </w:rPr>
        <w:t xml:space="preserve">Sweden’s </w:t>
      </w:r>
      <w:r w:rsidR="00677BEE" w:rsidRPr="00DE2EDF">
        <w:rPr>
          <w:rFonts w:cs="Times New Roman"/>
          <w:lang w:val="en-GB"/>
        </w:rPr>
        <w:t>original solution on this point</w:t>
      </w:r>
      <w:r w:rsidR="00525D7C" w:rsidRPr="00DE2EDF">
        <w:rPr>
          <w:rFonts w:cs="Times New Roman"/>
          <w:lang w:val="en-GB"/>
        </w:rPr>
        <w:t>.</w:t>
      </w:r>
      <w:r w:rsidR="00677BEE" w:rsidRPr="00DE2EDF">
        <w:rPr>
          <w:rStyle w:val="FootnoteReference"/>
          <w:rFonts w:cs="Times New Roman"/>
          <w:lang w:val="en-GB"/>
        </w:rPr>
        <w:footnoteReference w:id="228"/>
      </w:r>
      <w:r w:rsidR="00677BEE" w:rsidRPr="00DE2EDF">
        <w:rPr>
          <w:rFonts w:cs="Times New Roman"/>
          <w:lang w:val="en-GB"/>
        </w:rPr>
        <w:t xml:space="preserve"> </w:t>
      </w:r>
      <w:r w:rsidR="00525D7C" w:rsidRPr="00DE2EDF">
        <w:rPr>
          <w:rFonts w:cs="Times New Roman"/>
          <w:lang w:val="en-GB"/>
        </w:rPr>
        <w:t>Moreover, t</w:t>
      </w:r>
      <w:r w:rsidR="003E7181" w:rsidRPr="00DE2EDF">
        <w:rPr>
          <w:rFonts w:cs="Times New Roman"/>
          <w:lang w:val="en-GB"/>
        </w:rPr>
        <w:t>h</w:t>
      </w:r>
      <w:r w:rsidR="006810E3" w:rsidRPr="00DE2EDF">
        <w:rPr>
          <w:rFonts w:cs="Times New Roman"/>
          <w:lang w:val="en-GB"/>
        </w:rPr>
        <w:t>e</w:t>
      </w:r>
      <w:r w:rsidR="003E7181" w:rsidRPr="00DE2EDF">
        <w:rPr>
          <w:rFonts w:cs="Times New Roman"/>
          <w:lang w:val="en-GB"/>
        </w:rPr>
        <w:t xml:space="preserve"> Swiss approach seems to </w:t>
      </w:r>
      <w:r w:rsidR="00525D7C" w:rsidRPr="00DE2EDF">
        <w:rPr>
          <w:rFonts w:cs="Times New Roman"/>
          <w:lang w:val="en-GB"/>
        </w:rPr>
        <w:t xml:space="preserve">have </w:t>
      </w:r>
      <w:r w:rsidR="003E7181" w:rsidRPr="00DE2EDF">
        <w:rPr>
          <w:rFonts w:cs="Times New Roman"/>
          <w:lang w:val="en-GB"/>
        </w:rPr>
        <w:t>be</w:t>
      </w:r>
      <w:r w:rsidR="00525D7C" w:rsidRPr="00DE2EDF">
        <w:rPr>
          <w:rFonts w:cs="Times New Roman"/>
          <w:lang w:val="en-GB"/>
        </w:rPr>
        <w:t>en</w:t>
      </w:r>
      <w:r w:rsidR="003E7181" w:rsidRPr="00DE2EDF">
        <w:rPr>
          <w:rFonts w:cs="Times New Roman"/>
          <w:lang w:val="en-GB"/>
        </w:rPr>
        <w:t xml:space="preserve"> </w:t>
      </w:r>
      <w:r w:rsidR="00525D7C" w:rsidRPr="00DE2EDF">
        <w:rPr>
          <w:rFonts w:cs="Times New Roman"/>
          <w:lang w:val="en-GB"/>
        </w:rPr>
        <w:t xml:space="preserve">completely </w:t>
      </w:r>
      <w:r w:rsidR="003E7181" w:rsidRPr="00DE2EDF">
        <w:rPr>
          <w:rFonts w:cs="Times New Roman"/>
          <w:lang w:val="en-GB"/>
        </w:rPr>
        <w:t xml:space="preserve">ignored abroad. </w:t>
      </w:r>
      <w:r w:rsidR="00E34624" w:rsidRPr="00DE2EDF">
        <w:rPr>
          <w:rFonts w:cs="Times New Roman"/>
          <w:lang w:val="en-GB"/>
        </w:rPr>
        <w:t>The German debate</w:t>
      </w:r>
      <w:r w:rsidR="00E87E69" w:rsidRPr="00DE2EDF">
        <w:rPr>
          <w:rFonts w:cs="Times New Roman"/>
          <w:lang w:val="en-GB"/>
        </w:rPr>
        <w:t xml:space="preserve"> has</w:t>
      </w:r>
      <w:r w:rsidR="00E34624" w:rsidRPr="00DE2EDF">
        <w:rPr>
          <w:rFonts w:cs="Times New Roman"/>
          <w:lang w:val="en-GB"/>
        </w:rPr>
        <w:t xml:space="preserve"> attracted a </w:t>
      </w:r>
      <w:r w:rsidR="00B34036" w:rsidRPr="00DE2EDF">
        <w:rPr>
          <w:rFonts w:cs="Times New Roman"/>
          <w:lang w:val="en-GB"/>
        </w:rPr>
        <w:t xml:space="preserve">certain </w:t>
      </w:r>
      <w:r w:rsidR="00E34624" w:rsidRPr="00DE2EDF">
        <w:rPr>
          <w:rFonts w:cs="Times New Roman"/>
          <w:lang w:val="en-GB"/>
        </w:rPr>
        <w:t xml:space="preserve">international audience (for example, in </w:t>
      </w:r>
      <w:r w:rsidR="00B1642D" w:rsidRPr="00DE2EDF">
        <w:rPr>
          <w:rFonts w:cs="Times New Roman"/>
          <w:lang w:val="en-GB"/>
        </w:rPr>
        <w:t xml:space="preserve">Switzerland, </w:t>
      </w:r>
      <w:r w:rsidR="00E34624" w:rsidRPr="00DE2EDF">
        <w:rPr>
          <w:rFonts w:cs="Times New Roman"/>
          <w:lang w:val="en-GB"/>
        </w:rPr>
        <w:t>Portugal</w:t>
      </w:r>
      <w:r w:rsidR="00525D7C" w:rsidRPr="00DE2EDF">
        <w:rPr>
          <w:rFonts w:cs="Times New Roman"/>
          <w:lang w:val="en-GB"/>
        </w:rPr>
        <w:t>,</w:t>
      </w:r>
      <w:r w:rsidR="006810E3" w:rsidRPr="00DE2EDF">
        <w:rPr>
          <w:rFonts w:cs="Times New Roman"/>
          <w:lang w:val="en-GB"/>
        </w:rPr>
        <w:t xml:space="preserve"> </w:t>
      </w:r>
      <w:r w:rsidR="00525D7C" w:rsidRPr="00DE2EDF">
        <w:rPr>
          <w:rFonts w:cs="Times New Roman"/>
          <w:lang w:val="en-GB"/>
        </w:rPr>
        <w:t xml:space="preserve">and </w:t>
      </w:r>
      <w:r w:rsidR="006810E3" w:rsidRPr="00DE2EDF">
        <w:rPr>
          <w:rFonts w:cs="Times New Roman"/>
          <w:lang w:val="en-GB"/>
        </w:rPr>
        <w:t>Austria</w:t>
      </w:r>
      <w:r w:rsidR="00E34624" w:rsidRPr="00DE2EDF">
        <w:rPr>
          <w:rFonts w:cs="Times New Roman"/>
          <w:lang w:val="en-GB"/>
        </w:rPr>
        <w:t>)</w:t>
      </w:r>
      <w:r w:rsidR="00E87E69" w:rsidRPr="00DE2EDF">
        <w:rPr>
          <w:rFonts w:cs="Times New Roman"/>
          <w:lang w:val="en-GB"/>
        </w:rPr>
        <w:t>; yet</w:t>
      </w:r>
      <w:r w:rsidR="00525D7C" w:rsidRPr="00DE2EDF">
        <w:rPr>
          <w:rFonts w:cs="Times New Roman"/>
          <w:lang w:val="en-GB"/>
        </w:rPr>
        <w:t>,</w:t>
      </w:r>
      <w:r w:rsidR="00B1642D" w:rsidRPr="00DE2EDF">
        <w:rPr>
          <w:rFonts w:cs="Times New Roman"/>
          <w:lang w:val="en-GB"/>
        </w:rPr>
        <w:t xml:space="preserve"> in most cases</w:t>
      </w:r>
      <w:r w:rsidR="00E87E69" w:rsidRPr="00DE2EDF">
        <w:rPr>
          <w:rFonts w:cs="Times New Roman"/>
          <w:lang w:val="en-GB"/>
        </w:rPr>
        <w:t xml:space="preserve"> it </w:t>
      </w:r>
      <w:r w:rsidR="00B34036" w:rsidRPr="00DE2EDF">
        <w:rPr>
          <w:rFonts w:cs="Times New Roman"/>
          <w:lang w:val="en-GB"/>
        </w:rPr>
        <w:t xml:space="preserve">has not </w:t>
      </w:r>
      <w:r w:rsidR="00B1642D" w:rsidRPr="00DE2EDF">
        <w:rPr>
          <w:rFonts w:cs="Times New Roman"/>
          <w:lang w:val="en-GB"/>
        </w:rPr>
        <w:t>triggered</w:t>
      </w:r>
      <w:r w:rsidR="00B34036" w:rsidRPr="00DE2EDF">
        <w:rPr>
          <w:rFonts w:cs="Times New Roman"/>
          <w:lang w:val="en-GB"/>
        </w:rPr>
        <w:t xml:space="preserve"> a legal change.</w:t>
      </w:r>
      <w:r w:rsidR="003E7181" w:rsidRPr="00DE2EDF">
        <w:rPr>
          <w:rFonts w:cs="Times New Roman"/>
          <w:lang w:val="en-GB"/>
        </w:rPr>
        <w:t xml:space="preserve"> </w:t>
      </w:r>
      <w:r w:rsidRPr="00DE2EDF">
        <w:rPr>
          <w:rFonts w:cs="Times New Roman"/>
          <w:lang w:val="en-GB"/>
        </w:rPr>
        <w:t>I</w:t>
      </w:r>
      <w:r w:rsidR="00E678E1" w:rsidRPr="00DE2EDF">
        <w:rPr>
          <w:rFonts w:cs="Times New Roman"/>
          <w:lang w:val="en-GB"/>
        </w:rPr>
        <w:t>n Au</w:t>
      </w:r>
      <w:r w:rsidR="000B53C6" w:rsidRPr="00DE2EDF">
        <w:rPr>
          <w:rFonts w:cs="Times New Roman"/>
          <w:lang w:val="en-GB"/>
        </w:rPr>
        <w:t>s</w:t>
      </w:r>
      <w:r w:rsidR="00E678E1" w:rsidRPr="00DE2EDF">
        <w:rPr>
          <w:rFonts w:cs="Times New Roman"/>
          <w:lang w:val="en-GB"/>
        </w:rPr>
        <w:t>tria</w:t>
      </w:r>
      <w:r w:rsidRPr="00DE2EDF">
        <w:rPr>
          <w:rFonts w:cs="Times New Roman"/>
          <w:lang w:val="en-GB"/>
        </w:rPr>
        <w:t>, t</w:t>
      </w:r>
      <w:r w:rsidR="00E678E1" w:rsidRPr="00DE2EDF">
        <w:rPr>
          <w:rFonts w:eastAsia="Times New Roman" w:cs="Times New Roman"/>
          <w:iCs/>
          <w:lang w:val="en-GB"/>
        </w:rPr>
        <w:t xml:space="preserve">he </w:t>
      </w:r>
      <w:r w:rsidRPr="00DE2EDF">
        <w:rPr>
          <w:rFonts w:eastAsia="Times New Roman" w:cs="Times New Roman"/>
          <w:iCs/>
          <w:lang w:val="en-GB"/>
        </w:rPr>
        <w:t>issue has</w:t>
      </w:r>
      <w:r w:rsidR="00E678E1" w:rsidRPr="00DE2EDF">
        <w:rPr>
          <w:rFonts w:eastAsia="Times New Roman" w:cs="Times New Roman"/>
          <w:iCs/>
          <w:lang w:val="en-GB"/>
        </w:rPr>
        <w:t xml:space="preserve"> </w:t>
      </w:r>
      <w:r w:rsidR="000B53C6" w:rsidRPr="00DE2EDF">
        <w:rPr>
          <w:rFonts w:eastAsia="Times New Roman" w:cs="Times New Roman"/>
          <w:iCs/>
          <w:lang w:val="en-GB"/>
        </w:rPr>
        <w:t xml:space="preserve">been </w:t>
      </w:r>
      <w:r w:rsidR="00B34036" w:rsidRPr="00DE2EDF">
        <w:rPr>
          <w:rFonts w:eastAsia="Times New Roman" w:cs="Times New Roman"/>
          <w:iCs/>
          <w:lang w:val="en-GB"/>
        </w:rPr>
        <w:t xml:space="preserve">discussed </w:t>
      </w:r>
      <w:r w:rsidR="000B53C6" w:rsidRPr="00DE2EDF">
        <w:rPr>
          <w:rFonts w:eastAsia="Times New Roman" w:cs="Times New Roman"/>
          <w:iCs/>
          <w:lang w:val="en-GB"/>
        </w:rPr>
        <w:t xml:space="preserve">by scholars since the </w:t>
      </w:r>
      <w:r w:rsidR="00525D7C" w:rsidRPr="00DE2EDF">
        <w:rPr>
          <w:rFonts w:eastAsia="Times New Roman" w:cs="Times New Roman"/>
          <w:iCs/>
          <w:lang w:val="en-GB"/>
        </w:rPr>
        <w:t>early</w:t>
      </w:r>
      <w:r w:rsidR="000B53C6" w:rsidRPr="00DE2EDF">
        <w:rPr>
          <w:rFonts w:eastAsia="Times New Roman" w:cs="Times New Roman"/>
          <w:iCs/>
          <w:lang w:val="en-GB"/>
        </w:rPr>
        <w:t xml:space="preserve"> </w:t>
      </w:r>
      <w:r w:rsidR="0057271D" w:rsidRPr="00DE2EDF">
        <w:rPr>
          <w:rFonts w:eastAsia="Times New Roman" w:cs="Times New Roman"/>
          <w:iCs/>
          <w:lang w:val="en-GB"/>
        </w:rPr>
        <w:t>twentieth</w:t>
      </w:r>
      <w:r w:rsidR="000B53C6" w:rsidRPr="00DE2EDF">
        <w:rPr>
          <w:rFonts w:eastAsia="Times New Roman" w:cs="Times New Roman"/>
          <w:iCs/>
          <w:lang w:val="en-GB"/>
        </w:rPr>
        <w:t xml:space="preserve"> century, in the context of the Vienna School of Normativism. </w:t>
      </w:r>
      <w:r w:rsidR="00E678E1" w:rsidRPr="00DE2EDF">
        <w:rPr>
          <w:rFonts w:eastAsia="Times New Roman" w:cs="Times New Roman"/>
          <w:iCs/>
          <w:lang w:val="en-GB"/>
        </w:rPr>
        <w:t xml:space="preserve">On </w:t>
      </w:r>
      <w:r w:rsidRPr="00DE2EDF">
        <w:rPr>
          <w:rFonts w:eastAsia="Times New Roman" w:cs="Times New Roman"/>
          <w:iCs/>
          <w:lang w:val="en-GB"/>
        </w:rPr>
        <w:t xml:space="preserve">the level of the general theory of law, </w:t>
      </w:r>
      <w:r w:rsidR="00E678E1" w:rsidRPr="00DE2EDF">
        <w:rPr>
          <w:rFonts w:eastAsia="Times New Roman" w:cs="Times New Roman"/>
          <w:iCs/>
          <w:lang w:val="en-GB"/>
        </w:rPr>
        <w:t>Kelsen, Merkl</w:t>
      </w:r>
      <w:r w:rsidR="00525D7C" w:rsidRPr="00DE2EDF">
        <w:rPr>
          <w:rFonts w:eastAsia="Times New Roman" w:cs="Times New Roman"/>
          <w:iCs/>
          <w:lang w:val="en-GB"/>
        </w:rPr>
        <w:t>,</w:t>
      </w:r>
      <w:r w:rsidR="00E678E1" w:rsidRPr="00DE2EDF">
        <w:rPr>
          <w:rFonts w:eastAsia="Times New Roman" w:cs="Times New Roman"/>
          <w:iCs/>
          <w:lang w:val="en-GB"/>
        </w:rPr>
        <w:t xml:space="preserve"> and many of the</w:t>
      </w:r>
      <w:r w:rsidR="000B53C6" w:rsidRPr="00DE2EDF">
        <w:rPr>
          <w:rFonts w:eastAsia="Times New Roman" w:cs="Times New Roman"/>
          <w:iCs/>
          <w:lang w:val="en-GB"/>
        </w:rPr>
        <w:t xml:space="preserve">ir </w:t>
      </w:r>
      <w:r w:rsidR="00E678E1" w:rsidRPr="00DE2EDF">
        <w:rPr>
          <w:rFonts w:eastAsia="Times New Roman" w:cs="Times New Roman"/>
          <w:iCs/>
          <w:lang w:val="en-GB"/>
        </w:rPr>
        <w:t xml:space="preserve">disciples </w:t>
      </w:r>
      <w:r w:rsidR="00525D7C" w:rsidRPr="00DE2EDF">
        <w:rPr>
          <w:rFonts w:eastAsia="Times New Roman" w:cs="Times New Roman"/>
          <w:iCs/>
          <w:lang w:val="en-GB"/>
        </w:rPr>
        <w:t>argued</w:t>
      </w:r>
      <w:r w:rsidR="00E678E1" w:rsidRPr="00DE2EDF">
        <w:rPr>
          <w:rFonts w:eastAsia="Times New Roman" w:cs="Times New Roman"/>
          <w:iCs/>
          <w:lang w:val="en-GB"/>
        </w:rPr>
        <w:t xml:space="preserve"> that, unless the positive law contain</w:t>
      </w:r>
      <w:r w:rsidR="00525D7C" w:rsidRPr="00DE2EDF">
        <w:rPr>
          <w:rFonts w:eastAsia="Times New Roman" w:cs="Times New Roman"/>
          <w:iCs/>
          <w:lang w:val="en-GB"/>
        </w:rPr>
        <w:t>ed</w:t>
      </w:r>
      <w:r w:rsidR="00E678E1" w:rsidRPr="00DE2EDF">
        <w:rPr>
          <w:rFonts w:eastAsia="Times New Roman" w:cs="Times New Roman"/>
          <w:iCs/>
          <w:lang w:val="en-GB"/>
        </w:rPr>
        <w:t xml:space="preserve"> a different rule, the concept of</w:t>
      </w:r>
      <w:r w:rsidR="00525D7C" w:rsidRPr="00DE2EDF">
        <w:rPr>
          <w:rFonts w:eastAsia="Times New Roman" w:cs="Times New Roman"/>
          <w:iCs/>
          <w:lang w:val="en-GB"/>
        </w:rPr>
        <w:t xml:space="preserve"> the</w:t>
      </w:r>
      <w:r w:rsidR="00E678E1" w:rsidRPr="00DE2EDF">
        <w:rPr>
          <w:rFonts w:eastAsia="Times New Roman" w:cs="Times New Roman"/>
          <w:iCs/>
          <w:lang w:val="en-GB"/>
        </w:rPr>
        <w:t xml:space="preserve"> hierarchy of nor</w:t>
      </w:r>
      <w:r w:rsidR="00024335" w:rsidRPr="00DE2EDF">
        <w:rPr>
          <w:rFonts w:eastAsia="Times New Roman" w:cs="Times New Roman"/>
          <w:iCs/>
          <w:lang w:val="en-GB"/>
        </w:rPr>
        <w:t>ms logically implies</w:t>
      </w:r>
      <w:r w:rsidR="00E678E1" w:rsidRPr="00DE2EDF">
        <w:rPr>
          <w:rFonts w:eastAsia="Times New Roman" w:cs="Times New Roman"/>
          <w:iCs/>
          <w:lang w:val="en-GB"/>
        </w:rPr>
        <w:t xml:space="preserve"> th</w:t>
      </w:r>
      <w:r w:rsidR="00C105A2" w:rsidRPr="00DE2EDF">
        <w:rPr>
          <w:rFonts w:eastAsia="Times New Roman" w:cs="Times New Roman"/>
          <w:iCs/>
          <w:lang w:val="en-GB"/>
        </w:rPr>
        <w:t>at any norm inconsistent with a higher norm is void from the beginning</w:t>
      </w:r>
      <w:r w:rsidR="00B1642D" w:rsidRPr="00DE2EDF">
        <w:rPr>
          <w:rFonts w:eastAsia="Times New Roman" w:cs="Times New Roman"/>
          <w:iCs/>
          <w:lang w:val="en-GB"/>
        </w:rPr>
        <w:t xml:space="preserve"> (ex tunc)</w:t>
      </w:r>
      <w:r w:rsidR="00C105A2" w:rsidRPr="00DE2EDF">
        <w:rPr>
          <w:rFonts w:eastAsia="Times New Roman" w:cs="Times New Roman"/>
          <w:iCs/>
          <w:lang w:val="en-GB"/>
        </w:rPr>
        <w:t xml:space="preserve">. </w:t>
      </w:r>
      <w:r w:rsidR="00226036" w:rsidRPr="00DE2EDF">
        <w:rPr>
          <w:rFonts w:eastAsia="Times New Roman" w:cs="Times New Roman"/>
          <w:iCs/>
          <w:lang w:val="en-GB"/>
        </w:rPr>
        <w:t>Such</w:t>
      </w:r>
      <w:r w:rsidR="00E678E1" w:rsidRPr="00DE2EDF">
        <w:rPr>
          <w:rFonts w:eastAsia="Times New Roman" w:cs="Times New Roman"/>
          <w:iCs/>
          <w:lang w:val="en-GB"/>
        </w:rPr>
        <w:t xml:space="preserve"> nullity could be </w:t>
      </w:r>
      <w:r w:rsidR="003D271F" w:rsidRPr="00DE2EDF">
        <w:rPr>
          <w:rFonts w:eastAsia="Times New Roman" w:cs="Times New Roman"/>
          <w:iCs/>
          <w:lang w:val="en-GB"/>
        </w:rPr>
        <w:t xml:space="preserve">taken into account </w:t>
      </w:r>
      <w:r w:rsidR="00E678E1" w:rsidRPr="00DE2EDF">
        <w:rPr>
          <w:rFonts w:eastAsia="Times New Roman" w:cs="Times New Roman"/>
          <w:iCs/>
          <w:lang w:val="en-GB"/>
        </w:rPr>
        <w:t>by any state organ (</w:t>
      </w:r>
      <w:r w:rsidR="00226036" w:rsidRPr="00DE2EDF">
        <w:rPr>
          <w:rFonts w:eastAsia="Times New Roman" w:cs="Times New Roman"/>
          <w:iCs/>
          <w:lang w:val="en-GB"/>
        </w:rPr>
        <w:t xml:space="preserve">e.g., </w:t>
      </w:r>
      <w:r w:rsidR="00E678E1" w:rsidRPr="00DE2EDF">
        <w:rPr>
          <w:rFonts w:eastAsia="Times New Roman" w:cs="Times New Roman"/>
          <w:iCs/>
          <w:lang w:val="en-GB"/>
        </w:rPr>
        <w:t xml:space="preserve">ministers, civil servants, </w:t>
      </w:r>
      <w:r w:rsidR="00226036" w:rsidRPr="00DE2EDF">
        <w:rPr>
          <w:rFonts w:eastAsia="Times New Roman" w:cs="Times New Roman"/>
          <w:iCs/>
          <w:lang w:val="en-GB"/>
        </w:rPr>
        <w:t xml:space="preserve">and </w:t>
      </w:r>
      <w:r w:rsidR="00E678E1" w:rsidRPr="00DE2EDF">
        <w:rPr>
          <w:rFonts w:eastAsia="Times New Roman" w:cs="Times New Roman"/>
          <w:iCs/>
          <w:lang w:val="en-GB"/>
        </w:rPr>
        <w:t xml:space="preserve">judges) or </w:t>
      </w:r>
      <w:r w:rsidR="00B34036" w:rsidRPr="00DE2EDF">
        <w:rPr>
          <w:rFonts w:eastAsia="Times New Roman" w:cs="Times New Roman"/>
          <w:iCs/>
          <w:lang w:val="en-GB"/>
        </w:rPr>
        <w:t xml:space="preserve">by </w:t>
      </w:r>
      <w:r w:rsidR="00E87E69" w:rsidRPr="00DE2EDF">
        <w:rPr>
          <w:rFonts w:eastAsia="Times New Roman" w:cs="Times New Roman"/>
          <w:iCs/>
          <w:lang w:val="en-GB"/>
        </w:rPr>
        <w:t xml:space="preserve">any </w:t>
      </w:r>
      <w:r w:rsidR="00E678E1" w:rsidRPr="00DE2EDF">
        <w:rPr>
          <w:rFonts w:eastAsia="Times New Roman" w:cs="Times New Roman"/>
          <w:iCs/>
          <w:lang w:val="en-GB"/>
        </w:rPr>
        <w:t>member of the society</w:t>
      </w:r>
      <w:r w:rsidR="00226036" w:rsidRPr="00DE2EDF">
        <w:rPr>
          <w:rFonts w:eastAsia="Times New Roman" w:cs="Times New Roman"/>
          <w:iCs/>
          <w:lang w:val="en-GB"/>
        </w:rPr>
        <w:t>.</w:t>
      </w:r>
      <w:bookmarkStart w:id="351" w:name="_Ref457886802"/>
      <w:r w:rsidR="00DB074D" w:rsidRPr="00DE2EDF">
        <w:rPr>
          <w:rStyle w:val="FootnoteReference"/>
          <w:rFonts w:eastAsia="Times New Roman" w:cs="Times New Roman"/>
          <w:iCs/>
          <w:lang w:val="en-GB"/>
        </w:rPr>
        <w:footnoteReference w:id="229"/>
      </w:r>
      <w:bookmarkEnd w:id="351"/>
      <w:r w:rsidR="00E678E1" w:rsidRPr="00DE2EDF">
        <w:rPr>
          <w:rFonts w:eastAsia="Times New Roman" w:cs="Times New Roman"/>
          <w:iCs/>
          <w:lang w:val="en-GB"/>
        </w:rPr>
        <w:t xml:space="preserve"> Yet, </w:t>
      </w:r>
      <w:r w:rsidR="000B53C6" w:rsidRPr="00DE2EDF">
        <w:rPr>
          <w:rFonts w:eastAsia="Times New Roman" w:cs="Times New Roman"/>
          <w:iCs/>
          <w:lang w:val="en-GB"/>
        </w:rPr>
        <w:t xml:space="preserve">even </w:t>
      </w:r>
      <w:r w:rsidR="00C105A2" w:rsidRPr="00DE2EDF">
        <w:rPr>
          <w:rFonts w:eastAsia="Times New Roman" w:cs="Times New Roman"/>
          <w:iCs/>
          <w:lang w:val="en-GB"/>
        </w:rPr>
        <w:t>on</w:t>
      </w:r>
      <w:r w:rsidR="00E678E1" w:rsidRPr="00DE2EDF">
        <w:rPr>
          <w:rFonts w:eastAsia="Times New Roman" w:cs="Times New Roman"/>
          <w:iCs/>
          <w:lang w:val="en-GB"/>
        </w:rPr>
        <w:t xml:space="preserve"> this </w:t>
      </w:r>
      <w:r w:rsidR="00C105A2" w:rsidRPr="00DE2EDF">
        <w:rPr>
          <w:rFonts w:eastAsia="Times New Roman" w:cs="Times New Roman"/>
          <w:iCs/>
          <w:lang w:val="en-GB"/>
        </w:rPr>
        <w:t xml:space="preserve">theoretical </w:t>
      </w:r>
      <w:r w:rsidR="00E678E1" w:rsidRPr="00DE2EDF">
        <w:rPr>
          <w:rFonts w:eastAsia="Times New Roman" w:cs="Times New Roman"/>
          <w:iCs/>
          <w:lang w:val="en-GB"/>
        </w:rPr>
        <w:t xml:space="preserve">premise, Ludwig Adamovich </w:t>
      </w:r>
      <w:r w:rsidR="00410E9B" w:rsidRPr="00DE2EDF">
        <w:rPr>
          <w:rFonts w:eastAsia="Times New Roman" w:cs="Times New Roman"/>
          <w:iCs/>
          <w:lang w:val="en-GB"/>
        </w:rPr>
        <w:t xml:space="preserve">famously </w:t>
      </w:r>
      <w:r w:rsidR="00E678E1" w:rsidRPr="00DE2EDF">
        <w:rPr>
          <w:rFonts w:eastAsia="Times New Roman" w:cs="Times New Roman"/>
          <w:iCs/>
          <w:lang w:val="en-GB"/>
        </w:rPr>
        <w:t xml:space="preserve">argued that, in contrast to courts and ministers, </w:t>
      </w:r>
      <w:r w:rsidR="006810E3" w:rsidRPr="00DE2EDF">
        <w:rPr>
          <w:rFonts w:eastAsia="Times New Roman" w:cs="Times New Roman"/>
          <w:iCs/>
          <w:lang w:val="en-GB"/>
        </w:rPr>
        <w:t xml:space="preserve">inferior </w:t>
      </w:r>
      <w:r w:rsidR="004F13B5" w:rsidRPr="00DE2EDF">
        <w:rPr>
          <w:rFonts w:eastAsia="Times New Roman" w:cs="Times New Roman"/>
          <w:iCs/>
          <w:lang w:val="en-GB"/>
        </w:rPr>
        <w:t>administrative organs</w:t>
      </w:r>
      <w:r w:rsidR="00E678E1" w:rsidRPr="00DE2EDF">
        <w:rPr>
          <w:rFonts w:eastAsia="Times New Roman" w:cs="Times New Roman"/>
          <w:iCs/>
          <w:lang w:val="en-GB"/>
        </w:rPr>
        <w:t xml:space="preserve"> would not be able to </w:t>
      </w:r>
      <w:r w:rsidR="00B1642D" w:rsidRPr="00DE2EDF">
        <w:rPr>
          <w:rFonts w:eastAsia="Times New Roman" w:cs="Times New Roman"/>
          <w:iCs/>
          <w:lang w:val="en-GB"/>
        </w:rPr>
        <w:t>contest</w:t>
      </w:r>
      <w:r w:rsidR="00E678E1" w:rsidRPr="00DE2EDF">
        <w:rPr>
          <w:rFonts w:eastAsia="Times New Roman" w:cs="Times New Roman"/>
          <w:iCs/>
          <w:lang w:val="en-GB"/>
        </w:rPr>
        <w:t xml:space="preserve"> the validity of a statute, a regulation</w:t>
      </w:r>
      <w:r w:rsidR="00226036" w:rsidRPr="00DE2EDF">
        <w:rPr>
          <w:rFonts w:eastAsia="Times New Roman" w:cs="Times New Roman"/>
          <w:iCs/>
          <w:lang w:val="en-GB"/>
        </w:rPr>
        <w:t>,</w:t>
      </w:r>
      <w:r w:rsidR="00E678E1" w:rsidRPr="00DE2EDF">
        <w:rPr>
          <w:rFonts w:eastAsia="Times New Roman" w:cs="Times New Roman"/>
          <w:iCs/>
          <w:lang w:val="en-GB"/>
        </w:rPr>
        <w:t xml:space="preserve"> or an order, due to their subordination to government</w:t>
      </w:r>
      <w:r w:rsidR="006810E3" w:rsidRPr="00DE2EDF">
        <w:rPr>
          <w:rFonts w:eastAsia="Times New Roman" w:cs="Times New Roman"/>
          <w:iCs/>
          <w:lang w:val="en-GB"/>
        </w:rPr>
        <w:t>. W</w:t>
      </w:r>
      <w:r w:rsidR="00C105A2" w:rsidRPr="00DE2EDF">
        <w:rPr>
          <w:rFonts w:eastAsia="Times New Roman" w:cs="Times New Roman"/>
          <w:iCs/>
          <w:lang w:val="en-GB"/>
        </w:rPr>
        <w:t xml:space="preserve">hen promulgating a </w:t>
      </w:r>
      <w:r w:rsidR="00C105A2" w:rsidRPr="00DE2EDF">
        <w:rPr>
          <w:rFonts w:eastAsia="Times New Roman" w:cs="Times New Roman"/>
          <w:iCs/>
          <w:lang w:val="en-GB"/>
        </w:rPr>
        <w:lastRenderedPageBreak/>
        <w:t xml:space="preserve">statute or a regulation, the head of state and/or the government </w:t>
      </w:r>
      <w:r w:rsidR="00B34036" w:rsidRPr="00DE2EDF">
        <w:rPr>
          <w:rFonts w:eastAsia="Times New Roman" w:cs="Times New Roman"/>
          <w:iCs/>
          <w:lang w:val="en-GB"/>
        </w:rPr>
        <w:t>affirm</w:t>
      </w:r>
      <w:r w:rsidR="00226036" w:rsidRPr="00DE2EDF">
        <w:rPr>
          <w:rFonts w:eastAsia="Times New Roman" w:cs="Times New Roman"/>
          <w:iCs/>
          <w:lang w:val="en-GB"/>
        </w:rPr>
        <w:t>s,</w:t>
      </w:r>
      <w:r w:rsidR="004F13B5" w:rsidRPr="00DE2EDF">
        <w:rPr>
          <w:rFonts w:eastAsia="Times New Roman" w:cs="Times New Roman"/>
          <w:iCs/>
          <w:lang w:val="en-GB"/>
        </w:rPr>
        <w:t xml:space="preserve"> at the same moment</w:t>
      </w:r>
      <w:r w:rsidR="00226036" w:rsidRPr="00DE2EDF">
        <w:rPr>
          <w:rFonts w:eastAsia="Times New Roman" w:cs="Times New Roman"/>
          <w:iCs/>
          <w:lang w:val="en-GB"/>
        </w:rPr>
        <w:t>,</w:t>
      </w:r>
      <w:r w:rsidR="001915D7" w:rsidRPr="00DE2EDF">
        <w:rPr>
          <w:rFonts w:eastAsia="Times New Roman" w:cs="Times New Roman"/>
          <w:iCs/>
          <w:lang w:val="en-GB"/>
        </w:rPr>
        <w:t xml:space="preserve"> the constitutionality of those norms, </w:t>
      </w:r>
      <w:r w:rsidR="00226036" w:rsidRPr="00DE2EDF">
        <w:rPr>
          <w:rFonts w:eastAsia="Times New Roman" w:cs="Times New Roman"/>
          <w:iCs/>
          <w:lang w:val="en-GB"/>
        </w:rPr>
        <w:t xml:space="preserve">which </w:t>
      </w:r>
      <w:r w:rsidR="001915D7" w:rsidRPr="00DE2EDF">
        <w:rPr>
          <w:rFonts w:eastAsia="Times New Roman" w:cs="Times New Roman"/>
          <w:iCs/>
          <w:lang w:val="en-GB"/>
        </w:rPr>
        <w:t xml:space="preserve">statement would be binding on all inferior </w:t>
      </w:r>
      <w:r w:rsidR="004F13B5" w:rsidRPr="00DE2EDF">
        <w:rPr>
          <w:rFonts w:eastAsia="Times New Roman" w:cs="Times New Roman"/>
          <w:iCs/>
          <w:lang w:val="en-GB"/>
        </w:rPr>
        <w:t>organs</w:t>
      </w:r>
      <w:r w:rsidR="00BD5F8F" w:rsidRPr="00DE2EDF">
        <w:rPr>
          <w:rFonts w:eastAsia="Times New Roman" w:cs="Times New Roman"/>
          <w:iCs/>
          <w:lang w:val="en-GB"/>
        </w:rPr>
        <w:t xml:space="preserve"> and officials</w:t>
      </w:r>
      <w:r w:rsidR="001915D7" w:rsidRPr="00DE2EDF">
        <w:rPr>
          <w:rFonts w:eastAsia="Times New Roman" w:cs="Times New Roman"/>
          <w:iCs/>
          <w:lang w:val="en-GB"/>
        </w:rPr>
        <w:t>.</w:t>
      </w:r>
      <w:r w:rsidR="00E678E1" w:rsidRPr="00DE2EDF">
        <w:rPr>
          <w:rStyle w:val="FootnoteReference"/>
          <w:rFonts w:eastAsia="Times New Roman" w:cs="Times New Roman"/>
          <w:iCs/>
          <w:lang w:val="en-GB"/>
        </w:rPr>
        <w:footnoteReference w:id="230"/>
      </w:r>
      <w:r w:rsidR="00E678E1" w:rsidRPr="00DE2EDF">
        <w:rPr>
          <w:rFonts w:eastAsia="Times New Roman" w:cs="Times New Roman"/>
          <w:iCs/>
          <w:lang w:val="en-GB"/>
        </w:rPr>
        <w:t xml:space="preserve"> In the eyes of Kelsen, even if the text of </w:t>
      </w:r>
      <w:r w:rsidR="000B53C6" w:rsidRPr="00DE2EDF">
        <w:rPr>
          <w:rFonts w:eastAsia="Times New Roman" w:cs="Times New Roman"/>
          <w:iCs/>
          <w:lang w:val="en-GB"/>
        </w:rPr>
        <w:t>a</w:t>
      </w:r>
      <w:r w:rsidR="00E678E1" w:rsidRPr="00DE2EDF">
        <w:rPr>
          <w:rFonts w:eastAsia="Times New Roman" w:cs="Times New Roman"/>
          <w:iCs/>
          <w:lang w:val="en-GB"/>
        </w:rPr>
        <w:t xml:space="preserve"> Constitution was silent, the intent of </w:t>
      </w:r>
      <w:r w:rsidR="000F1944" w:rsidRPr="00DE2EDF">
        <w:rPr>
          <w:rFonts w:eastAsia="Times New Roman" w:cs="Times New Roman"/>
          <w:iCs/>
          <w:lang w:val="en-GB"/>
        </w:rPr>
        <w:t>a democratic</w:t>
      </w:r>
      <w:r w:rsidR="00E678E1" w:rsidRPr="00DE2EDF">
        <w:rPr>
          <w:rFonts w:eastAsia="Times New Roman" w:cs="Times New Roman"/>
          <w:iCs/>
          <w:lang w:val="en-GB"/>
        </w:rPr>
        <w:t xml:space="preserve"> constituent power to exclude </w:t>
      </w:r>
      <w:r w:rsidR="006810E3" w:rsidRPr="00DE2EDF">
        <w:rPr>
          <w:rFonts w:eastAsia="Times New Roman" w:cs="Times New Roman"/>
          <w:iCs/>
          <w:lang w:val="en-GB"/>
        </w:rPr>
        <w:t xml:space="preserve">such a </w:t>
      </w:r>
      <w:r w:rsidR="00E678E1" w:rsidRPr="00DE2EDF">
        <w:rPr>
          <w:rFonts w:eastAsia="Times New Roman" w:cs="Times New Roman"/>
          <w:iCs/>
          <w:lang w:val="en-GB"/>
        </w:rPr>
        <w:t xml:space="preserve">review </w:t>
      </w:r>
      <w:r w:rsidR="00BD5F8F" w:rsidRPr="00DE2EDF">
        <w:rPr>
          <w:rFonts w:eastAsia="Times New Roman" w:cs="Times New Roman"/>
          <w:iCs/>
          <w:lang w:val="en-GB"/>
        </w:rPr>
        <w:t>by civil servants</w:t>
      </w:r>
      <w:r w:rsidR="00E678E1" w:rsidRPr="00DE2EDF">
        <w:rPr>
          <w:rFonts w:eastAsia="Times New Roman" w:cs="Times New Roman"/>
          <w:iCs/>
          <w:lang w:val="en-GB"/>
        </w:rPr>
        <w:t xml:space="preserve"> was ‘obvious’</w:t>
      </w:r>
      <w:r w:rsidR="00D67D40" w:rsidRPr="00DE2EDF">
        <w:rPr>
          <w:rFonts w:eastAsia="Times New Roman" w:cs="Times New Roman"/>
          <w:iCs/>
          <w:lang w:val="en-GB"/>
        </w:rPr>
        <w:t xml:space="preserve">, if at the same time ordinary courts were prohibited </w:t>
      </w:r>
      <w:r w:rsidR="00226036" w:rsidRPr="00DE2EDF">
        <w:rPr>
          <w:rFonts w:eastAsia="Times New Roman" w:cs="Times New Roman"/>
          <w:iCs/>
          <w:lang w:val="en-GB"/>
        </w:rPr>
        <w:t xml:space="preserve">from </w:t>
      </w:r>
      <w:r w:rsidR="00D67D40" w:rsidRPr="00DE2EDF">
        <w:rPr>
          <w:rFonts w:eastAsia="Times New Roman" w:cs="Times New Roman"/>
          <w:iCs/>
          <w:lang w:val="en-GB"/>
        </w:rPr>
        <w:t>exercis</w:t>
      </w:r>
      <w:r w:rsidR="00226036" w:rsidRPr="00DE2EDF">
        <w:rPr>
          <w:rFonts w:eastAsia="Times New Roman" w:cs="Times New Roman"/>
          <w:iCs/>
          <w:lang w:val="en-GB"/>
        </w:rPr>
        <w:t>ing</w:t>
      </w:r>
      <w:r w:rsidR="00D67D40" w:rsidRPr="00DE2EDF">
        <w:rPr>
          <w:rFonts w:eastAsia="Times New Roman" w:cs="Times New Roman"/>
          <w:iCs/>
          <w:lang w:val="en-GB"/>
        </w:rPr>
        <w:t xml:space="preserve"> any </w:t>
      </w:r>
      <w:r w:rsidR="00053A01" w:rsidRPr="00DE2EDF">
        <w:rPr>
          <w:rFonts w:eastAsia="Times New Roman" w:cs="Times New Roman"/>
          <w:iCs/>
          <w:lang w:val="en-GB"/>
        </w:rPr>
        <w:t xml:space="preserve">judicial </w:t>
      </w:r>
      <w:r w:rsidR="00D67D40" w:rsidRPr="00DE2EDF">
        <w:rPr>
          <w:rFonts w:eastAsia="Times New Roman" w:cs="Times New Roman"/>
          <w:iCs/>
          <w:lang w:val="en-GB"/>
        </w:rPr>
        <w:t>review</w:t>
      </w:r>
      <w:r w:rsidR="00226036" w:rsidRPr="00DE2EDF">
        <w:rPr>
          <w:rFonts w:eastAsia="Times New Roman" w:cs="Times New Roman"/>
          <w:iCs/>
          <w:lang w:val="en-GB"/>
        </w:rPr>
        <w:t>.</w:t>
      </w:r>
      <w:bookmarkStart w:id="352" w:name="_Ref457898625"/>
      <w:r w:rsidR="00E678E1" w:rsidRPr="00DE2EDF">
        <w:rPr>
          <w:rStyle w:val="FootnoteReference"/>
          <w:rFonts w:eastAsia="Times New Roman" w:cs="Times New Roman"/>
          <w:iCs/>
          <w:lang w:val="en-GB"/>
        </w:rPr>
        <w:footnoteReference w:id="231"/>
      </w:r>
      <w:bookmarkEnd w:id="352"/>
      <w:r w:rsidR="00E678E1" w:rsidRPr="00DE2EDF">
        <w:rPr>
          <w:rFonts w:eastAsia="Times New Roman" w:cs="Times New Roman"/>
          <w:iCs/>
          <w:lang w:val="en-GB"/>
        </w:rPr>
        <w:t xml:space="preserve"> </w:t>
      </w:r>
      <w:r w:rsidR="001915D7" w:rsidRPr="00DE2EDF">
        <w:rPr>
          <w:rFonts w:eastAsia="Times New Roman" w:cs="Times New Roman"/>
          <w:iCs/>
          <w:lang w:val="en-GB"/>
        </w:rPr>
        <w:t>Regarding the current positive law of Austria</w:t>
      </w:r>
      <w:r w:rsidR="00226036" w:rsidRPr="00DE2EDF">
        <w:rPr>
          <w:rFonts w:eastAsia="Times New Roman" w:cs="Times New Roman"/>
          <w:iCs/>
          <w:lang w:val="en-GB"/>
        </w:rPr>
        <w:t>,</w:t>
      </w:r>
      <w:r w:rsidR="00053A01" w:rsidRPr="00DE2EDF">
        <w:rPr>
          <w:rStyle w:val="FootnoteReference"/>
          <w:rFonts w:eastAsia="Times New Roman" w:cs="Times New Roman"/>
          <w:iCs/>
          <w:lang w:val="en-GB"/>
        </w:rPr>
        <w:footnoteReference w:id="232"/>
      </w:r>
      <w:r w:rsidR="001915D7" w:rsidRPr="00DE2EDF">
        <w:rPr>
          <w:rFonts w:eastAsia="Times New Roman" w:cs="Times New Roman"/>
          <w:iCs/>
          <w:lang w:val="en-GB"/>
        </w:rPr>
        <w:t xml:space="preserve"> </w:t>
      </w:r>
      <w:r w:rsidR="00183DB3" w:rsidRPr="00DE2EDF">
        <w:rPr>
          <w:rFonts w:eastAsia="Times New Roman" w:cs="Times New Roman"/>
          <w:iCs/>
          <w:lang w:val="en-GB"/>
        </w:rPr>
        <w:t xml:space="preserve">the first crucial element mentioned by Austrian scholars is the fact </w:t>
      </w:r>
      <w:r w:rsidR="001915D7" w:rsidRPr="00DE2EDF">
        <w:rPr>
          <w:rFonts w:eastAsia="Times New Roman" w:cs="Times New Roman"/>
          <w:iCs/>
          <w:lang w:val="en-GB"/>
        </w:rPr>
        <w:t xml:space="preserve">that irregular statutes or regulations are not </w:t>
      </w:r>
      <w:r w:rsidR="001915D7" w:rsidRPr="00DE2EDF">
        <w:rPr>
          <w:rFonts w:eastAsia="Times New Roman" w:cs="Times New Roman"/>
          <w:i/>
          <w:iCs/>
          <w:lang w:val="en-GB"/>
        </w:rPr>
        <w:t>per se</w:t>
      </w:r>
      <w:r w:rsidR="001915D7" w:rsidRPr="00DE2EDF">
        <w:rPr>
          <w:rFonts w:eastAsia="Times New Roman" w:cs="Times New Roman"/>
          <w:iCs/>
          <w:lang w:val="en-GB"/>
        </w:rPr>
        <w:t xml:space="preserve"> void, but only voidable, and this </w:t>
      </w:r>
      <w:r w:rsidR="00226036" w:rsidRPr="00DE2EDF">
        <w:rPr>
          <w:rFonts w:eastAsia="Times New Roman" w:cs="Times New Roman"/>
          <w:iCs/>
          <w:lang w:val="en-GB"/>
        </w:rPr>
        <w:t xml:space="preserve">can occur only upon </w:t>
      </w:r>
      <w:r w:rsidR="001915D7" w:rsidRPr="00DE2EDF">
        <w:rPr>
          <w:rFonts w:eastAsia="Times New Roman" w:cs="Times New Roman"/>
          <w:iCs/>
          <w:lang w:val="en-GB"/>
        </w:rPr>
        <w:t>a decision of the Constitutional Court</w:t>
      </w:r>
      <w:r w:rsidR="000C437D" w:rsidRPr="00DE2EDF">
        <w:rPr>
          <w:rFonts w:eastAsia="Times New Roman" w:cs="Times New Roman"/>
          <w:iCs/>
          <w:lang w:val="en-GB"/>
        </w:rPr>
        <w:t xml:space="preserve"> abrogat</w:t>
      </w:r>
      <w:r w:rsidR="00226036" w:rsidRPr="00DE2EDF">
        <w:rPr>
          <w:rFonts w:eastAsia="Times New Roman" w:cs="Times New Roman"/>
          <w:iCs/>
          <w:lang w:val="en-GB"/>
        </w:rPr>
        <w:t xml:space="preserve">ing </w:t>
      </w:r>
      <w:r w:rsidR="000C437D" w:rsidRPr="00DE2EDF">
        <w:rPr>
          <w:rFonts w:eastAsia="Times New Roman" w:cs="Times New Roman"/>
          <w:iCs/>
          <w:lang w:val="en-GB"/>
        </w:rPr>
        <w:t>the norm f</w:t>
      </w:r>
      <w:r w:rsidR="00226036" w:rsidRPr="00DE2EDF">
        <w:rPr>
          <w:rFonts w:eastAsia="Times New Roman" w:cs="Times New Roman"/>
          <w:iCs/>
          <w:lang w:val="en-GB"/>
        </w:rPr>
        <w:t>r</w:t>
      </w:r>
      <w:r w:rsidR="000C437D" w:rsidRPr="00DE2EDF">
        <w:rPr>
          <w:rFonts w:eastAsia="Times New Roman" w:cs="Times New Roman"/>
          <w:iCs/>
          <w:lang w:val="en-GB"/>
        </w:rPr>
        <w:t>o</w:t>
      </w:r>
      <w:r w:rsidR="00226036" w:rsidRPr="00DE2EDF">
        <w:rPr>
          <w:rFonts w:eastAsia="Times New Roman" w:cs="Times New Roman"/>
          <w:iCs/>
          <w:lang w:val="en-GB"/>
        </w:rPr>
        <w:t>m then on</w:t>
      </w:r>
      <w:r w:rsidR="006E2F67" w:rsidRPr="00DE2EDF">
        <w:rPr>
          <w:rFonts w:eastAsia="Times New Roman" w:cs="Times New Roman"/>
          <w:iCs/>
          <w:lang w:val="en-GB"/>
        </w:rPr>
        <w:t xml:space="preserve"> (art</w:t>
      </w:r>
      <w:r w:rsidR="0057271D" w:rsidRPr="00DE2EDF">
        <w:rPr>
          <w:rFonts w:eastAsia="Times New Roman" w:cs="Times New Roman"/>
          <w:iCs/>
          <w:lang w:val="en-GB"/>
        </w:rPr>
        <w:t>icles</w:t>
      </w:r>
      <w:r w:rsidR="006E2F67" w:rsidRPr="00DE2EDF">
        <w:rPr>
          <w:rFonts w:eastAsia="Times New Roman" w:cs="Times New Roman"/>
          <w:iCs/>
          <w:lang w:val="en-GB"/>
        </w:rPr>
        <w:t xml:space="preserve"> 139 and 140 </w:t>
      </w:r>
      <w:r w:rsidR="00BD733D" w:rsidRPr="00DE2EDF">
        <w:rPr>
          <w:rFonts w:eastAsia="Times New Roman" w:cs="Times New Roman"/>
          <w:iCs/>
          <w:lang w:val="en-GB"/>
        </w:rPr>
        <w:t>Federal Constitutional Law</w:t>
      </w:r>
      <w:r w:rsidR="00BD733D">
        <w:rPr>
          <w:rFonts w:eastAsia="Times New Roman" w:cs="Times New Roman"/>
          <w:iCs/>
          <w:lang w:val="en-GB"/>
        </w:rPr>
        <w:t xml:space="preserve"> of</w:t>
      </w:r>
      <w:r w:rsidR="00BD733D" w:rsidRPr="00DE2EDF">
        <w:rPr>
          <w:rFonts w:eastAsia="Times New Roman" w:cs="Times New Roman"/>
          <w:i/>
          <w:iCs/>
          <w:lang w:val="en-GB"/>
        </w:rPr>
        <w:t xml:space="preserve"> </w:t>
      </w:r>
      <w:r w:rsidR="00BD733D" w:rsidRPr="00BD733D">
        <w:rPr>
          <w:rFonts w:eastAsia="Times New Roman" w:cs="Times New Roman"/>
          <w:iCs/>
          <w:lang w:val="en-GB"/>
        </w:rPr>
        <w:t>1920</w:t>
      </w:r>
      <w:r w:rsidR="00BD733D">
        <w:rPr>
          <w:rFonts w:eastAsia="Times New Roman" w:cs="Times New Roman"/>
          <w:i/>
          <w:iCs/>
          <w:lang w:val="en-GB"/>
        </w:rPr>
        <w:t xml:space="preserve"> </w:t>
      </w:r>
      <w:r w:rsidR="00BD733D" w:rsidRPr="00BD733D">
        <w:rPr>
          <w:rFonts w:eastAsia="Times New Roman" w:cs="Times New Roman"/>
          <w:iCs/>
          <w:lang w:val="en-GB"/>
        </w:rPr>
        <w:t>(</w:t>
      </w:r>
      <w:r w:rsidR="006E2F67" w:rsidRPr="00DE2EDF">
        <w:rPr>
          <w:rFonts w:eastAsia="Times New Roman" w:cs="Times New Roman"/>
          <w:i/>
          <w:iCs/>
          <w:lang w:val="en-GB"/>
        </w:rPr>
        <w:t>B</w:t>
      </w:r>
      <w:r w:rsidR="0057271D" w:rsidRPr="00DE2EDF">
        <w:rPr>
          <w:rFonts w:eastAsia="Times New Roman" w:cs="Times New Roman"/>
          <w:i/>
          <w:iCs/>
          <w:lang w:val="en-GB"/>
        </w:rPr>
        <w:t>undes-Verfassungsgesetz</w:t>
      </w:r>
      <w:r w:rsidR="00BD733D" w:rsidRPr="00BD733D">
        <w:rPr>
          <w:rFonts w:eastAsia="Times New Roman" w:cs="Times New Roman"/>
          <w:iCs/>
          <w:lang w:val="en-GB"/>
        </w:rPr>
        <w:t>)</w:t>
      </w:r>
      <w:r w:rsidR="006E2F67" w:rsidRPr="00BD733D">
        <w:rPr>
          <w:rFonts w:eastAsia="Times New Roman" w:cs="Times New Roman"/>
          <w:iCs/>
          <w:lang w:val="en-GB"/>
        </w:rPr>
        <w:t>)</w:t>
      </w:r>
      <w:r w:rsidR="001915D7" w:rsidRPr="00DE2EDF">
        <w:rPr>
          <w:rFonts w:eastAsia="Times New Roman" w:cs="Times New Roman"/>
          <w:iCs/>
          <w:lang w:val="en-GB"/>
        </w:rPr>
        <w:t xml:space="preserve">. If </w:t>
      </w:r>
      <w:r w:rsidR="0083336A" w:rsidRPr="00DE2EDF">
        <w:rPr>
          <w:rFonts w:eastAsia="Times New Roman" w:cs="Times New Roman"/>
          <w:iCs/>
          <w:lang w:val="en-GB"/>
        </w:rPr>
        <w:t>the</w:t>
      </w:r>
      <w:r w:rsidR="001915D7" w:rsidRPr="00DE2EDF">
        <w:rPr>
          <w:rFonts w:eastAsia="Times New Roman" w:cs="Times New Roman"/>
          <w:iCs/>
          <w:lang w:val="en-GB"/>
        </w:rPr>
        <w:t xml:space="preserve"> government has doubt</w:t>
      </w:r>
      <w:r w:rsidR="00226036" w:rsidRPr="00DE2EDF">
        <w:rPr>
          <w:rFonts w:eastAsia="Times New Roman" w:cs="Times New Roman"/>
          <w:iCs/>
          <w:lang w:val="en-GB"/>
        </w:rPr>
        <w:t>s about</w:t>
      </w:r>
      <w:r w:rsidR="001915D7" w:rsidRPr="00DE2EDF">
        <w:rPr>
          <w:rFonts w:eastAsia="Times New Roman" w:cs="Times New Roman"/>
          <w:iCs/>
          <w:lang w:val="en-GB"/>
        </w:rPr>
        <w:t xml:space="preserve"> the consistency of a</w:t>
      </w:r>
      <w:r w:rsidR="00226036" w:rsidRPr="00DE2EDF">
        <w:rPr>
          <w:rFonts w:eastAsia="Times New Roman" w:cs="Times New Roman"/>
          <w:iCs/>
          <w:lang w:val="en-GB"/>
        </w:rPr>
        <w:t>ny</w:t>
      </w:r>
      <w:r w:rsidR="001915D7" w:rsidRPr="00DE2EDF">
        <w:rPr>
          <w:rFonts w:eastAsia="Times New Roman" w:cs="Times New Roman"/>
          <w:iCs/>
          <w:lang w:val="en-GB"/>
        </w:rPr>
        <w:t xml:space="preserve"> </w:t>
      </w:r>
      <w:r w:rsidR="001246C3" w:rsidRPr="00DE2EDF">
        <w:rPr>
          <w:rFonts w:eastAsia="Times New Roman" w:cs="Times New Roman"/>
          <w:iCs/>
          <w:lang w:val="en-GB"/>
        </w:rPr>
        <w:t>such</w:t>
      </w:r>
      <w:r w:rsidR="001915D7" w:rsidRPr="00DE2EDF">
        <w:rPr>
          <w:rFonts w:eastAsia="Times New Roman" w:cs="Times New Roman"/>
          <w:iCs/>
          <w:lang w:val="en-GB"/>
        </w:rPr>
        <w:t xml:space="preserve"> a</w:t>
      </w:r>
      <w:r w:rsidR="00226036" w:rsidRPr="00DE2EDF">
        <w:rPr>
          <w:rFonts w:eastAsia="Times New Roman" w:cs="Times New Roman"/>
          <w:iCs/>
          <w:lang w:val="en-GB"/>
        </w:rPr>
        <w:t>ny</w:t>
      </w:r>
      <w:r w:rsidR="001246C3" w:rsidRPr="00DE2EDF">
        <w:rPr>
          <w:rFonts w:eastAsia="Times New Roman" w:cs="Times New Roman"/>
          <w:iCs/>
          <w:lang w:val="en-GB"/>
        </w:rPr>
        <w:t xml:space="preserve"> </w:t>
      </w:r>
      <w:r w:rsidR="001915D7" w:rsidRPr="00DE2EDF">
        <w:rPr>
          <w:rFonts w:eastAsia="Times New Roman" w:cs="Times New Roman"/>
          <w:iCs/>
          <w:lang w:val="en-GB"/>
        </w:rPr>
        <w:t>norm, it may only</w:t>
      </w:r>
      <w:r w:rsidR="000F1944" w:rsidRPr="00DE2EDF">
        <w:rPr>
          <w:rFonts w:eastAsia="Times New Roman" w:cs="Times New Roman"/>
          <w:iCs/>
          <w:lang w:val="en-GB"/>
        </w:rPr>
        <w:t xml:space="preserve"> provoke its abrogation</w:t>
      </w:r>
      <w:r w:rsidR="000C437D" w:rsidRPr="00DE2EDF">
        <w:rPr>
          <w:rFonts w:eastAsia="Times New Roman" w:cs="Times New Roman"/>
          <w:iCs/>
          <w:lang w:val="en-GB"/>
        </w:rPr>
        <w:t xml:space="preserve"> by its author</w:t>
      </w:r>
      <w:r w:rsidR="000F1944" w:rsidRPr="00DE2EDF">
        <w:rPr>
          <w:rFonts w:eastAsia="Times New Roman" w:cs="Times New Roman"/>
          <w:iCs/>
          <w:lang w:val="en-GB"/>
        </w:rPr>
        <w:t xml:space="preserve"> or</w:t>
      </w:r>
      <w:r w:rsidR="001915D7" w:rsidRPr="00DE2EDF">
        <w:rPr>
          <w:rFonts w:eastAsia="Times New Roman" w:cs="Times New Roman"/>
          <w:iCs/>
          <w:lang w:val="en-GB"/>
        </w:rPr>
        <w:t xml:space="preserve"> file a petition </w:t>
      </w:r>
      <w:r w:rsidR="0083336A" w:rsidRPr="00DE2EDF">
        <w:rPr>
          <w:rFonts w:eastAsia="Times New Roman" w:cs="Times New Roman"/>
          <w:iCs/>
          <w:lang w:val="en-GB"/>
        </w:rPr>
        <w:t>with</w:t>
      </w:r>
      <w:r w:rsidR="001915D7" w:rsidRPr="00DE2EDF">
        <w:rPr>
          <w:rFonts w:eastAsia="Times New Roman" w:cs="Times New Roman"/>
          <w:iCs/>
          <w:lang w:val="en-GB"/>
        </w:rPr>
        <w:t xml:space="preserve"> the Constitutional Court. Civil servant</w:t>
      </w:r>
      <w:r w:rsidR="0083336A" w:rsidRPr="00DE2EDF">
        <w:rPr>
          <w:rFonts w:eastAsia="Times New Roman" w:cs="Times New Roman"/>
          <w:iCs/>
          <w:lang w:val="en-GB"/>
        </w:rPr>
        <w:t>s</w:t>
      </w:r>
      <w:r w:rsidR="001915D7" w:rsidRPr="00DE2EDF">
        <w:rPr>
          <w:rFonts w:eastAsia="Times New Roman" w:cs="Times New Roman"/>
          <w:iCs/>
          <w:lang w:val="en-GB"/>
        </w:rPr>
        <w:t xml:space="preserve"> may submit questions on the validity of a general norm to their superior, but they may/must only refuse to obey an order if the author of the latter has no jurisdiction or if the order </w:t>
      </w:r>
      <w:r w:rsidR="000F1944" w:rsidRPr="00DE2EDF">
        <w:rPr>
          <w:rFonts w:eastAsia="Times New Roman" w:cs="Times New Roman"/>
          <w:iCs/>
          <w:lang w:val="en-GB"/>
        </w:rPr>
        <w:t>infringes criminal law</w:t>
      </w:r>
      <w:r w:rsidR="001915D7" w:rsidRPr="00DE2EDF">
        <w:rPr>
          <w:rFonts w:eastAsia="Times New Roman" w:cs="Times New Roman"/>
          <w:iCs/>
          <w:lang w:val="en-GB"/>
        </w:rPr>
        <w:t xml:space="preserve"> (art</w:t>
      </w:r>
      <w:r w:rsidR="0057271D" w:rsidRPr="00DE2EDF">
        <w:rPr>
          <w:rFonts w:eastAsia="Times New Roman" w:cs="Times New Roman"/>
          <w:iCs/>
          <w:lang w:val="en-GB"/>
        </w:rPr>
        <w:t>icle 20 para</w:t>
      </w:r>
      <w:r w:rsidR="001915D7" w:rsidRPr="00DE2EDF">
        <w:rPr>
          <w:rFonts w:eastAsia="Times New Roman" w:cs="Times New Roman"/>
          <w:iCs/>
          <w:lang w:val="en-GB"/>
        </w:rPr>
        <w:t xml:space="preserve"> 1 </w:t>
      </w:r>
      <w:r w:rsidR="00BD733D" w:rsidRPr="00DE2EDF">
        <w:rPr>
          <w:rFonts w:eastAsia="Times New Roman" w:cs="Times New Roman"/>
          <w:i/>
          <w:iCs/>
          <w:lang w:val="en-GB"/>
        </w:rPr>
        <w:t xml:space="preserve">Bundes-Verfassungsgesetz </w:t>
      </w:r>
      <w:r w:rsidR="001915D7" w:rsidRPr="00DE2EDF">
        <w:rPr>
          <w:rFonts w:eastAsia="Times New Roman" w:cs="Times New Roman"/>
          <w:iCs/>
          <w:lang w:val="en-GB"/>
        </w:rPr>
        <w:t>1920).</w:t>
      </w:r>
      <w:r w:rsidR="000F1944" w:rsidRPr="00DE2EDF">
        <w:rPr>
          <w:rFonts w:eastAsia="Times New Roman" w:cs="Times New Roman"/>
          <w:iCs/>
          <w:lang w:val="en-GB"/>
        </w:rPr>
        <w:t xml:space="preserve"> The only debate in Austria refers to the question </w:t>
      </w:r>
      <w:r w:rsidR="00512936" w:rsidRPr="00DE2EDF">
        <w:rPr>
          <w:rFonts w:eastAsia="Times New Roman" w:cs="Times New Roman"/>
          <w:iCs/>
          <w:lang w:val="en-GB"/>
        </w:rPr>
        <w:t xml:space="preserve">of </w:t>
      </w:r>
      <w:r w:rsidR="000F1944" w:rsidRPr="00DE2EDF">
        <w:rPr>
          <w:rFonts w:eastAsia="Times New Roman" w:cs="Times New Roman"/>
          <w:iCs/>
          <w:lang w:val="en-GB"/>
        </w:rPr>
        <w:t xml:space="preserve">whether, </w:t>
      </w:r>
      <w:r w:rsidR="00512936" w:rsidRPr="00DE2EDF">
        <w:rPr>
          <w:rFonts w:eastAsia="Times New Roman" w:cs="Times New Roman"/>
          <w:iCs/>
          <w:lang w:val="en-GB"/>
        </w:rPr>
        <w:t xml:space="preserve">like </w:t>
      </w:r>
      <w:r w:rsidR="0057271D" w:rsidRPr="00DE2EDF">
        <w:rPr>
          <w:rFonts w:eastAsia="Times New Roman" w:cs="Times New Roman"/>
          <w:iCs/>
          <w:lang w:val="en-GB"/>
        </w:rPr>
        <w:t>courts (article</w:t>
      </w:r>
      <w:r w:rsidR="000F1944" w:rsidRPr="00DE2EDF">
        <w:rPr>
          <w:rFonts w:eastAsia="Times New Roman" w:cs="Times New Roman"/>
          <w:iCs/>
          <w:lang w:val="en-GB"/>
        </w:rPr>
        <w:t xml:space="preserve"> 89 </w:t>
      </w:r>
      <w:r w:rsidR="000F1944" w:rsidRPr="00DE2EDF">
        <w:rPr>
          <w:rFonts w:eastAsia="Times New Roman" w:cs="Times New Roman"/>
          <w:i/>
          <w:iCs/>
          <w:lang w:val="en-GB"/>
        </w:rPr>
        <w:t>B</w:t>
      </w:r>
      <w:r w:rsidR="0057271D" w:rsidRPr="00DE2EDF">
        <w:rPr>
          <w:rFonts w:eastAsia="Times New Roman" w:cs="Times New Roman"/>
          <w:i/>
          <w:iCs/>
          <w:lang w:val="en-GB"/>
        </w:rPr>
        <w:t>undes</w:t>
      </w:r>
      <w:r w:rsidR="000F1944" w:rsidRPr="00DE2EDF">
        <w:rPr>
          <w:rFonts w:eastAsia="Times New Roman" w:cs="Times New Roman"/>
          <w:i/>
          <w:iCs/>
          <w:lang w:val="en-GB"/>
        </w:rPr>
        <w:t>-V</w:t>
      </w:r>
      <w:r w:rsidR="0057271D" w:rsidRPr="00DE2EDF">
        <w:rPr>
          <w:rFonts w:eastAsia="Times New Roman" w:cs="Times New Roman"/>
          <w:i/>
          <w:iCs/>
          <w:lang w:val="en-GB"/>
        </w:rPr>
        <w:t>erfassungsgesetz</w:t>
      </w:r>
      <w:r w:rsidR="000F1944" w:rsidRPr="00DE2EDF">
        <w:rPr>
          <w:rFonts w:eastAsia="Times New Roman" w:cs="Times New Roman"/>
          <w:iCs/>
          <w:lang w:val="en-GB"/>
        </w:rPr>
        <w:t xml:space="preserve"> 1920), administrative authorities may refuse to obey statute</w:t>
      </w:r>
      <w:r w:rsidR="00BD5F8F" w:rsidRPr="00DE2EDF">
        <w:rPr>
          <w:rFonts w:eastAsia="Times New Roman" w:cs="Times New Roman"/>
          <w:iCs/>
          <w:lang w:val="en-GB"/>
        </w:rPr>
        <w:t>s</w:t>
      </w:r>
      <w:r w:rsidR="000F1944" w:rsidRPr="00DE2EDF">
        <w:rPr>
          <w:rFonts w:eastAsia="Times New Roman" w:cs="Times New Roman"/>
          <w:iCs/>
          <w:lang w:val="en-GB"/>
        </w:rPr>
        <w:t xml:space="preserve"> or regulation</w:t>
      </w:r>
      <w:r w:rsidR="00BD5F8F" w:rsidRPr="00DE2EDF">
        <w:rPr>
          <w:rFonts w:eastAsia="Times New Roman" w:cs="Times New Roman"/>
          <w:iCs/>
          <w:lang w:val="en-GB"/>
        </w:rPr>
        <w:t>s</w:t>
      </w:r>
      <w:r w:rsidR="000F1944" w:rsidRPr="00DE2EDF">
        <w:rPr>
          <w:rFonts w:eastAsia="Times New Roman" w:cs="Times New Roman"/>
          <w:iCs/>
          <w:lang w:val="en-GB"/>
        </w:rPr>
        <w:t xml:space="preserve"> </w:t>
      </w:r>
      <w:r w:rsidR="00512936" w:rsidRPr="00DE2EDF">
        <w:rPr>
          <w:rFonts w:eastAsia="Times New Roman" w:cs="Times New Roman"/>
          <w:iCs/>
          <w:lang w:val="en-GB"/>
        </w:rPr>
        <w:t>that</w:t>
      </w:r>
      <w:r w:rsidR="000F1944" w:rsidRPr="00DE2EDF">
        <w:rPr>
          <w:rFonts w:eastAsia="Times New Roman" w:cs="Times New Roman"/>
          <w:iCs/>
          <w:lang w:val="en-GB"/>
        </w:rPr>
        <w:t xml:space="preserve"> </w:t>
      </w:r>
      <w:r w:rsidR="00512936" w:rsidRPr="00DE2EDF">
        <w:rPr>
          <w:rFonts w:eastAsia="Times New Roman" w:cs="Times New Roman"/>
          <w:iCs/>
          <w:lang w:val="en-GB"/>
        </w:rPr>
        <w:t xml:space="preserve">have </w:t>
      </w:r>
      <w:r w:rsidR="000F1944" w:rsidRPr="00DE2EDF">
        <w:rPr>
          <w:rFonts w:eastAsia="Times New Roman" w:cs="Times New Roman"/>
          <w:iCs/>
          <w:lang w:val="en-GB"/>
        </w:rPr>
        <w:t xml:space="preserve">not </w:t>
      </w:r>
      <w:r w:rsidR="00512936" w:rsidRPr="00DE2EDF">
        <w:rPr>
          <w:rFonts w:eastAsia="Times New Roman" w:cs="Times New Roman"/>
          <w:iCs/>
          <w:lang w:val="en-GB"/>
        </w:rPr>
        <w:t xml:space="preserve">been </w:t>
      </w:r>
      <w:r w:rsidR="000F1944" w:rsidRPr="00DE2EDF">
        <w:rPr>
          <w:rFonts w:eastAsia="Times New Roman" w:cs="Times New Roman"/>
          <w:iCs/>
          <w:lang w:val="en-GB"/>
        </w:rPr>
        <w:t>‘duly published’</w:t>
      </w:r>
      <w:r w:rsidR="00161B77" w:rsidRPr="00DE2EDF">
        <w:rPr>
          <w:rFonts w:eastAsia="Times New Roman" w:cs="Times New Roman"/>
          <w:iCs/>
          <w:lang w:val="en-GB"/>
        </w:rPr>
        <w:t xml:space="preserve">, </w:t>
      </w:r>
      <w:r w:rsidR="0077220F" w:rsidRPr="00DE2EDF">
        <w:rPr>
          <w:rFonts w:eastAsia="Times New Roman" w:cs="Times New Roman"/>
          <w:iCs/>
          <w:lang w:val="en-GB"/>
        </w:rPr>
        <w:t xml:space="preserve">the </w:t>
      </w:r>
      <w:r w:rsidR="006810E3" w:rsidRPr="00DE2EDF">
        <w:rPr>
          <w:rFonts w:eastAsia="Times New Roman" w:cs="Times New Roman"/>
          <w:iCs/>
          <w:lang w:val="en-GB"/>
        </w:rPr>
        <w:t xml:space="preserve">latter </w:t>
      </w:r>
      <w:r w:rsidR="0077220F" w:rsidRPr="00DE2EDF">
        <w:rPr>
          <w:rFonts w:eastAsia="Times New Roman" w:cs="Times New Roman"/>
          <w:iCs/>
          <w:lang w:val="en-GB"/>
        </w:rPr>
        <w:t xml:space="preserve">term being understood </w:t>
      </w:r>
      <w:r w:rsidR="00512936" w:rsidRPr="00DE2EDF">
        <w:rPr>
          <w:rFonts w:eastAsia="Times New Roman" w:cs="Times New Roman"/>
          <w:iCs/>
          <w:lang w:val="en-GB"/>
        </w:rPr>
        <w:t>quite broadly</w:t>
      </w:r>
      <w:r w:rsidR="0077220F" w:rsidRPr="00DE2EDF">
        <w:rPr>
          <w:rFonts w:eastAsia="Times New Roman" w:cs="Times New Roman"/>
          <w:iCs/>
          <w:lang w:val="en-GB"/>
        </w:rPr>
        <w:t>. According to the dominant ‘obedience thesis’ (</w:t>
      </w:r>
      <w:r w:rsidR="0077220F" w:rsidRPr="00DE2EDF">
        <w:rPr>
          <w:rFonts w:eastAsia="Times New Roman" w:cs="Times New Roman"/>
          <w:i/>
          <w:iCs/>
          <w:lang w:val="en-GB"/>
        </w:rPr>
        <w:t>Gehorsamsthese</w:t>
      </w:r>
      <w:r w:rsidR="0077220F" w:rsidRPr="00DE2EDF">
        <w:rPr>
          <w:rFonts w:eastAsia="Times New Roman" w:cs="Times New Roman"/>
          <w:iCs/>
          <w:lang w:val="en-GB"/>
        </w:rPr>
        <w:t>), the administration may not; but</w:t>
      </w:r>
      <w:r w:rsidR="00512936" w:rsidRPr="00DE2EDF">
        <w:rPr>
          <w:rFonts w:eastAsia="Times New Roman" w:cs="Times New Roman"/>
          <w:iCs/>
          <w:lang w:val="en-GB"/>
        </w:rPr>
        <w:t>,</w:t>
      </w:r>
      <w:r w:rsidR="0077220F" w:rsidRPr="00DE2EDF">
        <w:rPr>
          <w:rFonts w:eastAsia="Times New Roman" w:cs="Times New Roman"/>
          <w:iCs/>
          <w:lang w:val="en-GB"/>
        </w:rPr>
        <w:t xml:space="preserve"> this is contested by some scholars</w:t>
      </w:r>
      <w:r w:rsidR="00512936" w:rsidRPr="00DE2EDF">
        <w:rPr>
          <w:rFonts w:eastAsia="Times New Roman" w:cs="Times New Roman"/>
          <w:iCs/>
          <w:lang w:val="en-GB"/>
        </w:rPr>
        <w:t>.</w:t>
      </w:r>
      <w:r w:rsidR="00161B77" w:rsidRPr="00DE2EDF">
        <w:rPr>
          <w:rStyle w:val="FootnoteReference"/>
          <w:rFonts w:eastAsia="Times New Roman" w:cs="Times New Roman"/>
          <w:iCs/>
          <w:lang w:val="en-GB"/>
        </w:rPr>
        <w:footnoteReference w:id="233"/>
      </w:r>
      <w:r w:rsidR="0077220F" w:rsidRPr="00DE2EDF">
        <w:rPr>
          <w:rFonts w:eastAsia="Times New Roman" w:cs="Times New Roman"/>
          <w:iCs/>
          <w:lang w:val="en-GB"/>
        </w:rPr>
        <w:t xml:space="preserve"> </w:t>
      </w:r>
    </w:p>
    <w:p w14:paraId="7758ED88" w14:textId="77777777" w:rsidR="000F4C26" w:rsidRPr="00DE2EDF" w:rsidRDefault="000F4C26" w:rsidP="00DE2EDF">
      <w:pPr>
        <w:spacing w:after="0"/>
        <w:jc w:val="both"/>
        <w:rPr>
          <w:rFonts w:eastAsia="Times New Roman" w:cs="Times New Roman"/>
          <w:iCs/>
          <w:lang w:val="en-GB"/>
        </w:rPr>
      </w:pPr>
    </w:p>
    <w:p w14:paraId="299D6674" w14:textId="77777777" w:rsidR="00244534" w:rsidRPr="00DE2EDF" w:rsidRDefault="00EC7F7D" w:rsidP="00DE2EDF">
      <w:pPr>
        <w:spacing w:after="0"/>
        <w:jc w:val="both"/>
        <w:rPr>
          <w:rFonts w:eastAsia="Times New Roman" w:cs="Times New Roman"/>
          <w:iCs/>
          <w:lang w:val="en-GB"/>
        </w:rPr>
      </w:pPr>
      <w:r w:rsidRPr="00DE2EDF">
        <w:rPr>
          <w:rFonts w:eastAsia="Times New Roman" w:cs="Times New Roman"/>
          <w:iCs/>
          <w:lang w:val="en-GB"/>
        </w:rPr>
        <w:t>I</w:t>
      </w:r>
      <w:r w:rsidR="00575AE8" w:rsidRPr="00DE2EDF">
        <w:rPr>
          <w:rFonts w:cs="Times New Roman"/>
          <w:lang w:val="en-GB"/>
        </w:rPr>
        <w:t>n Belgium</w:t>
      </w:r>
      <w:r w:rsidRPr="00DE2EDF">
        <w:rPr>
          <w:rFonts w:cs="Times New Roman"/>
          <w:lang w:val="en-GB"/>
        </w:rPr>
        <w:t>,</w:t>
      </w:r>
      <w:r w:rsidR="00183DB3" w:rsidRPr="00DE2EDF">
        <w:rPr>
          <w:rFonts w:cs="Times New Roman"/>
          <w:lang w:val="en-GB"/>
        </w:rPr>
        <w:t xml:space="preserve"> </w:t>
      </w:r>
      <w:r w:rsidR="00430440" w:rsidRPr="00DE2EDF">
        <w:rPr>
          <w:rFonts w:cs="Times New Roman"/>
          <w:lang w:val="en-GB"/>
        </w:rPr>
        <w:t>the Council of State</w:t>
      </w:r>
      <w:r w:rsidR="007040A9" w:rsidRPr="00DE2EDF">
        <w:rPr>
          <w:rFonts w:cs="Times New Roman"/>
          <w:lang w:val="en-GB"/>
        </w:rPr>
        <w:t xml:space="preserve"> and</w:t>
      </w:r>
      <w:r w:rsidR="00CD42C9" w:rsidRPr="00DE2EDF">
        <w:rPr>
          <w:rFonts w:cs="Times New Roman"/>
          <w:lang w:val="en-GB"/>
        </w:rPr>
        <w:t xml:space="preserve"> </w:t>
      </w:r>
      <w:r w:rsidR="00430440" w:rsidRPr="00DE2EDF">
        <w:rPr>
          <w:rFonts w:cs="Times New Roman"/>
          <w:lang w:val="en-GB"/>
        </w:rPr>
        <w:t>the civil courts</w:t>
      </w:r>
      <w:r w:rsidR="00183DB3" w:rsidRPr="00DE2EDF">
        <w:rPr>
          <w:rFonts w:cs="Times New Roman"/>
          <w:lang w:val="en-GB"/>
        </w:rPr>
        <w:t xml:space="preserve"> rejected</w:t>
      </w:r>
      <w:r w:rsidR="00B05309" w:rsidRPr="00DE2EDF">
        <w:rPr>
          <w:rFonts w:cs="Times New Roman"/>
          <w:lang w:val="en-GB"/>
        </w:rPr>
        <w:t xml:space="preserve"> claims that administrative authorities would be </w:t>
      </w:r>
      <w:r w:rsidR="00CD42C9" w:rsidRPr="00DE2EDF">
        <w:rPr>
          <w:rFonts w:cs="Times New Roman"/>
          <w:lang w:val="en-GB"/>
        </w:rPr>
        <w:t>e</w:t>
      </w:r>
      <w:r w:rsidR="00BD6069" w:rsidRPr="00DE2EDF">
        <w:rPr>
          <w:rFonts w:cs="Times New Roman"/>
          <w:lang w:val="en-GB"/>
        </w:rPr>
        <w:t>ntitled</w:t>
      </w:r>
      <w:r w:rsidR="00C648DF" w:rsidRPr="00DE2EDF">
        <w:rPr>
          <w:rFonts w:cs="Times New Roman"/>
          <w:lang w:val="en-GB"/>
        </w:rPr>
        <w:t>, on their own initiative</w:t>
      </w:r>
      <w:r w:rsidR="00F350C4" w:rsidRPr="00DE2EDF">
        <w:rPr>
          <w:rFonts w:cs="Times New Roman"/>
          <w:lang w:val="en-GB"/>
        </w:rPr>
        <w:t xml:space="preserve"> in a concrete case</w:t>
      </w:r>
      <w:r w:rsidR="00C648DF" w:rsidRPr="00DE2EDF">
        <w:rPr>
          <w:rFonts w:cs="Times New Roman"/>
          <w:lang w:val="en-GB"/>
        </w:rPr>
        <w:t>,</w:t>
      </w:r>
      <w:r w:rsidR="00CD42C9" w:rsidRPr="00DE2EDF">
        <w:rPr>
          <w:rFonts w:cs="Times New Roman"/>
          <w:lang w:val="en-GB"/>
        </w:rPr>
        <w:t xml:space="preserve"> to ignore statutes, regulations</w:t>
      </w:r>
      <w:r w:rsidR="00512936" w:rsidRPr="00DE2EDF">
        <w:rPr>
          <w:rFonts w:cs="Times New Roman"/>
          <w:lang w:val="en-GB"/>
        </w:rPr>
        <w:t>,</w:t>
      </w:r>
      <w:r w:rsidR="00CD42C9" w:rsidRPr="00DE2EDF">
        <w:rPr>
          <w:rFonts w:cs="Times New Roman"/>
          <w:lang w:val="en-GB"/>
        </w:rPr>
        <w:t xml:space="preserve"> or orders</w:t>
      </w:r>
      <w:r w:rsidR="00EB54E9" w:rsidRPr="00DE2EDF">
        <w:rPr>
          <w:rFonts w:cs="Times New Roman"/>
          <w:lang w:val="en-GB"/>
        </w:rPr>
        <w:t xml:space="preserve"> from a superior organ </w:t>
      </w:r>
      <w:r w:rsidR="00512936" w:rsidRPr="00DE2EDF">
        <w:rPr>
          <w:rFonts w:cs="Times New Roman"/>
          <w:lang w:val="en-GB"/>
        </w:rPr>
        <w:t>even if they believe them</w:t>
      </w:r>
      <w:r w:rsidR="00EB54E9" w:rsidRPr="00DE2EDF">
        <w:rPr>
          <w:rFonts w:cs="Times New Roman"/>
          <w:lang w:val="en-GB"/>
        </w:rPr>
        <w:t xml:space="preserve"> to be unlawful</w:t>
      </w:r>
      <w:r w:rsidR="00512936" w:rsidRPr="00DE2EDF">
        <w:rPr>
          <w:rFonts w:cs="Times New Roman"/>
          <w:lang w:val="en-GB"/>
        </w:rPr>
        <w:t>.</w:t>
      </w:r>
      <w:bookmarkStart w:id="353" w:name="_Ref457886991"/>
      <w:r w:rsidR="00CF10F6" w:rsidRPr="00DE2EDF">
        <w:rPr>
          <w:rStyle w:val="FootnoteReference"/>
          <w:rFonts w:cs="Times New Roman"/>
          <w:lang w:val="en-GB"/>
        </w:rPr>
        <w:footnoteReference w:id="234"/>
      </w:r>
      <w:bookmarkEnd w:id="353"/>
      <w:r w:rsidR="00C648DF" w:rsidRPr="00DE2EDF">
        <w:rPr>
          <w:rFonts w:cs="Times New Roman"/>
          <w:lang w:val="en-GB"/>
        </w:rPr>
        <w:t xml:space="preserve"> In this context, it should be noted that, in contrast to Italy, Austria</w:t>
      </w:r>
      <w:r w:rsidR="00512936" w:rsidRPr="00DE2EDF">
        <w:rPr>
          <w:rFonts w:cs="Times New Roman"/>
          <w:lang w:val="en-GB"/>
        </w:rPr>
        <w:t>,</w:t>
      </w:r>
      <w:r w:rsidR="00C648DF" w:rsidRPr="00DE2EDF">
        <w:rPr>
          <w:rFonts w:cs="Times New Roman"/>
          <w:lang w:val="en-GB"/>
        </w:rPr>
        <w:t xml:space="preserve"> and many other countries, the Constitutional Court of Belgium, in the context of an abstract </w:t>
      </w:r>
      <w:r w:rsidR="00512936" w:rsidRPr="00DE2EDF">
        <w:rPr>
          <w:rFonts w:cs="Times New Roman"/>
          <w:lang w:val="en-GB"/>
        </w:rPr>
        <w:t>review</w:t>
      </w:r>
      <w:r w:rsidR="00EB54E9" w:rsidRPr="00DE2EDF">
        <w:rPr>
          <w:rFonts w:cs="Times New Roman"/>
          <w:lang w:val="en-GB"/>
        </w:rPr>
        <w:t xml:space="preserve"> (‘</w:t>
      </w:r>
      <w:r w:rsidR="00EB54E9" w:rsidRPr="00DE2EDF">
        <w:rPr>
          <w:rFonts w:cs="Times New Roman"/>
          <w:i/>
          <w:lang w:val="en-GB"/>
        </w:rPr>
        <w:t>recours en annulation</w:t>
      </w:r>
      <w:r w:rsidR="00EB54E9" w:rsidRPr="00DE2EDF">
        <w:rPr>
          <w:rFonts w:cs="Times New Roman"/>
          <w:lang w:val="en-GB"/>
        </w:rPr>
        <w:t>’)</w:t>
      </w:r>
      <w:r w:rsidR="00C648DF" w:rsidRPr="00DE2EDF">
        <w:rPr>
          <w:rFonts w:cs="Times New Roman"/>
          <w:lang w:val="en-GB"/>
        </w:rPr>
        <w:t>,</w:t>
      </w:r>
      <w:r w:rsidR="00EB54E9" w:rsidRPr="00DE2EDF">
        <w:rPr>
          <w:rFonts w:cs="Times New Roman"/>
          <w:lang w:val="en-GB"/>
        </w:rPr>
        <w:t xml:space="preserve"> is empowered to annul</w:t>
      </w:r>
      <w:r w:rsidR="00C648DF" w:rsidRPr="00DE2EDF">
        <w:rPr>
          <w:rFonts w:cs="Times New Roman"/>
          <w:lang w:val="en-GB"/>
        </w:rPr>
        <w:t xml:space="preserve"> </w:t>
      </w:r>
      <w:r w:rsidR="00C648DF" w:rsidRPr="00DE2EDF">
        <w:rPr>
          <w:rFonts w:cs="Times New Roman"/>
          <w:i/>
          <w:lang w:val="en-GB"/>
        </w:rPr>
        <w:t>ex tunc</w:t>
      </w:r>
      <w:r w:rsidR="00C648DF" w:rsidRPr="00DE2EDF">
        <w:rPr>
          <w:rFonts w:cs="Times New Roman"/>
          <w:lang w:val="en-GB"/>
        </w:rPr>
        <w:t xml:space="preserve"> unconstitutional statute</w:t>
      </w:r>
      <w:r w:rsidR="007040A9" w:rsidRPr="00DE2EDF">
        <w:rPr>
          <w:rFonts w:cs="Times New Roman"/>
          <w:lang w:val="en-GB"/>
        </w:rPr>
        <w:t>s</w:t>
      </w:r>
      <w:r w:rsidR="00C648DF" w:rsidRPr="00DE2EDF">
        <w:rPr>
          <w:rFonts w:cs="Times New Roman"/>
          <w:lang w:val="en-GB"/>
        </w:rPr>
        <w:t xml:space="preserve"> </w:t>
      </w:r>
      <w:r w:rsidR="00BD5F8F" w:rsidRPr="00DE2EDF">
        <w:rPr>
          <w:rFonts w:cs="Times New Roman"/>
          <w:lang w:val="en-GB"/>
        </w:rPr>
        <w:t>passed by</w:t>
      </w:r>
      <w:r w:rsidR="00C648DF" w:rsidRPr="00DE2EDF">
        <w:rPr>
          <w:rFonts w:cs="Times New Roman"/>
          <w:lang w:val="en-GB"/>
        </w:rPr>
        <w:t xml:space="preserve"> </w:t>
      </w:r>
      <w:r w:rsidR="00512936" w:rsidRPr="00DE2EDF">
        <w:rPr>
          <w:rFonts w:cs="Times New Roman"/>
          <w:lang w:val="en-GB"/>
        </w:rPr>
        <w:t>the federation or the regions and communities</w:t>
      </w:r>
      <w:r w:rsidR="00EB54E9" w:rsidRPr="00DE2EDF">
        <w:rPr>
          <w:rFonts w:cs="Times New Roman"/>
          <w:lang w:val="en-GB"/>
        </w:rPr>
        <w:t>. T</w:t>
      </w:r>
      <w:r w:rsidR="00C648DF" w:rsidRPr="00DE2EDF">
        <w:rPr>
          <w:rFonts w:cs="Times New Roman"/>
          <w:lang w:val="en-GB"/>
        </w:rPr>
        <w:t xml:space="preserve">his rule </w:t>
      </w:r>
      <w:r w:rsidR="00512936" w:rsidRPr="00DE2EDF">
        <w:rPr>
          <w:rFonts w:cs="Times New Roman"/>
          <w:lang w:val="en-GB"/>
        </w:rPr>
        <w:t xml:space="preserve">has </w:t>
      </w:r>
      <w:r w:rsidR="00C648DF" w:rsidRPr="00DE2EDF">
        <w:rPr>
          <w:rFonts w:cs="Times New Roman"/>
          <w:lang w:val="en-GB"/>
        </w:rPr>
        <w:t>had no</w:t>
      </w:r>
      <w:r w:rsidR="00EB54E9" w:rsidRPr="00DE2EDF">
        <w:rPr>
          <w:rFonts w:cs="Times New Roman"/>
          <w:lang w:val="en-GB"/>
        </w:rPr>
        <w:t xml:space="preserve"> (major)</w:t>
      </w:r>
      <w:r w:rsidR="00C648DF" w:rsidRPr="00DE2EDF">
        <w:rPr>
          <w:rFonts w:cs="Times New Roman"/>
          <w:lang w:val="en-GB"/>
        </w:rPr>
        <w:t xml:space="preserve"> impact on th</w:t>
      </w:r>
      <w:r w:rsidR="00EB54E9" w:rsidRPr="00DE2EDF">
        <w:rPr>
          <w:rFonts w:cs="Times New Roman"/>
          <w:lang w:val="en-GB"/>
        </w:rPr>
        <w:t xml:space="preserve">e present matter, as most lawyers </w:t>
      </w:r>
      <w:r w:rsidR="003E7181" w:rsidRPr="00DE2EDF">
        <w:rPr>
          <w:rFonts w:cs="Times New Roman"/>
          <w:lang w:val="en-GB"/>
        </w:rPr>
        <w:t>seem</w:t>
      </w:r>
      <w:r w:rsidR="003E7181" w:rsidRPr="00DE2EDF">
        <w:rPr>
          <w:rStyle w:val="FootnoteReference"/>
          <w:rFonts w:cs="Times New Roman"/>
          <w:lang w:val="en-GB"/>
        </w:rPr>
        <w:footnoteReference w:id="235"/>
      </w:r>
      <w:r w:rsidR="003E7181" w:rsidRPr="00DE2EDF">
        <w:rPr>
          <w:rFonts w:cs="Times New Roman"/>
          <w:lang w:val="en-GB"/>
        </w:rPr>
        <w:t xml:space="preserve"> to </w:t>
      </w:r>
      <w:r w:rsidR="00512936" w:rsidRPr="00DE2EDF">
        <w:rPr>
          <w:rFonts w:cs="Times New Roman"/>
          <w:lang w:val="en-GB"/>
        </w:rPr>
        <w:t>think</w:t>
      </w:r>
      <w:r w:rsidR="00EB54E9" w:rsidRPr="00DE2EDF">
        <w:rPr>
          <w:rFonts w:cs="Times New Roman"/>
          <w:lang w:val="en-GB"/>
        </w:rPr>
        <w:t xml:space="preserve"> that the Court </w:t>
      </w:r>
      <w:r w:rsidR="00EB54E9" w:rsidRPr="00DE2EDF">
        <w:rPr>
          <w:rFonts w:cs="Times New Roman"/>
          <w:lang w:val="en-GB"/>
        </w:rPr>
        <w:lastRenderedPageBreak/>
        <w:t>would not simpl</w:t>
      </w:r>
      <w:r w:rsidR="00572592" w:rsidRPr="00DE2EDF">
        <w:rPr>
          <w:rFonts w:cs="Times New Roman"/>
          <w:lang w:val="en-GB"/>
        </w:rPr>
        <w:t>y</w:t>
      </w:r>
      <w:r w:rsidR="00EB54E9" w:rsidRPr="00DE2EDF">
        <w:rPr>
          <w:rFonts w:cs="Times New Roman"/>
          <w:lang w:val="en-GB"/>
        </w:rPr>
        <w:t xml:space="preserve"> ‘declare’ or ‘discover’</w:t>
      </w:r>
      <w:r w:rsidR="00AE4FA8" w:rsidRPr="00DE2EDF">
        <w:rPr>
          <w:rFonts w:cs="Times New Roman"/>
          <w:lang w:val="en-GB"/>
        </w:rPr>
        <w:t xml:space="preserve">, as any other state organ, a pre-existing nullity, but </w:t>
      </w:r>
      <w:r w:rsidR="00572592" w:rsidRPr="00DE2EDF">
        <w:rPr>
          <w:rFonts w:cs="Times New Roman"/>
          <w:lang w:val="en-GB"/>
        </w:rPr>
        <w:t>is</w:t>
      </w:r>
      <w:r w:rsidR="00AE4FA8" w:rsidRPr="00DE2EDF">
        <w:rPr>
          <w:rFonts w:cs="Times New Roman"/>
          <w:lang w:val="en-GB"/>
        </w:rPr>
        <w:t xml:space="preserve"> the only state organ </w:t>
      </w:r>
      <w:r w:rsidR="003E7181" w:rsidRPr="00DE2EDF">
        <w:rPr>
          <w:rFonts w:cs="Times New Roman"/>
          <w:lang w:val="en-GB"/>
        </w:rPr>
        <w:t>empowered</w:t>
      </w:r>
      <w:r w:rsidR="00AE4FA8" w:rsidRPr="00DE2EDF">
        <w:rPr>
          <w:rFonts w:cs="Times New Roman"/>
          <w:lang w:val="en-GB"/>
        </w:rPr>
        <w:t xml:space="preserve"> to decide the retroactiv</w:t>
      </w:r>
      <w:r w:rsidR="00572592" w:rsidRPr="00DE2EDF">
        <w:rPr>
          <w:rFonts w:cs="Times New Roman"/>
          <w:lang w:val="en-GB"/>
        </w:rPr>
        <w:t>ity</w:t>
      </w:r>
      <w:r w:rsidR="00AE4FA8" w:rsidRPr="00DE2EDF">
        <w:rPr>
          <w:rFonts w:cs="Times New Roman"/>
          <w:lang w:val="en-GB"/>
        </w:rPr>
        <w:t xml:space="preserve"> </w:t>
      </w:r>
      <w:r w:rsidR="00572592" w:rsidRPr="00DE2EDF">
        <w:rPr>
          <w:rFonts w:cs="Times New Roman"/>
          <w:lang w:val="en-GB"/>
        </w:rPr>
        <w:t xml:space="preserve">of an </w:t>
      </w:r>
      <w:r w:rsidR="00AE4FA8" w:rsidRPr="00DE2EDF">
        <w:rPr>
          <w:rFonts w:cs="Times New Roman"/>
          <w:lang w:val="en-GB"/>
        </w:rPr>
        <w:t>annulment of a statute</w:t>
      </w:r>
      <w:r w:rsidR="0057271D" w:rsidRPr="00DE2EDF">
        <w:rPr>
          <w:rFonts w:cs="Times New Roman"/>
          <w:lang w:val="en-GB"/>
        </w:rPr>
        <w:t>.</w:t>
      </w:r>
      <w:r w:rsidR="007040A9" w:rsidRPr="00DE2EDF">
        <w:rPr>
          <w:rStyle w:val="FootnoteReference"/>
          <w:rFonts w:cs="Times New Roman"/>
          <w:lang w:val="en-GB"/>
        </w:rPr>
        <w:footnoteReference w:id="236"/>
      </w:r>
      <w:r w:rsidR="00575AE8" w:rsidRPr="00DE2EDF">
        <w:rPr>
          <w:rFonts w:cs="Times New Roman"/>
          <w:lang w:val="en-GB"/>
        </w:rPr>
        <w:t xml:space="preserve"> I</w:t>
      </w:r>
      <w:r w:rsidR="0067656D" w:rsidRPr="00DE2EDF">
        <w:rPr>
          <w:rFonts w:eastAsia="Times New Roman" w:cs="Times New Roman"/>
          <w:iCs/>
          <w:lang w:val="en-GB"/>
        </w:rPr>
        <w:t xml:space="preserve">n </w:t>
      </w:r>
      <w:r w:rsidR="003A2456" w:rsidRPr="00DE2EDF">
        <w:rPr>
          <w:rFonts w:eastAsia="Times New Roman" w:cs="Times New Roman"/>
          <w:iCs/>
          <w:lang w:val="en-GB"/>
        </w:rPr>
        <w:t xml:space="preserve">its </w:t>
      </w:r>
      <w:r w:rsidR="00266C0C" w:rsidRPr="00DE2EDF">
        <w:rPr>
          <w:rFonts w:eastAsia="Times New Roman" w:cs="Times New Roman"/>
          <w:iCs/>
          <w:lang w:val="en-GB"/>
        </w:rPr>
        <w:t xml:space="preserve">decision of 21 December </w:t>
      </w:r>
      <w:r w:rsidR="0067656D" w:rsidRPr="00DE2EDF">
        <w:rPr>
          <w:rFonts w:eastAsia="Times New Roman" w:cs="Times New Roman"/>
          <w:iCs/>
          <w:lang w:val="en-GB"/>
        </w:rPr>
        <w:t>2007</w:t>
      </w:r>
      <w:r w:rsidR="00626266" w:rsidRPr="00DE2EDF">
        <w:rPr>
          <w:rFonts w:eastAsia="Times New Roman" w:cs="Times New Roman"/>
          <w:iCs/>
          <w:lang w:val="en-GB"/>
        </w:rPr>
        <w:t xml:space="preserve"> </w:t>
      </w:r>
      <w:r w:rsidR="0067656D" w:rsidRPr="00DE2EDF">
        <w:rPr>
          <w:rFonts w:eastAsia="Times New Roman" w:cs="Times New Roman"/>
          <w:iCs/>
          <w:lang w:val="en-GB"/>
        </w:rPr>
        <w:t xml:space="preserve">in a tort litigation, </w:t>
      </w:r>
      <w:r w:rsidR="007040A9" w:rsidRPr="00DE2EDF">
        <w:rPr>
          <w:rFonts w:eastAsia="Times New Roman" w:cs="Times New Roman"/>
          <w:iCs/>
          <w:lang w:val="en-GB"/>
        </w:rPr>
        <w:t xml:space="preserve">the Court of cassation held </w:t>
      </w:r>
      <w:r w:rsidR="0067656D" w:rsidRPr="00DE2EDF">
        <w:rPr>
          <w:rFonts w:eastAsia="Times New Roman" w:cs="Times New Roman"/>
          <w:iCs/>
          <w:lang w:val="en-GB"/>
        </w:rPr>
        <w:t xml:space="preserve">that the federal </w:t>
      </w:r>
      <w:r w:rsidR="001F564A" w:rsidRPr="00DE2EDF">
        <w:rPr>
          <w:rFonts w:eastAsia="Times New Roman" w:cs="Times New Roman"/>
          <w:iCs/>
          <w:lang w:val="en-GB"/>
        </w:rPr>
        <w:t>c</w:t>
      </w:r>
      <w:r w:rsidR="0067656D" w:rsidRPr="00DE2EDF">
        <w:rPr>
          <w:rFonts w:eastAsia="Times New Roman" w:cs="Times New Roman"/>
          <w:iCs/>
          <w:lang w:val="en-GB"/>
        </w:rPr>
        <w:t xml:space="preserve">ustoms department committed no fault when applying a </w:t>
      </w:r>
      <w:r w:rsidR="00F20E89" w:rsidRPr="00DE2EDF">
        <w:rPr>
          <w:rFonts w:eastAsia="Times New Roman" w:cs="Times New Roman"/>
          <w:iCs/>
          <w:lang w:val="en-GB"/>
        </w:rPr>
        <w:t xml:space="preserve">contested </w:t>
      </w:r>
      <w:r w:rsidR="00F00B1A" w:rsidRPr="00DE2EDF">
        <w:rPr>
          <w:rFonts w:eastAsia="Times New Roman" w:cs="Times New Roman"/>
          <w:iCs/>
          <w:lang w:val="en-GB"/>
        </w:rPr>
        <w:t xml:space="preserve">federal </w:t>
      </w:r>
      <w:r w:rsidR="0067656D" w:rsidRPr="00DE2EDF">
        <w:rPr>
          <w:rFonts w:eastAsia="Times New Roman" w:cs="Times New Roman"/>
          <w:iCs/>
          <w:lang w:val="en-GB"/>
        </w:rPr>
        <w:t>statute</w:t>
      </w:r>
      <w:r w:rsidR="008B1411" w:rsidRPr="00DE2EDF">
        <w:rPr>
          <w:rFonts w:eastAsia="Times New Roman" w:cs="Times New Roman"/>
          <w:iCs/>
          <w:lang w:val="en-GB"/>
        </w:rPr>
        <w:t>,</w:t>
      </w:r>
      <w:r w:rsidR="0067656D" w:rsidRPr="00DE2EDF">
        <w:rPr>
          <w:rFonts w:eastAsia="Times New Roman" w:cs="Times New Roman"/>
          <w:iCs/>
          <w:lang w:val="en-GB"/>
        </w:rPr>
        <w:t xml:space="preserve"> as long as the</w:t>
      </w:r>
      <w:r w:rsidR="00CD42C9" w:rsidRPr="00DE2EDF">
        <w:rPr>
          <w:rFonts w:eastAsia="Times New Roman" w:cs="Times New Roman"/>
          <w:iCs/>
          <w:lang w:val="en-GB"/>
        </w:rPr>
        <w:t xml:space="preserve"> </w:t>
      </w:r>
      <w:r w:rsidR="00AE4FA8" w:rsidRPr="00DE2EDF">
        <w:rPr>
          <w:rFonts w:eastAsia="Times New Roman" w:cs="Times New Roman"/>
          <w:iCs/>
          <w:lang w:val="en-GB"/>
        </w:rPr>
        <w:t xml:space="preserve">Constitutional Court’s </w:t>
      </w:r>
      <w:r w:rsidR="00AA25C9" w:rsidRPr="00DE2EDF">
        <w:rPr>
          <w:rFonts w:eastAsia="Times New Roman" w:cs="Times New Roman"/>
          <w:iCs/>
          <w:lang w:val="en-GB"/>
        </w:rPr>
        <w:t>decision</w:t>
      </w:r>
      <w:r w:rsidR="00AE4FA8" w:rsidRPr="00DE2EDF">
        <w:rPr>
          <w:rFonts w:eastAsia="Times New Roman" w:cs="Times New Roman"/>
          <w:iCs/>
          <w:lang w:val="en-GB"/>
        </w:rPr>
        <w:t xml:space="preserve"> on the unconstitutionality of the statute</w:t>
      </w:r>
      <w:r w:rsidR="00AA25C9" w:rsidRPr="00DE2EDF">
        <w:rPr>
          <w:rFonts w:eastAsia="Times New Roman" w:cs="Times New Roman"/>
          <w:iCs/>
          <w:lang w:val="en-GB"/>
        </w:rPr>
        <w:t xml:space="preserve"> </w:t>
      </w:r>
      <w:r w:rsidR="0067656D" w:rsidRPr="00DE2EDF">
        <w:rPr>
          <w:rFonts w:eastAsia="Times New Roman" w:cs="Times New Roman"/>
          <w:iCs/>
          <w:lang w:val="en-GB"/>
        </w:rPr>
        <w:t>ha</w:t>
      </w:r>
      <w:r w:rsidR="008B1411" w:rsidRPr="00DE2EDF">
        <w:rPr>
          <w:rFonts w:eastAsia="Times New Roman" w:cs="Times New Roman"/>
          <w:iCs/>
          <w:lang w:val="en-GB"/>
        </w:rPr>
        <w:t>d</w:t>
      </w:r>
      <w:r w:rsidR="0067656D" w:rsidRPr="00DE2EDF">
        <w:rPr>
          <w:rFonts w:eastAsia="Times New Roman" w:cs="Times New Roman"/>
          <w:iCs/>
          <w:lang w:val="en-GB"/>
        </w:rPr>
        <w:t xml:space="preserve"> not been </w:t>
      </w:r>
      <w:r w:rsidR="00575AE8" w:rsidRPr="00DE2EDF">
        <w:rPr>
          <w:rFonts w:eastAsia="Times New Roman" w:cs="Times New Roman"/>
          <w:iCs/>
          <w:lang w:val="en-GB"/>
        </w:rPr>
        <w:t xml:space="preserve">published </w:t>
      </w:r>
      <w:r w:rsidR="00AA25C9" w:rsidRPr="00DE2EDF">
        <w:rPr>
          <w:rFonts w:eastAsia="Times New Roman" w:cs="Times New Roman"/>
          <w:iCs/>
          <w:lang w:val="en-GB"/>
        </w:rPr>
        <w:t xml:space="preserve">in the </w:t>
      </w:r>
      <w:r w:rsidR="00F75C21" w:rsidRPr="00DE2EDF">
        <w:rPr>
          <w:rFonts w:eastAsia="Times New Roman" w:cs="Times New Roman"/>
          <w:iCs/>
          <w:lang w:val="en-GB"/>
        </w:rPr>
        <w:t xml:space="preserve">official </w:t>
      </w:r>
      <w:r w:rsidR="00AA25C9" w:rsidRPr="00DE2EDF">
        <w:rPr>
          <w:rFonts w:eastAsia="Times New Roman" w:cs="Times New Roman"/>
          <w:iCs/>
          <w:lang w:val="en-GB"/>
        </w:rPr>
        <w:t>law gazette</w:t>
      </w:r>
      <w:r w:rsidR="0067656D" w:rsidRPr="00DE2EDF">
        <w:rPr>
          <w:rFonts w:eastAsia="Times New Roman" w:cs="Times New Roman"/>
          <w:iCs/>
          <w:lang w:val="en-GB"/>
        </w:rPr>
        <w:t xml:space="preserve">. </w:t>
      </w:r>
      <w:r w:rsidR="008B1411" w:rsidRPr="00DE2EDF">
        <w:rPr>
          <w:rFonts w:eastAsia="Times New Roman" w:cs="Times New Roman"/>
          <w:iCs/>
          <w:lang w:val="en-GB"/>
        </w:rPr>
        <w:t>In the eyes of the highest civil court, i</w:t>
      </w:r>
      <w:r w:rsidR="0067656D" w:rsidRPr="00DE2EDF">
        <w:rPr>
          <w:rFonts w:eastAsia="Times New Roman" w:cs="Times New Roman"/>
          <w:iCs/>
          <w:lang w:val="en-GB"/>
        </w:rPr>
        <w:t xml:space="preserve">t </w:t>
      </w:r>
      <w:r w:rsidR="00F00B1A" w:rsidRPr="00DE2EDF">
        <w:rPr>
          <w:rFonts w:eastAsia="Times New Roman" w:cs="Times New Roman"/>
          <w:iCs/>
          <w:lang w:val="en-GB"/>
        </w:rPr>
        <w:t>wa</w:t>
      </w:r>
      <w:r w:rsidR="0067656D" w:rsidRPr="00DE2EDF">
        <w:rPr>
          <w:rFonts w:eastAsia="Times New Roman" w:cs="Times New Roman"/>
          <w:iCs/>
          <w:lang w:val="en-GB"/>
        </w:rPr>
        <w:t xml:space="preserve">s </w:t>
      </w:r>
      <w:r w:rsidR="00F00B1A" w:rsidRPr="00DE2EDF">
        <w:rPr>
          <w:rFonts w:eastAsia="Times New Roman" w:cs="Times New Roman"/>
          <w:iCs/>
          <w:lang w:val="en-GB"/>
        </w:rPr>
        <w:t>‘</w:t>
      </w:r>
      <w:r w:rsidR="0067656D" w:rsidRPr="00DE2EDF">
        <w:rPr>
          <w:rFonts w:eastAsia="Times New Roman" w:cs="Times New Roman"/>
          <w:iCs/>
          <w:lang w:val="en-GB"/>
        </w:rPr>
        <w:t>obvious</w:t>
      </w:r>
      <w:r w:rsidR="00F00B1A" w:rsidRPr="00DE2EDF">
        <w:rPr>
          <w:rFonts w:eastAsia="Times New Roman" w:cs="Times New Roman"/>
          <w:iCs/>
          <w:lang w:val="en-GB"/>
        </w:rPr>
        <w:t>’</w:t>
      </w:r>
      <w:r w:rsidR="008B1411" w:rsidRPr="00DE2EDF">
        <w:rPr>
          <w:rFonts w:eastAsia="Times New Roman" w:cs="Times New Roman"/>
          <w:iCs/>
          <w:lang w:val="en-GB"/>
        </w:rPr>
        <w:t xml:space="preserve"> that </w:t>
      </w:r>
      <w:r w:rsidR="00F00B1A" w:rsidRPr="00DE2EDF">
        <w:rPr>
          <w:rFonts w:eastAsia="Times New Roman" w:cs="Times New Roman"/>
          <w:iCs/>
          <w:lang w:val="en-GB"/>
        </w:rPr>
        <w:t>‘</w:t>
      </w:r>
      <w:r w:rsidR="008B1411" w:rsidRPr="00DE2EDF">
        <w:rPr>
          <w:rFonts w:eastAsia="Times New Roman" w:cs="Times New Roman"/>
          <w:iCs/>
          <w:lang w:val="en-GB"/>
        </w:rPr>
        <w:t xml:space="preserve">the </w:t>
      </w:r>
      <w:r w:rsidR="001F564A" w:rsidRPr="00DE2EDF">
        <w:rPr>
          <w:rFonts w:eastAsia="Times New Roman" w:cs="Times New Roman"/>
          <w:iCs/>
          <w:lang w:val="en-GB"/>
        </w:rPr>
        <w:t xml:space="preserve">customs </w:t>
      </w:r>
      <w:r w:rsidR="008B1411" w:rsidRPr="00DE2EDF">
        <w:rPr>
          <w:rFonts w:eastAsia="Times New Roman" w:cs="Times New Roman"/>
          <w:iCs/>
          <w:lang w:val="en-GB"/>
        </w:rPr>
        <w:t>department ha</w:t>
      </w:r>
      <w:r w:rsidR="00266C0C" w:rsidRPr="00DE2EDF">
        <w:rPr>
          <w:rFonts w:eastAsia="Times New Roman" w:cs="Times New Roman"/>
          <w:iCs/>
          <w:lang w:val="en-GB"/>
        </w:rPr>
        <w:t>d</w:t>
      </w:r>
      <w:r w:rsidR="008B1411" w:rsidRPr="00DE2EDF">
        <w:rPr>
          <w:rFonts w:eastAsia="Times New Roman" w:cs="Times New Roman"/>
          <w:iCs/>
          <w:lang w:val="en-GB"/>
        </w:rPr>
        <w:t xml:space="preserve"> no mission</w:t>
      </w:r>
      <w:r w:rsidR="00266C0C" w:rsidRPr="00DE2EDF">
        <w:rPr>
          <w:rFonts w:eastAsia="Times New Roman" w:cs="Times New Roman"/>
          <w:iCs/>
          <w:lang w:val="en-GB"/>
        </w:rPr>
        <w:t xml:space="preserve"> what</w:t>
      </w:r>
      <w:r w:rsidR="001F564A" w:rsidRPr="00DE2EDF">
        <w:rPr>
          <w:rFonts w:eastAsia="Times New Roman" w:cs="Times New Roman"/>
          <w:iCs/>
          <w:lang w:val="en-GB"/>
        </w:rPr>
        <w:t>so</w:t>
      </w:r>
      <w:r w:rsidR="00266C0C" w:rsidRPr="00DE2EDF">
        <w:rPr>
          <w:rFonts w:eastAsia="Times New Roman" w:cs="Times New Roman"/>
          <w:iCs/>
          <w:lang w:val="en-GB"/>
        </w:rPr>
        <w:t>ever</w:t>
      </w:r>
      <w:r w:rsidR="008B1411" w:rsidRPr="00DE2EDF">
        <w:rPr>
          <w:rFonts w:eastAsia="Times New Roman" w:cs="Times New Roman"/>
          <w:iCs/>
          <w:lang w:val="en-GB"/>
        </w:rPr>
        <w:t xml:space="preserve"> to review the constitutionality of statutes’</w:t>
      </w:r>
      <w:r w:rsidR="00F00B1A" w:rsidRPr="00DE2EDF">
        <w:rPr>
          <w:rFonts w:eastAsia="Times New Roman" w:cs="Times New Roman"/>
          <w:iCs/>
          <w:lang w:val="en-GB"/>
        </w:rPr>
        <w:t>.</w:t>
      </w:r>
      <w:r w:rsidR="00626266" w:rsidRPr="00DE2EDF">
        <w:rPr>
          <w:rStyle w:val="FootnoteReference"/>
          <w:rFonts w:eastAsia="Times New Roman" w:cs="Times New Roman"/>
          <w:iCs/>
          <w:lang w:val="en-GB"/>
        </w:rPr>
        <w:footnoteReference w:id="237"/>
      </w:r>
      <w:r w:rsidR="005C2460" w:rsidRPr="00DE2EDF">
        <w:rPr>
          <w:rFonts w:eastAsia="Times New Roman" w:cs="Times New Roman"/>
          <w:iCs/>
          <w:lang w:val="en-GB"/>
        </w:rPr>
        <w:t xml:space="preserve"> </w:t>
      </w:r>
      <w:r w:rsidR="00AA25C9" w:rsidRPr="00DE2EDF">
        <w:rPr>
          <w:rFonts w:eastAsia="Times New Roman" w:cs="Times New Roman"/>
          <w:iCs/>
          <w:lang w:val="en-GB"/>
        </w:rPr>
        <w:t>This decision was not uncontroversial. In his report</w:t>
      </w:r>
      <w:r w:rsidR="00BB7C3E" w:rsidRPr="00DE2EDF">
        <w:rPr>
          <w:rFonts w:eastAsia="Times New Roman" w:cs="Times New Roman"/>
          <w:iCs/>
          <w:lang w:val="en-GB"/>
        </w:rPr>
        <w:t xml:space="preserve"> to the Court of cassation</w:t>
      </w:r>
      <w:r w:rsidR="00AA25C9" w:rsidRPr="00DE2EDF">
        <w:rPr>
          <w:rFonts w:eastAsia="Times New Roman" w:cs="Times New Roman"/>
          <w:iCs/>
          <w:lang w:val="en-GB"/>
        </w:rPr>
        <w:t>, the advocate general</w:t>
      </w:r>
      <w:r w:rsidR="00572592" w:rsidRPr="00DE2EDF">
        <w:rPr>
          <w:rFonts w:eastAsia="Times New Roman" w:cs="Times New Roman"/>
          <w:iCs/>
          <w:lang w:val="en-GB"/>
        </w:rPr>
        <w:t>,</w:t>
      </w:r>
      <w:r w:rsidR="00AA25C9" w:rsidRPr="00DE2EDF">
        <w:rPr>
          <w:rFonts w:eastAsia="Times New Roman" w:cs="Times New Roman"/>
          <w:iCs/>
          <w:lang w:val="en-GB"/>
        </w:rPr>
        <w:t xml:space="preserve"> Thierry Werquin</w:t>
      </w:r>
      <w:r w:rsidR="00572592" w:rsidRPr="00DE2EDF">
        <w:rPr>
          <w:rFonts w:eastAsia="Times New Roman" w:cs="Times New Roman"/>
          <w:iCs/>
          <w:lang w:val="en-GB"/>
        </w:rPr>
        <w:t>,</w:t>
      </w:r>
      <w:r w:rsidR="00AA25C9" w:rsidRPr="00DE2EDF">
        <w:rPr>
          <w:rFonts w:eastAsia="Times New Roman" w:cs="Times New Roman"/>
          <w:iCs/>
          <w:lang w:val="en-GB"/>
        </w:rPr>
        <w:t xml:space="preserve"> </w:t>
      </w:r>
      <w:r w:rsidR="00C11A45" w:rsidRPr="00DE2EDF">
        <w:rPr>
          <w:rFonts w:eastAsia="Times New Roman" w:cs="Times New Roman"/>
          <w:iCs/>
          <w:lang w:val="en-GB"/>
        </w:rPr>
        <w:t xml:space="preserve">had </w:t>
      </w:r>
      <w:r w:rsidR="00AA25C9" w:rsidRPr="00DE2EDF">
        <w:rPr>
          <w:rFonts w:eastAsia="Times New Roman" w:cs="Times New Roman"/>
          <w:iCs/>
          <w:lang w:val="en-GB"/>
        </w:rPr>
        <w:t xml:space="preserve">defended the </w:t>
      </w:r>
      <w:r w:rsidR="00BB7C3E" w:rsidRPr="00DE2EDF">
        <w:rPr>
          <w:rFonts w:eastAsia="Times New Roman" w:cs="Times New Roman"/>
          <w:iCs/>
          <w:lang w:val="en-GB"/>
        </w:rPr>
        <w:t xml:space="preserve">point of </w:t>
      </w:r>
      <w:r w:rsidR="00C11A45" w:rsidRPr="00DE2EDF">
        <w:rPr>
          <w:rFonts w:eastAsia="Times New Roman" w:cs="Times New Roman"/>
          <w:iCs/>
          <w:lang w:val="en-GB"/>
        </w:rPr>
        <w:t>view</w:t>
      </w:r>
      <w:r w:rsidR="00AA25C9" w:rsidRPr="00DE2EDF">
        <w:rPr>
          <w:rFonts w:eastAsia="Times New Roman" w:cs="Times New Roman"/>
          <w:iCs/>
          <w:lang w:val="en-GB"/>
        </w:rPr>
        <w:t xml:space="preserve"> that administrati</w:t>
      </w:r>
      <w:r w:rsidR="00BB7C3E" w:rsidRPr="00DE2EDF">
        <w:rPr>
          <w:rFonts w:eastAsia="Times New Roman" w:cs="Times New Roman"/>
          <w:iCs/>
          <w:lang w:val="en-GB"/>
        </w:rPr>
        <w:t>ve authorities</w:t>
      </w:r>
      <w:r w:rsidR="00AA25C9" w:rsidRPr="00DE2EDF">
        <w:rPr>
          <w:rFonts w:eastAsia="Times New Roman" w:cs="Times New Roman"/>
          <w:iCs/>
          <w:lang w:val="en-GB"/>
        </w:rPr>
        <w:t xml:space="preserve"> </w:t>
      </w:r>
      <w:r w:rsidR="003E7181" w:rsidRPr="00DE2EDF">
        <w:rPr>
          <w:rFonts w:eastAsia="Times New Roman" w:cs="Times New Roman"/>
          <w:iCs/>
          <w:lang w:val="en-GB"/>
        </w:rPr>
        <w:t>had</w:t>
      </w:r>
      <w:r w:rsidR="006C726C" w:rsidRPr="00DE2EDF">
        <w:rPr>
          <w:rFonts w:eastAsia="Times New Roman" w:cs="Times New Roman"/>
          <w:iCs/>
          <w:lang w:val="en-GB"/>
        </w:rPr>
        <w:t>, even before</w:t>
      </w:r>
      <w:r w:rsidR="00AA25C9" w:rsidRPr="00DE2EDF">
        <w:rPr>
          <w:rFonts w:eastAsia="Times New Roman" w:cs="Times New Roman"/>
          <w:iCs/>
          <w:lang w:val="en-GB"/>
        </w:rPr>
        <w:t xml:space="preserve"> a decision </w:t>
      </w:r>
      <w:r w:rsidR="006C726C" w:rsidRPr="00DE2EDF">
        <w:rPr>
          <w:rFonts w:eastAsia="Times New Roman" w:cs="Times New Roman"/>
          <w:iCs/>
          <w:lang w:val="en-GB"/>
        </w:rPr>
        <w:t xml:space="preserve">was delivered </w:t>
      </w:r>
      <w:r w:rsidR="00AA25C9" w:rsidRPr="00DE2EDF">
        <w:rPr>
          <w:rFonts w:eastAsia="Times New Roman" w:cs="Times New Roman"/>
          <w:iCs/>
          <w:lang w:val="en-GB"/>
        </w:rPr>
        <w:t>by the Constitutional Court</w:t>
      </w:r>
      <w:r w:rsidR="006C726C" w:rsidRPr="00DE2EDF">
        <w:rPr>
          <w:rFonts w:eastAsia="Times New Roman" w:cs="Times New Roman"/>
          <w:iCs/>
          <w:lang w:val="en-GB"/>
        </w:rPr>
        <w:t xml:space="preserve">, </w:t>
      </w:r>
      <w:r w:rsidR="00572592" w:rsidRPr="00DE2EDF">
        <w:rPr>
          <w:rFonts w:eastAsia="Times New Roman" w:cs="Times New Roman"/>
          <w:iCs/>
          <w:lang w:val="en-GB"/>
        </w:rPr>
        <w:t xml:space="preserve">an </w:t>
      </w:r>
      <w:r w:rsidR="006C726C" w:rsidRPr="00DE2EDF">
        <w:rPr>
          <w:rFonts w:eastAsia="Times New Roman" w:cs="Times New Roman"/>
          <w:iCs/>
          <w:lang w:val="en-GB"/>
        </w:rPr>
        <w:t xml:space="preserve">obligation </w:t>
      </w:r>
      <w:r w:rsidR="00AA25C9" w:rsidRPr="00DE2EDF">
        <w:rPr>
          <w:rFonts w:eastAsia="Times New Roman" w:cs="Times New Roman"/>
          <w:iCs/>
          <w:lang w:val="en-GB"/>
        </w:rPr>
        <w:t xml:space="preserve">to </w:t>
      </w:r>
      <w:r w:rsidR="00572592" w:rsidRPr="00DE2EDF">
        <w:rPr>
          <w:rFonts w:eastAsia="Times New Roman" w:cs="Times New Roman"/>
          <w:iCs/>
          <w:lang w:val="en-GB"/>
        </w:rPr>
        <w:t xml:space="preserve">take into consideration </w:t>
      </w:r>
      <w:r w:rsidR="00AA25C9" w:rsidRPr="00DE2EDF">
        <w:rPr>
          <w:rFonts w:eastAsia="Times New Roman" w:cs="Times New Roman"/>
          <w:iCs/>
          <w:lang w:val="en-GB"/>
        </w:rPr>
        <w:t xml:space="preserve">whether or not </w:t>
      </w:r>
      <w:r w:rsidR="00BB7C3E" w:rsidRPr="00DE2EDF">
        <w:rPr>
          <w:rFonts w:eastAsia="Times New Roman" w:cs="Times New Roman"/>
          <w:iCs/>
          <w:lang w:val="en-GB"/>
        </w:rPr>
        <w:t>their</w:t>
      </w:r>
      <w:r w:rsidR="00AA25C9" w:rsidRPr="00DE2EDF">
        <w:rPr>
          <w:rFonts w:eastAsia="Times New Roman" w:cs="Times New Roman"/>
          <w:iCs/>
          <w:lang w:val="en-GB"/>
        </w:rPr>
        <w:t xml:space="preserve"> action could be</w:t>
      </w:r>
      <w:r w:rsidR="00C11A45" w:rsidRPr="00DE2EDF">
        <w:rPr>
          <w:rFonts w:eastAsia="Times New Roman" w:cs="Times New Roman"/>
          <w:iCs/>
          <w:lang w:val="en-GB"/>
        </w:rPr>
        <w:t xml:space="preserve"> qualified as</w:t>
      </w:r>
      <w:r w:rsidR="00AA25C9" w:rsidRPr="00DE2EDF">
        <w:rPr>
          <w:rFonts w:eastAsia="Times New Roman" w:cs="Times New Roman"/>
          <w:iCs/>
          <w:lang w:val="en-GB"/>
        </w:rPr>
        <w:t xml:space="preserve"> a fault, with regard to the Constitution.</w:t>
      </w:r>
      <w:r w:rsidR="006B25AD" w:rsidRPr="00DE2EDF">
        <w:rPr>
          <w:rStyle w:val="FootnoteReference"/>
          <w:rFonts w:eastAsia="Times New Roman" w:cs="Times New Roman"/>
          <w:iCs/>
          <w:lang w:val="en-GB"/>
        </w:rPr>
        <w:footnoteReference w:id="238"/>
      </w:r>
      <w:r w:rsidR="00AA25C9" w:rsidRPr="00DE2EDF">
        <w:rPr>
          <w:rFonts w:eastAsia="Times New Roman" w:cs="Times New Roman"/>
          <w:iCs/>
          <w:lang w:val="en-GB"/>
        </w:rPr>
        <w:t xml:space="preserve"> In his comment, </w:t>
      </w:r>
      <w:r w:rsidR="00F00B1A" w:rsidRPr="00DE2EDF">
        <w:rPr>
          <w:rFonts w:eastAsia="Times New Roman" w:cs="Times New Roman"/>
          <w:iCs/>
          <w:lang w:val="en-GB"/>
        </w:rPr>
        <w:t>David Renders</w:t>
      </w:r>
      <w:r w:rsidR="00C11A45" w:rsidRPr="00DE2EDF">
        <w:rPr>
          <w:rStyle w:val="FootnoteReference"/>
          <w:rFonts w:eastAsia="Times New Roman" w:cs="Times New Roman"/>
          <w:iCs/>
          <w:lang w:val="en-GB"/>
        </w:rPr>
        <w:footnoteReference w:id="239"/>
      </w:r>
      <w:r w:rsidR="00C11A45" w:rsidRPr="00DE2EDF">
        <w:rPr>
          <w:rFonts w:eastAsia="Times New Roman" w:cs="Times New Roman"/>
          <w:iCs/>
          <w:lang w:val="en-GB"/>
        </w:rPr>
        <w:t xml:space="preserve"> analysed the issue from a different point of view, by referring to </w:t>
      </w:r>
      <w:r w:rsidR="008B50A6" w:rsidRPr="00DE2EDF">
        <w:rPr>
          <w:rFonts w:eastAsia="Times New Roman" w:cs="Times New Roman"/>
          <w:iCs/>
          <w:lang w:val="en-GB"/>
        </w:rPr>
        <w:t xml:space="preserve">the </w:t>
      </w:r>
      <w:r w:rsidR="00266C0C" w:rsidRPr="00DE2EDF">
        <w:rPr>
          <w:rFonts w:eastAsia="Times New Roman" w:cs="Times New Roman"/>
          <w:iCs/>
          <w:lang w:val="en-GB"/>
        </w:rPr>
        <w:t>civil servants</w:t>
      </w:r>
      <w:r w:rsidR="008B50A6" w:rsidRPr="00DE2EDF">
        <w:rPr>
          <w:rFonts w:eastAsia="Times New Roman" w:cs="Times New Roman"/>
          <w:iCs/>
          <w:lang w:val="en-GB"/>
        </w:rPr>
        <w:t>’ obligation</w:t>
      </w:r>
      <w:r w:rsidR="00266C0C" w:rsidRPr="00DE2EDF">
        <w:rPr>
          <w:rFonts w:eastAsia="Times New Roman" w:cs="Times New Roman"/>
          <w:iCs/>
          <w:lang w:val="en-GB"/>
        </w:rPr>
        <w:t xml:space="preserve"> to </w:t>
      </w:r>
      <w:r w:rsidR="00CF4776" w:rsidRPr="00DE2EDF">
        <w:rPr>
          <w:rFonts w:eastAsia="Times New Roman" w:cs="Times New Roman"/>
          <w:iCs/>
          <w:lang w:val="en-GB"/>
        </w:rPr>
        <w:t>obey</w:t>
      </w:r>
      <w:r w:rsidR="00266C0C" w:rsidRPr="00DE2EDF">
        <w:rPr>
          <w:rFonts w:eastAsia="Times New Roman" w:cs="Times New Roman"/>
          <w:iCs/>
          <w:lang w:val="en-GB"/>
        </w:rPr>
        <w:t xml:space="preserve"> orders of their superiors unless the order is ‘manifestly </w:t>
      </w:r>
      <w:r w:rsidR="00C11A45" w:rsidRPr="00DE2EDF">
        <w:rPr>
          <w:rFonts w:eastAsia="Times New Roman" w:cs="Times New Roman"/>
          <w:iCs/>
          <w:lang w:val="en-GB"/>
        </w:rPr>
        <w:t>unlawful</w:t>
      </w:r>
      <w:r w:rsidR="00266C0C" w:rsidRPr="00DE2EDF">
        <w:rPr>
          <w:rFonts w:eastAsia="Times New Roman" w:cs="Times New Roman"/>
          <w:iCs/>
          <w:lang w:val="en-GB"/>
        </w:rPr>
        <w:t>’.</w:t>
      </w:r>
      <w:r w:rsidR="00997996" w:rsidRPr="00DE2EDF">
        <w:rPr>
          <w:rFonts w:eastAsia="Times New Roman" w:cs="Times New Roman"/>
          <w:iCs/>
          <w:lang w:val="en-GB"/>
        </w:rPr>
        <w:t xml:space="preserve"> </w:t>
      </w:r>
    </w:p>
    <w:p w14:paraId="16704749" w14:textId="77777777" w:rsidR="000F4C26" w:rsidRPr="00DE2EDF" w:rsidRDefault="000F4C26" w:rsidP="00DE2EDF">
      <w:pPr>
        <w:spacing w:after="0"/>
        <w:jc w:val="both"/>
        <w:rPr>
          <w:rFonts w:eastAsia="Times New Roman" w:cs="Times New Roman"/>
          <w:iCs/>
          <w:lang w:val="en-GB"/>
        </w:rPr>
      </w:pPr>
    </w:p>
    <w:p w14:paraId="6C6B7882" w14:textId="77777777" w:rsidR="00414F23" w:rsidRPr="00DE2EDF" w:rsidRDefault="008B50A6" w:rsidP="00DE2EDF">
      <w:pPr>
        <w:spacing w:after="0"/>
        <w:jc w:val="both"/>
        <w:rPr>
          <w:rFonts w:eastAsia="Times New Roman" w:cs="Times New Roman"/>
          <w:iCs/>
          <w:lang w:val="en-GB"/>
        </w:rPr>
      </w:pPr>
      <w:r w:rsidRPr="00DE2EDF">
        <w:rPr>
          <w:rFonts w:eastAsia="Times New Roman" w:cs="Times New Roman"/>
          <w:iCs/>
          <w:lang w:val="en-GB"/>
        </w:rPr>
        <w:t>In many other countries, the issue is not even discussed</w:t>
      </w:r>
      <w:r w:rsidR="00680EFF" w:rsidRPr="00DE2EDF">
        <w:rPr>
          <w:rFonts w:eastAsia="Times New Roman" w:cs="Times New Roman"/>
          <w:iCs/>
          <w:lang w:val="en-GB"/>
        </w:rPr>
        <w:t xml:space="preserve">. In </w:t>
      </w:r>
      <w:r w:rsidR="001F542D" w:rsidRPr="00DE2EDF">
        <w:rPr>
          <w:rFonts w:eastAsia="Times New Roman" w:cs="Times New Roman"/>
          <w:iCs/>
          <w:lang w:val="en-GB"/>
        </w:rPr>
        <w:t>the legal systems of</w:t>
      </w:r>
      <w:r w:rsidR="00680EFF" w:rsidRPr="00DE2EDF">
        <w:rPr>
          <w:rFonts w:eastAsia="Times New Roman" w:cs="Times New Roman"/>
          <w:iCs/>
          <w:lang w:val="en-GB"/>
        </w:rPr>
        <w:t xml:space="preserve"> </w:t>
      </w:r>
      <w:r w:rsidR="00572592" w:rsidRPr="00DE2EDF">
        <w:rPr>
          <w:rFonts w:eastAsia="Times New Roman" w:cs="Times New Roman"/>
          <w:iCs/>
          <w:lang w:val="en-GB"/>
        </w:rPr>
        <w:t xml:space="preserve">the </w:t>
      </w:r>
      <w:r w:rsidR="001F542D" w:rsidRPr="00DE2EDF">
        <w:rPr>
          <w:rFonts w:eastAsia="Times New Roman" w:cs="Times New Roman"/>
          <w:iCs/>
          <w:lang w:val="en-GB"/>
        </w:rPr>
        <w:t>United</w:t>
      </w:r>
      <w:r w:rsidR="00572592" w:rsidRPr="00DE2EDF">
        <w:rPr>
          <w:rFonts w:eastAsia="Times New Roman" w:cs="Times New Roman"/>
          <w:iCs/>
          <w:lang w:val="en-GB"/>
        </w:rPr>
        <w:t xml:space="preserve"> </w:t>
      </w:r>
      <w:r w:rsidR="001F542D" w:rsidRPr="00DE2EDF">
        <w:rPr>
          <w:rFonts w:eastAsia="Times New Roman" w:cs="Times New Roman"/>
          <w:iCs/>
          <w:lang w:val="en-GB"/>
        </w:rPr>
        <w:t>Kingdom</w:t>
      </w:r>
      <w:r w:rsidR="00680EFF" w:rsidRPr="00DE2EDF">
        <w:rPr>
          <w:rFonts w:eastAsia="Times New Roman" w:cs="Times New Roman"/>
          <w:iCs/>
          <w:lang w:val="en-GB"/>
        </w:rPr>
        <w:t xml:space="preserve"> (regarding Acts </w:t>
      </w:r>
      <w:r w:rsidR="00F350C4" w:rsidRPr="00DE2EDF">
        <w:rPr>
          <w:rFonts w:eastAsia="Times New Roman" w:cs="Times New Roman"/>
          <w:iCs/>
          <w:lang w:val="en-GB"/>
        </w:rPr>
        <w:t xml:space="preserve">of </w:t>
      </w:r>
      <w:r w:rsidR="00572592" w:rsidRPr="00DE2EDF">
        <w:rPr>
          <w:rFonts w:eastAsia="Times New Roman" w:cs="Times New Roman"/>
          <w:iCs/>
          <w:lang w:val="en-GB"/>
        </w:rPr>
        <w:t xml:space="preserve">the </w:t>
      </w:r>
      <w:r w:rsidR="00F350C4" w:rsidRPr="00DE2EDF">
        <w:rPr>
          <w:rFonts w:eastAsia="Times New Roman" w:cs="Times New Roman"/>
          <w:iCs/>
          <w:lang w:val="en-GB"/>
        </w:rPr>
        <w:t>W</w:t>
      </w:r>
      <w:r w:rsidR="003B06FC" w:rsidRPr="00DE2EDF">
        <w:rPr>
          <w:rFonts w:eastAsia="Times New Roman" w:cs="Times New Roman"/>
          <w:iCs/>
          <w:lang w:val="en-GB"/>
        </w:rPr>
        <w:t>estmin</w:t>
      </w:r>
      <w:r w:rsidR="00680EFF" w:rsidRPr="00DE2EDF">
        <w:rPr>
          <w:rFonts w:eastAsia="Times New Roman" w:cs="Times New Roman"/>
          <w:iCs/>
          <w:lang w:val="en-GB"/>
        </w:rPr>
        <w:t xml:space="preserve">ster Parliament), </w:t>
      </w:r>
      <w:r w:rsidR="00572592" w:rsidRPr="00DE2EDF">
        <w:rPr>
          <w:rFonts w:eastAsia="Times New Roman" w:cs="Times New Roman"/>
          <w:iCs/>
          <w:lang w:val="en-GB"/>
        </w:rPr>
        <w:t xml:space="preserve">the </w:t>
      </w:r>
      <w:r w:rsidR="00680EFF" w:rsidRPr="00DE2EDF">
        <w:rPr>
          <w:rFonts w:eastAsia="Times New Roman" w:cs="Times New Roman"/>
          <w:iCs/>
          <w:lang w:val="en-GB"/>
        </w:rPr>
        <w:t>Netherlands</w:t>
      </w:r>
      <w:r w:rsidR="0057271D" w:rsidRPr="00DE2EDF">
        <w:rPr>
          <w:rFonts w:eastAsia="Times New Roman" w:cs="Times New Roman"/>
          <w:iCs/>
          <w:lang w:val="en-GB"/>
        </w:rPr>
        <w:t>,</w:t>
      </w:r>
      <w:r w:rsidR="001B731E" w:rsidRPr="00DE2EDF">
        <w:rPr>
          <w:rStyle w:val="FootnoteReference"/>
          <w:rFonts w:eastAsia="Times New Roman" w:cs="Times New Roman"/>
          <w:iCs/>
          <w:lang w:val="en-GB"/>
        </w:rPr>
        <w:footnoteReference w:id="240"/>
      </w:r>
      <w:r w:rsidR="00680EFF" w:rsidRPr="00DE2EDF">
        <w:rPr>
          <w:rFonts w:eastAsia="Times New Roman" w:cs="Times New Roman"/>
          <w:iCs/>
          <w:lang w:val="en-GB"/>
        </w:rPr>
        <w:t xml:space="preserve"> </w:t>
      </w:r>
      <w:r w:rsidRPr="00DE2EDF">
        <w:rPr>
          <w:rFonts w:eastAsia="Times New Roman" w:cs="Times New Roman"/>
          <w:iCs/>
          <w:lang w:val="en-GB"/>
        </w:rPr>
        <w:t xml:space="preserve">France, </w:t>
      </w:r>
      <w:r w:rsidR="00BF7F47" w:rsidRPr="00DE2EDF">
        <w:rPr>
          <w:rFonts w:eastAsia="Times New Roman" w:cs="Times New Roman"/>
          <w:iCs/>
          <w:lang w:val="en-GB"/>
        </w:rPr>
        <w:t xml:space="preserve">Spain, </w:t>
      </w:r>
      <w:r w:rsidRPr="00DE2EDF">
        <w:rPr>
          <w:rFonts w:eastAsia="Times New Roman" w:cs="Times New Roman"/>
          <w:iCs/>
          <w:lang w:val="en-GB"/>
        </w:rPr>
        <w:t>Hungary, Luxembourg</w:t>
      </w:r>
      <w:r w:rsidR="0057271D" w:rsidRPr="00DE2EDF">
        <w:rPr>
          <w:rFonts w:eastAsia="Times New Roman" w:cs="Times New Roman"/>
          <w:iCs/>
          <w:lang w:val="en-GB"/>
        </w:rPr>
        <w:t>,</w:t>
      </w:r>
      <w:r w:rsidR="008A7D21" w:rsidRPr="00DE2EDF">
        <w:rPr>
          <w:rStyle w:val="FootnoteReference"/>
          <w:rFonts w:eastAsia="Times New Roman" w:cs="Times New Roman"/>
          <w:iCs/>
          <w:lang w:val="en-GB"/>
        </w:rPr>
        <w:footnoteReference w:id="241"/>
      </w:r>
      <w:r w:rsidRPr="00DE2EDF">
        <w:rPr>
          <w:rFonts w:eastAsia="Times New Roman" w:cs="Times New Roman"/>
          <w:iCs/>
          <w:lang w:val="en-GB"/>
        </w:rPr>
        <w:t xml:space="preserve"> etc.</w:t>
      </w:r>
      <w:r w:rsidR="00680EFF" w:rsidRPr="00DE2EDF">
        <w:rPr>
          <w:rFonts w:eastAsia="Times New Roman" w:cs="Times New Roman"/>
          <w:iCs/>
          <w:lang w:val="en-GB"/>
        </w:rPr>
        <w:t xml:space="preserve">, </w:t>
      </w:r>
      <w:r w:rsidR="005D1C6F" w:rsidRPr="00DE2EDF">
        <w:rPr>
          <w:rFonts w:eastAsia="Times New Roman" w:cs="Times New Roman"/>
          <w:iCs/>
          <w:lang w:val="en-GB"/>
        </w:rPr>
        <w:t>the existence of such</w:t>
      </w:r>
      <w:r w:rsidR="00F350C4" w:rsidRPr="00DE2EDF">
        <w:rPr>
          <w:rFonts w:eastAsia="Times New Roman" w:cs="Times New Roman"/>
          <w:iCs/>
          <w:lang w:val="en-GB"/>
        </w:rPr>
        <w:t xml:space="preserve"> a review, whether concrete or abstract,</w:t>
      </w:r>
      <w:r w:rsidR="005D1C6F" w:rsidRPr="00DE2EDF">
        <w:rPr>
          <w:rFonts w:eastAsia="Times New Roman" w:cs="Times New Roman"/>
          <w:iCs/>
          <w:lang w:val="en-GB"/>
        </w:rPr>
        <w:t xml:space="preserve"> </w:t>
      </w:r>
      <w:r w:rsidR="00F350C4" w:rsidRPr="00DE2EDF">
        <w:rPr>
          <w:rFonts w:eastAsia="Times New Roman" w:cs="Times New Roman"/>
          <w:iCs/>
          <w:lang w:val="en-GB"/>
        </w:rPr>
        <w:t>se</w:t>
      </w:r>
      <w:r w:rsidR="005D1C6F" w:rsidRPr="00DE2EDF">
        <w:rPr>
          <w:rFonts w:eastAsia="Times New Roman" w:cs="Times New Roman"/>
          <w:iCs/>
          <w:lang w:val="en-GB"/>
        </w:rPr>
        <w:t xml:space="preserve">ems </w:t>
      </w:r>
      <w:r w:rsidR="00572592" w:rsidRPr="00DE2EDF">
        <w:rPr>
          <w:rFonts w:eastAsia="Times New Roman" w:cs="Times New Roman"/>
          <w:iCs/>
          <w:lang w:val="en-GB"/>
        </w:rPr>
        <w:t>i</w:t>
      </w:r>
      <w:r w:rsidR="005D1C6F" w:rsidRPr="00DE2EDF">
        <w:rPr>
          <w:rFonts w:eastAsia="Times New Roman" w:cs="Times New Roman"/>
          <w:iCs/>
          <w:lang w:val="en-GB"/>
        </w:rPr>
        <w:t>nconceivable</w:t>
      </w:r>
      <w:r w:rsidR="004A5064" w:rsidRPr="00DE2EDF">
        <w:rPr>
          <w:rFonts w:eastAsia="Times New Roman" w:cs="Times New Roman"/>
          <w:iCs/>
          <w:lang w:val="en-GB"/>
        </w:rPr>
        <w:t xml:space="preserve">, given the traditional understanding of the </w:t>
      </w:r>
      <w:r w:rsidR="00C64F80" w:rsidRPr="00DE2EDF">
        <w:rPr>
          <w:rFonts w:eastAsia="Times New Roman" w:cs="Times New Roman"/>
          <w:iCs/>
          <w:lang w:val="en-GB"/>
        </w:rPr>
        <w:t xml:space="preserve">absolute </w:t>
      </w:r>
      <w:r w:rsidR="004A5064" w:rsidRPr="00DE2EDF">
        <w:rPr>
          <w:rFonts w:eastAsia="Times New Roman" w:cs="Times New Roman"/>
          <w:iCs/>
          <w:lang w:val="en-GB"/>
        </w:rPr>
        <w:t xml:space="preserve">binding nature of statutes </w:t>
      </w:r>
      <w:r w:rsidR="00BE6F38" w:rsidRPr="00DE2EDF">
        <w:rPr>
          <w:rFonts w:eastAsia="Times New Roman" w:cs="Times New Roman"/>
          <w:iCs/>
          <w:lang w:val="en-GB"/>
        </w:rPr>
        <w:t>on</w:t>
      </w:r>
      <w:r w:rsidR="008A7D21" w:rsidRPr="00DE2EDF">
        <w:rPr>
          <w:rFonts w:eastAsia="Times New Roman" w:cs="Times New Roman"/>
          <w:iCs/>
          <w:lang w:val="en-GB"/>
        </w:rPr>
        <w:t xml:space="preserve"> </w:t>
      </w:r>
      <w:r w:rsidR="00572592" w:rsidRPr="00DE2EDF">
        <w:rPr>
          <w:rFonts w:eastAsia="Times New Roman" w:cs="Times New Roman"/>
          <w:iCs/>
          <w:lang w:val="en-GB"/>
        </w:rPr>
        <w:t xml:space="preserve">the </w:t>
      </w:r>
      <w:r w:rsidR="004A5064" w:rsidRPr="00DE2EDF">
        <w:rPr>
          <w:rFonts w:eastAsia="Times New Roman" w:cs="Times New Roman"/>
          <w:iCs/>
          <w:lang w:val="en-GB"/>
        </w:rPr>
        <w:t xml:space="preserve">executive and </w:t>
      </w:r>
      <w:r w:rsidR="00572592" w:rsidRPr="00DE2EDF">
        <w:rPr>
          <w:rFonts w:eastAsia="Times New Roman" w:cs="Times New Roman"/>
          <w:iCs/>
          <w:lang w:val="en-GB"/>
        </w:rPr>
        <w:t xml:space="preserve">the </w:t>
      </w:r>
      <w:r w:rsidR="004A5064" w:rsidRPr="00DE2EDF">
        <w:rPr>
          <w:rFonts w:eastAsia="Times New Roman" w:cs="Times New Roman"/>
          <w:iCs/>
          <w:lang w:val="en-GB"/>
        </w:rPr>
        <w:t>judiciary.</w:t>
      </w:r>
      <w:r w:rsidR="005D1C6F" w:rsidRPr="00DE2EDF">
        <w:rPr>
          <w:rFonts w:eastAsia="Times New Roman" w:cs="Times New Roman"/>
          <w:iCs/>
          <w:lang w:val="en-GB"/>
        </w:rPr>
        <w:t xml:space="preserve"> In France, </w:t>
      </w:r>
      <w:r w:rsidR="00481812" w:rsidRPr="00DE2EDF">
        <w:rPr>
          <w:rFonts w:eastAsia="Times New Roman" w:cs="Times New Roman"/>
          <w:iCs/>
          <w:lang w:val="en-GB"/>
        </w:rPr>
        <w:t xml:space="preserve">according to </w:t>
      </w:r>
      <w:r w:rsidR="005D1C6F" w:rsidRPr="00DE2EDF">
        <w:rPr>
          <w:rFonts w:eastAsia="Times New Roman" w:cs="Times New Roman"/>
          <w:iCs/>
          <w:lang w:val="en-GB"/>
        </w:rPr>
        <w:t>the</w:t>
      </w:r>
      <w:r w:rsidR="00BE6F38" w:rsidRPr="00DE2EDF">
        <w:rPr>
          <w:rFonts w:eastAsia="Times New Roman" w:cs="Times New Roman"/>
          <w:iCs/>
          <w:lang w:val="en-GB"/>
        </w:rPr>
        <w:t xml:space="preserve"> general understanding of the</w:t>
      </w:r>
      <w:r w:rsidR="009051EE" w:rsidRPr="00DE2EDF">
        <w:rPr>
          <w:rFonts w:eastAsia="Times New Roman" w:cs="Times New Roman"/>
          <w:iCs/>
          <w:lang w:val="en-GB"/>
        </w:rPr>
        <w:t xml:space="preserve"> initial</w:t>
      </w:r>
      <w:r w:rsidR="00BE6F38" w:rsidRPr="00DE2EDF">
        <w:rPr>
          <w:rFonts w:eastAsia="Times New Roman" w:cs="Times New Roman"/>
          <w:iCs/>
          <w:lang w:val="en-GB"/>
        </w:rPr>
        <w:t xml:space="preserve"> text of the </w:t>
      </w:r>
      <w:r w:rsidR="005D1C6F" w:rsidRPr="00DE2EDF">
        <w:rPr>
          <w:rFonts w:eastAsia="Times New Roman" w:cs="Times New Roman"/>
          <w:iCs/>
          <w:lang w:val="en-GB"/>
        </w:rPr>
        <w:t>1958 Constitution</w:t>
      </w:r>
      <w:r w:rsidR="00481812" w:rsidRPr="00DE2EDF">
        <w:rPr>
          <w:rFonts w:eastAsia="Times New Roman" w:cs="Times New Roman"/>
          <w:iCs/>
          <w:lang w:val="en-GB"/>
        </w:rPr>
        <w:t xml:space="preserve">, </w:t>
      </w:r>
      <w:r w:rsidR="004851F8" w:rsidRPr="00DE2EDF">
        <w:rPr>
          <w:rFonts w:eastAsia="Times New Roman" w:cs="Times New Roman"/>
          <w:iCs/>
          <w:lang w:val="en-GB"/>
        </w:rPr>
        <w:t xml:space="preserve">once a statute had been promulgated by the head of state, its </w:t>
      </w:r>
      <w:r w:rsidR="00BE6F38" w:rsidRPr="00DE2EDF">
        <w:rPr>
          <w:rFonts w:eastAsia="Times New Roman" w:cs="Times New Roman"/>
          <w:iCs/>
          <w:lang w:val="en-GB"/>
        </w:rPr>
        <w:t xml:space="preserve">validity with regard to </w:t>
      </w:r>
      <w:r w:rsidR="004851F8" w:rsidRPr="00DE2EDF">
        <w:rPr>
          <w:rFonts w:eastAsia="Times New Roman" w:cs="Times New Roman"/>
          <w:iCs/>
          <w:lang w:val="en-GB"/>
        </w:rPr>
        <w:t xml:space="preserve">the Constitution could not be </w:t>
      </w:r>
      <w:r w:rsidR="004A5064" w:rsidRPr="00DE2EDF">
        <w:rPr>
          <w:rFonts w:eastAsia="Times New Roman" w:cs="Times New Roman"/>
          <w:iCs/>
          <w:lang w:val="en-GB"/>
        </w:rPr>
        <w:t>questioned</w:t>
      </w:r>
      <w:r w:rsidR="00481812" w:rsidRPr="00DE2EDF">
        <w:rPr>
          <w:rFonts w:eastAsia="Times New Roman" w:cs="Times New Roman"/>
          <w:iCs/>
          <w:lang w:val="en-GB"/>
        </w:rPr>
        <w:t xml:space="preserve"> any more</w:t>
      </w:r>
      <w:r w:rsidR="00BE6F38" w:rsidRPr="00DE2EDF">
        <w:rPr>
          <w:rFonts w:eastAsia="Times New Roman" w:cs="Times New Roman"/>
          <w:iCs/>
          <w:lang w:val="en-GB"/>
        </w:rPr>
        <w:t xml:space="preserve">. At the time, </w:t>
      </w:r>
      <w:r w:rsidR="00244534" w:rsidRPr="00DE2EDF">
        <w:rPr>
          <w:rFonts w:eastAsia="Times New Roman" w:cs="Times New Roman"/>
          <w:iCs/>
          <w:lang w:val="en-GB"/>
        </w:rPr>
        <w:t>t</w:t>
      </w:r>
      <w:r w:rsidR="00F53AF3" w:rsidRPr="00DE2EDF">
        <w:rPr>
          <w:rFonts w:eastAsia="Times New Roman" w:cs="Times New Roman"/>
          <w:iCs/>
          <w:lang w:val="en-GB"/>
        </w:rPr>
        <w:t xml:space="preserve">he </w:t>
      </w:r>
      <w:r w:rsidR="00F53AF3" w:rsidRPr="00DE2EDF">
        <w:rPr>
          <w:rFonts w:eastAsia="Times New Roman" w:cs="Times New Roman"/>
          <w:i/>
          <w:iCs/>
          <w:lang w:val="en-GB"/>
        </w:rPr>
        <w:t xml:space="preserve">Conseil </w:t>
      </w:r>
      <w:r w:rsidR="00871815">
        <w:rPr>
          <w:rFonts w:eastAsia="Times New Roman" w:cs="Times New Roman"/>
          <w:i/>
          <w:iCs/>
          <w:lang w:val="en-GB"/>
        </w:rPr>
        <w:t>c</w:t>
      </w:r>
      <w:r w:rsidR="00F53AF3" w:rsidRPr="00DE2EDF">
        <w:rPr>
          <w:rFonts w:eastAsia="Times New Roman" w:cs="Times New Roman"/>
          <w:i/>
          <w:iCs/>
          <w:lang w:val="en-GB"/>
        </w:rPr>
        <w:t>onstitutionnel</w:t>
      </w:r>
      <w:r w:rsidR="00F53AF3" w:rsidRPr="00DE2EDF">
        <w:rPr>
          <w:rFonts w:eastAsia="Times New Roman" w:cs="Times New Roman"/>
          <w:iCs/>
          <w:lang w:val="en-GB"/>
        </w:rPr>
        <w:t xml:space="preserve"> could only be seized </w:t>
      </w:r>
      <w:r w:rsidR="008F77B2" w:rsidRPr="00DE2EDF">
        <w:rPr>
          <w:rFonts w:eastAsia="Times New Roman" w:cs="Times New Roman"/>
          <w:iCs/>
          <w:lang w:val="en-GB"/>
        </w:rPr>
        <w:t>prior to promulgation</w:t>
      </w:r>
      <w:r w:rsidR="00BE6F38" w:rsidRPr="00DE2EDF">
        <w:rPr>
          <w:rFonts w:eastAsia="Times New Roman" w:cs="Times New Roman"/>
          <w:iCs/>
          <w:lang w:val="en-GB"/>
        </w:rPr>
        <w:t>. In the eyes of most observers</w:t>
      </w:r>
      <w:r w:rsidR="00FD0CE1" w:rsidRPr="00DE2EDF">
        <w:rPr>
          <w:rFonts w:eastAsia="Times New Roman" w:cs="Times New Roman"/>
          <w:iCs/>
          <w:lang w:val="en-GB"/>
        </w:rPr>
        <w:t xml:space="preserve"> and practitioners</w:t>
      </w:r>
      <w:r w:rsidR="00BE6F38" w:rsidRPr="00DE2EDF">
        <w:rPr>
          <w:rFonts w:eastAsia="Times New Roman" w:cs="Times New Roman"/>
          <w:iCs/>
          <w:lang w:val="en-GB"/>
        </w:rPr>
        <w:t xml:space="preserve">, </w:t>
      </w:r>
      <w:r w:rsidR="00481812" w:rsidRPr="00DE2EDF">
        <w:rPr>
          <w:rFonts w:eastAsia="Times New Roman" w:cs="Times New Roman"/>
          <w:iCs/>
          <w:lang w:val="en-GB"/>
        </w:rPr>
        <w:t xml:space="preserve">the traditional </w:t>
      </w:r>
      <w:r w:rsidR="004A5064" w:rsidRPr="00DE2EDF">
        <w:rPr>
          <w:rFonts w:eastAsia="Times New Roman" w:cs="Times New Roman"/>
          <w:iCs/>
          <w:lang w:val="en-GB"/>
        </w:rPr>
        <w:t>s</w:t>
      </w:r>
      <w:r w:rsidR="00481812" w:rsidRPr="00DE2EDF">
        <w:rPr>
          <w:rFonts w:eastAsia="Times New Roman" w:cs="Times New Roman"/>
          <w:iCs/>
          <w:lang w:val="en-GB"/>
        </w:rPr>
        <w:t xml:space="preserve">trict subordination of </w:t>
      </w:r>
      <w:r w:rsidR="00BE6F38" w:rsidRPr="00DE2EDF">
        <w:rPr>
          <w:rFonts w:eastAsia="Times New Roman" w:cs="Times New Roman"/>
          <w:iCs/>
          <w:lang w:val="en-GB"/>
        </w:rPr>
        <w:t xml:space="preserve">ordinary courts and, </w:t>
      </w:r>
      <w:r w:rsidR="00BE6F38" w:rsidRPr="00DE2EDF">
        <w:rPr>
          <w:rFonts w:eastAsia="Times New Roman" w:cs="Times New Roman"/>
          <w:i/>
          <w:iCs/>
          <w:lang w:val="en-GB"/>
        </w:rPr>
        <w:t>a fortiori</w:t>
      </w:r>
      <w:r w:rsidR="00BE6F38" w:rsidRPr="00DE2EDF">
        <w:rPr>
          <w:rFonts w:eastAsia="Times New Roman" w:cs="Times New Roman"/>
          <w:iCs/>
          <w:lang w:val="en-GB"/>
        </w:rPr>
        <w:t xml:space="preserve">, of </w:t>
      </w:r>
      <w:r w:rsidR="00481812" w:rsidRPr="00DE2EDF">
        <w:rPr>
          <w:rFonts w:eastAsia="Times New Roman" w:cs="Times New Roman"/>
          <w:iCs/>
          <w:lang w:val="en-GB"/>
        </w:rPr>
        <w:t xml:space="preserve">the </w:t>
      </w:r>
      <w:r w:rsidR="00481812" w:rsidRPr="00DE2EDF">
        <w:rPr>
          <w:rFonts w:eastAsia="Times New Roman" w:cs="Times New Roman"/>
          <w:iCs/>
          <w:lang w:val="en-GB"/>
        </w:rPr>
        <w:lastRenderedPageBreak/>
        <w:t xml:space="preserve">executive to </w:t>
      </w:r>
      <w:r w:rsidR="00F53AF3" w:rsidRPr="00DE2EDF">
        <w:rPr>
          <w:rFonts w:eastAsia="Times New Roman" w:cs="Times New Roman"/>
          <w:iCs/>
          <w:lang w:val="en-GB"/>
        </w:rPr>
        <w:t xml:space="preserve">enacted </w:t>
      </w:r>
      <w:r w:rsidR="00481812" w:rsidRPr="00DE2EDF">
        <w:rPr>
          <w:rFonts w:eastAsia="Times New Roman" w:cs="Times New Roman"/>
          <w:iCs/>
          <w:lang w:val="en-GB"/>
        </w:rPr>
        <w:t>parliamentary statutes</w:t>
      </w:r>
      <w:r w:rsidR="003B06FC" w:rsidRPr="00DE2EDF">
        <w:rPr>
          <w:rStyle w:val="FootnoteReference"/>
          <w:rFonts w:eastAsia="Times New Roman" w:cs="Times New Roman"/>
          <w:iCs/>
          <w:lang w:val="en-GB"/>
        </w:rPr>
        <w:footnoteReference w:id="242"/>
      </w:r>
      <w:r w:rsidR="002368FD">
        <w:rPr>
          <w:rFonts w:eastAsia="Times New Roman" w:cs="Times New Roman"/>
          <w:iCs/>
          <w:lang w:val="en-GB"/>
        </w:rPr>
        <w:t xml:space="preserve"> </w:t>
      </w:r>
      <w:r w:rsidR="00481812" w:rsidRPr="00DE2EDF">
        <w:rPr>
          <w:rFonts w:eastAsia="Times New Roman" w:cs="Times New Roman"/>
          <w:iCs/>
          <w:lang w:val="en-GB"/>
        </w:rPr>
        <w:t>was maintained</w:t>
      </w:r>
      <w:r w:rsidR="004A5064" w:rsidRPr="00DE2EDF">
        <w:rPr>
          <w:rFonts w:eastAsia="Times New Roman" w:cs="Times New Roman"/>
          <w:iCs/>
          <w:lang w:val="en-GB"/>
        </w:rPr>
        <w:t xml:space="preserve"> as a principle,</w:t>
      </w:r>
      <w:r w:rsidR="00CB6C2E" w:rsidRPr="00DE2EDF">
        <w:rPr>
          <w:rFonts w:eastAsia="Times New Roman" w:cs="Times New Roman"/>
          <w:iCs/>
          <w:lang w:val="en-GB"/>
        </w:rPr>
        <w:t xml:space="preserve"> in 1958</w:t>
      </w:r>
      <w:r w:rsidR="0057271D" w:rsidRPr="00DE2EDF">
        <w:rPr>
          <w:rFonts w:eastAsia="Times New Roman" w:cs="Times New Roman"/>
          <w:iCs/>
          <w:lang w:val="en-GB"/>
        </w:rPr>
        <w:t>.</w:t>
      </w:r>
      <w:r w:rsidR="00FD0CE1" w:rsidRPr="00DE2EDF">
        <w:rPr>
          <w:rStyle w:val="FootnoteReference"/>
          <w:rFonts w:eastAsia="Times New Roman" w:cs="Times New Roman"/>
          <w:iCs/>
          <w:lang w:val="en-GB"/>
        </w:rPr>
        <w:footnoteReference w:id="243"/>
      </w:r>
      <w:r w:rsidR="00676478" w:rsidRPr="00DE2EDF">
        <w:rPr>
          <w:rFonts w:eastAsia="Times New Roman" w:cs="Times New Roman"/>
          <w:iCs/>
          <w:lang w:val="en-GB"/>
        </w:rPr>
        <w:t xml:space="preserve"> </w:t>
      </w:r>
      <w:r w:rsidR="00F53AF3" w:rsidRPr="00DE2EDF">
        <w:rPr>
          <w:rFonts w:eastAsia="Times New Roman" w:cs="Times New Roman"/>
          <w:iCs/>
          <w:lang w:val="en-GB"/>
        </w:rPr>
        <w:t xml:space="preserve">It </w:t>
      </w:r>
      <w:r w:rsidR="0021589A" w:rsidRPr="00DE2EDF">
        <w:rPr>
          <w:rFonts w:eastAsia="Times New Roman" w:cs="Times New Roman"/>
          <w:iCs/>
          <w:lang w:val="en-GB"/>
        </w:rPr>
        <w:t xml:space="preserve">only </w:t>
      </w:r>
      <w:r w:rsidR="00F53AF3" w:rsidRPr="00DE2EDF">
        <w:rPr>
          <w:rFonts w:eastAsia="Times New Roman" w:cs="Times New Roman"/>
          <w:iCs/>
          <w:lang w:val="en-GB"/>
        </w:rPr>
        <w:t xml:space="preserve">suffered </w:t>
      </w:r>
      <w:r w:rsidR="008F77B2" w:rsidRPr="00DE2EDF">
        <w:rPr>
          <w:rFonts w:eastAsia="Times New Roman" w:cs="Times New Roman"/>
          <w:iCs/>
          <w:lang w:val="en-GB"/>
        </w:rPr>
        <w:t>a few</w:t>
      </w:r>
      <w:r w:rsidR="00676478" w:rsidRPr="00DE2EDF">
        <w:rPr>
          <w:rFonts w:eastAsia="Times New Roman" w:cs="Times New Roman"/>
          <w:iCs/>
          <w:lang w:val="en-GB"/>
        </w:rPr>
        <w:t xml:space="preserve"> exceptions</w:t>
      </w:r>
      <w:r w:rsidR="0021589A" w:rsidRPr="00DE2EDF">
        <w:rPr>
          <w:rFonts w:eastAsia="Times New Roman" w:cs="Times New Roman"/>
          <w:iCs/>
          <w:lang w:val="en-GB"/>
        </w:rPr>
        <w:t xml:space="preserve">, </w:t>
      </w:r>
      <w:r w:rsidR="0021589A" w:rsidRPr="00DE2EDF">
        <w:rPr>
          <w:rFonts w:eastAsia="Times New Roman" w:cs="Times New Roman"/>
          <w:i/>
          <w:iCs/>
          <w:lang w:val="en-GB"/>
        </w:rPr>
        <w:t>inter alia</w:t>
      </w:r>
      <w:r w:rsidR="00676478" w:rsidRPr="00DE2EDF">
        <w:rPr>
          <w:rFonts w:eastAsia="Times New Roman" w:cs="Times New Roman"/>
          <w:iCs/>
          <w:lang w:val="en-GB"/>
        </w:rPr>
        <w:t xml:space="preserve"> art</w:t>
      </w:r>
      <w:r w:rsidR="008A7D21" w:rsidRPr="00DE2EDF">
        <w:rPr>
          <w:rFonts w:eastAsia="Times New Roman" w:cs="Times New Roman"/>
          <w:iCs/>
          <w:lang w:val="en-GB"/>
        </w:rPr>
        <w:t>icle</w:t>
      </w:r>
      <w:r w:rsidR="0057271D" w:rsidRPr="00DE2EDF">
        <w:rPr>
          <w:rFonts w:eastAsia="Times New Roman" w:cs="Times New Roman"/>
          <w:iCs/>
          <w:lang w:val="en-GB"/>
        </w:rPr>
        <w:t xml:space="preserve"> 37 para </w:t>
      </w:r>
      <w:r w:rsidR="00676478" w:rsidRPr="00DE2EDF">
        <w:rPr>
          <w:rFonts w:eastAsia="Times New Roman" w:cs="Times New Roman"/>
          <w:iCs/>
          <w:lang w:val="en-GB"/>
        </w:rPr>
        <w:t>2 Const</w:t>
      </w:r>
      <w:r w:rsidR="0057271D" w:rsidRPr="00DE2EDF">
        <w:rPr>
          <w:rFonts w:eastAsia="Times New Roman" w:cs="Times New Roman"/>
          <w:iCs/>
          <w:lang w:val="en-GB"/>
        </w:rPr>
        <w:t>itution</w:t>
      </w:r>
      <w:r w:rsidR="00244534" w:rsidRPr="00DE2EDF">
        <w:rPr>
          <w:rFonts w:eastAsia="Times New Roman" w:cs="Times New Roman"/>
          <w:iCs/>
          <w:lang w:val="en-GB"/>
        </w:rPr>
        <w:t xml:space="preserve"> and,</w:t>
      </w:r>
      <w:r w:rsidR="00676478" w:rsidRPr="00DE2EDF">
        <w:rPr>
          <w:rFonts w:eastAsia="Times New Roman" w:cs="Times New Roman"/>
          <w:iCs/>
          <w:lang w:val="en-GB"/>
        </w:rPr>
        <w:t xml:space="preserve"> since</w:t>
      </w:r>
      <w:r w:rsidR="000A5488" w:rsidRPr="00DE2EDF">
        <w:rPr>
          <w:rFonts w:eastAsia="Times New Roman" w:cs="Times New Roman"/>
          <w:iCs/>
          <w:lang w:val="en-GB"/>
        </w:rPr>
        <w:t xml:space="preserve"> 2008,</w:t>
      </w:r>
      <w:r w:rsidR="00CB6C2E" w:rsidRPr="00DE2EDF">
        <w:rPr>
          <w:rFonts w:eastAsia="Times New Roman" w:cs="Times New Roman"/>
          <w:iCs/>
          <w:lang w:val="en-GB"/>
        </w:rPr>
        <w:t xml:space="preserve"> </w:t>
      </w:r>
      <w:r w:rsidR="00676478" w:rsidRPr="00DE2EDF">
        <w:rPr>
          <w:rFonts w:eastAsia="Times New Roman" w:cs="Times New Roman"/>
          <w:iCs/>
          <w:lang w:val="en-GB"/>
        </w:rPr>
        <w:t>art</w:t>
      </w:r>
      <w:r w:rsidR="008A7D21" w:rsidRPr="00DE2EDF">
        <w:rPr>
          <w:rFonts w:eastAsia="Times New Roman" w:cs="Times New Roman"/>
          <w:iCs/>
          <w:lang w:val="en-GB"/>
        </w:rPr>
        <w:t>icle</w:t>
      </w:r>
      <w:r w:rsidR="00676478" w:rsidRPr="00DE2EDF">
        <w:rPr>
          <w:rFonts w:eastAsia="Times New Roman" w:cs="Times New Roman"/>
          <w:iCs/>
          <w:lang w:val="en-GB"/>
        </w:rPr>
        <w:t xml:space="preserve"> 6</w:t>
      </w:r>
      <w:r w:rsidR="00EE77BB" w:rsidRPr="00DE2EDF">
        <w:rPr>
          <w:rFonts w:eastAsia="Times New Roman" w:cs="Times New Roman"/>
          <w:iCs/>
          <w:lang w:val="en-GB"/>
        </w:rPr>
        <w:t>1</w:t>
      </w:r>
      <w:r w:rsidR="0057271D" w:rsidRPr="00DE2EDF">
        <w:rPr>
          <w:rFonts w:eastAsia="Times New Roman" w:cs="Times New Roman"/>
          <w:iCs/>
          <w:lang w:val="en-GB"/>
        </w:rPr>
        <w:t>-1 Constitution</w:t>
      </w:r>
      <w:r w:rsidR="002368FD">
        <w:rPr>
          <w:rFonts w:eastAsia="Times New Roman" w:cs="Times New Roman"/>
          <w:iCs/>
          <w:lang w:val="en-GB"/>
        </w:rPr>
        <w:t>.</w:t>
      </w:r>
      <w:r w:rsidR="004A5064" w:rsidRPr="00DE2EDF">
        <w:rPr>
          <w:rFonts w:eastAsia="Times New Roman" w:cs="Times New Roman"/>
          <w:iCs/>
          <w:lang w:val="en-GB"/>
        </w:rPr>
        <w:t xml:space="preserve"> </w:t>
      </w:r>
      <w:r w:rsidR="00F53AF3" w:rsidRPr="00DE2EDF">
        <w:rPr>
          <w:rFonts w:eastAsia="Times New Roman" w:cs="Times New Roman"/>
          <w:iCs/>
          <w:lang w:val="en-GB"/>
        </w:rPr>
        <w:t>Yet</w:t>
      </w:r>
      <w:r w:rsidR="00BB7C3E" w:rsidRPr="00DE2EDF">
        <w:rPr>
          <w:rFonts w:eastAsia="Times New Roman" w:cs="Times New Roman"/>
          <w:iCs/>
          <w:lang w:val="en-GB"/>
        </w:rPr>
        <w:t>, in a</w:t>
      </w:r>
      <w:r w:rsidR="008F77B2" w:rsidRPr="00DE2EDF">
        <w:rPr>
          <w:rFonts w:eastAsia="Times New Roman" w:cs="Times New Roman"/>
          <w:iCs/>
          <w:lang w:val="en-GB"/>
        </w:rPr>
        <w:t xml:space="preserve">ny of </w:t>
      </w:r>
      <w:r w:rsidR="00BB7C3E" w:rsidRPr="00DE2EDF">
        <w:rPr>
          <w:rFonts w:eastAsia="Times New Roman" w:cs="Times New Roman"/>
          <w:iCs/>
          <w:lang w:val="en-GB"/>
        </w:rPr>
        <w:t>th</w:t>
      </w:r>
      <w:r w:rsidR="008F77B2" w:rsidRPr="00DE2EDF">
        <w:rPr>
          <w:rFonts w:eastAsia="Times New Roman" w:cs="Times New Roman"/>
          <w:iCs/>
          <w:lang w:val="en-GB"/>
        </w:rPr>
        <w:t>o</w:t>
      </w:r>
      <w:r w:rsidR="00BB7C3E" w:rsidRPr="00DE2EDF">
        <w:rPr>
          <w:rFonts w:eastAsia="Times New Roman" w:cs="Times New Roman"/>
          <w:iCs/>
          <w:lang w:val="en-GB"/>
        </w:rPr>
        <w:t>se procedures, a decision by the</w:t>
      </w:r>
      <w:r w:rsidR="003B06FC" w:rsidRPr="00DE2EDF">
        <w:rPr>
          <w:rFonts w:eastAsia="Times New Roman" w:cs="Times New Roman"/>
          <w:iCs/>
          <w:lang w:val="en-GB"/>
        </w:rPr>
        <w:t xml:space="preserve"> Constitutional Council</w:t>
      </w:r>
      <w:r w:rsidR="00BB7C3E" w:rsidRPr="00DE2EDF">
        <w:rPr>
          <w:rFonts w:eastAsia="Times New Roman" w:cs="Times New Roman"/>
          <w:iCs/>
          <w:lang w:val="en-GB"/>
        </w:rPr>
        <w:t xml:space="preserve"> </w:t>
      </w:r>
      <w:r w:rsidR="004B429A" w:rsidRPr="00DE2EDF">
        <w:rPr>
          <w:rFonts w:eastAsia="Times New Roman" w:cs="Times New Roman"/>
          <w:iCs/>
          <w:lang w:val="en-GB"/>
        </w:rPr>
        <w:t>is</w:t>
      </w:r>
      <w:r w:rsidR="00BB7C3E" w:rsidRPr="00DE2EDF">
        <w:rPr>
          <w:rFonts w:eastAsia="Times New Roman" w:cs="Times New Roman"/>
          <w:iCs/>
          <w:lang w:val="en-GB"/>
        </w:rPr>
        <w:t xml:space="preserve"> necessary to ‘unb</w:t>
      </w:r>
      <w:r w:rsidR="008F77B2" w:rsidRPr="00DE2EDF">
        <w:rPr>
          <w:rFonts w:eastAsia="Times New Roman" w:cs="Times New Roman"/>
          <w:iCs/>
          <w:lang w:val="en-GB"/>
        </w:rPr>
        <w:t>ind</w:t>
      </w:r>
      <w:r w:rsidR="00BB7C3E" w:rsidRPr="00DE2EDF">
        <w:rPr>
          <w:rFonts w:eastAsia="Times New Roman" w:cs="Times New Roman"/>
          <w:iCs/>
          <w:lang w:val="en-GB"/>
        </w:rPr>
        <w:t xml:space="preserve">’ the judiciary or the executive from their </w:t>
      </w:r>
      <w:r w:rsidR="00F25DE6" w:rsidRPr="00DE2EDF">
        <w:rPr>
          <w:rFonts w:eastAsia="Times New Roman" w:cs="Times New Roman"/>
          <w:iCs/>
          <w:lang w:val="en-GB"/>
        </w:rPr>
        <w:t xml:space="preserve">duty to obey statutes. </w:t>
      </w:r>
      <w:r w:rsidR="0021589A" w:rsidRPr="00DE2EDF">
        <w:rPr>
          <w:rFonts w:eastAsia="Times New Roman" w:cs="Times New Roman"/>
          <w:iCs/>
          <w:lang w:val="en-GB"/>
        </w:rPr>
        <w:t>This</w:t>
      </w:r>
      <w:r w:rsidR="00244534" w:rsidRPr="00DE2EDF">
        <w:rPr>
          <w:rFonts w:eastAsia="Times New Roman" w:cs="Times New Roman"/>
          <w:iCs/>
          <w:lang w:val="en-GB"/>
        </w:rPr>
        <w:t xml:space="preserve"> is illustrated particularly by art</w:t>
      </w:r>
      <w:r w:rsidR="008A7D21" w:rsidRPr="00DE2EDF">
        <w:rPr>
          <w:rFonts w:eastAsia="Times New Roman" w:cs="Times New Roman"/>
          <w:iCs/>
          <w:lang w:val="en-GB"/>
        </w:rPr>
        <w:t>icle</w:t>
      </w:r>
      <w:r w:rsidR="0057271D" w:rsidRPr="00DE2EDF">
        <w:rPr>
          <w:rFonts w:eastAsia="Times New Roman" w:cs="Times New Roman"/>
          <w:iCs/>
          <w:lang w:val="en-GB"/>
        </w:rPr>
        <w:t xml:space="preserve"> 37 para</w:t>
      </w:r>
      <w:r w:rsidR="00244534" w:rsidRPr="00DE2EDF">
        <w:rPr>
          <w:rFonts w:eastAsia="Times New Roman" w:cs="Times New Roman"/>
          <w:iCs/>
          <w:lang w:val="en-GB"/>
        </w:rPr>
        <w:t xml:space="preserve"> 2 Const</w:t>
      </w:r>
      <w:r w:rsidR="0057271D" w:rsidRPr="00DE2EDF">
        <w:rPr>
          <w:rFonts w:eastAsia="Times New Roman" w:cs="Times New Roman"/>
          <w:iCs/>
          <w:lang w:val="en-GB"/>
        </w:rPr>
        <w:t>itution</w:t>
      </w:r>
      <w:r w:rsidR="00F17AAE" w:rsidRPr="00DE2EDF">
        <w:rPr>
          <w:rFonts w:eastAsia="Times New Roman" w:cs="Times New Roman"/>
          <w:iCs/>
          <w:lang w:val="en-GB"/>
        </w:rPr>
        <w:t>: e</w:t>
      </w:r>
      <w:r w:rsidR="00244534" w:rsidRPr="00DE2EDF">
        <w:rPr>
          <w:rFonts w:eastAsia="Times New Roman" w:cs="Times New Roman"/>
          <w:iCs/>
          <w:lang w:val="en-GB"/>
        </w:rPr>
        <w:t xml:space="preserve">ven if the government is </w:t>
      </w:r>
      <w:r w:rsidR="00C64F80" w:rsidRPr="00DE2EDF">
        <w:rPr>
          <w:rFonts w:eastAsia="Times New Roman" w:cs="Times New Roman"/>
          <w:iCs/>
          <w:lang w:val="en-GB"/>
        </w:rPr>
        <w:t xml:space="preserve">strongly </w:t>
      </w:r>
      <w:r w:rsidR="00244534" w:rsidRPr="00DE2EDF">
        <w:rPr>
          <w:rFonts w:eastAsia="Times New Roman" w:cs="Times New Roman"/>
          <w:iCs/>
          <w:lang w:val="en-GB"/>
        </w:rPr>
        <w:t xml:space="preserve">convinced </w:t>
      </w:r>
      <w:r w:rsidR="00C64F80" w:rsidRPr="00DE2EDF">
        <w:rPr>
          <w:rFonts w:eastAsia="Times New Roman" w:cs="Times New Roman"/>
          <w:iCs/>
          <w:lang w:val="en-GB"/>
        </w:rPr>
        <w:t xml:space="preserve">that </w:t>
      </w:r>
      <w:r w:rsidR="00244534" w:rsidRPr="00DE2EDF">
        <w:rPr>
          <w:rFonts w:eastAsia="Times New Roman" w:cs="Times New Roman"/>
          <w:iCs/>
          <w:lang w:val="en-GB"/>
        </w:rPr>
        <w:t xml:space="preserve">a statute </w:t>
      </w:r>
      <w:r w:rsidR="00C64F80" w:rsidRPr="00DE2EDF">
        <w:rPr>
          <w:rFonts w:eastAsia="Times New Roman" w:cs="Times New Roman"/>
          <w:iCs/>
          <w:lang w:val="en-GB"/>
        </w:rPr>
        <w:t>infringes</w:t>
      </w:r>
      <w:r w:rsidR="00F17AAE" w:rsidRPr="00DE2EDF">
        <w:rPr>
          <w:rFonts w:eastAsia="Times New Roman" w:cs="Times New Roman"/>
          <w:iCs/>
          <w:lang w:val="en-GB"/>
        </w:rPr>
        <w:t xml:space="preserve"> its own </w:t>
      </w:r>
      <w:r w:rsidR="00381413" w:rsidRPr="00DE2EDF">
        <w:rPr>
          <w:rFonts w:eastAsia="Times New Roman" w:cs="Times New Roman"/>
          <w:iCs/>
          <w:lang w:val="en-GB"/>
        </w:rPr>
        <w:t xml:space="preserve">autonomous </w:t>
      </w:r>
      <w:r w:rsidR="00F17AAE" w:rsidRPr="00DE2EDF">
        <w:rPr>
          <w:rFonts w:eastAsia="Times New Roman" w:cs="Times New Roman"/>
          <w:iCs/>
          <w:lang w:val="en-GB"/>
        </w:rPr>
        <w:t>regulatory competence as defined by</w:t>
      </w:r>
      <w:r w:rsidR="00C64F80" w:rsidRPr="00DE2EDF">
        <w:rPr>
          <w:rFonts w:eastAsia="Times New Roman" w:cs="Times New Roman"/>
          <w:iCs/>
          <w:lang w:val="en-GB"/>
        </w:rPr>
        <w:t xml:space="preserve"> </w:t>
      </w:r>
      <w:r w:rsidR="00244534" w:rsidRPr="00DE2EDF">
        <w:rPr>
          <w:rFonts w:eastAsia="Times New Roman" w:cs="Times New Roman"/>
          <w:iCs/>
          <w:lang w:val="en-GB"/>
        </w:rPr>
        <w:t>articles 34 and 37 Const</w:t>
      </w:r>
      <w:r w:rsidR="0057271D" w:rsidRPr="00DE2EDF">
        <w:rPr>
          <w:rFonts w:eastAsia="Times New Roman" w:cs="Times New Roman"/>
          <w:iCs/>
          <w:lang w:val="en-GB"/>
        </w:rPr>
        <w:t>itution</w:t>
      </w:r>
      <w:r w:rsidR="00244534" w:rsidRPr="00DE2EDF">
        <w:rPr>
          <w:rFonts w:eastAsia="Times New Roman" w:cs="Times New Roman"/>
          <w:iCs/>
          <w:lang w:val="en-GB"/>
        </w:rPr>
        <w:t xml:space="preserve">, </w:t>
      </w:r>
      <w:r w:rsidR="00381413" w:rsidRPr="00DE2EDF">
        <w:rPr>
          <w:rFonts w:eastAsia="Times New Roman" w:cs="Times New Roman"/>
          <w:iCs/>
          <w:lang w:val="en-GB"/>
        </w:rPr>
        <w:t xml:space="preserve">it may not simply disregard it </w:t>
      </w:r>
      <w:r w:rsidR="00381413" w:rsidRPr="00DE2EDF">
        <w:rPr>
          <w:rFonts w:eastAsia="Times New Roman" w:cs="Times New Roman"/>
          <w:i/>
          <w:iCs/>
          <w:lang w:val="en-GB"/>
        </w:rPr>
        <w:t>proprio motu</w:t>
      </w:r>
      <w:r w:rsidR="00381413" w:rsidRPr="00DE2EDF">
        <w:rPr>
          <w:rFonts w:eastAsia="Times New Roman" w:cs="Times New Roman"/>
          <w:iCs/>
          <w:lang w:val="en-GB"/>
        </w:rPr>
        <w:t xml:space="preserve"> and adopt a regulation contradicting the statute. It has to submit the question to the Constitutional Council.</w:t>
      </w:r>
    </w:p>
    <w:p w14:paraId="71FB0DE2" w14:textId="77777777" w:rsidR="000F4C26" w:rsidRPr="00DE2EDF" w:rsidRDefault="000F4C26" w:rsidP="00DE2EDF">
      <w:pPr>
        <w:spacing w:after="0"/>
        <w:jc w:val="both"/>
        <w:rPr>
          <w:rFonts w:eastAsia="Times New Roman" w:cs="Times New Roman"/>
          <w:iCs/>
          <w:lang w:val="en-GB"/>
        </w:rPr>
      </w:pPr>
    </w:p>
    <w:p w14:paraId="47507E47" w14:textId="77777777" w:rsidR="007C1493" w:rsidRPr="00DE2EDF" w:rsidRDefault="00A06A63" w:rsidP="00DE2EDF">
      <w:pPr>
        <w:spacing w:after="0"/>
        <w:jc w:val="both"/>
        <w:rPr>
          <w:rFonts w:eastAsia="Times New Roman" w:cs="Times New Roman"/>
          <w:iCs/>
          <w:lang w:val="en-GB"/>
        </w:rPr>
      </w:pPr>
      <w:r w:rsidRPr="00DE2EDF">
        <w:rPr>
          <w:rFonts w:eastAsia="Times New Roman" w:cs="Times New Roman"/>
          <w:iCs/>
          <w:lang w:val="en-GB"/>
        </w:rPr>
        <w:t>Last</w:t>
      </w:r>
      <w:r w:rsidR="000746A4" w:rsidRPr="00DE2EDF">
        <w:rPr>
          <w:rFonts w:eastAsia="Times New Roman" w:cs="Times New Roman"/>
          <w:iCs/>
          <w:lang w:val="en-GB"/>
        </w:rPr>
        <w:t>ly</w:t>
      </w:r>
      <w:r w:rsidR="006305FA" w:rsidRPr="00DE2EDF">
        <w:rPr>
          <w:rFonts w:eastAsia="Times New Roman" w:cs="Times New Roman"/>
          <w:iCs/>
          <w:lang w:val="en-GB"/>
        </w:rPr>
        <w:t>, i</w:t>
      </w:r>
      <w:r w:rsidR="00EB6EC7" w:rsidRPr="00DE2EDF">
        <w:rPr>
          <w:rFonts w:eastAsia="Times New Roman" w:cs="Times New Roman"/>
          <w:iCs/>
          <w:lang w:val="en-GB"/>
        </w:rPr>
        <w:t xml:space="preserve">t </w:t>
      </w:r>
      <w:r w:rsidR="006305FA" w:rsidRPr="00DE2EDF">
        <w:rPr>
          <w:rFonts w:eastAsia="Times New Roman" w:cs="Times New Roman"/>
          <w:iCs/>
          <w:lang w:val="en-GB"/>
        </w:rPr>
        <w:t xml:space="preserve">should be emphasized </w:t>
      </w:r>
      <w:r w:rsidR="00F25DE6" w:rsidRPr="00DE2EDF">
        <w:rPr>
          <w:rFonts w:eastAsia="Times New Roman" w:cs="Times New Roman"/>
          <w:iCs/>
          <w:lang w:val="en-GB"/>
        </w:rPr>
        <w:t>that European integration</w:t>
      </w:r>
      <w:r w:rsidR="00E70F47" w:rsidRPr="00DE2EDF">
        <w:rPr>
          <w:rFonts w:eastAsia="Times New Roman" w:cs="Times New Roman"/>
          <w:iCs/>
          <w:lang w:val="en-GB"/>
        </w:rPr>
        <w:t xml:space="preserve">, specifically the case law of the Court of Justice of the EU, </w:t>
      </w:r>
      <w:r w:rsidR="00F25DE6" w:rsidRPr="00DE2EDF">
        <w:rPr>
          <w:rFonts w:eastAsia="Times New Roman" w:cs="Times New Roman"/>
          <w:iCs/>
          <w:lang w:val="en-GB"/>
        </w:rPr>
        <w:t xml:space="preserve">has triggered </w:t>
      </w:r>
      <w:r w:rsidR="00E70F47" w:rsidRPr="00DE2EDF">
        <w:rPr>
          <w:rFonts w:eastAsia="Times New Roman" w:cs="Times New Roman"/>
          <w:iCs/>
          <w:lang w:val="en-GB"/>
        </w:rPr>
        <w:t>a radical change</w:t>
      </w:r>
      <w:r w:rsidR="00A7645B" w:rsidRPr="00DE2EDF">
        <w:rPr>
          <w:rFonts w:eastAsia="Times New Roman" w:cs="Times New Roman"/>
          <w:iCs/>
          <w:lang w:val="en-GB"/>
        </w:rPr>
        <w:t xml:space="preserve"> of perspective</w:t>
      </w:r>
      <w:r w:rsidR="00E70F47" w:rsidRPr="00DE2EDF">
        <w:rPr>
          <w:rFonts w:eastAsia="Times New Roman" w:cs="Times New Roman"/>
          <w:iCs/>
          <w:lang w:val="en-GB"/>
        </w:rPr>
        <w:t xml:space="preserve"> for</w:t>
      </w:r>
      <w:r w:rsidR="00F25DE6" w:rsidRPr="00DE2EDF">
        <w:rPr>
          <w:rFonts w:eastAsia="Times New Roman" w:cs="Times New Roman"/>
          <w:iCs/>
          <w:lang w:val="en-GB"/>
        </w:rPr>
        <w:t xml:space="preserve"> </w:t>
      </w:r>
      <w:r w:rsidR="000516F1" w:rsidRPr="00DE2EDF">
        <w:rPr>
          <w:rFonts w:eastAsia="Times New Roman" w:cs="Times New Roman"/>
          <w:iCs/>
          <w:lang w:val="en-GB"/>
        </w:rPr>
        <w:t>most</w:t>
      </w:r>
      <w:r w:rsidR="00F25DE6" w:rsidRPr="00DE2EDF">
        <w:rPr>
          <w:rFonts w:eastAsia="Times New Roman" w:cs="Times New Roman"/>
          <w:iCs/>
          <w:lang w:val="en-GB"/>
        </w:rPr>
        <w:t xml:space="preserve"> </w:t>
      </w:r>
      <w:r w:rsidR="000516F1" w:rsidRPr="00DE2EDF">
        <w:rPr>
          <w:rFonts w:eastAsia="Times New Roman" w:cs="Times New Roman"/>
          <w:iCs/>
          <w:lang w:val="en-GB"/>
        </w:rPr>
        <w:t>M</w:t>
      </w:r>
      <w:r w:rsidR="00F25DE6" w:rsidRPr="00DE2EDF">
        <w:rPr>
          <w:rFonts w:eastAsia="Times New Roman" w:cs="Times New Roman"/>
          <w:iCs/>
          <w:lang w:val="en-GB"/>
        </w:rPr>
        <w:t>ember States. G</w:t>
      </w:r>
      <w:r w:rsidR="0078454D" w:rsidRPr="00DE2EDF">
        <w:rPr>
          <w:rFonts w:eastAsia="Times New Roman" w:cs="Times New Roman"/>
          <w:iCs/>
          <w:lang w:val="en-GB"/>
        </w:rPr>
        <w:t xml:space="preserve">uided by </w:t>
      </w:r>
      <w:r w:rsidR="006305FA" w:rsidRPr="00DE2EDF">
        <w:rPr>
          <w:rFonts w:eastAsia="Times New Roman" w:cs="Times New Roman"/>
          <w:iCs/>
          <w:lang w:val="en-GB"/>
        </w:rPr>
        <w:t>its</w:t>
      </w:r>
      <w:r w:rsidR="00373885" w:rsidRPr="00DE2EDF">
        <w:rPr>
          <w:rFonts w:eastAsia="Times New Roman" w:cs="Times New Roman"/>
          <w:iCs/>
          <w:lang w:val="en-GB"/>
        </w:rPr>
        <w:t xml:space="preserve"> desire </w:t>
      </w:r>
      <w:r w:rsidR="0078454D" w:rsidRPr="00DE2EDF">
        <w:rPr>
          <w:rFonts w:eastAsia="Times New Roman" w:cs="Times New Roman"/>
          <w:iCs/>
          <w:lang w:val="en-GB"/>
        </w:rPr>
        <w:t>to strengthen</w:t>
      </w:r>
      <w:r w:rsidR="006305FA" w:rsidRPr="00DE2EDF">
        <w:rPr>
          <w:rFonts w:eastAsia="Times New Roman" w:cs="Times New Roman"/>
          <w:iCs/>
          <w:lang w:val="en-GB"/>
        </w:rPr>
        <w:t>,</w:t>
      </w:r>
      <w:r w:rsidR="0078454D" w:rsidRPr="00DE2EDF">
        <w:rPr>
          <w:rFonts w:eastAsia="Times New Roman" w:cs="Times New Roman"/>
          <w:iCs/>
          <w:lang w:val="en-GB"/>
        </w:rPr>
        <w:t xml:space="preserve"> as much as possible</w:t>
      </w:r>
      <w:r w:rsidR="006305FA" w:rsidRPr="00DE2EDF">
        <w:rPr>
          <w:rFonts w:eastAsia="Times New Roman" w:cs="Times New Roman"/>
          <w:iCs/>
          <w:lang w:val="en-GB"/>
        </w:rPr>
        <w:t>,</w:t>
      </w:r>
      <w:r w:rsidR="0078454D" w:rsidRPr="00DE2EDF">
        <w:rPr>
          <w:rFonts w:eastAsia="Times New Roman" w:cs="Times New Roman"/>
          <w:iCs/>
          <w:lang w:val="en-GB"/>
        </w:rPr>
        <w:t xml:space="preserve"> the primacy of EU law and its own </w:t>
      </w:r>
      <w:r w:rsidR="00C16AC5" w:rsidRPr="00DE2EDF">
        <w:rPr>
          <w:rFonts w:eastAsia="Times New Roman" w:cs="Times New Roman"/>
          <w:iCs/>
          <w:lang w:val="en-GB"/>
        </w:rPr>
        <w:t xml:space="preserve">exclusive </w:t>
      </w:r>
      <w:r w:rsidR="0078454D" w:rsidRPr="00DE2EDF">
        <w:rPr>
          <w:rFonts w:eastAsia="Times New Roman" w:cs="Times New Roman"/>
          <w:iCs/>
          <w:lang w:val="en-GB"/>
        </w:rPr>
        <w:t>jurisdiction,</w:t>
      </w:r>
      <w:r w:rsidR="00EB6EC7" w:rsidRPr="00DE2EDF">
        <w:rPr>
          <w:rFonts w:eastAsia="Times New Roman" w:cs="Times New Roman"/>
          <w:iCs/>
          <w:lang w:val="en-GB"/>
        </w:rPr>
        <w:t xml:space="preserve"> </w:t>
      </w:r>
      <w:r w:rsidR="00F25DE6" w:rsidRPr="00DE2EDF">
        <w:rPr>
          <w:rFonts w:eastAsia="Times New Roman" w:cs="Times New Roman"/>
          <w:iCs/>
          <w:lang w:val="en-GB"/>
        </w:rPr>
        <w:t xml:space="preserve">the European Court of Justice </w:t>
      </w:r>
      <w:r w:rsidR="00EB6EC7" w:rsidRPr="00DE2EDF">
        <w:rPr>
          <w:rFonts w:eastAsia="Times New Roman" w:cs="Times New Roman"/>
          <w:iCs/>
          <w:lang w:val="en-GB"/>
        </w:rPr>
        <w:t>has adopted a dual solution</w:t>
      </w:r>
      <w:r w:rsidR="00944C63" w:rsidRPr="00DE2EDF">
        <w:rPr>
          <w:rFonts w:eastAsia="Times New Roman" w:cs="Times New Roman"/>
          <w:iCs/>
          <w:lang w:val="en-GB"/>
        </w:rPr>
        <w:t xml:space="preserve"> on this issue</w:t>
      </w:r>
      <w:r w:rsidR="00F25DE6" w:rsidRPr="00DE2EDF">
        <w:rPr>
          <w:rFonts w:eastAsia="Times New Roman" w:cs="Times New Roman"/>
          <w:iCs/>
          <w:lang w:val="en-GB"/>
        </w:rPr>
        <w:t xml:space="preserve">. The first </w:t>
      </w:r>
      <w:r w:rsidR="004B429A" w:rsidRPr="00DE2EDF">
        <w:rPr>
          <w:rFonts w:eastAsia="Times New Roman" w:cs="Times New Roman"/>
          <w:iCs/>
          <w:lang w:val="en-GB"/>
        </w:rPr>
        <w:t>rule</w:t>
      </w:r>
      <w:r w:rsidR="00F25DE6" w:rsidRPr="00DE2EDF">
        <w:rPr>
          <w:rFonts w:eastAsia="Times New Roman" w:cs="Times New Roman"/>
          <w:iCs/>
          <w:lang w:val="en-GB"/>
        </w:rPr>
        <w:t xml:space="preserve">, which is in line with the traditions of </w:t>
      </w:r>
      <w:r w:rsidR="004B429A" w:rsidRPr="00DE2EDF">
        <w:rPr>
          <w:rFonts w:eastAsia="Times New Roman" w:cs="Times New Roman"/>
          <w:iCs/>
          <w:lang w:val="en-GB"/>
        </w:rPr>
        <w:t>most</w:t>
      </w:r>
      <w:r w:rsidR="00F25DE6" w:rsidRPr="00DE2EDF">
        <w:rPr>
          <w:rFonts w:eastAsia="Times New Roman" w:cs="Times New Roman"/>
          <w:iCs/>
          <w:lang w:val="en-GB"/>
        </w:rPr>
        <w:t xml:space="preserve"> European countries, concerns EU </w:t>
      </w:r>
      <w:r w:rsidR="00F67B18" w:rsidRPr="00DE2EDF">
        <w:rPr>
          <w:rFonts w:eastAsia="Times New Roman" w:cs="Times New Roman"/>
          <w:iCs/>
          <w:lang w:val="en-GB"/>
        </w:rPr>
        <w:t>secondary law</w:t>
      </w:r>
      <w:r w:rsidR="00F25DE6" w:rsidRPr="00DE2EDF">
        <w:rPr>
          <w:rFonts w:eastAsia="Times New Roman" w:cs="Times New Roman"/>
          <w:iCs/>
          <w:lang w:val="en-GB"/>
        </w:rPr>
        <w:t xml:space="preserve">: </w:t>
      </w:r>
      <w:r w:rsidR="00F67B18" w:rsidRPr="00DE2EDF">
        <w:rPr>
          <w:rFonts w:eastAsia="Times New Roman" w:cs="Times New Roman"/>
          <w:iCs/>
          <w:lang w:val="en-GB"/>
        </w:rPr>
        <w:t xml:space="preserve">no </w:t>
      </w:r>
      <w:r w:rsidR="00EB6EC7" w:rsidRPr="00DE2EDF">
        <w:rPr>
          <w:rFonts w:eastAsia="Times New Roman" w:cs="Times New Roman"/>
          <w:iCs/>
          <w:lang w:val="en-GB"/>
        </w:rPr>
        <w:t>administrative organ</w:t>
      </w:r>
      <w:r w:rsidR="00F67B18" w:rsidRPr="00DE2EDF">
        <w:rPr>
          <w:rFonts w:eastAsia="Times New Roman" w:cs="Times New Roman"/>
          <w:iCs/>
          <w:lang w:val="en-GB"/>
        </w:rPr>
        <w:t xml:space="preserve"> what</w:t>
      </w:r>
      <w:r w:rsidR="00222D42" w:rsidRPr="00DE2EDF">
        <w:rPr>
          <w:rFonts w:eastAsia="Times New Roman" w:cs="Times New Roman"/>
          <w:iCs/>
          <w:lang w:val="en-GB"/>
        </w:rPr>
        <w:t>so</w:t>
      </w:r>
      <w:r w:rsidR="00F67B18" w:rsidRPr="00DE2EDF">
        <w:rPr>
          <w:rFonts w:eastAsia="Times New Roman" w:cs="Times New Roman"/>
          <w:iCs/>
          <w:lang w:val="en-GB"/>
        </w:rPr>
        <w:t>ever</w:t>
      </w:r>
      <w:r w:rsidR="00640DB8" w:rsidRPr="00DE2EDF">
        <w:rPr>
          <w:rFonts w:eastAsia="Times New Roman" w:cs="Times New Roman"/>
          <w:iCs/>
          <w:lang w:val="en-GB"/>
        </w:rPr>
        <w:t xml:space="preserve">, be it an administrative authority </w:t>
      </w:r>
      <w:r w:rsidR="00F67B18" w:rsidRPr="00DE2EDF">
        <w:rPr>
          <w:rFonts w:eastAsia="Times New Roman" w:cs="Times New Roman"/>
          <w:iCs/>
          <w:lang w:val="en-GB"/>
        </w:rPr>
        <w:t xml:space="preserve">of </w:t>
      </w:r>
      <w:r w:rsidR="00EB6EC7" w:rsidRPr="00DE2EDF">
        <w:rPr>
          <w:rFonts w:eastAsia="Times New Roman" w:cs="Times New Roman"/>
          <w:iCs/>
          <w:lang w:val="en-GB"/>
        </w:rPr>
        <w:t>a Member State</w:t>
      </w:r>
      <w:r w:rsidR="00640DB8" w:rsidRPr="00DE2EDF">
        <w:rPr>
          <w:rFonts w:eastAsia="Times New Roman" w:cs="Times New Roman"/>
          <w:iCs/>
          <w:lang w:val="en-GB"/>
        </w:rPr>
        <w:t xml:space="preserve"> or, even, of the EU,</w:t>
      </w:r>
      <w:r w:rsidR="00F67B18" w:rsidRPr="00DE2EDF">
        <w:rPr>
          <w:rFonts w:eastAsia="Times New Roman" w:cs="Times New Roman"/>
          <w:iCs/>
          <w:lang w:val="en-GB"/>
        </w:rPr>
        <w:t xml:space="preserve"> has</w:t>
      </w:r>
      <w:r w:rsidR="006305FA" w:rsidRPr="00DE2EDF">
        <w:rPr>
          <w:rFonts w:eastAsia="Times New Roman" w:cs="Times New Roman"/>
          <w:iCs/>
          <w:lang w:val="en-GB"/>
        </w:rPr>
        <w:t xml:space="preserve"> the right </w:t>
      </w:r>
      <w:r w:rsidR="0078454D" w:rsidRPr="00DE2EDF">
        <w:rPr>
          <w:rFonts w:eastAsia="Times New Roman" w:cs="Times New Roman"/>
          <w:iCs/>
          <w:lang w:val="en-GB"/>
        </w:rPr>
        <w:t>to</w:t>
      </w:r>
      <w:r w:rsidRPr="00DE2EDF">
        <w:rPr>
          <w:rFonts w:eastAsia="Times New Roman" w:cs="Times New Roman"/>
          <w:iCs/>
          <w:lang w:val="en-GB"/>
        </w:rPr>
        <w:t xml:space="preserve"> refuse to</w:t>
      </w:r>
      <w:r w:rsidR="0078454D" w:rsidRPr="00DE2EDF">
        <w:rPr>
          <w:rFonts w:eastAsia="Times New Roman" w:cs="Times New Roman"/>
          <w:iCs/>
          <w:lang w:val="en-GB"/>
        </w:rPr>
        <w:t xml:space="preserve"> </w:t>
      </w:r>
      <w:r w:rsidRPr="00DE2EDF">
        <w:rPr>
          <w:rFonts w:eastAsia="Times New Roman" w:cs="Times New Roman"/>
          <w:iCs/>
          <w:lang w:val="en-GB"/>
        </w:rPr>
        <w:t>apply</w:t>
      </w:r>
      <w:r w:rsidR="004B429A" w:rsidRPr="00DE2EDF">
        <w:rPr>
          <w:rFonts w:eastAsia="Times New Roman" w:cs="Times New Roman"/>
          <w:iCs/>
          <w:lang w:val="en-GB"/>
        </w:rPr>
        <w:t>, in a concrete case or in general,</w:t>
      </w:r>
      <w:r w:rsidR="00640DB8" w:rsidRPr="00DE2EDF">
        <w:rPr>
          <w:rFonts w:eastAsia="Times New Roman" w:cs="Times New Roman"/>
          <w:iCs/>
          <w:lang w:val="en-GB"/>
        </w:rPr>
        <w:t xml:space="preserve"> a norm pertaining to EU secondary law</w:t>
      </w:r>
      <w:r w:rsidR="00BC528F" w:rsidRPr="00DE2EDF">
        <w:rPr>
          <w:rFonts w:eastAsia="Times New Roman" w:cs="Times New Roman"/>
          <w:iCs/>
          <w:lang w:val="en-GB"/>
        </w:rPr>
        <w:t xml:space="preserve"> in case of inconsistency with </w:t>
      </w:r>
      <w:r w:rsidR="00366B21" w:rsidRPr="00DE2EDF">
        <w:rPr>
          <w:rFonts w:eastAsia="Times New Roman" w:cs="Times New Roman"/>
          <w:iCs/>
          <w:lang w:val="en-GB"/>
        </w:rPr>
        <w:t xml:space="preserve">a higher norm </w:t>
      </w:r>
      <w:r w:rsidR="003B06FC" w:rsidRPr="00DE2EDF">
        <w:rPr>
          <w:rFonts w:eastAsia="Times New Roman" w:cs="Times New Roman"/>
          <w:iCs/>
          <w:lang w:val="en-GB"/>
        </w:rPr>
        <w:t xml:space="preserve">(especially </w:t>
      </w:r>
      <w:r w:rsidR="00BC528F" w:rsidRPr="00DE2EDF">
        <w:rPr>
          <w:rFonts w:eastAsia="Times New Roman" w:cs="Times New Roman"/>
          <w:iCs/>
          <w:lang w:val="en-GB"/>
        </w:rPr>
        <w:t>the EU treaties</w:t>
      </w:r>
      <w:r w:rsidR="003B06FC" w:rsidRPr="00DE2EDF">
        <w:rPr>
          <w:rFonts w:eastAsia="Times New Roman" w:cs="Times New Roman"/>
          <w:iCs/>
          <w:lang w:val="en-GB"/>
        </w:rPr>
        <w:t>)</w:t>
      </w:r>
      <w:r w:rsidR="00640DB8" w:rsidRPr="00DE2EDF">
        <w:rPr>
          <w:rFonts w:eastAsia="Times New Roman" w:cs="Times New Roman"/>
          <w:iCs/>
          <w:lang w:val="en-GB"/>
        </w:rPr>
        <w:t>. On the contrary</w:t>
      </w:r>
      <w:r w:rsidR="00C16AC5" w:rsidRPr="00DE2EDF">
        <w:rPr>
          <w:rFonts w:eastAsia="Times New Roman" w:cs="Times New Roman"/>
          <w:iCs/>
          <w:lang w:val="en-GB"/>
        </w:rPr>
        <w:t xml:space="preserve">, </w:t>
      </w:r>
      <w:r w:rsidR="0078454D" w:rsidRPr="00DE2EDF">
        <w:rPr>
          <w:rFonts w:eastAsia="Times New Roman" w:cs="Times New Roman"/>
          <w:iCs/>
          <w:lang w:val="en-GB"/>
        </w:rPr>
        <w:t>if the contested norm is part of national law</w:t>
      </w:r>
      <w:r w:rsidR="00BC528F" w:rsidRPr="00DE2EDF">
        <w:rPr>
          <w:rFonts w:eastAsia="Times New Roman" w:cs="Times New Roman"/>
          <w:iCs/>
          <w:lang w:val="en-GB"/>
        </w:rPr>
        <w:t xml:space="preserve"> and </w:t>
      </w:r>
      <w:r w:rsidR="00381413" w:rsidRPr="00DE2EDF">
        <w:rPr>
          <w:rFonts w:eastAsia="Times New Roman" w:cs="Times New Roman"/>
          <w:iCs/>
          <w:lang w:val="en-GB"/>
        </w:rPr>
        <w:t>infringes</w:t>
      </w:r>
      <w:r w:rsidR="00BC528F" w:rsidRPr="00DE2EDF">
        <w:rPr>
          <w:rFonts w:eastAsia="Times New Roman" w:cs="Times New Roman"/>
          <w:iCs/>
          <w:lang w:val="en-GB"/>
        </w:rPr>
        <w:t xml:space="preserve"> any EU norm</w:t>
      </w:r>
      <w:r w:rsidR="0078454D" w:rsidRPr="00DE2EDF">
        <w:rPr>
          <w:rFonts w:eastAsia="Times New Roman" w:cs="Times New Roman"/>
          <w:iCs/>
          <w:lang w:val="en-GB"/>
        </w:rPr>
        <w:t xml:space="preserve">, </w:t>
      </w:r>
      <w:r w:rsidR="00640DB8" w:rsidRPr="00DE2EDF">
        <w:rPr>
          <w:rFonts w:eastAsia="Times New Roman" w:cs="Times New Roman"/>
          <w:iCs/>
          <w:lang w:val="en-GB"/>
        </w:rPr>
        <w:t xml:space="preserve">all </w:t>
      </w:r>
      <w:r w:rsidR="00F67B18" w:rsidRPr="00DE2EDF">
        <w:rPr>
          <w:rFonts w:eastAsia="Times New Roman" w:cs="Times New Roman"/>
          <w:iCs/>
          <w:lang w:val="en-GB"/>
        </w:rPr>
        <w:t>national administration</w:t>
      </w:r>
      <w:r w:rsidRPr="00DE2EDF">
        <w:rPr>
          <w:rFonts w:eastAsia="Times New Roman" w:cs="Times New Roman"/>
          <w:iCs/>
          <w:lang w:val="en-GB"/>
        </w:rPr>
        <w:t>s</w:t>
      </w:r>
      <w:r w:rsidR="00F67B18" w:rsidRPr="00DE2EDF">
        <w:rPr>
          <w:rFonts w:eastAsia="Times New Roman" w:cs="Times New Roman"/>
          <w:iCs/>
          <w:lang w:val="en-GB"/>
        </w:rPr>
        <w:t xml:space="preserve"> </w:t>
      </w:r>
      <w:r w:rsidRPr="00DE2EDF">
        <w:rPr>
          <w:rFonts w:eastAsia="Times New Roman" w:cs="Times New Roman"/>
          <w:iCs/>
          <w:lang w:val="en-GB"/>
        </w:rPr>
        <w:t>are</w:t>
      </w:r>
      <w:r w:rsidR="0078454D" w:rsidRPr="00DE2EDF">
        <w:rPr>
          <w:rFonts w:eastAsia="Times New Roman" w:cs="Times New Roman"/>
          <w:iCs/>
          <w:lang w:val="en-GB"/>
        </w:rPr>
        <w:t xml:space="preserve"> obliged</w:t>
      </w:r>
      <w:r w:rsidR="00640DB8" w:rsidRPr="00DE2EDF">
        <w:rPr>
          <w:rFonts w:eastAsia="Times New Roman" w:cs="Times New Roman"/>
          <w:iCs/>
          <w:lang w:val="en-GB"/>
        </w:rPr>
        <w:t>,</w:t>
      </w:r>
      <w:r w:rsidR="0078454D" w:rsidRPr="00DE2EDF">
        <w:rPr>
          <w:rFonts w:eastAsia="Times New Roman" w:cs="Times New Roman"/>
          <w:iCs/>
          <w:lang w:val="en-GB"/>
        </w:rPr>
        <w:t xml:space="preserve"> </w:t>
      </w:r>
      <w:r w:rsidR="00640DB8" w:rsidRPr="00DE2EDF">
        <w:rPr>
          <w:rFonts w:eastAsia="Times New Roman" w:cs="Times New Roman"/>
          <w:i/>
          <w:iCs/>
          <w:lang w:val="en-GB"/>
        </w:rPr>
        <w:t>propri</w:t>
      </w:r>
      <w:r w:rsidR="00F905AF" w:rsidRPr="00DE2EDF">
        <w:rPr>
          <w:rFonts w:eastAsia="Times New Roman" w:cs="Times New Roman"/>
          <w:i/>
          <w:iCs/>
          <w:lang w:val="en-GB"/>
        </w:rPr>
        <w:t>o</w:t>
      </w:r>
      <w:r w:rsidR="00640DB8" w:rsidRPr="00DE2EDF">
        <w:rPr>
          <w:rFonts w:eastAsia="Times New Roman" w:cs="Times New Roman"/>
          <w:i/>
          <w:iCs/>
          <w:lang w:val="en-GB"/>
        </w:rPr>
        <w:t xml:space="preserve"> motu</w:t>
      </w:r>
      <w:r w:rsidR="00640DB8" w:rsidRPr="00DE2EDF">
        <w:rPr>
          <w:rFonts w:eastAsia="Times New Roman" w:cs="Times New Roman"/>
          <w:iCs/>
          <w:lang w:val="en-GB"/>
        </w:rPr>
        <w:t xml:space="preserve">, </w:t>
      </w:r>
      <w:r w:rsidR="009D6820" w:rsidRPr="00DE2EDF">
        <w:rPr>
          <w:rFonts w:eastAsia="Times New Roman" w:cs="Times New Roman"/>
          <w:iCs/>
          <w:lang w:val="en-GB"/>
        </w:rPr>
        <w:t xml:space="preserve">and </w:t>
      </w:r>
      <w:r w:rsidR="00640DB8" w:rsidRPr="00DE2EDF">
        <w:rPr>
          <w:rFonts w:eastAsia="Times New Roman" w:cs="Times New Roman"/>
          <w:iCs/>
          <w:lang w:val="en-GB"/>
        </w:rPr>
        <w:t>without needing to refer th</w:t>
      </w:r>
      <w:r w:rsidR="00E70F47" w:rsidRPr="00DE2EDF">
        <w:rPr>
          <w:rFonts w:eastAsia="Times New Roman" w:cs="Times New Roman"/>
          <w:iCs/>
          <w:lang w:val="en-GB"/>
        </w:rPr>
        <w:t>e</w:t>
      </w:r>
      <w:r w:rsidR="00640DB8" w:rsidRPr="00DE2EDF">
        <w:rPr>
          <w:rFonts w:eastAsia="Times New Roman" w:cs="Times New Roman"/>
          <w:iCs/>
          <w:lang w:val="en-GB"/>
        </w:rPr>
        <w:t xml:space="preserve"> question to any national </w:t>
      </w:r>
      <w:r w:rsidR="00E70F47" w:rsidRPr="00DE2EDF">
        <w:rPr>
          <w:rFonts w:eastAsia="Times New Roman" w:cs="Times New Roman"/>
          <w:iCs/>
          <w:lang w:val="en-GB"/>
        </w:rPr>
        <w:t xml:space="preserve">(Constitutional) </w:t>
      </w:r>
      <w:r w:rsidR="00640DB8" w:rsidRPr="00DE2EDF">
        <w:rPr>
          <w:rFonts w:eastAsia="Times New Roman" w:cs="Times New Roman"/>
          <w:iCs/>
          <w:lang w:val="en-GB"/>
        </w:rPr>
        <w:t>court</w:t>
      </w:r>
      <w:r w:rsidR="0057271D" w:rsidRPr="00DE2EDF">
        <w:rPr>
          <w:rFonts w:cs="Times New Roman"/>
        </w:rPr>
        <w:t>—</w:t>
      </w:r>
      <w:r w:rsidR="00640DB8" w:rsidRPr="00DE2EDF">
        <w:rPr>
          <w:rFonts w:eastAsia="Times New Roman" w:cs="Times New Roman"/>
          <w:iCs/>
          <w:lang w:val="en-GB"/>
        </w:rPr>
        <w:t xml:space="preserve">a referral to the European Court of Justice </w:t>
      </w:r>
      <w:r w:rsidR="00944C63" w:rsidRPr="00DE2EDF">
        <w:rPr>
          <w:rFonts w:eastAsia="Times New Roman" w:cs="Times New Roman"/>
          <w:iCs/>
          <w:lang w:val="en-GB"/>
        </w:rPr>
        <w:t>is</w:t>
      </w:r>
      <w:r w:rsidR="00A7645B" w:rsidRPr="00DE2EDF">
        <w:rPr>
          <w:rFonts w:eastAsia="Times New Roman" w:cs="Times New Roman"/>
          <w:iCs/>
          <w:lang w:val="en-GB"/>
        </w:rPr>
        <w:t>, from the outset,</w:t>
      </w:r>
      <w:r w:rsidR="00BC528F" w:rsidRPr="00DE2EDF">
        <w:rPr>
          <w:rFonts w:eastAsia="Times New Roman" w:cs="Times New Roman"/>
          <w:iCs/>
          <w:lang w:val="en-GB"/>
        </w:rPr>
        <w:t xml:space="preserve"> </w:t>
      </w:r>
      <w:r w:rsidR="00640DB8" w:rsidRPr="00DE2EDF">
        <w:rPr>
          <w:rFonts w:eastAsia="Times New Roman" w:cs="Times New Roman"/>
          <w:iCs/>
          <w:lang w:val="en-GB"/>
        </w:rPr>
        <w:t>legally impossible</w:t>
      </w:r>
      <w:r w:rsidR="0057271D" w:rsidRPr="00DE2EDF">
        <w:rPr>
          <w:rFonts w:cs="Times New Roman"/>
        </w:rPr>
        <w:t>—</w:t>
      </w:r>
      <w:r w:rsidR="0078454D" w:rsidRPr="00DE2EDF">
        <w:rPr>
          <w:rFonts w:eastAsia="Times New Roman" w:cs="Times New Roman"/>
          <w:iCs/>
          <w:lang w:val="en-GB"/>
        </w:rPr>
        <w:t xml:space="preserve">to </w:t>
      </w:r>
      <w:r w:rsidR="0084415E" w:rsidRPr="00DE2EDF">
        <w:rPr>
          <w:rFonts w:eastAsia="Times New Roman" w:cs="Times New Roman"/>
          <w:iCs/>
          <w:lang w:val="en-GB"/>
        </w:rPr>
        <w:t>re</w:t>
      </w:r>
      <w:r w:rsidR="00381413" w:rsidRPr="00DE2EDF">
        <w:rPr>
          <w:rFonts w:eastAsia="Times New Roman" w:cs="Times New Roman"/>
          <w:iCs/>
          <w:lang w:val="en-GB"/>
        </w:rPr>
        <w:t>fuse to apply</w:t>
      </w:r>
      <w:r w:rsidR="004B429A" w:rsidRPr="00DE2EDF">
        <w:rPr>
          <w:rFonts w:eastAsia="Times New Roman" w:cs="Times New Roman"/>
          <w:iCs/>
          <w:lang w:val="en-GB"/>
        </w:rPr>
        <w:t xml:space="preserve"> </w:t>
      </w:r>
      <w:r w:rsidR="00640DB8" w:rsidRPr="00DE2EDF">
        <w:rPr>
          <w:rFonts w:eastAsia="Times New Roman" w:cs="Times New Roman"/>
          <w:iCs/>
          <w:lang w:val="en-GB"/>
        </w:rPr>
        <w:t>such national norm</w:t>
      </w:r>
      <w:r w:rsidR="00381413" w:rsidRPr="00DE2EDF">
        <w:rPr>
          <w:rFonts w:eastAsia="Times New Roman" w:cs="Times New Roman"/>
          <w:iCs/>
          <w:lang w:val="en-GB"/>
        </w:rPr>
        <w:t xml:space="preserve"> in a concrete case</w:t>
      </w:r>
      <w:r w:rsidR="00F67B18" w:rsidRPr="00DE2EDF">
        <w:rPr>
          <w:rFonts w:eastAsia="Times New Roman" w:cs="Times New Roman"/>
          <w:iCs/>
          <w:lang w:val="en-GB"/>
        </w:rPr>
        <w:t xml:space="preserve"> </w:t>
      </w:r>
      <w:r w:rsidR="0084415E" w:rsidRPr="00DE2EDF">
        <w:rPr>
          <w:rFonts w:eastAsia="Times New Roman" w:cs="Times New Roman"/>
          <w:iCs/>
          <w:lang w:val="en-GB"/>
        </w:rPr>
        <w:t>in order to give full effect to</w:t>
      </w:r>
      <w:r w:rsidR="0078454D" w:rsidRPr="00DE2EDF">
        <w:rPr>
          <w:rFonts w:eastAsia="Times New Roman" w:cs="Times New Roman"/>
          <w:iCs/>
          <w:lang w:val="en-GB"/>
        </w:rPr>
        <w:t xml:space="preserve"> EU law.</w:t>
      </w:r>
      <w:r w:rsidR="0084415E" w:rsidRPr="00DE2EDF">
        <w:rPr>
          <w:rStyle w:val="FootnoteReference"/>
          <w:rFonts w:eastAsia="Times New Roman" w:cs="Times New Roman"/>
          <w:iCs/>
          <w:lang w:val="en-GB"/>
        </w:rPr>
        <w:footnoteReference w:id="244"/>
      </w:r>
      <w:r w:rsidR="00F00B1A" w:rsidRPr="00DE2EDF">
        <w:rPr>
          <w:rFonts w:eastAsia="Times New Roman" w:cs="Times New Roman"/>
          <w:iCs/>
          <w:lang w:val="en-GB"/>
        </w:rPr>
        <w:t xml:space="preserve"> </w:t>
      </w:r>
      <w:r w:rsidR="00640DB8" w:rsidRPr="00DE2EDF">
        <w:rPr>
          <w:rFonts w:eastAsia="Times New Roman" w:cs="Times New Roman"/>
          <w:iCs/>
          <w:lang w:val="en-GB"/>
        </w:rPr>
        <w:t xml:space="preserve">This solution is </w:t>
      </w:r>
      <w:r w:rsidR="00E70F47" w:rsidRPr="00DE2EDF">
        <w:rPr>
          <w:rFonts w:eastAsia="Times New Roman" w:cs="Times New Roman"/>
          <w:iCs/>
          <w:lang w:val="en-GB"/>
        </w:rPr>
        <w:t xml:space="preserve">quite </w:t>
      </w:r>
      <w:r w:rsidR="00640DB8" w:rsidRPr="00DE2EDF">
        <w:rPr>
          <w:rFonts w:eastAsia="Times New Roman" w:cs="Times New Roman"/>
          <w:iCs/>
          <w:lang w:val="en-GB"/>
        </w:rPr>
        <w:t>revolutionary</w:t>
      </w:r>
      <w:r w:rsidR="00E70F47" w:rsidRPr="00DE2EDF">
        <w:rPr>
          <w:rFonts w:eastAsia="Times New Roman" w:cs="Times New Roman"/>
          <w:iCs/>
          <w:lang w:val="en-GB"/>
        </w:rPr>
        <w:t>. It is so</w:t>
      </w:r>
      <w:r w:rsidR="00640DB8" w:rsidRPr="00DE2EDF">
        <w:rPr>
          <w:rFonts w:eastAsia="Times New Roman" w:cs="Times New Roman"/>
          <w:iCs/>
          <w:lang w:val="en-GB"/>
        </w:rPr>
        <w:t xml:space="preserve"> with regard to </w:t>
      </w:r>
      <w:r w:rsidR="00381413" w:rsidRPr="00DE2EDF">
        <w:rPr>
          <w:rFonts w:eastAsia="Times New Roman" w:cs="Times New Roman"/>
          <w:iCs/>
          <w:lang w:val="en-GB"/>
        </w:rPr>
        <w:t xml:space="preserve">the tradition of most </w:t>
      </w:r>
      <w:r w:rsidR="00640DB8" w:rsidRPr="00DE2EDF">
        <w:rPr>
          <w:rFonts w:eastAsia="Times New Roman" w:cs="Times New Roman"/>
          <w:iCs/>
          <w:lang w:val="en-GB"/>
        </w:rPr>
        <w:t>unitary State</w:t>
      </w:r>
      <w:r w:rsidR="00381413" w:rsidRPr="00DE2EDF">
        <w:rPr>
          <w:rFonts w:eastAsia="Times New Roman" w:cs="Times New Roman"/>
          <w:iCs/>
          <w:lang w:val="en-GB"/>
        </w:rPr>
        <w:t xml:space="preserve">s, </w:t>
      </w:r>
      <w:r w:rsidR="00640DB8" w:rsidRPr="00DE2EDF">
        <w:rPr>
          <w:rFonts w:eastAsia="Times New Roman" w:cs="Times New Roman"/>
          <w:iCs/>
          <w:lang w:val="en-GB"/>
        </w:rPr>
        <w:t>except Sweden. It is even unusual inside Federal States</w:t>
      </w:r>
      <w:r w:rsidR="00B96844" w:rsidRPr="00DE2EDF">
        <w:rPr>
          <w:rFonts w:eastAsia="Times New Roman" w:cs="Times New Roman"/>
          <w:iCs/>
          <w:lang w:val="en-GB"/>
        </w:rPr>
        <w:t>.</w:t>
      </w:r>
      <w:r w:rsidR="008C70A5" w:rsidRPr="00DE2EDF">
        <w:rPr>
          <w:rStyle w:val="FootnoteReference"/>
          <w:rFonts w:eastAsia="Times New Roman" w:cs="Times New Roman"/>
          <w:iCs/>
          <w:lang w:val="en-GB"/>
        </w:rPr>
        <w:footnoteReference w:id="245"/>
      </w:r>
      <w:r w:rsidR="00640DB8" w:rsidRPr="00DE2EDF">
        <w:rPr>
          <w:rFonts w:eastAsia="Times New Roman" w:cs="Times New Roman"/>
          <w:iCs/>
          <w:lang w:val="en-GB"/>
        </w:rPr>
        <w:t xml:space="preserve"> </w:t>
      </w:r>
      <w:r w:rsidR="004B429A" w:rsidRPr="00DE2EDF">
        <w:rPr>
          <w:rFonts w:eastAsia="Times New Roman" w:cs="Times New Roman"/>
          <w:iCs/>
          <w:lang w:val="en-GB"/>
        </w:rPr>
        <w:t>For the future, o</w:t>
      </w:r>
      <w:r w:rsidR="00AE3C7F" w:rsidRPr="00DE2EDF">
        <w:rPr>
          <w:rFonts w:eastAsia="Times New Roman" w:cs="Times New Roman"/>
          <w:iCs/>
          <w:lang w:val="en-GB"/>
        </w:rPr>
        <w:t>ne may wonder whether this EU</w:t>
      </w:r>
      <w:r w:rsidR="00373885" w:rsidRPr="00DE2EDF">
        <w:rPr>
          <w:rFonts w:eastAsia="Times New Roman" w:cs="Times New Roman"/>
          <w:iCs/>
          <w:lang w:val="en-GB"/>
        </w:rPr>
        <w:t xml:space="preserve"> </w:t>
      </w:r>
      <w:r w:rsidR="00AE3C7F" w:rsidRPr="00DE2EDF">
        <w:rPr>
          <w:rFonts w:eastAsia="Times New Roman" w:cs="Times New Roman"/>
          <w:iCs/>
          <w:lang w:val="en-GB"/>
        </w:rPr>
        <w:t>solution will have a spill-over effect on national solutions with regard to inconsistencies with national Constitution</w:t>
      </w:r>
      <w:r w:rsidR="00373885" w:rsidRPr="00DE2EDF">
        <w:rPr>
          <w:rFonts w:eastAsia="Times New Roman" w:cs="Times New Roman"/>
          <w:iCs/>
          <w:lang w:val="en-GB"/>
        </w:rPr>
        <w:t>s</w:t>
      </w:r>
      <w:r w:rsidR="00AE3C7F" w:rsidRPr="00DE2EDF">
        <w:rPr>
          <w:rFonts w:eastAsia="Times New Roman" w:cs="Times New Roman"/>
          <w:iCs/>
          <w:lang w:val="en-GB"/>
        </w:rPr>
        <w:t>.</w:t>
      </w:r>
    </w:p>
    <w:p w14:paraId="76094846" w14:textId="77777777" w:rsidR="002D66C1" w:rsidRPr="00DE2EDF" w:rsidRDefault="002D66C1" w:rsidP="00DE2EDF">
      <w:pPr>
        <w:spacing w:after="0"/>
        <w:jc w:val="both"/>
        <w:rPr>
          <w:rFonts w:eastAsia="Times New Roman" w:cs="Times New Roman"/>
          <w:iCs/>
          <w:lang w:val="en-GB"/>
        </w:rPr>
      </w:pPr>
    </w:p>
    <w:p w14:paraId="5D26A781" w14:textId="77777777" w:rsidR="0000724E" w:rsidRPr="00DE2EDF" w:rsidRDefault="00A333AE" w:rsidP="00DE2EDF">
      <w:pPr>
        <w:pStyle w:val="Heading3"/>
        <w:rPr>
          <w:rFonts w:cs="Times New Roman"/>
          <w:szCs w:val="24"/>
        </w:rPr>
      </w:pPr>
      <w:bookmarkStart w:id="354" w:name="_Toc460405649"/>
      <w:r w:rsidRPr="00DE2EDF">
        <w:rPr>
          <w:rFonts w:cs="Times New Roman"/>
          <w:szCs w:val="24"/>
        </w:rPr>
        <w:t xml:space="preserve">h) </w:t>
      </w:r>
      <w:r w:rsidR="002D47AA" w:rsidRPr="00DE2EDF">
        <w:rPr>
          <w:rFonts w:cs="Times New Roman"/>
          <w:szCs w:val="24"/>
        </w:rPr>
        <w:t xml:space="preserve">Courts </w:t>
      </w:r>
      <w:r w:rsidR="00F52209" w:rsidRPr="00DE2EDF">
        <w:rPr>
          <w:rFonts w:cs="Times New Roman"/>
          <w:szCs w:val="24"/>
        </w:rPr>
        <w:t>(</w:t>
      </w:r>
      <w:r w:rsidR="0000724E" w:rsidRPr="00DE2EDF">
        <w:rPr>
          <w:rFonts w:cs="Times New Roman"/>
          <w:szCs w:val="24"/>
        </w:rPr>
        <w:t>Constitutional Cou</w:t>
      </w:r>
      <w:r w:rsidR="00CF4776" w:rsidRPr="00DE2EDF">
        <w:rPr>
          <w:rFonts w:cs="Times New Roman"/>
          <w:szCs w:val="24"/>
        </w:rPr>
        <w:t>rt</w:t>
      </w:r>
      <w:r w:rsidR="00B96844" w:rsidRPr="00DE2EDF">
        <w:rPr>
          <w:rFonts w:cs="Times New Roman"/>
          <w:szCs w:val="24"/>
        </w:rPr>
        <w:t>s</w:t>
      </w:r>
      <w:r w:rsidR="00CF4776" w:rsidRPr="00DE2EDF">
        <w:rPr>
          <w:rFonts w:cs="Times New Roman"/>
          <w:szCs w:val="24"/>
        </w:rPr>
        <w:t xml:space="preserve"> and/or </w:t>
      </w:r>
      <w:r w:rsidR="003B4406" w:rsidRPr="00DE2EDF">
        <w:rPr>
          <w:rFonts w:cs="Times New Roman"/>
          <w:szCs w:val="24"/>
        </w:rPr>
        <w:t>A</w:t>
      </w:r>
      <w:r w:rsidR="00CF4776" w:rsidRPr="00DE2EDF">
        <w:rPr>
          <w:rFonts w:cs="Times New Roman"/>
          <w:szCs w:val="24"/>
        </w:rPr>
        <w:t xml:space="preserve">dministrative </w:t>
      </w:r>
      <w:r w:rsidR="003B4406" w:rsidRPr="00DE2EDF">
        <w:rPr>
          <w:rFonts w:cs="Times New Roman"/>
          <w:szCs w:val="24"/>
        </w:rPr>
        <w:t>C</w:t>
      </w:r>
      <w:r w:rsidR="00CF4776" w:rsidRPr="00DE2EDF">
        <w:rPr>
          <w:rFonts w:cs="Times New Roman"/>
          <w:szCs w:val="24"/>
        </w:rPr>
        <w:t>ourts</w:t>
      </w:r>
      <w:r w:rsidR="00F52209" w:rsidRPr="00DE2EDF">
        <w:rPr>
          <w:rFonts w:cs="Times New Roman"/>
          <w:szCs w:val="24"/>
        </w:rPr>
        <w:t>)</w:t>
      </w:r>
      <w:r w:rsidR="002D47AA" w:rsidRPr="00DE2EDF">
        <w:rPr>
          <w:rFonts w:cs="Times New Roman"/>
          <w:szCs w:val="24"/>
        </w:rPr>
        <w:t xml:space="preserve"> as </w:t>
      </w:r>
      <w:r w:rsidR="003B4406" w:rsidRPr="00DE2EDF">
        <w:rPr>
          <w:rFonts w:cs="Times New Roman"/>
          <w:szCs w:val="24"/>
        </w:rPr>
        <w:t>G</w:t>
      </w:r>
      <w:r w:rsidR="002D47AA" w:rsidRPr="00DE2EDF">
        <w:rPr>
          <w:rFonts w:cs="Times New Roman"/>
          <w:szCs w:val="24"/>
        </w:rPr>
        <w:t>uardians of the Constitution</w:t>
      </w:r>
      <w:bookmarkEnd w:id="354"/>
    </w:p>
    <w:p w14:paraId="2EF4E64B" w14:textId="77777777" w:rsidR="002D66C1" w:rsidRPr="00DE2EDF" w:rsidRDefault="002D66C1" w:rsidP="00DE2EDF">
      <w:pPr>
        <w:spacing w:after="0"/>
        <w:rPr>
          <w:rFonts w:cs="Times New Roman"/>
          <w:lang w:val="en-GB"/>
        </w:rPr>
      </w:pPr>
    </w:p>
    <w:p w14:paraId="04338A57" w14:textId="77777777" w:rsidR="00626266" w:rsidRPr="00DE2EDF" w:rsidRDefault="00F52209" w:rsidP="00DE2EDF">
      <w:pPr>
        <w:spacing w:after="0"/>
        <w:jc w:val="both"/>
        <w:rPr>
          <w:rFonts w:eastAsia="Times New Roman" w:cs="Times New Roman"/>
          <w:iCs/>
          <w:lang w:val="en-GB"/>
        </w:rPr>
      </w:pPr>
      <w:r w:rsidRPr="00DE2EDF">
        <w:rPr>
          <w:rFonts w:eastAsia="Times New Roman" w:cs="Times New Roman"/>
          <w:iCs/>
          <w:lang w:val="en-GB"/>
        </w:rPr>
        <w:lastRenderedPageBreak/>
        <w:t xml:space="preserve">In all </w:t>
      </w:r>
      <w:r w:rsidR="001776A0" w:rsidRPr="00DE2EDF">
        <w:rPr>
          <w:rFonts w:eastAsia="Times New Roman" w:cs="Times New Roman"/>
          <w:iCs/>
          <w:lang w:val="en-GB"/>
        </w:rPr>
        <w:t xml:space="preserve">European </w:t>
      </w:r>
      <w:r w:rsidRPr="00DE2EDF">
        <w:rPr>
          <w:rFonts w:eastAsia="Times New Roman" w:cs="Times New Roman"/>
          <w:iCs/>
          <w:lang w:val="en-GB"/>
        </w:rPr>
        <w:t>countries</w:t>
      </w:r>
      <w:r w:rsidR="002E181D" w:rsidRPr="00DE2EDF">
        <w:rPr>
          <w:rFonts w:eastAsia="Times New Roman" w:cs="Times New Roman"/>
          <w:iCs/>
          <w:lang w:val="en-GB"/>
        </w:rPr>
        <w:t xml:space="preserve"> today</w:t>
      </w:r>
      <w:r w:rsidRPr="00DE2EDF">
        <w:rPr>
          <w:rFonts w:eastAsia="Times New Roman" w:cs="Times New Roman"/>
          <w:iCs/>
          <w:lang w:val="en-GB"/>
        </w:rPr>
        <w:t xml:space="preserve">, courts play a growing role in the process of </w:t>
      </w:r>
      <w:r w:rsidR="00222D42" w:rsidRPr="00DE2EDF">
        <w:rPr>
          <w:rFonts w:eastAsia="Times New Roman" w:cs="Times New Roman"/>
          <w:iCs/>
          <w:lang w:val="en-GB"/>
        </w:rPr>
        <w:t xml:space="preserve">constitutionalizing </w:t>
      </w:r>
      <w:r w:rsidRPr="00DE2EDF">
        <w:rPr>
          <w:rFonts w:eastAsia="Times New Roman" w:cs="Times New Roman"/>
          <w:iCs/>
          <w:lang w:val="en-GB"/>
        </w:rPr>
        <w:t>law, especially administrative law. However, t</w:t>
      </w:r>
      <w:r w:rsidR="00626266" w:rsidRPr="00DE2EDF">
        <w:rPr>
          <w:rFonts w:eastAsia="Times New Roman" w:cs="Times New Roman"/>
          <w:iCs/>
          <w:lang w:val="en-GB"/>
        </w:rPr>
        <w:t xml:space="preserve">he degree to which </w:t>
      </w:r>
      <w:r w:rsidRPr="00DE2EDF">
        <w:rPr>
          <w:rFonts w:eastAsia="Times New Roman" w:cs="Times New Roman"/>
          <w:iCs/>
          <w:lang w:val="en-GB"/>
        </w:rPr>
        <w:t>courts</w:t>
      </w:r>
      <w:r w:rsidR="00626266" w:rsidRPr="00DE2EDF">
        <w:rPr>
          <w:rFonts w:eastAsia="Times New Roman" w:cs="Times New Roman"/>
          <w:iCs/>
          <w:lang w:val="en-GB"/>
        </w:rPr>
        <w:t xml:space="preserve"> actually use</w:t>
      </w:r>
      <w:r w:rsidR="00626266" w:rsidRPr="00DE2EDF">
        <w:rPr>
          <w:rFonts w:eastAsia="Times New Roman" w:cs="Times New Roman"/>
          <w:i/>
          <w:iCs/>
          <w:lang w:val="en-GB"/>
        </w:rPr>
        <w:t xml:space="preserve"> </w:t>
      </w:r>
      <w:r w:rsidR="00626266" w:rsidRPr="00DE2EDF">
        <w:rPr>
          <w:rFonts w:eastAsia="Times New Roman" w:cs="Times New Roman"/>
          <w:iCs/>
          <w:lang w:val="en-GB"/>
        </w:rPr>
        <w:t>the Constitution fluctuate</w:t>
      </w:r>
      <w:r w:rsidR="002E181D" w:rsidRPr="00DE2EDF">
        <w:rPr>
          <w:rFonts w:eastAsia="Times New Roman" w:cs="Times New Roman"/>
          <w:iCs/>
          <w:lang w:val="en-GB"/>
        </w:rPr>
        <w:t>s</w:t>
      </w:r>
      <w:r w:rsidR="00626266" w:rsidRPr="00DE2EDF">
        <w:rPr>
          <w:rFonts w:eastAsia="Times New Roman" w:cs="Times New Roman"/>
          <w:iCs/>
          <w:lang w:val="en-GB"/>
        </w:rPr>
        <w:t xml:space="preserve"> greatly. For purposes of this </w:t>
      </w:r>
      <w:r w:rsidR="001776A0" w:rsidRPr="00DE2EDF">
        <w:rPr>
          <w:rFonts w:eastAsia="Times New Roman" w:cs="Times New Roman"/>
          <w:iCs/>
          <w:lang w:val="en-GB"/>
        </w:rPr>
        <w:t>study</w:t>
      </w:r>
      <w:r w:rsidR="00626266" w:rsidRPr="00DE2EDF">
        <w:rPr>
          <w:rFonts w:eastAsia="Times New Roman" w:cs="Times New Roman"/>
          <w:iCs/>
          <w:lang w:val="en-GB"/>
        </w:rPr>
        <w:t>, this rich subject must be reduced to just two issues.</w:t>
      </w:r>
    </w:p>
    <w:p w14:paraId="484EDCD5" w14:textId="77777777" w:rsidR="000F4C26" w:rsidRPr="00DE2EDF" w:rsidRDefault="000F4C26" w:rsidP="00DE2EDF">
      <w:pPr>
        <w:spacing w:after="0"/>
        <w:jc w:val="both"/>
        <w:rPr>
          <w:rFonts w:eastAsia="Times New Roman" w:cs="Times New Roman"/>
          <w:iCs/>
          <w:lang w:val="en-GB"/>
        </w:rPr>
      </w:pPr>
    </w:p>
    <w:p w14:paraId="147ABE2F" w14:textId="77777777" w:rsidR="00946C7B"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 xml:space="preserve">The first issue concerns the </w:t>
      </w:r>
      <w:r w:rsidR="009427A7" w:rsidRPr="00DE2EDF">
        <w:rPr>
          <w:rFonts w:eastAsia="Times New Roman" w:cs="Times New Roman"/>
          <w:iCs/>
          <w:lang w:val="en-GB"/>
        </w:rPr>
        <w:t xml:space="preserve">courts’ </w:t>
      </w:r>
      <w:r w:rsidRPr="00DE2EDF">
        <w:rPr>
          <w:rFonts w:eastAsia="Times New Roman" w:cs="Times New Roman"/>
          <w:i/>
          <w:lang w:val="en-GB"/>
        </w:rPr>
        <w:t>jurisdiction</w:t>
      </w:r>
      <w:r w:rsidR="009427A7" w:rsidRPr="00DE2EDF">
        <w:rPr>
          <w:rFonts w:eastAsia="Times New Roman" w:cs="Times New Roman"/>
          <w:i/>
          <w:lang w:val="en-GB"/>
        </w:rPr>
        <w:t xml:space="preserve"> in constitutional adjudication</w:t>
      </w:r>
      <w:r w:rsidRPr="00DE2EDF">
        <w:rPr>
          <w:rFonts w:eastAsia="Times New Roman" w:cs="Times New Roman"/>
          <w:iCs/>
          <w:lang w:val="en-GB"/>
        </w:rPr>
        <w:t xml:space="preserve">. The extent to which the Constitution </w:t>
      </w:r>
      <w:r w:rsidR="001776A0" w:rsidRPr="00DE2EDF">
        <w:rPr>
          <w:rFonts w:eastAsia="Times New Roman" w:cs="Times New Roman"/>
          <w:iCs/>
          <w:lang w:val="en-GB"/>
        </w:rPr>
        <w:t>is</w:t>
      </w:r>
      <w:r w:rsidRPr="00DE2EDF">
        <w:rPr>
          <w:rFonts w:eastAsia="Times New Roman" w:cs="Times New Roman"/>
          <w:iCs/>
          <w:lang w:val="en-GB"/>
        </w:rPr>
        <w:t xml:space="preserve"> </w:t>
      </w:r>
      <w:r w:rsidR="009427A7" w:rsidRPr="00DE2EDF">
        <w:rPr>
          <w:rFonts w:eastAsia="Times New Roman" w:cs="Times New Roman"/>
          <w:iCs/>
          <w:lang w:val="en-GB"/>
        </w:rPr>
        <w:t xml:space="preserve">entrusted </w:t>
      </w:r>
      <w:r w:rsidRPr="00DE2EDF">
        <w:rPr>
          <w:rFonts w:eastAsia="Times New Roman" w:cs="Times New Roman"/>
          <w:iCs/>
          <w:lang w:val="en-GB"/>
        </w:rPr>
        <w:t>to courts varies. Although the trend is towards increasing the courts</w:t>
      </w:r>
      <w:r w:rsidR="00530E16" w:rsidRPr="00DE2EDF">
        <w:rPr>
          <w:rFonts w:eastAsia="Times New Roman" w:cs="Times New Roman"/>
          <w:iCs/>
          <w:lang w:val="en-GB"/>
        </w:rPr>
        <w:t>’</w:t>
      </w:r>
      <w:r w:rsidRPr="00DE2EDF">
        <w:rPr>
          <w:rFonts w:eastAsia="Times New Roman" w:cs="Times New Roman"/>
          <w:iCs/>
          <w:lang w:val="en-GB"/>
        </w:rPr>
        <w:t xml:space="preserve"> jurisdiction over the Constitution</w:t>
      </w:r>
      <w:r w:rsidR="0057271D" w:rsidRPr="00DE2EDF">
        <w:rPr>
          <w:rFonts w:cs="Times New Roman"/>
        </w:rPr>
        <w:t>—</w:t>
      </w:r>
      <w:r w:rsidR="009427A7" w:rsidRPr="00DE2EDF">
        <w:rPr>
          <w:rFonts w:eastAsia="Times New Roman" w:cs="Times New Roman"/>
          <w:iCs/>
          <w:lang w:val="en-GB"/>
        </w:rPr>
        <w:t xml:space="preserve">the avant-garde being </w:t>
      </w:r>
      <w:r w:rsidRPr="00DE2EDF">
        <w:rPr>
          <w:rFonts w:eastAsia="Times New Roman" w:cs="Times New Roman"/>
          <w:iCs/>
          <w:lang w:val="en-GB"/>
        </w:rPr>
        <w:t>Germany</w:t>
      </w:r>
      <w:r w:rsidR="0057271D" w:rsidRPr="00DE2EDF">
        <w:rPr>
          <w:rFonts w:cs="Times New Roman"/>
        </w:rPr>
        <w:t>—</w:t>
      </w:r>
      <w:r w:rsidRPr="00DE2EDF">
        <w:rPr>
          <w:rFonts w:eastAsia="Times New Roman" w:cs="Times New Roman"/>
          <w:iCs/>
          <w:lang w:val="en-GB"/>
        </w:rPr>
        <w:t xml:space="preserve">certain </w:t>
      </w:r>
      <w:r w:rsidR="009427A7" w:rsidRPr="00DE2EDF">
        <w:rPr>
          <w:rFonts w:eastAsia="Times New Roman" w:cs="Times New Roman"/>
          <w:iCs/>
          <w:lang w:val="en-GB"/>
        </w:rPr>
        <w:t>barriers</w:t>
      </w:r>
      <w:r w:rsidRPr="00DE2EDF">
        <w:rPr>
          <w:rFonts w:eastAsia="Times New Roman" w:cs="Times New Roman"/>
          <w:iCs/>
          <w:lang w:val="en-GB"/>
        </w:rPr>
        <w:t xml:space="preserve">, which partially resonate with a fear of a </w:t>
      </w:r>
      <w:r w:rsidR="00E9326A" w:rsidRPr="00DE2EDF">
        <w:rPr>
          <w:rFonts w:eastAsia="Times New Roman" w:cs="Times New Roman"/>
          <w:iCs/>
          <w:lang w:val="en-GB"/>
        </w:rPr>
        <w:t>‘</w:t>
      </w:r>
      <w:r w:rsidR="00E9326A" w:rsidRPr="00DE2EDF">
        <w:rPr>
          <w:rFonts w:eastAsia="Times New Roman" w:cs="Times New Roman"/>
          <w:i/>
          <w:iCs/>
          <w:lang w:val="en-GB"/>
        </w:rPr>
        <w:t>gouvernement des juges</w:t>
      </w:r>
      <w:r w:rsidR="00E9326A" w:rsidRPr="00DE2EDF">
        <w:rPr>
          <w:rFonts w:eastAsia="Times New Roman" w:cs="Times New Roman"/>
          <w:iCs/>
          <w:lang w:val="en-GB"/>
        </w:rPr>
        <w:t>’ (</w:t>
      </w:r>
      <w:r w:rsidRPr="00DE2EDF">
        <w:rPr>
          <w:rFonts w:eastAsia="Times New Roman" w:cs="Times New Roman"/>
          <w:iCs/>
          <w:lang w:val="en-GB"/>
        </w:rPr>
        <w:t>government of judges</w:t>
      </w:r>
      <w:r w:rsidR="00E9326A" w:rsidRPr="00DE2EDF">
        <w:rPr>
          <w:rFonts w:eastAsia="Times New Roman" w:cs="Times New Roman"/>
          <w:iCs/>
          <w:lang w:val="en-GB"/>
        </w:rPr>
        <w:t>)</w:t>
      </w:r>
      <w:r w:rsidRPr="00DE2EDF">
        <w:rPr>
          <w:rFonts w:eastAsia="Times New Roman" w:cs="Times New Roman"/>
          <w:iCs/>
          <w:lang w:val="en-GB"/>
        </w:rPr>
        <w:t xml:space="preserve">, remain. In some countries, </w:t>
      </w:r>
      <w:r w:rsidR="00E9326A" w:rsidRPr="00DE2EDF">
        <w:rPr>
          <w:rFonts w:eastAsia="Times New Roman" w:cs="Times New Roman"/>
          <w:iCs/>
          <w:lang w:val="en-GB"/>
        </w:rPr>
        <w:t>no court (neither th</w:t>
      </w:r>
      <w:r w:rsidR="00871815">
        <w:rPr>
          <w:rFonts w:eastAsia="Times New Roman" w:cs="Times New Roman"/>
          <w:iCs/>
          <w:lang w:val="en-GB"/>
        </w:rPr>
        <w:t>e ordinary courts nor even the c</w:t>
      </w:r>
      <w:r w:rsidR="00E9326A" w:rsidRPr="00DE2EDF">
        <w:rPr>
          <w:rFonts w:eastAsia="Times New Roman" w:cs="Times New Roman"/>
          <w:iCs/>
          <w:lang w:val="en-GB"/>
        </w:rPr>
        <w:t xml:space="preserve">onstitutional </w:t>
      </w:r>
      <w:r w:rsidR="00871815">
        <w:rPr>
          <w:rFonts w:eastAsia="Times New Roman" w:cs="Times New Roman"/>
          <w:iCs/>
          <w:lang w:val="en-GB"/>
        </w:rPr>
        <w:t>c</w:t>
      </w:r>
      <w:r w:rsidR="00E9326A" w:rsidRPr="00DE2EDF">
        <w:rPr>
          <w:rFonts w:eastAsia="Times New Roman" w:cs="Times New Roman"/>
          <w:iCs/>
          <w:lang w:val="en-GB"/>
        </w:rPr>
        <w:t>ourt</w:t>
      </w:r>
      <w:r w:rsidR="002E181D" w:rsidRPr="00DE2EDF">
        <w:rPr>
          <w:rFonts w:eastAsia="Times New Roman" w:cs="Times New Roman"/>
          <w:iCs/>
          <w:lang w:val="en-GB"/>
        </w:rPr>
        <w:t>,</w:t>
      </w:r>
      <w:r w:rsidR="00E9326A" w:rsidRPr="00DE2EDF">
        <w:rPr>
          <w:rFonts w:eastAsia="Times New Roman" w:cs="Times New Roman"/>
          <w:iCs/>
          <w:lang w:val="en-GB"/>
        </w:rPr>
        <w:t xml:space="preserve"> if one exists) is entitled to annul or </w:t>
      </w:r>
      <w:r w:rsidR="00855EE0" w:rsidRPr="00DE2EDF">
        <w:rPr>
          <w:rFonts w:eastAsia="Times New Roman" w:cs="Times New Roman"/>
          <w:iCs/>
          <w:lang w:val="en-GB"/>
        </w:rPr>
        <w:t xml:space="preserve">disregard </w:t>
      </w:r>
      <w:r w:rsidRPr="00DE2EDF">
        <w:rPr>
          <w:rFonts w:eastAsia="Times New Roman" w:cs="Times New Roman"/>
          <w:iCs/>
          <w:lang w:val="en-GB"/>
        </w:rPr>
        <w:t xml:space="preserve">certain </w:t>
      </w:r>
      <w:r w:rsidR="009427A7" w:rsidRPr="00DE2EDF">
        <w:rPr>
          <w:rFonts w:eastAsia="Times New Roman" w:cs="Times New Roman"/>
          <w:iCs/>
          <w:lang w:val="en-GB"/>
        </w:rPr>
        <w:t>statutes</w:t>
      </w:r>
      <w:r w:rsidRPr="00DE2EDF">
        <w:rPr>
          <w:rFonts w:eastAsia="Times New Roman" w:cs="Times New Roman"/>
          <w:iCs/>
          <w:lang w:val="en-GB"/>
        </w:rPr>
        <w:t>.</w:t>
      </w:r>
      <w:bookmarkStart w:id="355" w:name="_ftnref174"/>
      <w:r w:rsidRPr="00DE2EDF">
        <w:rPr>
          <w:rStyle w:val="FootnoteReference"/>
          <w:rFonts w:eastAsia="Times New Roman" w:cs="Times New Roman"/>
          <w:iCs/>
          <w:lang w:val="en-GB"/>
        </w:rPr>
        <w:footnoteReference w:id="246"/>
      </w:r>
      <w:r w:rsidR="00E9326A" w:rsidRPr="00DE2EDF">
        <w:rPr>
          <w:rFonts w:eastAsia="Times New Roman" w:cs="Times New Roman"/>
          <w:iCs/>
          <w:lang w:val="en-GB"/>
        </w:rPr>
        <w:t xml:space="preserve"> Courts may</w:t>
      </w:r>
      <w:r w:rsidR="002E181D" w:rsidRPr="00DE2EDF">
        <w:rPr>
          <w:rFonts w:eastAsia="Times New Roman" w:cs="Times New Roman"/>
          <w:iCs/>
          <w:lang w:val="en-GB"/>
        </w:rPr>
        <w:t>,</w:t>
      </w:r>
      <w:r w:rsidR="00E9326A" w:rsidRPr="00DE2EDF">
        <w:rPr>
          <w:rFonts w:eastAsia="Times New Roman" w:cs="Times New Roman"/>
          <w:iCs/>
          <w:lang w:val="en-GB"/>
        </w:rPr>
        <w:t xml:space="preserve"> perhaps</w:t>
      </w:r>
      <w:r w:rsidR="002E181D" w:rsidRPr="00DE2EDF">
        <w:rPr>
          <w:rFonts w:eastAsia="Times New Roman" w:cs="Times New Roman"/>
          <w:iCs/>
          <w:lang w:val="en-GB"/>
        </w:rPr>
        <w:t>, openly</w:t>
      </w:r>
      <w:r w:rsidR="00E9326A" w:rsidRPr="00DE2EDF">
        <w:rPr>
          <w:rFonts w:eastAsia="Times New Roman" w:cs="Times New Roman"/>
          <w:iCs/>
          <w:lang w:val="en-GB"/>
        </w:rPr>
        <w:t xml:space="preserve"> express a constitutional critique </w:t>
      </w:r>
      <w:r w:rsidR="003A0B3A" w:rsidRPr="00DE2EDF">
        <w:rPr>
          <w:rFonts w:eastAsia="Times New Roman" w:cs="Times New Roman"/>
          <w:iCs/>
          <w:lang w:val="en-GB"/>
        </w:rPr>
        <w:t xml:space="preserve">of such </w:t>
      </w:r>
      <w:r w:rsidR="00E9326A" w:rsidRPr="00DE2EDF">
        <w:rPr>
          <w:rFonts w:eastAsia="Times New Roman" w:cs="Times New Roman"/>
          <w:iCs/>
          <w:lang w:val="en-GB"/>
        </w:rPr>
        <w:t>statutes (</w:t>
      </w:r>
      <w:r w:rsidR="00C014A1" w:rsidRPr="00DE2EDF">
        <w:rPr>
          <w:rFonts w:eastAsia="Times New Roman" w:cs="Times New Roman"/>
          <w:iCs/>
          <w:lang w:val="en-GB"/>
        </w:rPr>
        <w:t xml:space="preserve">e.g., </w:t>
      </w:r>
      <w:r w:rsidR="00222D42" w:rsidRPr="00DE2EDF">
        <w:rPr>
          <w:rFonts w:eastAsia="Times New Roman" w:cs="Times New Roman"/>
          <w:iCs/>
          <w:lang w:val="en-GB"/>
        </w:rPr>
        <w:t xml:space="preserve">in </w:t>
      </w:r>
      <w:r w:rsidR="00E9326A" w:rsidRPr="00DE2EDF">
        <w:rPr>
          <w:rFonts w:eastAsia="Times New Roman" w:cs="Times New Roman"/>
          <w:iCs/>
          <w:lang w:val="en-GB"/>
        </w:rPr>
        <w:t>Switzerland</w:t>
      </w:r>
      <w:r w:rsidR="00855EE0" w:rsidRPr="00DE2EDF">
        <w:rPr>
          <w:rFonts w:eastAsia="Times New Roman" w:cs="Times New Roman"/>
          <w:iCs/>
          <w:lang w:val="en-GB"/>
        </w:rPr>
        <w:t xml:space="preserve"> and </w:t>
      </w:r>
      <w:r w:rsidR="00222D42" w:rsidRPr="00DE2EDF">
        <w:rPr>
          <w:rFonts w:eastAsia="Times New Roman" w:cs="Times New Roman"/>
          <w:iCs/>
          <w:lang w:val="en-GB"/>
        </w:rPr>
        <w:t xml:space="preserve">in the </w:t>
      </w:r>
      <w:r w:rsidR="00A918A6">
        <w:rPr>
          <w:rFonts w:eastAsia="Times New Roman" w:cs="Times New Roman"/>
          <w:iCs/>
          <w:lang w:val="en-GB"/>
        </w:rPr>
        <w:t>United Kingdom</w:t>
      </w:r>
      <w:r w:rsidR="00855EE0" w:rsidRPr="00DE2EDF">
        <w:rPr>
          <w:rFonts w:eastAsia="Times New Roman" w:cs="Times New Roman"/>
          <w:iCs/>
          <w:lang w:val="en-GB"/>
        </w:rPr>
        <w:t xml:space="preserve">, which uses </w:t>
      </w:r>
      <w:r w:rsidR="00E9326A" w:rsidRPr="00DE2EDF">
        <w:rPr>
          <w:rFonts w:eastAsia="Times New Roman" w:cs="Times New Roman"/>
          <w:iCs/>
          <w:lang w:val="en-GB"/>
        </w:rPr>
        <w:t>the statement of incompatibility), but the</w:t>
      </w:r>
      <w:r w:rsidR="002E181D" w:rsidRPr="00DE2EDF">
        <w:rPr>
          <w:rFonts w:eastAsia="Times New Roman" w:cs="Times New Roman"/>
          <w:iCs/>
          <w:lang w:val="en-GB"/>
        </w:rPr>
        <w:t xml:space="preserve">y </w:t>
      </w:r>
      <w:r w:rsidR="00E9326A" w:rsidRPr="00DE2EDF">
        <w:rPr>
          <w:rFonts w:eastAsia="Times New Roman" w:cs="Times New Roman"/>
          <w:iCs/>
          <w:lang w:val="en-GB"/>
        </w:rPr>
        <w:t xml:space="preserve">are not </w:t>
      </w:r>
      <w:r w:rsidR="001012AC" w:rsidRPr="00DE2EDF">
        <w:rPr>
          <w:rFonts w:eastAsia="Times New Roman" w:cs="Times New Roman"/>
          <w:iCs/>
          <w:lang w:val="en-GB"/>
        </w:rPr>
        <w:t>empowered</w:t>
      </w:r>
      <w:r w:rsidR="00E9326A" w:rsidRPr="00DE2EDF">
        <w:rPr>
          <w:rFonts w:eastAsia="Times New Roman" w:cs="Times New Roman"/>
          <w:iCs/>
          <w:lang w:val="en-GB"/>
        </w:rPr>
        <w:t xml:space="preserve"> to question their validity. </w:t>
      </w:r>
      <w:bookmarkEnd w:id="355"/>
      <w:r w:rsidRPr="00DE2EDF">
        <w:rPr>
          <w:rFonts w:eastAsia="Times New Roman" w:cs="Times New Roman"/>
          <w:iCs/>
          <w:lang w:val="en-GB"/>
        </w:rPr>
        <w:t>As a result, a</w:t>
      </w:r>
      <w:r w:rsidR="009427A7" w:rsidRPr="00DE2EDF">
        <w:rPr>
          <w:rFonts w:eastAsia="Times New Roman" w:cs="Times New Roman"/>
          <w:iCs/>
          <w:lang w:val="en-GB"/>
        </w:rPr>
        <w:t>n administrative</w:t>
      </w:r>
      <w:r w:rsidRPr="00DE2EDF">
        <w:rPr>
          <w:rFonts w:eastAsia="Times New Roman" w:cs="Times New Roman"/>
          <w:iCs/>
          <w:lang w:val="en-GB"/>
        </w:rPr>
        <w:t xml:space="preserve"> decision or </w:t>
      </w:r>
      <w:r w:rsidR="00E9326A" w:rsidRPr="00DE2EDF">
        <w:rPr>
          <w:rFonts w:eastAsia="Times New Roman" w:cs="Times New Roman"/>
          <w:iCs/>
          <w:lang w:val="en-GB"/>
        </w:rPr>
        <w:t xml:space="preserve">a </w:t>
      </w:r>
      <w:r w:rsidRPr="00DE2EDF">
        <w:rPr>
          <w:rFonts w:eastAsia="Times New Roman" w:cs="Times New Roman"/>
          <w:iCs/>
          <w:lang w:val="en-GB"/>
        </w:rPr>
        <w:t xml:space="preserve">regulation </w:t>
      </w:r>
      <w:r w:rsidR="001012AC" w:rsidRPr="00DE2EDF">
        <w:rPr>
          <w:rFonts w:eastAsia="Times New Roman" w:cs="Times New Roman"/>
          <w:iCs/>
          <w:lang w:val="en-GB"/>
        </w:rPr>
        <w:t>grounded</w:t>
      </w:r>
      <w:r w:rsidRPr="00DE2EDF">
        <w:rPr>
          <w:rFonts w:eastAsia="Times New Roman" w:cs="Times New Roman"/>
          <w:iCs/>
          <w:lang w:val="en-GB"/>
        </w:rPr>
        <w:t xml:space="preserve"> on an unconstitutional </w:t>
      </w:r>
      <w:r w:rsidR="009427A7" w:rsidRPr="00DE2EDF">
        <w:rPr>
          <w:rFonts w:eastAsia="Times New Roman" w:cs="Times New Roman"/>
          <w:iCs/>
          <w:lang w:val="en-GB"/>
        </w:rPr>
        <w:t>statute</w:t>
      </w:r>
      <w:r w:rsidRPr="00DE2EDF">
        <w:rPr>
          <w:rFonts w:eastAsia="Times New Roman" w:cs="Times New Roman"/>
          <w:iCs/>
          <w:lang w:val="en-GB"/>
        </w:rPr>
        <w:t xml:space="preserve"> is immune to any constitutional review.</w:t>
      </w:r>
      <w:bookmarkStart w:id="356" w:name="_ftnref175"/>
      <w:r w:rsidRPr="00DE2EDF">
        <w:rPr>
          <w:rStyle w:val="FootnoteReference"/>
          <w:rFonts w:eastAsia="Times New Roman" w:cs="Times New Roman"/>
          <w:iCs/>
          <w:lang w:val="en-GB"/>
        </w:rPr>
        <w:footnoteReference w:id="247"/>
      </w:r>
      <w:r w:rsidRPr="00DE2EDF">
        <w:rPr>
          <w:rFonts w:eastAsia="Times New Roman" w:cs="Times New Roman"/>
          <w:iCs/>
          <w:lang w:val="en-GB"/>
        </w:rPr>
        <w:t xml:space="preserve"> </w:t>
      </w:r>
      <w:bookmarkEnd w:id="356"/>
    </w:p>
    <w:p w14:paraId="43DECCA4" w14:textId="77777777" w:rsidR="000F4C26" w:rsidRPr="00DE2EDF" w:rsidRDefault="000F4C26" w:rsidP="00DE2EDF">
      <w:pPr>
        <w:spacing w:after="0"/>
        <w:jc w:val="both"/>
        <w:rPr>
          <w:rFonts w:eastAsia="Times New Roman" w:cs="Times New Roman"/>
          <w:iCs/>
          <w:lang w:val="en-GB"/>
        </w:rPr>
      </w:pPr>
    </w:p>
    <w:p w14:paraId="555D98ED" w14:textId="77777777" w:rsidR="003472F3" w:rsidRPr="00DE2EDF" w:rsidRDefault="002E181D" w:rsidP="00DE2EDF">
      <w:pPr>
        <w:spacing w:after="0"/>
        <w:jc w:val="both"/>
        <w:rPr>
          <w:rFonts w:eastAsia="Times New Roman" w:cs="Times New Roman"/>
          <w:iCs/>
          <w:lang w:val="en-GB"/>
        </w:rPr>
      </w:pPr>
      <w:r w:rsidRPr="00DE2EDF">
        <w:rPr>
          <w:rFonts w:eastAsia="Times New Roman" w:cs="Times New Roman"/>
          <w:iCs/>
          <w:lang w:val="en-GB"/>
        </w:rPr>
        <w:t xml:space="preserve">Other </w:t>
      </w:r>
      <w:r w:rsidR="003472F3" w:rsidRPr="00DE2EDF">
        <w:rPr>
          <w:rFonts w:eastAsia="Times New Roman" w:cs="Times New Roman"/>
          <w:iCs/>
          <w:lang w:val="en-GB"/>
        </w:rPr>
        <w:t>countries</w:t>
      </w:r>
      <w:r w:rsidR="000571C4" w:rsidRPr="00DE2EDF">
        <w:rPr>
          <w:rFonts w:eastAsia="Times New Roman" w:cs="Times New Roman"/>
          <w:iCs/>
          <w:lang w:val="en-GB"/>
        </w:rPr>
        <w:t xml:space="preserve"> </w:t>
      </w:r>
      <w:r w:rsidRPr="00DE2EDF">
        <w:rPr>
          <w:rFonts w:eastAsia="Times New Roman" w:cs="Times New Roman"/>
          <w:iCs/>
          <w:lang w:val="en-GB"/>
        </w:rPr>
        <w:t xml:space="preserve">that </w:t>
      </w:r>
      <w:r w:rsidR="00871815">
        <w:rPr>
          <w:rFonts w:eastAsia="Times New Roman" w:cs="Times New Roman"/>
          <w:iCs/>
          <w:lang w:val="en-GB"/>
        </w:rPr>
        <w:t>lack a c</w:t>
      </w:r>
      <w:r w:rsidR="000571C4" w:rsidRPr="00DE2EDF">
        <w:rPr>
          <w:rFonts w:eastAsia="Times New Roman" w:cs="Times New Roman"/>
          <w:iCs/>
          <w:lang w:val="en-GB"/>
        </w:rPr>
        <w:t xml:space="preserve">onstitutional </w:t>
      </w:r>
      <w:r w:rsidR="00871815">
        <w:rPr>
          <w:rFonts w:eastAsia="Times New Roman" w:cs="Times New Roman"/>
          <w:iCs/>
          <w:lang w:val="en-GB"/>
        </w:rPr>
        <w:t>c</w:t>
      </w:r>
      <w:r w:rsidR="000571C4" w:rsidRPr="00DE2EDF">
        <w:rPr>
          <w:rFonts w:eastAsia="Times New Roman" w:cs="Times New Roman"/>
          <w:iCs/>
          <w:lang w:val="en-GB"/>
        </w:rPr>
        <w:t xml:space="preserve">ourt </w:t>
      </w:r>
      <w:r w:rsidRPr="00DE2EDF">
        <w:rPr>
          <w:rFonts w:eastAsia="Times New Roman" w:cs="Times New Roman"/>
          <w:iCs/>
          <w:lang w:val="en-GB"/>
        </w:rPr>
        <w:t xml:space="preserve">but </w:t>
      </w:r>
      <w:r w:rsidR="000571C4" w:rsidRPr="00DE2EDF">
        <w:rPr>
          <w:rFonts w:eastAsia="Times New Roman" w:cs="Times New Roman"/>
          <w:iCs/>
          <w:lang w:val="en-GB"/>
        </w:rPr>
        <w:t xml:space="preserve">in </w:t>
      </w:r>
      <w:r w:rsidR="003472F3" w:rsidRPr="00DE2EDF">
        <w:rPr>
          <w:rFonts w:eastAsia="Times New Roman" w:cs="Times New Roman"/>
          <w:iCs/>
          <w:lang w:val="en-GB"/>
        </w:rPr>
        <w:t xml:space="preserve">which all </w:t>
      </w:r>
      <w:r w:rsidR="000571C4" w:rsidRPr="00DE2EDF">
        <w:rPr>
          <w:rFonts w:eastAsia="Times New Roman" w:cs="Times New Roman"/>
          <w:iCs/>
          <w:lang w:val="en-GB"/>
        </w:rPr>
        <w:t xml:space="preserve">ordinary </w:t>
      </w:r>
      <w:r w:rsidR="003472F3" w:rsidRPr="00DE2EDF">
        <w:rPr>
          <w:rFonts w:eastAsia="Times New Roman" w:cs="Times New Roman"/>
          <w:iCs/>
          <w:lang w:val="en-GB"/>
        </w:rPr>
        <w:t>courts (civil, criminal</w:t>
      </w:r>
      <w:r w:rsidRPr="00DE2EDF">
        <w:rPr>
          <w:rFonts w:eastAsia="Times New Roman" w:cs="Times New Roman"/>
          <w:iCs/>
          <w:lang w:val="en-GB"/>
        </w:rPr>
        <w:t>,</w:t>
      </w:r>
      <w:r w:rsidR="003472F3" w:rsidRPr="00DE2EDF">
        <w:rPr>
          <w:rFonts w:eastAsia="Times New Roman" w:cs="Times New Roman"/>
          <w:iCs/>
          <w:lang w:val="en-GB"/>
        </w:rPr>
        <w:t xml:space="preserve"> and administrative) are given the right of constitutional review, </w:t>
      </w:r>
      <w:r w:rsidR="000571C4" w:rsidRPr="00DE2EDF">
        <w:rPr>
          <w:rFonts w:eastAsia="Times New Roman" w:cs="Times New Roman"/>
          <w:iCs/>
          <w:lang w:val="en-GB"/>
        </w:rPr>
        <w:t>offer</w:t>
      </w:r>
      <w:r w:rsidR="003472F3" w:rsidRPr="00DE2EDF">
        <w:rPr>
          <w:rFonts w:eastAsia="Times New Roman" w:cs="Times New Roman"/>
          <w:iCs/>
          <w:lang w:val="en-GB"/>
        </w:rPr>
        <w:t xml:space="preserve"> a highly</w:t>
      </w:r>
      <w:r w:rsidR="00A1720F" w:rsidRPr="00DE2EDF">
        <w:rPr>
          <w:rFonts w:eastAsia="Times New Roman" w:cs="Times New Roman"/>
          <w:iCs/>
          <w:lang w:val="en-GB"/>
        </w:rPr>
        <w:t xml:space="preserve"> </w:t>
      </w:r>
      <w:r w:rsidR="003472F3" w:rsidRPr="00DE2EDF">
        <w:rPr>
          <w:rFonts w:eastAsia="Times New Roman" w:cs="Times New Roman"/>
          <w:iCs/>
          <w:lang w:val="en-GB"/>
        </w:rPr>
        <w:t xml:space="preserve">varied picture. While the </w:t>
      </w:r>
      <w:r w:rsidR="000571C4" w:rsidRPr="00DE2EDF">
        <w:rPr>
          <w:rFonts w:eastAsia="Times New Roman" w:cs="Times New Roman"/>
          <w:iCs/>
          <w:lang w:val="en-GB"/>
        </w:rPr>
        <w:t xml:space="preserve">ordinary </w:t>
      </w:r>
      <w:r w:rsidR="003472F3" w:rsidRPr="00DE2EDF">
        <w:rPr>
          <w:rFonts w:eastAsia="Times New Roman" w:cs="Times New Roman"/>
          <w:iCs/>
          <w:lang w:val="en-GB"/>
        </w:rPr>
        <w:t xml:space="preserve">courts in some of these countries only rarely or timidly use the Constitution (e.g., Sweden, Denmark, </w:t>
      </w:r>
      <w:r w:rsidR="000571C4" w:rsidRPr="00DE2EDF">
        <w:rPr>
          <w:rFonts w:eastAsia="Times New Roman" w:cs="Times New Roman"/>
          <w:iCs/>
          <w:lang w:val="en-GB"/>
        </w:rPr>
        <w:t xml:space="preserve">Finland, </w:t>
      </w:r>
      <w:r w:rsidR="003472F3" w:rsidRPr="00DE2EDF">
        <w:rPr>
          <w:rFonts w:eastAsia="Times New Roman" w:cs="Times New Roman"/>
          <w:iCs/>
          <w:lang w:val="en-GB"/>
        </w:rPr>
        <w:t>Greece, and outside Europe, Japan), the courts in other such countries have fully embraced the tool (e.g., Norway, Switzerland,</w:t>
      </w:r>
      <w:r w:rsidR="003472F3" w:rsidRPr="00DE2EDF">
        <w:rPr>
          <w:rStyle w:val="FootnoteReference"/>
          <w:rFonts w:eastAsia="Times New Roman" w:cs="Times New Roman"/>
          <w:iCs/>
          <w:lang w:val="en-GB"/>
        </w:rPr>
        <w:footnoteReference w:id="248"/>
      </w:r>
      <w:r w:rsidR="003472F3" w:rsidRPr="00DE2EDF">
        <w:rPr>
          <w:rFonts w:eastAsia="Times New Roman" w:cs="Times New Roman"/>
          <w:iCs/>
          <w:lang w:val="en-GB"/>
        </w:rPr>
        <w:t xml:space="preserve"> and outside Europe, the United States of America). It comes down to the extent to which judges, who are tasked with a more technical and laborious legal matter: (a) show interest in constitutional matters (judicial will to consider the Constitution), (b) have the necessary</w:t>
      </w:r>
      <w:r w:rsidR="00EE77BB" w:rsidRPr="00DE2EDF">
        <w:rPr>
          <w:rFonts w:eastAsia="Times New Roman" w:cs="Times New Roman"/>
          <w:iCs/>
          <w:lang w:val="en-GB"/>
        </w:rPr>
        <w:t xml:space="preserve"> </w:t>
      </w:r>
      <w:r w:rsidR="003472F3" w:rsidRPr="00DE2EDF">
        <w:rPr>
          <w:rFonts w:eastAsia="Times New Roman" w:cs="Times New Roman"/>
          <w:iCs/>
          <w:lang w:val="en-GB"/>
        </w:rPr>
        <w:t>skills and tools</w:t>
      </w:r>
      <w:bookmarkStart w:id="357" w:name="_ftnref177"/>
      <w:r w:rsidR="00DC5AE2" w:rsidRPr="00DE2EDF">
        <w:rPr>
          <w:rFonts w:eastAsia="Times New Roman" w:cs="Times New Roman"/>
          <w:iCs/>
          <w:lang w:val="en-GB"/>
        </w:rPr>
        <w:t xml:space="preserve"> to undertake such a review</w:t>
      </w:r>
      <w:r w:rsidR="003472F3" w:rsidRPr="00DE2EDF">
        <w:rPr>
          <w:rFonts w:eastAsia="Times New Roman" w:cs="Times New Roman"/>
          <w:iCs/>
          <w:lang w:val="en-GB"/>
        </w:rPr>
        <w:t>,</w:t>
      </w:r>
      <w:r w:rsidR="003472F3" w:rsidRPr="00DE2EDF">
        <w:rPr>
          <w:rStyle w:val="FootnoteReference"/>
          <w:rFonts w:eastAsia="Times New Roman" w:cs="Times New Roman"/>
          <w:iCs/>
          <w:lang w:val="en-GB"/>
        </w:rPr>
        <w:footnoteReference w:id="249"/>
      </w:r>
      <w:bookmarkEnd w:id="357"/>
      <w:r w:rsidR="003472F3" w:rsidRPr="00DE2EDF">
        <w:rPr>
          <w:rFonts w:eastAsia="Times New Roman" w:cs="Times New Roman"/>
          <w:iCs/>
          <w:lang w:val="en-GB"/>
        </w:rPr>
        <w:t xml:space="preserve"> and </w:t>
      </w:r>
      <w:r w:rsidR="003472F3" w:rsidRPr="00DE2EDF">
        <w:rPr>
          <w:rFonts w:eastAsia="Times New Roman" w:cs="Times New Roman"/>
          <w:iCs/>
          <w:lang w:val="en-GB"/>
        </w:rPr>
        <w:lastRenderedPageBreak/>
        <w:t>(c) view themselves as qualified to legitimately undertake this delicate function (see, e.g., the contrast between</w:t>
      </w:r>
      <w:r w:rsidR="000571C4" w:rsidRPr="00DE2EDF">
        <w:rPr>
          <w:rFonts w:eastAsia="Times New Roman" w:cs="Times New Roman"/>
          <w:iCs/>
          <w:lang w:val="en-GB"/>
        </w:rPr>
        <w:t xml:space="preserve">, on the one </w:t>
      </w:r>
      <w:r w:rsidR="00222D42" w:rsidRPr="00DE2EDF">
        <w:rPr>
          <w:rFonts w:eastAsia="Times New Roman" w:cs="Times New Roman"/>
          <w:iCs/>
          <w:lang w:val="en-GB"/>
        </w:rPr>
        <w:t>hand</w:t>
      </w:r>
      <w:r w:rsidR="000571C4" w:rsidRPr="00DE2EDF">
        <w:rPr>
          <w:rFonts w:eastAsia="Times New Roman" w:cs="Times New Roman"/>
          <w:iCs/>
          <w:lang w:val="en-GB"/>
        </w:rPr>
        <w:t>,</w:t>
      </w:r>
      <w:r w:rsidR="003472F3" w:rsidRPr="00DE2EDF">
        <w:rPr>
          <w:rFonts w:eastAsia="Times New Roman" w:cs="Times New Roman"/>
          <w:iCs/>
          <w:lang w:val="en-GB"/>
        </w:rPr>
        <w:t xml:space="preserve"> Norway and</w:t>
      </w:r>
      <w:r w:rsidR="000571C4" w:rsidRPr="00DE2EDF">
        <w:rPr>
          <w:rFonts w:eastAsia="Times New Roman" w:cs="Times New Roman"/>
          <w:iCs/>
          <w:lang w:val="en-GB"/>
        </w:rPr>
        <w:t>, on the other</w:t>
      </w:r>
      <w:r w:rsidR="00222D42" w:rsidRPr="00DE2EDF">
        <w:rPr>
          <w:rFonts w:eastAsia="Times New Roman" w:cs="Times New Roman"/>
          <w:iCs/>
          <w:lang w:val="en-GB"/>
        </w:rPr>
        <w:t xml:space="preserve"> hand</w:t>
      </w:r>
      <w:r w:rsidR="000571C4" w:rsidRPr="00DE2EDF">
        <w:rPr>
          <w:rFonts w:eastAsia="Times New Roman" w:cs="Times New Roman"/>
          <w:iCs/>
          <w:lang w:val="en-GB"/>
        </w:rPr>
        <w:t>, other Nordic countries</w:t>
      </w:r>
      <w:r w:rsidR="003472F3" w:rsidRPr="00DE2EDF">
        <w:rPr>
          <w:rFonts w:eastAsia="Times New Roman" w:cs="Times New Roman"/>
          <w:iCs/>
          <w:lang w:val="en-GB"/>
        </w:rPr>
        <w:t xml:space="preserve">). The institutional, political, and intellectual </w:t>
      </w:r>
      <w:r w:rsidR="00977790" w:rsidRPr="00DE2EDF">
        <w:rPr>
          <w:rFonts w:eastAsia="Times New Roman" w:cs="Times New Roman"/>
          <w:iCs/>
          <w:lang w:val="en-GB"/>
        </w:rPr>
        <w:t>context</w:t>
      </w:r>
      <w:r w:rsidR="00B740D9" w:rsidRPr="00DE2EDF">
        <w:rPr>
          <w:rFonts w:eastAsia="Times New Roman" w:cs="Times New Roman"/>
          <w:iCs/>
          <w:lang w:val="en-GB"/>
        </w:rPr>
        <w:t xml:space="preserve"> of the country</w:t>
      </w:r>
      <w:r w:rsidR="00977790" w:rsidRPr="00DE2EDF">
        <w:rPr>
          <w:rFonts w:eastAsia="Times New Roman" w:cs="Times New Roman"/>
          <w:iCs/>
          <w:lang w:val="en-GB"/>
        </w:rPr>
        <w:t>, the personality of judges</w:t>
      </w:r>
      <w:r w:rsidR="000571C4" w:rsidRPr="00DE2EDF">
        <w:rPr>
          <w:rFonts w:eastAsia="Times New Roman" w:cs="Times New Roman"/>
          <w:iCs/>
          <w:lang w:val="en-GB"/>
        </w:rPr>
        <w:t>, as well as external influences</w:t>
      </w:r>
      <w:r w:rsidR="00DC5AE2" w:rsidRPr="00DE2EDF">
        <w:rPr>
          <w:rFonts w:eastAsia="Times New Roman" w:cs="Times New Roman"/>
          <w:iCs/>
          <w:lang w:val="en-GB"/>
        </w:rPr>
        <w:t>,</w:t>
      </w:r>
      <w:r w:rsidR="000571C4" w:rsidRPr="00DE2EDF">
        <w:rPr>
          <w:rFonts w:eastAsia="Times New Roman" w:cs="Times New Roman"/>
          <w:iCs/>
          <w:lang w:val="en-GB"/>
        </w:rPr>
        <w:t xml:space="preserve"> such as the role of the ECHR,</w:t>
      </w:r>
      <w:r w:rsidR="00977790" w:rsidRPr="00DE2EDF">
        <w:rPr>
          <w:rFonts w:eastAsia="Times New Roman" w:cs="Times New Roman"/>
          <w:iCs/>
          <w:lang w:val="en-GB"/>
        </w:rPr>
        <w:t xml:space="preserve"> play</w:t>
      </w:r>
      <w:r w:rsidR="003472F3" w:rsidRPr="00DE2EDF">
        <w:rPr>
          <w:rFonts w:eastAsia="Times New Roman" w:cs="Times New Roman"/>
          <w:iCs/>
          <w:lang w:val="en-GB"/>
        </w:rPr>
        <w:t xml:space="preserve"> an important role. Depending on the circumstances, constitutional law is either deeply embedded in administrative law</w:t>
      </w:r>
      <w:r w:rsidR="00B740D9" w:rsidRPr="00DE2EDF">
        <w:rPr>
          <w:rFonts w:eastAsia="Times New Roman" w:cs="Times New Roman"/>
          <w:iCs/>
          <w:lang w:val="en-GB"/>
        </w:rPr>
        <w:t xml:space="preserve"> adjudication</w:t>
      </w:r>
      <w:r w:rsidR="003472F3" w:rsidRPr="00DE2EDF">
        <w:rPr>
          <w:rFonts w:eastAsia="Times New Roman" w:cs="Times New Roman"/>
          <w:iCs/>
          <w:lang w:val="en-GB"/>
        </w:rPr>
        <w:t xml:space="preserve"> or its potential remains untapped.</w:t>
      </w:r>
    </w:p>
    <w:p w14:paraId="02C0A4C7" w14:textId="77777777" w:rsidR="000F4C26" w:rsidRPr="00DE2EDF" w:rsidRDefault="000F4C26" w:rsidP="00DE2EDF">
      <w:pPr>
        <w:spacing w:after="0"/>
        <w:jc w:val="both"/>
        <w:rPr>
          <w:rFonts w:eastAsia="Times New Roman" w:cs="Times New Roman"/>
          <w:iCs/>
          <w:lang w:val="en-GB"/>
        </w:rPr>
      </w:pPr>
    </w:p>
    <w:p w14:paraId="337E1041"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I</w:t>
      </w:r>
      <w:r w:rsidR="00871815">
        <w:rPr>
          <w:rFonts w:eastAsia="Times New Roman" w:cs="Times New Roman"/>
          <w:iCs/>
          <w:lang w:val="en-GB"/>
        </w:rPr>
        <w:t>n countries in which a special constitutional c</w:t>
      </w:r>
      <w:r w:rsidRPr="00DE2EDF">
        <w:rPr>
          <w:rFonts w:eastAsia="Times New Roman" w:cs="Times New Roman"/>
          <w:iCs/>
          <w:lang w:val="en-GB"/>
        </w:rPr>
        <w:t xml:space="preserve">ourt </w:t>
      </w:r>
      <w:r w:rsidR="00D11AF7" w:rsidRPr="00DE2EDF">
        <w:rPr>
          <w:rFonts w:eastAsia="Times New Roman" w:cs="Times New Roman"/>
          <w:iCs/>
          <w:lang w:val="en-GB"/>
        </w:rPr>
        <w:t xml:space="preserve">has been established in order to adjudicate </w:t>
      </w:r>
      <w:r w:rsidRPr="00DE2EDF">
        <w:rPr>
          <w:rFonts w:eastAsia="Times New Roman" w:cs="Times New Roman"/>
          <w:iCs/>
          <w:lang w:val="en-GB"/>
        </w:rPr>
        <w:t>all or</w:t>
      </w:r>
      <w:r w:rsidR="00D11AF7" w:rsidRPr="00DE2EDF">
        <w:rPr>
          <w:rFonts w:eastAsia="Times New Roman" w:cs="Times New Roman"/>
          <w:iCs/>
          <w:lang w:val="en-GB"/>
        </w:rPr>
        <w:t xml:space="preserve"> at least the most important</w:t>
      </w:r>
      <w:r w:rsidRPr="00DE2EDF">
        <w:rPr>
          <w:rFonts w:eastAsia="Times New Roman" w:cs="Times New Roman"/>
          <w:iCs/>
          <w:lang w:val="en-GB"/>
        </w:rPr>
        <w:t xml:space="preserve"> constitutional disputes (e.g., Germany, Austria, Italy, France, Spain</w:t>
      </w:r>
      <w:r w:rsidR="00D11AF7" w:rsidRPr="00DE2EDF">
        <w:rPr>
          <w:rFonts w:eastAsia="Times New Roman" w:cs="Times New Roman"/>
          <w:iCs/>
          <w:lang w:val="en-GB"/>
        </w:rPr>
        <w:t xml:space="preserve">, </w:t>
      </w:r>
      <w:r w:rsidRPr="00DE2EDF">
        <w:rPr>
          <w:rFonts w:eastAsia="Times New Roman" w:cs="Times New Roman"/>
          <w:iCs/>
          <w:lang w:val="en-GB"/>
        </w:rPr>
        <w:t>Portugal</w:t>
      </w:r>
      <w:r w:rsidR="00D11AF7" w:rsidRPr="00DE2EDF">
        <w:rPr>
          <w:rFonts w:eastAsia="Times New Roman" w:cs="Times New Roman"/>
          <w:iCs/>
          <w:lang w:val="en-GB"/>
        </w:rPr>
        <w:t>, Belgium, Luxembourg, Eastern and Central Europe</w:t>
      </w:r>
      <w:r w:rsidRPr="00DE2EDF">
        <w:rPr>
          <w:rFonts w:eastAsia="Times New Roman" w:cs="Times New Roman"/>
          <w:iCs/>
          <w:lang w:val="en-GB"/>
        </w:rPr>
        <w:t xml:space="preserve">), it generally takes an important, even dominant, role in </w:t>
      </w:r>
      <w:r w:rsidR="00222D42" w:rsidRPr="00DE2EDF">
        <w:rPr>
          <w:rFonts w:eastAsia="Times New Roman" w:cs="Times New Roman"/>
          <w:iCs/>
          <w:lang w:val="en-GB"/>
        </w:rPr>
        <w:t>constitutionali</w:t>
      </w:r>
      <w:r w:rsidR="00E56886">
        <w:rPr>
          <w:rFonts w:eastAsia="Times New Roman" w:cs="Times New Roman"/>
          <w:iCs/>
          <w:lang w:val="en-GB"/>
        </w:rPr>
        <w:t>z</w:t>
      </w:r>
      <w:r w:rsidR="00222D42" w:rsidRPr="00DE2EDF">
        <w:rPr>
          <w:rFonts w:eastAsia="Times New Roman" w:cs="Times New Roman"/>
          <w:iCs/>
          <w:lang w:val="en-GB"/>
        </w:rPr>
        <w:t>ation</w:t>
      </w:r>
      <w:r w:rsidRPr="00DE2EDF">
        <w:rPr>
          <w:rFonts w:eastAsia="Times New Roman" w:cs="Times New Roman"/>
          <w:iCs/>
          <w:lang w:val="en-GB"/>
        </w:rPr>
        <w:t xml:space="preserve">. It falls to this </w:t>
      </w:r>
      <w:r w:rsidR="00222D42" w:rsidRPr="00DE2EDF">
        <w:rPr>
          <w:rFonts w:eastAsia="Times New Roman" w:cs="Times New Roman"/>
          <w:iCs/>
          <w:lang w:val="en-GB"/>
        </w:rPr>
        <w:t xml:space="preserve">specialized </w:t>
      </w:r>
      <w:r w:rsidR="0090263F" w:rsidRPr="00DE2EDF">
        <w:rPr>
          <w:rFonts w:eastAsia="Times New Roman" w:cs="Times New Roman"/>
          <w:iCs/>
          <w:lang w:val="en-GB"/>
        </w:rPr>
        <w:t>court</w:t>
      </w:r>
      <w:r w:rsidR="005C5BBA">
        <w:t>—</w:t>
      </w:r>
      <w:r w:rsidRPr="00DE2EDF">
        <w:rPr>
          <w:rFonts w:eastAsia="Times New Roman" w:cs="Times New Roman"/>
          <w:iCs/>
          <w:lang w:val="en-GB"/>
        </w:rPr>
        <w:t xml:space="preserve">rather than ordinary courts that </w:t>
      </w:r>
      <w:r w:rsidR="0090263F" w:rsidRPr="00DE2EDF">
        <w:rPr>
          <w:rFonts w:eastAsia="Times New Roman" w:cs="Times New Roman"/>
          <w:iCs/>
          <w:lang w:val="en-GB"/>
        </w:rPr>
        <w:t xml:space="preserve">may be tempted to </w:t>
      </w:r>
      <w:r w:rsidRPr="00DE2EDF">
        <w:rPr>
          <w:rFonts w:eastAsia="Times New Roman" w:cs="Times New Roman"/>
          <w:iCs/>
          <w:lang w:val="en-GB"/>
        </w:rPr>
        <w:t xml:space="preserve">shield </w:t>
      </w:r>
      <w:r w:rsidR="0090263F" w:rsidRPr="00DE2EDF">
        <w:rPr>
          <w:rFonts w:eastAsia="Times New Roman" w:cs="Times New Roman"/>
          <w:iCs/>
          <w:lang w:val="en-GB"/>
        </w:rPr>
        <w:t>‘</w:t>
      </w:r>
      <w:r w:rsidRPr="00DE2EDF">
        <w:rPr>
          <w:rFonts w:eastAsia="Times New Roman" w:cs="Times New Roman"/>
          <w:iCs/>
          <w:lang w:val="en-GB"/>
        </w:rPr>
        <w:t>th</w:t>
      </w:r>
      <w:r w:rsidR="0090263F" w:rsidRPr="00DE2EDF">
        <w:rPr>
          <w:rFonts w:eastAsia="Times New Roman" w:cs="Times New Roman"/>
          <w:iCs/>
          <w:lang w:val="en-GB"/>
        </w:rPr>
        <w:t>eir’</w:t>
      </w:r>
      <w:r w:rsidRPr="00DE2EDF">
        <w:rPr>
          <w:rFonts w:eastAsia="Times New Roman" w:cs="Times New Roman"/>
          <w:iCs/>
          <w:lang w:val="en-GB"/>
        </w:rPr>
        <w:t xml:space="preserve"> venerable</w:t>
      </w:r>
      <w:r w:rsidR="0090263F" w:rsidRPr="00DE2EDF">
        <w:rPr>
          <w:rFonts w:eastAsia="Times New Roman" w:cs="Times New Roman"/>
          <w:iCs/>
          <w:lang w:val="en-GB"/>
        </w:rPr>
        <w:t xml:space="preserve"> branch of law from external</w:t>
      </w:r>
      <w:r w:rsidRPr="00DE2EDF">
        <w:rPr>
          <w:rFonts w:eastAsia="Times New Roman" w:cs="Times New Roman"/>
          <w:iCs/>
          <w:lang w:val="en-GB"/>
        </w:rPr>
        <w:t xml:space="preserve"> </w:t>
      </w:r>
      <w:r w:rsidR="0090263F" w:rsidRPr="00DE2EDF">
        <w:rPr>
          <w:rFonts w:eastAsia="Times New Roman" w:cs="Times New Roman"/>
          <w:iCs/>
          <w:lang w:val="en-GB"/>
        </w:rPr>
        <w:t xml:space="preserve">influences </w:t>
      </w:r>
      <w:r w:rsidR="00DC5AE2" w:rsidRPr="00DE2EDF">
        <w:rPr>
          <w:rFonts w:eastAsia="Times New Roman" w:cs="Times New Roman"/>
          <w:iCs/>
          <w:lang w:val="en-GB"/>
        </w:rPr>
        <w:t xml:space="preserve">or </w:t>
      </w:r>
      <w:r w:rsidR="0090263F" w:rsidRPr="00DE2EDF">
        <w:rPr>
          <w:rFonts w:eastAsia="Times New Roman" w:cs="Times New Roman"/>
          <w:iCs/>
          <w:lang w:val="en-GB"/>
        </w:rPr>
        <w:t xml:space="preserve">may be very reluctant </w:t>
      </w:r>
      <w:r w:rsidR="00DC5AE2" w:rsidRPr="00DE2EDF">
        <w:rPr>
          <w:rFonts w:eastAsia="Times New Roman" w:cs="Times New Roman"/>
          <w:iCs/>
          <w:lang w:val="en-GB"/>
        </w:rPr>
        <w:t xml:space="preserve">to act </w:t>
      </w:r>
      <w:r w:rsidR="0090263F" w:rsidRPr="00DE2EDF">
        <w:rPr>
          <w:rFonts w:eastAsia="Times New Roman" w:cs="Times New Roman"/>
          <w:iCs/>
          <w:lang w:val="en-GB"/>
        </w:rPr>
        <w:t>in constitutional matters</w:t>
      </w:r>
      <w:r w:rsidR="005C5BBA">
        <w:t>—</w:t>
      </w:r>
      <w:r w:rsidRPr="00DE2EDF">
        <w:rPr>
          <w:rFonts w:eastAsia="Times New Roman" w:cs="Times New Roman"/>
          <w:iCs/>
          <w:lang w:val="en-GB"/>
        </w:rPr>
        <w:t xml:space="preserve">to set new trends. Thus, the Constitutional Courts in Italy and Spain have, from their first decisions and despite the resistance of </w:t>
      </w:r>
      <w:r w:rsidR="00E63602" w:rsidRPr="00DE2EDF">
        <w:rPr>
          <w:rFonts w:eastAsia="Times New Roman" w:cs="Times New Roman"/>
          <w:iCs/>
          <w:lang w:val="en-GB"/>
        </w:rPr>
        <w:t>their respective</w:t>
      </w:r>
      <w:r w:rsidRPr="00DE2EDF">
        <w:rPr>
          <w:rFonts w:eastAsia="Times New Roman" w:cs="Times New Roman"/>
          <w:iCs/>
          <w:lang w:val="en-GB"/>
        </w:rPr>
        <w:t xml:space="preserve"> ordinary courts, reiterated the self-executing nature of fundamental rights.</w:t>
      </w:r>
      <w:bookmarkStart w:id="358" w:name="_Ref252456755"/>
      <w:bookmarkEnd w:id="358"/>
      <w:r w:rsidRPr="00DE2EDF">
        <w:rPr>
          <w:rStyle w:val="FootnoteReference"/>
          <w:rFonts w:eastAsia="Times New Roman" w:cs="Times New Roman"/>
          <w:iCs/>
          <w:lang w:val="en-GB"/>
        </w:rPr>
        <w:footnoteReference w:id="250"/>
      </w:r>
      <w:r w:rsidRPr="00DE2EDF">
        <w:rPr>
          <w:rFonts w:eastAsia="Times New Roman" w:cs="Times New Roman"/>
          <w:iCs/>
          <w:lang w:val="en-GB"/>
        </w:rPr>
        <w:t xml:space="preserve"> </w:t>
      </w:r>
      <w:r w:rsidR="0090263F" w:rsidRPr="00DE2EDF">
        <w:rPr>
          <w:rFonts w:eastAsia="Times New Roman" w:cs="Times New Roman"/>
          <w:iCs/>
          <w:lang w:val="en-GB"/>
        </w:rPr>
        <w:t>In France, t</w:t>
      </w:r>
      <w:r w:rsidRPr="00DE2EDF">
        <w:rPr>
          <w:rFonts w:eastAsia="Times New Roman" w:cs="Times New Roman"/>
          <w:iCs/>
          <w:lang w:val="en-GB"/>
        </w:rPr>
        <w:t xml:space="preserve">he otherwise-rather-reserved </w:t>
      </w:r>
      <w:r w:rsidRPr="00DE2EDF">
        <w:rPr>
          <w:rFonts w:eastAsia="Times New Roman" w:cs="Times New Roman"/>
          <w:i/>
          <w:lang w:val="en-GB"/>
        </w:rPr>
        <w:t>Conseil constitutionnel,</w:t>
      </w:r>
      <w:r w:rsidRPr="00DE2EDF">
        <w:rPr>
          <w:rFonts w:eastAsia="Times New Roman" w:cs="Times New Roman"/>
          <w:iCs/>
          <w:lang w:val="en-GB"/>
        </w:rPr>
        <w:t xml:space="preserve"> by its famous decision of 16 July 1971</w:t>
      </w:r>
      <w:r w:rsidR="00B926C0" w:rsidRPr="00DE2EDF">
        <w:rPr>
          <w:rFonts w:eastAsia="Times New Roman" w:cs="Times New Roman"/>
          <w:iCs/>
          <w:lang w:val="en-GB"/>
        </w:rPr>
        <w:t xml:space="preserve"> </w:t>
      </w:r>
      <w:r w:rsidR="00B926C0" w:rsidRPr="00DE2EDF">
        <w:rPr>
          <w:rFonts w:eastAsia="Times New Roman" w:cs="Times New Roman"/>
          <w:i/>
          <w:iCs/>
          <w:lang w:val="en-GB"/>
        </w:rPr>
        <w:t>Freedom of association</w:t>
      </w:r>
      <w:r w:rsidRPr="00DE2EDF">
        <w:rPr>
          <w:rFonts w:eastAsia="Times New Roman" w:cs="Times New Roman"/>
          <w:iCs/>
          <w:lang w:val="en-GB"/>
        </w:rPr>
        <w:t xml:space="preserve">, incorporated </w:t>
      </w:r>
      <w:r w:rsidR="00B926C0" w:rsidRPr="00DE2EDF">
        <w:rPr>
          <w:rFonts w:eastAsia="Times New Roman" w:cs="Times New Roman"/>
          <w:iCs/>
          <w:lang w:val="en-GB"/>
        </w:rPr>
        <w:t>the</w:t>
      </w:r>
      <w:r w:rsidRPr="00DE2EDF">
        <w:rPr>
          <w:rFonts w:eastAsia="Times New Roman" w:cs="Times New Roman"/>
          <w:iCs/>
          <w:lang w:val="en-GB"/>
        </w:rPr>
        <w:t xml:space="preserve"> </w:t>
      </w:r>
      <w:r w:rsidR="00EE77BB" w:rsidRPr="00DE2EDF">
        <w:rPr>
          <w:rFonts w:eastAsia="Times New Roman" w:cs="Times New Roman"/>
          <w:iCs/>
          <w:lang w:val="en-GB"/>
        </w:rPr>
        <w:t>H</w:t>
      </w:r>
      <w:r w:rsidRPr="00DE2EDF">
        <w:rPr>
          <w:rFonts w:eastAsia="Times New Roman" w:cs="Times New Roman"/>
          <w:iCs/>
          <w:lang w:val="en-GB"/>
        </w:rPr>
        <w:t xml:space="preserve">uman </w:t>
      </w:r>
      <w:r w:rsidR="00EE77BB" w:rsidRPr="00DE2EDF">
        <w:rPr>
          <w:rFonts w:eastAsia="Times New Roman" w:cs="Times New Roman"/>
          <w:iCs/>
          <w:lang w:val="en-GB"/>
        </w:rPr>
        <w:t>R</w:t>
      </w:r>
      <w:r w:rsidRPr="00DE2EDF">
        <w:rPr>
          <w:rFonts w:eastAsia="Times New Roman" w:cs="Times New Roman"/>
          <w:iCs/>
          <w:lang w:val="en-GB"/>
        </w:rPr>
        <w:t>ight</w:t>
      </w:r>
      <w:r w:rsidR="00B926C0" w:rsidRPr="00DE2EDF">
        <w:rPr>
          <w:rFonts w:eastAsia="Times New Roman" w:cs="Times New Roman"/>
          <w:iCs/>
          <w:lang w:val="en-GB"/>
        </w:rPr>
        <w:t>s</w:t>
      </w:r>
      <w:r w:rsidR="00EE77BB" w:rsidRPr="00DE2EDF">
        <w:rPr>
          <w:rFonts w:eastAsia="Times New Roman" w:cs="Times New Roman"/>
          <w:iCs/>
          <w:lang w:val="en-GB"/>
        </w:rPr>
        <w:t xml:space="preserve"> Declaration</w:t>
      </w:r>
      <w:r w:rsidR="00B926C0" w:rsidRPr="00DE2EDF">
        <w:rPr>
          <w:rFonts w:eastAsia="Times New Roman" w:cs="Times New Roman"/>
          <w:iCs/>
          <w:lang w:val="en-GB"/>
        </w:rPr>
        <w:t xml:space="preserve"> of 1789 </w:t>
      </w:r>
      <w:r w:rsidRPr="00DE2EDF">
        <w:rPr>
          <w:rFonts w:eastAsia="Times New Roman" w:cs="Times New Roman"/>
          <w:iCs/>
          <w:lang w:val="en-GB"/>
        </w:rPr>
        <w:t xml:space="preserve">into the French Constitution. In Germany, the Federal Constitutional Court is viewed as the central </w:t>
      </w:r>
      <w:r w:rsidR="003C7129" w:rsidRPr="00DE2EDF">
        <w:rPr>
          <w:rFonts w:eastAsia="Times New Roman" w:cs="Times New Roman"/>
          <w:iCs/>
          <w:lang w:val="en-GB"/>
        </w:rPr>
        <w:t>actor</w:t>
      </w:r>
      <w:r w:rsidR="00E56886">
        <w:rPr>
          <w:rFonts w:eastAsia="Times New Roman" w:cs="Times New Roman"/>
          <w:iCs/>
          <w:lang w:val="en-GB"/>
        </w:rPr>
        <w:t xml:space="preserve"> driving the constitutionaliz</w:t>
      </w:r>
      <w:r w:rsidRPr="00DE2EDF">
        <w:rPr>
          <w:rFonts w:eastAsia="Times New Roman" w:cs="Times New Roman"/>
          <w:iCs/>
          <w:lang w:val="en-GB"/>
        </w:rPr>
        <w:t xml:space="preserve">ation process. In this context, however, it is important not to lose sight of country-specific differences. Significant differences are found in both the institutional design </w:t>
      </w:r>
      <w:r w:rsidR="00E63602" w:rsidRPr="00DE2EDF">
        <w:rPr>
          <w:rFonts w:eastAsia="Times New Roman" w:cs="Times New Roman"/>
          <w:iCs/>
          <w:lang w:val="en-GB"/>
        </w:rPr>
        <w:t xml:space="preserve">of </w:t>
      </w:r>
      <w:r w:rsidRPr="00DE2EDF">
        <w:rPr>
          <w:rFonts w:eastAsia="Times New Roman" w:cs="Times New Roman"/>
          <w:iCs/>
          <w:lang w:val="en-GB"/>
        </w:rPr>
        <w:t xml:space="preserve">constitutional courts as well as in </w:t>
      </w:r>
      <w:r w:rsidR="00B926C0" w:rsidRPr="00DE2EDF">
        <w:rPr>
          <w:rFonts w:eastAsia="Times New Roman" w:cs="Times New Roman"/>
          <w:iCs/>
          <w:lang w:val="en-GB"/>
        </w:rPr>
        <w:t>cultural background</w:t>
      </w:r>
      <w:r w:rsidR="00855EE0" w:rsidRPr="00DE2EDF">
        <w:rPr>
          <w:rFonts w:eastAsia="Times New Roman" w:cs="Times New Roman"/>
          <w:iCs/>
          <w:lang w:val="en-GB"/>
        </w:rPr>
        <w:t>s</w:t>
      </w:r>
      <w:r w:rsidRPr="00DE2EDF">
        <w:rPr>
          <w:rFonts w:eastAsia="Times New Roman" w:cs="Times New Roman"/>
          <w:iCs/>
          <w:lang w:val="en-GB"/>
        </w:rPr>
        <w:t xml:space="preserve"> (</w:t>
      </w:r>
      <w:r w:rsidR="005E5F47" w:rsidRPr="00DE2EDF">
        <w:rPr>
          <w:rFonts w:eastAsia="Times New Roman" w:cs="Times New Roman"/>
          <w:iCs/>
          <w:lang w:val="en-GB"/>
        </w:rPr>
        <w:t>with a particular contrast arising from the difference of</w:t>
      </w:r>
      <w:r w:rsidRPr="00DE2EDF">
        <w:rPr>
          <w:rFonts w:eastAsia="Times New Roman" w:cs="Times New Roman"/>
          <w:iCs/>
          <w:lang w:val="en-GB"/>
        </w:rPr>
        <w:t xml:space="preserve"> judicial activism </w:t>
      </w:r>
      <w:r w:rsidRPr="00DE2EDF">
        <w:rPr>
          <w:rFonts w:eastAsia="Times New Roman" w:cs="Times New Roman"/>
          <w:lang w:val="en-GB"/>
        </w:rPr>
        <w:t>versus</w:t>
      </w:r>
      <w:r w:rsidRPr="00DE2EDF">
        <w:rPr>
          <w:rFonts w:eastAsia="Times New Roman" w:cs="Times New Roman"/>
          <w:iCs/>
          <w:lang w:val="en-GB"/>
        </w:rPr>
        <w:t xml:space="preserve"> </w:t>
      </w:r>
      <w:r w:rsidRPr="00DE2EDF">
        <w:rPr>
          <w:rFonts w:eastAsia="Times New Roman" w:cs="Times New Roman"/>
          <w:lang w:val="en-GB"/>
        </w:rPr>
        <w:t>judicial self-restraint</w:t>
      </w:r>
      <w:bookmarkStart w:id="359" w:name="_Ref401051789"/>
      <w:bookmarkStart w:id="360" w:name="_ftnref180"/>
      <w:r w:rsidRPr="00DE2EDF">
        <w:rPr>
          <w:rStyle w:val="FootnoteReference"/>
          <w:rFonts w:eastAsia="Times New Roman" w:cs="Times New Roman"/>
          <w:iCs/>
          <w:lang w:val="en-GB"/>
        </w:rPr>
        <w:footnoteReference w:id="251"/>
      </w:r>
      <w:bookmarkEnd w:id="359"/>
      <w:r w:rsidR="00CA7D14" w:rsidRPr="00DE2EDF">
        <w:rPr>
          <w:rFonts w:cs="Times New Roman"/>
        </w:rPr>
        <w:fldChar w:fldCharType="begin"/>
      </w:r>
      <w:r w:rsidR="00980EE0" w:rsidRPr="00DE2EDF">
        <w:rPr>
          <w:rFonts w:cs="Times New Roman"/>
        </w:rPr>
        <w:instrText xml:space="preserve"> HYPERLINK "http://www.microsofttranslator.com/bv.aspx?from=de&amp;to=en&amp;a=http%3A%2F%2F131.253.14.98%2Fbvsandbox.aspx%3F%26dl%3Den%26from%3Dde%26to%3Den%23_ftn180" \t "_top" </w:instrText>
      </w:r>
      <w:r w:rsidR="00CA7D14" w:rsidRPr="00DE2EDF">
        <w:rPr>
          <w:rFonts w:cs="Times New Roman"/>
        </w:rPr>
        <w:fldChar w:fldCharType="end"/>
      </w:r>
      <w:bookmarkEnd w:id="360"/>
      <w:r w:rsidRPr="00DE2EDF">
        <w:rPr>
          <w:rFonts w:eastAsia="Times New Roman" w:cs="Times New Roman"/>
          <w:iCs/>
          <w:lang w:val="en-GB"/>
        </w:rPr>
        <w:t>). It is</w:t>
      </w:r>
      <w:r w:rsidR="00E63602" w:rsidRPr="00DE2EDF">
        <w:rPr>
          <w:rFonts w:eastAsia="Times New Roman" w:cs="Times New Roman"/>
          <w:iCs/>
          <w:lang w:val="en-GB"/>
        </w:rPr>
        <w:t xml:space="preserve">, </w:t>
      </w:r>
      <w:r w:rsidR="003C7129" w:rsidRPr="00DE2EDF">
        <w:rPr>
          <w:rFonts w:eastAsia="Times New Roman" w:cs="Times New Roman"/>
          <w:iCs/>
          <w:lang w:val="en-GB"/>
        </w:rPr>
        <w:t>furthermore</w:t>
      </w:r>
      <w:r w:rsidR="00E63602" w:rsidRPr="00DE2EDF">
        <w:rPr>
          <w:rFonts w:eastAsia="Times New Roman" w:cs="Times New Roman"/>
          <w:iCs/>
          <w:lang w:val="en-GB"/>
        </w:rPr>
        <w:t>,</w:t>
      </w:r>
      <w:r w:rsidRPr="00DE2EDF">
        <w:rPr>
          <w:rFonts w:eastAsia="Times New Roman" w:cs="Times New Roman"/>
          <w:iCs/>
          <w:lang w:val="en-GB"/>
        </w:rPr>
        <w:t xml:space="preserve"> important not to create a caricature through a Manichaean comparison between </w:t>
      </w:r>
      <w:r w:rsidR="00B926C0" w:rsidRPr="00DE2EDF">
        <w:rPr>
          <w:rFonts w:eastAsia="Times New Roman" w:cs="Times New Roman"/>
          <w:iCs/>
          <w:lang w:val="en-GB"/>
        </w:rPr>
        <w:t>c</w:t>
      </w:r>
      <w:r w:rsidRPr="00DE2EDF">
        <w:rPr>
          <w:rFonts w:eastAsia="Times New Roman" w:cs="Times New Roman"/>
          <w:iCs/>
          <w:lang w:val="en-GB"/>
        </w:rPr>
        <w:t>onstitutional judges</w:t>
      </w:r>
      <w:r w:rsidR="00B926C0" w:rsidRPr="00DE2EDF">
        <w:rPr>
          <w:rFonts w:eastAsia="Times New Roman" w:cs="Times New Roman"/>
          <w:iCs/>
          <w:lang w:val="en-GB"/>
        </w:rPr>
        <w:t xml:space="preserve"> loyal to the Constitution</w:t>
      </w:r>
      <w:r w:rsidRPr="00DE2EDF">
        <w:rPr>
          <w:rFonts w:eastAsia="Times New Roman" w:cs="Times New Roman"/>
          <w:iCs/>
          <w:lang w:val="en-GB"/>
        </w:rPr>
        <w:t xml:space="preserve">, on the one hand, and </w:t>
      </w:r>
      <w:r w:rsidR="00B926C0" w:rsidRPr="00DE2EDF">
        <w:rPr>
          <w:rFonts w:eastAsia="Times New Roman" w:cs="Times New Roman"/>
          <w:iCs/>
          <w:lang w:val="en-GB"/>
        </w:rPr>
        <w:t xml:space="preserve">ordinary judges loyal to </w:t>
      </w:r>
      <w:r w:rsidRPr="00DE2EDF">
        <w:rPr>
          <w:rFonts w:eastAsia="Times New Roman" w:cs="Times New Roman"/>
          <w:iCs/>
          <w:lang w:val="en-GB"/>
        </w:rPr>
        <w:t>ordinary law, on the other. The latter are not a homogeneous group and some</w:t>
      </w:r>
      <w:r w:rsidR="005E5F47" w:rsidRPr="00DE2EDF">
        <w:rPr>
          <w:rFonts w:eastAsia="Times New Roman" w:cs="Times New Roman"/>
          <w:iCs/>
          <w:lang w:val="en-GB"/>
        </w:rPr>
        <w:t xml:space="preserve"> of these</w:t>
      </w:r>
      <w:r w:rsidRPr="00DE2EDF">
        <w:rPr>
          <w:rFonts w:eastAsia="Times New Roman" w:cs="Times New Roman"/>
          <w:iCs/>
          <w:lang w:val="en-GB"/>
        </w:rPr>
        <w:t xml:space="preserve"> courts have been an impetus to constitutional judicature.</w:t>
      </w:r>
      <w:bookmarkStart w:id="361" w:name="_ftnref181"/>
      <w:r w:rsidRPr="00DE2EDF">
        <w:rPr>
          <w:rStyle w:val="FootnoteReference"/>
          <w:rFonts w:eastAsia="Times New Roman" w:cs="Times New Roman"/>
          <w:iCs/>
          <w:lang w:val="en-GB"/>
        </w:rPr>
        <w:footnoteReference w:id="252"/>
      </w:r>
      <w:bookmarkEnd w:id="361"/>
      <w:r w:rsidRPr="00DE2EDF">
        <w:rPr>
          <w:rFonts w:eastAsia="Times New Roman" w:cs="Times New Roman"/>
          <w:iCs/>
          <w:lang w:val="en-GB"/>
        </w:rPr>
        <w:t xml:space="preserve"> So, the picture is muddled and complex.</w:t>
      </w:r>
    </w:p>
    <w:p w14:paraId="06425CAB" w14:textId="77777777" w:rsidR="000F4C26" w:rsidRPr="00DE2EDF" w:rsidRDefault="000F4C26" w:rsidP="00DE2EDF">
      <w:pPr>
        <w:spacing w:after="0"/>
        <w:jc w:val="both"/>
        <w:rPr>
          <w:rFonts w:eastAsia="Times New Roman" w:cs="Times New Roman"/>
          <w:iCs/>
          <w:lang w:val="en-GB"/>
        </w:rPr>
      </w:pPr>
    </w:p>
    <w:p w14:paraId="3AE9C870"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The second issue</w:t>
      </w:r>
      <w:r w:rsidR="00855EE0" w:rsidRPr="00DE2EDF">
        <w:rPr>
          <w:rFonts w:eastAsia="Times New Roman" w:cs="Times New Roman"/>
          <w:iCs/>
          <w:lang w:val="en-GB"/>
        </w:rPr>
        <w:t>,</w:t>
      </w:r>
      <w:r w:rsidRPr="00DE2EDF">
        <w:rPr>
          <w:rFonts w:eastAsia="Times New Roman" w:cs="Times New Roman"/>
          <w:iCs/>
          <w:lang w:val="en-GB"/>
        </w:rPr>
        <w:t xml:space="preserve"> related to the </w:t>
      </w:r>
      <w:r w:rsidR="005C261A" w:rsidRPr="00DE2EDF">
        <w:rPr>
          <w:rFonts w:eastAsia="Times New Roman" w:cs="Times New Roman"/>
          <w:iCs/>
          <w:lang w:val="en-GB"/>
        </w:rPr>
        <w:t xml:space="preserve">impact, </w:t>
      </w:r>
      <w:r w:rsidR="003D0284" w:rsidRPr="00DE2EDF">
        <w:rPr>
          <w:rFonts w:eastAsia="Times New Roman" w:cs="Times New Roman"/>
          <w:iCs/>
          <w:lang w:val="en-GB"/>
        </w:rPr>
        <w:t>th</w:t>
      </w:r>
      <w:r w:rsidR="003C7129" w:rsidRPr="00DE2EDF">
        <w:rPr>
          <w:rFonts w:eastAsia="Times New Roman" w:cs="Times New Roman"/>
          <w:iCs/>
          <w:lang w:val="en-GB"/>
        </w:rPr>
        <w:t>r</w:t>
      </w:r>
      <w:r w:rsidR="003D0284" w:rsidRPr="00DE2EDF">
        <w:rPr>
          <w:rFonts w:eastAsia="Times New Roman" w:cs="Times New Roman"/>
          <w:iCs/>
          <w:lang w:val="en-GB"/>
        </w:rPr>
        <w:t xml:space="preserve">ough </w:t>
      </w:r>
      <w:r w:rsidR="005C261A" w:rsidRPr="00DE2EDF">
        <w:rPr>
          <w:rFonts w:eastAsia="Times New Roman" w:cs="Times New Roman"/>
          <w:iCs/>
          <w:lang w:val="en-GB"/>
        </w:rPr>
        <w:t xml:space="preserve">the courts, </w:t>
      </w:r>
      <w:r w:rsidRPr="00DE2EDF">
        <w:rPr>
          <w:rFonts w:eastAsia="Times New Roman" w:cs="Times New Roman"/>
          <w:iCs/>
          <w:lang w:val="en-GB"/>
        </w:rPr>
        <w:t>of the Constitution</w:t>
      </w:r>
      <w:r w:rsidR="000A6B0F" w:rsidRPr="00DE2EDF">
        <w:rPr>
          <w:rFonts w:eastAsia="Times New Roman" w:cs="Times New Roman"/>
          <w:iCs/>
          <w:lang w:val="en-GB"/>
        </w:rPr>
        <w:t>,</w:t>
      </w:r>
      <w:r w:rsidRPr="00DE2EDF">
        <w:rPr>
          <w:rFonts w:eastAsia="Times New Roman" w:cs="Times New Roman"/>
          <w:iCs/>
          <w:lang w:val="en-GB"/>
        </w:rPr>
        <w:t xml:space="preserve"> concerns the </w:t>
      </w:r>
      <w:r w:rsidRPr="00DE2EDF">
        <w:rPr>
          <w:rFonts w:eastAsia="Times New Roman" w:cs="Times New Roman"/>
          <w:i/>
          <w:lang w:val="en-GB"/>
        </w:rPr>
        <w:t>relationship</w:t>
      </w:r>
      <w:r w:rsidR="00871815">
        <w:rPr>
          <w:rFonts w:eastAsia="Times New Roman" w:cs="Times New Roman"/>
          <w:iCs/>
          <w:lang w:val="en-GB"/>
        </w:rPr>
        <w:t xml:space="preserve"> between the constitutional c</w:t>
      </w:r>
      <w:r w:rsidRPr="00DE2EDF">
        <w:rPr>
          <w:rFonts w:eastAsia="Times New Roman" w:cs="Times New Roman"/>
          <w:iCs/>
          <w:lang w:val="en-GB"/>
        </w:rPr>
        <w:t>ourt and the highest administrative court. Is the relationship between them one of peaceful</w:t>
      </w:r>
      <w:r w:rsidR="000A6B0F" w:rsidRPr="00DE2EDF">
        <w:rPr>
          <w:rFonts w:eastAsia="Times New Roman" w:cs="Times New Roman"/>
          <w:iCs/>
          <w:lang w:val="en-GB"/>
        </w:rPr>
        <w:t>,</w:t>
      </w:r>
      <w:r w:rsidR="0067508F" w:rsidRPr="00DE2EDF">
        <w:rPr>
          <w:rFonts w:eastAsia="Times New Roman" w:cs="Times New Roman"/>
          <w:iCs/>
          <w:lang w:val="en-GB"/>
        </w:rPr>
        <w:t xml:space="preserve"> parallel coexistence</w:t>
      </w:r>
      <w:r w:rsidR="005C261A" w:rsidRPr="00DE2EDF">
        <w:rPr>
          <w:rFonts w:eastAsia="Times New Roman" w:cs="Times New Roman"/>
          <w:iCs/>
          <w:lang w:val="en-GB"/>
        </w:rPr>
        <w:t>? Of fruitful</w:t>
      </w:r>
      <w:r w:rsidRPr="00DE2EDF">
        <w:rPr>
          <w:rFonts w:eastAsia="Times New Roman" w:cs="Times New Roman"/>
          <w:iCs/>
          <w:lang w:val="en-GB"/>
        </w:rPr>
        <w:t xml:space="preserve"> </w:t>
      </w:r>
      <w:r w:rsidR="008C1D3A" w:rsidRPr="00DE2EDF">
        <w:rPr>
          <w:rFonts w:eastAsia="Times New Roman" w:cs="Times New Roman"/>
          <w:iCs/>
          <w:lang w:val="en-GB"/>
        </w:rPr>
        <w:t>c</w:t>
      </w:r>
      <w:r w:rsidRPr="00DE2EDF">
        <w:rPr>
          <w:rFonts w:eastAsia="Times New Roman" w:cs="Times New Roman"/>
          <w:iCs/>
          <w:lang w:val="en-GB"/>
        </w:rPr>
        <w:t xml:space="preserve">ooperation? </w:t>
      </w:r>
      <w:r w:rsidR="005C261A" w:rsidRPr="00DE2EDF">
        <w:rPr>
          <w:rFonts w:eastAsia="Times New Roman" w:cs="Times New Roman"/>
          <w:iCs/>
          <w:lang w:val="en-GB"/>
        </w:rPr>
        <w:t>Is there a</w:t>
      </w:r>
      <w:r w:rsidRPr="00DE2EDF">
        <w:rPr>
          <w:rFonts w:eastAsia="Times New Roman" w:cs="Times New Roman"/>
          <w:iCs/>
          <w:lang w:val="en-GB"/>
        </w:rPr>
        <w:t xml:space="preserve"> hierarchy? Or, an open rivalry (in Spanish: </w:t>
      </w:r>
      <w:r w:rsidRPr="00DE2EDF">
        <w:rPr>
          <w:rFonts w:eastAsia="Times New Roman" w:cs="Times New Roman"/>
          <w:i/>
          <w:iCs/>
          <w:lang w:val="en-GB"/>
        </w:rPr>
        <w:t>la</w:t>
      </w:r>
      <w:r w:rsidRPr="00DE2EDF">
        <w:rPr>
          <w:rFonts w:eastAsia="Times New Roman" w:cs="Times New Roman"/>
          <w:iCs/>
          <w:lang w:val="en-GB"/>
        </w:rPr>
        <w:t xml:space="preserve"> </w:t>
      </w:r>
      <w:r w:rsidRPr="00DE2EDF">
        <w:rPr>
          <w:rFonts w:eastAsia="Times New Roman" w:cs="Times New Roman"/>
          <w:i/>
          <w:iCs/>
        </w:rPr>
        <w:t>gue</w:t>
      </w:r>
      <w:r w:rsidR="005E5F47" w:rsidRPr="00DE2EDF">
        <w:rPr>
          <w:rFonts w:eastAsia="Times New Roman" w:cs="Times New Roman"/>
          <w:i/>
          <w:iCs/>
        </w:rPr>
        <w:t>r</w:t>
      </w:r>
      <w:r w:rsidRPr="00DE2EDF">
        <w:rPr>
          <w:rFonts w:eastAsia="Times New Roman" w:cs="Times New Roman"/>
          <w:i/>
          <w:iCs/>
        </w:rPr>
        <w:t>ra</w:t>
      </w:r>
      <w:r w:rsidRPr="00DE2EDF">
        <w:rPr>
          <w:rFonts w:eastAsia="Times New Roman" w:cs="Times New Roman"/>
          <w:i/>
          <w:iCs/>
          <w:lang w:val="en-GB"/>
        </w:rPr>
        <w:t xml:space="preserve"> de las Cortes</w:t>
      </w:r>
      <w:r w:rsidRPr="00DE2EDF">
        <w:rPr>
          <w:rFonts w:eastAsia="Times New Roman" w:cs="Times New Roman"/>
          <w:iCs/>
          <w:lang w:val="en-GB"/>
        </w:rPr>
        <w:t xml:space="preserve">)? This broad subject can only be touched </w:t>
      </w:r>
      <w:r w:rsidR="005E5F47" w:rsidRPr="00DE2EDF">
        <w:rPr>
          <w:rFonts w:eastAsia="Times New Roman" w:cs="Times New Roman"/>
          <w:iCs/>
          <w:lang w:val="en-GB"/>
        </w:rPr>
        <w:t>up</w:t>
      </w:r>
      <w:r w:rsidRPr="00DE2EDF">
        <w:rPr>
          <w:rFonts w:eastAsia="Times New Roman" w:cs="Times New Roman"/>
          <w:iCs/>
          <w:lang w:val="en-GB"/>
        </w:rPr>
        <w:t>on briefly</w:t>
      </w:r>
      <w:r w:rsidR="00261C10" w:rsidRPr="00DE2EDF">
        <w:rPr>
          <w:rFonts w:eastAsia="Times New Roman" w:cs="Times New Roman"/>
          <w:iCs/>
          <w:lang w:val="en-GB"/>
        </w:rPr>
        <w:t xml:space="preserve">, </w:t>
      </w:r>
      <w:r w:rsidRPr="00DE2EDF">
        <w:rPr>
          <w:rFonts w:eastAsia="Times New Roman" w:cs="Times New Roman"/>
          <w:iCs/>
          <w:lang w:val="en-GB"/>
        </w:rPr>
        <w:t xml:space="preserve">limited to a single </w:t>
      </w:r>
      <w:r w:rsidR="00261C10" w:rsidRPr="00DE2EDF">
        <w:rPr>
          <w:rFonts w:eastAsia="Times New Roman" w:cs="Times New Roman"/>
          <w:iCs/>
          <w:lang w:val="en-GB"/>
        </w:rPr>
        <w:t>issue</w:t>
      </w:r>
      <w:r w:rsidRPr="00DE2EDF">
        <w:rPr>
          <w:rFonts w:eastAsia="Times New Roman" w:cs="Times New Roman"/>
          <w:iCs/>
          <w:lang w:val="en-GB"/>
        </w:rPr>
        <w:t xml:space="preserve">: the exercise of </w:t>
      </w:r>
      <w:r w:rsidR="008C1D3A" w:rsidRPr="00DE2EDF">
        <w:rPr>
          <w:rFonts w:eastAsia="Times New Roman" w:cs="Times New Roman"/>
          <w:iCs/>
          <w:lang w:val="en-GB"/>
        </w:rPr>
        <w:t>constitutional adjudication</w:t>
      </w:r>
      <w:r w:rsidRPr="00DE2EDF">
        <w:rPr>
          <w:rFonts w:eastAsia="Times New Roman" w:cs="Times New Roman"/>
          <w:iCs/>
          <w:lang w:val="en-GB"/>
        </w:rPr>
        <w:t xml:space="preserve"> (i.e., the judicial interpretation and application of the Constitution</w:t>
      </w:r>
      <w:r w:rsidR="008C1D3A" w:rsidRPr="00DE2EDF">
        <w:rPr>
          <w:rFonts w:eastAsia="Times New Roman" w:cs="Times New Roman"/>
          <w:iCs/>
          <w:lang w:val="en-GB"/>
        </w:rPr>
        <w:t>)</w:t>
      </w:r>
      <w:r w:rsidRPr="00DE2EDF">
        <w:rPr>
          <w:rFonts w:eastAsia="Times New Roman" w:cs="Times New Roman"/>
          <w:iCs/>
          <w:lang w:val="en-GB"/>
        </w:rPr>
        <w:t>.</w:t>
      </w:r>
      <w:bookmarkStart w:id="362" w:name="_ftnref182"/>
      <w:r w:rsidRPr="00DE2EDF">
        <w:rPr>
          <w:rStyle w:val="FootnoteReference"/>
          <w:rFonts w:eastAsia="Times New Roman" w:cs="Times New Roman"/>
          <w:iCs/>
          <w:lang w:val="en-GB"/>
        </w:rPr>
        <w:footnoteReference w:id="253"/>
      </w:r>
      <w:r w:rsidRPr="00DE2EDF">
        <w:rPr>
          <w:rFonts w:eastAsia="Times New Roman" w:cs="Times New Roman"/>
          <w:iCs/>
          <w:lang w:val="en-GB"/>
        </w:rPr>
        <w:t xml:space="preserve"> </w:t>
      </w:r>
      <w:bookmarkEnd w:id="362"/>
      <w:r w:rsidR="00BE6B33" w:rsidRPr="00DE2EDF">
        <w:rPr>
          <w:rFonts w:eastAsia="Times New Roman" w:cs="Times New Roman"/>
          <w:iCs/>
          <w:lang w:val="en-GB"/>
        </w:rPr>
        <w:t>Four</w:t>
      </w:r>
      <w:r w:rsidRPr="00DE2EDF">
        <w:rPr>
          <w:rFonts w:eastAsia="Times New Roman" w:cs="Times New Roman"/>
          <w:iCs/>
          <w:lang w:val="en-GB"/>
        </w:rPr>
        <w:t xml:space="preserve"> </w:t>
      </w:r>
      <w:r w:rsidRPr="00DE2EDF">
        <w:rPr>
          <w:rFonts w:eastAsia="Times New Roman" w:cs="Times New Roman"/>
          <w:lang w:val="en-GB"/>
        </w:rPr>
        <w:t>ideal types</w:t>
      </w:r>
      <w:r w:rsidR="00CA70A2" w:rsidRPr="00DE2EDF">
        <w:rPr>
          <w:rFonts w:eastAsia="Times New Roman" w:cs="Times New Roman"/>
          <w:iCs/>
          <w:lang w:val="en-GB"/>
        </w:rPr>
        <w:t xml:space="preserve">, in the sense of Max Weber, </w:t>
      </w:r>
      <w:r w:rsidRPr="00DE2EDF">
        <w:rPr>
          <w:rFonts w:eastAsia="Times New Roman" w:cs="Times New Roman"/>
          <w:iCs/>
          <w:lang w:val="en-GB"/>
        </w:rPr>
        <w:t>can point the way to a deeper analysis.</w:t>
      </w:r>
      <w:bookmarkStart w:id="363" w:name="_Ref252460872"/>
      <w:bookmarkEnd w:id="363"/>
    </w:p>
    <w:p w14:paraId="35BB52FF" w14:textId="77777777" w:rsidR="000F4C26" w:rsidRPr="00DE2EDF" w:rsidRDefault="000F4C26" w:rsidP="00DE2EDF">
      <w:pPr>
        <w:spacing w:after="0"/>
        <w:jc w:val="both"/>
        <w:rPr>
          <w:rFonts w:eastAsia="Times New Roman" w:cs="Times New Roman"/>
          <w:iCs/>
          <w:lang w:val="en-GB"/>
        </w:rPr>
      </w:pPr>
    </w:p>
    <w:p w14:paraId="6E6BC019"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The first ideal type</w:t>
      </w:r>
      <w:r w:rsidR="00AF1F8B" w:rsidRPr="00DE2EDF">
        <w:rPr>
          <w:rFonts w:eastAsia="Times New Roman" w:cs="Times New Roman"/>
          <w:iCs/>
          <w:lang w:val="en-GB"/>
        </w:rPr>
        <w:t xml:space="preserve">, </w:t>
      </w:r>
      <w:r w:rsidR="0068588C" w:rsidRPr="00DE2EDF">
        <w:rPr>
          <w:rFonts w:eastAsia="Times New Roman" w:cs="Times New Roman"/>
          <w:iCs/>
          <w:lang w:val="en-GB"/>
        </w:rPr>
        <w:t>theorised</w:t>
      </w:r>
      <w:r w:rsidRPr="00DE2EDF">
        <w:rPr>
          <w:rFonts w:eastAsia="Times New Roman" w:cs="Times New Roman"/>
          <w:iCs/>
          <w:lang w:val="en-GB"/>
        </w:rPr>
        <w:t xml:space="preserve"> by the Vienn</w:t>
      </w:r>
      <w:r w:rsidR="00DE0FF6" w:rsidRPr="00DE2EDF">
        <w:rPr>
          <w:rFonts w:eastAsia="Times New Roman" w:cs="Times New Roman"/>
          <w:iCs/>
          <w:lang w:val="en-GB"/>
        </w:rPr>
        <w:t>a</w:t>
      </w:r>
      <w:r w:rsidRPr="00DE2EDF">
        <w:rPr>
          <w:rFonts w:eastAsia="Times New Roman" w:cs="Times New Roman"/>
          <w:iCs/>
          <w:lang w:val="en-GB"/>
        </w:rPr>
        <w:t xml:space="preserve"> School</w:t>
      </w:r>
      <w:bookmarkStart w:id="364" w:name="_ftnref184"/>
      <w:r w:rsidR="003C7129" w:rsidRPr="00DE2EDF">
        <w:rPr>
          <w:rFonts w:eastAsia="Times New Roman" w:cs="Times New Roman"/>
          <w:iCs/>
          <w:lang w:val="en-GB"/>
        </w:rPr>
        <w:t xml:space="preserve"> on the basis of Austria’s legal history</w:t>
      </w:r>
      <w:r w:rsidRPr="00DE2EDF">
        <w:rPr>
          <w:rFonts w:eastAsia="Times New Roman" w:cs="Times New Roman"/>
          <w:iCs/>
          <w:lang w:val="en-GB"/>
        </w:rPr>
        <w:t>,</w:t>
      </w:r>
      <w:bookmarkEnd w:id="364"/>
      <w:r w:rsidRPr="00DE2EDF">
        <w:rPr>
          <w:rFonts w:eastAsia="Times New Roman" w:cs="Times New Roman"/>
          <w:iCs/>
          <w:lang w:val="en-GB"/>
        </w:rPr>
        <w:t xml:space="preserve"> is to strictly separate </w:t>
      </w:r>
      <w:r w:rsidR="00A050A6" w:rsidRPr="00DE2EDF">
        <w:rPr>
          <w:rFonts w:eastAsia="Times New Roman" w:cs="Times New Roman"/>
          <w:iCs/>
          <w:lang w:val="en-GB"/>
        </w:rPr>
        <w:t xml:space="preserve">questions of </w:t>
      </w:r>
      <w:r w:rsidR="00C06C34" w:rsidRPr="00DE2EDF">
        <w:rPr>
          <w:rFonts w:eastAsia="Times New Roman" w:cs="Times New Roman"/>
          <w:iCs/>
          <w:lang w:val="en-GB"/>
        </w:rPr>
        <w:t>legality (the consistency with ordinary, infra-constitutional law)</w:t>
      </w:r>
      <w:r w:rsidRPr="00DE2EDF">
        <w:rPr>
          <w:rFonts w:eastAsia="Times New Roman" w:cs="Times New Roman"/>
          <w:iCs/>
          <w:lang w:val="en-GB"/>
        </w:rPr>
        <w:t xml:space="preserve"> and </w:t>
      </w:r>
      <w:r w:rsidR="00A050A6" w:rsidRPr="00DE2EDF">
        <w:rPr>
          <w:rFonts w:eastAsia="Times New Roman" w:cs="Times New Roman"/>
          <w:iCs/>
          <w:lang w:val="en-GB"/>
        </w:rPr>
        <w:t xml:space="preserve">questions of </w:t>
      </w:r>
      <w:r w:rsidR="00C06C34" w:rsidRPr="00DE2EDF">
        <w:rPr>
          <w:rFonts w:eastAsia="Times New Roman" w:cs="Times New Roman"/>
          <w:iCs/>
          <w:lang w:val="en-GB"/>
        </w:rPr>
        <w:t>constitutionality (</w:t>
      </w:r>
      <w:r w:rsidR="00EC0ADC" w:rsidRPr="00DE2EDF">
        <w:rPr>
          <w:rFonts w:eastAsia="Times New Roman" w:cs="Times New Roman"/>
          <w:iCs/>
          <w:lang w:val="en-GB"/>
        </w:rPr>
        <w:t>the</w:t>
      </w:r>
      <w:r w:rsidR="00C06C34" w:rsidRPr="00DE2EDF">
        <w:rPr>
          <w:rFonts w:eastAsia="Times New Roman" w:cs="Times New Roman"/>
          <w:iCs/>
          <w:lang w:val="en-GB"/>
        </w:rPr>
        <w:t xml:space="preserve"> consistency with the Constitution)</w:t>
      </w:r>
      <w:r w:rsidR="00A050A6" w:rsidRPr="00DE2EDF">
        <w:rPr>
          <w:rFonts w:eastAsia="Times New Roman" w:cs="Times New Roman"/>
          <w:iCs/>
          <w:lang w:val="en-GB"/>
        </w:rPr>
        <w:t>,</w:t>
      </w:r>
      <w:r w:rsidRPr="00DE2EDF">
        <w:rPr>
          <w:rFonts w:eastAsia="Times New Roman" w:cs="Times New Roman"/>
          <w:iCs/>
          <w:lang w:val="en-GB"/>
        </w:rPr>
        <w:t xml:space="preserve"> and </w:t>
      </w:r>
      <w:r w:rsidR="00A050A6" w:rsidRPr="00DE2EDF">
        <w:rPr>
          <w:rFonts w:eastAsia="Times New Roman" w:cs="Times New Roman"/>
          <w:iCs/>
          <w:lang w:val="en-GB"/>
        </w:rPr>
        <w:t xml:space="preserve">to </w:t>
      </w:r>
      <w:r w:rsidRPr="00DE2EDF">
        <w:rPr>
          <w:rFonts w:eastAsia="Times New Roman" w:cs="Times New Roman"/>
          <w:iCs/>
          <w:lang w:val="en-GB"/>
        </w:rPr>
        <w:t>assign them to two different courts</w:t>
      </w:r>
      <w:r w:rsidR="00195540" w:rsidRPr="00DE2EDF">
        <w:rPr>
          <w:rFonts w:eastAsia="Times New Roman" w:cs="Times New Roman"/>
          <w:iCs/>
          <w:lang w:val="en-GB"/>
        </w:rPr>
        <w:t xml:space="preserve">: </w:t>
      </w:r>
      <w:r w:rsidR="00C06C34" w:rsidRPr="00DE2EDF">
        <w:rPr>
          <w:rFonts w:eastAsia="Times New Roman" w:cs="Times New Roman"/>
          <w:iCs/>
          <w:lang w:val="en-GB"/>
        </w:rPr>
        <w:t xml:space="preserve">the first to </w:t>
      </w:r>
      <w:r w:rsidR="0068588C" w:rsidRPr="00DE2EDF">
        <w:rPr>
          <w:rFonts w:eastAsia="Times New Roman" w:cs="Times New Roman"/>
          <w:iCs/>
          <w:lang w:val="en-GB"/>
        </w:rPr>
        <w:t>a</w:t>
      </w:r>
      <w:r w:rsidR="00C06C34" w:rsidRPr="00DE2EDF">
        <w:rPr>
          <w:rFonts w:eastAsia="Times New Roman" w:cs="Times New Roman"/>
          <w:iCs/>
          <w:lang w:val="en-GB"/>
        </w:rPr>
        <w:t xml:space="preserve">dministrative </w:t>
      </w:r>
      <w:r w:rsidR="0068588C" w:rsidRPr="00DE2EDF">
        <w:rPr>
          <w:rFonts w:eastAsia="Times New Roman" w:cs="Times New Roman"/>
          <w:iCs/>
          <w:lang w:val="en-GB"/>
        </w:rPr>
        <w:t>c</w:t>
      </w:r>
      <w:r w:rsidR="00C06C34" w:rsidRPr="00DE2EDF">
        <w:rPr>
          <w:rFonts w:eastAsia="Times New Roman" w:cs="Times New Roman"/>
          <w:iCs/>
          <w:lang w:val="en-GB"/>
        </w:rPr>
        <w:t>ourt</w:t>
      </w:r>
      <w:r w:rsidR="0068588C" w:rsidRPr="00DE2EDF">
        <w:rPr>
          <w:rFonts w:eastAsia="Times New Roman" w:cs="Times New Roman"/>
          <w:iCs/>
          <w:lang w:val="en-GB"/>
        </w:rPr>
        <w:t>s</w:t>
      </w:r>
      <w:r w:rsidR="00C06C34" w:rsidRPr="00DE2EDF">
        <w:rPr>
          <w:rFonts w:eastAsia="Times New Roman" w:cs="Times New Roman"/>
          <w:iCs/>
          <w:lang w:val="en-GB"/>
        </w:rPr>
        <w:t xml:space="preserve">, the second to </w:t>
      </w:r>
      <w:r w:rsidRPr="00DE2EDF">
        <w:rPr>
          <w:rFonts w:eastAsia="Times New Roman" w:cs="Times New Roman"/>
          <w:iCs/>
          <w:lang w:val="en-GB"/>
        </w:rPr>
        <w:t>the Constitutional Court</w:t>
      </w:r>
      <w:r w:rsidR="00AF1F8B" w:rsidRPr="00DE2EDF">
        <w:rPr>
          <w:rFonts w:eastAsia="Times New Roman" w:cs="Times New Roman"/>
          <w:iCs/>
          <w:lang w:val="en-GB"/>
        </w:rPr>
        <w:t>.</w:t>
      </w:r>
      <w:r w:rsidR="00AF1F8B" w:rsidRPr="00DE2EDF">
        <w:rPr>
          <w:rStyle w:val="FootnoteReference"/>
          <w:rFonts w:eastAsia="Times New Roman" w:cs="Times New Roman"/>
          <w:iCs/>
          <w:lang w:val="en-GB"/>
        </w:rPr>
        <w:footnoteReference w:id="254"/>
      </w:r>
      <w:r w:rsidRPr="00DE2EDF">
        <w:rPr>
          <w:rFonts w:eastAsia="Times New Roman" w:cs="Times New Roman"/>
          <w:iCs/>
          <w:lang w:val="en-GB"/>
        </w:rPr>
        <w:t xml:space="preserve"> </w:t>
      </w:r>
      <w:r w:rsidR="00195540" w:rsidRPr="00DE2EDF">
        <w:rPr>
          <w:rFonts w:eastAsia="Times New Roman" w:cs="Times New Roman"/>
          <w:iCs/>
          <w:lang w:val="en-GB"/>
        </w:rPr>
        <w:t xml:space="preserve">This model </w:t>
      </w:r>
      <w:r w:rsidR="00AF1F8B" w:rsidRPr="00DE2EDF">
        <w:rPr>
          <w:rFonts w:eastAsia="Times New Roman" w:cs="Times New Roman"/>
          <w:iCs/>
          <w:lang w:val="en-GB"/>
        </w:rPr>
        <w:t>has been partly carried out in Austrian law</w:t>
      </w:r>
      <w:bookmarkStart w:id="365" w:name="_ftnref185"/>
      <w:r w:rsidR="00EC0ADC" w:rsidRPr="00DE2EDF">
        <w:rPr>
          <w:rFonts w:eastAsia="Times New Roman" w:cs="Times New Roman"/>
          <w:iCs/>
          <w:lang w:val="en-GB"/>
        </w:rPr>
        <w:t xml:space="preserve">. Under the </w:t>
      </w:r>
      <w:r w:rsidR="00D462A1" w:rsidRPr="00DE2EDF">
        <w:rPr>
          <w:rFonts w:eastAsia="Times New Roman" w:cs="Times New Roman"/>
          <w:i/>
          <w:iCs/>
          <w:lang w:val="en-GB"/>
        </w:rPr>
        <w:t>B</w:t>
      </w:r>
      <w:r w:rsidR="0057271D" w:rsidRPr="00DE2EDF">
        <w:rPr>
          <w:rFonts w:eastAsia="Times New Roman" w:cs="Times New Roman"/>
          <w:i/>
          <w:iCs/>
          <w:lang w:val="en-GB"/>
        </w:rPr>
        <w:t>undes</w:t>
      </w:r>
      <w:r w:rsidR="00D462A1" w:rsidRPr="00DE2EDF">
        <w:rPr>
          <w:rFonts w:eastAsia="Times New Roman" w:cs="Times New Roman"/>
          <w:i/>
          <w:iCs/>
          <w:lang w:val="en-GB"/>
        </w:rPr>
        <w:t>-V</w:t>
      </w:r>
      <w:r w:rsidR="0057271D" w:rsidRPr="00DE2EDF">
        <w:rPr>
          <w:rFonts w:eastAsia="Times New Roman" w:cs="Times New Roman"/>
          <w:i/>
          <w:iCs/>
          <w:lang w:val="en-GB"/>
        </w:rPr>
        <w:t>erfassungsgesetz</w:t>
      </w:r>
      <w:r w:rsidR="0057271D" w:rsidRPr="00DE2EDF">
        <w:rPr>
          <w:rFonts w:eastAsia="Times New Roman" w:cs="Times New Roman"/>
          <w:iCs/>
          <w:lang w:val="en-GB"/>
        </w:rPr>
        <w:t xml:space="preserve"> </w:t>
      </w:r>
      <w:r w:rsidR="00EC0ADC" w:rsidRPr="00DE2EDF">
        <w:rPr>
          <w:rFonts w:eastAsia="Times New Roman" w:cs="Times New Roman"/>
          <w:iCs/>
          <w:lang w:val="en-GB"/>
        </w:rPr>
        <w:t>of 1920</w:t>
      </w:r>
      <w:r w:rsidR="00D462A1" w:rsidRPr="00DE2EDF">
        <w:rPr>
          <w:rFonts w:eastAsia="Times New Roman" w:cs="Times New Roman"/>
          <w:iCs/>
          <w:lang w:val="en-GB"/>
        </w:rPr>
        <w:t xml:space="preserve">, </w:t>
      </w:r>
      <w:r w:rsidR="000A6B0F" w:rsidRPr="00DE2EDF">
        <w:rPr>
          <w:rFonts w:eastAsia="Times New Roman" w:cs="Times New Roman"/>
          <w:iCs/>
          <w:lang w:val="en-GB"/>
        </w:rPr>
        <w:t xml:space="preserve">and </w:t>
      </w:r>
      <w:r w:rsidR="00D462A1" w:rsidRPr="00DE2EDF">
        <w:rPr>
          <w:rFonts w:eastAsia="Times New Roman" w:cs="Times New Roman"/>
          <w:iCs/>
          <w:lang w:val="en-GB"/>
        </w:rPr>
        <w:t xml:space="preserve">in its successive versions from </w:t>
      </w:r>
      <w:r w:rsidR="00004EF1" w:rsidRPr="00DE2EDF">
        <w:rPr>
          <w:rFonts w:eastAsia="Times New Roman" w:cs="Times New Roman"/>
          <w:iCs/>
          <w:lang w:val="en-GB"/>
        </w:rPr>
        <w:t>1920</w:t>
      </w:r>
      <w:r w:rsidR="00D462A1" w:rsidRPr="00DE2EDF">
        <w:rPr>
          <w:rFonts w:eastAsia="Times New Roman" w:cs="Times New Roman"/>
          <w:iCs/>
          <w:lang w:val="en-GB"/>
        </w:rPr>
        <w:t xml:space="preserve"> </w:t>
      </w:r>
      <w:r w:rsidR="000A6B0F" w:rsidRPr="00DE2EDF">
        <w:rPr>
          <w:rFonts w:eastAsia="Times New Roman" w:cs="Times New Roman"/>
          <w:iCs/>
          <w:lang w:val="en-GB"/>
        </w:rPr>
        <w:t xml:space="preserve">through </w:t>
      </w:r>
      <w:r w:rsidR="00004EF1" w:rsidRPr="00DE2EDF">
        <w:rPr>
          <w:rFonts w:eastAsia="Times New Roman" w:cs="Times New Roman"/>
          <w:iCs/>
          <w:lang w:val="en-GB"/>
        </w:rPr>
        <w:t>201</w:t>
      </w:r>
      <w:r w:rsidR="002A0EDA" w:rsidRPr="00DE2EDF">
        <w:rPr>
          <w:rFonts w:eastAsia="Times New Roman" w:cs="Times New Roman"/>
          <w:iCs/>
          <w:lang w:val="en-GB"/>
        </w:rPr>
        <w:t>4</w:t>
      </w:r>
      <w:r w:rsidR="000A6B0F" w:rsidRPr="00DE2EDF">
        <w:rPr>
          <w:rFonts w:eastAsia="Times New Roman" w:cs="Times New Roman"/>
          <w:iCs/>
          <w:lang w:val="en-GB"/>
        </w:rPr>
        <w:t>,</w:t>
      </w:r>
      <w:r w:rsidR="00AF1F8B" w:rsidRPr="00DE2EDF">
        <w:rPr>
          <w:rStyle w:val="FootnoteReference"/>
          <w:rFonts w:eastAsia="Times New Roman" w:cs="Times New Roman"/>
          <w:iCs/>
          <w:lang w:val="en-GB"/>
        </w:rPr>
        <w:footnoteReference w:id="255"/>
      </w:r>
      <w:bookmarkEnd w:id="365"/>
      <w:r w:rsidR="00C06C34" w:rsidRPr="00DE2EDF">
        <w:rPr>
          <w:rFonts w:eastAsia="Times New Roman" w:cs="Times New Roman"/>
          <w:iCs/>
          <w:lang w:val="en-GB"/>
        </w:rPr>
        <w:t xml:space="preserve"> </w:t>
      </w:r>
      <w:r w:rsidRPr="00DE2EDF">
        <w:rPr>
          <w:rFonts w:eastAsia="Times New Roman" w:cs="Times New Roman"/>
          <w:iCs/>
          <w:lang w:val="en-GB"/>
        </w:rPr>
        <w:t xml:space="preserve">a complainant </w:t>
      </w:r>
      <w:r w:rsidR="00C06C34" w:rsidRPr="00DE2EDF">
        <w:rPr>
          <w:rFonts w:eastAsia="Times New Roman" w:cs="Times New Roman"/>
          <w:iCs/>
          <w:lang w:val="en-GB"/>
        </w:rPr>
        <w:t xml:space="preserve">could, on the one hand, </w:t>
      </w:r>
      <w:r w:rsidRPr="00DE2EDF">
        <w:rPr>
          <w:rFonts w:eastAsia="Times New Roman" w:cs="Times New Roman"/>
          <w:iCs/>
          <w:lang w:val="en-GB"/>
        </w:rPr>
        <w:t xml:space="preserve">challenge an administrative </w:t>
      </w:r>
      <w:r w:rsidR="00A050A6" w:rsidRPr="00DE2EDF">
        <w:rPr>
          <w:rFonts w:eastAsia="Times New Roman" w:cs="Times New Roman"/>
          <w:iCs/>
          <w:lang w:val="en-GB"/>
        </w:rPr>
        <w:t>decision</w:t>
      </w:r>
      <w:r w:rsidRPr="00DE2EDF">
        <w:rPr>
          <w:rFonts w:eastAsia="Times New Roman" w:cs="Times New Roman"/>
          <w:iCs/>
          <w:lang w:val="en-GB"/>
        </w:rPr>
        <w:t xml:space="preserve"> before the </w:t>
      </w:r>
      <w:r w:rsidR="00C06C34" w:rsidRPr="00DE2EDF">
        <w:rPr>
          <w:rFonts w:eastAsia="Times New Roman" w:cs="Times New Roman"/>
          <w:iCs/>
          <w:lang w:val="en-GB"/>
        </w:rPr>
        <w:t>A</w:t>
      </w:r>
      <w:r w:rsidRPr="00DE2EDF">
        <w:rPr>
          <w:rFonts w:eastAsia="Times New Roman" w:cs="Times New Roman"/>
          <w:iCs/>
          <w:lang w:val="en-GB"/>
        </w:rPr>
        <w:t xml:space="preserve">dministrative </w:t>
      </w:r>
      <w:r w:rsidR="00C06C34" w:rsidRPr="00DE2EDF">
        <w:rPr>
          <w:rFonts w:eastAsia="Times New Roman" w:cs="Times New Roman"/>
          <w:iCs/>
          <w:lang w:val="en-GB"/>
        </w:rPr>
        <w:t>C</w:t>
      </w:r>
      <w:r w:rsidRPr="00DE2EDF">
        <w:rPr>
          <w:rFonts w:eastAsia="Times New Roman" w:cs="Times New Roman"/>
          <w:iCs/>
          <w:lang w:val="en-GB"/>
        </w:rPr>
        <w:t>ourt</w:t>
      </w:r>
      <w:r w:rsidR="0068588C" w:rsidRPr="00DE2EDF">
        <w:rPr>
          <w:rFonts w:eastAsia="Times New Roman" w:cs="Times New Roman"/>
          <w:iCs/>
          <w:lang w:val="en-GB"/>
        </w:rPr>
        <w:t xml:space="preserve"> of Justice</w:t>
      </w:r>
      <w:r w:rsidRPr="00DE2EDF">
        <w:rPr>
          <w:rFonts w:eastAsia="Times New Roman" w:cs="Times New Roman"/>
          <w:iCs/>
          <w:lang w:val="en-GB"/>
        </w:rPr>
        <w:t xml:space="preserve"> as </w:t>
      </w:r>
      <w:r w:rsidRPr="00DE2EDF">
        <w:rPr>
          <w:rFonts w:eastAsia="Times New Roman" w:cs="Times New Roman"/>
          <w:i/>
          <w:iCs/>
          <w:lang w:val="en-GB"/>
        </w:rPr>
        <w:t>illegal</w:t>
      </w:r>
      <w:r w:rsidR="00004EF1" w:rsidRPr="00DE2EDF">
        <w:rPr>
          <w:rFonts w:eastAsia="Times New Roman" w:cs="Times New Roman"/>
          <w:iCs/>
          <w:lang w:val="en-GB"/>
        </w:rPr>
        <w:t xml:space="preserve"> (</w:t>
      </w:r>
      <w:r w:rsidR="002A0EDA" w:rsidRPr="00DE2EDF">
        <w:rPr>
          <w:rFonts w:eastAsia="Times New Roman" w:cs="Times New Roman"/>
          <w:iCs/>
          <w:lang w:val="en-GB"/>
        </w:rPr>
        <w:t xml:space="preserve">see </w:t>
      </w:r>
      <w:r w:rsidR="0057271D" w:rsidRPr="00DE2EDF">
        <w:rPr>
          <w:rFonts w:eastAsia="Times New Roman" w:cs="Times New Roman"/>
          <w:iCs/>
          <w:lang w:val="en-GB"/>
        </w:rPr>
        <w:t>article</w:t>
      </w:r>
      <w:r w:rsidR="00004EF1" w:rsidRPr="00DE2EDF">
        <w:rPr>
          <w:rFonts w:eastAsia="Times New Roman" w:cs="Times New Roman"/>
          <w:iCs/>
          <w:lang w:val="en-GB"/>
        </w:rPr>
        <w:t xml:space="preserve"> 129 </w:t>
      </w:r>
      <w:r w:rsidR="00004EF1" w:rsidRPr="00DE2EDF">
        <w:rPr>
          <w:rFonts w:eastAsia="Times New Roman" w:cs="Times New Roman"/>
          <w:i/>
          <w:iCs/>
          <w:lang w:val="en-GB"/>
        </w:rPr>
        <w:t>B</w:t>
      </w:r>
      <w:r w:rsidR="0057271D" w:rsidRPr="00DE2EDF">
        <w:rPr>
          <w:rFonts w:eastAsia="Times New Roman" w:cs="Times New Roman"/>
          <w:i/>
          <w:iCs/>
          <w:lang w:val="en-GB"/>
        </w:rPr>
        <w:t>undes</w:t>
      </w:r>
      <w:r w:rsidR="00004EF1" w:rsidRPr="00DE2EDF">
        <w:rPr>
          <w:rFonts w:eastAsia="Times New Roman" w:cs="Times New Roman"/>
          <w:i/>
          <w:iCs/>
          <w:lang w:val="en-GB"/>
        </w:rPr>
        <w:t>-V</w:t>
      </w:r>
      <w:r w:rsidR="0057271D" w:rsidRPr="00DE2EDF">
        <w:rPr>
          <w:rFonts w:eastAsia="Times New Roman" w:cs="Times New Roman"/>
          <w:i/>
          <w:iCs/>
          <w:lang w:val="en-GB"/>
        </w:rPr>
        <w:t>erfassungsgesetz</w:t>
      </w:r>
      <w:r w:rsidR="002A0EDA" w:rsidRPr="00DE2EDF">
        <w:rPr>
          <w:rFonts w:eastAsia="Times New Roman" w:cs="Times New Roman"/>
          <w:iCs/>
          <w:lang w:val="en-GB"/>
        </w:rPr>
        <w:t>, especially as reformulated in 1946</w:t>
      </w:r>
      <w:r w:rsidR="00004EF1" w:rsidRPr="00DE2EDF">
        <w:rPr>
          <w:rFonts w:eastAsia="Times New Roman" w:cs="Times New Roman"/>
          <w:iCs/>
          <w:lang w:val="en-GB"/>
        </w:rPr>
        <w:t>),</w:t>
      </w:r>
      <w:r w:rsidRPr="00DE2EDF">
        <w:rPr>
          <w:rFonts w:eastAsia="Times New Roman" w:cs="Times New Roman"/>
          <w:iCs/>
          <w:lang w:val="en-GB"/>
        </w:rPr>
        <w:t xml:space="preserve"> while</w:t>
      </w:r>
      <w:r w:rsidR="0057271D" w:rsidRPr="00DE2EDF">
        <w:rPr>
          <w:rFonts w:cs="Times New Roman"/>
        </w:rPr>
        <w:t>—</w:t>
      </w:r>
      <w:r w:rsidR="0057271D" w:rsidRPr="00DE2EDF">
        <w:rPr>
          <w:rFonts w:eastAsia="Times New Roman" w:cs="Times New Roman"/>
          <w:iCs/>
          <w:lang w:val="en-GB"/>
        </w:rPr>
        <w:t>in parallel</w:t>
      </w:r>
      <w:r w:rsidR="0057271D" w:rsidRPr="00DE2EDF">
        <w:rPr>
          <w:rFonts w:cs="Times New Roman"/>
        </w:rPr>
        <w:t>—</w:t>
      </w:r>
      <w:r w:rsidRPr="00DE2EDF">
        <w:rPr>
          <w:rFonts w:eastAsia="Times New Roman" w:cs="Times New Roman"/>
          <w:iCs/>
          <w:lang w:val="en-GB"/>
        </w:rPr>
        <w:t xml:space="preserve">challenging the same </w:t>
      </w:r>
      <w:r w:rsidR="00A050A6" w:rsidRPr="00DE2EDF">
        <w:rPr>
          <w:rFonts w:eastAsia="Times New Roman" w:cs="Times New Roman"/>
          <w:iCs/>
          <w:lang w:val="en-GB"/>
        </w:rPr>
        <w:t>act</w:t>
      </w:r>
      <w:r w:rsidRPr="00DE2EDF">
        <w:rPr>
          <w:rFonts w:eastAsia="Times New Roman" w:cs="Times New Roman"/>
          <w:iCs/>
          <w:lang w:val="en-GB"/>
        </w:rPr>
        <w:t xml:space="preserve"> before the Constitutional Court as </w:t>
      </w:r>
      <w:r w:rsidRPr="00DE2EDF">
        <w:rPr>
          <w:rFonts w:eastAsia="Times New Roman" w:cs="Times New Roman"/>
          <w:i/>
          <w:iCs/>
          <w:lang w:val="en-GB"/>
        </w:rPr>
        <w:t>unconstitutional</w:t>
      </w:r>
      <w:r w:rsidR="00D462A1" w:rsidRPr="00DE2EDF">
        <w:rPr>
          <w:rFonts w:eastAsia="Times New Roman" w:cs="Times New Roman"/>
          <w:iCs/>
          <w:lang w:val="en-GB"/>
        </w:rPr>
        <w:t xml:space="preserve"> (art</w:t>
      </w:r>
      <w:r w:rsidR="0057271D" w:rsidRPr="00DE2EDF">
        <w:rPr>
          <w:rFonts w:eastAsia="Times New Roman" w:cs="Times New Roman"/>
          <w:iCs/>
          <w:lang w:val="en-GB"/>
        </w:rPr>
        <w:t>icle</w:t>
      </w:r>
      <w:r w:rsidR="00D462A1" w:rsidRPr="00DE2EDF">
        <w:rPr>
          <w:rFonts w:eastAsia="Times New Roman" w:cs="Times New Roman"/>
          <w:iCs/>
          <w:lang w:val="en-GB"/>
        </w:rPr>
        <w:t xml:space="preserve"> 144 </w:t>
      </w:r>
      <w:r w:rsidR="00D462A1" w:rsidRPr="00DE2EDF">
        <w:rPr>
          <w:rFonts w:eastAsia="Times New Roman" w:cs="Times New Roman"/>
          <w:i/>
          <w:iCs/>
          <w:lang w:val="en-GB"/>
        </w:rPr>
        <w:t>B</w:t>
      </w:r>
      <w:r w:rsidR="0057271D" w:rsidRPr="00DE2EDF">
        <w:rPr>
          <w:rFonts w:eastAsia="Times New Roman" w:cs="Times New Roman"/>
          <w:i/>
          <w:iCs/>
          <w:lang w:val="en-GB"/>
        </w:rPr>
        <w:t>undes-Verfassungsgesetz</w:t>
      </w:r>
      <w:r w:rsidR="005C5BBA">
        <w:rPr>
          <w:rFonts w:eastAsia="Times New Roman" w:cs="Times New Roman"/>
          <w:iCs/>
          <w:lang w:val="en-GB"/>
        </w:rPr>
        <w:t xml:space="preserve">). </w:t>
      </w:r>
      <w:r w:rsidRPr="00DE2EDF">
        <w:rPr>
          <w:rFonts w:eastAsia="Times New Roman" w:cs="Times New Roman"/>
          <w:iCs/>
          <w:lang w:val="en-GB"/>
        </w:rPr>
        <w:t xml:space="preserve">If the </w:t>
      </w:r>
      <w:r w:rsidR="00A81FD0" w:rsidRPr="00DE2EDF">
        <w:rPr>
          <w:rFonts w:eastAsia="Times New Roman" w:cs="Times New Roman"/>
          <w:iCs/>
          <w:lang w:val="en-GB"/>
        </w:rPr>
        <w:t xml:space="preserve">contested administrative </w:t>
      </w:r>
      <w:r w:rsidRPr="00DE2EDF">
        <w:rPr>
          <w:rFonts w:eastAsia="Times New Roman" w:cs="Times New Roman"/>
          <w:iCs/>
          <w:lang w:val="en-GB"/>
        </w:rPr>
        <w:t xml:space="preserve">decision </w:t>
      </w:r>
      <w:r w:rsidR="00104BEC" w:rsidRPr="00DE2EDF">
        <w:rPr>
          <w:rFonts w:eastAsia="Times New Roman" w:cs="Times New Roman"/>
          <w:iCs/>
          <w:lang w:val="en-GB"/>
        </w:rPr>
        <w:t>wa</w:t>
      </w:r>
      <w:r w:rsidRPr="00DE2EDF">
        <w:rPr>
          <w:rFonts w:eastAsia="Times New Roman" w:cs="Times New Roman"/>
          <w:iCs/>
          <w:lang w:val="en-GB"/>
        </w:rPr>
        <w:t xml:space="preserve">s declared illegal and unconstitutional, respectively, by the two courts, or </w:t>
      </w:r>
      <w:r w:rsidR="00A81FD0" w:rsidRPr="00DE2EDF">
        <w:rPr>
          <w:rFonts w:eastAsia="Times New Roman" w:cs="Times New Roman"/>
          <w:iCs/>
          <w:lang w:val="en-GB"/>
        </w:rPr>
        <w:t xml:space="preserve">if </w:t>
      </w:r>
      <w:r w:rsidRPr="00DE2EDF">
        <w:rPr>
          <w:rFonts w:eastAsia="Times New Roman" w:cs="Times New Roman"/>
          <w:iCs/>
          <w:lang w:val="en-GB"/>
        </w:rPr>
        <w:t xml:space="preserve">it </w:t>
      </w:r>
      <w:r w:rsidR="00104BEC" w:rsidRPr="00DE2EDF">
        <w:rPr>
          <w:rFonts w:eastAsia="Times New Roman" w:cs="Times New Roman"/>
          <w:iCs/>
          <w:lang w:val="en-GB"/>
        </w:rPr>
        <w:t>wa</w:t>
      </w:r>
      <w:r w:rsidRPr="00DE2EDF">
        <w:rPr>
          <w:rFonts w:eastAsia="Times New Roman" w:cs="Times New Roman"/>
          <w:iCs/>
          <w:lang w:val="en-GB"/>
        </w:rPr>
        <w:t xml:space="preserve">s declared </w:t>
      </w:r>
      <w:r w:rsidR="006932BE" w:rsidRPr="00DE2EDF">
        <w:rPr>
          <w:rFonts w:eastAsia="Times New Roman" w:cs="Times New Roman"/>
          <w:iCs/>
          <w:lang w:val="en-GB"/>
        </w:rPr>
        <w:t xml:space="preserve">to be </w:t>
      </w:r>
      <w:r w:rsidRPr="00DE2EDF">
        <w:rPr>
          <w:rFonts w:eastAsia="Times New Roman" w:cs="Times New Roman"/>
          <w:iCs/>
          <w:lang w:val="en-GB"/>
        </w:rPr>
        <w:t>in conformance with</w:t>
      </w:r>
      <w:r w:rsidR="00A81FD0" w:rsidRPr="00DE2EDF">
        <w:rPr>
          <w:rFonts w:eastAsia="Times New Roman" w:cs="Times New Roman"/>
          <w:iCs/>
          <w:lang w:val="en-GB"/>
        </w:rPr>
        <w:t xml:space="preserve"> both ordinary law and</w:t>
      </w:r>
      <w:r w:rsidRPr="00DE2EDF">
        <w:rPr>
          <w:rFonts w:eastAsia="Times New Roman" w:cs="Times New Roman"/>
          <w:iCs/>
          <w:lang w:val="en-GB"/>
        </w:rPr>
        <w:t xml:space="preserve"> the Constitution, the </w:t>
      </w:r>
      <w:r w:rsidR="00977790" w:rsidRPr="00DE2EDF">
        <w:rPr>
          <w:rFonts w:eastAsia="Times New Roman" w:cs="Times New Roman"/>
          <w:iCs/>
          <w:lang w:val="en-GB"/>
        </w:rPr>
        <w:t>parallel</w:t>
      </w:r>
      <w:r w:rsidRPr="00DE2EDF">
        <w:rPr>
          <w:rFonts w:eastAsia="Times New Roman" w:cs="Times New Roman"/>
          <w:iCs/>
          <w:lang w:val="en-GB"/>
        </w:rPr>
        <w:t xml:space="preserve"> </w:t>
      </w:r>
      <w:r w:rsidR="00A81FD0" w:rsidRPr="00DE2EDF">
        <w:rPr>
          <w:rFonts w:eastAsia="Times New Roman" w:cs="Times New Roman"/>
          <w:iCs/>
          <w:lang w:val="en-GB"/>
        </w:rPr>
        <w:t>judicial decisions</w:t>
      </w:r>
      <w:r w:rsidRPr="00DE2EDF">
        <w:rPr>
          <w:rFonts w:eastAsia="Times New Roman" w:cs="Times New Roman"/>
          <w:iCs/>
          <w:lang w:val="en-GB"/>
        </w:rPr>
        <w:t xml:space="preserve"> </w:t>
      </w:r>
      <w:r w:rsidR="00A81FD0" w:rsidRPr="00DE2EDF">
        <w:rPr>
          <w:rFonts w:eastAsia="Times New Roman" w:cs="Times New Roman"/>
          <w:iCs/>
          <w:lang w:val="en-GB"/>
        </w:rPr>
        <w:t xml:space="preserve">come to the </w:t>
      </w:r>
      <w:r w:rsidRPr="00DE2EDF">
        <w:rPr>
          <w:rFonts w:eastAsia="Times New Roman" w:cs="Times New Roman"/>
          <w:iCs/>
          <w:lang w:val="en-GB"/>
        </w:rPr>
        <w:t xml:space="preserve">same result. If, however, the </w:t>
      </w:r>
      <w:r w:rsidR="00A81FD0" w:rsidRPr="00DE2EDF">
        <w:rPr>
          <w:rFonts w:eastAsia="Times New Roman" w:cs="Times New Roman"/>
          <w:iCs/>
          <w:lang w:val="en-GB"/>
        </w:rPr>
        <w:t xml:space="preserve">administrative </w:t>
      </w:r>
      <w:r w:rsidRPr="00DE2EDF">
        <w:rPr>
          <w:rFonts w:eastAsia="Times New Roman" w:cs="Times New Roman"/>
          <w:iCs/>
          <w:lang w:val="en-GB"/>
        </w:rPr>
        <w:t xml:space="preserve">decision </w:t>
      </w:r>
      <w:r w:rsidR="00104BEC" w:rsidRPr="00DE2EDF">
        <w:rPr>
          <w:rFonts w:eastAsia="Times New Roman" w:cs="Times New Roman"/>
          <w:iCs/>
          <w:lang w:val="en-GB"/>
        </w:rPr>
        <w:t>wa</w:t>
      </w:r>
      <w:r w:rsidRPr="00DE2EDF">
        <w:rPr>
          <w:rFonts w:eastAsia="Times New Roman" w:cs="Times New Roman"/>
          <w:iCs/>
          <w:lang w:val="en-GB"/>
        </w:rPr>
        <w:t>s declared legal</w:t>
      </w:r>
      <w:r w:rsidR="00A81FD0" w:rsidRPr="00DE2EDF">
        <w:rPr>
          <w:rFonts w:eastAsia="Times New Roman" w:cs="Times New Roman"/>
          <w:iCs/>
          <w:lang w:val="en-GB"/>
        </w:rPr>
        <w:t xml:space="preserve"> </w:t>
      </w:r>
      <w:r w:rsidRPr="00DE2EDF">
        <w:rPr>
          <w:rFonts w:eastAsia="Times New Roman" w:cs="Times New Roman"/>
          <w:iCs/>
          <w:lang w:val="en-GB"/>
        </w:rPr>
        <w:t>but</w:t>
      </w:r>
      <w:r w:rsidR="00A81FD0" w:rsidRPr="00DE2EDF">
        <w:rPr>
          <w:rFonts w:eastAsia="Times New Roman" w:cs="Times New Roman"/>
          <w:iCs/>
          <w:lang w:val="en-GB"/>
        </w:rPr>
        <w:t xml:space="preserve"> </w:t>
      </w:r>
      <w:r w:rsidRPr="00DE2EDF">
        <w:rPr>
          <w:rFonts w:eastAsia="Times New Roman" w:cs="Times New Roman"/>
          <w:iCs/>
          <w:lang w:val="en-GB"/>
        </w:rPr>
        <w:t>unconstitutional (or vice versa)</w:t>
      </w:r>
      <w:r w:rsidR="00A81FD0" w:rsidRPr="00DE2EDF">
        <w:rPr>
          <w:rFonts w:eastAsia="Times New Roman" w:cs="Times New Roman"/>
          <w:iCs/>
          <w:lang w:val="en-GB"/>
        </w:rPr>
        <w:t xml:space="preserve">, </w:t>
      </w:r>
      <w:r w:rsidRPr="00DE2EDF">
        <w:rPr>
          <w:rFonts w:eastAsia="Times New Roman" w:cs="Times New Roman"/>
          <w:iCs/>
          <w:lang w:val="en-GB"/>
        </w:rPr>
        <w:t xml:space="preserve">it </w:t>
      </w:r>
      <w:r w:rsidR="00104BEC" w:rsidRPr="00DE2EDF">
        <w:rPr>
          <w:rFonts w:eastAsia="Times New Roman" w:cs="Times New Roman"/>
          <w:iCs/>
          <w:lang w:val="en-GB"/>
        </w:rPr>
        <w:t>wa</w:t>
      </w:r>
      <w:r w:rsidRPr="00DE2EDF">
        <w:rPr>
          <w:rFonts w:eastAsia="Times New Roman" w:cs="Times New Roman"/>
          <w:iCs/>
          <w:lang w:val="en-GB"/>
        </w:rPr>
        <w:t xml:space="preserve">s </w:t>
      </w:r>
      <w:r w:rsidR="00A81FD0" w:rsidRPr="00DE2EDF">
        <w:rPr>
          <w:rFonts w:eastAsia="Times New Roman" w:cs="Times New Roman"/>
          <w:iCs/>
          <w:lang w:val="en-GB"/>
        </w:rPr>
        <w:t xml:space="preserve">invalid </w:t>
      </w:r>
      <w:r w:rsidRPr="00DE2EDF">
        <w:rPr>
          <w:rFonts w:eastAsia="Times New Roman" w:cs="Times New Roman"/>
          <w:iCs/>
          <w:lang w:val="en-GB"/>
        </w:rPr>
        <w:t>as a result of either one o</w:t>
      </w:r>
      <w:r w:rsidR="00A81FD0" w:rsidRPr="00DE2EDF">
        <w:rPr>
          <w:rFonts w:eastAsia="Times New Roman" w:cs="Times New Roman"/>
          <w:iCs/>
          <w:lang w:val="en-GB"/>
        </w:rPr>
        <w:t>r</w:t>
      </w:r>
      <w:r w:rsidRPr="00DE2EDF">
        <w:rPr>
          <w:rFonts w:eastAsia="Times New Roman" w:cs="Times New Roman"/>
          <w:iCs/>
          <w:lang w:val="en-GB"/>
        </w:rPr>
        <w:t xml:space="preserve"> the other court</w:t>
      </w:r>
      <w:r w:rsidR="00A050A6" w:rsidRPr="00DE2EDF">
        <w:rPr>
          <w:rFonts w:eastAsia="Times New Roman" w:cs="Times New Roman"/>
          <w:iCs/>
          <w:lang w:val="en-GB"/>
        </w:rPr>
        <w:t>’s decision</w:t>
      </w:r>
      <w:r w:rsidRPr="00DE2EDF">
        <w:rPr>
          <w:rFonts w:eastAsia="Times New Roman" w:cs="Times New Roman"/>
          <w:iCs/>
          <w:lang w:val="en-GB"/>
        </w:rPr>
        <w:t xml:space="preserve">. This </w:t>
      </w:r>
      <w:r w:rsidR="00D462A1" w:rsidRPr="00DE2EDF">
        <w:rPr>
          <w:rFonts w:eastAsia="Times New Roman" w:cs="Times New Roman"/>
          <w:iCs/>
          <w:lang w:val="en-GB"/>
        </w:rPr>
        <w:t xml:space="preserve">first </w:t>
      </w:r>
      <w:r w:rsidRPr="00DE2EDF">
        <w:rPr>
          <w:rFonts w:eastAsia="Times New Roman" w:cs="Times New Roman"/>
          <w:iCs/>
          <w:lang w:val="en-GB"/>
        </w:rPr>
        <w:t>ideal type</w:t>
      </w:r>
      <w:bookmarkStart w:id="366" w:name="_ftnref186"/>
      <w:r w:rsidRPr="00DE2EDF">
        <w:rPr>
          <w:rFonts w:eastAsia="Times New Roman" w:cs="Times New Roman"/>
          <w:iCs/>
          <w:lang w:val="en-GB"/>
        </w:rPr>
        <w:t xml:space="preserve"> </w:t>
      </w:r>
      <w:bookmarkEnd w:id="366"/>
      <w:r w:rsidRPr="00DE2EDF">
        <w:rPr>
          <w:rFonts w:eastAsia="Times New Roman" w:cs="Times New Roman"/>
          <w:iCs/>
          <w:lang w:val="en-GB"/>
        </w:rPr>
        <w:t>is characteri</w:t>
      </w:r>
      <w:r w:rsidR="005E5F47" w:rsidRPr="00DE2EDF">
        <w:rPr>
          <w:rFonts w:eastAsia="Times New Roman" w:cs="Times New Roman"/>
          <w:iCs/>
          <w:lang w:val="en-GB"/>
        </w:rPr>
        <w:t>z</w:t>
      </w:r>
      <w:r w:rsidRPr="00DE2EDF">
        <w:rPr>
          <w:rFonts w:eastAsia="Times New Roman" w:cs="Times New Roman"/>
          <w:iCs/>
          <w:lang w:val="en-GB"/>
        </w:rPr>
        <w:t xml:space="preserve">ed by </w:t>
      </w:r>
      <w:r w:rsidR="005A09A9" w:rsidRPr="00DE2EDF">
        <w:rPr>
          <w:rFonts w:eastAsia="Times New Roman" w:cs="Times New Roman"/>
          <w:iCs/>
          <w:lang w:val="en-GB"/>
        </w:rPr>
        <w:t>three</w:t>
      </w:r>
      <w:r w:rsidRPr="00DE2EDF">
        <w:rPr>
          <w:rFonts w:eastAsia="Times New Roman" w:cs="Times New Roman"/>
          <w:iCs/>
          <w:lang w:val="en-GB"/>
        </w:rPr>
        <w:t xml:space="preserve"> </w:t>
      </w:r>
      <w:r w:rsidR="00A050A6" w:rsidRPr="00DE2EDF">
        <w:rPr>
          <w:rFonts w:eastAsia="Times New Roman" w:cs="Times New Roman"/>
          <w:iCs/>
          <w:lang w:val="en-GB"/>
        </w:rPr>
        <w:t>features</w:t>
      </w:r>
      <w:r w:rsidRPr="00DE2EDF">
        <w:rPr>
          <w:rFonts w:eastAsia="Times New Roman" w:cs="Times New Roman"/>
          <w:iCs/>
          <w:lang w:val="en-GB"/>
        </w:rPr>
        <w:t xml:space="preserve">: </w:t>
      </w:r>
      <w:r w:rsidR="005A09A9" w:rsidRPr="00DE2EDF">
        <w:rPr>
          <w:rFonts w:eastAsia="Times New Roman" w:cs="Times New Roman"/>
          <w:iCs/>
          <w:lang w:val="en-GB"/>
        </w:rPr>
        <w:t xml:space="preserve">(a) </w:t>
      </w:r>
      <w:r w:rsidR="00B56CA7" w:rsidRPr="00DE2EDF">
        <w:rPr>
          <w:rFonts w:eastAsia="Times New Roman" w:cs="Times New Roman"/>
          <w:iCs/>
          <w:lang w:val="en-GB"/>
        </w:rPr>
        <w:t xml:space="preserve">independent access: </w:t>
      </w:r>
      <w:r w:rsidR="005A09A9" w:rsidRPr="00DE2EDF">
        <w:rPr>
          <w:rFonts w:eastAsia="Times New Roman" w:cs="Times New Roman"/>
          <w:iCs/>
          <w:lang w:val="en-GB"/>
        </w:rPr>
        <w:t>administrative courts do not control (‘filter’) access to the Constitutional Court (</w:t>
      </w:r>
      <w:r w:rsidR="000A6B0F" w:rsidRPr="00DE2EDF">
        <w:rPr>
          <w:rFonts w:eastAsia="Times New Roman" w:cs="Times New Roman"/>
          <w:iCs/>
          <w:lang w:val="en-GB"/>
        </w:rPr>
        <w:t>and</w:t>
      </w:r>
      <w:r w:rsidR="00B56CA7" w:rsidRPr="00DE2EDF">
        <w:rPr>
          <w:rFonts w:eastAsia="Times New Roman" w:cs="Times New Roman"/>
          <w:iCs/>
          <w:lang w:val="en-GB"/>
        </w:rPr>
        <w:t xml:space="preserve"> </w:t>
      </w:r>
      <w:r w:rsidR="005A09A9" w:rsidRPr="00DE2EDF">
        <w:rPr>
          <w:rFonts w:eastAsia="Times New Roman" w:cs="Times New Roman"/>
          <w:iCs/>
          <w:lang w:val="en-GB"/>
        </w:rPr>
        <w:t xml:space="preserve">vice versa); </w:t>
      </w:r>
      <w:r w:rsidRPr="00DE2EDF">
        <w:rPr>
          <w:rFonts w:eastAsia="Times New Roman" w:cs="Times New Roman"/>
          <w:iCs/>
          <w:lang w:val="en-GB"/>
        </w:rPr>
        <w:t>(</w:t>
      </w:r>
      <w:r w:rsidR="005A09A9" w:rsidRPr="00DE2EDF">
        <w:rPr>
          <w:rFonts w:eastAsia="Times New Roman" w:cs="Times New Roman"/>
          <w:iCs/>
          <w:lang w:val="en-GB"/>
        </w:rPr>
        <w:t>b</w:t>
      </w:r>
      <w:r w:rsidRPr="00DE2EDF">
        <w:rPr>
          <w:rFonts w:eastAsia="Times New Roman" w:cs="Times New Roman"/>
          <w:iCs/>
          <w:lang w:val="en-GB"/>
        </w:rPr>
        <w:t>) </w:t>
      </w:r>
      <w:r w:rsidR="00B56CA7" w:rsidRPr="00DE2EDF">
        <w:rPr>
          <w:rFonts w:eastAsia="Times New Roman" w:cs="Times New Roman"/>
          <w:iCs/>
          <w:lang w:val="en-GB"/>
        </w:rPr>
        <w:t xml:space="preserve">the strict separation of </w:t>
      </w:r>
      <w:r w:rsidR="00A23593" w:rsidRPr="00DE2EDF">
        <w:rPr>
          <w:rFonts w:eastAsia="Times New Roman" w:cs="Times New Roman"/>
          <w:iCs/>
          <w:lang w:val="en-GB"/>
        </w:rPr>
        <w:t>the courts</w:t>
      </w:r>
      <w:r w:rsidR="00261C10" w:rsidRPr="00DE2EDF">
        <w:rPr>
          <w:rFonts w:eastAsia="Times New Roman" w:cs="Times New Roman"/>
          <w:iCs/>
          <w:lang w:val="en-GB"/>
        </w:rPr>
        <w:t>’</w:t>
      </w:r>
      <w:r w:rsidR="00A23593" w:rsidRPr="00DE2EDF">
        <w:rPr>
          <w:rFonts w:eastAsia="Times New Roman" w:cs="Times New Roman"/>
          <w:iCs/>
          <w:lang w:val="en-GB"/>
        </w:rPr>
        <w:t xml:space="preserve"> jurisdictions</w:t>
      </w:r>
      <w:r w:rsidR="005A09A9" w:rsidRPr="00DE2EDF">
        <w:rPr>
          <w:rFonts w:eastAsia="Times New Roman" w:cs="Times New Roman"/>
          <w:iCs/>
          <w:lang w:val="en-GB"/>
        </w:rPr>
        <w:t xml:space="preserve"> without any</w:t>
      </w:r>
      <w:r w:rsidRPr="00DE2EDF">
        <w:rPr>
          <w:rFonts w:eastAsia="Times New Roman" w:cs="Times New Roman"/>
          <w:iCs/>
          <w:lang w:val="en-GB"/>
        </w:rPr>
        <w:t xml:space="preserve"> overlap</w:t>
      </w:r>
      <w:r w:rsidR="00B56CA7" w:rsidRPr="00DE2EDF">
        <w:rPr>
          <w:rFonts w:eastAsia="Times New Roman" w:cs="Times New Roman"/>
          <w:iCs/>
          <w:lang w:val="en-GB"/>
        </w:rPr>
        <w:t xml:space="preserve">: </w:t>
      </w:r>
      <w:r w:rsidRPr="00DE2EDF">
        <w:rPr>
          <w:rFonts w:eastAsia="Times New Roman" w:cs="Times New Roman"/>
          <w:iCs/>
          <w:lang w:val="en-GB"/>
        </w:rPr>
        <w:t xml:space="preserve">constitutional </w:t>
      </w:r>
      <w:r w:rsidR="00A23593" w:rsidRPr="00DE2EDF">
        <w:rPr>
          <w:rFonts w:eastAsia="Times New Roman" w:cs="Times New Roman"/>
          <w:iCs/>
          <w:lang w:val="en-GB"/>
        </w:rPr>
        <w:t xml:space="preserve">issues </w:t>
      </w:r>
      <w:r w:rsidR="003D0284" w:rsidRPr="00DE2EDF">
        <w:rPr>
          <w:rFonts w:eastAsia="Times New Roman" w:cs="Times New Roman"/>
          <w:iCs/>
          <w:lang w:val="en-GB"/>
        </w:rPr>
        <w:t>are</w:t>
      </w:r>
      <w:r w:rsidRPr="00DE2EDF">
        <w:rPr>
          <w:rFonts w:eastAsia="Times New Roman" w:cs="Times New Roman"/>
          <w:iCs/>
          <w:lang w:val="en-GB"/>
        </w:rPr>
        <w:t xml:space="preserve"> concentrated in the</w:t>
      </w:r>
      <w:r w:rsidR="00A050A6" w:rsidRPr="00DE2EDF">
        <w:rPr>
          <w:rFonts w:eastAsia="Times New Roman" w:cs="Times New Roman"/>
          <w:iCs/>
          <w:lang w:val="en-GB"/>
        </w:rPr>
        <w:t xml:space="preserve"> hands of the</w:t>
      </w:r>
      <w:r w:rsidRPr="00DE2EDF">
        <w:rPr>
          <w:rFonts w:eastAsia="Times New Roman" w:cs="Times New Roman"/>
          <w:iCs/>
          <w:lang w:val="en-GB"/>
        </w:rPr>
        <w:t xml:space="preserve"> Constitutional Court</w:t>
      </w:r>
      <w:r w:rsidR="00261C10" w:rsidRPr="00DE2EDF">
        <w:rPr>
          <w:rFonts w:eastAsia="Times New Roman" w:cs="Times New Roman"/>
          <w:iCs/>
          <w:lang w:val="en-GB"/>
        </w:rPr>
        <w:t>,</w:t>
      </w:r>
      <w:r w:rsidR="00BA413B" w:rsidRPr="00DE2EDF">
        <w:rPr>
          <w:rFonts w:eastAsia="Times New Roman" w:cs="Times New Roman"/>
          <w:iCs/>
          <w:lang w:val="en-GB"/>
        </w:rPr>
        <w:t xml:space="preserve"> which has a monopoly</w:t>
      </w:r>
      <w:r w:rsidRPr="00DE2EDF">
        <w:rPr>
          <w:rFonts w:eastAsia="Times New Roman" w:cs="Times New Roman"/>
          <w:iCs/>
          <w:lang w:val="en-GB"/>
        </w:rPr>
        <w:t>; and (</w:t>
      </w:r>
      <w:r w:rsidR="005A09A9" w:rsidRPr="00DE2EDF">
        <w:rPr>
          <w:rFonts w:eastAsia="Times New Roman" w:cs="Times New Roman"/>
          <w:iCs/>
          <w:lang w:val="en-GB"/>
        </w:rPr>
        <w:t>c</w:t>
      </w:r>
      <w:r w:rsidRPr="00DE2EDF">
        <w:rPr>
          <w:rFonts w:eastAsia="Times New Roman" w:cs="Times New Roman"/>
          <w:iCs/>
          <w:lang w:val="en-GB"/>
        </w:rPr>
        <w:t xml:space="preserve">) the lack of hierarchy between the Constitutional Court and </w:t>
      </w:r>
      <w:r w:rsidR="00A050A6" w:rsidRPr="00DE2EDF">
        <w:rPr>
          <w:rFonts w:eastAsia="Times New Roman" w:cs="Times New Roman"/>
          <w:iCs/>
          <w:lang w:val="en-GB"/>
        </w:rPr>
        <w:t xml:space="preserve">the </w:t>
      </w:r>
      <w:r w:rsidRPr="00DE2EDF">
        <w:rPr>
          <w:rFonts w:eastAsia="Times New Roman" w:cs="Times New Roman"/>
          <w:iCs/>
          <w:lang w:val="en-GB"/>
        </w:rPr>
        <w:t>highest administrative court</w:t>
      </w:r>
      <w:r w:rsidR="00B56CA7" w:rsidRPr="00DE2EDF">
        <w:rPr>
          <w:rFonts w:eastAsia="Times New Roman" w:cs="Times New Roman"/>
          <w:iCs/>
          <w:lang w:val="en-GB"/>
        </w:rPr>
        <w:t xml:space="preserve">: </w:t>
      </w:r>
      <w:r w:rsidR="00A23593" w:rsidRPr="00DE2EDF">
        <w:rPr>
          <w:rFonts w:eastAsia="Times New Roman" w:cs="Times New Roman"/>
          <w:iCs/>
          <w:lang w:val="en-GB"/>
        </w:rPr>
        <w:t>a</w:t>
      </w:r>
      <w:r w:rsidR="00A050A6" w:rsidRPr="00DE2EDF">
        <w:rPr>
          <w:rFonts w:eastAsia="Times New Roman" w:cs="Times New Roman"/>
          <w:iCs/>
          <w:lang w:val="en-GB"/>
        </w:rPr>
        <w:t xml:space="preserve">n appeal </w:t>
      </w:r>
      <w:r w:rsidR="00A23593" w:rsidRPr="00DE2EDF">
        <w:rPr>
          <w:rFonts w:eastAsia="Times New Roman" w:cs="Times New Roman"/>
          <w:iCs/>
          <w:lang w:val="en-GB"/>
        </w:rPr>
        <w:t xml:space="preserve">of the decision of the </w:t>
      </w:r>
      <w:r w:rsidR="0068588C" w:rsidRPr="00DE2EDF">
        <w:rPr>
          <w:rFonts w:eastAsia="Times New Roman" w:cs="Times New Roman"/>
          <w:iCs/>
          <w:lang w:val="en-GB"/>
        </w:rPr>
        <w:t>latter to the former</w:t>
      </w:r>
      <w:r w:rsidR="00A23593" w:rsidRPr="00DE2EDF">
        <w:rPr>
          <w:rFonts w:eastAsia="Times New Roman" w:cs="Times New Roman"/>
          <w:iCs/>
          <w:lang w:val="en-GB"/>
        </w:rPr>
        <w:t xml:space="preserve"> with regard to constitutional issues does not exist </w:t>
      </w:r>
      <w:r w:rsidRPr="00DE2EDF">
        <w:rPr>
          <w:rFonts w:eastAsia="Times New Roman" w:cs="Times New Roman"/>
          <w:iCs/>
          <w:lang w:val="en-GB"/>
        </w:rPr>
        <w:t xml:space="preserve">because such </w:t>
      </w:r>
      <w:r w:rsidR="000A6B0F" w:rsidRPr="00DE2EDF">
        <w:rPr>
          <w:rFonts w:eastAsia="Times New Roman" w:cs="Times New Roman"/>
          <w:iCs/>
          <w:lang w:val="en-GB"/>
        </w:rPr>
        <w:t>review</w:t>
      </w:r>
      <w:r w:rsidR="00D56041" w:rsidRPr="00DE2EDF">
        <w:rPr>
          <w:rFonts w:eastAsia="Times New Roman" w:cs="Times New Roman"/>
          <w:iCs/>
          <w:lang w:val="en-GB"/>
        </w:rPr>
        <w:t xml:space="preserve"> </w:t>
      </w:r>
      <w:r w:rsidRPr="00DE2EDF">
        <w:rPr>
          <w:rFonts w:eastAsia="Times New Roman" w:cs="Times New Roman"/>
          <w:iCs/>
          <w:lang w:val="en-GB"/>
        </w:rPr>
        <w:t xml:space="preserve">is, </w:t>
      </w:r>
      <w:r w:rsidRPr="00DE2EDF">
        <w:rPr>
          <w:rFonts w:eastAsia="Times New Roman" w:cs="Times New Roman"/>
          <w:lang w:val="en-GB"/>
        </w:rPr>
        <w:t>by definition,</w:t>
      </w:r>
      <w:r w:rsidRPr="00DE2EDF">
        <w:rPr>
          <w:rFonts w:eastAsia="Times New Roman" w:cs="Times New Roman"/>
          <w:iCs/>
          <w:lang w:val="en-GB"/>
        </w:rPr>
        <w:t xml:space="preserve"> unnecessary.</w:t>
      </w:r>
      <w:r w:rsidR="00FE47CF" w:rsidRPr="00DE2EDF">
        <w:rPr>
          <w:rFonts w:eastAsia="Times New Roman" w:cs="Times New Roman"/>
          <w:iCs/>
          <w:lang w:val="en-GB"/>
        </w:rPr>
        <w:t xml:space="preserve"> I propose to call </w:t>
      </w:r>
      <w:r w:rsidR="00261C10" w:rsidRPr="00DE2EDF">
        <w:rPr>
          <w:rFonts w:eastAsia="Times New Roman" w:cs="Times New Roman"/>
          <w:iCs/>
          <w:lang w:val="en-GB"/>
        </w:rPr>
        <w:t xml:space="preserve">this model </w:t>
      </w:r>
      <w:r w:rsidR="00FE47CF" w:rsidRPr="00DE2EDF">
        <w:rPr>
          <w:rFonts w:eastAsia="Times New Roman" w:cs="Times New Roman"/>
          <w:iCs/>
          <w:lang w:val="en-GB"/>
        </w:rPr>
        <w:t xml:space="preserve">the ‘double-track </w:t>
      </w:r>
      <w:r w:rsidR="00FE47CF" w:rsidRPr="00DE2EDF">
        <w:rPr>
          <w:rFonts w:eastAsia="Times New Roman" w:cs="Times New Roman"/>
          <w:iCs/>
          <w:lang w:val="en-GB"/>
        </w:rPr>
        <w:lastRenderedPageBreak/>
        <w:t>system’</w:t>
      </w:r>
      <w:r w:rsidR="0057271D" w:rsidRPr="00DE2EDF">
        <w:rPr>
          <w:rFonts w:cs="Times New Roman"/>
        </w:rPr>
        <w:t>—</w:t>
      </w:r>
      <w:r w:rsidR="00BA413B" w:rsidRPr="00DE2EDF">
        <w:rPr>
          <w:rFonts w:eastAsia="Times New Roman" w:cs="Times New Roman"/>
          <w:iCs/>
          <w:lang w:val="en-GB"/>
        </w:rPr>
        <w:t xml:space="preserve">with </w:t>
      </w:r>
      <w:r w:rsidR="00FE47CF" w:rsidRPr="00DE2EDF">
        <w:rPr>
          <w:rFonts w:eastAsia="Times New Roman" w:cs="Times New Roman"/>
          <w:iCs/>
          <w:lang w:val="en-GB"/>
        </w:rPr>
        <w:t>parallel judicial remedies</w:t>
      </w:r>
      <w:r w:rsidR="00BA413B" w:rsidRPr="00DE2EDF">
        <w:rPr>
          <w:rFonts w:eastAsia="Times New Roman" w:cs="Times New Roman"/>
          <w:iCs/>
          <w:lang w:val="en-GB"/>
        </w:rPr>
        <w:t xml:space="preserve"> for legality and constitutionality</w:t>
      </w:r>
      <w:r w:rsidR="00D56041" w:rsidRPr="00DE2EDF">
        <w:rPr>
          <w:rFonts w:eastAsia="Times New Roman" w:cs="Times New Roman"/>
          <w:iCs/>
          <w:lang w:val="en-GB"/>
        </w:rPr>
        <w:t xml:space="preserve"> issues </w:t>
      </w:r>
      <w:r w:rsidR="00195540" w:rsidRPr="00DE2EDF">
        <w:rPr>
          <w:rFonts w:eastAsia="Times New Roman" w:cs="Times New Roman"/>
          <w:iCs/>
          <w:lang w:val="en-GB"/>
        </w:rPr>
        <w:t xml:space="preserve">or </w:t>
      </w:r>
      <w:r w:rsidR="00BA413B" w:rsidRPr="00DE2EDF">
        <w:rPr>
          <w:rFonts w:eastAsia="Times New Roman" w:cs="Times New Roman"/>
          <w:iCs/>
          <w:lang w:val="en-GB"/>
        </w:rPr>
        <w:t>‘</w:t>
      </w:r>
      <w:r w:rsidR="00195540" w:rsidRPr="00DE2EDF">
        <w:rPr>
          <w:rFonts w:eastAsia="Times New Roman" w:cs="Times New Roman"/>
          <w:iCs/>
          <w:lang w:val="en-GB"/>
        </w:rPr>
        <w:t xml:space="preserve">the </w:t>
      </w:r>
      <w:r w:rsidR="00BA413B" w:rsidRPr="00DE2EDF">
        <w:rPr>
          <w:rFonts w:eastAsia="Times New Roman" w:cs="Times New Roman"/>
          <w:iCs/>
          <w:lang w:val="en-GB"/>
        </w:rPr>
        <w:t xml:space="preserve">monopolistic </w:t>
      </w:r>
      <w:r w:rsidR="00195540" w:rsidRPr="00DE2EDF">
        <w:rPr>
          <w:rFonts w:eastAsia="Times New Roman" w:cs="Times New Roman"/>
          <w:iCs/>
          <w:lang w:val="en-GB"/>
        </w:rPr>
        <w:t>model of constitutional justice’</w:t>
      </w:r>
      <w:r w:rsidR="00FE47CF" w:rsidRPr="00DE2EDF">
        <w:rPr>
          <w:rFonts w:eastAsia="Times New Roman" w:cs="Times New Roman"/>
          <w:iCs/>
          <w:lang w:val="en-GB"/>
        </w:rPr>
        <w:t>.</w:t>
      </w:r>
    </w:p>
    <w:p w14:paraId="36B57984" w14:textId="77777777" w:rsidR="000F4C26" w:rsidRPr="00DE2EDF" w:rsidRDefault="000F4C26" w:rsidP="00DE2EDF">
      <w:pPr>
        <w:spacing w:after="0"/>
        <w:jc w:val="both"/>
        <w:rPr>
          <w:rFonts w:eastAsia="Times New Roman" w:cs="Times New Roman"/>
          <w:iCs/>
          <w:lang w:val="en-GB"/>
        </w:rPr>
      </w:pPr>
    </w:p>
    <w:p w14:paraId="6B038F4C" w14:textId="77777777" w:rsidR="00BE6B33" w:rsidRPr="00DE2EDF" w:rsidRDefault="00BE6B33" w:rsidP="00DE2EDF">
      <w:pPr>
        <w:spacing w:after="0"/>
        <w:jc w:val="both"/>
        <w:rPr>
          <w:rFonts w:eastAsia="Times New Roman" w:cs="Times New Roman"/>
          <w:iCs/>
          <w:lang w:val="en-GB"/>
        </w:rPr>
      </w:pPr>
      <w:r w:rsidRPr="00DE2EDF">
        <w:rPr>
          <w:rFonts w:eastAsia="Times New Roman" w:cs="Times New Roman"/>
          <w:iCs/>
          <w:lang w:val="en-GB"/>
        </w:rPr>
        <w:t>In contras</w:t>
      </w:r>
      <w:r w:rsidR="002C4888" w:rsidRPr="00DE2EDF">
        <w:rPr>
          <w:rFonts w:eastAsia="Times New Roman" w:cs="Times New Roman"/>
          <w:iCs/>
          <w:lang w:val="en-GB"/>
        </w:rPr>
        <w:t xml:space="preserve">t to this first ideal type, </w:t>
      </w:r>
      <w:r w:rsidRPr="00DE2EDF">
        <w:rPr>
          <w:rFonts w:eastAsia="Times New Roman" w:cs="Times New Roman"/>
          <w:iCs/>
          <w:lang w:val="en-GB"/>
        </w:rPr>
        <w:t xml:space="preserve">the three </w:t>
      </w:r>
      <w:r w:rsidR="002C4888" w:rsidRPr="00DE2EDF">
        <w:rPr>
          <w:rFonts w:eastAsia="Times New Roman" w:cs="Times New Roman"/>
          <w:iCs/>
          <w:lang w:val="en-GB"/>
        </w:rPr>
        <w:t>following</w:t>
      </w:r>
      <w:r w:rsidRPr="00DE2EDF">
        <w:rPr>
          <w:rFonts w:eastAsia="Times New Roman" w:cs="Times New Roman"/>
          <w:iCs/>
          <w:lang w:val="en-GB"/>
        </w:rPr>
        <w:t xml:space="preserve"> </w:t>
      </w:r>
      <w:r w:rsidR="00B56CA7" w:rsidRPr="00DE2EDF">
        <w:rPr>
          <w:rFonts w:eastAsia="Times New Roman" w:cs="Times New Roman"/>
          <w:iCs/>
          <w:lang w:val="en-GB"/>
        </w:rPr>
        <w:t xml:space="preserve">ideal </w:t>
      </w:r>
      <w:r w:rsidRPr="00DE2EDF">
        <w:rPr>
          <w:rFonts w:eastAsia="Times New Roman" w:cs="Times New Roman"/>
          <w:iCs/>
          <w:lang w:val="en-GB"/>
        </w:rPr>
        <w:t>types have in common that the jurisdiction to interpret and apply directly the Constitution</w:t>
      </w:r>
      <w:r w:rsidR="00B56CA7" w:rsidRPr="00DE2EDF">
        <w:rPr>
          <w:rFonts w:eastAsia="Times New Roman" w:cs="Times New Roman"/>
          <w:iCs/>
          <w:lang w:val="en-GB"/>
        </w:rPr>
        <w:t xml:space="preserve"> (i.e.</w:t>
      </w:r>
      <w:r w:rsidR="00F46DFB" w:rsidRPr="00DE2EDF">
        <w:rPr>
          <w:rFonts w:eastAsia="Times New Roman" w:cs="Times New Roman"/>
          <w:iCs/>
          <w:lang w:val="en-GB"/>
        </w:rPr>
        <w:t>,</w:t>
      </w:r>
      <w:r w:rsidR="00B56CA7" w:rsidRPr="00DE2EDF">
        <w:rPr>
          <w:rFonts w:eastAsia="Times New Roman" w:cs="Times New Roman"/>
          <w:iCs/>
          <w:lang w:val="en-GB"/>
        </w:rPr>
        <w:t xml:space="preserve"> constitutional adjudication or ‘constitutional justice’) is </w:t>
      </w:r>
      <w:r w:rsidR="00F46DFB" w:rsidRPr="00DE2EDF">
        <w:rPr>
          <w:rFonts w:eastAsia="Times New Roman" w:cs="Times New Roman"/>
          <w:iCs/>
          <w:lang w:val="en-GB"/>
        </w:rPr>
        <w:t>shar</w:t>
      </w:r>
      <w:r w:rsidR="00B56CA7" w:rsidRPr="00DE2EDF">
        <w:rPr>
          <w:rFonts w:eastAsia="Times New Roman" w:cs="Times New Roman"/>
          <w:iCs/>
          <w:lang w:val="en-GB"/>
        </w:rPr>
        <w:t xml:space="preserve">ed </w:t>
      </w:r>
      <w:r w:rsidR="00607F50" w:rsidRPr="00DE2EDF">
        <w:rPr>
          <w:rFonts w:eastAsia="Times New Roman" w:cs="Times New Roman"/>
          <w:iCs/>
          <w:lang w:val="en-GB"/>
        </w:rPr>
        <w:t xml:space="preserve">by </w:t>
      </w:r>
      <w:r w:rsidR="00B56CA7" w:rsidRPr="00DE2EDF">
        <w:rPr>
          <w:rFonts w:eastAsia="Times New Roman" w:cs="Times New Roman"/>
          <w:iCs/>
          <w:lang w:val="en-GB"/>
        </w:rPr>
        <w:t>ordinary courts (civil, criminal, administrative, fiscal, etc.) and the Constitutional Court. The latter has no monopolistic position as the only</w:t>
      </w:r>
      <w:r w:rsidR="00CB4B13" w:rsidRPr="00DE2EDF">
        <w:rPr>
          <w:rFonts w:eastAsia="Times New Roman" w:cs="Times New Roman"/>
          <w:iCs/>
          <w:lang w:val="en-GB"/>
        </w:rPr>
        <w:t xml:space="preserve"> (judicial)</w:t>
      </w:r>
      <w:r w:rsidR="00B56CA7" w:rsidRPr="00DE2EDF">
        <w:rPr>
          <w:rFonts w:eastAsia="Times New Roman" w:cs="Times New Roman"/>
          <w:iCs/>
          <w:lang w:val="en-GB"/>
        </w:rPr>
        <w:t xml:space="preserve"> oracle or guardian of the Constitution.</w:t>
      </w:r>
      <w:r w:rsidR="00D2732C" w:rsidRPr="00DE2EDF">
        <w:rPr>
          <w:rFonts w:eastAsia="Times New Roman" w:cs="Times New Roman"/>
          <w:iCs/>
          <w:lang w:val="en-GB"/>
        </w:rPr>
        <w:t xml:space="preserve"> </w:t>
      </w:r>
      <w:r w:rsidR="00DD2F57" w:rsidRPr="00DE2EDF">
        <w:rPr>
          <w:rFonts w:eastAsia="Times New Roman" w:cs="Times New Roman"/>
          <w:iCs/>
          <w:lang w:val="en-GB"/>
        </w:rPr>
        <w:t>Besides dealing with the ordinary law of their specific legal branch, ordinary courts also mobiliz</w:t>
      </w:r>
      <w:r w:rsidR="00CA70A2" w:rsidRPr="00DE2EDF">
        <w:rPr>
          <w:rFonts w:eastAsia="Times New Roman" w:cs="Times New Roman"/>
          <w:iCs/>
          <w:lang w:val="en-GB"/>
        </w:rPr>
        <w:t>e</w:t>
      </w:r>
      <w:r w:rsidR="00DD2F57" w:rsidRPr="00DE2EDF">
        <w:rPr>
          <w:rFonts w:eastAsia="Times New Roman" w:cs="Times New Roman"/>
          <w:iCs/>
          <w:lang w:val="en-GB"/>
        </w:rPr>
        <w:t>, to some extent, the Constitution</w:t>
      </w:r>
      <w:r w:rsidR="00F46DFB" w:rsidRPr="00DE2EDF">
        <w:rPr>
          <w:rFonts w:eastAsia="Times New Roman" w:cs="Times New Roman"/>
          <w:iCs/>
          <w:lang w:val="en-GB"/>
        </w:rPr>
        <w:t>.</w:t>
      </w:r>
      <w:r w:rsidR="00501B46" w:rsidRPr="00DE2EDF">
        <w:rPr>
          <w:rStyle w:val="FootnoteReference"/>
          <w:rFonts w:eastAsia="Times New Roman" w:cs="Times New Roman"/>
          <w:iCs/>
          <w:lang w:val="en-GB"/>
        </w:rPr>
        <w:footnoteReference w:id="256"/>
      </w:r>
      <w:r w:rsidR="00501B46" w:rsidRPr="00DE2EDF">
        <w:rPr>
          <w:rFonts w:eastAsia="Times New Roman" w:cs="Times New Roman"/>
          <w:iCs/>
          <w:lang w:val="en-GB"/>
        </w:rPr>
        <w:t xml:space="preserve"> </w:t>
      </w:r>
      <w:r w:rsidR="00D2732C" w:rsidRPr="00DE2EDF">
        <w:rPr>
          <w:rFonts w:eastAsia="Times New Roman" w:cs="Times New Roman"/>
          <w:iCs/>
          <w:lang w:val="en-GB"/>
        </w:rPr>
        <w:t>This raises a question of internal coherence (do all these courts always attribute the same meaning to the constitutional text?) and, thus</w:t>
      </w:r>
      <w:r w:rsidR="005267DB" w:rsidRPr="00DE2EDF">
        <w:rPr>
          <w:rFonts w:eastAsia="Times New Roman" w:cs="Times New Roman"/>
          <w:iCs/>
          <w:lang w:val="en-GB"/>
        </w:rPr>
        <w:t>, of institutional ‘interplay’. Th</w:t>
      </w:r>
      <w:r w:rsidR="003C7129" w:rsidRPr="00DE2EDF">
        <w:rPr>
          <w:rFonts w:eastAsia="Times New Roman" w:cs="Times New Roman"/>
          <w:iCs/>
          <w:lang w:val="en-GB"/>
        </w:rPr>
        <w:t xml:space="preserve">e latter, </w:t>
      </w:r>
      <w:r w:rsidR="005267DB" w:rsidRPr="00DE2EDF">
        <w:rPr>
          <w:rFonts w:eastAsia="Times New Roman" w:cs="Times New Roman"/>
          <w:iCs/>
          <w:lang w:val="en-GB"/>
        </w:rPr>
        <w:t>very ambiguous term</w:t>
      </w:r>
      <w:r w:rsidR="00CB4B13" w:rsidRPr="00DE2EDF">
        <w:rPr>
          <w:rFonts w:eastAsia="Times New Roman" w:cs="Times New Roman"/>
          <w:iCs/>
          <w:lang w:val="en-GB"/>
        </w:rPr>
        <w:t xml:space="preserve"> has been </w:t>
      </w:r>
      <w:r w:rsidR="005267DB" w:rsidRPr="00DE2EDF">
        <w:rPr>
          <w:rFonts w:eastAsia="Times New Roman" w:cs="Times New Roman"/>
          <w:iCs/>
          <w:lang w:val="en-GB"/>
        </w:rPr>
        <w:t xml:space="preserve">chosen voluntarily, </w:t>
      </w:r>
      <w:r w:rsidR="003C7129" w:rsidRPr="00DE2EDF">
        <w:rPr>
          <w:rFonts w:eastAsia="Times New Roman" w:cs="Times New Roman"/>
          <w:iCs/>
          <w:lang w:val="en-GB"/>
        </w:rPr>
        <w:t xml:space="preserve">as it </w:t>
      </w:r>
      <w:r w:rsidR="005267DB" w:rsidRPr="00DE2EDF">
        <w:rPr>
          <w:rFonts w:eastAsia="Times New Roman" w:cs="Times New Roman"/>
          <w:iCs/>
          <w:lang w:val="en-GB"/>
        </w:rPr>
        <w:t>may cover a variety of situations</w:t>
      </w:r>
      <w:r w:rsidR="00CA70A2" w:rsidRPr="00DE2EDF">
        <w:rPr>
          <w:rFonts w:eastAsia="Times New Roman" w:cs="Times New Roman"/>
          <w:iCs/>
          <w:lang w:val="en-GB"/>
        </w:rPr>
        <w:t xml:space="preserve"> (ideal types no 2, 3, and 4)</w:t>
      </w:r>
      <w:r w:rsidR="005267DB" w:rsidRPr="00DE2EDF">
        <w:rPr>
          <w:rFonts w:eastAsia="Times New Roman" w:cs="Times New Roman"/>
          <w:iCs/>
          <w:lang w:val="en-GB"/>
        </w:rPr>
        <w:t>.</w:t>
      </w:r>
    </w:p>
    <w:p w14:paraId="029D485B" w14:textId="77777777" w:rsidR="000F4C26" w:rsidRPr="00DE2EDF" w:rsidRDefault="000F4C26" w:rsidP="00DE2EDF">
      <w:pPr>
        <w:spacing w:after="0"/>
        <w:jc w:val="both"/>
        <w:rPr>
          <w:rFonts w:eastAsia="Times New Roman" w:cs="Times New Roman"/>
          <w:iCs/>
          <w:lang w:val="en-GB"/>
        </w:rPr>
      </w:pPr>
    </w:p>
    <w:p w14:paraId="66ED7458" w14:textId="77777777" w:rsidR="000A02F2" w:rsidRPr="00DE2EDF" w:rsidRDefault="00BE6B33" w:rsidP="00DE2EDF">
      <w:pPr>
        <w:spacing w:after="0"/>
        <w:jc w:val="both"/>
        <w:rPr>
          <w:rFonts w:eastAsia="Times New Roman" w:cs="Times New Roman"/>
          <w:iCs/>
          <w:lang w:val="en-GB"/>
        </w:rPr>
      </w:pPr>
      <w:r w:rsidRPr="00DE2EDF">
        <w:rPr>
          <w:rFonts w:eastAsia="Times New Roman" w:cs="Times New Roman"/>
          <w:iCs/>
          <w:lang w:val="en-GB"/>
        </w:rPr>
        <w:t xml:space="preserve">The </w:t>
      </w:r>
      <w:r w:rsidR="005267DB" w:rsidRPr="00DE2EDF">
        <w:rPr>
          <w:rFonts w:eastAsia="Times New Roman" w:cs="Times New Roman"/>
          <w:iCs/>
          <w:lang w:val="en-GB"/>
        </w:rPr>
        <w:t xml:space="preserve">first </w:t>
      </w:r>
      <w:r w:rsidR="00CA70A2" w:rsidRPr="00DE2EDF">
        <w:rPr>
          <w:rFonts w:eastAsia="Times New Roman" w:cs="Times New Roman"/>
          <w:iCs/>
          <w:lang w:val="en-GB"/>
        </w:rPr>
        <w:t>approach</w:t>
      </w:r>
      <w:r w:rsidR="005267DB" w:rsidRPr="00DE2EDF">
        <w:rPr>
          <w:rFonts w:eastAsia="Times New Roman" w:cs="Times New Roman"/>
          <w:iCs/>
          <w:lang w:val="en-GB"/>
        </w:rPr>
        <w:t xml:space="preserve"> (</w:t>
      </w:r>
      <w:r w:rsidRPr="00DE2EDF">
        <w:rPr>
          <w:rFonts w:eastAsia="Times New Roman" w:cs="Times New Roman"/>
          <w:iCs/>
          <w:lang w:val="en-GB"/>
        </w:rPr>
        <w:t>ideal type</w:t>
      </w:r>
      <w:r w:rsidR="005267DB" w:rsidRPr="00DE2EDF">
        <w:rPr>
          <w:rFonts w:eastAsia="Times New Roman" w:cs="Times New Roman"/>
          <w:iCs/>
          <w:lang w:val="en-GB"/>
        </w:rPr>
        <w:t xml:space="preserve"> n</w:t>
      </w:r>
      <w:r w:rsidR="00641FA1" w:rsidRPr="00DE2EDF">
        <w:rPr>
          <w:rFonts w:eastAsia="Times New Roman" w:cs="Times New Roman"/>
          <w:iCs/>
          <w:lang w:val="en-GB"/>
        </w:rPr>
        <w:t xml:space="preserve">o </w:t>
      </w:r>
      <w:r w:rsidR="005267DB" w:rsidRPr="00DE2EDF">
        <w:rPr>
          <w:rFonts w:eastAsia="Times New Roman" w:cs="Times New Roman"/>
          <w:iCs/>
          <w:lang w:val="en-GB"/>
        </w:rPr>
        <w:t xml:space="preserve">2), </w:t>
      </w:r>
      <w:r w:rsidRPr="00DE2EDF">
        <w:rPr>
          <w:rFonts w:eastAsia="Times New Roman" w:cs="Times New Roman"/>
          <w:iCs/>
          <w:lang w:val="en-GB"/>
        </w:rPr>
        <w:t xml:space="preserve">I propose to call it the ‘polycentric system of constitutional justice’. It is best illustrated by some specific features of the French legal system, which </w:t>
      </w:r>
      <w:r w:rsidR="000A02F2" w:rsidRPr="00DE2EDF">
        <w:rPr>
          <w:rFonts w:eastAsia="Times New Roman" w:cs="Times New Roman"/>
          <w:iCs/>
          <w:lang w:val="en-GB"/>
        </w:rPr>
        <w:t>were</w:t>
      </w:r>
      <w:r w:rsidRPr="00DE2EDF">
        <w:rPr>
          <w:rFonts w:eastAsia="Times New Roman" w:cs="Times New Roman"/>
          <w:iCs/>
          <w:lang w:val="en-GB"/>
        </w:rPr>
        <w:t xml:space="preserve"> </w:t>
      </w:r>
      <w:r w:rsidR="005267DB" w:rsidRPr="00DE2EDF">
        <w:rPr>
          <w:rFonts w:eastAsia="Times New Roman" w:cs="Times New Roman"/>
          <w:iCs/>
          <w:lang w:val="en-GB"/>
        </w:rPr>
        <w:t>particularly</w:t>
      </w:r>
      <w:r w:rsidRPr="00DE2EDF">
        <w:rPr>
          <w:rFonts w:eastAsia="Times New Roman" w:cs="Times New Roman"/>
          <w:iCs/>
          <w:lang w:val="en-GB"/>
        </w:rPr>
        <w:t xml:space="preserve"> visible in the period before 2008. </w:t>
      </w:r>
      <w:r w:rsidR="00535683" w:rsidRPr="00DE2EDF">
        <w:rPr>
          <w:rFonts w:eastAsia="Times New Roman" w:cs="Times New Roman"/>
          <w:iCs/>
          <w:lang w:val="en-GB"/>
        </w:rPr>
        <w:t>According to</w:t>
      </w:r>
      <w:r w:rsidR="005267DB" w:rsidRPr="00DE2EDF">
        <w:rPr>
          <w:rFonts w:eastAsia="Times New Roman" w:cs="Times New Roman"/>
          <w:iCs/>
          <w:lang w:val="en-GB"/>
        </w:rPr>
        <w:t xml:space="preserve"> this</w:t>
      </w:r>
      <w:r w:rsidRPr="00DE2EDF">
        <w:rPr>
          <w:rFonts w:eastAsia="Times New Roman" w:cs="Times New Roman"/>
          <w:iCs/>
          <w:lang w:val="en-GB"/>
        </w:rPr>
        <w:t xml:space="preserve"> </w:t>
      </w:r>
      <w:r w:rsidR="00535683" w:rsidRPr="00DE2EDF">
        <w:rPr>
          <w:rFonts w:eastAsia="Times New Roman" w:cs="Times New Roman"/>
          <w:iCs/>
          <w:lang w:val="en-GB"/>
        </w:rPr>
        <w:t xml:space="preserve">ideal type, </w:t>
      </w:r>
      <w:r w:rsidR="00D50299" w:rsidRPr="00DE2EDF">
        <w:rPr>
          <w:rFonts w:eastAsia="Times New Roman" w:cs="Times New Roman"/>
          <w:iCs/>
          <w:lang w:val="en-GB"/>
        </w:rPr>
        <w:t xml:space="preserve">the highest ordinary courts are totally independent from the Constitutional Court. </w:t>
      </w:r>
      <w:r w:rsidR="00CB4B13" w:rsidRPr="00DE2EDF">
        <w:rPr>
          <w:rFonts w:eastAsia="Times New Roman" w:cs="Times New Roman"/>
          <w:iCs/>
          <w:lang w:val="en-GB"/>
        </w:rPr>
        <w:t>T</w:t>
      </w:r>
      <w:r w:rsidRPr="00DE2EDF">
        <w:rPr>
          <w:rFonts w:eastAsia="Times New Roman" w:cs="Times New Roman"/>
          <w:iCs/>
          <w:lang w:val="en-GB"/>
        </w:rPr>
        <w:t xml:space="preserve">here </w:t>
      </w:r>
      <w:r w:rsidR="00CB4B13" w:rsidRPr="00DE2EDF">
        <w:rPr>
          <w:rFonts w:eastAsia="Times New Roman" w:cs="Times New Roman"/>
          <w:iCs/>
          <w:lang w:val="en-GB"/>
        </w:rPr>
        <w:t>is no</w:t>
      </w:r>
      <w:r w:rsidRPr="00DE2EDF">
        <w:rPr>
          <w:rFonts w:eastAsia="Times New Roman" w:cs="Times New Roman"/>
          <w:iCs/>
          <w:lang w:val="en-GB"/>
        </w:rPr>
        <w:t xml:space="preserve"> hierarchical-institutional solution to abolish divergences between the interpretations of the Constitution by the various courts</w:t>
      </w:r>
      <w:r w:rsidR="005267DB" w:rsidRPr="00DE2EDF">
        <w:rPr>
          <w:rFonts w:eastAsia="Times New Roman" w:cs="Times New Roman"/>
          <w:iCs/>
          <w:lang w:val="en-GB"/>
        </w:rPr>
        <w:t>,</w:t>
      </w:r>
      <w:r w:rsidRPr="00DE2EDF">
        <w:rPr>
          <w:rFonts w:eastAsia="Times New Roman" w:cs="Times New Roman"/>
          <w:iCs/>
          <w:lang w:val="en-GB"/>
        </w:rPr>
        <w:t xml:space="preserve"> due to the lack of an appeal </w:t>
      </w:r>
      <w:r w:rsidR="00641FA1" w:rsidRPr="00DE2EDF">
        <w:rPr>
          <w:rFonts w:eastAsia="Times New Roman" w:cs="Times New Roman"/>
          <w:iCs/>
          <w:lang w:val="en-GB"/>
        </w:rPr>
        <w:t>from</w:t>
      </w:r>
      <w:r w:rsidRPr="00DE2EDF">
        <w:rPr>
          <w:rFonts w:eastAsia="Times New Roman" w:cs="Times New Roman"/>
          <w:iCs/>
          <w:lang w:val="en-GB"/>
        </w:rPr>
        <w:t xml:space="preserve"> the ordinary courts’ judgments to the Constitutional Court. </w:t>
      </w:r>
      <w:r w:rsidR="00D50299" w:rsidRPr="00DE2EDF">
        <w:rPr>
          <w:rFonts w:eastAsia="Times New Roman" w:cs="Times New Roman"/>
          <w:iCs/>
          <w:lang w:val="en-GB"/>
        </w:rPr>
        <w:t xml:space="preserve">Nor are they interacting </w:t>
      </w:r>
      <w:r w:rsidR="00641FA1" w:rsidRPr="00DE2EDF">
        <w:rPr>
          <w:rFonts w:eastAsia="Times New Roman" w:cs="Times New Roman"/>
          <w:iCs/>
          <w:lang w:val="en-GB"/>
        </w:rPr>
        <w:t>through</w:t>
      </w:r>
      <w:r w:rsidR="00D50299" w:rsidRPr="00DE2EDF">
        <w:rPr>
          <w:rFonts w:eastAsia="Times New Roman" w:cs="Times New Roman"/>
          <w:iCs/>
          <w:lang w:val="en-GB"/>
        </w:rPr>
        <w:t xml:space="preserve"> cooperati</w:t>
      </w:r>
      <w:r w:rsidR="00641FA1" w:rsidRPr="00DE2EDF">
        <w:rPr>
          <w:rFonts w:eastAsia="Times New Roman" w:cs="Times New Roman"/>
          <w:iCs/>
          <w:lang w:val="en-GB"/>
        </w:rPr>
        <w:t>on</w:t>
      </w:r>
      <w:r w:rsidR="00D50299" w:rsidRPr="00DE2EDF">
        <w:rPr>
          <w:rFonts w:eastAsia="Times New Roman" w:cs="Times New Roman"/>
          <w:iCs/>
          <w:lang w:val="en-GB"/>
        </w:rPr>
        <w:t xml:space="preserve">. </w:t>
      </w:r>
      <w:r w:rsidRPr="00DE2EDF">
        <w:rPr>
          <w:rFonts w:eastAsia="Times New Roman" w:cs="Times New Roman"/>
          <w:iCs/>
          <w:lang w:val="en-GB"/>
        </w:rPr>
        <w:t xml:space="preserve">Inside the four corners of its own jurisdiction, every judge, including administrative judges, </w:t>
      </w:r>
      <w:r w:rsidR="000A02F2" w:rsidRPr="00DE2EDF">
        <w:rPr>
          <w:rFonts w:eastAsia="Times New Roman" w:cs="Times New Roman"/>
          <w:iCs/>
          <w:lang w:val="en-GB"/>
        </w:rPr>
        <w:t>develop</w:t>
      </w:r>
      <w:r w:rsidR="00641FA1" w:rsidRPr="00DE2EDF">
        <w:rPr>
          <w:rFonts w:eastAsia="Times New Roman" w:cs="Times New Roman"/>
          <w:iCs/>
          <w:lang w:val="en-GB"/>
        </w:rPr>
        <w:t>s</w:t>
      </w:r>
      <w:r w:rsidRPr="00DE2EDF">
        <w:rPr>
          <w:rFonts w:eastAsia="Times New Roman" w:cs="Times New Roman"/>
          <w:iCs/>
          <w:lang w:val="en-GB"/>
        </w:rPr>
        <w:t xml:space="preserve"> final (‘sovereign’) interpretations of the Constitution. Unity of constitutional interpretation may only come about</w:t>
      </w:r>
      <w:r w:rsidR="000A02F2" w:rsidRPr="00DE2EDF">
        <w:rPr>
          <w:rFonts w:eastAsia="Times New Roman" w:cs="Times New Roman"/>
          <w:iCs/>
          <w:lang w:val="en-GB"/>
        </w:rPr>
        <w:t xml:space="preserve"> eit</w:t>
      </w:r>
      <w:r w:rsidRPr="00DE2EDF">
        <w:rPr>
          <w:rFonts w:eastAsia="Times New Roman" w:cs="Times New Roman"/>
          <w:iCs/>
          <w:lang w:val="en-GB"/>
        </w:rPr>
        <w:t>her through a ‘dialogue of judges’ (</w:t>
      </w:r>
      <w:r w:rsidR="00535683" w:rsidRPr="00DE2EDF">
        <w:rPr>
          <w:rFonts w:eastAsia="Times New Roman" w:cs="Times New Roman"/>
          <w:iCs/>
          <w:lang w:val="en-GB"/>
        </w:rPr>
        <w:t>whether</w:t>
      </w:r>
      <w:r w:rsidR="00D50299" w:rsidRPr="00DE2EDF">
        <w:rPr>
          <w:rFonts w:eastAsia="Times New Roman" w:cs="Times New Roman"/>
          <w:iCs/>
          <w:lang w:val="en-GB"/>
        </w:rPr>
        <w:t xml:space="preserve"> such </w:t>
      </w:r>
      <w:r w:rsidRPr="00DE2EDF">
        <w:rPr>
          <w:rFonts w:eastAsia="Times New Roman" w:cs="Times New Roman"/>
          <w:iCs/>
          <w:lang w:val="en-GB"/>
        </w:rPr>
        <w:t xml:space="preserve">informal discussions </w:t>
      </w:r>
      <w:r w:rsidR="00D50299" w:rsidRPr="00DE2EDF">
        <w:rPr>
          <w:rFonts w:eastAsia="Times New Roman" w:cs="Times New Roman"/>
          <w:iCs/>
          <w:lang w:val="en-GB"/>
        </w:rPr>
        <w:t xml:space="preserve">take place depends entirely </w:t>
      </w:r>
      <w:r w:rsidR="00641FA1" w:rsidRPr="00DE2EDF">
        <w:rPr>
          <w:rFonts w:eastAsia="Times New Roman" w:cs="Times New Roman"/>
          <w:iCs/>
          <w:lang w:val="en-GB"/>
        </w:rPr>
        <w:t xml:space="preserve">on </w:t>
      </w:r>
      <w:r w:rsidR="00D50299" w:rsidRPr="00DE2EDF">
        <w:rPr>
          <w:rFonts w:eastAsia="Times New Roman" w:cs="Times New Roman"/>
          <w:iCs/>
          <w:lang w:val="en-GB"/>
        </w:rPr>
        <w:t>each judge</w:t>
      </w:r>
      <w:r w:rsidRPr="00DE2EDF">
        <w:rPr>
          <w:rFonts w:eastAsia="Times New Roman" w:cs="Times New Roman"/>
          <w:iCs/>
          <w:lang w:val="en-GB"/>
        </w:rPr>
        <w:t>) or on the recognition, by the ordinary courts, of the legally</w:t>
      </w:r>
      <w:r w:rsidR="007D78DF" w:rsidRPr="00DE2EDF">
        <w:rPr>
          <w:rFonts w:eastAsia="Times New Roman" w:cs="Times New Roman"/>
          <w:iCs/>
          <w:lang w:val="en-GB"/>
        </w:rPr>
        <w:t xml:space="preserve"> </w:t>
      </w:r>
      <w:r w:rsidRPr="00DE2EDF">
        <w:rPr>
          <w:rFonts w:eastAsia="Times New Roman" w:cs="Times New Roman"/>
          <w:iCs/>
          <w:lang w:val="en-GB"/>
        </w:rPr>
        <w:t xml:space="preserve">binding force of constitutional interpretations </w:t>
      </w:r>
      <w:r w:rsidR="000A02F2" w:rsidRPr="00DE2EDF">
        <w:rPr>
          <w:rFonts w:eastAsia="Times New Roman" w:cs="Times New Roman"/>
          <w:iCs/>
          <w:lang w:val="en-GB"/>
        </w:rPr>
        <w:t>issued by</w:t>
      </w:r>
      <w:r w:rsidRPr="00DE2EDF">
        <w:rPr>
          <w:rFonts w:eastAsia="Times New Roman" w:cs="Times New Roman"/>
          <w:iCs/>
          <w:lang w:val="en-GB"/>
        </w:rPr>
        <w:t xml:space="preserve"> the Constitutional Court. </w:t>
      </w:r>
      <w:r w:rsidR="00535683" w:rsidRPr="00DE2EDF">
        <w:rPr>
          <w:rFonts w:eastAsia="Times New Roman" w:cs="Times New Roman"/>
          <w:iCs/>
          <w:lang w:val="en-GB"/>
        </w:rPr>
        <w:t>Yet, i</w:t>
      </w:r>
      <w:r w:rsidRPr="00DE2EDF">
        <w:rPr>
          <w:rFonts w:eastAsia="Times New Roman" w:cs="Times New Roman"/>
          <w:iCs/>
          <w:lang w:val="en-GB"/>
        </w:rPr>
        <w:t>n Fra</w:t>
      </w:r>
      <w:r w:rsidR="0057271D" w:rsidRPr="00DE2EDF">
        <w:rPr>
          <w:rFonts w:eastAsia="Times New Roman" w:cs="Times New Roman"/>
          <w:iCs/>
          <w:lang w:val="en-GB"/>
        </w:rPr>
        <w:t>nce, such a rule of precedent</w:t>
      </w:r>
      <w:r w:rsidR="0057271D" w:rsidRPr="00DE2EDF">
        <w:rPr>
          <w:rFonts w:cs="Times New Roman"/>
        </w:rPr>
        <w:t>—</w:t>
      </w:r>
      <w:r w:rsidRPr="00DE2EDF">
        <w:rPr>
          <w:rFonts w:eastAsia="Times New Roman" w:cs="Times New Roman"/>
          <w:iCs/>
          <w:lang w:val="en-GB"/>
        </w:rPr>
        <w:t>called by</w:t>
      </w:r>
      <w:r w:rsidR="005453E4" w:rsidRPr="00DE2EDF">
        <w:rPr>
          <w:rFonts w:eastAsia="Times New Roman" w:cs="Times New Roman"/>
          <w:iCs/>
          <w:lang w:val="en-GB"/>
        </w:rPr>
        <w:t xml:space="preserve"> scholars</w:t>
      </w:r>
      <w:r w:rsidRPr="00DE2EDF">
        <w:rPr>
          <w:rFonts w:eastAsia="Times New Roman" w:cs="Times New Roman"/>
          <w:iCs/>
          <w:lang w:val="en-GB"/>
        </w:rPr>
        <w:t xml:space="preserve"> ‘</w:t>
      </w:r>
      <w:r w:rsidRPr="00DE2EDF">
        <w:rPr>
          <w:rFonts w:eastAsia="Times New Roman" w:cs="Times New Roman"/>
          <w:i/>
          <w:iCs/>
          <w:lang w:val="en-GB"/>
        </w:rPr>
        <w:t>autorité de la chose interprétée</w:t>
      </w:r>
      <w:r w:rsidR="0057271D" w:rsidRPr="00DE2EDF">
        <w:rPr>
          <w:rFonts w:eastAsia="Times New Roman" w:cs="Times New Roman"/>
          <w:iCs/>
          <w:lang w:val="en-GB"/>
        </w:rPr>
        <w:t>’</w:t>
      </w:r>
      <w:r w:rsidR="0057271D" w:rsidRPr="00DE2EDF">
        <w:rPr>
          <w:rFonts w:cs="Times New Roman"/>
        </w:rPr>
        <w:t>—</w:t>
      </w:r>
      <w:r w:rsidRPr="00DE2EDF">
        <w:rPr>
          <w:rFonts w:eastAsia="Times New Roman" w:cs="Times New Roman"/>
          <w:iCs/>
          <w:lang w:val="en-GB"/>
        </w:rPr>
        <w:t xml:space="preserve">was and still is resolutely rejected by ordinary courts, </w:t>
      </w:r>
      <w:r w:rsidR="003A3B5E" w:rsidRPr="00DE2EDF">
        <w:rPr>
          <w:rFonts w:eastAsia="Times New Roman" w:cs="Times New Roman"/>
          <w:iCs/>
          <w:lang w:val="en-GB"/>
        </w:rPr>
        <w:t xml:space="preserve">whether </w:t>
      </w:r>
      <w:r w:rsidRPr="00DE2EDF">
        <w:rPr>
          <w:rFonts w:eastAsia="Times New Roman" w:cs="Times New Roman"/>
          <w:iCs/>
          <w:lang w:val="en-GB"/>
        </w:rPr>
        <w:t xml:space="preserve">civil </w:t>
      </w:r>
      <w:r w:rsidR="003A3B5E" w:rsidRPr="00DE2EDF">
        <w:rPr>
          <w:rFonts w:eastAsia="Times New Roman" w:cs="Times New Roman"/>
          <w:iCs/>
          <w:lang w:val="en-GB"/>
        </w:rPr>
        <w:t xml:space="preserve">or </w:t>
      </w:r>
      <w:r w:rsidRPr="00DE2EDF">
        <w:rPr>
          <w:rFonts w:eastAsia="Times New Roman" w:cs="Times New Roman"/>
          <w:iCs/>
          <w:lang w:val="en-GB"/>
        </w:rPr>
        <w:t>administrative</w:t>
      </w:r>
      <w:r w:rsidR="00B63764" w:rsidRPr="00DE2EDF">
        <w:rPr>
          <w:rFonts w:eastAsia="Times New Roman" w:cs="Times New Roman"/>
          <w:iCs/>
          <w:lang w:val="en-GB"/>
        </w:rPr>
        <w:t>.</w:t>
      </w:r>
      <w:r w:rsidRPr="00DE2EDF">
        <w:rPr>
          <w:rStyle w:val="FootnoteReference"/>
          <w:rFonts w:eastAsia="Times New Roman" w:cs="Times New Roman"/>
          <w:iCs/>
          <w:lang w:val="en-GB"/>
        </w:rPr>
        <w:footnoteReference w:id="257"/>
      </w:r>
      <w:r w:rsidRPr="00DE2EDF">
        <w:rPr>
          <w:rFonts w:eastAsia="Times New Roman" w:cs="Times New Roman"/>
          <w:iCs/>
          <w:lang w:val="en-GB"/>
        </w:rPr>
        <w:t xml:space="preserve"> Thus, barring strategies</w:t>
      </w:r>
      <w:r w:rsidRPr="00DE2EDF">
        <w:rPr>
          <w:rStyle w:val="FootnoteReference"/>
          <w:rFonts w:eastAsia="Times New Roman" w:cs="Times New Roman"/>
          <w:iCs/>
          <w:lang w:val="en-GB"/>
        </w:rPr>
        <w:footnoteReference w:id="258"/>
      </w:r>
      <w:r w:rsidRPr="00DE2EDF">
        <w:rPr>
          <w:rFonts w:eastAsia="Times New Roman" w:cs="Times New Roman"/>
          <w:iCs/>
          <w:lang w:val="en-GB"/>
        </w:rPr>
        <w:t xml:space="preserve"> and creative initiatives</w:t>
      </w:r>
      <w:r w:rsidR="00501B46" w:rsidRPr="00DE2EDF">
        <w:rPr>
          <w:rStyle w:val="FootnoteReference"/>
          <w:rFonts w:eastAsia="Times New Roman" w:cs="Times New Roman"/>
          <w:iCs/>
          <w:lang w:val="en-GB"/>
        </w:rPr>
        <w:footnoteReference w:id="259"/>
      </w:r>
      <w:r w:rsidRPr="00DE2EDF">
        <w:rPr>
          <w:rFonts w:eastAsia="Times New Roman" w:cs="Times New Roman"/>
          <w:iCs/>
          <w:lang w:val="en-GB"/>
        </w:rPr>
        <w:t xml:space="preserve"> by </w:t>
      </w:r>
      <w:r w:rsidR="00B63764" w:rsidRPr="00DE2EDF">
        <w:rPr>
          <w:rFonts w:eastAsia="Times New Roman" w:cs="Times New Roman"/>
          <w:iCs/>
          <w:lang w:val="en-GB"/>
        </w:rPr>
        <w:t xml:space="preserve">such </w:t>
      </w:r>
      <w:r w:rsidRPr="00DE2EDF">
        <w:rPr>
          <w:rFonts w:eastAsia="Times New Roman" w:cs="Times New Roman"/>
          <w:iCs/>
          <w:lang w:val="en-GB"/>
        </w:rPr>
        <w:t>ordinary</w:t>
      </w:r>
      <w:r w:rsidR="00A918A6">
        <w:rPr>
          <w:rFonts w:eastAsia="Times New Roman" w:cs="Times New Roman"/>
          <w:iCs/>
          <w:lang w:val="en-GB"/>
        </w:rPr>
        <w:t xml:space="preserve"> </w:t>
      </w:r>
      <w:r w:rsidRPr="00DE2EDF">
        <w:rPr>
          <w:rFonts w:eastAsia="Times New Roman" w:cs="Times New Roman"/>
          <w:iCs/>
          <w:lang w:val="en-GB"/>
        </w:rPr>
        <w:t xml:space="preserve">courts </w:t>
      </w:r>
      <w:r w:rsidR="00B63764" w:rsidRPr="00DE2EDF">
        <w:rPr>
          <w:rFonts w:eastAsia="Times New Roman" w:cs="Times New Roman"/>
          <w:iCs/>
          <w:lang w:val="en-GB"/>
        </w:rPr>
        <w:t>remain</w:t>
      </w:r>
      <w:r w:rsidR="0057271D" w:rsidRPr="00DE2EDF">
        <w:rPr>
          <w:rFonts w:eastAsia="Times New Roman" w:cs="Times New Roman"/>
          <w:iCs/>
          <w:lang w:val="en-GB"/>
        </w:rPr>
        <w:t xml:space="preserve"> possible.</w:t>
      </w:r>
    </w:p>
    <w:p w14:paraId="3E953108" w14:textId="77777777" w:rsidR="000F4C26" w:rsidRPr="00DE2EDF" w:rsidRDefault="000F4C26" w:rsidP="00DE2EDF">
      <w:pPr>
        <w:spacing w:after="0"/>
        <w:jc w:val="both"/>
        <w:rPr>
          <w:rFonts w:eastAsia="Times New Roman" w:cs="Times New Roman"/>
          <w:iCs/>
          <w:lang w:val="en-GB"/>
        </w:rPr>
      </w:pPr>
    </w:p>
    <w:p w14:paraId="7C86E14F" w14:textId="4362BFE7" w:rsidR="000A02F2" w:rsidRPr="00DE2EDF" w:rsidRDefault="000A02F2" w:rsidP="00DE2EDF">
      <w:pPr>
        <w:spacing w:after="0"/>
        <w:jc w:val="both"/>
        <w:rPr>
          <w:rFonts w:eastAsia="Times New Roman" w:cs="Times New Roman"/>
          <w:iCs/>
          <w:lang w:val="en-GB"/>
        </w:rPr>
      </w:pPr>
      <w:r w:rsidRPr="00DE2EDF">
        <w:rPr>
          <w:rFonts w:eastAsia="Times New Roman" w:cs="Times New Roman"/>
          <w:iCs/>
          <w:lang w:val="en-GB"/>
        </w:rPr>
        <w:t xml:space="preserve">The second </w:t>
      </w:r>
      <w:r w:rsidR="00CA70A2" w:rsidRPr="00DE2EDF">
        <w:rPr>
          <w:rFonts w:eastAsia="Times New Roman" w:cs="Times New Roman"/>
          <w:iCs/>
          <w:lang w:val="en-GB"/>
        </w:rPr>
        <w:t>approach</w:t>
      </w:r>
      <w:r w:rsidRPr="00DE2EDF">
        <w:rPr>
          <w:rFonts w:eastAsia="Times New Roman" w:cs="Times New Roman"/>
          <w:iCs/>
          <w:lang w:val="en-GB"/>
        </w:rPr>
        <w:t xml:space="preserve"> (ideal type n</w:t>
      </w:r>
      <w:r w:rsidR="0057271D" w:rsidRPr="00DE2EDF">
        <w:rPr>
          <w:rFonts w:eastAsia="Times New Roman" w:cs="Times New Roman"/>
          <w:iCs/>
          <w:lang w:val="en-GB"/>
        </w:rPr>
        <w:t>o</w:t>
      </w:r>
      <w:r w:rsidR="00C46F1C" w:rsidRPr="00DE2EDF">
        <w:rPr>
          <w:rFonts w:eastAsia="Times New Roman" w:cs="Times New Roman"/>
          <w:iCs/>
          <w:lang w:val="en-GB"/>
        </w:rPr>
        <w:t xml:space="preserve"> </w:t>
      </w:r>
      <w:r w:rsidRPr="00DE2EDF">
        <w:rPr>
          <w:rFonts w:eastAsia="Times New Roman" w:cs="Times New Roman"/>
          <w:iCs/>
          <w:lang w:val="en-GB"/>
        </w:rPr>
        <w:t>3)</w:t>
      </w:r>
      <w:r w:rsidR="00D50299" w:rsidRPr="00DE2EDF">
        <w:rPr>
          <w:rFonts w:eastAsia="Times New Roman" w:cs="Times New Roman"/>
          <w:iCs/>
          <w:lang w:val="en-GB"/>
        </w:rPr>
        <w:t>, which is, to some extent, an intermediate solution,</w:t>
      </w:r>
      <w:r w:rsidR="007843F6" w:rsidRPr="00DE2EDF">
        <w:rPr>
          <w:rFonts w:eastAsia="Times New Roman" w:cs="Times New Roman"/>
          <w:iCs/>
          <w:lang w:val="en-GB"/>
        </w:rPr>
        <w:t xml:space="preserve"> could be called the ‘cooperative system of constitutional adjudication’</w:t>
      </w:r>
      <w:r w:rsidR="00D50299" w:rsidRPr="00DE2EDF">
        <w:rPr>
          <w:rFonts w:eastAsia="Times New Roman" w:cs="Times New Roman"/>
          <w:iCs/>
          <w:lang w:val="en-GB"/>
        </w:rPr>
        <w:t xml:space="preserve">. </w:t>
      </w:r>
      <w:r w:rsidR="00FD2681" w:rsidRPr="00DE2EDF">
        <w:rPr>
          <w:rFonts w:eastAsia="Times New Roman" w:cs="Times New Roman"/>
          <w:iCs/>
          <w:lang w:val="en-GB"/>
        </w:rPr>
        <w:t>It is exemplified by the referral, by ordinary court</w:t>
      </w:r>
      <w:r w:rsidR="002C4888" w:rsidRPr="00DE2EDF">
        <w:rPr>
          <w:rFonts w:eastAsia="Times New Roman" w:cs="Times New Roman"/>
          <w:iCs/>
          <w:lang w:val="en-GB"/>
        </w:rPr>
        <w:t>s</w:t>
      </w:r>
      <w:r w:rsidR="00FD2681" w:rsidRPr="00DE2EDF">
        <w:rPr>
          <w:rFonts w:eastAsia="Times New Roman" w:cs="Times New Roman"/>
          <w:iCs/>
          <w:lang w:val="en-GB"/>
        </w:rPr>
        <w:t xml:space="preserve"> to the Constitutional Court, of </w:t>
      </w:r>
      <w:r w:rsidR="002C4888" w:rsidRPr="00DE2EDF">
        <w:rPr>
          <w:rFonts w:eastAsia="Times New Roman" w:cs="Times New Roman"/>
          <w:iCs/>
          <w:lang w:val="en-GB"/>
        </w:rPr>
        <w:t>p</w:t>
      </w:r>
      <w:r w:rsidR="00FD2681" w:rsidRPr="00DE2EDF">
        <w:rPr>
          <w:rFonts w:eastAsia="Times New Roman" w:cs="Times New Roman"/>
          <w:iCs/>
          <w:lang w:val="en-GB"/>
        </w:rPr>
        <w:t>reliminary question</w:t>
      </w:r>
      <w:r w:rsidR="002C4888" w:rsidRPr="00DE2EDF">
        <w:rPr>
          <w:rFonts w:eastAsia="Times New Roman" w:cs="Times New Roman"/>
          <w:iCs/>
          <w:lang w:val="en-GB"/>
        </w:rPr>
        <w:t>s</w:t>
      </w:r>
      <w:r w:rsidR="00FD2681" w:rsidRPr="00DE2EDF">
        <w:rPr>
          <w:rFonts w:eastAsia="Times New Roman" w:cs="Times New Roman"/>
          <w:iCs/>
          <w:lang w:val="en-GB"/>
        </w:rPr>
        <w:t xml:space="preserve"> on constitutional issues</w:t>
      </w:r>
      <w:r w:rsidR="00C86FD6" w:rsidRPr="00DE2EDF">
        <w:rPr>
          <w:rFonts w:eastAsia="Times New Roman" w:cs="Times New Roman"/>
          <w:iCs/>
          <w:lang w:val="en-GB"/>
        </w:rPr>
        <w:t xml:space="preserve"> (the constitutionality of a norm</w:t>
      </w:r>
      <w:r w:rsidR="00FD2681" w:rsidRPr="00DE2EDF">
        <w:rPr>
          <w:rStyle w:val="FootnoteReference"/>
          <w:rFonts w:eastAsia="Times New Roman" w:cs="Times New Roman"/>
          <w:iCs/>
          <w:lang w:val="en-GB"/>
        </w:rPr>
        <w:footnoteReference w:id="260"/>
      </w:r>
      <w:r w:rsidR="00C86FD6" w:rsidRPr="00DE2EDF">
        <w:rPr>
          <w:rFonts w:eastAsia="Times New Roman" w:cs="Times New Roman"/>
          <w:iCs/>
          <w:lang w:val="en-GB"/>
        </w:rPr>
        <w:t xml:space="preserve"> or the interpretation of the Constitution</w:t>
      </w:r>
      <w:r w:rsidR="00C46F1C" w:rsidRPr="00DE2EDF">
        <w:rPr>
          <w:rFonts w:eastAsia="Times New Roman" w:cs="Times New Roman"/>
          <w:iCs/>
          <w:lang w:val="en-GB"/>
        </w:rPr>
        <w:t>)</w:t>
      </w:r>
      <w:r w:rsidR="00B63764" w:rsidRPr="00DE2EDF">
        <w:rPr>
          <w:rFonts w:eastAsia="Times New Roman" w:cs="Times New Roman"/>
          <w:iCs/>
          <w:lang w:val="en-GB"/>
        </w:rPr>
        <w:t>.</w:t>
      </w:r>
      <w:r w:rsidR="009F2EF3" w:rsidRPr="00DE2EDF">
        <w:rPr>
          <w:rStyle w:val="FootnoteReference"/>
          <w:rFonts w:eastAsia="Times New Roman" w:cs="Times New Roman"/>
          <w:iCs/>
          <w:lang w:val="en-GB"/>
        </w:rPr>
        <w:footnoteReference w:id="261"/>
      </w:r>
      <w:r w:rsidR="00FD2681" w:rsidRPr="00DE2EDF">
        <w:rPr>
          <w:rFonts w:eastAsia="Times New Roman" w:cs="Times New Roman"/>
          <w:iCs/>
          <w:lang w:val="en-GB"/>
        </w:rPr>
        <w:t xml:space="preserve"> A certain vertical (hierarchical)</w:t>
      </w:r>
      <w:r w:rsidR="00D9571F" w:rsidRPr="00DE2EDF">
        <w:rPr>
          <w:rFonts w:eastAsia="Times New Roman" w:cs="Times New Roman"/>
          <w:iCs/>
          <w:lang w:val="en-GB"/>
        </w:rPr>
        <w:t xml:space="preserve"> logic inspires </w:t>
      </w:r>
      <w:r w:rsidR="00FD2681" w:rsidRPr="00DE2EDF">
        <w:rPr>
          <w:rFonts w:eastAsia="Times New Roman" w:cs="Times New Roman"/>
          <w:iCs/>
          <w:lang w:val="en-GB"/>
        </w:rPr>
        <w:t>this model: the courts a quo</w:t>
      </w:r>
      <w:r w:rsidR="00D9571F" w:rsidRPr="00DE2EDF">
        <w:rPr>
          <w:rFonts w:eastAsia="Times New Roman" w:cs="Times New Roman"/>
          <w:iCs/>
          <w:lang w:val="en-GB"/>
        </w:rPr>
        <w:t xml:space="preserve"> are</w:t>
      </w:r>
      <w:r w:rsidR="00FD2681" w:rsidRPr="00DE2EDF">
        <w:rPr>
          <w:rFonts w:eastAsia="Times New Roman" w:cs="Times New Roman"/>
          <w:iCs/>
          <w:lang w:val="en-GB"/>
        </w:rPr>
        <w:t xml:space="preserve">, under certain conditions, </w:t>
      </w:r>
      <w:r w:rsidR="00F414A3" w:rsidRPr="00DE2EDF">
        <w:rPr>
          <w:rFonts w:eastAsia="Times New Roman" w:cs="Times New Roman"/>
          <w:iCs/>
          <w:lang w:val="en-GB"/>
        </w:rPr>
        <w:t xml:space="preserve">legally </w:t>
      </w:r>
      <w:r w:rsidR="00FD2681" w:rsidRPr="00DE2EDF">
        <w:rPr>
          <w:rFonts w:eastAsia="Times New Roman" w:cs="Times New Roman"/>
          <w:iCs/>
          <w:lang w:val="en-GB"/>
        </w:rPr>
        <w:t xml:space="preserve">obliged to </w:t>
      </w:r>
      <w:r w:rsidR="002C4888" w:rsidRPr="00DE2EDF">
        <w:rPr>
          <w:rFonts w:eastAsia="Times New Roman" w:cs="Times New Roman"/>
          <w:iCs/>
          <w:lang w:val="en-GB"/>
        </w:rPr>
        <w:t>submit a question to</w:t>
      </w:r>
      <w:r w:rsidR="00FD2681" w:rsidRPr="00DE2EDF">
        <w:rPr>
          <w:rFonts w:eastAsia="Times New Roman" w:cs="Times New Roman"/>
          <w:iCs/>
          <w:lang w:val="en-GB"/>
        </w:rPr>
        <w:t xml:space="preserve"> the Constitutional Court; the decision of the latter is binding</w:t>
      </w:r>
      <w:r w:rsidR="00D9571F" w:rsidRPr="00DE2EDF">
        <w:rPr>
          <w:rFonts w:eastAsia="Times New Roman" w:cs="Times New Roman"/>
          <w:iCs/>
          <w:lang w:val="en-GB"/>
        </w:rPr>
        <w:t xml:space="preserve"> on the court a quo or even on all courts.</w:t>
      </w:r>
      <w:r w:rsidR="007843F6" w:rsidRPr="00DE2EDF">
        <w:rPr>
          <w:rFonts w:eastAsia="Times New Roman" w:cs="Times New Roman"/>
          <w:iCs/>
          <w:lang w:val="en-GB"/>
        </w:rPr>
        <w:t xml:space="preserve"> </w:t>
      </w:r>
      <w:r w:rsidR="002C4888" w:rsidRPr="00DE2EDF">
        <w:rPr>
          <w:rFonts w:eastAsia="Times New Roman" w:cs="Times New Roman"/>
          <w:iCs/>
          <w:lang w:val="en-GB"/>
        </w:rPr>
        <w:t>However</w:t>
      </w:r>
      <w:r w:rsidR="00D9571F" w:rsidRPr="00DE2EDF">
        <w:rPr>
          <w:rFonts w:eastAsia="Times New Roman" w:cs="Times New Roman"/>
          <w:iCs/>
          <w:lang w:val="en-GB"/>
        </w:rPr>
        <w:t xml:space="preserve">, this hierarchy does not take the strongest form of </w:t>
      </w:r>
      <w:r w:rsidR="002C4888" w:rsidRPr="00DE2EDF">
        <w:rPr>
          <w:rFonts w:eastAsia="Times New Roman" w:cs="Times New Roman"/>
          <w:iCs/>
          <w:lang w:val="en-GB"/>
        </w:rPr>
        <w:t>the</w:t>
      </w:r>
      <w:r w:rsidR="00D9571F" w:rsidRPr="00DE2EDF">
        <w:rPr>
          <w:rFonts w:eastAsia="Times New Roman" w:cs="Times New Roman"/>
          <w:iCs/>
          <w:lang w:val="en-GB"/>
        </w:rPr>
        <w:t xml:space="preserve"> Constitutional Court acting as </w:t>
      </w:r>
      <w:r w:rsidR="000B03C9" w:rsidRPr="00DE2EDF">
        <w:rPr>
          <w:rFonts w:eastAsia="Times New Roman" w:cs="Times New Roman"/>
          <w:iCs/>
          <w:lang w:val="en-GB"/>
        </w:rPr>
        <w:t>the highest</w:t>
      </w:r>
      <w:r w:rsidR="00D9571F" w:rsidRPr="00DE2EDF">
        <w:rPr>
          <w:rFonts w:eastAsia="Times New Roman" w:cs="Times New Roman"/>
          <w:iCs/>
          <w:lang w:val="en-GB"/>
        </w:rPr>
        <w:t xml:space="preserve"> appeal court. If, notwithstanding its legal obligations, a court a quo happens to ignore the decision issued by the Constitutional Court</w:t>
      </w:r>
      <w:r w:rsidR="00C46F1C" w:rsidRPr="00DE2EDF">
        <w:rPr>
          <w:rFonts w:eastAsia="Times New Roman" w:cs="Times New Roman"/>
          <w:iCs/>
          <w:lang w:val="en-GB"/>
        </w:rPr>
        <w:t>,</w:t>
      </w:r>
      <w:r w:rsidR="00F414A3" w:rsidRPr="00DE2EDF">
        <w:rPr>
          <w:rStyle w:val="FootnoteReference"/>
          <w:rFonts w:eastAsia="Times New Roman" w:cs="Times New Roman"/>
          <w:iCs/>
          <w:lang w:val="en-GB"/>
        </w:rPr>
        <w:footnoteReference w:id="262"/>
      </w:r>
      <w:r w:rsidR="00D9571F" w:rsidRPr="00DE2EDF">
        <w:rPr>
          <w:rFonts w:eastAsia="Times New Roman" w:cs="Times New Roman"/>
          <w:iCs/>
          <w:lang w:val="en-GB"/>
        </w:rPr>
        <w:t xml:space="preserve"> the latter has no means to</w:t>
      </w:r>
      <w:r w:rsidR="000B03C9" w:rsidRPr="00DE2EDF">
        <w:rPr>
          <w:rFonts w:eastAsia="Times New Roman" w:cs="Times New Roman"/>
          <w:iCs/>
          <w:lang w:val="en-GB"/>
        </w:rPr>
        <w:t xml:space="preserve"> annul the final </w:t>
      </w:r>
      <w:r w:rsidR="00D9571F" w:rsidRPr="00DE2EDF">
        <w:rPr>
          <w:rFonts w:eastAsia="Times New Roman" w:cs="Times New Roman"/>
          <w:iCs/>
          <w:lang w:val="en-GB"/>
        </w:rPr>
        <w:t>decision</w:t>
      </w:r>
      <w:r w:rsidR="000B03C9" w:rsidRPr="00DE2EDF">
        <w:rPr>
          <w:rFonts w:eastAsia="Times New Roman" w:cs="Times New Roman"/>
          <w:iCs/>
          <w:lang w:val="en-GB"/>
        </w:rPr>
        <w:t xml:space="preserve"> of the former</w:t>
      </w:r>
      <w:r w:rsidR="00D9571F" w:rsidRPr="00DE2EDF">
        <w:rPr>
          <w:rFonts w:eastAsia="Times New Roman" w:cs="Times New Roman"/>
          <w:iCs/>
          <w:lang w:val="en-GB"/>
        </w:rPr>
        <w:t>.</w:t>
      </w:r>
      <w:r w:rsidR="000B03C9" w:rsidRPr="00DE2EDF">
        <w:rPr>
          <w:rFonts w:eastAsia="Times New Roman" w:cs="Times New Roman"/>
          <w:iCs/>
          <w:lang w:val="en-GB"/>
        </w:rPr>
        <w:t xml:space="preserve"> It is valid, although </w:t>
      </w:r>
      <w:r w:rsidR="002C4888" w:rsidRPr="00DE2EDF">
        <w:rPr>
          <w:rFonts w:eastAsia="Times New Roman" w:cs="Times New Roman"/>
          <w:iCs/>
          <w:lang w:val="en-GB"/>
        </w:rPr>
        <w:t>unlawful</w:t>
      </w:r>
      <w:r w:rsidR="000B03C9" w:rsidRPr="00DE2EDF">
        <w:rPr>
          <w:rFonts w:eastAsia="Times New Roman" w:cs="Times New Roman"/>
          <w:iCs/>
          <w:lang w:val="en-GB"/>
        </w:rPr>
        <w:t xml:space="preserve">. Furthermore, as mentioned, the legal obligation of the ordinary courts to refer certain issues to the Constitutional Court is </w:t>
      </w:r>
      <w:r w:rsidR="002C4888" w:rsidRPr="00DE2EDF">
        <w:rPr>
          <w:rFonts w:eastAsia="Times New Roman" w:cs="Times New Roman"/>
          <w:iCs/>
          <w:lang w:val="en-GB"/>
        </w:rPr>
        <w:t>limited by</w:t>
      </w:r>
      <w:r w:rsidR="000B03C9" w:rsidRPr="00DE2EDF">
        <w:rPr>
          <w:rFonts w:eastAsia="Times New Roman" w:cs="Times New Roman"/>
          <w:iCs/>
          <w:lang w:val="en-GB"/>
        </w:rPr>
        <w:t xml:space="preserve"> certain conditions</w:t>
      </w:r>
      <w:r w:rsidR="00C86FD6" w:rsidRPr="00DE2EDF">
        <w:rPr>
          <w:rFonts w:eastAsia="Times New Roman" w:cs="Times New Roman"/>
          <w:iCs/>
          <w:lang w:val="en-GB"/>
        </w:rPr>
        <w:t xml:space="preserve"> (the criticisms have to be ‘serious’ or even ‘convincing’)</w:t>
      </w:r>
      <w:r w:rsidR="000B03C9" w:rsidRPr="00DE2EDF">
        <w:rPr>
          <w:rFonts w:eastAsia="Times New Roman" w:cs="Times New Roman"/>
          <w:iCs/>
          <w:lang w:val="en-GB"/>
        </w:rPr>
        <w:t xml:space="preserve">, </w:t>
      </w:r>
      <w:r w:rsidR="00C86FD6" w:rsidRPr="00DE2EDF">
        <w:rPr>
          <w:rFonts w:eastAsia="Times New Roman" w:cs="Times New Roman"/>
          <w:iCs/>
          <w:lang w:val="en-GB"/>
        </w:rPr>
        <w:t xml:space="preserve">conditions </w:t>
      </w:r>
      <w:r w:rsidR="000B03C9" w:rsidRPr="00DE2EDF">
        <w:rPr>
          <w:rFonts w:eastAsia="Times New Roman" w:cs="Times New Roman"/>
          <w:iCs/>
          <w:lang w:val="en-GB"/>
        </w:rPr>
        <w:t xml:space="preserve">whose </w:t>
      </w:r>
      <w:r w:rsidR="00C46F1C" w:rsidRPr="00DE2EDF">
        <w:rPr>
          <w:rFonts w:eastAsia="Times New Roman" w:cs="Times New Roman"/>
          <w:iCs/>
          <w:lang w:val="en-GB"/>
        </w:rPr>
        <w:t>interpretation</w:t>
      </w:r>
      <w:r w:rsidR="000B03C9" w:rsidRPr="00DE2EDF">
        <w:rPr>
          <w:rFonts w:eastAsia="Times New Roman" w:cs="Times New Roman"/>
          <w:iCs/>
          <w:lang w:val="en-GB"/>
        </w:rPr>
        <w:t xml:space="preserve"> leaves</w:t>
      </w:r>
      <w:r w:rsidR="00C86FD6" w:rsidRPr="00DE2EDF">
        <w:rPr>
          <w:rFonts w:eastAsia="Times New Roman" w:cs="Times New Roman"/>
          <w:iCs/>
          <w:lang w:val="en-GB"/>
        </w:rPr>
        <w:t xml:space="preserve"> a</w:t>
      </w:r>
      <w:r w:rsidR="000B03C9" w:rsidRPr="00DE2EDF">
        <w:rPr>
          <w:rFonts w:eastAsia="Times New Roman" w:cs="Times New Roman"/>
          <w:iCs/>
          <w:lang w:val="en-GB"/>
        </w:rPr>
        <w:t xml:space="preserve"> more</w:t>
      </w:r>
      <w:r w:rsidR="00C46F1C" w:rsidRPr="00DE2EDF">
        <w:rPr>
          <w:rFonts w:eastAsia="Times New Roman" w:cs="Times New Roman"/>
          <w:iCs/>
          <w:lang w:val="en-GB"/>
        </w:rPr>
        <w:t>-</w:t>
      </w:r>
      <w:r w:rsidR="00C86FD6" w:rsidRPr="00DE2EDF">
        <w:rPr>
          <w:rFonts w:eastAsia="Times New Roman" w:cs="Times New Roman"/>
          <w:iCs/>
          <w:lang w:val="en-GB"/>
        </w:rPr>
        <w:t>or</w:t>
      </w:r>
      <w:r w:rsidR="00C46F1C" w:rsidRPr="00DE2EDF">
        <w:rPr>
          <w:rFonts w:eastAsia="Times New Roman" w:cs="Times New Roman"/>
          <w:iCs/>
          <w:lang w:val="en-GB"/>
        </w:rPr>
        <w:t>-</w:t>
      </w:r>
      <w:r w:rsidR="000B03C9" w:rsidRPr="00DE2EDF">
        <w:rPr>
          <w:rFonts w:eastAsia="Times New Roman" w:cs="Times New Roman"/>
          <w:iCs/>
          <w:lang w:val="en-GB"/>
        </w:rPr>
        <w:t>less</w:t>
      </w:r>
      <w:r w:rsidR="00C86FD6" w:rsidRPr="00DE2EDF">
        <w:rPr>
          <w:rFonts w:eastAsia="Times New Roman" w:cs="Times New Roman"/>
          <w:iCs/>
          <w:lang w:val="en-GB"/>
        </w:rPr>
        <w:t xml:space="preserve"> </w:t>
      </w:r>
      <w:r w:rsidR="00C46F1C" w:rsidRPr="00DE2EDF">
        <w:rPr>
          <w:rFonts w:eastAsia="Times New Roman" w:cs="Times New Roman"/>
          <w:iCs/>
          <w:lang w:val="en-GB"/>
        </w:rPr>
        <w:t xml:space="preserve">breadth of </w:t>
      </w:r>
      <w:r w:rsidR="000B03C9" w:rsidRPr="00DE2EDF">
        <w:rPr>
          <w:rFonts w:eastAsia="Times New Roman" w:cs="Times New Roman"/>
          <w:iCs/>
          <w:lang w:val="en-GB"/>
        </w:rPr>
        <w:t xml:space="preserve">discretionary power </w:t>
      </w:r>
      <w:r w:rsidR="00CB4B13" w:rsidRPr="00DE2EDF">
        <w:rPr>
          <w:rFonts w:eastAsia="Times New Roman" w:cs="Times New Roman"/>
          <w:iCs/>
          <w:lang w:val="en-GB"/>
        </w:rPr>
        <w:t>in the hands of</w:t>
      </w:r>
      <w:r w:rsidR="000B03C9" w:rsidRPr="00DE2EDF">
        <w:rPr>
          <w:rFonts w:eastAsia="Times New Roman" w:cs="Times New Roman"/>
          <w:iCs/>
          <w:lang w:val="en-GB"/>
        </w:rPr>
        <w:t xml:space="preserve"> ordinary courts</w:t>
      </w:r>
      <w:r w:rsidR="00C86FD6" w:rsidRPr="00DE2EDF">
        <w:rPr>
          <w:rFonts w:eastAsia="Times New Roman" w:cs="Times New Roman"/>
          <w:iCs/>
          <w:lang w:val="en-GB"/>
        </w:rPr>
        <w:t>. T</w:t>
      </w:r>
      <w:r w:rsidR="000B03C9" w:rsidRPr="00DE2EDF">
        <w:rPr>
          <w:rFonts w:eastAsia="Times New Roman" w:cs="Times New Roman"/>
          <w:iCs/>
          <w:lang w:val="en-GB"/>
        </w:rPr>
        <w:t xml:space="preserve">hus, </w:t>
      </w:r>
      <w:r w:rsidR="00C86FD6" w:rsidRPr="00DE2EDF">
        <w:rPr>
          <w:rFonts w:eastAsia="Times New Roman" w:cs="Times New Roman"/>
          <w:iCs/>
          <w:lang w:val="en-GB"/>
        </w:rPr>
        <w:t>they</w:t>
      </w:r>
      <w:r w:rsidR="000B03C9" w:rsidRPr="00DE2EDF">
        <w:rPr>
          <w:rFonts w:eastAsia="Times New Roman" w:cs="Times New Roman"/>
          <w:iCs/>
          <w:lang w:val="en-GB"/>
        </w:rPr>
        <w:t xml:space="preserve"> may </w:t>
      </w:r>
      <w:r w:rsidR="005453E4" w:rsidRPr="00DE2EDF">
        <w:rPr>
          <w:rFonts w:cs="Times New Roman"/>
        </w:rPr>
        <w:t xml:space="preserve">reject as unfounded </w:t>
      </w:r>
      <w:r w:rsidR="000B03C9" w:rsidRPr="00DE2EDF">
        <w:rPr>
          <w:rFonts w:cs="Times New Roman"/>
        </w:rPr>
        <w:t xml:space="preserve">constitutional criticisms </w:t>
      </w:r>
      <w:r w:rsidR="00C46F1C" w:rsidRPr="00DE2EDF">
        <w:rPr>
          <w:rFonts w:cs="Times New Roman"/>
        </w:rPr>
        <w:t xml:space="preserve">that </w:t>
      </w:r>
      <w:r w:rsidR="000B03C9" w:rsidRPr="00DE2EDF">
        <w:rPr>
          <w:rFonts w:cs="Times New Roman"/>
        </w:rPr>
        <w:t>the Constitutional Court</w:t>
      </w:r>
      <w:r w:rsidR="00C46F1C" w:rsidRPr="00DE2EDF">
        <w:rPr>
          <w:rFonts w:cs="Times New Roman"/>
        </w:rPr>
        <w:t>, in contrast,</w:t>
      </w:r>
      <w:r w:rsidR="000B03C9" w:rsidRPr="00DE2EDF">
        <w:rPr>
          <w:rFonts w:cs="Times New Roman"/>
        </w:rPr>
        <w:t xml:space="preserve"> </w:t>
      </w:r>
      <w:r w:rsidR="00C46F1C" w:rsidRPr="00DE2EDF">
        <w:rPr>
          <w:rFonts w:cs="Times New Roman"/>
        </w:rPr>
        <w:t xml:space="preserve">might </w:t>
      </w:r>
      <w:r w:rsidR="000B03C9" w:rsidRPr="00DE2EDF">
        <w:rPr>
          <w:rFonts w:cs="Times New Roman"/>
        </w:rPr>
        <w:t>have admitted.</w:t>
      </w:r>
    </w:p>
    <w:p w14:paraId="5D7E98FF" w14:textId="77777777" w:rsidR="000F4C26" w:rsidRPr="00DE2EDF" w:rsidRDefault="000F4C26" w:rsidP="00DE2EDF">
      <w:pPr>
        <w:spacing w:after="0"/>
        <w:jc w:val="both"/>
        <w:rPr>
          <w:rFonts w:eastAsia="Times New Roman" w:cs="Times New Roman"/>
          <w:iCs/>
          <w:lang w:val="en-GB"/>
        </w:rPr>
      </w:pPr>
    </w:p>
    <w:p w14:paraId="5CC04DDF" w14:textId="77777777" w:rsidR="00D5478C" w:rsidRPr="00DE2EDF" w:rsidRDefault="00FE47CF" w:rsidP="00DE2EDF">
      <w:pPr>
        <w:spacing w:after="0"/>
        <w:jc w:val="both"/>
        <w:rPr>
          <w:rFonts w:eastAsia="Times New Roman" w:cs="Times New Roman"/>
          <w:iCs/>
          <w:lang w:val="en-GB"/>
        </w:rPr>
      </w:pPr>
      <w:r w:rsidRPr="00DE2EDF">
        <w:rPr>
          <w:rFonts w:eastAsia="Times New Roman" w:cs="Times New Roman"/>
          <w:iCs/>
          <w:lang w:val="en-GB"/>
        </w:rPr>
        <w:t xml:space="preserve">The </w:t>
      </w:r>
      <w:r w:rsidR="00CB4B13" w:rsidRPr="00DE2EDF">
        <w:rPr>
          <w:rFonts w:eastAsia="Times New Roman" w:cs="Times New Roman"/>
          <w:iCs/>
          <w:lang w:val="en-GB"/>
        </w:rPr>
        <w:t>last</w:t>
      </w:r>
      <w:r w:rsidR="00977790" w:rsidRPr="00DE2EDF">
        <w:rPr>
          <w:rFonts w:eastAsia="Times New Roman" w:cs="Times New Roman"/>
          <w:iCs/>
          <w:lang w:val="en-GB"/>
        </w:rPr>
        <w:t xml:space="preserve"> </w:t>
      </w:r>
      <w:r w:rsidRPr="00DE2EDF">
        <w:rPr>
          <w:rFonts w:eastAsia="Times New Roman" w:cs="Times New Roman"/>
          <w:iCs/>
          <w:lang w:val="en-GB"/>
        </w:rPr>
        <w:t xml:space="preserve">ideal </w:t>
      </w:r>
      <w:r w:rsidR="00977790" w:rsidRPr="00DE2EDF">
        <w:rPr>
          <w:rFonts w:eastAsia="Times New Roman" w:cs="Times New Roman"/>
          <w:iCs/>
          <w:lang w:val="en-GB"/>
        </w:rPr>
        <w:t>type</w:t>
      </w:r>
      <w:r w:rsidR="00CB4B13" w:rsidRPr="00DE2EDF">
        <w:rPr>
          <w:rFonts w:eastAsia="Times New Roman" w:cs="Times New Roman"/>
          <w:iCs/>
          <w:lang w:val="en-GB"/>
        </w:rPr>
        <w:t xml:space="preserve"> (n</w:t>
      </w:r>
      <w:r w:rsidR="0057271D" w:rsidRPr="00DE2EDF">
        <w:rPr>
          <w:rFonts w:eastAsia="Times New Roman" w:cs="Times New Roman"/>
          <w:iCs/>
          <w:lang w:val="en-GB"/>
        </w:rPr>
        <w:t>o</w:t>
      </w:r>
      <w:r w:rsidR="00C46F1C" w:rsidRPr="00DE2EDF">
        <w:rPr>
          <w:rFonts w:eastAsia="Times New Roman" w:cs="Times New Roman"/>
          <w:iCs/>
          <w:lang w:val="en-GB"/>
        </w:rPr>
        <w:t xml:space="preserve"> </w:t>
      </w:r>
      <w:r w:rsidR="00CB4B13" w:rsidRPr="00DE2EDF">
        <w:rPr>
          <w:rFonts w:eastAsia="Times New Roman" w:cs="Times New Roman"/>
          <w:iCs/>
          <w:lang w:val="en-GB"/>
        </w:rPr>
        <w:t>4)</w:t>
      </w:r>
      <w:r w:rsidR="00261C10" w:rsidRPr="00DE2EDF">
        <w:rPr>
          <w:rFonts w:eastAsia="Times New Roman" w:cs="Times New Roman"/>
          <w:iCs/>
          <w:lang w:val="en-GB"/>
        </w:rPr>
        <w:t>,</w:t>
      </w:r>
      <w:r w:rsidR="00977790" w:rsidRPr="00DE2EDF">
        <w:rPr>
          <w:rFonts w:eastAsia="Times New Roman" w:cs="Times New Roman"/>
          <w:iCs/>
          <w:lang w:val="en-GB"/>
        </w:rPr>
        <w:t xml:space="preserve"> which might be called the </w:t>
      </w:r>
      <w:r w:rsidR="00530E16" w:rsidRPr="00DE2EDF">
        <w:rPr>
          <w:rFonts w:eastAsia="Times New Roman" w:cs="Times New Roman"/>
          <w:iCs/>
          <w:lang w:val="en-GB"/>
        </w:rPr>
        <w:t>‘</w:t>
      </w:r>
      <w:r w:rsidR="00977790" w:rsidRPr="00DE2EDF">
        <w:rPr>
          <w:rFonts w:eastAsia="Times New Roman" w:cs="Times New Roman"/>
          <w:iCs/>
          <w:lang w:val="en-GB"/>
        </w:rPr>
        <w:t>hierarchically-ordered</w:t>
      </w:r>
      <w:r w:rsidR="00530E16" w:rsidRPr="00DE2EDF">
        <w:rPr>
          <w:rFonts w:eastAsia="Times New Roman" w:cs="Times New Roman"/>
          <w:iCs/>
          <w:lang w:val="en-GB"/>
        </w:rPr>
        <w:t>’</w:t>
      </w:r>
      <w:r w:rsidR="00977790" w:rsidRPr="00DE2EDF">
        <w:rPr>
          <w:rFonts w:eastAsia="Times New Roman" w:cs="Times New Roman"/>
          <w:iCs/>
          <w:lang w:val="en-GB"/>
        </w:rPr>
        <w:t xml:space="preserve"> or </w:t>
      </w:r>
      <w:r w:rsidR="00530E16" w:rsidRPr="00DE2EDF">
        <w:rPr>
          <w:rFonts w:eastAsia="Times New Roman" w:cs="Times New Roman"/>
          <w:iCs/>
          <w:lang w:val="en-GB"/>
        </w:rPr>
        <w:t>‘</w:t>
      </w:r>
      <w:r w:rsidR="00977790" w:rsidRPr="00DE2EDF">
        <w:rPr>
          <w:rFonts w:eastAsia="Times New Roman" w:cs="Times New Roman"/>
          <w:iCs/>
          <w:lang w:val="en-GB"/>
        </w:rPr>
        <w:t>pyramidal</w:t>
      </w:r>
      <w:r w:rsidRPr="00DE2EDF">
        <w:rPr>
          <w:rFonts w:eastAsia="Times New Roman" w:cs="Times New Roman"/>
          <w:iCs/>
          <w:lang w:val="en-GB"/>
        </w:rPr>
        <w:t xml:space="preserve"> system of </w:t>
      </w:r>
      <w:r w:rsidR="00D27E4B" w:rsidRPr="00DE2EDF">
        <w:rPr>
          <w:rFonts w:eastAsia="Times New Roman" w:cs="Times New Roman"/>
          <w:iCs/>
          <w:lang w:val="en-GB"/>
        </w:rPr>
        <w:t xml:space="preserve">constitutional </w:t>
      </w:r>
      <w:r w:rsidR="00D56041" w:rsidRPr="00DE2EDF">
        <w:rPr>
          <w:rFonts w:eastAsia="Times New Roman" w:cs="Times New Roman"/>
          <w:iCs/>
          <w:lang w:val="en-GB"/>
        </w:rPr>
        <w:t>justice</w:t>
      </w:r>
      <w:r w:rsidR="00530E16" w:rsidRPr="00DE2EDF">
        <w:rPr>
          <w:rFonts w:eastAsia="Times New Roman" w:cs="Times New Roman"/>
          <w:iCs/>
          <w:lang w:val="en-GB"/>
        </w:rPr>
        <w:t>’</w:t>
      </w:r>
      <w:r w:rsidR="00261C10" w:rsidRPr="00DE2EDF">
        <w:rPr>
          <w:rFonts w:eastAsia="Times New Roman" w:cs="Times New Roman"/>
          <w:iCs/>
          <w:lang w:val="en-GB"/>
        </w:rPr>
        <w:t>,</w:t>
      </w:r>
      <w:r w:rsidR="00977790" w:rsidRPr="00DE2EDF">
        <w:rPr>
          <w:rFonts w:eastAsia="Times New Roman" w:cs="Times New Roman"/>
          <w:iCs/>
          <w:lang w:val="en-GB"/>
        </w:rPr>
        <w:t xml:space="preserve"> has been implemented in Germany</w:t>
      </w:r>
      <w:r w:rsidR="008A2E3D" w:rsidRPr="00DE2EDF">
        <w:rPr>
          <w:rFonts w:eastAsia="Times New Roman" w:cs="Times New Roman"/>
          <w:iCs/>
          <w:lang w:val="en-GB"/>
        </w:rPr>
        <w:t>,</w:t>
      </w:r>
      <w:r w:rsidR="00977790" w:rsidRPr="00DE2EDF">
        <w:rPr>
          <w:rFonts w:eastAsia="Times New Roman" w:cs="Times New Roman"/>
          <w:iCs/>
          <w:lang w:val="en-GB"/>
        </w:rPr>
        <w:t xml:space="preserve"> Spain</w:t>
      </w:r>
      <w:r w:rsidR="008A2E3D" w:rsidRPr="00DE2EDF">
        <w:rPr>
          <w:rFonts w:eastAsia="Times New Roman" w:cs="Times New Roman"/>
          <w:iCs/>
          <w:lang w:val="en-GB"/>
        </w:rPr>
        <w:t>, Portugal</w:t>
      </w:r>
      <w:r w:rsidR="00C46F1C" w:rsidRPr="00DE2EDF">
        <w:rPr>
          <w:rFonts w:eastAsia="Times New Roman" w:cs="Times New Roman"/>
          <w:iCs/>
          <w:lang w:val="en-GB"/>
        </w:rPr>
        <w:t>,</w:t>
      </w:r>
      <w:r w:rsidR="008A2E3D" w:rsidRPr="00DE2EDF">
        <w:rPr>
          <w:rFonts w:eastAsia="Times New Roman" w:cs="Times New Roman"/>
          <w:iCs/>
          <w:lang w:val="en-GB"/>
        </w:rPr>
        <w:t xml:space="preserve"> and some other countries</w:t>
      </w:r>
      <w:r w:rsidR="00977790" w:rsidRPr="00DE2EDF">
        <w:rPr>
          <w:rFonts w:eastAsia="Times New Roman" w:cs="Times New Roman"/>
          <w:iCs/>
          <w:lang w:val="en-GB"/>
        </w:rPr>
        <w:t xml:space="preserve">. </w:t>
      </w:r>
      <w:r w:rsidR="003472F3" w:rsidRPr="00DE2EDF">
        <w:rPr>
          <w:rFonts w:eastAsia="Times New Roman" w:cs="Times New Roman"/>
          <w:iCs/>
          <w:lang w:val="en-GB"/>
        </w:rPr>
        <w:t>In this model,</w:t>
      </w:r>
      <w:r w:rsidR="00A918A6">
        <w:rPr>
          <w:rFonts w:eastAsia="Times New Roman" w:cs="Times New Roman"/>
          <w:iCs/>
          <w:lang w:val="en-GB"/>
        </w:rPr>
        <w:t xml:space="preserve"> </w:t>
      </w:r>
      <w:r w:rsidR="00F31C2D" w:rsidRPr="00DE2EDF">
        <w:rPr>
          <w:rFonts w:eastAsia="Times New Roman" w:cs="Times New Roman"/>
          <w:iCs/>
          <w:lang w:val="en-GB"/>
        </w:rPr>
        <w:t xml:space="preserve">unity </w:t>
      </w:r>
      <w:r w:rsidR="00C46F1C" w:rsidRPr="00DE2EDF">
        <w:rPr>
          <w:rFonts w:eastAsia="Times New Roman" w:cs="Times New Roman"/>
          <w:iCs/>
          <w:lang w:val="en-GB"/>
        </w:rPr>
        <w:t>in</w:t>
      </w:r>
      <w:r w:rsidR="00F31C2D" w:rsidRPr="00DE2EDF">
        <w:rPr>
          <w:rFonts w:eastAsia="Times New Roman" w:cs="Times New Roman"/>
          <w:iCs/>
          <w:lang w:val="en-GB"/>
        </w:rPr>
        <w:t xml:space="preserve"> the </w:t>
      </w:r>
      <w:r w:rsidR="003472F3" w:rsidRPr="00DE2EDF">
        <w:rPr>
          <w:rFonts w:eastAsia="Times New Roman" w:cs="Times New Roman"/>
          <w:iCs/>
          <w:lang w:val="en-GB"/>
        </w:rPr>
        <w:t xml:space="preserve">interpretation of the Constitution </w:t>
      </w:r>
      <w:r w:rsidR="00F31C2D" w:rsidRPr="00DE2EDF">
        <w:rPr>
          <w:rFonts w:eastAsia="Times New Roman" w:cs="Times New Roman"/>
          <w:iCs/>
          <w:lang w:val="en-GB"/>
        </w:rPr>
        <w:t>is ensured by the legal system</w:t>
      </w:r>
      <w:r w:rsidR="00C46F1C" w:rsidRPr="00DE2EDF">
        <w:rPr>
          <w:rFonts w:eastAsia="Times New Roman" w:cs="Times New Roman"/>
          <w:iCs/>
          <w:lang w:val="en-GB"/>
        </w:rPr>
        <w:t>,</w:t>
      </w:r>
      <w:r w:rsidR="00F31C2D" w:rsidRPr="00DE2EDF">
        <w:rPr>
          <w:rFonts w:eastAsia="Times New Roman" w:cs="Times New Roman"/>
          <w:iCs/>
          <w:lang w:val="en-GB"/>
        </w:rPr>
        <w:t xml:space="preserve"> </w:t>
      </w:r>
      <w:r w:rsidR="00C46F1C" w:rsidRPr="00DE2EDF">
        <w:rPr>
          <w:rFonts w:eastAsia="Times New Roman" w:cs="Times New Roman"/>
          <w:iCs/>
          <w:lang w:val="en-GB"/>
        </w:rPr>
        <w:t xml:space="preserve">which </w:t>
      </w:r>
      <w:r w:rsidR="00D5478C" w:rsidRPr="00DE2EDF">
        <w:rPr>
          <w:rFonts w:eastAsia="Times New Roman" w:cs="Times New Roman"/>
          <w:iCs/>
          <w:lang w:val="en-GB"/>
        </w:rPr>
        <w:t>allow</w:t>
      </w:r>
      <w:r w:rsidR="00C46F1C" w:rsidRPr="00DE2EDF">
        <w:rPr>
          <w:rFonts w:eastAsia="Times New Roman" w:cs="Times New Roman"/>
          <w:iCs/>
          <w:lang w:val="en-GB"/>
        </w:rPr>
        <w:t>s</w:t>
      </w:r>
      <w:r w:rsidR="00D5478C" w:rsidRPr="00DE2EDF">
        <w:rPr>
          <w:rFonts w:eastAsia="Times New Roman" w:cs="Times New Roman"/>
          <w:iCs/>
          <w:lang w:val="en-GB"/>
        </w:rPr>
        <w:t xml:space="preserve"> individuals to </w:t>
      </w:r>
      <w:r w:rsidR="00F31C2D" w:rsidRPr="00DE2EDF">
        <w:rPr>
          <w:rFonts w:eastAsia="Times New Roman" w:cs="Times New Roman"/>
          <w:iCs/>
          <w:lang w:val="en-GB"/>
        </w:rPr>
        <w:t>submit</w:t>
      </w:r>
      <w:r w:rsidR="00D5478C" w:rsidRPr="00DE2EDF">
        <w:rPr>
          <w:rFonts w:eastAsia="Times New Roman" w:cs="Times New Roman"/>
          <w:iCs/>
          <w:lang w:val="en-GB"/>
        </w:rPr>
        <w:t xml:space="preserve"> the final </w:t>
      </w:r>
      <w:r w:rsidR="003472F3" w:rsidRPr="00DE2EDF">
        <w:rPr>
          <w:rFonts w:eastAsia="Times New Roman" w:cs="Times New Roman"/>
          <w:iCs/>
          <w:lang w:val="en-GB"/>
        </w:rPr>
        <w:t xml:space="preserve">decision of the highest </w:t>
      </w:r>
      <w:r w:rsidR="00C46F1C" w:rsidRPr="00DE2EDF">
        <w:rPr>
          <w:rFonts w:eastAsia="Times New Roman" w:cs="Times New Roman"/>
          <w:iCs/>
          <w:lang w:val="en-GB"/>
        </w:rPr>
        <w:t xml:space="preserve">relevant ordinary </w:t>
      </w:r>
      <w:r w:rsidR="003472F3" w:rsidRPr="00DE2EDF">
        <w:rPr>
          <w:rFonts w:eastAsia="Times New Roman" w:cs="Times New Roman"/>
          <w:iCs/>
          <w:lang w:val="en-GB"/>
        </w:rPr>
        <w:t xml:space="preserve">court </w:t>
      </w:r>
      <w:r w:rsidR="00C82398" w:rsidRPr="00DE2EDF">
        <w:rPr>
          <w:rFonts w:eastAsia="Times New Roman" w:cs="Times New Roman"/>
          <w:iCs/>
          <w:lang w:val="en-GB"/>
        </w:rPr>
        <w:t xml:space="preserve">to </w:t>
      </w:r>
      <w:r w:rsidR="00D5478C" w:rsidRPr="00DE2EDF">
        <w:rPr>
          <w:rFonts w:eastAsia="Times New Roman" w:cs="Times New Roman"/>
          <w:iCs/>
          <w:lang w:val="en-GB"/>
        </w:rPr>
        <w:t xml:space="preserve">the </w:t>
      </w:r>
      <w:r w:rsidR="003472F3" w:rsidRPr="00DE2EDF">
        <w:rPr>
          <w:rFonts w:eastAsia="Times New Roman" w:cs="Times New Roman"/>
          <w:iCs/>
          <w:lang w:val="en-GB"/>
        </w:rPr>
        <w:t>Constitutional Court</w:t>
      </w:r>
      <w:r w:rsidR="00D5478C" w:rsidRPr="00DE2EDF">
        <w:rPr>
          <w:rFonts w:eastAsia="Times New Roman" w:cs="Times New Roman"/>
          <w:iCs/>
          <w:lang w:val="en-GB"/>
        </w:rPr>
        <w:t xml:space="preserve">, in order to </w:t>
      </w:r>
      <w:r w:rsidR="00C46F1C" w:rsidRPr="00DE2EDF">
        <w:rPr>
          <w:rFonts w:eastAsia="Times New Roman" w:cs="Times New Roman"/>
          <w:iCs/>
          <w:lang w:val="en-GB"/>
        </w:rPr>
        <w:lastRenderedPageBreak/>
        <w:t>r</w:t>
      </w:r>
      <w:r w:rsidR="00D5055E" w:rsidRPr="00DE2EDF">
        <w:rPr>
          <w:rFonts w:eastAsia="Times New Roman" w:cs="Times New Roman"/>
          <w:iCs/>
          <w:lang w:val="en-GB"/>
        </w:rPr>
        <w:t>ule on</w:t>
      </w:r>
      <w:r w:rsidR="00C46F1C" w:rsidRPr="00DE2EDF">
        <w:rPr>
          <w:rFonts w:eastAsia="Times New Roman" w:cs="Times New Roman"/>
          <w:iCs/>
          <w:lang w:val="en-GB"/>
        </w:rPr>
        <w:t xml:space="preserve"> </w:t>
      </w:r>
      <w:r w:rsidR="00D5478C" w:rsidRPr="00DE2EDF">
        <w:rPr>
          <w:rFonts w:eastAsia="Times New Roman" w:cs="Times New Roman"/>
          <w:iCs/>
          <w:lang w:val="en-GB"/>
        </w:rPr>
        <w:t>the constitutional issue</w:t>
      </w:r>
      <w:r w:rsidR="00C46F1C" w:rsidRPr="00DE2EDF">
        <w:rPr>
          <w:rFonts w:eastAsia="Times New Roman" w:cs="Times New Roman"/>
          <w:iCs/>
          <w:lang w:val="en-GB"/>
        </w:rPr>
        <w:t>s</w:t>
      </w:r>
      <w:r w:rsidR="00D5478C" w:rsidRPr="00DE2EDF">
        <w:rPr>
          <w:rFonts w:eastAsia="Times New Roman" w:cs="Times New Roman"/>
          <w:iCs/>
          <w:lang w:val="en-GB"/>
        </w:rPr>
        <w:t xml:space="preserve"> at stake (the Constitutional Court is not </w:t>
      </w:r>
      <w:r w:rsidR="00D5055E" w:rsidRPr="00DE2EDF">
        <w:rPr>
          <w:rFonts w:eastAsia="Times New Roman" w:cs="Times New Roman"/>
          <w:iCs/>
          <w:lang w:val="en-GB"/>
        </w:rPr>
        <w:t>allowed</w:t>
      </w:r>
      <w:r w:rsidR="00D5478C" w:rsidRPr="00DE2EDF">
        <w:rPr>
          <w:rFonts w:eastAsia="Times New Roman" w:cs="Times New Roman"/>
          <w:iCs/>
          <w:lang w:val="en-GB"/>
        </w:rPr>
        <w:t xml:space="preserve"> to </w:t>
      </w:r>
      <w:r w:rsidR="00D5055E" w:rsidRPr="00DE2EDF">
        <w:rPr>
          <w:rFonts w:eastAsia="Times New Roman" w:cs="Times New Roman"/>
          <w:iCs/>
          <w:lang w:val="en-GB"/>
        </w:rPr>
        <w:t xml:space="preserve">rule on </w:t>
      </w:r>
      <w:r w:rsidR="00D5478C" w:rsidRPr="00DE2EDF">
        <w:rPr>
          <w:rFonts w:eastAsia="Times New Roman" w:cs="Times New Roman"/>
          <w:iCs/>
          <w:lang w:val="en-GB"/>
        </w:rPr>
        <w:t>the ordinary law questions)</w:t>
      </w:r>
      <w:r w:rsidR="003472F3" w:rsidRPr="00DE2EDF">
        <w:rPr>
          <w:rFonts w:eastAsia="Times New Roman" w:cs="Times New Roman"/>
          <w:iCs/>
          <w:lang w:val="en-GB"/>
        </w:rPr>
        <w:t xml:space="preserve">. </w:t>
      </w:r>
      <w:r w:rsidR="00B76B04" w:rsidRPr="00DE2EDF">
        <w:rPr>
          <w:rFonts w:eastAsia="Times New Roman" w:cs="Times New Roman"/>
          <w:iCs/>
          <w:lang w:val="en-GB"/>
        </w:rPr>
        <w:t>This is the core of the Portuguese system</w:t>
      </w:r>
      <w:r w:rsidR="002C7656" w:rsidRPr="00DE2EDF">
        <w:rPr>
          <w:rFonts w:eastAsia="Times New Roman" w:cs="Times New Roman"/>
          <w:iCs/>
          <w:lang w:val="en-GB"/>
        </w:rPr>
        <w:t>, as established by articles 204 and 280</w:t>
      </w:r>
      <w:r w:rsidR="001033F4">
        <w:rPr>
          <w:rFonts w:eastAsia="Times New Roman" w:cs="Times New Roman"/>
          <w:iCs/>
          <w:lang w:val="en-GB"/>
        </w:rPr>
        <w:t xml:space="preserve"> </w:t>
      </w:r>
      <w:r w:rsidR="00427990" w:rsidRPr="00DE2EDF">
        <w:rPr>
          <w:rFonts w:eastAsia="Times New Roman" w:cs="Times New Roman"/>
          <w:iCs/>
          <w:lang w:val="en-GB"/>
        </w:rPr>
        <w:t>para</w:t>
      </w:r>
      <w:r w:rsidR="001033F4">
        <w:rPr>
          <w:rFonts w:eastAsia="Times New Roman" w:cs="Times New Roman"/>
          <w:iCs/>
          <w:lang w:val="en-GB"/>
        </w:rPr>
        <w:t xml:space="preserve"> 1</w:t>
      </w:r>
      <w:r w:rsidR="002C7656" w:rsidRPr="00DE2EDF">
        <w:rPr>
          <w:rFonts w:eastAsia="Times New Roman" w:cs="Times New Roman"/>
          <w:iCs/>
          <w:lang w:val="en-GB"/>
        </w:rPr>
        <w:t xml:space="preserve"> of the 1976 Constitution</w:t>
      </w:r>
      <w:r w:rsidR="00427990" w:rsidRPr="00DE2EDF">
        <w:rPr>
          <w:rFonts w:eastAsia="Times New Roman" w:cs="Times New Roman"/>
          <w:iCs/>
          <w:lang w:val="en-GB"/>
        </w:rPr>
        <w:t>.</w:t>
      </w:r>
      <w:r w:rsidR="00F31C2D" w:rsidRPr="00DE2EDF">
        <w:rPr>
          <w:rStyle w:val="FootnoteReference"/>
          <w:rFonts w:eastAsia="Times New Roman" w:cs="Times New Roman"/>
          <w:iCs/>
          <w:lang w:val="en-GB"/>
        </w:rPr>
        <w:footnoteReference w:id="263"/>
      </w:r>
      <w:r w:rsidR="00427990" w:rsidRPr="00DE2EDF">
        <w:rPr>
          <w:rFonts w:eastAsia="Times New Roman" w:cs="Times New Roman"/>
          <w:iCs/>
          <w:lang w:val="en-GB"/>
        </w:rPr>
        <w:t xml:space="preserve"> </w:t>
      </w:r>
      <w:r w:rsidR="00C16E35" w:rsidRPr="00DE2EDF">
        <w:rPr>
          <w:rFonts w:eastAsia="Times New Roman" w:cs="Times New Roman"/>
          <w:iCs/>
          <w:lang w:val="en-GB"/>
        </w:rPr>
        <w:t xml:space="preserve">In Germany and Spain, it is the </w:t>
      </w:r>
      <w:r w:rsidR="00791C86" w:rsidRPr="00DE2EDF">
        <w:rPr>
          <w:rFonts w:eastAsia="Times New Roman" w:cs="Times New Roman"/>
          <w:iCs/>
          <w:lang w:val="en-GB"/>
        </w:rPr>
        <w:t xml:space="preserve">indirect </w:t>
      </w:r>
      <w:r w:rsidR="00C16E35" w:rsidRPr="00DE2EDF">
        <w:rPr>
          <w:rFonts w:eastAsia="Times New Roman" w:cs="Times New Roman"/>
          <w:iCs/>
          <w:lang w:val="en-GB"/>
        </w:rPr>
        <w:t>result of the</w:t>
      </w:r>
      <w:r w:rsidR="00D5478C" w:rsidRPr="00DE2EDF">
        <w:rPr>
          <w:rFonts w:eastAsia="Times New Roman" w:cs="Times New Roman"/>
          <w:iCs/>
          <w:lang w:val="en-GB"/>
        </w:rPr>
        <w:t xml:space="preserve"> special procedure of petition called ‘</w:t>
      </w:r>
      <w:r w:rsidR="00C16E35" w:rsidRPr="00DE2EDF">
        <w:rPr>
          <w:rFonts w:eastAsia="Times New Roman" w:cs="Times New Roman"/>
          <w:i/>
          <w:iCs/>
          <w:lang w:val="en-GB"/>
        </w:rPr>
        <w:t>V</w:t>
      </w:r>
      <w:r w:rsidR="00D5478C" w:rsidRPr="00DE2EDF">
        <w:rPr>
          <w:rFonts w:eastAsia="Times New Roman" w:cs="Times New Roman"/>
          <w:i/>
          <w:iCs/>
          <w:lang w:val="en-GB"/>
        </w:rPr>
        <w:t>erfassungsbeschwerde’</w:t>
      </w:r>
      <w:r w:rsidR="00D5478C" w:rsidRPr="00DE2EDF">
        <w:rPr>
          <w:rFonts w:eastAsia="Times New Roman" w:cs="Times New Roman"/>
          <w:iCs/>
          <w:lang w:val="en-GB"/>
        </w:rPr>
        <w:t xml:space="preserve"> </w:t>
      </w:r>
      <w:r w:rsidR="00427990" w:rsidRPr="00DE2EDF">
        <w:rPr>
          <w:rFonts w:eastAsia="Times New Roman" w:cs="Times New Roman"/>
          <w:iCs/>
          <w:lang w:val="en-GB"/>
        </w:rPr>
        <w:t>(article 93 para</w:t>
      </w:r>
      <w:r w:rsidR="00664C88" w:rsidRPr="00DE2EDF">
        <w:rPr>
          <w:rFonts w:eastAsia="Times New Roman" w:cs="Times New Roman"/>
          <w:iCs/>
          <w:lang w:val="en-GB"/>
        </w:rPr>
        <w:t xml:space="preserve"> 1, 4a </w:t>
      </w:r>
      <w:r w:rsidR="00664C88" w:rsidRPr="00DE2EDF">
        <w:rPr>
          <w:rFonts w:eastAsia="Times New Roman" w:cs="Times New Roman"/>
          <w:i/>
          <w:iCs/>
          <w:lang w:val="en-GB"/>
        </w:rPr>
        <w:t>Grundgesetz</w:t>
      </w:r>
      <w:r w:rsidR="00664C88" w:rsidRPr="00DE2EDF">
        <w:rPr>
          <w:rFonts w:eastAsia="Times New Roman" w:cs="Times New Roman"/>
          <w:iCs/>
          <w:lang w:val="en-GB"/>
        </w:rPr>
        <w:t xml:space="preserve">) </w:t>
      </w:r>
      <w:r w:rsidR="00C16E35" w:rsidRPr="00DE2EDF">
        <w:rPr>
          <w:rFonts w:eastAsia="Times New Roman" w:cs="Times New Roman"/>
          <w:iCs/>
          <w:lang w:val="en-GB"/>
        </w:rPr>
        <w:t xml:space="preserve">or </w:t>
      </w:r>
      <w:r w:rsidR="00D5478C" w:rsidRPr="00DE2EDF">
        <w:rPr>
          <w:rFonts w:eastAsia="Times New Roman" w:cs="Times New Roman"/>
          <w:i/>
          <w:iCs/>
          <w:lang w:val="en-GB"/>
        </w:rPr>
        <w:t>recurso de amparo</w:t>
      </w:r>
      <w:r w:rsidR="00791C86" w:rsidRPr="00DE2EDF">
        <w:rPr>
          <w:rFonts w:eastAsia="Times New Roman" w:cs="Times New Roman"/>
          <w:iCs/>
          <w:lang w:val="en-GB"/>
        </w:rPr>
        <w:t xml:space="preserve"> </w:t>
      </w:r>
      <w:r w:rsidR="00C47BD2" w:rsidRPr="00DE2EDF">
        <w:rPr>
          <w:rFonts w:eastAsia="Times New Roman" w:cs="Times New Roman"/>
          <w:iCs/>
          <w:lang w:val="en-GB"/>
        </w:rPr>
        <w:t>(art</w:t>
      </w:r>
      <w:r w:rsidR="00427990" w:rsidRPr="00DE2EDF">
        <w:rPr>
          <w:rFonts w:eastAsia="Times New Roman" w:cs="Times New Roman"/>
          <w:iCs/>
          <w:lang w:val="en-GB"/>
        </w:rPr>
        <w:t>icle 53 para 2 Constitution</w:t>
      </w:r>
      <w:r w:rsidR="00C47BD2" w:rsidRPr="00DE2EDF">
        <w:rPr>
          <w:rFonts w:eastAsia="Times New Roman" w:cs="Times New Roman"/>
          <w:iCs/>
          <w:lang w:val="en-GB"/>
        </w:rPr>
        <w:t xml:space="preserve"> 1978) </w:t>
      </w:r>
      <w:r w:rsidR="00C16E35" w:rsidRPr="00DE2EDF">
        <w:rPr>
          <w:rFonts w:eastAsia="Times New Roman" w:cs="Times New Roman"/>
          <w:iCs/>
          <w:lang w:val="en-GB"/>
        </w:rPr>
        <w:t>when applied to</w:t>
      </w:r>
      <w:r w:rsidR="00791C86" w:rsidRPr="00DE2EDF">
        <w:rPr>
          <w:rFonts w:eastAsia="Times New Roman" w:cs="Times New Roman"/>
          <w:iCs/>
          <w:lang w:val="en-GB"/>
        </w:rPr>
        <w:t xml:space="preserve"> the decisions of the highest</w:t>
      </w:r>
      <w:r w:rsidR="00C16E35" w:rsidRPr="00DE2EDF">
        <w:rPr>
          <w:rFonts w:eastAsia="Times New Roman" w:cs="Times New Roman"/>
          <w:iCs/>
          <w:lang w:val="en-GB"/>
        </w:rPr>
        <w:t xml:space="preserve"> ordinary courts</w:t>
      </w:r>
      <w:r w:rsidR="00791C86" w:rsidRPr="00DE2EDF">
        <w:rPr>
          <w:rFonts w:eastAsia="Times New Roman" w:cs="Times New Roman"/>
          <w:iCs/>
          <w:lang w:val="en-GB"/>
        </w:rPr>
        <w:t xml:space="preserve">. </w:t>
      </w:r>
      <w:r w:rsidR="002C7656" w:rsidRPr="00DE2EDF">
        <w:rPr>
          <w:rFonts w:eastAsia="Times New Roman" w:cs="Times New Roman"/>
          <w:iCs/>
          <w:lang w:val="en-GB"/>
        </w:rPr>
        <w:t>Si</w:t>
      </w:r>
      <w:r w:rsidR="00791C86" w:rsidRPr="00DE2EDF">
        <w:rPr>
          <w:rFonts w:eastAsia="Times New Roman" w:cs="Times New Roman"/>
          <w:iCs/>
          <w:lang w:val="en-GB"/>
        </w:rPr>
        <w:t>milar procedure</w:t>
      </w:r>
      <w:r w:rsidR="00D5055E" w:rsidRPr="00DE2EDF">
        <w:rPr>
          <w:rFonts w:eastAsia="Times New Roman" w:cs="Times New Roman"/>
          <w:iCs/>
          <w:lang w:val="en-GB"/>
        </w:rPr>
        <w:t>s</w:t>
      </w:r>
      <w:r w:rsidR="00791C86" w:rsidRPr="00DE2EDF">
        <w:rPr>
          <w:rFonts w:eastAsia="Times New Roman" w:cs="Times New Roman"/>
          <w:iCs/>
          <w:lang w:val="en-GB"/>
        </w:rPr>
        <w:t xml:space="preserve"> also</w:t>
      </w:r>
      <w:r w:rsidR="00B055AA" w:rsidRPr="00DE2EDF">
        <w:rPr>
          <w:rFonts w:eastAsia="Times New Roman" w:cs="Times New Roman"/>
          <w:iCs/>
          <w:lang w:val="en-GB"/>
        </w:rPr>
        <w:t xml:space="preserve"> exist in Slovenia, the Czech Republic, Slovakia, Montenegro, Macedonia</w:t>
      </w:r>
      <w:r w:rsidR="00023F37" w:rsidRPr="00DE2EDF">
        <w:rPr>
          <w:rFonts w:eastAsia="Times New Roman" w:cs="Times New Roman"/>
          <w:iCs/>
          <w:lang w:val="en-GB"/>
        </w:rPr>
        <w:t>,</w:t>
      </w:r>
      <w:r w:rsidR="00B055AA" w:rsidRPr="00DE2EDF">
        <w:rPr>
          <w:rFonts w:eastAsia="Times New Roman" w:cs="Times New Roman"/>
          <w:iCs/>
          <w:lang w:val="en-GB"/>
        </w:rPr>
        <w:t xml:space="preserve"> and</w:t>
      </w:r>
      <w:r w:rsidR="00023F37" w:rsidRPr="00DE2EDF">
        <w:rPr>
          <w:rFonts w:eastAsia="Times New Roman" w:cs="Times New Roman"/>
          <w:iCs/>
          <w:lang w:val="en-GB"/>
        </w:rPr>
        <w:t xml:space="preserve"> </w:t>
      </w:r>
      <w:r w:rsidR="00B055AA" w:rsidRPr="00DE2EDF">
        <w:rPr>
          <w:rFonts w:eastAsia="Times New Roman" w:cs="Times New Roman"/>
          <w:iCs/>
          <w:lang w:val="en-GB"/>
        </w:rPr>
        <w:t>outside Europe in various Latin</w:t>
      </w:r>
      <w:r w:rsidR="00D5055E" w:rsidRPr="00DE2EDF">
        <w:rPr>
          <w:rFonts w:eastAsia="Times New Roman" w:cs="Times New Roman"/>
          <w:iCs/>
          <w:lang w:val="en-GB"/>
        </w:rPr>
        <w:t xml:space="preserve"> </w:t>
      </w:r>
      <w:r w:rsidR="00B055AA" w:rsidRPr="00DE2EDF">
        <w:rPr>
          <w:rFonts w:eastAsia="Times New Roman" w:cs="Times New Roman"/>
          <w:iCs/>
          <w:lang w:val="en-GB"/>
        </w:rPr>
        <w:t>American countries</w:t>
      </w:r>
      <w:r w:rsidR="00D5478C" w:rsidRPr="00DE2EDF">
        <w:rPr>
          <w:rFonts w:eastAsia="Times New Roman" w:cs="Times New Roman"/>
          <w:iCs/>
          <w:lang w:val="en-GB"/>
        </w:rPr>
        <w:t xml:space="preserve">. </w:t>
      </w:r>
      <w:r w:rsidR="003472F3" w:rsidRPr="00DE2EDF">
        <w:rPr>
          <w:rFonts w:eastAsia="Times New Roman" w:cs="Times New Roman"/>
          <w:iCs/>
          <w:lang w:val="en-GB"/>
        </w:rPr>
        <w:t xml:space="preserve">In this model, the </w:t>
      </w:r>
      <w:r w:rsidR="00D5478C" w:rsidRPr="00DE2EDF">
        <w:rPr>
          <w:rFonts w:eastAsia="Times New Roman" w:cs="Times New Roman"/>
          <w:iCs/>
          <w:lang w:val="en-GB"/>
        </w:rPr>
        <w:t>ordinary</w:t>
      </w:r>
      <w:r w:rsidR="003472F3" w:rsidRPr="00DE2EDF">
        <w:rPr>
          <w:rFonts w:eastAsia="Times New Roman" w:cs="Times New Roman"/>
          <w:iCs/>
          <w:lang w:val="en-GB"/>
        </w:rPr>
        <w:t xml:space="preserve"> courts are</w:t>
      </w:r>
      <w:r w:rsidR="00D5478C" w:rsidRPr="00DE2EDF">
        <w:rPr>
          <w:rFonts w:eastAsia="Times New Roman" w:cs="Times New Roman"/>
          <w:iCs/>
          <w:lang w:val="en-GB"/>
        </w:rPr>
        <w:t xml:space="preserve">, with regard to </w:t>
      </w:r>
      <w:r w:rsidR="002C7656" w:rsidRPr="00DE2EDF">
        <w:rPr>
          <w:rFonts w:eastAsia="Times New Roman" w:cs="Times New Roman"/>
          <w:iCs/>
          <w:lang w:val="en-GB"/>
        </w:rPr>
        <w:t xml:space="preserve">only </w:t>
      </w:r>
      <w:r w:rsidR="00D5478C" w:rsidRPr="00DE2EDF">
        <w:rPr>
          <w:rFonts w:eastAsia="Times New Roman" w:cs="Times New Roman"/>
          <w:iCs/>
          <w:lang w:val="en-GB"/>
        </w:rPr>
        <w:t xml:space="preserve">constitutional </w:t>
      </w:r>
      <w:r w:rsidR="00C16E35" w:rsidRPr="00DE2EDF">
        <w:rPr>
          <w:rFonts w:eastAsia="Times New Roman" w:cs="Times New Roman"/>
          <w:iCs/>
          <w:lang w:val="en-GB"/>
        </w:rPr>
        <w:t>law matters</w:t>
      </w:r>
      <w:r w:rsidR="00D5478C" w:rsidRPr="00DE2EDF">
        <w:rPr>
          <w:rFonts w:eastAsia="Times New Roman" w:cs="Times New Roman"/>
          <w:iCs/>
          <w:lang w:val="en-GB"/>
        </w:rPr>
        <w:t>,</w:t>
      </w:r>
      <w:r w:rsidR="003472F3" w:rsidRPr="00DE2EDF">
        <w:rPr>
          <w:rFonts w:eastAsia="Times New Roman" w:cs="Times New Roman"/>
          <w:iCs/>
          <w:lang w:val="en-GB"/>
        </w:rPr>
        <w:t xml:space="preserve"> under the supervision and contr</w:t>
      </w:r>
      <w:r w:rsidR="00D56041" w:rsidRPr="00DE2EDF">
        <w:rPr>
          <w:rFonts w:eastAsia="Times New Roman" w:cs="Times New Roman"/>
          <w:iCs/>
          <w:lang w:val="en-GB"/>
        </w:rPr>
        <w:t>ol of the Constitutional Court</w:t>
      </w:r>
      <w:r w:rsidR="00C16E35" w:rsidRPr="00DE2EDF">
        <w:rPr>
          <w:rFonts w:eastAsia="Times New Roman" w:cs="Times New Roman"/>
          <w:iCs/>
          <w:lang w:val="en-GB"/>
        </w:rPr>
        <w:t>. The latter</w:t>
      </w:r>
      <w:r w:rsidR="00D5055E" w:rsidRPr="00DE2EDF">
        <w:rPr>
          <w:rFonts w:eastAsia="Times New Roman" w:cs="Times New Roman"/>
          <w:iCs/>
          <w:lang w:val="en-GB"/>
        </w:rPr>
        <w:t>, however,</w:t>
      </w:r>
      <w:r w:rsidR="00C16E35" w:rsidRPr="00DE2EDF">
        <w:rPr>
          <w:rFonts w:eastAsia="Times New Roman" w:cs="Times New Roman"/>
          <w:iCs/>
          <w:lang w:val="en-GB"/>
        </w:rPr>
        <w:t xml:space="preserve"> is not a Supreme Court </w:t>
      </w:r>
      <w:r w:rsidR="00C16E35" w:rsidRPr="00DE2EDF">
        <w:rPr>
          <w:rFonts w:eastAsia="Times New Roman" w:cs="Times New Roman"/>
          <w:i/>
          <w:iCs/>
          <w:lang w:val="en-GB"/>
        </w:rPr>
        <w:t>stricto sensu</w:t>
      </w:r>
      <w:r w:rsidR="00C16E35" w:rsidRPr="00DE2EDF">
        <w:rPr>
          <w:rFonts w:eastAsia="Times New Roman" w:cs="Times New Roman"/>
          <w:iCs/>
          <w:lang w:val="en-GB"/>
        </w:rPr>
        <w:t>, as in the United States.</w:t>
      </w:r>
    </w:p>
    <w:p w14:paraId="587838AE" w14:textId="77777777" w:rsidR="000F4C26" w:rsidRPr="00DE2EDF" w:rsidRDefault="000F4C26" w:rsidP="00DE2EDF">
      <w:pPr>
        <w:spacing w:after="0"/>
        <w:jc w:val="both"/>
        <w:rPr>
          <w:rFonts w:eastAsia="Times New Roman" w:cs="Times New Roman"/>
          <w:iCs/>
          <w:lang w:val="en-GB"/>
        </w:rPr>
      </w:pPr>
    </w:p>
    <w:p w14:paraId="17234ECB" w14:textId="77777777" w:rsidR="00CB4B13" w:rsidRPr="00DE2EDF" w:rsidRDefault="00CB4B13" w:rsidP="00DE2EDF">
      <w:pPr>
        <w:spacing w:after="0"/>
        <w:jc w:val="both"/>
        <w:rPr>
          <w:rFonts w:eastAsia="Times New Roman" w:cs="Times New Roman"/>
          <w:iCs/>
          <w:lang w:val="en-GB"/>
        </w:rPr>
      </w:pPr>
      <w:r w:rsidRPr="00DE2EDF">
        <w:rPr>
          <w:rFonts w:eastAsia="Times New Roman" w:cs="Times New Roman"/>
          <w:iCs/>
          <w:lang w:val="en-GB"/>
        </w:rPr>
        <w:t>The</w:t>
      </w:r>
      <w:r w:rsidR="002C4888" w:rsidRPr="00DE2EDF">
        <w:rPr>
          <w:rFonts w:eastAsia="Times New Roman" w:cs="Times New Roman"/>
          <w:iCs/>
          <w:lang w:val="en-GB"/>
        </w:rPr>
        <w:t>se</w:t>
      </w:r>
      <w:r w:rsidRPr="00DE2EDF">
        <w:rPr>
          <w:rFonts w:eastAsia="Times New Roman" w:cs="Times New Roman"/>
          <w:iCs/>
          <w:lang w:val="en-GB"/>
        </w:rPr>
        <w:t xml:space="preserve"> four ideal types demonstrate the </w:t>
      </w:r>
      <w:r w:rsidR="00D5055E" w:rsidRPr="00DE2EDF">
        <w:rPr>
          <w:rFonts w:eastAsia="Times New Roman" w:cs="Times New Roman"/>
          <w:iCs/>
          <w:lang w:val="en-GB"/>
        </w:rPr>
        <w:t xml:space="preserve">substantially </w:t>
      </w:r>
      <w:r w:rsidRPr="00DE2EDF">
        <w:rPr>
          <w:rFonts w:eastAsia="Times New Roman" w:cs="Times New Roman"/>
          <w:iCs/>
          <w:lang w:val="en-GB"/>
        </w:rPr>
        <w:t>different positions of administrative courts vis-à-vis the Constitution and the judicature of the Constitutional Court.</w:t>
      </w:r>
    </w:p>
    <w:p w14:paraId="40928495" w14:textId="77777777" w:rsidR="000F4C26" w:rsidRPr="00DE2EDF" w:rsidRDefault="000F4C26" w:rsidP="00DE2EDF">
      <w:pPr>
        <w:spacing w:after="0"/>
        <w:jc w:val="both"/>
        <w:rPr>
          <w:rFonts w:eastAsia="Times New Roman" w:cs="Times New Roman"/>
          <w:iCs/>
          <w:lang w:val="en-GB"/>
        </w:rPr>
      </w:pPr>
    </w:p>
    <w:p w14:paraId="4FF522DE" w14:textId="77777777" w:rsidR="003472F3" w:rsidRPr="00DE2EDF" w:rsidRDefault="00A333AE" w:rsidP="00DE2EDF">
      <w:pPr>
        <w:pStyle w:val="Heading3"/>
        <w:rPr>
          <w:rStyle w:val="Heading3Char"/>
          <w:rFonts w:eastAsiaTheme="minorHAnsi" w:cs="Times New Roman"/>
          <w:i/>
          <w:szCs w:val="24"/>
        </w:rPr>
      </w:pPr>
      <w:bookmarkStart w:id="367" w:name="_Toc253048956"/>
      <w:bookmarkStart w:id="368" w:name="_Toc252700503"/>
      <w:bookmarkStart w:id="369" w:name="_Toc245196688"/>
      <w:bookmarkStart w:id="370" w:name="_Toc460405650"/>
      <w:bookmarkEnd w:id="367"/>
      <w:bookmarkEnd w:id="368"/>
      <w:r w:rsidRPr="00DE2EDF">
        <w:rPr>
          <w:rFonts w:cs="Times New Roman"/>
          <w:iCs/>
          <w:szCs w:val="24"/>
        </w:rPr>
        <w:t>i</w:t>
      </w:r>
      <w:r w:rsidR="000F4C26" w:rsidRPr="00DE2EDF">
        <w:rPr>
          <w:rFonts w:cs="Times New Roman"/>
          <w:iCs/>
          <w:szCs w:val="24"/>
        </w:rPr>
        <w:t xml:space="preserve">) </w:t>
      </w:r>
      <w:r w:rsidR="003472F3" w:rsidRPr="00DE2EDF">
        <w:rPr>
          <w:rStyle w:val="Heading3Char"/>
          <w:rFonts w:eastAsiaTheme="minorHAnsi" w:cs="Times New Roman"/>
          <w:i/>
          <w:szCs w:val="24"/>
        </w:rPr>
        <w:t xml:space="preserve">The </w:t>
      </w:r>
      <w:r w:rsidR="003F59EC" w:rsidRPr="00DE2EDF">
        <w:rPr>
          <w:rStyle w:val="Heading3Char"/>
          <w:rFonts w:eastAsiaTheme="minorHAnsi" w:cs="Times New Roman"/>
          <w:i/>
          <w:szCs w:val="24"/>
        </w:rPr>
        <w:t>R</w:t>
      </w:r>
      <w:r w:rsidR="00CF4776" w:rsidRPr="00DE2EDF">
        <w:rPr>
          <w:rStyle w:val="Heading3Char"/>
          <w:rFonts w:eastAsiaTheme="minorHAnsi" w:cs="Times New Roman"/>
          <w:i/>
          <w:szCs w:val="24"/>
        </w:rPr>
        <w:t>ole</w:t>
      </w:r>
      <w:r w:rsidR="003472F3" w:rsidRPr="00DE2EDF">
        <w:rPr>
          <w:rStyle w:val="Heading3Char"/>
          <w:rFonts w:eastAsiaTheme="minorHAnsi" w:cs="Times New Roman"/>
          <w:i/>
          <w:szCs w:val="24"/>
        </w:rPr>
        <w:t xml:space="preserve"> of </w:t>
      </w:r>
      <w:bookmarkEnd w:id="369"/>
      <w:r w:rsidR="003F59EC" w:rsidRPr="00DE2EDF">
        <w:rPr>
          <w:rStyle w:val="Heading3Char"/>
          <w:rFonts w:eastAsiaTheme="minorHAnsi" w:cs="Times New Roman"/>
          <w:i/>
          <w:szCs w:val="24"/>
        </w:rPr>
        <w:t>S</w:t>
      </w:r>
      <w:r w:rsidR="0000724E" w:rsidRPr="00DE2EDF">
        <w:rPr>
          <w:rStyle w:val="Heading3Char"/>
          <w:rFonts w:eastAsiaTheme="minorHAnsi" w:cs="Times New Roman"/>
          <w:i/>
          <w:szCs w:val="24"/>
        </w:rPr>
        <w:t>cholars</w:t>
      </w:r>
      <w:r w:rsidR="00CF4776" w:rsidRPr="00DE2EDF">
        <w:rPr>
          <w:rStyle w:val="Heading3Char"/>
          <w:rFonts w:eastAsiaTheme="minorHAnsi" w:cs="Times New Roman"/>
          <w:i/>
          <w:szCs w:val="24"/>
        </w:rPr>
        <w:t xml:space="preserve"> with </w:t>
      </w:r>
      <w:r w:rsidR="003F59EC" w:rsidRPr="00DE2EDF">
        <w:rPr>
          <w:rStyle w:val="Heading3Char"/>
          <w:rFonts w:eastAsiaTheme="minorHAnsi" w:cs="Times New Roman"/>
          <w:i/>
          <w:szCs w:val="24"/>
        </w:rPr>
        <w:t>R</w:t>
      </w:r>
      <w:r w:rsidR="00CF4776" w:rsidRPr="00DE2EDF">
        <w:rPr>
          <w:rStyle w:val="Heading3Char"/>
          <w:rFonts w:eastAsiaTheme="minorHAnsi" w:cs="Times New Roman"/>
          <w:i/>
          <w:szCs w:val="24"/>
        </w:rPr>
        <w:t xml:space="preserve">egard to </w:t>
      </w:r>
      <w:r w:rsidR="003F59EC" w:rsidRPr="00DE2EDF">
        <w:rPr>
          <w:rStyle w:val="Heading3Char"/>
          <w:rFonts w:eastAsiaTheme="minorHAnsi" w:cs="Times New Roman"/>
          <w:i/>
          <w:szCs w:val="24"/>
        </w:rPr>
        <w:t>C</w:t>
      </w:r>
      <w:r w:rsidR="00CF4776" w:rsidRPr="00DE2EDF">
        <w:rPr>
          <w:rStyle w:val="Heading3Char"/>
          <w:rFonts w:eastAsiaTheme="minorHAnsi" w:cs="Times New Roman"/>
          <w:i/>
          <w:szCs w:val="24"/>
        </w:rPr>
        <w:t>onstitution</w:t>
      </w:r>
      <w:r w:rsidR="00EE19DE" w:rsidRPr="00DE2EDF">
        <w:rPr>
          <w:rStyle w:val="Heading3Char"/>
          <w:rFonts w:eastAsiaTheme="minorHAnsi" w:cs="Times New Roman"/>
          <w:i/>
          <w:szCs w:val="24"/>
        </w:rPr>
        <w:t>ali</w:t>
      </w:r>
      <w:r w:rsidR="00D12A0C" w:rsidRPr="00DE2EDF">
        <w:rPr>
          <w:rStyle w:val="Heading3Char"/>
          <w:rFonts w:eastAsiaTheme="minorHAnsi" w:cs="Times New Roman"/>
          <w:i/>
          <w:szCs w:val="24"/>
        </w:rPr>
        <w:t>z</w:t>
      </w:r>
      <w:r w:rsidR="00EE19DE" w:rsidRPr="00DE2EDF">
        <w:rPr>
          <w:rStyle w:val="Heading3Char"/>
          <w:rFonts w:eastAsiaTheme="minorHAnsi" w:cs="Times New Roman"/>
          <w:i/>
          <w:szCs w:val="24"/>
        </w:rPr>
        <w:t xml:space="preserve">ation of </w:t>
      </w:r>
      <w:r w:rsidR="003F59EC" w:rsidRPr="00DE2EDF">
        <w:rPr>
          <w:rStyle w:val="Heading3Char"/>
          <w:rFonts w:eastAsiaTheme="minorHAnsi" w:cs="Times New Roman"/>
          <w:i/>
          <w:szCs w:val="24"/>
        </w:rPr>
        <w:t>A</w:t>
      </w:r>
      <w:r w:rsidR="00EE19DE" w:rsidRPr="00DE2EDF">
        <w:rPr>
          <w:rStyle w:val="Heading3Char"/>
          <w:rFonts w:eastAsiaTheme="minorHAnsi" w:cs="Times New Roman"/>
          <w:i/>
          <w:szCs w:val="24"/>
        </w:rPr>
        <w:t xml:space="preserve">dministrative </w:t>
      </w:r>
      <w:r w:rsidR="003F59EC" w:rsidRPr="00DE2EDF">
        <w:rPr>
          <w:rStyle w:val="Heading3Char"/>
          <w:rFonts w:eastAsiaTheme="minorHAnsi" w:cs="Times New Roman"/>
          <w:i/>
          <w:szCs w:val="24"/>
        </w:rPr>
        <w:t>L</w:t>
      </w:r>
      <w:r w:rsidR="00EE19DE" w:rsidRPr="00DE2EDF">
        <w:rPr>
          <w:rStyle w:val="Heading3Char"/>
          <w:rFonts w:eastAsiaTheme="minorHAnsi" w:cs="Times New Roman"/>
          <w:i/>
          <w:szCs w:val="24"/>
        </w:rPr>
        <w:t>aw</w:t>
      </w:r>
      <w:bookmarkEnd w:id="370"/>
    </w:p>
    <w:p w14:paraId="0A477738" w14:textId="77777777" w:rsidR="000F4C26" w:rsidRPr="00DE2EDF" w:rsidRDefault="000F4C26" w:rsidP="0006189D">
      <w:pPr>
        <w:pStyle w:val="NoSpacing"/>
        <w:rPr>
          <w:lang w:val="en-GB"/>
        </w:rPr>
      </w:pPr>
    </w:p>
    <w:p w14:paraId="72B54747" w14:textId="77777777" w:rsidR="003472F3" w:rsidRPr="00DE2EDF" w:rsidRDefault="003472F3" w:rsidP="00DE2EDF">
      <w:pPr>
        <w:spacing w:after="0"/>
        <w:jc w:val="both"/>
        <w:rPr>
          <w:rFonts w:eastAsia="Times New Roman" w:cs="Times New Roman"/>
          <w:iCs/>
          <w:lang w:val="en-GB"/>
        </w:rPr>
      </w:pPr>
      <w:r w:rsidRPr="00DE2EDF">
        <w:rPr>
          <w:rFonts w:eastAsia="Times New Roman" w:cs="Times New Roman"/>
          <w:iCs/>
          <w:lang w:val="en-GB"/>
        </w:rPr>
        <w:t>Last</w:t>
      </w:r>
      <w:r w:rsidR="000746A4" w:rsidRPr="00DE2EDF">
        <w:rPr>
          <w:rFonts w:eastAsia="Times New Roman" w:cs="Times New Roman"/>
          <w:iCs/>
          <w:lang w:val="en-GB"/>
        </w:rPr>
        <w:t>ly</w:t>
      </w:r>
      <w:r w:rsidRPr="00DE2EDF">
        <w:rPr>
          <w:rFonts w:eastAsia="Times New Roman" w:cs="Times New Roman"/>
          <w:iCs/>
          <w:lang w:val="en-GB"/>
        </w:rPr>
        <w:t xml:space="preserve">, the </w:t>
      </w:r>
      <w:r w:rsidR="003350DB" w:rsidRPr="00DE2EDF">
        <w:rPr>
          <w:rFonts w:eastAsia="Times New Roman" w:cs="Times New Roman"/>
          <w:iCs/>
          <w:lang w:val="en-GB"/>
        </w:rPr>
        <w:t xml:space="preserve">outcome of </w:t>
      </w:r>
      <w:r w:rsidRPr="00DE2EDF">
        <w:rPr>
          <w:rFonts w:eastAsia="Times New Roman" w:cs="Times New Roman"/>
          <w:iCs/>
          <w:lang w:val="en-GB"/>
        </w:rPr>
        <w:t>constitutionali</w:t>
      </w:r>
      <w:r w:rsidR="00461C8A" w:rsidRPr="00DE2EDF">
        <w:rPr>
          <w:rFonts w:eastAsia="Times New Roman" w:cs="Times New Roman"/>
          <w:iCs/>
          <w:lang w:val="en-GB"/>
        </w:rPr>
        <w:t>z</w:t>
      </w:r>
      <w:r w:rsidRPr="00DE2EDF">
        <w:rPr>
          <w:rFonts w:eastAsia="Times New Roman" w:cs="Times New Roman"/>
          <w:iCs/>
          <w:lang w:val="en-GB"/>
        </w:rPr>
        <w:t>ation</w:t>
      </w:r>
      <w:r w:rsidR="007B4F64" w:rsidRPr="00DE2EDF">
        <w:rPr>
          <w:rFonts w:eastAsia="Times New Roman" w:cs="Times New Roman"/>
          <w:iCs/>
          <w:lang w:val="en-GB"/>
        </w:rPr>
        <w:t xml:space="preserve"> of administrative law</w:t>
      </w:r>
      <w:r w:rsidR="003350DB" w:rsidRPr="00DE2EDF">
        <w:rPr>
          <w:rFonts w:eastAsia="Times New Roman" w:cs="Times New Roman"/>
          <w:iCs/>
          <w:lang w:val="en-GB"/>
        </w:rPr>
        <w:t xml:space="preserve"> (I </w:t>
      </w:r>
      <w:r w:rsidR="00D52B81" w:rsidRPr="00DE2EDF">
        <w:rPr>
          <w:rFonts w:eastAsia="Times New Roman" w:cs="Times New Roman"/>
          <w:iCs/>
          <w:lang w:val="en-GB"/>
        </w:rPr>
        <w:t xml:space="preserve">mainly </w:t>
      </w:r>
      <w:r w:rsidR="00884C53" w:rsidRPr="00DE2EDF">
        <w:rPr>
          <w:rFonts w:eastAsia="Times New Roman" w:cs="Times New Roman"/>
          <w:iCs/>
          <w:lang w:val="en-GB"/>
        </w:rPr>
        <w:t xml:space="preserve">refer </w:t>
      </w:r>
      <w:r w:rsidR="003350DB" w:rsidRPr="00DE2EDF">
        <w:rPr>
          <w:rFonts w:eastAsia="Times New Roman" w:cs="Times New Roman"/>
          <w:iCs/>
          <w:lang w:val="en-GB"/>
        </w:rPr>
        <w:t xml:space="preserve">here </w:t>
      </w:r>
      <w:r w:rsidR="000B0A8E" w:rsidRPr="00DE2EDF">
        <w:rPr>
          <w:rFonts w:eastAsia="Times New Roman" w:cs="Times New Roman"/>
          <w:iCs/>
          <w:lang w:val="en-GB"/>
        </w:rPr>
        <w:t xml:space="preserve">to </w:t>
      </w:r>
      <w:r w:rsidR="003350DB" w:rsidRPr="00DE2EDF">
        <w:rPr>
          <w:rFonts w:eastAsia="Times New Roman" w:cs="Times New Roman"/>
          <w:iCs/>
          <w:lang w:val="en-GB"/>
        </w:rPr>
        <w:t>the hypothesis of transformative constitutionalism)</w:t>
      </w:r>
      <w:r w:rsidRPr="00DE2EDF">
        <w:rPr>
          <w:rFonts w:eastAsia="Times New Roman" w:cs="Times New Roman"/>
          <w:iCs/>
          <w:lang w:val="en-GB"/>
        </w:rPr>
        <w:t xml:space="preserve"> is</w:t>
      </w:r>
      <w:r w:rsidR="007B4F64" w:rsidRPr="00DE2EDF">
        <w:rPr>
          <w:rFonts w:eastAsia="Times New Roman" w:cs="Times New Roman"/>
          <w:iCs/>
          <w:lang w:val="en-GB"/>
        </w:rPr>
        <w:t xml:space="preserve"> determined by </w:t>
      </w:r>
      <w:r w:rsidRPr="00DE2EDF">
        <w:rPr>
          <w:rFonts w:eastAsia="Times New Roman" w:cs="Times New Roman"/>
          <w:iCs/>
          <w:lang w:val="en-GB"/>
        </w:rPr>
        <w:t xml:space="preserve">the </w:t>
      </w:r>
      <w:r w:rsidR="007B4F64" w:rsidRPr="00DE2EDF">
        <w:rPr>
          <w:rFonts w:eastAsia="Times New Roman" w:cs="Times New Roman"/>
          <w:iCs/>
          <w:lang w:val="en-GB"/>
        </w:rPr>
        <w:t>attitude of legal academics.</w:t>
      </w:r>
      <w:bookmarkStart w:id="371" w:name="_ftnref191"/>
      <w:r w:rsidRPr="00DE2EDF">
        <w:rPr>
          <w:rFonts w:eastAsia="Times New Roman" w:cs="Times New Roman"/>
          <w:iCs/>
          <w:lang w:val="en-GB"/>
        </w:rPr>
        <w:t xml:space="preserve"> </w:t>
      </w:r>
      <w:bookmarkEnd w:id="371"/>
      <w:r w:rsidR="00F77152" w:rsidRPr="00DE2EDF">
        <w:rPr>
          <w:rFonts w:eastAsia="Times New Roman" w:cs="Times New Roman"/>
          <w:iCs/>
          <w:lang w:val="en-GB"/>
        </w:rPr>
        <w:t>Given the abstractness of constitutional principles, i</w:t>
      </w:r>
      <w:r w:rsidR="004D7334" w:rsidRPr="00DE2EDF">
        <w:rPr>
          <w:rFonts w:eastAsia="Times New Roman" w:cs="Times New Roman"/>
          <w:iCs/>
          <w:lang w:val="en-GB"/>
        </w:rPr>
        <w:t xml:space="preserve">t is </w:t>
      </w:r>
      <w:r w:rsidR="00D52B81" w:rsidRPr="00DE2EDF">
        <w:rPr>
          <w:rFonts w:eastAsia="Times New Roman" w:cs="Times New Roman"/>
          <w:iCs/>
          <w:lang w:val="en-GB"/>
        </w:rPr>
        <w:t xml:space="preserve">a particular (albeit not </w:t>
      </w:r>
      <w:r w:rsidR="000B0A8E" w:rsidRPr="00DE2EDF">
        <w:rPr>
          <w:rFonts w:eastAsia="Times New Roman" w:cs="Times New Roman"/>
          <w:iCs/>
          <w:lang w:val="en-GB"/>
        </w:rPr>
        <w:t xml:space="preserve">the </w:t>
      </w:r>
      <w:r w:rsidR="00D52B81" w:rsidRPr="00DE2EDF">
        <w:rPr>
          <w:rFonts w:eastAsia="Times New Roman" w:cs="Times New Roman"/>
          <w:iCs/>
          <w:lang w:val="en-GB"/>
        </w:rPr>
        <w:t>exclusive) role of</w:t>
      </w:r>
      <w:r w:rsidR="004D7334" w:rsidRPr="00DE2EDF">
        <w:rPr>
          <w:rFonts w:eastAsia="Times New Roman" w:cs="Times New Roman"/>
          <w:iCs/>
          <w:lang w:val="en-GB"/>
        </w:rPr>
        <w:t xml:space="preserve"> s</w:t>
      </w:r>
      <w:r w:rsidR="003350DB" w:rsidRPr="00DE2EDF">
        <w:rPr>
          <w:rFonts w:eastAsia="Times New Roman" w:cs="Times New Roman"/>
          <w:iCs/>
          <w:lang w:val="en-GB"/>
        </w:rPr>
        <w:t xml:space="preserve">cholars in </w:t>
      </w:r>
      <w:r w:rsidRPr="00DE2EDF">
        <w:rPr>
          <w:rFonts w:eastAsia="Times New Roman" w:cs="Times New Roman"/>
          <w:iCs/>
          <w:lang w:val="en-GB"/>
        </w:rPr>
        <w:t xml:space="preserve">administrative </w:t>
      </w:r>
      <w:r w:rsidR="003350DB" w:rsidRPr="00DE2EDF">
        <w:rPr>
          <w:rFonts w:eastAsia="Times New Roman" w:cs="Times New Roman"/>
          <w:iCs/>
          <w:lang w:val="en-GB"/>
        </w:rPr>
        <w:t xml:space="preserve">law </w:t>
      </w:r>
      <w:r w:rsidRPr="00DE2EDF">
        <w:rPr>
          <w:rFonts w:eastAsia="Times New Roman" w:cs="Times New Roman"/>
          <w:iCs/>
          <w:lang w:val="en-GB"/>
        </w:rPr>
        <w:t>and</w:t>
      </w:r>
      <w:r w:rsidR="003350DB" w:rsidRPr="00DE2EDF">
        <w:rPr>
          <w:rFonts w:eastAsia="Times New Roman" w:cs="Times New Roman"/>
          <w:iCs/>
          <w:lang w:val="en-GB"/>
        </w:rPr>
        <w:t>/or</w:t>
      </w:r>
      <w:r w:rsidRPr="00DE2EDF">
        <w:rPr>
          <w:rFonts w:eastAsia="Times New Roman" w:cs="Times New Roman"/>
          <w:iCs/>
          <w:lang w:val="en-GB"/>
        </w:rPr>
        <w:t xml:space="preserve"> constitutional law (</w:t>
      </w:r>
      <w:r w:rsidR="003350DB" w:rsidRPr="00DE2EDF">
        <w:rPr>
          <w:rFonts w:eastAsia="Times New Roman" w:cs="Times New Roman"/>
          <w:iCs/>
          <w:lang w:val="en-GB"/>
        </w:rPr>
        <w:t>depending on whether both disciplines are institutionally linked or separated)</w:t>
      </w:r>
      <w:r w:rsidRPr="00DE2EDF">
        <w:rPr>
          <w:rFonts w:eastAsia="Times New Roman" w:cs="Times New Roman"/>
          <w:iCs/>
          <w:lang w:val="en-GB"/>
        </w:rPr>
        <w:t xml:space="preserve"> </w:t>
      </w:r>
      <w:r w:rsidR="004D7334" w:rsidRPr="00DE2EDF">
        <w:rPr>
          <w:rFonts w:eastAsia="Times New Roman" w:cs="Times New Roman"/>
          <w:iCs/>
          <w:lang w:val="en-GB"/>
        </w:rPr>
        <w:t>to</w:t>
      </w:r>
      <w:r w:rsidR="00F77152" w:rsidRPr="00DE2EDF">
        <w:rPr>
          <w:rFonts w:eastAsia="Times New Roman" w:cs="Times New Roman"/>
          <w:iCs/>
          <w:lang w:val="en-GB"/>
        </w:rPr>
        <w:t xml:space="preserve"> e</w:t>
      </w:r>
      <w:r w:rsidR="00D52B81" w:rsidRPr="00DE2EDF">
        <w:rPr>
          <w:rFonts w:eastAsia="Times New Roman" w:cs="Times New Roman"/>
          <w:iCs/>
          <w:lang w:val="en-GB"/>
        </w:rPr>
        <w:t>xplore</w:t>
      </w:r>
      <w:r w:rsidR="00F77152" w:rsidRPr="00DE2EDF">
        <w:rPr>
          <w:rFonts w:eastAsia="Times New Roman" w:cs="Times New Roman"/>
          <w:iCs/>
          <w:lang w:val="en-GB"/>
        </w:rPr>
        <w:t xml:space="preserve"> the possible meanings of </w:t>
      </w:r>
      <w:r w:rsidR="000B0A8E" w:rsidRPr="00DE2EDF">
        <w:rPr>
          <w:rFonts w:eastAsia="Times New Roman" w:cs="Times New Roman"/>
          <w:iCs/>
          <w:lang w:val="en-GB"/>
        </w:rPr>
        <w:t>a</w:t>
      </w:r>
      <w:r w:rsidR="00F77152" w:rsidRPr="00DE2EDF">
        <w:rPr>
          <w:rFonts w:eastAsia="Times New Roman" w:cs="Times New Roman"/>
          <w:iCs/>
          <w:lang w:val="en-GB"/>
        </w:rPr>
        <w:t xml:space="preserve"> new Constitution</w:t>
      </w:r>
      <w:r w:rsidR="004D7334" w:rsidRPr="00DE2EDF">
        <w:rPr>
          <w:rFonts w:eastAsia="Times New Roman" w:cs="Times New Roman"/>
          <w:iCs/>
          <w:lang w:val="en-GB"/>
        </w:rPr>
        <w:t xml:space="preserve"> </w:t>
      </w:r>
      <w:r w:rsidR="00F77152" w:rsidRPr="00DE2EDF">
        <w:rPr>
          <w:rFonts w:eastAsia="Times New Roman" w:cs="Times New Roman"/>
          <w:iCs/>
          <w:lang w:val="en-GB"/>
        </w:rPr>
        <w:t xml:space="preserve">and to </w:t>
      </w:r>
      <w:r w:rsidR="004D7334" w:rsidRPr="00DE2EDF">
        <w:rPr>
          <w:rFonts w:eastAsia="Times New Roman" w:cs="Times New Roman"/>
          <w:iCs/>
          <w:lang w:val="en-GB"/>
        </w:rPr>
        <w:t xml:space="preserve">expose in </w:t>
      </w:r>
      <w:r w:rsidRPr="00DE2EDF">
        <w:rPr>
          <w:rFonts w:eastAsia="Times New Roman" w:cs="Times New Roman"/>
          <w:iCs/>
          <w:lang w:val="en-GB"/>
        </w:rPr>
        <w:t>detail the necessary changes to ordinary</w:t>
      </w:r>
      <w:r w:rsidR="003350DB" w:rsidRPr="00DE2EDF">
        <w:rPr>
          <w:rFonts w:eastAsia="Times New Roman" w:cs="Times New Roman"/>
          <w:iCs/>
          <w:lang w:val="en-GB"/>
        </w:rPr>
        <w:t xml:space="preserve"> administrative</w:t>
      </w:r>
      <w:r w:rsidRPr="00DE2EDF">
        <w:rPr>
          <w:rFonts w:eastAsia="Times New Roman" w:cs="Times New Roman"/>
          <w:iCs/>
          <w:lang w:val="en-GB"/>
        </w:rPr>
        <w:t xml:space="preserve"> law </w:t>
      </w:r>
      <w:r w:rsidR="000B0A8E" w:rsidRPr="00DE2EDF">
        <w:rPr>
          <w:rFonts w:eastAsia="Times New Roman" w:cs="Times New Roman"/>
          <w:iCs/>
          <w:lang w:val="en-GB"/>
        </w:rPr>
        <w:t xml:space="preserve">that </w:t>
      </w:r>
      <w:r w:rsidRPr="00DE2EDF">
        <w:rPr>
          <w:rFonts w:eastAsia="Times New Roman" w:cs="Times New Roman"/>
          <w:iCs/>
          <w:lang w:val="en-GB"/>
        </w:rPr>
        <w:t>must occur</w:t>
      </w:r>
      <w:r w:rsidR="003350DB" w:rsidRPr="00DE2EDF">
        <w:rPr>
          <w:rFonts w:eastAsia="Times New Roman" w:cs="Times New Roman"/>
          <w:iCs/>
          <w:lang w:val="en-GB"/>
        </w:rPr>
        <w:t>.</w:t>
      </w:r>
      <w:r w:rsidRPr="00DE2EDF">
        <w:rPr>
          <w:rFonts w:eastAsia="Times New Roman" w:cs="Times New Roman"/>
          <w:iCs/>
          <w:lang w:val="en-GB"/>
        </w:rPr>
        <w:t xml:space="preserve"> </w:t>
      </w:r>
      <w:r w:rsidR="004D7334" w:rsidRPr="00DE2EDF">
        <w:rPr>
          <w:rFonts w:eastAsia="Times New Roman" w:cs="Times New Roman"/>
          <w:iCs/>
          <w:lang w:val="en-GB"/>
        </w:rPr>
        <w:t xml:space="preserve">Their function is </w:t>
      </w:r>
      <w:r w:rsidR="00F77152" w:rsidRPr="00DE2EDF">
        <w:rPr>
          <w:rFonts w:eastAsia="Times New Roman" w:cs="Times New Roman"/>
          <w:iCs/>
          <w:lang w:val="en-GB"/>
        </w:rPr>
        <w:t xml:space="preserve">also </w:t>
      </w:r>
      <w:r w:rsidR="004D7334" w:rsidRPr="00DE2EDF">
        <w:rPr>
          <w:rFonts w:eastAsia="Times New Roman" w:cs="Times New Roman"/>
          <w:iCs/>
          <w:lang w:val="en-GB"/>
        </w:rPr>
        <w:t xml:space="preserve">to </w:t>
      </w:r>
      <w:r w:rsidRPr="00DE2EDF">
        <w:rPr>
          <w:rFonts w:eastAsia="Times New Roman" w:cs="Times New Roman"/>
          <w:iCs/>
          <w:lang w:val="en-GB"/>
        </w:rPr>
        <w:t>identify</w:t>
      </w:r>
      <w:r w:rsidR="00F77152" w:rsidRPr="00DE2EDF">
        <w:rPr>
          <w:rFonts w:eastAsia="Times New Roman" w:cs="Times New Roman"/>
          <w:iCs/>
          <w:lang w:val="en-GB"/>
        </w:rPr>
        <w:t xml:space="preserve"> and</w:t>
      </w:r>
      <w:r w:rsidR="000B0A8E" w:rsidRPr="00DE2EDF">
        <w:rPr>
          <w:rFonts w:eastAsia="Times New Roman" w:cs="Times New Roman"/>
          <w:iCs/>
          <w:lang w:val="en-GB"/>
        </w:rPr>
        <w:t>, if appropriate</w:t>
      </w:r>
      <w:r w:rsidR="00461C8A" w:rsidRPr="00DE2EDF">
        <w:rPr>
          <w:rFonts w:eastAsia="Times New Roman" w:cs="Times New Roman"/>
          <w:iCs/>
          <w:lang w:val="en-GB"/>
        </w:rPr>
        <w:t>,</w:t>
      </w:r>
      <w:r w:rsidR="000B0A8E" w:rsidRPr="00DE2EDF">
        <w:rPr>
          <w:rFonts w:eastAsia="Times New Roman" w:cs="Times New Roman"/>
          <w:iCs/>
          <w:lang w:val="en-GB"/>
        </w:rPr>
        <w:t xml:space="preserve"> denounce</w:t>
      </w:r>
      <w:r w:rsidRPr="00DE2EDF">
        <w:rPr>
          <w:rFonts w:eastAsia="Times New Roman" w:cs="Times New Roman"/>
          <w:iCs/>
          <w:lang w:val="en-GB"/>
        </w:rPr>
        <w:t xml:space="preserve"> delay strategies used by the legislature or the judiciary. </w:t>
      </w:r>
      <w:r w:rsidR="00D6138C" w:rsidRPr="00DE2EDF">
        <w:rPr>
          <w:rFonts w:eastAsia="Times New Roman" w:cs="Times New Roman"/>
          <w:iCs/>
          <w:lang w:val="en-GB"/>
        </w:rPr>
        <w:t xml:space="preserve">Scientific research and </w:t>
      </w:r>
      <w:r w:rsidR="000B0A8E" w:rsidRPr="00DE2EDF">
        <w:rPr>
          <w:rFonts w:eastAsia="Times New Roman" w:cs="Times New Roman"/>
          <w:iCs/>
          <w:lang w:val="en-GB"/>
        </w:rPr>
        <w:t>educating</w:t>
      </w:r>
      <w:r w:rsidR="00D6138C" w:rsidRPr="00DE2EDF">
        <w:rPr>
          <w:rFonts w:eastAsia="Times New Roman" w:cs="Times New Roman"/>
          <w:iCs/>
          <w:lang w:val="en-GB"/>
        </w:rPr>
        <w:t xml:space="preserve"> </w:t>
      </w:r>
      <w:r w:rsidR="004F1073" w:rsidRPr="00DE2EDF">
        <w:rPr>
          <w:rFonts w:eastAsia="Times New Roman" w:cs="Times New Roman"/>
          <w:iCs/>
          <w:lang w:val="en-GB"/>
        </w:rPr>
        <w:t>future legal practitioners</w:t>
      </w:r>
      <w:r w:rsidRPr="00DE2EDF">
        <w:rPr>
          <w:rFonts w:eastAsia="Times New Roman" w:cs="Times New Roman"/>
          <w:iCs/>
          <w:lang w:val="en-GB"/>
        </w:rPr>
        <w:t xml:space="preserve"> </w:t>
      </w:r>
      <w:r w:rsidR="004D7334" w:rsidRPr="00DE2EDF">
        <w:rPr>
          <w:rFonts w:eastAsia="Times New Roman" w:cs="Times New Roman"/>
          <w:iCs/>
          <w:lang w:val="en-GB"/>
        </w:rPr>
        <w:t xml:space="preserve">in the spirit of new constitutional requirements </w:t>
      </w:r>
      <w:r w:rsidRPr="00DE2EDF">
        <w:rPr>
          <w:rFonts w:eastAsia="Times New Roman" w:cs="Times New Roman"/>
          <w:iCs/>
          <w:lang w:val="en-GB"/>
        </w:rPr>
        <w:t>(keyword: generational change)</w:t>
      </w:r>
      <w:r w:rsidR="00D6138C" w:rsidRPr="00DE2EDF">
        <w:rPr>
          <w:rFonts w:eastAsia="Times New Roman" w:cs="Times New Roman"/>
          <w:iCs/>
          <w:lang w:val="en-GB"/>
        </w:rPr>
        <w:t xml:space="preserve"> help to </w:t>
      </w:r>
      <w:r w:rsidRPr="00DE2EDF">
        <w:rPr>
          <w:rFonts w:eastAsia="Times New Roman" w:cs="Times New Roman"/>
          <w:iCs/>
          <w:lang w:val="en-GB"/>
        </w:rPr>
        <w:t xml:space="preserve">stimulate </w:t>
      </w:r>
      <w:r w:rsidR="00710E0B" w:rsidRPr="00DE2EDF">
        <w:rPr>
          <w:rFonts w:eastAsia="Times New Roman" w:cs="Times New Roman"/>
          <w:iCs/>
          <w:lang w:val="en-GB"/>
        </w:rPr>
        <w:t>and</w:t>
      </w:r>
      <w:r w:rsidRPr="00DE2EDF">
        <w:rPr>
          <w:rFonts w:eastAsia="Times New Roman" w:cs="Times New Roman"/>
          <w:iCs/>
          <w:lang w:val="en-GB"/>
        </w:rPr>
        <w:t xml:space="preserve"> accelerate </w:t>
      </w:r>
      <w:r w:rsidR="00461C8A" w:rsidRPr="00DE2EDF">
        <w:rPr>
          <w:rFonts w:eastAsia="Times New Roman" w:cs="Times New Roman"/>
          <w:iCs/>
          <w:lang w:val="en-GB"/>
        </w:rPr>
        <w:t>the dynamics of constitutionaliz</w:t>
      </w:r>
      <w:r w:rsidRPr="00DE2EDF">
        <w:rPr>
          <w:rFonts w:eastAsia="Times New Roman" w:cs="Times New Roman"/>
          <w:iCs/>
          <w:lang w:val="en-GB"/>
        </w:rPr>
        <w:t>ation</w:t>
      </w:r>
      <w:bookmarkStart w:id="372" w:name="_ftnref192"/>
      <w:r w:rsidR="00427990" w:rsidRPr="00DE2EDF">
        <w:rPr>
          <w:rFonts w:eastAsia="Times New Roman" w:cs="Times New Roman"/>
          <w:iCs/>
          <w:lang w:val="en-GB"/>
        </w:rPr>
        <w:t>.</w:t>
      </w:r>
      <w:r w:rsidRPr="00DE2EDF">
        <w:rPr>
          <w:rStyle w:val="FootnoteReference"/>
          <w:rFonts w:eastAsia="Times New Roman" w:cs="Times New Roman"/>
          <w:iCs/>
          <w:lang w:val="en-GB"/>
        </w:rPr>
        <w:footnoteReference w:id="264"/>
      </w:r>
      <w:bookmarkEnd w:id="372"/>
      <w:r w:rsidRPr="00DE2EDF">
        <w:rPr>
          <w:rFonts w:eastAsia="Times New Roman" w:cs="Times New Roman"/>
          <w:iCs/>
          <w:lang w:val="en-GB"/>
        </w:rPr>
        <w:t xml:space="preserve"> But,</w:t>
      </w:r>
      <w:r w:rsidR="00710E0B" w:rsidRPr="00DE2EDF">
        <w:rPr>
          <w:rFonts w:eastAsia="Times New Roman" w:cs="Times New Roman"/>
          <w:iCs/>
          <w:lang w:val="en-GB"/>
        </w:rPr>
        <w:t xml:space="preserve"> academics</w:t>
      </w:r>
      <w:r w:rsidRPr="00DE2EDF">
        <w:rPr>
          <w:rFonts w:eastAsia="Times New Roman" w:cs="Times New Roman"/>
          <w:iCs/>
          <w:lang w:val="en-GB"/>
        </w:rPr>
        <w:t xml:space="preserve"> can also </w:t>
      </w:r>
      <w:r w:rsidR="00CF43E2" w:rsidRPr="00DE2EDF">
        <w:rPr>
          <w:rFonts w:eastAsia="Times New Roman" w:cs="Times New Roman"/>
          <w:iCs/>
          <w:lang w:val="en-GB"/>
        </w:rPr>
        <w:t>hamper</w:t>
      </w:r>
      <w:r w:rsidRPr="00DE2EDF">
        <w:rPr>
          <w:rFonts w:eastAsia="Times New Roman" w:cs="Times New Roman"/>
          <w:iCs/>
          <w:lang w:val="en-GB"/>
        </w:rPr>
        <w:t xml:space="preserve"> the </w:t>
      </w:r>
      <w:r w:rsidR="00CF43E2" w:rsidRPr="00DE2EDF">
        <w:rPr>
          <w:rFonts w:eastAsia="Times New Roman" w:cs="Times New Roman"/>
          <w:iCs/>
          <w:lang w:val="en-GB"/>
        </w:rPr>
        <w:t>process</w:t>
      </w:r>
      <w:r w:rsidRPr="00DE2EDF">
        <w:rPr>
          <w:rFonts w:eastAsia="Times New Roman" w:cs="Times New Roman"/>
          <w:iCs/>
          <w:lang w:val="en-GB"/>
        </w:rPr>
        <w:t xml:space="preserve">, </w:t>
      </w:r>
      <w:r w:rsidR="00F8240A" w:rsidRPr="00DE2EDF">
        <w:rPr>
          <w:rFonts w:eastAsia="Times New Roman" w:cs="Times New Roman"/>
          <w:iCs/>
          <w:lang w:val="en-GB"/>
        </w:rPr>
        <w:t>by ignoring</w:t>
      </w:r>
      <w:r w:rsidR="00CF43E2" w:rsidRPr="00DE2EDF">
        <w:rPr>
          <w:rFonts w:eastAsia="Times New Roman" w:cs="Times New Roman"/>
          <w:iCs/>
          <w:lang w:val="en-GB"/>
        </w:rPr>
        <w:t xml:space="preserve"> or </w:t>
      </w:r>
      <w:r w:rsidR="00131A8B" w:rsidRPr="00DE2EDF">
        <w:rPr>
          <w:rFonts w:eastAsia="Times New Roman" w:cs="Times New Roman"/>
          <w:iCs/>
          <w:lang w:val="en-GB"/>
        </w:rPr>
        <w:t xml:space="preserve">diluting </w:t>
      </w:r>
      <w:r w:rsidR="00CF43E2" w:rsidRPr="00DE2EDF">
        <w:rPr>
          <w:rFonts w:eastAsia="Times New Roman" w:cs="Times New Roman"/>
          <w:iCs/>
          <w:lang w:val="en-GB"/>
        </w:rPr>
        <w:t>the</w:t>
      </w:r>
      <w:r w:rsidR="00131CFF" w:rsidRPr="00DE2EDF">
        <w:rPr>
          <w:rFonts w:eastAsia="Times New Roman" w:cs="Times New Roman"/>
          <w:iCs/>
          <w:lang w:val="en-GB"/>
        </w:rPr>
        <w:t xml:space="preserve"> substance of</w:t>
      </w:r>
      <w:r w:rsidR="00A918A6">
        <w:rPr>
          <w:rFonts w:eastAsia="Times New Roman" w:cs="Times New Roman"/>
          <w:iCs/>
          <w:lang w:val="en-GB"/>
        </w:rPr>
        <w:t xml:space="preserve"> </w:t>
      </w:r>
      <w:r w:rsidRPr="00DE2EDF">
        <w:rPr>
          <w:rFonts w:eastAsia="Times New Roman" w:cs="Times New Roman"/>
          <w:iCs/>
          <w:lang w:val="en-GB"/>
        </w:rPr>
        <w:t>new constitutional guidelines</w:t>
      </w:r>
      <w:bookmarkStart w:id="373" w:name="_ftnref193"/>
      <w:r w:rsidR="00427990" w:rsidRPr="00DE2EDF">
        <w:rPr>
          <w:rFonts w:eastAsia="Times New Roman" w:cs="Times New Roman"/>
          <w:iCs/>
          <w:lang w:val="en-GB"/>
        </w:rPr>
        <w:t>.</w:t>
      </w:r>
      <w:r w:rsidRPr="00DE2EDF">
        <w:rPr>
          <w:rStyle w:val="FootnoteReference"/>
          <w:rFonts w:eastAsia="Times New Roman" w:cs="Times New Roman"/>
          <w:iCs/>
          <w:lang w:val="en-GB"/>
        </w:rPr>
        <w:footnoteReference w:id="265"/>
      </w:r>
      <w:bookmarkEnd w:id="373"/>
      <w:r w:rsidR="00710E0B" w:rsidRPr="00DE2EDF">
        <w:rPr>
          <w:rFonts w:eastAsia="Times New Roman" w:cs="Times New Roman"/>
          <w:iCs/>
          <w:lang w:val="en-GB"/>
        </w:rPr>
        <w:t xml:space="preserve"> This </w:t>
      </w:r>
      <w:r w:rsidR="00710E0B" w:rsidRPr="00DE2EDF">
        <w:rPr>
          <w:rFonts w:eastAsia="Times New Roman" w:cs="Times New Roman"/>
          <w:iCs/>
          <w:lang w:val="en-GB"/>
        </w:rPr>
        <w:lastRenderedPageBreak/>
        <w:t>may happen for various reasons, either ideological (</w:t>
      </w:r>
      <w:r w:rsidR="00131A8B" w:rsidRPr="00DE2EDF">
        <w:rPr>
          <w:rFonts w:eastAsia="Times New Roman" w:cs="Times New Roman"/>
          <w:iCs/>
          <w:lang w:val="en-GB"/>
        </w:rPr>
        <w:t xml:space="preserve">i.e., </w:t>
      </w:r>
      <w:r w:rsidR="00692378" w:rsidRPr="00DE2EDF">
        <w:rPr>
          <w:rFonts w:eastAsia="Times New Roman" w:cs="Times New Roman"/>
          <w:iCs/>
          <w:lang w:val="en-GB"/>
        </w:rPr>
        <w:t>scholars</w:t>
      </w:r>
      <w:r w:rsidR="00710E0B" w:rsidRPr="00DE2EDF">
        <w:rPr>
          <w:rFonts w:eastAsia="Times New Roman" w:cs="Times New Roman"/>
          <w:iCs/>
          <w:lang w:val="en-GB"/>
        </w:rPr>
        <w:t xml:space="preserve"> reject the </w:t>
      </w:r>
      <w:r w:rsidR="00131A8B" w:rsidRPr="00DE2EDF">
        <w:rPr>
          <w:rFonts w:eastAsia="Times New Roman" w:cs="Times New Roman"/>
          <w:iCs/>
          <w:lang w:val="en-GB"/>
        </w:rPr>
        <w:t xml:space="preserve">new </w:t>
      </w:r>
      <w:r w:rsidR="00710E0B" w:rsidRPr="00DE2EDF">
        <w:rPr>
          <w:rFonts w:eastAsia="Times New Roman" w:cs="Times New Roman"/>
          <w:iCs/>
          <w:lang w:val="en-GB"/>
        </w:rPr>
        <w:t>constitutional regime) or epistemological (</w:t>
      </w:r>
      <w:r w:rsidR="00131A8B" w:rsidRPr="00DE2EDF">
        <w:rPr>
          <w:rFonts w:eastAsia="Times New Roman" w:cs="Times New Roman"/>
          <w:iCs/>
          <w:lang w:val="en-GB"/>
        </w:rPr>
        <w:t xml:space="preserve">i.e., </w:t>
      </w:r>
      <w:r w:rsidR="00692378" w:rsidRPr="00DE2EDF">
        <w:rPr>
          <w:rFonts w:eastAsia="Times New Roman" w:cs="Times New Roman"/>
          <w:iCs/>
          <w:lang w:val="en-GB"/>
        </w:rPr>
        <w:t xml:space="preserve">instead of developing a legal-dogmatic discourse on the Constitution’s provisions, </w:t>
      </w:r>
      <w:r w:rsidR="00710E0B" w:rsidRPr="00DE2EDF">
        <w:rPr>
          <w:rFonts w:eastAsia="Times New Roman" w:cs="Times New Roman"/>
          <w:iCs/>
          <w:lang w:val="en-GB"/>
        </w:rPr>
        <w:t xml:space="preserve">scholars </w:t>
      </w:r>
      <w:r w:rsidR="00692378" w:rsidRPr="00DE2EDF">
        <w:rPr>
          <w:rFonts w:eastAsia="Times New Roman" w:cs="Times New Roman"/>
          <w:iCs/>
          <w:lang w:val="en-GB"/>
        </w:rPr>
        <w:t>prefer study</w:t>
      </w:r>
      <w:r w:rsidR="007D57AC" w:rsidRPr="00DE2EDF">
        <w:rPr>
          <w:rFonts w:eastAsia="Times New Roman" w:cs="Times New Roman"/>
          <w:iCs/>
          <w:lang w:val="en-GB"/>
        </w:rPr>
        <w:t>ing</w:t>
      </w:r>
      <w:r w:rsidR="00692378" w:rsidRPr="00DE2EDF">
        <w:rPr>
          <w:rFonts w:eastAsia="Times New Roman" w:cs="Times New Roman"/>
          <w:iCs/>
          <w:lang w:val="en-GB"/>
        </w:rPr>
        <w:t xml:space="preserve"> the Constitution exclusively from a</w:t>
      </w:r>
      <w:r w:rsidR="00131A8B" w:rsidRPr="00DE2EDF">
        <w:rPr>
          <w:rFonts w:eastAsia="Times New Roman" w:cs="Times New Roman"/>
          <w:iCs/>
          <w:lang w:val="en-GB"/>
        </w:rPr>
        <w:t>n</w:t>
      </w:r>
      <w:r w:rsidR="00692378" w:rsidRPr="00DE2EDF">
        <w:rPr>
          <w:rFonts w:eastAsia="Times New Roman" w:cs="Times New Roman"/>
          <w:iCs/>
          <w:lang w:val="en-GB"/>
        </w:rPr>
        <w:t xml:space="preserve"> historical, sociological, comparative</w:t>
      </w:r>
      <w:r w:rsidR="007D57AC" w:rsidRPr="00DE2EDF">
        <w:rPr>
          <w:rFonts w:eastAsia="Times New Roman" w:cs="Times New Roman"/>
          <w:iCs/>
          <w:lang w:val="en-GB"/>
        </w:rPr>
        <w:t>,</w:t>
      </w:r>
      <w:r w:rsidR="00692378" w:rsidRPr="00DE2EDF">
        <w:rPr>
          <w:rFonts w:eastAsia="Times New Roman" w:cs="Times New Roman"/>
          <w:iCs/>
          <w:lang w:val="en-GB"/>
        </w:rPr>
        <w:t xml:space="preserve"> or theoretical </w:t>
      </w:r>
      <w:r w:rsidR="00374BF6" w:rsidRPr="00DE2EDF">
        <w:rPr>
          <w:rFonts w:eastAsia="Times New Roman" w:cs="Times New Roman"/>
          <w:iCs/>
          <w:lang w:val="en-GB"/>
        </w:rPr>
        <w:t>perspective</w:t>
      </w:r>
      <w:r w:rsidR="00710E0B" w:rsidRPr="00DE2EDF">
        <w:rPr>
          <w:rFonts w:eastAsia="Times New Roman" w:cs="Times New Roman"/>
          <w:iCs/>
          <w:lang w:val="en-GB"/>
        </w:rPr>
        <w:t>)</w:t>
      </w:r>
      <w:r w:rsidR="00374BF6" w:rsidRPr="00DE2EDF">
        <w:rPr>
          <w:rFonts w:eastAsia="Times New Roman" w:cs="Times New Roman"/>
          <w:iCs/>
          <w:lang w:val="en-GB"/>
        </w:rPr>
        <w:t>.</w:t>
      </w:r>
    </w:p>
    <w:p w14:paraId="2F7C67E1" w14:textId="77777777" w:rsidR="000F4C26" w:rsidRPr="00DE2EDF" w:rsidRDefault="000F4C26" w:rsidP="00DE2EDF">
      <w:pPr>
        <w:spacing w:after="0"/>
        <w:jc w:val="both"/>
        <w:rPr>
          <w:rFonts w:eastAsia="Times New Roman" w:cs="Times New Roman"/>
          <w:iCs/>
          <w:lang w:val="en-GB"/>
        </w:rPr>
      </w:pPr>
    </w:p>
    <w:p w14:paraId="52A9EA98" w14:textId="77777777" w:rsidR="002A2C22" w:rsidRPr="00CE24E4" w:rsidRDefault="004F1073" w:rsidP="00CE24E4">
      <w:pPr>
        <w:spacing w:after="0"/>
        <w:jc w:val="both"/>
        <w:rPr>
          <w:rFonts w:eastAsia="Times New Roman" w:cs="Times New Roman"/>
          <w:iCs/>
          <w:lang w:val="en-GB"/>
        </w:rPr>
      </w:pPr>
      <w:r w:rsidRPr="00DE2EDF">
        <w:rPr>
          <w:rFonts w:eastAsia="Times New Roman" w:cs="Times New Roman"/>
          <w:iCs/>
          <w:lang w:val="en-GB"/>
        </w:rPr>
        <w:t>On a more abstract level, l</w:t>
      </w:r>
      <w:r w:rsidR="003472F3" w:rsidRPr="00DE2EDF">
        <w:rPr>
          <w:rFonts w:eastAsia="Times New Roman" w:cs="Times New Roman"/>
          <w:iCs/>
          <w:lang w:val="en-GB"/>
        </w:rPr>
        <w:t xml:space="preserve">egal education and research also </w:t>
      </w:r>
      <w:r w:rsidR="007D57AC" w:rsidRPr="00DE2EDF">
        <w:rPr>
          <w:rFonts w:eastAsia="Times New Roman" w:cs="Times New Roman"/>
          <w:iCs/>
          <w:lang w:val="en-GB"/>
        </w:rPr>
        <w:t xml:space="preserve">shape </w:t>
      </w:r>
      <w:r w:rsidR="003472F3" w:rsidRPr="00DE2EDF">
        <w:rPr>
          <w:rFonts w:eastAsia="Times New Roman" w:cs="Times New Roman"/>
          <w:iCs/>
          <w:lang w:val="en-GB"/>
        </w:rPr>
        <w:t>the legal culture</w:t>
      </w:r>
      <w:r w:rsidR="00522E05" w:rsidRPr="00DE2EDF">
        <w:rPr>
          <w:rFonts w:eastAsia="Times New Roman" w:cs="Times New Roman"/>
          <w:iCs/>
          <w:lang w:val="en-GB"/>
        </w:rPr>
        <w:t>, or mindset,</w:t>
      </w:r>
      <w:r w:rsidR="003472F3" w:rsidRPr="00DE2EDF">
        <w:rPr>
          <w:rFonts w:eastAsia="Times New Roman" w:cs="Times New Roman"/>
          <w:iCs/>
          <w:lang w:val="en-GB"/>
        </w:rPr>
        <w:t xml:space="preserve"> of a country. Academic discourse about </w:t>
      </w:r>
      <w:r w:rsidR="00977790" w:rsidRPr="00DE2EDF">
        <w:rPr>
          <w:rFonts w:eastAsia="Times New Roman" w:cs="Times New Roman"/>
          <w:iCs/>
          <w:lang w:val="en-GB"/>
        </w:rPr>
        <w:t>what</w:t>
      </w:r>
      <w:r w:rsidR="003472F3" w:rsidRPr="00DE2EDF">
        <w:rPr>
          <w:rFonts w:eastAsia="Times New Roman" w:cs="Times New Roman"/>
          <w:iCs/>
          <w:lang w:val="en-GB"/>
        </w:rPr>
        <w:t xml:space="preserve"> is legally possible (conceivable)</w:t>
      </w:r>
      <w:r w:rsidRPr="00DE2EDF">
        <w:rPr>
          <w:rFonts w:eastAsia="Times New Roman" w:cs="Times New Roman"/>
          <w:iCs/>
          <w:lang w:val="en-GB"/>
        </w:rPr>
        <w:t xml:space="preserve"> with</w:t>
      </w:r>
      <w:r w:rsidR="00A37067" w:rsidRPr="00DE2EDF">
        <w:rPr>
          <w:rFonts w:eastAsia="Times New Roman" w:cs="Times New Roman"/>
          <w:iCs/>
          <w:lang w:val="en-GB"/>
        </w:rPr>
        <w:t xml:space="preserve"> regard to </w:t>
      </w:r>
      <w:r w:rsidRPr="00DE2EDF">
        <w:rPr>
          <w:rFonts w:eastAsia="Times New Roman" w:cs="Times New Roman"/>
          <w:iCs/>
          <w:lang w:val="en-GB"/>
        </w:rPr>
        <w:t>certain positive law</w:t>
      </w:r>
      <w:r w:rsidR="00A37067" w:rsidRPr="00DE2EDF">
        <w:rPr>
          <w:rFonts w:eastAsia="Times New Roman" w:cs="Times New Roman"/>
          <w:iCs/>
          <w:lang w:val="en-GB"/>
        </w:rPr>
        <w:t xml:space="preserve"> materials,</w:t>
      </w:r>
      <w:r w:rsidRPr="00DE2EDF">
        <w:rPr>
          <w:rFonts w:eastAsia="Times New Roman" w:cs="Times New Roman"/>
          <w:iCs/>
          <w:lang w:val="en-GB"/>
        </w:rPr>
        <w:t xml:space="preserve"> and how a </w:t>
      </w:r>
      <w:r w:rsidR="00131A8B" w:rsidRPr="00DE2EDF">
        <w:rPr>
          <w:rFonts w:eastAsia="Times New Roman" w:cs="Times New Roman"/>
          <w:iCs/>
          <w:lang w:val="en-GB"/>
        </w:rPr>
        <w:t xml:space="preserve">practising </w:t>
      </w:r>
      <w:r w:rsidRPr="00DE2EDF">
        <w:rPr>
          <w:rFonts w:eastAsia="Times New Roman" w:cs="Times New Roman"/>
          <w:iCs/>
          <w:lang w:val="en-GB"/>
        </w:rPr>
        <w:t xml:space="preserve">lawyer should </w:t>
      </w:r>
      <w:r w:rsidR="00A37067" w:rsidRPr="00DE2EDF">
        <w:rPr>
          <w:rFonts w:eastAsia="Times New Roman" w:cs="Times New Roman"/>
          <w:iCs/>
          <w:lang w:val="en-GB"/>
        </w:rPr>
        <w:t>correctly</w:t>
      </w:r>
      <w:r w:rsidRPr="00DE2EDF">
        <w:rPr>
          <w:rFonts w:eastAsia="Times New Roman" w:cs="Times New Roman"/>
          <w:iCs/>
          <w:lang w:val="en-GB"/>
        </w:rPr>
        <w:t xml:space="preserve"> </w:t>
      </w:r>
      <w:r w:rsidR="00131A8B" w:rsidRPr="00DE2EDF">
        <w:rPr>
          <w:rFonts w:eastAsia="Times New Roman" w:cs="Times New Roman"/>
          <w:iCs/>
          <w:lang w:val="en-GB"/>
        </w:rPr>
        <w:t xml:space="preserve">think </w:t>
      </w:r>
      <w:r w:rsidRPr="00DE2EDF">
        <w:rPr>
          <w:rFonts w:eastAsia="Times New Roman" w:cs="Times New Roman"/>
          <w:iCs/>
          <w:lang w:val="en-GB"/>
        </w:rPr>
        <w:t>(legal theory and epistemology)</w:t>
      </w:r>
      <w:r w:rsidR="003472F3" w:rsidRPr="00DE2EDF">
        <w:rPr>
          <w:rFonts w:eastAsia="Times New Roman" w:cs="Times New Roman"/>
          <w:iCs/>
          <w:lang w:val="en-GB"/>
        </w:rPr>
        <w:t xml:space="preserve">, </w:t>
      </w:r>
      <w:r w:rsidRPr="00DE2EDF">
        <w:rPr>
          <w:rFonts w:eastAsia="Times New Roman" w:cs="Times New Roman"/>
          <w:iCs/>
          <w:lang w:val="en-GB"/>
        </w:rPr>
        <w:t xml:space="preserve">impacts </w:t>
      </w:r>
      <w:r w:rsidR="003472F3" w:rsidRPr="00DE2EDF">
        <w:rPr>
          <w:rFonts w:eastAsia="Times New Roman" w:cs="Times New Roman"/>
          <w:iCs/>
          <w:lang w:val="en-GB"/>
        </w:rPr>
        <w:t xml:space="preserve">the identity of constitutional law </w:t>
      </w:r>
      <w:r w:rsidRPr="00DE2EDF">
        <w:rPr>
          <w:rFonts w:eastAsia="Times New Roman" w:cs="Times New Roman"/>
          <w:iCs/>
          <w:lang w:val="en-GB"/>
        </w:rPr>
        <w:t>and</w:t>
      </w:r>
      <w:r w:rsidR="003472F3" w:rsidRPr="00DE2EDF">
        <w:rPr>
          <w:rFonts w:eastAsia="Times New Roman" w:cs="Times New Roman"/>
          <w:iCs/>
          <w:lang w:val="en-GB"/>
        </w:rPr>
        <w:t xml:space="preserve"> administrative law. In Sweden, </w:t>
      </w:r>
      <w:r w:rsidR="00A37067" w:rsidRPr="00DE2EDF">
        <w:rPr>
          <w:rFonts w:eastAsia="Times New Roman" w:cs="Times New Roman"/>
          <w:iCs/>
          <w:lang w:val="en-GB"/>
        </w:rPr>
        <w:t xml:space="preserve">Denmark, Finland, </w:t>
      </w:r>
      <w:r w:rsidR="003472F3" w:rsidRPr="00DE2EDF">
        <w:rPr>
          <w:rFonts w:eastAsia="Times New Roman" w:cs="Times New Roman"/>
          <w:iCs/>
          <w:lang w:val="en-GB"/>
        </w:rPr>
        <w:t xml:space="preserve">Austria (until the early 1980s), and France, the rather meagre results of constitutional judicature are, to a great extent, due to the dominance of Viennese- or Scandinavian-style positivism. The teachings of Hans </w:t>
      </w:r>
      <w:r w:rsidR="00742C67" w:rsidRPr="00DE2EDF">
        <w:rPr>
          <w:rFonts w:eastAsia="Times New Roman" w:cs="Times New Roman"/>
          <w:iCs/>
          <w:lang w:val="en-GB"/>
        </w:rPr>
        <w:t>Kelsen</w:t>
      </w:r>
      <w:r w:rsidR="003472F3" w:rsidRPr="00DE2EDF">
        <w:rPr>
          <w:rFonts w:eastAsia="Times New Roman" w:cs="Times New Roman"/>
          <w:iCs/>
          <w:lang w:val="en-GB"/>
        </w:rPr>
        <w:t xml:space="preserve"> and Axel </w:t>
      </w:r>
      <w:r w:rsidR="00742C67" w:rsidRPr="00DE2EDF">
        <w:rPr>
          <w:rFonts w:eastAsia="Times New Roman" w:cs="Times New Roman"/>
          <w:iCs/>
          <w:lang w:val="en-GB"/>
        </w:rPr>
        <w:t>Hägerström</w:t>
      </w:r>
      <w:bookmarkStart w:id="374" w:name="_ftnref194"/>
      <w:r w:rsidR="003472F3" w:rsidRPr="00DE2EDF">
        <w:rPr>
          <w:rStyle w:val="FootnoteReference"/>
          <w:rFonts w:eastAsia="Times New Roman" w:cs="Times New Roman"/>
          <w:iCs/>
          <w:lang w:val="en-GB"/>
        </w:rPr>
        <w:footnoteReference w:id="266"/>
      </w:r>
      <w:r w:rsidR="003472F3" w:rsidRPr="00DE2EDF">
        <w:rPr>
          <w:rFonts w:eastAsia="Times New Roman" w:cs="Times New Roman"/>
          <w:iCs/>
          <w:lang w:val="en-GB"/>
        </w:rPr>
        <w:t xml:space="preserve"> </w:t>
      </w:r>
      <w:bookmarkEnd w:id="374"/>
      <w:r w:rsidR="003472F3" w:rsidRPr="00DE2EDF">
        <w:rPr>
          <w:rFonts w:eastAsia="Times New Roman" w:cs="Times New Roman"/>
          <w:iCs/>
          <w:lang w:val="en-GB"/>
        </w:rPr>
        <w:t>ground them</w:t>
      </w:r>
      <w:r w:rsidR="00427990" w:rsidRPr="00DE2EDF">
        <w:rPr>
          <w:rFonts w:eastAsia="Times New Roman" w:cs="Times New Roman"/>
          <w:iCs/>
          <w:lang w:val="en-GB"/>
        </w:rPr>
        <w:t>selves</w:t>
      </w:r>
      <w:r w:rsidR="00427990" w:rsidRPr="00DE2EDF">
        <w:rPr>
          <w:rFonts w:cs="Times New Roman"/>
        </w:rPr>
        <w:t>—</w:t>
      </w:r>
      <w:r w:rsidR="00427990" w:rsidRPr="00DE2EDF">
        <w:rPr>
          <w:rFonts w:eastAsia="Times New Roman" w:cs="Times New Roman"/>
          <w:iCs/>
          <w:lang w:val="en-GB"/>
        </w:rPr>
        <w:t>at the epistemological level</w:t>
      </w:r>
      <w:r w:rsidR="00427990" w:rsidRPr="00DE2EDF">
        <w:rPr>
          <w:rFonts w:cs="Times New Roman"/>
        </w:rPr>
        <w:t>—</w:t>
      </w:r>
      <w:r w:rsidR="003472F3" w:rsidRPr="00DE2EDF">
        <w:rPr>
          <w:rFonts w:eastAsia="Times New Roman" w:cs="Times New Roman"/>
          <w:iCs/>
          <w:lang w:val="en-GB"/>
        </w:rPr>
        <w:t xml:space="preserve">on the premise of radical value relativism (moral noncognitivism). Through the interdependence of the Constitution </w:t>
      </w:r>
      <w:r w:rsidR="007D57AC" w:rsidRPr="00DE2EDF">
        <w:rPr>
          <w:rFonts w:eastAsia="Times New Roman" w:cs="Times New Roman"/>
          <w:iCs/>
          <w:lang w:val="en-GB"/>
        </w:rPr>
        <w:t xml:space="preserve">and </w:t>
      </w:r>
      <w:r w:rsidR="003472F3" w:rsidRPr="00DE2EDF">
        <w:rPr>
          <w:rFonts w:eastAsia="Times New Roman" w:cs="Times New Roman"/>
          <w:iCs/>
          <w:lang w:val="en-GB"/>
        </w:rPr>
        <w:t>legal theory</w:t>
      </w:r>
      <w:r w:rsidR="00A37067" w:rsidRPr="00DE2EDF">
        <w:rPr>
          <w:rFonts w:eastAsia="Times New Roman" w:cs="Times New Roman"/>
          <w:iCs/>
          <w:lang w:val="en-GB"/>
        </w:rPr>
        <w:t xml:space="preserve">, and of </w:t>
      </w:r>
      <w:r w:rsidR="003472F3" w:rsidRPr="00DE2EDF">
        <w:rPr>
          <w:rFonts w:eastAsia="Times New Roman" w:cs="Times New Roman"/>
          <w:iCs/>
          <w:lang w:val="en-GB"/>
        </w:rPr>
        <w:t xml:space="preserve">legal theory </w:t>
      </w:r>
      <w:r w:rsidR="0000369A" w:rsidRPr="00DE2EDF">
        <w:rPr>
          <w:rFonts w:eastAsia="Times New Roman" w:cs="Times New Roman"/>
          <w:iCs/>
          <w:lang w:val="en-GB"/>
        </w:rPr>
        <w:t xml:space="preserve">and </w:t>
      </w:r>
      <w:r w:rsidR="00A37067" w:rsidRPr="00DE2EDF">
        <w:rPr>
          <w:rFonts w:eastAsia="Times New Roman" w:cs="Times New Roman"/>
          <w:iCs/>
          <w:lang w:val="en-GB"/>
        </w:rPr>
        <w:t xml:space="preserve">general </w:t>
      </w:r>
      <w:r w:rsidR="003472F3" w:rsidRPr="00DE2EDF">
        <w:rPr>
          <w:rFonts w:eastAsia="Times New Roman" w:cs="Times New Roman"/>
          <w:iCs/>
          <w:lang w:val="en-GB"/>
        </w:rPr>
        <w:t xml:space="preserve">philosophy, the </w:t>
      </w:r>
      <w:r w:rsidR="004A6700" w:rsidRPr="00DE2EDF">
        <w:rPr>
          <w:rFonts w:eastAsia="Times New Roman" w:cs="Times New Roman"/>
          <w:iCs/>
          <w:lang w:val="en-GB"/>
        </w:rPr>
        <w:t xml:space="preserve">width and </w:t>
      </w:r>
      <w:r w:rsidR="003472F3" w:rsidRPr="00DE2EDF">
        <w:rPr>
          <w:rFonts w:eastAsia="Times New Roman" w:cs="Times New Roman"/>
          <w:iCs/>
          <w:lang w:val="en-GB"/>
        </w:rPr>
        <w:t xml:space="preserve">depth of the topic </w:t>
      </w:r>
      <w:r w:rsidR="00530E16" w:rsidRPr="00DE2EDF">
        <w:rPr>
          <w:rFonts w:eastAsia="Times New Roman" w:cs="Times New Roman"/>
          <w:iCs/>
          <w:lang w:val="en-GB"/>
        </w:rPr>
        <w:t>‘</w:t>
      </w:r>
      <w:r w:rsidR="003472F3" w:rsidRPr="00DE2EDF">
        <w:rPr>
          <w:rFonts w:eastAsia="Times New Roman" w:cs="Times New Roman"/>
          <w:iCs/>
          <w:lang w:val="en-GB"/>
        </w:rPr>
        <w:t>administrative law and constitutional law</w:t>
      </w:r>
      <w:r w:rsidR="00530E16" w:rsidRPr="00DE2EDF">
        <w:rPr>
          <w:rFonts w:eastAsia="Times New Roman" w:cs="Times New Roman"/>
          <w:iCs/>
          <w:lang w:val="en-GB"/>
        </w:rPr>
        <w:t>’</w:t>
      </w:r>
      <w:r w:rsidR="003472F3" w:rsidRPr="00DE2EDF">
        <w:rPr>
          <w:rFonts w:eastAsia="Times New Roman" w:cs="Times New Roman"/>
          <w:iCs/>
          <w:lang w:val="en-GB"/>
        </w:rPr>
        <w:t xml:space="preserve"> is once more revealed. Law is embedded in a cultural context, which affects it, and the existence of which must be brought, through </w:t>
      </w:r>
      <w:r w:rsidR="0000369A" w:rsidRPr="00DE2EDF">
        <w:rPr>
          <w:rFonts w:eastAsia="Times New Roman" w:cs="Times New Roman"/>
          <w:iCs/>
          <w:lang w:val="en-GB"/>
        </w:rPr>
        <w:t xml:space="preserve">a </w:t>
      </w:r>
      <w:r w:rsidR="003472F3" w:rsidRPr="00DE2EDF">
        <w:rPr>
          <w:rFonts w:eastAsia="Times New Roman" w:cs="Times New Roman"/>
          <w:iCs/>
          <w:lang w:val="en-GB"/>
        </w:rPr>
        <w:t>comparative law perspective, into the consciousness of lawyers.</w:t>
      </w:r>
      <w:bookmarkStart w:id="375" w:name="_ftnref195"/>
      <w:r w:rsidR="003472F3" w:rsidRPr="00DE2EDF">
        <w:rPr>
          <w:rStyle w:val="FootnoteReference"/>
          <w:rFonts w:eastAsia="Times New Roman" w:cs="Times New Roman"/>
          <w:iCs/>
          <w:lang w:val="en-GB"/>
        </w:rPr>
        <w:footnoteReference w:id="267"/>
      </w:r>
      <w:r w:rsidR="003472F3" w:rsidRPr="00DE2EDF">
        <w:rPr>
          <w:rFonts w:eastAsia="Times New Roman" w:cs="Times New Roman"/>
          <w:iCs/>
          <w:lang w:val="en-GB"/>
        </w:rPr>
        <w:t xml:space="preserve"> </w:t>
      </w:r>
      <w:bookmarkEnd w:id="375"/>
      <w:r w:rsidR="003472F3" w:rsidRPr="00DE2EDF">
        <w:rPr>
          <w:rFonts w:eastAsia="Times New Roman" w:cs="Times New Roman"/>
          <w:iCs/>
          <w:lang w:val="en-GB"/>
        </w:rPr>
        <w:t xml:space="preserve">This is not contrary to the aim of European </w:t>
      </w:r>
      <w:r w:rsidR="00A37067" w:rsidRPr="00DE2EDF">
        <w:rPr>
          <w:rFonts w:eastAsia="Times New Roman" w:cs="Times New Roman"/>
          <w:iCs/>
          <w:lang w:val="en-GB"/>
        </w:rPr>
        <w:t>integration</w:t>
      </w:r>
      <w:r w:rsidR="003472F3" w:rsidRPr="00DE2EDF">
        <w:rPr>
          <w:rFonts w:eastAsia="Times New Roman" w:cs="Times New Roman"/>
          <w:iCs/>
          <w:lang w:val="en-GB"/>
        </w:rPr>
        <w:t xml:space="preserve">: </w:t>
      </w:r>
      <w:r w:rsidR="00530E16" w:rsidRPr="00DE2EDF">
        <w:rPr>
          <w:rFonts w:eastAsia="Times New Roman" w:cs="Times New Roman"/>
          <w:iCs/>
          <w:lang w:val="en-GB"/>
        </w:rPr>
        <w:t>‘</w:t>
      </w:r>
      <w:r w:rsidR="003472F3" w:rsidRPr="00DE2EDF">
        <w:rPr>
          <w:rFonts w:eastAsia="Times New Roman" w:cs="Times New Roman"/>
          <w:iCs/>
          <w:lang w:val="en-GB"/>
        </w:rPr>
        <w:t>legal culture</w:t>
      </w:r>
      <w:r w:rsidR="00530E16" w:rsidRPr="00DE2EDF">
        <w:rPr>
          <w:rFonts w:eastAsia="Times New Roman" w:cs="Times New Roman"/>
          <w:iCs/>
          <w:lang w:val="en-GB"/>
        </w:rPr>
        <w:t>’</w:t>
      </w:r>
      <w:r w:rsidR="003472F3" w:rsidRPr="00DE2EDF">
        <w:rPr>
          <w:rFonts w:eastAsia="Times New Roman" w:cs="Times New Roman"/>
          <w:iCs/>
          <w:lang w:val="en-GB"/>
        </w:rPr>
        <w:t xml:space="preserve"> is </w:t>
      </w:r>
      <w:r w:rsidR="003472F3" w:rsidRPr="00DE2EDF">
        <w:rPr>
          <w:rFonts w:eastAsia="Times New Roman" w:cs="Times New Roman"/>
          <w:lang w:val="en-GB"/>
        </w:rPr>
        <w:t>not</w:t>
      </w:r>
      <w:r w:rsidR="003472F3" w:rsidRPr="00DE2EDF">
        <w:rPr>
          <w:rFonts w:eastAsia="Times New Roman" w:cs="Times New Roman"/>
          <w:iCs/>
          <w:lang w:val="en-GB"/>
        </w:rPr>
        <w:t xml:space="preserve"> a sacred</w:t>
      </w:r>
      <w:r w:rsidR="00131A8B" w:rsidRPr="00DE2EDF">
        <w:rPr>
          <w:rFonts w:eastAsia="Times New Roman" w:cs="Times New Roman"/>
          <w:iCs/>
          <w:lang w:val="en-GB"/>
        </w:rPr>
        <w:t xml:space="preserve"> or </w:t>
      </w:r>
      <w:r w:rsidR="00521BB3" w:rsidRPr="00DE2EDF">
        <w:rPr>
          <w:rFonts w:eastAsia="Times New Roman" w:cs="Times New Roman"/>
          <w:iCs/>
          <w:lang w:val="en-GB"/>
        </w:rPr>
        <w:t>immutable</w:t>
      </w:r>
      <w:r w:rsidR="003472F3" w:rsidRPr="00DE2EDF">
        <w:rPr>
          <w:rFonts w:eastAsia="Times New Roman" w:cs="Times New Roman"/>
          <w:iCs/>
          <w:lang w:val="en-GB"/>
        </w:rPr>
        <w:t xml:space="preserve"> essence.</w:t>
      </w:r>
      <w:r w:rsidR="003472F3" w:rsidRPr="00DE2EDF">
        <w:rPr>
          <w:rStyle w:val="FootnoteReference"/>
          <w:rFonts w:eastAsia="Times New Roman" w:cs="Times New Roman"/>
          <w:iCs/>
          <w:lang w:val="en-GB"/>
        </w:rPr>
        <w:footnoteReference w:id="268"/>
      </w:r>
      <w:r w:rsidR="00997996" w:rsidRPr="00DE2EDF">
        <w:rPr>
          <w:rFonts w:eastAsia="Times New Roman" w:cs="Times New Roman"/>
          <w:iCs/>
          <w:lang w:val="en-GB"/>
        </w:rPr>
        <w:t xml:space="preserve"> </w:t>
      </w:r>
      <w:r w:rsidR="00651018" w:rsidRPr="00DE2EDF">
        <w:rPr>
          <w:rFonts w:eastAsia="Times New Roman" w:cs="Times New Roman"/>
          <w:iCs/>
          <w:lang w:val="en-GB"/>
        </w:rPr>
        <w:t xml:space="preserve">Even </w:t>
      </w:r>
      <w:r w:rsidR="00530E16" w:rsidRPr="00DE2EDF">
        <w:rPr>
          <w:rFonts w:eastAsia="Times New Roman" w:cs="Times New Roman"/>
          <w:iCs/>
          <w:lang w:val="en-GB"/>
        </w:rPr>
        <w:t>‘</w:t>
      </w:r>
      <w:r w:rsidR="00D02DA7" w:rsidRPr="00DE2EDF">
        <w:rPr>
          <w:rFonts w:eastAsia="Times New Roman" w:cs="Times New Roman"/>
          <w:iCs/>
          <w:lang w:val="en-GB"/>
        </w:rPr>
        <w:t>classic</w:t>
      </w:r>
      <w:r w:rsidR="004A6700" w:rsidRPr="00DE2EDF">
        <w:rPr>
          <w:rFonts w:eastAsia="Times New Roman" w:cs="Times New Roman"/>
          <w:iCs/>
          <w:lang w:val="en-GB"/>
        </w:rPr>
        <w:t xml:space="preserve"> period</w:t>
      </w:r>
      <w:r w:rsidR="00B32965" w:rsidRPr="00DE2EDF">
        <w:rPr>
          <w:rFonts w:eastAsia="Times New Roman" w:cs="Times New Roman"/>
          <w:iCs/>
          <w:lang w:val="en-GB"/>
        </w:rPr>
        <w:t>s</w:t>
      </w:r>
      <w:r w:rsidR="00530E16" w:rsidRPr="00DE2EDF">
        <w:rPr>
          <w:rFonts w:eastAsia="Times New Roman" w:cs="Times New Roman"/>
          <w:iCs/>
          <w:lang w:val="en-GB"/>
        </w:rPr>
        <w:t>’</w:t>
      </w:r>
      <w:r w:rsidR="00D02DA7" w:rsidRPr="00DE2EDF">
        <w:rPr>
          <w:rFonts w:eastAsia="Times New Roman" w:cs="Times New Roman"/>
          <w:iCs/>
          <w:lang w:val="en-GB"/>
        </w:rPr>
        <w:t xml:space="preserve"> </w:t>
      </w:r>
      <w:r w:rsidR="00B32965" w:rsidRPr="00DE2EDF">
        <w:rPr>
          <w:rFonts w:eastAsia="Times New Roman" w:cs="Times New Roman"/>
          <w:iCs/>
          <w:lang w:val="en-GB"/>
        </w:rPr>
        <w:t>are</w:t>
      </w:r>
      <w:r w:rsidR="00651018" w:rsidRPr="00DE2EDF">
        <w:rPr>
          <w:rFonts w:eastAsia="Times New Roman" w:cs="Times New Roman"/>
          <w:iCs/>
          <w:lang w:val="en-GB"/>
        </w:rPr>
        <w:t xml:space="preserve"> </w:t>
      </w:r>
      <w:r w:rsidR="00D02DA7" w:rsidRPr="00DE2EDF">
        <w:rPr>
          <w:rFonts w:eastAsia="Times New Roman" w:cs="Times New Roman"/>
          <w:iCs/>
          <w:lang w:val="en-GB"/>
        </w:rPr>
        <w:t xml:space="preserve">not the end of the story. Legal cultures </w:t>
      </w:r>
      <w:r w:rsidR="00651018" w:rsidRPr="00DE2EDF">
        <w:rPr>
          <w:rFonts w:eastAsia="Times New Roman" w:cs="Times New Roman"/>
          <w:iCs/>
          <w:lang w:val="en-GB"/>
        </w:rPr>
        <w:t xml:space="preserve">can </w:t>
      </w:r>
      <w:r w:rsidR="00D02DA7" w:rsidRPr="00DE2EDF">
        <w:rPr>
          <w:rFonts w:eastAsia="Times New Roman" w:cs="Times New Roman"/>
          <w:iCs/>
          <w:lang w:val="en-GB"/>
        </w:rPr>
        <w:t>radically change</w:t>
      </w:r>
      <w:r w:rsidR="00651018" w:rsidRPr="00DE2EDF">
        <w:rPr>
          <w:rFonts w:eastAsia="Times New Roman" w:cs="Times New Roman"/>
          <w:iCs/>
          <w:lang w:val="en-GB"/>
        </w:rPr>
        <w:t>, if there are good arguments for it and a will to do so</w:t>
      </w:r>
      <w:r w:rsidR="00D02DA7" w:rsidRPr="00DE2EDF">
        <w:rPr>
          <w:rFonts w:eastAsia="Times New Roman" w:cs="Times New Roman"/>
          <w:iCs/>
          <w:lang w:val="en-GB"/>
        </w:rPr>
        <w:t>.</w:t>
      </w:r>
    </w:p>
    <w:sectPr w:rsidR="002A2C22" w:rsidRPr="00CE24E4" w:rsidSect="00EA2E67">
      <w:headerReference w:type="default" r:id="rId18"/>
      <w:footerReference w:type="default" r:id="rId19"/>
      <w:endnotePr>
        <w:numFmt w:val="decimal"/>
      </w:endnotePr>
      <w:pgSz w:w="11907" w:h="16839" w:code="9"/>
      <w:pgMar w:top="1440" w:right="198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69F77" w14:textId="77777777" w:rsidR="00535EF8" w:rsidRDefault="00535EF8" w:rsidP="002D49F9">
      <w:pPr>
        <w:spacing w:after="0" w:line="240" w:lineRule="auto"/>
      </w:pPr>
      <w:r>
        <w:separator/>
      </w:r>
    </w:p>
  </w:endnote>
  <w:endnote w:type="continuationSeparator" w:id="0">
    <w:p w14:paraId="75C052BC" w14:textId="77777777" w:rsidR="00535EF8" w:rsidRDefault="00535EF8" w:rsidP="002D49F9">
      <w:pPr>
        <w:spacing w:after="0" w:line="240" w:lineRule="auto"/>
      </w:pPr>
      <w:r>
        <w:continuationSeparator/>
      </w:r>
    </w:p>
  </w:endnote>
  <w:endnote w:type="continuationNotice" w:id="1">
    <w:p w14:paraId="32B48EDB" w14:textId="77777777" w:rsidR="00535EF8" w:rsidRDefault="00535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021055"/>
      <w:docPartObj>
        <w:docPartGallery w:val="Page Numbers (Bottom of Page)"/>
        <w:docPartUnique/>
      </w:docPartObj>
    </w:sdtPr>
    <w:sdtEndPr>
      <w:rPr>
        <w:noProof/>
      </w:rPr>
    </w:sdtEndPr>
    <w:sdtContent>
      <w:p w14:paraId="11440769" w14:textId="77777777" w:rsidR="0089313D" w:rsidRDefault="0089313D">
        <w:pPr>
          <w:pStyle w:val="Footer"/>
          <w:jc w:val="center"/>
        </w:pPr>
        <w:r>
          <w:fldChar w:fldCharType="begin"/>
        </w:r>
        <w:r>
          <w:instrText xml:space="preserve"> PAGE   \* MERGEFORMAT </w:instrText>
        </w:r>
        <w:r>
          <w:fldChar w:fldCharType="separate"/>
        </w:r>
        <w:r w:rsidR="00AF0474">
          <w:rPr>
            <w:noProof/>
          </w:rPr>
          <w:t>1</w:t>
        </w:r>
        <w:r>
          <w:rPr>
            <w:noProof/>
          </w:rPr>
          <w:fldChar w:fldCharType="end"/>
        </w:r>
      </w:p>
    </w:sdtContent>
  </w:sdt>
  <w:p w14:paraId="79DCF8E5" w14:textId="77777777" w:rsidR="0089313D" w:rsidRDefault="00893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AE9D3" w14:textId="77777777" w:rsidR="00535EF8" w:rsidRDefault="00535EF8" w:rsidP="002D49F9">
      <w:pPr>
        <w:spacing w:after="0" w:line="240" w:lineRule="auto"/>
      </w:pPr>
      <w:r>
        <w:separator/>
      </w:r>
    </w:p>
  </w:footnote>
  <w:footnote w:type="continuationSeparator" w:id="0">
    <w:p w14:paraId="66A7724D" w14:textId="77777777" w:rsidR="00535EF8" w:rsidRDefault="00535EF8" w:rsidP="002D49F9">
      <w:pPr>
        <w:spacing w:after="0" w:line="240" w:lineRule="auto"/>
      </w:pPr>
      <w:r>
        <w:continuationSeparator/>
      </w:r>
    </w:p>
  </w:footnote>
  <w:footnote w:type="continuationNotice" w:id="1">
    <w:p w14:paraId="592E4CCB" w14:textId="77777777" w:rsidR="00535EF8" w:rsidRDefault="00535EF8">
      <w:pPr>
        <w:spacing w:after="0" w:line="240" w:lineRule="auto"/>
      </w:pPr>
    </w:p>
  </w:footnote>
  <w:footnote w:id="2">
    <w:p w14:paraId="5B99AA79" w14:textId="77777777" w:rsidR="0089313D" w:rsidRPr="006F0999" w:rsidRDefault="0089313D" w:rsidP="00DE2EDF">
      <w:pPr>
        <w:pStyle w:val="FootnoteText"/>
        <w:spacing w:line="276" w:lineRule="auto"/>
        <w:rPr>
          <w:sz w:val="20"/>
          <w:szCs w:val="20"/>
        </w:rPr>
      </w:pPr>
      <w:r w:rsidRPr="006F0999">
        <w:rPr>
          <w:rStyle w:val="FootnoteReference"/>
          <w:sz w:val="20"/>
          <w:szCs w:val="20"/>
        </w:rPr>
        <w:t>*</w:t>
      </w:r>
      <w:r w:rsidRPr="006F0999">
        <w:rPr>
          <w:sz w:val="20"/>
          <w:szCs w:val="20"/>
        </w:rPr>
        <w:t xml:space="preserve"> I would like to thank Suzanne Larsen (University of Luxembourg) for her help in translating this contribution.</w:t>
      </w:r>
    </w:p>
  </w:footnote>
  <w:footnote w:id="3">
    <w:p w14:paraId="312DDB5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this research question, which will not be taken up here, see, for example, Tom Ginsburg, ‘Written constitutions and the administrative state: on the constitutional character of administrative law’, in </w:t>
      </w:r>
      <w:hyperlink r:id="rId1" w:tgtFrame="_parent" w:history="1">
        <w:r w:rsidRPr="006F0999">
          <w:rPr>
            <w:sz w:val="20"/>
            <w:szCs w:val="20"/>
          </w:rPr>
          <w:t>Susan Rose-Ackerman</w:t>
        </w:r>
      </w:hyperlink>
      <w:r w:rsidRPr="006F0999">
        <w:rPr>
          <w:sz w:val="20"/>
          <w:szCs w:val="20"/>
        </w:rPr>
        <w:t xml:space="preserve"> and </w:t>
      </w:r>
      <w:hyperlink r:id="rId2" w:tgtFrame="_parent" w:history="1">
        <w:r w:rsidRPr="006F0999">
          <w:rPr>
            <w:sz w:val="20"/>
            <w:szCs w:val="20"/>
          </w:rPr>
          <w:t>Peter L Lindseth</w:t>
        </w:r>
      </w:hyperlink>
      <w:r w:rsidRPr="006F0999">
        <w:rPr>
          <w:sz w:val="20"/>
          <w:szCs w:val="20"/>
        </w:rPr>
        <w:t xml:space="preserve"> (eds), </w:t>
      </w:r>
      <w:r w:rsidRPr="006F0999">
        <w:rPr>
          <w:i/>
          <w:sz w:val="20"/>
          <w:szCs w:val="20"/>
        </w:rPr>
        <w:t>Comparative Administrative Law</w:t>
      </w:r>
      <w:r w:rsidRPr="006F0999">
        <w:rPr>
          <w:sz w:val="20"/>
          <w:szCs w:val="20"/>
        </w:rPr>
        <w:t xml:space="preserve"> (Elgar, Cheltenham, 2010) 117 ff.</w:t>
      </w:r>
    </w:p>
  </w:footnote>
  <w:footnote w:id="4">
    <w:p w14:paraId="474399D4" w14:textId="79FF171B"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In the framework of the project </w:t>
      </w:r>
      <w:r w:rsidRPr="006F0999">
        <w:rPr>
          <w:i/>
          <w:sz w:val="20"/>
          <w:szCs w:val="20"/>
        </w:rPr>
        <w:t>Ius Publicum Europaeum</w:t>
      </w:r>
      <w:r w:rsidRPr="006F0999">
        <w:rPr>
          <w:sz w:val="20"/>
          <w:szCs w:val="20"/>
        </w:rPr>
        <w:t xml:space="preserve">, the term ‘Europe’ is somewhat vague. The chosen legal systems include many (but not all) Member States of the European Union (EU) and also some (but not all) European States that are not members of the EU (e.g., Switzerland). This chapter is based on my study of the following countries (in the approximate order of my level of knowledge): France, Germany, the United Kingdom, Luxembourg, Switzerland, Austria, Belgium, Sweden, Spain, Finland, Greece, Italy, Poland, Hungary, the Netherlands, Portugal, Norway, Denmark, and Ireland. EU law is mentioned only at the margin. The classification of ‘legal families’ or ‘major types’ (see Michel Fromont, ‘A Typology of Administrative Law in Europe’, </w:t>
      </w:r>
      <w:r w:rsidRPr="006F0999">
        <w:rPr>
          <w:i/>
          <w:sz w:val="20"/>
          <w:szCs w:val="20"/>
        </w:rPr>
        <w:t>in this volume</w:t>
      </w:r>
      <w:r w:rsidRPr="006F0999">
        <w:rPr>
          <w:sz w:val="20"/>
          <w:szCs w:val="20"/>
        </w:rPr>
        <w:t xml:space="preserve"> </w:t>
      </w:r>
      <w:r w:rsidRPr="006F0999">
        <w:rPr>
          <w:sz w:val="20"/>
          <w:szCs w:val="20"/>
          <w:highlight w:val="yellow"/>
        </w:rPr>
        <w:t>XXX, XXX (55)</w:t>
      </w:r>
      <w:r w:rsidRPr="006F0999">
        <w:rPr>
          <w:sz w:val="20"/>
          <w:szCs w:val="20"/>
        </w:rPr>
        <w:t xml:space="preserve">) will not be used here as it would be more harmful than helpful to the subject matter. </w:t>
      </w:r>
      <w:r w:rsidRPr="006F0999">
        <w:rPr>
          <w:sz w:val="20"/>
          <w:szCs w:val="20"/>
          <w:lang w:val="fr-FR"/>
        </w:rPr>
        <w:t>See, already, the criticisms by Jean Rivero, ‘Réflexions sur l</w:t>
      </w:r>
      <w:r>
        <w:rPr>
          <w:sz w:val="20"/>
          <w:szCs w:val="20"/>
          <w:lang w:val="fr-FR"/>
        </w:rPr>
        <w:t>’</w:t>
      </w:r>
      <w:r w:rsidRPr="006F0999">
        <w:rPr>
          <w:sz w:val="20"/>
          <w:szCs w:val="20"/>
          <w:lang w:val="fr-FR"/>
        </w:rPr>
        <w:t xml:space="preserve">étude comparée des sources des droits administratifs’, in René Cassin and others (eds), </w:t>
      </w:r>
      <w:r w:rsidRPr="006F0999">
        <w:rPr>
          <w:i/>
          <w:sz w:val="20"/>
          <w:szCs w:val="20"/>
          <w:lang w:val="fr-FR"/>
        </w:rPr>
        <w:t>Problèmes de droit public contemporain, Mélanges en l’honneur du professeur Michel Stassinopoulos</w:t>
      </w:r>
      <w:r w:rsidRPr="006F0999">
        <w:rPr>
          <w:sz w:val="20"/>
          <w:szCs w:val="20"/>
          <w:lang w:val="fr-FR"/>
        </w:rPr>
        <w:t xml:space="preserve"> (LGDJ, Paris, 1974) 135.</w:t>
      </w:r>
    </w:p>
  </w:footnote>
  <w:footnote w:id="5">
    <w:p w14:paraId="077126F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investigation will look back, for some countries which are particularly interesting, at the nineteenth and the twentieth century.</w:t>
      </w:r>
    </w:p>
  </w:footnote>
  <w:footnote w:id="6">
    <w:p w14:paraId="1AF0C07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heuristic fertility of border cases, see Carl Schmitt, </w:t>
      </w:r>
      <w:r w:rsidRPr="006F0999">
        <w:rPr>
          <w:i/>
          <w:sz w:val="20"/>
          <w:szCs w:val="20"/>
        </w:rPr>
        <w:t>Politische Theologie</w:t>
      </w:r>
      <w:r w:rsidRPr="006F0999">
        <w:rPr>
          <w:sz w:val="20"/>
          <w:szCs w:val="20"/>
        </w:rPr>
        <w:t xml:space="preserve"> (2nd edn, Duncker &amp; Humblot, Berlin, 1934) 22, specifically the quote from Søren Kierkegaard: ‘</w:t>
      </w:r>
      <w:r w:rsidRPr="006F0999">
        <w:rPr>
          <w:i/>
          <w:sz w:val="20"/>
          <w:szCs w:val="20"/>
        </w:rPr>
        <w:t xml:space="preserve">Die Ausnahme erklärt das Allgemeine und sich selbst. </w:t>
      </w:r>
      <w:r w:rsidRPr="006F0999">
        <w:rPr>
          <w:i/>
          <w:sz w:val="20"/>
          <w:szCs w:val="20"/>
          <w:lang w:val="de-DE"/>
        </w:rPr>
        <w:t>Und wenn man das Allgemeine richtig studieren will, braucht man sich nur nach einer wirklichen Ausnahme umzusehen. Sie legt alles viel deutlicher an den Tag als das Allgemeine selbst.</w:t>
      </w:r>
      <w:r w:rsidRPr="006F0999">
        <w:rPr>
          <w:sz w:val="20"/>
          <w:szCs w:val="20"/>
          <w:lang w:val="de-DE"/>
        </w:rPr>
        <w:t xml:space="preserve">’ </w:t>
      </w:r>
      <w:r w:rsidRPr="006F0999">
        <w:rPr>
          <w:sz w:val="20"/>
          <w:szCs w:val="20"/>
        </w:rPr>
        <w:t>[‘The exception explains the general and itself and if one wants to study the universal, one has to look for a real exception. It makes everything much clearer than the general itself.’]</w:t>
      </w:r>
    </w:p>
  </w:footnote>
  <w:footnote w:id="7">
    <w:p w14:paraId="2114CDA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As to the influence of the substantive definition of ‘Constitution’ on the delimitation of constitutional courts’ jurisdiction, see Michel Fromont, </w:t>
      </w:r>
      <w:r w:rsidRPr="006F0999">
        <w:rPr>
          <w:i/>
          <w:sz w:val="20"/>
          <w:szCs w:val="20"/>
        </w:rPr>
        <w:t>Justice constitutionnelle comparée</w:t>
      </w:r>
      <w:r w:rsidRPr="006F0999">
        <w:rPr>
          <w:sz w:val="20"/>
          <w:szCs w:val="20"/>
        </w:rPr>
        <w:t xml:space="preserve"> (Dalloz, Paris, 2013) 6 f; Luc Heuschling, ‘Justice constitutionnelle et justice ordinaire’, in Constance Grewe and others (eds), </w:t>
      </w:r>
      <w:r w:rsidRPr="006F0999">
        <w:rPr>
          <w:i/>
          <w:sz w:val="20"/>
          <w:szCs w:val="20"/>
        </w:rPr>
        <w:t>La notion de justice constitutionnelle</w:t>
      </w:r>
      <w:r w:rsidRPr="006F0999">
        <w:rPr>
          <w:sz w:val="20"/>
          <w:szCs w:val="20"/>
        </w:rPr>
        <w:t xml:space="preserve"> (Dalloz, Paris, 2005) 103 ff.</w:t>
      </w:r>
    </w:p>
  </w:footnote>
  <w:footnote w:id="8">
    <w:p w14:paraId="36217401" w14:textId="77777777" w:rsidR="0089313D" w:rsidRPr="006F0999" w:rsidRDefault="0089313D" w:rsidP="00DE2EDF">
      <w:pPr>
        <w:pStyle w:val="NoSpacing"/>
        <w:spacing w:line="276" w:lineRule="auto"/>
        <w:jc w:val="both"/>
        <w:rPr>
          <w:rFonts w:cs="Times New Roman"/>
          <w:sz w:val="20"/>
          <w:szCs w:val="20"/>
        </w:rPr>
      </w:pPr>
      <w:r w:rsidRPr="006F0999">
        <w:rPr>
          <w:rStyle w:val="FootnoteReference"/>
          <w:rFonts w:cs="Times New Roman"/>
          <w:sz w:val="20"/>
          <w:szCs w:val="20"/>
        </w:rPr>
        <w:footnoteRef/>
      </w:r>
      <w:r w:rsidRPr="006F0999">
        <w:rPr>
          <w:rFonts w:cs="Times New Roman"/>
          <w:sz w:val="20"/>
          <w:szCs w:val="20"/>
          <w:lang w:val="de-DE"/>
        </w:rPr>
        <w:t xml:space="preserve"> Adolf Merkl, </w:t>
      </w:r>
      <w:r w:rsidRPr="006F0999">
        <w:rPr>
          <w:rFonts w:cs="Times New Roman"/>
          <w:i/>
          <w:sz w:val="20"/>
          <w:szCs w:val="20"/>
          <w:lang w:val="de-DE"/>
        </w:rPr>
        <w:t>Allgemeines Verwaltungsrecht</w:t>
      </w:r>
      <w:r w:rsidRPr="006F0999">
        <w:rPr>
          <w:rFonts w:cs="Times New Roman"/>
          <w:sz w:val="20"/>
          <w:szCs w:val="20"/>
          <w:lang w:val="de-DE"/>
        </w:rPr>
        <w:t xml:space="preserve"> (first published 1927, reprint Verlag Österreich, Vienna, 1999) 79, 85; Ewald Wiederin, ‘Österreich’, </w:t>
      </w:r>
      <w:r w:rsidRPr="00F17093">
        <w:rPr>
          <w:rFonts w:cs="Times New Roman"/>
          <w:i/>
          <w:sz w:val="20"/>
          <w:szCs w:val="20"/>
          <w:lang w:val="de-DE"/>
        </w:rPr>
        <w:t>in this volume</w:t>
      </w:r>
      <w:r w:rsidRPr="006F0999">
        <w:rPr>
          <w:rFonts w:cs="Times New Roman"/>
          <w:sz w:val="20"/>
          <w:szCs w:val="20"/>
          <w:highlight w:val="yellow"/>
          <w:lang w:val="de-DE"/>
        </w:rPr>
        <w:t xml:space="preserve"> XXX, XXX (§ 46 mn 21, 23 and 91</w:t>
      </w:r>
      <w:r w:rsidRPr="006F0999">
        <w:rPr>
          <w:rFonts w:cs="Times New Roman"/>
          <w:sz w:val="20"/>
          <w:szCs w:val="20"/>
          <w:lang w:val="de-DE"/>
        </w:rPr>
        <w:t xml:space="preserve">). </w:t>
      </w:r>
      <w:r w:rsidRPr="006F0999">
        <w:rPr>
          <w:rFonts w:cs="Times New Roman"/>
          <w:sz w:val="20"/>
          <w:szCs w:val="20"/>
        </w:rPr>
        <w:t>The classic distinction between private and public law was and is discarded in Austria under the influence of Kelsen’s criticisms.</w:t>
      </w:r>
    </w:p>
  </w:footnote>
  <w:footnote w:id="9">
    <w:p w14:paraId="3C6C0E06"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Adolf Merkl, </w:t>
      </w:r>
      <w:r w:rsidRPr="006F0999">
        <w:rPr>
          <w:i/>
          <w:sz w:val="20"/>
          <w:szCs w:val="20"/>
          <w:lang w:val="de-DE"/>
        </w:rPr>
        <w:t>Allgemeines Verwaltungsrecht</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_ftnref5 \h  \* MERGEFORMAT </w:instrText>
      </w:r>
      <w:r w:rsidRPr="006F0999">
        <w:rPr>
          <w:sz w:val="20"/>
          <w:szCs w:val="20"/>
        </w:rPr>
      </w:r>
      <w:r w:rsidRPr="006F0999">
        <w:rPr>
          <w:sz w:val="20"/>
          <w:szCs w:val="20"/>
        </w:rPr>
        <w:fldChar w:fldCharType="separate"/>
      </w:r>
      <w:r w:rsidRPr="006F0999">
        <w:rPr>
          <w:sz w:val="20"/>
          <w:szCs w:val="20"/>
          <w:lang w:val="de-DE"/>
        </w:rPr>
        <w:t>6</w:t>
      </w:r>
      <w:r w:rsidRPr="006F0999">
        <w:rPr>
          <w:sz w:val="20"/>
          <w:szCs w:val="20"/>
        </w:rPr>
        <w:fldChar w:fldCharType="end"/>
      </w:r>
      <w:r w:rsidRPr="006F0999">
        <w:rPr>
          <w:sz w:val="20"/>
          <w:szCs w:val="20"/>
          <w:lang w:val="de-DE"/>
        </w:rPr>
        <w:t>) 378 ff; see below D. 2. h).</w:t>
      </w:r>
    </w:p>
  </w:footnote>
  <w:footnote w:id="10">
    <w:p w14:paraId="1862D6D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example, France, Germany, Switzerland, Ireland, Spain, Portugal, Greece, Italy, Belgium, Luxembourg, and Sweden.</w:t>
      </w:r>
    </w:p>
  </w:footnote>
  <w:footnote w:id="11">
    <w:p w14:paraId="22D8EE11" w14:textId="6EA83BC2" w:rsidR="0089313D" w:rsidRPr="006379C3" w:rsidRDefault="0089313D" w:rsidP="00DE2EDF">
      <w:pPr>
        <w:pStyle w:val="FootnoteText"/>
        <w:spacing w:line="276" w:lineRule="auto"/>
        <w:rPr>
          <w:sz w:val="20"/>
          <w:lang w:val="en-GB"/>
        </w:rPr>
      </w:pPr>
      <w:r w:rsidRPr="006F0999">
        <w:rPr>
          <w:rStyle w:val="FootnoteReference"/>
          <w:sz w:val="20"/>
          <w:szCs w:val="20"/>
        </w:rPr>
        <w:footnoteRef/>
      </w:r>
      <w:r w:rsidRPr="006F0999">
        <w:rPr>
          <w:sz w:val="20"/>
          <w:szCs w:val="20"/>
        </w:rPr>
        <w:t xml:space="preserve"> Pierre Moor, </w:t>
      </w:r>
      <w:r w:rsidRPr="006F0999">
        <w:rPr>
          <w:i/>
          <w:sz w:val="20"/>
          <w:szCs w:val="20"/>
        </w:rPr>
        <w:t xml:space="preserve">Droit administratif: </w:t>
      </w:r>
      <w:r w:rsidRPr="006F0999">
        <w:rPr>
          <w:rFonts w:eastAsiaTheme="majorEastAsia"/>
          <w:i/>
          <w:sz w:val="20"/>
          <w:szCs w:val="20"/>
        </w:rPr>
        <w:t>Les fondements généraux</w:t>
      </w:r>
      <w:r w:rsidRPr="006F0999">
        <w:rPr>
          <w:i/>
          <w:sz w:val="20"/>
          <w:szCs w:val="20"/>
        </w:rPr>
        <w:t>,</w:t>
      </w:r>
      <w:r w:rsidRPr="006F0999">
        <w:rPr>
          <w:sz w:val="20"/>
          <w:szCs w:val="20"/>
        </w:rPr>
        <w:t xml:space="preserve"> vol 1 (2nd edn,</w:t>
      </w:r>
      <w:r w:rsidRPr="006F0999" w:rsidDel="002215D7">
        <w:rPr>
          <w:sz w:val="20"/>
          <w:szCs w:val="20"/>
        </w:rPr>
        <w:t xml:space="preserve"> </w:t>
      </w:r>
      <w:r w:rsidRPr="006F0999">
        <w:rPr>
          <w:sz w:val="20"/>
          <w:szCs w:val="20"/>
        </w:rPr>
        <w:t xml:space="preserve">Staempfli, Bern, 1994) 28 ff. The term </w:t>
      </w:r>
      <w:r w:rsidRPr="006F0999">
        <w:rPr>
          <w:i/>
          <w:sz w:val="20"/>
          <w:szCs w:val="20"/>
        </w:rPr>
        <w:t>droit constitutionnel administrative</w:t>
      </w:r>
      <w:r w:rsidRPr="006F0999">
        <w:rPr>
          <w:sz w:val="20"/>
          <w:szCs w:val="20"/>
        </w:rPr>
        <w:t xml:space="preserve"> is already used in 1948 by the French constitutional law scholar Marcel Prélot, </w:t>
      </w:r>
      <w:r w:rsidRPr="006F0999">
        <w:rPr>
          <w:i/>
          <w:sz w:val="20"/>
          <w:szCs w:val="20"/>
        </w:rPr>
        <w:t>Précis de droit constitutionnel</w:t>
      </w:r>
      <w:r w:rsidRPr="006F0999">
        <w:rPr>
          <w:sz w:val="20"/>
          <w:szCs w:val="20"/>
        </w:rPr>
        <w:t xml:space="preserve"> (Dalloz, Paris, 1948) 13. </w:t>
      </w:r>
      <w:r w:rsidRPr="006F0999">
        <w:rPr>
          <w:sz w:val="20"/>
          <w:szCs w:val="20"/>
          <w:lang w:val="de-DE"/>
        </w:rPr>
        <w:t xml:space="preserve">In Germany, since 2000, some authors use the expression </w:t>
      </w:r>
      <w:r w:rsidRPr="006F0999">
        <w:rPr>
          <w:i/>
          <w:sz w:val="20"/>
          <w:szCs w:val="20"/>
          <w:lang w:val="de-DE"/>
        </w:rPr>
        <w:t>Verwaltungsverfassungsrecht</w:t>
      </w:r>
      <w:r w:rsidRPr="006F0999">
        <w:rPr>
          <w:sz w:val="20"/>
          <w:szCs w:val="20"/>
          <w:lang w:val="de-DE"/>
        </w:rPr>
        <w:t xml:space="preserve">. See Ferdinand Wollenschläger, ‘Verfassung im Allgemeinen Verwaltungsrecht: Bedeutungsverlust durch Europäisierung und Emanzipation?‘ </w:t>
      </w:r>
      <w:r w:rsidRPr="006379C3">
        <w:rPr>
          <w:sz w:val="20"/>
          <w:lang w:val="en-GB"/>
        </w:rPr>
        <w:t xml:space="preserve">(2016) 75 VVDStRL </w:t>
      </w:r>
      <w:r>
        <w:rPr>
          <w:sz w:val="20"/>
          <w:szCs w:val="20"/>
        </w:rPr>
        <w:t>195 ff</w:t>
      </w:r>
      <w:r w:rsidRPr="006379C3">
        <w:rPr>
          <w:sz w:val="20"/>
          <w:lang w:val="en-GB"/>
        </w:rPr>
        <w:t>.</w:t>
      </w:r>
    </w:p>
  </w:footnote>
  <w:footnote w:id="12">
    <w:p w14:paraId="7731D498" w14:textId="77777777" w:rsidR="0089313D" w:rsidRPr="006379C3" w:rsidRDefault="0089313D" w:rsidP="00DE2EDF">
      <w:pPr>
        <w:pStyle w:val="FootnoteText"/>
        <w:spacing w:line="276" w:lineRule="auto"/>
        <w:rPr>
          <w:sz w:val="20"/>
          <w:lang w:val="en-GB"/>
        </w:rPr>
      </w:pPr>
      <w:r w:rsidRPr="006F0999">
        <w:rPr>
          <w:rStyle w:val="FootnoteReference"/>
          <w:sz w:val="20"/>
          <w:szCs w:val="20"/>
        </w:rPr>
        <w:footnoteRef/>
      </w:r>
      <w:r w:rsidRPr="006379C3">
        <w:rPr>
          <w:sz w:val="20"/>
          <w:lang w:val="en-GB"/>
        </w:rPr>
        <w:t xml:space="preserve"> See, for example, Georges Vedel, </w:t>
      </w:r>
      <w:r w:rsidRPr="006379C3">
        <w:rPr>
          <w:i/>
          <w:sz w:val="20"/>
          <w:lang w:val="en-GB"/>
        </w:rPr>
        <w:t>Manuel élémentaire de droit constitutionnel</w:t>
      </w:r>
      <w:r w:rsidRPr="006379C3">
        <w:rPr>
          <w:sz w:val="20"/>
          <w:lang w:val="en-GB"/>
        </w:rPr>
        <w:t xml:space="preserve"> (Sirey, Paris, 1949) 3 ff; Gerard Hogan and David G Morgan, </w:t>
      </w:r>
      <w:r w:rsidRPr="006379C3">
        <w:rPr>
          <w:i/>
          <w:sz w:val="20"/>
          <w:lang w:val="en-GB"/>
        </w:rPr>
        <w:t>Administrative Law in Ireland</w:t>
      </w:r>
      <w:r w:rsidRPr="006379C3">
        <w:rPr>
          <w:sz w:val="20"/>
          <w:lang w:val="en-GB"/>
        </w:rPr>
        <w:t xml:space="preserve"> (3rd edn, Round Hall Sweet &amp; Maxwell, Dublin, 1998) 1 ff; </w:t>
      </w:r>
      <w:hyperlink r:id="rId3" w:history="1">
        <w:r w:rsidRPr="006379C3">
          <w:rPr>
            <w:sz w:val="20"/>
            <w:lang w:val="en-GB"/>
          </w:rPr>
          <w:t>Maurice-André Flamme</w:t>
        </w:r>
      </w:hyperlink>
      <w:r w:rsidRPr="006379C3">
        <w:rPr>
          <w:sz w:val="20"/>
          <w:lang w:val="en-GB"/>
        </w:rPr>
        <w:t xml:space="preserve">, </w:t>
      </w:r>
      <w:r w:rsidRPr="006379C3">
        <w:rPr>
          <w:i/>
          <w:sz w:val="20"/>
          <w:lang w:val="en-GB"/>
        </w:rPr>
        <w:t>Droit administratif</w:t>
      </w:r>
      <w:r w:rsidRPr="006379C3">
        <w:rPr>
          <w:sz w:val="20"/>
          <w:lang w:val="en-GB"/>
        </w:rPr>
        <w:t>, vol 1 (Bruylant, Bruxelles, 1989) 4 ff and many contemporary Belgian textbooks.</w:t>
      </w:r>
    </w:p>
  </w:footnote>
  <w:footnote w:id="13">
    <w:p w14:paraId="4DB5C3ED" w14:textId="77777777" w:rsidR="0089313D" w:rsidRPr="006379C3" w:rsidRDefault="0089313D" w:rsidP="00DE2EDF">
      <w:pPr>
        <w:pStyle w:val="FootnoteText"/>
        <w:spacing w:line="276" w:lineRule="auto"/>
        <w:rPr>
          <w:sz w:val="20"/>
          <w:lang w:val="en-GB"/>
        </w:rPr>
      </w:pPr>
      <w:r w:rsidRPr="006F0999">
        <w:rPr>
          <w:rStyle w:val="FootnoteReference"/>
          <w:sz w:val="20"/>
          <w:szCs w:val="20"/>
        </w:rPr>
        <w:footnoteRef/>
      </w:r>
      <w:r w:rsidRPr="006379C3">
        <w:rPr>
          <w:sz w:val="20"/>
          <w:lang w:val="en-GB"/>
        </w:rPr>
        <w:t xml:space="preserve"> Pieter de Haan and others, </w:t>
      </w:r>
      <w:r w:rsidRPr="006379C3">
        <w:rPr>
          <w:i/>
          <w:sz w:val="20"/>
          <w:lang w:val="en-GB"/>
        </w:rPr>
        <w:t>Bestuursrecht in de sociale Rechtsstaat</w:t>
      </w:r>
      <w:r w:rsidRPr="006379C3">
        <w:rPr>
          <w:sz w:val="20"/>
          <w:lang w:val="en-GB"/>
        </w:rPr>
        <w:t xml:space="preserve"> (6th edn, Kluver, Deventer, 2010) 63; René Seerden and Daniëlle Wenders, ‘Administrative Law in the Netherlands’, in René Seerden (ed), </w:t>
      </w:r>
      <w:r w:rsidRPr="006379C3">
        <w:rPr>
          <w:i/>
          <w:sz w:val="20"/>
          <w:lang w:val="en-GB"/>
        </w:rPr>
        <w:t>Administrative Law of the European Union, its Member States, and the US: A Comparative Analysis</w:t>
      </w:r>
      <w:r w:rsidRPr="006379C3">
        <w:rPr>
          <w:sz w:val="20"/>
          <w:lang w:val="en-GB"/>
        </w:rPr>
        <w:t xml:space="preserve"> (3rd edn,</w:t>
      </w:r>
      <w:r w:rsidRPr="006379C3" w:rsidDel="00937168">
        <w:rPr>
          <w:sz w:val="20"/>
          <w:lang w:val="en-GB"/>
        </w:rPr>
        <w:t xml:space="preserve"> </w:t>
      </w:r>
      <w:r w:rsidRPr="006379C3">
        <w:rPr>
          <w:sz w:val="20"/>
          <w:lang w:val="en-GB"/>
        </w:rPr>
        <w:t>Intersentia, Cambridge, 2012) 101; Remco Nehmelman, ‘Niederlande’, in Armin von Bogdandy, Pedró Cruz Villalón and Peter M Huber (eds)</w:t>
      </w:r>
      <w:r w:rsidRPr="006379C3">
        <w:rPr>
          <w:i/>
          <w:sz w:val="20"/>
          <w:lang w:val="en-GB"/>
        </w:rPr>
        <w:t>, IPE II</w:t>
      </w:r>
      <w:r w:rsidRPr="006379C3">
        <w:rPr>
          <w:sz w:val="20"/>
          <w:lang w:val="en-GB"/>
        </w:rPr>
        <w:t xml:space="preserve"> (CF Müller, Heidelberg, 2008) 624; Henk Kummeling and others, </w:t>
      </w:r>
      <w:r w:rsidRPr="006379C3">
        <w:rPr>
          <w:i/>
          <w:sz w:val="20"/>
          <w:lang w:val="en-GB"/>
        </w:rPr>
        <w:t>Het</w:t>
      </w:r>
      <w:r w:rsidRPr="006379C3">
        <w:rPr>
          <w:sz w:val="20"/>
          <w:lang w:val="en-GB"/>
        </w:rPr>
        <w:t xml:space="preserve"> </w:t>
      </w:r>
      <w:r w:rsidRPr="006379C3">
        <w:rPr>
          <w:i/>
          <w:sz w:val="20"/>
          <w:lang w:val="en-GB"/>
        </w:rPr>
        <w:t>bestuursrecht als agenda voor het staatsrecht</w:t>
      </w:r>
      <w:r w:rsidRPr="006379C3">
        <w:rPr>
          <w:sz w:val="20"/>
          <w:lang w:val="en-GB"/>
        </w:rPr>
        <w:t xml:space="preserve"> (Tjeenk Willink, Deventer, 1999); Adriaan Koelma and Roelof Kranenburg,</w:t>
      </w:r>
      <w:r w:rsidRPr="006379C3">
        <w:rPr>
          <w:i/>
          <w:sz w:val="20"/>
          <w:lang w:val="en-GB"/>
        </w:rPr>
        <w:t xml:space="preserve"> De verhouding van staatsrecht en administratief recht</w:t>
      </w:r>
      <w:r w:rsidRPr="006379C3">
        <w:rPr>
          <w:sz w:val="20"/>
          <w:lang w:val="en-GB"/>
        </w:rPr>
        <w:t xml:space="preserve"> (Tjeenk Willink, Haarlem, 1940).</w:t>
      </w:r>
    </w:p>
  </w:footnote>
  <w:footnote w:id="14">
    <w:p w14:paraId="512A4CE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Despite some differences, Scottish public law is strongly influenced by English law, both in administrative and constitutional law. See Aileen McHarg and Tom Mullen (eds), </w:t>
      </w:r>
      <w:r w:rsidRPr="006F0999">
        <w:rPr>
          <w:i/>
          <w:sz w:val="20"/>
          <w:szCs w:val="20"/>
        </w:rPr>
        <w:t>Public Law in Scotland</w:t>
      </w:r>
      <w:r w:rsidRPr="006F0999">
        <w:rPr>
          <w:sz w:val="20"/>
          <w:szCs w:val="20"/>
        </w:rPr>
        <w:t xml:space="preserve"> (Avizandum, Edinburgh, 2006); see further </w:t>
      </w:r>
      <w:hyperlink r:id="rId4" w:history="1">
        <w:r w:rsidRPr="006F0999">
          <w:rPr>
            <w:sz w:val="20"/>
            <w:szCs w:val="20"/>
          </w:rPr>
          <w:t xml:space="preserve">Anthony W </w:t>
        </w:r>
      </w:hyperlink>
      <w:r w:rsidRPr="006F0999">
        <w:rPr>
          <w:sz w:val="20"/>
          <w:szCs w:val="20"/>
        </w:rPr>
        <w:t xml:space="preserve">Bradley and Chris Hinsworth, ‘Administrative Law’, in The Law Society of Scotland (ed), </w:t>
      </w:r>
      <w:r w:rsidRPr="006F0999">
        <w:rPr>
          <w:i/>
          <w:sz w:val="20"/>
          <w:szCs w:val="20"/>
        </w:rPr>
        <w:t>The Laws of Scotland: Stair Memorial Encyclopaedia</w:t>
      </w:r>
      <w:r w:rsidRPr="006F0999">
        <w:rPr>
          <w:sz w:val="20"/>
          <w:szCs w:val="20"/>
        </w:rPr>
        <w:t xml:space="preserve">, vol 1 (London, LexisNexis, 1987) 59 ff; Mungo Deans, </w:t>
      </w:r>
      <w:r w:rsidRPr="006F0999">
        <w:rPr>
          <w:i/>
          <w:sz w:val="20"/>
          <w:szCs w:val="20"/>
        </w:rPr>
        <w:t>Scots Public Law</w:t>
      </w:r>
      <w:r w:rsidRPr="006F0999">
        <w:rPr>
          <w:sz w:val="20"/>
          <w:szCs w:val="20"/>
        </w:rPr>
        <w:t xml:space="preserve"> (T &amp; T Clark, Edinburgh, 1995); Valerie Finch and Christina Ashton, </w:t>
      </w:r>
      <w:r w:rsidRPr="006F0999">
        <w:rPr>
          <w:i/>
          <w:sz w:val="20"/>
          <w:szCs w:val="20"/>
        </w:rPr>
        <w:t>Administrative Law in Scotland</w:t>
      </w:r>
      <w:r w:rsidRPr="006F0999">
        <w:rPr>
          <w:sz w:val="20"/>
          <w:szCs w:val="20"/>
        </w:rPr>
        <w:t xml:space="preserve"> (W. Green, Sweet &amp; Maxwell, Edinburgh, 1997); Jean McFadden and Dale McFadzean, </w:t>
      </w:r>
      <w:r w:rsidRPr="006F0999">
        <w:rPr>
          <w:i/>
          <w:sz w:val="20"/>
          <w:szCs w:val="20"/>
        </w:rPr>
        <w:t>Scottish Administrative Law</w:t>
      </w:r>
      <w:r w:rsidRPr="006F0999">
        <w:rPr>
          <w:sz w:val="20"/>
          <w:szCs w:val="20"/>
        </w:rPr>
        <w:t xml:space="preserve"> (Edinburgh University Press, Edinburgh, 2006); Christopher Himsworth and Christina O’Neill, </w:t>
      </w:r>
      <w:r w:rsidRPr="006F0999">
        <w:rPr>
          <w:i/>
          <w:sz w:val="20"/>
          <w:szCs w:val="20"/>
        </w:rPr>
        <w:t>Scotland’s Constitution: Law and Practice</w:t>
      </w:r>
      <w:r w:rsidRPr="006F0999">
        <w:rPr>
          <w:sz w:val="20"/>
          <w:szCs w:val="20"/>
        </w:rPr>
        <w:t xml:space="preserve"> (2nd edn, Bloomsbury Professional, Hayward’s Heath, 2009). Thus, references to Scottish practice are only necessary if there are relevant differences. Northern Ireland’s administrative law similarities to English law are even stronger.</w:t>
      </w:r>
    </w:p>
  </w:footnote>
  <w:footnote w:id="15">
    <w:p w14:paraId="5ED5837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Frederic J Port, </w:t>
      </w:r>
      <w:r w:rsidRPr="006F0999">
        <w:rPr>
          <w:i/>
          <w:sz w:val="20"/>
          <w:szCs w:val="20"/>
        </w:rPr>
        <w:t>Administrative Law</w:t>
      </w:r>
      <w:r w:rsidRPr="006F0999">
        <w:rPr>
          <w:sz w:val="20"/>
          <w:szCs w:val="20"/>
        </w:rPr>
        <w:t xml:space="preserve"> (Longmans Green, London, 1929) 6; William Wade, </w:t>
      </w:r>
      <w:r w:rsidRPr="006F0999">
        <w:rPr>
          <w:i/>
          <w:sz w:val="20"/>
          <w:szCs w:val="20"/>
        </w:rPr>
        <w:t>Administrative Law</w:t>
      </w:r>
      <w:r w:rsidRPr="006F0999">
        <w:rPr>
          <w:sz w:val="20"/>
          <w:szCs w:val="20"/>
        </w:rPr>
        <w:t xml:space="preserve"> (Clarendon, Oxford, 1961) 3; Stanley A de Smith and Rodney Brazier, </w:t>
      </w:r>
      <w:r w:rsidRPr="006F0999">
        <w:rPr>
          <w:i/>
          <w:sz w:val="20"/>
          <w:szCs w:val="20"/>
        </w:rPr>
        <w:t>Constitutional and Administrative Law</w:t>
      </w:r>
      <w:r w:rsidRPr="006F0999">
        <w:rPr>
          <w:sz w:val="20"/>
          <w:szCs w:val="20"/>
        </w:rPr>
        <w:t xml:space="preserve"> (8th edn, Penguin, London, 1998) 503. Other pioneers were William Robson, Cecil Thomas Carr, John Aneurin Grey Griffith and Harry Street. </w:t>
      </w:r>
    </w:p>
  </w:footnote>
  <w:footnote w:id="16">
    <w:p w14:paraId="4021AA5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William Wade and Christopher F Forsyth, </w:t>
      </w:r>
      <w:r w:rsidRPr="006F0999">
        <w:rPr>
          <w:i/>
          <w:sz w:val="20"/>
          <w:szCs w:val="20"/>
        </w:rPr>
        <w:t>Administrative Law</w:t>
      </w:r>
      <w:r w:rsidRPr="006F0999">
        <w:rPr>
          <w:sz w:val="20"/>
          <w:szCs w:val="20"/>
        </w:rPr>
        <w:t xml:space="preserve"> (10th edn,</w:t>
      </w:r>
      <w:r w:rsidRPr="006F0999" w:rsidDel="008A4D9B">
        <w:rPr>
          <w:sz w:val="20"/>
          <w:szCs w:val="20"/>
        </w:rPr>
        <w:t xml:space="preserve"> </w:t>
      </w:r>
      <w:r w:rsidRPr="006F0999">
        <w:rPr>
          <w:sz w:val="20"/>
          <w:szCs w:val="20"/>
        </w:rPr>
        <w:t>OUP, Oxford, 2009) 8: ‘Constitutional law and administrative law are subjects which interlock closely and overlap extensively.’</w:t>
      </w:r>
    </w:p>
  </w:footnote>
  <w:footnote w:id="17">
    <w:p w14:paraId="6690052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the redefinition of the boundaries in Peter Cane’s fifth edition of this textbook on </w:t>
      </w:r>
      <w:r w:rsidRPr="006F0999">
        <w:rPr>
          <w:i/>
          <w:sz w:val="20"/>
          <w:szCs w:val="20"/>
        </w:rPr>
        <w:t>Administrative Law</w:t>
      </w:r>
      <w:r w:rsidRPr="006F0999">
        <w:rPr>
          <w:sz w:val="20"/>
          <w:szCs w:val="20"/>
        </w:rPr>
        <w:t xml:space="preserve"> (OUP, Oxford, 2011) v, part I and II, in contrast to his 4th edition, chapter 1 (OUP, Oxford, 2004). </w:t>
      </w:r>
    </w:p>
  </w:footnote>
  <w:footnote w:id="18">
    <w:p w14:paraId="3E234CB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w:t>
      </w:r>
      <w:hyperlink r:id="rId5" w:history="1">
        <w:r w:rsidRPr="006F0999">
          <w:rPr>
            <w:sz w:val="20"/>
            <w:szCs w:val="20"/>
          </w:rPr>
          <w:t>John A G Griffith</w:t>
        </w:r>
      </w:hyperlink>
      <w:r w:rsidRPr="006F0999">
        <w:rPr>
          <w:sz w:val="20"/>
          <w:szCs w:val="20"/>
        </w:rPr>
        <w:t xml:space="preserve"> and </w:t>
      </w:r>
      <w:hyperlink r:id="rId6" w:history="1">
        <w:r w:rsidRPr="006F0999">
          <w:rPr>
            <w:sz w:val="20"/>
            <w:szCs w:val="20"/>
          </w:rPr>
          <w:t>Harry Street</w:t>
        </w:r>
      </w:hyperlink>
      <w:r w:rsidRPr="006F0999">
        <w:rPr>
          <w:sz w:val="20"/>
          <w:szCs w:val="20"/>
        </w:rPr>
        <w:t xml:space="preserve">, </w:t>
      </w:r>
      <w:r w:rsidRPr="006F0999">
        <w:rPr>
          <w:i/>
          <w:sz w:val="20"/>
          <w:szCs w:val="20"/>
        </w:rPr>
        <w:t>Principles of administrative law</w:t>
      </w:r>
      <w:r w:rsidRPr="006F0999">
        <w:rPr>
          <w:sz w:val="20"/>
          <w:szCs w:val="20"/>
        </w:rPr>
        <w:t xml:space="preserve"> (2nd edn, Pitman, London, 1957) 3; Owen H Phillips and Paul Jackson, </w:t>
      </w:r>
      <w:r w:rsidRPr="006F0999">
        <w:rPr>
          <w:i/>
          <w:sz w:val="20"/>
          <w:szCs w:val="20"/>
        </w:rPr>
        <w:t xml:space="preserve">Constitutional and Administrative Law </w:t>
      </w:r>
      <w:r w:rsidRPr="006F0999">
        <w:rPr>
          <w:sz w:val="20"/>
          <w:szCs w:val="20"/>
        </w:rPr>
        <w:t>(7th edn, Sweet &amp; Maxwell, London, 1987) 10, 31.</w:t>
      </w:r>
    </w:p>
  </w:footnote>
  <w:footnote w:id="19">
    <w:p w14:paraId="6B42D940"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According to Wade’s influential definition, the focus of ‘administrative law’ lies with judicial remedies and administrative procedural law (e.g., judicial review). See William Wade and Christopher F Forsyth, </w:t>
      </w:r>
      <w:r w:rsidRPr="006F0999">
        <w:rPr>
          <w:i/>
          <w:sz w:val="20"/>
          <w:szCs w:val="20"/>
        </w:rPr>
        <w:t>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_Ref401127278 \h  \* MERGEFORMAT </w:instrText>
      </w:r>
      <w:r w:rsidRPr="006F0999">
        <w:rPr>
          <w:sz w:val="20"/>
          <w:szCs w:val="20"/>
        </w:rPr>
      </w:r>
      <w:r w:rsidRPr="006F0999">
        <w:rPr>
          <w:sz w:val="20"/>
          <w:szCs w:val="20"/>
        </w:rPr>
        <w:fldChar w:fldCharType="separate"/>
      </w:r>
      <w:r w:rsidRPr="006F0999">
        <w:rPr>
          <w:sz w:val="20"/>
          <w:szCs w:val="20"/>
        </w:rPr>
        <w:t>14</w:t>
      </w:r>
      <w:r w:rsidRPr="006F0999">
        <w:rPr>
          <w:sz w:val="20"/>
          <w:szCs w:val="20"/>
        </w:rPr>
        <w:fldChar w:fldCharType="end"/>
      </w:r>
      <w:r w:rsidRPr="006F0999">
        <w:rPr>
          <w:sz w:val="20"/>
          <w:szCs w:val="20"/>
        </w:rPr>
        <w:t>) 4 ff; Mark Elliott,</w:t>
      </w:r>
      <w:r w:rsidRPr="006F0999">
        <w:rPr>
          <w:b/>
          <w:bCs/>
          <w:color w:val="000000"/>
          <w:sz w:val="20"/>
          <w:szCs w:val="20"/>
        </w:rPr>
        <w:t xml:space="preserve"> </w:t>
      </w:r>
      <w:hyperlink r:id="rId7" w:history="1">
        <w:r w:rsidRPr="006F0999">
          <w:rPr>
            <w:i/>
            <w:sz w:val="20"/>
            <w:szCs w:val="20"/>
          </w:rPr>
          <w:t>Beatson, Matthews and Elliot</w:t>
        </w:r>
      </w:hyperlink>
      <w:r w:rsidRPr="006F0999">
        <w:rPr>
          <w:i/>
          <w:sz w:val="20"/>
          <w:szCs w:val="20"/>
        </w:rPr>
        <w:t>’s Administrative Law: Text and Materials</w:t>
      </w:r>
      <w:r w:rsidRPr="006F0999">
        <w:rPr>
          <w:sz w:val="20"/>
          <w:szCs w:val="20"/>
        </w:rPr>
        <w:t xml:space="preserve"> (4th edn, OUP, Oxford, 2011); Peter Cane, </w:t>
      </w:r>
      <w:r w:rsidRPr="006F0999">
        <w:rPr>
          <w:i/>
          <w:sz w:val="20"/>
          <w:szCs w:val="20"/>
        </w:rPr>
        <w:t>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_Ref420682295 \h  \* MERGEFORMAT </w:instrText>
      </w:r>
      <w:r w:rsidRPr="006F0999">
        <w:rPr>
          <w:sz w:val="20"/>
          <w:szCs w:val="20"/>
        </w:rPr>
      </w:r>
      <w:r w:rsidRPr="006F0999">
        <w:rPr>
          <w:sz w:val="20"/>
          <w:szCs w:val="20"/>
        </w:rPr>
        <w:fldChar w:fldCharType="separate"/>
      </w:r>
      <w:r w:rsidRPr="006F0999">
        <w:rPr>
          <w:sz w:val="20"/>
          <w:szCs w:val="20"/>
        </w:rPr>
        <w:t>15</w:t>
      </w:r>
      <w:r w:rsidRPr="006F0999">
        <w:rPr>
          <w:sz w:val="20"/>
          <w:szCs w:val="20"/>
        </w:rPr>
        <w:fldChar w:fldCharType="end"/>
      </w:r>
      <w:r w:rsidRPr="006F0999">
        <w:rPr>
          <w:sz w:val="20"/>
          <w:szCs w:val="20"/>
        </w:rPr>
        <w:t xml:space="preserve">) 1 ff. Questions regarding the organization of administrative authorities are supposed to be dealt with by scholars of constitutional law. On the contrary, the latter topic is included in the province of administrative law by Cane in the 5th edition of his textbook: administrative law is supposed to focus primarily on the executive, whereas constitutional law deals with all three functions of the State. See Peter Cane, </w:t>
      </w:r>
      <w:r w:rsidRPr="006F0999">
        <w:rPr>
          <w:i/>
          <w:sz w:val="20"/>
          <w:szCs w:val="20"/>
        </w:rPr>
        <w:t>Administrative Law,</w:t>
      </w:r>
      <w:r w:rsidRPr="006F0999">
        <w:rPr>
          <w:sz w:val="20"/>
          <w:szCs w:val="20"/>
        </w:rPr>
        <w:t xml:space="preserve"> 5th edn (n </w:t>
      </w:r>
      <w:r w:rsidRPr="006F0999">
        <w:rPr>
          <w:sz w:val="20"/>
          <w:szCs w:val="20"/>
        </w:rPr>
        <w:fldChar w:fldCharType="begin"/>
      </w:r>
      <w:r w:rsidRPr="006F0999">
        <w:rPr>
          <w:sz w:val="20"/>
          <w:szCs w:val="20"/>
        </w:rPr>
        <w:instrText xml:space="preserve"> NOTEREF _Ref420682295 \h  \* MERGEFORMAT </w:instrText>
      </w:r>
      <w:r w:rsidRPr="006F0999">
        <w:rPr>
          <w:sz w:val="20"/>
          <w:szCs w:val="20"/>
        </w:rPr>
      </w:r>
      <w:r w:rsidRPr="006F0999">
        <w:rPr>
          <w:sz w:val="20"/>
          <w:szCs w:val="20"/>
        </w:rPr>
        <w:fldChar w:fldCharType="separate"/>
      </w:r>
      <w:r w:rsidRPr="006F0999">
        <w:rPr>
          <w:sz w:val="20"/>
          <w:szCs w:val="20"/>
        </w:rPr>
        <w:t>15</w:t>
      </w:r>
      <w:r w:rsidRPr="006F0999">
        <w:rPr>
          <w:sz w:val="20"/>
          <w:szCs w:val="20"/>
        </w:rPr>
        <w:fldChar w:fldCharType="end"/>
      </w:r>
      <w:r w:rsidRPr="006F0999">
        <w:rPr>
          <w:sz w:val="20"/>
          <w:szCs w:val="20"/>
        </w:rPr>
        <w:t xml:space="preserve">) 3 f. The criterion used by Stanley A de Smith and Rodney Brazier, </w:t>
      </w:r>
      <w:r w:rsidRPr="006F0999">
        <w:rPr>
          <w:i/>
          <w:sz w:val="20"/>
          <w:szCs w:val="20"/>
        </w:rPr>
        <w:t>Constitutional and 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_Ref420682394 \h  \* MERGEFORMAT </w:instrText>
      </w:r>
      <w:r w:rsidRPr="006F0999">
        <w:rPr>
          <w:sz w:val="20"/>
          <w:szCs w:val="20"/>
        </w:rPr>
      </w:r>
      <w:r w:rsidRPr="006F0999">
        <w:rPr>
          <w:sz w:val="20"/>
          <w:szCs w:val="20"/>
        </w:rPr>
        <w:fldChar w:fldCharType="separate"/>
      </w:r>
      <w:r w:rsidRPr="006F0999">
        <w:rPr>
          <w:sz w:val="20"/>
          <w:szCs w:val="20"/>
        </w:rPr>
        <w:t>13</w:t>
      </w:r>
      <w:r w:rsidRPr="006F0999">
        <w:rPr>
          <w:sz w:val="20"/>
          <w:szCs w:val="20"/>
        </w:rPr>
        <w:fldChar w:fldCharType="end"/>
      </w:r>
      <w:r w:rsidRPr="006F0999">
        <w:rPr>
          <w:sz w:val="20"/>
          <w:szCs w:val="20"/>
        </w:rPr>
        <w:t xml:space="preserve">) 503, is the distinction between legislation and implementation. For Paul Craig, </w:t>
      </w:r>
      <w:r w:rsidRPr="006F0999">
        <w:rPr>
          <w:i/>
          <w:sz w:val="20"/>
          <w:szCs w:val="20"/>
        </w:rPr>
        <w:t>Administrative Law</w:t>
      </w:r>
      <w:r w:rsidRPr="006F0999">
        <w:rPr>
          <w:sz w:val="20"/>
          <w:szCs w:val="20"/>
        </w:rPr>
        <w:t xml:space="preserve"> (7th edn,</w:t>
      </w:r>
      <w:r w:rsidRPr="006F0999" w:rsidDel="007D4907">
        <w:rPr>
          <w:sz w:val="20"/>
          <w:szCs w:val="20"/>
        </w:rPr>
        <w:t xml:space="preserve"> </w:t>
      </w:r>
      <w:r w:rsidRPr="006F0999">
        <w:rPr>
          <w:sz w:val="20"/>
          <w:szCs w:val="20"/>
        </w:rPr>
        <w:t>Sweet &amp; Maxwell, London, 2012), however, the scope of administrative law is much broader and the transition to constitutional law and political theory is very fluid.</w:t>
      </w:r>
    </w:p>
  </w:footnote>
  <w:footnote w:id="20">
    <w:p w14:paraId="7E95651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example, David Feldman (ed), </w:t>
      </w:r>
      <w:r w:rsidRPr="006F0999">
        <w:rPr>
          <w:i/>
          <w:sz w:val="20"/>
          <w:szCs w:val="20"/>
        </w:rPr>
        <w:t>English Public Law</w:t>
      </w:r>
      <w:r w:rsidRPr="006F0999">
        <w:rPr>
          <w:sz w:val="20"/>
          <w:szCs w:val="20"/>
        </w:rPr>
        <w:t xml:space="preserve"> (2nd edn, OUP, Oxford, 2009); Andrew Le Sueur, Maurice Sunkin and Jo Murkens, </w:t>
      </w:r>
      <w:r w:rsidRPr="006F0999">
        <w:rPr>
          <w:i/>
          <w:sz w:val="20"/>
          <w:szCs w:val="20"/>
        </w:rPr>
        <w:t>Public Law</w:t>
      </w:r>
      <w:r w:rsidRPr="006F0999">
        <w:rPr>
          <w:sz w:val="20"/>
          <w:szCs w:val="20"/>
        </w:rPr>
        <w:t xml:space="preserve"> (2nd edn, OUP, Oxford, 2013); John F McEldowney, </w:t>
      </w:r>
      <w:r w:rsidRPr="006F0999">
        <w:rPr>
          <w:i/>
          <w:sz w:val="20"/>
          <w:szCs w:val="20"/>
        </w:rPr>
        <w:t>Public Law</w:t>
      </w:r>
      <w:r w:rsidRPr="006F0999">
        <w:rPr>
          <w:sz w:val="20"/>
          <w:szCs w:val="20"/>
        </w:rPr>
        <w:t xml:space="preserve"> (3rd edn, Sweet &amp; Maxwell, London, 2002); Martin Loughlin, </w:t>
      </w:r>
      <w:r w:rsidRPr="006F0999">
        <w:rPr>
          <w:i/>
          <w:sz w:val="20"/>
          <w:szCs w:val="20"/>
        </w:rPr>
        <w:t>Foundations of Public Law</w:t>
      </w:r>
      <w:r w:rsidRPr="006F0999">
        <w:rPr>
          <w:sz w:val="20"/>
          <w:szCs w:val="20"/>
        </w:rPr>
        <w:t xml:space="preserve"> (OUP, Oxford, 2010).</w:t>
      </w:r>
    </w:p>
  </w:footnote>
  <w:footnote w:id="21">
    <w:p w14:paraId="4454BC90"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Peter Cane, </w:t>
      </w:r>
      <w:r w:rsidRPr="006F0999">
        <w:rPr>
          <w:i/>
          <w:sz w:val="20"/>
          <w:szCs w:val="20"/>
        </w:rPr>
        <w:t>Administrative Law</w:t>
      </w:r>
      <w:r w:rsidRPr="006F0999">
        <w:rPr>
          <w:sz w:val="20"/>
          <w:szCs w:val="20"/>
        </w:rPr>
        <w:t xml:space="preserve">, 5th edn (n </w:t>
      </w:r>
      <w:r w:rsidRPr="006F0999">
        <w:rPr>
          <w:sz w:val="20"/>
          <w:szCs w:val="20"/>
        </w:rPr>
        <w:fldChar w:fldCharType="begin"/>
      </w:r>
      <w:r w:rsidRPr="006F0999">
        <w:rPr>
          <w:sz w:val="20"/>
          <w:szCs w:val="20"/>
        </w:rPr>
        <w:instrText xml:space="preserve"> NOTEREF _Ref420682295 \h  \* MERGEFORMAT </w:instrText>
      </w:r>
      <w:r w:rsidRPr="006F0999">
        <w:rPr>
          <w:sz w:val="20"/>
          <w:szCs w:val="20"/>
        </w:rPr>
      </w:r>
      <w:r w:rsidRPr="006F0999">
        <w:rPr>
          <w:sz w:val="20"/>
          <w:szCs w:val="20"/>
        </w:rPr>
        <w:fldChar w:fldCharType="separate"/>
      </w:r>
      <w:r w:rsidRPr="006F0999">
        <w:rPr>
          <w:sz w:val="20"/>
          <w:szCs w:val="20"/>
        </w:rPr>
        <w:t>15</w:t>
      </w:r>
      <w:r w:rsidRPr="006F0999">
        <w:rPr>
          <w:sz w:val="20"/>
          <w:szCs w:val="20"/>
        </w:rPr>
        <w:fldChar w:fldCharType="end"/>
      </w:r>
      <w:r w:rsidRPr="006F0999">
        <w:rPr>
          <w:sz w:val="20"/>
          <w:szCs w:val="20"/>
        </w:rPr>
        <w:t>) 3.</w:t>
      </w:r>
    </w:p>
  </w:footnote>
  <w:footnote w:id="22">
    <w:p w14:paraId="01D2AE9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Aidan O’Neill’s analysis in the contribution ‘Parliamentary Sovereignty and the Judicial Review of Legislation’, in Aileen McHarg and Tom Mullen (eds), </w:t>
      </w:r>
      <w:r w:rsidRPr="006F0999">
        <w:rPr>
          <w:i/>
          <w:sz w:val="20"/>
          <w:szCs w:val="20"/>
        </w:rPr>
        <w:t>Public Law in Scotland</w:t>
      </w:r>
      <w:r w:rsidRPr="006F0999">
        <w:rPr>
          <w:sz w:val="20"/>
          <w:szCs w:val="20"/>
        </w:rPr>
        <w:t xml:space="preserve"> (n </w:t>
      </w:r>
      <w:r w:rsidRPr="006F0999">
        <w:rPr>
          <w:sz w:val="20"/>
          <w:szCs w:val="20"/>
        </w:rPr>
        <w:fldChar w:fldCharType="begin"/>
      </w:r>
      <w:r w:rsidRPr="006F0999">
        <w:rPr>
          <w:sz w:val="20"/>
          <w:szCs w:val="20"/>
        </w:rPr>
        <w:instrText xml:space="preserve"> NOTEREF _Ref420682583 \h  \* MERGEFORMAT </w:instrText>
      </w:r>
      <w:r w:rsidRPr="006F0999">
        <w:rPr>
          <w:sz w:val="20"/>
          <w:szCs w:val="20"/>
        </w:rPr>
      </w:r>
      <w:r w:rsidRPr="006F0999">
        <w:rPr>
          <w:sz w:val="20"/>
          <w:szCs w:val="20"/>
        </w:rPr>
        <w:fldChar w:fldCharType="separate"/>
      </w:r>
      <w:r w:rsidRPr="006F0999">
        <w:rPr>
          <w:sz w:val="20"/>
          <w:szCs w:val="20"/>
        </w:rPr>
        <w:t>12</w:t>
      </w:r>
      <w:r w:rsidRPr="006F0999">
        <w:rPr>
          <w:sz w:val="20"/>
          <w:szCs w:val="20"/>
        </w:rPr>
        <w:fldChar w:fldCharType="end"/>
      </w:r>
      <w:r w:rsidRPr="006F0999">
        <w:rPr>
          <w:sz w:val="20"/>
          <w:szCs w:val="20"/>
        </w:rPr>
        <w:t>) 197, 198 ff, with the following quote from Lord Donald Nicholls: ‘In all cases development of the common law, as a response to changed conditions, does not come like a bolt out of a clear sky. Invariably the clouds gather first, often from different quarters, indicating with increasing obviousness what is coming […]’ at page 200.</w:t>
      </w:r>
    </w:p>
  </w:footnote>
  <w:footnote w:id="23">
    <w:p w14:paraId="0A818FC2"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Fritz Werner, ‘Verwaltungsrecht als konkretisiertes Verfassungsrecht’ (1959) 74 DVBl 527.</w:t>
      </w:r>
    </w:p>
  </w:footnote>
  <w:footnote w:id="24">
    <w:p w14:paraId="2774CD56" w14:textId="2D2E5DED"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lang w:val="fr-FR"/>
        </w:rPr>
        <w:t xml:space="preserve"> Georges Vedel, ‘L’unité du droit. Aspects généraux et théoriques’, in Jean Bernard Auby and others (eds),</w:t>
      </w:r>
      <w:r w:rsidRPr="006F0999" w:rsidDel="001C5213">
        <w:rPr>
          <w:sz w:val="20"/>
          <w:szCs w:val="20"/>
          <w:lang w:val="fr-FR"/>
        </w:rPr>
        <w:t xml:space="preserve"> </w:t>
      </w:r>
      <w:r w:rsidRPr="003E4301">
        <w:rPr>
          <w:i/>
          <w:sz w:val="20"/>
          <w:szCs w:val="20"/>
          <w:lang w:val="fr-FR"/>
        </w:rPr>
        <w:t>L’Unité du Droit.</w:t>
      </w:r>
      <w:r>
        <w:rPr>
          <w:sz w:val="20"/>
          <w:szCs w:val="20"/>
          <w:lang w:val="fr-FR"/>
        </w:rPr>
        <w:t xml:space="preserve"> </w:t>
      </w:r>
      <w:r w:rsidRPr="006F0999">
        <w:rPr>
          <w:i/>
          <w:sz w:val="20"/>
          <w:szCs w:val="20"/>
          <w:lang w:val="fr-FR"/>
        </w:rPr>
        <w:t xml:space="preserve">Mélanges </w:t>
      </w:r>
      <w:r>
        <w:rPr>
          <w:i/>
          <w:sz w:val="20"/>
          <w:szCs w:val="20"/>
          <w:lang w:val="fr-FR"/>
        </w:rPr>
        <w:t xml:space="preserve">en hommage à </w:t>
      </w:r>
      <w:r w:rsidRPr="006F0999">
        <w:rPr>
          <w:i/>
          <w:sz w:val="20"/>
          <w:szCs w:val="20"/>
          <w:lang w:val="fr-FR"/>
        </w:rPr>
        <w:t>Roland Drago</w:t>
      </w:r>
      <w:r w:rsidRPr="006F0999">
        <w:rPr>
          <w:sz w:val="20"/>
          <w:szCs w:val="20"/>
          <w:lang w:val="fr-FR"/>
        </w:rPr>
        <w:t xml:space="preserve"> (Economica, Paris, 1996) 8. See also Georges Vedel, ‘Preface’, in Bernard Stirn, </w:t>
      </w:r>
      <w:r w:rsidRPr="006F0999">
        <w:rPr>
          <w:i/>
          <w:sz w:val="20"/>
          <w:szCs w:val="20"/>
          <w:lang w:val="fr-FR"/>
        </w:rPr>
        <w:t>Les sources constitutionnelles du droit administratif</w:t>
      </w:r>
      <w:r w:rsidRPr="006F0999">
        <w:rPr>
          <w:sz w:val="20"/>
          <w:szCs w:val="20"/>
          <w:lang w:val="fr-FR"/>
        </w:rPr>
        <w:t xml:space="preserve"> (3rd edn, LGDJ, Paris, 1999), reprinted in the 8th edn (LGDJ, Paris, 2014) 7. </w:t>
      </w:r>
      <w:r w:rsidRPr="006F0999">
        <w:rPr>
          <w:sz w:val="20"/>
          <w:szCs w:val="20"/>
        </w:rPr>
        <w:t xml:space="preserve">The English phrase ‘administratization of constitutional law’ seems to be used, for the first time, by </w:t>
      </w:r>
      <w:r w:rsidRPr="006F0999">
        <w:rPr>
          <w:rStyle w:val="addmd"/>
          <w:rFonts w:eastAsiaTheme="majorEastAsia"/>
          <w:sz w:val="20"/>
          <w:szCs w:val="20"/>
        </w:rPr>
        <w:t>Moshe Cohen-Eliya,</w:t>
      </w:r>
      <w:r>
        <w:rPr>
          <w:rStyle w:val="addmd"/>
          <w:rFonts w:eastAsiaTheme="majorEastAsia"/>
          <w:sz w:val="20"/>
          <w:szCs w:val="20"/>
        </w:rPr>
        <w:t xml:space="preserve"> and</w:t>
      </w:r>
      <w:r w:rsidRPr="006F0999">
        <w:rPr>
          <w:rStyle w:val="addmd"/>
          <w:rFonts w:eastAsiaTheme="majorEastAsia"/>
          <w:sz w:val="20"/>
          <w:szCs w:val="20"/>
        </w:rPr>
        <w:t xml:space="preserve"> Iddo Porat, </w:t>
      </w:r>
      <w:r w:rsidRPr="006F0999">
        <w:rPr>
          <w:rFonts w:eastAsiaTheme="majorEastAsia"/>
          <w:bCs/>
          <w:i/>
          <w:sz w:val="20"/>
          <w:szCs w:val="20"/>
        </w:rPr>
        <w:t>Proportionality and Constitutional Culture</w:t>
      </w:r>
      <w:r w:rsidRPr="006F0999">
        <w:rPr>
          <w:rFonts w:eastAsiaTheme="majorEastAsia"/>
          <w:bCs/>
          <w:sz w:val="20"/>
          <w:szCs w:val="20"/>
        </w:rPr>
        <w:t xml:space="preserve"> (CUP, Cambridge, 2013) </w:t>
      </w:r>
      <w:r w:rsidRPr="006F0999">
        <w:rPr>
          <w:sz w:val="20"/>
          <w:szCs w:val="20"/>
        </w:rPr>
        <w:t>129 f.</w:t>
      </w:r>
    </w:p>
  </w:footnote>
  <w:footnote w:id="25">
    <w:p w14:paraId="46F62E2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qualification (‘</w:t>
      </w:r>
      <w:r w:rsidRPr="006F0999">
        <w:rPr>
          <w:i/>
          <w:sz w:val="20"/>
          <w:szCs w:val="20"/>
        </w:rPr>
        <w:t>geflügelte Wörter</w:t>
      </w:r>
      <w:r w:rsidRPr="006F0999">
        <w:rPr>
          <w:sz w:val="20"/>
          <w:szCs w:val="20"/>
        </w:rPr>
        <w:t>’) is commonly used by German scholars when quoting the famous dictum of Otto Mayer.</w:t>
      </w:r>
    </w:p>
  </w:footnote>
  <w:footnote w:id="26">
    <w:p w14:paraId="6D54870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Add private law to this and it becomes a ‘Three World Thesis’. The distinction is, at a minimum, still latently present in current literature.</w:t>
      </w:r>
    </w:p>
  </w:footnote>
  <w:footnote w:id="27">
    <w:p w14:paraId="5ECD3ABC" w14:textId="77777777" w:rsidR="0089313D" w:rsidRPr="006F0999" w:rsidRDefault="0089313D" w:rsidP="00DE2EDF">
      <w:pPr>
        <w:pStyle w:val="NoSpacing"/>
        <w:spacing w:line="276" w:lineRule="auto"/>
        <w:jc w:val="both"/>
        <w:rPr>
          <w:rFonts w:cs="Times New Roman"/>
          <w:sz w:val="20"/>
          <w:szCs w:val="20"/>
          <w:lang w:val="es-ES"/>
        </w:rPr>
      </w:pPr>
      <w:r w:rsidRPr="006F0999">
        <w:rPr>
          <w:rStyle w:val="FootnoteReference"/>
          <w:rFonts w:cs="Times New Roman"/>
          <w:sz w:val="20"/>
          <w:szCs w:val="20"/>
        </w:rPr>
        <w:footnoteRef/>
      </w:r>
      <w:r w:rsidRPr="006F0999">
        <w:rPr>
          <w:rFonts w:cs="Times New Roman"/>
          <w:sz w:val="20"/>
          <w:szCs w:val="20"/>
        </w:rPr>
        <w:t xml:space="preserve"> In contrast, all major Spanish legal academics of the nineteenth and </w:t>
      </w:r>
      <w:r w:rsidRPr="006F0999">
        <w:rPr>
          <w:rFonts w:cs="Times New Roman"/>
          <w:sz w:val="20"/>
          <w:szCs w:val="20"/>
        </w:rPr>
        <w:tab/>
        <w:t xml:space="preserve">twentieth century paid at least lip service to the classic theory of the constitutional foundations of administrative law. </w:t>
      </w:r>
      <w:r w:rsidRPr="006F0999">
        <w:rPr>
          <w:rFonts w:cs="Times New Roman"/>
          <w:sz w:val="20"/>
          <w:szCs w:val="20"/>
          <w:lang w:val="es-ES"/>
        </w:rPr>
        <w:t xml:space="preserve">On this issue, see Alfredo Gallego Anabitarte, </w:t>
      </w:r>
      <w:r w:rsidRPr="006F0999">
        <w:rPr>
          <w:rFonts w:cs="Times New Roman"/>
          <w:i/>
          <w:sz w:val="20"/>
          <w:szCs w:val="20"/>
          <w:lang w:val="es-ES"/>
        </w:rPr>
        <w:t>Formación y enseñanza del derecho público en España (1769–2000). Un ensayo crítico</w:t>
      </w:r>
      <w:r w:rsidRPr="006F0999">
        <w:rPr>
          <w:rFonts w:cs="Times New Roman"/>
          <w:sz w:val="20"/>
          <w:szCs w:val="20"/>
          <w:lang w:val="es-ES"/>
        </w:rPr>
        <w:t xml:space="preserve"> (Pons, Madrid, 2002); see below D.</w:t>
      </w:r>
    </w:p>
  </w:footnote>
  <w:footnote w:id="28">
    <w:p w14:paraId="02532FD1" w14:textId="77777777" w:rsidR="0089313D" w:rsidRPr="00F725A9" w:rsidRDefault="0089313D" w:rsidP="00DE2EDF">
      <w:pPr>
        <w:pStyle w:val="FootnoteText"/>
        <w:spacing w:line="276" w:lineRule="auto"/>
        <w:rPr>
          <w:sz w:val="20"/>
          <w:szCs w:val="20"/>
          <w:lang w:val="es-ES"/>
        </w:rPr>
      </w:pPr>
      <w:r w:rsidRPr="006F0999">
        <w:rPr>
          <w:rStyle w:val="FootnoteReference"/>
          <w:sz w:val="20"/>
          <w:szCs w:val="20"/>
        </w:rPr>
        <w:footnoteRef/>
      </w:r>
      <w:r w:rsidRPr="00F725A9">
        <w:rPr>
          <w:sz w:val="20"/>
          <w:szCs w:val="20"/>
          <w:lang w:val="es-ES"/>
        </w:rPr>
        <w:t xml:space="preserve"> Otto Mayer, </w:t>
      </w:r>
      <w:r w:rsidRPr="00F725A9">
        <w:rPr>
          <w:i/>
          <w:sz w:val="20"/>
          <w:szCs w:val="20"/>
          <w:lang w:val="es-ES"/>
        </w:rPr>
        <w:t>Theorie des französischen Verwaltungsrechts</w:t>
      </w:r>
      <w:r w:rsidRPr="00F725A9">
        <w:rPr>
          <w:sz w:val="20"/>
          <w:szCs w:val="20"/>
          <w:lang w:val="es-ES"/>
        </w:rPr>
        <w:t xml:space="preserve"> (Trübner, Strasbourg, 1886) 3; Otto Mayer, </w:t>
      </w:r>
      <w:r w:rsidRPr="00F725A9">
        <w:rPr>
          <w:i/>
          <w:sz w:val="20"/>
          <w:szCs w:val="20"/>
          <w:lang w:val="es-ES"/>
        </w:rPr>
        <w:t>Droit administratif allemand</w:t>
      </w:r>
      <w:r w:rsidRPr="00F725A9">
        <w:rPr>
          <w:sz w:val="20"/>
          <w:szCs w:val="20"/>
          <w:lang w:val="es-ES"/>
        </w:rPr>
        <w:t>, vol 1 (Giard &amp; Brière, Paris, 1903) 86.</w:t>
      </w:r>
    </w:p>
  </w:footnote>
  <w:footnote w:id="29">
    <w:p w14:paraId="4C5E1F85"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Théophile Ducrocq, </w:t>
      </w:r>
      <w:r w:rsidRPr="006F0999">
        <w:rPr>
          <w:i/>
          <w:sz w:val="20"/>
          <w:szCs w:val="20"/>
        </w:rPr>
        <w:t>Cours de droit administratif</w:t>
      </w:r>
      <w:r w:rsidRPr="006F0999">
        <w:rPr>
          <w:sz w:val="20"/>
          <w:szCs w:val="20"/>
        </w:rPr>
        <w:t xml:space="preserve"> (4th edn, Ernest Thorin, Paris, 1874) 5 [= 5th edn, Ernest Thorin, Paris, 1877, 13].</w:t>
      </w:r>
    </w:p>
  </w:footnote>
  <w:footnote w:id="30">
    <w:p w14:paraId="51EC0CCE" w14:textId="77777777" w:rsidR="0089313D" w:rsidRPr="00F725A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interpretation of the French history was already hinted at by Alexis de Tocqueville. </w:t>
      </w:r>
      <w:r w:rsidRPr="006F0999">
        <w:rPr>
          <w:sz w:val="20"/>
          <w:szCs w:val="20"/>
          <w:lang w:val="fr-FR"/>
        </w:rPr>
        <w:t xml:space="preserve">In his famous work </w:t>
      </w:r>
      <w:r w:rsidRPr="006F0999">
        <w:rPr>
          <w:i/>
          <w:sz w:val="20"/>
          <w:szCs w:val="20"/>
          <w:lang w:val="fr-FR"/>
        </w:rPr>
        <w:t>L’Ancien Régime et la Révolution</w:t>
      </w:r>
      <w:r w:rsidRPr="006F0999">
        <w:rPr>
          <w:sz w:val="20"/>
          <w:szCs w:val="20"/>
          <w:lang w:val="fr-FR"/>
        </w:rPr>
        <w:t xml:space="preserve"> (chapter 7, </w:t>
      </w:r>
      <w:r w:rsidRPr="006F0999">
        <w:rPr>
          <w:i/>
          <w:sz w:val="20"/>
          <w:szCs w:val="20"/>
          <w:lang w:val="fr-FR"/>
        </w:rPr>
        <w:t>in fine</w:t>
      </w:r>
      <w:r w:rsidRPr="006F0999">
        <w:rPr>
          <w:sz w:val="20"/>
          <w:szCs w:val="20"/>
          <w:lang w:val="fr-FR"/>
        </w:rPr>
        <w:t>), he stated: ‘</w:t>
      </w:r>
      <w:r w:rsidRPr="006F0999">
        <w:rPr>
          <w:i/>
          <w:sz w:val="20"/>
          <w:szCs w:val="20"/>
          <w:lang w:val="fr-FR"/>
        </w:rPr>
        <w:t>Depuis [17]89, la constitution administrative est toujours restée debout au milieu des ruines des constitutions politiques.</w:t>
      </w:r>
      <w:r w:rsidRPr="006F0999">
        <w:rPr>
          <w:sz w:val="20"/>
          <w:szCs w:val="20"/>
          <w:lang w:val="fr-FR"/>
        </w:rPr>
        <w:t xml:space="preserve">’ It was later systematized by Georges Vedel, ‘Discontinuité du droit constitutionnel et continuité du droit administratif: le rôle du juge’ in </w:t>
      </w:r>
      <w:r w:rsidRPr="006F0999">
        <w:rPr>
          <w:i/>
          <w:sz w:val="20"/>
          <w:szCs w:val="20"/>
          <w:lang w:val="fr-FR"/>
        </w:rPr>
        <w:t>Mélanges offerts à Marcel Waline: le juge et le droit public</w:t>
      </w:r>
      <w:r w:rsidRPr="006F0999">
        <w:rPr>
          <w:sz w:val="20"/>
          <w:szCs w:val="20"/>
          <w:lang w:val="fr-FR"/>
        </w:rPr>
        <w:t xml:space="preserve">, vol 2 (LGDJ, Paris, 1974) 777 ff. Yet it was not as self-evident as Mayer claimed. </w:t>
      </w:r>
      <w:r w:rsidRPr="006F0999">
        <w:rPr>
          <w:sz w:val="20"/>
          <w:szCs w:val="20"/>
        </w:rPr>
        <w:t xml:space="preserve">Today, French legal historians reject the soundness of this view. </w:t>
      </w:r>
      <w:r w:rsidRPr="006F0999">
        <w:rPr>
          <w:sz w:val="20"/>
          <w:szCs w:val="20"/>
          <w:lang w:val="fr-FR"/>
        </w:rPr>
        <w:t xml:space="preserve">See Grégoire Bigot, </w:t>
      </w:r>
      <w:r w:rsidRPr="006F0999">
        <w:rPr>
          <w:i/>
          <w:sz w:val="20"/>
          <w:szCs w:val="20"/>
          <w:lang w:val="fr-FR"/>
        </w:rPr>
        <w:t>Introduction historique au droit admininstratif depuis 1789</w:t>
      </w:r>
      <w:r w:rsidRPr="006F0999">
        <w:rPr>
          <w:sz w:val="20"/>
          <w:szCs w:val="20"/>
          <w:lang w:val="fr-FR"/>
        </w:rPr>
        <w:t xml:space="preserve"> (PUF, Paris, 2002) 356. </w:t>
      </w:r>
      <w:r w:rsidRPr="006F0999">
        <w:rPr>
          <w:sz w:val="20"/>
          <w:szCs w:val="20"/>
        </w:rPr>
        <w:t xml:space="preserve">The thesis of the stability of administrative law was already criticized in the nineteenth century. See Anselme Batbie, </w:t>
      </w:r>
      <w:r w:rsidRPr="006F0999">
        <w:rPr>
          <w:i/>
          <w:sz w:val="20"/>
          <w:szCs w:val="20"/>
        </w:rPr>
        <w:t>Traité théorique et pratique du droit public et administrative</w:t>
      </w:r>
      <w:r w:rsidRPr="006F0999">
        <w:rPr>
          <w:sz w:val="20"/>
          <w:szCs w:val="20"/>
        </w:rPr>
        <w:t xml:space="preserve">, vol 2 (2nd edn, Cotillon, Paris, 1885) v: ‘A revolution [1870] has overturned the political institutions, but it is hard to imagine that a change of constitutional law would not impact administrative law’. See also Adèle G D Bouchené-Lefer, </w:t>
      </w:r>
      <w:r w:rsidRPr="006F0999">
        <w:rPr>
          <w:i/>
          <w:sz w:val="20"/>
          <w:szCs w:val="20"/>
        </w:rPr>
        <w:t>Principes et notions élémentaires du droit public-administratif</w:t>
      </w:r>
      <w:r w:rsidRPr="006F0999">
        <w:rPr>
          <w:sz w:val="20"/>
          <w:szCs w:val="20"/>
        </w:rPr>
        <w:t xml:space="preserve"> (Cosse et Marchal, Paris, 1862) 40 ff, who showed that, despite the upheavals, a certain continuity in the constitutional foundations of administrative law existed.</w:t>
      </w:r>
    </w:p>
  </w:footnote>
  <w:footnote w:id="31">
    <w:p w14:paraId="67B4235C"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Andreas Auer, ‘Droit constitutionnel et droit administratif’, in Jean-François Aubert (ed), </w:t>
      </w:r>
      <w:r w:rsidRPr="006F0999">
        <w:rPr>
          <w:i/>
          <w:sz w:val="20"/>
          <w:szCs w:val="20"/>
          <w:lang w:val="fr-FR"/>
        </w:rPr>
        <w:t>Mélanges André Grisel</w:t>
      </w:r>
      <w:r w:rsidRPr="006F0999">
        <w:rPr>
          <w:sz w:val="20"/>
          <w:szCs w:val="20"/>
          <w:lang w:val="fr-FR"/>
        </w:rPr>
        <w:t xml:space="preserve"> (Ides et Calendes, Neuchâtel, 1983) 23, referring to Jean Étienne Marie Portalis, </w:t>
      </w:r>
      <w:r w:rsidRPr="006F0999">
        <w:rPr>
          <w:i/>
          <w:sz w:val="20"/>
          <w:szCs w:val="20"/>
          <w:lang w:val="fr-FR"/>
        </w:rPr>
        <w:t>Discours préliminaire du premier projet du Code civil</w:t>
      </w:r>
      <w:r w:rsidRPr="006F0999">
        <w:rPr>
          <w:sz w:val="20"/>
          <w:szCs w:val="20"/>
          <w:lang w:val="fr-FR"/>
        </w:rPr>
        <w:t>, 1801 (‘</w:t>
      </w:r>
      <w:r w:rsidRPr="006F0999">
        <w:rPr>
          <w:i/>
          <w:sz w:val="20"/>
          <w:szCs w:val="20"/>
          <w:lang w:val="fr-FR"/>
        </w:rPr>
        <w:t>Le droit public passe, le droit privé demeure</w:t>
      </w:r>
      <w:r w:rsidRPr="006F0999">
        <w:rPr>
          <w:sz w:val="20"/>
          <w:szCs w:val="20"/>
          <w:lang w:val="fr-FR"/>
        </w:rPr>
        <w:t xml:space="preserve">.’) </w:t>
      </w:r>
    </w:p>
  </w:footnote>
  <w:footnote w:id="32">
    <w:p w14:paraId="04BD692D"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Michael Stolleis, </w:t>
      </w:r>
      <w:r w:rsidRPr="006F0999">
        <w:rPr>
          <w:i/>
          <w:sz w:val="20"/>
          <w:szCs w:val="20"/>
          <w:lang w:val="de-DE"/>
        </w:rPr>
        <w:t>Geschichte des öffentlichen Rechts in Deutschland</w:t>
      </w:r>
      <w:r w:rsidRPr="006F0999">
        <w:rPr>
          <w:sz w:val="20"/>
          <w:szCs w:val="20"/>
          <w:lang w:val="de-DE"/>
        </w:rPr>
        <w:t>, vol 3 (CH Beck, Munich, 1999) 203 f.</w:t>
      </w:r>
    </w:p>
  </w:footnote>
  <w:footnote w:id="33">
    <w:p w14:paraId="71789446" w14:textId="62DD6965"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w:t>
      </w:r>
      <w:r w:rsidRPr="006F0999">
        <w:rPr>
          <w:i/>
          <w:sz w:val="20"/>
          <w:szCs w:val="20"/>
          <w:lang w:val="de-DE"/>
        </w:rPr>
        <w:t>Locus classicus</w:t>
      </w:r>
      <w:r w:rsidRPr="006F0999">
        <w:rPr>
          <w:sz w:val="20"/>
          <w:szCs w:val="20"/>
          <w:lang w:val="de-DE"/>
        </w:rPr>
        <w:t xml:space="preserve">: Otto Bachof, ‘Die Dogmatik des Verwaltungsrechts vor den Gegenwartsaufgaben der Verwaltung’, in Wolfgang Martens and others, </w:t>
      </w:r>
      <w:r w:rsidRPr="00D87E14">
        <w:rPr>
          <w:sz w:val="20"/>
          <w:szCs w:val="20"/>
          <w:lang w:val="de-DE"/>
        </w:rPr>
        <w:t>‘</w:t>
      </w:r>
      <w:r w:rsidRPr="006F0999">
        <w:rPr>
          <w:sz w:val="20"/>
          <w:szCs w:val="20"/>
          <w:lang w:val="de-DE"/>
        </w:rPr>
        <w:t>Die Dogmatik des Verwaltungsrechts vor den Gegenwartsaufgaben der Verwaltung’ (1972) VVDStRL 30 204 ff.</w:t>
      </w:r>
    </w:p>
  </w:footnote>
  <w:footnote w:id="34">
    <w:p w14:paraId="39DD32B9" w14:textId="5F4721A2"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Otto Bachof, ‘Die Dogmatik des Verwaltungsrechts vor den Gegenwartsaufgaben der Verwaltung’ (n 31) 204. For an even stronger opinion, see Michael Stolleis, </w:t>
      </w:r>
      <w:r w:rsidRPr="006F0999">
        <w:rPr>
          <w:i/>
          <w:sz w:val="20"/>
          <w:szCs w:val="20"/>
          <w:lang w:val="de-DE"/>
        </w:rPr>
        <w:t>Geschichte des öffentlichen Rechts in Deutschland</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_Ref401126622 \h  \* MERGEFORMAT </w:instrText>
      </w:r>
      <w:r w:rsidRPr="006F0999">
        <w:rPr>
          <w:sz w:val="20"/>
          <w:szCs w:val="20"/>
        </w:rPr>
      </w:r>
      <w:r w:rsidRPr="006F0999">
        <w:rPr>
          <w:sz w:val="20"/>
          <w:szCs w:val="20"/>
        </w:rPr>
        <w:fldChar w:fldCharType="separate"/>
      </w:r>
      <w:r w:rsidRPr="006F0999">
        <w:rPr>
          <w:sz w:val="20"/>
          <w:szCs w:val="20"/>
          <w:lang w:val="de-DE"/>
        </w:rPr>
        <w:t>30</w:t>
      </w:r>
      <w:r w:rsidRPr="006F0999">
        <w:rPr>
          <w:sz w:val="20"/>
          <w:szCs w:val="20"/>
        </w:rPr>
        <w:fldChar w:fldCharType="end"/>
      </w:r>
      <w:r w:rsidRPr="006F0999">
        <w:rPr>
          <w:sz w:val="20"/>
          <w:szCs w:val="20"/>
          <w:lang w:val="de-DE"/>
        </w:rPr>
        <w:t>) 203 (‘extr</w:t>
      </w:r>
      <w:r>
        <w:rPr>
          <w:sz w:val="20"/>
          <w:szCs w:val="20"/>
          <w:lang w:val="de-DE"/>
        </w:rPr>
        <w:t>aordinarily biased reductionist</w:t>
      </w:r>
      <w:r>
        <w:rPr>
          <w:sz w:val="20"/>
          <w:szCs w:val="20"/>
        </w:rPr>
        <w:t>’</w:t>
      </w:r>
      <w:r w:rsidRPr="006F0999">
        <w:rPr>
          <w:sz w:val="20"/>
          <w:szCs w:val="20"/>
          <w:lang w:val="de-DE"/>
        </w:rPr>
        <w:t>).</w:t>
      </w:r>
    </w:p>
  </w:footnote>
  <w:footnote w:id="35">
    <w:p w14:paraId="75EFAF42"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Otto Mayer, </w:t>
      </w:r>
      <w:r w:rsidRPr="006F0999">
        <w:rPr>
          <w:i/>
          <w:sz w:val="20"/>
          <w:szCs w:val="20"/>
          <w:lang w:val="de-DE"/>
        </w:rPr>
        <w:t>Deutsches Verwaltungsrecht</w:t>
      </w:r>
      <w:r w:rsidRPr="006F0999">
        <w:rPr>
          <w:sz w:val="20"/>
          <w:szCs w:val="20"/>
          <w:lang w:val="de-DE"/>
        </w:rPr>
        <w:t>, vol 1 (Duncker &amp; Humblot,</w:t>
      </w:r>
      <w:r w:rsidRPr="006F0999" w:rsidDel="00440484">
        <w:rPr>
          <w:sz w:val="20"/>
          <w:szCs w:val="20"/>
          <w:lang w:val="de-DE"/>
        </w:rPr>
        <w:t xml:space="preserve"> </w:t>
      </w:r>
      <w:r w:rsidRPr="006F0999">
        <w:rPr>
          <w:sz w:val="20"/>
          <w:szCs w:val="20"/>
          <w:lang w:val="de-DE"/>
        </w:rPr>
        <w:t xml:space="preserve">Berlin, 1895) 3. </w:t>
      </w:r>
    </w:p>
  </w:footnote>
  <w:footnote w:id="36">
    <w:p w14:paraId="07235ED5"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Karl J Partsch, </w:t>
      </w:r>
      <w:r w:rsidRPr="006F0999">
        <w:rPr>
          <w:i/>
          <w:sz w:val="20"/>
          <w:szCs w:val="20"/>
          <w:lang w:val="de-DE"/>
        </w:rPr>
        <w:t>Verfassungsprinzipien und Verwaltungsinstitutionen</w:t>
      </w:r>
      <w:r w:rsidRPr="006F0999">
        <w:rPr>
          <w:sz w:val="20"/>
          <w:szCs w:val="20"/>
          <w:lang w:val="de-DE"/>
        </w:rPr>
        <w:t xml:space="preserve"> (Mohr, Tübingen, 1958) 8, and the response of Hermann Reuß, ‘Die Wirkungseinheit von Verwaltungs- und Verfassungsrecht’ (1959) 12 DÖV 321.</w:t>
      </w:r>
    </w:p>
  </w:footnote>
  <w:footnote w:id="37">
    <w:p w14:paraId="72F9BB90"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See, for example, Dirk Ehlers, ‘Verwaltung und Verwaltungsrecht im demokratischen und sozialen Rechtsstaat’, in Dirk Ehlers and Hermann Pünder (eds), </w:t>
      </w:r>
      <w:r w:rsidRPr="006F0999">
        <w:rPr>
          <w:i/>
          <w:sz w:val="20"/>
          <w:szCs w:val="20"/>
          <w:lang w:val="de-DE"/>
        </w:rPr>
        <w:t>Allgemeines Verwaltungsrecht</w:t>
      </w:r>
      <w:r w:rsidRPr="006F0999">
        <w:rPr>
          <w:sz w:val="20"/>
          <w:szCs w:val="20"/>
          <w:lang w:val="de-DE"/>
        </w:rPr>
        <w:t xml:space="preserve"> (15th edn, de Gruyter, Berlin, 2016) 239.</w:t>
      </w:r>
    </w:p>
  </w:footnote>
  <w:footnote w:id="38">
    <w:p w14:paraId="719D6744"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Same criticism by Christoph Schönberger, ‘Verwaltungsrecht als konkretisiertes Verfassungsrecht’, in Michael Stolleis (ed), </w:t>
      </w:r>
      <w:r w:rsidRPr="006F0999">
        <w:rPr>
          <w:i/>
          <w:sz w:val="20"/>
          <w:szCs w:val="20"/>
          <w:lang w:val="de-DE"/>
        </w:rPr>
        <w:t>Das Bonner Grundgesetz</w:t>
      </w:r>
      <w:r w:rsidRPr="006F0999">
        <w:rPr>
          <w:sz w:val="20"/>
          <w:szCs w:val="20"/>
          <w:lang w:val="de-DE"/>
        </w:rPr>
        <w:t xml:space="preserve"> (BWV, Berlin, 2006) 59.</w:t>
      </w:r>
    </w:p>
  </w:footnote>
  <w:footnote w:id="39">
    <w:p w14:paraId="3E8F8188" w14:textId="2B704C58"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379C3">
        <w:rPr>
          <w:sz w:val="20"/>
          <w:lang w:val="en-GB"/>
        </w:rPr>
        <w:t xml:space="preserve"> Andreas Auer, ‘Droit constitutionnel et droit administratif’, (n</w:t>
      </w:r>
      <w:r>
        <w:rPr>
          <w:sz w:val="20"/>
          <w:szCs w:val="20"/>
        </w:rPr>
        <w:t xml:space="preserve"> </w:t>
      </w:r>
      <w:r>
        <w:rPr>
          <w:sz w:val="20"/>
          <w:szCs w:val="20"/>
        </w:rPr>
        <w:fldChar w:fldCharType="begin"/>
      </w:r>
      <w:r>
        <w:rPr>
          <w:sz w:val="20"/>
          <w:szCs w:val="20"/>
        </w:rPr>
        <w:instrText xml:space="preserve"> NOTEREF _Ref294727142 \h </w:instrText>
      </w:r>
      <w:r>
        <w:rPr>
          <w:sz w:val="20"/>
          <w:szCs w:val="20"/>
        </w:rPr>
      </w:r>
      <w:r>
        <w:rPr>
          <w:sz w:val="20"/>
          <w:szCs w:val="20"/>
        </w:rPr>
        <w:fldChar w:fldCharType="separate"/>
      </w:r>
      <w:r>
        <w:rPr>
          <w:sz w:val="20"/>
          <w:szCs w:val="20"/>
        </w:rPr>
        <w:t>29</w:t>
      </w:r>
      <w:r>
        <w:rPr>
          <w:sz w:val="20"/>
          <w:szCs w:val="20"/>
        </w:rPr>
        <w:fldChar w:fldCharType="end"/>
      </w:r>
      <w:r w:rsidRPr="006379C3">
        <w:rPr>
          <w:sz w:val="20"/>
          <w:lang w:val="en-GB"/>
        </w:rPr>
        <w:t xml:space="preserve">) 22 ff. For a certain continuity in French administrative law before and after 1870, see Patrice Chrétien, ‘Frankreich’, in Armin von Bogdandy, Sabino Cassese and Peter M Huber (eds), </w:t>
      </w:r>
      <w:r w:rsidRPr="006379C3">
        <w:rPr>
          <w:i/>
          <w:sz w:val="20"/>
          <w:lang w:val="en-GB"/>
        </w:rPr>
        <w:t>IPE IV</w:t>
      </w:r>
      <w:r w:rsidRPr="006379C3">
        <w:rPr>
          <w:sz w:val="20"/>
          <w:lang w:val="en-GB"/>
        </w:rPr>
        <w:t xml:space="preserve"> (CF Müller, Heidelberg, 2011) 91. </w:t>
      </w:r>
      <w:r w:rsidRPr="00F725A9">
        <w:rPr>
          <w:sz w:val="20"/>
          <w:szCs w:val="20"/>
        </w:rPr>
        <w:t xml:space="preserve">Similarly, for Spain before and after 1978, see Juan A Santamaría Pastor, ‘Spanien’, in ibid 350 f and Eduardo García de Enterría and Ignacio Borrajo Iniesta, ‘Spain’, </w:t>
      </w:r>
      <w:r w:rsidRPr="00F725A9">
        <w:rPr>
          <w:i/>
          <w:sz w:val="20"/>
          <w:szCs w:val="20"/>
        </w:rPr>
        <w:t xml:space="preserve">in this </w:t>
      </w:r>
      <w:r w:rsidRPr="00F725A9">
        <w:rPr>
          <w:sz w:val="20"/>
          <w:szCs w:val="20"/>
        </w:rPr>
        <w:t xml:space="preserve">volume, </w:t>
      </w:r>
      <w:r w:rsidRPr="00F725A9">
        <w:rPr>
          <w:sz w:val="20"/>
          <w:szCs w:val="20"/>
          <w:highlight w:val="yellow"/>
        </w:rPr>
        <w:t>XXX, XXX</w:t>
      </w:r>
      <w:r w:rsidRPr="00F725A9">
        <w:rPr>
          <w:sz w:val="20"/>
          <w:szCs w:val="20"/>
        </w:rPr>
        <w:t xml:space="preserve">. </w:t>
      </w:r>
      <w:r w:rsidRPr="006F0999">
        <w:rPr>
          <w:sz w:val="20"/>
          <w:szCs w:val="20"/>
        </w:rPr>
        <w:t xml:space="preserve">For Poland before and after 1989, see Andrzej Wróbel, ‘Polen’, in Armin von Bogdandy, Sabino Cassese and Peter M Huber (eds), </w:t>
      </w:r>
      <w:r w:rsidRPr="006F0999">
        <w:rPr>
          <w:i/>
          <w:sz w:val="20"/>
          <w:szCs w:val="20"/>
        </w:rPr>
        <w:t>IPE III</w:t>
      </w:r>
      <w:r w:rsidRPr="006F0999">
        <w:rPr>
          <w:sz w:val="20"/>
          <w:szCs w:val="20"/>
        </w:rPr>
        <w:t xml:space="preserve"> (C.F. Müller, Heidelberg, 2010) 255.</w:t>
      </w:r>
    </w:p>
  </w:footnote>
  <w:footnote w:id="40">
    <w:p w14:paraId="2269128E" w14:textId="3A9F2C6D"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To the radical decomposition of constitutional law under the Third Reich corresponds the radical weakening of administrative law. See the unequivocal statements made by Walther Summer, an official of the NSDAP and first president of the Administrative Court of the Reich that Hitler established in 1942: ‘A healthy administration has nothing to do with paragraphs’ and ‘[t]he less administrative law</w:t>
      </w:r>
      <w:r>
        <w:rPr>
          <w:sz w:val="20"/>
          <w:szCs w:val="20"/>
        </w:rPr>
        <w:t xml:space="preserve">, the more space for the art of </w:t>
      </w:r>
      <w:r w:rsidRPr="006F0999">
        <w:rPr>
          <w:sz w:val="20"/>
          <w:szCs w:val="20"/>
        </w:rPr>
        <w:t xml:space="preserve">administration’, quoted by Michael Stolleis, </w:t>
      </w:r>
      <w:r w:rsidRPr="006F0999">
        <w:rPr>
          <w:i/>
          <w:sz w:val="20"/>
          <w:szCs w:val="20"/>
        </w:rPr>
        <w:t>Recht im Unrecht</w:t>
      </w:r>
      <w:r w:rsidRPr="006F0999">
        <w:rPr>
          <w:sz w:val="20"/>
          <w:szCs w:val="20"/>
        </w:rPr>
        <w:t xml:space="preserve"> (Suhrkamp, Frankfurt am Main, 1994) 155, 165. On the former Eastern bloc, see Herbert Küpper, ‘Hungary’, </w:t>
      </w:r>
      <w:r w:rsidRPr="006F0999">
        <w:rPr>
          <w:i/>
          <w:sz w:val="20"/>
          <w:szCs w:val="20"/>
        </w:rPr>
        <w:t>in this volume</w:t>
      </w:r>
      <w:r w:rsidRPr="006F0999">
        <w:rPr>
          <w:sz w:val="20"/>
          <w:szCs w:val="20"/>
        </w:rPr>
        <w:t xml:space="preserve"> </w:t>
      </w:r>
      <w:r w:rsidRPr="006F0999">
        <w:rPr>
          <w:sz w:val="20"/>
          <w:szCs w:val="20"/>
          <w:highlight w:val="yellow"/>
        </w:rPr>
        <w:t>XXX, XXX (§ 51 mn 60 ff)</w:t>
      </w:r>
      <w:r w:rsidRPr="006F0999">
        <w:rPr>
          <w:sz w:val="20"/>
          <w:szCs w:val="20"/>
        </w:rPr>
        <w:t xml:space="preserve"> and Andrzej Wróbel, ‘Polen’ (n </w:t>
      </w:r>
      <w:r w:rsidRPr="006F0999">
        <w:rPr>
          <w:sz w:val="20"/>
          <w:szCs w:val="20"/>
        </w:rPr>
        <w:fldChar w:fldCharType="begin"/>
      </w:r>
      <w:r w:rsidRPr="006F0999">
        <w:rPr>
          <w:sz w:val="20"/>
          <w:szCs w:val="20"/>
        </w:rPr>
        <w:instrText xml:space="preserve"> NOTEREF _Ref401056135 \h  \* MERGEFORMAT </w:instrText>
      </w:r>
      <w:r w:rsidRPr="006F0999">
        <w:rPr>
          <w:sz w:val="20"/>
          <w:szCs w:val="20"/>
        </w:rPr>
      </w:r>
      <w:r w:rsidRPr="006F0999">
        <w:rPr>
          <w:sz w:val="20"/>
          <w:szCs w:val="20"/>
        </w:rPr>
        <w:fldChar w:fldCharType="separate"/>
      </w:r>
      <w:r w:rsidRPr="006F0999">
        <w:rPr>
          <w:sz w:val="20"/>
          <w:szCs w:val="20"/>
        </w:rPr>
        <w:t>37</w:t>
      </w:r>
      <w:r w:rsidRPr="006F0999">
        <w:rPr>
          <w:sz w:val="20"/>
          <w:szCs w:val="20"/>
        </w:rPr>
        <w:fldChar w:fldCharType="end"/>
      </w:r>
      <w:r w:rsidRPr="006F0999">
        <w:rPr>
          <w:sz w:val="20"/>
          <w:szCs w:val="20"/>
        </w:rPr>
        <w:t>) 247.</w:t>
      </w:r>
    </w:p>
  </w:footnote>
  <w:footnote w:id="41">
    <w:p w14:paraId="33F98463"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Jörn Ipsen, </w:t>
      </w:r>
      <w:r w:rsidRPr="006F0999">
        <w:rPr>
          <w:i/>
          <w:sz w:val="20"/>
          <w:szCs w:val="20"/>
          <w:lang w:val="de-DE"/>
        </w:rPr>
        <w:t>Der Staat der Mitte: Verfassungsgeschichte der Bundesrepublik Deutschland</w:t>
      </w:r>
      <w:r w:rsidRPr="006F0999">
        <w:rPr>
          <w:sz w:val="20"/>
          <w:szCs w:val="20"/>
          <w:lang w:val="de-DE"/>
        </w:rPr>
        <w:t xml:space="preserve"> (CH Beck, Munich, 2010) 320; Michael Stolleis, </w:t>
      </w:r>
      <w:r w:rsidRPr="006F0999">
        <w:rPr>
          <w:i/>
          <w:sz w:val="20"/>
          <w:szCs w:val="20"/>
          <w:lang w:val="de-DE"/>
        </w:rPr>
        <w:t>Geschichte des öffentlichen Rechts in Deutschland</w:t>
      </w:r>
      <w:r w:rsidRPr="006F0999">
        <w:rPr>
          <w:sz w:val="20"/>
          <w:szCs w:val="20"/>
          <w:lang w:val="de-DE"/>
        </w:rPr>
        <w:t>, vol 4 (CH Beck, Munich, 2012) 226 ff, 247 ff.</w:t>
      </w:r>
    </w:p>
  </w:footnote>
  <w:footnote w:id="42">
    <w:p w14:paraId="0658A9A7" w14:textId="77777777" w:rsidR="0089313D" w:rsidRPr="006379C3" w:rsidRDefault="0089313D" w:rsidP="00DE2EDF">
      <w:pPr>
        <w:pStyle w:val="FootnoteText"/>
        <w:spacing w:line="276" w:lineRule="auto"/>
        <w:rPr>
          <w:sz w:val="20"/>
          <w:lang w:val="en-GB"/>
        </w:rPr>
      </w:pPr>
      <w:r w:rsidRPr="006F0999">
        <w:rPr>
          <w:rStyle w:val="FootnoteReference"/>
          <w:sz w:val="20"/>
          <w:szCs w:val="20"/>
        </w:rPr>
        <w:footnoteRef/>
      </w:r>
      <w:r w:rsidRPr="006379C3">
        <w:rPr>
          <w:sz w:val="20"/>
          <w:lang w:val="en-GB"/>
        </w:rPr>
        <w:t xml:space="preserve"> See, for example, the use of Mayer’s dictum in Portugal by Marcelo Rebelo de Sousa and André Salgado de Matos, </w:t>
      </w:r>
      <w:r w:rsidRPr="006379C3">
        <w:rPr>
          <w:i/>
          <w:sz w:val="20"/>
          <w:lang w:val="en-GB"/>
        </w:rPr>
        <w:t>Direito Administrativo Geral</w:t>
      </w:r>
      <w:r w:rsidRPr="006379C3">
        <w:rPr>
          <w:sz w:val="20"/>
          <w:lang w:val="en-GB"/>
        </w:rPr>
        <w:t>, vol 1 (3rd edn, Dom Quixote, Lisbon, 2004) 74.</w:t>
      </w:r>
    </w:p>
  </w:footnote>
  <w:footnote w:id="43">
    <w:p w14:paraId="12711D6C" w14:textId="77777777" w:rsidR="0089313D" w:rsidRPr="006F0999" w:rsidRDefault="0089313D" w:rsidP="00DE2EDF">
      <w:pPr>
        <w:pStyle w:val="NoSpacing"/>
        <w:spacing w:line="276" w:lineRule="auto"/>
        <w:jc w:val="both"/>
        <w:rPr>
          <w:rFonts w:cs="Times New Roman"/>
          <w:sz w:val="20"/>
          <w:szCs w:val="20"/>
          <w:lang w:val="de-DE"/>
        </w:rPr>
      </w:pPr>
      <w:r w:rsidRPr="006F0999">
        <w:rPr>
          <w:rStyle w:val="FootnoteReference"/>
          <w:rFonts w:cs="Times New Roman"/>
          <w:sz w:val="20"/>
          <w:szCs w:val="20"/>
        </w:rPr>
        <w:footnoteRef/>
      </w:r>
      <w:r w:rsidRPr="006F0999">
        <w:rPr>
          <w:rFonts w:cs="Times New Roman"/>
          <w:sz w:val="20"/>
          <w:szCs w:val="20"/>
        </w:rPr>
        <w:t xml:space="preserve"> See </w:t>
      </w:r>
      <w:r w:rsidRPr="006F0999">
        <w:rPr>
          <w:rFonts w:eastAsia="Times New Roman" w:cs="Times New Roman"/>
          <w:iCs/>
          <w:sz w:val="20"/>
          <w:szCs w:val="20"/>
        </w:rPr>
        <w:t xml:space="preserve">Mayer’s quotation above n 26. </w:t>
      </w:r>
      <w:r w:rsidRPr="006F0999">
        <w:rPr>
          <w:rFonts w:eastAsia="Times New Roman" w:cs="Times New Roman"/>
          <w:iCs/>
          <w:sz w:val="20"/>
          <w:szCs w:val="20"/>
          <w:lang w:val="de-DE"/>
        </w:rPr>
        <w:t xml:space="preserve">More recently, </w:t>
      </w:r>
      <w:r w:rsidRPr="006F0999">
        <w:rPr>
          <w:rFonts w:cs="Times New Roman"/>
          <w:sz w:val="20"/>
          <w:szCs w:val="20"/>
          <w:lang w:val="de-DE"/>
        </w:rPr>
        <w:t xml:space="preserve">Matthias Ruffert, ‘Die Methodik der Verwaltungsrechtswissenschaft’, in Eberhard Schmidt-Assmann and Wolfgang Hoffmann-Riem (eds), </w:t>
      </w:r>
      <w:r w:rsidRPr="006F0999">
        <w:rPr>
          <w:rFonts w:cs="Times New Roman"/>
          <w:i/>
          <w:sz w:val="20"/>
          <w:szCs w:val="20"/>
          <w:lang w:val="de-DE"/>
        </w:rPr>
        <w:t>Methoden der Verwaltungsrechtswissenschaft</w:t>
      </w:r>
      <w:r w:rsidRPr="006F0999">
        <w:rPr>
          <w:rFonts w:cs="Times New Roman"/>
          <w:sz w:val="20"/>
          <w:szCs w:val="20"/>
          <w:lang w:val="de-DE"/>
        </w:rPr>
        <w:t xml:space="preserve"> (Nomos, Baden-Baden, 2004) 179.</w:t>
      </w:r>
    </w:p>
  </w:footnote>
  <w:footnote w:id="44">
    <w:p w14:paraId="18828317" w14:textId="225695C9"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Even today the </w:t>
      </w:r>
      <w:r w:rsidRPr="006F0999">
        <w:rPr>
          <w:i/>
          <w:sz w:val="20"/>
          <w:szCs w:val="20"/>
        </w:rPr>
        <w:t>Conseil d</w:t>
      </w:r>
      <w:r>
        <w:rPr>
          <w:i/>
          <w:sz w:val="20"/>
          <w:szCs w:val="20"/>
        </w:rPr>
        <w:t>’E</w:t>
      </w:r>
      <w:r w:rsidRPr="006F0999">
        <w:rPr>
          <w:i/>
          <w:sz w:val="20"/>
          <w:szCs w:val="20"/>
        </w:rPr>
        <w:t>tat</w:t>
      </w:r>
      <w:r w:rsidRPr="006F0999">
        <w:rPr>
          <w:sz w:val="20"/>
          <w:szCs w:val="20"/>
        </w:rPr>
        <w:t>, both as a State organ and as a ‘</w:t>
      </w:r>
      <w:r w:rsidRPr="006F0999">
        <w:rPr>
          <w:i/>
          <w:sz w:val="20"/>
          <w:szCs w:val="20"/>
        </w:rPr>
        <w:t>corps de fonctionnaires</w:t>
      </w:r>
      <w:r w:rsidRPr="006F0999">
        <w:rPr>
          <w:sz w:val="20"/>
          <w:szCs w:val="20"/>
        </w:rPr>
        <w:t xml:space="preserve">’, combines a variety of functions. (a) It is an advisor to the executive in all areas of law, including private law, European law, and constitutional law. It is considered as an expert of the entire legal system (see arts 38 and 39 of the 1958 Constitution). In 1958, it was also the </w:t>
      </w:r>
      <w:r w:rsidRPr="006F0999">
        <w:rPr>
          <w:i/>
          <w:sz w:val="20"/>
          <w:szCs w:val="20"/>
        </w:rPr>
        <w:t>Conseil d’État</w:t>
      </w:r>
      <w:r w:rsidRPr="006F0999">
        <w:rPr>
          <w:sz w:val="20"/>
          <w:szCs w:val="20"/>
        </w:rPr>
        <w:t xml:space="preserve"> that assisted Charles de Gaulle’s government during the drafting of the new Constitution. Thus, if compared to the </w:t>
      </w:r>
      <w:r w:rsidRPr="006F0999">
        <w:rPr>
          <w:i/>
          <w:sz w:val="20"/>
          <w:szCs w:val="20"/>
        </w:rPr>
        <w:t>Conseil constitutionnel</w:t>
      </w:r>
      <w:r w:rsidRPr="006F0999">
        <w:rPr>
          <w:sz w:val="20"/>
          <w:szCs w:val="20"/>
        </w:rPr>
        <w:t xml:space="preserve"> or legal scholars, the </w:t>
      </w:r>
      <w:r w:rsidRPr="006F0999">
        <w:rPr>
          <w:i/>
          <w:sz w:val="20"/>
          <w:szCs w:val="20"/>
        </w:rPr>
        <w:t>Conseil d’Etat</w:t>
      </w:r>
      <w:r w:rsidRPr="006F0999">
        <w:rPr>
          <w:sz w:val="20"/>
          <w:szCs w:val="20"/>
        </w:rPr>
        <w:t xml:space="preserve"> may claim that it is in the best position to know the intent of the writers (some scholars would say, the ‘authors’) of the 1958 Constitution. (b) A large number of members of the </w:t>
      </w:r>
      <w:r w:rsidRPr="006F0999">
        <w:rPr>
          <w:i/>
          <w:sz w:val="20"/>
          <w:szCs w:val="20"/>
        </w:rPr>
        <w:t>Conseil d’État</w:t>
      </w:r>
      <w:r w:rsidRPr="006F0999">
        <w:rPr>
          <w:sz w:val="20"/>
          <w:szCs w:val="20"/>
        </w:rPr>
        <w:t xml:space="preserve"> occupy high positions in the ministries and administrations. (c) The </w:t>
      </w:r>
      <w:r w:rsidRPr="006F0999">
        <w:rPr>
          <w:i/>
          <w:sz w:val="20"/>
          <w:szCs w:val="20"/>
        </w:rPr>
        <w:t>Conseil d’Etat</w:t>
      </w:r>
      <w:r w:rsidRPr="006F0999">
        <w:rPr>
          <w:sz w:val="20"/>
          <w:szCs w:val="20"/>
        </w:rPr>
        <w:t xml:space="preserve"> is the highest administrative court in France. (d) It has functions similar to the legislature: the core elements of French administrative law were set up through judicial precedents of the </w:t>
      </w:r>
      <w:r w:rsidRPr="006F0999">
        <w:rPr>
          <w:i/>
          <w:sz w:val="20"/>
          <w:szCs w:val="20"/>
        </w:rPr>
        <w:t>Conseil d’Etat</w:t>
      </w:r>
      <w:r w:rsidRPr="006F0999">
        <w:rPr>
          <w:sz w:val="20"/>
          <w:szCs w:val="20"/>
        </w:rPr>
        <w:t xml:space="preserve">; it is the intellectual author of the statutes passed in recent years on judicial remedies in administrative law. (e) Traditionally, members of the </w:t>
      </w:r>
      <w:r w:rsidRPr="006F0999">
        <w:rPr>
          <w:i/>
          <w:sz w:val="20"/>
          <w:szCs w:val="20"/>
        </w:rPr>
        <w:t>Conseil d</w:t>
      </w:r>
      <w:r>
        <w:rPr>
          <w:i/>
          <w:sz w:val="20"/>
          <w:szCs w:val="20"/>
        </w:rPr>
        <w:t>’E</w:t>
      </w:r>
      <w:r w:rsidRPr="006F0999">
        <w:rPr>
          <w:i/>
          <w:sz w:val="20"/>
          <w:szCs w:val="20"/>
        </w:rPr>
        <w:t>tat</w:t>
      </w:r>
      <w:r w:rsidRPr="006F0999">
        <w:rPr>
          <w:sz w:val="20"/>
          <w:szCs w:val="20"/>
        </w:rPr>
        <w:t xml:space="preserve"> have been present in the </w:t>
      </w:r>
      <w:r w:rsidRPr="006F0999">
        <w:rPr>
          <w:i/>
          <w:sz w:val="20"/>
          <w:szCs w:val="20"/>
        </w:rPr>
        <w:t>Conseil constitutionnel</w:t>
      </w:r>
      <w:r w:rsidRPr="006F0999">
        <w:rPr>
          <w:sz w:val="20"/>
          <w:szCs w:val="20"/>
        </w:rPr>
        <w:t xml:space="preserve"> (see below, at n 199) and it is now common practice to appoint members of the </w:t>
      </w:r>
      <w:r w:rsidRPr="006F0999">
        <w:rPr>
          <w:i/>
          <w:sz w:val="20"/>
          <w:szCs w:val="20"/>
        </w:rPr>
        <w:t>Conseil d</w:t>
      </w:r>
      <w:r>
        <w:rPr>
          <w:i/>
          <w:sz w:val="20"/>
          <w:szCs w:val="20"/>
        </w:rPr>
        <w:t>’E</w:t>
      </w:r>
      <w:r w:rsidRPr="006F0999">
        <w:rPr>
          <w:i/>
          <w:sz w:val="20"/>
          <w:szCs w:val="20"/>
        </w:rPr>
        <w:t>tat</w:t>
      </w:r>
      <w:r w:rsidRPr="006F0999">
        <w:rPr>
          <w:sz w:val="20"/>
          <w:szCs w:val="20"/>
        </w:rPr>
        <w:t xml:space="preserve"> to European courts (e.g., the Court of Justice of the European Union, the European Court of Human Rights). (f) Various members of the </w:t>
      </w:r>
      <w:r w:rsidRPr="006F0999">
        <w:rPr>
          <w:i/>
          <w:sz w:val="20"/>
          <w:szCs w:val="20"/>
        </w:rPr>
        <w:t>Conseil d’État</w:t>
      </w:r>
      <w:r w:rsidRPr="006F0999">
        <w:rPr>
          <w:sz w:val="20"/>
          <w:szCs w:val="20"/>
        </w:rPr>
        <w:t xml:space="preserve"> are actively involved in the academic training of elites (e.g., at several ‘</w:t>
      </w:r>
      <w:r w:rsidRPr="006F0999">
        <w:rPr>
          <w:i/>
          <w:sz w:val="20"/>
          <w:szCs w:val="20"/>
        </w:rPr>
        <w:t>grandes écoles</w:t>
      </w:r>
      <w:r w:rsidRPr="006F0999">
        <w:rPr>
          <w:sz w:val="20"/>
          <w:szCs w:val="20"/>
        </w:rPr>
        <w:t xml:space="preserve">’, such as Science Po Paris and the École Nationale d’Administration (ENA), and at law faculties) as well as in scientific research in the field of administrative law and, more generally, public law. Through all these channels, the </w:t>
      </w:r>
      <w:r w:rsidRPr="006F0999">
        <w:rPr>
          <w:i/>
          <w:sz w:val="20"/>
          <w:szCs w:val="20"/>
        </w:rPr>
        <w:t>Conseil d</w:t>
      </w:r>
      <w:r>
        <w:rPr>
          <w:i/>
          <w:sz w:val="20"/>
          <w:szCs w:val="20"/>
        </w:rPr>
        <w:t>’E</w:t>
      </w:r>
      <w:r w:rsidRPr="006F0999">
        <w:rPr>
          <w:i/>
          <w:sz w:val="20"/>
          <w:szCs w:val="20"/>
        </w:rPr>
        <w:t>tat</w:t>
      </w:r>
      <w:r w:rsidRPr="006F0999">
        <w:rPr>
          <w:sz w:val="20"/>
          <w:szCs w:val="20"/>
        </w:rPr>
        <w:t xml:space="preserve"> is able to develop its own constitutional discourse.</w:t>
      </w:r>
    </w:p>
  </w:footnote>
  <w:footnote w:id="45">
    <w:p w14:paraId="61EBCE70" w14:textId="77777777" w:rsidR="0089313D" w:rsidRPr="006F0999" w:rsidRDefault="0089313D" w:rsidP="00DE2EDF">
      <w:pPr>
        <w:pStyle w:val="FootnoteText"/>
        <w:spacing w:line="276" w:lineRule="auto"/>
        <w:rPr>
          <w:i/>
          <w:sz w:val="20"/>
          <w:szCs w:val="20"/>
        </w:rPr>
      </w:pPr>
      <w:bookmarkStart w:id="93" w:name="_Ref457830254"/>
      <w:r w:rsidRPr="006F0999">
        <w:rPr>
          <w:rStyle w:val="FootnoteReference"/>
          <w:sz w:val="20"/>
          <w:szCs w:val="20"/>
        </w:rPr>
        <w:footnoteRef/>
      </w:r>
      <w:r w:rsidRPr="006F0999">
        <w:rPr>
          <w:sz w:val="20"/>
          <w:szCs w:val="20"/>
        </w:rPr>
        <w:t xml:space="preserve"> Jacques Chevallier, ‘Le droit administratif entre science administrative et droit constitutionnel’, in CURAPP (ed), </w:t>
      </w:r>
      <w:r w:rsidRPr="006F0999">
        <w:rPr>
          <w:i/>
          <w:sz w:val="20"/>
          <w:szCs w:val="20"/>
        </w:rPr>
        <w:t>Le droit administratif en mutation</w:t>
      </w:r>
      <w:r w:rsidRPr="006F0999">
        <w:rPr>
          <w:sz w:val="20"/>
          <w:szCs w:val="20"/>
        </w:rPr>
        <w:t xml:space="preserve"> (Presses Universitaire de France, Paris, 1993) 11 ff; Luc Heuschling, ‘Frankreich’, in Armin von Bogdandy, Pedro Cruz Villalón and Peter M Huber (eds), </w:t>
      </w:r>
      <w:r w:rsidRPr="006F0999">
        <w:rPr>
          <w:i/>
          <w:sz w:val="20"/>
          <w:szCs w:val="20"/>
        </w:rPr>
        <w:t>IPE II</w:t>
      </w:r>
      <w:r w:rsidRPr="006F0999">
        <w:rPr>
          <w:sz w:val="20"/>
          <w:szCs w:val="20"/>
        </w:rPr>
        <w:t xml:space="preserve"> (n </w:t>
      </w:r>
      <w:r w:rsidRPr="006F0999">
        <w:rPr>
          <w:sz w:val="20"/>
          <w:szCs w:val="20"/>
        </w:rPr>
        <w:fldChar w:fldCharType="begin"/>
      </w:r>
      <w:r w:rsidRPr="006F0999">
        <w:rPr>
          <w:sz w:val="20"/>
          <w:szCs w:val="20"/>
        </w:rPr>
        <w:instrText xml:space="preserve"> NOTEREF _Ref457826505 \h  \* MERGEFORMAT </w:instrText>
      </w:r>
      <w:r w:rsidRPr="006F0999">
        <w:rPr>
          <w:sz w:val="20"/>
          <w:szCs w:val="20"/>
        </w:rPr>
      </w:r>
      <w:r w:rsidRPr="006F0999">
        <w:rPr>
          <w:sz w:val="20"/>
          <w:szCs w:val="20"/>
        </w:rPr>
        <w:fldChar w:fldCharType="separate"/>
      </w:r>
      <w:r w:rsidRPr="006F0999">
        <w:rPr>
          <w:sz w:val="20"/>
          <w:szCs w:val="20"/>
        </w:rPr>
        <w:t>11</w:t>
      </w:r>
      <w:r w:rsidRPr="006F0999">
        <w:rPr>
          <w:sz w:val="20"/>
          <w:szCs w:val="20"/>
        </w:rPr>
        <w:fldChar w:fldCharType="end"/>
      </w:r>
      <w:r w:rsidRPr="006F0999">
        <w:rPr>
          <w:sz w:val="20"/>
          <w:szCs w:val="20"/>
        </w:rPr>
        <w:t xml:space="preserve">) 494 f. This particular situation of France may be sharply contrasted with the general outline given by Tom Ginsburg, ‘Written constitutions and the administrative state’ (n </w:t>
      </w:r>
      <w:r w:rsidRPr="006F0999">
        <w:rPr>
          <w:sz w:val="20"/>
          <w:szCs w:val="20"/>
        </w:rPr>
        <w:fldChar w:fldCharType="begin"/>
      </w:r>
      <w:r w:rsidRPr="006F0999">
        <w:rPr>
          <w:sz w:val="20"/>
          <w:szCs w:val="20"/>
        </w:rPr>
        <w:instrText xml:space="preserve"> NOTEREF _Ref457826586 \h  \* MERGEFORMAT </w:instrText>
      </w:r>
      <w:r w:rsidRPr="006F0999">
        <w:rPr>
          <w:sz w:val="20"/>
          <w:szCs w:val="20"/>
        </w:rPr>
      </w:r>
      <w:r w:rsidRPr="006F0999">
        <w:rPr>
          <w:sz w:val="20"/>
          <w:szCs w:val="20"/>
        </w:rPr>
        <w:fldChar w:fldCharType="separate"/>
      </w:r>
      <w:r w:rsidRPr="006F0999">
        <w:rPr>
          <w:sz w:val="20"/>
          <w:szCs w:val="20"/>
        </w:rPr>
        <w:t>1</w:t>
      </w:r>
      <w:r w:rsidRPr="006F0999">
        <w:rPr>
          <w:sz w:val="20"/>
          <w:szCs w:val="20"/>
        </w:rPr>
        <w:fldChar w:fldCharType="end"/>
      </w:r>
      <w:r w:rsidRPr="006F0999">
        <w:rPr>
          <w:sz w:val="20"/>
          <w:szCs w:val="20"/>
        </w:rPr>
        <w:t>) 117: ‘Administrative law is the poor relation of public law; the hard-working, unglamorous cousin laboring in the shadow of constitutional law.’</w:t>
      </w:r>
      <w:bookmarkEnd w:id="93"/>
    </w:p>
  </w:footnote>
  <w:footnote w:id="46">
    <w:p w14:paraId="2E5B8AA9"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Louis Favoreu, ‘Droit administratif et normes constitutionnelles: quelques réflexions trente ans après’, in </w:t>
      </w:r>
      <w:r w:rsidRPr="006F0999">
        <w:rPr>
          <w:i/>
          <w:sz w:val="20"/>
          <w:szCs w:val="20"/>
          <w:lang w:val="fr-FR"/>
        </w:rPr>
        <w:t>Mélanges Franck Moderne: Mouvement du droit public</w:t>
      </w:r>
      <w:r w:rsidRPr="006F0999">
        <w:rPr>
          <w:sz w:val="20"/>
          <w:szCs w:val="20"/>
          <w:lang w:val="fr-FR"/>
        </w:rPr>
        <w:t xml:space="preserve"> (Dalloz, Paris, 2004) 649, 656.</w:t>
      </w:r>
    </w:p>
  </w:footnote>
  <w:footnote w:id="47">
    <w:p w14:paraId="08E3456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Since the ninth edition (1995), however, the title has been: ‘The junction [</w:t>
      </w:r>
      <w:r w:rsidRPr="006F0999">
        <w:rPr>
          <w:i/>
          <w:sz w:val="20"/>
          <w:szCs w:val="20"/>
        </w:rPr>
        <w:t>jonction</w:t>
      </w:r>
      <w:r w:rsidRPr="006F0999">
        <w:rPr>
          <w:sz w:val="20"/>
          <w:szCs w:val="20"/>
        </w:rPr>
        <w:t>] with constitutional law’ (own translation).</w:t>
      </w:r>
    </w:p>
  </w:footnote>
  <w:footnote w:id="48">
    <w:p w14:paraId="11EAF36A"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For this and all subsequent quotations, see René Chapus, </w:t>
      </w:r>
      <w:r w:rsidRPr="006F0999">
        <w:rPr>
          <w:i/>
          <w:sz w:val="20"/>
          <w:szCs w:val="20"/>
          <w:lang w:val="fr-FR"/>
        </w:rPr>
        <w:t>Droit administratif général</w:t>
      </w:r>
      <w:r w:rsidRPr="006F0999">
        <w:rPr>
          <w:sz w:val="20"/>
          <w:szCs w:val="20"/>
          <w:lang w:val="fr-FR"/>
        </w:rPr>
        <w:t>, vol 1 (Montchrestien, Paris, 1985) 12 and 71 f.</w:t>
      </w:r>
    </w:p>
  </w:footnote>
  <w:footnote w:id="49">
    <w:p w14:paraId="7D88DF4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lang w:val="fr-FR"/>
        </w:rPr>
        <w:t xml:space="preserve"> Georges Vedel, ‘Discontinuité du droit constitutionnel et continuité du droit administratif’ (n 28). </w:t>
      </w:r>
      <w:r w:rsidRPr="006F0999">
        <w:rPr>
          <w:sz w:val="20"/>
          <w:szCs w:val="20"/>
        </w:rPr>
        <w:t>The reference is however misleading. In this article, Vedel indeed spoke of administrative law’s ‘very great indifference’ on constitutional law (777, translation), or ‘very great independence’ from constitutional law (779, translation). Yet, on several occasions in this paper, he also stressed administrative law’s dependence on the Constitution.</w:t>
      </w:r>
    </w:p>
  </w:footnote>
  <w:footnote w:id="50">
    <w:p w14:paraId="06EB9D37"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Georges Vedel, ‘Rapport de synthèse’, in Association française des constitutionnalistes (ed), </w:t>
      </w:r>
      <w:r w:rsidRPr="006F0999">
        <w:rPr>
          <w:i/>
          <w:sz w:val="20"/>
          <w:szCs w:val="20"/>
          <w:lang w:val="fr-FR"/>
        </w:rPr>
        <w:t>La continuité constitutionnelle en France de 1789 à 1989</w:t>
      </w:r>
      <w:r w:rsidRPr="006F0999">
        <w:rPr>
          <w:sz w:val="20"/>
          <w:szCs w:val="20"/>
          <w:lang w:val="fr-FR"/>
        </w:rPr>
        <w:t xml:space="preserve"> (Presses Universitaires d’Aix-Marseille, Aix-en-Provence, 1990) 178.</w:t>
      </w:r>
    </w:p>
  </w:footnote>
  <w:footnote w:id="51">
    <w:p w14:paraId="17FAED6C"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It is noteworthy that in his famous essay ‘Les bases constitutionnelles du droit administratif’, which appeared precisely during that time period—in (1954) 8 Études et documents du Conseil d’État (Imprimerie Nationale, Paris) 21 ff—Vedel did not mention the Two World Thesis, although it would have made the ideal opponent to his own view. Nor did the thesis appear in Charles Eisenmann’s harsh criticism of Vedel’s article. As a disciple of Kelsen, Eisenmann acknowledged the possibility of constitutional sources for administrative law. What he disputed was the method Vedel used to find, in the constitutional text, legal norms that Eisenmann strongly believed were not in it. </w:t>
      </w:r>
      <w:r w:rsidRPr="006F0999">
        <w:rPr>
          <w:sz w:val="20"/>
          <w:szCs w:val="20"/>
          <w:lang w:val="fr-FR"/>
        </w:rPr>
        <w:t xml:space="preserve">See Charles Eisenmann, ‘La théorie des ‘bases constitutionnelles du droit administratif’’ (1972) RDP 1345 ff; Georges Vedel, ‘Les bases constitutionnelles du droit administratif’, in Paul Amselek (ed), </w:t>
      </w:r>
      <w:r w:rsidRPr="006F0999">
        <w:rPr>
          <w:i/>
          <w:sz w:val="20"/>
          <w:szCs w:val="20"/>
          <w:lang w:val="fr-FR"/>
        </w:rPr>
        <w:t>La pensée de Charles Eisenmann</w:t>
      </w:r>
      <w:r w:rsidRPr="006F0999">
        <w:rPr>
          <w:sz w:val="20"/>
          <w:szCs w:val="20"/>
          <w:lang w:val="fr-FR"/>
        </w:rPr>
        <w:t xml:space="preserve"> (Economica, Paris, 1986) 133 ff; Emmanuel Breen, ‘Le doyen Vedel et Charles Eisenmann: une controverse sur les fondements du droit administratif’ (2002) Rfda 234 ff; Pierre Delvolvé, ‘L’actualité de la théorie des bases constitutionnelles du droit administratif’ (2014) Rfda 1211 ff.</w:t>
      </w:r>
    </w:p>
  </w:footnote>
  <w:footnote w:id="52">
    <w:p w14:paraId="107302AF"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Louis Favoreu, ‘Dualité ou unité d’ordre juridique: Conseil constitutionnel et Conseil d’État participent-ils de deux ordres juridiques différents?’, in Université Panthéon-Assas (ed), </w:t>
      </w:r>
      <w:r w:rsidRPr="006F0999">
        <w:rPr>
          <w:i/>
          <w:sz w:val="20"/>
          <w:szCs w:val="20"/>
          <w:lang w:val="fr-FR"/>
        </w:rPr>
        <w:t>Conseil constitutionnel et Conseil d’État</w:t>
      </w:r>
      <w:r w:rsidRPr="006F0999">
        <w:rPr>
          <w:sz w:val="20"/>
          <w:szCs w:val="20"/>
          <w:lang w:val="fr-FR"/>
        </w:rPr>
        <w:t xml:space="preserve"> (LGDJ, Paris, 1988) 145 ff.</w:t>
      </w:r>
    </w:p>
  </w:footnote>
  <w:footnote w:id="53">
    <w:p w14:paraId="273A9AC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Part 1 of his textbook ‘The legal sources of administrative law’ in which the Constitution is discussed first. The sheer number of pages dedicated to it (over 20 pages) attests to its importance.</w:t>
      </w:r>
    </w:p>
  </w:footnote>
  <w:footnote w:id="54">
    <w:p w14:paraId="0E50049B"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Théophile Ducrocq, </w:t>
      </w:r>
      <w:r w:rsidRPr="006F0999">
        <w:rPr>
          <w:i/>
          <w:sz w:val="20"/>
          <w:szCs w:val="20"/>
          <w:lang w:val="fr-FR"/>
        </w:rPr>
        <w:t>Cours de droit administratif</w:t>
      </w:r>
      <w:r w:rsidRPr="006F0999">
        <w:rPr>
          <w:sz w:val="20"/>
          <w:szCs w:val="20"/>
          <w:lang w:val="fr-FR"/>
        </w:rPr>
        <w:t xml:space="preserve"> (n </w:t>
      </w:r>
      <w:r w:rsidRPr="006F0999">
        <w:rPr>
          <w:sz w:val="20"/>
          <w:szCs w:val="20"/>
        </w:rPr>
        <w:fldChar w:fldCharType="begin"/>
      </w:r>
      <w:r w:rsidRPr="006F0999">
        <w:rPr>
          <w:sz w:val="20"/>
          <w:szCs w:val="20"/>
          <w:lang w:val="fr-FR"/>
        </w:rPr>
        <w:instrText xml:space="preserve"> NOTEREF _ftnref23 \h  \* MERGEFORMAT </w:instrText>
      </w:r>
      <w:r w:rsidRPr="006F0999">
        <w:rPr>
          <w:sz w:val="20"/>
          <w:szCs w:val="20"/>
        </w:rPr>
      </w:r>
      <w:r w:rsidRPr="006F0999">
        <w:rPr>
          <w:sz w:val="20"/>
          <w:szCs w:val="20"/>
        </w:rPr>
        <w:fldChar w:fldCharType="separate"/>
      </w:r>
      <w:r w:rsidRPr="006F0999">
        <w:rPr>
          <w:sz w:val="20"/>
          <w:szCs w:val="20"/>
          <w:lang w:val="fr-FR"/>
        </w:rPr>
        <w:t>27</w:t>
      </w:r>
      <w:r w:rsidRPr="006F0999">
        <w:rPr>
          <w:sz w:val="20"/>
          <w:szCs w:val="20"/>
        </w:rPr>
        <w:fldChar w:fldCharType="end"/>
      </w:r>
      <w:r w:rsidRPr="006F0999">
        <w:rPr>
          <w:sz w:val="20"/>
          <w:szCs w:val="20"/>
          <w:lang w:val="fr-FR"/>
        </w:rPr>
        <w:t xml:space="preserve">), with further references; Louis Cabantous, </w:t>
      </w:r>
      <w:r w:rsidRPr="006F0999">
        <w:rPr>
          <w:i/>
          <w:sz w:val="20"/>
          <w:szCs w:val="20"/>
          <w:lang w:val="fr-FR"/>
        </w:rPr>
        <w:t>Répétitions écrites sur le droit administratif</w:t>
      </w:r>
      <w:r w:rsidRPr="006F0999">
        <w:rPr>
          <w:sz w:val="20"/>
          <w:szCs w:val="20"/>
          <w:lang w:val="fr-FR"/>
        </w:rPr>
        <w:t xml:space="preserve"> (revised by Jules Liégeois, 5th edn, Marescq Ainé, Paris, 1873) 1 ff.</w:t>
      </w:r>
    </w:p>
  </w:footnote>
  <w:footnote w:id="55">
    <w:p w14:paraId="2ECD7903"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François Boeuf, </w:t>
      </w:r>
      <w:r w:rsidRPr="006F0999">
        <w:rPr>
          <w:i/>
          <w:sz w:val="20"/>
          <w:szCs w:val="20"/>
          <w:lang w:val="fr-FR"/>
        </w:rPr>
        <w:t>Résumé de répétitions écrites sur le droit administratif</w:t>
      </w:r>
      <w:r w:rsidRPr="006F0999">
        <w:rPr>
          <w:sz w:val="20"/>
          <w:szCs w:val="20"/>
          <w:lang w:val="fr-FR"/>
        </w:rPr>
        <w:t xml:space="preserve"> (8th edn,</w:t>
      </w:r>
      <w:r w:rsidRPr="006F0999" w:rsidDel="002A1587">
        <w:rPr>
          <w:sz w:val="20"/>
          <w:szCs w:val="20"/>
          <w:lang w:val="fr-FR"/>
        </w:rPr>
        <w:t xml:space="preserve"> </w:t>
      </w:r>
      <w:r w:rsidRPr="006F0999">
        <w:rPr>
          <w:sz w:val="20"/>
          <w:szCs w:val="20"/>
          <w:lang w:val="fr-FR"/>
        </w:rPr>
        <w:t>Dauvin, Paris, 1883) IV.</w:t>
      </w:r>
    </w:p>
  </w:footnote>
  <w:footnote w:id="56">
    <w:p w14:paraId="1BA8459A"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Léon Duguit, </w:t>
      </w:r>
      <w:r w:rsidRPr="006F0999">
        <w:rPr>
          <w:i/>
          <w:sz w:val="20"/>
          <w:szCs w:val="20"/>
          <w:lang w:val="fr-FR"/>
        </w:rPr>
        <w:t>Traité de droit constitutionnel</w:t>
      </w:r>
      <w:r w:rsidRPr="006F0999">
        <w:rPr>
          <w:sz w:val="20"/>
          <w:szCs w:val="20"/>
          <w:lang w:val="fr-FR"/>
        </w:rPr>
        <w:t xml:space="preserve">, vol 1 (3rd edn, Boccard, Paris, 1927) 680 ff and 702 ff. See also Olivier Jouanjan, ‘La Constitution’, in </w:t>
      </w:r>
      <w:hyperlink r:id="rId8" w:history="1">
        <w:r w:rsidRPr="006F0999">
          <w:rPr>
            <w:sz w:val="20"/>
            <w:szCs w:val="20"/>
            <w:lang w:val="fr-FR"/>
          </w:rPr>
          <w:t>Pascale Gonod</w:t>
        </w:r>
      </w:hyperlink>
      <w:r w:rsidRPr="006F0999">
        <w:rPr>
          <w:sz w:val="20"/>
          <w:szCs w:val="20"/>
          <w:lang w:val="fr-FR"/>
        </w:rPr>
        <w:t xml:space="preserve">, </w:t>
      </w:r>
      <w:hyperlink r:id="rId9" w:history="1">
        <w:r w:rsidRPr="006F0999">
          <w:rPr>
            <w:sz w:val="20"/>
            <w:szCs w:val="20"/>
            <w:lang w:val="fr-FR"/>
          </w:rPr>
          <w:t>Fabrice Melleray</w:t>
        </w:r>
      </w:hyperlink>
      <w:r w:rsidRPr="006F0999">
        <w:rPr>
          <w:sz w:val="20"/>
          <w:szCs w:val="20"/>
          <w:lang w:val="fr-FR"/>
        </w:rPr>
        <w:t xml:space="preserve">, and </w:t>
      </w:r>
      <w:hyperlink r:id="rId10" w:history="1">
        <w:r w:rsidRPr="006F0999">
          <w:rPr>
            <w:sz w:val="20"/>
            <w:szCs w:val="20"/>
            <w:lang w:val="fr-FR"/>
          </w:rPr>
          <w:t>Philippe Yolka</w:t>
        </w:r>
      </w:hyperlink>
      <w:r w:rsidRPr="006F0999">
        <w:rPr>
          <w:sz w:val="20"/>
          <w:szCs w:val="20"/>
          <w:lang w:val="fr-FR"/>
        </w:rPr>
        <w:t xml:space="preserve"> (eds), </w:t>
      </w:r>
      <w:r w:rsidRPr="006F0999">
        <w:rPr>
          <w:i/>
          <w:sz w:val="20"/>
          <w:szCs w:val="20"/>
          <w:lang w:val="fr-FR"/>
        </w:rPr>
        <w:t>Traité de droit administratif</w:t>
      </w:r>
      <w:r w:rsidRPr="006F0999">
        <w:rPr>
          <w:sz w:val="20"/>
          <w:szCs w:val="20"/>
          <w:lang w:val="fr-FR"/>
        </w:rPr>
        <w:t>, vol 1 (Dalloz, Paris, 2011) 388 ff and Oliver Beaud, ‘L’Etat’, in ibid 214 ff.</w:t>
      </w:r>
    </w:p>
  </w:footnote>
  <w:footnote w:id="57">
    <w:p w14:paraId="2182F2CC"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For some comparative empirical data on the length of constitutional texts, see Luc Heuschling, ‘La Constitution formelle’, in Michel Troper and Dominique Chagnollaud</w:t>
      </w:r>
      <w:r w:rsidRPr="006F0999" w:rsidDel="00F5591F">
        <w:rPr>
          <w:sz w:val="20"/>
          <w:szCs w:val="20"/>
          <w:lang w:val="fr-FR"/>
        </w:rPr>
        <w:t xml:space="preserve"> </w:t>
      </w:r>
      <w:r w:rsidRPr="006F0999">
        <w:rPr>
          <w:sz w:val="20"/>
          <w:szCs w:val="20"/>
          <w:lang w:val="fr-FR"/>
        </w:rPr>
        <w:t xml:space="preserve">(eds), </w:t>
      </w:r>
      <w:r w:rsidRPr="006F0999">
        <w:rPr>
          <w:i/>
          <w:sz w:val="20"/>
          <w:szCs w:val="20"/>
          <w:lang w:val="fr-FR"/>
        </w:rPr>
        <w:t>Traité international de droit constitutionnel</w:t>
      </w:r>
      <w:r w:rsidRPr="006F0999">
        <w:rPr>
          <w:sz w:val="20"/>
          <w:szCs w:val="20"/>
          <w:lang w:val="fr-FR"/>
        </w:rPr>
        <w:t>, vol 1 (Dalloz, Paris, 2012) 290 ff.</w:t>
      </w:r>
    </w:p>
  </w:footnote>
  <w:footnote w:id="58">
    <w:p w14:paraId="37A94B6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Implicitly in art 3 of the Constitutional Act of 25 February 1875.</w:t>
      </w:r>
    </w:p>
  </w:footnote>
  <w:footnote w:id="59">
    <w:p w14:paraId="74BDCF2E" w14:textId="77777777" w:rsidR="0089313D" w:rsidRPr="006F0999" w:rsidRDefault="0089313D" w:rsidP="00DE2EDF">
      <w:pPr>
        <w:pStyle w:val="FootnoteText"/>
        <w:spacing w:line="276" w:lineRule="auto"/>
        <w:rPr>
          <w:b/>
          <w:sz w:val="20"/>
          <w:szCs w:val="20"/>
        </w:rPr>
      </w:pPr>
      <w:r w:rsidRPr="006F0999">
        <w:rPr>
          <w:rStyle w:val="FootnoteReference"/>
          <w:sz w:val="20"/>
          <w:szCs w:val="20"/>
        </w:rPr>
        <w:footnoteRef/>
      </w:r>
      <w:r w:rsidRPr="006F0999">
        <w:rPr>
          <w:sz w:val="20"/>
          <w:szCs w:val="20"/>
        </w:rPr>
        <w:t xml:space="preserve"> </w:t>
      </w:r>
      <w:r w:rsidRPr="006F0999">
        <w:rPr>
          <w:i/>
          <w:sz w:val="20"/>
          <w:szCs w:val="20"/>
        </w:rPr>
        <w:t>Conseil d’Etat</w:t>
      </w:r>
      <w:r w:rsidRPr="006F0999">
        <w:rPr>
          <w:sz w:val="20"/>
          <w:szCs w:val="20"/>
        </w:rPr>
        <w:t xml:space="preserve">, 28.06.1918, </w:t>
      </w:r>
      <w:r w:rsidRPr="006F0999">
        <w:rPr>
          <w:i/>
          <w:sz w:val="20"/>
          <w:szCs w:val="20"/>
        </w:rPr>
        <w:t>Heyriès</w:t>
      </w:r>
      <w:r w:rsidRPr="006F0999">
        <w:rPr>
          <w:sz w:val="20"/>
          <w:szCs w:val="20"/>
        </w:rPr>
        <w:t xml:space="preserve"> (recognizing to the government the power of suspending laws during World War One) and </w:t>
      </w:r>
      <w:r w:rsidRPr="006F0999">
        <w:rPr>
          <w:i/>
          <w:sz w:val="20"/>
          <w:szCs w:val="20"/>
        </w:rPr>
        <w:t>Conseil d’État</w:t>
      </w:r>
      <w:r w:rsidRPr="006F0999">
        <w:rPr>
          <w:sz w:val="20"/>
          <w:szCs w:val="20"/>
        </w:rPr>
        <w:t xml:space="preserve">, 08.08.1919, </w:t>
      </w:r>
      <w:r w:rsidRPr="006F0999">
        <w:rPr>
          <w:i/>
          <w:sz w:val="20"/>
          <w:szCs w:val="20"/>
        </w:rPr>
        <w:t>Labonne</w:t>
      </w:r>
      <w:r w:rsidRPr="006F0999">
        <w:rPr>
          <w:sz w:val="20"/>
          <w:szCs w:val="20"/>
        </w:rPr>
        <w:t xml:space="preserve"> (recognizing the President’s autonomous rule-making powers). Both decisions are based by the Council of State on art 3 of the Constitutional Act of 25 February 1875. </w:t>
      </w:r>
    </w:p>
  </w:footnote>
  <w:footnote w:id="60">
    <w:p w14:paraId="30C21D16"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Henry Berthélemy, </w:t>
      </w:r>
      <w:r w:rsidRPr="006F0999">
        <w:rPr>
          <w:i/>
          <w:sz w:val="20"/>
          <w:szCs w:val="20"/>
          <w:lang w:val="fr-FR"/>
        </w:rPr>
        <w:t>Traité élémentaire de droit administratif</w:t>
      </w:r>
      <w:r w:rsidRPr="006F0999">
        <w:rPr>
          <w:sz w:val="20"/>
          <w:szCs w:val="20"/>
          <w:lang w:val="fr-FR"/>
        </w:rPr>
        <w:t xml:space="preserve"> (9th edn, Rousseau, Paris, 1920) 9; Raymond Carré de Malberg, </w:t>
      </w:r>
      <w:r w:rsidRPr="006F0999">
        <w:rPr>
          <w:i/>
          <w:sz w:val="20"/>
          <w:szCs w:val="20"/>
          <w:lang w:val="fr-FR"/>
        </w:rPr>
        <w:t>Contribution à la théorie générale de l'État</w:t>
      </w:r>
      <w:r w:rsidRPr="006F0999">
        <w:rPr>
          <w:sz w:val="20"/>
          <w:szCs w:val="20"/>
          <w:lang w:val="fr-FR"/>
        </w:rPr>
        <w:t>, vol 1 (Sirey, Paris, 1920) 474 ff (‘The constitutional concept of administrative function’).</w:t>
      </w:r>
    </w:p>
  </w:footnote>
  <w:footnote w:id="61">
    <w:p w14:paraId="21E294C2"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below D.</w:t>
      </w:r>
    </w:p>
  </w:footnote>
  <w:footnote w:id="62">
    <w:p w14:paraId="0C71A00F"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Grégoire Bigot, ‘Les bases constitutionnelles du droit administratif avant 1875’ (2003) Rfda 218 ff.</w:t>
      </w:r>
    </w:p>
  </w:footnote>
  <w:footnote w:id="63">
    <w:p w14:paraId="7E16212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n 4.</w:t>
      </w:r>
    </w:p>
  </w:footnote>
  <w:footnote w:id="64">
    <w:p w14:paraId="3203073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Frequently, however, ordinary courts have been, and continue to be, prohibited from determining the constitutionality of some or all statutes. For example, in France (Constitutions of 1791 and 1793; the case law of the </w:t>
      </w:r>
      <w:r w:rsidRPr="006F0999">
        <w:rPr>
          <w:i/>
          <w:sz w:val="20"/>
          <w:szCs w:val="20"/>
        </w:rPr>
        <w:t>Conseil d’Etat</w:t>
      </w:r>
      <w:r w:rsidRPr="006F0999">
        <w:rPr>
          <w:sz w:val="20"/>
          <w:szCs w:val="20"/>
        </w:rPr>
        <w:t xml:space="preserve">, 11 June 1936, </w:t>
      </w:r>
      <w:r w:rsidRPr="006F0999">
        <w:rPr>
          <w:i/>
          <w:sz w:val="20"/>
          <w:szCs w:val="20"/>
        </w:rPr>
        <w:t>Arrighi</w:t>
      </w:r>
      <w:r w:rsidRPr="006F0999">
        <w:rPr>
          <w:sz w:val="20"/>
          <w:szCs w:val="20"/>
        </w:rPr>
        <w:t xml:space="preserve">, on the doctrine of the ‘Loi-écran’ [the screen function of statutes]), in the United Kingdom (the principle of parliamentary sovereignty), in Germany (in the nineteenth century; today, art 100 para 1 of the </w:t>
      </w:r>
      <w:r w:rsidRPr="006F0999">
        <w:rPr>
          <w:i/>
          <w:sz w:val="20"/>
          <w:szCs w:val="20"/>
        </w:rPr>
        <w:t>Grundgesetz</w:t>
      </w:r>
      <w:r w:rsidRPr="006F0999">
        <w:rPr>
          <w:sz w:val="20"/>
          <w:szCs w:val="20"/>
        </w:rPr>
        <w:t xml:space="preserve">), in Poland (art 81 Constitution 1921), in Finland (from 1919 until 2000), in Belgium (from 1831 to date), in </w:t>
      </w:r>
      <w:r>
        <w:rPr>
          <w:sz w:val="20"/>
          <w:szCs w:val="20"/>
        </w:rPr>
        <w:t xml:space="preserve">the </w:t>
      </w:r>
      <w:r w:rsidRPr="006F0999">
        <w:rPr>
          <w:sz w:val="20"/>
          <w:szCs w:val="20"/>
        </w:rPr>
        <w:t xml:space="preserve">Netherlands (since 1848, now art 120 </w:t>
      </w:r>
      <w:r w:rsidRPr="006F0999">
        <w:rPr>
          <w:i/>
          <w:sz w:val="20"/>
          <w:szCs w:val="20"/>
        </w:rPr>
        <w:t>Grondwet</w:t>
      </w:r>
      <w:r w:rsidRPr="006F0999">
        <w:rPr>
          <w:sz w:val="20"/>
          <w:szCs w:val="20"/>
        </w:rPr>
        <w:t xml:space="preserve">), in Luxembourg (from 1841 to date), in Austria (in the past art 7 of the 1867 </w:t>
      </w:r>
      <w:r w:rsidRPr="006F0999">
        <w:rPr>
          <w:i/>
          <w:sz w:val="20"/>
          <w:szCs w:val="20"/>
        </w:rPr>
        <w:t>Grundgesetz</w:t>
      </w:r>
      <w:r w:rsidRPr="006F0999">
        <w:rPr>
          <w:sz w:val="20"/>
          <w:szCs w:val="20"/>
        </w:rPr>
        <w:t xml:space="preserve"> on Judicial power, today art 89 para 1 of the </w:t>
      </w:r>
      <w:r w:rsidRPr="006F0999">
        <w:rPr>
          <w:i/>
          <w:iCs w:val="0"/>
          <w:sz w:val="20"/>
          <w:szCs w:val="20"/>
          <w:lang w:val="en-GB"/>
        </w:rPr>
        <w:t>Bundes-Verfassungsgesetz</w:t>
      </w:r>
      <w:r w:rsidRPr="006F0999">
        <w:rPr>
          <w:sz w:val="20"/>
          <w:szCs w:val="20"/>
        </w:rPr>
        <w:t xml:space="preserve"> of 1920), in Switzerland (art 113 of the Constitution of 1874, art 190 of the Federal Constitution of 1999). In some rare cases, judges were even prohibited from reviewing regulations issued by the executive (see art 106 of the Prussian Constitution of 1850).</w:t>
      </w:r>
    </w:p>
  </w:footnote>
  <w:footnote w:id="65">
    <w:p w14:paraId="3937F92F" w14:textId="48CD671D"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Examples, England (</w:t>
      </w:r>
      <w:r w:rsidRPr="006F0999">
        <w:rPr>
          <w:i/>
          <w:sz w:val="20"/>
          <w:szCs w:val="20"/>
        </w:rPr>
        <w:t>Dr. Bonham</w:t>
      </w:r>
      <w:r w:rsidRPr="000E584C">
        <w:rPr>
          <w:i/>
          <w:sz w:val="20"/>
          <w:szCs w:val="20"/>
        </w:rPr>
        <w:t>’</w:t>
      </w:r>
      <w:r w:rsidRPr="006F0999">
        <w:rPr>
          <w:i/>
          <w:sz w:val="20"/>
          <w:szCs w:val="20"/>
        </w:rPr>
        <w:t>s Case</w:t>
      </w:r>
      <w:r w:rsidRPr="006F0999">
        <w:rPr>
          <w:sz w:val="20"/>
          <w:szCs w:val="20"/>
        </w:rPr>
        <w:t>, 1610), Greece, Norway (since the 1890s), Canton of Geneva (since 1890), France (during the Second Republic) and Germany (during the Weimar Republic).</w:t>
      </w:r>
    </w:p>
  </w:footnote>
  <w:footnote w:id="66">
    <w:p w14:paraId="335F48C1" w14:textId="36AFDF39" w:rsidR="0089313D" w:rsidRPr="006F0999" w:rsidRDefault="0089313D" w:rsidP="0006189D">
      <w:pPr>
        <w:pStyle w:val="FootnoteText"/>
        <w:spacing w:line="276" w:lineRule="auto"/>
        <w:rPr>
          <w:sz w:val="20"/>
          <w:szCs w:val="20"/>
          <w:lang w:val="fr-FR"/>
        </w:rPr>
      </w:pPr>
      <w:r w:rsidRPr="006F0999">
        <w:rPr>
          <w:rStyle w:val="FootnoteReference"/>
          <w:sz w:val="20"/>
          <w:szCs w:val="20"/>
        </w:rPr>
        <w:footnoteRef/>
      </w:r>
      <w:r w:rsidRPr="006379C3">
        <w:rPr>
          <w:sz w:val="20"/>
          <w:lang w:val="fr-LU"/>
        </w:rPr>
        <w:t xml:space="preserve"> For France, see Francine Batailler, </w:t>
      </w:r>
      <w:r w:rsidRPr="006379C3">
        <w:rPr>
          <w:i/>
          <w:sz w:val="20"/>
          <w:lang w:val="fr-LU"/>
        </w:rPr>
        <w:t xml:space="preserve">Le Conseil </w:t>
      </w:r>
      <w:r w:rsidRPr="006F0999">
        <w:rPr>
          <w:i/>
          <w:sz w:val="20"/>
          <w:szCs w:val="20"/>
        </w:rPr>
        <w:t>d</w:t>
      </w:r>
      <w:r w:rsidRPr="000E584C">
        <w:rPr>
          <w:i/>
          <w:sz w:val="20"/>
          <w:szCs w:val="20"/>
        </w:rPr>
        <w:t>’</w:t>
      </w:r>
      <w:r>
        <w:rPr>
          <w:i/>
          <w:sz w:val="20"/>
          <w:szCs w:val="20"/>
        </w:rPr>
        <w:t>E</w:t>
      </w:r>
      <w:r w:rsidRPr="006F0999">
        <w:rPr>
          <w:i/>
          <w:sz w:val="20"/>
          <w:szCs w:val="20"/>
        </w:rPr>
        <w:t>tat</w:t>
      </w:r>
      <w:r w:rsidRPr="006379C3">
        <w:rPr>
          <w:i/>
          <w:sz w:val="20"/>
          <w:lang w:val="fr-LU"/>
        </w:rPr>
        <w:t>, juge constitutionnel</w:t>
      </w:r>
      <w:r w:rsidRPr="006379C3">
        <w:rPr>
          <w:sz w:val="20"/>
          <w:lang w:val="fr-LU"/>
        </w:rPr>
        <w:t xml:space="preserve"> (Pichon &amp; Durand-Auzias, Paris, 1966); Bruno Genevois, ‘Le Conseil </w:t>
      </w:r>
      <w:r w:rsidRPr="006F0999">
        <w:rPr>
          <w:sz w:val="20"/>
          <w:szCs w:val="20"/>
        </w:rPr>
        <w:t>d’Etat</w:t>
      </w:r>
      <w:r w:rsidRPr="006379C3">
        <w:rPr>
          <w:sz w:val="20"/>
          <w:lang w:val="fr-LU"/>
        </w:rPr>
        <w:t xml:space="preserve"> et l’application de la Constitution’, in Guillaume Drago (ed), </w:t>
      </w:r>
      <w:r w:rsidRPr="006F0999">
        <w:rPr>
          <w:i/>
          <w:sz w:val="20"/>
          <w:szCs w:val="20"/>
        </w:rPr>
        <w:t>L</w:t>
      </w:r>
      <w:r w:rsidRPr="000E584C">
        <w:rPr>
          <w:i/>
          <w:sz w:val="20"/>
          <w:szCs w:val="20"/>
        </w:rPr>
        <w:t>’</w:t>
      </w:r>
      <w:r w:rsidRPr="006F0999">
        <w:rPr>
          <w:i/>
          <w:sz w:val="20"/>
          <w:szCs w:val="20"/>
        </w:rPr>
        <w:t>application</w:t>
      </w:r>
      <w:r w:rsidRPr="006379C3">
        <w:rPr>
          <w:i/>
          <w:sz w:val="20"/>
          <w:lang w:val="fr-LU"/>
        </w:rPr>
        <w:t xml:space="preserve"> de la Constitution par les cours suprêmes</w:t>
      </w:r>
      <w:r w:rsidRPr="006379C3">
        <w:rPr>
          <w:sz w:val="20"/>
          <w:lang w:val="fr-LU"/>
        </w:rPr>
        <w:t xml:space="preserve"> (Dalloz, Paris, 2007) 31 ff. For the jurisprudence of the Dutch Hoge Raad, see Leonard Besselink, ‘Niederlande’, in Armin von Bogdandy, Pedro Cruz Villalón and Peter M Huber (eds), </w:t>
      </w:r>
      <w:r w:rsidRPr="006379C3">
        <w:rPr>
          <w:i/>
          <w:sz w:val="20"/>
          <w:lang w:val="fr-LU"/>
        </w:rPr>
        <w:t>IPE I</w:t>
      </w:r>
      <w:r w:rsidRPr="006379C3">
        <w:rPr>
          <w:sz w:val="20"/>
          <w:lang w:val="fr-LU"/>
        </w:rPr>
        <w:t xml:space="preserve"> (CF Müller, Heidelberg, 2007) 357. </w:t>
      </w:r>
      <w:r w:rsidRPr="006F0999">
        <w:rPr>
          <w:sz w:val="20"/>
          <w:szCs w:val="20"/>
        </w:rPr>
        <w:t xml:space="preserve">In Finland (art 92 para 2 of the 1919 Instrument of Government) and Belgium, it seems that this possible mobilization of the Constitution by courts in judicial review of administrative acts had not given rise to a large use. </w:t>
      </w:r>
      <w:r w:rsidRPr="006F0999">
        <w:rPr>
          <w:sz w:val="20"/>
          <w:szCs w:val="20"/>
          <w:lang w:val="fr-FR"/>
        </w:rPr>
        <w:t xml:space="preserve">See Dominique Caccamisi and Gautier Pijcke, ‘La constitutionnalisation du droit. Etude d’un bouleversement de perspective (accompli)’, in Marc Verdussen and Nicolas Bonbled (eds), </w:t>
      </w:r>
      <w:r w:rsidRPr="006F0999">
        <w:rPr>
          <w:i/>
          <w:sz w:val="20"/>
          <w:szCs w:val="20"/>
          <w:lang w:val="fr-FR"/>
        </w:rPr>
        <w:t>Les droits constitutionnels en Belgique</w:t>
      </w:r>
      <w:r w:rsidRPr="006F0999">
        <w:rPr>
          <w:sz w:val="20"/>
          <w:szCs w:val="20"/>
          <w:lang w:val="fr-FR"/>
        </w:rPr>
        <w:t>, vol 1 (Bruylant, Bruxelles, 2011) 450, 477 f; Juha Lavapuro, Tuomas Ojanen and Martin Scheinin, ‘Rights-based constitutionalism in Finland and the development of pluralist constitutional review’ (2011) 9 ICON</w:t>
      </w:r>
      <w:r w:rsidRPr="006F0999">
        <w:rPr>
          <w:rStyle w:val="Emphasis"/>
          <w:rFonts w:eastAsiaTheme="majorEastAsia"/>
          <w:bCs/>
          <w:i w:val="0"/>
          <w:sz w:val="20"/>
          <w:szCs w:val="20"/>
          <w:lang w:val="fr-FR"/>
        </w:rPr>
        <w:t xml:space="preserve"> 511.</w:t>
      </w:r>
    </w:p>
  </w:footnote>
  <w:footnote w:id="67">
    <w:p w14:paraId="6976F54B" w14:textId="77777777" w:rsidR="0089313D" w:rsidRPr="006F0999" w:rsidRDefault="0089313D" w:rsidP="0006189D">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Michel Fromont, </w:t>
      </w:r>
      <w:r w:rsidRPr="006F0999">
        <w:rPr>
          <w:i/>
          <w:sz w:val="20"/>
          <w:szCs w:val="20"/>
          <w:lang w:val="fr-FR"/>
        </w:rPr>
        <w:t>Justice constitutionnelle comparée</w:t>
      </w:r>
      <w:r w:rsidRPr="006F0999">
        <w:rPr>
          <w:sz w:val="20"/>
          <w:szCs w:val="20"/>
          <w:lang w:val="fr-FR"/>
        </w:rPr>
        <w:t xml:space="preserve"> (n 5); Luc Heuschling, ‘Justice constitutionnelle et justice ordinaire’ (n </w:t>
      </w:r>
      <w:r w:rsidRPr="006F0999">
        <w:rPr>
          <w:sz w:val="20"/>
          <w:szCs w:val="20"/>
        </w:rPr>
        <w:fldChar w:fldCharType="begin"/>
      </w:r>
      <w:r w:rsidRPr="006F0999">
        <w:rPr>
          <w:sz w:val="20"/>
          <w:szCs w:val="20"/>
          <w:lang w:val="fr-FR"/>
        </w:rPr>
        <w:instrText xml:space="preserve"> NOTEREF _ftnref4 \h  \* MERGEFORMAT </w:instrText>
      </w:r>
      <w:r w:rsidRPr="006F0999">
        <w:rPr>
          <w:sz w:val="20"/>
          <w:szCs w:val="20"/>
        </w:rPr>
      </w:r>
      <w:r w:rsidRPr="006F0999">
        <w:rPr>
          <w:sz w:val="20"/>
          <w:szCs w:val="20"/>
        </w:rPr>
        <w:fldChar w:fldCharType="separate"/>
      </w:r>
      <w:r w:rsidRPr="006F0999">
        <w:rPr>
          <w:sz w:val="20"/>
          <w:szCs w:val="20"/>
          <w:lang w:val="fr-FR"/>
        </w:rPr>
        <w:t>5</w:t>
      </w:r>
      <w:r w:rsidRPr="006F0999">
        <w:rPr>
          <w:sz w:val="20"/>
          <w:szCs w:val="20"/>
        </w:rPr>
        <w:fldChar w:fldCharType="end"/>
      </w:r>
      <w:r w:rsidRPr="006F0999">
        <w:rPr>
          <w:sz w:val="20"/>
          <w:szCs w:val="20"/>
          <w:lang w:val="fr-FR"/>
        </w:rPr>
        <w:t>) 103 ff.</w:t>
      </w:r>
    </w:p>
  </w:footnote>
  <w:footnote w:id="68">
    <w:p w14:paraId="13AD2EA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Benjamin Schindler, ‘Switzerland’, </w:t>
      </w:r>
      <w:r w:rsidRPr="006F0999">
        <w:rPr>
          <w:i/>
          <w:sz w:val="20"/>
          <w:szCs w:val="20"/>
        </w:rPr>
        <w:t>in this volume</w:t>
      </w:r>
      <w:r w:rsidRPr="006F0999">
        <w:rPr>
          <w:sz w:val="20"/>
          <w:szCs w:val="20"/>
        </w:rPr>
        <w:t xml:space="preserve">, </w:t>
      </w:r>
      <w:r w:rsidRPr="006F0999">
        <w:rPr>
          <w:sz w:val="20"/>
          <w:szCs w:val="20"/>
          <w:highlight w:val="yellow"/>
        </w:rPr>
        <w:t>XXX, XXX (§ 49 mn 10, 12 ff, 19, and 25 ff</w:t>
      </w:r>
      <w:r w:rsidRPr="006F0999">
        <w:rPr>
          <w:sz w:val="20"/>
          <w:szCs w:val="20"/>
        </w:rPr>
        <w:t>).</w:t>
      </w:r>
    </w:p>
  </w:footnote>
  <w:footnote w:id="69">
    <w:p w14:paraId="75E30EB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Art 113 para 3 of the 1874 Constitution entitled the Federal Court to protect the ‘constitutional rights of citizens’ against cantonal decisions.</w:t>
      </w:r>
    </w:p>
  </w:footnote>
  <w:footnote w:id="70">
    <w:p w14:paraId="22B9353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In some countries, establishing criminal liability of high ranking political actors (heads of state, etc.), who are accused of having violated the Constitution, is part of the jurisdiction of the constitutional court. It would be quite difficult for an administrative court (but not for a criminal court) to claim competence in this field. </w:t>
      </w:r>
    </w:p>
  </w:footnote>
  <w:footnote w:id="71">
    <w:p w14:paraId="363C3137" w14:textId="77777777" w:rsidR="0089313D" w:rsidRPr="006F0999" w:rsidRDefault="0089313D" w:rsidP="00DE2EDF">
      <w:pPr>
        <w:pStyle w:val="FootnoteText"/>
        <w:spacing w:line="276" w:lineRule="auto"/>
        <w:rPr>
          <w:i/>
          <w:sz w:val="20"/>
          <w:szCs w:val="20"/>
        </w:rPr>
      </w:pPr>
      <w:r w:rsidRPr="006F0999">
        <w:rPr>
          <w:rStyle w:val="FootnoteReference"/>
          <w:sz w:val="20"/>
          <w:szCs w:val="20"/>
        </w:rPr>
        <w:footnoteRef/>
      </w:r>
      <w:r w:rsidRPr="006F0999">
        <w:rPr>
          <w:sz w:val="20"/>
          <w:szCs w:val="20"/>
        </w:rPr>
        <w:t xml:space="preserve"> Two other (minor) models may be contrasted to this mainstream evolution. In the first alternative model, both areas of study are established simultaneously. This happened in Greece when, in 1837, the newly founded University of Athens created, at the very outset, a chair for constitutional law and a chair for administrative law. See Theodoros Panagopoulos, ‘Griechenland’, in Erk V</w:t>
      </w:r>
      <w:r w:rsidRPr="006F0999">
        <w:rPr>
          <w:rStyle w:val="st1"/>
          <w:color w:val="545454"/>
          <w:sz w:val="20"/>
          <w:szCs w:val="20"/>
        </w:rPr>
        <w:t xml:space="preserve"> </w:t>
      </w:r>
      <w:r w:rsidRPr="006F0999">
        <w:rPr>
          <w:sz w:val="20"/>
          <w:szCs w:val="20"/>
        </w:rPr>
        <w:t xml:space="preserve">Heyen (ed), </w:t>
      </w:r>
      <w:r w:rsidRPr="006F0999">
        <w:rPr>
          <w:i/>
          <w:sz w:val="20"/>
          <w:szCs w:val="20"/>
        </w:rPr>
        <w:t>Geschichte der Verwaltungsrechtswissenschaft in Europa</w:t>
      </w:r>
      <w:r w:rsidRPr="006F0999">
        <w:rPr>
          <w:sz w:val="20"/>
          <w:szCs w:val="20"/>
        </w:rPr>
        <w:t xml:space="preserve"> (Klostermann, Frankfurt am Main, 1982) 81 ff. The same happened in Belgium with the Act of Parliament of 27 September 1835 on higher education, art 3, see Yves Chapel, ‘Belgique’, in ibid 1 ff. In the second alternative model, administrative law scholarship succeeded in taking root at university before the politically controversial discipline of constitutional law. On this hypothesis, illustrated by France, see the following para under B. 4. b). A puzzling case is ninteenth-century Spain, which is difficult to classify, see Alberto G Anabitarte, </w:t>
      </w:r>
      <w:r w:rsidRPr="006F0999">
        <w:rPr>
          <w:i/>
          <w:sz w:val="20"/>
          <w:szCs w:val="20"/>
        </w:rPr>
        <w:t>Formación y enseñanza del derecho público en España (1769–2000)</w:t>
      </w:r>
      <w:r w:rsidRPr="006F0999">
        <w:rPr>
          <w:sz w:val="20"/>
          <w:szCs w:val="20"/>
        </w:rPr>
        <w:t xml:space="preserve"> (n </w:t>
      </w:r>
      <w:r w:rsidRPr="006F0999">
        <w:rPr>
          <w:sz w:val="20"/>
          <w:szCs w:val="20"/>
        </w:rPr>
        <w:fldChar w:fldCharType="begin"/>
      </w:r>
      <w:r w:rsidRPr="006F0999">
        <w:rPr>
          <w:sz w:val="20"/>
          <w:szCs w:val="20"/>
        </w:rPr>
        <w:instrText xml:space="preserve"> NOTEREF _Ref457828586 \h  \* MERGEFORMAT </w:instrText>
      </w:r>
      <w:r w:rsidRPr="006F0999">
        <w:rPr>
          <w:sz w:val="20"/>
          <w:szCs w:val="20"/>
        </w:rPr>
      </w:r>
      <w:r w:rsidRPr="006F0999">
        <w:rPr>
          <w:sz w:val="20"/>
          <w:szCs w:val="20"/>
        </w:rPr>
        <w:fldChar w:fldCharType="separate"/>
      </w:r>
      <w:r w:rsidRPr="006F0999">
        <w:rPr>
          <w:sz w:val="20"/>
          <w:szCs w:val="20"/>
        </w:rPr>
        <w:t>25</w:t>
      </w:r>
      <w:r w:rsidRPr="006F0999">
        <w:rPr>
          <w:sz w:val="20"/>
          <w:szCs w:val="20"/>
        </w:rPr>
        <w:fldChar w:fldCharType="end"/>
      </w:r>
      <w:r w:rsidRPr="006F0999">
        <w:rPr>
          <w:sz w:val="20"/>
          <w:szCs w:val="20"/>
        </w:rPr>
        <w:t>) chapter 5 and 6.</w:t>
      </w:r>
    </w:p>
  </w:footnote>
  <w:footnote w:id="72">
    <w:p w14:paraId="3E38CC7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in Armin von Bogdandy, Sabino Cassese and Peter M Huber (eds), </w:t>
      </w:r>
      <w:r w:rsidRPr="006F0999">
        <w:rPr>
          <w:i/>
          <w:sz w:val="20"/>
          <w:szCs w:val="20"/>
        </w:rPr>
        <w:t xml:space="preserve">IPE IV </w:t>
      </w:r>
      <w:r w:rsidRPr="006F0999">
        <w:rPr>
          <w:sz w:val="20"/>
          <w:szCs w:val="20"/>
        </w:rPr>
        <w:t>(n 37), the contributions relating to administrative law science in Germany: Walter Pauly, ‘Deutschland’ 44 ff; Austria: Barbara Leitl-Staudinger, ‘Österreich’ 201; Switzerland: Pierre Tschannen, ‘Schweiz’ 300 f, the United Kingdom: Thomas Poole, ‘Großbritannien’ 127; see also above A. 2. b). See also Herman van den Brink, ‘Niederlande’, in Erk V</w:t>
      </w:r>
      <w:r w:rsidRPr="006F0999">
        <w:rPr>
          <w:rStyle w:val="st1"/>
          <w:color w:val="545454"/>
          <w:sz w:val="20"/>
          <w:szCs w:val="20"/>
        </w:rPr>
        <w:t xml:space="preserve"> </w:t>
      </w:r>
      <w:r w:rsidRPr="006F0999">
        <w:rPr>
          <w:sz w:val="20"/>
          <w:szCs w:val="20"/>
        </w:rPr>
        <w:t xml:space="preserve">Heyen (ed), </w:t>
      </w:r>
      <w:r w:rsidRPr="006F0999">
        <w:rPr>
          <w:i/>
          <w:sz w:val="20"/>
          <w:szCs w:val="20"/>
        </w:rPr>
        <w:t>Geschichte der Verwaltungsrechtswissenschaft in Europa</w:t>
      </w:r>
      <w:r w:rsidRPr="006F0999" w:rsidDel="00741AD5">
        <w:rPr>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_Ref294735479 \h  \* MERGEFORMAT </w:instrText>
      </w:r>
      <w:r w:rsidRPr="006F0999">
        <w:rPr>
          <w:sz w:val="20"/>
          <w:szCs w:val="20"/>
        </w:rPr>
      </w:r>
      <w:r w:rsidRPr="006F0999">
        <w:rPr>
          <w:sz w:val="20"/>
          <w:szCs w:val="20"/>
        </w:rPr>
        <w:fldChar w:fldCharType="separate"/>
      </w:r>
      <w:r w:rsidRPr="006F0999">
        <w:rPr>
          <w:sz w:val="20"/>
          <w:szCs w:val="20"/>
        </w:rPr>
        <w:t>69</w:t>
      </w:r>
      <w:r w:rsidRPr="006F0999">
        <w:rPr>
          <w:sz w:val="20"/>
          <w:szCs w:val="20"/>
        </w:rPr>
        <w:fldChar w:fldCharType="end"/>
      </w:r>
      <w:r w:rsidRPr="006F0999">
        <w:rPr>
          <w:sz w:val="20"/>
          <w:szCs w:val="20"/>
        </w:rPr>
        <w:t xml:space="preserve">) 117 ff; Remco Nehmelman, ‘Niederlande’, in Armin von Bogdandy, Pedro Cruz Villalón and Peter M Huber, </w:t>
      </w:r>
      <w:r w:rsidRPr="006F0999">
        <w:rPr>
          <w:i/>
          <w:sz w:val="20"/>
          <w:szCs w:val="20"/>
        </w:rPr>
        <w:t>IPE II</w:t>
      </w:r>
      <w:r w:rsidRPr="006F0999">
        <w:rPr>
          <w:sz w:val="20"/>
          <w:szCs w:val="20"/>
        </w:rPr>
        <w:t xml:space="preserve"> (n </w:t>
      </w:r>
      <w:r w:rsidRPr="006F0999">
        <w:rPr>
          <w:sz w:val="20"/>
          <w:szCs w:val="20"/>
        </w:rPr>
        <w:fldChar w:fldCharType="begin"/>
      </w:r>
      <w:r w:rsidRPr="006F0999">
        <w:rPr>
          <w:sz w:val="20"/>
          <w:szCs w:val="20"/>
        </w:rPr>
        <w:instrText xml:space="preserve"> NOTEREF _Ref457826505 \h  \* MERGEFORMAT </w:instrText>
      </w:r>
      <w:r w:rsidRPr="006F0999">
        <w:rPr>
          <w:sz w:val="20"/>
          <w:szCs w:val="20"/>
        </w:rPr>
      </w:r>
      <w:r w:rsidRPr="006F0999">
        <w:rPr>
          <w:sz w:val="20"/>
          <w:szCs w:val="20"/>
        </w:rPr>
        <w:fldChar w:fldCharType="separate"/>
      </w:r>
      <w:r w:rsidRPr="006F0999">
        <w:rPr>
          <w:sz w:val="20"/>
          <w:szCs w:val="20"/>
        </w:rPr>
        <w:t>11</w:t>
      </w:r>
      <w:r w:rsidRPr="006F0999">
        <w:rPr>
          <w:sz w:val="20"/>
          <w:szCs w:val="20"/>
        </w:rPr>
        <w:fldChar w:fldCharType="end"/>
      </w:r>
      <w:r w:rsidRPr="006F0999">
        <w:rPr>
          <w:sz w:val="20"/>
          <w:szCs w:val="20"/>
        </w:rPr>
        <w:t>) 613; Fausto de Quadros, ‘Portugal’, in Erk V</w:t>
      </w:r>
      <w:r w:rsidRPr="006F0999">
        <w:rPr>
          <w:rStyle w:val="st1"/>
          <w:color w:val="545454"/>
          <w:sz w:val="20"/>
          <w:szCs w:val="20"/>
        </w:rPr>
        <w:t xml:space="preserve"> </w:t>
      </w:r>
      <w:r w:rsidRPr="006F0999">
        <w:rPr>
          <w:sz w:val="20"/>
          <w:szCs w:val="20"/>
        </w:rPr>
        <w:t xml:space="preserve">Heyen (ed), </w:t>
      </w:r>
      <w:r w:rsidRPr="006F0999">
        <w:rPr>
          <w:i/>
          <w:sz w:val="20"/>
          <w:szCs w:val="20"/>
        </w:rPr>
        <w:t>Geschichte der Verwaltungsrechtswissenschaft in Europa</w:t>
      </w:r>
      <w:r w:rsidRPr="006F0999" w:rsidDel="00741AD5">
        <w:rPr>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_Ref294735479 \h  \* MERGEFORMAT </w:instrText>
      </w:r>
      <w:r w:rsidRPr="006F0999">
        <w:rPr>
          <w:sz w:val="20"/>
          <w:szCs w:val="20"/>
        </w:rPr>
      </w:r>
      <w:r w:rsidRPr="006F0999">
        <w:rPr>
          <w:sz w:val="20"/>
          <w:szCs w:val="20"/>
        </w:rPr>
        <w:fldChar w:fldCharType="separate"/>
      </w:r>
      <w:r w:rsidRPr="006F0999">
        <w:rPr>
          <w:sz w:val="20"/>
          <w:szCs w:val="20"/>
        </w:rPr>
        <w:t>69</w:t>
      </w:r>
      <w:r w:rsidRPr="006F0999">
        <w:rPr>
          <w:sz w:val="20"/>
          <w:szCs w:val="20"/>
        </w:rPr>
        <w:fldChar w:fldCharType="end"/>
      </w:r>
      <w:r w:rsidRPr="006F0999">
        <w:rPr>
          <w:sz w:val="20"/>
          <w:szCs w:val="20"/>
        </w:rPr>
        <w:t>) 117 ff, 161 ff. In this context, the study of administrative law was either born or it was reformed in the new spirit of liberalism as in many countries, a science of ‘police’ (</w:t>
      </w:r>
      <w:r w:rsidRPr="006F0999">
        <w:rPr>
          <w:i/>
          <w:sz w:val="20"/>
          <w:szCs w:val="20"/>
        </w:rPr>
        <w:t>Polizeiwissenschaft</w:t>
      </w:r>
      <w:r w:rsidRPr="006F0999">
        <w:rPr>
          <w:sz w:val="20"/>
          <w:szCs w:val="20"/>
        </w:rPr>
        <w:t>) had already developed since the sixteenth century.</w:t>
      </w:r>
    </w:p>
  </w:footnote>
  <w:footnote w:id="73">
    <w:p w14:paraId="2408E7F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Germany, see Michael Stolleis, </w:t>
      </w:r>
      <w:r w:rsidRPr="006F0999">
        <w:rPr>
          <w:i/>
          <w:sz w:val="20"/>
          <w:szCs w:val="20"/>
        </w:rPr>
        <w:t>Geschichte des öffentlichen Rechts in Deutschland</w:t>
      </w:r>
      <w:r w:rsidRPr="006F0999">
        <w:rPr>
          <w:sz w:val="20"/>
          <w:szCs w:val="20"/>
        </w:rPr>
        <w:t xml:space="preserve">, vol 2 (CH Beck, Munich, 1992) 381, 193 ff, and the structure of the pioneering work of Robert von Mohl, </w:t>
      </w:r>
      <w:r w:rsidRPr="006F0999">
        <w:rPr>
          <w:i/>
          <w:sz w:val="20"/>
          <w:szCs w:val="20"/>
        </w:rPr>
        <w:t>Das Staatsrecht des Königreiches Württemberg</w:t>
      </w:r>
      <w:r w:rsidRPr="006F0999">
        <w:rPr>
          <w:sz w:val="20"/>
          <w:szCs w:val="20"/>
        </w:rPr>
        <w:t xml:space="preserve"> (Laupp, Tübingen, 1829), the first volume of which was dedicated to constitutional law and the second to ‘administrative law’ (‘</w:t>
      </w:r>
      <w:r w:rsidRPr="006F0999">
        <w:rPr>
          <w:i/>
          <w:sz w:val="20"/>
          <w:szCs w:val="20"/>
        </w:rPr>
        <w:t>Verwaltungs-Recht</w:t>
      </w:r>
      <w:r w:rsidRPr="006F0999">
        <w:rPr>
          <w:sz w:val="20"/>
          <w:szCs w:val="20"/>
        </w:rPr>
        <w:t>’).</w:t>
      </w:r>
    </w:p>
  </w:footnote>
  <w:footnote w:id="74">
    <w:p w14:paraId="04B8D14C"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Poul Meyer, ‘Dänemark’, in Erk V Heyen (ed), </w:t>
      </w:r>
      <w:r w:rsidRPr="006F0999">
        <w:rPr>
          <w:i/>
          <w:sz w:val="20"/>
          <w:szCs w:val="20"/>
          <w:lang w:val="de-DE"/>
        </w:rPr>
        <w:t>Geschichte der Verwaltungsrechtswissenschaft in Europa</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_Ref294735479 \h  \* MERGEFORMAT </w:instrText>
      </w:r>
      <w:r w:rsidRPr="006F0999">
        <w:rPr>
          <w:sz w:val="20"/>
          <w:szCs w:val="20"/>
        </w:rPr>
      </w:r>
      <w:r w:rsidRPr="006F0999">
        <w:rPr>
          <w:sz w:val="20"/>
          <w:szCs w:val="20"/>
        </w:rPr>
        <w:fldChar w:fldCharType="separate"/>
      </w:r>
      <w:r w:rsidRPr="006F0999">
        <w:rPr>
          <w:sz w:val="20"/>
          <w:szCs w:val="20"/>
          <w:lang w:val="de-DE"/>
        </w:rPr>
        <w:t>69</w:t>
      </w:r>
      <w:r w:rsidRPr="006F0999">
        <w:rPr>
          <w:sz w:val="20"/>
          <w:szCs w:val="20"/>
        </w:rPr>
        <w:fldChar w:fldCharType="end"/>
      </w:r>
      <w:r w:rsidRPr="006F0999">
        <w:rPr>
          <w:sz w:val="20"/>
          <w:szCs w:val="20"/>
          <w:lang w:val="de-DE"/>
        </w:rPr>
        <w:t>) 20 f.</w:t>
      </w:r>
    </w:p>
  </w:footnote>
  <w:footnote w:id="75">
    <w:p w14:paraId="4141F1CE"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Michael Stolleis, </w:t>
      </w:r>
      <w:r w:rsidRPr="006F0999">
        <w:rPr>
          <w:i/>
          <w:sz w:val="20"/>
          <w:szCs w:val="20"/>
          <w:lang w:val="de-DE"/>
        </w:rPr>
        <w:t>Geschichte des öffentlichen Rechts in Deutschland</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_Ref401126622 \h  \* MERGEFORMAT </w:instrText>
      </w:r>
      <w:r w:rsidRPr="006F0999">
        <w:rPr>
          <w:sz w:val="20"/>
          <w:szCs w:val="20"/>
        </w:rPr>
      </w:r>
      <w:r w:rsidRPr="006F0999">
        <w:rPr>
          <w:sz w:val="20"/>
          <w:szCs w:val="20"/>
        </w:rPr>
        <w:fldChar w:fldCharType="separate"/>
      </w:r>
      <w:r w:rsidRPr="006F0999">
        <w:rPr>
          <w:sz w:val="20"/>
          <w:szCs w:val="20"/>
          <w:lang w:val="de-DE"/>
        </w:rPr>
        <w:t>30</w:t>
      </w:r>
      <w:r w:rsidRPr="006F0999">
        <w:rPr>
          <w:sz w:val="20"/>
          <w:szCs w:val="20"/>
        </w:rPr>
        <w:fldChar w:fldCharType="end"/>
      </w:r>
      <w:r w:rsidRPr="006F0999">
        <w:rPr>
          <w:sz w:val="20"/>
          <w:szCs w:val="20"/>
          <w:lang w:val="de-DE"/>
        </w:rPr>
        <w:t xml:space="preserve">) 380 ff and 394 ff. The first textbook dedicated exclusively to administrative law was Joseph Pözl, </w:t>
      </w:r>
      <w:r w:rsidRPr="006F0999">
        <w:rPr>
          <w:i/>
          <w:sz w:val="20"/>
          <w:szCs w:val="20"/>
          <w:lang w:val="de-DE"/>
        </w:rPr>
        <w:t>Lehrbuch des bayerischen Verwaltungsrechts</w:t>
      </w:r>
      <w:r w:rsidRPr="006F0999">
        <w:rPr>
          <w:sz w:val="20"/>
          <w:szCs w:val="20"/>
          <w:lang w:val="de-DE"/>
        </w:rPr>
        <w:t xml:space="preserve"> (Bavarian administrative law) (Cotta, Munich, 1856).</w:t>
      </w:r>
    </w:p>
  </w:footnote>
  <w:footnote w:id="76">
    <w:p w14:paraId="19E63139"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Pr>
          <w:sz w:val="20"/>
          <w:szCs w:val="20"/>
          <w:lang w:val="de-DE"/>
        </w:rPr>
        <w:t xml:space="preserve"> Benjamin Schindler, ‘Schweiz’, </w:t>
      </w:r>
      <w:r w:rsidRPr="00F63605">
        <w:rPr>
          <w:i/>
          <w:sz w:val="20"/>
          <w:szCs w:val="20"/>
          <w:lang w:val="de-DE"/>
        </w:rPr>
        <w:t>in this volume</w:t>
      </w:r>
      <w:r w:rsidRPr="006F0999">
        <w:rPr>
          <w:sz w:val="20"/>
          <w:szCs w:val="20"/>
          <w:highlight w:val="yellow"/>
          <w:lang w:val="de-DE"/>
        </w:rPr>
        <w:t xml:space="preserve"> XXX, XXX (mn 12</w:t>
      </w:r>
      <w:r w:rsidRPr="006F0999">
        <w:rPr>
          <w:sz w:val="20"/>
          <w:szCs w:val="20"/>
          <w:lang w:val="de-DE"/>
        </w:rPr>
        <w:t>); Benjamin Schindler, ‘100 Jahre Verwaltungsrecht in der Schweiz’ (2011) 130 ZSR 331, 343 ff. In smaller countries, the low number of academics was often an impediment to specialization.</w:t>
      </w:r>
    </w:p>
  </w:footnote>
  <w:footnote w:id="77">
    <w:p w14:paraId="2EFB12D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As far as I am aware, there has never been a textbook entitled ‘Constitutional Law and Private Law’. William Blackstone's </w:t>
      </w:r>
      <w:r w:rsidRPr="006F0999">
        <w:rPr>
          <w:i/>
          <w:sz w:val="20"/>
          <w:szCs w:val="20"/>
        </w:rPr>
        <w:t>Commentaries on the Laws of England</w:t>
      </w:r>
      <w:r w:rsidRPr="006F0999">
        <w:rPr>
          <w:sz w:val="20"/>
          <w:szCs w:val="20"/>
        </w:rPr>
        <w:t xml:space="preserve"> (1765–1769) could be considered to come close to it; yet, the </w:t>
      </w:r>
      <w:r w:rsidRPr="006F0999">
        <w:rPr>
          <w:i/>
          <w:sz w:val="20"/>
          <w:szCs w:val="20"/>
        </w:rPr>
        <w:t>Commentaries</w:t>
      </w:r>
      <w:r w:rsidRPr="006F0999">
        <w:rPr>
          <w:sz w:val="20"/>
          <w:szCs w:val="20"/>
        </w:rPr>
        <w:t xml:space="preserve"> present the entire legal system of England, and not only two of its legal branches.</w:t>
      </w:r>
    </w:p>
  </w:footnote>
  <w:footnote w:id="78">
    <w:p w14:paraId="710E0E8D"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Luc Heuschling, ‘Frankreich’ (n 43) </w:t>
      </w:r>
      <w:r>
        <w:rPr>
          <w:sz w:val="20"/>
          <w:szCs w:val="20"/>
          <w:lang w:val="fr-FR"/>
        </w:rPr>
        <w:t>494 ff</w:t>
      </w:r>
      <w:r w:rsidRPr="006F0999">
        <w:rPr>
          <w:sz w:val="20"/>
          <w:szCs w:val="20"/>
          <w:lang w:val="fr-FR"/>
        </w:rPr>
        <w:t xml:space="preserve">; Jacques Chevallier, ‘Le droit administratif entre science administrative et droit constitutionnel’ (n </w:t>
      </w:r>
      <w:r w:rsidRPr="006F0999">
        <w:rPr>
          <w:sz w:val="20"/>
          <w:szCs w:val="20"/>
        </w:rPr>
        <w:fldChar w:fldCharType="begin"/>
      </w:r>
      <w:r w:rsidRPr="006F0999">
        <w:rPr>
          <w:sz w:val="20"/>
          <w:szCs w:val="20"/>
          <w:lang w:val="fr-FR"/>
        </w:rPr>
        <w:instrText xml:space="preserve"> NOTEREF _ftnref39 \h  \* MERGEFORMAT </w:instrText>
      </w:r>
      <w:r w:rsidRPr="006F0999">
        <w:rPr>
          <w:sz w:val="20"/>
          <w:szCs w:val="20"/>
        </w:rPr>
      </w:r>
      <w:r w:rsidRPr="006F0999">
        <w:rPr>
          <w:sz w:val="20"/>
          <w:szCs w:val="20"/>
        </w:rPr>
        <w:fldChar w:fldCharType="separate"/>
      </w:r>
      <w:r w:rsidRPr="006F0999">
        <w:rPr>
          <w:sz w:val="20"/>
          <w:szCs w:val="20"/>
          <w:lang w:val="fr-FR"/>
        </w:rPr>
        <w:t>43</w:t>
      </w:r>
      <w:r w:rsidRPr="006F0999">
        <w:rPr>
          <w:sz w:val="20"/>
          <w:szCs w:val="20"/>
        </w:rPr>
        <w:fldChar w:fldCharType="end"/>
      </w:r>
      <w:r w:rsidRPr="006F0999">
        <w:rPr>
          <w:sz w:val="20"/>
          <w:szCs w:val="20"/>
          <w:lang w:val="fr-FR"/>
        </w:rPr>
        <w:t xml:space="preserve">) 11 ff; François Burdeau, </w:t>
      </w:r>
      <w:r w:rsidRPr="006F0999">
        <w:rPr>
          <w:i/>
          <w:sz w:val="20"/>
          <w:szCs w:val="20"/>
          <w:lang w:val="fr-FR"/>
        </w:rPr>
        <w:t>Histoire du droit administratif</w:t>
      </w:r>
      <w:r w:rsidRPr="006F0999">
        <w:rPr>
          <w:sz w:val="20"/>
          <w:szCs w:val="20"/>
          <w:lang w:val="fr-FR"/>
        </w:rPr>
        <w:t xml:space="preserve"> (Presses Universitaires de France, Paris, 1995) 105 ff and 323 ff; Mathieu Touzeil-Divina, </w:t>
      </w:r>
      <w:r w:rsidRPr="006F0999">
        <w:rPr>
          <w:i/>
          <w:sz w:val="20"/>
          <w:szCs w:val="20"/>
          <w:lang w:val="fr-FR"/>
        </w:rPr>
        <w:t>Eléments d’histoire de l’enseignement du droit public</w:t>
      </w:r>
      <w:r w:rsidRPr="006F0999">
        <w:rPr>
          <w:sz w:val="20"/>
          <w:szCs w:val="20"/>
          <w:lang w:val="fr-FR"/>
        </w:rPr>
        <w:t xml:space="preserve"> (LGDJ, Paris, 2007) 439 ff; Mathieu Touzeil-Divina,</w:t>
      </w:r>
      <w:r w:rsidRPr="006F0999" w:rsidDel="00FC58A3">
        <w:rPr>
          <w:sz w:val="20"/>
          <w:szCs w:val="20"/>
          <w:lang w:val="fr-FR"/>
        </w:rPr>
        <w:t xml:space="preserve"> </w:t>
      </w:r>
      <w:r w:rsidRPr="006F0999">
        <w:rPr>
          <w:i/>
          <w:sz w:val="20"/>
          <w:szCs w:val="20"/>
          <w:lang w:val="fr-FR"/>
        </w:rPr>
        <w:t>La doctrine publiciste 1800</w:t>
      </w:r>
      <w:r w:rsidRPr="00856C75">
        <w:rPr>
          <w:i/>
          <w:sz w:val="20"/>
          <w:szCs w:val="20"/>
          <w:lang w:val="fr-FR"/>
        </w:rPr>
        <w:t>–</w:t>
      </w:r>
      <w:r w:rsidRPr="006F0999">
        <w:rPr>
          <w:i/>
          <w:sz w:val="20"/>
          <w:szCs w:val="20"/>
          <w:lang w:val="fr-FR"/>
        </w:rPr>
        <w:t>1880</w:t>
      </w:r>
      <w:r w:rsidRPr="006F0999">
        <w:rPr>
          <w:sz w:val="20"/>
          <w:szCs w:val="20"/>
          <w:lang w:val="fr-FR"/>
        </w:rPr>
        <w:t xml:space="preserve"> (La mémoire du droit, Paris, 2009).</w:t>
      </w:r>
    </w:p>
  </w:footnote>
  <w:footnote w:id="79">
    <w:p w14:paraId="435138A0" w14:textId="388854CF"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lang w:val="fr-FR"/>
        </w:rPr>
        <w:t xml:space="preserve"> In addition to the work of Laferrière, see also Émile-Victor Foucart, </w:t>
      </w:r>
      <w:r w:rsidRPr="006F0999">
        <w:rPr>
          <w:i/>
          <w:sz w:val="20"/>
          <w:szCs w:val="20"/>
          <w:lang w:val="fr-FR"/>
        </w:rPr>
        <w:t>Eléments de droit public et administratif</w:t>
      </w:r>
      <w:r w:rsidRPr="006F0999">
        <w:rPr>
          <w:sz w:val="20"/>
          <w:szCs w:val="20"/>
          <w:lang w:val="fr-FR"/>
        </w:rPr>
        <w:t xml:space="preserve"> (Videcoq, Paris, 1834); </w:t>
      </w:r>
      <w:r>
        <w:rPr>
          <w:sz w:val="20"/>
          <w:szCs w:val="20"/>
          <w:lang w:val="fr-FR"/>
        </w:rPr>
        <w:t>s</w:t>
      </w:r>
      <w:r w:rsidRPr="006F0999">
        <w:rPr>
          <w:sz w:val="20"/>
          <w:szCs w:val="20"/>
          <w:lang w:val="fr-FR"/>
        </w:rPr>
        <w:t xml:space="preserve">ee Grégoire Bigot, </w:t>
      </w:r>
      <w:r w:rsidRPr="006F0999">
        <w:rPr>
          <w:i/>
          <w:sz w:val="20"/>
          <w:szCs w:val="20"/>
          <w:lang w:val="fr-FR"/>
        </w:rPr>
        <w:t xml:space="preserve">Introduction historique au droit admininstratif </w:t>
      </w:r>
      <w:r w:rsidRPr="006F0999">
        <w:rPr>
          <w:sz w:val="20"/>
          <w:szCs w:val="20"/>
          <w:lang w:val="fr-FR"/>
        </w:rPr>
        <w:t xml:space="preserve">(n </w:t>
      </w:r>
      <w:r w:rsidRPr="006F0999">
        <w:rPr>
          <w:sz w:val="20"/>
          <w:szCs w:val="20"/>
        </w:rPr>
        <w:fldChar w:fldCharType="begin"/>
      </w:r>
      <w:r w:rsidRPr="006F0999">
        <w:rPr>
          <w:sz w:val="20"/>
          <w:szCs w:val="20"/>
          <w:lang w:val="fr-FR"/>
        </w:rPr>
        <w:instrText xml:space="preserve"> NOTEREF _Ref401055821 \h  \* MERGEFORMAT </w:instrText>
      </w:r>
      <w:r w:rsidRPr="006F0999">
        <w:rPr>
          <w:sz w:val="20"/>
          <w:szCs w:val="20"/>
        </w:rPr>
      </w:r>
      <w:r w:rsidRPr="006F0999">
        <w:rPr>
          <w:sz w:val="20"/>
          <w:szCs w:val="20"/>
        </w:rPr>
        <w:fldChar w:fldCharType="separate"/>
      </w:r>
      <w:r w:rsidRPr="006F0999">
        <w:rPr>
          <w:sz w:val="20"/>
          <w:szCs w:val="20"/>
          <w:lang w:val="fr-FR"/>
        </w:rPr>
        <w:t>28</w:t>
      </w:r>
      <w:r w:rsidRPr="006F0999">
        <w:rPr>
          <w:sz w:val="20"/>
          <w:szCs w:val="20"/>
        </w:rPr>
        <w:fldChar w:fldCharType="end"/>
      </w:r>
      <w:r w:rsidRPr="006F0999">
        <w:rPr>
          <w:sz w:val="20"/>
          <w:szCs w:val="20"/>
          <w:lang w:val="fr-FR"/>
        </w:rPr>
        <w:t xml:space="preserve">); Anselme Batbie, </w:t>
      </w:r>
      <w:r w:rsidRPr="006F0999">
        <w:rPr>
          <w:i/>
          <w:sz w:val="20"/>
          <w:szCs w:val="20"/>
          <w:lang w:val="fr-FR"/>
        </w:rPr>
        <w:t>Traité théorique et pratique du droit public et administratif</w:t>
      </w:r>
      <w:r w:rsidRPr="006F0999">
        <w:rPr>
          <w:sz w:val="20"/>
          <w:szCs w:val="20"/>
          <w:lang w:val="fr-FR"/>
        </w:rPr>
        <w:t xml:space="preserve"> (n </w:t>
      </w:r>
      <w:r w:rsidRPr="006F0999">
        <w:rPr>
          <w:sz w:val="20"/>
          <w:szCs w:val="20"/>
        </w:rPr>
        <w:fldChar w:fldCharType="begin"/>
      </w:r>
      <w:r w:rsidRPr="006F0999">
        <w:rPr>
          <w:sz w:val="20"/>
          <w:szCs w:val="20"/>
          <w:lang w:val="fr-FR"/>
        </w:rPr>
        <w:instrText xml:space="preserve"> NOTEREF _Ref401055821 \h  \* MERGEFORMAT </w:instrText>
      </w:r>
      <w:r w:rsidRPr="006F0999">
        <w:rPr>
          <w:sz w:val="20"/>
          <w:szCs w:val="20"/>
        </w:rPr>
      </w:r>
      <w:r w:rsidRPr="006F0999">
        <w:rPr>
          <w:sz w:val="20"/>
          <w:szCs w:val="20"/>
        </w:rPr>
        <w:fldChar w:fldCharType="separate"/>
      </w:r>
      <w:r w:rsidRPr="006F0999">
        <w:rPr>
          <w:sz w:val="20"/>
          <w:szCs w:val="20"/>
          <w:lang w:val="fr-FR"/>
        </w:rPr>
        <w:t>28</w:t>
      </w:r>
      <w:r w:rsidRPr="006F0999">
        <w:rPr>
          <w:sz w:val="20"/>
          <w:szCs w:val="20"/>
        </w:rPr>
        <w:fldChar w:fldCharType="end"/>
      </w:r>
      <w:r w:rsidRPr="006F0999">
        <w:rPr>
          <w:sz w:val="20"/>
          <w:szCs w:val="20"/>
          <w:lang w:val="fr-FR"/>
        </w:rPr>
        <w:t xml:space="preserve">); Maurice Hauriou, </w:t>
      </w:r>
      <w:r w:rsidRPr="006F0999">
        <w:rPr>
          <w:i/>
          <w:sz w:val="20"/>
          <w:szCs w:val="20"/>
          <w:lang w:val="fr-FR"/>
        </w:rPr>
        <w:t>Précis de droit administratif, contenant le droit public et le droit administratif</w:t>
      </w:r>
      <w:r>
        <w:rPr>
          <w:sz w:val="20"/>
          <w:szCs w:val="20"/>
          <w:lang w:val="fr-FR"/>
        </w:rPr>
        <w:t xml:space="preserve"> (L. </w:t>
      </w:r>
      <w:r w:rsidRPr="006F0999">
        <w:rPr>
          <w:sz w:val="20"/>
          <w:szCs w:val="20"/>
          <w:lang w:val="fr-FR"/>
        </w:rPr>
        <w:t xml:space="preserve">Larose et Forcel, Paris, 1892). </w:t>
      </w:r>
      <w:r w:rsidRPr="006F0999">
        <w:rPr>
          <w:sz w:val="20"/>
          <w:szCs w:val="20"/>
        </w:rPr>
        <w:t>This two-part title goes back to the creation of the first chair in administrative law in France. In 1819, the government established, in the Paris Law Faculty, the chair ‘</w:t>
      </w:r>
      <w:r w:rsidRPr="006F0999">
        <w:rPr>
          <w:i/>
          <w:sz w:val="20"/>
          <w:szCs w:val="20"/>
        </w:rPr>
        <w:t>droit public positif et administratif français</w:t>
      </w:r>
      <w:r w:rsidRPr="006F0999">
        <w:rPr>
          <w:sz w:val="20"/>
          <w:szCs w:val="20"/>
        </w:rPr>
        <w:t>’ (positive public law and French administrative law), whose first incumbent was de Gérando.</w:t>
      </w:r>
    </w:p>
  </w:footnote>
  <w:footnote w:id="80">
    <w:p w14:paraId="1DF62047"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In addition to the writings of philosophers, thinkers, politicians and civil law specialists, the first professors of administrative law contributed to fill the vacuum of monographs on constitutional law. </w:t>
      </w:r>
      <w:r w:rsidRPr="006F0999">
        <w:rPr>
          <w:sz w:val="20"/>
          <w:szCs w:val="20"/>
          <w:lang w:val="fr-FR"/>
        </w:rPr>
        <w:t xml:space="preserve">See, e.g., Louis A Macarel, </w:t>
      </w:r>
      <w:r w:rsidRPr="006F0999">
        <w:rPr>
          <w:i/>
          <w:sz w:val="20"/>
          <w:szCs w:val="20"/>
          <w:lang w:val="fr-FR"/>
        </w:rPr>
        <w:t>Éléments de droit politique</w:t>
      </w:r>
      <w:r w:rsidRPr="006F0999">
        <w:rPr>
          <w:sz w:val="20"/>
          <w:szCs w:val="20"/>
          <w:lang w:val="fr-FR"/>
        </w:rPr>
        <w:t xml:space="preserve"> (Nève, Paris, 1833).</w:t>
      </w:r>
    </w:p>
  </w:footnote>
  <w:footnote w:id="81">
    <w:p w14:paraId="06410895"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Martin Loughlin underscores this point from the beginning of his English country report, see ‘Great Britain’, </w:t>
      </w:r>
      <w:r w:rsidRPr="006F0999">
        <w:rPr>
          <w:i/>
          <w:sz w:val="20"/>
          <w:szCs w:val="20"/>
        </w:rPr>
        <w:t>in this volume</w:t>
      </w:r>
      <w:r>
        <w:rPr>
          <w:sz w:val="20"/>
          <w:szCs w:val="20"/>
        </w:rPr>
        <w:t xml:space="preserve"> </w:t>
      </w:r>
      <w:r w:rsidRPr="00856C75">
        <w:rPr>
          <w:sz w:val="20"/>
          <w:szCs w:val="20"/>
          <w:highlight w:val="yellow"/>
        </w:rPr>
        <w:t xml:space="preserve">XXX, XXX (§ </w:t>
      </w:r>
      <w:r w:rsidRPr="006F0999">
        <w:rPr>
          <w:sz w:val="20"/>
          <w:szCs w:val="20"/>
          <w:highlight w:val="yellow"/>
        </w:rPr>
        <w:t>44 mn 1 ff)</w:t>
      </w:r>
      <w:r w:rsidRPr="006F0999">
        <w:rPr>
          <w:sz w:val="20"/>
          <w:szCs w:val="20"/>
        </w:rPr>
        <w:t>. For Scotland a</w:t>
      </w:r>
      <w:r>
        <w:rPr>
          <w:sz w:val="20"/>
          <w:szCs w:val="20"/>
        </w:rPr>
        <w:t>nd Northern Ireland, see above n 12.</w:t>
      </w:r>
    </w:p>
  </w:footnote>
  <w:footnote w:id="82">
    <w:p w14:paraId="07F2E5D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the most radical position, see Pierre Legrand, ‘European Legal Systems are not Converging’ (1996) ICLQ 52 ff.</w:t>
      </w:r>
    </w:p>
  </w:footnote>
  <w:footnote w:id="83">
    <w:p w14:paraId="0C692FC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even older theoretical groundwork that made the idea of constitutional supremacy even thinkable (the redefinition of the concept of sovereignty by the manner and form school), see Luc Heuschling, </w:t>
      </w:r>
      <w:r w:rsidRPr="006F0999">
        <w:rPr>
          <w:i/>
          <w:sz w:val="20"/>
          <w:szCs w:val="20"/>
        </w:rPr>
        <w:t>État de droit, Rechtsstaat, Rule of Law</w:t>
      </w:r>
      <w:r w:rsidRPr="006F0999">
        <w:rPr>
          <w:sz w:val="20"/>
          <w:szCs w:val="20"/>
        </w:rPr>
        <w:t xml:space="preserve"> (Dalloz, Paris, 2002) 262 ff.</w:t>
      </w:r>
    </w:p>
  </w:footnote>
  <w:footnote w:id="84">
    <w:p w14:paraId="3A5B56C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Martin Loughlin, </w:t>
      </w:r>
      <w:r w:rsidRPr="006F0999">
        <w:rPr>
          <w:i/>
          <w:sz w:val="20"/>
          <w:szCs w:val="20"/>
        </w:rPr>
        <w:t>The British Constitution. A Very Short Introduction</w:t>
      </w:r>
      <w:r w:rsidRPr="006F0999">
        <w:rPr>
          <w:sz w:val="20"/>
          <w:szCs w:val="20"/>
        </w:rPr>
        <w:t xml:space="preserve"> (OUP, Oxford, 2013) xi.</w:t>
      </w:r>
    </w:p>
  </w:footnote>
  <w:footnote w:id="85">
    <w:p w14:paraId="5D1D474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e.g., Esin Örücü, ‘Looking at Convergence through the Eyes of a Comparative Lawyer’ (2005) 9 Electronic Journal of Comparative Law</w:t>
      </w:r>
      <w:r w:rsidRPr="006F0999">
        <w:rPr>
          <w:i/>
          <w:sz w:val="20"/>
          <w:szCs w:val="20"/>
        </w:rPr>
        <w:t xml:space="preserve"> </w:t>
      </w:r>
      <w:r w:rsidRPr="006F0999">
        <w:rPr>
          <w:sz w:val="20"/>
          <w:szCs w:val="20"/>
        </w:rPr>
        <w:t xml:space="preserve">12. </w:t>
      </w:r>
    </w:p>
  </w:footnote>
  <w:footnote w:id="86">
    <w:p w14:paraId="4743EB45"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Lord Johan Steyn, </w:t>
      </w:r>
      <w:r w:rsidRPr="006F0999">
        <w:rPr>
          <w:i/>
          <w:sz w:val="20"/>
          <w:szCs w:val="20"/>
        </w:rPr>
        <w:t>The Constitutionalisation of Public Law</w:t>
      </w:r>
      <w:r w:rsidRPr="006F0999">
        <w:rPr>
          <w:sz w:val="20"/>
          <w:szCs w:val="20"/>
        </w:rPr>
        <w:t xml:space="preserve"> (Constitution Unit, London, 1999). </w:t>
      </w:r>
    </w:p>
  </w:footnote>
  <w:footnote w:id="87">
    <w:p w14:paraId="13A5A1A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below </w:t>
      </w:r>
      <w:r>
        <w:rPr>
          <w:sz w:val="20"/>
          <w:szCs w:val="20"/>
        </w:rPr>
        <w:t xml:space="preserve">D. </w:t>
      </w:r>
    </w:p>
  </w:footnote>
  <w:footnote w:id="88">
    <w:p w14:paraId="5437CA4D" w14:textId="7117C909"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ana historical overview, see Jeffrey Jowell, ‘Administrative Law’, in Vernon Bogdanor (ed), </w:t>
      </w:r>
      <w:r w:rsidRPr="006F0999">
        <w:rPr>
          <w:i/>
          <w:sz w:val="20"/>
          <w:szCs w:val="20"/>
        </w:rPr>
        <w:t>The British Constitution in the 20th Century</w:t>
      </w:r>
      <w:r w:rsidRPr="006F0999">
        <w:rPr>
          <w:sz w:val="20"/>
          <w:szCs w:val="20"/>
        </w:rPr>
        <w:t xml:space="preserve"> (OUP, Oxford, 2003) 373 ff; Martin Loughlin, ‘Why the History of English Administrative Law Is not Written’, in David Dyzenhaus, Murray Hunt, and Grant Huscroft</w:t>
      </w:r>
      <w:r w:rsidRPr="006F0999" w:rsidDel="00CF1D65">
        <w:rPr>
          <w:sz w:val="20"/>
          <w:szCs w:val="20"/>
        </w:rPr>
        <w:t xml:space="preserve"> </w:t>
      </w:r>
      <w:r w:rsidRPr="006F0999">
        <w:rPr>
          <w:sz w:val="20"/>
          <w:szCs w:val="20"/>
        </w:rPr>
        <w:t xml:space="preserve">(eds), </w:t>
      </w:r>
      <w:r w:rsidRPr="006F0999">
        <w:rPr>
          <w:i/>
          <w:sz w:val="20"/>
          <w:szCs w:val="20"/>
        </w:rPr>
        <w:t>A Simple Common Lawyer. Essays in Honour of Michael Taggart</w:t>
      </w:r>
      <w:r>
        <w:rPr>
          <w:sz w:val="20"/>
          <w:szCs w:val="20"/>
        </w:rPr>
        <w:t xml:space="preserve"> (Hart, Oxford, 2009) 151</w:t>
      </w:r>
      <w:r w:rsidRPr="00472FB7">
        <w:rPr>
          <w:sz w:val="20"/>
          <w:szCs w:val="20"/>
        </w:rPr>
        <w:t>–</w:t>
      </w:r>
      <w:r w:rsidRPr="006F0999">
        <w:rPr>
          <w:sz w:val="20"/>
          <w:szCs w:val="20"/>
        </w:rPr>
        <w:t>77; Carol Harlow and Richard Rawlings, ‘Administrative Law in Context: Restoring a Lost Connection’ (2014) PL 28 ff.</w:t>
      </w:r>
    </w:p>
  </w:footnote>
  <w:footnote w:id="89">
    <w:p w14:paraId="7B58DA1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Dicey and his influence, see Thomas Poole, ‘Großbritannien’ (n </w:t>
      </w:r>
      <w:r w:rsidRPr="006F0999">
        <w:rPr>
          <w:sz w:val="20"/>
          <w:szCs w:val="20"/>
        </w:rPr>
        <w:fldChar w:fldCharType="begin"/>
      </w:r>
      <w:r w:rsidRPr="006F0999">
        <w:rPr>
          <w:sz w:val="20"/>
          <w:szCs w:val="20"/>
        </w:rPr>
        <w:instrText xml:space="preserve"> NOTEREF _Ref457833794 \h  \* MERGEFORMAT </w:instrText>
      </w:r>
      <w:r w:rsidRPr="006F0999">
        <w:rPr>
          <w:sz w:val="20"/>
          <w:szCs w:val="20"/>
        </w:rPr>
      </w:r>
      <w:r w:rsidRPr="006F0999">
        <w:rPr>
          <w:sz w:val="20"/>
          <w:szCs w:val="20"/>
        </w:rPr>
        <w:fldChar w:fldCharType="separate"/>
      </w:r>
      <w:r w:rsidRPr="006F0999">
        <w:rPr>
          <w:sz w:val="20"/>
          <w:szCs w:val="20"/>
        </w:rPr>
        <w:t>70</w:t>
      </w:r>
      <w:r w:rsidRPr="006F0999">
        <w:rPr>
          <w:sz w:val="20"/>
          <w:szCs w:val="20"/>
        </w:rPr>
        <w:fldChar w:fldCharType="end"/>
      </w:r>
      <w:r w:rsidRPr="006F0999">
        <w:rPr>
          <w:sz w:val="20"/>
          <w:szCs w:val="20"/>
        </w:rPr>
        <w:t xml:space="preserve">) 125 f; Martin Loughlin, </w:t>
      </w:r>
      <w:r w:rsidRPr="006F0999">
        <w:rPr>
          <w:i/>
          <w:sz w:val="20"/>
          <w:szCs w:val="20"/>
        </w:rPr>
        <w:t>Public Law and Political Theory</w:t>
      </w:r>
      <w:r w:rsidRPr="006F0999">
        <w:rPr>
          <w:sz w:val="20"/>
          <w:szCs w:val="20"/>
        </w:rPr>
        <w:t xml:space="preserve"> (Clarendon, Oxford, 1992) 138 ff; Spyridon Flogaïtis, </w:t>
      </w:r>
      <w:r w:rsidRPr="006F0999">
        <w:rPr>
          <w:i/>
          <w:sz w:val="20"/>
          <w:szCs w:val="20"/>
        </w:rPr>
        <w:t>Droit administratif et administrative law</w:t>
      </w:r>
      <w:r w:rsidRPr="006F0999">
        <w:rPr>
          <w:sz w:val="20"/>
          <w:szCs w:val="20"/>
        </w:rPr>
        <w:t xml:space="preserve"> (LGDJ, Paris, 1986) 31 ff; Sabino Cassese, </w:t>
      </w:r>
      <w:r w:rsidRPr="006F0999">
        <w:rPr>
          <w:i/>
          <w:sz w:val="20"/>
          <w:szCs w:val="20"/>
        </w:rPr>
        <w:t>La construction du droit administratif: France et Royaume-Uni</w:t>
      </w:r>
      <w:r w:rsidRPr="006F0999">
        <w:rPr>
          <w:sz w:val="20"/>
          <w:szCs w:val="20"/>
        </w:rPr>
        <w:t xml:space="preserve"> (Montchrestien, Paris, 2000).</w:t>
      </w:r>
    </w:p>
  </w:footnote>
  <w:footnote w:id="90">
    <w:p w14:paraId="1AB48B31"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Gaston Jèze, </w:t>
      </w:r>
      <w:r w:rsidRPr="006F0999">
        <w:rPr>
          <w:i/>
          <w:sz w:val="20"/>
          <w:szCs w:val="20"/>
          <w:lang w:val="fr-FR"/>
        </w:rPr>
        <w:t>Les principes généraux du droit administratif</w:t>
      </w:r>
      <w:r w:rsidRPr="006F0999">
        <w:rPr>
          <w:sz w:val="20"/>
          <w:szCs w:val="20"/>
          <w:lang w:val="fr-FR"/>
        </w:rPr>
        <w:t xml:space="preserve"> (3rd edn, Giard, Paris, 1925) 1; Stanley A de Smith and Rodney Brazier, Constitutional and Administrative Law (n </w:t>
      </w:r>
      <w:r w:rsidRPr="006F0999">
        <w:rPr>
          <w:sz w:val="20"/>
          <w:szCs w:val="20"/>
        </w:rPr>
        <w:fldChar w:fldCharType="begin"/>
      </w:r>
      <w:r w:rsidRPr="006F0999">
        <w:rPr>
          <w:sz w:val="20"/>
          <w:szCs w:val="20"/>
          <w:lang w:val="fr-FR"/>
        </w:rPr>
        <w:instrText xml:space="preserve"> NOTEREF _Ref457833088 \h  \* MERGEFORMAT </w:instrText>
      </w:r>
      <w:r w:rsidRPr="006F0999">
        <w:rPr>
          <w:sz w:val="20"/>
          <w:szCs w:val="20"/>
        </w:rPr>
      </w:r>
      <w:r w:rsidRPr="006F0999">
        <w:rPr>
          <w:sz w:val="20"/>
          <w:szCs w:val="20"/>
        </w:rPr>
        <w:fldChar w:fldCharType="separate"/>
      </w:r>
      <w:r w:rsidRPr="006F0999">
        <w:rPr>
          <w:sz w:val="20"/>
          <w:szCs w:val="20"/>
          <w:lang w:val="fr-FR"/>
        </w:rPr>
        <w:t>13</w:t>
      </w:r>
      <w:r w:rsidRPr="006F0999">
        <w:rPr>
          <w:sz w:val="20"/>
          <w:szCs w:val="20"/>
        </w:rPr>
        <w:fldChar w:fldCharType="end"/>
      </w:r>
      <w:r w:rsidRPr="006F0999">
        <w:rPr>
          <w:sz w:val="20"/>
          <w:szCs w:val="20"/>
          <w:lang w:val="fr-FR"/>
        </w:rPr>
        <w:t>) 504.</w:t>
      </w:r>
    </w:p>
  </w:footnote>
  <w:footnote w:id="91">
    <w:p w14:paraId="1B4C85A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William Wade and Christopher F Forsyth, </w:t>
      </w:r>
      <w:r w:rsidRPr="006F0999">
        <w:rPr>
          <w:i/>
          <w:sz w:val="20"/>
          <w:szCs w:val="20"/>
        </w:rPr>
        <w:t>Administrative Law</w:t>
      </w:r>
      <w:r>
        <w:rPr>
          <w:sz w:val="20"/>
          <w:szCs w:val="20"/>
        </w:rPr>
        <w:t xml:space="preserve"> (n 14) 15; </w:t>
      </w:r>
      <w:r w:rsidRPr="006F0999">
        <w:rPr>
          <w:sz w:val="20"/>
          <w:szCs w:val="20"/>
        </w:rPr>
        <w:t xml:space="preserve">Martin Loughlin, ‘Why the History of English Administrative Law Is not Written’ (n </w:t>
      </w:r>
      <w:r w:rsidRPr="006F0999">
        <w:rPr>
          <w:sz w:val="20"/>
          <w:szCs w:val="20"/>
        </w:rPr>
        <w:fldChar w:fldCharType="begin"/>
      </w:r>
      <w:r w:rsidRPr="006F0999">
        <w:rPr>
          <w:sz w:val="20"/>
          <w:szCs w:val="20"/>
        </w:rPr>
        <w:instrText xml:space="preserve"> NOTEREF _Ref457833132 \h  \* MERGEFORMAT </w:instrText>
      </w:r>
      <w:r w:rsidRPr="006F0999">
        <w:rPr>
          <w:sz w:val="20"/>
          <w:szCs w:val="20"/>
        </w:rPr>
      </w:r>
      <w:r w:rsidRPr="006F0999">
        <w:rPr>
          <w:sz w:val="20"/>
          <w:szCs w:val="20"/>
        </w:rPr>
        <w:fldChar w:fldCharType="separate"/>
      </w:r>
      <w:r w:rsidRPr="006F0999">
        <w:rPr>
          <w:sz w:val="20"/>
          <w:szCs w:val="20"/>
        </w:rPr>
        <w:t>86</w:t>
      </w:r>
      <w:r w:rsidRPr="006F0999">
        <w:rPr>
          <w:sz w:val="20"/>
          <w:szCs w:val="20"/>
        </w:rPr>
        <w:fldChar w:fldCharType="end"/>
      </w:r>
      <w:r w:rsidRPr="006F0999">
        <w:rPr>
          <w:sz w:val="20"/>
          <w:szCs w:val="20"/>
        </w:rPr>
        <w:t xml:space="preserve">), and also the critical account at the time by Frank J Goodnow, </w:t>
      </w:r>
      <w:r w:rsidRPr="006F0999">
        <w:rPr>
          <w:i/>
          <w:sz w:val="20"/>
          <w:szCs w:val="20"/>
        </w:rPr>
        <w:t>Comparative Administrative Law</w:t>
      </w:r>
      <w:r w:rsidRPr="006F0999">
        <w:rPr>
          <w:sz w:val="20"/>
          <w:szCs w:val="20"/>
        </w:rPr>
        <w:t>, vol 1 (G. P. Putnam’s sons, New York, 1897) 6 f.</w:t>
      </w:r>
    </w:p>
  </w:footnote>
  <w:footnote w:id="92">
    <w:p w14:paraId="61AF5F7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Robson’s famous phrase of the ‘dead hand of Dicey lying frozen on its [the Donoughmore Committee’s] neck’: William A Robson, ‘The Report of the Committee on Minister’s Powers’ (1932) 3 Political Quarterly 46.</w:t>
      </w:r>
    </w:p>
  </w:footnote>
  <w:footnote w:id="93">
    <w:p w14:paraId="1FEEE46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Whereas Dicey’s concept of rule of law was closely connected to the idea of judicial review of administrative authorities through ordinary courts, Robson and Jennings untied that conceptual link in order to facilitate the growth of the new welfare state. As a matter of fact, the conditions of judicial protection of individual rights deteriorated seriously between 1940 and 1960. William Wade and Christopher F Forsyth, </w:t>
      </w:r>
      <w:r w:rsidRPr="006F0999">
        <w:rPr>
          <w:i/>
          <w:sz w:val="20"/>
          <w:szCs w:val="20"/>
        </w:rPr>
        <w:t>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_Ref401127278 \h  \* MERGEFORMAT </w:instrText>
      </w:r>
      <w:r w:rsidRPr="006F0999">
        <w:rPr>
          <w:sz w:val="20"/>
          <w:szCs w:val="20"/>
        </w:rPr>
      </w:r>
      <w:r w:rsidRPr="006F0999">
        <w:rPr>
          <w:sz w:val="20"/>
          <w:szCs w:val="20"/>
        </w:rPr>
        <w:fldChar w:fldCharType="separate"/>
      </w:r>
      <w:r w:rsidRPr="006F0999">
        <w:rPr>
          <w:sz w:val="20"/>
          <w:szCs w:val="20"/>
        </w:rPr>
        <w:t>14</w:t>
      </w:r>
      <w:r w:rsidRPr="006F0999">
        <w:rPr>
          <w:sz w:val="20"/>
          <w:szCs w:val="20"/>
        </w:rPr>
        <w:fldChar w:fldCharType="end"/>
      </w:r>
      <w:r w:rsidRPr="006F0999">
        <w:rPr>
          <w:sz w:val="20"/>
          <w:szCs w:val="20"/>
        </w:rPr>
        <w:t xml:space="preserve">) 14, talk of this period as the ‘great depression’ of judicial review in England. See also Jeffrey Jowell, ‘Administrative Law’ (n </w:t>
      </w:r>
      <w:r w:rsidRPr="006F0999">
        <w:rPr>
          <w:sz w:val="20"/>
          <w:szCs w:val="20"/>
        </w:rPr>
        <w:fldChar w:fldCharType="begin"/>
      </w:r>
      <w:r w:rsidRPr="006F0999">
        <w:rPr>
          <w:sz w:val="20"/>
          <w:szCs w:val="20"/>
        </w:rPr>
        <w:instrText xml:space="preserve"> NOTEREF _Ref457833132 \h  \* MERGEFORMAT </w:instrText>
      </w:r>
      <w:r w:rsidRPr="006F0999">
        <w:rPr>
          <w:sz w:val="20"/>
          <w:szCs w:val="20"/>
        </w:rPr>
      </w:r>
      <w:r w:rsidRPr="006F0999">
        <w:rPr>
          <w:sz w:val="20"/>
          <w:szCs w:val="20"/>
        </w:rPr>
        <w:fldChar w:fldCharType="separate"/>
      </w:r>
      <w:r w:rsidRPr="006F0999">
        <w:rPr>
          <w:sz w:val="20"/>
          <w:szCs w:val="20"/>
        </w:rPr>
        <w:t>86</w:t>
      </w:r>
      <w:r w:rsidRPr="006F0999">
        <w:rPr>
          <w:sz w:val="20"/>
          <w:szCs w:val="20"/>
        </w:rPr>
        <w:fldChar w:fldCharType="end"/>
      </w:r>
      <w:r w:rsidRPr="006F0999">
        <w:rPr>
          <w:sz w:val="20"/>
          <w:szCs w:val="20"/>
        </w:rPr>
        <w:t>) 376 ff, and John Mitchell, ‘The causes and effects of the absence of a system of public law in the UK’ (1965) PL 95 ff.</w:t>
      </w:r>
    </w:p>
  </w:footnote>
  <w:footnote w:id="94">
    <w:p w14:paraId="2ABCFA6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famous and most radical example may be found in </w:t>
      </w:r>
      <w:r w:rsidRPr="006F0999">
        <w:rPr>
          <w:i/>
          <w:sz w:val="20"/>
          <w:szCs w:val="20"/>
        </w:rPr>
        <w:t>Anisminic Ltd v Foreign Compensation Commission</w:t>
      </w:r>
      <w:r w:rsidRPr="006F0999">
        <w:rPr>
          <w:sz w:val="20"/>
          <w:szCs w:val="20"/>
        </w:rPr>
        <w:t xml:space="preserve"> (1969) 2 AC 147 (HL). Despite the existence of an ouster clause in the Foreign </w:t>
      </w:r>
      <w:r w:rsidRPr="00472FB7">
        <w:rPr>
          <w:sz w:val="20"/>
          <w:szCs w:val="20"/>
        </w:rPr>
        <w:t>Compensation Act 1950 (s 4</w:t>
      </w:r>
      <w:r w:rsidRPr="006F0999">
        <w:rPr>
          <w:sz w:val="20"/>
          <w:szCs w:val="20"/>
        </w:rPr>
        <w:t xml:space="preserve"> para 4), the House of Lords granted judicial review of the contested administrative decision. The explicit wording of the Act of Parliament was disregarded. However, not all judges felt committed to Dicey’s constitutional principle of the rule of law. See Jeffrey Jowell, ‘Administrative Law’ (n </w:t>
      </w:r>
      <w:r w:rsidRPr="006F0999">
        <w:rPr>
          <w:sz w:val="20"/>
          <w:szCs w:val="20"/>
        </w:rPr>
        <w:fldChar w:fldCharType="begin"/>
      </w:r>
      <w:r w:rsidRPr="006F0999">
        <w:rPr>
          <w:sz w:val="20"/>
          <w:szCs w:val="20"/>
        </w:rPr>
        <w:instrText xml:space="preserve"> NOTEREF _Ref457833132 \h  \* MERGEFORMAT </w:instrText>
      </w:r>
      <w:r w:rsidRPr="006F0999">
        <w:rPr>
          <w:sz w:val="20"/>
          <w:szCs w:val="20"/>
        </w:rPr>
      </w:r>
      <w:r w:rsidRPr="006F0999">
        <w:rPr>
          <w:sz w:val="20"/>
          <w:szCs w:val="20"/>
        </w:rPr>
        <w:fldChar w:fldCharType="separate"/>
      </w:r>
      <w:r w:rsidRPr="006F0999">
        <w:rPr>
          <w:sz w:val="20"/>
          <w:szCs w:val="20"/>
        </w:rPr>
        <w:t>86</w:t>
      </w:r>
      <w:r w:rsidRPr="006F0999">
        <w:rPr>
          <w:sz w:val="20"/>
          <w:szCs w:val="20"/>
        </w:rPr>
        <w:fldChar w:fldCharType="end"/>
      </w:r>
      <w:r w:rsidRPr="006F0999">
        <w:rPr>
          <w:sz w:val="20"/>
          <w:szCs w:val="20"/>
        </w:rPr>
        <w:t>).</w:t>
      </w:r>
    </w:p>
  </w:footnote>
  <w:footnote w:id="95">
    <w:p w14:paraId="2EDF9AC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normative authority of British constitutional principles rises and falls with the social respect that British people pay to tradition. This is not unlimited. Tradition allows for some adjustment; sometimes, even a clear break from it is possible (e.g., the change, in 1918, from the cabinet government to the prime ministerial government in matters of dissolution of Parliament). British courts have even revised constitutional precedents (for example, the British ‘rule of recognition’ has fundamentally changed over time). Many contemporary constitutional principles (such as devolution) have no basis in tradition. Such new principles must rely on other sources of legitimacy (e.g., in the case of devolution: a referendum). This may explain why, in the last twenty years, a growing number of people in Britain argue in favor of an entrenched Constitution for the United Kingdom.</w:t>
      </w:r>
    </w:p>
  </w:footnote>
  <w:footnote w:id="96">
    <w:p w14:paraId="5341E88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Albert V Dicey, </w:t>
      </w:r>
      <w:r w:rsidRPr="006F0999">
        <w:rPr>
          <w:i/>
          <w:sz w:val="20"/>
          <w:szCs w:val="20"/>
        </w:rPr>
        <w:t>Introduction to the Study of the Law of the Constitution</w:t>
      </w:r>
      <w:r w:rsidRPr="006F0999">
        <w:rPr>
          <w:sz w:val="20"/>
          <w:szCs w:val="20"/>
        </w:rPr>
        <w:t xml:space="preserve"> (8th edn, Macmillan, London, 1915) cxl ff (‘The true nature of constitutional law’).</w:t>
      </w:r>
    </w:p>
  </w:footnote>
  <w:footnote w:id="97">
    <w:p w14:paraId="2282AF9B"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For example, after the sharp judicial and academic criticism of the ouster clause contained in the Asylum and Immigration Bill 2004 (Treatment of Claimants, etc.), the British Parliament dropped it. </w:t>
      </w:r>
      <w:r w:rsidRPr="006F0999">
        <w:rPr>
          <w:sz w:val="20"/>
          <w:szCs w:val="20"/>
          <w:lang w:val="de-DE"/>
        </w:rPr>
        <w:t xml:space="preserve">See Benjamin Schirmer, </w:t>
      </w:r>
      <w:r w:rsidRPr="006F0999">
        <w:rPr>
          <w:i/>
          <w:sz w:val="20"/>
          <w:szCs w:val="20"/>
          <w:lang w:val="de-DE"/>
        </w:rPr>
        <w:t>Konstitutionalisierung des englischen Verwaltungsrechts</w:t>
      </w:r>
      <w:r w:rsidRPr="006F0999">
        <w:rPr>
          <w:sz w:val="20"/>
          <w:szCs w:val="20"/>
          <w:lang w:val="de-DE"/>
        </w:rPr>
        <w:t xml:space="preserve"> (V &amp; R Unipress, Göttingen, 2007) 383 ff.</w:t>
      </w:r>
    </w:p>
  </w:footnote>
  <w:footnote w:id="98">
    <w:p w14:paraId="0A978D00"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term ‘constitutionalization’ is understood in the sense of the third reading (see </w:t>
      </w:r>
      <w:r>
        <w:rPr>
          <w:sz w:val="20"/>
          <w:szCs w:val="20"/>
        </w:rPr>
        <w:t>D. 1. c)</w:t>
      </w:r>
      <w:r w:rsidRPr="006F0999">
        <w:rPr>
          <w:sz w:val="20"/>
          <w:szCs w:val="20"/>
        </w:rPr>
        <w:t xml:space="preserve">). The first author of this reading seems to be Lord Johan Steyn, </w:t>
      </w:r>
      <w:r w:rsidRPr="006F0999">
        <w:rPr>
          <w:i/>
          <w:sz w:val="20"/>
          <w:szCs w:val="20"/>
        </w:rPr>
        <w:t>The Constitutionalisation of Public Law</w:t>
      </w:r>
      <w:r w:rsidRPr="006F0999">
        <w:rPr>
          <w:sz w:val="20"/>
          <w:szCs w:val="20"/>
        </w:rPr>
        <w:t xml:space="preserve"> (n </w:t>
      </w:r>
      <w:r w:rsidRPr="006F0999">
        <w:rPr>
          <w:sz w:val="20"/>
          <w:szCs w:val="20"/>
        </w:rPr>
        <w:fldChar w:fldCharType="begin"/>
      </w:r>
      <w:r w:rsidRPr="006F0999">
        <w:rPr>
          <w:sz w:val="20"/>
          <w:szCs w:val="20"/>
        </w:rPr>
        <w:instrText xml:space="preserve"> NOTEREF _Ref457833733 \h  \* MERGEFORMAT </w:instrText>
      </w:r>
      <w:r w:rsidRPr="006F0999">
        <w:rPr>
          <w:sz w:val="20"/>
          <w:szCs w:val="20"/>
        </w:rPr>
      </w:r>
      <w:r w:rsidRPr="006F0999">
        <w:rPr>
          <w:sz w:val="20"/>
          <w:szCs w:val="20"/>
        </w:rPr>
        <w:fldChar w:fldCharType="separate"/>
      </w:r>
      <w:r w:rsidRPr="006F0999">
        <w:rPr>
          <w:sz w:val="20"/>
          <w:szCs w:val="20"/>
        </w:rPr>
        <w:t>84</w:t>
      </w:r>
      <w:r w:rsidRPr="006F0999">
        <w:rPr>
          <w:sz w:val="20"/>
          <w:szCs w:val="20"/>
        </w:rPr>
        <w:fldChar w:fldCharType="end"/>
      </w:r>
      <w:r w:rsidRPr="006F0999">
        <w:rPr>
          <w:sz w:val="20"/>
          <w:szCs w:val="20"/>
        </w:rPr>
        <w:t xml:space="preserve">). See also Thomas Poole, ‘Großbritannien’ (n </w:t>
      </w:r>
      <w:r w:rsidRPr="006F0999">
        <w:rPr>
          <w:sz w:val="20"/>
          <w:szCs w:val="20"/>
        </w:rPr>
        <w:fldChar w:fldCharType="begin"/>
      </w:r>
      <w:r w:rsidRPr="006F0999">
        <w:rPr>
          <w:sz w:val="20"/>
          <w:szCs w:val="20"/>
        </w:rPr>
        <w:instrText xml:space="preserve"> NOTEREF _Ref457833794 \h  \* MERGEFORMAT </w:instrText>
      </w:r>
      <w:r w:rsidRPr="006F0999">
        <w:rPr>
          <w:sz w:val="20"/>
          <w:szCs w:val="20"/>
        </w:rPr>
      </w:r>
      <w:r w:rsidRPr="006F0999">
        <w:rPr>
          <w:sz w:val="20"/>
          <w:szCs w:val="20"/>
        </w:rPr>
        <w:fldChar w:fldCharType="separate"/>
      </w:r>
      <w:r w:rsidRPr="006F0999">
        <w:rPr>
          <w:sz w:val="20"/>
          <w:szCs w:val="20"/>
        </w:rPr>
        <w:t>70</w:t>
      </w:r>
      <w:r w:rsidRPr="006F0999">
        <w:rPr>
          <w:sz w:val="20"/>
          <w:szCs w:val="20"/>
        </w:rPr>
        <w:fldChar w:fldCharType="end"/>
      </w:r>
      <w:r w:rsidRPr="006F0999">
        <w:rPr>
          <w:sz w:val="20"/>
          <w:szCs w:val="20"/>
        </w:rPr>
        <w:t xml:space="preserve">) 147 f; Tom J Mullen, ‘The Constitutionalisation of the Legal Order’, in United Kingdom National Committee of Comparative Law &amp; British Institute of International and Comparative Law (eds), </w:t>
      </w:r>
      <w:r w:rsidRPr="006F0999">
        <w:rPr>
          <w:i/>
          <w:sz w:val="20"/>
          <w:szCs w:val="20"/>
        </w:rPr>
        <w:t>UK Law for the Millennium</w:t>
      </w:r>
      <w:r w:rsidRPr="006F0999">
        <w:rPr>
          <w:sz w:val="20"/>
          <w:szCs w:val="20"/>
        </w:rPr>
        <w:t xml:space="preserve"> (UKNCCL, London, 1998) 532 ff; Stathis Banakas, ‘The Constitutionalisation of Private Law in the UK’, in Tom Barkhuysen and Siewert D Linderbergh (eds), </w:t>
      </w:r>
      <w:r w:rsidRPr="006F0999">
        <w:rPr>
          <w:i/>
          <w:sz w:val="20"/>
          <w:szCs w:val="20"/>
        </w:rPr>
        <w:t>Constitutionalisation of Private Law</w:t>
      </w:r>
      <w:r w:rsidRPr="006F0999">
        <w:rPr>
          <w:sz w:val="20"/>
          <w:szCs w:val="20"/>
        </w:rPr>
        <w:t xml:space="preserve"> (Nijhoff, Leiden, 2006) 83 ff; Benjamin Schirmer, </w:t>
      </w:r>
      <w:r w:rsidRPr="006F0999">
        <w:rPr>
          <w:i/>
          <w:sz w:val="20"/>
          <w:szCs w:val="20"/>
        </w:rPr>
        <w:t>Konstitutionalisierung des englischen Verwaltungsrechts</w:t>
      </w:r>
      <w:r w:rsidRPr="006F0999">
        <w:rPr>
          <w:sz w:val="20"/>
          <w:szCs w:val="20"/>
        </w:rPr>
        <w:t xml:space="preserve"> (n </w:t>
      </w:r>
      <w:r w:rsidRPr="006F0999">
        <w:rPr>
          <w:sz w:val="20"/>
          <w:szCs w:val="20"/>
        </w:rPr>
        <w:fldChar w:fldCharType="begin"/>
      </w:r>
      <w:r w:rsidRPr="006F0999">
        <w:rPr>
          <w:sz w:val="20"/>
          <w:szCs w:val="20"/>
        </w:rPr>
        <w:instrText xml:space="preserve"> NOTEREF _Ref401131999 \h  \* MERGEFORMAT </w:instrText>
      </w:r>
      <w:r w:rsidRPr="006F0999">
        <w:rPr>
          <w:sz w:val="20"/>
          <w:szCs w:val="20"/>
        </w:rPr>
      </w:r>
      <w:r w:rsidRPr="006F0999">
        <w:rPr>
          <w:sz w:val="20"/>
          <w:szCs w:val="20"/>
        </w:rPr>
        <w:fldChar w:fldCharType="separate"/>
      </w:r>
      <w:r w:rsidRPr="006F0999">
        <w:rPr>
          <w:sz w:val="20"/>
          <w:szCs w:val="20"/>
        </w:rPr>
        <w:t>95</w:t>
      </w:r>
      <w:r w:rsidRPr="006F0999">
        <w:rPr>
          <w:sz w:val="20"/>
          <w:szCs w:val="20"/>
        </w:rPr>
        <w:fldChar w:fldCharType="end"/>
      </w:r>
      <w:r w:rsidRPr="006F0999">
        <w:rPr>
          <w:sz w:val="20"/>
          <w:szCs w:val="20"/>
        </w:rPr>
        <w:t xml:space="preserve">) 21 ff and 361 ff; Martin Loughlin, ‘What is Constitutionalisation?’, in Petra Dobner and Martin Loughlin (eds), </w:t>
      </w:r>
      <w:r w:rsidRPr="006F0999">
        <w:rPr>
          <w:i/>
          <w:sz w:val="20"/>
          <w:szCs w:val="20"/>
        </w:rPr>
        <w:t>The Twilight of Constitutionalism?</w:t>
      </w:r>
      <w:r w:rsidRPr="006F0999">
        <w:rPr>
          <w:sz w:val="20"/>
          <w:szCs w:val="20"/>
        </w:rPr>
        <w:t xml:space="preserve"> (OUP, Oxford, 2010) 47 ff. Most administrative law scholars talk about the ‘constitutional foundations’ of administrative law, the ‘constitutional principles of administrative law’, see Timothy Endicott, </w:t>
      </w:r>
      <w:r w:rsidRPr="006F0999">
        <w:rPr>
          <w:i/>
          <w:sz w:val="20"/>
          <w:szCs w:val="20"/>
        </w:rPr>
        <w:t>Administrative Law</w:t>
      </w:r>
      <w:r w:rsidRPr="006F0999">
        <w:rPr>
          <w:sz w:val="20"/>
          <w:szCs w:val="20"/>
        </w:rPr>
        <w:t xml:space="preserve"> (2nd edn,</w:t>
      </w:r>
      <w:r w:rsidRPr="006F0999" w:rsidDel="004D7002">
        <w:rPr>
          <w:sz w:val="20"/>
          <w:szCs w:val="20"/>
        </w:rPr>
        <w:t xml:space="preserve"> </w:t>
      </w:r>
      <w:r w:rsidRPr="006F0999">
        <w:rPr>
          <w:sz w:val="20"/>
          <w:szCs w:val="20"/>
        </w:rPr>
        <w:t xml:space="preserve">OUP, Oxford, 2011) xvii f and 11 ff; or the ‘constitutional background’, see Peter Cane, </w:t>
      </w:r>
      <w:r w:rsidRPr="006F0999">
        <w:rPr>
          <w:i/>
          <w:sz w:val="20"/>
          <w:szCs w:val="20"/>
        </w:rPr>
        <w:t>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_Ref420682295 \h  \* MERGEFORMAT </w:instrText>
      </w:r>
      <w:r w:rsidRPr="006F0999">
        <w:rPr>
          <w:sz w:val="20"/>
          <w:szCs w:val="20"/>
        </w:rPr>
      </w:r>
      <w:r w:rsidRPr="006F0999">
        <w:rPr>
          <w:sz w:val="20"/>
          <w:szCs w:val="20"/>
        </w:rPr>
        <w:fldChar w:fldCharType="separate"/>
      </w:r>
      <w:r w:rsidRPr="006F0999">
        <w:rPr>
          <w:sz w:val="20"/>
          <w:szCs w:val="20"/>
        </w:rPr>
        <w:t>15</w:t>
      </w:r>
      <w:r w:rsidRPr="006F0999">
        <w:rPr>
          <w:sz w:val="20"/>
          <w:szCs w:val="20"/>
        </w:rPr>
        <w:fldChar w:fldCharType="end"/>
      </w:r>
      <w:r w:rsidRPr="006F0999">
        <w:rPr>
          <w:sz w:val="20"/>
          <w:szCs w:val="20"/>
        </w:rPr>
        <w:t>) 404 ff.</w:t>
      </w:r>
    </w:p>
  </w:footnote>
  <w:footnote w:id="99">
    <w:p w14:paraId="7308FB9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the various contributions in Christopher Forsyth</w:t>
      </w:r>
      <w:r w:rsidRPr="006F0999" w:rsidDel="0085540D">
        <w:rPr>
          <w:sz w:val="20"/>
          <w:szCs w:val="20"/>
        </w:rPr>
        <w:t xml:space="preserve"> </w:t>
      </w:r>
      <w:r w:rsidRPr="006F0999">
        <w:rPr>
          <w:sz w:val="20"/>
          <w:szCs w:val="20"/>
        </w:rPr>
        <w:t xml:space="preserve">(ed), </w:t>
      </w:r>
      <w:r w:rsidRPr="006F0999">
        <w:rPr>
          <w:i/>
          <w:sz w:val="20"/>
          <w:szCs w:val="20"/>
        </w:rPr>
        <w:t>Judicial Review and the Constitution</w:t>
      </w:r>
      <w:r w:rsidRPr="006F0999">
        <w:rPr>
          <w:sz w:val="20"/>
          <w:szCs w:val="20"/>
        </w:rPr>
        <w:t xml:space="preserve"> (Hart, Oxford, 2000).</w:t>
      </w:r>
    </w:p>
  </w:footnote>
  <w:footnote w:id="100">
    <w:p w14:paraId="3AA97BD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Lord Johan Steyn, </w:t>
      </w:r>
      <w:r w:rsidRPr="006F0999">
        <w:rPr>
          <w:i/>
          <w:sz w:val="20"/>
          <w:szCs w:val="20"/>
        </w:rPr>
        <w:t>The Constitutionalisation of Public Law</w:t>
      </w:r>
      <w:r w:rsidRPr="006F0999">
        <w:rPr>
          <w:sz w:val="20"/>
          <w:szCs w:val="20"/>
        </w:rPr>
        <w:t xml:space="preserve"> (n </w:t>
      </w:r>
      <w:r w:rsidRPr="006F0999">
        <w:rPr>
          <w:sz w:val="20"/>
          <w:szCs w:val="20"/>
        </w:rPr>
        <w:fldChar w:fldCharType="begin"/>
      </w:r>
      <w:r w:rsidRPr="006F0999">
        <w:rPr>
          <w:sz w:val="20"/>
          <w:szCs w:val="20"/>
        </w:rPr>
        <w:instrText xml:space="preserve"> NOTEREF _Ref457833733 \h  \* MERGEFORMAT </w:instrText>
      </w:r>
      <w:r w:rsidRPr="006F0999">
        <w:rPr>
          <w:sz w:val="20"/>
          <w:szCs w:val="20"/>
        </w:rPr>
      </w:r>
      <w:r w:rsidRPr="006F0999">
        <w:rPr>
          <w:sz w:val="20"/>
          <w:szCs w:val="20"/>
        </w:rPr>
        <w:fldChar w:fldCharType="separate"/>
      </w:r>
      <w:r w:rsidRPr="006F0999">
        <w:rPr>
          <w:sz w:val="20"/>
          <w:szCs w:val="20"/>
        </w:rPr>
        <w:t>84</w:t>
      </w:r>
      <w:r w:rsidRPr="006F0999">
        <w:rPr>
          <w:sz w:val="20"/>
          <w:szCs w:val="20"/>
        </w:rPr>
        <w:fldChar w:fldCharType="end"/>
      </w:r>
      <w:r w:rsidRPr="006F0999">
        <w:rPr>
          <w:sz w:val="20"/>
          <w:szCs w:val="20"/>
        </w:rPr>
        <w:t xml:space="preserve">) 5 f; Jeffrey Jowell, ‘Administrative Law’ (n </w:t>
      </w:r>
      <w:r w:rsidRPr="006F0999">
        <w:rPr>
          <w:sz w:val="20"/>
          <w:szCs w:val="20"/>
        </w:rPr>
        <w:fldChar w:fldCharType="begin"/>
      </w:r>
      <w:r w:rsidRPr="006F0999">
        <w:rPr>
          <w:sz w:val="20"/>
          <w:szCs w:val="20"/>
        </w:rPr>
        <w:instrText xml:space="preserve"> NOTEREF _Ref457833132 \h  \* MERGEFORMAT </w:instrText>
      </w:r>
      <w:r w:rsidRPr="006F0999">
        <w:rPr>
          <w:sz w:val="20"/>
          <w:szCs w:val="20"/>
        </w:rPr>
      </w:r>
      <w:r w:rsidRPr="006F0999">
        <w:rPr>
          <w:sz w:val="20"/>
          <w:szCs w:val="20"/>
        </w:rPr>
        <w:fldChar w:fldCharType="separate"/>
      </w:r>
      <w:r w:rsidRPr="006F0999">
        <w:rPr>
          <w:sz w:val="20"/>
          <w:szCs w:val="20"/>
        </w:rPr>
        <w:t>86</w:t>
      </w:r>
      <w:r w:rsidRPr="006F0999">
        <w:rPr>
          <w:sz w:val="20"/>
          <w:szCs w:val="20"/>
        </w:rPr>
        <w:fldChar w:fldCharType="end"/>
      </w:r>
      <w:r w:rsidRPr="006F0999">
        <w:rPr>
          <w:sz w:val="20"/>
          <w:szCs w:val="20"/>
        </w:rPr>
        <w:t>) 390 ff; Jeffrey Jowell, ‘Beyond the Rule of Law: Towards Constitutional Judicial Review’ (2000) PL 671 ff (</w:t>
      </w:r>
      <w:r>
        <w:rPr>
          <w:sz w:val="20"/>
          <w:szCs w:val="20"/>
        </w:rPr>
        <w:t xml:space="preserve">675: </w:t>
      </w:r>
      <w:r w:rsidRPr="006F0999">
        <w:rPr>
          <w:sz w:val="20"/>
          <w:szCs w:val="20"/>
        </w:rPr>
        <w:t>‘a higher order of rights inherent in ou</w:t>
      </w:r>
      <w:r>
        <w:rPr>
          <w:sz w:val="20"/>
          <w:szCs w:val="20"/>
        </w:rPr>
        <w:t>r constitutional democracy’</w:t>
      </w:r>
      <w:r w:rsidRPr="006F0999">
        <w:rPr>
          <w:sz w:val="20"/>
          <w:szCs w:val="20"/>
        </w:rPr>
        <w:t xml:space="preserve">); Patrick Birkinshaw and Martina Künnecke, ‘Großbritannien’, in Armin von Bogdandy, Pedro Cruz Villalón and Peter M Huber (eds), </w:t>
      </w:r>
      <w:r w:rsidRPr="006F0999">
        <w:rPr>
          <w:i/>
          <w:sz w:val="20"/>
          <w:szCs w:val="20"/>
        </w:rPr>
        <w:t>IPE II</w:t>
      </w:r>
      <w:r w:rsidRPr="006F0999">
        <w:rPr>
          <w:sz w:val="20"/>
          <w:szCs w:val="20"/>
        </w:rPr>
        <w:t xml:space="preserve"> (n </w:t>
      </w:r>
      <w:r w:rsidRPr="006F0999">
        <w:rPr>
          <w:sz w:val="20"/>
          <w:szCs w:val="20"/>
        </w:rPr>
        <w:fldChar w:fldCharType="begin"/>
      </w:r>
      <w:r w:rsidRPr="006F0999">
        <w:rPr>
          <w:sz w:val="20"/>
          <w:szCs w:val="20"/>
        </w:rPr>
        <w:instrText xml:space="preserve"> NOTEREF _Ref457826505 \h  \* MERGEFORMAT </w:instrText>
      </w:r>
      <w:r w:rsidRPr="006F0999">
        <w:rPr>
          <w:sz w:val="20"/>
          <w:szCs w:val="20"/>
        </w:rPr>
      </w:r>
      <w:r w:rsidRPr="006F0999">
        <w:rPr>
          <w:sz w:val="20"/>
          <w:szCs w:val="20"/>
        </w:rPr>
        <w:fldChar w:fldCharType="separate"/>
      </w:r>
      <w:r w:rsidRPr="006F0999">
        <w:rPr>
          <w:sz w:val="20"/>
          <w:szCs w:val="20"/>
        </w:rPr>
        <w:t>11</w:t>
      </w:r>
      <w:r w:rsidRPr="006F0999">
        <w:rPr>
          <w:sz w:val="20"/>
          <w:szCs w:val="20"/>
        </w:rPr>
        <w:fldChar w:fldCharType="end"/>
      </w:r>
      <w:r w:rsidRPr="006F0999">
        <w:rPr>
          <w:sz w:val="20"/>
          <w:szCs w:val="20"/>
        </w:rPr>
        <w:t>) 124, 126 f (‘The common law has developed a constitution of higher rank’). See also the extra-judicial point of view of John Laws, ‘L</w:t>
      </w:r>
      <w:r>
        <w:rPr>
          <w:sz w:val="20"/>
          <w:szCs w:val="20"/>
        </w:rPr>
        <w:t xml:space="preserve">aw and Democracy’ (1995) PL 84: </w:t>
      </w:r>
      <w:r w:rsidRPr="006F0999">
        <w:rPr>
          <w:sz w:val="20"/>
          <w:szCs w:val="20"/>
        </w:rPr>
        <w:t>‘a higher order of law to wh</w:t>
      </w:r>
      <w:r>
        <w:rPr>
          <w:sz w:val="20"/>
          <w:szCs w:val="20"/>
        </w:rPr>
        <w:t xml:space="preserve">ich even Parliament is subject’, 92: </w:t>
      </w:r>
      <w:r w:rsidRPr="006F0999">
        <w:rPr>
          <w:sz w:val="20"/>
          <w:szCs w:val="20"/>
        </w:rPr>
        <w:t>‘The Constitution, not the Parliame</w:t>
      </w:r>
      <w:r>
        <w:rPr>
          <w:sz w:val="20"/>
          <w:szCs w:val="20"/>
        </w:rPr>
        <w:t>nt, is in this sense sovereign’</w:t>
      </w:r>
      <w:r w:rsidRPr="006F0999">
        <w:rPr>
          <w:sz w:val="20"/>
          <w:szCs w:val="20"/>
        </w:rPr>
        <w:t>.</w:t>
      </w:r>
    </w:p>
  </w:footnote>
  <w:footnote w:id="101">
    <w:p w14:paraId="1301D89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According to this traditional doctrine, a statute can implicitly abrogate an older statute, even if the latter affirms its own irrevocability.</w:t>
      </w:r>
    </w:p>
  </w:footnote>
  <w:footnote w:id="102">
    <w:p w14:paraId="48DE72F1" w14:textId="4E822023"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the landmark decision of the Supreme Court of Israel in 1995 in the case </w:t>
      </w:r>
      <w:r w:rsidRPr="006F0999">
        <w:rPr>
          <w:i/>
          <w:sz w:val="20"/>
          <w:szCs w:val="20"/>
        </w:rPr>
        <w:t>United Mizrahi Bank Ltd. et al. v. Migdal Cooperative Village</w:t>
      </w:r>
      <w:r w:rsidRPr="006F0999">
        <w:rPr>
          <w:sz w:val="20"/>
          <w:szCs w:val="20"/>
        </w:rPr>
        <w:t>, 49 (4) PD 221.</w:t>
      </w:r>
    </w:p>
  </w:footnote>
  <w:footnote w:id="103">
    <w:p w14:paraId="18EC64D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[2002] 1 CMLR 50, 101.</w:t>
      </w:r>
    </w:p>
  </w:footnote>
  <w:footnote w:id="104">
    <w:p w14:paraId="3FE5450D" w14:textId="77777777" w:rsidR="0089313D" w:rsidRPr="006F0999" w:rsidRDefault="0089313D" w:rsidP="00DE2EDF">
      <w:pPr>
        <w:pStyle w:val="FootnoteText"/>
        <w:spacing w:line="276" w:lineRule="auto"/>
        <w:rPr>
          <w:i/>
          <w:sz w:val="20"/>
          <w:szCs w:val="20"/>
        </w:rPr>
      </w:pPr>
      <w:r w:rsidRPr="006F0999">
        <w:rPr>
          <w:rStyle w:val="FootnoteReference"/>
          <w:sz w:val="20"/>
          <w:szCs w:val="20"/>
        </w:rPr>
        <w:footnoteRef/>
      </w:r>
      <w:r w:rsidRPr="006F0999">
        <w:rPr>
          <w:sz w:val="20"/>
          <w:szCs w:val="20"/>
        </w:rPr>
        <w:t xml:space="preserve"> </w:t>
      </w:r>
      <w:r w:rsidRPr="006F0999">
        <w:rPr>
          <w:i/>
          <w:sz w:val="20"/>
          <w:szCs w:val="20"/>
        </w:rPr>
        <w:t xml:space="preserve">R (HS2 Action Alliance Ltd) v Secretary of State for Transport, R (on the application of Heathrow Hub Limited and another) (Appellants) v The Secretary of State for Transport and another (Respondents), R (on the application of Hillingdon London Borough Council and others) (Appellants) v The Secretary of State for Transport (Respondent) </w:t>
      </w:r>
      <w:r w:rsidRPr="006F0999">
        <w:rPr>
          <w:sz w:val="20"/>
          <w:szCs w:val="20"/>
        </w:rPr>
        <w:t>[2014] UKSC 3, para. 207.</w:t>
      </w:r>
    </w:p>
  </w:footnote>
  <w:footnote w:id="105">
    <w:p w14:paraId="5996DF5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was very clearly set out by two Scottish academics: Aidan O’Neill, ‘Parliamentary Sovereignty and the Judicial Review of Legislation’ (n </w:t>
      </w:r>
      <w:r w:rsidRPr="006F0999">
        <w:rPr>
          <w:sz w:val="20"/>
          <w:szCs w:val="20"/>
        </w:rPr>
        <w:fldChar w:fldCharType="begin"/>
      </w:r>
      <w:r w:rsidRPr="006F0999">
        <w:rPr>
          <w:sz w:val="20"/>
          <w:szCs w:val="20"/>
        </w:rPr>
        <w:instrText xml:space="preserve"> NOTEREF _ftnref17 \h  \* MERGEFORMAT </w:instrText>
      </w:r>
      <w:r w:rsidRPr="006F0999">
        <w:rPr>
          <w:sz w:val="20"/>
          <w:szCs w:val="20"/>
        </w:rPr>
      </w:r>
      <w:r w:rsidRPr="006F0999">
        <w:rPr>
          <w:sz w:val="20"/>
          <w:szCs w:val="20"/>
        </w:rPr>
        <w:fldChar w:fldCharType="separate"/>
      </w:r>
      <w:r w:rsidRPr="006F0999">
        <w:rPr>
          <w:sz w:val="20"/>
          <w:szCs w:val="20"/>
        </w:rPr>
        <w:t>20</w:t>
      </w:r>
      <w:r w:rsidRPr="006F0999">
        <w:rPr>
          <w:sz w:val="20"/>
          <w:szCs w:val="20"/>
        </w:rPr>
        <w:fldChar w:fldCharType="end"/>
      </w:r>
      <w:r w:rsidRPr="006F0999">
        <w:rPr>
          <w:sz w:val="20"/>
          <w:szCs w:val="20"/>
        </w:rPr>
        <w:t>) 198 ff, and Tom J Mullen, ‘The Constitutionalisation of the Legal Order’</w:t>
      </w:r>
      <w:r>
        <w:rPr>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_Ref457835050 \h  \* MERGEFORMAT </w:instrText>
      </w:r>
      <w:r w:rsidRPr="006F0999">
        <w:rPr>
          <w:sz w:val="20"/>
          <w:szCs w:val="20"/>
        </w:rPr>
      </w:r>
      <w:r w:rsidRPr="006F0999">
        <w:rPr>
          <w:sz w:val="20"/>
          <w:szCs w:val="20"/>
        </w:rPr>
        <w:fldChar w:fldCharType="separate"/>
      </w:r>
      <w:r w:rsidRPr="006F0999">
        <w:rPr>
          <w:sz w:val="20"/>
          <w:szCs w:val="20"/>
        </w:rPr>
        <w:t>96</w:t>
      </w:r>
      <w:r w:rsidRPr="006F0999">
        <w:rPr>
          <w:sz w:val="20"/>
          <w:szCs w:val="20"/>
        </w:rPr>
        <w:fldChar w:fldCharType="end"/>
      </w:r>
      <w:r w:rsidRPr="006F0999">
        <w:rPr>
          <w:sz w:val="20"/>
          <w:szCs w:val="20"/>
        </w:rPr>
        <w:t>) 532 ff. Many other aspects of the problem are dissected therein (e.g., the role of EU law) that are omitted here for reasons of time. In addition to their analysis, one aspect in particular must be highlighted: the role of the European Court of Human Rights (ECtHR) in Strasbourg, which is not mentioned by these authors.</w:t>
      </w:r>
    </w:p>
  </w:footnote>
  <w:footnote w:id="106">
    <w:p w14:paraId="0C03ABE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also section 6 para 3 of the Human Rights Act.</w:t>
      </w:r>
    </w:p>
  </w:footnote>
  <w:footnote w:id="107">
    <w:p w14:paraId="03E5C05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Thus far, all declarations of incompatibility have triggered a change in the offending law. According to Daniel Feldman, ‘Standards of Review and Human Rights in English Law’, in David Feldman (ed), </w:t>
      </w:r>
      <w:r w:rsidRPr="006F0999">
        <w:rPr>
          <w:i/>
          <w:sz w:val="20"/>
          <w:szCs w:val="20"/>
        </w:rPr>
        <w:t>English Public Law</w:t>
      </w:r>
      <w:r w:rsidRPr="006F0999">
        <w:rPr>
          <w:sz w:val="20"/>
          <w:szCs w:val="20"/>
        </w:rPr>
        <w:t xml:space="preserve"> (n </w:t>
      </w:r>
      <w:r w:rsidRPr="006F0999">
        <w:rPr>
          <w:sz w:val="20"/>
          <w:szCs w:val="20"/>
        </w:rPr>
        <w:fldChar w:fldCharType="begin"/>
      </w:r>
      <w:r w:rsidRPr="006F0999">
        <w:rPr>
          <w:sz w:val="20"/>
          <w:szCs w:val="20"/>
        </w:rPr>
        <w:instrText xml:space="preserve"> NOTEREF _ftnref14 \h  \* MERGEFORMAT </w:instrText>
      </w:r>
      <w:r w:rsidRPr="006F0999">
        <w:rPr>
          <w:sz w:val="20"/>
          <w:szCs w:val="20"/>
        </w:rPr>
      </w:r>
      <w:r w:rsidRPr="006F0999">
        <w:rPr>
          <w:sz w:val="20"/>
          <w:szCs w:val="20"/>
        </w:rPr>
        <w:fldChar w:fldCharType="separate"/>
      </w:r>
      <w:r w:rsidRPr="006F0999">
        <w:rPr>
          <w:sz w:val="20"/>
          <w:szCs w:val="20"/>
        </w:rPr>
        <w:t>18</w:t>
      </w:r>
      <w:r w:rsidRPr="006F0999">
        <w:rPr>
          <w:sz w:val="20"/>
          <w:szCs w:val="20"/>
        </w:rPr>
        <w:fldChar w:fldCharType="end"/>
      </w:r>
      <w:r w:rsidRPr="006F0999">
        <w:rPr>
          <w:sz w:val="20"/>
          <w:szCs w:val="20"/>
        </w:rPr>
        <w:t>) 317, 356, the Government is obliged to do so. However, that author believes that said obligation is only a moral obligation, as it is based on a constitutional convention.</w:t>
      </w:r>
    </w:p>
  </w:footnote>
  <w:footnote w:id="108">
    <w:p w14:paraId="200F944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question which constitutional values should inspire this legal area, see Gordon Anthony and others, </w:t>
      </w:r>
      <w:r w:rsidRPr="006F0999">
        <w:rPr>
          <w:i/>
          <w:sz w:val="20"/>
          <w:szCs w:val="20"/>
        </w:rPr>
        <w:t>Values in Global Administrative Law</w:t>
      </w:r>
      <w:r w:rsidRPr="006F0999">
        <w:rPr>
          <w:sz w:val="20"/>
          <w:szCs w:val="20"/>
        </w:rPr>
        <w:t xml:space="preserve"> (Hart, Oxford, 2011).</w:t>
      </w:r>
    </w:p>
  </w:footnote>
  <w:footnote w:id="109">
    <w:p w14:paraId="10B8521F"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Although history shows neither to be the ‘first’ to study their particular field, they are often hailed as such.</w:t>
      </w:r>
    </w:p>
  </w:footnote>
  <w:footnote w:id="110">
    <w:p w14:paraId="0A331913"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w:t>
      </w:r>
      <w:r w:rsidRPr="006F0999">
        <w:rPr>
          <w:i/>
          <w:sz w:val="20"/>
          <w:szCs w:val="20"/>
          <w:lang w:val="fr-FR"/>
        </w:rPr>
        <w:t>Des lois constitutionnelles servant de base au droit administratif</w:t>
      </w:r>
      <w:r w:rsidRPr="006F0999">
        <w:rPr>
          <w:sz w:val="20"/>
          <w:szCs w:val="20"/>
          <w:lang w:val="fr-FR"/>
        </w:rPr>
        <w:t>’ is the title</w:t>
      </w:r>
      <w:r>
        <w:rPr>
          <w:sz w:val="20"/>
          <w:szCs w:val="20"/>
          <w:lang w:val="fr-FR"/>
        </w:rPr>
        <w:t xml:space="preserve"> of the first section of Joseph </w:t>
      </w:r>
      <w:r w:rsidRPr="006F0999">
        <w:rPr>
          <w:sz w:val="20"/>
          <w:szCs w:val="20"/>
          <w:lang w:val="fr-FR"/>
        </w:rPr>
        <w:t xml:space="preserve">Marie de Gérando’s introduction to his book </w:t>
      </w:r>
      <w:r w:rsidRPr="006F0999">
        <w:rPr>
          <w:i/>
          <w:sz w:val="20"/>
          <w:szCs w:val="20"/>
          <w:lang w:val="fr-FR"/>
        </w:rPr>
        <w:t>Institutes du droit administratif</w:t>
      </w:r>
      <w:r w:rsidRPr="006F0999">
        <w:rPr>
          <w:sz w:val="20"/>
          <w:szCs w:val="20"/>
          <w:lang w:val="fr-FR"/>
        </w:rPr>
        <w:t xml:space="preserve">, vol 1 (2nd edn, </w:t>
      </w:r>
      <w:r w:rsidRPr="006F0999">
        <w:rPr>
          <w:rStyle w:val="detailvalue"/>
          <w:sz w:val="20"/>
          <w:szCs w:val="20"/>
          <w:lang w:val="fr-FR"/>
        </w:rPr>
        <w:t>Nève</w:t>
      </w:r>
      <w:r w:rsidRPr="006F0999">
        <w:rPr>
          <w:sz w:val="20"/>
          <w:szCs w:val="20"/>
          <w:lang w:val="fr-FR"/>
        </w:rPr>
        <w:t xml:space="preserve">, Paris, 1842) 3 ff. See also Pellegrino Rossi, </w:t>
      </w:r>
      <w:r w:rsidRPr="006F0999">
        <w:rPr>
          <w:i/>
          <w:sz w:val="20"/>
          <w:szCs w:val="20"/>
          <w:lang w:val="fr-FR"/>
        </w:rPr>
        <w:t>Cours de droit constitutionnel</w:t>
      </w:r>
      <w:r w:rsidRPr="006F0999">
        <w:rPr>
          <w:sz w:val="20"/>
          <w:szCs w:val="20"/>
          <w:lang w:val="fr-FR"/>
        </w:rPr>
        <w:t>, vol 1 (Guillaumin et Cie, Paris, 1865) LVIII.</w:t>
      </w:r>
    </w:p>
  </w:footnote>
  <w:footnote w:id="111">
    <w:p w14:paraId="6555AF03"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See Michael Stolleis, </w:t>
      </w:r>
      <w:r w:rsidRPr="006F0999">
        <w:rPr>
          <w:i/>
          <w:sz w:val="20"/>
          <w:szCs w:val="20"/>
          <w:lang w:val="de-DE"/>
        </w:rPr>
        <w:t>Geschichte des öffentlichen Rechts in Deutschland</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_Ref401126622 \h  \* MERGEFORMAT </w:instrText>
      </w:r>
      <w:r w:rsidRPr="006F0999">
        <w:rPr>
          <w:sz w:val="20"/>
          <w:szCs w:val="20"/>
        </w:rPr>
      </w:r>
      <w:r w:rsidRPr="006F0999">
        <w:rPr>
          <w:sz w:val="20"/>
          <w:szCs w:val="20"/>
        </w:rPr>
        <w:fldChar w:fldCharType="separate"/>
      </w:r>
      <w:r w:rsidRPr="006F0999">
        <w:rPr>
          <w:sz w:val="20"/>
          <w:szCs w:val="20"/>
          <w:lang w:val="de-DE"/>
        </w:rPr>
        <w:t>30</w:t>
      </w:r>
      <w:r w:rsidRPr="006F0999">
        <w:rPr>
          <w:sz w:val="20"/>
          <w:szCs w:val="20"/>
        </w:rPr>
        <w:fldChar w:fldCharType="end"/>
      </w:r>
      <w:r w:rsidRPr="006F0999">
        <w:rPr>
          <w:sz w:val="20"/>
          <w:szCs w:val="20"/>
          <w:lang w:val="de-DE"/>
        </w:rPr>
        <w:t>) 381 ff and 395 ff.</w:t>
      </w:r>
    </w:p>
  </w:footnote>
  <w:footnote w:id="112">
    <w:p w14:paraId="23280060"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Lorenz von Stein, </w:t>
      </w:r>
      <w:r w:rsidRPr="006F0999">
        <w:rPr>
          <w:i/>
          <w:sz w:val="20"/>
          <w:szCs w:val="20"/>
          <w:lang w:val="de-DE"/>
        </w:rPr>
        <w:t>Handbuch der Verwaltungslehre</w:t>
      </w:r>
      <w:r w:rsidRPr="006F0999">
        <w:rPr>
          <w:sz w:val="20"/>
          <w:szCs w:val="20"/>
          <w:lang w:val="de-DE"/>
        </w:rPr>
        <w:t>, vol 1 (3rd edn, Cotta, Stuttgart, 1888) 6.</w:t>
      </w:r>
    </w:p>
  </w:footnote>
  <w:footnote w:id="113">
    <w:p w14:paraId="50A32722"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Alfred Giron, </w:t>
      </w:r>
      <w:r w:rsidRPr="006F0999">
        <w:rPr>
          <w:i/>
          <w:sz w:val="20"/>
          <w:szCs w:val="20"/>
          <w:lang w:val="fr-FR"/>
        </w:rPr>
        <w:t>Le droit administratif de la Belgique</w:t>
      </w:r>
      <w:r w:rsidRPr="006F0999">
        <w:rPr>
          <w:sz w:val="20"/>
          <w:szCs w:val="20"/>
          <w:lang w:val="fr-FR"/>
        </w:rPr>
        <w:t xml:space="preserve">, vol 1 (2nd edn, Bruyland, Bruxelles, 1885) 10. Already before: </w:t>
      </w:r>
      <w:hyperlink r:id="rId11" w:history="1">
        <w:r w:rsidRPr="006F0999">
          <w:rPr>
            <w:sz w:val="20"/>
            <w:szCs w:val="20"/>
            <w:lang w:val="fr-FR"/>
          </w:rPr>
          <w:t>Charles de Brouckere</w:t>
        </w:r>
      </w:hyperlink>
      <w:r w:rsidRPr="006F0999">
        <w:rPr>
          <w:sz w:val="20"/>
          <w:szCs w:val="20"/>
          <w:lang w:val="fr-FR"/>
        </w:rPr>
        <w:t xml:space="preserve"> and </w:t>
      </w:r>
      <w:hyperlink r:id="rId12" w:history="1">
        <w:r w:rsidRPr="006F0999">
          <w:rPr>
            <w:sz w:val="20"/>
            <w:szCs w:val="20"/>
            <w:lang w:val="fr-FR"/>
          </w:rPr>
          <w:t>Franciscus Tielemans</w:t>
        </w:r>
      </w:hyperlink>
      <w:r w:rsidRPr="006F0999">
        <w:rPr>
          <w:sz w:val="20"/>
          <w:szCs w:val="20"/>
          <w:lang w:val="fr-FR"/>
        </w:rPr>
        <w:t xml:space="preserve">, </w:t>
      </w:r>
      <w:r w:rsidRPr="006F0999">
        <w:rPr>
          <w:i/>
          <w:sz w:val="20"/>
          <w:szCs w:val="20"/>
          <w:lang w:val="fr-FR"/>
        </w:rPr>
        <w:t>Répertoire de l’administration et du droit administratif de la Belgique</w:t>
      </w:r>
      <w:r w:rsidRPr="006F0999">
        <w:rPr>
          <w:sz w:val="20"/>
          <w:szCs w:val="20"/>
          <w:lang w:val="fr-FR"/>
        </w:rPr>
        <w:t xml:space="preserve">, vol 6 (Weissenbruch, Bruxelles, 1843) 421, entry ‘Droit administratif’. </w:t>
      </w:r>
    </w:p>
  </w:footnote>
  <w:footnote w:id="114">
    <w:p w14:paraId="1E212F67" w14:textId="77777777" w:rsidR="0089313D" w:rsidRPr="006F0999" w:rsidRDefault="0089313D" w:rsidP="00DE2EDF">
      <w:pPr>
        <w:spacing w:after="0"/>
        <w:jc w:val="both"/>
        <w:rPr>
          <w:rFonts w:eastAsia="Times New Roman" w:cs="Times New Roman"/>
          <w:sz w:val="20"/>
          <w:szCs w:val="20"/>
          <w:lang w:eastAsia="fr-FR"/>
        </w:rPr>
      </w:pPr>
      <w:r w:rsidRPr="006F0999">
        <w:rPr>
          <w:rStyle w:val="FootnoteReference"/>
          <w:rFonts w:cs="Times New Roman"/>
          <w:sz w:val="20"/>
          <w:szCs w:val="20"/>
        </w:rPr>
        <w:footnoteRef/>
      </w:r>
      <w:r w:rsidRPr="006F0999">
        <w:rPr>
          <w:rFonts w:cs="Times New Roman"/>
          <w:sz w:val="20"/>
          <w:szCs w:val="20"/>
        </w:rPr>
        <w:t xml:space="preserve"> Pedro Gómez de la Serna, </w:t>
      </w:r>
      <w:r w:rsidRPr="006F0999">
        <w:rPr>
          <w:rFonts w:cs="Times New Roman"/>
          <w:i/>
          <w:sz w:val="20"/>
          <w:szCs w:val="20"/>
        </w:rPr>
        <w:t>Instituciones del derecho administrativo español</w:t>
      </w:r>
      <w:r w:rsidRPr="006F0999">
        <w:rPr>
          <w:rFonts w:cs="Times New Roman"/>
          <w:sz w:val="20"/>
          <w:szCs w:val="20"/>
        </w:rPr>
        <w:t xml:space="preserve">, vol 1 (Vicente de Lalama, Madrid, 1843) </w:t>
      </w:r>
      <w:r>
        <w:rPr>
          <w:rFonts w:eastAsia="Times New Roman" w:cs="Times New Roman"/>
          <w:sz w:val="20"/>
          <w:szCs w:val="20"/>
          <w:lang w:eastAsia="fr-FR"/>
        </w:rPr>
        <w:t xml:space="preserve">13: </w:t>
      </w:r>
      <w:r w:rsidRPr="006F0999">
        <w:rPr>
          <w:rFonts w:eastAsia="Times New Roman" w:cs="Times New Roman"/>
          <w:sz w:val="20"/>
          <w:szCs w:val="20"/>
          <w:lang w:eastAsia="fr-FR"/>
        </w:rPr>
        <w:t>‘The basis of administrative law is constitutional law, to which it is intimately linked and of which it may</w:t>
      </w:r>
      <w:r>
        <w:rPr>
          <w:rFonts w:eastAsia="Times New Roman" w:cs="Times New Roman"/>
          <w:sz w:val="20"/>
          <w:szCs w:val="20"/>
          <w:lang w:eastAsia="fr-FR"/>
        </w:rPr>
        <w:t xml:space="preserve"> be considered the consequence’</w:t>
      </w:r>
      <w:r w:rsidRPr="006F0999">
        <w:rPr>
          <w:rFonts w:eastAsia="Times New Roman" w:cs="Times New Roman"/>
          <w:sz w:val="20"/>
          <w:szCs w:val="20"/>
          <w:lang w:eastAsia="fr-FR"/>
        </w:rPr>
        <w:t>.</w:t>
      </w:r>
    </w:p>
  </w:footnote>
  <w:footnote w:id="115">
    <w:p w14:paraId="7A24330B" w14:textId="77777777" w:rsidR="0089313D" w:rsidRPr="006F0999" w:rsidRDefault="0089313D" w:rsidP="00E56886">
      <w:pPr>
        <w:pStyle w:val="FootnoteText"/>
        <w:spacing w:line="276" w:lineRule="auto"/>
        <w:rPr>
          <w:sz w:val="20"/>
          <w:szCs w:val="20"/>
          <w:lang w:val="es-ES"/>
        </w:rPr>
      </w:pPr>
      <w:r w:rsidRPr="006F0999">
        <w:rPr>
          <w:rStyle w:val="FootnoteReference"/>
          <w:sz w:val="20"/>
          <w:szCs w:val="20"/>
        </w:rPr>
        <w:footnoteRef/>
      </w:r>
      <w:r w:rsidRPr="006F0999">
        <w:rPr>
          <w:sz w:val="20"/>
          <w:szCs w:val="20"/>
          <w:lang w:val="es-ES"/>
        </w:rPr>
        <w:t xml:space="preserve"> Quoted in Alberto </w:t>
      </w:r>
      <w:r w:rsidRPr="006F0999">
        <w:rPr>
          <w:sz w:val="20"/>
          <w:szCs w:val="20"/>
          <w:lang w:val="es-ES" w:eastAsia="fr-FR"/>
        </w:rPr>
        <w:t xml:space="preserve">G Anabitarte, </w:t>
      </w:r>
      <w:r w:rsidRPr="006F0999">
        <w:rPr>
          <w:i/>
          <w:sz w:val="20"/>
          <w:szCs w:val="20"/>
          <w:lang w:val="es-ES"/>
        </w:rPr>
        <w:t>Formación y enseñanza del derecho público en España (1769–2000)</w:t>
      </w:r>
      <w:r w:rsidRPr="006F0999">
        <w:rPr>
          <w:sz w:val="20"/>
          <w:szCs w:val="20"/>
          <w:lang w:val="es-ES"/>
        </w:rPr>
        <w:t xml:space="preserve"> (n </w:t>
      </w:r>
      <w:r w:rsidRPr="006F0999">
        <w:rPr>
          <w:sz w:val="20"/>
          <w:szCs w:val="20"/>
        </w:rPr>
        <w:fldChar w:fldCharType="begin"/>
      </w:r>
      <w:r w:rsidRPr="006F0999">
        <w:rPr>
          <w:sz w:val="20"/>
          <w:szCs w:val="20"/>
          <w:lang w:val="es-ES"/>
        </w:rPr>
        <w:instrText xml:space="preserve"> NOTEREF _Ref457828586 \h  \* MERGEFORMAT </w:instrText>
      </w:r>
      <w:r w:rsidRPr="006F0999">
        <w:rPr>
          <w:sz w:val="20"/>
          <w:szCs w:val="20"/>
        </w:rPr>
      </w:r>
      <w:r w:rsidRPr="006F0999">
        <w:rPr>
          <w:sz w:val="20"/>
          <w:szCs w:val="20"/>
        </w:rPr>
        <w:fldChar w:fldCharType="separate"/>
      </w:r>
      <w:r w:rsidRPr="006F0999">
        <w:rPr>
          <w:sz w:val="20"/>
          <w:szCs w:val="20"/>
          <w:lang w:val="es-ES"/>
        </w:rPr>
        <w:t>25</w:t>
      </w:r>
      <w:r w:rsidRPr="006F0999">
        <w:rPr>
          <w:sz w:val="20"/>
          <w:szCs w:val="20"/>
        </w:rPr>
        <w:fldChar w:fldCharType="end"/>
      </w:r>
      <w:r w:rsidRPr="006F0999">
        <w:rPr>
          <w:sz w:val="20"/>
          <w:szCs w:val="20"/>
          <w:lang w:val="es-ES"/>
        </w:rPr>
        <w:t>)</w:t>
      </w:r>
      <w:r w:rsidRPr="006F0999">
        <w:rPr>
          <w:i/>
          <w:sz w:val="20"/>
          <w:szCs w:val="20"/>
          <w:lang w:val="es-ES"/>
        </w:rPr>
        <w:t xml:space="preserve"> </w:t>
      </w:r>
      <w:r w:rsidRPr="006F0999">
        <w:rPr>
          <w:sz w:val="20"/>
          <w:szCs w:val="20"/>
          <w:lang w:val="es-ES" w:eastAsia="fr-FR"/>
        </w:rPr>
        <w:t xml:space="preserve">239. See also Manuel Colmeiro, </w:t>
      </w:r>
      <w:r w:rsidRPr="006F0999">
        <w:rPr>
          <w:i/>
          <w:sz w:val="20"/>
          <w:szCs w:val="20"/>
          <w:lang w:val="es-ES"/>
        </w:rPr>
        <w:t>Elementos de derecho político y administrativo de España</w:t>
      </w:r>
      <w:r w:rsidRPr="006F0999">
        <w:rPr>
          <w:sz w:val="20"/>
          <w:szCs w:val="20"/>
          <w:lang w:val="es-ES"/>
        </w:rPr>
        <w:t xml:space="preserve"> (3rd edn,</w:t>
      </w:r>
      <w:r w:rsidRPr="006F0999" w:rsidDel="00171F71">
        <w:rPr>
          <w:sz w:val="20"/>
          <w:szCs w:val="20"/>
          <w:lang w:val="es-ES"/>
        </w:rPr>
        <w:t xml:space="preserve"> </w:t>
      </w:r>
      <w:r w:rsidRPr="006F0999">
        <w:rPr>
          <w:sz w:val="20"/>
          <w:szCs w:val="20"/>
          <w:lang w:val="es-ES"/>
        </w:rPr>
        <w:t>Martínez García, Madrid, 1870) part II chapter 3 (</w:t>
      </w:r>
      <w:r w:rsidRPr="006F0999">
        <w:rPr>
          <w:i/>
          <w:sz w:val="20"/>
          <w:szCs w:val="20"/>
          <w:lang w:val="es-ES"/>
        </w:rPr>
        <w:t>‘Del derecho administrativo’</w:t>
      </w:r>
      <w:r w:rsidRPr="006F0999">
        <w:rPr>
          <w:sz w:val="20"/>
          <w:szCs w:val="20"/>
          <w:lang w:val="es-ES"/>
        </w:rPr>
        <w:t>).</w:t>
      </w:r>
    </w:p>
  </w:footnote>
  <w:footnote w:id="116">
    <w:p w14:paraId="59C728C7" w14:textId="41CF472D" w:rsidR="0089313D" w:rsidRPr="006F0999" w:rsidRDefault="0089313D" w:rsidP="00DE2EDF">
      <w:pPr>
        <w:pStyle w:val="FootnoteText"/>
        <w:spacing w:line="276" w:lineRule="auto"/>
        <w:rPr>
          <w:sz w:val="20"/>
          <w:szCs w:val="20"/>
          <w:lang w:val="es-ES" w:eastAsia="fr-FR"/>
        </w:rPr>
      </w:pPr>
      <w:r w:rsidRPr="006F0999">
        <w:rPr>
          <w:rStyle w:val="FootnoteReference"/>
          <w:sz w:val="20"/>
          <w:szCs w:val="20"/>
        </w:rPr>
        <w:footnoteRef/>
      </w:r>
      <w:r w:rsidRPr="006F0999">
        <w:rPr>
          <w:sz w:val="20"/>
          <w:szCs w:val="20"/>
          <w:lang w:val="es-ES"/>
        </w:rPr>
        <w:t xml:space="preserve"> Alberto </w:t>
      </w:r>
      <w:r w:rsidRPr="006F0999">
        <w:rPr>
          <w:sz w:val="20"/>
          <w:szCs w:val="20"/>
          <w:lang w:val="es-ES" w:eastAsia="fr-FR"/>
        </w:rPr>
        <w:t xml:space="preserve">G Anabitarte, </w:t>
      </w:r>
      <w:r w:rsidRPr="006F0999">
        <w:rPr>
          <w:i/>
          <w:sz w:val="20"/>
          <w:szCs w:val="20"/>
          <w:lang w:val="es-ES"/>
        </w:rPr>
        <w:t>Formación y enseñanza del derecho público en España (1769–2000</w:t>
      </w:r>
      <w:r w:rsidRPr="006F0999">
        <w:rPr>
          <w:sz w:val="20"/>
          <w:szCs w:val="20"/>
          <w:lang w:val="es-ES"/>
        </w:rPr>
        <w:t>)</w:t>
      </w:r>
      <w:r w:rsidRPr="006F0999">
        <w:rPr>
          <w:i/>
          <w:sz w:val="20"/>
          <w:szCs w:val="20"/>
          <w:lang w:val="es-ES"/>
        </w:rPr>
        <w:t xml:space="preserve"> </w:t>
      </w:r>
      <w:r w:rsidRPr="006F0999">
        <w:rPr>
          <w:sz w:val="20"/>
          <w:szCs w:val="20"/>
          <w:lang w:val="es-ES"/>
        </w:rPr>
        <w:t xml:space="preserve">(n </w:t>
      </w:r>
      <w:r w:rsidRPr="006F0999">
        <w:rPr>
          <w:sz w:val="20"/>
          <w:szCs w:val="20"/>
        </w:rPr>
        <w:fldChar w:fldCharType="begin"/>
      </w:r>
      <w:r w:rsidRPr="006F0999">
        <w:rPr>
          <w:sz w:val="20"/>
          <w:szCs w:val="20"/>
          <w:lang w:val="es-ES"/>
        </w:rPr>
        <w:instrText xml:space="preserve"> NOTEREF _Ref457828586 \h  \* MERGEFORMAT </w:instrText>
      </w:r>
      <w:r w:rsidRPr="006F0999">
        <w:rPr>
          <w:sz w:val="20"/>
          <w:szCs w:val="20"/>
        </w:rPr>
      </w:r>
      <w:r w:rsidRPr="006F0999">
        <w:rPr>
          <w:sz w:val="20"/>
          <w:szCs w:val="20"/>
        </w:rPr>
        <w:fldChar w:fldCharType="separate"/>
      </w:r>
      <w:r w:rsidRPr="006F0999">
        <w:rPr>
          <w:sz w:val="20"/>
          <w:szCs w:val="20"/>
          <w:lang w:val="es-ES"/>
        </w:rPr>
        <w:t>25</w:t>
      </w:r>
      <w:r w:rsidRPr="006F0999">
        <w:rPr>
          <w:sz w:val="20"/>
          <w:szCs w:val="20"/>
        </w:rPr>
        <w:fldChar w:fldCharType="end"/>
      </w:r>
      <w:r w:rsidRPr="006F0999">
        <w:rPr>
          <w:sz w:val="20"/>
          <w:szCs w:val="20"/>
          <w:lang w:val="es-ES"/>
        </w:rPr>
        <w:t>)</w:t>
      </w:r>
      <w:r>
        <w:rPr>
          <w:sz w:val="20"/>
          <w:szCs w:val="20"/>
          <w:lang w:val="es-ES" w:eastAsia="fr-FR"/>
        </w:rPr>
        <w:t xml:space="preserve"> 165, 222 f, 238 ff. </w:t>
      </w:r>
      <w:r w:rsidRPr="006F0999">
        <w:rPr>
          <w:sz w:val="20"/>
          <w:szCs w:val="20"/>
          <w:lang w:val="es-ES"/>
        </w:rPr>
        <w:t xml:space="preserve">This terminology is still used in Spain, see Juan A Santamaría Pastor, </w:t>
      </w:r>
      <w:r w:rsidRPr="006F0999">
        <w:rPr>
          <w:i/>
          <w:sz w:val="20"/>
          <w:szCs w:val="20"/>
          <w:lang w:val="es-ES"/>
        </w:rPr>
        <w:t>Principios de Derecho Admini</w:t>
      </w:r>
      <w:r>
        <w:rPr>
          <w:i/>
          <w:sz w:val="20"/>
          <w:szCs w:val="20"/>
          <w:lang w:val="es-ES"/>
        </w:rPr>
        <w:t>s</w:t>
      </w:r>
      <w:r w:rsidRPr="006F0999">
        <w:rPr>
          <w:i/>
          <w:sz w:val="20"/>
          <w:szCs w:val="20"/>
          <w:lang w:val="es-ES"/>
        </w:rPr>
        <w:t>trativo general</w:t>
      </w:r>
      <w:r w:rsidRPr="006F0999">
        <w:rPr>
          <w:sz w:val="20"/>
          <w:szCs w:val="20"/>
          <w:lang w:val="es-ES"/>
        </w:rPr>
        <w:t xml:space="preserve">, vol 1 (Iustel, Madrid, 2004) 75 ff, but also in Italy, see Sabino Cassese, ‘Le basi constitucionali’, in </w:t>
      </w:r>
      <w:r>
        <w:rPr>
          <w:sz w:val="20"/>
          <w:szCs w:val="20"/>
          <w:lang w:val="es-ES"/>
        </w:rPr>
        <w:t xml:space="preserve">Sabino Cassese </w:t>
      </w:r>
      <w:r w:rsidRPr="006F0999">
        <w:rPr>
          <w:sz w:val="20"/>
          <w:szCs w:val="20"/>
          <w:lang w:val="es-ES"/>
        </w:rPr>
        <w:t xml:space="preserve">(ed), </w:t>
      </w:r>
      <w:r w:rsidRPr="006F0999">
        <w:rPr>
          <w:i/>
          <w:sz w:val="20"/>
          <w:szCs w:val="20"/>
          <w:lang w:val="es-ES"/>
        </w:rPr>
        <w:t>Trattato di Diritto amministrativo</w:t>
      </w:r>
      <w:r w:rsidRPr="006F0999">
        <w:rPr>
          <w:sz w:val="20"/>
          <w:szCs w:val="20"/>
          <w:lang w:val="es-ES"/>
        </w:rPr>
        <w:t xml:space="preserve">, vol 1 (2nd edn, Giuffrè, Milan, 2003) 173 ff), in France and, as seen, in England (n </w:t>
      </w:r>
      <w:r w:rsidRPr="006F0999">
        <w:rPr>
          <w:sz w:val="20"/>
          <w:szCs w:val="20"/>
        </w:rPr>
        <w:fldChar w:fldCharType="begin"/>
      </w:r>
      <w:r w:rsidRPr="006F0999">
        <w:rPr>
          <w:sz w:val="20"/>
          <w:szCs w:val="20"/>
          <w:lang w:val="es-ES"/>
        </w:rPr>
        <w:instrText xml:space="preserve"> NOTEREF _Ref457835050 \h  \* MERGEFORMAT </w:instrText>
      </w:r>
      <w:r w:rsidRPr="006F0999">
        <w:rPr>
          <w:sz w:val="20"/>
          <w:szCs w:val="20"/>
        </w:rPr>
      </w:r>
      <w:r w:rsidRPr="006F0999">
        <w:rPr>
          <w:sz w:val="20"/>
          <w:szCs w:val="20"/>
        </w:rPr>
        <w:fldChar w:fldCharType="separate"/>
      </w:r>
      <w:r w:rsidRPr="006F0999">
        <w:rPr>
          <w:sz w:val="20"/>
          <w:szCs w:val="20"/>
          <w:lang w:val="es-ES"/>
        </w:rPr>
        <w:t>96</w:t>
      </w:r>
      <w:r w:rsidRPr="006F0999">
        <w:rPr>
          <w:sz w:val="20"/>
          <w:szCs w:val="20"/>
        </w:rPr>
        <w:fldChar w:fldCharType="end"/>
      </w:r>
      <w:r w:rsidRPr="006F0999">
        <w:rPr>
          <w:sz w:val="20"/>
          <w:szCs w:val="20"/>
          <w:lang w:val="es-ES"/>
        </w:rPr>
        <w:t>).</w:t>
      </w:r>
    </w:p>
  </w:footnote>
  <w:footnote w:id="117">
    <w:p w14:paraId="487436D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Frank J Goodnow, </w:t>
      </w:r>
      <w:r w:rsidRPr="006F0999">
        <w:rPr>
          <w:i/>
          <w:sz w:val="20"/>
          <w:szCs w:val="20"/>
        </w:rPr>
        <w:t>Comparative 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_Ref457835634 \h  \* MERGEFORMAT </w:instrText>
      </w:r>
      <w:r w:rsidRPr="006F0999">
        <w:rPr>
          <w:sz w:val="20"/>
          <w:szCs w:val="20"/>
        </w:rPr>
      </w:r>
      <w:r w:rsidRPr="006F0999">
        <w:rPr>
          <w:sz w:val="20"/>
          <w:szCs w:val="20"/>
        </w:rPr>
        <w:fldChar w:fldCharType="separate"/>
      </w:r>
      <w:r w:rsidRPr="006F0999">
        <w:rPr>
          <w:sz w:val="20"/>
          <w:szCs w:val="20"/>
        </w:rPr>
        <w:t>89</w:t>
      </w:r>
      <w:r w:rsidRPr="006F0999">
        <w:rPr>
          <w:sz w:val="20"/>
          <w:szCs w:val="20"/>
        </w:rPr>
        <w:fldChar w:fldCharType="end"/>
      </w:r>
      <w:r w:rsidRPr="006F0999">
        <w:rPr>
          <w:sz w:val="20"/>
          <w:szCs w:val="20"/>
        </w:rPr>
        <w:t>) 3, 8, and 15.</w:t>
      </w:r>
    </w:p>
  </w:footnote>
  <w:footnote w:id="118">
    <w:p w14:paraId="2D68495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Frank J Goodnow, </w:t>
      </w:r>
      <w:r w:rsidRPr="006F0999">
        <w:rPr>
          <w:i/>
          <w:sz w:val="20"/>
          <w:szCs w:val="20"/>
        </w:rPr>
        <w:t>Comparative 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_Ref457835634 \h  \* MERGEFORMAT </w:instrText>
      </w:r>
      <w:r w:rsidRPr="006F0999">
        <w:rPr>
          <w:sz w:val="20"/>
          <w:szCs w:val="20"/>
        </w:rPr>
      </w:r>
      <w:r w:rsidRPr="006F0999">
        <w:rPr>
          <w:sz w:val="20"/>
          <w:szCs w:val="20"/>
        </w:rPr>
        <w:fldChar w:fldCharType="separate"/>
      </w:r>
      <w:r w:rsidRPr="006F0999">
        <w:rPr>
          <w:sz w:val="20"/>
          <w:szCs w:val="20"/>
        </w:rPr>
        <w:t>89</w:t>
      </w:r>
      <w:r w:rsidRPr="006F0999">
        <w:rPr>
          <w:sz w:val="20"/>
          <w:szCs w:val="20"/>
        </w:rPr>
        <w:fldChar w:fldCharType="end"/>
      </w:r>
      <w:r w:rsidRPr="006F0999">
        <w:rPr>
          <w:sz w:val="20"/>
          <w:szCs w:val="20"/>
        </w:rPr>
        <w:t>) v.</w:t>
      </w:r>
    </w:p>
  </w:footnote>
  <w:footnote w:id="119">
    <w:p w14:paraId="14D379A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Frank J Goodnow, </w:t>
      </w:r>
      <w:r w:rsidRPr="006F0999">
        <w:rPr>
          <w:i/>
          <w:sz w:val="20"/>
          <w:szCs w:val="20"/>
        </w:rPr>
        <w:t>Comparative 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_Ref457835634 \h  \* MERGEFORMAT </w:instrText>
      </w:r>
      <w:r w:rsidRPr="006F0999">
        <w:rPr>
          <w:sz w:val="20"/>
          <w:szCs w:val="20"/>
        </w:rPr>
      </w:r>
      <w:r w:rsidRPr="006F0999">
        <w:rPr>
          <w:sz w:val="20"/>
          <w:szCs w:val="20"/>
        </w:rPr>
        <w:fldChar w:fldCharType="separate"/>
      </w:r>
      <w:r w:rsidRPr="006F0999">
        <w:rPr>
          <w:sz w:val="20"/>
          <w:szCs w:val="20"/>
        </w:rPr>
        <w:t>89</w:t>
      </w:r>
      <w:r w:rsidRPr="006F0999">
        <w:rPr>
          <w:sz w:val="20"/>
          <w:szCs w:val="20"/>
        </w:rPr>
        <w:fldChar w:fldCharType="end"/>
      </w:r>
      <w:r w:rsidRPr="006F0999">
        <w:rPr>
          <w:sz w:val="20"/>
          <w:szCs w:val="20"/>
        </w:rPr>
        <w:t>) 8.</w:t>
      </w:r>
    </w:p>
  </w:footnote>
  <w:footnote w:id="120">
    <w:p w14:paraId="0FEE179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To quote Sabino Cassese, </w:t>
      </w:r>
      <w:r w:rsidRPr="006F0999">
        <w:rPr>
          <w:i/>
          <w:sz w:val="20"/>
          <w:szCs w:val="20"/>
        </w:rPr>
        <w:t>La construction du droit administratif: France et Royaume-Uni</w:t>
      </w:r>
      <w:r w:rsidRPr="006F0999">
        <w:rPr>
          <w:sz w:val="20"/>
          <w:szCs w:val="20"/>
        </w:rPr>
        <w:t xml:space="preserve"> (n </w:t>
      </w:r>
      <w:r w:rsidRPr="006F0999">
        <w:rPr>
          <w:sz w:val="20"/>
          <w:szCs w:val="20"/>
        </w:rPr>
        <w:fldChar w:fldCharType="begin"/>
      </w:r>
      <w:r w:rsidRPr="006F0999">
        <w:rPr>
          <w:sz w:val="20"/>
          <w:szCs w:val="20"/>
        </w:rPr>
        <w:instrText xml:space="preserve"> NOTEREF _Ref457835825 \h  \* MERGEFORMAT </w:instrText>
      </w:r>
      <w:r w:rsidRPr="006F0999">
        <w:rPr>
          <w:sz w:val="20"/>
          <w:szCs w:val="20"/>
        </w:rPr>
      </w:r>
      <w:r w:rsidRPr="006F0999">
        <w:rPr>
          <w:sz w:val="20"/>
          <w:szCs w:val="20"/>
        </w:rPr>
        <w:fldChar w:fldCharType="separate"/>
      </w:r>
      <w:r w:rsidRPr="006F0999">
        <w:rPr>
          <w:sz w:val="20"/>
          <w:szCs w:val="20"/>
        </w:rPr>
        <w:t>87</w:t>
      </w:r>
      <w:r w:rsidRPr="006F0999">
        <w:rPr>
          <w:sz w:val="20"/>
          <w:szCs w:val="20"/>
        </w:rPr>
        <w:fldChar w:fldCharType="end"/>
      </w:r>
      <w:r w:rsidRPr="006F0999">
        <w:rPr>
          <w:sz w:val="20"/>
          <w:szCs w:val="20"/>
        </w:rPr>
        <w:t>) 11, ‘administrative circulars [</w:t>
      </w:r>
      <w:r w:rsidRPr="006F0999">
        <w:rPr>
          <w:i/>
          <w:sz w:val="20"/>
          <w:szCs w:val="20"/>
        </w:rPr>
        <w:t>circulaires</w:t>
      </w:r>
      <w:r w:rsidRPr="006F0999">
        <w:rPr>
          <w:sz w:val="20"/>
          <w:szCs w:val="20"/>
        </w:rPr>
        <w:t>] finish to be more important than solemn declarations of the Constitution’.</w:t>
      </w:r>
    </w:p>
  </w:footnote>
  <w:footnote w:id="121">
    <w:p w14:paraId="3C0AD5BD"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Jacques Ziller, </w:t>
      </w:r>
      <w:r w:rsidRPr="006F0999">
        <w:rPr>
          <w:i/>
          <w:sz w:val="20"/>
          <w:szCs w:val="20"/>
          <w:lang w:val="fr-FR"/>
        </w:rPr>
        <w:t>Administrations comparées</w:t>
      </w:r>
      <w:r w:rsidRPr="006F0999">
        <w:rPr>
          <w:sz w:val="20"/>
          <w:szCs w:val="20"/>
          <w:lang w:val="fr-FR"/>
        </w:rPr>
        <w:t xml:space="preserve"> (Montchrestien, Paris, 1993) 285 ff; Michel Fromont, </w:t>
      </w:r>
      <w:r w:rsidRPr="006F0999">
        <w:rPr>
          <w:i/>
          <w:sz w:val="20"/>
          <w:szCs w:val="20"/>
          <w:lang w:val="fr-FR"/>
        </w:rPr>
        <w:t>Droit administratif des États européens</w:t>
      </w:r>
      <w:r w:rsidRPr="006F0999">
        <w:rPr>
          <w:sz w:val="20"/>
          <w:szCs w:val="20"/>
          <w:lang w:val="fr-FR"/>
        </w:rPr>
        <w:t xml:space="preserve"> (Presses Universitaire de France, Paris, 2006) 11, 73; Giorgio Napolitano (ed), </w:t>
      </w:r>
      <w:r w:rsidRPr="006F0999">
        <w:rPr>
          <w:i/>
          <w:sz w:val="20"/>
          <w:szCs w:val="20"/>
          <w:lang w:val="fr-FR"/>
        </w:rPr>
        <w:t>Diritto amministrativo comparato</w:t>
      </w:r>
      <w:r w:rsidRPr="006F0999">
        <w:rPr>
          <w:sz w:val="20"/>
          <w:szCs w:val="20"/>
          <w:lang w:val="fr-FR"/>
        </w:rPr>
        <w:t xml:space="preserve"> (Giuffrè, Milan, 2007) 24 ff.</w:t>
      </w:r>
    </w:p>
  </w:footnote>
  <w:footnote w:id="122">
    <w:p w14:paraId="06B6991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e.g., in the context of the new South Af</w:t>
      </w:r>
      <w:r>
        <w:rPr>
          <w:sz w:val="20"/>
          <w:szCs w:val="20"/>
        </w:rPr>
        <w:t>rican Constitution (1993, 1996):</w:t>
      </w:r>
      <w:r w:rsidRPr="006F0999">
        <w:rPr>
          <w:sz w:val="20"/>
          <w:szCs w:val="20"/>
        </w:rPr>
        <w:t xml:space="preserve"> Hugh Corder, ‘The Constitutionalization of South African Administrative Law’ (1997) 3 European Public Law 541 ff; in Australia: Daniel Reynolds, ‘The Constitutionalisation of Administrative Law: Navigating the Cul-de-sac’ (2013) 74 AIAL</w:t>
      </w:r>
      <w:r w:rsidRPr="006F0999">
        <w:rPr>
          <w:i/>
          <w:sz w:val="20"/>
          <w:szCs w:val="20"/>
        </w:rPr>
        <w:t xml:space="preserve"> </w:t>
      </w:r>
      <w:r w:rsidRPr="006F0999">
        <w:rPr>
          <w:sz w:val="20"/>
          <w:szCs w:val="20"/>
        </w:rPr>
        <w:t>Forum 73 ff.</w:t>
      </w:r>
    </w:p>
  </w:footnote>
  <w:footnote w:id="123">
    <w:p w14:paraId="261CC52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discourse, applied to domestic law, appears to have French origins. </w:t>
      </w:r>
      <w:r w:rsidRPr="006F0999">
        <w:rPr>
          <w:sz w:val="20"/>
          <w:szCs w:val="20"/>
          <w:lang w:val="de-DE"/>
        </w:rPr>
        <w:t xml:space="preserve">Rainer Wahl, ‘Konstitutionalisierung: Leitbegriff oder Allerweltsbegriff?’, in Carl-Eugen Eberle (ed), </w:t>
      </w:r>
      <w:r w:rsidRPr="006F0999">
        <w:rPr>
          <w:i/>
          <w:sz w:val="20"/>
          <w:szCs w:val="20"/>
          <w:lang w:val="de-DE"/>
        </w:rPr>
        <w:t>Der Wandel des Staates vor den Herausforderungen der Gegenwart, Festschrift für Winfried Brohm</w:t>
      </w:r>
      <w:r w:rsidRPr="006F0999">
        <w:rPr>
          <w:sz w:val="20"/>
          <w:szCs w:val="20"/>
          <w:lang w:val="de-DE"/>
        </w:rPr>
        <w:t xml:space="preserve"> (CH Beck, Munich, 2002) 192, locates its origins in some English discourse at the beginning of the 1990s. </w:t>
      </w:r>
      <w:r w:rsidRPr="006F0999">
        <w:rPr>
          <w:sz w:val="20"/>
          <w:szCs w:val="20"/>
        </w:rPr>
        <w:t xml:space="preserve">This may be right concerning the so-called ‘constitutionalization’ of EU-law or international law. It is not with regard to the present topic. In France, Louis Favoreu (1936–2004), head of the </w:t>
      </w:r>
      <w:r w:rsidRPr="003E4301">
        <w:rPr>
          <w:i/>
          <w:sz w:val="20"/>
          <w:szCs w:val="20"/>
        </w:rPr>
        <w:t>École d’Aix</w:t>
      </w:r>
      <w:r w:rsidRPr="006F0999">
        <w:rPr>
          <w:sz w:val="20"/>
          <w:szCs w:val="20"/>
        </w:rPr>
        <w:t xml:space="preserve"> (School of Aix), and strong supporter of the role of constitutional courts, introduced the formulation in the French debate as early as the 1980s. The idea was inspired by the German discourse on the irradiation-effect (‘</w:t>
      </w:r>
      <w:r w:rsidRPr="006F0999">
        <w:rPr>
          <w:i/>
          <w:sz w:val="20"/>
          <w:szCs w:val="20"/>
        </w:rPr>
        <w:t>Austrahlungseffekt’</w:t>
      </w:r>
      <w:r w:rsidRPr="006F0999">
        <w:rPr>
          <w:sz w:val="20"/>
          <w:szCs w:val="20"/>
        </w:rPr>
        <w:t xml:space="preserve">) of fundamental rights, but the term ‘constitutionalization of legal order’ was French. </w:t>
      </w:r>
      <w:r w:rsidRPr="006F0999">
        <w:rPr>
          <w:sz w:val="20"/>
          <w:szCs w:val="20"/>
          <w:lang w:val="fr-FR"/>
        </w:rPr>
        <w:t xml:space="preserve">See the historical account by Louis Favoreu, ‘La constitutionnalisation du droit’, in Jean-Bernard Auby and others (eds), </w:t>
      </w:r>
      <w:r w:rsidRPr="006F0999">
        <w:rPr>
          <w:i/>
          <w:sz w:val="20"/>
          <w:szCs w:val="20"/>
          <w:lang w:val="fr-FR"/>
        </w:rPr>
        <w:t xml:space="preserve">L’unité du droit </w:t>
      </w:r>
      <w:r w:rsidRPr="006F0999">
        <w:rPr>
          <w:sz w:val="20"/>
          <w:szCs w:val="20"/>
          <w:lang w:val="fr-FR"/>
        </w:rPr>
        <w:t xml:space="preserve">(n </w:t>
      </w:r>
      <w:r w:rsidRPr="006F0999">
        <w:rPr>
          <w:sz w:val="20"/>
          <w:szCs w:val="20"/>
        </w:rPr>
        <w:fldChar w:fldCharType="begin"/>
      </w:r>
      <w:r w:rsidRPr="006F0999">
        <w:rPr>
          <w:sz w:val="20"/>
          <w:szCs w:val="20"/>
          <w:lang w:val="fr-FR"/>
        </w:rPr>
        <w:instrText xml:space="preserve"> NOTEREF _Ref457836283 \h  \* MERGEFORMAT </w:instrText>
      </w:r>
      <w:r w:rsidRPr="006F0999">
        <w:rPr>
          <w:sz w:val="20"/>
          <w:szCs w:val="20"/>
        </w:rPr>
      </w:r>
      <w:r w:rsidRPr="006F0999">
        <w:rPr>
          <w:sz w:val="20"/>
          <w:szCs w:val="20"/>
        </w:rPr>
        <w:fldChar w:fldCharType="separate"/>
      </w:r>
      <w:r w:rsidRPr="006F0999">
        <w:rPr>
          <w:sz w:val="20"/>
          <w:szCs w:val="20"/>
          <w:lang w:val="fr-FR"/>
        </w:rPr>
        <w:t>2</w:t>
      </w:r>
      <w:r>
        <w:rPr>
          <w:sz w:val="20"/>
          <w:szCs w:val="20"/>
          <w:lang w:val="fr-FR"/>
        </w:rPr>
        <w:t>2</w:t>
      </w:r>
      <w:r w:rsidRPr="006F0999">
        <w:rPr>
          <w:sz w:val="20"/>
          <w:szCs w:val="20"/>
        </w:rPr>
        <w:fldChar w:fldCharType="end"/>
      </w:r>
      <w:r w:rsidRPr="006F0999">
        <w:rPr>
          <w:sz w:val="20"/>
          <w:szCs w:val="20"/>
          <w:lang w:val="fr-FR"/>
        </w:rPr>
        <w:t xml:space="preserve">) 25 ff. See also, in 1991, Pierre Bon, ‘La constitutionnalisation du droit espagnol’ (1991) Rfdc 35. </w:t>
      </w:r>
      <w:r w:rsidRPr="006F0999">
        <w:rPr>
          <w:sz w:val="20"/>
          <w:szCs w:val="20"/>
        </w:rPr>
        <w:t xml:space="preserve">Favoreu also played a crucial role in the Europe-wide dissemination of this discourse. It was he who suggested the creation of a workshop on ‘Constitutionalisation of law’ which took place, under his chair, at the 15th International Congress of Comparative Law in Bristol (1998). </w:t>
      </w:r>
      <w:r w:rsidRPr="006F0999">
        <w:rPr>
          <w:sz w:val="20"/>
          <w:szCs w:val="20"/>
          <w:lang w:val="fr-FR"/>
        </w:rPr>
        <w:t xml:space="preserve">See the questionnaire drawn up by him in </w:t>
      </w:r>
      <w:hyperlink r:id="rId13" w:history="1">
        <w:r w:rsidRPr="006F0999">
          <w:rPr>
            <w:rFonts w:eastAsiaTheme="majorEastAsia"/>
            <w:sz w:val="20"/>
            <w:szCs w:val="20"/>
            <w:lang w:val="fr-FR"/>
          </w:rPr>
          <w:t>Bertrand Mathieu</w:t>
        </w:r>
      </w:hyperlink>
      <w:r w:rsidRPr="006F0999">
        <w:rPr>
          <w:sz w:val="20"/>
          <w:szCs w:val="20"/>
          <w:lang w:val="fr-FR"/>
        </w:rPr>
        <w:t xml:space="preserve">, </w:t>
      </w:r>
      <w:hyperlink r:id="rId14" w:history="1">
        <w:r w:rsidRPr="006F0999">
          <w:rPr>
            <w:rFonts w:eastAsiaTheme="majorEastAsia"/>
            <w:sz w:val="20"/>
            <w:szCs w:val="20"/>
            <w:lang w:val="fr-FR"/>
          </w:rPr>
          <w:t>Michel Verpeaux</w:t>
        </w:r>
      </w:hyperlink>
      <w:r w:rsidRPr="006F0999">
        <w:rPr>
          <w:sz w:val="20"/>
          <w:szCs w:val="20"/>
          <w:lang w:val="fr-FR"/>
        </w:rPr>
        <w:t xml:space="preserve">, and </w:t>
      </w:r>
      <w:hyperlink r:id="rId15" w:history="1">
        <w:r w:rsidRPr="006F0999">
          <w:rPr>
            <w:rFonts w:eastAsiaTheme="majorEastAsia"/>
            <w:sz w:val="20"/>
            <w:szCs w:val="20"/>
            <w:lang w:val="fr-FR"/>
          </w:rPr>
          <w:t>Thierry Di Manno</w:t>
        </w:r>
      </w:hyperlink>
      <w:r w:rsidRPr="006F0999">
        <w:rPr>
          <w:sz w:val="20"/>
          <w:szCs w:val="20"/>
          <w:lang w:val="fr-FR"/>
        </w:rPr>
        <w:t xml:space="preserve">, </w:t>
      </w:r>
      <w:r w:rsidRPr="006F0999">
        <w:rPr>
          <w:i/>
          <w:sz w:val="20"/>
          <w:szCs w:val="20"/>
          <w:lang w:val="fr-FR"/>
        </w:rPr>
        <w:t>La constitutionnalisation des branches du droit</w:t>
      </w:r>
      <w:r w:rsidRPr="006F0999">
        <w:rPr>
          <w:sz w:val="20"/>
          <w:szCs w:val="20"/>
          <w:lang w:val="fr-FR"/>
        </w:rPr>
        <w:t xml:space="preserve"> (Economica, Paris, 1998) 197 ff, and his final report: Louis Favoreu, ‘La constitutionnalisation de l’ordre juridique: considérations générales’ (1998) </w:t>
      </w:r>
      <w:r w:rsidRPr="002C5B72">
        <w:rPr>
          <w:sz w:val="20"/>
          <w:szCs w:val="20"/>
          <w:lang w:val="fr-FR"/>
        </w:rPr>
        <w:t>Revue belge de droit constitutionnel</w:t>
      </w:r>
      <w:r w:rsidRPr="006F0999">
        <w:rPr>
          <w:sz w:val="20"/>
          <w:szCs w:val="20"/>
          <w:lang w:val="fr-FR"/>
        </w:rPr>
        <w:t xml:space="preserve"> 233 ff. The workshop was attended inter alia by Gunnar Folke Schuppert</w:t>
      </w:r>
      <w:r w:rsidRPr="002C5B72">
        <w:rPr>
          <w:sz w:val="20"/>
          <w:szCs w:val="20"/>
          <w:lang w:val="fr-FR"/>
        </w:rPr>
        <w:t>:</w:t>
      </w:r>
      <w:r w:rsidRPr="006F0999">
        <w:rPr>
          <w:sz w:val="20"/>
          <w:szCs w:val="20"/>
          <w:lang w:val="fr-FR"/>
        </w:rPr>
        <w:t xml:space="preserve"> ‘Constitutionalisation of the Legal Order’, in Eibe Riedel (ed), </w:t>
      </w:r>
      <w:r w:rsidRPr="006F0999">
        <w:rPr>
          <w:i/>
          <w:sz w:val="20"/>
          <w:szCs w:val="20"/>
          <w:lang w:val="fr-FR"/>
        </w:rPr>
        <w:t>German Reports on Public Law</w:t>
      </w:r>
      <w:r w:rsidRPr="006F0999">
        <w:rPr>
          <w:sz w:val="20"/>
          <w:szCs w:val="20"/>
          <w:lang w:val="fr-FR"/>
        </w:rPr>
        <w:t xml:space="preserve"> (</w:t>
      </w:r>
      <w:r>
        <w:rPr>
          <w:sz w:val="20"/>
          <w:szCs w:val="20"/>
          <w:lang w:val="fr-FR"/>
        </w:rPr>
        <w:t>Nomos, Baden Baden, 1998) 18 ff ; Riccardo Guastini</w:t>
      </w:r>
      <w:r w:rsidRPr="002C5B72">
        <w:rPr>
          <w:sz w:val="20"/>
          <w:szCs w:val="20"/>
          <w:lang w:val="fr-FR"/>
        </w:rPr>
        <w:t>:</w:t>
      </w:r>
      <w:r w:rsidRPr="006F0999">
        <w:rPr>
          <w:sz w:val="20"/>
          <w:szCs w:val="20"/>
          <w:lang w:val="fr-FR"/>
        </w:rPr>
        <w:t xml:space="preserve"> ‘Remarques sur la constitutionnalisation de l’ordre juridique. </w:t>
      </w:r>
      <w:r w:rsidRPr="006F0999">
        <w:rPr>
          <w:sz w:val="20"/>
          <w:szCs w:val="20"/>
        </w:rPr>
        <w:t xml:space="preserve">Le cas italien’, in </w:t>
      </w:r>
      <w:r w:rsidRPr="006F0999">
        <w:rPr>
          <w:i/>
          <w:sz w:val="20"/>
          <w:szCs w:val="20"/>
        </w:rPr>
        <w:t>Rapports nationaux italiens au XVe Congrès international de droit comparé Bristol 1998</w:t>
      </w:r>
      <w:r w:rsidRPr="006F0999">
        <w:rPr>
          <w:sz w:val="20"/>
          <w:szCs w:val="20"/>
        </w:rPr>
        <w:t xml:space="preserve"> (Giuffrè, Milan, 1998) 449 ff</w:t>
      </w:r>
      <w:r>
        <w:rPr>
          <w:sz w:val="20"/>
          <w:szCs w:val="20"/>
        </w:rPr>
        <w:t xml:space="preserve">; Tom J Mullen: </w:t>
      </w:r>
      <w:r w:rsidRPr="006F0999">
        <w:rPr>
          <w:sz w:val="20"/>
          <w:szCs w:val="20"/>
        </w:rPr>
        <w:t xml:space="preserve">‘The Constitutionalisation of the Legal Order’ (n </w:t>
      </w:r>
      <w:r w:rsidRPr="006F0999">
        <w:rPr>
          <w:sz w:val="20"/>
          <w:szCs w:val="20"/>
        </w:rPr>
        <w:fldChar w:fldCharType="begin"/>
      </w:r>
      <w:r w:rsidRPr="006F0999">
        <w:rPr>
          <w:sz w:val="20"/>
          <w:szCs w:val="20"/>
        </w:rPr>
        <w:instrText xml:space="preserve"> NOTEREF _Ref457835050 \h  \* MERGEFORMAT </w:instrText>
      </w:r>
      <w:r w:rsidRPr="006F0999">
        <w:rPr>
          <w:sz w:val="20"/>
          <w:szCs w:val="20"/>
        </w:rPr>
      </w:r>
      <w:r w:rsidRPr="006F0999">
        <w:rPr>
          <w:sz w:val="20"/>
          <w:szCs w:val="20"/>
        </w:rPr>
        <w:fldChar w:fldCharType="separate"/>
      </w:r>
      <w:r w:rsidRPr="006F0999">
        <w:rPr>
          <w:sz w:val="20"/>
          <w:szCs w:val="20"/>
        </w:rPr>
        <w:t>96</w:t>
      </w:r>
      <w:r w:rsidRPr="006F0999">
        <w:rPr>
          <w:sz w:val="20"/>
          <w:szCs w:val="20"/>
        </w:rPr>
        <w:fldChar w:fldCharType="end"/>
      </w:r>
      <w:r w:rsidRPr="006F0999">
        <w:rPr>
          <w:sz w:val="20"/>
          <w:szCs w:val="20"/>
        </w:rPr>
        <w:t>)</w:t>
      </w:r>
      <w:r>
        <w:rPr>
          <w:sz w:val="20"/>
          <w:szCs w:val="20"/>
        </w:rPr>
        <w:t xml:space="preserve">; Stephan Breitenmoser: </w:t>
      </w:r>
      <w:r w:rsidRPr="006F0999">
        <w:rPr>
          <w:sz w:val="20"/>
          <w:szCs w:val="20"/>
        </w:rPr>
        <w:t xml:space="preserve">‘The Constitutionalization in Swiss Law’, in Institut suisse de droit comparé (ed), </w:t>
      </w:r>
      <w:r w:rsidRPr="006F0999">
        <w:rPr>
          <w:i/>
          <w:sz w:val="20"/>
          <w:szCs w:val="20"/>
        </w:rPr>
        <w:t>Rapports suisses présentés au XVe Congrès international de droit comparé Bristol</w:t>
      </w:r>
      <w:r w:rsidRPr="006F0999">
        <w:rPr>
          <w:sz w:val="20"/>
          <w:szCs w:val="20"/>
        </w:rPr>
        <w:t xml:space="preserve"> </w:t>
      </w:r>
      <w:r w:rsidRPr="006F0999">
        <w:rPr>
          <w:i/>
          <w:sz w:val="20"/>
          <w:szCs w:val="20"/>
        </w:rPr>
        <w:t>1998</w:t>
      </w:r>
      <w:r w:rsidRPr="006F0999">
        <w:rPr>
          <w:sz w:val="20"/>
          <w:szCs w:val="20"/>
        </w:rPr>
        <w:t xml:space="preserve"> (Sc</w:t>
      </w:r>
      <w:r>
        <w:rPr>
          <w:sz w:val="20"/>
          <w:szCs w:val="20"/>
        </w:rPr>
        <w:t>hulthess, Zurich, 1998) 127 ff; Sophie C van Bijsterveld:</w:t>
      </w:r>
      <w:r w:rsidRPr="006F0999">
        <w:rPr>
          <w:sz w:val="20"/>
          <w:szCs w:val="20"/>
        </w:rPr>
        <w:t xml:space="preserve"> ‘The Constitution in the legal order of the Netherlands’, in Ewoud H Hondius (ed), </w:t>
      </w:r>
      <w:r w:rsidRPr="006F0999">
        <w:rPr>
          <w:i/>
          <w:sz w:val="20"/>
          <w:szCs w:val="20"/>
        </w:rPr>
        <w:t>Netherlands Reports to the 15th International Congress of Comparative Law</w:t>
      </w:r>
      <w:r w:rsidRPr="006F0999">
        <w:rPr>
          <w:sz w:val="20"/>
          <w:szCs w:val="20"/>
        </w:rPr>
        <w:t xml:space="preserve"> (Inters</w:t>
      </w:r>
      <w:r>
        <w:rPr>
          <w:sz w:val="20"/>
          <w:szCs w:val="20"/>
        </w:rPr>
        <w:t>entia, Cambridge, 1998) 347 ff;</w:t>
      </w:r>
      <w:r w:rsidRPr="006F0999">
        <w:rPr>
          <w:sz w:val="20"/>
          <w:szCs w:val="20"/>
        </w:rPr>
        <w:t xml:space="preserve"> and many others. In Germany, the discourse on ‘constitutionalization of (domestic) law’ emerged at the end of the 1990</w:t>
      </w:r>
      <w:r>
        <w:rPr>
          <w:sz w:val="20"/>
          <w:szCs w:val="20"/>
        </w:rPr>
        <w:t xml:space="preserve">s: </w:t>
      </w:r>
      <w:r w:rsidRPr="006F0999">
        <w:rPr>
          <w:sz w:val="20"/>
          <w:szCs w:val="20"/>
        </w:rPr>
        <w:t xml:space="preserve">see, e.g., Volkhard Schmidt, ‘Konstitutionalisierung des Zivilrechts?’ in </w:t>
      </w:r>
      <w:r w:rsidRPr="006F0999">
        <w:rPr>
          <w:i/>
          <w:sz w:val="20"/>
          <w:szCs w:val="20"/>
        </w:rPr>
        <w:t>Verhandlungen des 61. Deutschen Juristentages</w:t>
      </w:r>
      <w:r w:rsidRPr="006F0999">
        <w:rPr>
          <w:sz w:val="20"/>
          <w:szCs w:val="20"/>
        </w:rPr>
        <w:t xml:space="preserve">, vol 2 (CH Beck, Munich, 1996) part </w:t>
      </w:r>
      <w:r>
        <w:rPr>
          <w:sz w:val="20"/>
          <w:szCs w:val="20"/>
        </w:rPr>
        <w:t>O</w:t>
      </w:r>
      <w:r w:rsidRPr="006F0999">
        <w:rPr>
          <w:sz w:val="20"/>
          <w:szCs w:val="20"/>
        </w:rPr>
        <w:t xml:space="preserve">, 43 ff) and became famous through the work of Gunnar Folke Schuppert and Christian Bumke, </w:t>
      </w:r>
      <w:r w:rsidRPr="006F0999">
        <w:rPr>
          <w:i/>
          <w:sz w:val="20"/>
          <w:szCs w:val="20"/>
        </w:rPr>
        <w:t>Die Konstitutionalisierung der Rechtsordnung</w:t>
      </w:r>
      <w:r w:rsidRPr="006F0999">
        <w:rPr>
          <w:sz w:val="20"/>
          <w:szCs w:val="20"/>
        </w:rPr>
        <w:t xml:space="preserve"> (Nomos, Baden-Baden, 2000). For England, see above note 84 and 96.</w:t>
      </w:r>
    </w:p>
  </w:footnote>
  <w:footnote w:id="124">
    <w:p w14:paraId="38C3436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Hans-Heinrich Vogel, ‘Schweden’, in Armin von Bogdandy, Pedro Cruz Villalón and Peter M Huber (eds),</w:t>
      </w:r>
      <w:r w:rsidRPr="006F0999">
        <w:rPr>
          <w:i/>
          <w:sz w:val="20"/>
          <w:szCs w:val="20"/>
        </w:rPr>
        <w:t xml:space="preserve"> IPE I</w:t>
      </w:r>
      <w:r w:rsidRPr="006F0999" w:rsidDel="00804C71">
        <w:rPr>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_Ref401054324 \h  \* MERGEFORMAT </w:instrText>
      </w:r>
      <w:r w:rsidRPr="006F0999">
        <w:rPr>
          <w:sz w:val="20"/>
          <w:szCs w:val="20"/>
        </w:rPr>
      </w:r>
      <w:r w:rsidRPr="006F0999">
        <w:rPr>
          <w:sz w:val="20"/>
          <w:szCs w:val="20"/>
        </w:rPr>
        <w:fldChar w:fldCharType="separate"/>
      </w:r>
      <w:r w:rsidRPr="006F0999">
        <w:rPr>
          <w:sz w:val="20"/>
          <w:szCs w:val="20"/>
        </w:rPr>
        <w:t>64</w:t>
      </w:r>
      <w:r w:rsidRPr="006F0999">
        <w:rPr>
          <w:sz w:val="20"/>
          <w:szCs w:val="20"/>
        </w:rPr>
        <w:fldChar w:fldCharType="end"/>
      </w:r>
      <w:r w:rsidRPr="006F0999">
        <w:rPr>
          <w:sz w:val="20"/>
          <w:szCs w:val="20"/>
        </w:rPr>
        <w:t xml:space="preserve">) </w:t>
      </w:r>
      <w:r>
        <w:rPr>
          <w:sz w:val="20"/>
          <w:szCs w:val="20"/>
        </w:rPr>
        <w:t>559</w:t>
      </w:r>
      <w:r w:rsidRPr="006F0999">
        <w:rPr>
          <w:sz w:val="20"/>
          <w:szCs w:val="20"/>
        </w:rPr>
        <w:t xml:space="preserve">; Gunilla Edelstam, ‘Schweden’, in Armin von Bogdandy, Sabino Cassese and Peter M Huber (eds), </w:t>
      </w:r>
      <w:r w:rsidRPr="006F0999">
        <w:rPr>
          <w:i/>
          <w:sz w:val="20"/>
          <w:szCs w:val="20"/>
        </w:rPr>
        <w:t>IPE IV</w:t>
      </w:r>
      <w:r w:rsidRPr="006F0999">
        <w:rPr>
          <w:sz w:val="20"/>
          <w:szCs w:val="20"/>
        </w:rPr>
        <w:t xml:space="preserve"> (n </w:t>
      </w:r>
      <w:r w:rsidRPr="006F0999">
        <w:rPr>
          <w:sz w:val="20"/>
          <w:szCs w:val="20"/>
        </w:rPr>
        <w:fldChar w:fldCharType="begin"/>
      </w:r>
      <w:r w:rsidRPr="006F0999">
        <w:rPr>
          <w:sz w:val="20"/>
          <w:szCs w:val="20"/>
        </w:rPr>
        <w:instrText xml:space="preserve"> NOTEREF _Ref401056135 \h  \* MERGEFORMAT </w:instrText>
      </w:r>
      <w:r w:rsidRPr="006F0999">
        <w:rPr>
          <w:sz w:val="20"/>
          <w:szCs w:val="20"/>
        </w:rPr>
      </w:r>
      <w:r w:rsidRPr="006F0999">
        <w:rPr>
          <w:sz w:val="20"/>
          <w:szCs w:val="20"/>
        </w:rPr>
        <w:fldChar w:fldCharType="separate"/>
      </w:r>
      <w:r w:rsidRPr="006F0999">
        <w:rPr>
          <w:sz w:val="20"/>
          <w:szCs w:val="20"/>
        </w:rPr>
        <w:t>37</w:t>
      </w:r>
      <w:r w:rsidRPr="006F0999">
        <w:rPr>
          <w:sz w:val="20"/>
          <w:szCs w:val="20"/>
        </w:rPr>
        <w:fldChar w:fldCharType="end"/>
      </w:r>
      <w:r w:rsidRPr="006F0999">
        <w:rPr>
          <w:sz w:val="20"/>
          <w:szCs w:val="20"/>
        </w:rPr>
        <w:t>) 280 f.</w:t>
      </w:r>
    </w:p>
  </w:footnote>
  <w:footnote w:id="125">
    <w:p w14:paraId="35FE8E88" w14:textId="5A0EAAF7" w:rsidR="0089313D" w:rsidRPr="006F0999" w:rsidRDefault="0089313D" w:rsidP="00DE2EDF">
      <w:pPr>
        <w:pStyle w:val="NoSpacing"/>
        <w:spacing w:line="276" w:lineRule="auto"/>
        <w:jc w:val="both"/>
        <w:rPr>
          <w:rFonts w:cs="Times New Roman"/>
          <w:sz w:val="20"/>
          <w:szCs w:val="20"/>
        </w:rPr>
      </w:pPr>
      <w:r w:rsidRPr="006F0999">
        <w:rPr>
          <w:rStyle w:val="FootnoteReference"/>
          <w:rFonts w:cs="Times New Roman"/>
          <w:sz w:val="20"/>
          <w:szCs w:val="20"/>
        </w:rPr>
        <w:footnoteRef/>
      </w:r>
      <w:r w:rsidRPr="006F0999">
        <w:rPr>
          <w:rFonts w:cs="Times New Roman"/>
          <w:sz w:val="20"/>
          <w:szCs w:val="20"/>
        </w:rPr>
        <w:t xml:space="preserve"> Jacques Ziller, ‘European Models of Government’ (2001) Parliamentary Affairs 102 ff; Jacques Ziller, ‘L</w:t>
      </w:r>
      <w:r w:rsidRPr="006F0999">
        <w:rPr>
          <w:sz w:val="20"/>
          <w:szCs w:val="20"/>
        </w:rPr>
        <w:t>’</w:t>
      </w:r>
      <w:r w:rsidRPr="006F0999">
        <w:rPr>
          <w:rFonts w:cs="Times New Roman"/>
          <w:sz w:val="20"/>
          <w:szCs w:val="20"/>
        </w:rPr>
        <w:t xml:space="preserve">administration’, in Michel Troper and Dominique Chagnollaud (eds), </w:t>
      </w:r>
      <w:r w:rsidRPr="006F0999">
        <w:rPr>
          <w:rFonts w:cs="Times New Roman"/>
          <w:i/>
          <w:sz w:val="20"/>
          <w:szCs w:val="20"/>
        </w:rPr>
        <w:t>Traité de droit international constitutionnel</w:t>
      </w:r>
      <w:r w:rsidRPr="006F0999">
        <w:rPr>
          <w:rFonts w:cs="Times New Roman"/>
          <w:sz w:val="20"/>
          <w:szCs w:val="20"/>
        </w:rPr>
        <w:t>, vol 3 (Dalloz, Paris, 2012) 745 ff. With regard to the localization of administration within the separation of powers scheme, Ziller distinguishes three main types: the classic European model (inclusion of administrative authorities in executive power), the American model (placement of administrative bodies between the legislative and executive powers), and the Swedish model (the recognition of administrative bodies as a fourth power, independent from the executive power, i.e., the Government). Chapter 12 art 2</w:t>
      </w:r>
      <w:r w:rsidRPr="006F0999">
        <w:rPr>
          <w:rStyle w:val="editorbrodfet1"/>
          <w:rFonts w:cs="Times New Roman"/>
          <w:sz w:val="20"/>
          <w:szCs w:val="20"/>
        </w:rPr>
        <w:t xml:space="preserve"> (</w:t>
      </w:r>
      <w:r w:rsidRPr="006F0999">
        <w:rPr>
          <w:rFonts w:cs="Times New Roman"/>
          <w:sz w:val="20"/>
          <w:szCs w:val="20"/>
        </w:rPr>
        <w:t xml:space="preserve">Independence of administration) states: ‘No public authority, including the </w:t>
      </w:r>
      <w:r w:rsidRPr="006F0999">
        <w:rPr>
          <w:rFonts w:cs="Times New Roman"/>
          <w:i/>
          <w:sz w:val="20"/>
          <w:szCs w:val="20"/>
        </w:rPr>
        <w:t>Riksdag</w:t>
      </w:r>
      <w:r w:rsidRPr="006F0999">
        <w:rPr>
          <w:rFonts w:cs="Times New Roman"/>
          <w:sz w:val="20"/>
          <w:szCs w:val="20"/>
        </w:rPr>
        <w:t>, or decision-making body of any local authority, may determine how an administrative authority shall decide in a particular case relating to the exercise of public authority vis-à-vis an individual or a local authority, or relating to the application of law</w:t>
      </w:r>
      <w:r>
        <w:rPr>
          <w:rFonts w:cs="Times New Roman"/>
          <w:sz w:val="20"/>
          <w:szCs w:val="20"/>
        </w:rPr>
        <w:t>.’</w:t>
      </w:r>
      <w:r w:rsidRPr="006F0999">
        <w:rPr>
          <w:rFonts w:cs="Times New Roman"/>
          <w:sz w:val="20"/>
          <w:szCs w:val="20"/>
        </w:rPr>
        <w:t xml:space="preserve"> </w:t>
      </w:r>
    </w:p>
  </w:footnote>
  <w:footnote w:id="126">
    <w:p w14:paraId="01AEBA65"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Lena Marcusson, ‘Schweden’, in Armin von Bogdandy, Sabino Cassese and Peter M Huber (eds), </w:t>
      </w:r>
      <w:r w:rsidRPr="006F0999">
        <w:rPr>
          <w:i/>
          <w:sz w:val="20"/>
          <w:szCs w:val="20"/>
        </w:rPr>
        <w:t>IPE V</w:t>
      </w:r>
      <w:r w:rsidRPr="006F0999">
        <w:rPr>
          <w:sz w:val="20"/>
          <w:szCs w:val="20"/>
        </w:rPr>
        <w:t xml:space="preserve"> (CF Müller, Heidelberg, 2014) 631 ff.</w:t>
      </w:r>
    </w:p>
  </w:footnote>
  <w:footnote w:id="127">
    <w:p w14:paraId="2731770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following explanations rely on the legal-culture-studies of Gunilla Edelstam, ‘Schweden’ (n </w:t>
      </w:r>
      <w:r w:rsidRPr="006F0999">
        <w:rPr>
          <w:sz w:val="20"/>
          <w:szCs w:val="20"/>
        </w:rPr>
        <w:fldChar w:fldCharType="begin"/>
      </w:r>
      <w:r w:rsidRPr="006F0999">
        <w:rPr>
          <w:sz w:val="20"/>
          <w:szCs w:val="20"/>
        </w:rPr>
        <w:instrText xml:space="preserve"> NOTEREF _Ref457847932 \h  \* MERGEFORMAT </w:instrText>
      </w:r>
      <w:r w:rsidRPr="006F0999">
        <w:rPr>
          <w:sz w:val="20"/>
          <w:szCs w:val="20"/>
        </w:rPr>
      </w:r>
      <w:r w:rsidRPr="006F0999">
        <w:rPr>
          <w:sz w:val="20"/>
          <w:szCs w:val="20"/>
        </w:rPr>
        <w:fldChar w:fldCharType="separate"/>
      </w:r>
      <w:r w:rsidRPr="006F0999">
        <w:rPr>
          <w:sz w:val="20"/>
          <w:szCs w:val="20"/>
        </w:rPr>
        <w:t>122</w:t>
      </w:r>
      <w:r w:rsidRPr="006F0999">
        <w:rPr>
          <w:sz w:val="20"/>
          <w:szCs w:val="20"/>
        </w:rPr>
        <w:fldChar w:fldCharType="end"/>
      </w:r>
      <w:r w:rsidRPr="006F0999">
        <w:rPr>
          <w:sz w:val="20"/>
          <w:szCs w:val="20"/>
        </w:rPr>
        <w:t xml:space="preserve">); Iain Cameron, ‘Protection of Constitutional Rights in Sweden’ (1997) </w:t>
      </w:r>
      <w:r w:rsidRPr="006F0999">
        <w:rPr>
          <w:smallCaps/>
          <w:sz w:val="20"/>
          <w:szCs w:val="20"/>
        </w:rPr>
        <w:t>PL</w:t>
      </w:r>
      <w:r w:rsidRPr="006F0999">
        <w:rPr>
          <w:sz w:val="20"/>
          <w:szCs w:val="20"/>
        </w:rPr>
        <w:t xml:space="preserve"> 488 ff; Jaakko Husa, ‘Nordic Constitutionalism and European Human Rights: Mixing Oil and Water’ (2010) 55 </w:t>
      </w:r>
      <w:r w:rsidRPr="006F0999">
        <w:rPr>
          <w:rStyle w:val="Emphasis"/>
          <w:rFonts w:eastAsiaTheme="majorEastAsia"/>
          <w:i w:val="0"/>
          <w:sz w:val="20"/>
          <w:szCs w:val="20"/>
        </w:rPr>
        <w:t>Scandinavian Studies in Law</w:t>
      </w:r>
      <w:r w:rsidRPr="006F0999">
        <w:rPr>
          <w:sz w:val="20"/>
          <w:szCs w:val="20"/>
        </w:rPr>
        <w:t xml:space="preserve"> 101 ff; Jaakko Husa, </w:t>
      </w:r>
      <w:r w:rsidRPr="006F0999">
        <w:rPr>
          <w:i/>
          <w:iCs w:val="0"/>
          <w:sz w:val="20"/>
          <w:szCs w:val="20"/>
        </w:rPr>
        <w:t xml:space="preserve">Nordic Reflections on Constitutional Law: A Comparative Nordic Perspective </w:t>
      </w:r>
      <w:r w:rsidRPr="006F0999">
        <w:rPr>
          <w:iCs w:val="0"/>
          <w:sz w:val="20"/>
          <w:szCs w:val="20"/>
        </w:rPr>
        <w:t xml:space="preserve">(Peter Lang, Frankfurt am Main, 2002) </w:t>
      </w:r>
      <w:r w:rsidRPr="006F0999">
        <w:rPr>
          <w:sz w:val="20"/>
          <w:szCs w:val="20"/>
        </w:rPr>
        <w:t>chap</w:t>
      </w:r>
      <w:r>
        <w:rPr>
          <w:sz w:val="20"/>
          <w:szCs w:val="20"/>
        </w:rPr>
        <w:t>ter 4 and 5.</w:t>
      </w:r>
    </w:p>
  </w:footnote>
  <w:footnote w:id="128">
    <w:p w14:paraId="2FAF31B1"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Gunilla Edelstam, ‘Schweden’ (n 122) 276 ff, 282, 284, 285.</w:t>
      </w:r>
    </w:p>
  </w:footnote>
  <w:footnote w:id="129">
    <w:p w14:paraId="6F1212FD"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Mats Kumlien and Kjell Å Modéer, ‘Schweden’, in Armin von Bogdandy, Sabino Cassese and Peter M Huber (eds), </w:t>
      </w:r>
      <w:r w:rsidRPr="006F0999">
        <w:rPr>
          <w:i/>
          <w:sz w:val="20"/>
          <w:szCs w:val="20"/>
          <w:lang w:val="de-DE"/>
        </w:rPr>
        <w:t>IPE III</w:t>
      </w:r>
      <w:r w:rsidRPr="006F0999">
        <w:rPr>
          <w:sz w:val="20"/>
          <w:szCs w:val="20"/>
          <w:lang w:val="de-DE"/>
        </w:rPr>
        <w:t xml:space="preserve"> (n 37) 295.</w:t>
      </w:r>
    </w:p>
  </w:footnote>
  <w:footnote w:id="130">
    <w:p w14:paraId="236F5CE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expression was coined by Fredrik Sterzel, </w:t>
      </w:r>
      <w:r w:rsidRPr="006F0999">
        <w:rPr>
          <w:i/>
          <w:sz w:val="20"/>
          <w:szCs w:val="20"/>
        </w:rPr>
        <w:t>Författning i utveckling</w:t>
      </w:r>
      <w:r w:rsidRPr="006F0999">
        <w:rPr>
          <w:sz w:val="20"/>
          <w:szCs w:val="20"/>
        </w:rPr>
        <w:t xml:space="preserve"> (Iustus, Uppsala, 1998). </w:t>
      </w:r>
    </w:p>
  </w:footnote>
  <w:footnote w:id="131">
    <w:p w14:paraId="024B3661"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Mats Kumlien and Kjell Å Modéer, ‘Schweden’ (n </w:t>
      </w:r>
      <w:r w:rsidRPr="006F0999">
        <w:rPr>
          <w:sz w:val="20"/>
          <w:szCs w:val="20"/>
        </w:rPr>
        <w:fldChar w:fldCharType="begin"/>
      </w:r>
      <w:r w:rsidRPr="006F0999">
        <w:rPr>
          <w:sz w:val="20"/>
          <w:szCs w:val="20"/>
          <w:lang w:val="de-DE"/>
        </w:rPr>
        <w:instrText xml:space="preserve"> NOTEREF _Ref457848221 \h  \* MERGEFORMAT </w:instrText>
      </w:r>
      <w:r w:rsidRPr="006F0999">
        <w:rPr>
          <w:sz w:val="20"/>
          <w:szCs w:val="20"/>
        </w:rPr>
      </w:r>
      <w:r w:rsidRPr="006F0999">
        <w:rPr>
          <w:sz w:val="20"/>
          <w:szCs w:val="20"/>
        </w:rPr>
        <w:fldChar w:fldCharType="separate"/>
      </w:r>
      <w:r w:rsidRPr="006F0999">
        <w:rPr>
          <w:sz w:val="20"/>
          <w:szCs w:val="20"/>
          <w:lang w:val="de-DE"/>
        </w:rPr>
        <w:t>127</w:t>
      </w:r>
      <w:r w:rsidRPr="006F0999">
        <w:rPr>
          <w:sz w:val="20"/>
          <w:szCs w:val="20"/>
        </w:rPr>
        <w:fldChar w:fldCharType="end"/>
      </w:r>
      <w:r w:rsidRPr="006F0999">
        <w:rPr>
          <w:sz w:val="20"/>
          <w:szCs w:val="20"/>
          <w:lang w:val="de-DE"/>
        </w:rPr>
        <w:t>) 296</w:t>
      </w:r>
    </w:p>
  </w:footnote>
  <w:footnote w:id="132">
    <w:p w14:paraId="1A71C669"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Mats Kumlien and Kjell Å Modéer, ‘Schweden’ (n </w:t>
      </w:r>
      <w:r w:rsidRPr="006F0999">
        <w:rPr>
          <w:sz w:val="20"/>
          <w:szCs w:val="20"/>
        </w:rPr>
        <w:fldChar w:fldCharType="begin"/>
      </w:r>
      <w:r w:rsidRPr="006F0999">
        <w:rPr>
          <w:sz w:val="20"/>
          <w:szCs w:val="20"/>
          <w:lang w:val="de-DE"/>
        </w:rPr>
        <w:instrText xml:space="preserve"> NOTEREF _Ref457848221 \h  \* MERGEFORMAT </w:instrText>
      </w:r>
      <w:r w:rsidRPr="006F0999">
        <w:rPr>
          <w:sz w:val="20"/>
          <w:szCs w:val="20"/>
        </w:rPr>
      </w:r>
      <w:r w:rsidRPr="006F0999">
        <w:rPr>
          <w:sz w:val="20"/>
          <w:szCs w:val="20"/>
        </w:rPr>
        <w:fldChar w:fldCharType="separate"/>
      </w:r>
      <w:r w:rsidRPr="006F0999">
        <w:rPr>
          <w:sz w:val="20"/>
          <w:szCs w:val="20"/>
          <w:lang w:val="de-DE"/>
        </w:rPr>
        <w:t>127</w:t>
      </w:r>
      <w:r w:rsidRPr="006F0999">
        <w:rPr>
          <w:sz w:val="20"/>
          <w:szCs w:val="20"/>
        </w:rPr>
        <w:fldChar w:fldCharType="end"/>
      </w:r>
      <w:r w:rsidRPr="006F0999">
        <w:rPr>
          <w:sz w:val="20"/>
          <w:szCs w:val="20"/>
          <w:lang w:val="de-DE"/>
        </w:rPr>
        <w:t xml:space="preserve">) 296 f. </w:t>
      </w:r>
    </w:p>
  </w:footnote>
  <w:footnote w:id="133">
    <w:p w14:paraId="19D5733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lang w:val="de-DE"/>
        </w:rPr>
        <w:t xml:space="preserve"> Joakim Nergelius, </w:t>
      </w:r>
      <w:r w:rsidRPr="006F0999">
        <w:rPr>
          <w:i/>
          <w:sz w:val="20"/>
          <w:szCs w:val="20"/>
          <w:lang w:val="de-DE"/>
        </w:rPr>
        <w:t xml:space="preserve">Konstitutionellt rättighetsskydd: Svensk rätt i ett komparativt perspektiv. </w:t>
      </w:r>
      <w:r w:rsidRPr="006F0999">
        <w:rPr>
          <w:i/>
          <w:sz w:val="20"/>
          <w:szCs w:val="20"/>
        </w:rPr>
        <w:t>Constitutional Protection of Human Rights: Swedish Law in a Comparative Perspective</w:t>
      </w:r>
      <w:r w:rsidRPr="006F0999">
        <w:rPr>
          <w:sz w:val="20"/>
          <w:szCs w:val="20"/>
        </w:rPr>
        <w:t xml:space="preserve"> (Norstedts, Stockholm, 1996) 709.</w:t>
      </w:r>
    </w:p>
  </w:footnote>
  <w:footnote w:id="134">
    <w:p w14:paraId="2CB1603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the comprehensive analysis by Ian Cameron, ‘Protection of Constitutional Rights in Sweden’ (n </w:t>
      </w:r>
      <w:r w:rsidRPr="006F0999">
        <w:rPr>
          <w:sz w:val="20"/>
          <w:szCs w:val="20"/>
        </w:rPr>
        <w:fldChar w:fldCharType="begin"/>
      </w:r>
      <w:r w:rsidRPr="006F0999">
        <w:rPr>
          <w:sz w:val="20"/>
          <w:szCs w:val="20"/>
        </w:rPr>
        <w:instrText xml:space="preserve"> NOTEREF _Ref457848459 \h  \* MERGEFORMAT </w:instrText>
      </w:r>
      <w:r w:rsidRPr="006F0999">
        <w:rPr>
          <w:sz w:val="20"/>
          <w:szCs w:val="20"/>
        </w:rPr>
      </w:r>
      <w:r w:rsidRPr="006F0999">
        <w:rPr>
          <w:sz w:val="20"/>
          <w:szCs w:val="20"/>
        </w:rPr>
        <w:fldChar w:fldCharType="separate"/>
      </w:r>
      <w:r w:rsidRPr="006F0999">
        <w:rPr>
          <w:sz w:val="20"/>
          <w:szCs w:val="20"/>
        </w:rPr>
        <w:t>125</w:t>
      </w:r>
      <w:r w:rsidRPr="006F0999">
        <w:rPr>
          <w:sz w:val="20"/>
          <w:szCs w:val="20"/>
        </w:rPr>
        <w:fldChar w:fldCharType="end"/>
      </w:r>
      <w:r w:rsidRPr="006F0999">
        <w:rPr>
          <w:sz w:val="20"/>
          <w:szCs w:val="20"/>
        </w:rPr>
        <w:t xml:space="preserve">) </w:t>
      </w:r>
      <w:r>
        <w:rPr>
          <w:sz w:val="20"/>
          <w:szCs w:val="20"/>
        </w:rPr>
        <w:t>in particular</w:t>
      </w:r>
      <w:r w:rsidRPr="006F0999">
        <w:rPr>
          <w:sz w:val="20"/>
          <w:szCs w:val="20"/>
        </w:rPr>
        <w:t xml:space="preserve"> 502.</w:t>
      </w:r>
    </w:p>
  </w:footnote>
  <w:footnote w:id="135">
    <w:p w14:paraId="2BC40A86" w14:textId="77777777" w:rsidR="0089313D" w:rsidRPr="006F0999" w:rsidRDefault="0089313D" w:rsidP="00DE2EDF">
      <w:pPr>
        <w:pStyle w:val="NoSpacing"/>
        <w:spacing w:line="276" w:lineRule="auto"/>
        <w:jc w:val="both"/>
        <w:rPr>
          <w:rFonts w:cs="Times New Roman"/>
          <w:sz w:val="20"/>
          <w:szCs w:val="20"/>
        </w:rPr>
      </w:pPr>
      <w:r w:rsidRPr="006F0999">
        <w:rPr>
          <w:rStyle w:val="FootnoteReference"/>
          <w:rFonts w:cs="Times New Roman"/>
          <w:sz w:val="20"/>
          <w:szCs w:val="20"/>
        </w:rPr>
        <w:footnoteRef/>
      </w:r>
      <w:r w:rsidRPr="006F0999">
        <w:rPr>
          <w:rFonts w:cs="Times New Roman"/>
          <w:sz w:val="20"/>
          <w:szCs w:val="20"/>
        </w:rPr>
        <w:t xml:space="preserve"> This requirement has also been adopted in the new Finnish Constitution of 1999, which established for the first time judicial review of the constitutionality of parliamentary legislation. Section 106: ‘</w:t>
      </w:r>
      <w:r w:rsidRPr="006F0999">
        <w:rPr>
          <w:rFonts w:eastAsia="Times New Roman" w:cs="Times New Roman"/>
          <w:sz w:val="20"/>
          <w:szCs w:val="20"/>
          <w:lang w:eastAsia="fr-FR"/>
        </w:rPr>
        <w:t>If in a matter being tried by a court, the application of an Act of Parliament would be in manifest conflict with the Constitution, the court of law shall give primacy to the provision in the Constitution.’</w:t>
      </w:r>
    </w:p>
  </w:footnote>
  <w:footnote w:id="136">
    <w:p w14:paraId="1AD47E8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Gunilla Edelstam, ‘Schweden’ (n </w:t>
      </w:r>
      <w:r w:rsidRPr="006F0999">
        <w:rPr>
          <w:sz w:val="20"/>
          <w:szCs w:val="20"/>
        </w:rPr>
        <w:fldChar w:fldCharType="begin"/>
      </w:r>
      <w:r w:rsidRPr="006F0999">
        <w:rPr>
          <w:sz w:val="20"/>
          <w:szCs w:val="20"/>
        </w:rPr>
        <w:instrText xml:space="preserve"> NOTEREF _Ref457847932 \h  \* MERGEFORMAT </w:instrText>
      </w:r>
      <w:r w:rsidRPr="006F0999">
        <w:rPr>
          <w:sz w:val="20"/>
          <w:szCs w:val="20"/>
        </w:rPr>
      </w:r>
      <w:r w:rsidRPr="006F0999">
        <w:rPr>
          <w:sz w:val="20"/>
          <w:szCs w:val="20"/>
        </w:rPr>
        <w:fldChar w:fldCharType="separate"/>
      </w:r>
      <w:r w:rsidRPr="006F0999">
        <w:rPr>
          <w:sz w:val="20"/>
          <w:szCs w:val="20"/>
        </w:rPr>
        <w:t>122</w:t>
      </w:r>
      <w:r w:rsidRPr="006F0999">
        <w:rPr>
          <w:sz w:val="20"/>
          <w:szCs w:val="20"/>
        </w:rPr>
        <w:fldChar w:fldCharType="end"/>
      </w:r>
      <w:r w:rsidRPr="006F0999">
        <w:rPr>
          <w:sz w:val="20"/>
          <w:szCs w:val="20"/>
        </w:rPr>
        <w:t>) 277.</w:t>
      </w:r>
    </w:p>
  </w:footnote>
  <w:footnote w:id="137">
    <w:p w14:paraId="65072F06"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Joakim Nergelius, ‘The impact of EC Law in Swedish National Law</w:t>
      </w:r>
      <w:r w:rsidRPr="002C5B72">
        <w:rPr>
          <w:sz w:val="20"/>
          <w:szCs w:val="20"/>
        </w:rPr>
        <w:t>—</w:t>
      </w:r>
      <w:r w:rsidRPr="006F0999">
        <w:rPr>
          <w:sz w:val="20"/>
          <w:szCs w:val="20"/>
        </w:rPr>
        <w:t xml:space="preserve">A Cultural Revolution’, in Iain Cameron and Alessandro Simoni (eds), </w:t>
      </w:r>
      <w:r w:rsidRPr="006F0999">
        <w:rPr>
          <w:i/>
          <w:sz w:val="20"/>
          <w:szCs w:val="20"/>
        </w:rPr>
        <w:t>Dealing with Integration</w:t>
      </w:r>
      <w:r w:rsidRPr="006F0999">
        <w:rPr>
          <w:sz w:val="20"/>
          <w:szCs w:val="20"/>
        </w:rPr>
        <w:t>, vol 2 (Iustus, Uppsala, 1998) 165</w:t>
      </w:r>
      <w:r w:rsidRPr="002C5B72">
        <w:rPr>
          <w:sz w:val="20"/>
          <w:szCs w:val="20"/>
        </w:rPr>
        <w:t>–</w:t>
      </w:r>
      <w:r w:rsidRPr="006F0999">
        <w:rPr>
          <w:sz w:val="20"/>
          <w:szCs w:val="20"/>
        </w:rPr>
        <w:t>82.</w:t>
      </w:r>
    </w:p>
  </w:footnote>
  <w:footnote w:id="138">
    <w:p w14:paraId="5FA3F08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Jaakko Husa, ‘Nordic Constitutionalism and European Human Rights: Mixing Oil and Water’ (n </w:t>
      </w:r>
      <w:r w:rsidRPr="006F0999">
        <w:rPr>
          <w:sz w:val="20"/>
          <w:szCs w:val="20"/>
        </w:rPr>
        <w:fldChar w:fldCharType="begin"/>
      </w:r>
      <w:r w:rsidRPr="006F0999">
        <w:rPr>
          <w:sz w:val="20"/>
          <w:szCs w:val="20"/>
        </w:rPr>
        <w:instrText xml:space="preserve"> NOTEREF _Ref457848459 \h  \* MERGEFORMAT </w:instrText>
      </w:r>
      <w:r w:rsidRPr="006F0999">
        <w:rPr>
          <w:sz w:val="20"/>
          <w:szCs w:val="20"/>
        </w:rPr>
      </w:r>
      <w:r w:rsidRPr="006F0999">
        <w:rPr>
          <w:sz w:val="20"/>
          <w:szCs w:val="20"/>
        </w:rPr>
        <w:fldChar w:fldCharType="separate"/>
      </w:r>
      <w:r w:rsidRPr="006F0999">
        <w:rPr>
          <w:sz w:val="20"/>
          <w:szCs w:val="20"/>
        </w:rPr>
        <w:t>125</w:t>
      </w:r>
      <w:r w:rsidRPr="006F0999">
        <w:rPr>
          <w:sz w:val="20"/>
          <w:szCs w:val="20"/>
        </w:rPr>
        <w:fldChar w:fldCharType="end"/>
      </w:r>
      <w:r w:rsidRPr="006F0999">
        <w:rPr>
          <w:sz w:val="20"/>
          <w:szCs w:val="20"/>
        </w:rPr>
        <w:t>); Iain Cameron, ‘Sweden’, in Robert Blackburn and Jörg Polakiewicz</w:t>
      </w:r>
      <w:r w:rsidRPr="006F0999" w:rsidDel="00D8305A">
        <w:rPr>
          <w:sz w:val="20"/>
          <w:szCs w:val="20"/>
        </w:rPr>
        <w:t xml:space="preserve"> </w:t>
      </w:r>
      <w:r w:rsidRPr="006F0999">
        <w:rPr>
          <w:sz w:val="20"/>
          <w:szCs w:val="20"/>
        </w:rPr>
        <w:t xml:space="preserve">(eds), </w:t>
      </w:r>
      <w:r w:rsidRPr="006F0999">
        <w:rPr>
          <w:i/>
          <w:sz w:val="20"/>
          <w:szCs w:val="20"/>
        </w:rPr>
        <w:t>Fundamental Rights in Europe: The ECHR and its Member States 1950–2000</w:t>
      </w:r>
      <w:r w:rsidRPr="006F0999">
        <w:rPr>
          <w:sz w:val="20"/>
          <w:szCs w:val="20"/>
        </w:rPr>
        <w:t xml:space="preserve"> (OUP, Oxford, 2001) 833 ff.</w:t>
      </w:r>
    </w:p>
  </w:footnote>
  <w:footnote w:id="139">
    <w:p w14:paraId="2F4FC58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recent accounts of transformations of Nordic Constitutionalism, see the symposium published in (2011) 9 ICON 446–547 and the papers in (2009) 27 Nordic Journal of Human Rights 131–303. </w:t>
      </w:r>
    </w:p>
  </w:footnote>
  <w:footnote w:id="140">
    <w:p w14:paraId="2259E5B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Initially coined by Mattias Kumm in ‘Who is Afraid of the Total Constitution? Constitutional Rights as Principles and the Constitutionalization of Private Law’ (2006) 7 German Law Journal 341 ff, who eventually rejected it as a scientific concept, the phrase ‘total Constitution’ has been reused by Gardbaum in his typology of constitutions with the following meaning: ‘it essentially resolves—or strongly influences</w:t>
      </w:r>
      <w:r w:rsidRPr="006F0999">
        <w:rPr>
          <w:color w:val="252525"/>
          <w:sz w:val="20"/>
          <w:szCs w:val="20"/>
          <w:shd w:val="clear" w:color="auto" w:fill="FFFFFF"/>
        </w:rPr>
        <w:t>—</w:t>
      </w:r>
      <w:r w:rsidRPr="006F0999">
        <w:rPr>
          <w:sz w:val="20"/>
          <w:szCs w:val="20"/>
        </w:rPr>
        <w:t>virtually all moral, legal, and political conflicts in a society’. See Stephen Gardbaum, ‘The Place of Constitutional Law in the Legal System’, in Michel Rosenfeld and András Sajó</w:t>
      </w:r>
      <w:r w:rsidRPr="006F0999" w:rsidDel="00282B89">
        <w:rPr>
          <w:sz w:val="20"/>
          <w:szCs w:val="20"/>
        </w:rPr>
        <w:t xml:space="preserve"> </w:t>
      </w:r>
      <w:r w:rsidRPr="006F0999">
        <w:rPr>
          <w:sz w:val="20"/>
          <w:szCs w:val="20"/>
        </w:rPr>
        <w:t xml:space="preserve">(eds), </w:t>
      </w:r>
      <w:r w:rsidRPr="006F0999">
        <w:rPr>
          <w:i/>
          <w:sz w:val="20"/>
          <w:szCs w:val="20"/>
        </w:rPr>
        <w:t>Oxford Handbook of Comparative Constitutional Law</w:t>
      </w:r>
      <w:r w:rsidRPr="006F0999">
        <w:rPr>
          <w:sz w:val="20"/>
          <w:szCs w:val="20"/>
        </w:rPr>
        <w:t xml:space="preserve"> (OUP, Oxford, 2012) 174.</w:t>
      </w:r>
    </w:p>
  </w:footnote>
  <w:footnote w:id="141">
    <w:p w14:paraId="6DCEB296"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Otto Bachof, ‘Begriff und Wesen des sozialen Rechtsstaats’ (1954) 12 VVDStRL 51.</w:t>
      </w:r>
    </w:p>
  </w:footnote>
  <w:footnote w:id="142">
    <w:p w14:paraId="2DA6102A" w14:textId="4A280949"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Matthias Jestaedt, ‘Phänomen Bundesverfassungsgericht. Was das Gericht zum dem macht, was es ist’, in Matthias Jestaedt and others, </w:t>
      </w:r>
      <w:r w:rsidRPr="006F0999">
        <w:rPr>
          <w:i/>
          <w:sz w:val="20"/>
          <w:szCs w:val="20"/>
          <w:lang w:val="de-DE"/>
        </w:rPr>
        <w:t>Das entgrenzte Gericht</w:t>
      </w:r>
      <w:r w:rsidR="00B4040E">
        <w:rPr>
          <w:sz w:val="20"/>
          <w:szCs w:val="20"/>
          <w:lang w:val="de-DE"/>
        </w:rPr>
        <w:t xml:space="preserve"> (Suhrkamp, Berlin, 2011) 85–6</w:t>
      </w:r>
      <w:r w:rsidRPr="006F0999">
        <w:rPr>
          <w:sz w:val="20"/>
          <w:szCs w:val="20"/>
          <w:lang w:val="de-DE"/>
        </w:rPr>
        <w:t>.</w:t>
      </w:r>
    </w:p>
  </w:footnote>
  <w:footnote w:id="143">
    <w:p w14:paraId="56C6F5D8" w14:textId="1C81337A"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On this sensitive issue, see e.g., Robert Alexy and others, ‘Verfassungsrecht und einfaches Recht. Verfassungsgerich</w:t>
      </w:r>
      <w:r>
        <w:rPr>
          <w:sz w:val="20"/>
          <w:szCs w:val="20"/>
          <w:lang w:val="de-DE"/>
        </w:rPr>
        <w:t>t</w:t>
      </w:r>
      <w:r w:rsidRPr="006F0999">
        <w:rPr>
          <w:sz w:val="20"/>
          <w:szCs w:val="20"/>
          <w:lang w:val="de-DE"/>
        </w:rPr>
        <w:t>sbarkeit und Fachgerichtsbarkeit’ (2001) 61 VVDStRL 1 ff.</w:t>
      </w:r>
    </w:p>
  </w:footnote>
  <w:footnote w:id="144">
    <w:p w14:paraId="29D25076" w14:textId="16DCC6A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Armin von Bogdandy, ‘Wissenschaft vom Verfassungsrecht: Vergleich’, in Armin von Bogdandy, Pedro Cruz Villalón and Peter M Huber (eds), </w:t>
      </w:r>
      <w:r w:rsidRPr="006F0999">
        <w:rPr>
          <w:i/>
          <w:sz w:val="20"/>
          <w:szCs w:val="20"/>
          <w:lang w:val="de-DE"/>
        </w:rPr>
        <w:t>IPE II</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_Ref457826505 \h  \* MERGEFORMAT </w:instrText>
      </w:r>
      <w:r w:rsidRPr="006F0999">
        <w:rPr>
          <w:sz w:val="20"/>
          <w:szCs w:val="20"/>
        </w:rPr>
      </w:r>
      <w:r w:rsidRPr="006F0999">
        <w:rPr>
          <w:sz w:val="20"/>
          <w:szCs w:val="20"/>
        </w:rPr>
        <w:fldChar w:fldCharType="separate"/>
      </w:r>
      <w:r w:rsidRPr="006F0999">
        <w:rPr>
          <w:sz w:val="20"/>
          <w:szCs w:val="20"/>
          <w:lang w:val="de-DE"/>
        </w:rPr>
        <w:t>11</w:t>
      </w:r>
      <w:r w:rsidRPr="006F0999">
        <w:rPr>
          <w:sz w:val="20"/>
          <w:szCs w:val="20"/>
        </w:rPr>
        <w:fldChar w:fldCharType="end"/>
      </w:r>
      <w:r w:rsidRPr="006F0999">
        <w:rPr>
          <w:sz w:val="20"/>
          <w:szCs w:val="20"/>
          <w:lang w:val="de-DE"/>
        </w:rPr>
        <w:t xml:space="preserve">) </w:t>
      </w:r>
      <w:r>
        <w:rPr>
          <w:sz w:val="20"/>
          <w:szCs w:val="20"/>
          <w:lang w:val="de-DE"/>
        </w:rPr>
        <w:t xml:space="preserve">821 ff: </w:t>
      </w:r>
      <w:r w:rsidRPr="006F0999">
        <w:rPr>
          <w:sz w:val="20"/>
          <w:szCs w:val="20"/>
          <w:lang w:val="de-DE"/>
        </w:rPr>
        <w:t>‘claim of the crown’. For a more nuanced account, see Friedrich Schoch, ‘Gemeinsamkeiten und Unterschiede von Verwaltungsrecht</w:t>
      </w:r>
      <w:r>
        <w:rPr>
          <w:sz w:val="20"/>
          <w:szCs w:val="20"/>
          <w:lang w:val="de-DE"/>
        </w:rPr>
        <w:t>s</w:t>
      </w:r>
      <w:r w:rsidRPr="006F0999">
        <w:rPr>
          <w:sz w:val="20"/>
          <w:szCs w:val="20"/>
          <w:lang w:val="de-DE"/>
        </w:rPr>
        <w:t xml:space="preserve">lehre und Staatsrechtslehre’, in Helmut Schulze-Fielitz (ed), </w:t>
      </w:r>
      <w:r w:rsidRPr="006F0999">
        <w:rPr>
          <w:i/>
          <w:sz w:val="20"/>
          <w:szCs w:val="20"/>
          <w:lang w:val="de-DE"/>
        </w:rPr>
        <w:t>Staatsrechtslehre als Wissenschaft</w:t>
      </w:r>
      <w:r w:rsidRPr="006F0999">
        <w:rPr>
          <w:sz w:val="20"/>
          <w:szCs w:val="20"/>
          <w:lang w:val="de-DE"/>
        </w:rPr>
        <w:t xml:space="preserve"> (Duncker &amp; Humblot, Berlin, 2007).</w:t>
      </w:r>
    </w:p>
  </w:footnote>
  <w:footnote w:id="145">
    <w:p w14:paraId="0465956A" w14:textId="77777777" w:rsidR="0089313D" w:rsidRPr="006F0999" w:rsidRDefault="0089313D" w:rsidP="00DE2EDF">
      <w:pPr>
        <w:pStyle w:val="FootnoteText"/>
        <w:spacing w:line="276" w:lineRule="auto"/>
        <w:rPr>
          <w:b/>
          <w:sz w:val="20"/>
          <w:szCs w:val="20"/>
          <w:lang w:val="de-DE"/>
        </w:rPr>
      </w:pPr>
      <w:r w:rsidRPr="006F0999">
        <w:rPr>
          <w:rStyle w:val="FootnoteReference"/>
          <w:sz w:val="20"/>
          <w:szCs w:val="20"/>
        </w:rPr>
        <w:footnoteRef/>
      </w:r>
      <w:r w:rsidRPr="006F0999">
        <w:rPr>
          <w:sz w:val="20"/>
          <w:szCs w:val="20"/>
          <w:lang w:val="de-DE"/>
        </w:rPr>
        <w:t xml:space="preserve"> Fritz Werner, ‘Verwaltungsrecht als konkretisiertes Verfassungsrecht’ (1959) DVBl 527 ff. For an outline of the German situation, see Michael Stolleis, </w:t>
      </w:r>
      <w:r w:rsidRPr="006F0999">
        <w:rPr>
          <w:i/>
          <w:sz w:val="20"/>
          <w:szCs w:val="20"/>
          <w:lang w:val="de-DE"/>
        </w:rPr>
        <w:t>Geschichte des öffentlichen Rechts in Deutschland</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_Ref401126622 \h  \* MERGEFORMAT </w:instrText>
      </w:r>
      <w:r w:rsidRPr="006F0999">
        <w:rPr>
          <w:sz w:val="20"/>
          <w:szCs w:val="20"/>
        </w:rPr>
      </w:r>
      <w:r w:rsidRPr="006F0999">
        <w:rPr>
          <w:sz w:val="20"/>
          <w:szCs w:val="20"/>
        </w:rPr>
        <w:fldChar w:fldCharType="separate"/>
      </w:r>
      <w:r w:rsidRPr="006F0999">
        <w:rPr>
          <w:sz w:val="20"/>
          <w:szCs w:val="20"/>
          <w:lang w:val="de-DE"/>
        </w:rPr>
        <w:t>30</w:t>
      </w:r>
      <w:r w:rsidRPr="006F0999">
        <w:rPr>
          <w:sz w:val="20"/>
          <w:szCs w:val="20"/>
        </w:rPr>
        <w:fldChar w:fldCharType="end"/>
      </w:r>
      <w:r w:rsidRPr="006F0999">
        <w:rPr>
          <w:sz w:val="20"/>
          <w:szCs w:val="20"/>
          <w:lang w:val="de-DE"/>
        </w:rPr>
        <w:t xml:space="preserve">) 226 ff, 247 ff; Eberhard Schmidt-Aßmann, </w:t>
      </w:r>
      <w:r w:rsidRPr="006F0999">
        <w:rPr>
          <w:i/>
          <w:sz w:val="20"/>
          <w:szCs w:val="20"/>
          <w:lang w:val="de-DE"/>
        </w:rPr>
        <w:t>Das allgemeine Verwaltungsrecht als Ordnungsidee</w:t>
      </w:r>
      <w:r w:rsidRPr="006F0999">
        <w:rPr>
          <w:sz w:val="20"/>
          <w:szCs w:val="20"/>
          <w:lang w:val="de-DE"/>
        </w:rPr>
        <w:t xml:space="preserve"> (2nd edn, Springer, Heidelberg, 2006) 10 ff, 43 ff; Dirk Ehlers, ‘Verwaltung und Verwaltungsrecht’ (n </w:t>
      </w:r>
      <w:r w:rsidRPr="006F0999">
        <w:rPr>
          <w:sz w:val="20"/>
          <w:szCs w:val="20"/>
        </w:rPr>
        <w:fldChar w:fldCharType="begin"/>
      </w:r>
      <w:r w:rsidRPr="006F0999">
        <w:rPr>
          <w:sz w:val="20"/>
          <w:szCs w:val="20"/>
          <w:lang w:val="de-DE"/>
        </w:rPr>
        <w:instrText xml:space="preserve"> NOTEREF _Ref401125767 \h  \* MERGEFORMAT </w:instrText>
      </w:r>
      <w:r w:rsidRPr="006F0999">
        <w:rPr>
          <w:sz w:val="20"/>
          <w:szCs w:val="20"/>
        </w:rPr>
      </w:r>
      <w:r w:rsidRPr="006F0999">
        <w:rPr>
          <w:sz w:val="20"/>
          <w:szCs w:val="20"/>
        </w:rPr>
        <w:fldChar w:fldCharType="separate"/>
      </w:r>
      <w:r w:rsidRPr="006F0999">
        <w:rPr>
          <w:sz w:val="20"/>
          <w:szCs w:val="20"/>
          <w:lang w:val="de-DE"/>
        </w:rPr>
        <w:t>35</w:t>
      </w:r>
      <w:r w:rsidRPr="006F0999">
        <w:rPr>
          <w:sz w:val="20"/>
          <w:szCs w:val="20"/>
        </w:rPr>
        <w:fldChar w:fldCharType="end"/>
      </w:r>
      <w:r w:rsidRPr="006F0999">
        <w:rPr>
          <w:sz w:val="20"/>
          <w:szCs w:val="20"/>
          <w:lang w:val="de-DE"/>
        </w:rPr>
        <w:t>) 239 ff; Matthias Jestaedt, ‘Verfassungsgerichtsbarkeit und Konstitutionalisierung des Verwaltungsrechts: Eine deutsche Perspektive’, in Johannes Masing and Olivier Jouanjan</w:t>
      </w:r>
      <w:r w:rsidRPr="006F0999">
        <w:rPr>
          <w:rFonts w:eastAsiaTheme="minorHAnsi"/>
          <w:b/>
          <w:bCs/>
          <w:iCs w:val="0"/>
          <w:color w:val="545454"/>
          <w:sz w:val="20"/>
          <w:szCs w:val="20"/>
          <w:lang w:val="de-DE"/>
        </w:rPr>
        <w:t xml:space="preserve"> </w:t>
      </w:r>
      <w:r w:rsidRPr="006F0999">
        <w:rPr>
          <w:sz w:val="20"/>
          <w:szCs w:val="20"/>
          <w:lang w:val="de-DE"/>
        </w:rPr>
        <w:t xml:space="preserve">(eds), </w:t>
      </w:r>
      <w:r w:rsidRPr="006F0999">
        <w:rPr>
          <w:i/>
          <w:sz w:val="20"/>
          <w:szCs w:val="20"/>
          <w:lang w:val="de-DE"/>
        </w:rPr>
        <w:t>Verfassungsgerichtsbarkeit</w:t>
      </w:r>
      <w:r w:rsidRPr="006F0999">
        <w:rPr>
          <w:sz w:val="20"/>
          <w:szCs w:val="20"/>
          <w:lang w:val="de-DE"/>
        </w:rPr>
        <w:t xml:space="preserve"> (Mohr Siebeck, Tübingen, 2011) 37 ff; Ferdinand Wollenschläger, ‘Verfassung im Allgemeinen Verwaltungsrecht’ (n </w:t>
      </w:r>
      <w:r w:rsidRPr="006F0999">
        <w:rPr>
          <w:sz w:val="20"/>
          <w:szCs w:val="20"/>
        </w:rPr>
        <w:fldChar w:fldCharType="begin"/>
      </w:r>
      <w:r w:rsidRPr="006F0999">
        <w:rPr>
          <w:sz w:val="20"/>
          <w:szCs w:val="20"/>
          <w:lang w:val="de-DE"/>
        </w:rPr>
        <w:instrText xml:space="preserve"> NOTEREF _ftnref8 \h  \* MERGEFORMAT </w:instrText>
      </w:r>
      <w:r w:rsidRPr="006F0999">
        <w:rPr>
          <w:sz w:val="20"/>
          <w:szCs w:val="20"/>
        </w:rPr>
      </w:r>
      <w:r w:rsidRPr="006F0999">
        <w:rPr>
          <w:sz w:val="20"/>
          <w:szCs w:val="20"/>
        </w:rPr>
        <w:fldChar w:fldCharType="separate"/>
      </w:r>
      <w:r w:rsidRPr="006F0999">
        <w:rPr>
          <w:sz w:val="20"/>
          <w:szCs w:val="20"/>
          <w:lang w:val="de-DE"/>
        </w:rPr>
        <w:t>9</w:t>
      </w:r>
      <w:r w:rsidRPr="006F0999">
        <w:rPr>
          <w:sz w:val="20"/>
          <w:szCs w:val="20"/>
        </w:rPr>
        <w:fldChar w:fldCharType="end"/>
      </w:r>
      <w:r w:rsidRPr="006F0999">
        <w:rPr>
          <w:sz w:val="20"/>
          <w:szCs w:val="20"/>
          <w:lang w:val="de-DE"/>
        </w:rPr>
        <w:t>).</w:t>
      </w:r>
    </w:p>
  </w:footnote>
  <w:footnote w:id="146">
    <w:p w14:paraId="4821AF1E" w14:textId="71D36BBF"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Christoph Schönberger, ‘Verwaltungsrecht als konkretisiertes Verfassungsrecht’ (n </w:t>
      </w:r>
      <w:r w:rsidRPr="006F0999">
        <w:rPr>
          <w:sz w:val="20"/>
          <w:szCs w:val="20"/>
        </w:rPr>
        <w:fldChar w:fldCharType="begin"/>
      </w:r>
      <w:r w:rsidRPr="006F0999">
        <w:rPr>
          <w:sz w:val="20"/>
          <w:szCs w:val="20"/>
          <w:lang w:val="de-DE"/>
        </w:rPr>
        <w:instrText xml:space="preserve"> NOTEREF _Ref401053882 \h  \* MERGEFORMAT </w:instrText>
      </w:r>
      <w:r w:rsidRPr="006F0999">
        <w:rPr>
          <w:sz w:val="20"/>
          <w:szCs w:val="20"/>
        </w:rPr>
      </w:r>
      <w:r w:rsidRPr="006F0999">
        <w:rPr>
          <w:sz w:val="20"/>
          <w:szCs w:val="20"/>
        </w:rPr>
        <w:fldChar w:fldCharType="separate"/>
      </w:r>
      <w:r w:rsidRPr="006F0999">
        <w:rPr>
          <w:sz w:val="20"/>
          <w:szCs w:val="20"/>
          <w:lang w:val="de-DE"/>
        </w:rPr>
        <w:t>36</w:t>
      </w:r>
      <w:r w:rsidRPr="006F0999">
        <w:rPr>
          <w:sz w:val="20"/>
          <w:szCs w:val="20"/>
        </w:rPr>
        <w:fldChar w:fldCharType="end"/>
      </w:r>
      <w:r w:rsidRPr="006F0999">
        <w:rPr>
          <w:sz w:val="20"/>
          <w:szCs w:val="20"/>
          <w:lang w:val="de-DE"/>
        </w:rPr>
        <w:t xml:space="preserve">) 55; for the quotation of Sommermann, see Michael Stolleis, </w:t>
      </w:r>
      <w:r w:rsidRPr="006F0999">
        <w:rPr>
          <w:i/>
          <w:sz w:val="20"/>
          <w:szCs w:val="20"/>
          <w:lang w:val="de-DE"/>
        </w:rPr>
        <w:t>Geschichte des öffentlichen Rechts in Deutschland</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_Ref401126622 \h  \* MERGEFORMAT </w:instrText>
      </w:r>
      <w:r w:rsidRPr="006F0999">
        <w:rPr>
          <w:sz w:val="20"/>
          <w:szCs w:val="20"/>
        </w:rPr>
      </w:r>
      <w:r w:rsidRPr="006F0999">
        <w:rPr>
          <w:sz w:val="20"/>
          <w:szCs w:val="20"/>
        </w:rPr>
        <w:fldChar w:fldCharType="separate"/>
      </w:r>
      <w:r w:rsidRPr="006F0999">
        <w:rPr>
          <w:sz w:val="20"/>
          <w:szCs w:val="20"/>
          <w:lang w:val="de-DE"/>
        </w:rPr>
        <w:t>30</w:t>
      </w:r>
      <w:r w:rsidRPr="006F0999">
        <w:rPr>
          <w:sz w:val="20"/>
          <w:szCs w:val="20"/>
        </w:rPr>
        <w:fldChar w:fldCharType="end"/>
      </w:r>
      <w:r w:rsidRPr="006F0999">
        <w:rPr>
          <w:sz w:val="20"/>
          <w:szCs w:val="20"/>
          <w:lang w:val="de-DE"/>
        </w:rPr>
        <w:t>) 230.</w:t>
      </w:r>
    </w:p>
  </w:footnote>
  <w:footnote w:id="147">
    <w:p w14:paraId="4F47E0CC"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Gunnar Folke Schuppert and Christian Bumke, </w:t>
      </w:r>
      <w:r w:rsidRPr="006F0999">
        <w:rPr>
          <w:i/>
          <w:sz w:val="20"/>
          <w:szCs w:val="20"/>
          <w:lang w:val="de-DE"/>
        </w:rPr>
        <w:t>Die Konstitutionalisierung der Rechtsordnung</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de-DE"/>
        </w:rPr>
        <w:t>121</w:t>
      </w:r>
      <w:r w:rsidRPr="006F0999">
        <w:rPr>
          <w:sz w:val="20"/>
          <w:szCs w:val="20"/>
        </w:rPr>
        <w:fldChar w:fldCharType="end"/>
      </w:r>
      <w:r w:rsidRPr="006F0999">
        <w:rPr>
          <w:sz w:val="20"/>
          <w:szCs w:val="20"/>
          <w:lang w:val="de-DE"/>
        </w:rPr>
        <w:t>) 63 ff and 77 ff.</w:t>
      </w:r>
    </w:p>
  </w:footnote>
  <w:footnote w:id="148">
    <w:p w14:paraId="1387D637" w14:textId="1E048024" w:rsidR="0089313D" w:rsidRPr="006F0999" w:rsidRDefault="0089313D" w:rsidP="00DE2EDF">
      <w:pPr>
        <w:pStyle w:val="FootnoteText"/>
        <w:spacing w:line="276" w:lineRule="auto"/>
        <w:rPr>
          <w:b/>
          <w:i/>
          <w:sz w:val="20"/>
          <w:szCs w:val="20"/>
          <w:lang w:val="de-DE"/>
        </w:rPr>
      </w:pPr>
      <w:r w:rsidRPr="006F0999">
        <w:rPr>
          <w:rStyle w:val="FootnoteReference"/>
          <w:sz w:val="20"/>
          <w:szCs w:val="20"/>
        </w:rPr>
        <w:footnoteRef/>
      </w:r>
      <w:r w:rsidRPr="006F0999">
        <w:rPr>
          <w:sz w:val="20"/>
          <w:szCs w:val="20"/>
          <w:lang w:val="de-DE"/>
        </w:rPr>
        <w:t xml:space="preserve"> Christoph Schönberger, ‘Verwaltungsrecht als konkretisiertes Verfassungsrecht’ (n </w:t>
      </w:r>
      <w:r w:rsidRPr="006F0999">
        <w:rPr>
          <w:sz w:val="20"/>
          <w:szCs w:val="20"/>
        </w:rPr>
        <w:fldChar w:fldCharType="begin"/>
      </w:r>
      <w:r w:rsidRPr="006F0999">
        <w:rPr>
          <w:sz w:val="20"/>
          <w:szCs w:val="20"/>
          <w:lang w:val="de-DE"/>
        </w:rPr>
        <w:instrText xml:space="preserve"> NOTEREF _Ref401053882 \h  \* MERGEFORMAT </w:instrText>
      </w:r>
      <w:r w:rsidRPr="006F0999">
        <w:rPr>
          <w:sz w:val="20"/>
          <w:szCs w:val="20"/>
        </w:rPr>
      </w:r>
      <w:r w:rsidRPr="006F0999">
        <w:rPr>
          <w:sz w:val="20"/>
          <w:szCs w:val="20"/>
        </w:rPr>
        <w:fldChar w:fldCharType="separate"/>
      </w:r>
      <w:r w:rsidRPr="006F0999">
        <w:rPr>
          <w:sz w:val="20"/>
          <w:szCs w:val="20"/>
          <w:lang w:val="de-DE"/>
        </w:rPr>
        <w:t>36</w:t>
      </w:r>
      <w:r w:rsidRPr="006F0999">
        <w:rPr>
          <w:sz w:val="20"/>
          <w:szCs w:val="20"/>
        </w:rPr>
        <w:fldChar w:fldCharType="end"/>
      </w:r>
      <w:r w:rsidRPr="006F0999">
        <w:rPr>
          <w:sz w:val="20"/>
          <w:szCs w:val="20"/>
          <w:lang w:val="de-DE"/>
        </w:rPr>
        <w:t xml:space="preserve">) </w:t>
      </w:r>
      <w:r>
        <w:rPr>
          <w:sz w:val="20"/>
          <w:szCs w:val="20"/>
          <w:lang w:val="de-DE"/>
        </w:rPr>
        <w:t>n</w:t>
      </w:r>
      <w:r w:rsidRPr="002C5B72">
        <w:rPr>
          <w:sz w:val="20"/>
          <w:szCs w:val="20"/>
          <w:lang w:val="de-DE"/>
        </w:rPr>
        <w:t xml:space="preserve"> 57</w:t>
      </w:r>
      <w:r w:rsidRPr="006F0999">
        <w:rPr>
          <w:sz w:val="20"/>
          <w:szCs w:val="20"/>
          <w:lang w:val="de-DE"/>
        </w:rPr>
        <w:t xml:space="preserve">. See also Rüdiger Breuer, ‘Konkretisierungen des Rechtsstaats- und Demokratiegebotes’, in Eberhard Schmidt-Aßmann, </w:t>
      </w:r>
      <w:r w:rsidRPr="006F0999">
        <w:rPr>
          <w:i/>
          <w:sz w:val="20"/>
          <w:szCs w:val="20"/>
          <w:lang w:val="de-DE"/>
        </w:rPr>
        <w:t xml:space="preserve">Festgabe 50 Jahre Bundesverwaltungsgericht </w:t>
      </w:r>
      <w:r>
        <w:rPr>
          <w:sz w:val="20"/>
          <w:szCs w:val="20"/>
          <w:lang w:val="de-DE"/>
        </w:rPr>
        <w:t xml:space="preserve">(Heymann, Köln, 2003) 222: </w:t>
      </w:r>
      <w:r w:rsidRPr="006F0999">
        <w:rPr>
          <w:sz w:val="20"/>
          <w:szCs w:val="20"/>
          <w:lang w:val="de-DE"/>
        </w:rPr>
        <w:t xml:space="preserve">‘exuberant, inflationary extended argumentation with constitutional principles’ or ‘vulgar expectation of </w:t>
      </w:r>
      <w:r>
        <w:rPr>
          <w:sz w:val="20"/>
          <w:szCs w:val="20"/>
          <w:lang w:val="de-DE"/>
        </w:rPr>
        <w:t>salvation by the Constitution’.</w:t>
      </w:r>
    </w:p>
  </w:footnote>
  <w:footnote w:id="149">
    <w:p w14:paraId="5D31C93B" w14:textId="33173D73"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For a rich overview of the literature see Ferdinand Wollenschläger, ‘Verfassung im Allgemeinen Verwaltungsrecht’ (n </w:t>
      </w:r>
      <w:r w:rsidRPr="006F0999">
        <w:rPr>
          <w:sz w:val="20"/>
          <w:szCs w:val="20"/>
        </w:rPr>
        <w:fldChar w:fldCharType="begin"/>
      </w:r>
      <w:r w:rsidRPr="006F0999">
        <w:rPr>
          <w:sz w:val="20"/>
          <w:szCs w:val="20"/>
          <w:lang w:val="de-DE"/>
        </w:rPr>
        <w:instrText xml:space="preserve"> NOTEREF _ftnref8 \h  \* MERGEFORMAT </w:instrText>
      </w:r>
      <w:r w:rsidRPr="006F0999">
        <w:rPr>
          <w:sz w:val="20"/>
          <w:szCs w:val="20"/>
        </w:rPr>
      </w:r>
      <w:r w:rsidRPr="006F0999">
        <w:rPr>
          <w:sz w:val="20"/>
          <w:szCs w:val="20"/>
        </w:rPr>
        <w:fldChar w:fldCharType="separate"/>
      </w:r>
      <w:r w:rsidRPr="006F0999">
        <w:rPr>
          <w:sz w:val="20"/>
          <w:szCs w:val="20"/>
          <w:lang w:val="de-DE"/>
        </w:rPr>
        <w:t>9</w:t>
      </w:r>
      <w:r w:rsidRPr="006F0999">
        <w:rPr>
          <w:sz w:val="20"/>
          <w:szCs w:val="20"/>
        </w:rPr>
        <w:fldChar w:fldCharType="end"/>
      </w:r>
      <w:r w:rsidRPr="006F0999">
        <w:rPr>
          <w:sz w:val="20"/>
          <w:szCs w:val="20"/>
          <w:lang w:val="de-DE"/>
        </w:rPr>
        <w:t>)</w:t>
      </w:r>
      <w:r>
        <w:rPr>
          <w:sz w:val="20"/>
          <w:szCs w:val="20"/>
          <w:lang w:val="de-DE"/>
        </w:rPr>
        <w:t xml:space="preserve"> 187 ff</w:t>
      </w:r>
      <w:r w:rsidRPr="006F0999">
        <w:rPr>
          <w:sz w:val="20"/>
          <w:szCs w:val="20"/>
          <w:lang w:val="de-DE"/>
        </w:rPr>
        <w:t>.</w:t>
      </w:r>
    </w:p>
  </w:footnote>
  <w:footnote w:id="150">
    <w:p w14:paraId="5A01C0B0"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de-DE"/>
        </w:rPr>
        <w:t xml:space="preserve"> </w:t>
      </w:r>
      <w:r w:rsidRPr="0058427B">
        <w:rPr>
          <w:sz w:val="20"/>
          <w:szCs w:val="20"/>
          <w:lang w:val="de-DE"/>
        </w:rPr>
        <w:t xml:space="preserve">Christoph Möllers, ‘Methoden’, in Wolfgang Hofmann-Riem, Eberhard Schmidt-Aßmann, Andreas Voßkuhle (eds), </w:t>
      </w:r>
      <w:r w:rsidRPr="0058427B">
        <w:rPr>
          <w:i/>
          <w:sz w:val="20"/>
          <w:szCs w:val="20"/>
          <w:lang w:val="de-DE"/>
        </w:rPr>
        <w:t>Grundlagen des Verwaltungsrechts</w:t>
      </w:r>
      <w:r w:rsidRPr="0058427B">
        <w:rPr>
          <w:sz w:val="20"/>
          <w:szCs w:val="20"/>
          <w:lang w:val="de-DE"/>
        </w:rPr>
        <w:t>, vol 1 (2nd edn, Beck, Munich, 2012), 131. For examples and typologies, see also Thomas Groß, ‘Von der Kontrolle der Polizei zur Kontrolle des Gesetzgebers’ (2006) DÖV 856 ff; Jens Kersten, ‘Was kann das Verfassungsrecht vom Verwaltungsrecht</w:t>
      </w:r>
      <w:r w:rsidRPr="006F0999">
        <w:rPr>
          <w:sz w:val="20"/>
          <w:szCs w:val="20"/>
          <w:lang w:val="de-DE"/>
        </w:rPr>
        <w:t xml:space="preserve"> lernen?’ </w:t>
      </w:r>
      <w:r w:rsidRPr="006F0999">
        <w:rPr>
          <w:sz w:val="20"/>
          <w:szCs w:val="20"/>
          <w:lang w:val="fr-FR"/>
        </w:rPr>
        <w:t xml:space="preserve">(2011) DVBl 585 ff; Ferdinand Wollenschläger, ‘Verfassung im Allgemeinen Verwaltungsrecht’ (n </w:t>
      </w:r>
      <w:r w:rsidRPr="006F0999">
        <w:rPr>
          <w:sz w:val="20"/>
          <w:szCs w:val="20"/>
        </w:rPr>
        <w:fldChar w:fldCharType="begin"/>
      </w:r>
      <w:r w:rsidRPr="006F0999">
        <w:rPr>
          <w:sz w:val="20"/>
          <w:szCs w:val="20"/>
          <w:lang w:val="fr-FR"/>
        </w:rPr>
        <w:instrText xml:space="preserve"> NOTEREF _ftnref8 \h  \* MERGEFORMAT </w:instrText>
      </w:r>
      <w:r w:rsidRPr="006F0999">
        <w:rPr>
          <w:sz w:val="20"/>
          <w:szCs w:val="20"/>
        </w:rPr>
      </w:r>
      <w:r w:rsidRPr="006F0999">
        <w:rPr>
          <w:sz w:val="20"/>
          <w:szCs w:val="20"/>
        </w:rPr>
        <w:fldChar w:fldCharType="separate"/>
      </w:r>
      <w:r w:rsidRPr="006F0999">
        <w:rPr>
          <w:sz w:val="20"/>
          <w:szCs w:val="20"/>
          <w:lang w:val="fr-FR"/>
        </w:rPr>
        <w:t>9</w:t>
      </w:r>
      <w:r w:rsidRPr="006F0999">
        <w:rPr>
          <w:sz w:val="20"/>
          <w:szCs w:val="20"/>
        </w:rPr>
        <w:fldChar w:fldCharType="end"/>
      </w:r>
      <w:r w:rsidRPr="006F0999">
        <w:rPr>
          <w:sz w:val="20"/>
          <w:szCs w:val="20"/>
          <w:lang w:val="fr-FR"/>
        </w:rPr>
        <w:t>).</w:t>
      </w:r>
    </w:p>
  </w:footnote>
  <w:footnote w:id="151">
    <w:p w14:paraId="1049FB21" w14:textId="0AF638AD" w:rsidR="0089313D" w:rsidRPr="006F0999" w:rsidRDefault="0089313D" w:rsidP="00D262E4">
      <w:pPr>
        <w:spacing w:after="0"/>
        <w:jc w:val="both"/>
        <w:rPr>
          <w:rFonts w:cs="Times New Roman"/>
          <w:sz w:val="20"/>
          <w:szCs w:val="20"/>
          <w:lang w:val="fr-FR"/>
        </w:rPr>
      </w:pPr>
      <w:r w:rsidRPr="006F0999">
        <w:rPr>
          <w:rStyle w:val="FootnoteReference"/>
          <w:rFonts w:cs="Times New Roman"/>
          <w:sz w:val="20"/>
          <w:szCs w:val="20"/>
        </w:rPr>
        <w:footnoteRef/>
      </w:r>
      <w:r w:rsidRPr="006F0999">
        <w:rPr>
          <w:rFonts w:cs="Times New Roman"/>
          <w:sz w:val="20"/>
          <w:szCs w:val="20"/>
          <w:lang w:val="fr-FR"/>
        </w:rPr>
        <w:t xml:space="preserve"> Louis Favoreu, ‘Droit administratif et normes constitutionnelles: quelques réflexions trente ans après’ (n 44) 649 ff; Favoreu, ‘La constitutionnalisation du droit administratif’, </w:t>
      </w:r>
      <w:r w:rsidRPr="006F0999">
        <w:rPr>
          <w:rFonts w:cs="Times New Roman"/>
          <w:i/>
          <w:sz w:val="20"/>
          <w:szCs w:val="20"/>
          <w:lang w:val="fr-FR"/>
        </w:rPr>
        <w:t>Mélanges Epaminondas P. Spiliotopoulos</w:t>
      </w:r>
      <w:r w:rsidRPr="006F0999">
        <w:rPr>
          <w:rFonts w:cs="Times New Roman"/>
          <w:sz w:val="20"/>
          <w:szCs w:val="20"/>
          <w:lang w:val="fr-FR"/>
        </w:rPr>
        <w:t xml:space="preserve"> (Sakkoulas/Bruylant, Athens/Bruxelles, 1998) 97 ff; Pierre Delvolvé, ‘La constitutionnalisation du droit administratif’, in Association française de droit constitutionnel and Bertrand Mathieu (eds), </w:t>
      </w:r>
      <w:r w:rsidRPr="006F0999">
        <w:rPr>
          <w:rFonts w:cs="Times New Roman"/>
          <w:i/>
          <w:sz w:val="20"/>
          <w:szCs w:val="20"/>
          <w:lang w:val="fr-FR"/>
        </w:rPr>
        <w:t>1958</w:t>
      </w:r>
      <w:r w:rsidRPr="006F0999">
        <w:rPr>
          <w:rFonts w:cs="Times New Roman"/>
          <w:sz w:val="20"/>
          <w:szCs w:val="20"/>
          <w:lang w:val="fr-FR"/>
        </w:rPr>
        <w:t>–</w:t>
      </w:r>
      <w:r w:rsidRPr="006F0999">
        <w:rPr>
          <w:rFonts w:cs="Times New Roman"/>
          <w:i/>
          <w:sz w:val="20"/>
          <w:szCs w:val="20"/>
          <w:lang w:val="fr-FR"/>
        </w:rPr>
        <w:t>2008.</w:t>
      </w:r>
      <w:r w:rsidRPr="006F0999">
        <w:rPr>
          <w:rFonts w:cs="Times New Roman"/>
          <w:sz w:val="20"/>
          <w:szCs w:val="20"/>
          <w:lang w:val="fr-FR"/>
        </w:rPr>
        <w:t xml:space="preserve"> </w:t>
      </w:r>
      <w:r w:rsidRPr="006F0999">
        <w:rPr>
          <w:rFonts w:cs="Times New Roman"/>
          <w:i/>
          <w:sz w:val="20"/>
          <w:szCs w:val="20"/>
          <w:lang w:val="fr-FR"/>
        </w:rPr>
        <w:t>Cinquantième anniversaire de la Constitution française</w:t>
      </w:r>
      <w:r w:rsidRPr="006F0999">
        <w:rPr>
          <w:rFonts w:cs="Times New Roman"/>
          <w:sz w:val="20"/>
          <w:szCs w:val="20"/>
          <w:lang w:val="fr-FR"/>
        </w:rPr>
        <w:t xml:space="preserve"> (Dalloz, Paris, 2008) 397 ff.</w:t>
      </w:r>
    </w:p>
  </w:footnote>
  <w:footnote w:id="152">
    <w:p w14:paraId="0133D6A4" w14:textId="77777777" w:rsidR="0089313D" w:rsidRPr="00AF0474" w:rsidRDefault="0089313D" w:rsidP="00D262E4">
      <w:pPr>
        <w:pStyle w:val="FootnoteText"/>
        <w:spacing w:line="276" w:lineRule="auto"/>
        <w:rPr>
          <w:sz w:val="20"/>
          <w:szCs w:val="20"/>
          <w:lang w:val="de-DE"/>
        </w:rPr>
      </w:pPr>
      <w:r w:rsidRPr="006F0999">
        <w:rPr>
          <w:rStyle w:val="FootnoteReference"/>
          <w:sz w:val="20"/>
          <w:szCs w:val="20"/>
        </w:rPr>
        <w:footnoteRef/>
      </w:r>
      <w:r w:rsidRPr="00AF0474">
        <w:rPr>
          <w:sz w:val="20"/>
          <w:szCs w:val="20"/>
          <w:lang w:val="de-DE"/>
        </w:rPr>
        <w:t xml:space="preserve"> See the writings of Georges Vedel and, more recently, Pascal Combeau, ‘Verfassungsgerichtsbarkeit und Konstitutionalisierung des Verwaltungsrechts: Eine französische Perspektive’, in Johannes Masing and Olivier Jouanjan, </w:t>
      </w:r>
      <w:r w:rsidRPr="00AF0474">
        <w:rPr>
          <w:i/>
          <w:sz w:val="20"/>
          <w:szCs w:val="20"/>
          <w:lang w:val="de-DE"/>
        </w:rPr>
        <w:t>Verfassungsgerichtsbarkeit</w:t>
      </w:r>
      <w:r w:rsidRPr="00AF0474" w:rsidDel="00710B5C">
        <w:rPr>
          <w:sz w:val="20"/>
          <w:szCs w:val="20"/>
          <w:lang w:val="de-DE"/>
        </w:rPr>
        <w:t xml:space="preserve"> </w:t>
      </w:r>
      <w:r w:rsidRPr="00AF0474">
        <w:rPr>
          <w:sz w:val="20"/>
          <w:szCs w:val="20"/>
          <w:lang w:val="de-DE"/>
        </w:rPr>
        <w:t xml:space="preserve">(n </w:t>
      </w:r>
      <w:r w:rsidRPr="006F0999">
        <w:rPr>
          <w:sz w:val="20"/>
          <w:szCs w:val="20"/>
        </w:rPr>
        <w:fldChar w:fldCharType="begin"/>
      </w:r>
      <w:r w:rsidRPr="00AF0474">
        <w:rPr>
          <w:sz w:val="20"/>
          <w:szCs w:val="20"/>
          <w:lang w:val="de-DE"/>
        </w:rPr>
        <w:instrText xml:space="preserve"> NOTEREF _Ref457850823 \h  \* MERGEFORMAT </w:instrText>
      </w:r>
      <w:r w:rsidRPr="006F0999">
        <w:rPr>
          <w:sz w:val="20"/>
          <w:szCs w:val="20"/>
        </w:rPr>
      </w:r>
      <w:r w:rsidRPr="006F0999">
        <w:rPr>
          <w:sz w:val="20"/>
          <w:szCs w:val="20"/>
        </w:rPr>
        <w:fldChar w:fldCharType="separate"/>
      </w:r>
      <w:r w:rsidRPr="00AF0474">
        <w:rPr>
          <w:sz w:val="20"/>
          <w:szCs w:val="20"/>
          <w:lang w:val="de-DE"/>
        </w:rPr>
        <w:t>143</w:t>
      </w:r>
      <w:r w:rsidRPr="006F0999">
        <w:rPr>
          <w:sz w:val="20"/>
          <w:szCs w:val="20"/>
        </w:rPr>
        <w:fldChar w:fldCharType="end"/>
      </w:r>
      <w:r w:rsidRPr="00AF0474">
        <w:rPr>
          <w:sz w:val="20"/>
          <w:szCs w:val="20"/>
          <w:lang w:val="de-DE"/>
        </w:rPr>
        <w:t>) 67 ff.</w:t>
      </w:r>
    </w:p>
  </w:footnote>
  <w:footnote w:id="153">
    <w:p w14:paraId="3CBE0727" w14:textId="77777777" w:rsidR="0089313D" w:rsidRPr="00F63605" w:rsidRDefault="0089313D" w:rsidP="00DE2EDF">
      <w:pPr>
        <w:pStyle w:val="FootnoteText"/>
        <w:spacing w:line="276" w:lineRule="auto"/>
        <w:rPr>
          <w:sz w:val="20"/>
          <w:szCs w:val="20"/>
        </w:rPr>
      </w:pPr>
      <w:r w:rsidRPr="00F63605">
        <w:rPr>
          <w:rStyle w:val="FootnoteReference"/>
          <w:sz w:val="20"/>
          <w:szCs w:val="20"/>
        </w:rPr>
        <w:footnoteRef/>
      </w:r>
      <w:r w:rsidRPr="00F63605">
        <w:rPr>
          <w:sz w:val="20"/>
          <w:szCs w:val="20"/>
        </w:rPr>
        <w:t xml:space="preserve"> See n 49 and 108. </w:t>
      </w:r>
    </w:p>
  </w:footnote>
  <w:footnote w:id="154">
    <w:p w14:paraId="61253823" w14:textId="77777777" w:rsidR="0089313D" w:rsidRPr="006F0999" w:rsidRDefault="0089313D" w:rsidP="00DE2EDF">
      <w:pPr>
        <w:pStyle w:val="FootnoteText"/>
        <w:spacing w:line="276" w:lineRule="auto"/>
        <w:rPr>
          <w:i/>
          <w:sz w:val="20"/>
          <w:szCs w:val="20"/>
        </w:rPr>
      </w:pPr>
      <w:r w:rsidRPr="00F63605">
        <w:rPr>
          <w:rStyle w:val="FootnoteReference"/>
          <w:sz w:val="20"/>
          <w:szCs w:val="20"/>
        </w:rPr>
        <w:footnoteRef/>
      </w:r>
      <w:r w:rsidRPr="00F63605">
        <w:rPr>
          <w:sz w:val="20"/>
          <w:szCs w:val="20"/>
        </w:rPr>
        <w:t xml:space="preserve"> See n 121.</w:t>
      </w:r>
      <w:r w:rsidRPr="006F0999">
        <w:rPr>
          <w:sz w:val="20"/>
          <w:szCs w:val="20"/>
        </w:rPr>
        <w:t xml:space="preserve"> </w:t>
      </w:r>
    </w:p>
  </w:footnote>
  <w:footnote w:id="155">
    <w:p w14:paraId="6BE77B44" w14:textId="04445EF4"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Rainer Wahl, ‘Konstitutionalisierung: Leitbegriff oder Allerweltsbegriff?’ (n </w:t>
      </w:r>
      <w:r w:rsidRPr="006F0999">
        <w:rPr>
          <w:sz w:val="20"/>
          <w:szCs w:val="20"/>
        </w:rPr>
        <w:fldChar w:fldCharType="begin"/>
      </w:r>
      <w:r w:rsidRPr="006F0999">
        <w:rPr>
          <w:sz w:val="20"/>
          <w:szCs w:val="20"/>
          <w:lang w:val="de-DE"/>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de-DE"/>
        </w:rPr>
        <w:t>121</w:t>
      </w:r>
      <w:r w:rsidRPr="006F0999">
        <w:rPr>
          <w:sz w:val="20"/>
          <w:szCs w:val="20"/>
        </w:rPr>
        <w:fldChar w:fldCharType="end"/>
      </w:r>
      <w:r w:rsidRPr="006F0999">
        <w:rPr>
          <w:sz w:val="20"/>
          <w:szCs w:val="20"/>
          <w:lang w:val="de-DE"/>
        </w:rPr>
        <w:t xml:space="preserve">) 192 ff; Gunnar Folke Schuppert and Christian Bumke, </w:t>
      </w:r>
      <w:r w:rsidRPr="006F0999">
        <w:rPr>
          <w:i/>
          <w:sz w:val="20"/>
          <w:szCs w:val="20"/>
          <w:lang w:val="de-DE"/>
        </w:rPr>
        <w:t>Die Konstitutionalisierung der Rechtsordnung</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de-DE"/>
        </w:rPr>
        <w:t>121</w:t>
      </w:r>
      <w:r w:rsidRPr="006F0999">
        <w:rPr>
          <w:sz w:val="20"/>
          <w:szCs w:val="20"/>
        </w:rPr>
        <w:fldChar w:fldCharType="end"/>
      </w:r>
      <w:r w:rsidRPr="006F0999">
        <w:rPr>
          <w:sz w:val="20"/>
          <w:szCs w:val="20"/>
          <w:lang w:val="de-DE"/>
        </w:rPr>
        <w:t xml:space="preserve">) 25; Benjamin Schirmer, </w:t>
      </w:r>
      <w:r w:rsidRPr="006F0999">
        <w:rPr>
          <w:i/>
          <w:sz w:val="20"/>
          <w:szCs w:val="20"/>
          <w:lang w:val="de-DE"/>
        </w:rPr>
        <w:t>Konstitutionalisierung des englischen Verwaltungsrechts</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_Ref401131999 \h  \* MERGEFORMAT </w:instrText>
      </w:r>
      <w:r w:rsidRPr="006F0999">
        <w:rPr>
          <w:sz w:val="20"/>
          <w:szCs w:val="20"/>
        </w:rPr>
      </w:r>
      <w:r w:rsidRPr="006F0999">
        <w:rPr>
          <w:sz w:val="20"/>
          <w:szCs w:val="20"/>
        </w:rPr>
        <w:fldChar w:fldCharType="separate"/>
      </w:r>
      <w:r w:rsidRPr="006F0999">
        <w:rPr>
          <w:sz w:val="20"/>
          <w:szCs w:val="20"/>
          <w:lang w:val="de-DE"/>
        </w:rPr>
        <w:t>95</w:t>
      </w:r>
      <w:r w:rsidRPr="006F0999">
        <w:rPr>
          <w:sz w:val="20"/>
          <w:szCs w:val="20"/>
        </w:rPr>
        <w:fldChar w:fldCharType="end"/>
      </w:r>
      <w:r w:rsidR="00B4040E">
        <w:rPr>
          <w:sz w:val="20"/>
          <w:szCs w:val="20"/>
          <w:lang w:val="de-DE"/>
        </w:rPr>
        <w:t>) 27–8</w:t>
      </w:r>
      <w:r w:rsidRPr="006F0999">
        <w:rPr>
          <w:sz w:val="20"/>
          <w:szCs w:val="20"/>
          <w:lang w:val="de-DE"/>
        </w:rPr>
        <w:t>.</w:t>
      </w:r>
    </w:p>
  </w:footnote>
  <w:footnote w:id="156">
    <w:p w14:paraId="2A70D6C4"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Louis Favoreu, ‘La constitutionnalisation du droit’ (n </w:t>
      </w:r>
      <w:r w:rsidRPr="006F0999">
        <w:rPr>
          <w:sz w:val="20"/>
          <w:szCs w:val="20"/>
        </w:rPr>
        <w:fldChar w:fldCharType="begin"/>
      </w:r>
      <w:r w:rsidRPr="006F0999">
        <w:rPr>
          <w:sz w:val="20"/>
          <w:szCs w:val="20"/>
          <w:lang w:val="fr-FR"/>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fr-FR"/>
        </w:rPr>
        <w:t>121</w:t>
      </w:r>
      <w:r w:rsidRPr="006F0999">
        <w:rPr>
          <w:sz w:val="20"/>
          <w:szCs w:val="20"/>
        </w:rPr>
        <w:fldChar w:fldCharType="end"/>
      </w:r>
      <w:r w:rsidRPr="006F0999">
        <w:rPr>
          <w:sz w:val="20"/>
          <w:szCs w:val="20"/>
          <w:lang w:val="fr-FR"/>
        </w:rPr>
        <w:t>) 28 ff.</w:t>
      </w:r>
    </w:p>
  </w:footnote>
  <w:footnote w:id="157">
    <w:p w14:paraId="45EBE8CE" w14:textId="1915F48E"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lang w:val="fr-FR"/>
        </w:rPr>
        <w:t xml:space="preserve"> Georges Vedel, ‘Réflexions sur quelques apports de la jurisprudence du Conseil d</w:t>
      </w:r>
      <w:r w:rsidRPr="00AF0474">
        <w:rPr>
          <w:sz w:val="20"/>
          <w:szCs w:val="20"/>
          <w:lang w:val="fr-LU"/>
        </w:rPr>
        <w:t>’</w:t>
      </w:r>
      <w:r w:rsidRPr="006F0999">
        <w:rPr>
          <w:sz w:val="20"/>
          <w:szCs w:val="20"/>
          <w:lang w:val="fr-FR"/>
        </w:rPr>
        <w:t xml:space="preserve">Etat à la jurisprudence du Conseil constitutionnel’, in Marceau Long (ed), </w:t>
      </w:r>
      <w:r w:rsidRPr="006F0999">
        <w:rPr>
          <w:i/>
          <w:sz w:val="20"/>
          <w:szCs w:val="20"/>
          <w:lang w:val="fr-FR"/>
        </w:rPr>
        <w:t xml:space="preserve">Mélanges René Chapus </w:t>
      </w:r>
      <w:r w:rsidRPr="006F0999">
        <w:rPr>
          <w:sz w:val="20"/>
          <w:szCs w:val="20"/>
          <w:lang w:val="fr-FR"/>
        </w:rPr>
        <w:t xml:space="preserve">(Montchrestien, Paris, 1992) 647 ff; Pascal Combeau, ‘Verfassungsgerichtsbarkeit und Konstitutionalisierung des Verwaltungsrechts’ (n </w:t>
      </w:r>
      <w:r w:rsidRPr="006F0999">
        <w:rPr>
          <w:sz w:val="20"/>
          <w:szCs w:val="20"/>
        </w:rPr>
        <w:fldChar w:fldCharType="begin"/>
      </w:r>
      <w:r w:rsidRPr="006F0999">
        <w:rPr>
          <w:sz w:val="20"/>
          <w:szCs w:val="20"/>
          <w:lang w:val="fr-FR"/>
        </w:rPr>
        <w:instrText xml:space="preserve"> NOTEREF _Ref457851622 \h  \* MERGEFORMAT </w:instrText>
      </w:r>
      <w:r w:rsidRPr="006F0999">
        <w:rPr>
          <w:sz w:val="20"/>
          <w:szCs w:val="20"/>
        </w:rPr>
      </w:r>
      <w:r w:rsidRPr="006F0999">
        <w:rPr>
          <w:sz w:val="20"/>
          <w:szCs w:val="20"/>
        </w:rPr>
        <w:fldChar w:fldCharType="separate"/>
      </w:r>
      <w:r w:rsidRPr="006F0999">
        <w:rPr>
          <w:sz w:val="20"/>
          <w:szCs w:val="20"/>
          <w:lang w:val="fr-FR"/>
        </w:rPr>
        <w:t>150</w:t>
      </w:r>
      <w:r w:rsidRPr="006F0999">
        <w:rPr>
          <w:sz w:val="20"/>
          <w:szCs w:val="20"/>
        </w:rPr>
        <w:fldChar w:fldCharType="end"/>
      </w:r>
      <w:r w:rsidRPr="006F0999">
        <w:rPr>
          <w:sz w:val="20"/>
          <w:szCs w:val="20"/>
          <w:lang w:val="fr-FR"/>
        </w:rPr>
        <w:t xml:space="preserve">). </w:t>
      </w:r>
      <w:r w:rsidRPr="006F0999">
        <w:rPr>
          <w:sz w:val="20"/>
          <w:szCs w:val="20"/>
        </w:rPr>
        <w:t>This view is also represented by State Council members. See, for example, Olivier Schrameck, ‘Droit administratif et droit constitutionnel’ (1995) special issue AJDA 34 ff.</w:t>
      </w:r>
    </w:p>
  </w:footnote>
  <w:footnote w:id="158">
    <w:p w14:paraId="064F0B3E" w14:textId="4EF0D15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Georges Vedel, ‘L</w:t>
      </w:r>
      <w:r w:rsidRPr="00AF0474">
        <w:rPr>
          <w:sz w:val="20"/>
          <w:szCs w:val="20"/>
          <w:lang w:val="fr-LU"/>
        </w:rPr>
        <w:t>’</w:t>
      </w:r>
      <w:r w:rsidRPr="006F0999">
        <w:rPr>
          <w:sz w:val="20"/>
          <w:szCs w:val="20"/>
          <w:lang w:val="fr-FR"/>
        </w:rPr>
        <w:t xml:space="preserve">unité du droit: Aspects généraux et théoriques’ (n </w:t>
      </w:r>
      <w:r w:rsidRPr="006F0999">
        <w:rPr>
          <w:sz w:val="20"/>
          <w:szCs w:val="20"/>
        </w:rPr>
        <w:fldChar w:fldCharType="begin"/>
      </w:r>
      <w:r w:rsidRPr="006F0999">
        <w:rPr>
          <w:sz w:val="20"/>
          <w:szCs w:val="20"/>
          <w:lang w:val="fr-FR"/>
        </w:rPr>
        <w:instrText xml:space="preserve"> NOTEREF _ftnref19 \h  \* MERGEFORMAT </w:instrText>
      </w:r>
      <w:r w:rsidRPr="006F0999">
        <w:rPr>
          <w:sz w:val="20"/>
          <w:szCs w:val="20"/>
        </w:rPr>
      </w:r>
      <w:r w:rsidRPr="006F0999">
        <w:rPr>
          <w:sz w:val="20"/>
          <w:szCs w:val="20"/>
        </w:rPr>
        <w:fldChar w:fldCharType="separate"/>
      </w:r>
      <w:r w:rsidRPr="006F0999">
        <w:rPr>
          <w:sz w:val="20"/>
          <w:szCs w:val="20"/>
          <w:lang w:val="fr-FR"/>
        </w:rPr>
        <w:t>22</w:t>
      </w:r>
      <w:r w:rsidRPr="006F0999">
        <w:rPr>
          <w:sz w:val="20"/>
          <w:szCs w:val="20"/>
        </w:rPr>
        <w:fldChar w:fldCharType="end"/>
      </w:r>
      <w:r w:rsidRPr="006F0999">
        <w:rPr>
          <w:sz w:val="20"/>
          <w:szCs w:val="20"/>
          <w:lang w:val="fr-FR"/>
        </w:rPr>
        <w:t>) 8; Georges Vedel, ‘Préface’ (n 22) 7.</w:t>
      </w:r>
    </w:p>
  </w:footnote>
  <w:footnote w:id="159">
    <w:p w14:paraId="216F0C49" w14:textId="619EA3F3"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Bruno Genevois, ‘Le Conseil d</w:t>
      </w:r>
      <w:r w:rsidRPr="00AF0474">
        <w:rPr>
          <w:sz w:val="20"/>
          <w:szCs w:val="20"/>
          <w:lang w:val="fr-LU"/>
        </w:rPr>
        <w:t>’</w:t>
      </w:r>
      <w:r w:rsidRPr="006F0999">
        <w:rPr>
          <w:sz w:val="20"/>
          <w:szCs w:val="20"/>
          <w:lang w:val="fr-FR"/>
        </w:rPr>
        <w:t xml:space="preserve">Etat et l’application de la Constitution’ (n </w:t>
      </w:r>
      <w:r w:rsidRPr="006F0999">
        <w:rPr>
          <w:sz w:val="20"/>
          <w:szCs w:val="20"/>
        </w:rPr>
        <w:fldChar w:fldCharType="begin"/>
      </w:r>
      <w:r w:rsidRPr="006F0999">
        <w:rPr>
          <w:sz w:val="20"/>
          <w:szCs w:val="20"/>
          <w:lang w:val="fr-FR"/>
        </w:rPr>
        <w:instrText xml:space="preserve"> NOTEREF _Ref401054324 \h  \* MERGEFORMAT </w:instrText>
      </w:r>
      <w:r w:rsidRPr="006F0999">
        <w:rPr>
          <w:sz w:val="20"/>
          <w:szCs w:val="20"/>
        </w:rPr>
      </w:r>
      <w:r w:rsidRPr="006F0999">
        <w:rPr>
          <w:sz w:val="20"/>
          <w:szCs w:val="20"/>
        </w:rPr>
        <w:fldChar w:fldCharType="separate"/>
      </w:r>
      <w:r w:rsidRPr="006F0999">
        <w:rPr>
          <w:sz w:val="20"/>
          <w:szCs w:val="20"/>
          <w:lang w:val="fr-FR"/>
        </w:rPr>
        <w:t>64</w:t>
      </w:r>
      <w:r w:rsidRPr="006F0999">
        <w:rPr>
          <w:sz w:val="20"/>
          <w:szCs w:val="20"/>
        </w:rPr>
        <w:fldChar w:fldCharType="end"/>
      </w:r>
      <w:r w:rsidRPr="006F0999">
        <w:rPr>
          <w:sz w:val="20"/>
          <w:szCs w:val="20"/>
          <w:lang w:val="fr-FR"/>
        </w:rPr>
        <w:t>) 39, 54.</w:t>
      </w:r>
    </w:p>
  </w:footnote>
  <w:footnote w:id="160">
    <w:p w14:paraId="3C37204A"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It is explicitly rejected by Olivier Schrameck, ‘Droit administratif et droit constitutionnel’</w:t>
      </w:r>
      <w:r w:rsidRPr="006F0999" w:rsidDel="008B3DD3">
        <w:rPr>
          <w:sz w:val="20"/>
          <w:szCs w:val="20"/>
          <w:lang w:val="fr-FR"/>
        </w:rPr>
        <w:t xml:space="preserve"> </w:t>
      </w:r>
      <w:r w:rsidRPr="006F0999">
        <w:rPr>
          <w:sz w:val="20"/>
          <w:szCs w:val="20"/>
          <w:lang w:val="fr-FR"/>
        </w:rPr>
        <w:t xml:space="preserve">(n </w:t>
      </w:r>
      <w:r w:rsidRPr="006F0999">
        <w:rPr>
          <w:sz w:val="20"/>
          <w:szCs w:val="20"/>
        </w:rPr>
        <w:fldChar w:fldCharType="begin"/>
      </w:r>
      <w:r w:rsidRPr="006F0999">
        <w:rPr>
          <w:sz w:val="20"/>
          <w:szCs w:val="20"/>
          <w:lang w:val="fr-FR"/>
        </w:rPr>
        <w:instrText xml:space="preserve"> NOTEREF _Ref401126521 \h  \* MERGEFORMAT </w:instrText>
      </w:r>
      <w:r w:rsidRPr="006F0999">
        <w:rPr>
          <w:sz w:val="20"/>
          <w:szCs w:val="20"/>
        </w:rPr>
      </w:r>
      <w:r w:rsidRPr="006F0999">
        <w:rPr>
          <w:sz w:val="20"/>
          <w:szCs w:val="20"/>
        </w:rPr>
        <w:fldChar w:fldCharType="separate"/>
      </w:r>
      <w:r w:rsidRPr="006F0999">
        <w:rPr>
          <w:sz w:val="20"/>
          <w:szCs w:val="20"/>
          <w:lang w:val="fr-FR"/>
        </w:rPr>
        <w:t>155</w:t>
      </w:r>
      <w:r w:rsidRPr="006F0999">
        <w:rPr>
          <w:sz w:val="20"/>
          <w:szCs w:val="20"/>
        </w:rPr>
        <w:fldChar w:fldCharType="end"/>
      </w:r>
      <w:r w:rsidRPr="006F0999">
        <w:rPr>
          <w:sz w:val="20"/>
          <w:szCs w:val="20"/>
          <w:lang w:val="fr-FR"/>
        </w:rPr>
        <w:t xml:space="preserve">) 35; for a rare approval, see Franck Moderne, ‘A propos du contrôle de la constitutionnalité des actes administratifs’ (2008) Rfda 915. </w:t>
      </w:r>
    </w:p>
  </w:footnote>
  <w:footnote w:id="161">
    <w:p w14:paraId="29DE939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influence of the Constitution can however also operate casually and indirectly (for an interesting example see Bernardo G Mattarella, ‘Italien’, in Armin von Bogdandy, Sabino Cassese and Peter M Huber (eds), </w:t>
      </w:r>
      <w:r w:rsidRPr="006F0999">
        <w:rPr>
          <w:i/>
          <w:sz w:val="20"/>
          <w:szCs w:val="20"/>
        </w:rPr>
        <w:t>IPE III</w:t>
      </w:r>
      <w:r w:rsidRPr="006F0999">
        <w:rPr>
          <w:sz w:val="20"/>
          <w:szCs w:val="20"/>
        </w:rPr>
        <w:t xml:space="preserve"> (n 37) 159. This perspective is not addressed here.</w:t>
      </w:r>
    </w:p>
  </w:footnote>
  <w:footnote w:id="162">
    <w:p w14:paraId="5AD015F7" w14:textId="77777777" w:rsidR="0089313D" w:rsidRPr="00AF0474" w:rsidRDefault="0089313D" w:rsidP="00DE2EDF">
      <w:pPr>
        <w:pStyle w:val="FootnoteText"/>
        <w:spacing w:line="276" w:lineRule="auto"/>
        <w:rPr>
          <w:sz w:val="20"/>
          <w:szCs w:val="20"/>
          <w:lang w:val="fr-LU"/>
        </w:rPr>
      </w:pPr>
      <w:r w:rsidRPr="006F0999">
        <w:rPr>
          <w:rStyle w:val="FootnoteReference"/>
          <w:sz w:val="20"/>
          <w:szCs w:val="20"/>
        </w:rPr>
        <w:footnoteRef/>
      </w:r>
      <w:r w:rsidRPr="00AF0474">
        <w:rPr>
          <w:sz w:val="20"/>
          <w:szCs w:val="20"/>
          <w:lang w:val="fr-LU"/>
        </w:rPr>
        <w:t xml:space="preserve"> For another worldwide scale, see Louis Favoreu, ‘La constitutionnalisation de l’ordre juridique’ (n </w:t>
      </w:r>
      <w:r w:rsidRPr="006F0999">
        <w:rPr>
          <w:sz w:val="20"/>
          <w:szCs w:val="20"/>
        </w:rPr>
        <w:fldChar w:fldCharType="begin"/>
      </w:r>
      <w:r w:rsidRPr="00AF0474">
        <w:rPr>
          <w:sz w:val="20"/>
          <w:szCs w:val="20"/>
          <w:lang w:val="fr-LU"/>
        </w:rPr>
        <w:instrText xml:space="preserve"> NOTEREF _Ref401051488 \h  \* MERGEFORMAT </w:instrText>
      </w:r>
      <w:r w:rsidRPr="006F0999">
        <w:rPr>
          <w:sz w:val="20"/>
          <w:szCs w:val="20"/>
        </w:rPr>
      </w:r>
      <w:r w:rsidRPr="006F0999">
        <w:rPr>
          <w:sz w:val="20"/>
          <w:szCs w:val="20"/>
        </w:rPr>
        <w:fldChar w:fldCharType="separate"/>
      </w:r>
      <w:r w:rsidRPr="00AF0474">
        <w:rPr>
          <w:sz w:val="20"/>
          <w:szCs w:val="20"/>
          <w:lang w:val="fr-LU"/>
        </w:rPr>
        <w:t>121</w:t>
      </w:r>
      <w:r w:rsidRPr="006F0999">
        <w:rPr>
          <w:sz w:val="20"/>
          <w:szCs w:val="20"/>
        </w:rPr>
        <w:fldChar w:fldCharType="end"/>
      </w:r>
      <w:r w:rsidRPr="00AF0474">
        <w:rPr>
          <w:sz w:val="20"/>
          <w:szCs w:val="20"/>
          <w:lang w:val="fr-LU"/>
        </w:rPr>
        <w:t>) 235 ff.</w:t>
      </w:r>
    </w:p>
  </w:footnote>
  <w:footnote w:id="163">
    <w:p w14:paraId="7BE77AF8" w14:textId="147530E2" w:rsidR="0089313D" w:rsidRPr="006379C3" w:rsidRDefault="0089313D" w:rsidP="00DE2EDF">
      <w:pPr>
        <w:pStyle w:val="FootnoteText"/>
        <w:spacing w:line="276" w:lineRule="auto"/>
        <w:rPr>
          <w:sz w:val="20"/>
        </w:rPr>
      </w:pPr>
      <w:r w:rsidRPr="006F0999">
        <w:rPr>
          <w:rStyle w:val="FootnoteReference"/>
          <w:sz w:val="20"/>
          <w:szCs w:val="20"/>
        </w:rPr>
        <w:footnoteRef/>
      </w:r>
      <w:r w:rsidRPr="006F0999">
        <w:rPr>
          <w:sz w:val="20"/>
          <w:szCs w:val="20"/>
          <w:lang w:val="fr-FR"/>
        </w:rPr>
        <w:t xml:space="preserve"> Spain: Pierre Bon, ‘Constitution et administration en Espagne’ (1993) AEAP 17 ff; Pierre Bon, ‘La constitutionnalisation du droit espagnol’ (n </w:t>
      </w:r>
      <w:r w:rsidRPr="006F0999">
        <w:rPr>
          <w:sz w:val="20"/>
          <w:szCs w:val="20"/>
        </w:rPr>
        <w:fldChar w:fldCharType="begin"/>
      </w:r>
      <w:r w:rsidRPr="006F0999">
        <w:rPr>
          <w:sz w:val="20"/>
          <w:szCs w:val="20"/>
          <w:lang w:val="fr-FR"/>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fr-FR"/>
        </w:rPr>
        <w:t>121</w:t>
      </w:r>
      <w:r w:rsidRPr="006F0999">
        <w:rPr>
          <w:sz w:val="20"/>
          <w:szCs w:val="20"/>
        </w:rPr>
        <w:fldChar w:fldCharType="end"/>
      </w:r>
      <w:r w:rsidRPr="006F0999">
        <w:rPr>
          <w:sz w:val="20"/>
          <w:szCs w:val="20"/>
          <w:lang w:val="fr-FR"/>
        </w:rPr>
        <w:t xml:space="preserve">) 34 ff. Poland, see Andrzej Wróbel, ‘Polen’ (n </w:t>
      </w:r>
      <w:r w:rsidRPr="006F0999">
        <w:rPr>
          <w:sz w:val="20"/>
          <w:szCs w:val="20"/>
        </w:rPr>
        <w:fldChar w:fldCharType="begin"/>
      </w:r>
      <w:r w:rsidRPr="006F0999">
        <w:rPr>
          <w:sz w:val="20"/>
          <w:szCs w:val="20"/>
          <w:lang w:val="fr-FR"/>
        </w:rPr>
        <w:instrText xml:space="preserve"> NOTEREF _Ref401056135 \h  \* MERGEFORMAT </w:instrText>
      </w:r>
      <w:r w:rsidRPr="006F0999">
        <w:rPr>
          <w:sz w:val="20"/>
          <w:szCs w:val="20"/>
        </w:rPr>
      </w:r>
      <w:r w:rsidRPr="006F0999">
        <w:rPr>
          <w:sz w:val="20"/>
          <w:szCs w:val="20"/>
        </w:rPr>
        <w:fldChar w:fldCharType="separate"/>
      </w:r>
      <w:r w:rsidRPr="006F0999">
        <w:rPr>
          <w:sz w:val="20"/>
          <w:szCs w:val="20"/>
          <w:lang w:val="fr-FR"/>
        </w:rPr>
        <w:t>37</w:t>
      </w:r>
      <w:r w:rsidRPr="006F0999">
        <w:rPr>
          <w:sz w:val="20"/>
          <w:szCs w:val="20"/>
        </w:rPr>
        <w:fldChar w:fldCharType="end"/>
      </w:r>
      <w:r w:rsidRPr="006F0999">
        <w:rPr>
          <w:sz w:val="20"/>
          <w:szCs w:val="20"/>
          <w:lang w:val="fr-FR"/>
        </w:rPr>
        <w:t>) 268</w:t>
      </w:r>
      <w:r w:rsidR="00741C1F">
        <w:rPr>
          <w:sz w:val="20"/>
          <w:szCs w:val="20"/>
          <w:lang w:val="fr-FR"/>
        </w:rPr>
        <w:t>–9</w:t>
      </w:r>
      <w:r w:rsidRPr="006F0999">
        <w:rPr>
          <w:sz w:val="20"/>
          <w:szCs w:val="20"/>
          <w:lang w:val="fr-FR"/>
        </w:rPr>
        <w:t>,</w:t>
      </w:r>
      <w:r w:rsidR="00741C1F">
        <w:rPr>
          <w:sz w:val="20"/>
          <w:szCs w:val="20"/>
          <w:lang w:val="fr-FR"/>
        </w:rPr>
        <w:t xml:space="preserve"> 270–1.</w:t>
      </w:r>
      <w:r w:rsidRPr="006F0999">
        <w:rPr>
          <w:sz w:val="20"/>
          <w:szCs w:val="20"/>
          <w:lang w:val="fr-FR"/>
        </w:rPr>
        <w:t xml:space="preserve"> </w:t>
      </w:r>
      <w:r w:rsidRPr="006379C3">
        <w:rPr>
          <w:sz w:val="20"/>
        </w:rPr>
        <w:t xml:space="preserve">For Switzerland, see Benjamin Schindler, ‘Switzerland’, </w:t>
      </w:r>
      <w:r w:rsidRPr="006379C3">
        <w:rPr>
          <w:i/>
          <w:sz w:val="20"/>
        </w:rPr>
        <w:t>in this volume</w:t>
      </w:r>
      <w:r w:rsidRPr="00AF0474">
        <w:rPr>
          <w:i/>
          <w:sz w:val="20"/>
        </w:rPr>
        <w:t xml:space="preserve">, </w:t>
      </w:r>
      <w:r w:rsidRPr="006379C3">
        <w:rPr>
          <w:sz w:val="20"/>
          <w:highlight w:val="yellow"/>
        </w:rPr>
        <w:t>XXX, XXX (mn 15)</w:t>
      </w:r>
      <w:r w:rsidRPr="006379C3">
        <w:rPr>
          <w:sz w:val="20"/>
        </w:rPr>
        <w:t xml:space="preserve"> and Stephan Breitenmoser</w:t>
      </w:r>
      <w:r w:rsidR="00741C1F">
        <w:rPr>
          <w:sz w:val="20"/>
        </w:rPr>
        <w:t>,</w:t>
      </w:r>
      <w:r w:rsidRPr="00EB3284">
        <w:rPr>
          <w:sz w:val="20"/>
          <w:szCs w:val="20"/>
        </w:rPr>
        <w:t xml:space="preserve"> </w:t>
      </w:r>
      <w:r w:rsidRPr="00AF0474">
        <w:rPr>
          <w:sz w:val="20"/>
          <w:szCs w:val="20"/>
        </w:rPr>
        <w:t>‘</w:t>
      </w:r>
      <w:r w:rsidRPr="006379C3">
        <w:rPr>
          <w:sz w:val="20"/>
        </w:rPr>
        <w:t xml:space="preserve">The Constitutionalization in Swiss Law’ (n </w:t>
      </w:r>
      <w:r w:rsidRPr="006F0999">
        <w:rPr>
          <w:sz w:val="20"/>
          <w:szCs w:val="20"/>
        </w:rPr>
        <w:fldChar w:fldCharType="begin"/>
      </w:r>
      <w:r w:rsidRPr="006379C3">
        <w:rPr>
          <w:sz w:val="20"/>
        </w:rPr>
        <w:instrText xml:space="preserve"> NOTEREF _Ref401051488 \h  \* MERGEFORMAT </w:instrText>
      </w:r>
      <w:r w:rsidRPr="006F0999">
        <w:rPr>
          <w:sz w:val="20"/>
          <w:szCs w:val="20"/>
        </w:rPr>
      </w:r>
      <w:r w:rsidRPr="006F0999">
        <w:rPr>
          <w:sz w:val="20"/>
          <w:szCs w:val="20"/>
        </w:rPr>
        <w:fldChar w:fldCharType="separate"/>
      </w:r>
      <w:r w:rsidRPr="006379C3">
        <w:rPr>
          <w:sz w:val="20"/>
        </w:rPr>
        <w:t>121</w:t>
      </w:r>
      <w:r w:rsidRPr="006F0999">
        <w:rPr>
          <w:sz w:val="20"/>
          <w:szCs w:val="20"/>
        </w:rPr>
        <w:fldChar w:fldCharType="end"/>
      </w:r>
      <w:r w:rsidRPr="006379C3">
        <w:rPr>
          <w:sz w:val="20"/>
        </w:rPr>
        <w:t xml:space="preserve">) 127 ff. For Belgium, see Dominique Caccamisi and Gautier Pijcke, ‘La constitutionnalisation du </w:t>
      </w:r>
      <w:r w:rsidRPr="00AF0474">
        <w:rPr>
          <w:sz w:val="20"/>
          <w:szCs w:val="20"/>
        </w:rPr>
        <w:t>droit</w:t>
      </w:r>
      <w:r w:rsidRPr="006F0999">
        <w:rPr>
          <w:sz w:val="20"/>
          <w:szCs w:val="20"/>
        </w:rPr>
        <w:t>’</w:t>
      </w:r>
      <w:r w:rsidRPr="006379C3">
        <w:rPr>
          <w:sz w:val="20"/>
        </w:rPr>
        <w:t xml:space="preserve"> (n </w:t>
      </w:r>
      <w:r w:rsidRPr="006F0999">
        <w:rPr>
          <w:sz w:val="20"/>
          <w:szCs w:val="20"/>
        </w:rPr>
        <w:fldChar w:fldCharType="begin"/>
      </w:r>
      <w:r w:rsidRPr="006379C3">
        <w:rPr>
          <w:sz w:val="20"/>
        </w:rPr>
        <w:instrText xml:space="preserve"> NOTEREF _Ref401054324 \h  \* MERGEFORMAT </w:instrText>
      </w:r>
      <w:r w:rsidRPr="006F0999">
        <w:rPr>
          <w:sz w:val="20"/>
          <w:szCs w:val="20"/>
        </w:rPr>
      </w:r>
      <w:r w:rsidRPr="006F0999">
        <w:rPr>
          <w:sz w:val="20"/>
          <w:szCs w:val="20"/>
        </w:rPr>
        <w:fldChar w:fldCharType="separate"/>
      </w:r>
      <w:r w:rsidRPr="006379C3">
        <w:rPr>
          <w:sz w:val="20"/>
        </w:rPr>
        <w:t>64</w:t>
      </w:r>
      <w:r w:rsidRPr="006F0999">
        <w:rPr>
          <w:sz w:val="20"/>
          <w:szCs w:val="20"/>
        </w:rPr>
        <w:fldChar w:fldCharType="end"/>
      </w:r>
      <w:r w:rsidRPr="006379C3">
        <w:rPr>
          <w:sz w:val="20"/>
        </w:rPr>
        <w:t xml:space="preserve">) 441 ff. </w:t>
      </w:r>
    </w:p>
  </w:footnote>
  <w:footnote w:id="164">
    <w:p w14:paraId="7A657EE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Netherlands: van Bijsterveld (n 121) 347 ff. Italy (in the past): Bernardo G Mattarella, ‘Italien’ (n </w:t>
      </w:r>
      <w:r w:rsidRPr="006F0999">
        <w:rPr>
          <w:sz w:val="20"/>
          <w:szCs w:val="20"/>
        </w:rPr>
        <w:fldChar w:fldCharType="begin"/>
      </w:r>
      <w:r w:rsidRPr="006F0999">
        <w:rPr>
          <w:sz w:val="20"/>
          <w:szCs w:val="20"/>
        </w:rPr>
        <w:instrText xml:space="preserve"> NOTEREF _Ref457885741 \h  \* MERGEFORMAT </w:instrText>
      </w:r>
      <w:r w:rsidRPr="006F0999">
        <w:rPr>
          <w:sz w:val="20"/>
          <w:szCs w:val="20"/>
        </w:rPr>
      </w:r>
      <w:r w:rsidRPr="006F0999">
        <w:rPr>
          <w:sz w:val="20"/>
          <w:szCs w:val="20"/>
        </w:rPr>
        <w:fldChar w:fldCharType="separate"/>
      </w:r>
      <w:r w:rsidRPr="006F0999">
        <w:rPr>
          <w:sz w:val="20"/>
          <w:szCs w:val="20"/>
        </w:rPr>
        <w:t>159</w:t>
      </w:r>
      <w:r w:rsidRPr="006F0999">
        <w:rPr>
          <w:sz w:val="20"/>
          <w:szCs w:val="20"/>
        </w:rPr>
        <w:fldChar w:fldCharType="end"/>
      </w:r>
      <w:r w:rsidRPr="006F0999">
        <w:rPr>
          <w:sz w:val="20"/>
          <w:szCs w:val="20"/>
        </w:rPr>
        <w:t xml:space="preserve">) 165 f. The United Kingdom, according to Thomas Poole, ‘Großbritannien’ (n </w:t>
      </w:r>
      <w:r w:rsidRPr="006F0999">
        <w:rPr>
          <w:sz w:val="20"/>
          <w:szCs w:val="20"/>
        </w:rPr>
        <w:fldChar w:fldCharType="begin"/>
      </w:r>
      <w:r w:rsidRPr="006F0999">
        <w:rPr>
          <w:sz w:val="20"/>
          <w:szCs w:val="20"/>
        </w:rPr>
        <w:instrText xml:space="preserve"> NOTEREF _Ref457833794 \h  \* MERGEFORMAT </w:instrText>
      </w:r>
      <w:r w:rsidRPr="006F0999">
        <w:rPr>
          <w:sz w:val="20"/>
          <w:szCs w:val="20"/>
        </w:rPr>
      </w:r>
      <w:r w:rsidRPr="006F0999">
        <w:rPr>
          <w:sz w:val="20"/>
          <w:szCs w:val="20"/>
        </w:rPr>
        <w:fldChar w:fldCharType="separate"/>
      </w:r>
      <w:r w:rsidRPr="006F0999">
        <w:rPr>
          <w:sz w:val="20"/>
          <w:szCs w:val="20"/>
        </w:rPr>
        <w:t>70</w:t>
      </w:r>
      <w:r w:rsidRPr="006F0999">
        <w:rPr>
          <w:sz w:val="20"/>
          <w:szCs w:val="20"/>
        </w:rPr>
        <w:fldChar w:fldCharType="end"/>
      </w:r>
      <w:r w:rsidRPr="006F0999">
        <w:rPr>
          <w:sz w:val="20"/>
          <w:szCs w:val="20"/>
        </w:rPr>
        <w:t>) 147, it is too early to estimate the impact of constitutionalization in the United Kingdom.</w:t>
      </w:r>
    </w:p>
  </w:footnote>
  <w:footnote w:id="165">
    <w:p w14:paraId="22C2DCE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Gunnar Folke Schuppert and Christian Bumke, </w:t>
      </w:r>
      <w:r w:rsidRPr="006F0999">
        <w:rPr>
          <w:i/>
          <w:sz w:val="20"/>
          <w:szCs w:val="20"/>
        </w:rPr>
        <w:t>Die Konstitutionalisierung der Rechtsordnung</w:t>
      </w:r>
      <w:r w:rsidRPr="006F0999">
        <w:rPr>
          <w:sz w:val="20"/>
          <w:szCs w:val="20"/>
        </w:rPr>
        <w:t xml:space="preserve"> (n </w:t>
      </w:r>
      <w:r w:rsidRPr="006F0999">
        <w:rPr>
          <w:sz w:val="20"/>
          <w:szCs w:val="20"/>
        </w:rPr>
        <w:fldChar w:fldCharType="begin"/>
      </w:r>
      <w:r w:rsidRPr="006F0999">
        <w:rPr>
          <w:sz w:val="20"/>
          <w:szCs w:val="20"/>
        </w:rPr>
        <w:instrText xml:space="preserve"> NOTEREF _Ref401051488 \h  \* MERGEFORMAT </w:instrText>
      </w:r>
      <w:r w:rsidRPr="006F0999">
        <w:rPr>
          <w:sz w:val="20"/>
          <w:szCs w:val="20"/>
        </w:rPr>
      </w:r>
      <w:r w:rsidRPr="006F0999">
        <w:rPr>
          <w:sz w:val="20"/>
          <w:szCs w:val="20"/>
        </w:rPr>
        <w:fldChar w:fldCharType="separate"/>
      </w:r>
      <w:r w:rsidRPr="006F0999">
        <w:rPr>
          <w:sz w:val="20"/>
          <w:szCs w:val="20"/>
        </w:rPr>
        <w:t>121</w:t>
      </w:r>
      <w:r w:rsidRPr="006F0999">
        <w:rPr>
          <w:sz w:val="20"/>
          <w:szCs w:val="20"/>
        </w:rPr>
        <w:fldChar w:fldCharType="end"/>
      </w:r>
      <w:r w:rsidRPr="006F0999">
        <w:rPr>
          <w:sz w:val="20"/>
          <w:szCs w:val="20"/>
        </w:rPr>
        <w:t xml:space="preserve">) 9 ff; Louis Favoreu and others, </w:t>
      </w:r>
      <w:r w:rsidRPr="006F0999">
        <w:rPr>
          <w:i/>
          <w:sz w:val="20"/>
          <w:szCs w:val="20"/>
        </w:rPr>
        <w:t>Droit constitutionnel</w:t>
      </w:r>
      <w:r w:rsidRPr="006F0999">
        <w:rPr>
          <w:sz w:val="20"/>
          <w:szCs w:val="20"/>
        </w:rPr>
        <w:t xml:space="preserve"> (16th edn, Dalloz, Paris, 2013) 488 ff; Guastini (n </w:t>
      </w:r>
      <w:r w:rsidRPr="006F0999">
        <w:rPr>
          <w:sz w:val="20"/>
          <w:szCs w:val="20"/>
        </w:rPr>
        <w:fldChar w:fldCharType="begin"/>
      </w:r>
      <w:r w:rsidRPr="006F0999">
        <w:rPr>
          <w:sz w:val="20"/>
          <w:szCs w:val="20"/>
        </w:rPr>
        <w:instrText xml:space="preserve"> NOTEREF _Ref401051488 \h  \* MERGEFORMAT </w:instrText>
      </w:r>
      <w:r w:rsidRPr="006F0999">
        <w:rPr>
          <w:sz w:val="20"/>
          <w:szCs w:val="20"/>
        </w:rPr>
      </w:r>
      <w:r w:rsidRPr="006F0999">
        <w:rPr>
          <w:sz w:val="20"/>
          <w:szCs w:val="20"/>
        </w:rPr>
        <w:fldChar w:fldCharType="separate"/>
      </w:r>
      <w:r w:rsidRPr="006F0999">
        <w:rPr>
          <w:sz w:val="20"/>
          <w:szCs w:val="20"/>
        </w:rPr>
        <w:t>121</w:t>
      </w:r>
      <w:r w:rsidRPr="006F0999">
        <w:rPr>
          <w:sz w:val="20"/>
          <w:szCs w:val="20"/>
        </w:rPr>
        <w:fldChar w:fldCharType="end"/>
      </w:r>
      <w:r w:rsidRPr="006F0999">
        <w:rPr>
          <w:sz w:val="20"/>
          <w:szCs w:val="20"/>
        </w:rPr>
        <w:t xml:space="preserve">) 449 ff. See for a very fast pace in Spain, Pierre Bon, ‘La constitutionnalisation du droit espagnol’ (n </w:t>
      </w:r>
      <w:r w:rsidRPr="006F0999">
        <w:rPr>
          <w:sz w:val="20"/>
          <w:szCs w:val="20"/>
        </w:rPr>
        <w:fldChar w:fldCharType="begin"/>
      </w:r>
      <w:r w:rsidRPr="006F0999">
        <w:rPr>
          <w:sz w:val="20"/>
          <w:szCs w:val="20"/>
        </w:rPr>
        <w:instrText xml:space="preserve"> NOTEREF _Ref401051488 \h  \* MERGEFORMAT </w:instrText>
      </w:r>
      <w:r w:rsidRPr="006F0999">
        <w:rPr>
          <w:sz w:val="20"/>
          <w:szCs w:val="20"/>
        </w:rPr>
      </w:r>
      <w:r w:rsidRPr="006F0999">
        <w:rPr>
          <w:sz w:val="20"/>
          <w:szCs w:val="20"/>
        </w:rPr>
        <w:fldChar w:fldCharType="separate"/>
      </w:r>
      <w:r w:rsidRPr="006F0999">
        <w:rPr>
          <w:sz w:val="20"/>
          <w:szCs w:val="20"/>
        </w:rPr>
        <w:t>121</w:t>
      </w:r>
      <w:r w:rsidRPr="006F0999">
        <w:rPr>
          <w:sz w:val="20"/>
          <w:szCs w:val="20"/>
        </w:rPr>
        <w:fldChar w:fldCharType="end"/>
      </w:r>
      <w:r w:rsidRPr="006F0999">
        <w:rPr>
          <w:sz w:val="20"/>
          <w:szCs w:val="20"/>
        </w:rPr>
        <w:t xml:space="preserve">) 34 ff. In Italy, however, the implementation of the 1947 Constitution proceeded only slowly. </w:t>
      </w:r>
    </w:p>
  </w:footnote>
  <w:footnote w:id="166">
    <w:p w14:paraId="28A17A89" w14:textId="578FAE95"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some—not always convincing—attempts, see Albert Lanza, </w:t>
      </w:r>
      <w:r w:rsidRPr="006F0999">
        <w:rPr>
          <w:i/>
          <w:sz w:val="20"/>
          <w:szCs w:val="20"/>
        </w:rPr>
        <w:t>L’expression constitutionnelle de l</w:t>
      </w:r>
      <w:r w:rsidRPr="0051007D">
        <w:rPr>
          <w:i/>
          <w:sz w:val="20"/>
          <w:szCs w:val="20"/>
        </w:rPr>
        <w:t>’</w:t>
      </w:r>
      <w:r w:rsidRPr="006F0999">
        <w:rPr>
          <w:i/>
          <w:sz w:val="20"/>
          <w:szCs w:val="20"/>
        </w:rPr>
        <w:t>administration française</w:t>
      </w:r>
      <w:r w:rsidRPr="006F0999">
        <w:rPr>
          <w:sz w:val="20"/>
          <w:szCs w:val="20"/>
        </w:rPr>
        <w:t xml:space="preserve"> (LGDJ, Paris, 1984) 63 ff, or Katharina Sobota, </w:t>
      </w:r>
      <w:r w:rsidRPr="006F0999">
        <w:rPr>
          <w:i/>
          <w:sz w:val="20"/>
          <w:szCs w:val="20"/>
        </w:rPr>
        <w:t>Das Prinzip Rechtsstaat</w:t>
      </w:r>
      <w:r w:rsidRPr="006F0999">
        <w:rPr>
          <w:sz w:val="20"/>
          <w:szCs w:val="20"/>
        </w:rPr>
        <w:t xml:space="preserve"> (Mohr, Tübingen, 1997).</w:t>
      </w:r>
    </w:p>
  </w:footnote>
  <w:footnote w:id="167">
    <w:p w14:paraId="55E6B3D5"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Luc Heuschling, ‘La Constitution formelle’</w:t>
      </w:r>
      <w:r w:rsidRPr="006F0999">
        <w:rPr>
          <w:i/>
          <w:sz w:val="20"/>
          <w:szCs w:val="20"/>
          <w:lang w:val="fr-FR"/>
        </w:rPr>
        <w:t xml:space="preserve"> </w:t>
      </w:r>
      <w:r w:rsidRPr="006F0999">
        <w:rPr>
          <w:sz w:val="20"/>
          <w:szCs w:val="20"/>
          <w:lang w:val="fr-FR"/>
        </w:rPr>
        <w:t xml:space="preserve">(n </w:t>
      </w:r>
      <w:r w:rsidRPr="006F0999">
        <w:rPr>
          <w:sz w:val="20"/>
          <w:szCs w:val="20"/>
        </w:rPr>
        <w:fldChar w:fldCharType="begin"/>
      </w:r>
      <w:r w:rsidRPr="006F0999">
        <w:rPr>
          <w:sz w:val="20"/>
          <w:szCs w:val="20"/>
          <w:lang w:val="fr-FR"/>
        </w:rPr>
        <w:instrText xml:space="preserve"> NOTEREF _Ref401055775 \h  \* MERGEFORMAT </w:instrText>
      </w:r>
      <w:r w:rsidRPr="006F0999">
        <w:rPr>
          <w:sz w:val="20"/>
          <w:szCs w:val="20"/>
        </w:rPr>
      </w:r>
      <w:r w:rsidRPr="006F0999">
        <w:rPr>
          <w:sz w:val="20"/>
          <w:szCs w:val="20"/>
        </w:rPr>
        <w:fldChar w:fldCharType="separate"/>
      </w:r>
      <w:r w:rsidRPr="006F0999">
        <w:rPr>
          <w:sz w:val="20"/>
          <w:szCs w:val="20"/>
          <w:lang w:val="fr-FR"/>
        </w:rPr>
        <w:t>55</w:t>
      </w:r>
      <w:r w:rsidRPr="006F0999">
        <w:rPr>
          <w:sz w:val="20"/>
          <w:szCs w:val="20"/>
        </w:rPr>
        <w:fldChar w:fldCharType="end"/>
      </w:r>
      <w:r w:rsidRPr="006F0999">
        <w:rPr>
          <w:sz w:val="20"/>
          <w:szCs w:val="20"/>
          <w:lang w:val="fr-FR"/>
        </w:rPr>
        <w:t>).</w:t>
      </w:r>
    </w:p>
  </w:footnote>
  <w:footnote w:id="168">
    <w:p w14:paraId="0E8DD8F6"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Luc Heuschling, ‘La Constitution formelle’</w:t>
      </w:r>
      <w:r w:rsidRPr="006F0999">
        <w:rPr>
          <w:i/>
          <w:sz w:val="20"/>
          <w:szCs w:val="20"/>
          <w:lang w:val="fr-FR"/>
        </w:rPr>
        <w:t xml:space="preserve"> </w:t>
      </w:r>
      <w:r w:rsidRPr="006F0999">
        <w:rPr>
          <w:sz w:val="20"/>
          <w:szCs w:val="20"/>
          <w:lang w:val="fr-FR"/>
        </w:rPr>
        <w:t xml:space="preserve">(n </w:t>
      </w:r>
      <w:r w:rsidRPr="006F0999">
        <w:rPr>
          <w:sz w:val="20"/>
          <w:szCs w:val="20"/>
        </w:rPr>
        <w:fldChar w:fldCharType="begin"/>
      </w:r>
      <w:r w:rsidRPr="006F0999">
        <w:rPr>
          <w:sz w:val="20"/>
          <w:szCs w:val="20"/>
          <w:lang w:val="fr-FR"/>
        </w:rPr>
        <w:instrText xml:space="preserve"> NOTEREF _Ref401055775 \h  \* MERGEFORMAT </w:instrText>
      </w:r>
      <w:r w:rsidRPr="006F0999">
        <w:rPr>
          <w:sz w:val="20"/>
          <w:szCs w:val="20"/>
        </w:rPr>
      </w:r>
      <w:r w:rsidRPr="006F0999">
        <w:rPr>
          <w:sz w:val="20"/>
          <w:szCs w:val="20"/>
        </w:rPr>
        <w:fldChar w:fldCharType="separate"/>
      </w:r>
      <w:r w:rsidRPr="006F0999">
        <w:rPr>
          <w:sz w:val="20"/>
          <w:szCs w:val="20"/>
          <w:lang w:val="fr-FR"/>
        </w:rPr>
        <w:t>55</w:t>
      </w:r>
      <w:r w:rsidRPr="006F0999">
        <w:rPr>
          <w:sz w:val="20"/>
          <w:szCs w:val="20"/>
        </w:rPr>
        <w:fldChar w:fldCharType="end"/>
      </w:r>
      <w:r w:rsidRPr="006F0999">
        <w:rPr>
          <w:sz w:val="20"/>
          <w:szCs w:val="20"/>
          <w:lang w:val="fr-FR"/>
        </w:rPr>
        <w:t>) 27.</w:t>
      </w:r>
    </w:p>
  </w:footnote>
  <w:footnote w:id="169">
    <w:p w14:paraId="72C8FC0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for example, the extremely concise provisions of the Austrian 1920 </w:t>
      </w:r>
      <w:r w:rsidRPr="006F0999">
        <w:rPr>
          <w:i/>
          <w:sz w:val="20"/>
          <w:szCs w:val="20"/>
        </w:rPr>
        <w:t>Bundes-Verfassungsgesetz</w:t>
      </w:r>
      <w:r w:rsidRPr="006F0999">
        <w:rPr>
          <w:sz w:val="20"/>
          <w:szCs w:val="20"/>
        </w:rPr>
        <w:t xml:space="preserve"> in its current version, on administrative school authorities (title III A ‘Administration’, art 81a and 81b, which are composed of more than 700 words). </w:t>
      </w:r>
    </w:p>
  </w:footnote>
  <w:footnote w:id="170">
    <w:p w14:paraId="23798E42"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Pierre Bon, ‘Constitution de 1958 et droit administratif’ (1993) 144 Les petites affiches 4 ff.</w:t>
      </w:r>
    </w:p>
  </w:footnote>
  <w:footnote w:id="171">
    <w:p w14:paraId="09533B3E"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Sabino Cassese, ‘Constitution et administration en Italie’ (1993) AEAP 55.</w:t>
      </w:r>
    </w:p>
  </w:footnote>
  <w:footnote w:id="172">
    <w:p w14:paraId="59147504"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Several recent Constitutions are particularly representative of this trend. Amongst them, the best example is Portugal (Constitution 1976; see especially, part III, titles 8, 9 and 10 dedicated to ‘Local Government’, ‘Public Administration’ and ‘National Defense’). See also the current version of the Constitutions of Spain (Const. 1978, esp. title IV ‘Government and Administration’), Greece (Constitution 1975 part III section F: ‘Administration’), Sweden (Instrument of Government 1974, chapter 12: ‘Administration’), Belgium, Slovenia (Constitution 1991, part IV and V), Finland (Constitution 1999, chapter VII: ‘State finances’, chapter XI: ‘Administration and Self-government’), Switzerland (Constitution 1999, title V, chapter 3), Romania (Constitution 1991, title III, chapter 5: ‘Public Administration’, and title IV: ‘Economy and Public Finances’), etc. </w:t>
      </w:r>
      <w:r w:rsidRPr="006F0999">
        <w:rPr>
          <w:sz w:val="20"/>
          <w:szCs w:val="20"/>
          <w:lang w:val="fr-FR"/>
        </w:rPr>
        <w:t xml:space="preserve">See Jacques Ziller, ‘L’administration’ (n </w:t>
      </w:r>
      <w:r w:rsidRPr="006F0999">
        <w:rPr>
          <w:sz w:val="20"/>
          <w:szCs w:val="20"/>
        </w:rPr>
        <w:fldChar w:fldCharType="begin"/>
      </w:r>
      <w:r w:rsidRPr="006F0999">
        <w:rPr>
          <w:sz w:val="20"/>
          <w:szCs w:val="20"/>
          <w:lang w:val="fr-FR"/>
        </w:rPr>
        <w:instrText xml:space="preserve"> NOTEREF _Ref401130542 \h  \* MERGEFORMAT </w:instrText>
      </w:r>
      <w:r w:rsidRPr="006F0999">
        <w:rPr>
          <w:sz w:val="20"/>
          <w:szCs w:val="20"/>
        </w:rPr>
      </w:r>
      <w:r w:rsidRPr="006F0999">
        <w:rPr>
          <w:sz w:val="20"/>
          <w:szCs w:val="20"/>
        </w:rPr>
        <w:fldChar w:fldCharType="separate"/>
      </w:r>
      <w:r w:rsidRPr="006F0999">
        <w:rPr>
          <w:sz w:val="20"/>
          <w:szCs w:val="20"/>
          <w:lang w:val="fr-FR"/>
        </w:rPr>
        <w:t>123</w:t>
      </w:r>
      <w:r w:rsidRPr="006F0999">
        <w:rPr>
          <w:sz w:val="20"/>
          <w:szCs w:val="20"/>
        </w:rPr>
        <w:fldChar w:fldCharType="end"/>
      </w:r>
      <w:r w:rsidRPr="006F0999">
        <w:rPr>
          <w:sz w:val="20"/>
          <w:szCs w:val="20"/>
          <w:lang w:val="fr-FR"/>
        </w:rPr>
        <w:t>); Pierre Bon, ‘Constitution et administration en Espagne’ (</w:t>
      </w:r>
      <w:r>
        <w:rPr>
          <w:sz w:val="20"/>
          <w:szCs w:val="20"/>
          <w:lang w:val="fr-FR"/>
        </w:rPr>
        <w:t>n 161)</w:t>
      </w:r>
      <w:r w:rsidRPr="006F0999">
        <w:rPr>
          <w:sz w:val="20"/>
          <w:szCs w:val="20"/>
          <w:lang w:val="fr-FR"/>
        </w:rPr>
        <w:t xml:space="preserve"> 17 ff; Francis Delpérée, ‘Constitution et administration en Belgique’ (1993) AEAP 119 ff.</w:t>
      </w:r>
    </w:p>
  </w:footnote>
  <w:footnote w:id="173">
    <w:p w14:paraId="00D9FCD7" w14:textId="05BBCCB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the French Revolution, see the 1791 Constitution and Albert Lanza, </w:t>
      </w:r>
      <w:r w:rsidRPr="006F0999">
        <w:rPr>
          <w:i/>
          <w:sz w:val="20"/>
          <w:szCs w:val="20"/>
        </w:rPr>
        <w:t>L’expression constitutionnelle de l</w:t>
      </w:r>
      <w:r w:rsidRPr="0051007D">
        <w:rPr>
          <w:i/>
          <w:sz w:val="20"/>
          <w:szCs w:val="20"/>
        </w:rPr>
        <w:t>’</w:t>
      </w:r>
      <w:r w:rsidRPr="006F0999">
        <w:rPr>
          <w:i/>
          <w:sz w:val="20"/>
          <w:szCs w:val="20"/>
        </w:rPr>
        <w:t>administration française</w:t>
      </w:r>
      <w:r w:rsidRPr="006F0999">
        <w:rPr>
          <w:sz w:val="20"/>
          <w:szCs w:val="20"/>
        </w:rPr>
        <w:t xml:space="preserve"> (n </w:t>
      </w:r>
      <w:r w:rsidRPr="006F0999">
        <w:rPr>
          <w:sz w:val="20"/>
          <w:szCs w:val="20"/>
        </w:rPr>
        <w:fldChar w:fldCharType="begin"/>
      </w:r>
      <w:r w:rsidRPr="006F0999">
        <w:rPr>
          <w:sz w:val="20"/>
          <w:szCs w:val="20"/>
        </w:rPr>
        <w:instrText xml:space="preserve"> NOTEREF _Ref457852984 \h  \* MERGEFORMAT </w:instrText>
      </w:r>
      <w:r w:rsidRPr="006F0999">
        <w:rPr>
          <w:sz w:val="20"/>
          <w:szCs w:val="20"/>
        </w:rPr>
      </w:r>
      <w:r w:rsidRPr="006F0999">
        <w:rPr>
          <w:sz w:val="20"/>
          <w:szCs w:val="20"/>
        </w:rPr>
        <w:fldChar w:fldCharType="separate"/>
      </w:r>
      <w:r w:rsidRPr="006F0999">
        <w:rPr>
          <w:sz w:val="20"/>
          <w:szCs w:val="20"/>
        </w:rPr>
        <w:t>164</w:t>
      </w:r>
      <w:r w:rsidRPr="006F0999">
        <w:rPr>
          <w:sz w:val="20"/>
          <w:szCs w:val="20"/>
        </w:rPr>
        <w:fldChar w:fldCharType="end"/>
      </w:r>
      <w:r w:rsidRPr="006F0999">
        <w:rPr>
          <w:sz w:val="20"/>
          <w:szCs w:val="20"/>
        </w:rPr>
        <w:t>) 63 ff.</w:t>
      </w:r>
    </w:p>
  </w:footnote>
  <w:footnote w:id="174">
    <w:p w14:paraId="45C5642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Any intervention of the Federal level must be based on a constitutional norm. See the Swiss Federal Constitution of 1999, art 3 (‘The Cantons are sovereign except to the extent that their sovereignty is limited by the Federal Constitution. They exercise all rights that are not vested in the Confederation’) and art 42 (‘The Confederation shall fulfill the duties that are assigned to it by the Federal Constitution’).</w:t>
      </w:r>
    </w:p>
  </w:footnote>
  <w:footnote w:id="175">
    <w:p w14:paraId="40A0E24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France (since 1971), Sweden (since 1974/1976/1979), United Kingdom (since the Human Rights Act 1998 which came into force in 2000), as well as all the countries of the former Eastern bloc since the fall of the Berlin Wall.</w:t>
      </w:r>
    </w:p>
  </w:footnote>
  <w:footnote w:id="176">
    <w:p w14:paraId="77165BA4"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Sweden, </w:t>
      </w:r>
      <w:r w:rsidRPr="003B5F6B">
        <w:rPr>
          <w:sz w:val="20"/>
          <w:szCs w:val="20"/>
        </w:rPr>
        <w:t xml:space="preserve">see D. </w:t>
      </w:r>
      <w:r>
        <w:rPr>
          <w:sz w:val="20"/>
          <w:szCs w:val="20"/>
        </w:rPr>
        <w:t>1</w:t>
      </w:r>
      <w:r w:rsidRPr="003B5F6B">
        <w:rPr>
          <w:sz w:val="20"/>
          <w:szCs w:val="20"/>
        </w:rPr>
        <w:t>. a). On</w:t>
      </w:r>
      <w:r w:rsidRPr="006F0999">
        <w:rPr>
          <w:sz w:val="20"/>
          <w:szCs w:val="20"/>
        </w:rPr>
        <w:t xml:space="preserve"> the Dutch constitutional culture, see Willem Konijnenbelt, ‘Constitution et administration aux Pays-Bas’ (1993) AEAP 193 ff. As shown before, the traditional British legal culture, which was rather hostile to abstract declarations, is undergoing a major change since the end of </w:t>
      </w:r>
      <w:r>
        <w:rPr>
          <w:sz w:val="20"/>
          <w:szCs w:val="20"/>
        </w:rPr>
        <w:t xml:space="preserve">the </w:t>
      </w:r>
      <w:r w:rsidRPr="006F0999">
        <w:rPr>
          <w:sz w:val="20"/>
          <w:szCs w:val="20"/>
        </w:rPr>
        <w:t>twentieth century.</w:t>
      </w:r>
    </w:p>
  </w:footnote>
  <w:footnote w:id="177">
    <w:p w14:paraId="2FC6A135"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Georg Jellinek, </w:t>
      </w:r>
      <w:r w:rsidRPr="006F0999">
        <w:rPr>
          <w:i/>
          <w:sz w:val="20"/>
          <w:szCs w:val="20"/>
          <w:lang w:val="de-DE"/>
        </w:rPr>
        <w:t>Allgemeine Staatslehre</w:t>
      </w:r>
      <w:r w:rsidRPr="006F0999">
        <w:rPr>
          <w:sz w:val="20"/>
          <w:szCs w:val="20"/>
          <w:lang w:val="de-DE"/>
        </w:rPr>
        <w:t xml:space="preserve"> (3rd edn, Springer, Heidelberg, 1914) 332.</w:t>
      </w:r>
    </w:p>
  </w:footnote>
  <w:footnote w:id="178">
    <w:p w14:paraId="72234731" w14:textId="44B931BE"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See, for example, the sharp contrast in the contemporary English administrative law doctrine between, on the one hand, Craig’s openness to broad theoretical assumptions, Paul Craig, </w:t>
      </w:r>
      <w:r w:rsidRPr="006F0999">
        <w:rPr>
          <w:i/>
          <w:sz w:val="20"/>
          <w:szCs w:val="20"/>
        </w:rPr>
        <w:t xml:space="preserve">Administrative Law </w:t>
      </w:r>
      <w:r w:rsidRPr="006F0999">
        <w:rPr>
          <w:sz w:val="20"/>
          <w:szCs w:val="20"/>
        </w:rPr>
        <w:t xml:space="preserve">(n 17) 3 ff and, on the other, Wade and Forsyth’s hostility to theory, see William Wade and Christopher F Forsyth, </w:t>
      </w:r>
      <w:r w:rsidRPr="006F0999">
        <w:rPr>
          <w:i/>
          <w:sz w:val="20"/>
          <w:szCs w:val="20"/>
        </w:rPr>
        <w:t>Administrative Law</w:t>
      </w:r>
      <w:r w:rsidRPr="006F0999">
        <w:rPr>
          <w:sz w:val="20"/>
          <w:szCs w:val="20"/>
        </w:rPr>
        <w:t xml:space="preserve"> (n </w:t>
      </w:r>
      <w:r w:rsidRPr="006F0999">
        <w:rPr>
          <w:sz w:val="20"/>
          <w:szCs w:val="20"/>
        </w:rPr>
        <w:fldChar w:fldCharType="begin"/>
      </w:r>
      <w:r w:rsidRPr="006F0999">
        <w:rPr>
          <w:sz w:val="20"/>
          <w:szCs w:val="20"/>
        </w:rPr>
        <w:instrText xml:space="preserve"> NOTEREF _Ref401127278 \h  \* MERGEFORMAT </w:instrText>
      </w:r>
      <w:r w:rsidRPr="006F0999">
        <w:rPr>
          <w:sz w:val="20"/>
          <w:szCs w:val="20"/>
        </w:rPr>
      </w:r>
      <w:r w:rsidRPr="006F0999">
        <w:rPr>
          <w:sz w:val="20"/>
          <w:szCs w:val="20"/>
        </w:rPr>
        <w:fldChar w:fldCharType="separate"/>
      </w:r>
      <w:r w:rsidRPr="006F0999">
        <w:rPr>
          <w:sz w:val="20"/>
          <w:szCs w:val="20"/>
        </w:rPr>
        <w:t>14</w:t>
      </w:r>
      <w:r w:rsidRPr="006F0999">
        <w:rPr>
          <w:sz w:val="20"/>
          <w:szCs w:val="20"/>
        </w:rPr>
        <w:fldChar w:fldCharType="end"/>
      </w:r>
      <w:r w:rsidRPr="006F0999">
        <w:rPr>
          <w:sz w:val="20"/>
          <w:szCs w:val="20"/>
        </w:rPr>
        <w:t xml:space="preserve">) 8 f. On the relationship between constitutional law dogmatics and constitutional theory, see Matthias Jestaedt, </w:t>
      </w:r>
      <w:r w:rsidRPr="006F0999">
        <w:rPr>
          <w:i/>
          <w:sz w:val="20"/>
          <w:szCs w:val="20"/>
        </w:rPr>
        <w:t>Die Verfassung hinter der Verfassung: Eine Standortbestimmung der Verfassungstheorie</w:t>
      </w:r>
      <w:r w:rsidRPr="006F0999">
        <w:rPr>
          <w:sz w:val="20"/>
          <w:szCs w:val="20"/>
        </w:rPr>
        <w:t xml:space="preserve"> (Schöningh, Paderborn, 2009); Luc Heuschling, ‘De l’intérêt de la théorie, de la théorie générale de l’Etat, de la théorie constitutionnelle. </w:t>
      </w:r>
      <w:r w:rsidRPr="006F0999">
        <w:rPr>
          <w:sz w:val="20"/>
          <w:szCs w:val="20"/>
          <w:lang w:val="fr-FR"/>
        </w:rPr>
        <w:t>A propos d’un livre récent de M. J</w:t>
      </w:r>
      <w:r w:rsidR="0041240A">
        <w:rPr>
          <w:sz w:val="20"/>
          <w:szCs w:val="20"/>
          <w:lang w:val="fr-FR"/>
        </w:rPr>
        <w:t>estaedt’ (2010) 5 Jus politicum</w:t>
      </w:r>
      <w:r w:rsidRPr="006F0999">
        <w:rPr>
          <w:sz w:val="20"/>
          <w:szCs w:val="20"/>
          <w:lang w:val="fr-FR"/>
        </w:rPr>
        <w:t>.</w:t>
      </w:r>
    </w:p>
  </w:footnote>
  <w:footnote w:id="179">
    <w:p w14:paraId="4E6F13F1"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See also Gunnar Folke Schuppert and Christian Bumke, </w:t>
      </w:r>
      <w:r w:rsidRPr="006F0999">
        <w:rPr>
          <w:i/>
          <w:sz w:val="20"/>
          <w:szCs w:val="20"/>
          <w:lang w:val="de-DE"/>
        </w:rPr>
        <w:t>Die Konstitutionalisierung der Rechtsordnung</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de-DE"/>
        </w:rPr>
        <w:t>121</w:t>
      </w:r>
      <w:r w:rsidRPr="006F0999">
        <w:rPr>
          <w:sz w:val="20"/>
          <w:szCs w:val="20"/>
        </w:rPr>
        <w:fldChar w:fldCharType="end"/>
      </w:r>
      <w:r w:rsidRPr="006F0999">
        <w:rPr>
          <w:sz w:val="20"/>
          <w:szCs w:val="20"/>
          <w:lang w:val="de-DE"/>
        </w:rPr>
        <w:t>) 32 ff.</w:t>
      </w:r>
    </w:p>
  </w:footnote>
  <w:footnote w:id="180">
    <w:p w14:paraId="165CE92F" w14:textId="7A1197DF"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The renaissance of natural law theories after World War Two played a key role in this context. </w:t>
      </w:r>
      <w:r w:rsidRPr="006F0999">
        <w:rPr>
          <w:sz w:val="20"/>
          <w:szCs w:val="20"/>
          <w:lang w:val="de-DE"/>
        </w:rPr>
        <w:t>For the German doctrine of ‘</w:t>
      </w:r>
      <w:r w:rsidRPr="006F0999">
        <w:rPr>
          <w:i/>
          <w:sz w:val="20"/>
          <w:szCs w:val="20"/>
          <w:lang w:val="de-DE"/>
        </w:rPr>
        <w:t>objektive Werteordnung</w:t>
      </w:r>
      <w:r w:rsidRPr="006F0999">
        <w:rPr>
          <w:sz w:val="20"/>
          <w:szCs w:val="20"/>
          <w:lang w:val="de-DE"/>
        </w:rPr>
        <w:t>’ (‘system of objective values’), see Ernst-Wolfgang Böckenförde, ‘Geschichtliche Entwicklung und Bedeutungswandel der Verfassung</w:t>
      </w:r>
      <w:r w:rsidR="00A955D1" w:rsidRPr="006B5A11">
        <w:rPr>
          <w:sz w:val="20"/>
          <w:szCs w:val="20"/>
          <w:lang w:val="de-DE"/>
        </w:rPr>
        <w:t>’</w:t>
      </w:r>
      <w:r w:rsidRPr="006F0999">
        <w:rPr>
          <w:sz w:val="20"/>
          <w:szCs w:val="20"/>
          <w:lang w:val="de-DE"/>
        </w:rPr>
        <w:t xml:space="preserve">, in Ernst-Wolfgang Böckenförde, </w:t>
      </w:r>
      <w:r w:rsidRPr="006F0999">
        <w:rPr>
          <w:i/>
          <w:sz w:val="20"/>
          <w:szCs w:val="20"/>
          <w:lang w:val="de-DE"/>
        </w:rPr>
        <w:t>Staat, Verfassung, Demokratie</w:t>
      </w:r>
      <w:r w:rsidRPr="006F0999">
        <w:rPr>
          <w:sz w:val="20"/>
          <w:szCs w:val="20"/>
          <w:lang w:val="de-DE"/>
        </w:rPr>
        <w:t xml:space="preserve"> (2nd edn, Suhrkamp, Frankfurt am Main, 1992) 47 ff. For Switzerland after 1945, see Zaccaria Giacometti, </w:t>
      </w:r>
      <w:r w:rsidRPr="006F0999">
        <w:rPr>
          <w:i/>
          <w:sz w:val="20"/>
          <w:szCs w:val="20"/>
          <w:lang w:val="de-DE"/>
        </w:rPr>
        <w:t>Allgemeine Lehren des rechtsstaatlichen Verwaltungsrechts</w:t>
      </w:r>
      <w:r w:rsidRPr="006F0999">
        <w:rPr>
          <w:sz w:val="20"/>
          <w:szCs w:val="20"/>
          <w:lang w:val="de-DE"/>
        </w:rPr>
        <w:t xml:space="preserve"> (Polygraphischer Verlag, Zurich, 1960) and Pierre Tschannen, ‘Schweiz’ (n </w:t>
      </w:r>
      <w:r w:rsidRPr="006F0999">
        <w:rPr>
          <w:sz w:val="20"/>
          <w:szCs w:val="20"/>
        </w:rPr>
        <w:fldChar w:fldCharType="begin"/>
      </w:r>
      <w:r w:rsidRPr="006F0999">
        <w:rPr>
          <w:sz w:val="20"/>
          <w:szCs w:val="20"/>
          <w:lang w:val="de-DE"/>
        </w:rPr>
        <w:instrText xml:space="preserve"> NOTEREF _Ref457833794 \h  \* MERGEFORMAT </w:instrText>
      </w:r>
      <w:r w:rsidRPr="006F0999">
        <w:rPr>
          <w:sz w:val="20"/>
          <w:szCs w:val="20"/>
        </w:rPr>
      </w:r>
      <w:r w:rsidRPr="006F0999">
        <w:rPr>
          <w:sz w:val="20"/>
          <w:szCs w:val="20"/>
        </w:rPr>
        <w:fldChar w:fldCharType="separate"/>
      </w:r>
      <w:r w:rsidRPr="006F0999">
        <w:rPr>
          <w:sz w:val="20"/>
          <w:szCs w:val="20"/>
          <w:lang w:val="de-DE"/>
        </w:rPr>
        <w:t>70</w:t>
      </w:r>
      <w:r w:rsidRPr="006F0999">
        <w:rPr>
          <w:sz w:val="20"/>
          <w:szCs w:val="20"/>
        </w:rPr>
        <w:fldChar w:fldCharType="end"/>
      </w:r>
      <w:r w:rsidRPr="006F0999">
        <w:rPr>
          <w:sz w:val="20"/>
          <w:szCs w:val="20"/>
          <w:lang w:val="de-DE"/>
        </w:rPr>
        <w:t>) 305 f.</w:t>
      </w:r>
    </w:p>
  </w:footnote>
  <w:footnote w:id="181">
    <w:p w14:paraId="056A6162"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Pierre Tschannen, ‘Schweiz’</w:t>
      </w:r>
      <w:r w:rsidRPr="006F0999" w:rsidDel="007D7B8D">
        <w:rPr>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_Ref457833794 \h  \* MERGEFORMAT </w:instrText>
      </w:r>
      <w:r w:rsidRPr="006F0999">
        <w:rPr>
          <w:sz w:val="20"/>
          <w:szCs w:val="20"/>
        </w:rPr>
      </w:r>
      <w:r w:rsidRPr="006F0999">
        <w:rPr>
          <w:sz w:val="20"/>
          <w:szCs w:val="20"/>
        </w:rPr>
        <w:fldChar w:fldCharType="separate"/>
      </w:r>
      <w:r w:rsidRPr="006F0999">
        <w:rPr>
          <w:sz w:val="20"/>
          <w:szCs w:val="20"/>
        </w:rPr>
        <w:t>70</w:t>
      </w:r>
      <w:r w:rsidRPr="006F0999">
        <w:rPr>
          <w:sz w:val="20"/>
          <w:szCs w:val="20"/>
        </w:rPr>
        <w:fldChar w:fldCharType="end"/>
      </w:r>
      <w:r w:rsidRPr="006F0999">
        <w:rPr>
          <w:sz w:val="20"/>
          <w:szCs w:val="20"/>
        </w:rPr>
        <w:fldChar w:fldCharType="begin"/>
      </w:r>
      <w:r w:rsidRPr="006F0999">
        <w:rPr>
          <w:sz w:val="20"/>
          <w:szCs w:val="20"/>
        </w:rPr>
        <w:instrText xml:space="preserve"> NOTEREF _Ref457833794 \f \h  \* MERGEFORMAT </w:instrText>
      </w:r>
      <w:r w:rsidRPr="006F0999">
        <w:rPr>
          <w:sz w:val="20"/>
          <w:szCs w:val="20"/>
        </w:rPr>
      </w:r>
      <w:r w:rsidRPr="006F0999">
        <w:rPr>
          <w:sz w:val="20"/>
          <w:szCs w:val="20"/>
        </w:rPr>
        <w:fldChar w:fldCharType="end"/>
      </w:r>
      <w:r w:rsidRPr="006F0999">
        <w:rPr>
          <w:sz w:val="20"/>
          <w:szCs w:val="20"/>
        </w:rPr>
        <w:t>) 313.</w:t>
      </w:r>
    </w:p>
  </w:footnote>
  <w:footnote w:id="182">
    <w:p w14:paraId="5D268DA5"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See the statement made by Georges Vedel, ‘Les bases constitutionnelles du droit administratif’ (n </w:t>
      </w:r>
      <w:r w:rsidRPr="006F0999">
        <w:rPr>
          <w:sz w:val="20"/>
          <w:szCs w:val="20"/>
        </w:rPr>
        <w:fldChar w:fldCharType="begin"/>
      </w:r>
      <w:r w:rsidRPr="006F0999">
        <w:rPr>
          <w:sz w:val="20"/>
          <w:szCs w:val="20"/>
        </w:rPr>
        <w:instrText xml:space="preserve"> NOTEREF _Ref401127809 \h  \* MERGEFORMAT </w:instrText>
      </w:r>
      <w:r w:rsidRPr="006F0999">
        <w:rPr>
          <w:sz w:val="20"/>
          <w:szCs w:val="20"/>
        </w:rPr>
      </w:r>
      <w:r w:rsidRPr="006F0999">
        <w:rPr>
          <w:sz w:val="20"/>
          <w:szCs w:val="20"/>
        </w:rPr>
        <w:fldChar w:fldCharType="separate"/>
      </w:r>
      <w:r w:rsidRPr="006F0999">
        <w:rPr>
          <w:sz w:val="20"/>
          <w:szCs w:val="20"/>
        </w:rPr>
        <w:t>49</w:t>
      </w:r>
      <w:r w:rsidRPr="006F0999">
        <w:rPr>
          <w:sz w:val="20"/>
          <w:szCs w:val="20"/>
        </w:rPr>
        <w:fldChar w:fldCharType="end"/>
      </w:r>
      <w:r w:rsidRPr="006F0999">
        <w:rPr>
          <w:sz w:val="20"/>
          <w:szCs w:val="20"/>
        </w:rPr>
        <w:t xml:space="preserve">) 135, in 1986, when he looked back on his script on the constitutional bases of administrative law: ‘I assumed the idea, that [...] the Constitution contained the introduction to </w:t>
      </w:r>
      <w:r w:rsidRPr="006F0999">
        <w:rPr>
          <w:i/>
          <w:sz w:val="20"/>
          <w:szCs w:val="20"/>
        </w:rPr>
        <w:t>all</w:t>
      </w:r>
      <w:r w:rsidRPr="006F0999">
        <w:rPr>
          <w:sz w:val="20"/>
          <w:szCs w:val="20"/>
        </w:rPr>
        <w:t xml:space="preserve"> chapters of public law’ (personal translation, emphasis not in the original). </w:t>
      </w:r>
      <w:r w:rsidRPr="006F0999">
        <w:rPr>
          <w:sz w:val="20"/>
          <w:szCs w:val="20"/>
          <w:lang w:val="de-DE"/>
        </w:rPr>
        <w:t xml:space="preserve">See also Rainer Wahl, </w:t>
      </w:r>
      <w:r w:rsidRPr="006F0999">
        <w:rPr>
          <w:i/>
          <w:sz w:val="20"/>
          <w:szCs w:val="20"/>
          <w:lang w:val="de-DE"/>
        </w:rPr>
        <w:t>Verfassungsstaat, Europäisierung, Internationalisierung</w:t>
      </w:r>
      <w:r w:rsidRPr="006F0999">
        <w:rPr>
          <w:sz w:val="20"/>
          <w:szCs w:val="20"/>
          <w:lang w:val="de-DE"/>
        </w:rPr>
        <w:t xml:space="preserve"> (Suhrkamp, Frankfurt am Main, 2003) 416.</w:t>
      </w:r>
    </w:p>
  </w:footnote>
  <w:footnote w:id="183">
    <w:p w14:paraId="2B14D0C1"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w:t>
      </w:r>
      <w:r w:rsidRPr="006F0999">
        <w:rPr>
          <w:i/>
          <w:sz w:val="20"/>
          <w:szCs w:val="20"/>
          <w:lang w:val="de-DE"/>
        </w:rPr>
        <w:t>Locus classicus</w:t>
      </w:r>
      <w:r w:rsidRPr="006F0999">
        <w:rPr>
          <w:sz w:val="20"/>
          <w:szCs w:val="20"/>
          <w:lang w:val="de-DE"/>
        </w:rPr>
        <w:t>: Günter Dürig, ‘Der Grundsatz der Menschenwürde’ (1956) AöR 122 ff.</w:t>
      </w:r>
    </w:p>
  </w:footnote>
  <w:footnote w:id="184">
    <w:p w14:paraId="58993F79" w14:textId="77777777" w:rsidR="0089313D" w:rsidRPr="006F0999" w:rsidRDefault="0089313D" w:rsidP="00DE2EDF">
      <w:pPr>
        <w:pStyle w:val="NoSpacing"/>
        <w:spacing w:line="276" w:lineRule="auto"/>
        <w:jc w:val="both"/>
        <w:rPr>
          <w:rFonts w:cs="Times New Roman"/>
          <w:sz w:val="20"/>
          <w:szCs w:val="20"/>
        </w:rPr>
      </w:pPr>
      <w:r w:rsidRPr="006F0999">
        <w:rPr>
          <w:rStyle w:val="FootnoteReference"/>
          <w:rFonts w:cs="Times New Roman"/>
          <w:sz w:val="20"/>
          <w:szCs w:val="20"/>
        </w:rPr>
        <w:footnoteRef/>
      </w:r>
      <w:r w:rsidRPr="006F0999">
        <w:rPr>
          <w:rFonts w:cs="Times New Roman"/>
          <w:sz w:val="20"/>
          <w:szCs w:val="20"/>
        </w:rPr>
        <w:t xml:space="preserve"> Ernst Forsthoff, </w:t>
      </w:r>
      <w:r w:rsidRPr="006F0999">
        <w:rPr>
          <w:rFonts w:cs="Times New Roman"/>
          <w:i/>
          <w:sz w:val="20"/>
          <w:szCs w:val="20"/>
        </w:rPr>
        <w:t>Der Staat der Industriegesellschaft</w:t>
      </w:r>
      <w:r w:rsidRPr="006F0999">
        <w:rPr>
          <w:rFonts w:cs="Times New Roman"/>
          <w:sz w:val="20"/>
          <w:szCs w:val="20"/>
        </w:rPr>
        <w:t xml:space="preserve"> (CH Beck, Munich, 1971) 144, i.e., ‘a </w:t>
      </w:r>
      <w:r w:rsidRPr="006F0999">
        <w:rPr>
          <w:rFonts w:cs="Times New Roman"/>
          <w:sz w:val="20"/>
          <w:szCs w:val="20"/>
          <w:lang w:eastAsia="fr-FR"/>
        </w:rPr>
        <w:t xml:space="preserve">kind of juridical genome that contains the DNA for the development of the whole legal system’ (Mattias </w:t>
      </w:r>
      <w:r w:rsidRPr="006F0999">
        <w:rPr>
          <w:rFonts w:cs="Times New Roman"/>
          <w:sz w:val="20"/>
          <w:szCs w:val="20"/>
        </w:rPr>
        <w:t xml:space="preserve">Kumm, ‘Who is Afraid of the Total Constitution?’ (n </w:t>
      </w:r>
      <w:r w:rsidRPr="006F0999">
        <w:rPr>
          <w:rFonts w:cs="Times New Roman"/>
          <w:sz w:val="20"/>
          <w:szCs w:val="20"/>
        </w:rPr>
        <w:fldChar w:fldCharType="begin"/>
      </w:r>
      <w:r w:rsidRPr="006F0999">
        <w:rPr>
          <w:rFonts w:cs="Times New Roman"/>
          <w:sz w:val="20"/>
          <w:szCs w:val="20"/>
        </w:rPr>
        <w:instrText xml:space="preserve"> NOTEREF _Ref401127967 \h  \* MERGEFORMAT </w:instrText>
      </w:r>
      <w:r w:rsidRPr="006F0999">
        <w:rPr>
          <w:rFonts w:cs="Times New Roman"/>
          <w:sz w:val="20"/>
          <w:szCs w:val="20"/>
        </w:rPr>
      </w:r>
      <w:r w:rsidRPr="006F0999">
        <w:rPr>
          <w:rFonts w:cs="Times New Roman"/>
          <w:sz w:val="20"/>
          <w:szCs w:val="20"/>
        </w:rPr>
        <w:fldChar w:fldCharType="separate"/>
      </w:r>
      <w:r w:rsidRPr="006F0999">
        <w:rPr>
          <w:rFonts w:cs="Times New Roman"/>
          <w:sz w:val="20"/>
          <w:szCs w:val="20"/>
        </w:rPr>
        <w:t>138</w:t>
      </w:r>
      <w:r w:rsidRPr="006F0999">
        <w:rPr>
          <w:rFonts w:cs="Times New Roman"/>
          <w:sz w:val="20"/>
          <w:szCs w:val="20"/>
        </w:rPr>
        <w:fldChar w:fldCharType="end"/>
      </w:r>
      <w:r w:rsidRPr="006F0999">
        <w:rPr>
          <w:rFonts w:cs="Times New Roman"/>
          <w:sz w:val="20"/>
          <w:szCs w:val="20"/>
        </w:rPr>
        <w:t xml:space="preserve">) </w:t>
      </w:r>
      <w:r w:rsidRPr="006F0999">
        <w:rPr>
          <w:rFonts w:cs="Times New Roman"/>
          <w:sz w:val="20"/>
          <w:szCs w:val="20"/>
          <w:lang w:eastAsia="fr-FR"/>
        </w:rPr>
        <w:t>344).</w:t>
      </w:r>
    </w:p>
  </w:footnote>
  <w:footnote w:id="185">
    <w:p w14:paraId="0A24EA1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Stephen Gardbaum</w:t>
      </w:r>
      <w:r>
        <w:rPr>
          <w:sz w:val="20"/>
          <w:szCs w:val="20"/>
        </w:rPr>
        <w:t>,</w:t>
      </w:r>
      <w:r w:rsidRPr="006F0999">
        <w:rPr>
          <w:sz w:val="20"/>
          <w:szCs w:val="20"/>
        </w:rPr>
        <w:t xml:space="preserve"> </w:t>
      </w:r>
      <w:r w:rsidRPr="006F0999">
        <w:rPr>
          <w:i/>
          <w:sz w:val="20"/>
          <w:szCs w:val="20"/>
        </w:rPr>
        <w:t xml:space="preserve">The Place of Constitutional Law in the Legal System </w:t>
      </w:r>
      <w:r w:rsidRPr="006F0999">
        <w:rPr>
          <w:sz w:val="20"/>
          <w:szCs w:val="20"/>
        </w:rPr>
        <w:t xml:space="preserve">(n </w:t>
      </w:r>
      <w:r w:rsidRPr="006F0999">
        <w:rPr>
          <w:sz w:val="20"/>
          <w:szCs w:val="20"/>
        </w:rPr>
        <w:fldChar w:fldCharType="begin"/>
      </w:r>
      <w:r w:rsidRPr="006F0999">
        <w:rPr>
          <w:sz w:val="20"/>
          <w:szCs w:val="20"/>
        </w:rPr>
        <w:instrText xml:space="preserve"> NOTEREF _Ref401127967 \h  \* MERGEFORMAT </w:instrText>
      </w:r>
      <w:r w:rsidRPr="006F0999">
        <w:rPr>
          <w:sz w:val="20"/>
          <w:szCs w:val="20"/>
        </w:rPr>
      </w:r>
      <w:r w:rsidRPr="006F0999">
        <w:rPr>
          <w:sz w:val="20"/>
          <w:szCs w:val="20"/>
        </w:rPr>
        <w:fldChar w:fldCharType="separate"/>
      </w:r>
      <w:r w:rsidRPr="006F0999">
        <w:rPr>
          <w:sz w:val="20"/>
          <w:szCs w:val="20"/>
        </w:rPr>
        <w:t>138</w:t>
      </w:r>
      <w:r w:rsidRPr="006F0999">
        <w:rPr>
          <w:sz w:val="20"/>
          <w:szCs w:val="20"/>
        </w:rPr>
        <w:fldChar w:fldCharType="end"/>
      </w:r>
      <w:r w:rsidRPr="006F0999">
        <w:rPr>
          <w:sz w:val="20"/>
          <w:szCs w:val="20"/>
        </w:rPr>
        <w:t xml:space="preserve">). </w:t>
      </w:r>
    </w:p>
  </w:footnote>
  <w:footnote w:id="186">
    <w:p w14:paraId="45361641" w14:textId="77777777" w:rsidR="0089313D" w:rsidRPr="006F0999" w:rsidRDefault="0089313D" w:rsidP="00DE2EDF">
      <w:pPr>
        <w:pStyle w:val="NoSpacing"/>
        <w:spacing w:line="276" w:lineRule="auto"/>
        <w:jc w:val="both"/>
        <w:rPr>
          <w:rFonts w:cs="Times New Roman"/>
          <w:sz w:val="20"/>
          <w:szCs w:val="20"/>
        </w:rPr>
      </w:pPr>
      <w:r w:rsidRPr="006F0999">
        <w:rPr>
          <w:rStyle w:val="FootnoteReference"/>
          <w:rFonts w:cs="Times New Roman"/>
          <w:sz w:val="20"/>
          <w:szCs w:val="20"/>
        </w:rPr>
        <w:footnoteRef/>
      </w:r>
      <w:r w:rsidRPr="006F0999">
        <w:rPr>
          <w:rFonts w:cs="Times New Roman"/>
          <w:sz w:val="20"/>
          <w:szCs w:val="20"/>
        </w:rPr>
        <w:t xml:space="preserve"> Pierre Tschannen, ‘Schweiz’ (n </w:t>
      </w:r>
      <w:r w:rsidRPr="006F0999">
        <w:rPr>
          <w:rFonts w:cs="Times New Roman"/>
          <w:sz w:val="20"/>
          <w:szCs w:val="20"/>
        </w:rPr>
        <w:fldChar w:fldCharType="begin"/>
      </w:r>
      <w:r w:rsidRPr="006F0999">
        <w:rPr>
          <w:rFonts w:cs="Times New Roman"/>
          <w:sz w:val="20"/>
          <w:szCs w:val="20"/>
        </w:rPr>
        <w:instrText xml:space="preserve"> NOTEREF _Ref457833794 \h  \* MERGEFORMAT </w:instrText>
      </w:r>
      <w:r w:rsidRPr="006F0999">
        <w:rPr>
          <w:rFonts w:cs="Times New Roman"/>
          <w:sz w:val="20"/>
          <w:szCs w:val="20"/>
        </w:rPr>
      </w:r>
      <w:r w:rsidRPr="006F0999">
        <w:rPr>
          <w:rFonts w:cs="Times New Roman"/>
          <w:sz w:val="20"/>
          <w:szCs w:val="20"/>
        </w:rPr>
        <w:fldChar w:fldCharType="separate"/>
      </w:r>
      <w:r w:rsidRPr="006F0999">
        <w:rPr>
          <w:rFonts w:cs="Times New Roman"/>
          <w:sz w:val="20"/>
          <w:szCs w:val="20"/>
        </w:rPr>
        <w:t>70</w:t>
      </w:r>
      <w:r w:rsidRPr="006F0999">
        <w:rPr>
          <w:rFonts w:cs="Times New Roman"/>
          <w:sz w:val="20"/>
          <w:szCs w:val="20"/>
        </w:rPr>
        <w:fldChar w:fldCharType="end"/>
      </w:r>
      <w:r w:rsidRPr="006F0999">
        <w:rPr>
          <w:rFonts w:cs="Times New Roman"/>
          <w:sz w:val="20"/>
          <w:szCs w:val="20"/>
        </w:rPr>
        <w:t xml:space="preserve">) 307, 309. The following Tschannen’s quotes are taken from his oral presentation at the authors’ meeting in Heidelberg. See also the very sharp criticism of Georges Vedel ‘Propos d’ouverture’, in </w:t>
      </w:r>
      <w:hyperlink r:id="rId16" w:history="1">
        <w:r w:rsidRPr="006F0999">
          <w:rPr>
            <w:rFonts w:eastAsiaTheme="majorEastAsia" w:cs="Times New Roman"/>
            <w:sz w:val="20"/>
            <w:szCs w:val="20"/>
          </w:rPr>
          <w:t>Bertrand Mathieu</w:t>
        </w:r>
      </w:hyperlink>
      <w:r w:rsidRPr="006F0999">
        <w:rPr>
          <w:rFonts w:cs="Times New Roman"/>
          <w:sz w:val="20"/>
          <w:szCs w:val="20"/>
        </w:rPr>
        <w:t xml:space="preserve">, </w:t>
      </w:r>
      <w:hyperlink r:id="rId17" w:history="1">
        <w:r w:rsidRPr="006F0999">
          <w:rPr>
            <w:rFonts w:eastAsiaTheme="majorEastAsia" w:cs="Times New Roman"/>
            <w:sz w:val="20"/>
            <w:szCs w:val="20"/>
          </w:rPr>
          <w:t>Michel Verpeaux</w:t>
        </w:r>
      </w:hyperlink>
      <w:r w:rsidRPr="006F0999">
        <w:rPr>
          <w:rFonts w:cs="Times New Roman"/>
          <w:sz w:val="20"/>
          <w:szCs w:val="20"/>
        </w:rPr>
        <w:t xml:space="preserve">, and </w:t>
      </w:r>
      <w:hyperlink r:id="rId18" w:history="1">
        <w:r w:rsidRPr="006F0999">
          <w:rPr>
            <w:rFonts w:eastAsiaTheme="majorEastAsia" w:cs="Times New Roman"/>
            <w:sz w:val="20"/>
            <w:szCs w:val="20"/>
          </w:rPr>
          <w:t>Thierry Di Manno</w:t>
        </w:r>
      </w:hyperlink>
      <w:r w:rsidRPr="006F0999">
        <w:rPr>
          <w:rFonts w:cs="Times New Roman"/>
          <w:sz w:val="20"/>
          <w:szCs w:val="20"/>
        </w:rPr>
        <w:t xml:space="preserve">, </w:t>
      </w:r>
      <w:r w:rsidRPr="006F0999">
        <w:rPr>
          <w:rFonts w:cs="Times New Roman"/>
          <w:i/>
          <w:sz w:val="20"/>
          <w:szCs w:val="20"/>
        </w:rPr>
        <w:t>La constitutionnalisation des branches du droit</w:t>
      </w:r>
      <w:r w:rsidRPr="006F0999">
        <w:rPr>
          <w:rFonts w:cs="Times New Roman"/>
          <w:sz w:val="20"/>
          <w:szCs w:val="20"/>
        </w:rPr>
        <w:t xml:space="preserve"> (n </w:t>
      </w:r>
      <w:r w:rsidRPr="006F0999">
        <w:rPr>
          <w:rFonts w:cs="Times New Roman"/>
          <w:sz w:val="20"/>
          <w:szCs w:val="20"/>
        </w:rPr>
        <w:fldChar w:fldCharType="begin"/>
      </w:r>
      <w:r w:rsidRPr="006F0999">
        <w:rPr>
          <w:rFonts w:cs="Times New Roman"/>
          <w:sz w:val="20"/>
          <w:szCs w:val="20"/>
        </w:rPr>
        <w:instrText xml:space="preserve"> NOTEREF _Ref401051488 \h  \* MERGEFORMAT </w:instrText>
      </w:r>
      <w:r w:rsidRPr="006F0999">
        <w:rPr>
          <w:rFonts w:cs="Times New Roman"/>
          <w:sz w:val="20"/>
          <w:szCs w:val="20"/>
        </w:rPr>
      </w:r>
      <w:r w:rsidRPr="006F0999">
        <w:rPr>
          <w:rFonts w:cs="Times New Roman"/>
          <w:sz w:val="20"/>
          <w:szCs w:val="20"/>
        </w:rPr>
        <w:fldChar w:fldCharType="separate"/>
      </w:r>
      <w:r w:rsidRPr="006F0999">
        <w:rPr>
          <w:rFonts w:cs="Times New Roman"/>
          <w:sz w:val="20"/>
          <w:szCs w:val="20"/>
        </w:rPr>
        <w:t>121</w:t>
      </w:r>
      <w:r w:rsidRPr="006F0999">
        <w:rPr>
          <w:rFonts w:cs="Times New Roman"/>
          <w:sz w:val="20"/>
          <w:szCs w:val="20"/>
        </w:rPr>
        <w:fldChar w:fldCharType="end"/>
      </w:r>
      <w:r w:rsidRPr="006F0999">
        <w:rPr>
          <w:rFonts w:cs="Times New Roman"/>
          <w:sz w:val="20"/>
          <w:szCs w:val="20"/>
        </w:rPr>
        <w:t>) 14 ff.</w:t>
      </w:r>
    </w:p>
  </w:footnote>
  <w:footnote w:id="187">
    <w:p w14:paraId="47008C8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If this were actually the case, a look at the Constitution would suffice to form a complete picture of the State and its administration. But, if a Martian read Germany’s </w:t>
      </w:r>
      <w:r w:rsidRPr="006F0999">
        <w:rPr>
          <w:i/>
          <w:sz w:val="20"/>
          <w:szCs w:val="20"/>
        </w:rPr>
        <w:t>Grundgesetz</w:t>
      </w:r>
      <w:r w:rsidRPr="006F0999">
        <w:rPr>
          <w:sz w:val="20"/>
          <w:szCs w:val="20"/>
        </w:rPr>
        <w:t xml:space="preserve"> and even the case law of the </w:t>
      </w:r>
      <w:r w:rsidRPr="006F0999">
        <w:rPr>
          <w:i/>
          <w:sz w:val="20"/>
          <w:szCs w:val="20"/>
        </w:rPr>
        <w:t>Bundesverfassungsgericht</w:t>
      </w:r>
      <w:r w:rsidRPr="006F0999">
        <w:rPr>
          <w:sz w:val="20"/>
          <w:szCs w:val="20"/>
        </w:rPr>
        <w:t>, he would hardly imagine Germany as a richly developed welfare State, as is the case. Also, in many countries, the large number of independent administrative bodies cannot be deduced from simply reading the constitutional texts.</w:t>
      </w:r>
    </w:p>
  </w:footnote>
  <w:footnote w:id="188">
    <w:p w14:paraId="7B1C443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Pr>
          <w:sz w:val="20"/>
          <w:szCs w:val="20"/>
        </w:rPr>
        <w:t xml:space="preserve"> In France:</w:t>
      </w:r>
      <w:r w:rsidRPr="006F0999">
        <w:rPr>
          <w:sz w:val="20"/>
          <w:szCs w:val="20"/>
        </w:rPr>
        <w:t xml:space="preserve"> Olivier Schrameck, ‘Droit administratif et droit constitutionnel’</w:t>
      </w:r>
      <w:r w:rsidRPr="006F0999" w:rsidDel="008B3DD3">
        <w:rPr>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_Ref401126521 \h  \* MERGEFORMAT </w:instrText>
      </w:r>
      <w:r w:rsidRPr="006F0999">
        <w:rPr>
          <w:sz w:val="20"/>
          <w:szCs w:val="20"/>
        </w:rPr>
      </w:r>
      <w:r w:rsidRPr="006F0999">
        <w:rPr>
          <w:sz w:val="20"/>
          <w:szCs w:val="20"/>
        </w:rPr>
        <w:fldChar w:fldCharType="separate"/>
      </w:r>
      <w:r w:rsidRPr="006F0999">
        <w:rPr>
          <w:sz w:val="20"/>
          <w:szCs w:val="20"/>
        </w:rPr>
        <w:t>155</w:t>
      </w:r>
      <w:r w:rsidRPr="006F0999">
        <w:rPr>
          <w:sz w:val="20"/>
          <w:szCs w:val="20"/>
        </w:rPr>
        <w:fldChar w:fldCharType="end"/>
      </w:r>
      <w:r>
        <w:rPr>
          <w:sz w:val="20"/>
          <w:szCs w:val="20"/>
        </w:rPr>
        <w:t>) 35; in Switzerland:</w:t>
      </w:r>
      <w:r w:rsidRPr="006F0999">
        <w:rPr>
          <w:sz w:val="20"/>
          <w:szCs w:val="20"/>
        </w:rPr>
        <w:t xml:space="preserve"> Pierre Tschannen, ‘Schweiz’ (n </w:t>
      </w:r>
      <w:r w:rsidRPr="006F0999">
        <w:rPr>
          <w:sz w:val="20"/>
          <w:szCs w:val="20"/>
        </w:rPr>
        <w:fldChar w:fldCharType="begin"/>
      </w:r>
      <w:r w:rsidRPr="006F0999">
        <w:rPr>
          <w:sz w:val="20"/>
          <w:szCs w:val="20"/>
        </w:rPr>
        <w:instrText xml:space="preserve"> NOTEREF _Ref457833794 \h  \* MERGEFORMAT </w:instrText>
      </w:r>
      <w:r w:rsidRPr="006F0999">
        <w:rPr>
          <w:sz w:val="20"/>
          <w:szCs w:val="20"/>
        </w:rPr>
      </w:r>
      <w:r w:rsidRPr="006F0999">
        <w:rPr>
          <w:sz w:val="20"/>
          <w:szCs w:val="20"/>
        </w:rPr>
        <w:fldChar w:fldCharType="separate"/>
      </w:r>
      <w:r w:rsidRPr="006F0999">
        <w:rPr>
          <w:sz w:val="20"/>
          <w:szCs w:val="20"/>
        </w:rPr>
        <w:t>70</w:t>
      </w:r>
      <w:r w:rsidRPr="006F0999">
        <w:rPr>
          <w:sz w:val="20"/>
          <w:szCs w:val="20"/>
        </w:rPr>
        <w:fldChar w:fldCharType="end"/>
      </w:r>
      <w:r>
        <w:rPr>
          <w:sz w:val="20"/>
          <w:szCs w:val="20"/>
        </w:rPr>
        <w:t>) 312 and for Germany:</w:t>
      </w:r>
      <w:r w:rsidRPr="006F0999">
        <w:rPr>
          <w:sz w:val="20"/>
          <w:szCs w:val="20"/>
        </w:rPr>
        <w:t xml:space="preserve"> </w:t>
      </w:r>
      <w:r>
        <w:rPr>
          <w:sz w:val="20"/>
          <w:szCs w:val="20"/>
        </w:rPr>
        <w:t>see D. 1. b).</w:t>
      </w:r>
      <w:r w:rsidRPr="006F0999">
        <w:rPr>
          <w:sz w:val="20"/>
          <w:szCs w:val="20"/>
        </w:rPr>
        <w:t xml:space="preserve"> </w:t>
      </w:r>
    </w:p>
  </w:footnote>
  <w:footnote w:id="189">
    <w:p w14:paraId="06714FF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Moreover, both administrative and constitutional law can be based on different foreign models; see Herbert Küpper, ‘Ungarn’</w:t>
      </w:r>
      <w:r>
        <w:rPr>
          <w:sz w:val="20"/>
          <w:szCs w:val="20"/>
        </w:rPr>
        <w:t xml:space="preserve">, </w:t>
      </w:r>
      <w:r w:rsidRPr="0049388B">
        <w:rPr>
          <w:i/>
          <w:sz w:val="20"/>
          <w:szCs w:val="20"/>
        </w:rPr>
        <w:t>in this volume</w:t>
      </w:r>
      <w:r>
        <w:rPr>
          <w:sz w:val="20"/>
          <w:szCs w:val="20"/>
        </w:rPr>
        <w:t xml:space="preserve">, </w:t>
      </w:r>
      <w:r w:rsidRPr="0049388B">
        <w:rPr>
          <w:sz w:val="20"/>
          <w:szCs w:val="20"/>
          <w:highlight w:val="yellow"/>
        </w:rPr>
        <w:t xml:space="preserve">XXX, XXX (mn 46 </w:t>
      </w:r>
      <w:r w:rsidRPr="006F0999">
        <w:rPr>
          <w:sz w:val="20"/>
          <w:szCs w:val="20"/>
          <w:highlight w:val="yellow"/>
        </w:rPr>
        <w:t>ff</w:t>
      </w:r>
      <w:r>
        <w:rPr>
          <w:sz w:val="20"/>
          <w:szCs w:val="20"/>
          <w:highlight w:val="yellow"/>
        </w:rPr>
        <w:t>)</w:t>
      </w:r>
      <w:r w:rsidRPr="006F0999">
        <w:rPr>
          <w:sz w:val="20"/>
          <w:szCs w:val="20"/>
          <w:highlight w:val="yellow"/>
        </w:rPr>
        <w:t>.</w:t>
      </w:r>
    </w:p>
  </w:footnote>
  <w:footnote w:id="190">
    <w:p w14:paraId="44157EE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in Germany, under the Weimar Republic, the classic writings of Richard Thoma or Hans Kelsen on the legal value of fundamental rights provisions; see Luc Heuschling, </w:t>
      </w:r>
      <w:r w:rsidRPr="006F0999">
        <w:rPr>
          <w:i/>
          <w:sz w:val="20"/>
          <w:szCs w:val="20"/>
        </w:rPr>
        <w:t>État de droit, Rechtsstaat, Rule of Law</w:t>
      </w:r>
      <w:r w:rsidRPr="006F0999">
        <w:rPr>
          <w:sz w:val="20"/>
          <w:szCs w:val="20"/>
        </w:rPr>
        <w:t xml:space="preserve"> (n </w:t>
      </w:r>
      <w:r w:rsidRPr="006F0999">
        <w:rPr>
          <w:sz w:val="20"/>
          <w:szCs w:val="20"/>
        </w:rPr>
        <w:fldChar w:fldCharType="begin"/>
      </w:r>
      <w:r w:rsidRPr="006F0999">
        <w:rPr>
          <w:sz w:val="20"/>
          <w:szCs w:val="20"/>
        </w:rPr>
        <w:instrText xml:space="preserve"> NOTEREF _Ref401126812 \h  \* MERGEFORMAT </w:instrText>
      </w:r>
      <w:r w:rsidRPr="006F0999">
        <w:rPr>
          <w:sz w:val="20"/>
          <w:szCs w:val="20"/>
        </w:rPr>
      </w:r>
      <w:r w:rsidRPr="006F0999">
        <w:rPr>
          <w:sz w:val="20"/>
          <w:szCs w:val="20"/>
        </w:rPr>
        <w:fldChar w:fldCharType="separate"/>
      </w:r>
      <w:r w:rsidRPr="006F0999">
        <w:rPr>
          <w:sz w:val="20"/>
          <w:szCs w:val="20"/>
        </w:rPr>
        <w:t>81</w:t>
      </w:r>
      <w:r w:rsidRPr="006F0999">
        <w:rPr>
          <w:sz w:val="20"/>
          <w:szCs w:val="20"/>
        </w:rPr>
        <w:fldChar w:fldCharType="end"/>
      </w:r>
      <w:r w:rsidRPr="006F0999">
        <w:rPr>
          <w:sz w:val="20"/>
          <w:szCs w:val="20"/>
        </w:rPr>
        <w:t xml:space="preserve">) 123 f. In France: Raymond Carré de Malberg, </w:t>
      </w:r>
      <w:r w:rsidRPr="006F0999">
        <w:rPr>
          <w:i/>
          <w:sz w:val="20"/>
          <w:szCs w:val="20"/>
        </w:rPr>
        <w:t>Contribution à la théorie générale de l’Etat</w:t>
      </w:r>
      <w:r w:rsidRPr="006F0999">
        <w:rPr>
          <w:sz w:val="20"/>
          <w:szCs w:val="20"/>
        </w:rPr>
        <w:t>, vol 2 (Paris, Sirey, 1922) 581.</w:t>
      </w:r>
    </w:p>
  </w:footnote>
  <w:footnote w:id="191">
    <w:p w14:paraId="07B1A13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below</w:t>
      </w:r>
      <w:r>
        <w:rPr>
          <w:sz w:val="20"/>
          <w:szCs w:val="20"/>
        </w:rPr>
        <w:t xml:space="preserve"> D. 2. g).</w:t>
      </w:r>
    </w:p>
  </w:footnote>
  <w:footnote w:id="192">
    <w:p w14:paraId="44833B4F"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In Luxembourg, for example, the Constitutional Court as well as the administrative and civil courts are very reluctant to use art 11 of the 1868 Constitution which, since 1948, in the context of the natural law renaissance after World War Two, recognizes ‘the natural rights of the human person and of the family’. See decisions of the Constitutional Court no 2/1998, 14/2002, 20/2004, 98/2013, 105/2013. In France and Switzerland, the principle of ‘democracy’ (art 1 French Constitution 1958) has not been mobilized so far by courts; in Luxembourg, the principle of democracy (enshrined in article 1 Constitution 1868 since 1998) has been used as an exclusive normative basis by the supreme Administrative Court (judgements of </w:t>
      </w:r>
      <w:r w:rsidRPr="006F0999">
        <w:rPr>
          <w:iCs w:val="0"/>
          <w:sz w:val="20"/>
          <w:szCs w:val="20"/>
        </w:rPr>
        <w:t>19 December 2013 and 5 May 2015)</w:t>
      </w:r>
      <w:r w:rsidRPr="006F0999">
        <w:rPr>
          <w:sz w:val="20"/>
          <w:szCs w:val="20"/>
        </w:rPr>
        <w:t>, whereas it is still ignored by the Constitutional Court and civil courts.</w:t>
      </w:r>
    </w:p>
  </w:footnote>
  <w:footnote w:id="193">
    <w:p w14:paraId="79872E98"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For a highly critical account: Gunnar Folke Schuppert and Christian Bumke, </w:t>
      </w:r>
      <w:r w:rsidRPr="006F0999">
        <w:rPr>
          <w:i/>
          <w:sz w:val="20"/>
          <w:szCs w:val="20"/>
          <w:lang w:val="de-DE"/>
        </w:rPr>
        <w:t>Die Konstitutionalisierung der Rechtsordnung</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_Ref401051488 \h  \* MERGEFORMAT </w:instrText>
      </w:r>
      <w:r w:rsidRPr="006F0999">
        <w:rPr>
          <w:sz w:val="20"/>
          <w:szCs w:val="20"/>
        </w:rPr>
      </w:r>
      <w:r w:rsidRPr="006F0999">
        <w:rPr>
          <w:sz w:val="20"/>
          <w:szCs w:val="20"/>
        </w:rPr>
        <w:fldChar w:fldCharType="separate"/>
      </w:r>
      <w:r w:rsidRPr="006F0999">
        <w:rPr>
          <w:sz w:val="20"/>
          <w:szCs w:val="20"/>
          <w:lang w:val="de-DE"/>
        </w:rPr>
        <w:t>121</w:t>
      </w:r>
      <w:r w:rsidRPr="006F0999">
        <w:rPr>
          <w:sz w:val="20"/>
          <w:szCs w:val="20"/>
        </w:rPr>
        <w:fldChar w:fldCharType="end"/>
      </w:r>
      <w:r w:rsidRPr="006F0999">
        <w:rPr>
          <w:sz w:val="20"/>
          <w:szCs w:val="20"/>
          <w:lang w:val="de-DE"/>
        </w:rPr>
        <w:t>) 38 (‘</w:t>
      </w:r>
      <w:r w:rsidRPr="006F0999">
        <w:rPr>
          <w:i/>
          <w:sz w:val="20"/>
          <w:szCs w:val="20"/>
          <w:lang w:val="de-DE"/>
        </w:rPr>
        <w:t>Abwägungsbrei’</w:t>
      </w:r>
      <w:r w:rsidRPr="006F0999">
        <w:rPr>
          <w:sz w:val="20"/>
          <w:szCs w:val="20"/>
          <w:lang w:val="de-DE"/>
        </w:rPr>
        <w:t xml:space="preserve">). See also, Norbert Achterberg, </w:t>
      </w:r>
      <w:r w:rsidRPr="006F0999">
        <w:rPr>
          <w:i/>
          <w:sz w:val="20"/>
          <w:szCs w:val="20"/>
          <w:lang w:val="de-DE"/>
        </w:rPr>
        <w:t>Allgemeines Verwaltungsrecht</w:t>
      </w:r>
      <w:r w:rsidRPr="006F0999">
        <w:rPr>
          <w:sz w:val="20"/>
          <w:szCs w:val="20"/>
          <w:lang w:val="de-DE"/>
        </w:rPr>
        <w:t xml:space="preserve"> (CF Müller, Heidelberg, 1982) 63 ff.</w:t>
      </w:r>
    </w:p>
  </w:footnote>
  <w:footnote w:id="194">
    <w:p w14:paraId="521388CF"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Dirk Ehlers, ‘Verwaltung und Verwaltungsrecht im demokratischen und sozialen Rechtsstaat’ (n </w:t>
      </w:r>
      <w:r w:rsidRPr="006F0999">
        <w:rPr>
          <w:sz w:val="20"/>
          <w:szCs w:val="20"/>
        </w:rPr>
        <w:fldChar w:fldCharType="begin"/>
      </w:r>
      <w:r w:rsidRPr="006F0999">
        <w:rPr>
          <w:sz w:val="20"/>
          <w:szCs w:val="20"/>
          <w:lang w:val="de-DE"/>
        </w:rPr>
        <w:instrText xml:space="preserve"> NOTEREF _Ref401125767 \h  \* MERGEFORMAT </w:instrText>
      </w:r>
      <w:r w:rsidRPr="006F0999">
        <w:rPr>
          <w:sz w:val="20"/>
          <w:szCs w:val="20"/>
        </w:rPr>
      </w:r>
      <w:r w:rsidRPr="006F0999">
        <w:rPr>
          <w:sz w:val="20"/>
          <w:szCs w:val="20"/>
        </w:rPr>
        <w:fldChar w:fldCharType="separate"/>
      </w:r>
      <w:r w:rsidRPr="006F0999">
        <w:rPr>
          <w:sz w:val="20"/>
          <w:szCs w:val="20"/>
          <w:lang w:val="de-DE"/>
        </w:rPr>
        <w:t>35</w:t>
      </w:r>
      <w:r w:rsidRPr="006F0999">
        <w:rPr>
          <w:sz w:val="20"/>
          <w:szCs w:val="20"/>
        </w:rPr>
        <w:fldChar w:fldCharType="end"/>
      </w:r>
      <w:r w:rsidRPr="006F0999">
        <w:rPr>
          <w:sz w:val="20"/>
          <w:szCs w:val="20"/>
          <w:lang w:val="de-DE"/>
        </w:rPr>
        <w:t xml:space="preserve">) 241; </w:t>
      </w:r>
      <w:r w:rsidRPr="00A162AF">
        <w:rPr>
          <w:sz w:val="20"/>
          <w:szCs w:val="20"/>
          <w:lang w:val="de-DE"/>
        </w:rPr>
        <w:t xml:space="preserve">Hartmut Maurer, </w:t>
      </w:r>
      <w:r w:rsidRPr="00A162AF">
        <w:rPr>
          <w:i/>
          <w:sz w:val="20"/>
          <w:szCs w:val="20"/>
          <w:lang w:val="de-DE"/>
        </w:rPr>
        <w:t>Allgemeines Verwaltungsrecht</w:t>
      </w:r>
      <w:r w:rsidRPr="00A162AF">
        <w:rPr>
          <w:sz w:val="20"/>
          <w:szCs w:val="20"/>
          <w:lang w:val="de-DE"/>
        </w:rPr>
        <w:t xml:space="preserve"> (18th edn, CH Beck, Munich, 2011) </w:t>
      </w:r>
      <w:r w:rsidRPr="006B5A11">
        <w:rPr>
          <w:sz w:val="20"/>
          <w:szCs w:val="20"/>
          <w:lang w:val="de-DE"/>
        </w:rPr>
        <w:t>§ 4 mn 58, 91</w:t>
      </w:r>
      <w:r w:rsidRPr="006F0999">
        <w:rPr>
          <w:sz w:val="20"/>
          <w:szCs w:val="20"/>
          <w:lang w:val="de-DE"/>
        </w:rPr>
        <w:t xml:space="preserve">; Harmut Maurer, ‘Der Anwendungsvorrang im Normensystem’, in </w:t>
      </w:r>
      <w:r w:rsidRPr="006F0999">
        <w:rPr>
          <w:i/>
          <w:sz w:val="20"/>
          <w:szCs w:val="20"/>
          <w:lang w:val="de-DE"/>
        </w:rPr>
        <w:t xml:space="preserve">Festschrift für Klaus Stern, Der grundrechtsgeprägte Verfassungsstaat. </w:t>
      </w:r>
      <w:r w:rsidRPr="006F0999">
        <w:rPr>
          <w:sz w:val="20"/>
          <w:szCs w:val="20"/>
          <w:lang w:val="de-DE"/>
        </w:rPr>
        <w:t xml:space="preserve">(Duncker &amp; Humblot, Berlin, 2012) 107 ff. See also, Georges Vedel, ‘Propos d’ouverture’ (n </w:t>
      </w:r>
      <w:r w:rsidRPr="006F0999">
        <w:rPr>
          <w:sz w:val="20"/>
          <w:szCs w:val="20"/>
        </w:rPr>
        <w:fldChar w:fldCharType="begin"/>
      </w:r>
      <w:r w:rsidRPr="006F0999">
        <w:rPr>
          <w:sz w:val="20"/>
          <w:szCs w:val="20"/>
          <w:lang w:val="de-DE"/>
        </w:rPr>
        <w:instrText xml:space="preserve"> NOTEREF _Ref401124955 \h  \* MERGEFORMAT </w:instrText>
      </w:r>
      <w:r w:rsidRPr="006F0999">
        <w:rPr>
          <w:sz w:val="20"/>
          <w:szCs w:val="20"/>
        </w:rPr>
      </w:r>
      <w:r w:rsidRPr="006F0999">
        <w:rPr>
          <w:sz w:val="20"/>
          <w:szCs w:val="20"/>
        </w:rPr>
        <w:fldChar w:fldCharType="separate"/>
      </w:r>
      <w:r w:rsidRPr="006F0999">
        <w:rPr>
          <w:sz w:val="20"/>
          <w:szCs w:val="20"/>
          <w:lang w:val="de-DE"/>
        </w:rPr>
        <w:t>184</w:t>
      </w:r>
      <w:r w:rsidRPr="006F0999">
        <w:rPr>
          <w:sz w:val="20"/>
          <w:szCs w:val="20"/>
        </w:rPr>
        <w:fldChar w:fldCharType="end"/>
      </w:r>
      <w:r w:rsidRPr="006F0999">
        <w:rPr>
          <w:sz w:val="20"/>
          <w:szCs w:val="20"/>
          <w:lang w:val="de-DE"/>
        </w:rPr>
        <w:t xml:space="preserve">) 16; Pierre Tschannen, Ulrich Zimmerli and Markus Müller, </w:t>
      </w:r>
      <w:r w:rsidRPr="006F0999">
        <w:rPr>
          <w:i/>
          <w:sz w:val="20"/>
          <w:szCs w:val="20"/>
          <w:lang w:val="de-DE"/>
        </w:rPr>
        <w:t>Allgemeines Verwaltungsrecht</w:t>
      </w:r>
      <w:r w:rsidRPr="006F0999">
        <w:rPr>
          <w:sz w:val="20"/>
          <w:szCs w:val="20"/>
          <w:lang w:val="de-DE"/>
        </w:rPr>
        <w:t xml:space="preserve"> (2nd edn, Stämpfli, Bern, 2005) 80: ‘The solution-finding in each administrative law case starts with ordinary law, not the Constitution’ (translation).</w:t>
      </w:r>
    </w:p>
  </w:footnote>
  <w:footnote w:id="195">
    <w:p w14:paraId="5274565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for example: art 266 para 2 of the Portuguese Constitution of 1976; chapter 1 art 9 and chap 12, art 10 of the Swedish 1974 Instrument of Government; art 103 para 1 of the 1975 Constitution of Greece; art 1, para 1 and 20, para 4, of the German </w:t>
      </w:r>
      <w:r w:rsidRPr="006F0999">
        <w:rPr>
          <w:i/>
          <w:sz w:val="20"/>
          <w:szCs w:val="20"/>
        </w:rPr>
        <w:t>Grundgesetz</w:t>
      </w:r>
      <w:r w:rsidRPr="006F0999">
        <w:rPr>
          <w:sz w:val="20"/>
          <w:szCs w:val="20"/>
        </w:rPr>
        <w:t>; and, in the past, art 377 of the French Constitution of 1795.</w:t>
      </w:r>
    </w:p>
  </w:footnote>
  <w:footnote w:id="196">
    <w:p w14:paraId="542081E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best example, Georges Vedel, ‘Propos d’ouverture’ (n </w:t>
      </w:r>
      <w:r w:rsidRPr="006F0999">
        <w:rPr>
          <w:sz w:val="20"/>
          <w:szCs w:val="20"/>
        </w:rPr>
        <w:fldChar w:fldCharType="begin"/>
      </w:r>
      <w:r w:rsidRPr="006F0999">
        <w:rPr>
          <w:sz w:val="20"/>
          <w:szCs w:val="20"/>
        </w:rPr>
        <w:instrText xml:space="preserve"> NOTEREF _Ref401124955 \h  \* MERGEFORMAT </w:instrText>
      </w:r>
      <w:r w:rsidRPr="006F0999">
        <w:rPr>
          <w:sz w:val="20"/>
          <w:szCs w:val="20"/>
        </w:rPr>
      </w:r>
      <w:r w:rsidRPr="006F0999">
        <w:rPr>
          <w:sz w:val="20"/>
          <w:szCs w:val="20"/>
        </w:rPr>
        <w:fldChar w:fldCharType="separate"/>
      </w:r>
      <w:r w:rsidRPr="006F0999">
        <w:rPr>
          <w:sz w:val="20"/>
          <w:szCs w:val="20"/>
        </w:rPr>
        <w:t>184</w:t>
      </w:r>
      <w:r w:rsidRPr="006F0999">
        <w:rPr>
          <w:sz w:val="20"/>
          <w:szCs w:val="20"/>
        </w:rPr>
        <w:fldChar w:fldCharType="end"/>
      </w:r>
      <w:r w:rsidRPr="006F0999">
        <w:rPr>
          <w:sz w:val="20"/>
          <w:szCs w:val="20"/>
        </w:rPr>
        <w:t>).</w:t>
      </w:r>
    </w:p>
  </w:footnote>
  <w:footnote w:id="197">
    <w:p w14:paraId="7E25176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distinction between ‘</w:t>
      </w:r>
      <w:r w:rsidRPr="006F0999">
        <w:rPr>
          <w:i/>
          <w:sz w:val="20"/>
          <w:szCs w:val="20"/>
        </w:rPr>
        <w:t>Constitution-moteur</w:t>
      </w:r>
      <w:r w:rsidRPr="006F0999">
        <w:rPr>
          <w:sz w:val="20"/>
          <w:szCs w:val="20"/>
        </w:rPr>
        <w:t>’ and ‘</w:t>
      </w:r>
      <w:r w:rsidRPr="006F0999">
        <w:rPr>
          <w:i/>
          <w:sz w:val="20"/>
          <w:szCs w:val="20"/>
        </w:rPr>
        <w:t>Constitution-trésor</w:t>
      </w:r>
      <w:r w:rsidRPr="006F0999">
        <w:rPr>
          <w:sz w:val="20"/>
          <w:szCs w:val="20"/>
        </w:rPr>
        <w:t>’ see Luc Heuschling, ‘La Constitution formelle’</w:t>
      </w:r>
      <w:r w:rsidRPr="006F0999">
        <w:rPr>
          <w:i/>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_Ref401055775 \h  \* MERGEFORMAT </w:instrText>
      </w:r>
      <w:r w:rsidRPr="006F0999">
        <w:rPr>
          <w:sz w:val="20"/>
          <w:szCs w:val="20"/>
        </w:rPr>
      </w:r>
      <w:r w:rsidRPr="006F0999">
        <w:rPr>
          <w:sz w:val="20"/>
          <w:szCs w:val="20"/>
        </w:rPr>
        <w:fldChar w:fldCharType="separate"/>
      </w:r>
      <w:r w:rsidRPr="006F0999">
        <w:rPr>
          <w:sz w:val="20"/>
          <w:szCs w:val="20"/>
        </w:rPr>
        <w:t>55</w:t>
      </w:r>
      <w:r w:rsidRPr="006F0999">
        <w:rPr>
          <w:sz w:val="20"/>
          <w:szCs w:val="20"/>
        </w:rPr>
        <w:fldChar w:fldCharType="end"/>
      </w:r>
      <w:r w:rsidRPr="006F0999">
        <w:rPr>
          <w:sz w:val="20"/>
          <w:szCs w:val="20"/>
        </w:rPr>
        <w:t xml:space="preserve">) 294. Similarly, the distinction made by the Portuguese scholar Paulo Ferreira da Cunha, </w:t>
      </w:r>
      <w:r w:rsidRPr="006F0999">
        <w:rPr>
          <w:i/>
          <w:sz w:val="20"/>
          <w:szCs w:val="20"/>
        </w:rPr>
        <w:t>Traité de droit constitutionnel</w:t>
      </w:r>
      <w:r w:rsidRPr="006F0999">
        <w:rPr>
          <w:sz w:val="20"/>
          <w:szCs w:val="20"/>
        </w:rPr>
        <w:t xml:space="preserve"> (Buenos, Paris, 2010) 26 f, between ‘</w:t>
      </w:r>
      <w:r w:rsidRPr="006F0999">
        <w:rPr>
          <w:i/>
          <w:sz w:val="20"/>
          <w:szCs w:val="20"/>
        </w:rPr>
        <w:t>Constitution-programme</w:t>
      </w:r>
      <w:r w:rsidRPr="006F0999">
        <w:rPr>
          <w:sz w:val="20"/>
          <w:szCs w:val="20"/>
        </w:rPr>
        <w:t>’ and ‘</w:t>
      </w:r>
      <w:r w:rsidRPr="006F0999">
        <w:rPr>
          <w:i/>
          <w:sz w:val="20"/>
          <w:szCs w:val="20"/>
        </w:rPr>
        <w:t>Constitution-bilan</w:t>
      </w:r>
      <w:r w:rsidRPr="006F0999">
        <w:rPr>
          <w:sz w:val="20"/>
          <w:szCs w:val="20"/>
        </w:rPr>
        <w:t>’. See also the concept of ‘transformative constitutionalism’ used with regard to the South-African Constitutions of 1993 and 1996, by Karl E Klare, ‘Legal Culture and Transformative Constitutionalism’ (1998) 14 South African Journal on Human Rights 146 ff.</w:t>
      </w:r>
    </w:p>
  </w:footnote>
  <w:footnote w:id="198">
    <w:p w14:paraId="7000582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reigning uncertainty in German administrative law after the traumatic experience of Nazi rule, see </w:t>
      </w:r>
      <w:r w:rsidRPr="002C5B72">
        <w:rPr>
          <w:sz w:val="20"/>
          <w:szCs w:val="20"/>
        </w:rPr>
        <w:t>Christoph Schönberger, ‘Verwaltungsrecht als konkretisiertes Verfassungsrecht’</w:t>
      </w:r>
      <w:r w:rsidRPr="006F0999">
        <w:rPr>
          <w:sz w:val="20"/>
          <w:szCs w:val="20"/>
        </w:rPr>
        <w:t xml:space="preserve"> (n </w:t>
      </w:r>
      <w:r w:rsidRPr="006F0999">
        <w:rPr>
          <w:sz w:val="20"/>
          <w:szCs w:val="20"/>
        </w:rPr>
        <w:fldChar w:fldCharType="begin"/>
      </w:r>
      <w:r w:rsidRPr="006F0999">
        <w:rPr>
          <w:sz w:val="20"/>
          <w:szCs w:val="20"/>
        </w:rPr>
        <w:instrText xml:space="preserve"> NOTEREF _Ref401053882 \h  \* MERGEFORMAT </w:instrText>
      </w:r>
      <w:r w:rsidRPr="006F0999">
        <w:rPr>
          <w:sz w:val="20"/>
          <w:szCs w:val="20"/>
        </w:rPr>
      </w:r>
      <w:r w:rsidRPr="006F0999">
        <w:rPr>
          <w:sz w:val="20"/>
          <w:szCs w:val="20"/>
        </w:rPr>
        <w:fldChar w:fldCharType="separate"/>
      </w:r>
      <w:r w:rsidRPr="006F0999">
        <w:rPr>
          <w:sz w:val="20"/>
          <w:szCs w:val="20"/>
        </w:rPr>
        <w:t>36</w:t>
      </w:r>
      <w:r w:rsidRPr="006F0999">
        <w:rPr>
          <w:sz w:val="20"/>
          <w:szCs w:val="20"/>
        </w:rPr>
        <w:fldChar w:fldCharType="end"/>
      </w:r>
      <w:r w:rsidRPr="006F0999">
        <w:rPr>
          <w:sz w:val="20"/>
          <w:szCs w:val="20"/>
        </w:rPr>
        <w:t>) 67 ff.</w:t>
      </w:r>
    </w:p>
  </w:footnote>
  <w:footnote w:id="199">
    <w:p w14:paraId="5842F323"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See above the quotation by Rüdiger Breuer, ‘Konkretisierungen des Rechtsstaats- und Demokratiegebotes’ (n </w:t>
      </w:r>
      <w:r w:rsidRPr="006F0999">
        <w:rPr>
          <w:sz w:val="20"/>
          <w:szCs w:val="20"/>
        </w:rPr>
        <w:fldChar w:fldCharType="begin"/>
      </w:r>
      <w:r w:rsidRPr="006F0999">
        <w:rPr>
          <w:sz w:val="20"/>
          <w:szCs w:val="20"/>
          <w:lang w:val="de-DE"/>
        </w:rPr>
        <w:instrText xml:space="preserve"> NOTEREF _Ref457855020 \h  \* MERGEFORMAT </w:instrText>
      </w:r>
      <w:r w:rsidRPr="006F0999">
        <w:rPr>
          <w:sz w:val="20"/>
          <w:szCs w:val="20"/>
        </w:rPr>
      </w:r>
      <w:r w:rsidRPr="006F0999">
        <w:rPr>
          <w:sz w:val="20"/>
          <w:szCs w:val="20"/>
        </w:rPr>
        <w:fldChar w:fldCharType="separate"/>
      </w:r>
      <w:r w:rsidRPr="006F0999">
        <w:rPr>
          <w:sz w:val="20"/>
          <w:szCs w:val="20"/>
          <w:lang w:val="de-DE"/>
        </w:rPr>
        <w:t>146</w:t>
      </w:r>
      <w:r w:rsidRPr="006F0999">
        <w:rPr>
          <w:sz w:val="20"/>
          <w:szCs w:val="20"/>
        </w:rPr>
        <w:fldChar w:fldCharType="end"/>
      </w:r>
      <w:r w:rsidRPr="006F0999">
        <w:rPr>
          <w:sz w:val="20"/>
          <w:szCs w:val="20"/>
          <w:lang w:val="de-DE"/>
        </w:rPr>
        <w:t>).</w:t>
      </w:r>
    </w:p>
  </w:footnote>
  <w:footnote w:id="200">
    <w:p w14:paraId="1B76624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So, more or less strongly,</w:t>
      </w:r>
      <w:r>
        <w:rPr>
          <w:sz w:val="20"/>
          <w:szCs w:val="20"/>
        </w:rPr>
        <w:t xml:space="preserve"> in Sweden, in the Netherlands: </w:t>
      </w:r>
      <w:r w:rsidRPr="006F0999">
        <w:rPr>
          <w:sz w:val="20"/>
          <w:szCs w:val="20"/>
        </w:rPr>
        <w:t xml:space="preserve">van Bijsterveld, ‘The Constitution in the legal order of the Netherlands’ (n </w:t>
      </w:r>
      <w:r w:rsidRPr="006F0999">
        <w:rPr>
          <w:sz w:val="20"/>
          <w:szCs w:val="20"/>
        </w:rPr>
        <w:fldChar w:fldCharType="begin"/>
      </w:r>
      <w:r w:rsidRPr="006F0999">
        <w:rPr>
          <w:sz w:val="20"/>
          <w:szCs w:val="20"/>
        </w:rPr>
        <w:instrText xml:space="preserve"> NOTEREF _Ref401051488 \h  \* MERGEFORMAT </w:instrText>
      </w:r>
      <w:r w:rsidRPr="006F0999">
        <w:rPr>
          <w:sz w:val="20"/>
          <w:szCs w:val="20"/>
        </w:rPr>
      </w:r>
      <w:r w:rsidRPr="006F0999">
        <w:rPr>
          <w:sz w:val="20"/>
          <w:szCs w:val="20"/>
        </w:rPr>
        <w:fldChar w:fldCharType="separate"/>
      </w:r>
      <w:r w:rsidRPr="006F0999">
        <w:rPr>
          <w:sz w:val="20"/>
          <w:szCs w:val="20"/>
        </w:rPr>
        <w:t>121</w:t>
      </w:r>
      <w:r w:rsidRPr="006F0999">
        <w:rPr>
          <w:sz w:val="20"/>
          <w:szCs w:val="20"/>
        </w:rPr>
        <w:fldChar w:fldCharType="end"/>
      </w:r>
      <w:r>
        <w:rPr>
          <w:sz w:val="20"/>
          <w:szCs w:val="20"/>
        </w:rPr>
        <w:t xml:space="preserve">); in Belgium: </w:t>
      </w:r>
      <w:r w:rsidRPr="006F0999">
        <w:rPr>
          <w:sz w:val="20"/>
          <w:szCs w:val="20"/>
        </w:rPr>
        <w:t>see the ‘standstill obligation’ imposed by the Constitutional Court</w:t>
      </w:r>
      <w:r>
        <w:rPr>
          <w:sz w:val="20"/>
          <w:szCs w:val="20"/>
        </w:rPr>
        <w:t xml:space="preserve"> in the context of art 23 Constitution; in Luxembourg;</w:t>
      </w:r>
      <w:r w:rsidRPr="006F0999">
        <w:rPr>
          <w:sz w:val="20"/>
          <w:szCs w:val="20"/>
        </w:rPr>
        <w:t xml:space="preserve"> and also, partially, in France</w:t>
      </w:r>
      <w:r>
        <w:rPr>
          <w:sz w:val="20"/>
          <w:szCs w:val="20"/>
        </w:rPr>
        <w:t>:</w:t>
      </w:r>
      <w:r w:rsidRPr="006F0999">
        <w:rPr>
          <w:sz w:val="20"/>
          <w:szCs w:val="20"/>
        </w:rPr>
        <w:t xml:space="preserve"> </w:t>
      </w:r>
      <w:r>
        <w:rPr>
          <w:sz w:val="20"/>
          <w:szCs w:val="20"/>
        </w:rPr>
        <w:t>see</w:t>
      </w:r>
      <w:r w:rsidRPr="006F0999">
        <w:rPr>
          <w:sz w:val="20"/>
          <w:szCs w:val="20"/>
        </w:rPr>
        <w:t xml:space="preserve"> </w:t>
      </w:r>
      <w:r>
        <w:rPr>
          <w:sz w:val="20"/>
          <w:szCs w:val="20"/>
        </w:rPr>
        <w:t>D. 1. c).</w:t>
      </w:r>
    </w:p>
  </w:footnote>
  <w:footnote w:id="201">
    <w:p w14:paraId="27A4179B" w14:textId="1EF7119B"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two institutions were more than close geographically (the </w:t>
      </w:r>
      <w:r w:rsidRPr="006F0999">
        <w:rPr>
          <w:i/>
          <w:sz w:val="20"/>
          <w:szCs w:val="20"/>
        </w:rPr>
        <w:t>Conseil constitutionnel</w:t>
      </w:r>
      <w:r w:rsidRPr="006F0999">
        <w:rPr>
          <w:sz w:val="20"/>
          <w:szCs w:val="20"/>
        </w:rPr>
        <w:t xml:space="preserve"> was and still is housed in a wing of the Palais-Royal, the seat of the </w:t>
      </w:r>
      <w:r w:rsidR="006B5A11">
        <w:rPr>
          <w:i/>
          <w:sz w:val="20"/>
          <w:szCs w:val="20"/>
        </w:rPr>
        <w:t xml:space="preserve">Conseil </w:t>
      </w:r>
      <w:r w:rsidRPr="006F0999">
        <w:rPr>
          <w:i/>
          <w:sz w:val="20"/>
          <w:szCs w:val="20"/>
        </w:rPr>
        <w:t>d</w:t>
      </w:r>
      <w:r w:rsidRPr="00895882">
        <w:rPr>
          <w:i/>
          <w:sz w:val="20"/>
          <w:szCs w:val="20"/>
        </w:rPr>
        <w:t>’</w:t>
      </w:r>
      <w:r w:rsidR="006B5A11">
        <w:rPr>
          <w:i/>
          <w:sz w:val="20"/>
          <w:szCs w:val="20"/>
        </w:rPr>
        <w:t>E</w:t>
      </w:r>
      <w:r w:rsidRPr="006F0999">
        <w:rPr>
          <w:i/>
          <w:sz w:val="20"/>
          <w:szCs w:val="20"/>
        </w:rPr>
        <w:t>tat</w:t>
      </w:r>
      <w:r w:rsidRPr="006F0999">
        <w:rPr>
          <w:sz w:val="20"/>
          <w:szCs w:val="20"/>
        </w:rPr>
        <w:t xml:space="preserve">). A large number of members of the Conseil constitutionnel were appointed amongst members of the </w:t>
      </w:r>
      <w:r w:rsidRPr="006F0999">
        <w:rPr>
          <w:i/>
          <w:sz w:val="20"/>
          <w:szCs w:val="20"/>
        </w:rPr>
        <w:t>Conseil d’Etat</w:t>
      </w:r>
      <w:r w:rsidRPr="006F0999">
        <w:rPr>
          <w:sz w:val="20"/>
          <w:szCs w:val="20"/>
        </w:rPr>
        <w:t xml:space="preserve">. For statistics, see Dominique Rousseau, </w:t>
      </w:r>
      <w:r w:rsidRPr="006F0999">
        <w:rPr>
          <w:i/>
          <w:sz w:val="20"/>
          <w:szCs w:val="20"/>
        </w:rPr>
        <w:t>Droit du contentieux constitutionnel</w:t>
      </w:r>
      <w:r w:rsidRPr="006F0999">
        <w:rPr>
          <w:sz w:val="20"/>
          <w:szCs w:val="20"/>
        </w:rPr>
        <w:t xml:space="preserve"> (10th edn, LGDJ, Paris, 2013) 62 ff. Traditionally, the Secretary General of the </w:t>
      </w:r>
      <w:r w:rsidRPr="006F0999">
        <w:rPr>
          <w:i/>
          <w:sz w:val="20"/>
          <w:szCs w:val="20"/>
        </w:rPr>
        <w:t>Conseil constitutionnel</w:t>
      </w:r>
      <w:r w:rsidRPr="006F0999">
        <w:rPr>
          <w:sz w:val="20"/>
          <w:szCs w:val="20"/>
        </w:rPr>
        <w:t xml:space="preserve"> is a member of the </w:t>
      </w:r>
      <w:r w:rsidRPr="006F0999">
        <w:rPr>
          <w:i/>
          <w:sz w:val="20"/>
          <w:szCs w:val="20"/>
        </w:rPr>
        <w:t>Conseil d</w:t>
      </w:r>
      <w:r w:rsidRPr="00895882">
        <w:rPr>
          <w:i/>
          <w:sz w:val="20"/>
          <w:szCs w:val="20"/>
        </w:rPr>
        <w:t>’</w:t>
      </w:r>
      <w:r w:rsidR="006B5A11">
        <w:rPr>
          <w:i/>
          <w:sz w:val="20"/>
          <w:szCs w:val="20"/>
        </w:rPr>
        <w:t>E</w:t>
      </w:r>
      <w:r w:rsidRPr="006F0999">
        <w:rPr>
          <w:i/>
          <w:sz w:val="20"/>
          <w:szCs w:val="20"/>
        </w:rPr>
        <w:t>tat</w:t>
      </w:r>
      <w:r w:rsidRPr="006F0999">
        <w:rPr>
          <w:sz w:val="20"/>
          <w:szCs w:val="20"/>
        </w:rPr>
        <w:t xml:space="preserve">. Moreover, the </w:t>
      </w:r>
      <w:r w:rsidRPr="006F0999">
        <w:rPr>
          <w:i/>
          <w:sz w:val="20"/>
          <w:szCs w:val="20"/>
        </w:rPr>
        <w:t>Conseil d</w:t>
      </w:r>
      <w:r w:rsidRPr="00895882">
        <w:rPr>
          <w:i/>
          <w:sz w:val="20"/>
          <w:szCs w:val="20"/>
        </w:rPr>
        <w:t>’</w:t>
      </w:r>
      <w:r w:rsidRPr="006F0999">
        <w:rPr>
          <w:i/>
          <w:sz w:val="20"/>
          <w:szCs w:val="20"/>
        </w:rPr>
        <w:t>État</w:t>
      </w:r>
      <w:r w:rsidRPr="006F0999">
        <w:rPr>
          <w:sz w:val="20"/>
          <w:szCs w:val="20"/>
        </w:rPr>
        <w:t xml:space="preserve"> provided most clerks of the </w:t>
      </w:r>
      <w:r w:rsidRPr="006F0999">
        <w:rPr>
          <w:i/>
          <w:sz w:val="20"/>
          <w:szCs w:val="20"/>
        </w:rPr>
        <w:t>Conseil constitutionnel</w:t>
      </w:r>
      <w:r w:rsidRPr="006F0999">
        <w:rPr>
          <w:sz w:val="20"/>
          <w:szCs w:val="20"/>
        </w:rPr>
        <w:t>. They supplied precious legal expertise to the Constitutional councilors, especially to those who were not trained in law.</w:t>
      </w:r>
    </w:p>
  </w:footnote>
  <w:footnote w:id="202">
    <w:p w14:paraId="5D2A4D6E"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Walter Leisner, </w:t>
      </w:r>
      <w:r w:rsidRPr="006F0999">
        <w:rPr>
          <w:i/>
          <w:sz w:val="20"/>
          <w:szCs w:val="20"/>
          <w:lang w:val="de-DE"/>
        </w:rPr>
        <w:t>Von der Verfassungsmäßigkeit der Gesetze zur Gesetzmäßigkeit der Verfassung.</w:t>
      </w:r>
      <w:r w:rsidRPr="006F0999">
        <w:rPr>
          <w:sz w:val="20"/>
          <w:szCs w:val="20"/>
          <w:lang w:val="de-DE"/>
        </w:rPr>
        <w:t xml:space="preserve"> </w:t>
      </w:r>
      <w:r w:rsidRPr="006F0999">
        <w:rPr>
          <w:bCs/>
          <w:i/>
          <w:sz w:val="20"/>
          <w:szCs w:val="20"/>
          <w:lang w:val="de-DE"/>
        </w:rPr>
        <w:t>Betrachtungen zur möglichen selbständigen Begrifflichkeit im Verfassungsrecht</w:t>
      </w:r>
      <w:r w:rsidRPr="006F0999">
        <w:rPr>
          <w:sz w:val="20"/>
          <w:szCs w:val="20"/>
          <w:lang w:val="de-DE"/>
        </w:rPr>
        <w:t xml:space="preserve"> (Mohr, Tübingen, 1964).</w:t>
      </w:r>
    </w:p>
  </w:footnote>
  <w:footnote w:id="203">
    <w:p w14:paraId="3AE950AC"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Depending on each society, the Constitution may be viewed as the supreme expression of popular will, as the receptacle of society’s highest values, as the epitome of ancient traditions, as the work of particularly wise founding fathers (e.g., Charles de Gaulle, the saviour of the French nation), as the surrogate for the nation (Germany’s ‘constitutional patriotism’) and/or as the result of a difficult compromise which should not be questioned (Italy).</w:t>
      </w:r>
    </w:p>
  </w:footnote>
  <w:footnote w:id="204">
    <w:p w14:paraId="23C8BCEA" w14:textId="77777777" w:rsidR="0089313D" w:rsidRPr="00535743" w:rsidRDefault="0089313D" w:rsidP="00DE2EDF">
      <w:pPr>
        <w:pStyle w:val="FootnoteText"/>
        <w:spacing w:line="276" w:lineRule="auto"/>
        <w:rPr>
          <w:sz w:val="20"/>
          <w:szCs w:val="20"/>
          <w:lang w:val="de-DE"/>
        </w:rPr>
      </w:pPr>
      <w:r w:rsidRPr="006F0999">
        <w:rPr>
          <w:rStyle w:val="FootnoteReference"/>
          <w:sz w:val="20"/>
          <w:szCs w:val="20"/>
        </w:rPr>
        <w:footnoteRef/>
      </w:r>
      <w:r w:rsidRPr="00535743">
        <w:rPr>
          <w:sz w:val="20"/>
          <w:szCs w:val="20"/>
          <w:lang w:val="de-DE"/>
        </w:rPr>
        <w:t xml:space="preserve"> Especially striking: Japan. See Yōichi Higuchi, ‘Dignité humaine’, in Rainer Grote (ed), </w:t>
      </w:r>
      <w:r w:rsidRPr="00535743">
        <w:rPr>
          <w:i/>
          <w:sz w:val="20"/>
          <w:szCs w:val="20"/>
          <w:lang w:val="de-DE"/>
        </w:rPr>
        <w:t>Die Ordnung der Freiheit: Festschrift für Christian Starck zum siebzigsten Geburtstag</w:t>
      </w:r>
      <w:r w:rsidRPr="00535743">
        <w:rPr>
          <w:sz w:val="20"/>
          <w:szCs w:val="20"/>
          <w:lang w:val="de-DE"/>
        </w:rPr>
        <w:t xml:space="preserve"> (Mohr, Tübingen, 2007) 798.</w:t>
      </w:r>
    </w:p>
  </w:footnote>
  <w:footnote w:id="205">
    <w:p w14:paraId="67041C1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Andrzej Wróbel, ‘Polen’ (n </w:t>
      </w:r>
      <w:r w:rsidRPr="006F0999">
        <w:rPr>
          <w:sz w:val="20"/>
          <w:szCs w:val="20"/>
        </w:rPr>
        <w:fldChar w:fldCharType="begin"/>
      </w:r>
      <w:r w:rsidRPr="006F0999">
        <w:rPr>
          <w:sz w:val="20"/>
          <w:szCs w:val="20"/>
        </w:rPr>
        <w:instrText xml:space="preserve"> NOTEREF _Ref401056135 \h  \* MERGEFORMAT </w:instrText>
      </w:r>
      <w:r w:rsidRPr="006F0999">
        <w:rPr>
          <w:sz w:val="20"/>
          <w:szCs w:val="20"/>
        </w:rPr>
      </w:r>
      <w:r w:rsidRPr="006F0999">
        <w:rPr>
          <w:sz w:val="20"/>
          <w:szCs w:val="20"/>
        </w:rPr>
        <w:fldChar w:fldCharType="separate"/>
      </w:r>
      <w:r w:rsidRPr="006F0999">
        <w:rPr>
          <w:sz w:val="20"/>
          <w:szCs w:val="20"/>
        </w:rPr>
        <w:t>37</w:t>
      </w:r>
      <w:r w:rsidRPr="006F0999">
        <w:rPr>
          <w:sz w:val="20"/>
          <w:szCs w:val="20"/>
        </w:rPr>
        <w:fldChar w:fldCharType="end"/>
      </w:r>
      <w:r w:rsidRPr="006F0999">
        <w:rPr>
          <w:sz w:val="20"/>
          <w:szCs w:val="20"/>
        </w:rPr>
        <w:t>) 270. The same applies to Hungary.</w:t>
      </w:r>
    </w:p>
  </w:footnote>
  <w:footnote w:id="206">
    <w:p w14:paraId="23B6C2A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‘struggle for the Constitution’ in Italy, see Mario Dogliani and Cesare Pinelli, ‘Italien’, in Armin von Bogdandy, Pedro Cruz Villalón and Peter M Huber (eds), </w:t>
      </w:r>
      <w:r w:rsidRPr="006F0999">
        <w:rPr>
          <w:i/>
          <w:sz w:val="20"/>
          <w:szCs w:val="20"/>
        </w:rPr>
        <w:t>IPE I</w:t>
      </w:r>
      <w:r w:rsidRPr="006F0999">
        <w:rPr>
          <w:sz w:val="20"/>
          <w:szCs w:val="20"/>
        </w:rPr>
        <w:t xml:space="preserve"> (n </w:t>
      </w:r>
      <w:r w:rsidRPr="006F0999">
        <w:rPr>
          <w:sz w:val="20"/>
          <w:szCs w:val="20"/>
        </w:rPr>
        <w:fldChar w:fldCharType="begin"/>
      </w:r>
      <w:r w:rsidRPr="006F0999">
        <w:rPr>
          <w:sz w:val="20"/>
          <w:szCs w:val="20"/>
        </w:rPr>
        <w:instrText xml:space="preserve"> NOTEREF _Ref401054324 \h  \* MERGEFORMAT </w:instrText>
      </w:r>
      <w:r w:rsidRPr="006F0999">
        <w:rPr>
          <w:sz w:val="20"/>
          <w:szCs w:val="20"/>
        </w:rPr>
      </w:r>
      <w:r w:rsidRPr="006F0999">
        <w:rPr>
          <w:sz w:val="20"/>
          <w:szCs w:val="20"/>
        </w:rPr>
        <w:fldChar w:fldCharType="separate"/>
      </w:r>
      <w:r w:rsidRPr="006F0999">
        <w:rPr>
          <w:sz w:val="20"/>
          <w:szCs w:val="20"/>
        </w:rPr>
        <w:t>64</w:t>
      </w:r>
      <w:r w:rsidRPr="006F0999">
        <w:rPr>
          <w:sz w:val="20"/>
          <w:szCs w:val="20"/>
        </w:rPr>
        <w:fldChar w:fldCharType="end"/>
      </w:r>
      <w:r w:rsidRPr="006F0999">
        <w:rPr>
          <w:sz w:val="20"/>
          <w:szCs w:val="20"/>
        </w:rPr>
        <w:t>) 282ff, 300.</w:t>
      </w:r>
    </w:p>
  </w:footnote>
  <w:footnote w:id="207">
    <w:p w14:paraId="35572749" w14:textId="7D90A9C5"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One interesting French example is the</w:t>
      </w:r>
      <w:r w:rsidRPr="006F0999">
        <w:rPr>
          <w:i/>
          <w:sz w:val="20"/>
          <w:szCs w:val="20"/>
        </w:rPr>
        <w:t xml:space="preserve"> Conseil d</w:t>
      </w:r>
      <w:r w:rsidRPr="00895882">
        <w:rPr>
          <w:i/>
          <w:sz w:val="20"/>
          <w:szCs w:val="20"/>
        </w:rPr>
        <w:t>’</w:t>
      </w:r>
      <w:r w:rsidR="00C70ADF">
        <w:rPr>
          <w:i/>
          <w:sz w:val="20"/>
          <w:szCs w:val="20"/>
        </w:rPr>
        <w:t>E</w:t>
      </w:r>
      <w:r w:rsidRPr="006F0999">
        <w:rPr>
          <w:i/>
          <w:sz w:val="20"/>
          <w:szCs w:val="20"/>
        </w:rPr>
        <w:t>tat</w:t>
      </w:r>
      <w:r w:rsidRPr="006F0999">
        <w:rPr>
          <w:sz w:val="20"/>
          <w:szCs w:val="20"/>
        </w:rPr>
        <w:t xml:space="preserve">’s refusal, in its seminal decision </w:t>
      </w:r>
      <w:r w:rsidRPr="006F0999">
        <w:rPr>
          <w:i/>
          <w:sz w:val="20"/>
          <w:szCs w:val="20"/>
        </w:rPr>
        <w:t>Syndicat général des fabricants de semoules de France</w:t>
      </w:r>
      <w:r w:rsidRPr="006F0999">
        <w:rPr>
          <w:sz w:val="20"/>
          <w:szCs w:val="20"/>
        </w:rPr>
        <w:t xml:space="preserve"> (1.3.1968), to implement art 55 of the Constitution of 1958, which establishes the primacy of international treaties over national statutes. For a historical account, see Alice Fuchs-Cessot, </w:t>
      </w:r>
      <w:r w:rsidRPr="006F0999">
        <w:rPr>
          <w:i/>
          <w:sz w:val="20"/>
          <w:szCs w:val="20"/>
        </w:rPr>
        <w:t>Le Parlement à l’épreuve de l’Europe et de la Ve République</w:t>
      </w:r>
      <w:r w:rsidRPr="006F0999">
        <w:rPr>
          <w:sz w:val="20"/>
          <w:szCs w:val="20"/>
        </w:rPr>
        <w:t xml:space="preserve"> (LGDJ, Paris, 2004) 141 ff. This refusal may be explained by the profound illegitimacy of this provision in the eyes of the Gaullist political majority. Art 55 was a remnant of the former 1946 Constitution of the Fourth Republic which, in 1958, during the constituent debates, had been maintained under the pressure of the Ministry of Foreign Affairs. </w:t>
      </w:r>
      <w:r w:rsidRPr="006F0999">
        <w:rPr>
          <w:sz w:val="20"/>
          <w:szCs w:val="20"/>
          <w:lang w:val="fr-FR"/>
        </w:rPr>
        <w:t>For more examples, see</w:t>
      </w:r>
      <w:r w:rsidRPr="006F0999">
        <w:rPr>
          <w:i/>
          <w:sz w:val="20"/>
          <w:szCs w:val="20"/>
          <w:lang w:val="fr-FR"/>
        </w:rPr>
        <w:t xml:space="preserve"> </w:t>
      </w:r>
      <w:r w:rsidRPr="006F0999">
        <w:rPr>
          <w:sz w:val="20"/>
          <w:szCs w:val="20"/>
          <w:lang w:val="fr-FR"/>
        </w:rPr>
        <w:t xml:space="preserve">François Luchaire, ‘Le Conseil d’Etat et la Constitution’ (1979) </w:t>
      </w:r>
      <w:r w:rsidRPr="006F0999">
        <w:rPr>
          <w:i/>
          <w:sz w:val="20"/>
          <w:szCs w:val="20"/>
          <w:lang w:val="fr-FR"/>
        </w:rPr>
        <w:t>Revue administrative</w:t>
      </w:r>
      <w:r w:rsidRPr="006F0999">
        <w:rPr>
          <w:sz w:val="20"/>
          <w:szCs w:val="20"/>
          <w:lang w:val="fr-FR"/>
        </w:rPr>
        <w:t xml:space="preserve"> 141 ff; Favoreu, ‘Droit administratif et normes constitutionnelles’ (n 44); Georges Vedel, ‘Discontinuité du droit constitutionnel et continuité du droit administratif’ (n </w:t>
      </w:r>
      <w:r w:rsidRPr="006F0999">
        <w:rPr>
          <w:sz w:val="20"/>
          <w:szCs w:val="20"/>
        </w:rPr>
        <w:fldChar w:fldCharType="begin"/>
      </w:r>
      <w:r w:rsidRPr="006F0999">
        <w:rPr>
          <w:sz w:val="20"/>
          <w:szCs w:val="20"/>
          <w:lang w:val="fr-FR"/>
        </w:rPr>
        <w:instrText xml:space="preserve"> NOTEREF _Ref401055821 \h  \* MERGEFORMAT </w:instrText>
      </w:r>
      <w:r w:rsidRPr="006F0999">
        <w:rPr>
          <w:sz w:val="20"/>
          <w:szCs w:val="20"/>
        </w:rPr>
      </w:r>
      <w:r w:rsidRPr="006F0999">
        <w:rPr>
          <w:sz w:val="20"/>
          <w:szCs w:val="20"/>
        </w:rPr>
        <w:fldChar w:fldCharType="separate"/>
      </w:r>
      <w:r w:rsidRPr="006F0999">
        <w:rPr>
          <w:sz w:val="20"/>
          <w:szCs w:val="20"/>
          <w:lang w:val="fr-FR"/>
        </w:rPr>
        <w:t>28</w:t>
      </w:r>
      <w:r w:rsidRPr="006F0999">
        <w:rPr>
          <w:sz w:val="20"/>
          <w:szCs w:val="20"/>
        </w:rPr>
        <w:fldChar w:fldCharType="end"/>
      </w:r>
      <w:r w:rsidRPr="006F0999">
        <w:rPr>
          <w:sz w:val="20"/>
          <w:szCs w:val="20"/>
          <w:lang w:val="fr-FR"/>
        </w:rPr>
        <w:t>); Luc Heuschling, ‘La Constitution formelle’</w:t>
      </w:r>
      <w:r w:rsidRPr="006F0999">
        <w:rPr>
          <w:i/>
          <w:sz w:val="20"/>
          <w:szCs w:val="20"/>
          <w:lang w:val="fr-FR"/>
        </w:rPr>
        <w:t xml:space="preserve"> </w:t>
      </w:r>
      <w:r w:rsidRPr="006F0999">
        <w:rPr>
          <w:sz w:val="20"/>
          <w:szCs w:val="20"/>
          <w:lang w:val="fr-FR"/>
        </w:rPr>
        <w:t xml:space="preserve">(n </w:t>
      </w:r>
      <w:r w:rsidRPr="006F0999">
        <w:rPr>
          <w:sz w:val="20"/>
          <w:szCs w:val="20"/>
        </w:rPr>
        <w:fldChar w:fldCharType="begin"/>
      </w:r>
      <w:r w:rsidRPr="006F0999">
        <w:rPr>
          <w:sz w:val="20"/>
          <w:szCs w:val="20"/>
          <w:lang w:val="fr-FR"/>
        </w:rPr>
        <w:instrText xml:space="preserve"> NOTEREF _Ref401055775 \h  \* MERGEFORMAT </w:instrText>
      </w:r>
      <w:r w:rsidRPr="006F0999">
        <w:rPr>
          <w:sz w:val="20"/>
          <w:szCs w:val="20"/>
        </w:rPr>
      </w:r>
      <w:r w:rsidRPr="006F0999">
        <w:rPr>
          <w:sz w:val="20"/>
          <w:szCs w:val="20"/>
        </w:rPr>
        <w:fldChar w:fldCharType="separate"/>
      </w:r>
      <w:r w:rsidRPr="006F0999">
        <w:rPr>
          <w:sz w:val="20"/>
          <w:szCs w:val="20"/>
          <w:lang w:val="fr-FR"/>
        </w:rPr>
        <w:t>55</w:t>
      </w:r>
      <w:r w:rsidRPr="006F0999">
        <w:rPr>
          <w:sz w:val="20"/>
          <w:szCs w:val="20"/>
        </w:rPr>
        <w:fldChar w:fldCharType="end"/>
      </w:r>
      <w:r w:rsidRPr="006F0999">
        <w:rPr>
          <w:sz w:val="20"/>
          <w:szCs w:val="20"/>
          <w:lang w:val="fr-FR"/>
        </w:rPr>
        <w:t>) 277 ff.</w:t>
      </w:r>
    </w:p>
  </w:footnote>
  <w:footnote w:id="208">
    <w:p w14:paraId="6B8AFD73" w14:textId="4AE7B7A8"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Gilles Guglielmi, </w:t>
      </w:r>
      <w:r w:rsidRPr="006F0999">
        <w:rPr>
          <w:i/>
          <w:sz w:val="20"/>
          <w:szCs w:val="20"/>
          <w:lang w:val="fr-FR"/>
        </w:rPr>
        <w:t>La notion d</w:t>
      </w:r>
      <w:r w:rsidRPr="00895882">
        <w:rPr>
          <w:i/>
          <w:sz w:val="20"/>
          <w:szCs w:val="20"/>
        </w:rPr>
        <w:t>’</w:t>
      </w:r>
      <w:r w:rsidRPr="006F0999">
        <w:rPr>
          <w:i/>
          <w:sz w:val="20"/>
          <w:szCs w:val="20"/>
          <w:lang w:val="fr-FR"/>
        </w:rPr>
        <w:t>administration publique dans la théorie juridique française</w:t>
      </w:r>
      <w:r w:rsidRPr="006F0999">
        <w:rPr>
          <w:sz w:val="20"/>
          <w:szCs w:val="20"/>
          <w:lang w:val="fr-FR"/>
        </w:rPr>
        <w:t xml:space="preserve"> </w:t>
      </w:r>
      <w:r w:rsidRPr="006F0999">
        <w:rPr>
          <w:i/>
          <w:sz w:val="20"/>
          <w:szCs w:val="20"/>
          <w:lang w:val="fr-FR"/>
        </w:rPr>
        <w:t>1789–1889</w:t>
      </w:r>
      <w:r w:rsidRPr="006F0999">
        <w:rPr>
          <w:sz w:val="20"/>
          <w:szCs w:val="20"/>
          <w:lang w:val="fr-FR"/>
        </w:rPr>
        <w:t xml:space="preserve"> (LGDJ, Paris, 1991) 295 ff.</w:t>
      </w:r>
    </w:p>
  </w:footnote>
  <w:footnote w:id="209">
    <w:p w14:paraId="4E2A0E20"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Michel Verpeaux (ed), </w:t>
      </w:r>
      <w:r w:rsidRPr="006F0999">
        <w:rPr>
          <w:i/>
          <w:sz w:val="20"/>
          <w:szCs w:val="20"/>
          <w:lang w:val="fr-FR"/>
        </w:rPr>
        <w:t>Code civil et constitution(s)</w:t>
      </w:r>
      <w:r w:rsidRPr="006F0999">
        <w:rPr>
          <w:sz w:val="20"/>
          <w:szCs w:val="20"/>
          <w:lang w:val="fr-FR"/>
        </w:rPr>
        <w:t xml:space="preserve"> (Economica, Paris, 2005).</w:t>
      </w:r>
    </w:p>
  </w:footnote>
  <w:footnote w:id="210">
    <w:p w14:paraId="3E6CCA73"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Pierre Legendre, </w:t>
      </w:r>
      <w:r w:rsidRPr="006F0999">
        <w:rPr>
          <w:i/>
          <w:sz w:val="20"/>
          <w:szCs w:val="20"/>
          <w:lang w:val="fr-FR"/>
        </w:rPr>
        <w:t>Trésor historique de l’Etat en France</w:t>
      </w:r>
      <w:r>
        <w:rPr>
          <w:sz w:val="20"/>
          <w:szCs w:val="20"/>
          <w:lang w:val="fr-FR"/>
        </w:rPr>
        <w:t xml:space="preserve"> (Fayard, Paris, 1992) 47, 589: </w:t>
      </w:r>
      <w:r w:rsidRPr="006F0999">
        <w:rPr>
          <w:sz w:val="20"/>
          <w:szCs w:val="20"/>
          <w:lang w:val="fr-FR"/>
        </w:rPr>
        <w:t xml:space="preserve">‘administrative </w:t>
      </w:r>
      <w:r>
        <w:rPr>
          <w:sz w:val="20"/>
          <w:szCs w:val="20"/>
          <w:lang w:val="fr-FR"/>
        </w:rPr>
        <w:t>law, as our real political law’</w:t>
      </w:r>
      <w:r w:rsidRPr="006F0999">
        <w:rPr>
          <w:sz w:val="20"/>
          <w:szCs w:val="20"/>
          <w:lang w:val="fr-FR"/>
        </w:rPr>
        <w:t xml:space="preserve">. </w:t>
      </w:r>
      <w:r w:rsidRPr="006F0999">
        <w:rPr>
          <w:sz w:val="20"/>
          <w:szCs w:val="20"/>
        </w:rPr>
        <w:t xml:space="preserve">In the French literature, it was also very common in the past to talk about France’s ‘administrative Constitution’ established by Napoleon. </w:t>
      </w:r>
      <w:r w:rsidRPr="006F0999">
        <w:rPr>
          <w:sz w:val="20"/>
          <w:szCs w:val="20"/>
          <w:lang w:val="fr-FR"/>
        </w:rPr>
        <w:t>See</w:t>
      </w:r>
      <w:r w:rsidRPr="006F0999">
        <w:rPr>
          <w:rStyle w:val="Heading2Char"/>
          <w:sz w:val="20"/>
          <w:szCs w:val="20"/>
          <w:lang w:val="fr-FR"/>
        </w:rPr>
        <w:t xml:space="preserve"> </w:t>
      </w:r>
      <w:r w:rsidRPr="006F0999">
        <w:rPr>
          <w:rStyle w:val="Heading2Char"/>
          <w:b w:val="0"/>
          <w:sz w:val="20"/>
          <w:szCs w:val="20"/>
          <w:lang w:val="fr-FR"/>
        </w:rPr>
        <w:t>Pierre Delvolvé, ‘Rapport introductif’, in</w:t>
      </w:r>
      <w:r w:rsidRPr="006F0999">
        <w:rPr>
          <w:rStyle w:val="Heading2Char"/>
          <w:sz w:val="20"/>
          <w:szCs w:val="20"/>
          <w:lang w:val="fr-FR"/>
        </w:rPr>
        <w:t xml:space="preserve"> </w:t>
      </w:r>
      <w:r w:rsidRPr="006F0999">
        <w:rPr>
          <w:sz w:val="20"/>
          <w:szCs w:val="20"/>
          <w:lang w:val="fr-FR"/>
        </w:rPr>
        <w:t>Bertrand Seiller and others</w:t>
      </w:r>
      <w:r w:rsidRPr="006F0999">
        <w:rPr>
          <w:rStyle w:val="auteur-content"/>
          <w:rFonts w:eastAsiaTheme="majorEastAsia"/>
          <w:sz w:val="20"/>
          <w:szCs w:val="20"/>
          <w:lang w:val="fr-FR"/>
        </w:rPr>
        <w:t xml:space="preserve"> (eds),</w:t>
      </w:r>
      <w:r w:rsidRPr="006F0999">
        <w:rPr>
          <w:sz w:val="20"/>
          <w:szCs w:val="20"/>
          <w:lang w:val="fr-FR"/>
        </w:rPr>
        <w:t xml:space="preserve"> </w:t>
      </w:r>
      <w:r w:rsidRPr="006F0999">
        <w:rPr>
          <w:i/>
          <w:sz w:val="20"/>
          <w:szCs w:val="20"/>
          <w:lang w:val="fr-FR"/>
        </w:rPr>
        <w:t>La constitution administrative de la France</w:t>
      </w:r>
      <w:r w:rsidRPr="006F0999">
        <w:rPr>
          <w:sz w:val="20"/>
          <w:szCs w:val="20"/>
          <w:lang w:val="fr-FR"/>
        </w:rPr>
        <w:t xml:space="preserve"> (Dalloz, Paris, 2012) 3 ff.</w:t>
      </w:r>
    </w:p>
  </w:footnote>
  <w:footnote w:id="211">
    <w:p w14:paraId="6E9F7C0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w:t>
      </w:r>
      <w:r w:rsidRPr="006F0999">
        <w:rPr>
          <w:iCs w:val="0"/>
          <w:sz w:val="20"/>
          <w:szCs w:val="20"/>
        </w:rPr>
        <w:t xml:space="preserve">Despite a common name and similar historic origins, the countries’ </w:t>
      </w:r>
      <w:r w:rsidRPr="006F0999">
        <w:rPr>
          <w:i/>
          <w:iCs w:val="0"/>
          <w:sz w:val="20"/>
          <w:szCs w:val="20"/>
        </w:rPr>
        <w:t>Conseil d’Etat</w:t>
      </w:r>
      <w:r w:rsidRPr="006F0999">
        <w:rPr>
          <w:iCs w:val="0"/>
          <w:sz w:val="20"/>
          <w:szCs w:val="20"/>
        </w:rPr>
        <w:t xml:space="preserve"> are not entirely similar these days.</w:t>
      </w:r>
    </w:p>
  </w:footnote>
  <w:footnote w:id="212">
    <w:p w14:paraId="77665270"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Thomas </w:t>
      </w:r>
      <w:r>
        <w:rPr>
          <w:sz w:val="20"/>
          <w:szCs w:val="20"/>
        </w:rPr>
        <w:t>Bull, ‘Judges without a Court</w:t>
      </w:r>
      <w:r w:rsidRPr="00052B59">
        <w:rPr>
          <w:sz w:val="20"/>
          <w:szCs w:val="20"/>
        </w:rPr>
        <w:t>—</w:t>
      </w:r>
      <w:r w:rsidRPr="006F0999">
        <w:rPr>
          <w:sz w:val="20"/>
          <w:szCs w:val="20"/>
        </w:rPr>
        <w:t xml:space="preserve">Judicial Preview in Sweden’, in Tom Campbell, Keith D Ewing, Adam Tomkins (eds), </w:t>
      </w:r>
      <w:r w:rsidRPr="006F0999">
        <w:rPr>
          <w:i/>
          <w:sz w:val="20"/>
          <w:szCs w:val="20"/>
        </w:rPr>
        <w:t>The Legal Protection of Human Rights</w:t>
      </w:r>
      <w:r w:rsidRPr="006F0999">
        <w:rPr>
          <w:sz w:val="20"/>
          <w:szCs w:val="20"/>
        </w:rPr>
        <w:t xml:space="preserve"> (OUP, Oxford, 2011) 392 ff.</w:t>
      </w:r>
    </w:p>
  </w:footnote>
  <w:footnote w:id="213">
    <w:p w14:paraId="2B75858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past and current role of this Committee whose modus operandi is quasi-judicial and guided by mere legal considerations, see Jaakko Husa, </w:t>
      </w:r>
      <w:r w:rsidRPr="006F0999">
        <w:rPr>
          <w:i/>
          <w:iCs w:val="0"/>
          <w:sz w:val="20"/>
          <w:szCs w:val="20"/>
        </w:rPr>
        <w:t>Nordic Reflections on Constitutional Law</w:t>
      </w:r>
      <w:r w:rsidRPr="006F0999">
        <w:rPr>
          <w:iCs w:val="0"/>
          <w:sz w:val="20"/>
          <w:szCs w:val="20"/>
        </w:rPr>
        <w:t xml:space="preserve"> (n </w:t>
      </w:r>
      <w:r w:rsidRPr="006F0999">
        <w:rPr>
          <w:iCs w:val="0"/>
          <w:sz w:val="20"/>
          <w:szCs w:val="20"/>
        </w:rPr>
        <w:fldChar w:fldCharType="begin"/>
      </w:r>
      <w:r w:rsidRPr="006F0999">
        <w:rPr>
          <w:iCs w:val="0"/>
          <w:sz w:val="20"/>
          <w:szCs w:val="20"/>
        </w:rPr>
        <w:instrText xml:space="preserve"> NOTEREF _Ref457848459 \h  \* MERGEFORMAT </w:instrText>
      </w:r>
      <w:r w:rsidRPr="006F0999">
        <w:rPr>
          <w:iCs w:val="0"/>
          <w:sz w:val="20"/>
          <w:szCs w:val="20"/>
        </w:rPr>
      </w:r>
      <w:r w:rsidRPr="006F0999">
        <w:rPr>
          <w:iCs w:val="0"/>
          <w:sz w:val="20"/>
          <w:szCs w:val="20"/>
        </w:rPr>
        <w:fldChar w:fldCharType="separate"/>
      </w:r>
      <w:r w:rsidRPr="006F0999">
        <w:rPr>
          <w:iCs w:val="0"/>
          <w:sz w:val="20"/>
          <w:szCs w:val="20"/>
        </w:rPr>
        <w:t>125</w:t>
      </w:r>
      <w:r w:rsidRPr="006F0999">
        <w:rPr>
          <w:iCs w:val="0"/>
          <w:sz w:val="20"/>
          <w:szCs w:val="20"/>
        </w:rPr>
        <w:fldChar w:fldCharType="end"/>
      </w:r>
      <w:r w:rsidRPr="006F0999">
        <w:rPr>
          <w:iCs w:val="0"/>
          <w:sz w:val="20"/>
          <w:szCs w:val="20"/>
        </w:rPr>
        <w:t>)</w:t>
      </w:r>
      <w:r w:rsidRPr="006F0999">
        <w:rPr>
          <w:i/>
          <w:iCs w:val="0"/>
          <w:sz w:val="20"/>
          <w:szCs w:val="20"/>
        </w:rPr>
        <w:t xml:space="preserve"> </w:t>
      </w:r>
      <w:r w:rsidRPr="006F0999">
        <w:rPr>
          <w:sz w:val="20"/>
          <w:szCs w:val="20"/>
        </w:rPr>
        <w:t xml:space="preserve">139 ff; Jaakko Husa, </w:t>
      </w:r>
      <w:r w:rsidRPr="006F0999">
        <w:rPr>
          <w:i/>
          <w:sz w:val="20"/>
          <w:szCs w:val="20"/>
        </w:rPr>
        <w:t>The Constitution of Finland</w:t>
      </w:r>
      <w:r w:rsidRPr="006F0999">
        <w:rPr>
          <w:sz w:val="20"/>
          <w:szCs w:val="20"/>
        </w:rPr>
        <w:t xml:space="preserve"> (Hart, Oxford, 2011) 158, and also 78 ff.</w:t>
      </w:r>
    </w:p>
  </w:footnote>
  <w:footnote w:id="214">
    <w:p w14:paraId="56915D98"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Jaakko Husa, </w:t>
      </w:r>
      <w:r w:rsidRPr="006F0999">
        <w:rPr>
          <w:i/>
          <w:sz w:val="20"/>
          <w:szCs w:val="20"/>
        </w:rPr>
        <w:t>The Constitution of Finland</w:t>
      </w:r>
      <w:r w:rsidRPr="006F0999">
        <w:rPr>
          <w:sz w:val="20"/>
          <w:szCs w:val="20"/>
        </w:rPr>
        <w:t xml:space="preserve"> (n </w:t>
      </w:r>
      <w:r w:rsidRPr="006F0999">
        <w:rPr>
          <w:sz w:val="20"/>
          <w:szCs w:val="20"/>
        </w:rPr>
        <w:fldChar w:fldCharType="begin"/>
      </w:r>
      <w:r w:rsidRPr="006F0999">
        <w:rPr>
          <w:sz w:val="20"/>
          <w:szCs w:val="20"/>
        </w:rPr>
        <w:instrText xml:space="preserve"> NOTEREF _Ref457886113 \h  \* MERGEFORMAT </w:instrText>
      </w:r>
      <w:r w:rsidRPr="006F0999">
        <w:rPr>
          <w:sz w:val="20"/>
          <w:szCs w:val="20"/>
        </w:rPr>
      </w:r>
      <w:r w:rsidRPr="006F0999">
        <w:rPr>
          <w:sz w:val="20"/>
          <w:szCs w:val="20"/>
        </w:rPr>
        <w:fldChar w:fldCharType="separate"/>
      </w:r>
      <w:r w:rsidRPr="006F0999">
        <w:rPr>
          <w:sz w:val="20"/>
          <w:szCs w:val="20"/>
        </w:rPr>
        <w:t>211</w:t>
      </w:r>
      <w:r w:rsidRPr="006F0999">
        <w:rPr>
          <w:sz w:val="20"/>
          <w:szCs w:val="20"/>
        </w:rPr>
        <w:fldChar w:fldCharType="end"/>
      </w:r>
      <w:r w:rsidRPr="006F0999">
        <w:rPr>
          <w:sz w:val="20"/>
          <w:szCs w:val="20"/>
        </w:rPr>
        <w:t>) 152 ff.</w:t>
      </w:r>
    </w:p>
  </w:footnote>
  <w:footnote w:id="215">
    <w:p w14:paraId="21C0753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Including systems like the Swiss system, where, according to art 190 of the Federal Constitution of 1999, administrative bodies and courts are prohibited from questioning the validity of federal statutes. On their competence to interpret federal statutes in light of constitutional values, see Pierre Tschannen, </w:t>
      </w:r>
      <w:r w:rsidRPr="006F0999">
        <w:rPr>
          <w:i/>
          <w:sz w:val="20"/>
          <w:szCs w:val="20"/>
        </w:rPr>
        <w:t>Staatsrecht der Schweizerischen Eidgenossenschaft</w:t>
      </w:r>
      <w:r w:rsidRPr="006F0999">
        <w:rPr>
          <w:sz w:val="20"/>
          <w:szCs w:val="20"/>
        </w:rPr>
        <w:t xml:space="preserve"> (3rd edn, Stämpfli, Bern, 2011) 8, 143 ff. The same applies to administrative bodies in </w:t>
      </w:r>
      <w:r>
        <w:rPr>
          <w:sz w:val="20"/>
          <w:szCs w:val="20"/>
        </w:rPr>
        <w:t xml:space="preserve">the </w:t>
      </w:r>
      <w:r w:rsidRPr="006F0999">
        <w:rPr>
          <w:sz w:val="20"/>
          <w:szCs w:val="20"/>
        </w:rPr>
        <w:t>United Kingdom (see s 6 Human Rights Act 1998).</w:t>
      </w:r>
    </w:p>
  </w:footnote>
  <w:footnote w:id="216">
    <w:p w14:paraId="6F5DDFD9" w14:textId="2C207D75"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Pr>
          <w:sz w:val="20"/>
          <w:szCs w:val="20"/>
        </w:rPr>
        <w:t xml:space="preserve"> In 1852/1860, Robert </w:t>
      </w:r>
      <w:r w:rsidRPr="00052B59">
        <w:rPr>
          <w:sz w:val="20"/>
          <w:szCs w:val="20"/>
        </w:rPr>
        <w:t xml:space="preserve">Mohl—‘Ueber die rechtliche Bedeutung verfassungswidriger Gesetze’ reprinted in </w:t>
      </w:r>
      <w:r w:rsidRPr="00052B59">
        <w:rPr>
          <w:i/>
          <w:sz w:val="20"/>
          <w:szCs w:val="20"/>
        </w:rPr>
        <w:t>Staatsrecht, Völkerrecht und Politik</w:t>
      </w:r>
      <w:r w:rsidRPr="00052B59">
        <w:rPr>
          <w:sz w:val="20"/>
          <w:szCs w:val="20"/>
        </w:rPr>
        <w:t xml:space="preserve">, vol 1 (Laupp, Tübingen, 1860) 66 ff, 90 ff—addressed the question when analyzing the legal significance of unconstitutional statutes with regard to courts, administrative authorities, and citizens. Whereas he recognized that judges and citizens have the right to ignore such a statute, as it is void, he believed the administrative authorities were obliged to obey it, given their subordination to the king and the necessity of unified state action. </w:t>
      </w:r>
      <w:r w:rsidRPr="00052B59">
        <w:rPr>
          <w:sz w:val="20"/>
          <w:szCs w:val="20"/>
          <w:lang w:val="de-DE"/>
        </w:rPr>
        <w:t>See also Karl-Heinrich Hall, ‘Historische Anmerkungen zum Prüfungsrecht der Verwaltungsbeamten</w:t>
      </w:r>
      <w:r w:rsidRPr="006F0999">
        <w:rPr>
          <w:sz w:val="20"/>
          <w:szCs w:val="20"/>
          <w:lang w:val="de-DE"/>
        </w:rPr>
        <w:t xml:space="preserve"> gegenüber dem Gesetz</w:t>
      </w:r>
      <w:r w:rsidRPr="001246C3">
        <w:rPr>
          <w:sz w:val="20"/>
          <w:szCs w:val="20"/>
          <w:lang w:val="de-DE"/>
        </w:rPr>
        <w:t>’</w:t>
      </w:r>
      <w:r w:rsidRPr="006F0999">
        <w:rPr>
          <w:sz w:val="20"/>
          <w:szCs w:val="20"/>
          <w:lang w:val="de-DE"/>
        </w:rPr>
        <w:t xml:space="preserve"> (1965) DVBl 556 ff. For a different view in </w:t>
      </w:r>
      <w:r>
        <w:rPr>
          <w:sz w:val="20"/>
          <w:szCs w:val="20"/>
          <w:lang w:val="de-DE"/>
        </w:rPr>
        <w:t xml:space="preserve">the </w:t>
      </w:r>
      <w:r w:rsidRPr="006F0999">
        <w:rPr>
          <w:sz w:val="20"/>
          <w:szCs w:val="20"/>
          <w:lang w:val="de-DE"/>
        </w:rPr>
        <w:t>nineteenth century, see art 30 of the Spanish Constitution of 1869.</w:t>
      </w:r>
    </w:p>
  </w:footnote>
  <w:footnote w:id="217">
    <w:p w14:paraId="7F61875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a case which comes very close to this hypothesis, see below n 238 and 239.</w:t>
      </w:r>
    </w:p>
  </w:footnote>
  <w:footnote w:id="218">
    <w:p w14:paraId="5B92B441" w14:textId="0F0EABDD"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On Switzerland, see Pierre Tschannen, </w:t>
      </w:r>
      <w:r w:rsidRPr="006F0999">
        <w:rPr>
          <w:i/>
          <w:sz w:val="20"/>
          <w:szCs w:val="20"/>
          <w:lang w:val="de-DE"/>
        </w:rPr>
        <w:t>Staatsrecht</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_Ref457853943 \h  \* MERGEFORMAT </w:instrText>
      </w:r>
      <w:r w:rsidRPr="006F0999">
        <w:rPr>
          <w:sz w:val="20"/>
          <w:szCs w:val="20"/>
        </w:rPr>
      </w:r>
      <w:r w:rsidRPr="006F0999">
        <w:rPr>
          <w:sz w:val="20"/>
          <w:szCs w:val="20"/>
        </w:rPr>
        <w:fldChar w:fldCharType="separate"/>
      </w:r>
      <w:r w:rsidRPr="006F0999">
        <w:rPr>
          <w:sz w:val="20"/>
          <w:szCs w:val="20"/>
          <w:lang w:val="de-DE"/>
        </w:rPr>
        <w:t>213</w:t>
      </w:r>
      <w:r w:rsidRPr="006F0999">
        <w:rPr>
          <w:sz w:val="20"/>
          <w:szCs w:val="20"/>
        </w:rPr>
        <w:fldChar w:fldCharType="end"/>
      </w:r>
      <w:r w:rsidRPr="006F0999">
        <w:rPr>
          <w:sz w:val="20"/>
          <w:szCs w:val="20"/>
          <w:lang w:val="de-DE"/>
        </w:rPr>
        <w:t xml:space="preserve">), </w:t>
      </w:r>
      <w:r w:rsidRPr="00F63605">
        <w:rPr>
          <w:sz w:val="20"/>
          <w:szCs w:val="20"/>
          <w:lang w:val="de-DE"/>
        </w:rPr>
        <w:t>s 11 mn 35 ff; Andreas</w:t>
      </w:r>
      <w:r w:rsidRPr="006F0999">
        <w:rPr>
          <w:sz w:val="20"/>
          <w:szCs w:val="20"/>
          <w:lang w:val="de-DE"/>
        </w:rPr>
        <w:t xml:space="preserve"> Auer, Giorgio Malinverni</w:t>
      </w:r>
      <w:r>
        <w:rPr>
          <w:sz w:val="20"/>
          <w:szCs w:val="20"/>
          <w:lang w:val="de-DE"/>
        </w:rPr>
        <w:t xml:space="preserve"> and</w:t>
      </w:r>
      <w:r w:rsidRPr="006F0999">
        <w:rPr>
          <w:sz w:val="20"/>
          <w:szCs w:val="20"/>
          <w:lang w:val="de-DE"/>
        </w:rPr>
        <w:t xml:space="preserve"> Michel Hottelier, </w:t>
      </w:r>
      <w:r w:rsidRPr="006F0999">
        <w:rPr>
          <w:i/>
          <w:sz w:val="20"/>
          <w:szCs w:val="20"/>
          <w:lang w:val="de-DE"/>
        </w:rPr>
        <w:t>Droit constitutionnel suisse</w:t>
      </w:r>
      <w:r w:rsidRPr="006F0999">
        <w:rPr>
          <w:sz w:val="20"/>
          <w:szCs w:val="20"/>
          <w:lang w:val="de-DE"/>
        </w:rPr>
        <w:t>, vol 1 (Stämpfli, Berne, 2013), mn 1903 f, 1956 ff, 2333 ff; Ulrich Häfelin, Walter Haller</w:t>
      </w:r>
      <w:r>
        <w:rPr>
          <w:sz w:val="20"/>
          <w:szCs w:val="20"/>
          <w:lang w:val="de-DE"/>
        </w:rPr>
        <w:t xml:space="preserve"> and</w:t>
      </w:r>
      <w:r w:rsidRPr="006F0999">
        <w:rPr>
          <w:sz w:val="20"/>
          <w:szCs w:val="20"/>
          <w:lang w:val="de-DE"/>
        </w:rPr>
        <w:t xml:space="preserve"> Helen Keller, </w:t>
      </w:r>
      <w:r w:rsidRPr="006F0999">
        <w:rPr>
          <w:i/>
          <w:sz w:val="20"/>
          <w:szCs w:val="20"/>
          <w:lang w:val="de-DE"/>
        </w:rPr>
        <w:t>Schweizerisches Bundesstaatsrecht</w:t>
      </w:r>
      <w:r w:rsidRPr="006F0999">
        <w:rPr>
          <w:sz w:val="20"/>
          <w:szCs w:val="20"/>
          <w:lang w:val="de-DE"/>
        </w:rPr>
        <w:t xml:space="preserve"> (8th edn, Schulthess, Zürich, 2012) 40, 66; Isabelle Häner, ‘Art 79’, in Isabelle Häner, Markus Rüssli, Evi Schwarzenberg (eds), </w:t>
      </w:r>
      <w:r w:rsidRPr="006F0999">
        <w:rPr>
          <w:i/>
          <w:sz w:val="20"/>
          <w:szCs w:val="20"/>
          <w:lang w:val="de-DE"/>
        </w:rPr>
        <w:t>Kommentar zur Zürcher Kantonsverfassung</w:t>
      </w:r>
      <w:r w:rsidRPr="006F0999">
        <w:rPr>
          <w:sz w:val="20"/>
          <w:szCs w:val="20"/>
          <w:lang w:val="de-DE"/>
        </w:rPr>
        <w:t xml:space="preserve"> (Schulthess, Zürich, 2007) 737 ff; Peter Saladin, ‘Die Befugnis der Verwaltungsbehörden zur akzessorischen Überprüfung von Verordnungen’ (1966) Schweizerisches Zentralblatt für Staats- und Gemeindeverwaltung</w:t>
      </w:r>
      <w:r>
        <w:rPr>
          <w:sz w:val="20"/>
          <w:szCs w:val="20"/>
          <w:lang w:val="de-DE"/>
        </w:rPr>
        <w:t xml:space="preserve"> </w:t>
      </w:r>
      <w:r w:rsidRPr="006F0999">
        <w:rPr>
          <w:sz w:val="20"/>
          <w:szCs w:val="20"/>
          <w:lang w:val="de-DE"/>
        </w:rPr>
        <w:t xml:space="preserve">193 ff; Hans Nef, ‘Das akzessorische Prüfungsrecht’, in </w:t>
      </w:r>
      <w:r w:rsidRPr="006F0999">
        <w:rPr>
          <w:i/>
          <w:sz w:val="20"/>
          <w:szCs w:val="20"/>
          <w:lang w:val="de-DE"/>
        </w:rPr>
        <w:t>Mélanges Marcel Bridel</w:t>
      </w:r>
      <w:r w:rsidRPr="006F0999">
        <w:rPr>
          <w:sz w:val="20"/>
          <w:szCs w:val="20"/>
          <w:lang w:val="de-DE"/>
        </w:rPr>
        <w:t xml:space="preserve"> (Imprimieries réunies, Lausanne, 1968) 295 ff; Hans Dubs, ‘Die Zuständigkeit kantonaler Behörden zur akzessorischen Normenkontrolle’ in </w:t>
      </w:r>
      <w:r w:rsidRPr="006F0999">
        <w:rPr>
          <w:i/>
          <w:sz w:val="20"/>
          <w:szCs w:val="20"/>
          <w:lang w:val="de-DE"/>
        </w:rPr>
        <w:t>Festschrift für Kurt Eichenberger</w:t>
      </w:r>
      <w:r w:rsidRPr="006F0999">
        <w:rPr>
          <w:sz w:val="20"/>
          <w:szCs w:val="20"/>
          <w:lang w:val="de-DE"/>
        </w:rPr>
        <w:t xml:space="preserve"> (Helbing &amp; Lichtenhahn, Basel, 1982) 615 ff.</w:t>
      </w:r>
    </w:p>
  </w:footnote>
  <w:footnote w:id="219">
    <w:p w14:paraId="261A07BE"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BGE 100 Ib 13, </w:t>
      </w:r>
      <w:r w:rsidRPr="006F0999">
        <w:rPr>
          <w:i/>
          <w:sz w:val="20"/>
          <w:szCs w:val="20"/>
          <w:lang w:val="fr-FR"/>
        </w:rPr>
        <w:t>Ligue marxiste révolutionnaire</w:t>
      </w:r>
      <w:r w:rsidRPr="006F0999">
        <w:rPr>
          <w:sz w:val="20"/>
          <w:szCs w:val="20"/>
          <w:lang w:val="fr-FR"/>
        </w:rPr>
        <w:t>, 8 March 1974.</w:t>
      </w:r>
    </w:p>
  </w:footnote>
  <w:footnote w:id="220">
    <w:p w14:paraId="4FA7CD9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BGE 92 I 480, </w:t>
      </w:r>
      <w:r w:rsidRPr="006F0999">
        <w:rPr>
          <w:i/>
          <w:sz w:val="20"/>
          <w:szCs w:val="20"/>
        </w:rPr>
        <w:t>Ackermann</w:t>
      </w:r>
      <w:r w:rsidRPr="006F0999">
        <w:rPr>
          <w:sz w:val="20"/>
          <w:szCs w:val="20"/>
        </w:rPr>
        <w:t xml:space="preserve">, 8 June 1966. See already before BGE 91 I 312, 10 November 1965, </w:t>
      </w:r>
      <w:r w:rsidRPr="006F0999">
        <w:rPr>
          <w:i/>
          <w:sz w:val="20"/>
          <w:szCs w:val="20"/>
        </w:rPr>
        <w:t>Genossenschaft Migros Luzern</w:t>
      </w:r>
      <w:r w:rsidRPr="006F0999">
        <w:rPr>
          <w:sz w:val="20"/>
          <w:szCs w:val="20"/>
        </w:rPr>
        <w:t xml:space="preserve">, and later BGE 108 Ia 41, 12 March 1982, </w:t>
      </w:r>
      <w:r w:rsidRPr="006F0999">
        <w:rPr>
          <w:i/>
          <w:sz w:val="20"/>
          <w:szCs w:val="20"/>
        </w:rPr>
        <w:t>Rivara</w:t>
      </w:r>
      <w:r w:rsidRPr="006F0999">
        <w:rPr>
          <w:sz w:val="20"/>
          <w:szCs w:val="20"/>
        </w:rPr>
        <w:t xml:space="preserve">. Andreas Auer and others, </w:t>
      </w:r>
      <w:r w:rsidRPr="006F0999">
        <w:rPr>
          <w:i/>
          <w:sz w:val="20"/>
          <w:szCs w:val="20"/>
        </w:rPr>
        <w:t>Droit constitutionnel suisse</w:t>
      </w:r>
      <w:r w:rsidRPr="006F0999">
        <w:rPr>
          <w:sz w:val="20"/>
          <w:szCs w:val="20"/>
        </w:rPr>
        <w:t xml:space="preserve"> (n </w:t>
      </w:r>
      <w:r w:rsidRPr="006F0999">
        <w:rPr>
          <w:sz w:val="20"/>
          <w:szCs w:val="20"/>
        </w:rPr>
        <w:fldChar w:fldCharType="begin"/>
      </w:r>
      <w:r w:rsidRPr="006F0999">
        <w:rPr>
          <w:sz w:val="20"/>
          <w:szCs w:val="20"/>
        </w:rPr>
        <w:instrText xml:space="preserve"> NOTEREF _Ref457886386 \h  \* MERGEFORMAT </w:instrText>
      </w:r>
      <w:r w:rsidRPr="006F0999">
        <w:rPr>
          <w:sz w:val="20"/>
          <w:szCs w:val="20"/>
        </w:rPr>
      </w:r>
      <w:r w:rsidRPr="006F0999">
        <w:rPr>
          <w:sz w:val="20"/>
          <w:szCs w:val="20"/>
        </w:rPr>
        <w:fldChar w:fldCharType="separate"/>
      </w:r>
      <w:r w:rsidRPr="006F0999">
        <w:rPr>
          <w:sz w:val="20"/>
          <w:szCs w:val="20"/>
        </w:rPr>
        <w:t>216</w:t>
      </w:r>
      <w:r w:rsidRPr="006F0999">
        <w:rPr>
          <w:sz w:val="20"/>
          <w:szCs w:val="20"/>
        </w:rPr>
        <w:fldChar w:fldCharType="end"/>
      </w:r>
      <w:r w:rsidRPr="006F0999">
        <w:rPr>
          <w:sz w:val="20"/>
          <w:szCs w:val="20"/>
        </w:rPr>
        <w:t>) mn 2340.</w:t>
      </w:r>
    </w:p>
  </w:footnote>
  <w:footnote w:id="221">
    <w:p w14:paraId="73877505"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According to art 79 of the 2007 Constitution of Zurich—an article that goes back to the case law of the Administrativ</w:t>
      </w:r>
      <w:r>
        <w:rPr>
          <w:sz w:val="20"/>
          <w:szCs w:val="20"/>
        </w:rPr>
        <w:t>e Court of Zurich in the 1960s—</w:t>
      </w:r>
      <w:r w:rsidRPr="006F0999">
        <w:rPr>
          <w:sz w:val="20"/>
          <w:szCs w:val="20"/>
        </w:rPr>
        <w:t>‘The Courts and those Cantonal Authorities which are elected by the people do not apply Provisions infringing superior law.’ The 1993 Constitution of Bern (art 66 para 3) contains a similar provision. The 1995 Constitution of App</w:t>
      </w:r>
      <w:r>
        <w:rPr>
          <w:sz w:val="20"/>
          <w:szCs w:val="20"/>
        </w:rPr>
        <w:t>enzell Ausserrhoden (art 61 para 3, now art</w:t>
      </w:r>
      <w:r w:rsidRPr="006F0999">
        <w:rPr>
          <w:sz w:val="20"/>
          <w:szCs w:val="20"/>
        </w:rPr>
        <w:t xml:space="preserve"> 61 para 2), the 2002 Constitution of Schaffhausen (art 38 para 2) and the 1980 Constitution of Aargau (art 90 para 5, introduced in 2005) reserve that prerogative, inside the executive, to the government.</w:t>
      </w:r>
    </w:p>
  </w:footnote>
  <w:footnote w:id="222">
    <w:p w14:paraId="2EA1261F"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similar regime of judicial constitutional review, see </w:t>
      </w:r>
      <w:r>
        <w:rPr>
          <w:sz w:val="20"/>
          <w:szCs w:val="20"/>
        </w:rPr>
        <w:t>D. 1. a).</w:t>
      </w:r>
    </w:p>
  </w:footnote>
  <w:footnote w:id="223">
    <w:p w14:paraId="77403CE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an overview, see André Salgado de Matos, </w:t>
      </w:r>
      <w:r w:rsidRPr="006F0999">
        <w:rPr>
          <w:rStyle w:val="Emphasis"/>
          <w:rFonts w:eastAsiaTheme="majorEastAsia"/>
          <w:sz w:val="20"/>
          <w:szCs w:val="20"/>
        </w:rPr>
        <w:t>A fiscalização administrativa da constitucionalidade</w:t>
      </w:r>
      <w:r w:rsidRPr="006F0999">
        <w:rPr>
          <w:sz w:val="20"/>
          <w:szCs w:val="20"/>
        </w:rPr>
        <w:t xml:space="preserve"> [</w:t>
      </w:r>
      <w:r w:rsidRPr="006F0999">
        <w:rPr>
          <w:rStyle w:val="Emphasis"/>
          <w:rFonts w:eastAsiaTheme="majorEastAsia"/>
          <w:i w:val="0"/>
          <w:sz w:val="20"/>
          <w:szCs w:val="20"/>
        </w:rPr>
        <w:t>Administrative review of statutes</w:t>
      </w:r>
      <w:r w:rsidRPr="006F0999">
        <w:rPr>
          <w:sz w:val="20"/>
          <w:szCs w:val="20"/>
        </w:rPr>
        <w:t xml:space="preserve">] (Almedina, Coimbra, 2004), </w:t>
      </w:r>
      <w:r>
        <w:rPr>
          <w:sz w:val="20"/>
          <w:szCs w:val="20"/>
        </w:rPr>
        <w:t>in particular</w:t>
      </w:r>
      <w:r w:rsidRPr="006F0999">
        <w:rPr>
          <w:sz w:val="20"/>
          <w:szCs w:val="20"/>
        </w:rPr>
        <w:t xml:space="preserve"> 152 ff.</w:t>
      </w:r>
    </w:p>
  </w:footnote>
  <w:footnote w:id="224">
    <w:p w14:paraId="766DCC0C" w14:textId="77777777" w:rsidR="0089313D" w:rsidRPr="006F0999" w:rsidRDefault="0089313D" w:rsidP="00DE2EDF">
      <w:pPr>
        <w:pStyle w:val="NoSpacing"/>
        <w:spacing w:line="276" w:lineRule="auto"/>
        <w:jc w:val="both"/>
        <w:rPr>
          <w:rFonts w:cs="Times New Roman"/>
          <w:sz w:val="20"/>
          <w:szCs w:val="20"/>
          <w:lang w:val="it-IT"/>
        </w:rPr>
      </w:pPr>
      <w:r w:rsidRPr="006F0999">
        <w:rPr>
          <w:rStyle w:val="FootnoteReference"/>
          <w:rFonts w:cs="Times New Roman"/>
          <w:sz w:val="20"/>
          <w:szCs w:val="20"/>
        </w:rPr>
        <w:footnoteRef/>
      </w:r>
      <w:r w:rsidRPr="006F0999">
        <w:rPr>
          <w:rFonts w:cs="Times New Roman"/>
          <w:sz w:val="20"/>
          <w:szCs w:val="20"/>
          <w:lang w:val="it-IT"/>
        </w:rPr>
        <w:t xml:space="preserve"> Valerio Onida, ‘</w:t>
      </w:r>
      <w:r w:rsidRPr="006F0999">
        <w:rPr>
          <w:rStyle w:val="Emphasis"/>
          <w:rFonts w:cs="Times New Roman"/>
          <w:sz w:val="20"/>
          <w:szCs w:val="20"/>
          <w:lang w:val="it-IT"/>
        </w:rPr>
        <w:t>Pubblica amministrazione e costituzionalità delle leggi</w:t>
      </w:r>
      <w:r w:rsidRPr="006F0999">
        <w:rPr>
          <w:rFonts w:cs="Times New Roman"/>
          <w:sz w:val="20"/>
          <w:szCs w:val="20"/>
          <w:lang w:val="it-IT"/>
        </w:rPr>
        <w:t xml:space="preserve">’ </w:t>
      </w:r>
      <w:r w:rsidRPr="006F0999">
        <w:rPr>
          <w:rStyle w:val="Emphasis"/>
          <w:rFonts w:cs="Times New Roman"/>
          <w:i w:val="0"/>
          <w:sz w:val="20"/>
          <w:szCs w:val="20"/>
          <w:lang w:val="it-IT"/>
        </w:rPr>
        <w:t>(Giuffrè</w:t>
      </w:r>
      <w:r w:rsidRPr="006F0999">
        <w:rPr>
          <w:rStyle w:val="Emphasis"/>
          <w:rFonts w:cs="Times New Roman"/>
          <w:sz w:val="20"/>
          <w:szCs w:val="20"/>
          <w:lang w:val="it-IT"/>
        </w:rPr>
        <w:t xml:space="preserve">, </w:t>
      </w:r>
      <w:r w:rsidRPr="006F0999">
        <w:rPr>
          <w:rStyle w:val="Emphasis"/>
          <w:rFonts w:cs="Times New Roman"/>
          <w:i w:val="0"/>
          <w:sz w:val="20"/>
          <w:szCs w:val="20"/>
          <w:lang w:val="it-IT"/>
        </w:rPr>
        <w:t xml:space="preserve">Milano, </w:t>
      </w:r>
      <w:r w:rsidRPr="006F0999">
        <w:rPr>
          <w:rFonts w:cs="Times New Roman"/>
          <w:sz w:val="20"/>
          <w:szCs w:val="20"/>
          <w:lang w:val="it-IT"/>
        </w:rPr>
        <w:t xml:space="preserve">1967); Cesare Pagotto, </w:t>
      </w:r>
      <w:r w:rsidRPr="006F0999">
        <w:rPr>
          <w:rFonts w:cs="Times New Roman"/>
          <w:i/>
          <w:sz w:val="20"/>
          <w:szCs w:val="20"/>
          <w:lang w:val="it-IT"/>
        </w:rPr>
        <w:t>La disapplicazione della legge</w:t>
      </w:r>
      <w:r w:rsidRPr="006F0999">
        <w:rPr>
          <w:rFonts w:cs="Times New Roman"/>
          <w:sz w:val="20"/>
          <w:szCs w:val="20"/>
          <w:lang w:val="it-IT"/>
        </w:rPr>
        <w:t xml:space="preserve"> (Giuffrè, Milano, 2008) and the synthesis by Salgado de Matos (n </w:t>
      </w:r>
      <w:r w:rsidRPr="006F0999">
        <w:rPr>
          <w:rFonts w:cs="Times New Roman"/>
          <w:sz w:val="20"/>
          <w:szCs w:val="20"/>
        </w:rPr>
        <w:fldChar w:fldCharType="begin"/>
      </w:r>
      <w:r w:rsidRPr="006F0999">
        <w:rPr>
          <w:rFonts w:cs="Times New Roman"/>
          <w:sz w:val="20"/>
          <w:szCs w:val="20"/>
          <w:lang w:val="it-IT"/>
        </w:rPr>
        <w:instrText xml:space="preserve"> NOTEREF _Ref457886479 \h  \* MERGEFORMAT </w:instrText>
      </w:r>
      <w:r w:rsidRPr="006F0999">
        <w:rPr>
          <w:rFonts w:cs="Times New Roman"/>
          <w:sz w:val="20"/>
          <w:szCs w:val="20"/>
        </w:rPr>
      </w:r>
      <w:r w:rsidRPr="006F0999">
        <w:rPr>
          <w:rFonts w:cs="Times New Roman"/>
          <w:sz w:val="20"/>
          <w:szCs w:val="20"/>
        </w:rPr>
        <w:fldChar w:fldCharType="separate"/>
      </w:r>
      <w:r w:rsidRPr="006F0999">
        <w:rPr>
          <w:rFonts w:cs="Times New Roman"/>
          <w:sz w:val="20"/>
          <w:szCs w:val="20"/>
          <w:lang w:val="it-IT"/>
        </w:rPr>
        <w:t>221</w:t>
      </w:r>
      <w:r w:rsidRPr="006F0999">
        <w:rPr>
          <w:rFonts w:cs="Times New Roman"/>
          <w:sz w:val="20"/>
          <w:szCs w:val="20"/>
        </w:rPr>
        <w:fldChar w:fldCharType="end"/>
      </w:r>
      <w:r w:rsidRPr="006F0999">
        <w:rPr>
          <w:rFonts w:cs="Times New Roman"/>
          <w:sz w:val="20"/>
          <w:szCs w:val="20"/>
          <w:lang w:val="it-IT"/>
        </w:rPr>
        <w:t>) 123 ff.</w:t>
      </w:r>
    </w:p>
  </w:footnote>
  <w:footnote w:id="225">
    <w:p w14:paraId="6D39F00D" w14:textId="1CD1426F"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Otto Bachof, ‘Die Prüfungs- und Verwerfungskompetenz der Verwaltung gegenüber dem verfassungswidrigen und dem bundesrechtswidrigen Gesetz’ (1962) AöR 1 ff. This view had already be</w:t>
      </w:r>
      <w:r>
        <w:rPr>
          <w:sz w:val="20"/>
          <w:szCs w:val="20"/>
          <w:lang w:val="de-DE"/>
        </w:rPr>
        <w:t>en</w:t>
      </w:r>
      <w:r w:rsidRPr="006F0999">
        <w:rPr>
          <w:sz w:val="20"/>
          <w:szCs w:val="20"/>
          <w:lang w:val="de-DE"/>
        </w:rPr>
        <w:t xml:space="preserve"> defended by some scho</w:t>
      </w:r>
      <w:r>
        <w:rPr>
          <w:sz w:val="20"/>
          <w:szCs w:val="20"/>
          <w:lang w:val="de-DE"/>
        </w:rPr>
        <w:t>lars under the Weimar Republic, see Otto Bach</w:t>
      </w:r>
      <w:r w:rsidRPr="006F0999">
        <w:rPr>
          <w:sz w:val="20"/>
          <w:szCs w:val="20"/>
          <w:lang w:val="de-DE"/>
        </w:rPr>
        <w:t xml:space="preserve">of, ‘Die Prüfungs- und Verwerfungskompetenz’ 37 f; Karl-Heinrich Hall, ‘Historische Anmerkungen’ (n </w:t>
      </w:r>
      <w:r w:rsidRPr="006F0999">
        <w:rPr>
          <w:sz w:val="20"/>
          <w:szCs w:val="20"/>
        </w:rPr>
        <w:fldChar w:fldCharType="begin"/>
      </w:r>
      <w:r w:rsidRPr="006F0999">
        <w:rPr>
          <w:sz w:val="20"/>
          <w:szCs w:val="20"/>
          <w:lang w:val="de-DE"/>
        </w:rPr>
        <w:instrText xml:space="preserve"> NOTEREF _Ref457886541 \h  \* MERGEFORMAT </w:instrText>
      </w:r>
      <w:r w:rsidRPr="006F0999">
        <w:rPr>
          <w:sz w:val="20"/>
          <w:szCs w:val="20"/>
        </w:rPr>
      </w:r>
      <w:r w:rsidRPr="006F0999">
        <w:rPr>
          <w:sz w:val="20"/>
          <w:szCs w:val="20"/>
        </w:rPr>
        <w:fldChar w:fldCharType="separate"/>
      </w:r>
      <w:r w:rsidRPr="006F0999">
        <w:rPr>
          <w:sz w:val="20"/>
          <w:szCs w:val="20"/>
          <w:lang w:val="de-DE"/>
        </w:rPr>
        <w:t>214</w:t>
      </w:r>
      <w:r w:rsidRPr="006F0999">
        <w:rPr>
          <w:sz w:val="20"/>
          <w:szCs w:val="20"/>
        </w:rPr>
        <w:fldChar w:fldCharType="end"/>
      </w:r>
      <w:r>
        <w:rPr>
          <w:sz w:val="20"/>
          <w:szCs w:val="20"/>
          <w:lang w:val="de-DE"/>
        </w:rPr>
        <w:t>)</w:t>
      </w:r>
      <w:r w:rsidRPr="006F0999">
        <w:rPr>
          <w:sz w:val="20"/>
          <w:szCs w:val="20"/>
          <w:lang w:val="de-DE"/>
        </w:rPr>
        <w:t xml:space="preserve">. On the very rich German debate, see also Jost Pietzcker, ‘Zur Inzidentverwerfung untergesetzlicher Rechtsnormen durch </w:t>
      </w:r>
      <w:r w:rsidRPr="00BC1188">
        <w:rPr>
          <w:sz w:val="20"/>
          <w:szCs w:val="20"/>
          <w:lang w:val="de-DE"/>
        </w:rPr>
        <w:t xml:space="preserve">die vollziehende Gewalt’ (1976) AöR 374 ff; Hartmut Maurer, </w:t>
      </w:r>
      <w:r w:rsidRPr="00BC1188">
        <w:rPr>
          <w:i/>
          <w:sz w:val="20"/>
          <w:szCs w:val="20"/>
          <w:lang w:val="de-DE"/>
        </w:rPr>
        <w:t>Allgemeines Verwaltungsrecht</w:t>
      </w:r>
      <w:r w:rsidRPr="00BC1188">
        <w:rPr>
          <w:sz w:val="20"/>
          <w:szCs w:val="20"/>
          <w:lang w:val="de-DE"/>
        </w:rPr>
        <w:t xml:space="preserve"> (n </w:t>
      </w:r>
      <w:r w:rsidRPr="00BC1188">
        <w:rPr>
          <w:sz w:val="20"/>
          <w:szCs w:val="20"/>
        </w:rPr>
        <w:fldChar w:fldCharType="begin"/>
      </w:r>
      <w:r w:rsidRPr="00BC1188">
        <w:rPr>
          <w:sz w:val="20"/>
          <w:szCs w:val="20"/>
          <w:lang w:val="de-DE"/>
        </w:rPr>
        <w:instrText xml:space="preserve"> NOTEREF _Ref457886580 \h  \* MERGEFORMAT </w:instrText>
      </w:r>
      <w:r w:rsidRPr="00BC1188">
        <w:rPr>
          <w:sz w:val="20"/>
          <w:szCs w:val="20"/>
        </w:rPr>
      </w:r>
      <w:r w:rsidRPr="00BC1188">
        <w:rPr>
          <w:sz w:val="20"/>
          <w:szCs w:val="20"/>
        </w:rPr>
        <w:fldChar w:fldCharType="separate"/>
      </w:r>
      <w:r w:rsidRPr="00BC1188">
        <w:rPr>
          <w:sz w:val="20"/>
          <w:szCs w:val="20"/>
          <w:lang w:val="de-DE"/>
        </w:rPr>
        <w:t>195</w:t>
      </w:r>
      <w:r w:rsidRPr="00BC1188">
        <w:rPr>
          <w:sz w:val="20"/>
          <w:szCs w:val="20"/>
        </w:rPr>
        <w:fldChar w:fldCharType="end"/>
      </w:r>
      <w:r w:rsidRPr="00BC1188">
        <w:rPr>
          <w:sz w:val="20"/>
          <w:szCs w:val="20"/>
          <w:lang w:val="de-DE"/>
        </w:rPr>
        <w:t xml:space="preserve">) </w:t>
      </w:r>
      <w:r w:rsidR="00BC1188" w:rsidRPr="00BC1188">
        <w:rPr>
          <w:sz w:val="20"/>
          <w:szCs w:val="20"/>
          <w:lang w:val="de-DE"/>
        </w:rPr>
        <w:t>§</w:t>
      </w:r>
      <w:r w:rsidRPr="00BC1188">
        <w:rPr>
          <w:sz w:val="20"/>
          <w:szCs w:val="20"/>
          <w:lang w:val="de-DE"/>
        </w:rPr>
        <w:t xml:space="preserve"> 4 mn 63 ff;</w:t>
      </w:r>
      <w:r w:rsidRPr="006F0999">
        <w:rPr>
          <w:sz w:val="20"/>
          <w:szCs w:val="20"/>
          <w:lang w:val="de-DE"/>
        </w:rPr>
        <w:t xml:space="preserve"> Peter Gril, ‘Normprüfungs- und Normverwerfungskompetenz der Verwaltung’ (2000) Juristische Schulung 1080 ff; Eberhard Schmidt-Assmann, ‘Gefährdungen der Rechts- und Gesetzesbindung der Exekutive’ in </w:t>
      </w:r>
      <w:r w:rsidRPr="006F0999">
        <w:rPr>
          <w:i/>
          <w:sz w:val="20"/>
          <w:szCs w:val="20"/>
          <w:lang w:val="de-DE"/>
        </w:rPr>
        <w:t>Festschrift für Klaus Stern</w:t>
      </w:r>
      <w:r w:rsidRPr="006F0999">
        <w:rPr>
          <w:sz w:val="20"/>
          <w:szCs w:val="20"/>
          <w:lang w:val="de-DE"/>
        </w:rPr>
        <w:t xml:space="preserve"> (Beck, Munich, 1997) 745 ff; Matthias Wehr, </w:t>
      </w:r>
      <w:r w:rsidRPr="006F0999">
        <w:rPr>
          <w:i/>
          <w:sz w:val="20"/>
          <w:szCs w:val="20"/>
          <w:lang w:val="de-DE"/>
        </w:rPr>
        <w:t>Inzidente Normverwerfung durch die Exekutive</w:t>
      </w:r>
      <w:r w:rsidRPr="006F0999">
        <w:rPr>
          <w:sz w:val="20"/>
          <w:szCs w:val="20"/>
          <w:lang w:val="de-DE"/>
        </w:rPr>
        <w:t xml:space="preserve"> (Duncker &amp; Humblot, Berlin, 1998); Hans-Detlef Horn, </w:t>
      </w:r>
      <w:r w:rsidRPr="006F0999">
        <w:rPr>
          <w:i/>
          <w:sz w:val="20"/>
          <w:szCs w:val="20"/>
          <w:lang w:val="de-DE"/>
        </w:rPr>
        <w:t>Die grundrechtsunmittelbare Verwaltung</w:t>
      </w:r>
      <w:r w:rsidRPr="006F0999">
        <w:rPr>
          <w:sz w:val="20"/>
          <w:szCs w:val="20"/>
          <w:lang w:val="de-DE"/>
        </w:rPr>
        <w:t xml:space="preserve"> (Mohr Siebeck, Tübingen, 1999).</w:t>
      </w:r>
    </w:p>
  </w:footnote>
  <w:footnote w:id="226">
    <w:p w14:paraId="62BB2120"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Pr>
          <w:sz w:val="20"/>
          <w:szCs w:val="20"/>
          <w:lang w:val="de-DE"/>
        </w:rPr>
        <w:t xml:space="preserve"> Otto Bac</w:t>
      </w:r>
      <w:r w:rsidRPr="006F0999">
        <w:rPr>
          <w:sz w:val="20"/>
          <w:szCs w:val="20"/>
          <w:lang w:val="de-DE"/>
        </w:rPr>
        <w:t>hof, ‘Die Prüfungs- und Verwerfungskompetenz’</w:t>
      </w:r>
      <w:r w:rsidRPr="006F0999" w:rsidDel="008D6874">
        <w:rPr>
          <w:sz w:val="20"/>
          <w:szCs w:val="20"/>
          <w:lang w:val="de-DE"/>
        </w:rPr>
        <w:t xml:space="preserve"> </w:t>
      </w:r>
      <w:r w:rsidRPr="006F0999">
        <w:rPr>
          <w:sz w:val="20"/>
          <w:szCs w:val="20"/>
          <w:lang w:val="de-DE"/>
        </w:rPr>
        <w:t xml:space="preserve">(n </w:t>
      </w:r>
      <w:r w:rsidRPr="006F0999">
        <w:rPr>
          <w:sz w:val="20"/>
          <w:szCs w:val="20"/>
        </w:rPr>
        <w:fldChar w:fldCharType="begin"/>
      </w:r>
      <w:r w:rsidRPr="006F0999">
        <w:rPr>
          <w:sz w:val="20"/>
          <w:szCs w:val="20"/>
          <w:lang w:val="de-DE"/>
        </w:rPr>
        <w:instrText xml:space="preserve"> NOTEREF _Ref457886617 \h  \* MERGEFORMAT </w:instrText>
      </w:r>
      <w:r w:rsidRPr="006F0999">
        <w:rPr>
          <w:sz w:val="20"/>
          <w:szCs w:val="20"/>
        </w:rPr>
      </w:r>
      <w:r w:rsidRPr="006F0999">
        <w:rPr>
          <w:sz w:val="20"/>
          <w:szCs w:val="20"/>
        </w:rPr>
        <w:fldChar w:fldCharType="separate"/>
      </w:r>
      <w:r w:rsidRPr="006F0999">
        <w:rPr>
          <w:sz w:val="20"/>
          <w:szCs w:val="20"/>
          <w:lang w:val="de-DE"/>
        </w:rPr>
        <w:t>223</w:t>
      </w:r>
      <w:r w:rsidRPr="006F0999">
        <w:rPr>
          <w:sz w:val="20"/>
          <w:szCs w:val="20"/>
        </w:rPr>
        <w:fldChar w:fldCharType="end"/>
      </w:r>
      <w:r w:rsidRPr="006F0999">
        <w:rPr>
          <w:sz w:val="20"/>
          <w:szCs w:val="20"/>
          <w:lang w:val="de-DE"/>
        </w:rPr>
        <w:t>) 40.</w:t>
      </w:r>
    </w:p>
  </w:footnote>
  <w:footnote w:id="227">
    <w:p w14:paraId="3FF2B2F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With regard to the legal</w:t>
      </w:r>
      <w:r>
        <w:rPr>
          <w:sz w:val="20"/>
          <w:szCs w:val="20"/>
        </w:rPr>
        <w:t xml:space="preserve"> evolution initiated by EU Law, </w:t>
      </w:r>
      <w:r w:rsidRPr="006F0999">
        <w:rPr>
          <w:sz w:val="20"/>
          <w:szCs w:val="20"/>
        </w:rPr>
        <w:t xml:space="preserve">see below </w:t>
      </w:r>
      <w:r>
        <w:rPr>
          <w:sz w:val="20"/>
          <w:szCs w:val="20"/>
        </w:rPr>
        <w:t>D. 2. g).</w:t>
      </w:r>
    </w:p>
  </w:footnote>
  <w:footnote w:id="228">
    <w:p w14:paraId="5CC7E47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Jaako Husa, </w:t>
      </w:r>
      <w:r w:rsidRPr="006F0999">
        <w:rPr>
          <w:i/>
          <w:sz w:val="20"/>
          <w:szCs w:val="20"/>
        </w:rPr>
        <w:t>The Constitution of Finland</w:t>
      </w:r>
      <w:r w:rsidRPr="006F0999">
        <w:rPr>
          <w:sz w:val="20"/>
          <w:szCs w:val="20"/>
        </w:rPr>
        <w:t xml:space="preserve"> (n </w:t>
      </w:r>
      <w:r w:rsidRPr="006F0999">
        <w:rPr>
          <w:sz w:val="20"/>
          <w:szCs w:val="20"/>
        </w:rPr>
        <w:fldChar w:fldCharType="begin"/>
      </w:r>
      <w:r w:rsidRPr="006F0999">
        <w:rPr>
          <w:sz w:val="20"/>
          <w:szCs w:val="20"/>
        </w:rPr>
        <w:instrText xml:space="preserve"> NOTEREF _Ref457886113 \h  \* MERGEFORMAT </w:instrText>
      </w:r>
      <w:r w:rsidRPr="006F0999">
        <w:rPr>
          <w:sz w:val="20"/>
          <w:szCs w:val="20"/>
        </w:rPr>
      </w:r>
      <w:r w:rsidRPr="006F0999">
        <w:rPr>
          <w:sz w:val="20"/>
          <w:szCs w:val="20"/>
        </w:rPr>
        <w:fldChar w:fldCharType="separate"/>
      </w:r>
      <w:r w:rsidRPr="006F0999">
        <w:rPr>
          <w:sz w:val="20"/>
          <w:szCs w:val="20"/>
        </w:rPr>
        <w:t>211</w:t>
      </w:r>
      <w:r w:rsidRPr="006F0999">
        <w:rPr>
          <w:sz w:val="20"/>
          <w:szCs w:val="20"/>
        </w:rPr>
        <w:fldChar w:fldCharType="end"/>
      </w:r>
      <w:r w:rsidRPr="006F0999">
        <w:rPr>
          <w:sz w:val="20"/>
          <w:szCs w:val="20"/>
        </w:rPr>
        <w:t>) 81.</w:t>
      </w:r>
    </w:p>
  </w:footnote>
  <w:footnote w:id="229">
    <w:p w14:paraId="7B93F740"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Hans Kelsen, </w:t>
      </w:r>
      <w:r w:rsidRPr="006F0999">
        <w:rPr>
          <w:i/>
          <w:sz w:val="20"/>
          <w:szCs w:val="20"/>
          <w:lang w:val="de-DE"/>
        </w:rPr>
        <w:t>Allgemeine Staatslehre</w:t>
      </w:r>
      <w:r w:rsidRPr="006F0999">
        <w:rPr>
          <w:sz w:val="20"/>
          <w:szCs w:val="20"/>
          <w:lang w:val="de-DE"/>
        </w:rPr>
        <w:t xml:space="preserve"> (Springer, Wien, 1925) 41, 287 ff.</w:t>
      </w:r>
    </w:p>
  </w:footnote>
  <w:footnote w:id="230">
    <w:p w14:paraId="76814C88"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Ludwig Adamovich, </w:t>
      </w:r>
      <w:r w:rsidRPr="006F0999">
        <w:rPr>
          <w:i/>
          <w:sz w:val="20"/>
          <w:szCs w:val="20"/>
          <w:lang w:val="de-DE"/>
        </w:rPr>
        <w:t>Die Prüfung der Gesetze und Verordnungen durch den österreichischen Verfassungsgerichtshof</w:t>
      </w:r>
      <w:r w:rsidRPr="006F0999">
        <w:rPr>
          <w:sz w:val="20"/>
          <w:szCs w:val="20"/>
          <w:lang w:val="de-DE"/>
        </w:rPr>
        <w:t xml:space="preserve"> (Deuticke, Leipzig, 1923) 18 ff, 41 ff.</w:t>
      </w:r>
    </w:p>
  </w:footnote>
  <w:footnote w:id="231">
    <w:p w14:paraId="5961E807"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Hans Kelsen, ‘Verfassungs- und Verwaltungsgerichtsbarkeit im Dienste des Bundesstaates, nach der neuen österreichischen Bundesverfassung vom 1. Oktober 1920’ (1923) ZSR 212; Hans Kelsen, </w:t>
      </w:r>
      <w:r w:rsidRPr="006F0999">
        <w:rPr>
          <w:i/>
          <w:sz w:val="20"/>
          <w:szCs w:val="20"/>
          <w:lang w:val="de-DE"/>
        </w:rPr>
        <w:t>Allgemeine Staatslehre</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_Ref457886802 \h  \* MERGEFORMAT </w:instrText>
      </w:r>
      <w:r w:rsidRPr="006F0999">
        <w:rPr>
          <w:sz w:val="20"/>
          <w:szCs w:val="20"/>
        </w:rPr>
      </w:r>
      <w:r w:rsidRPr="006F0999">
        <w:rPr>
          <w:sz w:val="20"/>
          <w:szCs w:val="20"/>
        </w:rPr>
        <w:fldChar w:fldCharType="separate"/>
      </w:r>
      <w:r w:rsidRPr="006F0999">
        <w:rPr>
          <w:sz w:val="20"/>
          <w:szCs w:val="20"/>
          <w:lang w:val="de-DE"/>
        </w:rPr>
        <w:t>227</w:t>
      </w:r>
      <w:r w:rsidRPr="006F0999">
        <w:rPr>
          <w:sz w:val="20"/>
          <w:szCs w:val="20"/>
        </w:rPr>
        <w:fldChar w:fldCharType="end"/>
      </w:r>
      <w:r w:rsidRPr="006F0999">
        <w:rPr>
          <w:sz w:val="20"/>
          <w:szCs w:val="20"/>
          <w:lang w:val="de-DE"/>
        </w:rPr>
        <w:t>) 292.</w:t>
      </w:r>
    </w:p>
  </w:footnote>
  <w:footnote w:id="232">
    <w:p w14:paraId="1C0F40AB" w14:textId="736DCD05"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For a restatement, see for example Reinhard Rack, ‘Die Gehorsamsthese—ein Beitrag zum verwaltungsbehördlichen Normprüfungsrecht’ (1971) Österreichische Juristen-Zeitung 89 ff.</w:t>
      </w:r>
    </w:p>
  </w:footnote>
  <w:footnote w:id="233">
    <w:p w14:paraId="103097B9"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See Reinhard Rack, ‘Die Gehorsamsthese’ (n 230) and, more recently, Ewald Wiederin, ‘Über das elektronische Bundesgesetzblatt und die Folgen von Kundmachungsfehlern’, in </w:t>
      </w:r>
      <w:r w:rsidRPr="006F0999">
        <w:rPr>
          <w:i/>
          <w:sz w:val="20"/>
          <w:szCs w:val="20"/>
          <w:lang w:val="de-DE"/>
        </w:rPr>
        <w:t>Festschrift für Norbert Wimmer</w:t>
      </w:r>
      <w:r w:rsidRPr="006F0999">
        <w:rPr>
          <w:sz w:val="20"/>
          <w:szCs w:val="20"/>
          <w:lang w:val="de-DE"/>
        </w:rPr>
        <w:t xml:space="preserve"> (Springer, Wien, 2008) 711 ff.</w:t>
      </w:r>
    </w:p>
  </w:footnote>
  <w:footnote w:id="234">
    <w:p w14:paraId="33393F24"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See David Renders, ‘L’autorité administrative doit-elle d’office refuser d’appliquer une loi inconstitutionnelle?’ (2008) Journal des tribunaux 556 </w:t>
      </w:r>
      <w:r>
        <w:rPr>
          <w:sz w:val="20"/>
          <w:szCs w:val="20"/>
          <w:lang w:val="fr-FR"/>
        </w:rPr>
        <w:t>n 12</w:t>
      </w:r>
      <w:r w:rsidRPr="006F0999">
        <w:rPr>
          <w:sz w:val="20"/>
          <w:szCs w:val="20"/>
          <w:lang w:val="fr-FR"/>
        </w:rPr>
        <w:t xml:space="preserve">; Paul Lewalle and Luc Donnay, </w:t>
      </w:r>
      <w:r w:rsidRPr="006F0999">
        <w:rPr>
          <w:i/>
          <w:sz w:val="20"/>
          <w:szCs w:val="20"/>
          <w:lang w:val="fr-FR"/>
        </w:rPr>
        <w:t>Contentieux administratif</w:t>
      </w:r>
      <w:r w:rsidRPr="006F0999">
        <w:rPr>
          <w:sz w:val="20"/>
          <w:szCs w:val="20"/>
          <w:lang w:val="fr-FR"/>
        </w:rPr>
        <w:t xml:space="preserve"> (3rd edn, Larcier, Bruxelles, 2008) 354 </w:t>
      </w:r>
      <w:r w:rsidRPr="00BC5B33">
        <w:rPr>
          <w:sz w:val="20"/>
          <w:szCs w:val="20"/>
          <w:lang w:val="fr-FR"/>
        </w:rPr>
        <w:t>n 1453.</w:t>
      </w:r>
    </w:p>
  </w:footnote>
  <w:footnote w:id="235">
    <w:p w14:paraId="363824F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‘Seem’ because many Belgi</w:t>
      </w:r>
      <w:r>
        <w:rPr>
          <w:sz w:val="20"/>
          <w:szCs w:val="20"/>
        </w:rPr>
        <w:t>an</w:t>
      </w:r>
      <w:r w:rsidRPr="006F0999">
        <w:rPr>
          <w:sz w:val="20"/>
          <w:szCs w:val="20"/>
        </w:rPr>
        <w:t xml:space="preserve"> scholars do not formalize these conceptual distinctions.</w:t>
      </w:r>
    </w:p>
  </w:footnote>
  <w:footnote w:id="236">
    <w:p w14:paraId="22EFE0B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That the chronological distinction </w:t>
      </w:r>
      <w:r w:rsidRPr="006F0999">
        <w:rPr>
          <w:i/>
          <w:sz w:val="20"/>
          <w:szCs w:val="20"/>
        </w:rPr>
        <w:t>ex nunc/ex tunc</w:t>
      </w:r>
      <w:r w:rsidRPr="006F0999">
        <w:rPr>
          <w:sz w:val="20"/>
          <w:szCs w:val="20"/>
        </w:rPr>
        <w:t xml:space="preserve"> does not coincide with the conceptual distinction between annulation and nullity has been stressed by </w:t>
      </w:r>
      <w:r w:rsidRPr="00517D43">
        <w:rPr>
          <w:sz w:val="20"/>
          <w:szCs w:val="20"/>
        </w:rPr>
        <w:t>Otto Bachof, ‘Die Prüfungs- und Verwerfungskompetenz’</w:t>
      </w:r>
      <w:r w:rsidRPr="00517D43" w:rsidDel="008D6874">
        <w:rPr>
          <w:sz w:val="20"/>
          <w:szCs w:val="20"/>
        </w:rPr>
        <w:t xml:space="preserve"> </w:t>
      </w:r>
      <w:r w:rsidRPr="00517D43">
        <w:rPr>
          <w:sz w:val="20"/>
          <w:szCs w:val="20"/>
        </w:rPr>
        <w:t xml:space="preserve">(n </w:t>
      </w:r>
      <w:r w:rsidRPr="006F0999">
        <w:rPr>
          <w:sz w:val="20"/>
          <w:szCs w:val="20"/>
        </w:rPr>
        <w:fldChar w:fldCharType="begin"/>
      </w:r>
      <w:r w:rsidRPr="00517D43">
        <w:rPr>
          <w:sz w:val="20"/>
          <w:szCs w:val="20"/>
        </w:rPr>
        <w:instrText xml:space="preserve"> NOTEREF _Ref457886617 \h  \* MERGEFORMAT </w:instrText>
      </w:r>
      <w:r w:rsidRPr="006F0999">
        <w:rPr>
          <w:sz w:val="20"/>
          <w:szCs w:val="20"/>
        </w:rPr>
      </w:r>
      <w:r w:rsidRPr="006F0999">
        <w:rPr>
          <w:sz w:val="20"/>
          <w:szCs w:val="20"/>
        </w:rPr>
        <w:fldChar w:fldCharType="separate"/>
      </w:r>
      <w:r w:rsidRPr="00517D43">
        <w:rPr>
          <w:sz w:val="20"/>
          <w:szCs w:val="20"/>
        </w:rPr>
        <w:t>223</w:t>
      </w:r>
      <w:r w:rsidRPr="006F0999">
        <w:rPr>
          <w:sz w:val="20"/>
          <w:szCs w:val="20"/>
        </w:rPr>
        <w:fldChar w:fldCharType="end"/>
      </w:r>
      <w:r w:rsidRPr="00517D43">
        <w:rPr>
          <w:sz w:val="20"/>
          <w:szCs w:val="20"/>
        </w:rPr>
        <w:t xml:space="preserve">) </w:t>
      </w:r>
      <w:r w:rsidRPr="006F0999">
        <w:rPr>
          <w:sz w:val="20"/>
          <w:szCs w:val="20"/>
        </w:rPr>
        <w:t xml:space="preserve">31 f. See also Hans Kelsen, </w:t>
      </w:r>
      <w:r w:rsidRPr="006F0999">
        <w:rPr>
          <w:i/>
          <w:sz w:val="20"/>
          <w:szCs w:val="20"/>
        </w:rPr>
        <w:t>Reine Rechtslehre</w:t>
      </w:r>
      <w:r w:rsidRPr="006F0999">
        <w:rPr>
          <w:sz w:val="20"/>
          <w:szCs w:val="20"/>
        </w:rPr>
        <w:t xml:space="preserve"> (Wien, 2nd edn, 1960), 280 f.</w:t>
      </w:r>
    </w:p>
  </w:footnote>
  <w:footnote w:id="237">
    <w:p w14:paraId="678DA2E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decision (C.06.0457.F) is published in (2008) Journal des tribunaux 554 f.</w:t>
      </w:r>
    </w:p>
  </w:footnote>
  <w:footnote w:id="238">
    <w:p w14:paraId="3FAF5581"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His conclusions are accessible on the website of Juridat, attached to the decision of the Court.</w:t>
      </w:r>
    </w:p>
  </w:footnote>
  <w:footnote w:id="239">
    <w:p w14:paraId="44700AAF" w14:textId="77777777" w:rsidR="0089313D" w:rsidRPr="006379C3" w:rsidRDefault="0089313D" w:rsidP="00DE2EDF">
      <w:pPr>
        <w:pStyle w:val="FootnoteText"/>
        <w:spacing w:line="276" w:lineRule="auto"/>
        <w:rPr>
          <w:sz w:val="20"/>
        </w:rPr>
      </w:pPr>
      <w:r w:rsidRPr="006F0999">
        <w:rPr>
          <w:rStyle w:val="FootnoteReference"/>
          <w:sz w:val="20"/>
          <w:szCs w:val="20"/>
        </w:rPr>
        <w:footnoteRef/>
      </w:r>
      <w:r w:rsidRPr="006379C3">
        <w:rPr>
          <w:sz w:val="20"/>
        </w:rPr>
        <w:t xml:space="preserve"> David Renders, ‘L’autorité administrative’ (n </w:t>
      </w:r>
      <w:r w:rsidRPr="006F0999">
        <w:rPr>
          <w:sz w:val="20"/>
          <w:szCs w:val="20"/>
        </w:rPr>
        <w:fldChar w:fldCharType="begin"/>
      </w:r>
      <w:r w:rsidRPr="006379C3">
        <w:rPr>
          <w:sz w:val="20"/>
        </w:rPr>
        <w:instrText xml:space="preserve"> NOTEREF _Ref457886991 \h  \* MERGEFORMAT </w:instrText>
      </w:r>
      <w:r w:rsidRPr="006F0999">
        <w:rPr>
          <w:sz w:val="20"/>
          <w:szCs w:val="20"/>
        </w:rPr>
      </w:r>
      <w:r w:rsidRPr="006F0999">
        <w:rPr>
          <w:sz w:val="20"/>
          <w:szCs w:val="20"/>
        </w:rPr>
        <w:fldChar w:fldCharType="separate"/>
      </w:r>
      <w:r w:rsidRPr="006379C3">
        <w:rPr>
          <w:sz w:val="20"/>
        </w:rPr>
        <w:t>232</w:t>
      </w:r>
      <w:r w:rsidRPr="006F0999">
        <w:rPr>
          <w:sz w:val="20"/>
          <w:szCs w:val="20"/>
        </w:rPr>
        <w:fldChar w:fldCharType="end"/>
      </w:r>
      <w:r w:rsidRPr="006379C3">
        <w:rPr>
          <w:sz w:val="20"/>
        </w:rPr>
        <w:t>) 555 ff.</w:t>
      </w:r>
    </w:p>
  </w:footnote>
  <w:footnote w:id="240">
    <w:p w14:paraId="1956A6BB"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Art 94 of the current Dutch Constitution obliges</w:t>
      </w:r>
      <w:r>
        <w:rPr>
          <w:sz w:val="20"/>
          <w:szCs w:val="20"/>
        </w:rPr>
        <w:t>,</w:t>
      </w:r>
      <w:r w:rsidRPr="006F0999">
        <w:rPr>
          <w:sz w:val="20"/>
          <w:szCs w:val="20"/>
        </w:rPr>
        <w:t xml:space="preserve"> however</w:t>
      </w:r>
      <w:r>
        <w:rPr>
          <w:sz w:val="20"/>
          <w:szCs w:val="20"/>
        </w:rPr>
        <w:t>,</w:t>
      </w:r>
      <w:r w:rsidRPr="006F0999">
        <w:rPr>
          <w:sz w:val="20"/>
          <w:szCs w:val="20"/>
        </w:rPr>
        <w:t xml:space="preserve"> the government and administrative authorities, when adopting a regulation or an individual decision, to refrain from implementing a statute if the latter infringes international law. The Dutch Constitution strongly emphasizes the due respect of international norms; in the hierarchy of norms they are higher than the Constitution.</w:t>
      </w:r>
    </w:p>
  </w:footnote>
  <w:footnote w:id="241">
    <w:p w14:paraId="2C470E8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In Luxembourg, the jurisdiction of the administration to exercise a concrete review has never been argued or claimed. Yet, one situation may be interpreted as coming close to an abstract review of constitutionality of statutes by the head of state, when she/he exercises the autonomous regulatory power defined by art 76 of the 1868 Constitution. </w:t>
      </w:r>
      <w:r w:rsidRPr="006379C3">
        <w:rPr>
          <w:sz w:val="20"/>
        </w:rPr>
        <w:t xml:space="preserve">See Tribunal administratif 25 August 2004, no 18582; Rusen Ergec, </w:t>
      </w:r>
      <w:r w:rsidRPr="006379C3">
        <w:rPr>
          <w:i/>
          <w:sz w:val="20"/>
        </w:rPr>
        <w:t>Contentieux administratif</w:t>
      </w:r>
      <w:r w:rsidRPr="006379C3">
        <w:rPr>
          <w:sz w:val="20"/>
        </w:rPr>
        <w:t xml:space="preserve"> (Pasicrisie, Luxembourg, 2010) mn 298. </w:t>
      </w:r>
      <w:r w:rsidRPr="006F0999">
        <w:rPr>
          <w:sz w:val="20"/>
          <w:szCs w:val="20"/>
        </w:rPr>
        <w:t>It should be noted that, in contrast to most foreign legal systems, the Luxembourgish executive is denied the right to file a petition to the Constitutional Court.</w:t>
      </w:r>
    </w:p>
  </w:footnote>
  <w:footnote w:id="242">
    <w:p w14:paraId="3D052C88"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lang w:val="fr-FR"/>
        </w:rPr>
        <w:t xml:space="preserve"> For a classic restatement: Raymond Carré de Malberg, </w:t>
      </w:r>
      <w:r w:rsidRPr="006F0999">
        <w:rPr>
          <w:i/>
          <w:sz w:val="20"/>
          <w:szCs w:val="20"/>
          <w:lang w:val="fr-FR"/>
        </w:rPr>
        <w:t>La Loi, expression de la volonté générale. Etude sur le concept de la loi dans la Constitution de 1875</w:t>
      </w:r>
      <w:r w:rsidRPr="006F0999">
        <w:rPr>
          <w:sz w:val="20"/>
          <w:szCs w:val="20"/>
          <w:lang w:val="fr-FR"/>
        </w:rPr>
        <w:t xml:space="preserve"> (Sirey, Paris, 1931). </w:t>
      </w:r>
    </w:p>
  </w:footnote>
  <w:footnote w:id="243">
    <w:p w14:paraId="0A8A2EEF"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Council of State, 5 January 2005, </w:t>
      </w:r>
      <w:r w:rsidRPr="006F0999">
        <w:rPr>
          <w:i/>
          <w:sz w:val="20"/>
          <w:szCs w:val="20"/>
        </w:rPr>
        <w:t>Mlle Deprez, M. Baillard</w:t>
      </w:r>
      <w:r w:rsidRPr="006F0999">
        <w:rPr>
          <w:sz w:val="20"/>
          <w:szCs w:val="20"/>
        </w:rPr>
        <w:t xml:space="preserve">, </w:t>
      </w:r>
      <w:r w:rsidRPr="006F0999">
        <w:rPr>
          <w:i/>
          <w:sz w:val="20"/>
          <w:szCs w:val="20"/>
        </w:rPr>
        <w:t>Recueil Lebon</w:t>
      </w:r>
      <w:r>
        <w:rPr>
          <w:sz w:val="20"/>
          <w:szCs w:val="20"/>
        </w:rPr>
        <w:t xml:space="preserve"> 1: </w:t>
      </w:r>
      <w:r w:rsidRPr="006F0999">
        <w:rPr>
          <w:sz w:val="20"/>
          <w:szCs w:val="20"/>
        </w:rPr>
        <w:t>‘a review of the constitutionality of a statute is excluded at t</w:t>
      </w:r>
      <w:r>
        <w:rPr>
          <w:sz w:val="20"/>
          <w:szCs w:val="20"/>
        </w:rPr>
        <w:t>he stage of its implementation’</w:t>
      </w:r>
      <w:r w:rsidRPr="006F0999">
        <w:rPr>
          <w:sz w:val="20"/>
          <w:szCs w:val="20"/>
        </w:rPr>
        <w:t>.</w:t>
      </w:r>
    </w:p>
  </w:footnote>
  <w:footnote w:id="244">
    <w:p w14:paraId="72372BE9" w14:textId="77777777" w:rsidR="0089313D" w:rsidRPr="006F0999" w:rsidRDefault="0089313D" w:rsidP="00DE2EDF">
      <w:pPr>
        <w:pStyle w:val="FootnoteText"/>
        <w:spacing w:line="276" w:lineRule="auto"/>
        <w:rPr>
          <w:sz w:val="20"/>
          <w:szCs w:val="20"/>
          <w:lang w:val="it-IT"/>
        </w:rPr>
      </w:pPr>
      <w:r w:rsidRPr="006F0999">
        <w:rPr>
          <w:rStyle w:val="FootnoteReference"/>
          <w:sz w:val="20"/>
          <w:szCs w:val="20"/>
        </w:rPr>
        <w:footnoteRef/>
      </w:r>
      <w:r w:rsidRPr="006F0999">
        <w:rPr>
          <w:sz w:val="20"/>
          <w:szCs w:val="20"/>
          <w:lang w:val="it-IT"/>
        </w:rPr>
        <w:t xml:space="preserve"> ECJ, Case 101/78 </w:t>
      </w:r>
      <w:r w:rsidRPr="006F0999">
        <w:rPr>
          <w:i/>
          <w:sz w:val="20"/>
          <w:szCs w:val="20"/>
          <w:lang w:val="it-IT"/>
        </w:rPr>
        <w:t>Granaria</w:t>
      </w:r>
      <w:r w:rsidRPr="006F0999">
        <w:rPr>
          <w:sz w:val="20"/>
          <w:szCs w:val="20"/>
          <w:lang w:val="it-IT"/>
        </w:rPr>
        <w:t xml:space="preserve"> [1979] ECR 640; ECJ, Case 103/88 </w:t>
      </w:r>
      <w:r w:rsidRPr="006F0999">
        <w:rPr>
          <w:i/>
          <w:sz w:val="20"/>
          <w:szCs w:val="20"/>
          <w:lang w:val="it-IT"/>
        </w:rPr>
        <w:t>Costanzo</w:t>
      </w:r>
      <w:r w:rsidRPr="006F0999">
        <w:rPr>
          <w:sz w:val="20"/>
          <w:szCs w:val="20"/>
          <w:lang w:val="it-IT"/>
        </w:rPr>
        <w:t xml:space="preserve"> [1989] ECR 1861.</w:t>
      </w:r>
    </w:p>
  </w:footnote>
  <w:footnote w:id="245">
    <w:p w14:paraId="499C867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As shown, it is permitted in Switzerland, but the latter is not member of the EU. In Germany, Bachof’s view regarding norms of the </w:t>
      </w:r>
      <w:r w:rsidRPr="006F0999">
        <w:rPr>
          <w:i/>
          <w:sz w:val="20"/>
          <w:szCs w:val="20"/>
        </w:rPr>
        <w:t>Landesrecht</w:t>
      </w:r>
      <w:r w:rsidRPr="006F0999">
        <w:rPr>
          <w:sz w:val="20"/>
          <w:szCs w:val="20"/>
        </w:rPr>
        <w:t xml:space="preserve"> that infringe federal norms, was unsuccessful under the </w:t>
      </w:r>
      <w:r w:rsidRPr="006F0999">
        <w:rPr>
          <w:i/>
          <w:sz w:val="20"/>
          <w:szCs w:val="20"/>
        </w:rPr>
        <w:t>Grundgesetz</w:t>
      </w:r>
      <w:r w:rsidRPr="006F0999">
        <w:rPr>
          <w:sz w:val="20"/>
          <w:szCs w:val="20"/>
        </w:rPr>
        <w:t xml:space="preserve"> and largely absent in the past, at least under German Reich (1870–1919). It was, however, supported by the </w:t>
      </w:r>
      <w:r w:rsidRPr="006F0999">
        <w:rPr>
          <w:i/>
          <w:sz w:val="20"/>
          <w:szCs w:val="20"/>
        </w:rPr>
        <w:t>Reichsgericht</w:t>
      </w:r>
      <w:r w:rsidRPr="006F0999">
        <w:rPr>
          <w:sz w:val="20"/>
          <w:szCs w:val="20"/>
        </w:rPr>
        <w:t xml:space="preserve"> under the Weimar Republic in a case of an obvious contradiction (RGZ 130, 319). In Austria or Belgium, which are also Federations, and Members of the EU, such a rule is totally unknown.</w:t>
      </w:r>
    </w:p>
  </w:footnote>
  <w:footnote w:id="246">
    <w:p w14:paraId="14DFC17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See, e.g., the Netherlands (all statutes), Switzerland (Federal statutes), the United Kingdom (Acts of Westminster Parliament), and France (statutes adopted by referendum: art 11 of the 1958 Constitution).</w:t>
      </w:r>
    </w:p>
  </w:footnote>
  <w:footnote w:id="247">
    <w:p w14:paraId="670E1FEA"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In France, it is called the ‘</w:t>
      </w:r>
      <w:r w:rsidRPr="006F0999">
        <w:rPr>
          <w:i/>
          <w:sz w:val="20"/>
          <w:szCs w:val="20"/>
        </w:rPr>
        <w:t>loi écran</w:t>
      </w:r>
      <w:r w:rsidRPr="006F0999">
        <w:rPr>
          <w:sz w:val="20"/>
          <w:szCs w:val="20"/>
        </w:rPr>
        <w:t xml:space="preserve">’ (litt: screen-statute): the statute serves as a screen, protecting regulations and decisions from the Constitution. For the United Kingdom, see s 6 para 2 of the Human Rights Act 1998; but, for the specific legal situation in Scotland, see O’Neill, ‘Parliamentary Sovereignty and the Judicial Review of Legislation’ (n 20) 206. </w:t>
      </w:r>
      <w:r w:rsidRPr="006F0999">
        <w:rPr>
          <w:sz w:val="20"/>
          <w:szCs w:val="20"/>
          <w:lang w:val="de-DE"/>
        </w:rPr>
        <w:t>For the Netherlands, see Leonard Besselink, ‘Niederlande’</w:t>
      </w:r>
      <w:r w:rsidRPr="006F0999">
        <w:rPr>
          <w:i/>
          <w:sz w:val="20"/>
          <w:szCs w:val="20"/>
          <w:lang w:val="de-DE"/>
        </w:rPr>
        <w:t xml:space="preserve"> </w:t>
      </w:r>
      <w:r w:rsidRPr="006F0999">
        <w:rPr>
          <w:sz w:val="20"/>
          <w:szCs w:val="20"/>
          <w:lang w:val="de-DE"/>
        </w:rPr>
        <w:t xml:space="preserve">(n </w:t>
      </w:r>
      <w:r w:rsidRPr="006F0999">
        <w:rPr>
          <w:sz w:val="20"/>
          <w:szCs w:val="20"/>
        </w:rPr>
        <w:fldChar w:fldCharType="begin"/>
      </w:r>
      <w:r w:rsidRPr="006F0999">
        <w:rPr>
          <w:sz w:val="20"/>
          <w:szCs w:val="20"/>
          <w:lang w:val="de-DE"/>
        </w:rPr>
        <w:instrText xml:space="preserve"> NOTEREF _Ref457853999 \h  \* MERGEFORMAT </w:instrText>
      </w:r>
      <w:r w:rsidRPr="006F0999">
        <w:rPr>
          <w:sz w:val="20"/>
          <w:szCs w:val="20"/>
        </w:rPr>
      </w:r>
      <w:r w:rsidRPr="006F0999">
        <w:rPr>
          <w:sz w:val="20"/>
          <w:szCs w:val="20"/>
        </w:rPr>
        <w:fldChar w:fldCharType="separate"/>
      </w:r>
      <w:r w:rsidRPr="006F0999">
        <w:rPr>
          <w:sz w:val="20"/>
          <w:szCs w:val="20"/>
          <w:lang w:val="de-DE"/>
        </w:rPr>
        <w:t>67</w:t>
      </w:r>
      <w:r w:rsidRPr="006F0999">
        <w:rPr>
          <w:sz w:val="20"/>
          <w:szCs w:val="20"/>
        </w:rPr>
        <w:fldChar w:fldCharType="end"/>
      </w:r>
      <w:r w:rsidRPr="006F0999">
        <w:rPr>
          <w:sz w:val="20"/>
          <w:szCs w:val="20"/>
          <w:lang w:val="de-DE"/>
        </w:rPr>
        <w:t xml:space="preserve">) 378. For Switzerland, see Pierre Tschannen, </w:t>
      </w:r>
      <w:r w:rsidRPr="006F0999">
        <w:rPr>
          <w:i/>
          <w:sz w:val="20"/>
          <w:szCs w:val="20"/>
          <w:lang w:val="de-DE"/>
        </w:rPr>
        <w:t>Staatsrecht der Schweizerischen Eidgenossenschaft</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_Ref457853943 \h  \* MERGEFORMAT </w:instrText>
      </w:r>
      <w:r w:rsidRPr="006F0999">
        <w:rPr>
          <w:sz w:val="20"/>
          <w:szCs w:val="20"/>
        </w:rPr>
      </w:r>
      <w:r w:rsidRPr="006F0999">
        <w:rPr>
          <w:sz w:val="20"/>
          <w:szCs w:val="20"/>
        </w:rPr>
        <w:fldChar w:fldCharType="separate"/>
      </w:r>
      <w:r w:rsidRPr="006F0999">
        <w:rPr>
          <w:sz w:val="20"/>
          <w:szCs w:val="20"/>
          <w:lang w:val="de-DE"/>
        </w:rPr>
        <w:t>213</w:t>
      </w:r>
      <w:r w:rsidRPr="006F0999">
        <w:rPr>
          <w:sz w:val="20"/>
          <w:szCs w:val="20"/>
        </w:rPr>
        <w:fldChar w:fldCharType="end"/>
      </w:r>
      <w:r w:rsidRPr="006F0999">
        <w:rPr>
          <w:sz w:val="20"/>
          <w:szCs w:val="20"/>
          <w:lang w:val="de-DE"/>
        </w:rPr>
        <w:t xml:space="preserve">) 148 ff. </w:t>
      </w:r>
    </w:p>
  </w:footnote>
  <w:footnote w:id="248">
    <w:p w14:paraId="23EB2F7F" w14:textId="77777777" w:rsidR="0089313D" w:rsidRPr="006F0999" w:rsidRDefault="0089313D" w:rsidP="00DE2EDF">
      <w:pPr>
        <w:pStyle w:val="FootnoteText"/>
        <w:spacing w:line="276" w:lineRule="auto"/>
        <w:rPr>
          <w:sz w:val="20"/>
          <w:szCs w:val="20"/>
          <w:lang w:val="fr-FR"/>
        </w:rPr>
      </w:pPr>
      <w:r w:rsidRPr="006F0999">
        <w:rPr>
          <w:rStyle w:val="FootnoteReference"/>
          <w:sz w:val="20"/>
          <w:szCs w:val="20"/>
        </w:rPr>
        <w:footnoteRef/>
      </w:r>
      <w:r w:rsidRPr="006F0999">
        <w:rPr>
          <w:sz w:val="20"/>
          <w:szCs w:val="20"/>
        </w:rPr>
        <w:t xml:space="preserve"> In Switzerland the strong commitment of the Federal Court is due to procedural reasons: it can only review administrative acts on the basis of constitutional complaints. </w:t>
      </w:r>
      <w:r w:rsidRPr="006F0999">
        <w:rPr>
          <w:sz w:val="20"/>
          <w:szCs w:val="20"/>
          <w:lang w:val="fr-FR"/>
        </w:rPr>
        <w:t xml:space="preserve">For Norway, see Eivind Smith, ‘Aux origines de la justice constitutionnelle en Norvège’, in </w:t>
      </w:r>
      <w:r w:rsidRPr="006F0999">
        <w:rPr>
          <w:i/>
          <w:sz w:val="20"/>
          <w:szCs w:val="20"/>
          <w:lang w:val="fr-FR"/>
        </w:rPr>
        <w:t>Mélanges Epaminondas P Spiliotopoulos</w:t>
      </w:r>
      <w:r w:rsidRPr="006F0999">
        <w:rPr>
          <w:sz w:val="20"/>
          <w:szCs w:val="20"/>
          <w:lang w:val="fr-FR"/>
        </w:rPr>
        <w:t xml:space="preserve"> (n </w:t>
      </w:r>
      <w:r w:rsidRPr="006F0999">
        <w:rPr>
          <w:sz w:val="20"/>
          <w:szCs w:val="20"/>
        </w:rPr>
        <w:fldChar w:fldCharType="begin"/>
      </w:r>
      <w:r w:rsidRPr="006F0999">
        <w:rPr>
          <w:sz w:val="20"/>
          <w:szCs w:val="20"/>
          <w:lang w:val="fr-FR"/>
        </w:rPr>
        <w:instrText xml:space="preserve"> NOTEREF _Ref457898374 \h  \* MERGEFORMAT </w:instrText>
      </w:r>
      <w:r w:rsidRPr="006F0999">
        <w:rPr>
          <w:sz w:val="20"/>
          <w:szCs w:val="20"/>
        </w:rPr>
      </w:r>
      <w:r w:rsidRPr="006F0999">
        <w:rPr>
          <w:sz w:val="20"/>
          <w:szCs w:val="20"/>
        </w:rPr>
        <w:fldChar w:fldCharType="separate"/>
      </w:r>
      <w:r w:rsidRPr="006F0999">
        <w:rPr>
          <w:sz w:val="20"/>
          <w:szCs w:val="20"/>
          <w:lang w:val="fr-FR"/>
        </w:rPr>
        <w:t>149</w:t>
      </w:r>
      <w:r w:rsidRPr="006F0999">
        <w:rPr>
          <w:sz w:val="20"/>
          <w:szCs w:val="20"/>
        </w:rPr>
        <w:fldChar w:fldCharType="end"/>
      </w:r>
      <w:r w:rsidRPr="006F0999">
        <w:rPr>
          <w:sz w:val="20"/>
          <w:szCs w:val="20"/>
          <w:lang w:val="fr-FR"/>
        </w:rPr>
        <w:t>) 411 ff.</w:t>
      </w:r>
    </w:p>
  </w:footnote>
  <w:footnote w:id="249">
    <w:p w14:paraId="1089ECA9"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requires an acculturation and learning process. Aidan O’Neill, ‘Parliamentary Sovereignty and the Judicial Review of Legislation’ (n </w:t>
      </w:r>
      <w:r w:rsidRPr="006F0999">
        <w:rPr>
          <w:sz w:val="20"/>
          <w:szCs w:val="20"/>
        </w:rPr>
        <w:fldChar w:fldCharType="begin"/>
      </w:r>
      <w:r w:rsidRPr="006F0999">
        <w:rPr>
          <w:sz w:val="20"/>
          <w:szCs w:val="20"/>
        </w:rPr>
        <w:instrText xml:space="preserve"> NOTEREF _ftnref17 \h  \* MERGEFORMAT </w:instrText>
      </w:r>
      <w:r w:rsidRPr="006F0999">
        <w:rPr>
          <w:sz w:val="20"/>
          <w:szCs w:val="20"/>
        </w:rPr>
      </w:r>
      <w:r w:rsidRPr="006F0999">
        <w:rPr>
          <w:sz w:val="20"/>
          <w:szCs w:val="20"/>
        </w:rPr>
        <w:fldChar w:fldCharType="separate"/>
      </w:r>
      <w:r w:rsidRPr="006F0999">
        <w:rPr>
          <w:sz w:val="20"/>
          <w:szCs w:val="20"/>
        </w:rPr>
        <w:t>20</w:t>
      </w:r>
      <w:r w:rsidRPr="006F0999">
        <w:rPr>
          <w:sz w:val="20"/>
          <w:szCs w:val="20"/>
        </w:rPr>
        <w:fldChar w:fldCharType="end"/>
      </w:r>
      <w:r w:rsidRPr="006F0999">
        <w:rPr>
          <w:sz w:val="20"/>
          <w:szCs w:val="20"/>
        </w:rPr>
        <w:t xml:space="preserve">) 200 ff, persuasively shows how in the past, several Lord Judges, who later became very active in the debate on a new fundamental rights culture in Britain, familiarised themselves with abstract constitutional principles by adjudicating constitutional law cases from Commonwealth countries in the Privy Council. After immersion in the spirit of the ECHR and the case law of the ECtHR, some Swedish judges, lawyers, and politicians began to see fundamental rights through different eyes. See </w:t>
      </w:r>
      <w:r w:rsidRPr="00517D43">
        <w:rPr>
          <w:sz w:val="20"/>
          <w:szCs w:val="20"/>
        </w:rPr>
        <w:t>Kjell Å Modéer</w:t>
      </w:r>
      <w:r w:rsidRPr="006F0999">
        <w:rPr>
          <w:sz w:val="20"/>
          <w:szCs w:val="20"/>
        </w:rPr>
        <w:t xml:space="preserve">, ‘Schweden’, in Armin von Bogdandy, Pedro Cruz Villalón and Peter M Huber (eds), </w:t>
      </w:r>
      <w:r w:rsidRPr="006F0999">
        <w:rPr>
          <w:i/>
          <w:sz w:val="20"/>
          <w:szCs w:val="20"/>
        </w:rPr>
        <w:t>IPE II</w:t>
      </w:r>
      <w:r w:rsidRPr="006F0999">
        <w:rPr>
          <w:sz w:val="20"/>
          <w:szCs w:val="20"/>
        </w:rPr>
        <w:t xml:space="preserve"> (n </w:t>
      </w:r>
      <w:r w:rsidRPr="006F0999">
        <w:rPr>
          <w:sz w:val="20"/>
          <w:szCs w:val="20"/>
        </w:rPr>
        <w:fldChar w:fldCharType="begin"/>
      </w:r>
      <w:r w:rsidRPr="006F0999">
        <w:rPr>
          <w:sz w:val="20"/>
          <w:szCs w:val="20"/>
        </w:rPr>
        <w:instrText xml:space="preserve"> NOTEREF _Ref457826505 \h  \* MERGEFORMAT </w:instrText>
      </w:r>
      <w:r w:rsidRPr="006F0999">
        <w:rPr>
          <w:sz w:val="20"/>
          <w:szCs w:val="20"/>
        </w:rPr>
      </w:r>
      <w:r w:rsidRPr="006F0999">
        <w:rPr>
          <w:sz w:val="20"/>
          <w:szCs w:val="20"/>
        </w:rPr>
        <w:fldChar w:fldCharType="separate"/>
      </w:r>
      <w:r w:rsidRPr="006F0999">
        <w:rPr>
          <w:sz w:val="20"/>
          <w:szCs w:val="20"/>
        </w:rPr>
        <w:t>11</w:t>
      </w:r>
      <w:r w:rsidRPr="006F0999">
        <w:rPr>
          <w:sz w:val="20"/>
          <w:szCs w:val="20"/>
        </w:rPr>
        <w:fldChar w:fldCharType="end"/>
      </w:r>
      <w:r w:rsidRPr="006F0999">
        <w:rPr>
          <w:sz w:val="20"/>
          <w:szCs w:val="20"/>
        </w:rPr>
        <w:t xml:space="preserve">) </w:t>
      </w:r>
      <w:r>
        <w:rPr>
          <w:sz w:val="20"/>
          <w:szCs w:val="20"/>
        </w:rPr>
        <w:t>709 ff.</w:t>
      </w:r>
    </w:p>
  </w:footnote>
  <w:footnote w:id="250">
    <w:p w14:paraId="1648DADA"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For Spain, see Pierre Bon, ‘Constitution et administration en Espagne’ (n </w:t>
      </w:r>
      <w:r w:rsidRPr="006F0999">
        <w:rPr>
          <w:sz w:val="20"/>
          <w:szCs w:val="20"/>
        </w:rPr>
        <w:fldChar w:fldCharType="begin"/>
      </w:r>
      <w:r w:rsidRPr="006F0999">
        <w:rPr>
          <w:sz w:val="20"/>
          <w:szCs w:val="20"/>
        </w:rPr>
        <w:instrText xml:space="preserve"> NOTEREF _Ref401053466 \h  \* MERGEFORMAT </w:instrText>
      </w:r>
      <w:r w:rsidRPr="006F0999">
        <w:rPr>
          <w:sz w:val="20"/>
          <w:szCs w:val="20"/>
        </w:rPr>
      </w:r>
      <w:r w:rsidRPr="006F0999">
        <w:rPr>
          <w:sz w:val="20"/>
          <w:szCs w:val="20"/>
        </w:rPr>
        <w:fldChar w:fldCharType="separate"/>
      </w:r>
      <w:r w:rsidRPr="006F0999">
        <w:rPr>
          <w:sz w:val="20"/>
          <w:szCs w:val="20"/>
        </w:rPr>
        <w:t>161</w:t>
      </w:r>
      <w:r w:rsidRPr="006F0999">
        <w:rPr>
          <w:sz w:val="20"/>
          <w:szCs w:val="20"/>
        </w:rPr>
        <w:fldChar w:fldCharType="end"/>
      </w:r>
      <w:r w:rsidRPr="006F0999">
        <w:rPr>
          <w:sz w:val="20"/>
          <w:szCs w:val="20"/>
        </w:rPr>
        <w:t xml:space="preserve">); for Italy, see Mario Dogliani and Cesare Pinelli, ‘Italien’ </w:t>
      </w:r>
      <w:r>
        <w:rPr>
          <w:sz w:val="20"/>
          <w:szCs w:val="20"/>
        </w:rPr>
        <w:t>(n 204) 284, 300 ff</w:t>
      </w:r>
      <w:r w:rsidRPr="006F0999">
        <w:rPr>
          <w:sz w:val="20"/>
          <w:szCs w:val="20"/>
        </w:rPr>
        <w:t xml:space="preserve">. For the historical background in Italy, see Maurizio Fioravanti, ‘Italien’, in Armin von Bogdandy, Pedro Cruz Villalón and Peter M Huber (eds), </w:t>
      </w:r>
      <w:r w:rsidRPr="006F0999">
        <w:rPr>
          <w:i/>
          <w:sz w:val="20"/>
          <w:szCs w:val="20"/>
        </w:rPr>
        <w:t>IPE II</w:t>
      </w:r>
      <w:r w:rsidRPr="006F0999">
        <w:rPr>
          <w:sz w:val="20"/>
          <w:szCs w:val="20"/>
        </w:rPr>
        <w:t xml:space="preserve"> (n </w:t>
      </w:r>
      <w:r w:rsidRPr="006F0999">
        <w:rPr>
          <w:sz w:val="20"/>
          <w:szCs w:val="20"/>
        </w:rPr>
        <w:fldChar w:fldCharType="begin"/>
      </w:r>
      <w:r w:rsidRPr="006F0999">
        <w:rPr>
          <w:sz w:val="20"/>
          <w:szCs w:val="20"/>
        </w:rPr>
        <w:instrText xml:space="preserve"> NOTEREF _Ref457826505 \h  \* MERGEFORMAT </w:instrText>
      </w:r>
      <w:r w:rsidRPr="006F0999">
        <w:rPr>
          <w:sz w:val="20"/>
          <w:szCs w:val="20"/>
        </w:rPr>
      </w:r>
      <w:r w:rsidRPr="006F0999">
        <w:rPr>
          <w:sz w:val="20"/>
          <w:szCs w:val="20"/>
        </w:rPr>
        <w:fldChar w:fldCharType="separate"/>
      </w:r>
      <w:r w:rsidRPr="006F0999">
        <w:rPr>
          <w:sz w:val="20"/>
          <w:szCs w:val="20"/>
        </w:rPr>
        <w:t>11</w:t>
      </w:r>
      <w:r w:rsidRPr="006F0999">
        <w:rPr>
          <w:sz w:val="20"/>
          <w:szCs w:val="20"/>
        </w:rPr>
        <w:fldChar w:fldCharType="end"/>
      </w:r>
      <w:r w:rsidRPr="006F0999">
        <w:rPr>
          <w:sz w:val="20"/>
          <w:szCs w:val="20"/>
        </w:rPr>
        <w:t xml:space="preserve">) </w:t>
      </w:r>
      <w:r w:rsidRPr="000F4321">
        <w:rPr>
          <w:sz w:val="20"/>
          <w:szCs w:val="20"/>
        </w:rPr>
        <w:t>590, 594 ff. Above</w:t>
      </w:r>
      <w:r w:rsidRPr="006F0999">
        <w:rPr>
          <w:sz w:val="20"/>
          <w:szCs w:val="20"/>
        </w:rPr>
        <w:t xml:space="preserve"> all, it should be noted that such resistance came from the civil courts, not the administrative courts.</w:t>
      </w:r>
    </w:p>
  </w:footnote>
  <w:footnote w:id="251">
    <w:p w14:paraId="04008D4E"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An eloquent example are the differences, in the past, between the German Constitutional Court in Karlsruhe and the Austrian Constitutional Court in Vienna. The key word to describe this cultural gap could be ‘Smend versus Kelsen’. </w:t>
      </w:r>
      <w:r w:rsidRPr="006F0999">
        <w:rPr>
          <w:sz w:val="20"/>
          <w:szCs w:val="20"/>
          <w:lang w:val="de-DE"/>
        </w:rPr>
        <w:t>See the papers in Karl Korinek and others, ‘</w:t>
      </w:r>
      <w:hyperlink r:id="rId19" w:history="1">
        <w:r w:rsidRPr="006F0999">
          <w:rPr>
            <w:sz w:val="20"/>
            <w:szCs w:val="20"/>
            <w:lang w:val="de-DE"/>
          </w:rPr>
          <w:t>Die Verfassungsgerichtsbarkeit im Gefüge der Staatsfunktionen</w:t>
        </w:r>
      </w:hyperlink>
      <w:r w:rsidRPr="006F0999">
        <w:rPr>
          <w:sz w:val="20"/>
          <w:szCs w:val="20"/>
          <w:lang w:val="de-DE"/>
        </w:rPr>
        <w:t>, Besteuerung und Eigentum’ (1981) 39 VVDStRL 7 ff.</w:t>
      </w:r>
    </w:p>
  </w:footnote>
  <w:footnote w:id="252">
    <w:p w14:paraId="24398DFA"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In Germany, it was, above all, the civil courts that were critical of the Karlsruhe judgments. In addition, the Federal Administrative Court, which itself was created after 1945 and lacked any tradition, had its own jurisdictional interest in mobilizing the Constitution. </w:t>
      </w:r>
      <w:r w:rsidRPr="006F0999">
        <w:rPr>
          <w:sz w:val="20"/>
          <w:szCs w:val="20"/>
          <w:lang w:val="de-DE"/>
        </w:rPr>
        <w:t xml:space="preserve">See Christoph Schönberger, ‘Verwaltungsrecht als konkretisiertes Verfassungsrecht’ (n </w:t>
      </w:r>
      <w:r w:rsidRPr="006F0999">
        <w:rPr>
          <w:sz w:val="20"/>
          <w:szCs w:val="20"/>
        </w:rPr>
        <w:fldChar w:fldCharType="begin"/>
      </w:r>
      <w:r w:rsidRPr="006F0999">
        <w:rPr>
          <w:sz w:val="20"/>
          <w:szCs w:val="20"/>
          <w:lang w:val="de-DE"/>
        </w:rPr>
        <w:instrText xml:space="preserve"> NOTEREF _Ref401053882 \h  \* MERGEFORMAT </w:instrText>
      </w:r>
      <w:r w:rsidRPr="006F0999">
        <w:rPr>
          <w:sz w:val="20"/>
          <w:szCs w:val="20"/>
        </w:rPr>
      </w:r>
      <w:r w:rsidRPr="006F0999">
        <w:rPr>
          <w:sz w:val="20"/>
          <w:szCs w:val="20"/>
        </w:rPr>
        <w:fldChar w:fldCharType="separate"/>
      </w:r>
      <w:r w:rsidRPr="006F0999">
        <w:rPr>
          <w:sz w:val="20"/>
          <w:szCs w:val="20"/>
          <w:lang w:val="de-DE"/>
        </w:rPr>
        <w:t>36</w:t>
      </w:r>
      <w:r w:rsidRPr="006F0999">
        <w:rPr>
          <w:sz w:val="20"/>
          <w:szCs w:val="20"/>
        </w:rPr>
        <w:fldChar w:fldCharType="end"/>
      </w:r>
      <w:r w:rsidRPr="006F0999">
        <w:rPr>
          <w:sz w:val="20"/>
          <w:szCs w:val="20"/>
          <w:lang w:val="de-DE"/>
        </w:rPr>
        <w:t xml:space="preserve">) 61 ff; Michael Jestaedt, ‘Verfassungsgerichtsbarkeit und Konstitutionalisierung des Verwaltungsrechts’ (n </w:t>
      </w:r>
      <w:r w:rsidRPr="006F0999">
        <w:rPr>
          <w:sz w:val="20"/>
          <w:szCs w:val="20"/>
        </w:rPr>
        <w:fldChar w:fldCharType="begin"/>
      </w:r>
      <w:r w:rsidRPr="006F0999">
        <w:rPr>
          <w:sz w:val="20"/>
          <w:szCs w:val="20"/>
          <w:lang w:val="de-DE"/>
        </w:rPr>
        <w:instrText xml:space="preserve"> NOTEREF _Ref457850823 \h  \* MERGEFORMAT </w:instrText>
      </w:r>
      <w:r w:rsidRPr="006F0999">
        <w:rPr>
          <w:sz w:val="20"/>
          <w:szCs w:val="20"/>
        </w:rPr>
      </w:r>
      <w:r w:rsidRPr="006F0999">
        <w:rPr>
          <w:sz w:val="20"/>
          <w:szCs w:val="20"/>
        </w:rPr>
        <w:fldChar w:fldCharType="separate"/>
      </w:r>
      <w:r w:rsidRPr="006F0999">
        <w:rPr>
          <w:sz w:val="20"/>
          <w:szCs w:val="20"/>
          <w:lang w:val="de-DE"/>
        </w:rPr>
        <w:t>143</w:t>
      </w:r>
      <w:r w:rsidRPr="006F0999">
        <w:rPr>
          <w:sz w:val="20"/>
          <w:szCs w:val="20"/>
        </w:rPr>
        <w:fldChar w:fldCharType="end"/>
      </w:r>
      <w:r w:rsidRPr="006F0999">
        <w:rPr>
          <w:sz w:val="20"/>
          <w:szCs w:val="20"/>
          <w:lang w:val="de-DE"/>
        </w:rPr>
        <w:t>) 51 ff.</w:t>
      </w:r>
    </w:p>
  </w:footnote>
  <w:footnote w:id="253">
    <w:p w14:paraId="4F0882D7"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distribution of administrative justice (is it entrusted only to administrative courts or, in part, to the Constitutional Court?) would be another interesting perspective. </w:t>
      </w:r>
    </w:p>
  </w:footnote>
  <w:footnote w:id="254">
    <w:p w14:paraId="149055D7"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Hans Kelsen, ‘Verfassungs- und Verwaltungsgerichtsbarkeit’ (n </w:t>
      </w:r>
      <w:r w:rsidRPr="006F0999">
        <w:rPr>
          <w:sz w:val="20"/>
          <w:szCs w:val="20"/>
        </w:rPr>
        <w:fldChar w:fldCharType="begin"/>
      </w:r>
      <w:r w:rsidRPr="006F0999">
        <w:rPr>
          <w:sz w:val="20"/>
          <w:szCs w:val="20"/>
          <w:lang w:val="de-DE"/>
        </w:rPr>
        <w:instrText xml:space="preserve"> NOTEREF _Ref457898625 \h  \* MERGEFORMAT </w:instrText>
      </w:r>
      <w:r w:rsidRPr="006F0999">
        <w:rPr>
          <w:sz w:val="20"/>
          <w:szCs w:val="20"/>
        </w:rPr>
      </w:r>
      <w:r w:rsidRPr="006F0999">
        <w:rPr>
          <w:sz w:val="20"/>
          <w:szCs w:val="20"/>
        </w:rPr>
        <w:fldChar w:fldCharType="separate"/>
      </w:r>
      <w:r w:rsidRPr="006F0999">
        <w:rPr>
          <w:sz w:val="20"/>
          <w:szCs w:val="20"/>
          <w:lang w:val="de-DE"/>
        </w:rPr>
        <w:t>229</w:t>
      </w:r>
      <w:r w:rsidRPr="006F0999">
        <w:rPr>
          <w:sz w:val="20"/>
          <w:szCs w:val="20"/>
        </w:rPr>
        <w:fldChar w:fldCharType="end"/>
      </w:r>
      <w:r w:rsidRPr="006F0999">
        <w:rPr>
          <w:sz w:val="20"/>
          <w:szCs w:val="20"/>
          <w:lang w:val="de-DE"/>
        </w:rPr>
        <w:t xml:space="preserve">) 186 ff; Hans Kelsen, ‘Wesen und Entwicklung der Staatsgerichtsbarkeit’ (1929) VVDStRL 30 ff; Adolf Merkl, </w:t>
      </w:r>
      <w:r w:rsidRPr="006F0999">
        <w:rPr>
          <w:i/>
          <w:sz w:val="20"/>
          <w:szCs w:val="20"/>
          <w:lang w:val="de-DE"/>
        </w:rPr>
        <w:t>Allgemeines Verwaltungsrecht</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_ftnref5 \h  \* MERGEFORMAT </w:instrText>
      </w:r>
      <w:r w:rsidRPr="006F0999">
        <w:rPr>
          <w:sz w:val="20"/>
          <w:szCs w:val="20"/>
        </w:rPr>
      </w:r>
      <w:r w:rsidRPr="006F0999">
        <w:rPr>
          <w:sz w:val="20"/>
          <w:szCs w:val="20"/>
        </w:rPr>
        <w:fldChar w:fldCharType="separate"/>
      </w:r>
      <w:r w:rsidRPr="006F0999">
        <w:rPr>
          <w:sz w:val="20"/>
          <w:szCs w:val="20"/>
          <w:lang w:val="de-DE"/>
        </w:rPr>
        <w:t>6</w:t>
      </w:r>
      <w:r w:rsidRPr="006F0999">
        <w:rPr>
          <w:sz w:val="20"/>
          <w:szCs w:val="20"/>
        </w:rPr>
        <w:fldChar w:fldCharType="end"/>
      </w:r>
      <w:r w:rsidRPr="006F0999">
        <w:rPr>
          <w:sz w:val="20"/>
          <w:szCs w:val="20"/>
          <w:lang w:val="de-DE"/>
        </w:rPr>
        <w:t>) 378 ff.</w:t>
      </w:r>
    </w:p>
  </w:footnote>
  <w:footnote w:id="255">
    <w:p w14:paraId="0039C385"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rPr>
        <w:t xml:space="preserve"> On the former system, see Walter Berka, </w:t>
      </w:r>
      <w:r w:rsidRPr="006F0999">
        <w:rPr>
          <w:i/>
          <w:sz w:val="20"/>
          <w:szCs w:val="20"/>
        </w:rPr>
        <w:t>Lehrbuch Verfassungsrecht</w:t>
      </w:r>
      <w:r w:rsidRPr="006F0999">
        <w:rPr>
          <w:sz w:val="20"/>
          <w:szCs w:val="20"/>
        </w:rPr>
        <w:t xml:space="preserve"> (Springer, Heidelberg, 2005) 245 ff and 264 ff; Theo Öhlinger, </w:t>
      </w:r>
      <w:r w:rsidRPr="006F0999">
        <w:rPr>
          <w:i/>
          <w:sz w:val="20"/>
          <w:szCs w:val="20"/>
        </w:rPr>
        <w:t>Verfassungsrecht</w:t>
      </w:r>
      <w:r w:rsidRPr="006F0999">
        <w:rPr>
          <w:sz w:val="20"/>
          <w:szCs w:val="20"/>
        </w:rPr>
        <w:t xml:space="preserve"> (8th edn, Facultas, Vienna, 2009) 284 ff and 461 ff. The new Austrian public law adjudication system established by the constitutional reform of 2012 (BGBl. I 2012/51) maintains, although to a lesser extent, the key idea of the first ideal type. </w:t>
      </w:r>
      <w:r w:rsidRPr="006F0999">
        <w:rPr>
          <w:sz w:val="20"/>
          <w:szCs w:val="20"/>
          <w:lang w:val="de-DE"/>
        </w:rPr>
        <w:t xml:space="preserve">See art 133 and 144 </w:t>
      </w:r>
      <w:r w:rsidRPr="006F0999">
        <w:rPr>
          <w:i/>
          <w:sz w:val="20"/>
          <w:szCs w:val="20"/>
          <w:lang w:val="de-DE"/>
        </w:rPr>
        <w:t>Bundes-Verfassungsgesetz</w:t>
      </w:r>
      <w:r w:rsidRPr="006F0999">
        <w:rPr>
          <w:sz w:val="20"/>
          <w:szCs w:val="20"/>
          <w:lang w:val="de-DE"/>
        </w:rPr>
        <w:t xml:space="preserve">, current version; Walter Berka, </w:t>
      </w:r>
      <w:r w:rsidRPr="006F0999">
        <w:rPr>
          <w:i/>
          <w:sz w:val="20"/>
          <w:szCs w:val="20"/>
          <w:lang w:val="de-DE"/>
        </w:rPr>
        <w:t>Verfassungsrecht</w:t>
      </w:r>
      <w:r w:rsidRPr="006F0999">
        <w:rPr>
          <w:sz w:val="20"/>
          <w:szCs w:val="20"/>
          <w:lang w:val="de-DE"/>
        </w:rPr>
        <w:t xml:space="preserve"> (6</w:t>
      </w:r>
      <w:r>
        <w:rPr>
          <w:sz w:val="20"/>
          <w:szCs w:val="20"/>
          <w:lang w:val="de-DE"/>
        </w:rPr>
        <w:t>th</w:t>
      </w:r>
      <w:r w:rsidRPr="006F0999">
        <w:rPr>
          <w:sz w:val="20"/>
          <w:szCs w:val="20"/>
          <w:lang w:val="de-DE"/>
        </w:rPr>
        <w:t xml:space="preserve"> edn,Verlag Österreich, Wien, 2016) 298 ff.</w:t>
      </w:r>
    </w:p>
  </w:footnote>
  <w:footnote w:id="256">
    <w:p w14:paraId="430E7173"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w:t>
      </w:r>
      <w:r w:rsidRPr="006F0999">
        <w:rPr>
          <w:iCs w:val="0"/>
          <w:sz w:val="20"/>
          <w:szCs w:val="20"/>
        </w:rPr>
        <w:t xml:space="preserve">In all countries, they are entitled to interpret statutes in light of the Constitution. In Portugal, the constitutionality of the same statute may be fully assessed, in a concrete case, by the ordinary courts and, later, by the Constitutional Tribunal </w:t>
      </w:r>
      <w:r w:rsidRPr="006F0999">
        <w:rPr>
          <w:sz w:val="20"/>
          <w:szCs w:val="20"/>
        </w:rPr>
        <w:t>(art 204 and 280 para 1 of the 1976 Constitution)</w:t>
      </w:r>
      <w:r w:rsidRPr="006F0999">
        <w:rPr>
          <w:iCs w:val="0"/>
          <w:sz w:val="20"/>
          <w:szCs w:val="20"/>
        </w:rPr>
        <w:t xml:space="preserve">. In many countries (France, Germany, Belgium, Luxembourg, Spain, etc.), administrative courts may review the constitutionality of regulations and even of pre-constitutional statutes, whereas only the Constitutional Court may invalidate post-constitutional statutes. In Germany (art 100 </w:t>
      </w:r>
      <w:r w:rsidRPr="006F0999">
        <w:rPr>
          <w:i/>
          <w:iCs w:val="0"/>
          <w:sz w:val="20"/>
          <w:szCs w:val="20"/>
        </w:rPr>
        <w:t>Grundgesetz</w:t>
      </w:r>
      <w:r w:rsidRPr="006F0999">
        <w:rPr>
          <w:iCs w:val="0"/>
          <w:sz w:val="20"/>
          <w:szCs w:val="20"/>
        </w:rPr>
        <w:t xml:space="preserve">), </w:t>
      </w:r>
      <w:r w:rsidRPr="006F0999">
        <w:rPr>
          <w:sz w:val="20"/>
          <w:szCs w:val="20"/>
        </w:rPr>
        <w:t>before submitting a preliminary ruling to the Constitutional Court on the validity of a post-constitutional statute, ordinary courts are obliged to consider in detail the various criticisms raised against it and may eventually uphold its validity by rejecting, as unfounded, a request for submission to the Constitutional Court. Thus, ordinary courts in Germany may legally confirm the constitutionality of a post-constitutional statute, but not quash it (the power to invalidate being reserved to the Constitutional Court).</w:t>
      </w:r>
    </w:p>
  </w:footnote>
  <w:footnote w:id="257">
    <w:p w14:paraId="1C232219" w14:textId="77777777" w:rsidR="0089313D" w:rsidRPr="006379C3" w:rsidRDefault="0089313D" w:rsidP="00DE2EDF">
      <w:pPr>
        <w:pStyle w:val="FootnoteText"/>
        <w:spacing w:line="276" w:lineRule="auto"/>
        <w:rPr>
          <w:sz w:val="20"/>
          <w:lang w:val="fr-LU"/>
        </w:rPr>
      </w:pPr>
      <w:r w:rsidRPr="006F0999">
        <w:rPr>
          <w:rStyle w:val="FootnoteReference"/>
          <w:sz w:val="20"/>
          <w:szCs w:val="20"/>
        </w:rPr>
        <w:footnoteRef/>
      </w:r>
      <w:r w:rsidRPr="006F0999">
        <w:rPr>
          <w:sz w:val="20"/>
          <w:szCs w:val="20"/>
        </w:rPr>
        <w:t xml:space="preserve"> For a first introduction into this controversial debate, see, for example, Luc Heuschling, ‘Die Regulierungsfunktion der Autorität der </w:t>
      </w:r>
      <w:r w:rsidRPr="006F0999">
        <w:rPr>
          <w:i/>
          <w:sz w:val="20"/>
          <w:szCs w:val="20"/>
        </w:rPr>
        <w:t>chose jugée</w:t>
      </w:r>
      <w:r w:rsidRPr="006F0999">
        <w:rPr>
          <w:sz w:val="20"/>
          <w:szCs w:val="20"/>
        </w:rPr>
        <w:t xml:space="preserve"> und der </w:t>
      </w:r>
      <w:r w:rsidRPr="006F0999">
        <w:rPr>
          <w:i/>
          <w:sz w:val="20"/>
          <w:szCs w:val="20"/>
        </w:rPr>
        <w:t>chose interprétée</w:t>
      </w:r>
      <w:r w:rsidRPr="006F0999">
        <w:rPr>
          <w:sz w:val="20"/>
          <w:szCs w:val="20"/>
        </w:rPr>
        <w:t xml:space="preserve"> im polyzentrischen Mehrebenen-Rechtsstaat Frankreichs‘ (2006) 54 JöR 341 ff; Mathieu Disant, </w:t>
      </w:r>
      <w:r w:rsidRPr="006F0999">
        <w:rPr>
          <w:i/>
          <w:sz w:val="20"/>
          <w:szCs w:val="20"/>
        </w:rPr>
        <w:t>L’autorité de la chose interprétée par le Conseil Constitutionnel</w:t>
      </w:r>
      <w:r w:rsidRPr="006F0999">
        <w:rPr>
          <w:sz w:val="20"/>
          <w:szCs w:val="20"/>
        </w:rPr>
        <w:t xml:space="preserve"> (LGDJ, Paris, 2010); Charles-Edouard Sénac, </w:t>
      </w:r>
      <w:r w:rsidRPr="006F0999">
        <w:rPr>
          <w:i/>
          <w:sz w:val="20"/>
          <w:szCs w:val="20"/>
        </w:rPr>
        <w:t xml:space="preserve">L’office du juge constitutionnel. </w:t>
      </w:r>
      <w:r w:rsidRPr="006379C3">
        <w:rPr>
          <w:i/>
          <w:sz w:val="20"/>
          <w:lang w:val="fr-LU"/>
        </w:rPr>
        <w:t>Etude du contrôle de constitutionnalité par les juridictions françaises</w:t>
      </w:r>
      <w:r w:rsidRPr="006379C3">
        <w:rPr>
          <w:sz w:val="20"/>
          <w:lang w:val="fr-LU"/>
        </w:rPr>
        <w:t xml:space="preserve"> (LGDJ, Paris, 2015) 88 ff, 103 ff. For Poland, see Piotr Tuleja, ‘Polen’, in Armin von Bogdandy, Pedro Cruz Villalón and Peter M Huber (eds), </w:t>
      </w:r>
      <w:r w:rsidRPr="006379C3">
        <w:rPr>
          <w:i/>
          <w:sz w:val="20"/>
          <w:lang w:val="fr-LU"/>
        </w:rPr>
        <w:t>IPE I</w:t>
      </w:r>
      <w:r w:rsidRPr="006379C3">
        <w:rPr>
          <w:sz w:val="20"/>
          <w:lang w:val="fr-LU"/>
        </w:rPr>
        <w:t xml:space="preserve"> (n </w:t>
      </w:r>
      <w:r w:rsidRPr="006F0999">
        <w:rPr>
          <w:sz w:val="20"/>
          <w:szCs w:val="20"/>
        </w:rPr>
        <w:fldChar w:fldCharType="begin"/>
      </w:r>
      <w:r w:rsidRPr="006379C3">
        <w:rPr>
          <w:sz w:val="20"/>
          <w:lang w:val="fr-LU"/>
        </w:rPr>
        <w:instrText xml:space="preserve"> NOTEREF _Ref401054324 \h  \* MERGEFORMAT </w:instrText>
      </w:r>
      <w:r w:rsidRPr="006F0999">
        <w:rPr>
          <w:sz w:val="20"/>
          <w:szCs w:val="20"/>
        </w:rPr>
      </w:r>
      <w:r w:rsidRPr="006F0999">
        <w:rPr>
          <w:sz w:val="20"/>
          <w:szCs w:val="20"/>
        </w:rPr>
        <w:fldChar w:fldCharType="separate"/>
      </w:r>
      <w:r w:rsidRPr="006379C3">
        <w:rPr>
          <w:sz w:val="20"/>
          <w:lang w:val="fr-LU"/>
        </w:rPr>
        <w:t>64</w:t>
      </w:r>
      <w:r w:rsidRPr="006F0999">
        <w:rPr>
          <w:sz w:val="20"/>
          <w:szCs w:val="20"/>
        </w:rPr>
        <w:fldChar w:fldCharType="end"/>
      </w:r>
      <w:r w:rsidRPr="006379C3">
        <w:rPr>
          <w:sz w:val="20"/>
          <w:lang w:val="fr-LU"/>
        </w:rPr>
        <w:t>) 490 f, 498 ff.</w:t>
      </w:r>
    </w:p>
  </w:footnote>
  <w:footnote w:id="258">
    <w:p w14:paraId="0ADFC85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Such as when, in the past, the Council of State (in France and in Italy) favored the ‘general principles of (administrative) law’, developed by itself, instead of referring to constitutional principles elaborated in the case law of the Constitutional Court.</w:t>
      </w:r>
    </w:p>
  </w:footnote>
  <w:footnote w:id="259">
    <w:p w14:paraId="461662DD"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Ordinary courts may, on their own initiative, discover new unwritten constitutional norms (see, in France, </w:t>
      </w:r>
      <w:r w:rsidRPr="006F0999">
        <w:rPr>
          <w:i/>
          <w:sz w:val="20"/>
          <w:szCs w:val="20"/>
        </w:rPr>
        <w:t>Conseil d’Etat</w:t>
      </w:r>
      <w:r w:rsidRPr="006F0999">
        <w:rPr>
          <w:sz w:val="20"/>
          <w:szCs w:val="20"/>
        </w:rPr>
        <w:t xml:space="preserve">, 3 July 1996, </w:t>
      </w:r>
      <w:r w:rsidRPr="006F0999">
        <w:rPr>
          <w:i/>
          <w:sz w:val="20"/>
          <w:szCs w:val="20"/>
        </w:rPr>
        <w:t>Koné</w:t>
      </w:r>
      <w:r w:rsidRPr="006F0999">
        <w:rPr>
          <w:sz w:val="20"/>
          <w:szCs w:val="20"/>
        </w:rPr>
        <w:t xml:space="preserve">) or construe in a totally different way a provision of the constitutional text (see the famous decision of the French Court of cassation, 10 October 2001, </w:t>
      </w:r>
      <w:r w:rsidRPr="006F0999">
        <w:rPr>
          <w:i/>
          <w:sz w:val="20"/>
          <w:szCs w:val="20"/>
        </w:rPr>
        <w:t>Breisacher</w:t>
      </w:r>
      <w:r w:rsidRPr="006F0999">
        <w:rPr>
          <w:sz w:val="20"/>
          <w:szCs w:val="20"/>
        </w:rPr>
        <w:t>).</w:t>
      </w:r>
    </w:p>
  </w:footnote>
  <w:footnote w:id="260">
    <w:p w14:paraId="63DB9246"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The examples are numerous: Austria (art 140 para 1 Bundes-Verfassungsgesetz), Italy (art 134 Constitution), Germany (art 100 </w:t>
      </w:r>
      <w:r w:rsidRPr="006F0999">
        <w:rPr>
          <w:i/>
          <w:sz w:val="20"/>
          <w:szCs w:val="20"/>
        </w:rPr>
        <w:t>Grundgesetz</w:t>
      </w:r>
      <w:r w:rsidRPr="006F0999">
        <w:rPr>
          <w:sz w:val="20"/>
          <w:szCs w:val="20"/>
        </w:rPr>
        <w:t>), France (art 61-1 Const</w:t>
      </w:r>
      <w:r>
        <w:rPr>
          <w:sz w:val="20"/>
          <w:szCs w:val="20"/>
        </w:rPr>
        <w:t>itution</w:t>
      </w:r>
      <w:r w:rsidRPr="006F0999">
        <w:rPr>
          <w:sz w:val="20"/>
          <w:szCs w:val="20"/>
        </w:rPr>
        <w:t>), Spain (art 163 Constitution), Belgium (art 142 Constitution), Luxembourg (art 95</w:t>
      </w:r>
      <w:r>
        <w:rPr>
          <w:sz w:val="20"/>
          <w:szCs w:val="20"/>
        </w:rPr>
        <w:t>-</w:t>
      </w:r>
      <w:r w:rsidRPr="000F4321">
        <w:rPr>
          <w:sz w:val="20"/>
          <w:szCs w:val="20"/>
        </w:rPr>
        <w:t>ter</w:t>
      </w:r>
      <w:r w:rsidRPr="006F0999">
        <w:rPr>
          <w:sz w:val="20"/>
          <w:szCs w:val="20"/>
        </w:rPr>
        <w:t xml:space="preserve"> Constitution), Poland (art 193 Constitution 1997), Bulgaria (art 150 Constitution 1991), Slovakia (art 125 and 130 Constitution 1992) etc.</w:t>
      </w:r>
    </w:p>
  </w:footnote>
  <w:footnote w:id="261">
    <w:p w14:paraId="79876709" w14:textId="4F28EB5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This procedure is very rare. See, beside the famous example of the EU (Art 267 TFEU), the Benelux Treaty of 1965 (art 6) and Slovakia (art 128 Constitution; ss 45 ff Constitutional Court Act 1993).</w:t>
      </w:r>
    </w:p>
  </w:footnote>
  <w:footnote w:id="262">
    <w:p w14:paraId="5A88BBC7" w14:textId="77777777" w:rsidR="0089313D" w:rsidRPr="006379C3" w:rsidRDefault="0089313D" w:rsidP="00DE2EDF">
      <w:pPr>
        <w:pStyle w:val="FootnoteText"/>
        <w:spacing w:line="276" w:lineRule="auto"/>
        <w:rPr>
          <w:sz w:val="20"/>
          <w:lang w:val="fr-LU"/>
        </w:rPr>
      </w:pPr>
      <w:r w:rsidRPr="006F0999">
        <w:rPr>
          <w:rStyle w:val="FootnoteReference"/>
          <w:sz w:val="20"/>
          <w:szCs w:val="20"/>
        </w:rPr>
        <w:footnoteRef/>
      </w:r>
      <w:r w:rsidRPr="006379C3">
        <w:rPr>
          <w:sz w:val="20"/>
          <w:lang w:val="fr-LU"/>
        </w:rPr>
        <w:t xml:space="preserve"> For a rare example, in Luxembourg, of disobedience of the highest criminal court: Jörg Gerkrath, ‘L’obligation du juge a quo de se conformer à l’arrêt préjudiciel rendu par la Cour Constitutionnelle’ (2012) Pasicrisie luxembourgeoise 479 ff. </w:t>
      </w:r>
    </w:p>
  </w:footnote>
  <w:footnote w:id="263">
    <w:p w14:paraId="4A98B6B5"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In Portugal, all ordinary courts are entitled to exercise a concrete review of the constitutionality of statutes; however, if they disapply a statute, or if they refuse to do so, the prosecutor or a party may lodge an appeal to the Constitutional Court.</w:t>
      </w:r>
    </w:p>
  </w:footnote>
  <w:footnote w:id="264">
    <w:p w14:paraId="5FA6096E"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On the role of legal scholarship, especially of professor Eduardo García Enterría, in Spain, see Pierre Bon, ‘Constitution et administration en Espagne’ (n </w:t>
      </w:r>
      <w:r w:rsidRPr="006F0999">
        <w:rPr>
          <w:sz w:val="20"/>
          <w:szCs w:val="20"/>
        </w:rPr>
        <w:fldChar w:fldCharType="begin"/>
      </w:r>
      <w:r w:rsidRPr="006F0999">
        <w:rPr>
          <w:sz w:val="20"/>
          <w:szCs w:val="20"/>
        </w:rPr>
        <w:instrText xml:space="preserve"> NOTEREF _Ref401053466 \h  \* MERGEFORMAT </w:instrText>
      </w:r>
      <w:r w:rsidRPr="006F0999">
        <w:rPr>
          <w:sz w:val="20"/>
          <w:szCs w:val="20"/>
        </w:rPr>
      </w:r>
      <w:r w:rsidRPr="006F0999">
        <w:rPr>
          <w:sz w:val="20"/>
          <w:szCs w:val="20"/>
        </w:rPr>
        <w:fldChar w:fldCharType="separate"/>
      </w:r>
      <w:r w:rsidRPr="006F0999">
        <w:rPr>
          <w:sz w:val="20"/>
          <w:szCs w:val="20"/>
        </w:rPr>
        <w:t>161</w:t>
      </w:r>
      <w:r w:rsidRPr="006F0999">
        <w:rPr>
          <w:sz w:val="20"/>
          <w:szCs w:val="20"/>
        </w:rPr>
        <w:fldChar w:fldCharType="end"/>
      </w:r>
      <w:r w:rsidRPr="006F0999">
        <w:rPr>
          <w:sz w:val="20"/>
          <w:szCs w:val="20"/>
        </w:rPr>
        <w:t xml:space="preserve">). </w:t>
      </w:r>
      <w:r w:rsidRPr="006F0999">
        <w:rPr>
          <w:sz w:val="20"/>
          <w:szCs w:val="20"/>
          <w:lang w:val="de-DE"/>
        </w:rPr>
        <w:t xml:space="preserve">For Germany, after 1945, Michael Stolleis, </w:t>
      </w:r>
      <w:r w:rsidRPr="006F0999">
        <w:rPr>
          <w:i/>
          <w:sz w:val="20"/>
          <w:szCs w:val="20"/>
          <w:lang w:val="de-DE"/>
        </w:rPr>
        <w:t>Geschichte des öffentlichen Rechts in Deutschland</w:t>
      </w:r>
      <w:r w:rsidRPr="006F0999">
        <w:rPr>
          <w:sz w:val="20"/>
          <w:szCs w:val="20"/>
          <w:lang w:val="de-DE"/>
        </w:rPr>
        <w:t xml:space="preserve"> (n </w:t>
      </w:r>
      <w:r w:rsidRPr="006F0999">
        <w:rPr>
          <w:sz w:val="20"/>
          <w:szCs w:val="20"/>
        </w:rPr>
        <w:fldChar w:fldCharType="begin"/>
      </w:r>
      <w:r w:rsidRPr="006F0999">
        <w:rPr>
          <w:sz w:val="20"/>
          <w:szCs w:val="20"/>
          <w:lang w:val="de-DE"/>
        </w:rPr>
        <w:instrText xml:space="preserve"> NOTEREF _Ref401126622 \h  \* MERGEFORMAT </w:instrText>
      </w:r>
      <w:r w:rsidRPr="006F0999">
        <w:rPr>
          <w:sz w:val="20"/>
          <w:szCs w:val="20"/>
        </w:rPr>
      </w:r>
      <w:r w:rsidRPr="006F0999">
        <w:rPr>
          <w:sz w:val="20"/>
          <w:szCs w:val="20"/>
        </w:rPr>
        <w:fldChar w:fldCharType="separate"/>
      </w:r>
      <w:r w:rsidRPr="006F0999">
        <w:rPr>
          <w:sz w:val="20"/>
          <w:szCs w:val="20"/>
          <w:lang w:val="de-DE"/>
        </w:rPr>
        <w:t>30</w:t>
      </w:r>
      <w:r w:rsidRPr="006F0999">
        <w:rPr>
          <w:sz w:val="20"/>
          <w:szCs w:val="20"/>
        </w:rPr>
        <w:fldChar w:fldCharType="end"/>
      </w:r>
      <w:r w:rsidRPr="006F0999">
        <w:rPr>
          <w:sz w:val="20"/>
          <w:szCs w:val="20"/>
          <w:lang w:val="de-DE"/>
        </w:rPr>
        <w:t xml:space="preserve">), chapter 3, in particular 231. </w:t>
      </w:r>
      <w:r w:rsidRPr="006F0999">
        <w:rPr>
          <w:sz w:val="20"/>
          <w:szCs w:val="20"/>
        </w:rPr>
        <w:t>On the role of legal education in the new human rights culture in Scotland, see Jim Murdoch, ‘Protecting Human Rights in the Scottish Legal System’, in Aileen McHarg and Tom Mullen,</w:t>
      </w:r>
      <w:r w:rsidRPr="006F0999">
        <w:rPr>
          <w:i/>
          <w:sz w:val="20"/>
          <w:szCs w:val="20"/>
        </w:rPr>
        <w:t xml:space="preserve"> Public Law in Scotland</w:t>
      </w:r>
      <w:r w:rsidRPr="006F0999">
        <w:rPr>
          <w:sz w:val="20"/>
          <w:szCs w:val="20"/>
        </w:rPr>
        <w:t xml:space="preserve"> (n </w:t>
      </w:r>
      <w:r w:rsidRPr="006F0999">
        <w:rPr>
          <w:sz w:val="20"/>
          <w:szCs w:val="20"/>
        </w:rPr>
        <w:fldChar w:fldCharType="begin"/>
      </w:r>
      <w:r w:rsidRPr="006F0999">
        <w:rPr>
          <w:sz w:val="20"/>
          <w:szCs w:val="20"/>
        </w:rPr>
        <w:instrText xml:space="preserve"> NOTEREF _Ref420682583 \h  \* MERGEFORMAT </w:instrText>
      </w:r>
      <w:r w:rsidRPr="006F0999">
        <w:rPr>
          <w:sz w:val="20"/>
          <w:szCs w:val="20"/>
        </w:rPr>
      </w:r>
      <w:r w:rsidRPr="006F0999">
        <w:rPr>
          <w:sz w:val="20"/>
          <w:szCs w:val="20"/>
        </w:rPr>
        <w:fldChar w:fldCharType="separate"/>
      </w:r>
      <w:r w:rsidRPr="006F0999">
        <w:rPr>
          <w:sz w:val="20"/>
          <w:szCs w:val="20"/>
        </w:rPr>
        <w:t>12</w:t>
      </w:r>
      <w:r w:rsidRPr="006F0999">
        <w:rPr>
          <w:sz w:val="20"/>
          <w:szCs w:val="20"/>
        </w:rPr>
        <w:fldChar w:fldCharType="end"/>
      </w:r>
      <w:r w:rsidRPr="006F0999">
        <w:rPr>
          <w:sz w:val="20"/>
          <w:szCs w:val="20"/>
        </w:rPr>
        <w:t>) 335 ff.</w:t>
      </w:r>
    </w:p>
  </w:footnote>
  <w:footnote w:id="265">
    <w:p w14:paraId="7FC4AC54"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Pr>
          <w:sz w:val="20"/>
          <w:szCs w:val="20"/>
        </w:rPr>
        <w:t xml:space="preserve"> See the examples of Hungary: </w:t>
      </w:r>
      <w:r w:rsidRPr="006F0999">
        <w:rPr>
          <w:sz w:val="20"/>
          <w:szCs w:val="20"/>
        </w:rPr>
        <w:t xml:space="preserve">András Jakab, ‘Ungarn’, in Armin von Bogdandy, Sabino Cassese and Peter M Huber (eds), </w:t>
      </w:r>
      <w:r w:rsidRPr="006F0999">
        <w:rPr>
          <w:i/>
          <w:sz w:val="20"/>
          <w:szCs w:val="20"/>
        </w:rPr>
        <w:t>IPE IV</w:t>
      </w:r>
      <w:r>
        <w:rPr>
          <w:sz w:val="20"/>
          <w:szCs w:val="20"/>
        </w:rPr>
        <w:t xml:space="preserve"> (n 37) 386 f;</w:t>
      </w:r>
      <w:r w:rsidRPr="006F0999">
        <w:rPr>
          <w:sz w:val="20"/>
          <w:szCs w:val="20"/>
        </w:rPr>
        <w:t xml:space="preserve"> </w:t>
      </w:r>
      <w:r w:rsidRPr="000F4321">
        <w:rPr>
          <w:sz w:val="20"/>
          <w:szCs w:val="20"/>
        </w:rPr>
        <w:t>Sweden</w:t>
      </w:r>
      <w:r>
        <w:rPr>
          <w:sz w:val="20"/>
          <w:szCs w:val="20"/>
        </w:rPr>
        <w:t xml:space="preserve">: see </w:t>
      </w:r>
      <w:r w:rsidRPr="000F4321">
        <w:rPr>
          <w:sz w:val="20"/>
          <w:szCs w:val="20"/>
        </w:rPr>
        <w:t>above</w:t>
      </w:r>
      <w:r w:rsidRPr="006F0999">
        <w:rPr>
          <w:sz w:val="20"/>
          <w:szCs w:val="20"/>
        </w:rPr>
        <w:t xml:space="preserve"> </w:t>
      </w:r>
      <w:r>
        <w:rPr>
          <w:sz w:val="20"/>
          <w:szCs w:val="20"/>
        </w:rPr>
        <w:t xml:space="preserve">D. 1. a); Spain before 1978: </w:t>
      </w:r>
      <w:r w:rsidRPr="006F0999">
        <w:rPr>
          <w:sz w:val="20"/>
          <w:szCs w:val="20"/>
        </w:rPr>
        <w:t xml:space="preserve">Alberto G Anabitarte, </w:t>
      </w:r>
      <w:r w:rsidRPr="006F0999">
        <w:rPr>
          <w:i/>
          <w:sz w:val="20"/>
          <w:szCs w:val="20"/>
        </w:rPr>
        <w:t>Formación y enseñanza del derecho público en España (1769–2000)</w:t>
      </w:r>
      <w:r w:rsidRPr="006F0999" w:rsidDel="007E0B1D">
        <w:rPr>
          <w:i/>
          <w:sz w:val="20"/>
          <w:szCs w:val="20"/>
        </w:rPr>
        <w:t xml:space="preserve"> </w:t>
      </w:r>
      <w:r w:rsidRPr="006F0999">
        <w:rPr>
          <w:sz w:val="20"/>
          <w:szCs w:val="20"/>
        </w:rPr>
        <w:t xml:space="preserve">(n </w:t>
      </w:r>
      <w:r w:rsidRPr="006F0999">
        <w:rPr>
          <w:sz w:val="20"/>
          <w:szCs w:val="20"/>
        </w:rPr>
        <w:fldChar w:fldCharType="begin"/>
      </w:r>
      <w:r w:rsidRPr="006F0999">
        <w:rPr>
          <w:sz w:val="20"/>
          <w:szCs w:val="20"/>
        </w:rPr>
        <w:instrText xml:space="preserve"> NOTEREF _Ref457828586 \h  \* MERGEFORMAT </w:instrText>
      </w:r>
      <w:r w:rsidRPr="006F0999">
        <w:rPr>
          <w:sz w:val="20"/>
          <w:szCs w:val="20"/>
        </w:rPr>
      </w:r>
      <w:r w:rsidRPr="006F0999">
        <w:rPr>
          <w:sz w:val="20"/>
          <w:szCs w:val="20"/>
        </w:rPr>
        <w:fldChar w:fldCharType="separate"/>
      </w:r>
      <w:r w:rsidRPr="006F0999">
        <w:rPr>
          <w:sz w:val="20"/>
          <w:szCs w:val="20"/>
        </w:rPr>
        <w:t>25</w:t>
      </w:r>
      <w:r w:rsidRPr="006F0999">
        <w:rPr>
          <w:sz w:val="20"/>
          <w:szCs w:val="20"/>
        </w:rPr>
        <w:fldChar w:fldCharType="end"/>
      </w:r>
      <w:r>
        <w:rPr>
          <w:sz w:val="20"/>
          <w:szCs w:val="20"/>
        </w:rPr>
        <w:t xml:space="preserve">) chapter 5 and 6; </w:t>
      </w:r>
      <w:r w:rsidRPr="006F0999">
        <w:rPr>
          <w:sz w:val="20"/>
          <w:szCs w:val="20"/>
        </w:rPr>
        <w:t xml:space="preserve">or, outside Europe, Japan since World War Two (Ryuji Yamamoto, ‘Das japanische Verwaltungsrecht und sein Verhältnis zur Konstitutionalisierung’, in Hans-Heinrich Trute and others (eds), </w:t>
      </w:r>
      <w:r w:rsidRPr="006F0999">
        <w:rPr>
          <w:i/>
          <w:sz w:val="20"/>
          <w:szCs w:val="20"/>
        </w:rPr>
        <w:t xml:space="preserve">Allgemeines Verwaltungsrecht. </w:t>
      </w:r>
      <w:r w:rsidRPr="006F0999">
        <w:rPr>
          <w:i/>
          <w:sz w:val="20"/>
          <w:szCs w:val="20"/>
          <w:lang w:val="de-DE"/>
        </w:rPr>
        <w:t>Zur Tragfähigkeit eines Konzepts</w:t>
      </w:r>
      <w:r w:rsidRPr="006F0999">
        <w:rPr>
          <w:sz w:val="20"/>
          <w:szCs w:val="20"/>
          <w:lang w:val="de-DE"/>
        </w:rPr>
        <w:t xml:space="preserve"> (Mohr, Tübingen, 2008) 901 ff.</w:t>
      </w:r>
    </w:p>
  </w:footnote>
  <w:footnote w:id="266">
    <w:p w14:paraId="37141DE2"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Gunilla Edelstam, ‘Schweden’ (n </w:t>
      </w:r>
      <w:r w:rsidRPr="006F0999">
        <w:rPr>
          <w:sz w:val="20"/>
          <w:szCs w:val="20"/>
        </w:rPr>
        <w:fldChar w:fldCharType="begin"/>
      </w:r>
      <w:r w:rsidRPr="006F0999">
        <w:rPr>
          <w:sz w:val="20"/>
          <w:szCs w:val="20"/>
          <w:lang w:val="de-DE"/>
        </w:rPr>
        <w:instrText xml:space="preserve"> NOTEREF _Ref457847932 \h  \* MERGEFORMAT </w:instrText>
      </w:r>
      <w:r w:rsidRPr="006F0999">
        <w:rPr>
          <w:sz w:val="20"/>
          <w:szCs w:val="20"/>
        </w:rPr>
      </w:r>
      <w:r w:rsidRPr="006F0999">
        <w:rPr>
          <w:sz w:val="20"/>
          <w:szCs w:val="20"/>
        </w:rPr>
        <w:fldChar w:fldCharType="separate"/>
      </w:r>
      <w:r w:rsidRPr="006F0999">
        <w:rPr>
          <w:sz w:val="20"/>
          <w:szCs w:val="20"/>
          <w:lang w:val="de-DE"/>
        </w:rPr>
        <w:t>122</w:t>
      </w:r>
      <w:r w:rsidRPr="006F0999">
        <w:rPr>
          <w:sz w:val="20"/>
          <w:szCs w:val="20"/>
        </w:rPr>
        <w:fldChar w:fldCharType="end"/>
      </w:r>
      <w:r w:rsidRPr="006F0999">
        <w:rPr>
          <w:sz w:val="20"/>
          <w:szCs w:val="20"/>
          <w:lang w:val="de-DE"/>
        </w:rPr>
        <w:t>) 277 ff.</w:t>
      </w:r>
    </w:p>
  </w:footnote>
  <w:footnote w:id="267">
    <w:p w14:paraId="19CB3B40" w14:textId="77777777" w:rsidR="0089313D" w:rsidRPr="006F0999" w:rsidRDefault="0089313D" w:rsidP="00DE2EDF">
      <w:pPr>
        <w:pStyle w:val="FootnoteText"/>
        <w:spacing w:line="276" w:lineRule="auto"/>
        <w:rPr>
          <w:sz w:val="20"/>
          <w:szCs w:val="20"/>
        </w:rPr>
      </w:pPr>
      <w:r w:rsidRPr="006F0999">
        <w:rPr>
          <w:rStyle w:val="FootnoteReference"/>
          <w:sz w:val="20"/>
          <w:szCs w:val="20"/>
        </w:rPr>
        <w:footnoteRef/>
      </w:r>
      <w:r w:rsidRPr="006F0999">
        <w:rPr>
          <w:sz w:val="20"/>
          <w:szCs w:val="20"/>
        </w:rPr>
        <w:t xml:space="preserve"> So the resolute methodology by Pierre Legrand, ‘Comparer’ (1996) RIDC 279 ff.</w:t>
      </w:r>
    </w:p>
  </w:footnote>
  <w:footnote w:id="268">
    <w:p w14:paraId="24ACB90E" w14:textId="77777777" w:rsidR="0089313D" w:rsidRPr="006F0999" w:rsidRDefault="0089313D" w:rsidP="00DE2EDF">
      <w:pPr>
        <w:pStyle w:val="FootnoteText"/>
        <w:spacing w:line="276" w:lineRule="auto"/>
        <w:rPr>
          <w:sz w:val="20"/>
          <w:szCs w:val="20"/>
          <w:lang w:val="de-DE"/>
        </w:rPr>
      </w:pPr>
      <w:r w:rsidRPr="006F0999">
        <w:rPr>
          <w:rStyle w:val="FootnoteReference"/>
          <w:sz w:val="20"/>
          <w:szCs w:val="20"/>
        </w:rPr>
        <w:footnoteRef/>
      </w:r>
      <w:r w:rsidRPr="006F0999">
        <w:rPr>
          <w:sz w:val="20"/>
          <w:szCs w:val="20"/>
          <w:lang w:val="de-DE"/>
        </w:rPr>
        <w:t xml:space="preserve"> So also Erik V Heyen, </w:t>
      </w:r>
      <w:r w:rsidRPr="006F0999">
        <w:rPr>
          <w:i/>
          <w:sz w:val="20"/>
          <w:szCs w:val="20"/>
          <w:lang w:val="de-DE"/>
        </w:rPr>
        <w:t>Kultur und Identität in der europäischen Verwaltungsrechtsvergleichung</w:t>
      </w:r>
      <w:r w:rsidRPr="000F4321">
        <w:rPr>
          <w:i/>
          <w:sz w:val="20"/>
          <w:szCs w:val="20"/>
          <w:lang w:val="de-DE"/>
        </w:rPr>
        <w:t>—</w:t>
      </w:r>
      <w:r w:rsidRPr="006F0999">
        <w:rPr>
          <w:i/>
          <w:sz w:val="20"/>
          <w:szCs w:val="20"/>
          <w:lang w:val="de-DE"/>
        </w:rPr>
        <w:t xml:space="preserve">mit Blick auf Frankreich und Schweden </w:t>
      </w:r>
      <w:r w:rsidRPr="006F0999">
        <w:rPr>
          <w:sz w:val="20"/>
          <w:szCs w:val="20"/>
          <w:lang w:val="de-DE"/>
        </w:rPr>
        <w:t>(De Gruyter, Berlin, 2000)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A211" w14:textId="77777777" w:rsidR="0089313D" w:rsidRDefault="00893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0522"/>
    <w:multiLevelType w:val="hybridMultilevel"/>
    <w:tmpl w:val="1F1CD934"/>
    <w:lvl w:ilvl="0" w:tplc="46F0BE3A">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6650DA0"/>
    <w:multiLevelType w:val="hybridMultilevel"/>
    <w:tmpl w:val="CB26F74E"/>
    <w:lvl w:ilvl="0" w:tplc="6262CC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D800B4D"/>
    <w:multiLevelType w:val="hybridMultilevel"/>
    <w:tmpl w:val="76A4F3B2"/>
    <w:lvl w:ilvl="0" w:tplc="C95A3F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E85031E"/>
    <w:multiLevelType w:val="hybridMultilevel"/>
    <w:tmpl w:val="9A26273E"/>
    <w:lvl w:ilvl="0" w:tplc="062E7748">
      <w:start w:val="1"/>
      <w:numFmt w:val="lowerLetter"/>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LU" w:vendorID="64" w:dllVersion="131078" w:nlCheck="1" w:checkStyle="1"/>
  <w:activeWritingStyle w:appName="MSWord" w:lang="es-E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02DA7"/>
    <w:rsid w:val="000033D7"/>
    <w:rsid w:val="0000369A"/>
    <w:rsid w:val="0000383E"/>
    <w:rsid w:val="00004C17"/>
    <w:rsid w:val="00004D5E"/>
    <w:rsid w:val="00004EF1"/>
    <w:rsid w:val="000056D6"/>
    <w:rsid w:val="00005C71"/>
    <w:rsid w:val="00006116"/>
    <w:rsid w:val="00007043"/>
    <w:rsid w:val="0000724E"/>
    <w:rsid w:val="000078F7"/>
    <w:rsid w:val="00011EB0"/>
    <w:rsid w:val="000124D3"/>
    <w:rsid w:val="00013084"/>
    <w:rsid w:val="00013402"/>
    <w:rsid w:val="00014A69"/>
    <w:rsid w:val="00014ADC"/>
    <w:rsid w:val="00015328"/>
    <w:rsid w:val="00015C30"/>
    <w:rsid w:val="000175C4"/>
    <w:rsid w:val="0002114D"/>
    <w:rsid w:val="0002127C"/>
    <w:rsid w:val="00021D72"/>
    <w:rsid w:val="00022203"/>
    <w:rsid w:val="00022546"/>
    <w:rsid w:val="00023276"/>
    <w:rsid w:val="00023BC5"/>
    <w:rsid w:val="00023F37"/>
    <w:rsid w:val="00024335"/>
    <w:rsid w:val="00025006"/>
    <w:rsid w:val="00025DDC"/>
    <w:rsid w:val="00025E1D"/>
    <w:rsid w:val="00027962"/>
    <w:rsid w:val="00030CAB"/>
    <w:rsid w:val="00032856"/>
    <w:rsid w:val="0003336C"/>
    <w:rsid w:val="0003433B"/>
    <w:rsid w:val="000343EF"/>
    <w:rsid w:val="00034CEB"/>
    <w:rsid w:val="00034FA0"/>
    <w:rsid w:val="00035765"/>
    <w:rsid w:val="00035CEA"/>
    <w:rsid w:val="00037344"/>
    <w:rsid w:val="000376B3"/>
    <w:rsid w:val="00037F7F"/>
    <w:rsid w:val="00040409"/>
    <w:rsid w:val="0004078A"/>
    <w:rsid w:val="00040ACA"/>
    <w:rsid w:val="00041422"/>
    <w:rsid w:val="000415AA"/>
    <w:rsid w:val="000417DF"/>
    <w:rsid w:val="00041D1A"/>
    <w:rsid w:val="0004311C"/>
    <w:rsid w:val="0004318A"/>
    <w:rsid w:val="00043714"/>
    <w:rsid w:val="0004371A"/>
    <w:rsid w:val="000437E2"/>
    <w:rsid w:val="00043C58"/>
    <w:rsid w:val="00043C77"/>
    <w:rsid w:val="0004416E"/>
    <w:rsid w:val="000448D8"/>
    <w:rsid w:val="00045082"/>
    <w:rsid w:val="0004517F"/>
    <w:rsid w:val="000457ED"/>
    <w:rsid w:val="000460A9"/>
    <w:rsid w:val="000461AC"/>
    <w:rsid w:val="00046281"/>
    <w:rsid w:val="0004720C"/>
    <w:rsid w:val="000472FB"/>
    <w:rsid w:val="00047699"/>
    <w:rsid w:val="00047F1E"/>
    <w:rsid w:val="00050378"/>
    <w:rsid w:val="0005060C"/>
    <w:rsid w:val="000516F1"/>
    <w:rsid w:val="00051AF9"/>
    <w:rsid w:val="00052B59"/>
    <w:rsid w:val="00053397"/>
    <w:rsid w:val="00053A01"/>
    <w:rsid w:val="000541FB"/>
    <w:rsid w:val="00054AAA"/>
    <w:rsid w:val="000556D2"/>
    <w:rsid w:val="00056236"/>
    <w:rsid w:val="000571C4"/>
    <w:rsid w:val="00057316"/>
    <w:rsid w:val="0005781C"/>
    <w:rsid w:val="00057F34"/>
    <w:rsid w:val="0006058B"/>
    <w:rsid w:val="00061613"/>
    <w:rsid w:val="0006189D"/>
    <w:rsid w:val="00061E45"/>
    <w:rsid w:val="00062525"/>
    <w:rsid w:val="00062B34"/>
    <w:rsid w:val="0006306F"/>
    <w:rsid w:val="00063131"/>
    <w:rsid w:val="00063FA1"/>
    <w:rsid w:val="00064155"/>
    <w:rsid w:val="000644C8"/>
    <w:rsid w:val="00064650"/>
    <w:rsid w:val="00064EDD"/>
    <w:rsid w:val="00065127"/>
    <w:rsid w:val="00065363"/>
    <w:rsid w:val="000666E8"/>
    <w:rsid w:val="000669B8"/>
    <w:rsid w:val="000671D6"/>
    <w:rsid w:val="00067898"/>
    <w:rsid w:val="00070A80"/>
    <w:rsid w:val="00070AC2"/>
    <w:rsid w:val="00070DAE"/>
    <w:rsid w:val="00070EDD"/>
    <w:rsid w:val="00072103"/>
    <w:rsid w:val="00072502"/>
    <w:rsid w:val="000728A6"/>
    <w:rsid w:val="00073421"/>
    <w:rsid w:val="00073B28"/>
    <w:rsid w:val="00073ECF"/>
    <w:rsid w:val="000746A4"/>
    <w:rsid w:val="0007524A"/>
    <w:rsid w:val="00075719"/>
    <w:rsid w:val="000757AC"/>
    <w:rsid w:val="000812F4"/>
    <w:rsid w:val="0008244B"/>
    <w:rsid w:val="00082F8B"/>
    <w:rsid w:val="000841EA"/>
    <w:rsid w:val="0008499E"/>
    <w:rsid w:val="00085817"/>
    <w:rsid w:val="00086283"/>
    <w:rsid w:val="000864D0"/>
    <w:rsid w:val="00086764"/>
    <w:rsid w:val="00086D75"/>
    <w:rsid w:val="00087068"/>
    <w:rsid w:val="00087EE6"/>
    <w:rsid w:val="000904B9"/>
    <w:rsid w:val="00090571"/>
    <w:rsid w:val="000940FB"/>
    <w:rsid w:val="00096BBF"/>
    <w:rsid w:val="000A02F2"/>
    <w:rsid w:val="000A0494"/>
    <w:rsid w:val="000A0EA5"/>
    <w:rsid w:val="000A142C"/>
    <w:rsid w:val="000A236E"/>
    <w:rsid w:val="000A25AB"/>
    <w:rsid w:val="000A2D09"/>
    <w:rsid w:val="000A3768"/>
    <w:rsid w:val="000A3F3C"/>
    <w:rsid w:val="000A4F67"/>
    <w:rsid w:val="000A51A3"/>
    <w:rsid w:val="000A5488"/>
    <w:rsid w:val="000A5548"/>
    <w:rsid w:val="000A55C9"/>
    <w:rsid w:val="000A5B96"/>
    <w:rsid w:val="000A5CFB"/>
    <w:rsid w:val="000A629D"/>
    <w:rsid w:val="000A67F6"/>
    <w:rsid w:val="000A6B0F"/>
    <w:rsid w:val="000A790C"/>
    <w:rsid w:val="000B03C9"/>
    <w:rsid w:val="000B0A8E"/>
    <w:rsid w:val="000B0EAE"/>
    <w:rsid w:val="000B2B8E"/>
    <w:rsid w:val="000B53C6"/>
    <w:rsid w:val="000B576C"/>
    <w:rsid w:val="000C1120"/>
    <w:rsid w:val="000C1E6A"/>
    <w:rsid w:val="000C30B1"/>
    <w:rsid w:val="000C396C"/>
    <w:rsid w:val="000C3C3E"/>
    <w:rsid w:val="000C437D"/>
    <w:rsid w:val="000C461F"/>
    <w:rsid w:val="000C5C73"/>
    <w:rsid w:val="000C6C51"/>
    <w:rsid w:val="000D114B"/>
    <w:rsid w:val="000D24C7"/>
    <w:rsid w:val="000D26FD"/>
    <w:rsid w:val="000D4644"/>
    <w:rsid w:val="000D46B2"/>
    <w:rsid w:val="000D61CA"/>
    <w:rsid w:val="000D61F6"/>
    <w:rsid w:val="000D633C"/>
    <w:rsid w:val="000D6E4A"/>
    <w:rsid w:val="000D7C12"/>
    <w:rsid w:val="000E02BA"/>
    <w:rsid w:val="000E1DA2"/>
    <w:rsid w:val="000E1FE9"/>
    <w:rsid w:val="000E249D"/>
    <w:rsid w:val="000E346E"/>
    <w:rsid w:val="000E3F08"/>
    <w:rsid w:val="000E57BD"/>
    <w:rsid w:val="000E584C"/>
    <w:rsid w:val="000E5B00"/>
    <w:rsid w:val="000E685C"/>
    <w:rsid w:val="000E68AB"/>
    <w:rsid w:val="000E714F"/>
    <w:rsid w:val="000E738D"/>
    <w:rsid w:val="000E7C90"/>
    <w:rsid w:val="000F0AEC"/>
    <w:rsid w:val="000F1761"/>
    <w:rsid w:val="000F1944"/>
    <w:rsid w:val="000F31CD"/>
    <w:rsid w:val="000F32C6"/>
    <w:rsid w:val="000F3CDF"/>
    <w:rsid w:val="000F3DCC"/>
    <w:rsid w:val="000F4321"/>
    <w:rsid w:val="000F477E"/>
    <w:rsid w:val="000F488B"/>
    <w:rsid w:val="000F4C26"/>
    <w:rsid w:val="000F5FB8"/>
    <w:rsid w:val="000F6B3B"/>
    <w:rsid w:val="000F756A"/>
    <w:rsid w:val="0010098A"/>
    <w:rsid w:val="001012AC"/>
    <w:rsid w:val="00101A2D"/>
    <w:rsid w:val="001033F4"/>
    <w:rsid w:val="00104BAD"/>
    <w:rsid w:val="00104BEC"/>
    <w:rsid w:val="00105086"/>
    <w:rsid w:val="00105686"/>
    <w:rsid w:val="00111F8C"/>
    <w:rsid w:val="00113D4C"/>
    <w:rsid w:val="00114ECD"/>
    <w:rsid w:val="001158A7"/>
    <w:rsid w:val="001165BA"/>
    <w:rsid w:val="0011676B"/>
    <w:rsid w:val="00116E1D"/>
    <w:rsid w:val="00117117"/>
    <w:rsid w:val="00117E08"/>
    <w:rsid w:val="0012132E"/>
    <w:rsid w:val="0012201A"/>
    <w:rsid w:val="001221CE"/>
    <w:rsid w:val="0012228D"/>
    <w:rsid w:val="001224E8"/>
    <w:rsid w:val="00122727"/>
    <w:rsid w:val="001231F9"/>
    <w:rsid w:val="00124029"/>
    <w:rsid w:val="00124323"/>
    <w:rsid w:val="0012435B"/>
    <w:rsid w:val="001246C3"/>
    <w:rsid w:val="00125259"/>
    <w:rsid w:val="00125271"/>
    <w:rsid w:val="001261D4"/>
    <w:rsid w:val="001261E0"/>
    <w:rsid w:val="001279D8"/>
    <w:rsid w:val="00127E08"/>
    <w:rsid w:val="00130CA7"/>
    <w:rsid w:val="0013155B"/>
    <w:rsid w:val="00131A8B"/>
    <w:rsid w:val="00131CFF"/>
    <w:rsid w:val="0013236D"/>
    <w:rsid w:val="001323BF"/>
    <w:rsid w:val="00132E92"/>
    <w:rsid w:val="00133402"/>
    <w:rsid w:val="00133682"/>
    <w:rsid w:val="00133BAF"/>
    <w:rsid w:val="00133E98"/>
    <w:rsid w:val="00133F6C"/>
    <w:rsid w:val="0013470F"/>
    <w:rsid w:val="0013481F"/>
    <w:rsid w:val="00134902"/>
    <w:rsid w:val="001359BC"/>
    <w:rsid w:val="001372BD"/>
    <w:rsid w:val="0013743E"/>
    <w:rsid w:val="00137B8E"/>
    <w:rsid w:val="001403D1"/>
    <w:rsid w:val="00140680"/>
    <w:rsid w:val="00140F1D"/>
    <w:rsid w:val="00141D9A"/>
    <w:rsid w:val="0014265A"/>
    <w:rsid w:val="00142CCB"/>
    <w:rsid w:val="00144345"/>
    <w:rsid w:val="00144E62"/>
    <w:rsid w:val="00145497"/>
    <w:rsid w:val="00146F74"/>
    <w:rsid w:val="00146F9D"/>
    <w:rsid w:val="00147E3F"/>
    <w:rsid w:val="00150283"/>
    <w:rsid w:val="00151D29"/>
    <w:rsid w:val="00152DD4"/>
    <w:rsid w:val="0015469F"/>
    <w:rsid w:val="00154F69"/>
    <w:rsid w:val="00155398"/>
    <w:rsid w:val="00155E3B"/>
    <w:rsid w:val="00156231"/>
    <w:rsid w:val="00156FA8"/>
    <w:rsid w:val="00157200"/>
    <w:rsid w:val="00157D01"/>
    <w:rsid w:val="0016038F"/>
    <w:rsid w:val="001609F6"/>
    <w:rsid w:val="00161473"/>
    <w:rsid w:val="0016156B"/>
    <w:rsid w:val="00161B77"/>
    <w:rsid w:val="0016205A"/>
    <w:rsid w:val="001636B8"/>
    <w:rsid w:val="00163D31"/>
    <w:rsid w:val="00164411"/>
    <w:rsid w:val="00167169"/>
    <w:rsid w:val="001678C2"/>
    <w:rsid w:val="00167B90"/>
    <w:rsid w:val="00170710"/>
    <w:rsid w:val="00171391"/>
    <w:rsid w:val="00171428"/>
    <w:rsid w:val="00171A33"/>
    <w:rsid w:val="00171F71"/>
    <w:rsid w:val="0017303F"/>
    <w:rsid w:val="001740DB"/>
    <w:rsid w:val="00174FC9"/>
    <w:rsid w:val="00176158"/>
    <w:rsid w:val="001776A0"/>
    <w:rsid w:val="0018065C"/>
    <w:rsid w:val="00180805"/>
    <w:rsid w:val="00180B16"/>
    <w:rsid w:val="0018106D"/>
    <w:rsid w:val="001813C2"/>
    <w:rsid w:val="001814A3"/>
    <w:rsid w:val="001817BC"/>
    <w:rsid w:val="00181B6A"/>
    <w:rsid w:val="0018226E"/>
    <w:rsid w:val="00182E7B"/>
    <w:rsid w:val="0018349D"/>
    <w:rsid w:val="00183DB3"/>
    <w:rsid w:val="00185C81"/>
    <w:rsid w:val="00185C87"/>
    <w:rsid w:val="00186B81"/>
    <w:rsid w:val="00187DAC"/>
    <w:rsid w:val="00187F47"/>
    <w:rsid w:val="00190186"/>
    <w:rsid w:val="00190F1C"/>
    <w:rsid w:val="001915B7"/>
    <w:rsid w:val="001915D7"/>
    <w:rsid w:val="0019373C"/>
    <w:rsid w:val="001937D6"/>
    <w:rsid w:val="00193AB4"/>
    <w:rsid w:val="0019497E"/>
    <w:rsid w:val="00195540"/>
    <w:rsid w:val="00195C2D"/>
    <w:rsid w:val="0019625C"/>
    <w:rsid w:val="001966D4"/>
    <w:rsid w:val="00197068"/>
    <w:rsid w:val="001A0553"/>
    <w:rsid w:val="001A16F0"/>
    <w:rsid w:val="001A18C3"/>
    <w:rsid w:val="001A1AD9"/>
    <w:rsid w:val="001A26E8"/>
    <w:rsid w:val="001A28DA"/>
    <w:rsid w:val="001A2EA7"/>
    <w:rsid w:val="001A316C"/>
    <w:rsid w:val="001A3747"/>
    <w:rsid w:val="001A4DE9"/>
    <w:rsid w:val="001A501C"/>
    <w:rsid w:val="001A6034"/>
    <w:rsid w:val="001A61CC"/>
    <w:rsid w:val="001A7049"/>
    <w:rsid w:val="001A733C"/>
    <w:rsid w:val="001A7AB2"/>
    <w:rsid w:val="001A7E3C"/>
    <w:rsid w:val="001B03BB"/>
    <w:rsid w:val="001B0E15"/>
    <w:rsid w:val="001B0E1E"/>
    <w:rsid w:val="001B1CFD"/>
    <w:rsid w:val="001B1ECD"/>
    <w:rsid w:val="001B3A7A"/>
    <w:rsid w:val="001B3CF2"/>
    <w:rsid w:val="001B4435"/>
    <w:rsid w:val="001B464A"/>
    <w:rsid w:val="001B4B8B"/>
    <w:rsid w:val="001B4C8E"/>
    <w:rsid w:val="001B504B"/>
    <w:rsid w:val="001B5273"/>
    <w:rsid w:val="001B574D"/>
    <w:rsid w:val="001B5E48"/>
    <w:rsid w:val="001B6499"/>
    <w:rsid w:val="001B731E"/>
    <w:rsid w:val="001C1741"/>
    <w:rsid w:val="001C1EB8"/>
    <w:rsid w:val="001C21BE"/>
    <w:rsid w:val="001C4373"/>
    <w:rsid w:val="001C44A0"/>
    <w:rsid w:val="001C4728"/>
    <w:rsid w:val="001C50A8"/>
    <w:rsid w:val="001C5213"/>
    <w:rsid w:val="001C538B"/>
    <w:rsid w:val="001C6663"/>
    <w:rsid w:val="001C6962"/>
    <w:rsid w:val="001D065C"/>
    <w:rsid w:val="001D0D44"/>
    <w:rsid w:val="001D161D"/>
    <w:rsid w:val="001D1726"/>
    <w:rsid w:val="001D1B0B"/>
    <w:rsid w:val="001D20FC"/>
    <w:rsid w:val="001D3444"/>
    <w:rsid w:val="001D51CE"/>
    <w:rsid w:val="001D5922"/>
    <w:rsid w:val="001D6194"/>
    <w:rsid w:val="001E1540"/>
    <w:rsid w:val="001E1D16"/>
    <w:rsid w:val="001E232F"/>
    <w:rsid w:val="001E2CF0"/>
    <w:rsid w:val="001E2D98"/>
    <w:rsid w:val="001E3679"/>
    <w:rsid w:val="001E46CC"/>
    <w:rsid w:val="001E540A"/>
    <w:rsid w:val="001E5BC5"/>
    <w:rsid w:val="001E6A83"/>
    <w:rsid w:val="001E7214"/>
    <w:rsid w:val="001E7EB9"/>
    <w:rsid w:val="001F1424"/>
    <w:rsid w:val="001F25D6"/>
    <w:rsid w:val="001F26B8"/>
    <w:rsid w:val="001F2E88"/>
    <w:rsid w:val="001F31F0"/>
    <w:rsid w:val="001F3249"/>
    <w:rsid w:val="001F3841"/>
    <w:rsid w:val="001F39DD"/>
    <w:rsid w:val="001F3B17"/>
    <w:rsid w:val="001F3DD4"/>
    <w:rsid w:val="001F5185"/>
    <w:rsid w:val="001F51A5"/>
    <w:rsid w:val="001F542D"/>
    <w:rsid w:val="001F564A"/>
    <w:rsid w:val="00200546"/>
    <w:rsid w:val="00200936"/>
    <w:rsid w:val="00200C7C"/>
    <w:rsid w:val="00200E9C"/>
    <w:rsid w:val="00202458"/>
    <w:rsid w:val="002025CD"/>
    <w:rsid w:val="00203AA4"/>
    <w:rsid w:val="00203F61"/>
    <w:rsid w:val="00206138"/>
    <w:rsid w:val="0020700A"/>
    <w:rsid w:val="00207A2C"/>
    <w:rsid w:val="00210A99"/>
    <w:rsid w:val="00210BE8"/>
    <w:rsid w:val="00212723"/>
    <w:rsid w:val="0021348C"/>
    <w:rsid w:val="00213995"/>
    <w:rsid w:val="002142B1"/>
    <w:rsid w:val="0021589A"/>
    <w:rsid w:val="00215CA2"/>
    <w:rsid w:val="002174E7"/>
    <w:rsid w:val="002203D8"/>
    <w:rsid w:val="002215D7"/>
    <w:rsid w:val="00221ACE"/>
    <w:rsid w:val="00222D42"/>
    <w:rsid w:val="00223757"/>
    <w:rsid w:val="00224B98"/>
    <w:rsid w:val="00225D40"/>
    <w:rsid w:val="00226036"/>
    <w:rsid w:val="0022624E"/>
    <w:rsid w:val="002268D3"/>
    <w:rsid w:val="00226C19"/>
    <w:rsid w:val="00227514"/>
    <w:rsid w:val="002300F7"/>
    <w:rsid w:val="0023015D"/>
    <w:rsid w:val="0023131E"/>
    <w:rsid w:val="00232304"/>
    <w:rsid w:val="0023246D"/>
    <w:rsid w:val="002324FA"/>
    <w:rsid w:val="002325EA"/>
    <w:rsid w:val="00234542"/>
    <w:rsid w:val="00234750"/>
    <w:rsid w:val="0023485F"/>
    <w:rsid w:val="002352EE"/>
    <w:rsid w:val="00235D9C"/>
    <w:rsid w:val="002368FD"/>
    <w:rsid w:val="00236DD3"/>
    <w:rsid w:val="00237C62"/>
    <w:rsid w:val="002405FD"/>
    <w:rsid w:val="00240FB2"/>
    <w:rsid w:val="0024150E"/>
    <w:rsid w:val="0024334C"/>
    <w:rsid w:val="00244534"/>
    <w:rsid w:val="00244C00"/>
    <w:rsid w:val="002458DF"/>
    <w:rsid w:val="00247484"/>
    <w:rsid w:val="002476E7"/>
    <w:rsid w:val="002478F0"/>
    <w:rsid w:val="0025262F"/>
    <w:rsid w:val="00252A9C"/>
    <w:rsid w:val="00252E31"/>
    <w:rsid w:val="00253954"/>
    <w:rsid w:val="00254497"/>
    <w:rsid w:val="00255C40"/>
    <w:rsid w:val="00255F7A"/>
    <w:rsid w:val="00256171"/>
    <w:rsid w:val="002569A0"/>
    <w:rsid w:val="00256C51"/>
    <w:rsid w:val="002572D7"/>
    <w:rsid w:val="002578D6"/>
    <w:rsid w:val="00260387"/>
    <w:rsid w:val="00260F44"/>
    <w:rsid w:val="002611A1"/>
    <w:rsid w:val="00261548"/>
    <w:rsid w:val="00261C10"/>
    <w:rsid w:val="00262A89"/>
    <w:rsid w:val="00264925"/>
    <w:rsid w:val="00264C9A"/>
    <w:rsid w:val="00264CA9"/>
    <w:rsid w:val="002653DB"/>
    <w:rsid w:val="00266059"/>
    <w:rsid w:val="00266573"/>
    <w:rsid w:val="002667DD"/>
    <w:rsid w:val="0026699D"/>
    <w:rsid w:val="00266C0C"/>
    <w:rsid w:val="002700EC"/>
    <w:rsid w:val="002705B7"/>
    <w:rsid w:val="0027079C"/>
    <w:rsid w:val="002713D4"/>
    <w:rsid w:val="002714A5"/>
    <w:rsid w:val="00271708"/>
    <w:rsid w:val="00271D36"/>
    <w:rsid w:val="00271DA4"/>
    <w:rsid w:val="00271FF6"/>
    <w:rsid w:val="00272517"/>
    <w:rsid w:val="00272D85"/>
    <w:rsid w:val="00273C0A"/>
    <w:rsid w:val="00273F6B"/>
    <w:rsid w:val="00274492"/>
    <w:rsid w:val="0027454C"/>
    <w:rsid w:val="002757D3"/>
    <w:rsid w:val="00275C22"/>
    <w:rsid w:val="0027609E"/>
    <w:rsid w:val="002764BC"/>
    <w:rsid w:val="00276ACF"/>
    <w:rsid w:val="00277082"/>
    <w:rsid w:val="002770BE"/>
    <w:rsid w:val="00277A5C"/>
    <w:rsid w:val="00280222"/>
    <w:rsid w:val="00280A0C"/>
    <w:rsid w:val="00280ABF"/>
    <w:rsid w:val="002813AF"/>
    <w:rsid w:val="00281421"/>
    <w:rsid w:val="00281638"/>
    <w:rsid w:val="00281A9F"/>
    <w:rsid w:val="0028274B"/>
    <w:rsid w:val="00282B89"/>
    <w:rsid w:val="00283060"/>
    <w:rsid w:val="0028356D"/>
    <w:rsid w:val="00283959"/>
    <w:rsid w:val="00283D0D"/>
    <w:rsid w:val="002855C8"/>
    <w:rsid w:val="00285B45"/>
    <w:rsid w:val="00286138"/>
    <w:rsid w:val="0028662D"/>
    <w:rsid w:val="002902BC"/>
    <w:rsid w:val="0029030D"/>
    <w:rsid w:val="00291C54"/>
    <w:rsid w:val="00292B38"/>
    <w:rsid w:val="00292C3E"/>
    <w:rsid w:val="00292C91"/>
    <w:rsid w:val="00293338"/>
    <w:rsid w:val="00293761"/>
    <w:rsid w:val="00293C83"/>
    <w:rsid w:val="002943E6"/>
    <w:rsid w:val="002946B3"/>
    <w:rsid w:val="0029566A"/>
    <w:rsid w:val="002965A6"/>
    <w:rsid w:val="002968F6"/>
    <w:rsid w:val="00296C96"/>
    <w:rsid w:val="002A0EDA"/>
    <w:rsid w:val="002A1587"/>
    <w:rsid w:val="002A23C9"/>
    <w:rsid w:val="002A242C"/>
    <w:rsid w:val="002A2BB0"/>
    <w:rsid w:val="002A2C22"/>
    <w:rsid w:val="002A2CE8"/>
    <w:rsid w:val="002A32AB"/>
    <w:rsid w:val="002A3AD4"/>
    <w:rsid w:val="002A4949"/>
    <w:rsid w:val="002A576E"/>
    <w:rsid w:val="002A683E"/>
    <w:rsid w:val="002A783E"/>
    <w:rsid w:val="002A7AE9"/>
    <w:rsid w:val="002A7E96"/>
    <w:rsid w:val="002A7E9C"/>
    <w:rsid w:val="002B014E"/>
    <w:rsid w:val="002B0AD3"/>
    <w:rsid w:val="002B0FFD"/>
    <w:rsid w:val="002B1331"/>
    <w:rsid w:val="002B1E75"/>
    <w:rsid w:val="002B2AA0"/>
    <w:rsid w:val="002B3E23"/>
    <w:rsid w:val="002B4846"/>
    <w:rsid w:val="002B5376"/>
    <w:rsid w:val="002B57A9"/>
    <w:rsid w:val="002B60B3"/>
    <w:rsid w:val="002B695E"/>
    <w:rsid w:val="002B732A"/>
    <w:rsid w:val="002B78EF"/>
    <w:rsid w:val="002C030D"/>
    <w:rsid w:val="002C03C4"/>
    <w:rsid w:val="002C1368"/>
    <w:rsid w:val="002C1F57"/>
    <w:rsid w:val="002C280B"/>
    <w:rsid w:val="002C288C"/>
    <w:rsid w:val="002C3903"/>
    <w:rsid w:val="002C3AFB"/>
    <w:rsid w:val="002C3EDB"/>
    <w:rsid w:val="002C43B9"/>
    <w:rsid w:val="002C4888"/>
    <w:rsid w:val="002C48E3"/>
    <w:rsid w:val="002C4C8A"/>
    <w:rsid w:val="002C5B72"/>
    <w:rsid w:val="002C7121"/>
    <w:rsid w:val="002C722D"/>
    <w:rsid w:val="002C7656"/>
    <w:rsid w:val="002C7FE0"/>
    <w:rsid w:val="002D026B"/>
    <w:rsid w:val="002D10D7"/>
    <w:rsid w:val="002D20CB"/>
    <w:rsid w:val="002D2F4A"/>
    <w:rsid w:val="002D3770"/>
    <w:rsid w:val="002D47AA"/>
    <w:rsid w:val="002D49F9"/>
    <w:rsid w:val="002D4FAE"/>
    <w:rsid w:val="002D54A8"/>
    <w:rsid w:val="002D6068"/>
    <w:rsid w:val="002D66C1"/>
    <w:rsid w:val="002D792A"/>
    <w:rsid w:val="002D794C"/>
    <w:rsid w:val="002D7A76"/>
    <w:rsid w:val="002D7B19"/>
    <w:rsid w:val="002E033E"/>
    <w:rsid w:val="002E047A"/>
    <w:rsid w:val="002E1724"/>
    <w:rsid w:val="002E181D"/>
    <w:rsid w:val="002E20F4"/>
    <w:rsid w:val="002E22E8"/>
    <w:rsid w:val="002E31F1"/>
    <w:rsid w:val="002E416C"/>
    <w:rsid w:val="002E463C"/>
    <w:rsid w:val="002E5124"/>
    <w:rsid w:val="002E53B1"/>
    <w:rsid w:val="002E59EA"/>
    <w:rsid w:val="002E70FF"/>
    <w:rsid w:val="002E794C"/>
    <w:rsid w:val="002E7A33"/>
    <w:rsid w:val="002F09A4"/>
    <w:rsid w:val="002F1226"/>
    <w:rsid w:val="002F1927"/>
    <w:rsid w:val="002F1AB7"/>
    <w:rsid w:val="002F2577"/>
    <w:rsid w:val="002F3069"/>
    <w:rsid w:val="002F3331"/>
    <w:rsid w:val="002F3793"/>
    <w:rsid w:val="002F3FBD"/>
    <w:rsid w:val="002F44F6"/>
    <w:rsid w:val="002F451A"/>
    <w:rsid w:val="002F4BB4"/>
    <w:rsid w:val="002F4EB9"/>
    <w:rsid w:val="002F56A7"/>
    <w:rsid w:val="002F583D"/>
    <w:rsid w:val="002F7160"/>
    <w:rsid w:val="002F7AD5"/>
    <w:rsid w:val="00300531"/>
    <w:rsid w:val="0030076C"/>
    <w:rsid w:val="00301DF9"/>
    <w:rsid w:val="00302300"/>
    <w:rsid w:val="00302A0B"/>
    <w:rsid w:val="0030337F"/>
    <w:rsid w:val="0030490E"/>
    <w:rsid w:val="003067B6"/>
    <w:rsid w:val="00307A60"/>
    <w:rsid w:val="00307A91"/>
    <w:rsid w:val="00310536"/>
    <w:rsid w:val="0031053B"/>
    <w:rsid w:val="00310BBF"/>
    <w:rsid w:val="00310D0F"/>
    <w:rsid w:val="0031124C"/>
    <w:rsid w:val="00312CE8"/>
    <w:rsid w:val="0031370C"/>
    <w:rsid w:val="00314642"/>
    <w:rsid w:val="00314C35"/>
    <w:rsid w:val="003150F1"/>
    <w:rsid w:val="00315B5E"/>
    <w:rsid w:val="00315C91"/>
    <w:rsid w:val="00316231"/>
    <w:rsid w:val="003162E2"/>
    <w:rsid w:val="003168C3"/>
    <w:rsid w:val="003170DE"/>
    <w:rsid w:val="00317927"/>
    <w:rsid w:val="00317AA7"/>
    <w:rsid w:val="00317FF3"/>
    <w:rsid w:val="003200BB"/>
    <w:rsid w:val="00320888"/>
    <w:rsid w:val="00320AC4"/>
    <w:rsid w:val="003225AB"/>
    <w:rsid w:val="003230E3"/>
    <w:rsid w:val="0032328F"/>
    <w:rsid w:val="0032347C"/>
    <w:rsid w:val="00325728"/>
    <w:rsid w:val="00330FAB"/>
    <w:rsid w:val="003317AF"/>
    <w:rsid w:val="0033192A"/>
    <w:rsid w:val="00332250"/>
    <w:rsid w:val="00332857"/>
    <w:rsid w:val="00333A09"/>
    <w:rsid w:val="00334093"/>
    <w:rsid w:val="00334F95"/>
    <w:rsid w:val="003350DB"/>
    <w:rsid w:val="003357A6"/>
    <w:rsid w:val="00335FA3"/>
    <w:rsid w:val="00336AFE"/>
    <w:rsid w:val="00337482"/>
    <w:rsid w:val="00337D44"/>
    <w:rsid w:val="00341FE5"/>
    <w:rsid w:val="003423ED"/>
    <w:rsid w:val="00343550"/>
    <w:rsid w:val="00344414"/>
    <w:rsid w:val="00344778"/>
    <w:rsid w:val="00346AE4"/>
    <w:rsid w:val="003472F3"/>
    <w:rsid w:val="00347959"/>
    <w:rsid w:val="00347E3B"/>
    <w:rsid w:val="00350B6E"/>
    <w:rsid w:val="00351EFE"/>
    <w:rsid w:val="00352049"/>
    <w:rsid w:val="003538FE"/>
    <w:rsid w:val="00353A1F"/>
    <w:rsid w:val="00353EED"/>
    <w:rsid w:val="003540BC"/>
    <w:rsid w:val="0035425D"/>
    <w:rsid w:val="0035444F"/>
    <w:rsid w:val="00355085"/>
    <w:rsid w:val="003554D2"/>
    <w:rsid w:val="0035571C"/>
    <w:rsid w:val="003564FC"/>
    <w:rsid w:val="00356515"/>
    <w:rsid w:val="003570EB"/>
    <w:rsid w:val="003574DD"/>
    <w:rsid w:val="00357F34"/>
    <w:rsid w:val="003602D1"/>
    <w:rsid w:val="0036097A"/>
    <w:rsid w:val="00360A6F"/>
    <w:rsid w:val="0036111E"/>
    <w:rsid w:val="00363B6E"/>
    <w:rsid w:val="0036539E"/>
    <w:rsid w:val="00366B21"/>
    <w:rsid w:val="00366F22"/>
    <w:rsid w:val="00370497"/>
    <w:rsid w:val="003707A7"/>
    <w:rsid w:val="003710DB"/>
    <w:rsid w:val="00371411"/>
    <w:rsid w:val="00371609"/>
    <w:rsid w:val="00371AC1"/>
    <w:rsid w:val="003720CD"/>
    <w:rsid w:val="003728C8"/>
    <w:rsid w:val="00373149"/>
    <w:rsid w:val="00373885"/>
    <w:rsid w:val="003738B2"/>
    <w:rsid w:val="00374BF6"/>
    <w:rsid w:val="00375712"/>
    <w:rsid w:val="003766B4"/>
    <w:rsid w:val="00376A96"/>
    <w:rsid w:val="00376D96"/>
    <w:rsid w:val="00377755"/>
    <w:rsid w:val="00377826"/>
    <w:rsid w:val="00377F4C"/>
    <w:rsid w:val="0038140C"/>
    <w:rsid w:val="00381413"/>
    <w:rsid w:val="0038177F"/>
    <w:rsid w:val="00382379"/>
    <w:rsid w:val="00382668"/>
    <w:rsid w:val="0038310D"/>
    <w:rsid w:val="00383AF6"/>
    <w:rsid w:val="003845B6"/>
    <w:rsid w:val="00384B41"/>
    <w:rsid w:val="00384D9F"/>
    <w:rsid w:val="003869DA"/>
    <w:rsid w:val="00386F81"/>
    <w:rsid w:val="00387AD3"/>
    <w:rsid w:val="00390968"/>
    <w:rsid w:val="0039110A"/>
    <w:rsid w:val="003913CF"/>
    <w:rsid w:val="0039224D"/>
    <w:rsid w:val="003929BB"/>
    <w:rsid w:val="0039368C"/>
    <w:rsid w:val="003936A6"/>
    <w:rsid w:val="00393FA1"/>
    <w:rsid w:val="003941A4"/>
    <w:rsid w:val="003944FD"/>
    <w:rsid w:val="00394A03"/>
    <w:rsid w:val="00395234"/>
    <w:rsid w:val="00396AD7"/>
    <w:rsid w:val="00397E4D"/>
    <w:rsid w:val="003A0559"/>
    <w:rsid w:val="003A0B3A"/>
    <w:rsid w:val="003A11D9"/>
    <w:rsid w:val="003A2353"/>
    <w:rsid w:val="003A2456"/>
    <w:rsid w:val="003A25B6"/>
    <w:rsid w:val="003A3121"/>
    <w:rsid w:val="003A39B5"/>
    <w:rsid w:val="003A3B5E"/>
    <w:rsid w:val="003A6512"/>
    <w:rsid w:val="003A6AC3"/>
    <w:rsid w:val="003A77C2"/>
    <w:rsid w:val="003B012E"/>
    <w:rsid w:val="003B06FC"/>
    <w:rsid w:val="003B180C"/>
    <w:rsid w:val="003B180F"/>
    <w:rsid w:val="003B1BB7"/>
    <w:rsid w:val="003B4406"/>
    <w:rsid w:val="003B5F6B"/>
    <w:rsid w:val="003B7405"/>
    <w:rsid w:val="003C3846"/>
    <w:rsid w:val="003C3D9A"/>
    <w:rsid w:val="003C4263"/>
    <w:rsid w:val="003C4470"/>
    <w:rsid w:val="003C475D"/>
    <w:rsid w:val="003C4CDC"/>
    <w:rsid w:val="003C7129"/>
    <w:rsid w:val="003C7225"/>
    <w:rsid w:val="003D0284"/>
    <w:rsid w:val="003D1084"/>
    <w:rsid w:val="003D2084"/>
    <w:rsid w:val="003D210D"/>
    <w:rsid w:val="003D215A"/>
    <w:rsid w:val="003D234C"/>
    <w:rsid w:val="003D271F"/>
    <w:rsid w:val="003D59DE"/>
    <w:rsid w:val="003D6EFC"/>
    <w:rsid w:val="003E011C"/>
    <w:rsid w:val="003E1083"/>
    <w:rsid w:val="003E4301"/>
    <w:rsid w:val="003E4B91"/>
    <w:rsid w:val="003E56C1"/>
    <w:rsid w:val="003E5708"/>
    <w:rsid w:val="003E5D4C"/>
    <w:rsid w:val="003E7181"/>
    <w:rsid w:val="003E7569"/>
    <w:rsid w:val="003E7E7A"/>
    <w:rsid w:val="003F03DF"/>
    <w:rsid w:val="003F0E20"/>
    <w:rsid w:val="003F101F"/>
    <w:rsid w:val="003F106C"/>
    <w:rsid w:val="003F10D5"/>
    <w:rsid w:val="003F11E1"/>
    <w:rsid w:val="003F2755"/>
    <w:rsid w:val="003F3A10"/>
    <w:rsid w:val="003F4BEA"/>
    <w:rsid w:val="003F54A7"/>
    <w:rsid w:val="003F558D"/>
    <w:rsid w:val="003F59EC"/>
    <w:rsid w:val="003F5BA2"/>
    <w:rsid w:val="003F687C"/>
    <w:rsid w:val="003F6A30"/>
    <w:rsid w:val="003F6C28"/>
    <w:rsid w:val="004009AD"/>
    <w:rsid w:val="00400F27"/>
    <w:rsid w:val="00401453"/>
    <w:rsid w:val="00401FA5"/>
    <w:rsid w:val="00402080"/>
    <w:rsid w:val="00402AD3"/>
    <w:rsid w:val="00402CDB"/>
    <w:rsid w:val="0040352E"/>
    <w:rsid w:val="004045CA"/>
    <w:rsid w:val="00406AB5"/>
    <w:rsid w:val="004072E2"/>
    <w:rsid w:val="00407ACB"/>
    <w:rsid w:val="00410252"/>
    <w:rsid w:val="004105CE"/>
    <w:rsid w:val="00410CE9"/>
    <w:rsid w:val="00410E9B"/>
    <w:rsid w:val="00412341"/>
    <w:rsid w:val="0041240A"/>
    <w:rsid w:val="004127C3"/>
    <w:rsid w:val="00413F09"/>
    <w:rsid w:val="00414F23"/>
    <w:rsid w:val="00415FA5"/>
    <w:rsid w:val="00416010"/>
    <w:rsid w:val="004172A2"/>
    <w:rsid w:val="004175E5"/>
    <w:rsid w:val="00417639"/>
    <w:rsid w:val="00420185"/>
    <w:rsid w:val="0042038E"/>
    <w:rsid w:val="00420B55"/>
    <w:rsid w:val="00421A5D"/>
    <w:rsid w:val="00423085"/>
    <w:rsid w:val="00423526"/>
    <w:rsid w:val="00424706"/>
    <w:rsid w:val="00424DB0"/>
    <w:rsid w:val="00427990"/>
    <w:rsid w:val="00430440"/>
    <w:rsid w:val="004306C0"/>
    <w:rsid w:val="004325D8"/>
    <w:rsid w:val="0043351F"/>
    <w:rsid w:val="00433AC7"/>
    <w:rsid w:val="00434496"/>
    <w:rsid w:val="00434704"/>
    <w:rsid w:val="00434811"/>
    <w:rsid w:val="00434AA9"/>
    <w:rsid w:val="004357C6"/>
    <w:rsid w:val="00435917"/>
    <w:rsid w:val="00435E78"/>
    <w:rsid w:val="004379CE"/>
    <w:rsid w:val="00440484"/>
    <w:rsid w:val="004411D2"/>
    <w:rsid w:val="0044169A"/>
    <w:rsid w:val="00441756"/>
    <w:rsid w:val="00441C00"/>
    <w:rsid w:val="00441CAA"/>
    <w:rsid w:val="0044263F"/>
    <w:rsid w:val="00442A34"/>
    <w:rsid w:val="00442F00"/>
    <w:rsid w:val="00447057"/>
    <w:rsid w:val="0044744E"/>
    <w:rsid w:val="00447EFE"/>
    <w:rsid w:val="00450B4B"/>
    <w:rsid w:val="0045192C"/>
    <w:rsid w:val="00452778"/>
    <w:rsid w:val="00452AF0"/>
    <w:rsid w:val="00453902"/>
    <w:rsid w:val="00453C54"/>
    <w:rsid w:val="004541F4"/>
    <w:rsid w:val="004545B0"/>
    <w:rsid w:val="0045575B"/>
    <w:rsid w:val="00457C3C"/>
    <w:rsid w:val="004600F5"/>
    <w:rsid w:val="00460529"/>
    <w:rsid w:val="00460AF5"/>
    <w:rsid w:val="00460D88"/>
    <w:rsid w:val="004610DF"/>
    <w:rsid w:val="00461C8A"/>
    <w:rsid w:val="00461E1F"/>
    <w:rsid w:val="00461F3D"/>
    <w:rsid w:val="00462015"/>
    <w:rsid w:val="0046233A"/>
    <w:rsid w:val="00463C05"/>
    <w:rsid w:val="004643A0"/>
    <w:rsid w:val="0046476C"/>
    <w:rsid w:val="0046492C"/>
    <w:rsid w:val="00465C19"/>
    <w:rsid w:val="0047162B"/>
    <w:rsid w:val="00471CDA"/>
    <w:rsid w:val="00472FB7"/>
    <w:rsid w:val="004747C5"/>
    <w:rsid w:val="00474CA9"/>
    <w:rsid w:val="00474EEE"/>
    <w:rsid w:val="00475A25"/>
    <w:rsid w:val="00475DFB"/>
    <w:rsid w:val="004765BC"/>
    <w:rsid w:val="00476663"/>
    <w:rsid w:val="004773EE"/>
    <w:rsid w:val="004776D7"/>
    <w:rsid w:val="0048010E"/>
    <w:rsid w:val="004808F8"/>
    <w:rsid w:val="00481019"/>
    <w:rsid w:val="0048163B"/>
    <w:rsid w:val="00481812"/>
    <w:rsid w:val="00481928"/>
    <w:rsid w:val="00482A36"/>
    <w:rsid w:val="0048399B"/>
    <w:rsid w:val="00483B4F"/>
    <w:rsid w:val="00484BA1"/>
    <w:rsid w:val="004851F8"/>
    <w:rsid w:val="004875DB"/>
    <w:rsid w:val="00491470"/>
    <w:rsid w:val="004935CB"/>
    <w:rsid w:val="0049388B"/>
    <w:rsid w:val="00494AA6"/>
    <w:rsid w:val="00496432"/>
    <w:rsid w:val="00496C79"/>
    <w:rsid w:val="00497A70"/>
    <w:rsid w:val="004A16F1"/>
    <w:rsid w:val="004A312C"/>
    <w:rsid w:val="004A4936"/>
    <w:rsid w:val="004A5064"/>
    <w:rsid w:val="004A5956"/>
    <w:rsid w:val="004A5E78"/>
    <w:rsid w:val="004A6057"/>
    <w:rsid w:val="004A6257"/>
    <w:rsid w:val="004A6700"/>
    <w:rsid w:val="004A6736"/>
    <w:rsid w:val="004A7B33"/>
    <w:rsid w:val="004B041C"/>
    <w:rsid w:val="004B0472"/>
    <w:rsid w:val="004B0526"/>
    <w:rsid w:val="004B0B0F"/>
    <w:rsid w:val="004B0DA9"/>
    <w:rsid w:val="004B24B1"/>
    <w:rsid w:val="004B38BB"/>
    <w:rsid w:val="004B429A"/>
    <w:rsid w:val="004B46AF"/>
    <w:rsid w:val="004B4B44"/>
    <w:rsid w:val="004B697F"/>
    <w:rsid w:val="004B6A98"/>
    <w:rsid w:val="004B75B6"/>
    <w:rsid w:val="004B7D58"/>
    <w:rsid w:val="004C038D"/>
    <w:rsid w:val="004C06DB"/>
    <w:rsid w:val="004C1123"/>
    <w:rsid w:val="004C122B"/>
    <w:rsid w:val="004C1737"/>
    <w:rsid w:val="004C2438"/>
    <w:rsid w:val="004C2619"/>
    <w:rsid w:val="004C2796"/>
    <w:rsid w:val="004C3FA2"/>
    <w:rsid w:val="004C4135"/>
    <w:rsid w:val="004C4746"/>
    <w:rsid w:val="004C4CFD"/>
    <w:rsid w:val="004C6B1A"/>
    <w:rsid w:val="004C6CA3"/>
    <w:rsid w:val="004D0F66"/>
    <w:rsid w:val="004D32AE"/>
    <w:rsid w:val="004D3494"/>
    <w:rsid w:val="004D4F09"/>
    <w:rsid w:val="004D7002"/>
    <w:rsid w:val="004D7334"/>
    <w:rsid w:val="004E0572"/>
    <w:rsid w:val="004E0FD2"/>
    <w:rsid w:val="004E14AA"/>
    <w:rsid w:val="004E16DE"/>
    <w:rsid w:val="004E2307"/>
    <w:rsid w:val="004E34FE"/>
    <w:rsid w:val="004E45FB"/>
    <w:rsid w:val="004E4FDA"/>
    <w:rsid w:val="004E6D16"/>
    <w:rsid w:val="004E7985"/>
    <w:rsid w:val="004E7DF4"/>
    <w:rsid w:val="004E7E39"/>
    <w:rsid w:val="004F0719"/>
    <w:rsid w:val="004F0910"/>
    <w:rsid w:val="004F1073"/>
    <w:rsid w:val="004F13B5"/>
    <w:rsid w:val="004F1535"/>
    <w:rsid w:val="004F25E6"/>
    <w:rsid w:val="004F39E2"/>
    <w:rsid w:val="004F49BE"/>
    <w:rsid w:val="004F5C84"/>
    <w:rsid w:val="004F5F04"/>
    <w:rsid w:val="004F6039"/>
    <w:rsid w:val="004F65C4"/>
    <w:rsid w:val="004F72CC"/>
    <w:rsid w:val="00500024"/>
    <w:rsid w:val="005007CF"/>
    <w:rsid w:val="00501B46"/>
    <w:rsid w:val="005028C5"/>
    <w:rsid w:val="00502A99"/>
    <w:rsid w:val="00503574"/>
    <w:rsid w:val="00503AE7"/>
    <w:rsid w:val="00503C01"/>
    <w:rsid w:val="0050442A"/>
    <w:rsid w:val="005045A1"/>
    <w:rsid w:val="00504607"/>
    <w:rsid w:val="005056CC"/>
    <w:rsid w:val="005056D7"/>
    <w:rsid w:val="00506C03"/>
    <w:rsid w:val="0050779B"/>
    <w:rsid w:val="0051007D"/>
    <w:rsid w:val="00510AEB"/>
    <w:rsid w:val="0051168A"/>
    <w:rsid w:val="0051172D"/>
    <w:rsid w:val="00511BE1"/>
    <w:rsid w:val="00511D37"/>
    <w:rsid w:val="00512936"/>
    <w:rsid w:val="00512FAB"/>
    <w:rsid w:val="00513FF7"/>
    <w:rsid w:val="005147A5"/>
    <w:rsid w:val="0051568A"/>
    <w:rsid w:val="00515901"/>
    <w:rsid w:val="00516979"/>
    <w:rsid w:val="005169D2"/>
    <w:rsid w:val="00517038"/>
    <w:rsid w:val="00517D43"/>
    <w:rsid w:val="005200D3"/>
    <w:rsid w:val="0052023D"/>
    <w:rsid w:val="00520627"/>
    <w:rsid w:val="00521297"/>
    <w:rsid w:val="0052151B"/>
    <w:rsid w:val="00521561"/>
    <w:rsid w:val="005215EF"/>
    <w:rsid w:val="00521BB3"/>
    <w:rsid w:val="00522E05"/>
    <w:rsid w:val="005235FE"/>
    <w:rsid w:val="00523779"/>
    <w:rsid w:val="00523BFF"/>
    <w:rsid w:val="00523DE9"/>
    <w:rsid w:val="00523E79"/>
    <w:rsid w:val="005249D0"/>
    <w:rsid w:val="00524D9D"/>
    <w:rsid w:val="005251D9"/>
    <w:rsid w:val="00525B1D"/>
    <w:rsid w:val="00525D7C"/>
    <w:rsid w:val="005260A0"/>
    <w:rsid w:val="005267DB"/>
    <w:rsid w:val="005270FC"/>
    <w:rsid w:val="00530ABE"/>
    <w:rsid w:val="00530E16"/>
    <w:rsid w:val="0053318A"/>
    <w:rsid w:val="00535683"/>
    <w:rsid w:val="00535743"/>
    <w:rsid w:val="00535EF8"/>
    <w:rsid w:val="00537BB7"/>
    <w:rsid w:val="00541611"/>
    <w:rsid w:val="00541630"/>
    <w:rsid w:val="00543086"/>
    <w:rsid w:val="00543583"/>
    <w:rsid w:val="005435BD"/>
    <w:rsid w:val="00544004"/>
    <w:rsid w:val="005453E4"/>
    <w:rsid w:val="0054544E"/>
    <w:rsid w:val="00545589"/>
    <w:rsid w:val="00545614"/>
    <w:rsid w:val="00545BE2"/>
    <w:rsid w:val="00545EB4"/>
    <w:rsid w:val="005471A8"/>
    <w:rsid w:val="0054777F"/>
    <w:rsid w:val="00547D06"/>
    <w:rsid w:val="00550F3D"/>
    <w:rsid w:val="005516E0"/>
    <w:rsid w:val="005527E5"/>
    <w:rsid w:val="00552AA9"/>
    <w:rsid w:val="0055357A"/>
    <w:rsid w:val="005541AA"/>
    <w:rsid w:val="00555B9D"/>
    <w:rsid w:val="00556BEE"/>
    <w:rsid w:val="00557802"/>
    <w:rsid w:val="0056068E"/>
    <w:rsid w:val="00560BBD"/>
    <w:rsid w:val="005615A3"/>
    <w:rsid w:val="005615F1"/>
    <w:rsid w:val="00561695"/>
    <w:rsid w:val="00561A8E"/>
    <w:rsid w:val="00564912"/>
    <w:rsid w:val="00564DAC"/>
    <w:rsid w:val="00565190"/>
    <w:rsid w:val="005651FB"/>
    <w:rsid w:val="00565B36"/>
    <w:rsid w:val="00567A3B"/>
    <w:rsid w:val="005704D7"/>
    <w:rsid w:val="0057057B"/>
    <w:rsid w:val="0057157F"/>
    <w:rsid w:val="0057182D"/>
    <w:rsid w:val="00571E64"/>
    <w:rsid w:val="005724C3"/>
    <w:rsid w:val="00572592"/>
    <w:rsid w:val="0057271D"/>
    <w:rsid w:val="005734B4"/>
    <w:rsid w:val="0057395C"/>
    <w:rsid w:val="005752C0"/>
    <w:rsid w:val="005754C5"/>
    <w:rsid w:val="00575AE8"/>
    <w:rsid w:val="0057717E"/>
    <w:rsid w:val="00577992"/>
    <w:rsid w:val="0057799C"/>
    <w:rsid w:val="00580462"/>
    <w:rsid w:val="005808B5"/>
    <w:rsid w:val="00580FCA"/>
    <w:rsid w:val="00581BA8"/>
    <w:rsid w:val="00582CFF"/>
    <w:rsid w:val="00583240"/>
    <w:rsid w:val="005834A7"/>
    <w:rsid w:val="0058427B"/>
    <w:rsid w:val="00584376"/>
    <w:rsid w:val="0058505C"/>
    <w:rsid w:val="00585725"/>
    <w:rsid w:val="00585FBC"/>
    <w:rsid w:val="005865B9"/>
    <w:rsid w:val="00586923"/>
    <w:rsid w:val="0058694B"/>
    <w:rsid w:val="00587BCB"/>
    <w:rsid w:val="00590050"/>
    <w:rsid w:val="00590347"/>
    <w:rsid w:val="00590519"/>
    <w:rsid w:val="0059155A"/>
    <w:rsid w:val="005929D1"/>
    <w:rsid w:val="00592B09"/>
    <w:rsid w:val="00594458"/>
    <w:rsid w:val="00594611"/>
    <w:rsid w:val="00594C45"/>
    <w:rsid w:val="00595E79"/>
    <w:rsid w:val="00596BCA"/>
    <w:rsid w:val="00597D84"/>
    <w:rsid w:val="005A07BD"/>
    <w:rsid w:val="005A09A9"/>
    <w:rsid w:val="005A4EB4"/>
    <w:rsid w:val="005A59D4"/>
    <w:rsid w:val="005A5D53"/>
    <w:rsid w:val="005A622C"/>
    <w:rsid w:val="005A6B16"/>
    <w:rsid w:val="005B0ECC"/>
    <w:rsid w:val="005B177E"/>
    <w:rsid w:val="005B3A6A"/>
    <w:rsid w:val="005B4310"/>
    <w:rsid w:val="005B4F1D"/>
    <w:rsid w:val="005B51BE"/>
    <w:rsid w:val="005B5A9A"/>
    <w:rsid w:val="005B5C91"/>
    <w:rsid w:val="005B5D25"/>
    <w:rsid w:val="005B61C6"/>
    <w:rsid w:val="005B63B1"/>
    <w:rsid w:val="005B69FA"/>
    <w:rsid w:val="005B7049"/>
    <w:rsid w:val="005B726D"/>
    <w:rsid w:val="005B745A"/>
    <w:rsid w:val="005B7F89"/>
    <w:rsid w:val="005C0157"/>
    <w:rsid w:val="005C0D25"/>
    <w:rsid w:val="005C1868"/>
    <w:rsid w:val="005C19E8"/>
    <w:rsid w:val="005C208E"/>
    <w:rsid w:val="005C2460"/>
    <w:rsid w:val="005C24DC"/>
    <w:rsid w:val="005C261A"/>
    <w:rsid w:val="005C2890"/>
    <w:rsid w:val="005C3807"/>
    <w:rsid w:val="005C3F9A"/>
    <w:rsid w:val="005C40E8"/>
    <w:rsid w:val="005C4670"/>
    <w:rsid w:val="005C49B2"/>
    <w:rsid w:val="005C5BBA"/>
    <w:rsid w:val="005C5DA8"/>
    <w:rsid w:val="005C6B9D"/>
    <w:rsid w:val="005C6D20"/>
    <w:rsid w:val="005C75DE"/>
    <w:rsid w:val="005D047E"/>
    <w:rsid w:val="005D07DB"/>
    <w:rsid w:val="005D1C6F"/>
    <w:rsid w:val="005D26E3"/>
    <w:rsid w:val="005D2A2B"/>
    <w:rsid w:val="005D36CA"/>
    <w:rsid w:val="005D3843"/>
    <w:rsid w:val="005D4907"/>
    <w:rsid w:val="005D50E1"/>
    <w:rsid w:val="005D6C4F"/>
    <w:rsid w:val="005E273E"/>
    <w:rsid w:val="005E2C7E"/>
    <w:rsid w:val="005E3868"/>
    <w:rsid w:val="005E3FF0"/>
    <w:rsid w:val="005E5C1F"/>
    <w:rsid w:val="005E5F47"/>
    <w:rsid w:val="005E60C3"/>
    <w:rsid w:val="005F007C"/>
    <w:rsid w:val="005F0A3D"/>
    <w:rsid w:val="005F0BC5"/>
    <w:rsid w:val="005F1533"/>
    <w:rsid w:val="005F258F"/>
    <w:rsid w:val="005F2E7F"/>
    <w:rsid w:val="005F3E0A"/>
    <w:rsid w:val="005F4563"/>
    <w:rsid w:val="005F4A63"/>
    <w:rsid w:val="005F4AC6"/>
    <w:rsid w:val="005F551A"/>
    <w:rsid w:val="005F5671"/>
    <w:rsid w:val="005F6AAF"/>
    <w:rsid w:val="005F774D"/>
    <w:rsid w:val="0060008D"/>
    <w:rsid w:val="00600D4A"/>
    <w:rsid w:val="006016F6"/>
    <w:rsid w:val="00601D50"/>
    <w:rsid w:val="006023BC"/>
    <w:rsid w:val="00602C85"/>
    <w:rsid w:val="006043A7"/>
    <w:rsid w:val="0060477D"/>
    <w:rsid w:val="00604A9C"/>
    <w:rsid w:val="00604F0E"/>
    <w:rsid w:val="00605307"/>
    <w:rsid w:val="00605988"/>
    <w:rsid w:val="00605B21"/>
    <w:rsid w:val="00605C2D"/>
    <w:rsid w:val="00605F5D"/>
    <w:rsid w:val="00606846"/>
    <w:rsid w:val="0060774E"/>
    <w:rsid w:val="00607F50"/>
    <w:rsid w:val="006107E0"/>
    <w:rsid w:val="00610BB6"/>
    <w:rsid w:val="00612BD9"/>
    <w:rsid w:val="00613F3A"/>
    <w:rsid w:val="006143C5"/>
    <w:rsid w:val="006144A7"/>
    <w:rsid w:val="006149BB"/>
    <w:rsid w:val="00614C71"/>
    <w:rsid w:val="00616920"/>
    <w:rsid w:val="00617127"/>
    <w:rsid w:val="0062024C"/>
    <w:rsid w:val="00621E14"/>
    <w:rsid w:val="0062278E"/>
    <w:rsid w:val="00622796"/>
    <w:rsid w:val="00622A6A"/>
    <w:rsid w:val="006238DE"/>
    <w:rsid w:val="00624DB2"/>
    <w:rsid w:val="00625C1E"/>
    <w:rsid w:val="00625D95"/>
    <w:rsid w:val="00626266"/>
    <w:rsid w:val="00627AB0"/>
    <w:rsid w:val="006305FA"/>
    <w:rsid w:val="00630A15"/>
    <w:rsid w:val="00631B1C"/>
    <w:rsid w:val="00632503"/>
    <w:rsid w:val="00634EEE"/>
    <w:rsid w:val="0063519B"/>
    <w:rsid w:val="006357FB"/>
    <w:rsid w:val="006379C3"/>
    <w:rsid w:val="00640DB8"/>
    <w:rsid w:val="00641FA1"/>
    <w:rsid w:val="0064231D"/>
    <w:rsid w:val="00642331"/>
    <w:rsid w:val="00643F7A"/>
    <w:rsid w:val="00644102"/>
    <w:rsid w:val="0064473B"/>
    <w:rsid w:val="0064477E"/>
    <w:rsid w:val="006447C5"/>
    <w:rsid w:val="006447D9"/>
    <w:rsid w:val="00645289"/>
    <w:rsid w:val="0064557E"/>
    <w:rsid w:val="00645B4C"/>
    <w:rsid w:val="00647316"/>
    <w:rsid w:val="00651018"/>
    <w:rsid w:val="00651792"/>
    <w:rsid w:val="00653186"/>
    <w:rsid w:val="00654655"/>
    <w:rsid w:val="00655E3E"/>
    <w:rsid w:val="00656357"/>
    <w:rsid w:val="0065686F"/>
    <w:rsid w:val="0065751D"/>
    <w:rsid w:val="00657ADC"/>
    <w:rsid w:val="00657B1F"/>
    <w:rsid w:val="00660299"/>
    <w:rsid w:val="0066119B"/>
    <w:rsid w:val="00661579"/>
    <w:rsid w:val="006615F2"/>
    <w:rsid w:val="006634EA"/>
    <w:rsid w:val="00663D6A"/>
    <w:rsid w:val="0066411A"/>
    <w:rsid w:val="006642EC"/>
    <w:rsid w:val="006648A6"/>
    <w:rsid w:val="00664C88"/>
    <w:rsid w:val="006650B5"/>
    <w:rsid w:val="006651AF"/>
    <w:rsid w:val="00665AE4"/>
    <w:rsid w:val="00665ED0"/>
    <w:rsid w:val="006669CB"/>
    <w:rsid w:val="00666C9C"/>
    <w:rsid w:val="00667785"/>
    <w:rsid w:val="0066780D"/>
    <w:rsid w:val="00670525"/>
    <w:rsid w:val="0067119F"/>
    <w:rsid w:val="006723B0"/>
    <w:rsid w:val="0067282B"/>
    <w:rsid w:val="00672CBB"/>
    <w:rsid w:val="006745BC"/>
    <w:rsid w:val="0067508F"/>
    <w:rsid w:val="00676478"/>
    <w:rsid w:val="0067656D"/>
    <w:rsid w:val="00677275"/>
    <w:rsid w:val="00677B17"/>
    <w:rsid w:val="00677BEE"/>
    <w:rsid w:val="006807BF"/>
    <w:rsid w:val="006808D4"/>
    <w:rsid w:val="0068091F"/>
    <w:rsid w:val="00680EFF"/>
    <w:rsid w:val="006810E3"/>
    <w:rsid w:val="006821CC"/>
    <w:rsid w:val="0068242E"/>
    <w:rsid w:val="0068362A"/>
    <w:rsid w:val="006846D5"/>
    <w:rsid w:val="00684BC3"/>
    <w:rsid w:val="006857B2"/>
    <w:rsid w:val="0068588C"/>
    <w:rsid w:val="0068593F"/>
    <w:rsid w:val="00687560"/>
    <w:rsid w:val="00687977"/>
    <w:rsid w:val="00687A94"/>
    <w:rsid w:val="006903AC"/>
    <w:rsid w:val="006917AC"/>
    <w:rsid w:val="0069197D"/>
    <w:rsid w:val="00692046"/>
    <w:rsid w:val="00692378"/>
    <w:rsid w:val="00692645"/>
    <w:rsid w:val="00692C8D"/>
    <w:rsid w:val="006932BE"/>
    <w:rsid w:val="006933F2"/>
    <w:rsid w:val="006949AD"/>
    <w:rsid w:val="0069571A"/>
    <w:rsid w:val="00697053"/>
    <w:rsid w:val="006977BD"/>
    <w:rsid w:val="00697D14"/>
    <w:rsid w:val="006A030C"/>
    <w:rsid w:val="006A1C5C"/>
    <w:rsid w:val="006A2D73"/>
    <w:rsid w:val="006A3052"/>
    <w:rsid w:val="006A32D9"/>
    <w:rsid w:val="006A3519"/>
    <w:rsid w:val="006A3582"/>
    <w:rsid w:val="006A376D"/>
    <w:rsid w:val="006A4F52"/>
    <w:rsid w:val="006A6414"/>
    <w:rsid w:val="006B040A"/>
    <w:rsid w:val="006B04F5"/>
    <w:rsid w:val="006B1BD1"/>
    <w:rsid w:val="006B20E8"/>
    <w:rsid w:val="006B25AD"/>
    <w:rsid w:val="006B2C62"/>
    <w:rsid w:val="006B459D"/>
    <w:rsid w:val="006B4957"/>
    <w:rsid w:val="006B511E"/>
    <w:rsid w:val="006B5A11"/>
    <w:rsid w:val="006B6140"/>
    <w:rsid w:val="006B6290"/>
    <w:rsid w:val="006B7C7A"/>
    <w:rsid w:val="006C0FE9"/>
    <w:rsid w:val="006C1C09"/>
    <w:rsid w:val="006C23EE"/>
    <w:rsid w:val="006C2478"/>
    <w:rsid w:val="006C29EE"/>
    <w:rsid w:val="006C32AA"/>
    <w:rsid w:val="006C3D13"/>
    <w:rsid w:val="006C5018"/>
    <w:rsid w:val="006C5DDC"/>
    <w:rsid w:val="006C5EE6"/>
    <w:rsid w:val="006C70AF"/>
    <w:rsid w:val="006C7144"/>
    <w:rsid w:val="006C726C"/>
    <w:rsid w:val="006D0945"/>
    <w:rsid w:val="006D1591"/>
    <w:rsid w:val="006D1BB6"/>
    <w:rsid w:val="006D1F53"/>
    <w:rsid w:val="006D208A"/>
    <w:rsid w:val="006D34EE"/>
    <w:rsid w:val="006D411C"/>
    <w:rsid w:val="006D74FE"/>
    <w:rsid w:val="006D76A6"/>
    <w:rsid w:val="006D78FE"/>
    <w:rsid w:val="006E0578"/>
    <w:rsid w:val="006E0658"/>
    <w:rsid w:val="006E2DC5"/>
    <w:rsid w:val="006E2F67"/>
    <w:rsid w:val="006E2FF8"/>
    <w:rsid w:val="006E38E3"/>
    <w:rsid w:val="006E45A5"/>
    <w:rsid w:val="006E47AD"/>
    <w:rsid w:val="006E6E03"/>
    <w:rsid w:val="006E70BA"/>
    <w:rsid w:val="006E72A6"/>
    <w:rsid w:val="006F06EA"/>
    <w:rsid w:val="006F073F"/>
    <w:rsid w:val="006F0999"/>
    <w:rsid w:val="006F2D59"/>
    <w:rsid w:val="006F2F02"/>
    <w:rsid w:val="006F4758"/>
    <w:rsid w:val="006F5125"/>
    <w:rsid w:val="006F5A4C"/>
    <w:rsid w:val="006F5AD0"/>
    <w:rsid w:val="006F6123"/>
    <w:rsid w:val="006F7C5E"/>
    <w:rsid w:val="00700F71"/>
    <w:rsid w:val="00701B38"/>
    <w:rsid w:val="007028EE"/>
    <w:rsid w:val="00702C90"/>
    <w:rsid w:val="0070332E"/>
    <w:rsid w:val="00703652"/>
    <w:rsid w:val="007040A9"/>
    <w:rsid w:val="0070490D"/>
    <w:rsid w:val="00706041"/>
    <w:rsid w:val="00706995"/>
    <w:rsid w:val="00707712"/>
    <w:rsid w:val="00707722"/>
    <w:rsid w:val="00707726"/>
    <w:rsid w:val="0070791E"/>
    <w:rsid w:val="00707F8E"/>
    <w:rsid w:val="0071025E"/>
    <w:rsid w:val="00710B5C"/>
    <w:rsid w:val="00710E0B"/>
    <w:rsid w:val="007113A5"/>
    <w:rsid w:val="007119A0"/>
    <w:rsid w:val="00712FEB"/>
    <w:rsid w:val="00713A1C"/>
    <w:rsid w:val="00714FE0"/>
    <w:rsid w:val="00715057"/>
    <w:rsid w:val="0071556E"/>
    <w:rsid w:val="007164B3"/>
    <w:rsid w:val="007174C4"/>
    <w:rsid w:val="00717EAF"/>
    <w:rsid w:val="007210FC"/>
    <w:rsid w:val="00721D26"/>
    <w:rsid w:val="007229BB"/>
    <w:rsid w:val="00724C7E"/>
    <w:rsid w:val="00725DE7"/>
    <w:rsid w:val="00727921"/>
    <w:rsid w:val="00727BAE"/>
    <w:rsid w:val="00730BCE"/>
    <w:rsid w:val="007319B2"/>
    <w:rsid w:val="00731BC6"/>
    <w:rsid w:val="00733913"/>
    <w:rsid w:val="0073465B"/>
    <w:rsid w:val="007347EE"/>
    <w:rsid w:val="007379AF"/>
    <w:rsid w:val="00737F53"/>
    <w:rsid w:val="00740021"/>
    <w:rsid w:val="007412C2"/>
    <w:rsid w:val="00741AD5"/>
    <w:rsid w:val="00741C1F"/>
    <w:rsid w:val="007425EF"/>
    <w:rsid w:val="00742C67"/>
    <w:rsid w:val="00743147"/>
    <w:rsid w:val="00744CD6"/>
    <w:rsid w:val="007465A8"/>
    <w:rsid w:val="007471FD"/>
    <w:rsid w:val="00750121"/>
    <w:rsid w:val="00750B62"/>
    <w:rsid w:val="00750B9C"/>
    <w:rsid w:val="00750ED9"/>
    <w:rsid w:val="007539A7"/>
    <w:rsid w:val="00754813"/>
    <w:rsid w:val="00757CD8"/>
    <w:rsid w:val="00757CF9"/>
    <w:rsid w:val="00757DED"/>
    <w:rsid w:val="00757F89"/>
    <w:rsid w:val="00760B71"/>
    <w:rsid w:val="0076116E"/>
    <w:rsid w:val="00763065"/>
    <w:rsid w:val="00763203"/>
    <w:rsid w:val="00763F77"/>
    <w:rsid w:val="00765281"/>
    <w:rsid w:val="007664C7"/>
    <w:rsid w:val="007669C6"/>
    <w:rsid w:val="00767CA9"/>
    <w:rsid w:val="0077042F"/>
    <w:rsid w:val="0077094D"/>
    <w:rsid w:val="00771483"/>
    <w:rsid w:val="00771522"/>
    <w:rsid w:val="00771F3C"/>
    <w:rsid w:val="0077220F"/>
    <w:rsid w:val="0077303D"/>
    <w:rsid w:val="00774E92"/>
    <w:rsid w:val="007769DB"/>
    <w:rsid w:val="00777904"/>
    <w:rsid w:val="007817AA"/>
    <w:rsid w:val="00781F77"/>
    <w:rsid w:val="00782A9F"/>
    <w:rsid w:val="0078331E"/>
    <w:rsid w:val="00783A6E"/>
    <w:rsid w:val="007843F6"/>
    <w:rsid w:val="0078454D"/>
    <w:rsid w:val="00784F75"/>
    <w:rsid w:val="00785697"/>
    <w:rsid w:val="00785905"/>
    <w:rsid w:val="00785BA1"/>
    <w:rsid w:val="007873DD"/>
    <w:rsid w:val="00790A61"/>
    <w:rsid w:val="00790F39"/>
    <w:rsid w:val="007912A7"/>
    <w:rsid w:val="00791906"/>
    <w:rsid w:val="00791C86"/>
    <w:rsid w:val="00792339"/>
    <w:rsid w:val="007942D9"/>
    <w:rsid w:val="00794325"/>
    <w:rsid w:val="007946E0"/>
    <w:rsid w:val="00795D3A"/>
    <w:rsid w:val="007962EB"/>
    <w:rsid w:val="007A013B"/>
    <w:rsid w:val="007A0490"/>
    <w:rsid w:val="007A0C5E"/>
    <w:rsid w:val="007A12F4"/>
    <w:rsid w:val="007A1490"/>
    <w:rsid w:val="007A1D29"/>
    <w:rsid w:val="007A29F6"/>
    <w:rsid w:val="007A2C20"/>
    <w:rsid w:val="007A3A23"/>
    <w:rsid w:val="007A412C"/>
    <w:rsid w:val="007A4F75"/>
    <w:rsid w:val="007A550A"/>
    <w:rsid w:val="007A592B"/>
    <w:rsid w:val="007A75B7"/>
    <w:rsid w:val="007B07DD"/>
    <w:rsid w:val="007B2077"/>
    <w:rsid w:val="007B283D"/>
    <w:rsid w:val="007B2C5D"/>
    <w:rsid w:val="007B3AFB"/>
    <w:rsid w:val="007B3DEC"/>
    <w:rsid w:val="007B4425"/>
    <w:rsid w:val="007B4B8A"/>
    <w:rsid w:val="007B4C02"/>
    <w:rsid w:val="007B4F64"/>
    <w:rsid w:val="007B566F"/>
    <w:rsid w:val="007B62A9"/>
    <w:rsid w:val="007B6387"/>
    <w:rsid w:val="007B652A"/>
    <w:rsid w:val="007B728F"/>
    <w:rsid w:val="007B75F3"/>
    <w:rsid w:val="007C0203"/>
    <w:rsid w:val="007C06F4"/>
    <w:rsid w:val="007C0DF1"/>
    <w:rsid w:val="007C1425"/>
    <w:rsid w:val="007C1493"/>
    <w:rsid w:val="007C15D2"/>
    <w:rsid w:val="007C15DC"/>
    <w:rsid w:val="007C19E9"/>
    <w:rsid w:val="007C1FBE"/>
    <w:rsid w:val="007C2A57"/>
    <w:rsid w:val="007C2FDF"/>
    <w:rsid w:val="007C321F"/>
    <w:rsid w:val="007C36E9"/>
    <w:rsid w:val="007C4559"/>
    <w:rsid w:val="007C4D1C"/>
    <w:rsid w:val="007C533E"/>
    <w:rsid w:val="007C57A4"/>
    <w:rsid w:val="007C603F"/>
    <w:rsid w:val="007C689F"/>
    <w:rsid w:val="007D1978"/>
    <w:rsid w:val="007D1CC8"/>
    <w:rsid w:val="007D41FD"/>
    <w:rsid w:val="007D427F"/>
    <w:rsid w:val="007D4907"/>
    <w:rsid w:val="007D4E3D"/>
    <w:rsid w:val="007D514B"/>
    <w:rsid w:val="007D57AC"/>
    <w:rsid w:val="007D5E60"/>
    <w:rsid w:val="007D64A5"/>
    <w:rsid w:val="007D737F"/>
    <w:rsid w:val="007D78DF"/>
    <w:rsid w:val="007D7B8D"/>
    <w:rsid w:val="007D7FB8"/>
    <w:rsid w:val="007E054F"/>
    <w:rsid w:val="007E079F"/>
    <w:rsid w:val="007E0B1D"/>
    <w:rsid w:val="007E0DB3"/>
    <w:rsid w:val="007E1587"/>
    <w:rsid w:val="007E31C3"/>
    <w:rsid w:val="007E3753"/>
    <w:rsid w:val="007E3932"/>
    <w:rsid w:val="007E443C"/>
    <w:rsid w:val="007E5319"/>
    <w:rsid w:val="007E56A7"/>
    <w:rsid w:val="007E5991"/>
    <w:rsid w:val="007E6BE3"/>
    <w:rsid w:val="007E7CA2"/>
    <w:rsid w:val="007F0678"/>
    <w:rsid w:val="007F0DF6"/>
    <w:rsid w:val="007F1934"/>
    <w:rsid w:val="007F32CF"/>
    <w:rsid w:val="007F3AF5"/>
    <w:rsid w:val="007F4B39"/>
    <w:rsid w:val="007F4F61"/>
    <w:rsid w:val="007F69AD"/>
    <w:rsid w:val="007F6F0B"/>
    <w:rsid w:val="0080034A"/>
    <w:rsid w:val="00800BD4"/>
    <w:rsid w:val="00800C2C"/>
    <w:rsid w:val="0080178E"/>
    <w:rsid w:val="0080189E"/>
    <w:rsid w:val="00802186"/>
    <w:rsid w:val="0080338F"/>
    <w:rsid w:val="008036A8"/>
    <w:rsid w:val="008036F3"/>
    <w:rsid w:val="00804157"/>
    <w:rsid w:val="008042F8"/>
    <w:rsid w:val="008045FF"/>
    <w:rsid w:val="00804C71"/>
    <w:rsid w:val="00804E59"/>
    <w:rsid w:val="008069E2"/>
    <w:rsid w:val="008075B3"/>
    <w:rsid w:val="00810BD7"/>
    <w:rsid w:val="00811D47"/>
    <w:rsid w:val="00813744"/>
    <w:rsid w:val="008153D6"/>
    <w:rsid w:val="00816616"/>
    <w:rsid w:val="00816870"/>
    <w:rsid w:val="008168F0"/>
    <w:rsid w:val="008179C4"/>
    <w:rsid w:val="0082077F"/>
    <w:rsid w:val="00821F5A"/>
    <w:rsid w:val="00822623"/>
    <w:rsid w:val="008244F7"/>
    <w:rsid w:val="00825DB5"/>
    <w:rsid w:val="008260C0"/>
    <w:rsid w:val="0082674A"/>
    <w:rsid w:val="0082776D"/>
    <w:rsid w:val="00830AF1"/>
    <w:rsid w:val="00830F52"/>
    <w:rsid w:val="00831B94"/>
    <w:rsid w:val="008320A9"/>
    <w:rsid w:val="0083259D"/>
    <w:rsid w:val="00832958"/>
    <w:rsid w:val="0083298B"/>
    <w:rsid w:val="0083336A"/>
    <w:rsid w:val="008336A8"/>
    <w:rsid w:val="00835236"/>
    <w:rsid w:val="00835292"/>
    <w:rsid w:val="00835D2F"/>
    <w:rsid w:val="00835E37"/>
    <w:rsid w:val="00836379"/>
    <w:rsid w:val="0083689E"/>
    <w:rsid w:val="00836DF1"/>
    <w:rsid w:val="0083723A"/>
    <w:rsid w:val="00837EFC"/>
    <w:rsid w:val="008405B2"/>
    <w:rsid w:val="00840712"/>
    <w:rsid w:val="00840F1B"/>
    <w:rsid w:val="00841093"/>
    <w:rsid w:val="008414E9"/>
    <w:rsid w:val="0084282C"/>
    <w:rsid w:val="00843E11"/>
    <w:rsid w:val="0084415E"/>
    <w:rsid w:val="00844C16"/>
    <w:rsid w:val="00845488"/>
    <w:rsid w:val="008454F8"/>
    <w:rsid w:val="00845BAF"/>
    <w:rsid w:val="00845EE2"/>
    <w:rsid w:val="008462BE"/>
    <w:rsid w:val="0084635D"/>
    <w:rsid w:val="00847542"/>
    <w:rsid w:val="0085124C"/>
    <w:rsid w:val="00851357"/>
    <w:rsid w:val="00851795"/>
    <w:rsid w:val="00851A3A"/>
    <w:rsid w:val="0085208B"/>
    <w:rsid w:val="008536F1"/>
    <w:rsid w:val="00854AE7"/>
    <w:rsid w:val="0085540D"/>
    <w:rsid w:val="00855EE0"/>
    <w:rsid w:val="008560E8"/>
    <w:rsid w:val="00856C75"/>
    <w:rsid w:val="0086048E"/>
    <w:rsid w:val="00860DA5"/>
    <w:rsid w:val="00861C8D"/>
    <w:rsid w:val="0086237D"/>
    <w:rsid w:val="008642D5"/>
    <w:rsid w:val="008645C4"/>
    <w:rsid w:val="00864B16"/>
    <w:rsid w:val="00864F57"/>
    <w:rsid w:val="008656FF"/>
    <w:rsid w:val="00867DE8"/>
    <w:rsid w:val="00870A05"/>
    <w:rsid w:val="00870D32"/>
    <w:rsid w:val="0087107F"/>
    <w:rsid w:val="0087139E"/>
    <w:rsid w:val="00871815"/>
    <w:rsid w:val="00871FED"/>
    <w:rsid w:val="00874D69"/>
    <w:rsid w:val="00875546"/>
    <w:rsid w:val="00875A36"/>
    <w:rsid w:val="00875FBA"/>
    <w:rsid w:val="008769BA"/>
    <w:rsid w:val="00876D7B"/>
    <w:rsid w:val="00880652"/>
    <w:rsid w:val="008819D9"/>
    <w:rsid w:val="00881E5C"/>
    <w:rsid w:val="00882FBB"/>
    <w:rsid w:val="00884565"/>
    <w:rsid w:val="008846DC"/>
    <w:rsid w:val="00884C53"/>
    <w:rsid w:val="0088500E"/>
    <w:rsid w:val="008859E1"/>
    <w:rsid w:val="00885FB5"/>
    <w:rsid w:val="0088604B"/>
    <w:rsid w:val="00886654"/>
    <w:rsid w:val="0088710E"/>
    <w:rsid w:val="00887BF3"/>
    <w:rsid w:val="00887D06"/>
    <w:rsid w:val="00887EA7"/>
    <w:rsid w:val="00890624"/>
    <w:rsid w:val="00890A3E"/>
    <w:rsid w:val="00890CDC"/>
    <w:rsid w:val="00890E5A"/>
    <w:rsid w:val="00890E5C"/>
    <w:rsid w:val="00891B02"/>
    <w:rsid w:val="0089257F"/>
    <w:rsid w:val="0089313D"/>
    <w:rsid w:val="0089477F"/>
    <w:rsid w:val="00895559"/>
    <w:rsid w:val="00895882"/>
    <w:rsid w:val="00896C5D"/>
    <w:rsid w:val="00896FF5"/>
    <w:rsid w:val="008A1148"/>
    <w:rsid w:val="008A1798"/>
    <w:rsid w:val="008A1EDF"/>
    <w:rsid w:val="008A1FFE"/>
    <w:rsid w:val="008A2426"/>
    <w:rsid w:val="008A24AE"/>
    <w:rsid w:val="008A2E3D"/>
    <w:rsid w:val="008A32F2"/>
    <w:rsid w:val="008A3B6B"/>
    <w:rsid w:val="008A453E"/>
    <w:rsid w:val="008A4D9B"/>
    <w:rsid w:val="008A7779"/>
    <w:rsid w:val="008A7D21"/>
    <w:rsid w:val="008B0C95"/>
    <w:rsid w:val="008B1411"/>
    <w:rsid w:val="008B2442"/>
    <w:rsid w:val="008B2605"/>
    <w:rsid w:val="008B2BD8"/>
    <w:rsid w:val="008B3DD3"/>
    <w:rsid w:val="008B4081"/>
    <w:rsid w:val="008B466A"/>
    <w:rsid w:val="008B4BB3"/>
    <w:rsid w:val="008B50A6"/>
    <w:rsid w:val="008B5658"/>
    <w:rsid w:val="008B589A"/>
    <w:rsid w:val="008B5BB3"/>
    <w:rsid w:val="008B61E2"/>
    <w:rsid w:val="008B66A1"/>
    <w:rsid w:val="008B68E5"/>
    <w:rsid w:val="008C094E"/>
    <w:rsid w:val="008C0974"/>
    <w:rsid w:val="008C1D3A"/>
    <w:rsid w:val="008C4215"/>
    <w:rsid w:val="008C62BF"/>
    <w:rsid w:val="008C6F17"/>
    <w:rsid w:val="008C70A5"/>
    <w:rsid w:val="008C7B24"/>
    <w:rsid w:val="008D0709"/>
    <w:rsid w:val="008D0ECF"/>
    <w:rsid w:val="008D24C5"/>
    <w:rsid w:val="008D2A2D"/>
    <w:rsid w:val="008D36F7"/>
    <w:rsid w:val="008D3819"/>
    <w:rsid w:val="008D3E31"/>
    <w:rsid w:val="008D45E2"/>
    <w:rsid w:val="008D4C47"/>
    <w:rsid w:val="008D551A"/>
    <w:rsid w:val="008D5CA7"/>
    <w:rsid w:val="008D6874"/>
    <w:rsid w:val="008E0857"/>
    <w:rsid w:val="008E0F3B"/>
    <w:rsid w:val="008E14BC"/>
    <w:rsid w:val="008E14DE"/>
    <w:rsid w:val="008E2C8B"/>
    <w:rsid w:val="008E4E65"/>
    <w:rsid w:val="008E5EA2"/>
    <w:rsid w:val="008E68FF"/>
    <w:rsid w:val="008F0A96"/>
    <w:rsid w:val="008F2270"/>
    <w:rsid w:val="008F3197"/>
    <w:rsid w:val="008F328C"/>
    <w:rsid w:val="008F5395"/>
    <w:rsid w:val="008F601A"/>
    <w:rsid w:val="008F6239"/>
    <w:rsid w:val="008F6BF6"/>
    <w:rsid w:val="008F72D7"/>
    <w:rsid w:val="008F768B"/>
    <w:rsid w:val="008F77B2"/>
    <w:rsid w:val="008F7C68"/>
    <w:rsid w:val="009004AF"/>
    <w:rsid w:val="00901A6C"/>
    <w:rsid w:val="0090263F"/>
    <w:rsid w:val="009037BD"/>
    <w:rsid w:val="00903B22"/>
    <w:rsid w:val="00903B61"/>
    <w:rsid w:val="00903C0D"/>
    <w:rsid w:val="00904B04"/>
    <w:rsid w:val="009051EE"/>
    <w:rsid w:val="009054E4"/>
    <w:rsid w:val="0090589B"/>
    <w:rsid w:val="0090655F"/>
    <w:rsid w:val="009069CF"/>
    <w:rsid w:val="009071EB"/>
    <w:rsid w:val="009078DE"/>
    <w:rsid w:val="0091062C"/>
    <w:rsid w:val="00910952"/>
    <w:rsid w:val="00913607"/>
    <w:rsid w:val="00913C77"/>
    <w:rsid w:val="00913F5F"/>
    <w:rsid w:val="0091402B"/>
    <w:rsid w:val="00914FE5"/>
    <w:rsid w:val="0091513F"/>
    <w:rsid w:val="00915B13"/>
    <w:rsid w:val="00916D51"/>
    <w:rsid w:val="00916EEF"/>
    <w:rsid w:val="00917E16"/>
    <w:rsid w:val="0092035D"/>
    <w:rsid w:val="00921350"/>
    <w:rsid w:val="009222C2"/>
    <w:rsid w:val="0092394F"/>
    <w:rsid w:val="00924A00"/>
    <w:rsid w:val="00925680"/>
    <w:rsid w:val="009262BF"/>
    <w:rsid w:val="00927813"/>
    <w:rsid w:val="00927BCA"/>
    <w:rsid w:val="00930413"/>
    <w:rsid w:val="00930960"/>
    <w:rsid w:val="00930FB7"/>
    <w:rsid w:val="00932790"/>
    <w:rsid w:val="00933435"/>
    <w:rsid w:val="00935073"/>
    <w:rsid w:val="00935CDE"/>
    <w:rsid w:val="00936E81"/>
    <w:rsid w:val="00937168"/>
    <w:rsid w:val="009403A6"/>
    <w:rsid w:val="00940E90"/>
    <w:rsid w:val="009427A7"/>
    <w:rsid w:val="00942A7A"/>
    <w:rsid w:val="00943268"/>
    <w:rsid w:val="009445FF"/>
    <w:rsid w:val="0094490A"/>
    <w:rsid w:val="00944C63"/>
    <w:rsid w:val="00945108"/>
    <w:rsid w:val="00945BA5"/>
    <w:rsid w:val="00945C44"/>
    <w:rsid w:val="00945DC8"/>
    <w:rsid w:val="00946C7B"/>
    <w:rsid w:val="0094799D"/>
    <w:rsid w:val="009506D1"/>
    <w:rsid w:val="009513C2"/>
    <w:rsid w:val="009536EA"/>
    <w:rsid w:val="00953AB0"/>
    <w:rsid w:val="00954A13"/>
    <w:rsid w:val="00955593"/>
    <w:rsid w:val="00955E5B"/>
    <w:rsid w:val="0095673C"/>
    <w:rsid w:val="00960E0A"/>
    <w:rsid w:val="009611BC"/>
    <w:rsid w:val="009611F7"/>
    <w:rsid w:val="0096216A"/>
    <w:rsid w:val="009628A0"/>
    <w:rsid w:val="00963571"/>
    <w:rsid w:val="009645E6"/>
    <w:rsid w:val="00965A57"/>
    <w:rsid w:val="00966C99"/>
    <w:rsid w:val="0097035D"/>
    <w:rsid w:val="009707AC"/>
    <w:rsid w:val="009709D0"/>
    <w:rsid w:val="009719CA"/>
    <w:rsid w:val="009720AB"/>
    <w:rsid w:val="009727ED"/>
    <w:rsid w:val="00972809"/>
    <w:rsid w:val="00972E1D"/>
    <w:rsid w:val="00972E8D"/>
    <w:rsid w:val="00973880"/>
    <w:rsid w:val="00973B8E"/>
    <w:rsid w:val="00975122"/>
    <w:rsid w:val="009754C9"/>
    <w:rsid w:val="0097592A"/>
    <w:rsid w:val="00975C72"/>
    <w:rsid w:val="009760E9"/>
    <w:rsid w:val="009762C3"/>
    <w:rsid w:val="00977790"/>
    <w:rsid w:val="009801A2"/>
    <w:rsid w:val="00980811"/>
    <w:rsid w:val="00980985"/>
    <w:rsid w:val="00980A6A"/>
    <w:rsid w:val="00980EE0"/>
    <w:rsid w:val="009812A9"/>
    <w:rsid w:val="00981C4E"/>
    <w:rsid w:val="00981C67"/>
    <w:rsid w:val="00982318"/>
    <w:rsid w:val="0098239D"/>
    <w:rsid w:val="00982CDD"/>
    <w:rsid w:val="00984A19"/>
    <w:rsid w:val="00985124"/>
    <w:rsid w:val="0098583F"/>
    <w:rsid w:val="00990E65"/>
    <w:rsid w:val="00991CBB"/>
    <w:rsid w:val="00993F30"/>
    <w:rsid w:val="009947BF"/>
    <w:rsid w:val="0099601E"/>
    <w:rsid w:val="009963ED"/>
    <w:rsid w:val="00996447"/>
    <w:rsid w:val="00996463"/>
    <w:rsid w:val="00996831"/>
    <w:rsid w:val="00997996"/>
    <w:rsid w:val="00997D43"/>
    <w:rsid w:val="00997F77"/>
    <w:rsid w:val="009A0E58"/>
    <w:rsid w:val="009A1373"/>
    <w:rsid w:val="009A186A"/>
    <w:rsid w:val="009A197F"/>
    <w:rsid w:val="009A30E9"/>
    <w:rsid w:val="009A3383"/>
    <w:rsid w:val="009A378B"/>
    <w:rsid w:val="009A388E"/>
    <w:rsid w:val="009A41AD"/>
    <w:rsid w:val="009A5181"/>
    <w:rsid w:val="009A5BED"/>
    <w:rsid w:val="009A5E29"/>
    <w:rsid w:val="009A6E4B"/>
    <w:rsid w:val="009A7747"/>
    <w:rsid w:val="009B0255"/>
    <w:rsid w:val="009B07CB"/>
    <w:rsid w:val="009B0B19"/>
    <w:rsid w:val="009B2962"/>
    <w:rsid w:val="009B6F07"/>
    <w:rsid w:val="009B7253"/>
    <w:rsid w:val="009C0352"/>
    <w:rsid w:val="009C0AE5"/>
    <w:rsid w:val="009C1005"/>
    <w:rsid w:val="009C16EF"/>
    <w:rsid w:val="009C1C66"/>
    <w:rsid w:val="009C2315"/>
    <w:rsid w:val="009C24E5"/>
    <w:rsid w:val="009C3302"/>
    <w:rsid w:val="009C47A2"/>
    <w:rsid w:val="009C4C75"/>
    <w:rsid w:val="009C63F8"/>
    <w:rsid w:val="009C732E"/>
    <w:rsid w:val="009D0451"/>
    <w:rsid w:val="009D132F"/>
    <w:rsid w:val="009D1DEF"/>
    <w:rsid w:val="009D1FCD"/>
    <w:rsid w:val="009D2572"/>
    <w:rsid w:val="009D2894"/>
    <w:rsid w:val="009D3099"/>
    <w:rsid w:val="009D30FA"/>
    <w:rsid w:val="009D3C77"/>
    <w:rsid w:val="009D4BB0"/>
    <w:rsid w:val="009D56F9"/>
    <w:rsid w:val="009D6194"/>
    <w:rsid w:val="009D630E"/>
    <w:rsid w:val="009D6782"/>
    <w:rsid w:val="009D6820"/>
    <w:rsid w:val="009D7244"/>
    <w:rsid w:val="009D7859"/>
    <w:rsid w:val="009E00B6"/>
    <w:rsid w:val="009E02C1"/>
    <w:rsid w:val="009E0A99"/>
    <w:rsid w:val="009E12D0"/>
    <w:rsid w:val="009E1733"/>
    <w:rsid w:val="009E265E"/>
    <w:rsid w:val="009E54AF"/>
    <w:rsid w:val="009E56C1"/>
    <w:rsid w:val="009E5954"/>
    <w:rsid w:val="009E5F38"/>
    <w:rsid w:val="009E6479"/>
    <w:rsid w:val="009E6754"/>
    <w:rsid w:val="009E6D51"/>
    <w:rsid w:val="009E76F4"/>
    <w:rsid w:val="009F1661"/>
    <w:rsid w:val="009F1A53"/>
    <w:rsid w:val="009F24A6"/>
    <w:rsid w:val="009F2549"/>
    <w:rsid w:val="009F28A8"/>
    <w:rsid w:val="009F297B"/>
    <w:rsid w:val="009F2EF3"/>
    <w:rsid w:val="009F48CF"/>
    <w:rsid w:val="009F5901"/>
    <w:rsid w:val="009F5EA8"/>
    <w:rsid w:val="009F5F39"/>
    <w:rsid w:val="009F60C9"/>
    <w:rsid w:val="009F650D"/>
    <w:rsid w:val="009F6C61"/>
    <w:rsid w:val="00A004BB"/>
    <w:rsid w:val="00A008C1"/>
    <w:rsid w:val="00A01C03"/>
    <w:rsid w:val="00A020CC"/>
    <w:rsid w:val="00A02951"/>
    <w:rsid w:val="00A0369F"/>
    <w:rsid w:val="00A03BD0"/>
    <w:rsid w:val="00A050A6"/>
    <w:rsid w:val="00A05336"/>
    <w:rsid w:val="00A0548B"/>
    <w:rsid w:val="00A05C04"/>
    <w:rsid w:val="00A05C47"/>
    <w:rsid w:val="00A0691E"/>
    <w:rsid w:val="00A06A63"/>
    <w:rsid w:val="00A06F9D"/>
    <w:rsid w:val="00A07430"/>
    <w:rsid w:val="00A07585"/>
    <w:rsid w:val="00A07A40"/>
    <w:rsid w:val="00A07FE6"/>
    <w:rsid w:val="00A101E5"/>
    <w:rsid w:val="00A10385"/>
    <w:rsid w:val="00A14652"/>
    <w:rsid w:val="00A15E73"/>
    <w:rsid w:val="00A1610C"/>
    <w:rsid w:val="00A162AF"/>
    <w:rsid w:val="00A16591"/>
    <w:rsid w:val="00A16964"/>
    <w:rsid w:val="00A1720F"/>
    <w:rsid w:val="00A177F9"/>
    <w:rsid w:val="00A20CB8"/>
    <w:rsid w:val="00A20E8D"/>
    <w:rsid w:val="00A2118C"/>
    <w:rsid w:val="00A21CE8"/>
    <w:rsid w:val="00A228F9"/>
    <w:rsid w:val="00A2330C"/>
    <w:rsid w:val="00A23593"/>
    <w:rsid w:val="00A24023"/>
    <w:rsid w:val="00A24AD2"/>
    <w:rsid w:val="00A260A7"/>
    <w:rsid w:val="00A26AA6"/>
    <w:rsid w:val="00A30816"/>
    <w:rsid w:val="00A3084B"/>
    <w:rsid w:val="00A3095F"/>
    <w:rsid w:val="00A311BC"/>
    <w:rsid w:val="00A316CB"/>
    <w:rsid w:val="00A317C8"/>
    <w:rsid w:val="00A3186D"/>
    <w:rsid w:val="00A31A1A"/>
    <w:rsid w:val="00A31FEC"/>
    <w:rsid w:val="00A333A3"/>
    <w:rsid w:val="00A333AE"/>
    <w:rsid w:val="00A3409D"/>
    <w:rsid w:val="00A344A5"/>
    <w:rsid w:val="00A348C8"/>
    <w:rsid w:val="00A35870"/>
    <w:rsid w:val="00A364C0"/>
    <w:rsid w:val="00A37067"/>
    <w:rsid w:val="00A41E75"/>
    <w:rsid w:val="00A42357"/>
    <w:rsid w:val="00A4268E"/>
    <w:rsid w:val="00A42D05"/>
    <w:rsid w:val="00A4569E"/>
    <w:rsid w:val="00A457ED"/>
    <w:rsid w:val="00A459D7"/>
    <w:rsid w:val="00A45CA0"/>
    <w:rsid w:val="00A47E90"/>
    <w:rsid w:val="00A511D9"/>
    <w:rsid w:val="00A51EBD"/>
    <w:rsid w:val="00A529B9"/>
    <w:rsid w:val="00A53339"/>
    <w:rsid w:val="00A538EA"/>
    <w:rsid w:val="00A55566"/>
    <w:rsid w:val="00A55794"/>
    <w:rsid w:val="00A561A5"/>
    <w:rsid w:val="00A566DA"/>
    <w:rsid w:val="00A5700E"/>
    <w:rsid w:val="00A575EB"/>
    <w:rsid w:val="00A57695"/>
    <w:rsid w:val="00A60901"/>
    <w:rsid w:val="00A61672"/>
    <w:rsid w:val="00A61921"/>
    <w:rsid w:val="00A622D4"/>
    <w:rsid w:val="00A626FC"/>
    <w:rsid w:val="00A62EDA"/>
    <w:rsid w:val="00A63C41"/>
    <w:rsid w:val="00A63FAA"/>
    <w:rsid w:val="00A64AB4"/>
    <w:rsid w:val="00A64D0A"/>
    <w:rsid w:val="00A64D0C"/>
    <w:rsid w:val="00A6599B"/>
    <w:rsid w:val="00A65B91"/>
    <w:rsid w:val="00A6765F"/>
    <w:rsid w:val="00A679F3"/>
    <w:rsid w:val="00A67AA1"/>
    <w:rsid w:val="00A67D7C"/>
    <w:rsid w:val="00A67FF5"/>
    <w:rsid w:val="00A70312"/>
    <w:rsid w:val="00A707C1"/>
    <w:rsid w:val="00A70F63"/>
    <w:rsid w:val="00A713CC"/>
    <w:rsid w:val="00A71FCA"/>
    <w:rsid w:val="00A73B33"/>
    <w:rsid w:val="00A73BA7"/>
    <w:rsid w:val="00A74C7D"/>
    <w:rsid w:val="00A754B7"/>
    <w:rsid w:val="00A75819"/>
    <w:rsid w:val="00A759E6"/>
    <w:rsid w:val="00A75F79"/>
    <w:rsid w:val="00A76084"/>
    <w:rsid w:val="00A7645B"/>
    <w:rsid w:val="00A76D14"/>
    <w:rsid w:val="00A772E2"/>
    <w:rsid w:val="00A7766D"/>
    <w:rsid w:val="00A77683"/>
    <w:rsid w:val="00A777F2"/>
    <w:rsid w:val="00A808E5"/>
    <w:rsid w:val="00A80D62"/>
    <w:rsid w:val="00A811FA"/>
    <w:rsid w:val="00A81FD0"/>
    <w:rsid w:val="00A81FE6"/>
    <w:rsid w:val="00A82871"/>
    <w:rsid w:val="00A8291A"/>
    <w:rsid w:val="00A82EB9"/>
    <w:rsid w:val="00A846FF"/>
    <w:rsid w:val="00A84D71"/>
    <w:rsid w:val="00A84E4D"/>
    <w:rsid w:val="00A84FBB"/>
    <w:rsid w:val="00A85045"/>
    <w:rsid w:val="00A858C7"/>
    <w:rsid w:val="00A8618A"/>
    <w:rsid w:val="00A868A3"/>
    <w:rsid w:val="00A8774A"/>
    <w:rsid w:val="00A8797D"/>
    <w:rsid w:val="00A90144"/>
    <w:rsid w:val="00A908F6"/>
    <w:rsid w:val="00A90BC2"/>
    <w:rsid w:val="00A918A6"/>
    <w:rsid w:val="00A9249F"/>
    <w:rsid w:val="00A926A1"/>
    <w:rsid w:val="00A927B9"/>
    <w:rsid w:val="00A9418C"/>
    <w:rsid w:val="00A946B7"/>
    <w:rsid w:val="00A94CF3"/>
    <w:rsid w:val="00A955D1"/>
    <w:rsid w:val="00A95E37"/>
    <w:rsid w:val="00A96B03"/>
    <w:rsid w:val="00A97A92"/>
    <w:rsid w:val="00A97ED4"/>
    <w:rsid w:val="00AA22BF"/>
    <w:rsid w:val="00AA24A3"/>
    <w:rsid w:val="00AA24C3"/>
    <w:rsid w:val="00AA25C9"/>
    <w:rsid w:val="00AA379D"/>
    <w:rsid w:val="00AA3984"/>
    <w:rsid w:val="00AA47DA"/>
    <w:rsid w:val="00AA4A91"/>
    <w:rsid w:val="00AA4BAA"/>
    <w:rsid w:val="00AA4BD7"/>
    <w:rsid w:val="00AA55FB"/>
    <w:rsid w:val="00AA5729"/>
    <w:rsid w:val="00AA675B"/>
    <w:rsid w:val="00AA6E66"/>
    <w:rsid w:val="00AA77FA"/>
    <w:rsid w:val="00AA7CC0"/>
    <w:rsid w:val="00AB12C4"/>
    <w:rsid w:val="00AB1593"/>
    <w:rsid w:val="00AB159B"/>
    <w:rsid w:val="00AB1B88"/>
    <w:rsid w:val="00AB2C36"/>
    <w:rsid w:val="00AB2E6E"/>
    <w:rsid w:val="00AB3289"/>
    <w:rsid w:val="00AB346A"/>
    <w:rsid w:val="00AB367D"/>
    <w:rsid w:val="00AB3A77"/>
    <w:rsid w:val="00AB3E30"/>
    <w:rsid w:val="00AB440F"/>
    <w:rsid w:val="00AB4EF6"/>
    <w:rsid w:val="00AB6DDE"/>
    <w:rsid w:val="00AB6FBB"/>
    <w:rsid w:val="00AB7A38"/>
    <w:rsid w:val="00AB7C88"/>
    <w:rsid w:val="00AC1316"/>
    <w:rsid w:val="00AC2100"/>
    <w:rsid w:val="00AC26F5"/>
    <w:rsid w:val="00AC34AD"/>
    <w:rsid w:val="00AC3790"/>
    <w:rsid w:val="00AC4466"/>
    <w:rsid w:val="00AC4598"/>
    <w:rsid w:val="00AC4983"/>
    <w:rsid w:val="00AC681F"/>
    <w:rsid w:val="00AC6D60"/>
    <w:rsid w:val="00AC74C2"/>
    <w:rsid w:val="00AD12AF"/>
    <w:rsid w:val="00AD1588"/>
    <w:rsid w:val="00AD267A"/>
    <w:rsid w:val="00AD3FF6"/>
    <w:rsid w:val="00AD45F4"/>
    <w:rsid w:val="00AD6E48"/>
    <w:rsid w:val="00AD7413"/>
    <w:rsid w:val="00AE1945"/>
    <w:rsid w:val="00AE1B08"/>
    <w:rsid w:val="00AE289E"/>
    <w:rsid w:val="00AE2CE6"/>
    <w:rsid w:val="00AE2EB3"/>
    <w:rsid w:val="00AE3C06"/>
    <w:rsid w:val="00AE3C7F"/>
    <w:rsid w:val="00AE4662"/>
    <w:rsid w:val="00AE4FA8"/>
    <w:rsid w:val="00AE53EC"/>
    <w:rsid w:val="00AE553A"/>
    <w:rsid w:val="00AE781B"/>
    <w:rsid w:val="00AE7998"/>
    <w:rsid w:val="00AE7FC1"/>
    <w:rsid w:val="00AF0474"/>
    <w:rsid w:val="00AF0D6E"/>
    <w:rsid w:val="00AF1217"/>
    <w:rsid w:val="00AF1D1A"/>
    <w:rsid w:val="00AF1F8B"/>
    <w:rsid w:val="00AF24E0"/>
    <w:rsid w:val="00AF31A2"/>
    <w:rsid w:val="00AF328E"/>
    <w:rsid w:val="00AF32C0"/>
    <w:rsid w:val="00AF35C4"/>
    <w:rsid w:val="00AF3980"/>
    <w:rsid w:val="00AF3C9E"/>
    <w:rsid w:val="00AF3D25"/>
    <w:rsid w:val="00AF62AB"/>
    <w:rsid w:val="00AF6FCE"/>
    <w:rsid w:val="00AF7D00"/>
    <w:rsid w:val="00B00D96"/>
    <w:rsid w:val="00B01574"/>
    <w:rsid w:val="00B034CB"/>
    <w:rsid w:val="00B03B76"/>
    <w:rsid w:val="00B03F61"/>
    <w:rsid w:val="00B04DCA"/>
    <w:rsid w:val="00B0501A"/>
    <w:rsid w:val="00B05309"/>
    <w:rsid w:val="00B0538D"/>
    <w:rsid w:val="00B055AA"/>
    <w:rsid w:val="00B0609E"/>
    <w:rsid w:val="00B075FF"/>
    <w:rsid w:val="00B077BA"/>
    <w:rsid w:val="00B102A7"/>
    <w:rsid w:val="00B10AD8"/>
    <w:rsid w:val="00B11623"/>
    <w:rsid w:val="00B1180A"/>
    <w:rsid w:val="00B11D9A"/>
    <w:rsid w:val="00B11E63"/>
    <w:rsid w:val="00B11F2B"/>
    <w:rsid w:val="00B13467"/>
    <w:rsid w:val="00B14030"/>
    <w:rsid w:val="00B14ECC"/>
    <w:rsid w:val="00B1642D"/>
    <w:rsid w:val="00B16573"/>
    <w:rsid w:val="00B17BF4"/>
    <w:rsid w:val="00B17BF8"/>
    <w:rsid w:val="00B2019D"/>
    <w:rsid w:val="00B2058A"/>
    <w:rsid w:val="00B22180"/>
    <w:rsid w:val="00B221A0"/>
    <w:rsid w:val="00B23E22"/>
    <w:rsid w:val="00B23FEC"/>
    <w:rsid w:val="00B24232"/>
    <w:rsid w:val="00B24F02"/>
    <w:rsid w:val="00B25DC6"/>
    <w:rsid w:val="00B300F3"/>
    <w:rsid w:val="00B302EA"/>
    <w:rsid w:val="00B30E95"/>
    <w:rsid w:val="00B312BE"/>
    <w:rsid w:val="00B315AC"/>
    <w:rsid w:val="00B320C6"/>
    <w:rsid w:val="00B32965"/>
    <w:rsid w:val="00B32D41"/>
    <w:rsid w:val="00B3351F"/>
    <w:rsid w:val="00B33F0D"/>
    <w:rsid w:val="00B34036"/>
    <w:rsid w:val="00B34B5A"/>
    <w:rsid w:val="00B34E40"/>
    <w:rsid w:val="00B350EC"/>
    <w:rsid w:val="00B36BBF"/>
    <w:rsid w:val="00B4040E"/>
    <w:rsid w:val="00B40732"/>
    <w:rsid w:val="00B40975"/>
    <w:rsid w:val="00B41EC5"/>
    <w:rsid w:val="00B42008"/>
    <w:rsid w:val="00B42124"/>
    <w:rsid w:val="00B428CB"/>
    <w:rsid w:val="00B4488B"/>
    <w:rsid w:val="00B44A2A"/>
    <w:rsid w:val="00B4538B"/>
    <w:rsid w:val="00B46B61"/>
    <w:rsid w:val="00B47260"/>
    <w:rsid w:val="00B478B0"/>
    <w:rsid w:val="00B47F72"/>
    <w:rsid w:val="00B5096A"/>
    <w:rsid w:val="00B511A8"/>
    <w:rsid w:val="00B53B6B"/>
    <w:rsid w:val="00B53C19"/>
    <w:rsid w:val="00B5454A"/>
    <w:rsid w:val="00B546A3"/>
    <w:rsid w:val="00B547FD"/>
    <w:rsid w:val="00B56CA7"/>
    <w:rsid w:val="00B57D0A"/>
    <w:rsid w:val="00B60D62"/>
    <w:rsid w:val="00B623F3"/>
    <w:rsid w:val="00B62BED"/>
    <w:rsid w:val="00B62C12"/>
    <w:rsid w:val="00B635E6"/>
    <w:rsid w:val="00B63764"/>
    <w:rsid w:val="00B6389C"/>
    <w:rsid w:val="00B638E3"/>
    <w:rsid w:val="00B641F1"/>
    <w:rsid w:val="00B65E61"/>
    <w:rsid w:val="00B662A1"/>
    <w:rsid w:val="00B66E86"/>
    <w:rsid w:val="00B674E0"/>
    <w:rsid w:val="00B675B6"/>
    <w:rsid w:val="00B67CD7"/>
    <w:rsid w:val="00B70212"/>
    <w:rsid w:val="00B70620"/>
    <w:rsid w:val="00B710BA"/>
    <w:rsid w:val="00B713B0"/>
    <w:rsid w:val="00B72241"/>
    <w:rsid w:val="00B72CA7"/>
    <w:rsid w:val="00B72F95"/>
    <w:rsid w:val="00B740D9"/>
    <w:rsid w:val="00B7542B"/>
    <w:rsid w:val="00B760AA"/>
    <w:rsid w:val="00B76B04"/>
    <w:rsid w:val="00B77BF1"/>
    <w:rsid w:val="00B77C11"/>
    <w:rsid w:val="00B8037F"/>
    <w:rsid w:val="00B81497"/>
    <w:rsid w:val="00B81B28"/>
    <w:rsid w:val="00B82911"/>
    <w:rsid w:val="00B8332C"/>
    <w:rsid w:val="00B83DA4"/>
    <w:rsid w:val="00B844E8"/>
    <w:rsid w:val="00B84B45"/>
    <w:rsid w:val="00B870D7"/>
    <w:rsid w:val="00B878E1"/>
    <w:rsid w:val="00B90103"/>
    <w:rsid w:val="00B90624"/>
    <w:rsid w:val="00B90BA3"/>
    <w:rsid w:val="00B90F30"/>
    <w:rsid w:val="00B91451"/>
    <w:rsid w:val="00B920C1"/>
    <w:rsid w:val="00B924AC"/>
    <w:rsid w:val="00B9259F"/>
    <w:rsid w:val="00B926C0"/>
    <w:rsid w:val="00B92CFC"/>
    <w:rsid w:val="00B9493B"/>
    <w:rsid w:val="00B952A6"/>
    <w:rsid w:val="00B95A85"/>
    <w:rsid w:val="00B9640C"/>
    <w:rsid w:val="00B965DF"/>
    <w:rsid w:val="00B96844"/>
    <w:rsid w:val="00B975EA"/>
    <w:rsid w:val="00BA0454"/>
    <w:rsid w:val="00BA0E09"/>
    <w:rsid w:val="00BA413B"/>
    <w:rsid w:val="00BA48FC"/>
    <w:rsid w:val="00BA6AE8"/>
    <w:rsid w:val="00BA7801"/>
    <w:rsid w:val="00BB0D0A"/>
    <w:rsid w:val="00BB2839"/>
    <w:rsid w:val="00BB2D57"/>
    <w:rsid w:val="00BB5D9C"/>
    <w:rsid w:val="00BB7C3E"/>
    <w:rsid w:val="00BB7EF9"/>
    <w:rsid w:val="00BC0000"/>
    <w:rsid w:val="00BC019D"/>
    <w:rsid w:val="00BC01D9"/>
    <w:rsid w:val="00BC1188"/>
    <w:rsid w:val="00BC11C8"/>
    <w:rsid w:val="00BC28A9"/>
    <w:rsid w:val="00BC2D0B"/>
    <w:rsid w:val="00BC323B"/>
    <w:rsid w:val="00BC3EFA"/>
    <w:rsid w:val="00BC479F"/>
    <w:rsid w:val="00BC48F9"/>
    <w:rsid w:val="00BC528F"/>
    <w:rsid w:val="00BC5B33"/>
    <w:rsid w:val="00BC7DDC"/>
    <w:rsid w:val="00BC7F94"/>
    <w:rsid w:val="00BD0560"/>
    <w:rsid w:val="00BD0F89"/>
    <w:rsid w:val="00BD1131"/>
    <w:rsid w:val="00BD2ECA"/>
    <w:rsid w:val="00BD40B2"/>
    <w:rsid w:val="00BD5F8F"/>
    <w:rsid w:val="00BD6069"/>
    <w:rsid w:val="00BD60AF"/>
    <w:rsid w:val="00BD733D"/>
    <w:rsid w:val="00BD77AF"/>
    <w:rsid w:val="00BE0040"/>
    <w:rsid w:val="00BE0296"/>
    <w:rsid w:val="00BE0EA4"/>
    <w:rsid w:val="00BE219C"/>
    <w:rsid w:val="00BE23A5"/>
    <w:rsid w:val="00BE27E0"/>
    <w:rsid w:val="00BE2D63"/>
    <w:rsid w:val="00BE3295"/>
    <w:rsid w:val="00BE34F8"/>
    <w:rsid w:val="00BE43A7"/>
    <w:rsid w:val="00BE4F79"/>
    <w:rsid w:val="00BE4FAB"/>
    <w:rsid w:val="00BE4FC4"/>
    <w:rsid w:val="00BE51C4"/>
    <w:rsid w:val="00BE617C"/>
    <w:rsid w:val="00BE6936"/>
    <w:rsid w:val="00BE6B33"/>
    <w:rsid w:val="00BE6F38"/>
    <w:rsid w:val="00BE7FC8"/>
    <w:rsid w:val="00BF04A0"/>
    <w:rsid w:val="00BF107E"/>
    <w:rsid w:val="00BF1283"/>
    <w:rsid w:val="00BF14D6"/>
    <w:rsid w:val="00BF1AEF"/>
    <w:rsid w:val="00BF1E57"/>
    <w:rsid w:val="00BF1FCC"/>
    <w:rsid w:val="00BF3CDE"/>
    <w:rsid w:val="00BF44D9"/>
    <w:rsid w:val="00BF471B"/>
    <w:rsid w:val="00BF5971"/>
    <w:rsid w:val="00BF7339"/>
    <w:rsid w:val="00BF7B48"/>
    <w:rsid w:val="00BF7F47"/>
    <w:rsid w:val="00C0019C"/>
    <w:rsid w:val="00C0029F"/>
    <w:rsid w:val="00C0091D"/>
    <w:rsid w:val="00C013E3"/>
    <w:rsid w:val="00C014A1"/>
    <w:rsid w:val="00C016F8"/>
    <w:rsid w:val="00C03A54"/>
    <w:rsid w:val="00C0451B"/>
    <w:rsid w:val="00C0671D"/>
    <w:rsid w:val="00C06C34"/>
    <w:rsid w:val="00C06DD1"/>
    <w:rsid w:val="00C07ED5"/>
    <w:rsid w:val="00C105A2"/>
    <w:rsid w:val="00C10BE9"/>
    <w:rsid w:val="00C11A45"/>
    <w:rsid w:val="00C11B45"/>
    <w:rsid w:val="00C126D7"/>
    <w:rsid w:val="00C13327"/>
    <w:rsid w:val="00C13B0A"/>
    <w:rsid w:val="00C14DCD"/>
    <w:rsid w:val="00C1514B"/>
    <w:rsid w:val="00C15FD0"/>
    <w:rsid w:val="00C1649F"/>
    <w:rsid w:val="00C16574"/>
    <w:rsid w:val="00C16916"/>
    <w:rsid w:val="00C16AC5"/>
    <w:rsid w:val="00C16E35"/>
    <w:rsid w:val="00C201CB"/>
    <w:rsid w:val="00C203FD"/>
    <w:rsid w:val="00C21684"/>
    <w:rsid w:val="00C21ADE"/>
    <w:rsid w:val="00C22A71"/>
    <w:rsid w:val="00C24087"/>
    <w:rsid w:val="00C24607"/>
    <w:rsid w:val="00C24623"/>
    <w:rsid w:val="00C26C57"/>
    <w:rsid w:val="00C27CA3"/>
    <w:rsid w:val="00C3038B"/>
    <w:rsid w:val="00C31639"/>
    <w:rsid w:val="00C317DF"/>
    <w:rsid w:val="00C33A45"/>
    <w:rsid w:val="00C33BBA"/>
    <w:rsid w:val="00C35EB8"/>
    <w:rsid w:val="00C36C43"/>
    <w:rsid w:val="00C417B1"/>
    <w:rsid w:val="00C4183D"/>
    <w:rsid w:val="00C43208"/>
    <w:rsid w:val="00C433D6"/>
    <w:rsid w:val="00C435C9"/>
    <w:rsid w:val="00C43AB0"/>
    <w:rsid w:val="00C43C99"/>
    <w:rsid w:val="00C44C76"/>
    <w:rsid w:val="00C45355"/>
    <w:rsid w:val="00C46BEA"/>
    <w:rsid w:val="00C46F1C"/>
    <w:rsid w:val="00C474C3"/>
    <w:rsid w:val="00C47B0D"/>
    <w:rsid w:val="00C47BD2"/>
    <w:rsid w:val="00C50AFD"/>
    <w:rsid w:val="00C50C79"/>
    <w:rsid w:val="00C514A4"/>
    <w:rsid w:val="00C53B02"/>
    <w:rsid w:val="00C545AB"/>
    <w:rsid w:val="00C5645C"/>
    <w:rsid w:val="00C569C4"/>
    <w:rsid w:val="00C57507"/>
    <w:rsid w:val="00C57925"/>
    <w:rsid w:val="00C600A3"/>
    <w:rsid w:val="00C60988"/>
    <w:rsid w:val="00C60ADD"/>
    <w:rsid w:val="00C614A9"/>
    <w:rsid w:val="00C61B57"/>
    <w:rsid w:val="00C62A4E"/>
    <w:rsid w:val="00C62D84"/>
    <w:rsid w:val="00C648DF"/>
    <w:rsid w:val="00C64F80"/>
    <w:rsid w:val="00C65470"/>
    <w:rsid w:val="00C67390"/>
    <w:rsid w:val="00C67FA0"/>
    <w:rsid w:val="00C7061E"/>
    <w:rsid w:val="00C70ADF"/>
    <w:rsid w:val="00C71096"/>
    <w:rsid w:val="00C71C9C"/>
    <w:rsid w:val="00C71D14"/>
    <w:rsid w:val="00C74259"/>
    <w:rsid w:val="00C75912"/>
    <w:rsid w:val="00C769B3"/>
    <w:rsid w:val="00C812CF"/>
    <w:rsid w:val="00C82398"/>
    <w:rsid w:val="00C826BD"/>
    <w:rsid w:val="00C83026"/>
    <w:rsid w:val="00C83186"/>
    <w:rsid w:val="00C83242"/>
    <w:rsid w:val="00C835C8"/>
    <w:rsid w:val="00C83607"/>
    <w:rsid w:val="00C83AC4"/>
    <w:rsid w:val="00C83B0F"/>
    <w:rsid w:val="00C83F65"/>
    <w:rsid w:val="00C860F0"/>
    <w:rsid w:val="00C869DA"/>
    <w:rsid w:val="00C86C3D"/>
    <w:rsid w:val="00C86D0B"/>
    <w:rsid w:val="00C86D75"/>
    <w:rsid w:val="00C86FD6"/>
    <w:rsid w:val="00C86FF3"/>
    <w:rsid w:val="00C8762E"/>
    <w:rsid w:val="00C878A8"/>
    <w:rsid w:val="00C900C1"/>
    <w:rsid w:val="00C90270"/>
    <w:rsid w:val="00C90CE8"/>
    <w:rsid w:val="00C911F0"/>
    <w:rsid w:val="00C92743"/>
    <w:rsid w:val="00C930F7"/>
    <w:rsid w:val="00C93F6B"/>
    <w:rsid w:val="00C948CE"/>
    <w:rsid w:val="00C956F6"/>
    <w:rsid w:val="00C9661A"/>
    <w:rsid w:val="00C96E0F"/>
    <w:rsid w:val="00C97A59"/>
    <w:rsid w:val="00C97C9C"/>
    <w:rsid w:val="00C97EBE"/>
    <w:rsid w:val="00CA02D6"/>
    <w:rsid w:val="00CA0C84"/>
    <w:rsid w:val="00CA3411"/>
    <w:rsid w:val="00CA3AD6"/>
    <w:rsid w:val="00CA58EA"/>
    <w:rsid w:val="00CA6534"/>
    <w:rsid w:val="00CA6C3C"/>
    <w:rsid w:val="00CA70A2"/>
    <w:rsid w:val="00CA73AE"/>
    <w:rsid w:val="00CA7D14"/>
    <w:rsid w:val="00CB015E"/>
    <w:rsid w:val="00CB0268"/>
    <w:rsid w:val="00CB0B96"/>
    <w:rsid w:val="00CB1597"/>
    <w:rsid w:val="00CB2008"/>
    <w:rsid w:val="00CB370F"/>
    <w:rsid w:val="00CB4B13"/>
    <w:rsid w:val="00CB5296"/>
    <w:rsid w:val="00CB5C80"/>
    <w:rsid w:val="00CB601E"/>
    <w:rsid w:val="00CB6C2E"/>
    <w:rsid w:val="00CB6DF9"/>
    <w:rsid w:val="00CC0C23"/>
    <w:rsid w:val="00CC1941"/>
    <w:rsid w:val="00CC2433"/>
    <w:rsid w:val="00CC30AB"/>
    <w:rsid w:val="00CC3569"/>
    <w:rsid w:val="00CC408C"/>
    <w:rsid w:val="00CC4368"/>
    <w:rsid w:val="00CC43FB"/>
    <w:rsid w:val="00CC54A9"/>
    <w:rsid w:val="00CC573B"/>
    <w:rsid w:val="00CC5F46"/>
    <w:rsid w:val="00CC67F0"/>
    <w:rsid w:val="00CC69A6"/>
    <w:rsid w:val="00CC6BDB"/>
    <w:rsid w:val="00CC6FEA"/>
    <w:rsid w:val="00CC7094"/>
    <w:rsid w:val="00CC7BDB"/>
    <w:rsid w:val="00CC7F0C"/>
    <w:rsid w:val="00CD0FBC"/>
    <w:rsid w:val="00CD1CC6"/>
    <w:rsid w:val="00CD26D5"/>
    <w:rsid w:val="00CD3063"/>
    <w:rsid w:val="00CD42C9"/>
    <w:rsid w:val="00CD50EF"/>
    <w:rsid w:val="00CD5CC5"/>
    <w:rsid w:val="00CD6B54"/>
    <w:rsid w:val="00CD74C6"/>
    <w:rsid w:val="00CE1B94"/>
    <w:rsid w:val="00CE2357"/>
    <w:rsid w:val="00CE24E4"/>
    <w:rsid w:val="00CE24F0"/>
    <w:rsid w:val="00CE44B6"/>
    <w:rsid w:val="00CE4BBE"/>
    <w:rsid w:val="00CE5C62"/>
    <w:rsid w:val="00CE6F0E"/>
    <w:rsid w:val="00CE7482"/>
    <w:rsid w:val="00CF059A"/>
    <w:rsid w:val="00CF0F4A"/>
    <w:rsid w:val="00CF10F6"/>
    <w:rsid w:val="00CF1D65"/>
    <w:rsid w:val="00CF2D24"/>
    <w:rsid w:val="00CF3187"/>
    <w:rsid w:val="00CF3866"/>
    <w:rsid w:val="00CF3BE3"/>
    <w:rsid w:val="00CF43E2"/>
    <w:rsid w:val="00CF4776"/>
    <w:rsid w:val="00CF797B"/>
    <w:rsid w:val="00D00015"/>
    <w:rsid w:val="00D009D7"/>
    <w:rsid w:val="00D012EC"/>
    <w:rsid w:val="00D01326"/>
    <w:rsid w:val="00D017ED"/>
    <w:rsid w:val="00D0186A"/>
    <w:rsid w:val="00D02909"/>
    <w:rsid w:val="00D02DA7"/>
    <w:rsid w:val="00D05342"/>
    <w:rsid w:val="00D05424"/>
    <w:rsid w:val="00D05CCF"/>
    <w:rsid w:val="00D0647C"/>
    <w:rsid w:val="00D065F4"/>
    <w:rsid w:val="00D07A14"/>
    <w:rsid w:val="00D10DDE"/>
    <w:rsid w:val="00D1121E"/>
    <w:rsid w:val="00D11AF7"/>
    <w:rsid w:val="00D12A0C"/>
    <w:rsid w:val="00D12C2D"/>
    <w:rsid w:val="00D14900"/>
    <w:rsid w:val="00D14DE0"/>
    <w:rsid w:val="00D14F43"/>
    <w:rsid w:val="00D14FAD"/>
    <w:rsid w:val="00D152B0"/>
    <w:rsid w:val="00D16193"/>
    <w:rsid w:val="00D1650C"/>
    <w:rsid w:val="00D17F05"/>
    <w:rsid w:val="00D20794"/>
    <w:rsid w:val="00D20CFC"/>
    <w:rsid w:val="00D20D2A"/>
    <w:rsid w:val="00D20E01"/>
    <w:rsid w:val="00D2145B"/>
    <w:rsid w:val="00D2263F"/>
    <w:rsid w:val="00D2265B"/>
    <w:rsid w:val="00D231BC"/>
    <w:rsid w:val="00D2371C"/>
    <w:rsid w:val="00D23C7A"/>
    <w:rsid w:val="00D247F5"/>
    <w:rsid w:val="00D24B3B"/>
    <w:rsid w:val="00D25E4E"/>
    <w:rsid w:val="00D262E4"/>
    <w:rsid w:val="00D2732C"/>
    <w:rsid w:val="00D273CF"/>
    <w:rsid w:val="00D27E4B"/>
    <w:rsid w:val="00D30824"/>
    <w:rsid w:val="00D31385"/>
    <w:rsid w:val="00D31AE7"/>
    <w:rsid w:val="00D31CFA"/>
    <w:rsid w:val="00D338D4"/>
    <w:rsid w:val="00D33C89"/>
    <w:rsid w:val="00D34216"/>
    <w:rsid w:val="00D3447A"/>
    <w:rsid w:val="00D34A89"/>
    <w:rsid w:val="00D3584C"/>
    <w:rsid w:val="00D3592D"/>
    <w:rsid w:val="00D3593D"/>
    <w:rsid w:val="00D35FA7"/>
    <w:rsid w:val="00D374FF"/>
    <w:rsid w:val="00D40DD0"/>
    <w:rsid w:val="00D41484"/>
    <w:rsid w:val="00D4159A"/>
    <w:rsid w:val="00D426CE"/>
    <w:rsid w:val="00D4275E"/>
    <w:rsid w:val="00D428B6"/>
    <w:rsid w:val="00D43F91"/>
    <w:rsid w:val="00D43FC3"/>
    <w:rsid w:val="00D4523D"/>
    <w:rsid w:val="00D45D34"/>
    <w:rsid w:val="00D462A1"/>
    <w:rsid w:val="00D46BBB"/>
    <w:rsid w:val="00D470BD"/>
    <w:rsid w:val="00D47685"/>
    <w:rsid w:val="00D50299"/>
    <w:rsid w:val="00D5055E"/>
    <w:rsid w:val="00D51D90"/>
    <w:rsid w:val="00D52B4D"/>
    <w:rsid w:val="00D52B81"/>
    <w:rsid w:val="00D52BF5"/>
    <w:rsid w:val="00D53086"/>
    <w:rsid w:val="00D53CB3"/>
    <w:rsid w:val="00D53EDB"/>
    <w:rsid w:val="00D54416"/>
    <w:rsid w:val="00D5478C"/>
    <w:rsid w:val="00D54B6E"/>
    <w:rsid w:val="00D54E63"/>
    <w:rsid w:val="00D55AEA"/>
    <w:rsid w:val="00D56041"/>
    <w:rsid w:val="00D56CE5"/>
    <w:rsid w:val="00D57D7F"/>
    <w:rsid w:val="00D60D8B"/>
    <w:rsid w:val="00D6138C"/>
    <w:rsid w:val="00D63375"/>
    <w:rsid w:val="00D6400F"/>
    <w:rsid w:val="00D64341"/>
    <w:rsid w:val="00D64445"/>
    <w:rsid w:val="00D6450B"/>
    <w:rsid w:val="00D6494E"/>
    <w:rsid w:val="00D64EE3"/>
    <w:rsid w:val="00D650F6"/>
    <w:rsid w:val="00D651D5"/>
    <w:rsid w:val="00D65306"/>
    <w:rsid w:val="00D65757"/>
    <w:rsid w:val="00D65E9B"/>
    <w:rsid w:val="00D66BBE"/>
    <w:rsid w:val="00D66E6F"/>
    <w:rsid w:val="00D67D40"/>
    <w:rsid w:val="00D70082"/>
    <w:rsid w:val="00D7163B"/>
    <w:rsid w:val="00D721E6"/>
    <w:rsid w:val="00D721FC"/>
    <w:rsid w:val="00D722DB"/>
    <w:rsid w:val="00D72C9C"/>
    <w:rsid w:val="00D72FF8"/>
    <w:rsid w:val="00D739B8"/>
    <w:rsid w:val="00D74000"/>
    <w:rsid w:val="00D76698"/>
    <w:rsid w:val="00D7708F"/>
    <w:rsid w:val="00D77C8F"/>
    <w:rsid w:val="00D80371"/>
    <w:rsid w:val="00D80AEF"/>
    <w:rsid w:val="00D80F17"/>
    <w:rsid w:val="00D812C0"/>
    <w:rsid w:val="00D81C3F"/>
    <w:rsid w:val="00D81CCA"/>
    <w:rsid w:val="00D823E5"/>
    <w:rsid w:val="00D824E7"/>
    <w:rsid w:val="00D82D8A"/>
    <w:rsid w:val="00D8305A"/>
    <w:rsid w:val="00D8333A"/>
    <w:rsid w:val="00D83959"/>
    <w:rsid w:val="00D849F6"/>
    <w:rsid w:val="00D84D9E"/>
    <w:rsid w:val="00D858D6"/>
    <w:rsid w:val="00D87E14"/>
    <w:rsid w:val="00D900EA"/>
    <w:rsid w:val="00D9081C"/>
    <w:rsid w:val="00D90AB2"/>
    <w:rsid w:val="00D91389"/>
    <w:rsid w:val="00D92AC0"/>
    <w:rsid w:val="00D93662"/>
    <w:rsid w:val="00D9571F"/>
    <w:rsid w:val="00D95E1E"/>
    <w:rsid w:val="00D96279"/>
    <w:rsid w:val="00D96A55"/>
    <w:rsid w:val="00D96FF6"/>
    <w:rsid w:val="00D970F2"/>
    <w:rsid w:val="00DA006A"/>
    <w:rsid w:val="00DA0883"/>
    <w:rsid w:val="00DA211C"/>
    <w:rsid w:val="00DA2F7B"/>
    <w:rsid w:val="00DA3223"/>
    <w:rsid w:val="00DA4E64"/>
    <w:rsid w:val="00DA5944"/>
    <w:rsid w:val="00DA602F"/>
    <w:rsid w:val="00DA6519"/>
    <w:rsid w:val="00DA676A"/>
    <w:rsid w:val="00DA6CF2"/>
    <w:rsid w:val="00DA75EC"/>
    <w:rsid w:val="00DA7A3D"/>
    <w:rsid w:val="00DB074D"/>
    <w:rsid w:val="00DB0962"/>
    <w:rsid w:val="00DB0D72"/>
    <w:rsid w:val="00DB293B"/>
    <w:rsid w:val="00DB4288"/>
    <w:rsid w:val="00DB4CAF"/>
    <w:rsid w:val="00DB538E"/>
    <w:rsid w:val="00DB5B78"/>
    <w:rsid w:val="00DB6666"/>
    <w:rsid w:val="00DB6D66"/>
    <w:rsid w:val="00DB6E9E"/>
    <w:rsid w:val="00DC0BFD"/>
    <w:rsid w:val="00DC14A0"/>
    <w:rsid w:val="00DC1610"/>
    <w:rsid w:val="00DC3722"/>
    <w:rsid w:val="00DC378D"/>
    <w:rsid w:val="00DC40FC"/>
    <w:rsid w:val="00DC5598"/>
    <w:rsid w:val="00DC56DA"/>
    <w:rsid w:val="00DC5AE2"/>
    <w:rsid w:val="00DC5C57"/>
    <w:rsid w:val="00DD2356"/>
    <w:rsid w:val="00DD241A"/>
    <w:rsid w:val="00DD2F57"/>
    <w:rsid w:val="00DD40F4"/>
    <w:rsid w:val="00DD65D9"/>
    <w:rsid w:val="00DD66E3"/>
    <w:rsid w:val="00DD6C32"/>
    <w:rsid w:val="00DD7355"/>
    <w:rsid w:val="00DD7462"/>
    <w:rsid w:val="00DD7553"/>
    <w:rsid w:val="00DD760D"/>
    <w:rsid w:val="00DD7D25"/>
    <w:rsid w:val="00DE07CF"/>
    <w:rsid w:val="00DE0FF6"/>
    <w:rsid w:val="00DE15F7"/>
    <w:rsid w:val="00DE19E8"/>
    <w:rsid w:val="00DE21D7"/>
    <w:rsid w:val="00DE2D7E"/>
    <w:rsid w:val="00DE2EDF"/>
    <w:rsid w:val="00DE3482"/>
    <w:rsid w:val="00DE4030"/>
    <w:rsid w:val="00DE452D"/>
    <w:rsid w:val="00DE49BB"/>
    <w:rsid w:val="00DE4FFA"/>
    <w:rsid w:val="00DE5541"/>
    <w:rsid w:val="00DE58F2"/>
    <w:rsid w:val="00DE5EFF"/>
    <w:rsid w:val="00DE69F8"/>
    <w:rsid w:val="00DE6AB9"/>
    <w:rsid w:val="00DE79C8"/>
    <w:rsid w:val="00DE7A9F"/>
    <w:rsid w:val="00DF01E2"/>
    <w:rsid w:val="00DF1E53"/>
    <w:rsid w:val="00DF20AB"/>
    <w:rsid w:val="00DF3B4B"/>
    <w:rsid w:val="00DF3D2E"/>
    <w:rsid w:val="00DF48F5"/>
    <w:rsid w:val="00DF6AB2"/>
    <w:rsid w:val="00DF6D3E"/>
    <w:rsid w:val="00DF7905"/>
    <w:rsid w:val="00DF7C79"/>
    <w:rsid w:val="00DF7FE9"/>
    <w:rsid w:val="00E006A8"/>
    <w:rsid w:val="00E00D17"/>
    <w:rsid w:val="00E0157C"/>
    <w:rsid w:val="00E01D63"/>
    <w:rsid w:val="00E0207C"/>
    <w:rsid w:val="00E03729"/>
    <w:rsid w:val="00E03D76"/>
    <w:rsid w:val="00E03EB5"/>
    <w:rsid w:val="00E0490B"/>
    <w:rsid w:val="00E05599"/>
    <w:rsid w:val="00E05876"/>
    <w:rsid w:val="00E059CE"/>
    <w:rsid w:val="00E06036"/>
    <w:rsid w:val="00E07EB9"/>
    <w:rsid w:val="00E1102C"/>
    <w:rsid w:val="00E11D47"/>
    <w:rsid w:val="00E12609"/>
    <w:rsid w:val="00E1395F"/>
    <w:rsid w:val="00E15586"/>
    <w:rsid w:val="00E158AF"/>
    <w:rsid w:val="00E1680E"/>
    <w:rsid w:val="00E16ACE"/>
    <w:rsid w:val="00E178FC"/>
    <w:rsid w:val="00E17D7F"/>
    <w:rsid w:val="00E20787"/>
    <w:rsid w:val="00E22823"/>
    <w:rsid w:val="00E2361E"/>
    <w:rsid w:val="00E25D99"/>
    <w:rsid w:val="00E25EC3"/>
    <w:rsid w:val="00E26885"/>
    <w:rsid w:val="00E27026"/>
    <w:rsid w:val="00E3064B"/>
    <w:rsid w:val="00E30B13"/>
    <w:rsid w:val="00E31885"/>
    <w:rsid w:val="00E31F19"/>
    <w:rsid w:val="00E32547"/>
    <w:rsid w:val="00E33630"/>
    <w:rsid w:val="00E344A9"/>
    <w:rsid w:val="00E34624"/>
    <w:rsid w:val="00E347B9"/>
    <w:rsid w:val="00E358A8"/>
    <w:rsid w:val="00E36629"/>
    <w:rsid w:val="00E36FAC"/>
    <w:rsid w:val="00E423F0"/>
    <w:rsid w:val="00E43905"/>
    <w:rsid w:val="00E4452C"/>
    <w:rsid w:val="00E45128"/>
    <w:rsid w:val="00E451CA"/>
    <w:rsid w:val="00E452A3"/>
    <w:rsid w:val="00E458B4"/>
    <w:rsid w:val="00E46963"/>
    <w:rsid w:val="00E4799C"/>
    <w:rsid w:val="00E50B3C"/>
    <w:rsid w:val="00E51BA4"/>
    <w:rsid w:val="00E526CE"/>
    <w:rsid w:val="00E527D1"/>
    <w:rsid w:val="00E52EAE"/>
    <w:rsid w:val="00E52EEB"/>
    <w:rsid w:val="00E55A2B"/>
    <w:rsid w:val="00E560E8"/>
    <w:rsid w:val="00E561DC"/>
    <w:rsid w:val="00E56524"/>
    <w:rsid w:val="00E56886"/>
    <w:rsid w:val="00E606CD"/>
    <w:rsid w:val="00E6124B"/>
    <w:rsid w:val="00E615EB"/>
    <w:rsid w:val="00E62F04"/>
    <w:rsid w:val="00E630ED"/>
    <w:rsid w:val="00E63602"/>
    <w:rsid w:val="00E63898"/>
    <w:rsid w:val="00E63C96"/>
    <w:rsid w:val="00E6460F"/>
    <w:rsid w:val="00E64EAF"/>
    <w:rsid w:val="00E65E64"/>
    <w:rsid w:val="00E67658"/>
    <w:rsid w:val="00E676A4"/>
    <w:rsid w:val="00E678E1"/>
    <w:rsid w:val="00E67EB8"/>
    <w:rsid w:val="00E701C1"/>
    <w:rsid w:val="00E7025E"/>
    <w:rsid w:val="00E70F25"/>
    <w:rsid w:val="00E70F47"/>
    <w:rsid w:val="00E726E3"/>
    <w:rsid w:val="00E72F80"/>
    <w:rsid w:val="00E73F1B"/>
    <w:rsid w:val="00E74171"/>
    <w:rsid w:val="00E744A2"/>
    <w:rsid w:val="00E752A3"/>
    <w:rsid w:val="00E756E0"/>
    <w:rsid w:val="00E75F1B"/>
    <w:rsid w:val="00E773F7"/>
    <w:rsid w:val="00E77917"/>
    <w:rsid w:val="00E8032F"/>
    <w:rsid w:val="00E80D00"/>
    <w:rsid w:val="00E8256F"/>
    <w:rsid w:val="00E83C72"/>
    <w:rsid w:val="00E85919"/>
    <w:rsid w:val="00E85932"/>
    <w:rsid w:val="00E87057"/>
    <w:rsid w:val="00E877BE"/>
    <w:rsid w:val="00E87E69"/>
    <w:rsid w:val="00E87F33"/>
    <w:rsid w:val="00E922C4"/>
    <w:rsid w:val="00E92FB8"/>
    <w:rsid w:val="00E93134"/>
    <w:rsid w:val="00E9326A"/>
    <w:rsid w:val="00E936A1"/>
    <w:rsid w:val="00E94363"/>
    <w:rsid w:val="00E94C9E"/>
    <w:rsid w:val="00E956FB"/>
    <w:rsid w:val="00E95BC0"/>
    <w:rsid w:val="00E97B58"/>
    <w:rsid w:val="00EA0A0B"/>
    <w:rsid w:val="00EA11D3"/>
    <w:rsid w:val="00EA1DF1"/>
    <w:rsid w:val="00EA2201"/>
    <w:rsid w:val="00EA27CE"/>
    <w:rsid w:val="00EA2E67"/>
    <w:rsid w:val="00EA347C"/>
    <w:rsid w:val="00EA3CF5"/>
    <w:rsid w:val="00EA3DDF"/>
    <w:rsid w:val="00EA3F7A"/>
    <w:rsid w:val="00EA555C"/>
    <w:rsid w:val="00EA5C56"/>
    <w:rsid w:val="00EA701F"/>
    <w:rsid w:val="00EB1037"/>
    <w:rsid w:val="00EB15C5"/>
    <w:rsid w:val="00EB184F"/>
    <w:rsid w:val="00EB3284"/>
    <w:rsid w:val="00EB337F"/>
    <w:rsid w:val="00EB478A"/>
    <w:rsid w:val="00EB4FA5"/>
    <w:rsid w:val="00EB54E9"/>
    <w:rsid w:val="00EB5571"/>
    <w:rsid w:val="00EB6496"/>
    <w:rsid w:val="00EB6EC7"/>
    <w:rsid w:val="00EC0650"/>
    <w:rsid w:val="00EC084C"/>
    <w:rsid w:val="00EC098E"/>
    <w:rsid w:val="00EC0ADC"/>
    <w:rsid w:val="00EC414F"/>
    <w:rsid w:val="00EC4DE6"/>
    <w:rsid w:val="00EC4F49"/>
    <w:rsid w:val="00EC5200"/>
    <w:rsid w:val="00EC53AF"/>
    <w:rsid w:val="00EC54E0"/>
    <w:rsid w:val="00EC5CDD"/>
    <w:rsid w:val="00EC70B4"/>
    <w:rsid w:val="00EC7F7D"/>
    <w:rsid w:val="00ED0903"/>
    <w:rsid w:val="00ED0B09"/>
    <w:rsid w:val="00ED1F91"/>
    <w:rsid w:val="00ED2131"/>
    <w:rsid w:val="00ED2691"/>
    <w:rsid w:val="00ED2C7B"/>
    <w:rsid w:val="00ED2D0D"/>
    <w:rsid w:val="00ED3DAA"/>
    <w:rsid w:val="00ED41E5"/>
    <w:rsid w:val="00ED42D2"/>
    <w:rsid w:val="00ED4C75"/>
    <w:rsid w:val="00ED5326"/>
    <w:rsid w:val="00ED5443"/>
    <w:rsid w:val="00ED6080"/>
    <w:rsid w:val="00ED6ECA"/>
    <w:rsid w:val="00EE0BF8"/>
    <w:rsid w:val="00EE1506"/>
    <w:rsid w:val="00EE19DE"/>
    <w:rsid w:val="00EE1F1D"/>
    <w:rsid w:val="00EE2056"/>
    <w:rsid w:val="00EE2095"/>
    <w:rsid w:val="00EE22FA"/>
    <w:rsid w:val="00EE31AF"/>
    <w:rsid w:val="00EE385D"/>
    <w:rsid w:val="00EE3B47"/>
    <w:rsid w:val="00EE4718"/>
    <w:rsid w:val="00EE5D74"/>
    <w:rsid w:val="00EE6981"/>
    <w:rsid w:val="00EE758E"/>
    <w:rsid w:val="00EE77BB"/>
    <w:rsid w:val="00EF0AEC"/>
    <w:rsid w:val="00EF1AFC"/>
    <w:rsid w:val="00EF1BFC"/>
    <w:rsid w:val="00EF312B"/>
    <w:rsid w:val="00EF43E2"/>
    <w:rsid w:val="00EF51F9"/>
    <w:rsid w:val="00EF63B9"/>
    <w:rsid w:val="00EF6C2C"/>
    <w:rsid w:val="00EF7F21"/>
    <w:rsid w:val="00F00B1A"/>
    <w:rsid w:val="00F01075"/>
    <w:rsid w:val="00F010BD"/>
    <w:rsid w:val="00F02934"/>
    <w:rsid w:val="00F04173"/>
    <w:rsid w:val="00F04CB8"/>
    <w:rsid w:val="00F050A4"/>
    <w:rsid w:val="00F0536F"/>
    <w:rsid w:val="00F05DC6"/>
    <w:rsid w:val="00F05E93"/>
    <w:rsid w:val="00F068F9"/>
    <w:rsid w:val="00F06CE9"/>
    <w:rsid w:val="00F074CD"/>
    <w:rsid w:val="00F10117"/>
    <w:rsid w:val="00F13207"/>
    <w:rsid w:val="00F13332"/>
    <w:rsid w:val="00F13730"/>
    <w:rsid w:val="00F14420"/>
    <w:rsid w:val="00F1467E"/>
    <w:rsid w:val="00F16ADD"/>
    <w:rsid w:val="00F17093"/>
    <w:rsid w:val="00F17AAE"/>
    <w:rsid w:val="00F17D61"/>
    <w:rsid w:val="00F17E91"/>
    <w:rsid w:val="00F2037F"/>
    <w:rsid w:val="00F20DCB"/>
    <w:rsid w:val="00F20E89"/>
    <w:rsid w:val="00F2108E"/>
    <w:rsid w:val="00F211E2"/>
    <w:rsid w:val="00F22603"/>
    <w:rsid w:val="00F226AA"/>
    <w:rsid w:val="00F23176"/>
    <w:rsid w:val="00F240EB"/>
    <w:rsid w:val="00F25257"/>
    <w:rsid w:val="00F252BA"/>
    <w:rsid w:val="00F25DE6"/>
    <w:rsid w:val="00F26E46"/>
    <w:rsid w:val="00F270DA"/>
    <w:rsid w:val="00F2736C"/>
    <w:rsid w:val="00F2743B"/>
    <w:rsid w:val="00F30529"/>
    <w:rsid w:val="00F310D5"/>
    <w:rsid w:val="00F31C2D"/>
    <w:rsid w:val="00F32F67"/>
    <w:rsid w:val="00F3309A"/>
    <w:rsid w:val="00F33955"/>
    <w:rsid w:val="00F3460E"/>
    <w:rsid w:val="00F34A22"/>
    <w:rsid w:val="00F34D64"/>
    <w:rsid w:val="00F350C4"/>
    <w:rsid w:val="00F35405"/>
    <w:rsid w:val="00F36967"/>
    <w:rsid w:val="00F37890"/>
    <w:rsid w:val="00F37E6D"/>
    <w:rsid w:val="00F402A3"/>
    <w:rsid w:val="00F402AF"/>
    <w:rsid w:val="00F40C2B"/>
    <w:rsid w:val="00F414A3"/>
    <w:rsid w:val="00F423E5"/>
    <w:rsid w:val="00F4292D"/>
    <w:rsid w:val="00F43CDA"/>
    <w:rsid w:val="00F43F3F"/>
    <w:rsid w:val="00F443DC"/>
    <w:rsid w:val="00F449C8"/>
    <w:rsid w:val="00F46AFE"/>
    <w:rsid w:val="00F46DFB"/>
    <w:rsid w:val="00F502A9"/>
    <w:rsid w:val="00F507F2"/>
    <w:rsid w:val="00F50824"/>
    <w:rsid w:val="00F51298"/>
    <w:rsid w:val="00F51B9A"/>
    <w:rsid w:val="00F52209"/>
    <w:rsid w:val="00F522FA"/>
    <w:rsid w:val="00F53202"/>
    <w:rsid w:val="00F5393D"/>
    <w:rsid w:val="00F53AF3"/>
    <w:rsid w:val="00F5549D"/>
    <w:rsid w:val="00F5591F"/>
    <w:rsid w:val="00F573CE"/>
    <w:rsid w:val="00F57697"/>
    <w:rsid w:val="00F60AEF"/>
    <w:rsid w:val="00F60DF8"/>
    <w:rsid w:val="00F63605"/>
    <w:rsid w:val="00F658AD"/>
    <w:rsid w:val="00F6624A"/>
    <w:rsid w:val="00F67B18"/>
    <w:rsid w:val="00F704EF"/>
    <w:rsid w:val="00F705C1"/>
    <w:rsid w:val="00F70C83"/>
    <w:rsid w:val="00F71CCD"/>
    <w:rsid w:val="00F7229B"/>
    <w:rsid w:val="00F725A9"/>
    <w:rsid w:val="00F73B5C"/>
    <w:rsid w:val="00F74740"/>
    <w:rsid w:val="00F7500E"/>
    <w:rsid w:val="00F75449"/>
    <w:rsid w:val="00F75658"/>
    <w:rsid w:val="00F7586F"/>
    <w:rsid w:val="00F75939"/>
    <w:rsid w:val="00F75C21"/>
    <w:rsid w:val="00F76083"/>
    <w:rsid w:val="00F76E9A"/>
    <w:rsid w:val="00F77152"/>
    <w:rsid w:val="00F7738D"/>
    <w:rsid w:val="00F77E5C"/>
    <w:rsid w:val="00F80C1B"/>
    <w:rsid w:val="00F8240A"/>
    <w:rsid w:val="00F8337C"/>
    <w:rsid w:val="00F864E7"/>
    <w:rsid w:val="00F86692"/>
    <w:rsid w:val="00F8788F"/>
    <w:rsid w:val="00F905AF"/>
    <w:rsid w:val="00F9229A"/>
    <w:rsid w:val="00F9317A"/>
    <w:rsid w:val="00F9375C"/>
    <w:rsid w:val="00F93A5E"/>
    <w:rsid w:val="00F94607"/>
    <w:rsid w:val="00F94BC6"/>
    <w:rsid w:val="00F94E01"/>
    <w:rsid w:val="00F95ECB"/>
    <w:rsid w:val="00F960E2"/>
    <w:rsid w:val="00F96256"/>
    <w:rsid w:val="00F9625A"/>
    <w:rsid w:val="00F96E62"/>
    <w:rsid w:val="00F977C4"/>
    <w:rsid w:val="00FA022C"/>
    <w:rsid w:val="00FA076B"/>
    <w:rsid w:val="00FA085D"/>
    <w:rsid w:val="00FA34FA"/>
    <w:rsid w:val="00FA3ADB"/>
    <w:rsid w:val="00FA43C0"/>
    <w:rsid w:val="00FA4565"/>
    <w:rsid w:val="00FA4951"/>
    <w:rsid w:val="00FA774A"/>
    <w:rsid w:val="00FB087F"/>
    <w:rsid w:val="00FB150D"/>
    <w:rsid w:val="00FB1CD3"/>
    <w:rsid w:val="00FB302D"/>
    <w:rsid w:val="00FB36A5"/>
    <w:rsid w:val="00FB3A1F"/>
    <w:rsid w:val="00FB3B7F"/>
    <w:rsid w:val="00FB452C"/>
    <w:rsid w:val="00FB45B9"/>
    <w:rsid w:val="00FB48C5"/>
    <w:rsid w:val="00FB63F0"/>
    <w:rsid w:val="00FB6654"/>
    <w:rsid w:val="00FB67F6"/>
    <w:rsid w:val="00FB6DE0"/>
    <w:rsid w:val="00FB6DF5"/>
    <w:rsid w:val="00FC0488"/>
    <w:rsid w:val="00FC069E"/>
    <w:rsid w:val="00FC1482"/>
    <w:rsid w:val="00FC1A81"/>
    <w:rsid w:val="00FC1E4E"/>
    <w:rsid w:val="00FC229B"/>
    <w:rsid w:val="00FC22E4"/>
    <w:rsid w:val="00FC2992"/>
    <w:rsid w:val="00FC2DB0"/>
    <w:rsid w:val="00FC2F6D"/>
    <w:rsid w:val="00FC35AF"/>
    <w:rsid w:val="00FC37DC"/>
    <w:rsid w:val="00FC3978"/>
    <w:rsid w:val="00FC3C5B"/>
    <w:rsid w:val="00FC4946"/>
    <w:rsid w:val="00FC58A3"/>
    <w:rsid w:val="00FC5D59"/>
    <w:rsid w:val="00FD0CE1"/>
    <w:rsid w:val="00FD174D"/>
    <w:rsid w:val="00FD2510"/>
    <w:rsid w:val="00FD2681"/>
    <w:rsid w:val="00FD2EF2"/>
    <w:rsid w:val="00FD353F"/>
    <w:rsid w:val="00FD5ACE"/>
    <w:rsid w:val="00FD6146"/>
    <w:rsid w:val="00FD6527"/>
    <w:rsid w:val="00FD75C6"/>
    <w:rsid w:val="00FE00AA"/>
    <w:rsid w:val="00FE0180"/>
    <w:rsid w:val="00FE120C"/>
    <w:rsid w:val="00FE1C6D"/>
    <w:rsid w:val="00FE1DF7"/>
    <w:rsid w:val="00FE2E38"/>
    <w:rsid w:val="00FE42E6"/>
    <w:rsid w:val="00FE4323"/>
    <w:rsid w:val="00FE43A6"/>
    <w:rsid w:val="00FE47CF"/>
    <w:rsid w:val="00FE4844"/>
    <w:rsid w:val="00FE7AF5"/>
    <w:rsid w:val="00FF0018"/>
    <w:rsid w:val="00FF13B4"/>
    <w:rsid w:val="00FF1F0A"/>
    <w:rsid w:val="00FF421D"/>
    <w:rsid w:val="00FF47E2"/>
    <w:rsid w:val="00FF6716"/>
    <w:rsid w:val="00FF6C55"/>
    <w:rsid w:val="00FF7A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A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0E"/>
  </w:style>
  <w:style w:type="paragraph" w:styleId="Heading1">
    <w:name w:val="heading 1"/>
    <w:basedOn w:val="Normal"/>
    <w:link w:val="Heading1Char"/>
    <w:uiPriority w:val="9"/>
    <w:qFormat/>
    <w:rsid w:val="009C0AE5"/>
    <w:pPr>
      <w:keepNext/>
      <w:spacing w:before="120" w:after="120" w:line="240" w:lineRule="auto"/>
      <w:ind w:left="720" w:hanging="720"/>
      <w:outlineLvl w:val="0"/>
    </w:pPr>
    <w:rPr>
      <w:rFonts w:eastAsia="Times New Roman" w:cs="Times New Roman"/>
      <w:b/>
      <w:iCs/>
      <w:kern w:val="36"/>
      <w:szCs w:val="28"/>
    </w:rPr>
  </w:style>
  <w:style w:type="paragraph" w:styleId="Heading2">
    <w:name w:val="heading 2"/>
    <w:basedOn w:val="Normal"/>
    <w:next w:val="Normal"/>
    <w:link w:val="Heading2Char"/>
    <w:uiPriority w:val="9"/>
    <w:unhideWhenUsed/>
    <w:qFormat/>
    <w:rsid w:val="009C0AE5"/>
    <w:pPr>
      <w:keepNext/>
      <w:keepLines/>
      <w:spacing w:before="120" w:after="120" w:line="240" w:lineRule="auto"/>
      <w:ind w:left="1440" w:hanging="720"/>
      <w:outlineLvl w:val="1"/>
    </w:pPr>
    <w:rPr>
      <w:rFonts w:eastAsiaTheme="majorEastAsia"/>
      <w:b/>
      <w:bCs/>
      <w:szCs w:val="26"/>
    </w:rPr>
  </w:style>
  <w:style w:type="paragraph" w:styleId="Heading3">
    <w:name w:val="heading 3"/>
    <w:basedOn w:val="Heading2"/>
    <w:next w:val="Normal"/>
    <w:link w:val="Heading3Char"/>
    <w:autoRedefine/>
    <w:uiPriority w:val="9"/>
    <w:unhideWhenUsed/>
    <w:qFormat/>
    <w:rsid w:val="00C26C57"/>
    <w:pPr>
      <w:spacing w:before="0" w:after="0" w:line="276" w:lineRule="auto"/>
      <w:ind w:left="0" w:firstLine="0"/>
      <w:jc w:val="both"/>
      <w:outlineLvl w:val="2"/>
    </w:pPr>
    <w:rPr>
      <w:rFonts w:eastAsia="Times New Roman"/>
      <w:b w:val="0"/>
      <w:i/>
      <w:lang w:val="en-GB"/>
    </w:rPr>
  </w:style>
  <w:style w:type="paragraph" w:styleId="Heading4">
    <w:name w:val="heading 4"/>
    <w:basedOn w:val="Normal"/>
    <w:link w:val="Heading4Char"/>
    <w:uiPriority w:val="9"/>
    <w:qFormat/>
    <w:rsid w:val="00D02DA7"/>
    <w:pPr>
      <w:keepNext/>
      <w:spacing w:before="120" w:after="60" w:line="240" w:lineRule="auto"/>
      <w:jc w:val="center"/>
      <w:outlineLvl w:val="3"/>
    </w:pPr>
    <w:rPr>
      <w:rFonts w:eastAsia="Times New Roman" w:cs="Times New Roman"/>
      <w:iCs/>
    </w:rPr>
  </w:style>
  <w:style w:type="paragraph" w:styleId="Heading5">
    <w:name w:val="heading 5"/>
    <w:basedOn w:val="Normal"/>
    <w:link w:val="Heading5Char"/>
    <w:uiPriority w:val="9"/>
    <w:qFormat/>
    <w:rsid w:val="00D02DA7"/>
    <w:pPr>
      <w:spacing w:before="120" w:after="60" w:line="240" w:lineRule="auto"/>
      <w:jc w:val="center"/>
      <w:outlineLvl w:val="4"/>
    </w:pPr>
    <w:rPr>
      <w:rFonts w:eastAsia="Times New Roman" w:cs="Times New Roman"/>
      <w:iCs/>
    </w:rPr>
  </w:style>
  <w:style w:type="paragraph" w:styleId="Heading6">
    <w:name w:val="heading 6"/>
    <w:basedOn w:val="Normal"/>
    <w:link w:val="Heading6Char"/>
    <w:uiPriority w:val="9"/>
    <w:qFormat/>
    <w:rsid w:val="00D02DA7"/>
    <w:pPr>
      <w:spacing w:before="240" w:after="60" w:line="240" w:lineRule="auto"/>
      <w:ind w:left="3600"/>
      <w:jc w:val="both"/>
      <w:outlineLvl w:val="5"/>
    </w:pPr>
    <w:rPr>
      <w:rFonts w:eastAsia="Times New Roman" w:cs="Times New Roman"/>
      <w:i/>
      <w:sz w:val="22"/>
      <w:szCs w:val="22"/>
    </w:rPr>
  </w:style>
  <w:style w:type="paragraph" w:styleId="Heading7">
    <w:name w:val="heading 7"/>
    <w:basedOn w:val="Normal"/>
    <w:link w:val="Heading7Char"/>
    <w:uiPriority w:val="9"/>
    <w:qFormat/>
    <w:rsid w:val="00D02DA7"/>
    <w:pPr>
      <w:spacing w:before="240" w:after="60" w:line="240" w:lineRule="auto"/>
      <w:ind w:left="4320"/>
      <w:jc w:val="both"/>
      <w:outlineLvl w:val="6"/>
    </w:pPr>
    <w:rPr>
      <w:rFonts w:ascii="Arial" w:eastAsia="Times New Roman" w:hAnsi="Arial" w:cs="Arial"/>
      <w:iCs/>
    </w:rPr>
  </w:style>
  <w:style w:type="paragraph" w:styleId="Heading8">
    <w:name w:val="heading 8"/>
    <w:basedOn w:val="Normal"/>
    <w:link w:val="Heading8Char"/>
    <w:uiPriority w:val="9"/>
    <w:qFormat/>
    <w:rsid w:val="00D02DA7"/>
    <w:pPr>
      <w:spacing w:before="240" w:after="60" w:line="240" w:lineRule="auto"/>
      <w:ind w:left="5040"/>
      <w:jc w:val="both"/>
      <w:outlineLvl w:val="7"/>
    </w:pPr>
    <w:rPr>
      <w:rFonts w:ascii="Arial" w:eastAsia="Times New Roman" w:hAnsi="Arial" w:cs="Arial"/>
      <w:i/>
    </w:rPr>
  </w:style>
  <w:style w:type="paragraph" w:styleId="Heading9">
    <w:name w:val="heading 9"/>
    <w:basedOn w:val="Normal"/>
    <w:link w:val="Heading9Char"/>
    <w:uiPriority w:val="9"/>
    <w:qFormat/>
    <w:rsid w:val="00D02DA7"/>
    <w:pPr>
      <w:spacing w:before="240" w:after="60" w:line="240" w:lineRule="auto"/>
      <w:ind w:left="5760"/>
      <w:jc w:val="both"/>
      <w:outlineLvl w:val="8"/>
    </w:pPr>
    <w:rPr>
      <w:rFonts w:ascii="Arial" w:eastAsia="Times New Roman" w:hAnsi="Arial" w:cs="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AE5"/>
    <w:rPr>
      <w:rFonts w:eastAsiaTheme="majorEastAsia"/>
      <w:b/>
      <w:bCs/>
      <w:szCs w:val="26"/>
    </w:rPr>
  </w:style>
  <w:style w:type="character" w:customStyle="1" w:styleId="Heading3Char">
    <w:name w:val="Heading 3 Char"/>
    <w:basedOn w:val="DefaultParagraphFont"/>
    <w:link w:val="Heading3"/>
    <w:uiPriority w:val="9"/>
    <w:rsid w:val="00C26C57"/>
    <w:rPr>
      <w:rFonts w:eastAsia="Times New Roman"/>
      <w:bCs/>
      <w:i/>
      <w:szCs w:val="26"/>
      <w:lang w:val="en-GB"/>
    </w:rPr>
  </w:style>
  <w:style w:type="character" w:customStyle="1" w:styleId="Heading1Char">
    <w:name w:val="Heading 1 Char"/>
    <w:basedOn w:val="DefaultParagraphFont"/>
    <w:link w:val="Heading1"/>
    <w:uiPriority w:val="9"/>
    <w:rsid w:val="009C0AE5"/>
    <w:rPr>
      <w:rFonts w:eastAsia="Times New Roman" w:cs="Times New Roman"/>
      <w:b/>
      <w:iCs/>
      <w:kern w:val="36"/>
      <w:szCs w:val="28"/>
    </w:rPr>
  </w:style>
  <w:style w:type="character" w:customStyle="1" w:styleId="Heading4Char">
    <w:name w:val="Heading 4 Char"/>
    <w:basedOn w:val="DefaultParagraphFont"/>
    <w:link w:val="Heading4"/>
    <w:uiPriority w:val="9"/>
    <w:rsid w:val="00D02DA7"/>
    <w:rPr>
      <w:rFonts w:eastAsia="Times New Roman" w:cs="Times New Roman"/>
      <w:iCs/>
      <w:szCs w:val="24"/>
    </w:rPr>
  </w:style>
  <w:style w:type="character" w:customStyle="1" w:styleId="Heading5Char">
    <w:name w:val="Heading 5 Char"/>
    <w:basedOn w:val="DefaultParagraphFont"/>
    <w:link w:val="Heading5"/>
    <w:uiPriority w:val="9"/>
    <w:rsid w:val="00D02DA7"/>
    <w:rPr>
      <w:rFonts w:eastAsia="Times New Roman" w:cs="Times New Roman"/>
      <w:iCs/>
      <w:szCs w:val="24"/>
    </w:rPr>
  </w:style>
  <w:style w:type="character" w:customStyle="1" w:styleId="Heading6Char">
    <w:name w:val="Heading 6 Char"/>
    <w:basedOn w:val="DefaultParagraphFont"/>
    <w:link w:val="Heading6"/>
    <w:uiPriority w:val="9"/>
    <w:rsid w:val="00D02DA7"/>
    <w:rPr>
      <w:rFonts w:eastAsia="Times New Roman" w:cs="Times New Roman"/>
      <w:i/>
      <w:sz w:val="22"/>
      <w:szCs w:val="22"/>
    </w:rPr>
  </w:style>
  <w:style w:type="character" w:customStyle="1" w:styleId="Heading7Char">
    <w:name w:val="Heading 7 Char"/>
    <w:basedOn w:val="DefaultParagraphFont"/>
    <w:link w:val="Heading7"/>
    <w:uiPriority w:val="9"/>
    <w:rsid w:val="00D02DA7"/>
    <w:rPr>
      <w:rFonts w:ascii="Arial" w:eastAsia="Times New Roman" w:hAnsi="Arial" w:cs="Arial"/>
      <w:iCs/>
      <w:szCs w:val="24"/>
    </w:rPr>
  </w:style>
  <w:style w:type="character" w:customStyle="1" w:styleId="Heading8Char">
    <w:name w:val="Heading 8 Char"/>
    <w:basedOn w:val="DefaultParagraphFont"/>
    <w:link w:val="Heading8"/>
    <w:uiPriority w:val="9"/>
    <w:rsid w:val="00D02DA7"/>
    <w:rPr>
      <w:rFonts w:ascii="Arial" w:eastAsia="Times New Roman" w:hAnsi="Arial" w:cs="Arial"/>
      <w:i/>
      <w:szCs w:val="24"/>
    </w:rPr>
  </w:style>
  <w:style w:type="character" w:customStyle="1" w:styleId="Heading9Char">
    <w:name w:val="Heading 9 Char"/>
    <w:basedOn w:val="DefaultParagraphFont"/>
    <w:link w:val="Heading9"/>
    <w:uiPriority w:val="9"/>
    <w:rsid w:val="00D02DA7"/>
    <w:rPr>
      <w:rFonts w:ascii="Arial" w:eastAsia="Times New Roman" w:hAnsi="Arial" w:cs="Arial"/>
      <w:b/>
      <w:bCs/>
      <w:i/>
      <w:sz w:val="18"/>
      <w:szCs w:val="18"/>
    </w:rPr>
  </w:style>
  <w:style w:type="character" w:customStyle="1" w:styleId="FootnoteTextChar">
    <w:name w:val="Footnote Text Char"/>
    <w:basedOn w:val="DefaultParagraphFont"/>
    <w:link w:val="FootnoteText"/>
    <w:uiPriority w:val="99"/>
    <w:rsid w:val="00D02DA7"/>
    <w:rPr>
      <w:rFonts w:eastAsia="Times New Roman" w:cs="Times New Roman"/>
      <w:iCs/>
      <w:sz w:val="19"/>
      <w:szCs w:val="19"/>
    </w:rPr>
  </w:style>
  <w:style w:type="paragraph" w:styleId="FootnoteText">
    <w:name w:val="footnote text"/>
    <w:basedOn w:val="Normal"/>
    <w:link w:val="FootnoteTextChar"/>
    <w:uiPriority w:val="99"/>
    <w:unhideWhenUsed/>
    <w:rsid w:val="00D02DA7"/>
    <w:pPr>
      <w:spacing w:after="0" w:line="220" w:lineRule="atLeast"/>
      <w:jc w:val="both"/>
    </w:pPr>
    <w:rPr>
      <w:rFonts w:eastAsia="Times New Roman" w:cs="Times New Roman"/>
      <w:iCs/>
      <w:sz w:val="19"/>
      <w:szCs w:val="19"/>
    </w:rPr>
  </w:style>
  <w:style w:type="character" w:customStyle="1" w:styleId="CommentTextChar">
    <w:name w:val="Comment Text Char"/>
    <w:basedOn w:val="DefaultParagraphFont"/>
    <w:link w:val="CommentText"/>
    <w:uiPriority w:val="99"/>
    <w:semiHidden/>
    <w:rsid w:val="00D02DA7"/>
    <w:rPr>
      <w:rFonts w:eastAsia="Times New Roman" w:cs="Times New Roman"/>
      <w:iCs/>
      <w:sz w:val="20"/>
    </w:rPr>
  </w:style>
  <w:style w:type="paragraph" w:styleId="CommentText">
    <w:name w:val="annotation text"/>
    <w:basedOn w:val="Normal"/>
    <w:link w:val="CommentTextChar"/>
    <w:uiPriority w:val="99"/>
    <w:semiHidden/>
    <w:unhideWhenUsed/>
    <w:rsid w:val="00D02DA7"/>
    <w:pPr>
      <w:spacing w:after="120" w:line="240" w:lineRule="auto"/>
      <w:jc w:val="both"/>
    </w:pPr>
    <w:rPr>
      <w:rFonts w:eastAsia="Times New Roman" w:cs="Times New Roman"/>
      <w:iCs/>
      <w:sz w:val="20"/>
    </w:rPr>
  </w:style>
  <w:style w:type="character" w:customStyle="1" w:styleId="HeaderChar">
    <w:name w:val="Header Char"/>
    <w:basedOn w:val="DefaultParagraphFont"/>
    <w:link w:val="Header"/>
    <w:uiPriority w:val="99"/>
    <w:rsid w:val="00D02DA7"/>
    <w:rPr>
      <w:rFonts w:eastAsia="Times New Roman" w:cs="Times New Roman"/>
      <w:iCs/>
      <w:szCs w:val="24"/>
    </w:rPr>
  </w:style>
  <w:style w:type="paragraph" w:styleId="Header">
    <w:name w:val="header"/>
    <w:basedOn w:val="Normal"/>
    <w:link w:val="HeaderChar"/>
    <w:uiPriority w:val="99"/>
    <w:unhideWhenUsed/>
    <w:rsid w:val="00D02DA7"/>
    <w:pPr>
      <w:spacing w:after="120" w:line="240" w:lineRule="auto"/>
      <w:jc w:val="both"/>
    </w:pPr>
    <w:rPr>
      <w:rFonts w:eastAsia="Times New Roman" w:cs="Times New Roman"/>
      <w:iCs/>
    </w:rPr>
  </w:style>
  <w:style w:type="character" w:customStyle="1" w:styleId="EndnoteTextChar">
    <w:name w:val="Endnote Text Char"/>
    <w:basedOn w:val="DefaultParagraphFont"/>
    <w:link w:val="EndnoteText"/>
    <w:uiPriority w:val="99"/>
    <w:rsid w:val="006C7144"/>
    <w:rPr>
      <w:rFonts w:eastAsia="Times New Roman" w:cs="Times New Roman"/>
      <w:iCs/>
      <w:lang w:val="en-GB"/>
    </w:rPr>
  </w:style>
  <w:style w:type="paragraph" w:styleId="EndnoteText">
    <w:name w:val="endnote text"/>
    <w:basedOn w:val="Normal"/>
    <w:link w:val="EndnoteTextChar"/>
    <w:uiPriority w:val="99"/>
    <w:unhideWhenUsed/>
    <w:rsid w:val="006C7144"/>
    <w:pPr>
      <w:spacing w:after="120" w:line="240" w:lineRule="auto"/>
      <w:jc w:val="both"/>
    </w:pPr>
    <w:rPr>
      <w:rFonts w:eastAsia="Times New Roman" w:cs="Times New Roman"/>
      <w:iCs/>
      <w:lang w:val="en-GB"/>
    </w:rPr>
  </w:style>
  <w:style w:type="character" w:customStyle="1" w:styleId="TitleChar">
    <w:name w:val="Title Char"/>
    <w:basedOn w:val="DefaultParagraphFont"/>
    <w:link w:val="Title"/>
    <w:uiPriority w:val="10"/>
    <w:rsid w:val="00D02DA7"/>
    <w:rPr>
      <w:rFonts w:ascii="Arial" w:eastAsia="Times New Roman" w:hAnsi="Arial" w:cs="Arial"/>
      <w:b/>
      <w:bCs/>
      <w:iCs/>
      <w:sz w:val="32"/>
      <w:szCs w:val="32"/>
    </w:rPr>
  </w:style>
  <w:style w:type="paragraph" w:styleId="Title">
    <w:name w:val="Title"/>
    <w:basedOn w:val="Normal"/>
    <w:link w:val="TitleChar"/>
    <w:uiPriority w:val="10"/>
    <w:qFormat/>
    <w:rsid w:val="00D02DA7"/>
    <w:pPr>
      <w:spacing w:before="240" w:after="60" w:line="240" w:lineRule="auto"/>
      <w:jc w:val="center"/>
    </w:pPr>
    <w:rPr>
      <w:rFonts w:ascii="Arial" w:eastAsia="Times New Roman" w:hAnsi="Arial" w:cs="Arial"/>
      <w:b/>
      <w:bCs/>
      <w:iCs/>
      <w:sz w:val="32"/>
      <w:szCs w:val="32"/>
    </w:rPr>
  </w:style>
  <w:style w:type="character" w:customStyle="1" w:styleId="BodyTextChar">
    <w:name w:val="Body Text Char"/>
    <w:basedOn w:val="DefaultParagraphFont"/>
    <w:link w:val="BodyText"/>
    <w:uiPriority w:val="99"/>
    <w:semiHidden/>
    <w:rsid w:val="00D02DA7"/>
    <w:rPr>
      <w:rFonts w:eastAsia="Times New Roman" w:cs="Times New Roman"/>
      <w:iCs/>
      <w:szCs w:val="24"/>
    </w:rPr>
  </w:style>
  <w:style w:type="paragraph" w:styleId="BodyText">
    <w:name w:val="Body Text"/>
    <w:basedOn w:val="Normal"/>
    <w:link w:val="BodyTextChar"/>
    <w:uiPriority w:val="99"/>
    <w:semiHidden/>
    <w:unhideWhenUsed/>
    <w:rsid w:val="00D02DA7"/>
    <w:pPr>
      <w:spacing w:after="120" w:line="240" w:lineRule="auto"/>
      <w:jc w:val="both"/>
    </w:pPr>
    <w:rPr>
      <w:rFonts w:eastAsia="Times New Roman" w:cs="Times New Roman"/>
      <w:iCs/>
    </w:rPr>
  </w:style>
  <w:style w:type="character" w:customStyle="1" w:styleId="DocumentMapChar">
    <w:name w:val="Document Map Char"/>
    <w:basedOn w:val="DefaultParagraphFont"/>
    <w:link w:val="DocumentMap"/>
    <w:uiPriority w:val="99"/>
    <w:semiHidden/>
    <w:rsid w:val="00D02DA7"/>
    <w:rPr>
      <w:rFonts w:ascii="Tahoma" w:eastAsia="Times New Roman" w:hAnsi="Tahoma" w:cs="Tahoma"/>
      <w:iCs/>
      <w:szCs w:val="24"/>
      <w:shd w:val="clear" w:color="auto" w:fill="000080"/>
    </w:rPr>
  </w:style>
  <w:style w:type="paragraph" w:styleId="DocumentMap">
    <w:name w:val="Document Map"/>
    <w:basedOn w:val="Normal"/>
    <w:link w:val="DocumentMapChar"/>
    <w:uiPriority w:val="99"/>
    <w:semiHidden/>
    <w:unhideWhenUsed/>
    <w:rsid w:val="00D02DA7"/>
    <w:pPr>
      <w:shd w:val="clear" w:color="auto" w:fill="000080"/>
      <w:spacing w:after="120" w:line="240" w:lineRule="auto"/>
      <w:jc w:val="both"/>
    </w:pPr>
    <w:rPr>
      <w:rFonts w:ascii="Tahoma" w:eastAsia="Times New Roman" w:hAnsi="Tahoma" w:cs="Tahoma"/>
      <w:iCs/>
    </w:rPr>
  </w:style>
  <w:style w:type="character" w:customStyle="1" w:styleId="CommentSubjectChar">
    <w:name w:val="Comment Subject Char"/>
    <w:basedOn w:val="CommentTextChar"/>
    <w:link w:val="CommentSubject"/>
    <w:uiPriority w:val="99"/>
    <w:semiHidden/>
    <w:rsid w:val="00D02DA7"/>
    <w:rPr>
      <w:rFonts w:eastAsia="Times New Roman" w:cs="Times New Roman"/>
      <w:b/>
      <w:bCs/>
      <w:iCs/>
      <w:sz w:val="20"/>
    </w:rPr>
  </w:style>
  <w:style w:type="paragraph" w:styleId="CommentSubject">
    <w:name w:val="annotation subject"/>
    <w:basedOn w:val="Normal"/>
    <w:link w:val="CommentSubjectChar"/>
    <w:uiPriority w:val="99"/>
    <w:semiHidden/>
    <w:unhideWhenUsed/>
    <w:rsid w:val="00D02DA7"/>
    <w:pPr>
      <w:spacing w:after="120" w:line="240" w:lineRule="auto"/>
      <w:jc w:val="both"/>
    </w:pPr>
    <w:rPr>
      <w:rFonts w:eastAsia="Times New Roman" w:cs="Times New Roman"/>
      <w:b/>
      <w:bCs/>
      <w:iCs/>
      <w:sz w:val="20"/>
    </w:rPr>
  </w:style>
  <w:style w:type="character" w:customStyle="1" w:styleId="BalloonTextChar">
    <w:name w:val="Balloon Text Char"/>
    <w:basedOn w:val="DefaultParagraphFont"/>
    <w:link w:val="BalloonText"/>
    <w:uiPriority w:val="99"/>
    <w:semiHidden/>
    <w:rsid w:val="00D02DA7"/>
    <w:rPr>
      <w:rFonts w:ascii="Tahoma" w:eastAsia="Times New Roman" w:hAnsi="Tahoma" w:cs="Tahoma"/>
      <w:iCs/>
      <w:sz w:val="16"/>
      <w:szCs w:val="16"/>
    </w:rPr>
  </w:style>
  <w:style w:type="paragraph" w:styleId="BalloonText">
    <w:name w:val="Balloon Text"/>
    <w:basedOn w:val="Normal"/>
    <w:link w:val="BalloonTextChar"/>
    <w:uiPriority w:val="99"/>
    <w:semiHidden/>
    <w:unhideWhenUsed/>
    <w:rsid w:val="00D02DA7"/>
    <w:pPr>
      <w:spacing w:after="120" w:line="240" w:lineRule="auto"/>
      <w:jc w:val="both"/>
    </w:pPr>
    <w:rPr>
      <w:rFonts w:ascii="Tahoma" w:eastAsia="Times New Roman" w:hAnsi="Tahoma" w:cs="Tahoma"/>
      <w:iCs/>
      <w:sz w:val="16"/>
      <w:szCs w:val="16"/>
    </w:rPr>
  </w:style>
  <w:style w:type="character" w:styleId="CommentReference">
    <w:name w:val="annotation reference"/>
    <w:basedOn w:val="DefaultParagraphFont"/>
    <w:uiPriority w:val="99"/>
    <w:semiHidden/>
    <w:unhideWhenUsed/>
    <w:rsid w:val="00EC53AF"/>
    <w:rPr>
      <w:sz w:val="16"/>
      <w:szCs w:val="16"/>
    </w:rPr>
  </w:style>
  <w:style w:type="character" w:styleId="FootnoteReference">
    <w:name w:val="footnote reference"/>
    <w:basedOn w:val="DefaultParagraphFont"/>
    <w:uiPriority w:val="99"/>
    <w:unhideWhenUsed/>
    <w:rsid w:val="002D49F9"/>
    <w:rPr>
      <w:vertAlign w:val="superscript"/>
    </w:rPr>
  </w:style>
  <w:style w:type="character" w:styleId="EndnoteReference">
    <w:name w:val="endnote reference"/>
    <w:basedOn w:val="DefaultParagraphFont"/>
    <w:uiPriority w:val="99"/>
    <w:semiHidden/>
    <w:unhideWhenUsed/>
    <w:rsid w:val="00A76084"/>
    <w:rPr>
      <w:vertAlign w:val="superscript"/>
    </w:rPr>
  </w:style>
  <w:style w:type="paragraph" w:styleId="NoSpacing">
    <w:name w:val="No Spacing"/>
    <w:uiPriority w:val="1"/>
    <w:qFormat/>
    <w:rsid w:val="00511D37"/>
    <w:pPr>
      <w:spacing w:after="0" w:line="240" w:lineRule="auto"/>
    </w:pPr>
  </w:style>
  <w:style w:type="character" w:customStyle="1" w:styleId="editorbrodfet1">
    <w:name w:val="editor_brodfet1"/>
    <w:basedOn w:val="DefaultParagraphFont"/>
    <w:rsid w:val="007B4C02"/>
    <w:rPr>
      <w:b/>
      <w:bCs/>
      <w:sz w:val="24"/>
      <w:szCs w:val="24"/>
    </w:rPr>
  </w:style>
  <w:style w:type="character" w:styleId="Hyperlink">
    <w:name w:val="Hyperlink"/>
    <w:basedOn w:val="DefaultParagraphFont"/>
    <w:uiPriority w:val="99"/>
    <w:unhideWhenUsed/>
    <w:rsid w:val="007B4C02"/>
    <w:rPr>
      <w:color w:val="0000FF" w:themeColor="hyperlink"/>
      <w:u w:val="single"/>
    </w:rPr>
  </w:style>
  <w:style w:type="character" w:styleId="Emphasis">
    <w:name w:val="Emphasis"/>
    <w:basedOn w:val="DefaultParagraphFont"/>
    <w:uiPriority w:val="20"/>
    <w:qFormat/>
    <w:rsid w:val="002405FD"/>
    <w:rPr>
      <w:i/>
      <w:iCs/>
    </w:rPr>
  </w:style>
  <w:style w:type="character" w:customStyle="1" w:styleId="auteur-content">
    <w:name w:val="auteur-content"/>
    <w:basedOn w:val="DefaultParagraphFont"/>
    <w:rsid w:val="00663D6A"/>
  </w:style>
  <w:style w:type="paragraph" w:styleId="Bibliography">
    <w:name w:val="Bibliography"/>
    <w:basedOn w:val="Normal"/>
    <w:next w:val="Normal"/>
    <w:uiPriority w:val="37"/>
    <w:unhideWhenUsed/>
    <w:rsid w:val="002A2C22"/>
    <w:pPr>
      <w:spacing w:after="120" w:line="240" w:lineRule="auto"/>
      <w:jc w:val="both"/>
    </w:pPr>
    <w:rPr>
      <w:rFonts w:eastAsia="Times New Roman" w:cs="Times New Roman"/>
      <w:lang w:val="fr-FR" w:eastAsia="fr-FR"/>
    </w:rPr>
  </w:style>
  <w:style w:type="paragraph" w:styleId="Footer">
    <w:name w:val="footer"/>
    <w:basedOn w:val="Normal"/>
    <w:link w:val="FooterChar"/>
    <w:uiPriority w:val="99"/>
    <w:unhideWhenUsed/>
    <w:rsid w:val="00C60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0A3"/>
  </w:style>
  <w:style w:type="character" w:customStyle="1" w:styleId="text31">
    <w:name w:val="text31"/>
    <w:basedOn w:val="DefaultParagraphFont"/>
    <w:rsid w:val="00D14F43"/>
    <w:rPr>
      <w:rFonts w:ascii="Verdana" w:hAnsi="Verdana" w:hint="default"/>
      <w:b/>
      <w:bCs/>
      <w:color w:val="000000"/>
      <w:sz w:val="22"/>
      <w:szCs w:val="22"/>
    </w:rPr>
  </w:style>
  <w:style w:type="character" w:styleId="HTMLDefinition">
    <w:name w:val="HTML Definition"/>
    <w:basedOn w:val="DefaultParagraphFont"/>
    <w:uiPriority w:val="99"/>
    <w:semiHidden/>
    <w:unhideWhenUsed/>
    <w:rsid w:val="00D52BF5"/>
    <w:rPr>
      <w:b/>
      <w:bCs/>
      <w:i w:val="0"/>
      <w:iCs w:val="0"/>
    </w:rPr>
  </w:style>
  <w:style w:type="character" w:customStyle="1" w:styleId="st1">
    <w:name w:val="st1"/>
    <w:basedOn w:val="DefaultParagraphFont"/>
    <w:rsid w:val="00F5591F"/>
  </w:style>
  <w:style w:type="character" w:styleId="FollowedHyperlink">
    <w:name w:val="FollowedHyperlink"/>
    <w:basedOn w:val="DefaultParagraphFont"/>
    <w:uiPriority w:val="99"/>
    <w:semiHidden/>
    <w:unhideWhenUsed/>
    <w:rsid w:val="00F2736C"/>
    <w:rPr>
      <w:color w:val="800080" w:themeColor="followedHyperlink"/>
      <w:u w:val="single"/>
    </w:rPr>
  </w:style>
  <w:style w:type="character" w:customStyle="1" w:styleId="st">
    <w:name w:val="st"/>
    <w:basedOn w:val="DefaultParagraphFont"/>
    <w:rsid w:val="001C5213"/>
  </w:style>
  <w:style w:type="character" w:customStyle="1" w:styleId="detailvalue">
    <w:name w:val="detail_value"/>
    <w:basedOn w:val="DefaultParagraphFont"/>
    <w:rsid w:val="00B23E22"/>
  </w:style>
  <w:style w:type="character" w:customStyle="1" w:styleId="text3">
    <w:name w:val="text3"/>
    <w:basedOn w:val="DefaultParagraphFont"/>
    <w:rsid w:val="00B5454A"/>
  </w:style>
  <w:style w:type="paragraph" w:styleId="Revision">
    <w:name w:val="Revision"/>
    <w:hidden/>
    <w:uiPriority w:val="99"/>
    <w:semiHidden/>
    <w:rsid w:val="00C83B0F"/>
    <w:pPr>
      <w:spacing w:after="0" w:line="240" w:lineRule="auto"/>
    </w:pPr>
  </w:style>
  <w:style w:type="character" w:customStyle="1" w:styleId="addmd">
    <w:name w:val="addmd"/>
    <w:basedOn w:val="DefaultParagraphFont"/>
    <w:rsid w:val="00DD7462"/>
  </w:style>
  <w:style w:type="paragraph" w:styleId="TOCHeading">
    <w:name w:val="TOC Heading"/>
    <w:basedOn w:val="Heading1"/>
    <w:next w:val="Normal"/>
    <w:uiPriority w:val="39"/>
    <w:semiHidden/>
    <w:unhideWhenUsed/>
    <w:qFormat/>
    <w:rsid w:val="00344778"/>
    <w:pPr>
      <w:keepLines/>
      <w:spacing w:before="480" w:after="0" w:line="276" w:lineRule="auto"/>
      <w:ind w:left="0" w:firstLine="0"/>
      <w:outlineLvl w:val="9"/>
    </w:pPr>
    <w:rPr>
      <w:rFonts w:asciiTheme="majorHAnsi" w:eastAsiaTheme="majorEastAsia" w:hAnsiTheme="majorHAnsi" w:cstheme="majorBidi"/>
      <w:bCs/>
      <w:iCs w:val="0"/>
      <w:color w:val="365F91" w:themeColor="accent1" w:themeShade="BF"/>
      <w:kern w:val="0"/>
      <w:sz w:val="28"/>
      <w:lang w:eastAsia="ja-JP"/>
    </w:rPr>
  </w:style>
  <w:style w:type="paragraph" w:styleId="TOC1">
    <w:name w:val="toc 1"/>
    <w:basedOn w:val="Normal"/>
    <w:next w:val="Normal"/>
    <w:autoRedefine/>
    <w:uiPriority w:val="39"/>
    <w:unhideWhenUsed/>
    <w:rsid w:val="00DE2EDF"/>
    <w:pPr>
      <w:tabs>
        <w:tab w:val="right" w:leader="dot" w:pos="8222"/>
      </w:tabs>
      <w:spacing w:after="0"/>
      <w:ind w:right="261"/>
      <w:jc w:val="both"/>
    </w:pPr>
  </w:style>
  <w:style w:type="paragraph" w:styleId="TOC2">
    <w:name w:val="toc 2"/>
    <w:basedOn w:val="Normal"/>
    <w:next w:val="Normal"/>
    <w:autoRedefine/>
    <w:uiPriority w:val="39"/>
    <w:unhideWhenUsed/>
    <w:rsid w:val="00344778"/>
    <w:pPr>
      <w:spacing w:after="100"/>
      <w:ind w:left="240"/>
    </w:pPr>
  </w:style>
  <w:style w:type="paragraph" w:styleId="TOC3">
    <w:name w:val="toc 3"/>
    <w:basedOn w:val="Normal"/>
    <w:next w:val="Normal"/>
    <w:autoRedefine/>
    <w:uiPriority w:val="39"/>
    <w:unhideWhenUsed/>
    <w:rsid w:val="00344778"/>
    <w:pPr>
      <w:spacing w:after="100"/>
      <w:ind w:left="480"/>
    </w:pPr>
  </w:style>
  <w:style w:type="paragraph" w:styleId="ListParagraph">
    <w:name w:val="List Paragraph"/>
    <w:basedOn w:val="Normal"/>
    <w:uiPriority w:val="34"/>
    <w:qFormat/>
    <w:rsid w:val="00226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0E"/>
  </w:style>
  <w:style w:type="paragraph" w:styleId="Heading1">
    <w:name w:val="heading 1"/>
    <w:basedOn w:val="Normal"/>
    <w:link w:val="Heading1Char"/>
    <w:uiPriority w:val="9"/>
    <w:qFormat/>
    <w:rsid w:val="009C0AE5"/>
    <w:pPr>
      <w:keepNext/>
      <w:spacing w:before="120" w:after="120" w:line="240" w:lineRule="auto"/>
      <w:ind w:left="720" w:hanging="720"/>
      <w:outlineLvl w:val="0"/>
    </w:pPr>
    <w:rPr>
      <w:rFonts w:eastAsia="Times New Roman" w:cs="Times New Roman"/>
      <w:b/>
      <w:iCs/>
      <w:kern w:val="36"/>
      <w:szCs w:val="28"/>
    </w:rPr>
  </w:style>
  <w:style w:type="paragraph" w:styleId="Heading2">
    <w:name w:val="heading 2"/>
    <w:basedOn w:val="Normal"/>
    <w:next w:val="Normal"/>
    <w:link w:val="Heading2Char"/>
    <w:uiPriority w:val="9"/>
    <w:unhideWhenUsed/>
    <w:qFormat/>
    <w:rsid w:val="009C0AE5"/>
    <w:pPr>
      <w:keepNext/>
      <w:keepLines/>
      <w:spacing w:before="120" w:after="120" w:line="240" w:lineRule="auto"/>
      <w:ind w:left="1440" w:hanging="720"/>
      <w:outlineLvl w:val="1"/>
    </w:pPr>
    <w:rPr>
      <w:rFonts w:eastAsiaTheme="majorEastAsia"/>
      <w:b/>
      <w:bCs/>
      <w:szCs w:val="26"/>
    </w:rPr>
  </w:style>
  <w:style w:type="paragraph" w:styleId="Heading3">
    <w:name w:val="heading 3"/>
    <w:basedOn w:val="Heading2"/>
    <w:next w:val="Normal"/>
    <w:link w:val="Heading3Char"/>
    <w:autoRedefine/>
    <w:uiPriority w:val="9"/>
    <w:unhideWhenUsed/>
    <w:qFormat/>
    <w:rsid w:val="00C26C57"/>
    <w:pPr>
      <w:spacing w:before="0" w:after="0" w:line="276" w:lineRule="auto"/>
      <w:ind w:left="0" w:firstLine="0"/>
      <w:jc w:val="both"/>
      <w:outlineLvl w:val="2"/>
    </w:pPr>
    <w:rPr>
      <w:rFonts w:eastAsia="Times New Roman"/>
      <w:b w:val="0"/>
      <w:i/>
      <w:lang w:val="en-GB"/>
    </w:rPr>
  </w:style>
  <w:style w:type="paragraph" w:styleId="Heading4">
    <w:name w:val="heading 4"/>
    <w:basedOn w:val="Normal"/>
    <w:link w:val="Heading4Char"/>
    <w:uiPriority w:val="9"/>
    <w:qFormat/>
    <w:rsid w:val="00D02DA7"/>
    <w:pPr>
      <w:keepNext/>
      <w:spacing w:before="120" w:after="60" w:line="240" w:lineRule="auto"/>
      <w:jc w:val="center"/>
      <w:outlineLvl w:val="3"/>
    </w:pPr>
    <w:rPr>
      <w:rFonts w:eastAsia="Times New Roman" w:cs="Times New Roman"/>
      <w:iCs/>
    </w:rPr>
  </w:style>
  <w:style w:type="paragraph" w:styleId="Heading5">
    <w:name w:val="heading 5"/>
    <w:basedOn w:val="Normal"/>
    <w:link w:val="Heading5Char"/>
    <w:uiPriority w:val="9"/>
    <w:qFormat/>
    <w:rsid w:val="00D02DA7"/>
    <w:pPr>
      <w:spacing w:before="120" w:after="60" w:line="240" w:lineRule="auto"/>
      <w:jc w:val="center"/>
      <w:outlineLvl w:val="4"/>
    </w:pPr>
    <w:rPr>
      <w:rFonts w:eastAsia="Times New Roman" w:cs="Times New Roman"/>
      <w:iCs/>
    </w:rPr>
  </w:style>
  <w:style w:type="paragraph" w:styleId="Heading6">
    <w:name w:val="heading 6"/>
    <w:basedOn w:val="Normal"/>
    <w:link w:val="Heading6Char"/>
    <w:uiPriority w:val="9"/>
    <w:qFormat/>
    <w:rsid w:val="00D02DA7"/>
    <w:pPr>
      <w:spacing w:before="240" w:after="60" w:line="240" w:lineRule="auto"/>
      <w:ind w:left="3600"/>
      <w:jc w:val="both"/>
      <w:outlineLvl w:val="5"/>
    </w:pPr>
    <w:rPr>
      <w:rFonts w:eastAsia="Times New Roman" w:cs="Times New Roman"/>
      <w:i/>
      <w:sz w:val="22"/>
      <w:szCs w:val="22"/>
    </w:rPr>
  </w:style>
  <w:style w:type="paragraph" w:styleId="Heading7">
    <w:name w:val="heading 7"/>
    <w:basedOn w:val="Normal"/>
    <w:link w:val="Heading7Char"/>
    <w:uiPriority w:val="9"/>
    <w:qFormat/>
    <w:rsid w:val="00D02DA7"/>
    <w:pPr>
      <w:spacing w:before="240" w:after="60" w:line="240" w:lineRule="auto"/>
      <w:ind w:left="4320"/>
      <w:jc w:val="both"/>
      <w:outlineLvl w:val="6"/>
    </w:pPr>
    <w:rPr>
      <w:rFonts w:ascii="Arial" w:eastAsia="Times New Roman" w:hAnsi="Arial" w:cs="Arial"/>
      <w:iCs/>
    </w:rPr>
  </w:style>
  <w:style w:type="paragraph" w:styleId="Heading8">
    <w:name w:val="heading 8"/>
    <w:basedOn w:val="Normal"/>
    <w:link w:val="Heading8Char"/>
    <w:uiPriority w:val="9"/>
    <w:qFormat/>
    <w:rsid w:val="00D02DA7"/>
    <w:pPr>
      <w:spacing w:before="240" w:after="60" w:line="240" w:lineRule="auto"/>
      <w:ind w:left="5040"/>
      <w:jc w:val="both"/>
      <w:outlineLvl w:val="7"/>
    </w:pPr>
    <w:rPr>
      <w:rFonts w:ascii="Arial" w:eastAsia="Times New Roman" w:hAnsi="Arial" w:cs="Arial"/>
      <w:i/>
    </w:rPr>
  </w:style>
  <w:style w:type="paragraph" w:styleId="Heading9">
    <w:name w:val="heading 9"/>
    <w:basedOn w:val="Normal"/>
    <w:link w:val="Heading9Char"/>
    <w:uiPriority w:val="9"/>
    <w:qFormat/>
    <w:rsid w:val="00D02DA7"/>
    <w:pPr>
      <w:spacing w:before="240" w:after="60" w:line="240" w:lineRule="auto"/>
      <w:ind w:left="5760"/>
      <w:jc w:val="both"/>
      <w:outlineLvl w:val="8"/>
    </w:pPr>
    <w:rPr>
      <w:rFonts w:ascii="Arial" w:eastAsia="Times New Roman" w:hAnsi="Arial" w:cs="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AE5"/>
    <w:rPr>
      <w:rFonts w:eastAsiaTheme="majorEastAsia"/>
      <w:b/>
      <w:bCs/>
      <w:szCs w:val="26"/>
    </w:rPr>
  </w:style>
  <w:style w:type="character" w:customStyle="1" w:styleId="Heading3Char">
    <w:name w:val="Heading 3 Char"/>
    <w:basedOn w:val="DefaultParagraphFont"/>
    <w:link w:val="Heading3"/>
    <w:uiPriority w:val="9"/>
    <w:rsid w:val="00C26C57"/>
    <w:rPr>
      <w:rFonts w:eastAsia="Times New Roman"/>
      <w:bCs/>
      <w:i/>
      <w:szCs w:val="26"/>
      <w:lang w:val="en-GB"/>
    </w:rPr>
  </w:style>
  <w:style w:type="character" w:customStyle="1" w:styleId="Heading1Char">
    <w:name w:val="Heading 1 Char"/>
    <w:basedOn w:val="DefaultParagraphFont"/>
    <w:link w:val="Heading1"/>
    <w:uiPriority w:val="9"/>
    <w:rsid w:val="009C0AE5"/>
    <w:rPr>
      <w:rFonts w:eastAsia="Times New Roman" w:cs="Times New Roman"/>
      <w:b/>
      <w:iCs/>
      <w:kern w:val="36"/>
      <w:szCs w:val="28"/>
    </w:rPr>
  </w:style>
  <w:style w:type="character" w:customStyle="1" w:styleId="Heading4Char">
    <w:name w:val="Heading 4 Char"/>
    <w:basedOn w:val="DefaultParagraphFont"/>
    <w:link w:val="Heading4"/>
    <w:uiPriority w:val="9"/>
    <w:rsid w:val="00D02DA7"/>
    <w:rPr>
      <w:rFonts w:eastAsia="Times New Roman" w:cs="Times New Roman"/>
      <w:iCs/>
      <w:szCs w:val="24"/>
    </w:rPr>
  </w:style>
  <w:style w:type="character" w:customStyle="1" w:styleId="Heading5Char">
    <w:name w:val="Heading 5 Char"/>
    <w:basedOn w:val="DefaultParagraphFont"/>
    <w:link w:val="Heading5"/>
    <w:uiPriority w:val="9"/>
    <w:rsid w:val="00D02DA7"/>
    <w:rPr>
      <w:rFonts w:eastAsia="Times New Roman" w:cs="Times New Roman"/>
      <w:iCs/>
      <w:szCs w:val="24"/>
    </w:rPr>
  </w:style>
  <w:style w:type="character" w:customStyle="1" w:styleId="Heading6Char">
    <w:name w:val="Heading 6 Char"/>
    <w:basedOn w:val="DefaultParagraphFont"/>
    <w:link w:val="Heading6"/>
    <w:uiPriority w:val="9"/>
    <w:rsid w:val="00D02DA7"/>
    <w:rPr>
      <w:rFonts w:eastAsia="Times New Roman" w:cs="Times New Roman"/>
      <w:i/>
      <w:sz w:val="22"/>
      <w:szCs w:val="22"/>
    </w:rPr>
  </w:style>
  <w:style w:type="character" w:customStyle="1" w:styleId="Heading7Char">
    <w:name w:val="Heading 7 Char"/>
    <w:basedOn w:val="DefaultParagraphFont"/>
    <w:link w:val="Heading7"/>
    <w:uiPriority w:val="9"/>
    <w:rsid w:val="00D02DA7"/>
    <w:rPr>
      <w:rFonts w:ascii="Arial" w:eastAsia="Times New Roman" w:hAnsi="Arial" w:cs="Arial"/>
      <w:iCs/>
      <w:szCs w:val="24"/>
    </w:rPr>
  </w:style>
  <w:style w:type="character" w:customStyle="1" w:styleId="Heading8Char">
    <w:name w:val="Heading 8 Char"/>
    <w:basedOn w:val="DefaultParagraphFont"/>
    <w:link w:val="Heading8"/>
    <w:uiPriority w:val="9"/>
    <w:rsid w:val="00D02DA7"/>
    <w:rPr>
      <w:rFonts w:ascii="Arial" w:eastAsia="Times New Roman" w:hAnsi="Arial" w:cs="Arial"/>
      <w:i/>
      <w:szCs w:val="24"/>
    </w:rPr>
  </w:style>
  <w:style w:type="character" w:customStyle="1" w:styleId="Heading9Char">
    <w:name w:val="Heading 9 Char"/>
    <w:basedOn w:val="DefaultParagraphFont"/>
    <w:link w:val="Heading9"/>
    <w:uiPriority w:val="9"/>
    <w:rsid w:val="00D02DA7"/>
    <w:rPr>
      <w:rFonts w:ascii="Arial" w:eastAsia="Times New Roman" w:hAnsi="Arial" w:cs="Arial"/>
      <w:b/>
      <w:bCs/>
      <w:i/>
      <w:sz w:val="18"/>
      <w:szCs w:val="18"/>
    </w:rPr>
  </w:style>
  <w:style w:type="character" w:customStyle="1" w:styleId="FootnoteTextChar">
    <w:name w:val="Footnote Text Char"/>
    <w:basedOn w:val="DefaultParagraphFont"/>
    <w:link w:val="FootnoteText"/>
    <w:uiPriority w:val="99"/>
    <w:rsid w:val="00D02DA7"/>
    <w:rPr>
      <w:rFonts w:eastAsia="Times New Roman" w:cs="Times New Roman"/>
      <w:iCs/>
      <w:sz w:val="19"/>
      <w:szCs w:val="19"/>
    </w:rPr>
  </w:style>
  <w:style w:type="paragraph" w:styleId="FootnoteText">
    <w:name w:val="footnote text"/>
    <w:basedOn w:val="Normal"/>
    <w:link w:val="FootnoteTextChar"/>
    <w:uiPriority w:val="99"/>
    <w:unhideWhenUsed/>
    <w:rsid w:val="00D02DA7"/>
    <w:pPr>
      <w:spacing w:after="0" w:line="220" w:lineRule="atLeast"/>
      <w:jc w:val="both"/>
    </w:pPr>
    <w:rPr>
      <w:rFonts w:eastAsia="Times New Roman" w:cs="Times New Roman"/>
      <w:iCs/>
      <w:sz w:val="19"/>
      <w:szCs w:val="19"/>
    </w:rPr>
  </w:style>
  <w:style w:type="character" w:customStyle="1" w:styleId="CommentTextChar">
    <w:name w:val="Comment Text Char"/>
    <w:basedOn w:val="DefaultParagraphFont"/>
    <w:link w:val="CommentText"/>
    <w:uiPriority w:val="99"/>
    <w:semiHidden/>
    <w:rsid w:val="00D02DA7"/>
    <w:rPr>
      <w:rFonts w:eastAsia="Times New Roman" w:cs="Times New Roman"/>
      <w:iCs/>
      <w:sz w:val="20"/>
    </w:rPr>
  </w:style>
  <w:style w:type="paragraph" w:styleId="CommentText">
    <w:name w:val="annotation text"/>
    <w:basedOn w:val="Normal"/>
    <w:link w:val="CommentTextChar"/>
    <w:uiPriority w:val="99"/>
    <w:semiHidden/>
    <w:unhideWhenUsed/>
    <w:rsid w:val="00D02DA7"/>
    <w:pPr>
      <w:spacing w:after="120" w:line="240" w:lineRule="auto"/>
      <w:jc w:val="both"/>
    </w:pPr>
    <w:rPr>
      <w:rFonts w:eastAsia="Times New Roman" w:cs="Times New Roman"/>
      <w:iCs/>
      <w:sz w:val="20"/>
    </w:rPr>
  </w:style>
  <w:style w:type="character" w:customStyle="1" w:styleId="HeaderChar">
    <w:name w:val="Header Char"/>
    <w:basedOn w:val="DefaultParagraphFont"/>
    <w:link w:val="Header"/>
    <w:uiPriority w:val="99"/>
    <w:rsid w:val="00D02DA7"/>
    <w:rPr>
      <w:rFonts w:eastAsia="Times New Roman" w:cs="Times New Roman"/>
      <w:iCs/>
      <w:szCs w:val="24"/>
    </w:rPr>
  </w:style>
  <w:style w:type="paragraph" w:styleId="Header">
    <w:name w:val="header"/>
    <w:basedOn w:val="Normal"/>
    <w:link w:val="HeaderChar"/>
    <w:uiPriority w:val="99"/>
    <w:unhideWhenUsed/>
    <w:rsid w:val="00D02DA7"/>
    <w:pPr>
      <w:spacing w:after="120" w:line="240" w:lineRule="auto"/>
      <w:jc w:val="both"/>
    </w:pPr>
    <w:rPr>
      <w:rFonts w:eastAsia="Times New Roman" w:cs="Times New Roman"/>
      <w:iCs/>
    </w:rPr>
  </w:style>
  <w:style w:type="character" w:customStyle="1" w:styleId="EndnoteTextChar">
    <w:name w:val="Endnote Text Char"/>
    <w:basedOn w:val="DefaultParagraphFont"/>
    <w:link w:val="EndnoteText"/>
    <w:uiPriority w:val="99"/>
    <w:rsid w:val="006C7144"/>
    <w:rPr>
      <w:rFonts w:eastAsia="Times New Roman" w:cs="Times New Roman"/>
      <w:iCs/>
      <w:lang w:val="en-GB"/>
    </w:rPr>
  </w:style>
  <w:style w:type="paragraph" w:styleId="EndnoteText">
    <w:name w:val="endnote text"/>
    <w:basedOn w:val="Normal"/>
    <w:link w:val="EndnoteTextChar"/>
    <w:uiPriority w:val="99"/>
    <w:unhideWhenUsed/>
    <w:rsid w:val="006C7144"/>
    <w:pPr>
      <w:spacing w:after="120" w:line="240" w:lineRule="auto"/>
      <w:jc w:val="both"/>
    </w:pPr>
    <w:rPr>
      <w:rFonts w:eastAsia="Times New Roman" w:cs="Times New Roman"/>
      <w:iCs/>
      <w:lang w:val="en-GB"/>
    </w:rPr>
  </w:style>
  <w:style w:type="character" w:customStyle="1" w:styleId="TitleChar">
    <w:name w:val="Title Char"/>
    <w:basedOn w:val="DefaultParagraphFont"/>
    <w:link w:val="Title"/>
    <w:uiPriority w:val="10"/>
    <w:rsid w:val="00D02DA7"/>
    <w:rPr>
      <w:rFonts w:ascii="Arial" w:eastAsia="Times New Roman" w:hAnsi="Arial" w:cs="Arial"/>
      <w:b/>
      <w:bCs/>
      <w:iCs/>
      <w:sz w:val="32"/>
      <w:szCs w:val="32"/>
    </w:rPr>
  </w:style>
  <w:style w:type="paragraph" w:styleId="Title">
    <w:name w:val="Title"/>
    <w:basedOn w:val="Normal"/>
    <w:link w:val="TitleChar"/>
    <w:uiPriority w:val="10"/>
    <w:qFormat/>
    <w:rsid w:val="00D02DA7"/>
    <w:pPr>
      <w:spacing w:before="240" w:after="60" w:line="240" w:lineRule="auto"/>
      <w:jc w:val="center"/>
    </w:pPr>
    <w:rPr>
      <w:rFonts w:ascii="Arial" w:eastAsia="Times New Roman" w:hAnsi="Arial" w:cs="Arial"/>
      <w:b/>
      <w:bCs/>
      <w:iCs/>
      <w:sz w:val="32"/>
      <w:szCs w:val="32"/>
    </w:rPr>
  </w:style>
  <w:style w:type="character" w:customStyle="1" w:styleId="BodyTextChar">
    <w:name w:val="Body Text Char"/>
    <w:basedOn w:val="DefaultParagraphFont"/>
    <w:link w:val="BodyText"/>
    <w:uiPriority w:val="99"/>
    <w:semiHidden/>
    <w:rsid w:val="00D02DA7"/>
    <w:rPr>
      <w:rFonts w:eastAsia="Times New Roman" w:cs="Times New Roman"/>
      <w:iCs/>
      <w:szCs w:val="24"/>
    </w:rPr>
  </w:style>
  <w:style w:type="paragraph" w:styleId="BodyText">
    <w:name w:val="Body Text"/>
    <w:basedOn w:val="Normal"/>
    <w:link w:val="BodyTextChar"/>
    <w:uiPriority w:val="99"/>
    <w:semiHidden/>
    <w:unhideWhenUsed/>
    <w:rsid w:val="00D02DA7"/>
    <w:pPr>
      <w:spacing w:after="120" w:line="240" w:lineRule="auto"/>
      <w:jc w:val="both"/>
    </w:pPr>
    <w:rPr>
      <w:rFonts w:eastAsia="Times New Roman" w:cs="Times New Roman"/>
      <w:iCs/>
    </w:rPr>
  </w:style>
  <w:style w:type="character" w:customStyle="1" w:styleId="DocumentMapChar">
    <w:name w:val="Document Map Char"/>
    <w:basedOn w:val="DefaultParagraphFont"/>
    <w:link w:val="DocumentMap"/>
    <w:uiPriority w:val="99"/>
    <w:semiHidden/>
    <w:rsid w:val="00D02DA7"/>
    <w:rPr>
      <w:rFonts w:ascii="Tahoma" w:eastAsia="Times New Roman" w:hAnsi="Tahoma" w:cs="Tahoma"/>
      <w:iCs/>
      <w:szCs w:val="24"/>
      <w:shd w:val="clear" w:color="auto" w:fill="000080"/>
    </w:rPr>
  </w:style>
  <w:style w:type="paragraph" w:styleId="DocumentMap">
    <w:name w:val="Document Map"/>
    <w:basedOn w:val="Normal"/>
    <w:link w:val="DocumentMapChar"/>
    <w:uiPriority w:val="99"/>
    <w:semiHidden/>
    <w:unhideWhenUsed/>
    <w:rsid w:val="00D02DA7"/>
    <w:pPr>
      <w:shd w:val="clear" w:color="auto" w:fill="000080"/>
      <w:spacing w:after="120" w:line="240" w:lineRule="auto"/>
      <w:jc w:val="both"/>
    </w:pPr>
    <w:rPr>
      <w:rFonts w:ascii="Tahoma" w:eastAsia="Times New Roman" w:hAnsi="Tahoma" w:cs="Tahoma"/>
      <w:iCs/>
    </w:rPr>
  </w:style>
  <w:style w:type="character" w:customStyle="1" w:styleId="CommentSubjectChar">
    <w:name w:val="Comment Subject Char"/>
    <w:basedOn w:val="CommentTextChar"/>
    <w:link w:val="CommentSubject"/>
    <w:uiPriority w:val="99"/>
    <w:semiHidden/>
    <w:rsid w:val="00D02DA7"/>
    <w:rPr>
      <w:rFonts w:eastAsia="Times New Roman" w:cs="Times New Roman"/>
      <w:b/>
      <w:bCs/>
      <w:iCs/>
      <w:sz w:val="20"/>
    </w:rPr>
  </w:style>
  <w:style w:type="paragraph" w:styleId="CommentSubject">
    <w:name w:val="annotation subject"/>
    <w:basedOn w:val="Normal"/>
    <w:link w:val="CommentSubjectChar"/>
    <w:uiPriority w:val="99"/>
    <w:semiHidden/>
    <w:unhideWhenUsed/>
    <w:rsid w:val="00D02DA7"/>
    <w:pPr>
      <w:spacing w:after="120" w:line="240" w:lineRule="auto"/>
      <w:jc w:val="both"/>
    </w:pPr>
    <w:rPr>
      <w:rFonts w:eastAsia="Times New Roman" w:cs="Times New Roman"/>
      <w:b/>
      <w:bCs/>
      <w:iCs/>
      <w:sz w:val="20"/>
    </w:rPr>
  </w:style>
  <w:style w:type="character" w:customStyle="1" w:styleId="BalloonTextChar">
    <w:name w:val="Balloon Text Char"/>
    <w:basedOn w:val="DefaultParagraphFont"/>
    <w:link w:val="BalloonText"/>
    <w:uiPriority w:val="99"/>
    <w:semiHidden/>
    <w:rsid w:val="00D02DA7"/>
    <w:rPr>
      <w:rFonts w:ascii="Tahoma" w:eastAsia="Times New Roman" w:hAnsi="Tahoma" w:cs="Tahoma"/>
      <w:iCs/>
      <w:sz w:val="16"/>
      <w:szCs w:val="16"/>
    </w:rPr>
  </w:style>
  <w:style w:type="paragraph" w:styleId="BalloonText">
    <w:name w:val="Balloon Text"/>
    <w:basedOn w:val="Normal"/>
    <w:link w:val="BalloonTextChar"/>
    <w:uiPriority w:val="99"/>
    <w:semiHidden/>
    <w:unhideWhenUsed/>
    <w:rsid w:val="00D02DA7"/>
    <w:pPr>
      <w:spacing w:after="120" w:line="240" w:lineRule="auto"/>
      <w:jc w:val="both"/>
    </w:pPr>
    <w:rPr>
      <w:rFonts w:ascii="Tahoma" w:eastAsia="Times New Roman" w:hAnsi="Tahoma" w:cs="Tahoma"/>
      <w:iCs/>
      <w:sz w:val="16"/>
      <w:szCs w:val="16"/>
    </w:rPr>
  </w:style>
  <w:style w:type="character" w:styleId="CommentReference">
    <w:name w:val="annotation reference"/>
    <w:basedOn w:val="DefaultParagraphFont"/>
    <w:uiPriority w:val="99"/>
    <w:semiHidden/>
    <w:unhideWhenUsed/>
    <w:rsid w:val="00EC53AF"/>
    <w:rPr>
      <w:sz w:val="16"/>
      <w:szCs w:val="16"/>
    </w:rPr>
  </w:style>
  <w:style w:type="character" w:styleId="FootnoteReference">
    <w:name w:val="footnote reference"/>
    <w:basedOn w:val="DefaultParagraphFont"/>
    <w:uiPriority w:val="99"/>
    <w:unhideWhenUsed/>
    <w:rsid w:val="002D49F9"/>
    <w:rPr>
      <w:vertAlign w:val="superscript"/>
    </w:rPr>
  </w:style>
  <w:style w:type="character" w:styleId="EndnoteReference">
    <w:name w:val="endnote reference"/>
    <w:basedOn w:val="DefaultParagraphFont"/>
    <w:uiPriority w:val="99"/>
    <w:semiHidden/>
    <w:unhideWhenUsed/>
    <w:rsid w:val="00A76084"/>
    <w:rPr>
      <w:vertAlign w:val="superscript"/>
    </w:rPr>
  </w:style>
  <w:style w:type="paragraph" w:styleId="NoSpacing">
    <w:name w:val="No Spacing"/>
    <w:uiPriority w:val="1"/>
    <w:qFormat/>
    <w:rsid w:val="00511D37"/>
    <w:pPr>
      <w:spacing w:after="0" w:line="240" w:lineRule="auto"/>
    </w:pPr>
  </w:style>
  <w:style w:type="character" w:customStyle="1" w:styleId="editorbrodfet1">
    <w:name w:val="editor_brodfet1"/>
    <w:basedOn w:val="DefaultParagraphFont"/>
    <w:rsid w:val="007B4C02"/>
    <w:rPr>
      <w:b/>
      <w:bCs/>
      <w:sz w:val="24"/>
      <w:szCs w:val="24"/>
    </w:rPr>
  </w:style>
  <w:style w:type="character" w:styleId="Hyperlink">
    <w:name w:val="Hyperlink"/>
    <w:basedOn w:val="DefaultParagraphFont"/>
    <w:uiPriority w:val="99"/>
    <w:unhideWhenUsed/>
    <w:rsid w:val="007B4C02"/>
    <w:rPr>
      <w:color w:val="0000FF" w:themeColor="hyperlink"/>
      <w:u w:val="single"/>
    </w:rPr>
  </w:style>
  <w:style w:type="character" w:styleId="Emphasis">
    <w:name w:val="Emphasis"/>
    <w:basedOn w:val="DefaultParagraphFont"/>
    <w:uiPriority w:val="20"/>
    <w:qFormat/>
    <w:rsid w:val="002405FD"/>
    <w:rPr>
      <w:i/>
      <w:iCs/>
    </w:rPr>
  </w:style>
  <w:style w:type="character" w:customStyle="1" w:styleId="auteur-content">
    <w:name w:val="auteur-content"/>
    <w:basedOn w:val="DefaultParagraphFont"/>
    <w:rsid w:val="00663D6A"/>
  </w:style>
  <w:style w:type="paragraph" w:styleId="Bibliography">
    <w:name w:val="Bibliography"/>
    <w:basedOn w:val="Normal"/>
    <w:next w:val="Normal"/>
    <w:uiPriority w:val="37"/>
    <w:unhideWhenUsed/>
    <w:rsid w:val="002A2C22"/>
    <w:pPr>
      <w:spacing w:after="120" w:line="240" w:lineRule="auto"/>
      <w:jc w:val="both"/>
    </w:pPr>
    <w:rPr>
      <w:rFonts w:eastAsia="Times New Roman" w:cs="Times New Roman"/>
      <w:lang w:val="fr-FR" w:eastAsia="fr-FR"/>
    </w:rPr>
  </w:style>
  <w:style w:type="paragraph" w:styleId="Footer">
    <w:name w:val="footer"/>
    <w:basedOn w:val="Normal"/>
    <w:link w:val="FooterChar"/>
    <w:uiPriority w:val="99"/>
    <w:unhideWhenUsed/>
    <w:rsid w:val="00C60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0A3"/>
  </w:style>
  <w:style w:type="character" w:customStyle="1" w:styleId="text31">
    <w:name w:val="text31"/>
    <w:basedOn w:val="DefaultParagraphFont"/>
    <w:rsid w:val="00D14F43"/>
    <w:rPr>
      <w:rFonts w:ascii="Verdana" w:hAnsi="Verdana" w:hint="default"/>
      <w:b/>
      <w:bCs/>
      <w:color w:val="000000"/>
      <w:sz w:val="22"/>
      <w:szCs w:val="22"/>
    </w:rPr>
  </w:style>
  <w:style w:type="character" w:styleId="HTMLDefinition">
    <w:name w:val="HTML Definition"/>
    <w:basedOn w:val="DefaultParagraphFont"/>
    <w:uiPriority w:val="99"/>
    <w:semiHidden/>
    <w:unhideWhenUsed/>
    <w:rsid w:val="00D52BF5"/>
    <w:rPr>
      <w:b/>
      <w:bCs/>
      <w:i w:val="0"/>
      <w:iCs w:val="0"/>
    </w:rPr>
  </w:style>
  <w:style w:type="character" w:customStyle="1" w:styleId="st1">
    <w:name w:val="st1"/>
    <w:basedOn w:val="DefaultParagraphFont"/>
    <w:rsid w:val="00F5591F"/>
  </w:style>
  <w:style w:type="character" w:styleId="FollowedHyperlink">
    <w:name w:val="FollowedHyperlink"/>
    <w:basedOn w:val="DefaultParagraphFont"/>
    <w:uiPriority w:val="99"/>
    <w:semiHidden/>
    <w:unhideWhenUsed/>
    <w:rsid w:val="00F2736C"/>
    <w:rPr>
      <w:color w:val="800080" w:themeColor="followedHyperlink"/>
      <w:u w:val="single"/>
    </w:rPr>
  </w:style>
  <w:style w:type="character" w:customStyle="1" w:styleId="st">
    <w:name w:val="st"/>
    <w:basedOn w:val="DefaultParagraphFont"/>
    <w:rsid w:val="001C5213"/>
  </w:style>
  <w:style w:type="character" w:customStyle="1" w:styleId="detailvalue">
    <w:name w:val="detail_value"/>
    <w:basedOn w:val="DefaultParagraphFont"/>
    <w:rsid w:val="00B23E22"/>
  </w:style>
  <w:style w:type="character" w:customStyle="1" w:styleId="text3">
    <w:name w:val="text3"/>
    <w:basedOn w:val="DefaultParagraphFont"/>
    <w:rsid w:val="00B5454A"/>
  </w:style>
  <w:style w:type="paragraph" w:styleId="Revision">
    <w:name w:val="Revision"/>
    <w:hidden/>
    <w:uiPriority w:val="99"/>
    <w:semiHidden/>
    <w:rsid w:val="00C83B0F"/>
    <w:pPr>
      <w:spacing w:after="0" w:line="240" w:lineRule="auto"/>
    </w:pPr>
  </w:style>
  <w:style w:type="character" w:customStyle="1" w:styleId="addmd">
    <w:name w:val="addmd"/>
    <w:basedOn w:val="DefaultParagraphFont"/>
    <w:rsid w:val="00DD7462"/>
  </w:style>
  <w:style w:type="paragraph" w:styleId="TOCHeading">
    <w:name w:val="TOC Heading"/>
    <w:basedOn w:val="Heading1"/>
    <w:next w:val="Normal"/>
    <w:uiPriority w:val="39"/>
    <w:semiHidden/>
    <w:unhideWhenUsed/>
    <w:qFormat/>
    <w:rsid w:val="00344778"/>
    <w:pPr>
      <w:keepLines/>
      <w:spacing w:before="480" w:after="0" w:line="276" w:lineRule="auto"/>
      <w:ind w:left="0" w:firstLine="0"/>
      <w:outlineLvl w:val="9"/>
    </w:pPr>
    <w:rPr>
      <w:rFonts w:asciiTheme="majorHAnsi" w:eastAsiaTheme="majorEastAsia" w:hAnsiTheme="majorHAnsi" w:cstheme="majorBidi"/>
      <w:bCs/>
      <w:iCs w:val="0"/>
      <w:color w:val="365F91" w:themeColor="accent1" w:themeShade="BF"/>
      <w:kern w:val="0"/>
      <w:sz w:val="28"/>
      <w:lang w:eastAsia="ja-JP"/>
    </w:rPr>
  </w:style>
  <w:style w:type="paragraph" w:styleId="TOC1">
    <w:name w:val="toc 1"/>
    <w:basedOn w:val="Normal"/>
    <w:next w:val="Normal"/>
    <w:autoRedefine/>
    <w:uiPriority w:val="39"/>
    <w:unhideWhenUsed/>
    <w:rsid w:val="00DE2EDF"/>
    <w:pPr>
      <w:tabs>
        <w:tab w:val="right" w:leader="dot" w:pos="8222"/>
      </w:tabs>
      <w:spacing w:after="0"/>
      <w:ind w:right="261"/>
      <w:jc w:val="both"/>
    </w:pPr>
  </w:style>
  <w:style w:type="paragraph" w:styleId="TOC2">
    <w:name w:val="toc 2"/>
    <w:basedOn w:val="Normal"/>
    <w:next w:val="Normal"/>
    <w:autoRedefine/>
    <w:uiPriority w:val="39"/>
    <w:unhideWhenUsed/>
    <w:rsid w:val="00344778"/>
    <w:pPr>
      <w:spacing w:after="100"/>
      <w:ind w:left="240"/>
    </w:pPr>
  </w:style>
  <w:style w:type="paragraph" w:styleId="TOC3">
    <w:name w:val="toc 3"/>
    <w:basedOn w:val="Normal"/>
    <w:next w:val="Normal"/>
    <w:autoRedefine/>
    <w:uiPriority w:val="39"/>
    <w:unhideWhenUsed/>
    <w:rsid w:val="00344778"/>
    <w:pPr>
      <w:spacing w:after="100"/>
      <w:ind w:left="480"/>
    </w:pPr>
  </w:style>
  <w:style w:type="paragraph" w:styleId="ListParagraph">
    <w:name w:val="List Paragraph"/>
    <w:basedOn w:val="Normal"/>
    <w:uiPriority w:val="34"/>
    <w:qFormat/>
    <w:rsid w:val="00226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39048">
      <w:bodyDiv w:val="1"/>
      <w:marLeft w:val="0"/>
      <w:marRight w:val="0"/>
      <w:marTop w:val="0"/>
      <w:marBottom w:val="0"/>
      <w:divBdr>
        <w:top w:val="none" w:sz="0" w:space="0" w:color="auto"/>
        <w:left w:val="none" w:sz="0" w:space="0" w:color="auto"/>
        <w:bottom w:val="none" w:sz="0" w:space="0" w:color="auto"/>
        <w:right w:val="none" w:sz="0" w:space="0" w:color="auto"/>
      </w:divBdr>
      <w:divsChild>
        <w:div w:id="396783065">
          <w:marLeft w:val="0"/>
          <w:marRight w:val="0"/>
          <w:marTop w:val="0"/>
          <w:marBottom w:val="0"/>
          <w:divBdr>
            <w:top w:val="none" w:sz="0" w:space="0" w:color="auto"/>
            <w:left w:val="none" w:sz="0" w:space="0" w:color="auto"/>
            <w:bottom w:val="none" w:sz="0" w:space="0" w:color="auto"/>
            <w:right w:val="none" w:sz="0" w:space="0" w:color="auto"/>
          </w:divBdr>
        </w:div>
        <w:div w:id="430901363">
          <w:marLeft w:val="0"/>
          <w:marRight w:val="0"/>
          <w:marTop w:val="0"/>
          <w:marBottom w:val="0"/>
          <w:divBdr>
            <w:top w:val="none" w:sz="0" w:space="0" w:color="auto"/>
            <w:left w:val="none" w:sz="0" w:space="0" w:color="auto"/>
            <w:bottom w:val="none" w:sz="0" w:space="0" w:color="auto"/>
            <w:right w:val="none" w:sz="0" w:space="0" w:color="auto"/>
          </w:divBdr>
        </w:div>
        <w:div w:id="498738706">
          <w:marLeft w:val="0"/>
          <w:marRight w:val="0"/>
          <w:marTop w:val="0"/>
          <w:marBottom w:val="0"/>
          <w:divBdr>
            <w:top w:val="none" w:sz="0" w:space="0" w:color="auto"/>
            <w:left w:val="none" w:sz="0" w:space="0" w:color="auto"/>
            <w:bottom w:val="none" w:sz="0" w:space="0" w:color="auto"/>
            <w:right w:val="none" w:sz="0" w:space="0" w:color="auto"/>
          </w:divBdr>
        </w:div>
        <w:div w:id="514081750">
          <w:marLeft w:val="0"/>
          <w:marRight w:val="0"/>
          <w:marTop w:val="0"/>
          <w:marBottom w:val="0"/>
          <w:divBdr>
            <w:top w:val="none" w:sz="0" w:space="0" w:color="auto"/>
            <w:left w:val="none" w:sz="0" w:space="0" w:color="auto"/>
            <w:bottom w:val="none" w:sz="0" w:space="0" w:color="auto"/>
            <w:right w:val="none" w:sz="0" w:space="0" w:color="auto"/>
          </w:divBdr>
        </w:div>
        <w:div w:id="1330871112">
          <w:marLeft w:val="0"/>
          <w:marRight w:val="0"/>
          <w:marTop w:val="0"/>
          <w:marBottom w:val="0"/>
          <w:divBdr>
            <w:top w:val="none" w:sz="0" w:space="0" w:color="auto"/>
            <w:left w:val="none" w:sz="0" w:space="0" w:color="auto"/>
            <w:bottom w:val="none" w:sz="0" w:space="0" w:color="auto"/>
            <w:right w:val="none" w:sz="0" w:space="0" w:color="auto"/>
          </w:divBdr>
        </w:div>
        <w:div w:id="2037585321">
          <w:marLeft w:val="0"/>
          <w:marRight w:val="0"/>
          <w:marTop w:val="0"/>
          <w:marBottom w:val="0"/>
          <w:divBdr>
            <w:top w:val="none" w:sz="0" w:space="0" w:color="auto"/>
            <w:left w:val="none" w:sz="0" w:space="0" w:color="auto"/>
            <w:bottom w:val="none" w:sz="0" w:space="0" w:color="auto"/>
            <w:right w:val="none" w:sz="0" w:space="0" w:color="auto"/>
          </w:divBdr>
        </w:div>
      </w:divsChild>
    </w:div>
    <w:div w:id="176816821">
      <w:bodyDiv w:val="1"/>
      <w:marLeft w:val="0"/>
      <w:marRight w:val="0"/>
      <w:marTop w:val="0"/>
      <w:marBottom w:val="0"/>
      <w:divBdr>
        <w:top w:val="none" w:sz="0" w:space="0" w:color="auto"/>
        <w:left w:val="none" w:sz="0" w:space="0" w:color="auto"/>
        <w:bottom w:val="none" w:sz="0" w:space="0" w:color="auto"/>
        <w:right w:val="none" w:sz="0" w:space="0" w:color="auto"/>
      </w:divBdr>
      <w:divsChild>
        <w:div w:id="210384522">
          <w:marLeft w:val="0"/>
          <w:marRight w:val="0"/>
          <w:marTop w:val="0"/>
          <w:marBottom w:val="0"/>
          <w:divBdr>
            <w:top w:val="none" w:sz="0" w:space="0" w:color="auto"/>
            <w:left w:val="none" w:sz="0" w:space="0" w:color="auto"/>
            <w:bottom w:val="none" w:sz="0" w:space="0" w:color="auto"/>
            <w:right w:val="none" w:sz="0" w:space="0" w:color="auto"/>
          </w:divBdr>
        </w:div>
        <w:div w:id="306398456">
          <w:marLeft w:val="0"/>
          <w:marRight w:val="0"/>
          <w:marTop w:val="0"/>
          <w:marBottom w:val="0"/>
          <w:divBdr>
            <w:top w:val="none" w:sz="0" w:space="0" w:color="auto"/>
            <w:left w:val="none" w:sz="0" w:space="0" w:color="auto"/>
            <w:bottom w:val="none" w:sz="0" w:space="0" w:color="auto"/>
            <w:right w:val="none" w:sz="0" w:space="0" w:color="auto"/>
          </w:divBdr>
        </w:div>
        <w:div w:id="494299892">
          <w:marLeft w:val="0"/>
          <w:marRight w:val="0"/>
          <w:marTop w:val="0"/>
          <w:marBottom w:val="0"/>
          <w:divBdr>
            <w:top w:val="none" w:sz="0" w:space="0" w:color="auto"/>
            <w:left w:val="none" w:sz="0" w:space="0" w:color="auto"/>
            <w:bottom w:val="none" w:sz="0" w:space="0" w:color="auto"/>
            <w:right w:val="none" w:sz="0" w:space="0" w:color="auto"/>
          </w:divBdr>
        </w:div>
        <w:div w:id="548803266">
          <w:marLeft w:val="0"/>
          <w:marRight w:val="0"/>
          <w:marTop w:val="0"/>
          <w:marBottom w:val="0"/>
          <w:divBdr>
            <w:top w:val="none" w:sz="0" w:space="0" w:color="auto"/>
            <w:left w:val="none" w:sz="0" w:space="0" w:color="auto"/>
            <w:bottom w:val="none" w:sz="0" w:space="0" w:color="auto"/>
            <w:right w:val="none" w:sz="0" w:space="0" w:color="auto"/>
          </w:divBdr>
        </w:div>
        <w:div w:id="655037745">
          <w:marLeft w:val="0"/>
          <w:marRight w:val="0"/>
          <w:marTop w:val="0"/>
          <w:marBottom w:val="0"/>
          <w:divBdr>
            <w:top w:val="none" w:sz="0" w:space="0" w:color="auto"/>
            <w:left w:val="none" w:sz="0" w:space="0" w:color="auto"/>
            <w:bottom w:val="none" w:sz="0" w:space="0" w:color="auto"/>
            <w:right w:val="none" w:sz="0" w:space="0" w:color="auto"/>
          </w:divBdr>
        </w:div>
        <w:div w:id="1283223476">
          <w:marLeft w:val="0"/>
          <w:marRight w:val="0"/>
          <w:marTop w:val="0"/>
          <w:marBottom w:val="0"/>
          <w:divBdr>
            <w:top w:val="none" w:sz="0" w:space="0" w:color="auto"/>
            <w:left w:val="none" w:sz="0" w:space="0" w:color="auto"/>
            <w:bottom w:val="none" w:sz="0" w:space="0" w:color="auto"/>
            <w:right w:val="none" w:sz="0" w:space="0" w:color="auto"/>
          </w:divBdr>
        </w:div>
        <w:div w:id="1298683652">
          <w:marLeft w:val="0"/>
          <w:marRight w:val="0"/>
          <w:marTop w:val="0"/>
          <w:marBottom w:val="0"/>
          <w:divBdr>
            <w:top w:val="none" w:sz="0" w:space="0" w:color="auto"/>
            <w:left w:val="none" w:sz="0" w:space="0" w:color="auto"/>
            <w:bottom w:val="none" w:sz="0" w:space="0" w:color="auto"/>
            <w:right w:val="none" w:sz="0" w:space="0" w:color="auto"/>
          </w:divBdr>
        </w:div>
        <w:div w:id="1451586332">
          <w:marLeft w:val="0"/>
          <w:marRight w:val="0"/>
          <w:marTop w:val="0"/>
          <w:marBottom w:val="0"/>
          <w:divBdr>
            <w:top w:val="none" w:sz="0" w:space="0" w:color="auto"/>
            <w:left w:val="none" w:sz="0" w:space="0" w:color="auto"/>
            <w:bottom w:val="none" w:sz="0" w:space="0" w:color="auto"/>
            <w:right w:val="none" w:sz="0" w:space="0" w:color="auto"/>
          </w:divBdr>
        </w:div>
        <w:div w:id="1548641634">
          <w:marLeft w:val="0"/>
          <w:marRight w:val="0"/>
          <w:marTop w:val="0"/>
          <w:marBottom w:val="0"/>
          <w:divBdr>
            <w:top w:val="none" w:sz="0" w:space="0" w:color="auto"/>
            <w:left w:val="none" w:sz="0" w:space="0" w:color="auto"/>
            <w:bottom w:val="none" w:sz="0" w:space="0" w:color="auto"/>
            <w:right w:val="none" w:sz="0" w:space="0" w:color="auto"/>
          </w:divBdr>
        </w:div>
        <w:div w:id="1966235541">
          <w:marLeft w:val="0"/>
          <w:marRight w:val="0"/>
          <w:marTop w:val="0"/>
          <w:marBottom w:val="0"/>
          <w:divBdr>
            <w:top w:val="none" w:sz="0" w:space="0" w:color="auto"/>
            <w:left w:val="none" w:sz="0" w:space="0" w:color="auto"/>
            <w:bottom w:val="none" w:sz="0" w:space="0" w:color="auto"/>
            <w:right w:val="none" w:sz="0" w:space="0" w:color="auto"/>
          </w:divBdr>
        </w:div>
        <w:div w:id="1970234909">
          <w:marLeft w:val="0"/>
          <w:marRight w:val="0"/>
          <w:marTop w:val="0"/>
          <w:marBottom w:val="0"/>
          <w:divBdr>
            <w:top w:val="none" w:sz="0" w:space="0" w:color="auto"/>
            <w:left w:val="none" w:sz="0" w:space="0" w:color="auto"/>
            <w:bottom w:val="none" w:sz="0" w:space="0" w:color="auto"/>
            <w:right w:val="none" w:sz="0" w:space="0" w:color="auto"/>
          </w:divBdr>
        </w:div>
        <w:div w:id="2108381528">
          <w:marLeft w:val="0"/>
          <w:marRight w:val="0"/>
          <w:marTop w:val="0"/>
          <w:marBottom w:val="0"/>
          <w:divBdr>
            <w:top w:val="none" w:sz="0" w:space="0" w:color="auto"/>
            <w:left w:val="none" w:sz="0" w:space="0" w:color="auto"/>
            <w:bottom w:val="none" w:sz="0" w:space="0" w:color="auto"/>
            <w:right w:val="none" w:sz="0" w:space="0" w:color="auto"/>
          </w:divBdr>
        </w:div>
        <w:div w:id="2134246891">
          <w:marLeft w:val="0"/>
          <w:marRight w:val="0"/>
          <w:marTop w:val="0"/>
          <w:marBottom w:val="0"/>
          <w:divBdr>
            <w:top w:val="none" w:sz="0" w:space="0" w:color="auto"/>
            <w:left w:val="none" w:sz="0" w:space="0" w:color="auto"/>
            <w:bottom w:val="none" w:sz="0" w:space="0" w:color="auto"/>
            <w:right w:val="none" w:sz="0" w:space="0" w:color="auto"/>
          </w:divBdr>
        </w:div>
      </w:divsChild>
    </w:div>
    <w:div w:id="586420831">
      <w:bodyDiv w:val="1"/>
      <w:marLeft w:val="0"/>
      <w:marRight w:val="0"/>
      <w:marTop w:val="0"/>
      <w:marBottom w:val="0"/>
      <w:divBdr>
        <w:top w:val="none" w:sz="0" w:space="0" w:color="auto"/>
        <w:left w:val="none" w:sz="0" w:space="0" w:color="auto"/>
        <w:bottom w:val="none" w:sz="0" w:space="0" w:color="auto"/>
        <w:right w:val="none" w:sz="0" w:space="0" w:color="auto"/>
      </w:divBdr>
      <w:divsChild>
        <w:div w:id="376859217">
          <w:marLeft w:val="0"/>
          <w:marRight w:val="0"/>
          <w:marTop w:val="0"/>
          <w:marBottom w:val="0"/>
          <w:divBdr>
            <w:top w:val="none" w:sz="0" w:space="0" w:color="auto"/>
            <w:left w:val="none" w:sz="0" w:space="0" w:color="auto"/>
            <w:bottom w:val="none" w:sz="0" w:space="0" w:color="auto"/>
            <w:right w:val="none" w:sz="0" w:space="0" w:color="auto"/>
          </w:divBdr>
        </w:div>
        <w:div w:id="1144811889">
          <w:marLeft w:val="0"/>
          <w:marRight w:val="0"/>
          <w:marTop w:val="0"/>
          <w:marBottom w:val="0"/>
          <w:divBdr>
            <w:top w:val="none" w:sz="0" w:space="0" w:color="auto"/>
            <w:left w:val="none" w:sz="0" w:space="0" w:color="auto"/>
            <w:bottom w:val="none" w:sz="0" w:space="0" w:color="auto"/>
            <w:right w:val="none" w:sz="0" w:space="0" w:color="auto"/>
          </w:divBdr>
        </w:div>
      </w:divsChild>
    </w:div>
    <w:div w:id="650212211">
      <w:bodyDiv w:val="1"/>
      <w:marLeft w:val="0"/>
      <w:marRight w:val="0"/>
      <w:marTop w:val="0"/>
      <w:marBottom w:val="0"/>
      <w:divBdr>
        <w:top w:val="none" w:sz="0" w:space="0" w:color="auto"/>
        <w:left w:val="none" w:sz="0" w:space="0" w:color="auto"/>
        <w:bottom w:val="none" w:sz="0" w:space="0" w:color="auto"/>
        <w:right w:val="none" w:sz="0" w:space="0" w:color="auto"/>
      </w:divBdr>
    </w:div>
    <w:div w:id="750078071">
      <w:bodyDiv w:val="1"/>
      <w:marLeft w:val="0"/>
      <w:marRight w:val="0"/>
      <w:marTop w:val="0"/>
      <w:marBottom w:val="0"/>
      <w:divBdr>
        <w:top w:val="none" w:sz="0" w:space="0" w:color="auto"/>
        <w:left w:val="none" w:sz="0" w:space="0" w:color="auto"/>
        <w:bottom w:val="none" w:sz="0" w:space="0" w:color="auto"/>
        <w:right w:val="none" w:sz="0" w:space="0" w:color="auto"/>
      </w:divBdr>
    </w:div>
    <w:div w:id="925921845">
      <w:bodyDiv w:val="1"/>
      <w:marLeft w:val="0"/>
      <w:marRight w:val="0"/>
      <w:marTop w:val="0"/>
      <w:marBottom w:val="0"/>
      <w:divBdr>
        <w:top w:val="none" w:sz="0" w:space="0" w:color="auto"/>
        <w:left w:val="none" w:sz="0" w:space="0" w:color="auto"/>
        <w:bottom w:val="none" w:sz="0" w:space="0" w:color="auto"/>
        <w:right w:val="none" w:sz="0" w:space="0" w:color="auto"/>
      </w:divBdr>
    </w:div>
    <w:div w:id="962885861">
      <w:bodyDiv w:val="1"/>
      <w:marLeft w:val="0"/>
      <w:marRight w:val="0"/>
      <w:marTop w:val="0"/>
      <w:marBottom w:val="0"/>
      <w:divBdr>
        <w:top w:val="none" w:sz="0" w:space="0" w:color="auto"/>
        <w:left w:val="none" w:sz="0" w:space="0" w:color="auto"/>
        <w:bottom w:val="none" w:sz="0" w:space="0" w:color="auto"/>
        <w:right w:val="none" w:sz="0" w:space="0" w:color="auto"/>
      </w:divBdr>
      <w:divsChild>
        <w:div w:id="233011627">
          <w:marLeft w:val="0"/>
          <w:marRight w:val="0"/>
          <w:marTop w:val="0"/>
          <w:marBottom w:val="0"/>
          <w:divBdr>
            <w:top w:val="none" w:sz="0" w:space="0" w:color="auto"/>
            <w:left w:val="none" w:sz="0" w:space="0" w:color="auto"/>
            <w:bottom w:val="none" w:sz="0" w:space="0" w:color="auto"/>
            <w:right w:val="none" w:sz="0" w:space="0" w:color="auto"/>
          </w:divBdr>
        </w:div>
        <w:div w:id="246765075">
          <w:marLeft w:val="0"/>
          <w:marRight w:val="0"/>
          <w:marTop w:val="0"/>
          <w:marBottom w:val="0"/>
          <w:divBdr>
            <w:top w:val="none" w:sz="0" w:space="0" w:color="auto"/>
            <w:left w:val="none" w:sz="0" w:space="0" w:color="auto"/>
            <w:bottom w:val="none" w:sz="0" w:space="0" w:color="auto"/>
            <w:right w:val="none" w:sz="0" w:space="0" w:color="auto"/>
          </w:divBdr>
        </w:div>
        <w:div w:id="299959926">
          <w:marLeft w:val="0"/>
          <w:marRight w:val="0"/>
          <w:marTop w:val="0"/>
          <w:marBottom w:val="0"/>
          <w:divBdr>
            <w:top w:val="none" w:sz="0" w:space="0" w:color="auto"/>
            <w:left w:val="none" w:sz="0" w:space="0" w:color="auto"/>
            <w:bottom w:val="none" w:sz="0" w:space="0" w:color="auto"/>
            <w:right w:val="none" w:sz="0" w:space="0" w:color="auto"/>
          </w:divBdr>
        </w:div>
        <w:div w:id="497159945">
          <w:marLeft w:val="0"/>
          <w:marRight w:val="0"/>
          <w:marTop w:val="0"/>
          <w:marBottom w:val="0"/>
          <w:divBdr>
            <w:top w:val="none" w:sz="0" w:space="0" w:color="auto"/>
            <w:left w:val="none" w:sz="0" w:space="0" w:color="auto"/>
            <w:bottom w:val="none" w:sz="0" w:space="0" w:color="auto"/>
            <w:right w:val="none" w:sz="0" w:space="0" w:color="auto"/>
          </w:divBdr>
        </w:div>
        <w:div w:id="537356516">
          <w:marLeft w:val="0"/>
          <w:marRight w:val="0"/>
          <w:marTop w:val="0"/>
          <w:marBottom w:val="0"/>
          <w:divBdr>
            <w:top w:val="none" w:sz="0" w:space="0" w:color="auto"/>
            <w:left w:val="none" w:sz="0" w:space="0" w:color="auto"/>
            <w:bottom w:val="none" w:sz="0" w:space="0" w:color="auto"/>
            <w:right w:val="none" w:sz="0" w:space="0" w:color="auto"/>
          </w:divBdr>
        </w:div>
        <w:div w:id="583295124">
          <w:marLeft w:val="0"/>
          <w:marRight w:val="0"/>
          <w:marTop w:val="0"/>
          <w:marBottom w:val="0"/>
          <w:divBdr>
            <w:top w:val="none" w:sz="0" w:space="0" w:color="auto"/>
            <w:left w:val="none" w:sz="0" w:space="0" w:color="auto"/>
            <w:bottom w:val="none" w:sz="0" w:space="0" w:color="auto"/>
            <w:right w:val="none" w:sz="0" w:space="0" w:color="auto"/>
          </w:divBdr>
        </w:div>
        <w:div w:id="1173955603">
          <w:marLeft w:val="0"/>
          <w:marRight w:val="0"/>
          <w:marTop w:val="0"/>
          <w:marBottom w:val="0"/>
          <w:divBdr>
            <w:top w:val="none" w:sz="0" w:space="0" w:color="auto"/>
            <w:left w:val="none" w:sz="0" w:space="0" w:color="auto"/>
            <w:bottom w:val="none" w:sz="0" w:space="0" w:color="auto"/>
            <w:right w:val="none" w:sz="0" w:space="0" w:color="auto"/>
          </w:divBdr>
        </w:div>
        <w:div w:id="1184245826">
          <w:marLeft w:val="0"/>
          <w:marRight w:val="0"/>
          <w:marTop w:val="0"/>
          <w:marBottom w:val="0"/>
          <w:divBdr>
            <w:top w:val="none" w:sz="0" w:space="0" w:color="auto"/>
            <w:left w:val="none" w:sz="0" w:space="0" w:color="auto"/>
            <w:bottom w:val="none" w:sz="0" w:space="0" w:color="auto"/>
            <w:right w:val="none" w:sz="0" w:space="0" w:color="auto"/>
          </w:divBdr>
        </w:div>
        <w:div w:id="1460682987">
          <w:marLeft w:val="0"/>
          <w:marRight w:val="0"/>
          <w:marTop w:val="0"/>
          <w:marBottom w:val="0"/>
          <w:divBdr>
            <w:top w:val="none" w:sz="0" w:space="0" w:color="auto"/>
            <w:left w:val="none" w:sz="0" w:space="0" w:color="auto"/>
            <w:bottom w:val="none" w:sz="0" w:space="0" w:color="auto"/>
            <w:right w:val="none" w:sz="0" w:space="0" w:color="auto"/>
          </w:divBdr>
        </w:div>
      </w:divsChild>
    </w:div>
    <w:div w:id="965357735">
      <w:bodyDiv w:val="1"/>
      <w:marLeft w:val="0"/>
      <w:marRight w:val="0"/>
      <w:marTop w:val="0"/>
      <w:marBottom w:val="0"/>
      <w:divBdr>
        <w:top w:val="none" w:sz="0" w:space="0" w:color="auto"/>
        <w:left w:val="none" w:sz="0" w:space="0" w:color="auto"/>
        <w:bottom w:val="none" w:sz="0" w:space="0" w:color="auto"/>
        <w:right w:val="none" w:sz="0" w:space="0" w:color="auto"/>
      </w:divBdr>
      <w:divsChild>
        <w:div w:id="1165784574">
          <w:marLeft w:val="0"/>
          <w:marRight w:val="0"/>
          <w:marTop w:val="0"/>
          <w:marBottom w:val="0"/>
          <w:divBdr>
            <w:top w:val="none" w:sz="0" w:space="0" w:color="auto"/>
            <w:left w:val="none" w:sz="0" w:space="0" w:color="auto"/>
            <w:bottom w:val="none" w:sz="0" w:space="0" w:color="auto"/>
            <w:right w:val="none" w:sz="0" w:space="0" w:color="auto"/>
          </w:divBdr>
        </w:div>
      </w:divsChild>
    </w:div>
    <w:div w:id="986939329">
      <w:bodyDiv w:val="1"/>
      <w:marLeft w:val="0"/>
      <w:marRight w:val="0"/>
      <w:marTop w:val="0"/>
      <w:marBottom w:val="0"/>
      <w:divBdr>
        <w:top w:val="none" w:sz="0" w:space="0" w:color="auto"/>
        <w:left w:val="none" w:sz="0" w:space="0" w:color="auto"/>
        <w:bottom w:val="none" w:sz="0" w:space="0" w:color="auto"/>
        <w:right w:val="none" w:sz="0" w:space="0" w:color="auto"/>
      </w:divBdr>
    </w:div>
    <w:div w:id="1101535490">
      <w:bodyDiv w:val="1"/>
      <w:marLeft w:val="0"/>
      <w:marRight w:val="0"/>
      <w:marTop w:val="0"/>
      <w:marBottom w:val="0"/>
      <w:divBdr>
        <w:top w:val="none" w:sz="0" w:space="0" w:color="auto"/>
        <w:left w:val="none" w:sz="0" w:space="0" w:color="auto"/>
        <w:bottom w:val="none" w:sz="0" w:space="0" w:color="auto"/>
        <w:right w:val="none" w:sz="0" w:space="0" w:color="auto"/>
      </w:divBdr>
    </w:div>
    <w:div w:id="1343125326">
      <w:bodyDiv w:val="1"/>
      <w:marLeft w:val="0"/>
      <w:marRight w:val="0"/>
      <w:marTop w:val="0"/>
      <w:marBottom w:val="0"/>
      <w:divBdr>
        <w:top w:val="none" w:sz="0" w:space="0" w:color="auto"/>
        <w:left w:val="none" w:sz="0" w:space="0" w:color="auto"/>
        <w:bottom w:val="none" w:sz="0" w:space="0" w:color="auto"/>
        <w:right w:val="none" w:sz="0" w:space="0" w:color="auto"/>
      </w:divBdr>
    </w:div>
    <w:div w:id="1370450000">
      <w:bodyDiv w:val="1"/>
      <w:marLeft w:val="0"/>
      <w:marRight w:val="0"/>
      <w:marTop w:val="0"/>
      <w:marBottom w:val="0"/>
      <w:divBdr>
        <w:top w:val="none" w:sz="0" w:space="0" w:color="auto"/>
        <w:left w:val="none" w:sz="0" w:space="0" w:color="auto"/>
        <w:bottom w:val="none" w:sz="0" w:space="0" w:color="auto"/>
        <w:right w:val="none" w:sz="0" w:space="0" w:color="auto"/>
      </w:divBdr>
    </w:div>
    <w:div w:id="1406731330">
      <w:bodyDiv w:val="1"/>
      <w:marLeft w:val="0"/>
      <w:marRight w:val="0"/>
      <w:marTop w:val="0"/>
      <w:marBottom w:val="0"/>
      <w:divBdr>
        <w:top w:val="none" w:sz="0" w:space="0" w:color="auto"/>
        <w:left w:val="none" w:sz="0" w:space="0" w:color="auto"/>
        <w:bottom w:val="none" w:sz="0" w:space="0" w:color="auto"/>
        <w:right w:val="none" w:sz="0" w:space="0" w:color="auto"/>
      </w:divBdr>
      <w:divsChild>
        <w:div w:id="848982983">
          <w:marLeft w:val="0"/>
          <w:marRight w:val="0"/>
          <w:marTop w:val="0"/>
          <w:marBottom w:val="0"/>
          <w:divBdr>
            <w:top w:val="none" w:sz="0" w:space="0" w:color="auto"/>
            <w:left w:val="none" w:sz="0" w:space="0" w:color="auto"/>
            <w:bottom w:val="none" w:sz="0" w:space="0" w:color="auto"/>
            <w:right w:val="none" w:sz="0" w:space="0" w:color="auto"/>
          </w:divBdr>
          <w:divsChild>
            <w:div w:id="4985306">
              <w:marLeft w:val="0"/>
              <w:marRight w:val="0"/>
              <w:marTop w:val="0"/>
              <w:marBottom w:val="0"/>
              <w:divBdr>
                <w:top w:val="none" w:sz="0" w:space="0" w:color="auto"/>
                <w:left w:val="none" w:sz="0" w:space="0" w:color="auto"/>
                <w:bottom w:val="none" w:sz="0" w:space="0" w:color="auto"/>
                <w:right w:val="none" w:sz="0" w:space="0" w:color="auto"/>
              </w:divBdr>
            </w:div>
            <w:div w:id="19165873">
              <w:marLeft w:val="0"/>
              <w:marRight w:val="0"/>
              <w:marTop w:val="0"/>
              <w:marBottom w:val="0"/>
              <w:divBdr>
                <w:top w:val="none" w:sz="0" w:space="0" w:color="auto"/>
                <w:left w:val="none" w:sz="0" w:space="0" w:color="auto"/>
                <w:bottom w:val="none" w:sz="0" w:space="0" w:color="auto"/>
                <w:right w:val="none" w:sz="0" w:space="0" w:color="auto"/>
              </w:divBdr>
            </w:div>
            <w:div w:id="32006833">
              <w:marLeft w:val="0"/>
              <w:marRight w:val="0"/>
              <w:marTop w:val="0"/>
              <w:marBottom w:val="0"/>
              <w:divBdr>
                <w:top w:val="none" w:sz="0" w:space="0" w:color="auto"/>
                <w:left w:val="none" w:sz="0" w:space="0" w:color="auto"/>
                <w:bottom w:val="none" w:sz="0" w:space="0" w:color="auto"/>
                <w:right w:val="none" w:sz="0" w:space="0" w:color="auto"/>
              </w:divBdr>
            </w:div>
            <w:div w:id="52433178">
              <w:marLeft w:val="0"/>
              <w:marRight w:val="0"/>
              <w:marTop w:val="0"/>
              <w:marBottom w:val="0"/>
              <w:divBdr>
                <w:top w:val="none" w:sz="0" w:space="0" w:color="auto"/>
                <w:left w:val="none" w:sz="0" w:space="0" w:color="auto"/>
                <w:bottom w:val="none" w:sz="0" w:space="0" w:color="auto"/>
                <w:right w:val="none" w:sz="0" w:space="0" w:color="auto"/>
              </w:divBdr>
            </w:div>
            <w:div w:id="56830719">
              <w:marLeft w:val="0"/>
              <w:marRight w:val="0"/>
              <w:marTop w:val="0"/>
              <w:marBottom w:val="0"/>
              <w:divBdr>
                <w:top w:val="none" w:sz="0" w:space="0" w:color="auto"/>
                <w:left w:val="none" w:sz="0" w:space="0" w:color="auto"/>
                <w:bottom w:val="none" w:sz="0" w:space="0" w:color="auto"/>
                <w:right w:val="none" w:sz="0" w:space="0" w:color="auto"/>
              </w:divBdr>
            </w:div>
            <w:div w:id="57172329">
              <w:marLeft w:val="0"/>
              <w:marRight w:val="0"/>
              <w:marTop w:val="0"/>
              <w:marBottom w:val="0"/>
              <w:divBdr>
                <w:top w:val="none" w:sz="0" w:space="0" w:color="auto"/>
                <w:left w:val="none" w:sz="0" w:space="0" w:color="auto"/>
                <w:bottom w:val="none" w:sz="0" w:space="0" w:color="auto"/>
                <w:right w:val="none" w:sz="0" w:space="0" w:color="auto"/>
              </w:divBdr>
            </w:div>
            <w:div w:id="102967257">
              <w:marLeft w:val="0"/>
              <w:marRight w:val="0"/>
              <w:marTop w:val="0"/>
              <w:marBottom w:val="0"/>
              <w:divBdr>
                <w:top w:val="none" w:sz="0" w:space="0" w:color="auto"/>
                <w:left w:val="none" w:sz="0" w:space="0" w:color="auto"/>
                <w:bottom w:val="none" w:sz="0" w:space="0" w:color="auto"/>
                <w:right w:val="none" w:sz="0" w:space="0" w:color="auto"/>
              </w:divBdr>
            </w:div>
            <w:div w:id="113523889">
              <w:marLeft w:val="0"/>
              <w:marRight w:val="0"/>
              <w:marTop w:val="0"/>
              <w:marBottom w:val="0"/>
              <w:divBdr>
                <w:top w:val="none" w:sz="0" w:space="0" w:color="auto"/>
                <w:left w:val="none" w:sz="0" w:space="0" w:color="auto"/>
                <w:bottom w:val="none" w:sz="0" w:space="0" w:color="auto"/>
                <w:right w:val="none" w:sz="0" w:space="0" w:color="auto"/>
              </w:divBdr>
            </w:div>
            <w:div w:id="116264380">
              <w:marLeft w:val="0"/>
              <w:marRight w:val="0"/>
              <w:marTop w:val="0"/>
              <w:marBottom w:val="0"/>
              <w:divBdr>
                <w:top w:val="none" w:sz="0" w:space="0" w:color="auto"/>
                <w:left w:val="none" w:sz="0" w:space="0" w:color="auto"/>
                <w:bottom w:val="none" w:sz="0" w:space="0" w:color="auto"/>
                <w:right w:val="none" w:sz="0" w:space="0" w:color="auto"/>
              </w:divBdr>
            </w:div>
            <w:div w:id="118035360">
              <w:marLeft w:val="0"/>
              <w:marRight w:val="0"/>
              <w:marTop w:val="0"/>
              <w:marBottom w:val="0"/>
              <w:divBdr>
                <w:top w:val="none" w:sz="0" w:space="0" w:color="auto"/>
                <w:left w:val="none" w:sz="0" w:space="0" w:color="auto"/>
                <w:bottom w:val="none" w:sz="0" w:space="0" w:color="auto"/>
                <w:right w:val="none" w:sz="0" w:space="0" w:color="auto"/>
              </w:divBdr>
            </w:div>
            <w:div w:id="118687859">
              <w:marLeft w:val="0"/>
              <w:marRight w:val="0"/>
              <w:marTop w:val="0"/>
              <w:marBottom w:val="0"/>
              <w:divBdr>
                <w:top w:val="none" w:sz="0" w:space="0" w:color="auto"/>
                <w:left w:val="none" w:sz="0" w:space="0" w:color="auto"/>
                <w:bottom w:val="none" w:sz="0" w:space="0" w:color="auto"/>
                <w:right w:val="none" w:sz="0" w:space="0" w:color="auto"/>
              </w:divBdr>
            </w:div>
            <w:div w:id="122503282">
              <w:marLeft w:val="0"/>
              <w:marRight w:val="0"/>
              <w:marTop w:val="0"/>
              <w:marBottom w:val="0"/>
              <w:divBdr>
                <w:top w:val="none" w:sz="0" w:space="0" w:color="auto"/>
                <w:left w:val="none" w:sz="0" w:space="0" w:color="auto"/>
                <w:bottom w:val="none" w:sz="0" w:space="0" w:color="auto"/>
                <w:right w:val="none" w:sz="0" w:space="0" w:color="auto"/>
              </w:divBdr>
            </w:div>
            <w:div w:id="127093275">
              <w:marLeft w:val="0"/>
              <w:marRight w:val="0"/>
              <w:marTop w:val="0"/>
              <w:marBottom w:val="0"/>
              <w:divBdr>
                <w:top w:val="none" w:sz="0" w:space="0" w:color="auto"/>
                <w:left w:val="none" w:sz="0" w:space="0" w:color="auto"/>
                <w:bottom w:val="none" w:sz="0" w:space="0" w:color="auto"/>
                <w:right w:val="none" w:sz="0" w:space="0" w:color="auto"/>
              </w:divBdr>
            </w:div>
            <w:div w:id="136649084">
              <w:marLeft w:val="0"/>
              <w:marRight w:val="0"/>
              <w:marTop w:val="0"/>
              <w:marBottom w:val="0"/>
              <w:divBdr>
                <w:top w:val="none" w:sz="0" w:space="0" w:color="auto"/>
                <w:left w:val="none" w:sz="0" w:space="0" w:color="auto"/>
                <w:bottom w:val="none" w:sz="0" w:space="0" w:color="auto"/>
                <w:right w:val="none" w:sz="0" w:space="0" w:color="auto"/>
              </w:divBdr>
            </w:div>
            <w:div w:id="138696626">
              <w:marLeft w:val="0"/>
              <w:marRight w:val="0"/>
              <w:marTop w:val="0"/>
              <w:marBottom w:val="0"/>
              <w:divBdr>
                <w:top w:val="none" w:sz="0" w:space="0" w:color="auto"/>
                <w:left w:val="none" w:sz="0" w:space="0" w:color="auto"/>
                <w:bottom w:val="none" w:sz="0" w:space="0" w:color="auto"/>
                <w:right w:val="none" w:sz="0" w:space="0" w:color="auto"/>
              </w:divBdr>
            </w:div>
            <w:div w:id="141430038">
              <w:marLeft w:val="0"/>
              <w:marRight w:val="0"/>
              <w:marTop w:val="0"/>
              <w:marBottom w:val="0"/>
              <w:divBdr>
                <w:top w:val="none" w:sz="0" w:space="0" w:color="auto"/>
                <w:left w:val="none" w:sz="0" w:space="0" w:color="auto"/>
                <w:bottom w:val="none" w:sz="0" w:space="0" w:color="auto"/>
                <w:right w:val="none" w:sz="0" w:space="0" w:color="auto"/>
              </w:divBdr>
            </w:div>
            <w:div w:id="179587073">
              <w:marLeft w:val="0"/>
              <w:marRight w:val="0"/>
              <w:marTop w:val="0"/>
              <w:marBottom w:val="0"/>
              <w:divBdr>
                <w:top w:val="none" w:sz="0" w:space="0" w:color="auto"/>
                <w:left w:val="none" w:sz="0" w:space="0" w:color="auto"/>
                <w:bottom w:val="none" w:sz="0" w:space="0" w:color="auto"/>
                <w:right w:val="none" w:sz="0" w:space="0" w:color="auto"/>
              </w:divBdr>
            </w:div>
            <w:div w:id="182519621">
              <w:marLeft w:val="0"/>
              <w:marRight w:val="0"/>
              <w:marTop w:val="0"/>
              <w:marBottom w:val="0"/>
              <w:divBdr>
                <w:top w:val="none" w:sz="0" w:space="0" w:color="auto"/>
                <w:left w:val="none" w:sz="0" w:space="0" w:color="auto"/>
                <w:bottom w:val="none" w:sz="0" w:space="0" w:color="auto"/>
                <w:right w:val="none" w:sz="0" w:space="0" w:color="auto"/>
              </w:divBdr>
            </w:div>
            <w:div w:id="184951765">
              <w:marLeft w:val="0"/>
              <w:marRight w:val="0"/>
              <w:marTop w:val="0"/>
              <w:marBottom w:val="0"/>
              <w:divBdr>
                <w:top w:val="none" w:sz="0" w:space="0" w:color="auto"/>
                <w:left w:val="none" w:sz="0" w:space="0" w:color="auto"/>
                <w:bottom w:val="none" w:sz="0" w:space="0" w:color="auto"/>
                <w:right w:val="none" w:sz="0" w:space="0" w:color="auto"/>
              </w:divBdr>
            </w:div>
            <w:div w:id="217786214">
              <w:marLeft w:val="0"/>
              <w:marRight w:val="0"/>
              <w:marTop w:val="0"/>
              <w:marBottom w:val="0"/>
              <w:divBdr>
                <w:top w:val="none" w:sz="0" w:space="0" w:color="auto"/>
                <w:left w:val="none" w:sz="0" w:space="0" w:color="auto"/>
                <w:bottom w:val="none" w:sz="0" w:space="0" w:color="auto"/>
                <w:right w:val="none" w:sz="0" w:space="0" w:color="auto"/>
              </w:divBdr>
            </w:div>
            <w:div w:id="237715232">
              <w:marLeft w:val="0"/>
              <w:marRight w:val="0"/>
              <w:marTop w:val="0"/>
              <w:marBottom w:val="0"/>
              <w:divBdr>
                <w:top w:val="none" w:sz="0" w:space="0" w:color="auto"/>
                <w:left w:val="none" w:sz="0" w:space="0" w:color="auto"/>
                <w:bottom w:val="none" w:sz="0" w:space="0" w:color="auto"/>
                <w:right w:val="none" w:sz="0" w:space="0" w:color="auto"/>
              </w:divBdr>
            </w:div>
            <w:div w:id="239222292">
              <w:marLeft w:val="0"/>
              <w:marRight w:val="0"/>
              <w:marTop w:val="0"/>
              <w:marBottom w:val="0"/>
              <w:divBdr>
                <w:top w:val="none" w:sz="0" w:space="0" w:color="auto"/>
                <w:left w:val="none" w:sz="0" w:space="0" w:color="auto"/>
                <w:bottom w:val="none" w:sz="0" w:space="0" w:color="auto"/>
                <w:right w:val="none" w:sz="0" w:space="0" w:color="auto"/>
              </w:divBdr>
            </w:div>
            <w:div w:id="244850040">
              <w:marLeft w:val="0"/>
              <w:marRight w:val="0"/>
              <w:marTop w:val="0"/>
              <w:marBottom w:val="0"/>
              <w:divBdr>
                <w:top w:val="none" w:sz="0" w:space="0" w:color="auto"/>
                <w:left w:val="none" w:sz="0" w:space="0" w:color="auto"/>
                <w:bottom w:val="none" w:sz="0" w:space="0" w:color="auto"/>
                <w:right w:val="none" w:sz="0" w:space="0" w:color="auto"/>
              </w:divBdr>
            </w:div>
            <w:div w:id="252324545">
              <w:marLeft w:val="0"/>
              <w:marRight w:val="0"/>
              <w:marTop w:val="0"/>
              <w:marBottom w:val="0"/>
              <w:divBdr>
                <w:top w:val="none" w:sz="0" w:space="0" w:color="auto"/>
                <w:left w:val="none" w:sz="0" w:space="0" w:color="auto"/>
                <w:bottom w:val="none" w:sz="0" w:space="0" w:color="auto"/>
                <w:right w:val="none" w:sz="0" w:space="0" w:color="auto"/>
              </w:divBdr>
            </w:div>
            <w:div w:id="258488309">
              <w:marLeft w:val="0"/>
              <w:marRight w:val="0"/>
              <w:marTop w:val="0"/>
              <w:marBottom w:val="0"/>
              <w:divBdr>
                <w:top w:val="none" w:sz="0" w:space="0" w:color="auto"/>
                <w:left w:val="none" w:sz="0" w:space="0" w:color="auto"/>
                <w:bottom w:val="none" w:sz="0" w:space="0" w:color="auto"/>
                <w:right w:val="none" w:sz="0" w:space="0" w:color="auto"/>
              </w:divBdr>
            </w:div>
            <w:div w:id="261647374">
              <w:marLeft w:val="0"/>
              <w:marRight w:val="0"/>
              <w:marTop w:val="0"/>
              <w:marBottom w:val="0"/>
              <w:divBdr>
                <w:top w:val="none" w:sz="0" w:space="0" w:color="auto"/>
                <w:left w:val="none" w:sz="0" w:space="0" w:color="auto"/>
                <w:bottom w:val="none" w:sz="0" w:space="0" w:color="auto"/>
                <w:right w:val="none" w:sz="0" w:space="0" w:color="auto"/>
              </w:divBdr>
            </w:div>
            <w:div w:id="268240932">
              <w:marLeft w:val="0"/>
              <w:marRight w:val="0"/>
              <w:marTop w:val="0"/>
              <w:marBottom w:val="0"/>
              <w:divBdr>
                <w:top w:val="none" w:sz="0" w:space="0" w:color="auto"/>
                <w:left w:val="none" w:sz="0" w:space="0" w:color="auto"/>
                <w:bottom w:val="none" w:sz="0" w:space="0" w:color="auto"/>
                <w:right w:val="none" w:sz="0" w:space="0" w:color="auto"/>
              </w:divBdr>
            </w:div>
            <w:div w:id="269628256">
              <w:marLeft w:val="0"/>
              <w:marRight w:val="0"/>
              <w:marTop w:val="0"/>
              <w:marBottom w:val="0"/>
              <w:divBdr>
                <w:top w:val="none" w:sz="0" w:space="0" w:color="auto"/>
                <w:left w:val="none" w:sz="0" w:space="0" w:color="auto"/>
                <w:bottom w:val="none" w:sz="0" w:space="0" w:color="auto"/>
                <w:right w:val="none" w:sz="0" w:space="0" w:color="auto"/>
              </w:divBdr>
            </w:div>
            <w:div w:id="271326298">
              <w:marLeft w:val="0"/>
              <w:marRight w:val="0"/>
              <w:marTop w:val="0"/>
              <w:marBottom w:val="0"/>
              <w:divBdr>
                <w:top w:val="none" w:sz="0" w:space="0" w:color="auto"/>
                <w:left w:val="none" w:sz="0" w:space="0" w:color="auto"/>
                <w:bottom w:val="none" w:sz="0" w:space="0" w:color="auto"/>
                <w:right w:val="none" w:sz="0" w:space="0" w:color="auto"/>
              </w:divBdr>
            </w:div>
            <w:div w:id="286397799">
              <w:marLeft w:val="0"/>
              <w:marRight w:val="0"/>
              <w:marTop w:val="0"/>
              <w:marBottom w:val="0"/>
              <w:divBdr>
                <w:top w:val="none" w:sz="0" w:space="0" w:color="auto"/>
                <w:left w:val="none" w:sz="0" w:space="0" w:color="auto"/>
                <w:bottom w:val="none" w:sz="0" w:space="0" w:color="auto"/>
                <w:right w:val="none" w:sz="0" w:space="0" w:color="auto"/>
              </w:divBdr>
            </w:div>
            <w:div w:id="293104702">
              <w:marLeft w:val="0"/>
              <w:marRight w:val="0"/>
              <w:marTop w:val="0"/>
              <w:marBottom w:val="0"/>
              <w:divBdr>
                <w:top w:val="none" w:sz="0" w:space="0" w:color="auto"/>
                <w:left w:val="none" w:sz="0" w:space="0" w:color="auto"/>
                <w:bottom w:val="none" w:sz="0" w:space="0" w:color="auto"/>
                <w:right w:val="none" w:sz="0" w:space="0" w:color="auto"/>
              </w:divBdr>
            </w:div>
            <w:div w:id="295449480">
              <w:marLeft w:val="0"/>
              <w:marRight w:val="0"/>
              <w:marTop w:val="0"/>
              <w:marBottom w:val="0"/>
              <w:divBdr>
                <w:top w:val="none" w:sz="0" w:space="0" w:color="auto"/>
                <w:left w:val="none" w:sz="0" w:space="0" w:color="auto"/>
                <w:bottom w:val="none" w:sz="0" w:space="0" w:color="auto"/>
                <w:right w:val="none" w:sz="0" w:space="0" w:color="auto"/>
              </w:divBdr>
            </w:div>
            <w:div w:id="316809790">
              <w:marLeft w:val="0"/>
              <w:marRight w:val="0"/>
              <w:marTop w:val="0"/>
              <w:marBottom w:val="0"/>
              <w:divBdr>
                <w:top w:val="none" w:sz="0" w:space="0" w:color="auto"/>
                <w:left w:val="none" w:sz="0" w:space="0" w:color="auto"/>
                <w:bottom w:val="none" w:sz="0" w:space="0" w:color="auto"/>
                <w:right w:val="none" w:sz="0" w:space="0" w:color="auto"/>
              </w:divBdr>
            </w:div>
            <w:div w:id="319504964">
              <w:marLeft w:val="0"/>
              <w:marRight w:val="0"/>
              <w:marTop w:val="0"/>
              <w:marBottom w:val="0"/>
              <w:divBdr>
                <w:top w:val="none" w:sz="0" w:space="0" w:color="auto"/>
                <w:left w:val="none" w:sz="0" w:space="0" w:color="auto"/>
                <w:bottom w:val="none" w:sz="0" w:space="0" w:color="auto"/>
                <w:right w:val="none" w:sz="0" w:space="0" w:color="auto"/>
              </w:divBdr>
            </w:div>
            <w:div w:id="331420908">
              <w:marLeft w:val="0"/>
              <w:marRight w:val="0"/>
              <w:marTop w:val="0"/>
              <w:marBottom w:val="0"/>
              <w:divBdr>
                <w:top w:val="none" w:sz="0" w:space="0" w:color="auto"/>
                <w:left w:val="none" w:sz="0" w:space="0" w:color="auto"/>
                <w:bottom w:val="none" w:sz="0" w:space="0" w:color="auto"/>
                <w:right w:val="none" w:sz="0" w:space="0" w:color="auto"/>
              </w:divBdr>
            </w:div>
            <w:div w:id="352803733">
              <w:marLeft w:val="0"/>
              <w:marRight w:val="0"/>
              <w:marTop w:val="0"/>
              <w:marBottom w:val="0"/>
              <w:divBdr>
                <w:top w:val="none" w:sz="0" w:space="0" w:color="auto"/>
                <w:left w:val="none" w:sz="0" w:space="0" w:color="auto"/>
                <w:bottom w:val="none" w:sz="0" w:space="0" w:color="auto"/>
                <w:right w:val="none" w:sz="0" w:space="0" w:color="auto"/>
              </w:divBdr>
            </w:div>
            <w:div w:id="404255981">
              <w:marLeft w:val="0"/>
              <w:marRight w:val="0"/>
              <w:marTop w:val="0"/>
              <w:marBottom w:val="0"/>
              <w:divBdr>
                <w:top w:val="none" w:sz="0" w:space="0" w:color="auto"/>
                <w:left w:val="none" w:sz="0" w:space="0" w:color="auto"/>
                <w:bottom w:val="none" w:sz="0" w:space="0" w:color="auto"/>
                <w:right w:val="none" w:sz="0" w:space="0" w:color="auto"/>
              </w:divBdr>
            </w:div>
            <w:div w:id="412163642">
              <w:marLeft w:val="0"/>
              <w:marRight w:val="0"/>
              <w:marTop w:val="0"/>
              <w:marBottom w:val="0"/>
              <w:divBdr>
                <w:top w:val="none" w:sz="0" w:space="0" w:color="auto"/>
                <w:left w:val="none" w:sz="0" w:space="0" w:color="auto"/>
                <w:bottom w:val="none" w:sz="0" w:space="0" w:color="auto"/>
                <w:right w:val="none" w:sz="0" w:space="0" w:color="auto"/>
              </w:divBdr>
            </w:div>
            <w:div w:id="459037850">
              <w:marLeft w:val="0"/>
              <w:marRight w:val="0"/>
              <w:marTop w:val="0"/>
              <w:marBottom w:val="0"/>
              <w:divBdr>
                <w:top w:val="none" w:sz="0" w:space="0" w:color="auto"/>
                <w:left w:val="none" w:sz="0" w:space="0" w:color="auto"/>
                <w:bottom w:val="none" w:sz="0" w:space="0" w:color="auto"/>
                <w:right w:val="none" w:sz="0" w:space="0" w:color="auto"/>
              </w:divBdr>
            </w:div>
            <w:div w:id="463428218">
              <w:marLeft w:val="0"/>
              <w:marRight w:val="0"/>
              <w:marTop w:val="0"/>
              <w:marBottom w:val="0"/>
              <w:divBdr>
                <w:top w:val="none" w:sz="0" w:space="0" w:color="auto"/>
                <w:left w:val="none" w:sz="0" w:space="0" w:color="auto"/>
                <w:bottom w:val="none" w:sz="0" w:space="0" w:color="auto"/>
                <w:right w:val="none" w:sz="0" w:space="0" w:color="auto"/>
              </w:divBdr>
            </w:div>
            <w:div w:id="465390751">
              <w:marLeft w:val="0"/>
              <w:marRight w:val="0"/>
              <w:marTop w:val="0"/>
              <w:marBottom w:val="0"/>
              <w:divBdr>
                <w:top w:val="none" w:sz="0" w:space="0" w:color="auto"/>
                <w:left w:val="none" w:sz="0" w:space="0" w:color="auto"/>
                <w:bottom w:val="none" w:sz="0" w:space="0" w:color="auto"/>
                <w:right w:val="none" w:sz="0" w:space="0" w:color="auto"/>
              </w:divBdr>
            </w:div>
            <w:div w:id="468548635">
              <w:marLeft w:val="0"/>
              <w:marRight w:val="0"/>
              <w:marTop w:val="0"/>
              <w:marBottom w:val="0"/>
              <w:divBdr>
                <w:top w:val="none" w:sz="0" w:space="0" w:color="auto"/>
                <w:left w:val="none" w:sz="0" w:space="0" w:color="auto"/>
                <w:bottom w:val="none" w:sz="0" w:space="0" w:color="auto"/>
                <w:right w:val="none" w:sz="0" w:space="0" w:color="auto"/>
              </w:divBdr>
            </w:div>
            <w:div w:id="479883780">
              <w:marLeft w:val="0"/>
              <w:marRight w:val="0"/>
              <w:marTop w:val="0"/>
              <w:marBottom w:val="0"/>
              <w:divBdr>
                <w:top w:val="none" w:sz="0" w:space="0" w:color="auto"/>
                <w:left w:val="none" w:sz="0" w:space="0" w:color="auto"/>
                <w:bottom w:val="none" w:sz="0" w:space="0" w:color="auto"/>
                <w:right w:val="none" w:sz="0" w:space="0" w:color="auto"/>
              </w:divBdr>
            </w:div>
            <w:div w:id="488060641">
              <w:marLeft w:val="0"/>
              <w:marRight w:val="0"/>
              <w:marTop w:val="0"/>
              <w:marBottom w:val="0"/>
              <w:divBdr>
                <w:top w:val="none" w:sz="0" w:space="0" w:color="auto"/>
                <w:left w:val="none" w:sz="0" w:space="0" w:color="auto"/>
                <w:bottom w:val="none" w:sz="0" w:space="0" w:color="auto"/>
                <w:right w:val="none" w:sz="0" w:space="0" w:color="auto"/>
              </w:divBdr>
            </w:div>
            <w:div w:id="494763758">
              <w:marLeft w:val="0"/>
              <w:marRight w:val="0"/>
              <w:marTop w:val="0"/>
              <w:marBottom w:val="0"/>
              <w:divBdr>
                <w:top w:val="none" w:sz="0" w:space="0" w:color="auto"/>
                <w:left w:val="none" w:sz="0" w:space="0" w:color="auto"/>
                <w:bottom w:val="none" w:sz="0" w:space="0" w:color="auto"/>
                <w:right w:val="none" w:sz="0" w:space="0" w:color="auto"/>
              </w:divBdr>
            </w:div>
            <w:div w:id="499082170">
              <w:marLeft w:val="0"/>
              <w:marRight w:val="0"/>
              <w:marTop w:val="0"/>
              <w:marBottom w:val="0"/>
              <w:divBdr>
                <w:top w:val="none" w:sz="0" w:space="0" w:color="auto"/>
                <w:left w:val="none" w:sz="0" w:space="0" w:color="auto"/>
                <w:bottom w:val="none" w:sz="0" w:space="0" w:color="auto"/>
                <w:right w:val="none" w:sz="0" w:space="0" w:color="auto"/>
              </w:divBdr>
            </w:div>
            <w:div w:id="506868412">
              <w:marLeft w:val="0"/>
              <w:marRight w:val="0"/>
              <w:marTop w:val="0"/>
              <w:marBottom w:val="0"/>
              <w:divBdr>
                <w:top w:val="none" w:sz="0" w:space="0" w:color="auto"/>
                <w:left w:val="none" w:sz="0" w:space="0" w:color="auto"/>
                <w:bottom w:val="none" w:sz="0" w:space="0" w:color="auto"/>
                <w:right w:val="none" w:sz="0" w:space="0" w:color="auto"/>
              </w:divBdr>
            </w:div>
            <w:div w:id="515729978">
              <w:marLeft w:val="0"/>
              <w:marRight w:val="0"/>
              <w:marTop w:val="0"/>
              <w:marBottom w:val="0"/>
              <w:divBdr>
                <w:top w:val="none" w:sz="0" w:space="0" w:color="auto"/>
                <w:left w:val="none" w:sz="0" w:space="0" w:color="auto"/>
                <w:bottom w:val="none" w:sz="0" w:space="0" w:color="auto"/>
                <w:right w:val="none" w:sz="0" w:space="0" w:color="auto"/>
              </w:divBdr>
            </w:div>
            <w:div w:id="523592063">
              <w:marLeft w:val="0"/>
              <w:marRight w:val="0"/>
              <w:marTop w:val="0"/>
              <w:marBottom w:val="0"/>
              <w:divBdr>
                <w:top w:val="none" w:sz="0" w:space="0" w:color="auto"/>
                <w:left w:val="none" w:sz="0" w:space="0" w:color="auto"/>
                <w:bottom w:val="none" w:sz="0" w:space="0" w:color="auto"/>
                <w:right w:val="none" w:sz="0" w:space="0" w:color="auto"/>
              </w:divBdr>
            </w:div>
            <w:div w:id="536894860">
              <w:marLeft w:val="0"/>
              <w:marRight w:val="0"/>
              <w:marTop w:val="0"/>
              <w:marBottom w:val="0"/>
              <w:divBdr>
                <w:top w:val="none" w:sz="0" w:space="0" w:color="auto"/>
                <w:left w:val="none" w:sz="0" w:space="0" w:color="auto"/>
                <w:bottom w:val="none" w:sz="0" w:space="0" w:color="auto"/>
                <w:right w:val="none" w:sz="0" w:space="0" w:color="auto"/>
              </w:divBdr>
            </w:div>
            <w:div w:id="572744039">
              <w:marLeft w:val="0"/>
              <w:marRight w:val="0"/>
              <w:marTop w:val="0"/>
              <w:marBottom w:val="0"/>
              <w:divBdr>
                <w:top w:val="none" w:sz="0" w:space="0" w:color="auto"/>
                <w:left w:val="none" w:sz="0" w:space="0" w:color="auto"/>
                <w:bottom w:val="none" w:sz="0" w:space="0" w:color="auto"/>
                <w:right w:val="none" w:sz="0" w:space="0" w:color="auto"/>
              </w:divBdr>
            </w:div>
            <w:div w:id="590238809">
              <w:marLeft w:val="0"/>
              <w:marRight w:val="0"/>
              <w:marTop w:val="0"/>
              <w:marBottom w:val="0"/>
              <w:divBdr>
                <w:top w:val="none" w:sz="0" w:space="0" w:color="auto"/>
                <w:left w:val="none" w:sz="0" w:space="0" w:color="auto"/>
                <w:bottom w:val="none" w:sz="0" w:space="0" w:color="auto"/>
                <w:right w:val="none" w:sz="0" w:space="0" w:color="auto"/>
              </w:divBdr>
            </w:div>
            <w:div w:id="593171124">
              <w:marLeft w:val="0"/>
              <w:marRight w:val="0"/>
              <w:marTop w:val="0"/>
              <w:marBottom w:val="0"/>
              <w:divBdr>
                <w:top w:val="none" w:sz="0" w:space="0" w:color="auto"/>
                <w:left w:val="none" w:sz="0" w:space="0" w:color="auto"/>
                <w:bottom w:val="none" w:sz="0" w:space="0" w:color="auto"/>
                <w:right w:val="none" w:sz="0" w:space="0" w:color="auto"/>
              </w:divBdr>
            </w:div>
            <w:div w:id="597828571">
              <w:marLeft w:val="0"/>
              <w:marRight w:val="0"/>
              <w:marTop w:val="0"/>
              <w:marBottom w:val="0"/>
              <w:divBdr>
                <w:top w:val="none" w:sz="0" w:space="0" w:color="auto"/>
                <w:left w:val="none" w:sz="0" w:space="0" w:color="auto"/>
                <w:bottom w:val="none" w:sz="0" w:space="0" w:color="auto"/>
                <w:right w:val="none" w:sz="0" w:space="0" w:color="auto"/>
              </w:divBdr>
            </w:div>
            <w:div w:id="599602853">
              <w:marLeft w:val="0"/>
              <w:marRight w:val="0"/>
              <w:marTop w:val="0"/>
              <w:marBottom w:val="0"/>
              <w:divBdr>
                <w:top w:val="none" w:sz="0" w:space="0" w:color="auto"/>
                <w:left w:val="none" w:sz="0" w:space="0" w:color="auto"/>
                <w:bottom w:val="none" w:sz="0" w:space="0" w:color="auto"/>
                <w:right w:val="none" w:sz="0" w:space="0" w:color="auto"/>
              </w:divBdr>
            </w:div>
            <w:div w:id="621108015">
              <w:marLeft w:val="0"/>
              <w:marRight w:val="0"/>
              <w:marTop w:val="0"/>
              <w:marBottom w:val="0"/>
              <w:divBdr>
                <w:top w:val="none" w:sz="0" w:space="0" w:color="auto"/>
                <w:left w:val="none" w:sz="0" w:space="0" w:color="auto"/>
                <w:bottom w:val="none" w:sz="0" w:space="0" w:color="auto"/>
                <w:right w:val="none" w:sz="0" w:space="0" w:color="auto"/>
              </w:divBdr>
            </w:div>
            <w:div w:id="640966538">
              <w:marLeft w:val="0"/>
              <w:marRight w:val="0"/>
              <w:marTop w:val="0"/>
              <w:marBottom w:val="0"/>
              <w:divBdr>
                <w:top w:val="none" w:sz="0" w:space="0" w:color="auto"/>
                <w:left w:val="none" w:sz="0" w:space="0" w:color="auto"/>
                <w:bottom w:val="none" w:sz="0" w:space="0" w:color="auto"/>
                <w:right w:val="none" w:sz="0" w:space="0" w:color="auto"/>
              </w:divBdr>
            </w:div>
            <w:div w:id="647245953">
              <w:marLeft w:val="0"/>
              <w:marRight w:val="0"/>
              <w:marTop w:val="0"/>
              <w:marBottom w:val="0"/>
              <w:divBdr>
                <w:top w:val="none" w:sz="0" w:space="0" w:color="auto"/>
                <w:left w:val="none" w:sz="0" w:space="0" w:color="auto"/>
                <w:bottom w:val="none" w:sz="0" w:space="0" w:color="auto"/>
                <w:right w:val="none" w:sz="0" w:space="0" w:color="auto"/>
              </w:divBdr>
            </w:div>
            <w:div w:id="660423611">
              <w:marLeft w:val="0"/>
              <w:marRight w:val="0"/>
              <w:marTop w:val="0"/>
              <w:marBottom w:val="0"/>
              <w:divBdr>
                <w:top w:val="none" w:sz="0" w:space="0" w:color="auto"/>
                <w:left w:val="none" w:sz="0" w:space="0" w:color="auto"/>
                <w:bottom w:val="none" w:sz="0" w:space="0" w:color="auto"/>
                <w:right w:val="none" w:sz="0" w:space="0" w:color="auto"/>
              </w:divBdr>
            </w:div>
            <w:div w:id="701324138">
              <w:marLeft w:val="0"/>
              <w:marRight w:val="0"/>
              <w:marTop w:val="0"/>
              <w:marBottom w:val="0"/>
              <w:divBdr>
                <w:top w:val="none" w:sz="0" w:space="0" w:color="auto"/>
                <w:left w:val="none" w:sz="0" w:space="0" w:color="auto"/>
                <w:bottom w:val="none" w:sz="0" w:space="0" w:color="auto"/>
                <w:right w:val="none" w:sz="0" w:space="0" w:color="auto"/>
              </w:divBdr>
            </w:div>
            <w:div w:id="707071542">
              <w:marLeft w:val="0"/>
              <w:marRight w:val="0"/>
              <w:marTop w:val="0"/>
              <w:marBottom w:val="0"/>
              <w:divBdr>
                <w:top w:val="none" w:sz="0" w:space="0" w:color="auto"/>
                <w:left w:val="none" w:sz="0" w:space="0" w:color="auto"/>
                <w:bottom w:val="none" w:sz="0" w:space="0" w:color="auto"/>
                <w:right w:val="none" w:sz="0" w:space="0" w:color="auto"/>
              </w:divBdr>
            </w:div>
            <w:div w:id="708799710">
              <w:marLeft w:val="0"/>
              <w:marRight w:val="0"/>
              <w:marTop w:val="0"/>
              <w:marBottom w:val="0"/>
              <w:divBdr>
                <w:top w:val="none" w:sz="0" w:space="0" w:color="auto"/>
                <w:left w:val="none" w:sz="0" w:space="0" w:color="auto"/>
                <w:bottom w:val="none" w:sz="0" w:space="0" w:color="auto"/>
                <w:right w:val="none" w:sz="0" w:space="0" w:color="auto"/>
              </w:divBdr>
            </w:div>
            <w:div w:id="710349747">
              <w:marLeft w:val="0"/>
              <w:marRight w:val="0"/>
              <w:marTop w:val="0"/>
              <w:marBottom w:val="0"/>
              <w:divBdr>
                <w:top w:val="none" w:sz="0" w:space="0" w:color="auto"/>
                <w:left w:val="none" w:sz="0" w:space="0" w:color="auto"/>
                <w:bottom w:val="none" w:sz="0" w:space="0" w:color="auto"/>
                <w:right w:val="none" w:sz="0" w:space="0" w:color="auto"/>
              </w:divBdr>
            </w:div>
            <w:div w:id="725690511">
              <w:marLeft w:val="0"/>
              <w:marRight w:val="0"/>
              <w:marTop w:val="0"/>
              <w:marBottom w:val="0"/>
              <w:divBdr>
                <w:top w:val="none" w:sz="0" w:space="0" w:color="auto"/>
                <w:left w:val="none" w:sz="0" w:space="0" w:color="auto"/>
                <w:bottom w:val="none" w:sz="0" w:space="0" w:color="auto"/>
                <w:right w:val="none" w:sz="0" w:space="0" w:color="auto"/>
              </w:divBdr>
            </w:div>
            <w:div w:id="725838908">
              <w:marLeft w:val="0"/>
              <w:marRight w:val="0"/>
              <w:marTop w:val="0"/>
              <w:marBottom w:val="0"/>
              <w:divBdr>
                <w:top w:val="none" w:sz="0" w:space="0" w:color="auto"/>
                <w:left w:val="none" w:sz="0" w:space="0" w:color="auto"/>
                <w:bottom w:val="none" w:sz="0" w:space="0" w:color="auto"/>
                <w:right w:val="none" w:sz="0" w:space="0" w:color="auto"/>
              </w:divBdr>
            </w:div>
            <w:div w:id="729034459">
              <w:marLeft w:val="0"/>
              <w:marRight w:val="0"/>
              <w:marTop w:val="0"/>
              <w:marBottom w:val="0"/>
              <w:divBdr>
                <w:top w:val="none" w:sz="0" w:space="0" w:color="auto"/>
                <w:left w:val="none" w:sz="0" w:space="0" w:color="auto"/>
                <w:bottom w:val="none" w:sz="0" w:space="0" w:color="auto"/>
                <w:right w:val="none" w:sz="0" w:space="0" w:color="auto"/>
              </w:divBdr>
            </w:div>
            <w:div w:id="740174785">
              <w:marLeft w:val="0"/>
              <w:marRight w:val="0"/>
              <w:marTop w:val="0"/>
              <w:marBottom w:val="0"/>
              <w:divBdr>
                <w:top w:val="none" w:sz="0" w:space="0" w:color="auto"/>
                <w:left w:val="none" w:sz="0" w:space="0" w:color="auto"/>
                <w:bottom w:val="none" w:sz="0" w:space="0" w:color="auto"/>
                <w:right w:val="none" w:sz="0" w:space="0" w:color="auto"/>
              </w:divBdr>
            </w:div>
            <w:div w:id="745032315">
              <w:marLeft w:val="0"/>
              <w:marRight w:val="0"/>
              <w:marTop w:val="0"/>
              <w:marBottom w:val="0"/>
              <w:divBdr>
                <w:top w:val="none" w:sz="0" w:space="0" w:color="auto"/>
                <w:left w:val="none" w:sz="0" w:space="0" w:color="auto"/>
                <w:bottom w:val="none" w:sz="0" w:space="0" w:color="auto"/>
                <w:right w:val="none" w:sz="0" w:space="0" w:color="auto"/>
              </w:divBdr>
            </w:div>
            <w:div w:id="756829635">
              <w:marLeft w:val="0"/>
              <w:marRight w:val="0"/>
              <w:marTop w:val="0"/>
              <w:marBottom w:val="0"/>
              <w:divBdr>
                <w:top w:val="none" w:sz="0" w:space="0" w:color="auto"/>
                <w:left w:val="none" w:sz="0" w:space="0" w:color="auto"/>
                <w:bottom w:val="none" w:sz="0" w:space="0" w:color="auto"/>
                <w:right w:val="none" w:sz="0" w:space="0" w:color="auto"/>
              </w:divBdr>
            </w:div>
            <w:div w:id="757364580">
              <w:marLeft w:val="0"/>
              <w:marRight w:val="0"/>
              <w:marTop w:val="0"/>
              <w:marBottom w:val="0"/>
              <w:divBdr>
                <w:top w:val="none" w:sz="0" w:space="0" w:color="auto"/>
                <w:left w:val="none" w:sz="0" w:space="0" w:color="auto"/>
                <w:bottom w:val="none" w:sz="0" w:space="0" w:color="auto"/>
                <w:right w:val="none" w:sz="0" w:space="0" w:color="auto"/>
              </w:divBdr>
            </w:div>
            <w:div w:id="760686061">
              <w:marLeft w:val="0"/>
              <w:marRight w:val="0"/>
              <w:marTop w:val="0"/>
              <w:marBottom w:val="0"/>
              <w:divBdr>
                <w:top w:val="none" w:sz="0" w:space="0" w:color="auto"/>
                <w:left w:val="none" w:sz="0" w:space="0" w:color="auto"/>
                <w:bottom w:val="none" w:sz="0" w:space="0" w:color="auto"/>
                <w:right w:val="none" w:sz="0" w:space="0" w:color="auto"/>
              </w:divBdr>
            </w:div>
            <w:div w:id="761268085">
              <w:marLeft w:val="0"/>
              <w:marRight w:val="0"/>
              <w:marTop w:val="0"/>
              <w:marBottom w:val="0"/>
              <w:divBdr>
                <w:top w:val="none" w:sz="0" w:space="0" w:color="auto"/>
                <w:left w:val="none" w:sz="0" w:space="0" w:color="auto"/>
                <w:bottom w:val="none" w:sz="0" w:space="0" w:color="auto"/>
                <w:right w:val="none" w:sz="0" w:space="0" w:color="auto"/>
              </w:divBdr>
            </w:div>
            <w:div w:id="762528323">
              <w:marLeft w:val="0"/>
              <w:marRight w:val="0"/>
              <w:marTop w:val="0"/>
              <w:marBottom w:val="0"/>
              <w:divBdr>
                <w:top w:val="none" w:sz="0" w:space="0" w:color="auto"/>
                <w:left w:val="none" w:sz="0" w:space="0" w:color="auto"/>
                <w:bottom w:val="none" w:sz="0" w:space="0" w:color="auto"/>
                <w:right w:val="none" w:sz="0" w:space="0" w:color="auto"/>
              </w:divBdr>
            </w:div>
            <w:div w:id="763257892">
              <w:marLeft w:val="0"/>
              <w:marRight w:val="0"/>
              <w:marTop w:val="0"/>
              <w:marBottom w:val="0"/>
              <w:divBdr>
                <w:top w:val="none" w:sz="0" w:space="0" w:color="auto"/>
                <w:left w:val="none" w:sz="0" w:space="0" w:color="auto"/>
                <w:bottom w:val="none" w:sz="0" w:space="0" w:color="auto"/>
                <w:right w:val="none" w:sz="0" w:space="0" w:color="auto"/>
              </w:divBdr>
            </w:div>
            <w:div w:id="774716685">
              <w:marLeft w:val="0"/>
              <w:marRight w:val="0"/>
              <w:marTop w:val="0"/>
              <w:marBottom w:val="0"/>
              <w:divBdr>
                <w:top w:val="none" w:sz="0" w:space="0" w:color="auto"/>
                <w:left w:val="none" w:sz="0" w:space="0" w:color="auto"/>
                <w:bottom w:val="none" w:sz="0" w:space="0" w:color="auto"/>
                <w:right w:val="none" w:sz="0" w:space="0" w:color="auto"/>
              </w:divBdr>
            </w:div>
            <w:div w:id="786043785">
              <w:marLeft w:val="0"/>
              <w:marRight w:val="0"/>
              <w:marTop w:val="0"/>
              <w:marBottom w:val="0"/>
              <w:divBdr>
                <w:top w:val="none" w:sz="0" w:space="0" w:color="auto"/>
                <w:left w:val="none" w:sz="0" w:space="0" w:color="auto"/>
                <w:bottom w:val="none" w:sz="0" w:space="0" w:color="auto"/>
                <w:right w:val="none" w:sz="0" w:space="0" w:color="auto"/>
              </w:divBdr>
            </w:div>
            <w:div w:id="791898436">
              <w:marLeft w:val="0"/>
              <w:marRight w:val="0"/>
              <w:marTop w:val="0"/>
              <w:marBottom w:val="0"/>
              <w:divBdr>
                <w:top w:val="none" w:sz="0" w:space="0" w:color="auto"/>
                <w:left w:val="none" w:sz="0" w:space="0" w:color="auto"/>
                <w:bottom w:val="none" w:sz="0" w:space="0" w:color="auto"/>
                <w:right w:val="none" w:sz="0" w:space="0" w:color="auto"/>
              </w:divBdr>
            </w:div>
            <w:div w:id="798449935">
              <w:marLeft w:val="0"/>
              <w:marRight w:val="0"/>
              <w:marTop w:val="0"/>
              <w:marBottom w:val="0"/>
              <w:divBdr>
                <w:top w:val="none" w:sz="0" w:space="0" w:color="auto"/>
                <w:left w:val="none" w:sz="0" w:space="0" w:color="auto"/>
                <w:bottom w:val="none" w:sz="0" w:space="0" w:color="auto"/>
                <w:right w:val="none" w:sz="0" w:space="0" w:color="auto"/>
              </w:divBdr>
            </w:div>
            <w:div w:id="799424937">
              <w:marLeft w:val="0"/>
              <w:marRight w:val="0"/>
              <w:marTop w:val="0"/>
              <w:marBottom w:val="0"/>
              <w:divBdr>
                <w:top w:val="none" w:sz="0" w:space="0" w:color="auto"/>
                <w:left w:val="none" w:sz="0" w:space="0" w:color="auto"/>
                <w:bottom w:val="none" w:sz="0" w:space="0" w:color="auto"/>
                <w:right w:val="none" w:sz="0" w:space="0" w:color="auto"/>
              </w:divBdr>
            </w:div>
            <w:div w:id="821779631">
              <w:marLeft w:val="0"/>
              <w:marRight w:val="0"/>
              <w:marTop w:val="0"/>
              <w:marBottom w:val="0"/>
              <w:divBdr>
                <w:top w:val="none" w:sz="0" w:space="0" w:color="auto"/>
                <w:left w:val="none" w:sz="0" w:space="0" w:color="auto"/>
                <w:bottom w:val="none" w:sz="0" w:space="0" w:color="auto"/>
                <w:right w:val="none" w:sz="0" w:space="0" w:color="auto"/>
              </w:divBdr>
            </w:div>
            <w:div w:id="830100873">
              <w:marLeft w:val="0"/>
              <w:marRight w:val="0"/>
              <w:marTop w:val="0"/>
              <w:marBottom w:val="0"/>
              <w:divBdr>
                <w:top w:val="none" w:sz="0" w:space="0" w:color="auto"/>
                <w:left w:val="none" w:sz="0" w:space="0" w:color="auto"/>
                <w:bottom w:val="none" w:sz="0" w:space="0" w:color="auto"/>
                <w:right w:val="none" w:sz="0" w:space="0" w:color="auto"/>
              </w:divBdr>
            </w:div>
            <w:div w:id="837354068">
              <w:marLeft w:val="0"/>
              <w:marRight w:val="0"/>
              <w:marTop w:val="0"/>
              <w:marBottom w:val="0"/>
              <w:divBdr>
                <w:top w:val="none" w:sz="0" w:space="0" w:color="auto"/>
                <w:left w:val="none" w:sz="0" w:space="0" w:color="auto"/>
                <w:bottom w:val="none" w:sz="0" w:space="0" w:color="auto"/>
                <w:right w:val="none" w:sz="0" w:space="0" w:color="auto"/>
              </w:divBdr>
            </w:div>
            <w:div w:id="837501558">
              <w:marLeft w:val="0"/>
              <w:marRight w:val="0"/>
              <w:marTop w:val="0"/>
              <w:marBottom w:val="0"/>
              <w:divBdr>
                <w:top w:val="none" w:sz="0" w:space="0" w:color="auto"/>
                <w:left w:val="none" w:sz="0" w:space="0" w:color="auto"/>
                <w:bottom w:val="none" w:sz="0" w:space="0" w:color="auto"/>
                <w:right w:val="none" w:sz="0" w:space="0" w:color="auto"/>
              </w:divBdr>
            </w:div>
            <w:div w:id="884484344">
              <w:marLeft w:val="0"/>
              <w:marRight w:val="0"/>
              <w:marTop w:val="0"/>
              <w:marBottom w:val="0"/>
              <w:divBdr>
                <w:top w:val="none" w:sz="0" w:space="0" w:color="auto"/>
                <w:left w:val="none" w:sz="0" w:space="0" w:color="auto"/>
                <w:bottom w:val="none" w:sz="0" w:space="0" w:color="auto"/>
                <w:right w:val="none" w:sz="0" w:space="0" w:color="auto"/>
              </w:divBdr>
            </w:div>
            <w:div w:id="907039878">
              <w:marLeft w:val="0"/>
              <w:marRight w:val="0"/>
              <w:marTop w:val="0"/>
              <w:marBottom w:val="0"/>
              <w:divBdr>
                <w:top w:val="none" w:sz="0" w:space="0" w:color="auto"/>
                <w:left w:val="none" w:sz="0" w:space="0" w:color="auto"/>
                <w:bottom w:val="none" w:sz="0" w:space="0" w:color="auto"/>
                <w:right w:val="none" w:sz="0" w:space="0" w:color="auto"/>
              </w:divBdr>
            </w:div>
            <w:div w:id="923957855">
              <w:marLeft w:val="0"/>
              <w:marRight w:val="0"/>
              <w:marTop w:val="0"/>
              <w:marBottom w:val="0"/>
              <w:divBdr>
                <w:top w:val="none" w:sz="0" w:space="0" w:color="auto"/>
                <w:left w:val="none" w:sz="0" w:space="0" w:color="auto"/>
                <w:bottom w:val="none" w:sz="0" w:space="0" w:color="auto"/>
                <w:right w:val="none" w:sz="0" w:space="0" w:color="auto"/>
              </w:divBdr>
            </w:div>
            <w:div w:id="927999510">
              <w:marLeft w:val="0"/>
              <w:marRight w:val="0"/>
              <w:marTop w:val="0"/>
              <w:marBottom w:val="0"/>
              <w:divBdr>
                <w:top w:val="none" w:sz="0" w:space="0" w:color="auto"/>
                <w:left w:val="none" w:sz="0" w:space="0" w:color="auto"/>
                <w:bottom w:val="none" w:sz="0" w:space="0" w:color="auto"/>
                <w:right w:val="none" w:sz="0" w:space="0" w:color="auto"/>
              </w:divBdr>
            </w:div>
            <w:div w:id="934361337">
              <w:marLeft w:val="0"/>
              <w:marRight w:val="0"/>
              <w:marTop w:val="0"/>
              <w:marBottom w:val="0"/>
              <w:divBdr>
                <w:top w:val="none" w:sz="0" w:space="0" w:color="auto"/>
                <w:left w:val="none" w:sz="0" w:space="0" w:color="auto"/>
                <w:bottom w:val="none" w:sz="0" w:space="0" w:color="auto"/>
                <w:right w:val="none" w:sz="0" w:space="0" w:color="auto"/>
              </w:divBdr>
            </w:div>
            <w:div w:id="939416784">
              <w:marLeft w:val="0"/>
              <w:marRight w:val="0"/>
              <w:marTop w:val="0"/>
              <w:marBottom w:val="0"/>
              <w:divBdr>
                <w:top w:val="none" w:sz="0" w:space="0" w:color="auto"/>
                <w:left w:val="none" w:sz="0" w:space="0" w:color="auto"/>
                <w:bottom w:val="none" w:sz="0" w:space="0" w:color="auto"/>
                <w:right w:val="none" w:sz="0" w:space="0" w:color="auto"/>
              </w:divBdr>
            </w:div>
            <w:div w:id="959385145">
              <w:marLeft w:val="0"/>
              <w:marRight w:val="0"/>
              <w:marTop w:val="0"/>
              <w:marBottom w:val="0"/>
              <w:divBdr>
                <w:top w:val="none" w:sz="0" w:space="0" w:color="auto"/>
                <w:left w:val="none" w:sz="0" w:space="0" w:color="auto"/>
                <w:bottom w:val="none" w:sz="0" w:space="0" w:color="auto"/>
                <w:right w:val="none" w:sz="0" w:space="0" w:color="auto"/>
              </w:divBdr>
            </w:div>
            <w:div w:id="962927382">
              <w:marLeft w:val="0"/>
              <w:marRight w:val="0"/>
              <w:marTop w:val="0"/>
              <w:marBottom w:val="0"/>
              <w:divBdr>
                <w:top w:val="none" w:sz="0" w:space="0" w:color="auto"/>
                <w:left w:val="none" w:sz="0" w:space="0" w:color="auto"/>
                <w:bottom w:val="none" w:sz="0" w:space="0" w:color="auto"/>
                <w:right w:val="none" w:sz="0" w:space="0" w:color="auto"/>
              </w:divBdr>
            </w:div>
            <w:div w:id="974027053">
              <w:marLeft w:val="0"/>
              <w:marRight w:val="0"/>
              <w:marTop w:val="0"/>
              <w:marBottom w:val="0"/>
              <w:divBdr>
                <w:top w:val="none" w:sz="0" w:space="0" w:color="auto"/>
                <w:left w:val="none" w:sz="0" w:space="0" w:color="auto"/>
                <w:bottom w:val="none" w:sz="0" w:space="0" w:color="auto"/>
                <w:right w:val="none" w:sz="0" w:space="0" w:color="auto"/>
              </w:divBdr>
            </w:div>
            <w:div w:id="1000234350">
              <w:marLeft w:val="0"/>
              <w:marRight w:val="0"/>
              <w:marTop w:val="0"/>
              <w:marBottom w:val="0"/>
              <w:divBdr>
                <w:top w:val="none" w:sz="0" w:space="0" w:color="auto"/>
                <w:left w:val="none" w:sz="0" w:space="0" w:color="auto"/>
                <w:bottom w:val="none" w:sz="0" w:space="0" w:color="auto"/>
                <w:right w:val="none" w:sz="0" w:space="0" w:color="auto"/>
              </w:divBdr>
            </w:div>
            <w:div w:id="1003899346">
              <w:marLeft w:val="0"/>
              <w:marRight w:val="0"/>
              <w:marTop w:val="0"/>
              <w:marBottom w:val="0"/>
              <w:divBdr>
                <w:top w:val="none" w:sz="0" w:space="0" w:color="auto"/>
                <w:left w:val="none" w:sz="0" w:space="0" w:color="auto"/>
                <w:bottom w:val="none" w:sz="0" w:space="0" w:color="auto"/>
                <w:right w:val="none" w:sz="0" w:space="0" w:color="auto"/>
              </w:divBdr>
            </w:div>
            <w:div w:id="1017392067">
              <w:marLeft w:val="0"/>
              <w:marRight w:val="0"/>
              <w:marTop w:val="0"/>
              <w:marBottom w:val="0"/>
              <w:divBdr>
                <w:top w:val="none" w:sz="0" w:space="0" w:color="auto"/>
                <w:left w:val="none" w:sz="0" w:space="0" w:color="auto"/>
                <w:bottom w:val="none" w:sz="0" w:space="0" w:color="auto"/>
                <w:right w:val="none" w:sz="0" w:space="0" w:color="auto"/>
              </w:divBdr>
            </w:div>
            <w:div w:id="1036663738">
              <w:marLeft w:val="0"/>
              <w:marRight w:val="0"/>
              <w:marTop w:val="0"/>
              <w:marBottom w:val="0"/>
              <w:divBdr>
                <w:top w:val="none" w:sz="0" w:space="0" w:color="auto"/>
                <w:left w:val="none" w:sz="0" w:space="0" w:color="auto"/>
                <w:bottom w:val="none" w:sz="0" w:space="0" w:color="auto"/>
                <w:right w:val="none" w:sz="0" w:space="0" w:color="auto"/>
              </w:divBdr>
            </w:div>
            <w:div w:id="1048341170">
              <w:marLeft w:val="0"/>
              <w:marRight w:val="0"/>
              <w:marTop w:val="0"/>
              <w:marBottom w:val="0"/>
              <w:divBdr>
                <w:top w:val="none" w:sz="0" w:space="0" w:color="auto"/>
                <w:left w:val="none" w:sz="0" w:space="0" w:color="auto"/>
                <w:bottom w:val="none" w:sz="0" w:space="0" w:color="auto"/>
                <w:right w:val="none" w:sz="0" w:space="0" w:color="auto"/>
              </w:divBdr>
            </w:div>
            <w:div w:id="1048455318">
              <w:marLeft w:val="0"/>
              <w:marRight w:val="0"/>
              <w:marTop w:val="0"/>
              <w:marBottom w:val="0"/>
              <w:divBdr>
                <w:top w:val="none" w:sz="0" w:space="0" w:color="auto"/>
                <w:left w:val="none" w:sz="0" w:space="0" w:color="auto"/>
                <w:bottom w:val="none" w:sz="0" w:space="0" w:color="auto"/>
                <w:right w:val="none" w:sz="0" w:space="0" w:color="auto"/>
              </w:divBdr>
            </w:div>
            <w:div w:id="1053389186">
              <w:marLeft w:val="0"/>
              <w:marRight w:val="0"/>
              <w:marTop w:val="0"/>
              <w:marBottom w:val="0"/>
              <w:divBdr>
                <w:top w:val="none" w:sz="0" w:space="0" w:color="auto"/>
                <w:left w:val="none" w:sz="0" w:space="0" w:color="auto"/>
                <w:bottom w:val="none" w:sz="0" w:space="0" w:color="auto"/>
                <w:right w:val="none" w:sz="0" w:space="0" w:color="auto"/>
              </w:divBdr>
            </w:div>
            <w:div w:id="1054088430">
              <w:marLeft w:val="0"/>
              <w:marRight w:val="0"/>
              <w:marTop w:val="0"/>
              <w:marBottom w:val="0"/>
              <w:divBdr>
                <w:top w:val="none" w:sz="0" w:space="0" w:color="auto"/>
                <w:left w:val="none" w:sz="0" w:space="0" w:color="auto"/>
                <w:bottom w:val="none" w:sz="0" w:space="0" w:color="auto"/>
                <w:right w:val="none" w:sz="0" w:space="0" w:color="auto"/>
              </w:divBdr>
            </w:div>
            <w:div w:id="1073045792">
              <w:marLeft w:val="0"/>
              <w:marRight w:val="0"/>
              <w:marTop w:val="0"/>
              <w:marBottom w:val="0"/>
              <w:divBdr>
                <w:top w:val="none" w:sz="0" w:space="0" w:color="auto"/>
                <w:left w:val="none" w:sz="0" w:space="0" w:color="auto"/>
                <w:bottom w:val="none" w:sz="0" w:space="0" w:color="auto"/>
                <w:right w:val="none" w:sz="0" w:space="0" w:color="auto"/>
              </w:divBdr>
            </w:div>
            <w:div w:id="1080173322">
              <w:marLeft w:val="0"/>
              <w:marRight w:val="0"/>
              <w:marTop w:val="0"/>
              <w:marBottom w:val="0"/>
              <w:divBdr>
                <w:top w:val="none" w:sz="0" w:space="0" w:color="auto"/>
                <w:left w:val="none" w:sz="0" w:space="0" w:color="auto"/>
                <w:bottom w:val="none" w:sz="0" w:space="0" w:color="auto"/>
                <w:right w:val="none" w:sz="0" w:space="0" w:color="auto"/>
              </w:divBdr>
            </w:div>
            <w:div w:id="1099957457">
              <w:marLeft w:val="0"/>
              <w:marRight w:val="0"/>
              <w:marTop w:val="0"/>
              <w:marBottom w:val="0"/>
              <w:divBdr>
                <w:top w:val="none" w:sz="0" w:space="0" w:color="auto"/>
                <w:left w:val="none" w:sz="0" w:space="0" w:color="auto"/>
                <w:bottom w:val="none" w:sz="0" w:space="0" w:color="auto"/>
                <w:right w:val="none" w:sz="0" w:space="0" w:color="auto"/>
              </w:divBdr>
            </w:div>
            <w:div w:id="1106118466">
              <w:marLeft w:val="0"/>
              <w:marRight w:val="0"/>
              <w:marTop w:val="0"/>
              <w:marBottom w:val="0"/>
              <w:divBdr>
                <w:top w:val="none" w:sz="0" w:space="0" w:color="auto"/>
                <w:left w:val="none" w:sz="0" w:space="0" w:color="auto"/>
                <w:bottom w:val="none" w:sz="0" w:space="0" w:color="auto"/>
                <w:right w:val="none" w:sz="0" w:space="0" w:color="auto"/>
              </w:divBdr>
            </w:div>
            <w:div w:id="1108045684">
              <w:marLeft w:val="0"/>
              <w:marRight w:val="0"/>
              <w:marTop w:val="0"/>
              <w:marBottom w:val="0"/>
              <w:divBdr>
                <w:top w:val="none" w:sz="0" w:space="0" w:color="auto"/>
                <w:left w:val="none" w:sz="0" w:space="0" w:color="auto"/>
                <w:bottom w:val="none" w:sz="0" w:space="0" w:color="auto"/>
                <w:right w:val="none" w:sz="0" w:space="0" w:color="auto"/>
              </w:divBdr>
            </w:div>
            <w:div w:id="1119302797">
              <w:marLeft w:val="0"/>
              <w:marRight w:val="0"/>
              <w:marTop w:val="0"/>
              <w:marBottom w:val="0"/>
              <w:divBdr>
                <w:top w:val="none" w:sz="0" w:space="0" w:color="auto"/>
                <w:left w:val="none" w:sz="0" w:space="0" w:color="auto"/>
                <w:bottom w:val="none" w:sz="0" w:space="0" w:color="auto"/>
                <w:right w:val="none" w:sz="0" w:space="0" w:color="auto"/>
              </w:divBdr>
            </w:div>
            <w:div w:id="1136029117">
              <w:marLeft w:val="0"/>
              <w:marRight w:val="0"/>
              <w:marTop w:val="0"/>
              <w:marBottom w:val="0"/>
              <w:divBdr>
                <w:top w:val="none" w:sz="0" w:space="0" w:color="auto"/>
                <w:left w:val="none" w:sz="0" w:space="0" w:color="auto"/>
                <w:bottom w:val="none" w:sz="0" w:space="0" w:color="auto"/>
                <w:right w:val="none" w:sz="0" w:space="0" w:color="auto"/>
              </w:divBdr>
            </w:div>
            <w:div w:id="1141457547">
              <w:marLeft w:val="0"/>
              <w:marRight w:val="0"/>
              <w:marTop w:val="0"/>
              <w:marBottom w:val="0"/>
              <w:divBdr>
                <w:top w:val="none" w:sz="0" w:space="0" w:color="auto"/>
                <w:left w:val="none" w:sz="0" w:space="0" w:color="auto"/>
                <w:bottom w:val="none" w:sz="0" w:space="0" w:color="auto"/>
                <w:right w:val="none" w:sz="0" w:space="0" w:color="auto"/>
              </w:divBdr>
            </w:div>
            <w:div w:id="1142696369">
              <w:marLeft w:val="0"/>
              <w:marRight w:val="0"/>
              <w:marTop w:val="0"/>
              <w:marBottom w:val="0"/>
              <w:divBdr>
                <w:top w:val="none" w:sz="0" w:space="0" w:color="auto"/>
                <w:left w:val="none" w:sz="0" w:space="0" w:color="auto"/>
                <w:bottom w:val="none" w:sz="0" w:space="0" w:color="auto"/>
                <w:right w:val="none" w:sz="0" w:space="0" w:color="auto"/>
              </w:divBdr>
            </w:div>
            <w:div w:id="1148668037">
              <w:marLeft w:val="0"/>
              <w:marRight w:val="0"/>
              <w:marTop w:val="0"/>
              <w:marBottom w:val="0"/>
              <w:divBdr>
                <w:top w:val="none" w:sz="0" w:space="0" w:color="auto"/>
                <w:left w:val="none" w:sz="0" w:space="0" w:color="auto"/>
                <w:bottom w:val="none" w:sz="0" w:space="0" w:color="auto"/>
                <w:right w:val="none" w:sz="0" w:space="0" w:color="auto"/>
              </w:divBdr>
            </w:div>
            <w:div w:id="1166481082">
              <w:marLeft w:val="0"/>
              <w:marRight w:val="0"/>
              <w:marTop w:val="0"/>
              <w:marBottom w:val="0"/>
              <w:divBdr>
                <w:top w:val="none" w:sz="0" w:space="0" w:color="auto"/>
                <w:left w:val="none" w:sz="0" w:space="0" w:color="auto"/>
                <w:bottom w:val="none" w:sz="0" w:space="0" w:color="auto"/>
                <w:right w:val="none" w:sz="0" w:space="0" w:color="auto"/>
              </w:divBdr>
            </w:div>
            <w:div w:id="1202783629">
              <w:marLeft w:val="0"/>
              <w:marRight w:val="0"/>
              <w:marTop w:val="0"/>
              <w:marBottom w:val="0"/>
              <w:divBdr>
                <w:top w:val="none" w:sz="0" w:space="0" w:color="auto"/>
                <w:left w:val="none" w:sz="0" w:space="0" w:color="auto"/>
                <w:bottom w:val="none" w:sz="0" w:space="0" w:color="auto"/>
                <w:right w:val="none" w:sz="0" w:space="0" w:color="auto"/>
              </w:divBdr>
            </w:div>
            <w:div w:id="1205217831">
              <w:marLeft w:val="0"/>
              <w:marRight w:val="0"/>
              <w:marTop w:val="0"/>
              <w:marBottom w:val="0"/>
              <w:divBdr>
                <w:top w:val="none" w:sz="0" w:space="0" w:color="auto"/>
                <w:left w:val="none" w:sz="0" w:space="0" w:color="auto"/>
                <w:bottom w:val="none" w:sz="0" w:space="0" w:color="auto"/>
                <w:right w:val="none" w:sz="0" w:space="0" w:color="auto"/>
              </w:divBdr>
            </w:div>
            <w:div w:id="1207721901">
              <w:marLeft w:val="0"/>
              <w:marRight w:val="0"/>
              <w:marTop w:val="0"/>
              <w:marBottom w:val="0"/>
              <w:divBdr>
                <w:top w:val="none" w:sz="0" w:space="0" w:color="auto"/>
                <w:left w:val="none" w:sz="0" w:space="0" w:color="auto"/>
                <w:bottom w:val="none" w:sz="0" w:space="0" w:color="auto"/>
                <w:right w:val="none" w:sz="0" w:space="0" w:color="auto"/>
              </w:divBdr>
            </w:div>
            <w:div w:id="1213077076">
              <w:marLeft w:val="0"/>
              <w:marRight w:val="0"/>
              <w:marTop w:val="0"/>
              <w:marBottom w:val="0"/>
              <w:divBdr>
                <w:top w:val="none" w:sz="0" w:space="0" w:color="auto"/>
                <w:left w:val="none" w:sz="0" w:space="0" w:color="auto"/>
                <w:bottom w:val="none" w:sz="0" w:space="0" w:color="auto"/>
                <w:right w:val="none" w:sz="0" w:space="0" w:color="auto"/>
              </w:divBdr>
            </w:div>
            <w:div w:id="1266424181">
              <w:marLeft w:val="0"/>
              <w:marRight w:val="0"/>
              <w:marTop w:val="0"/>
              <w:marBottom w:val="0"/>
              <w:divBdr>
                <w:top w:val="none" w:sz="0" w:space="0" w:color="auto"/>
                <w:left w:val="none" w:sz="0" w:space="0" w:color="auto"/>
                <w:bottom w:val="none" w:sz="0" w:space="0" w:color="auto"/>
                <w:right w:val="none" w:sz="0" w:space="0" w:color="auto"/>
              </w:divBdr>
            </w:div>
            <w:div w:id="1267271437">
              <w:marLeft w:val="0"/>
              <w:marRight w:val="0"/>
              <w:marTop w:val="0"/>
              <w:marBottom w:val="0"/>
              <w:divBdr>
                <w:top w:val="none" w:sz="0" w:space="0" w:color="auto"/>
                <w:left w:val="none" w:sz="0" w:space="0" w:color="auto"/>
                <w:bottom w:val="none" w:sz="0" w:space="0" w:color="auto"/>
                <w:right w:val="none" w:sz="0" w:space="0" w:color="auto"/>
              </w:divBdr>
            </w:div>
            <w:div w:id="1274291105">
              <w:marLeft w:val="0"/>
              <w:marRight w:val="0"/>
              <w:marTop w:val="0"/>
              <w:marBottom w:val="0"/>
              <w:divBdr>
                <w:top w:val="none" w:sz="0" w:space="0" w:color="auto"/>
                <w:left w:val="none" w:sz="0" w:space="0" w:color="auto"/>
                <w:bottom w:val="none" w:sz="0" w:space="0" w:color="auto"/>
                <w:right w:val="none" w:sz="0" w:space="0" w:color="auto"/>
              </w:divBdr>
            </w:div>
            <w:div w:id="1282029657">
              <w:marLeft w:val="0"/>
              <w:marRight w:val="0"/>
              <w:marTop w:val="0"/>
              <w:marBottom w:val="0"/>
              <w:divBdr>
                <w:top w:val="none" w:sz="0" w:space="0" w:color="auto"/>
                <w:left w:val="none" w:sz="0" w:space="0" w:color="auto"/>
                <w:bottom w:val="none" w:sz="0" w:space="0" w:color="auto"/>
                <w:right w:val="none" w:sz="0" w:space="0" w:color="auto"/>
              </w:divBdr>
            </w:div>
            <w:div w:id="1305306754">
              <w:marLeft w:val="0"/>
              <w:marRight w:val="0"/>
              <w:marTop w:val="0"/>
              <w:marBottom w:val="0"/>
              <w:divBdr>
                <w:top w:val="none" w:sz="0" w:space="0" w:color="auto"/>
                <w:left w:val="none" w:sz="0" w:space="0" w:color="auto"/>
                <w:bottom w:val="none" w:sz="0" w:space="0" w:color="auto"/>
                <w:right w:val="none" w:sz="0" w:space="0" w:color="auto"/>
              </w:divBdr>
            </w:div>
            <w:div w:id="1310599726">
              <w:marLeft w:val="0"/>
              <w:marRight w:val="0"/>
              <w:marTop w:val="0"/>
              <w:marBottom w:val="0"/>
              <w:divBdr>
                <w:top w:val="none" w:sz="0" w:space="0" w:color="auto"/>
                <w:left w:val="none" w:sz="0" w:space="0" w:color="auto"/>
                <w:bottom w:val="none" w:sz="0" w:space="0" w:color="auto"/>
                <w:right w:val="none" w:sz="0" w:space="0" w:color="auto"/>
              </w:divBdr>
            </w:div>
            <w:div w:id="1317952899">
              <w:marLeft w:val="0"/>
              <w:marRight w:val="0"/>
              <w:marTop w:val="0"/>
              <w:marBottom w:val="0"/>
              <w:divBdr>
                <w:top w:val="none" w:sz="0" w:space="0" w:color="auto"/>
                <w:left w:val="none" w:sz="0" w:space="0" w:color="auto"/>
                <w:bottom w:val="none" w:sz="0" w:space="0" w:color="auto"/>
                <w:right w:val="none" w:sz="0" w:space="0" w:color="auto"/>
              </w:divBdr>
            </w:div>
            <w:div w:id="1322735369">
              <w:marLeft w:val="0"/>
              <w:marRight w:val="0"/>
              <w:marTop w:val="0"/>
              <w:marBottom w:val="0"/>
              <w:divBdr>
                <w:top w:val="none" w:sz="0" w:space="0" w:color="auto"/>
                <w:left w:val="none" w:sz="0" w:space="0" w:color="auto"/>
                <w:bottom w:val="none" w:sz="0" w:space="0" w:color="auto"/>
                <w:right w:val="none" w:sz="0" w:space="0" w:color="auto"/>
              </w:divBdr>
            </w:div>
            <w:div w:id="1329867305">
              <w:marLeft w:val="0"/>
              <w:marRight w:val="0"/>
              <w:marTop w:val="0"/>
              <w:marBottom w:val="0"/>
              <w:divBdr>
                <w:top w:val="none" w:sz="0" w:space="0" w:color="auto"/>
                <w:left w:val="none" w:sz="0" w:space="0" w:color="auto"/>
                <w:bottom w:val="none" w:sz="0" w:space="0" w:color="auto"/>
                <w:right w:val="none" w:sz="0" w:space="0" w:color="auto"/>
              </w:divBdr>
            </w:div>
            <w:div w:id="1330253452">
              <w:marLeft w:val="0"/>
              <w:marRight w:val="0"/>
              <w:marTop w:val="0"/>
              <w:marBottom w:val="0"/>
              <w:divBdr>
                <w:top w:val="none" w:sz="0" w:space="0" w:color="auto"/>
                <w:left w:val="none" w:sz="0" w:space="0" w:color="auto"/>
                <w:bottom w:val="none" w:sz="0" w:space="0" w:color="auto"/>
                <w:right w:val="none" w:sz="0" w:space="0" w:color="auto"/>
              </w:divBdr>
            </w:div>
            <w:div w:id="1331517320">
              <w:marLeft w:val="0"/>
              <w:marRight w:val="0"/>
              <w:marTop w:val="0"/>
              <w:marBottom w:val="0"/>
              <w:divBdr>
                <w:top w:val="none" w:sz="0" w:space="0" w:color="auto"/>
                <w:left w:val="none" w:sz="0" w:space="0" w:color="auto"/>
                <w:bottom w:val="none" w:sz="0" w:space="0" w:color="auto"/>
                <w:right w:val="none" w:sz="0" w:space="0" w:color="auto"/>
              </w:divBdr>
            </w:div>
            <w:div w:id="1335184618">
              <w:marLeft w:val="0"/>
              <w:marRight w:val="0"/>
              <w:marTop w:val="0"/>
              <w:marBottom w:val="0"/>
              <w:divBdr>
                <w:top w:val="none" w:sz="0" w:space="0" w:color="auto"/>
                <w:left w:val="none" w:sz="0" w:space="0" w:color="auto"/>
                <w:bottom w:val="none" w:sz="0" w:space="0" w:color="auto"/>
                <w:right w:val="none" w:sz="0" w:space="0" w:color="auto"/>
              </w:divBdr>
            </w:div>
            <w:div w:id="1338925618">
              <w:marLeft w:val="0"/>
              <w:marRight w:val="0"/>
              <w:marTop w:val="0"/>
              <w:marBottom w:val="0"/>
              <w:divBdr>
                <w:top w:val="none" w:sz="0" w:space="0" w:color="auto"/>
                <w:left w:val="none" w:sz="0" w:space="0" w:color="auto"/>
                <w:bottom w:val="none" w:sz="0" w:space="0" w:color="auto"/>
                <w:right w:val="none" w:sz="0" w:space="0" w:color="auto"/>
              </w:divBdr>
            </w:div>
            <w:div w:id="1340427620">
              <w:marLeft w:val="0"/>
              <w:marRight w:val="0"/>
              <w:marTop w:val="0"/>
              <w:marBottom w:val="0"/>
              <w:divBdr>
                <w:top w:val="none" w:sz="0" w:space="0" w:color="auto"/>
                <w:left w:val="none" w:sz="0" w:space="0" w:color="auto"/>
                <w:bottom w:val="none" w:sz="0" w:space="0" w:color="auto"/>
                <w:right w:val="none" w:sz="0" w:space="0" w:color="auto"/>
              </w:divBdr>
            </w:div>
            <w:div w:id="1344431031">
              <w:marLeft w:val="0"/>
              <w:marRight w:val="0"/>
              <w:marTop w:val="0"/>
              <w:marBottom w:val="0"/>
              <w:divBdr>
                <w:top w:val="none" w:sz="0" w:space="0" w:color="auto"/>
                <w:left w:val="none" w:sz="0" w:space="0" w:color="auto"/>
                <w:bottom w:val="none" w:sz="0" w:space="0" w:color="auto"/>
                <w:right w:val="none" w:sz="0" w:space="0" w:color="auto"/>
              </w:divBdr>
            </w:div>
            <w:div w:id="1370186909">
              <w:marLeft w:val="0"/>
              <w:marRight w:val="0"/>
              <w:marTop w:val="0"/>
              <w:marBottom w:val="0"/>
              <w:divBdr>
                <w:top w:val="none" w:sz="0" w:space="0" w:color="auto"/>
                <w:left w:val="none" w:sz="0" w:space="0" w:color="auto"/>
                <w:bottom w:val="none" w:sz="0" w:space="0" w:color="auto"/>
                <w:right w:val="none" w:sz="0" w:space="0" w:color="auto"/>
              </w:divBdr>
            </w:div>
            <w:div w:id="1382359758">
              <w:marLeft w:val="0"/>
              <w:marRight w:val="0"/>
              <w:marTop w:val="0"/>
              <w:marBottom w:val="0"/>
              <w:divBdr>
                <w:top w:val="none" w:sz="0" w:space="0" w:color="auto"/>
                <w:left w:val="none" w:sz="0" w:space="0" w:color="auto"/>
                <w:bottom w:val="none" w:sz="0" w:space="0" w:color="auto"/>
                <w:right w:val="none" w:sz="0" w:space="0" w:color="auto"/>
              </w:divBdr>
            </w:div>
            <w:div w:id="1383479316">
              <w:marLeft w:val="0"/>
              <w:marRight w:val="0"/>
              <w:marTop w:val="0"/>
              <w:marBottom w:val="0"/>
              <w:divBdr>
                <w:top w:val="none" w:sz="0" w:space="0" w:color="auto"/>
                <w:left w:val="none" w:sz="0" w:space="0" w:color="auto"/>
                <w:bottom w:val="none" w:sz="0" w:space="0" w:color="auto"/>
                <w:right w:val="none" w:sz="0" w:space="0" w:color="auto"/>
              </w:divBdr>
            </w:div>
            <w:div w:id="1384062706">
              <w:marLeft w:val="0"/>
              <w:marRight w:val="0"/>
              <w:marTop w:val="0"/>
              <w:marBottom w:val="0"/>
              <w:divBdr>
                <w:top w:val="none" w:sz="0" w:space="0" w:color="auto"/>
                <w:left w:val="none" w:sz="0" w:space="0" w:color="auto"/>
                <w:bottom w:val="none" w:sz="0" w:space="0" w:color="auto"/>
                <w:right w:val="none" w:sz="0" w:space="0" w:color="auto"/>
              </w:divBdr>
            </w:div>
            <w:div w:id="1395740222">
              <w:marLeft w:val="0"/>
              <w:marRight w:val="0"/>
              <w:marTop w:val="0"/>
              <w:marBottom w:val="0"/>
              <w:divBdr>
                <w:top w:val="none" w:sz="0" w:space="0" w:color="auto"/>
                <w:left w:val="none" w:sz="0" w:space="0" w:color="auto"/>
                <w:bottom w:val="none" w:sz="0" w:space="0" w:color="auto"/>
                <w:right w:val="none" w:sz="0" w:space="0" w:color="auto"/>
              </w:divBdr>
            </w:div>
            <w:div w:id="1400444894">
              <w:marLeft w:val="0"/>
              <w:marRight w:val="0"/>
              <w:marTop w:val="0"/>
              <w:marBottom w:val="0"/>
              <w:divBdr>
                <w:top w:val="none" w:sz="0" w:space="0" w:color="auto"/>
                <w:left w:val="none" w:sz="0" w:space="0" w:color="auto"/>
                <w:bottom w:val="none" w:sz="0" w:space="0" w:color="auto"/>
                <w:right w:val="none" w:sz="0" w:space="0" w:color="auto"/>
              </w:divBdr>
            </w:div>
            <w:div w:id="1409960543">
              <w:marLeft w:val="0"/>
              <w:marRight w:val="0"/>
              <w:marTop w:val="0"/>
              <w:marBottom w:val="0"/>
              <w:divBdr>
                <w:top w:val="none" w:sz="0" w:space="0" w:color="auto"/>
                <w:left w:val="none" w:sz="0" w:space="0" w:color="auto"/>
                <w:bottom w:val="none" w:sz="0" w:space="0" w:color="auto"/>
                <w:right w:val="none" w:sz="0" w:space="0" w:color="auto"/>
              </w:divBdr>
            </w:div>
            <w:div w:id="1431046047">
              <w:marLeft w:val="0"/>
              <w:marRight w:val="0"/>
              <w:marTop w:val="0"/>
              <w:marBottom w:val="0"/>
              <w:divBdr>
                <w:top w:val="none" w:sz="0" w:space="0" w:color="auto"/>
                <w:left w:val="none" w:sz="0" w:space="0" w:color="auto"/>
                <w:bottom w:val="none" w:sz="0" w:space="0" w:color="auto"/>
                <w:right w:val="none" w:sz="0" w:space="0" w:color="auto"/>
              </w:divBdr>
            </w:div>
            <w:div w:id="1473717486">
              <w:marLeft w:val="0"/>
              <w:marRight w:val="0"/>
              <w:marTop w:val="0"/>
              <w:marBottom w:val="0"/>
              <w:divBdr>
                <w:top w:val="none" w:sz="0" w:space="0" w:color="auto"/>
                <w:left w:val="none" w:sz="0" w:space="0" w:color="auto"/>
                <w:bottom w:val="none" w:sz="0" w:space="0" w:color="auto"/>
                <w:right w:val="none" w:sz="0" w:space="0" w:color="auto"/>
              </w:divBdr>
            </w:div>
            <w:div w:id="1482189173">
              <w:marLeft w:val="0"/>
              <w:marRight w:val="0"/>
              <w:marTop w:val="0"/>
              <w:marBottom w:val="0"/>
              <w:divBdr>
                <w:top w:val="none" w:sz="0" w:space="0" w:color="auto"/>
                <w:left w:val="none" w:sz="0" w:space="0" w:color="auto"/>
                <w:bottom w:val="none" w:sz="0" w:space="0" w:color="auto"/>
                <w:right w:val="none" w:sz="0" w:space="0" w:color="auto"/>
              </w:divBdr>
            </w:div>
            <w:div w:id="1490706644">
              <w:marLeft w:val="0"/>
              <w:marRight w:val="0"/>
              <w:marTop w:val="0"/>
              <w:marBottom w:val="0"/>
              <w:divBdr>
                <w:top w:val="none" w:sz="0" w:space="0" w:color="auto"/>
                <w:left w:val="none" w:sz="0" w:space="0" w:color="auto"/>
                <w:bottom w:val="none" w:sz="0" w:space="0" w:color="auto"/>
                <w:right w:val="none" w:sz="0" w:space="0" w:color="auto"/>
              </w:divBdr>
            </w:div>
            <w:div w:id="1503661243">
              <w:marLeft w:val="0"/>
              <w:marRight w:val="0"/>
              <w:marTop w:val="0"/>
              <w:marBottom w:val="0"/>
              <w:divBdr>
                <w:top w:val="none" w:sz="0" w:space="0" w:color="auto"/>
                <w:left w:val="none" w:sz="0" w:space="0" w:color="auto"/>
                <w:bottom w:val="none" w:sz="0" w:space="0" w:color="auto"/>
                <w:right w:val="none" w:sz="0" w:space="0" w:color="auto"/>
              </w:divBdr>
            </w:div>
            <w:div w:id="1508977118">
              <w:marLeft w:val="0"/>
              <w:marRight w:val="0"/>
              <w:marTop w:val="0"/>
              <w:marBottom w:val="0"/>
              <w:divBdr>
                <w:top w:val="none" w:sz="0" w:space="0" w:color="auto"/>
                <w:left w:val="none" w:sz="0" w:space="0" w:color="auto"/>
                <w:bottom w:val="none" w:sz="0" w:space="0" w:color="auto"/>
                <w:right w:val="none" w:sz="0" w:space="0" w:color="auto"/>
              </w:divBdr>
            </w:div>
            <w:div w:id="1512719319">
              <w:marLeft w:val="0"/>
              <w:marRight w:val="0"/>
              <w:marTop w:val="0"/>
              <w:marBottom w:val="0"/>
              <w:divBdr>
                <w:top w:val="none" w:sz="0" w:space="0" w:color="auto"/>
                <w:left w:val="none" w:sz="0" w:space="0" w:color="auto"/>
                <w:bottom w:val="none" w:sz="0" w:space="0" w:color="auto"/>
                <w:right w:val="none" w:sz="0" w:space="0" w:color="auto"/>
              </w:divBdr>
            </w:div>
            <w:div w:id="1520729662">
              <w:marLeft w:val="0"/>
              <w:marRight w:val="0"/>
              <w:marTop w:val="0"/>
              <w:marBottom w:val="0"/>
              <w:divBdr>
                <w:top w:val="none" w:sz="0" w:space="0" w:color="auto"/>
                <w:left w:val="none" w:sz="0" w:space="0" w:color="auto"/>
                <w:bottom w:val="none" w:sz="0" w:space="0" w:color="auto"/>
                <w:right w:val="none" w:sz="0" w:space="0" w:color="auto"/>
              </w:divBdr>
            </w:div>
            <w:div w:id="1523665962">
              <w:marLeft w:val="0"/>
              <w:marRight w:val="0"/>
              <w:marTop w:val="0"/>
              <w:marBottom w:val="0"/>
              <w:divBdr>
                <w:top w:val="none" w:sz="0" w:space="0" w:color="auto"/>
                <w:left w:val="none" w:sz="0" w:space="0" w:color="auto"/>
                <w:bottom w:val="none" w:sz="0" w:space="0" w:color="auto"/>
                <w:right w:val="none" w:sz="0" w:space="0" w:color="auto"/>
              </w:divBdr>
            </w:div>
            <w:div w:id="1547834997">
              <w:marLeft w:val="0"/>
              <w:marRight w:val="0"/>
              <w:marTop w:val="0"/>
              <w:marBottom w:val="0"/>
              <w:divBdr>
                <w:top w:val="none" w:sz="0" w:space="0" w:color="auto"/>
                <w:left w:val="none" w:sz="0" w:space="0" w:color="auto"/>
                <w:bottom w:val="none" w:sz="0" w:space="0" w:color="auto"/>
                <w:right w:val="none" w:sz="0" w:space="0" w:color="auto"/>
              </w:divBdr>
            </w:div>
            <w:div w:id="1585451279">
              <w:marLeft w:val="0"/>
              <w:marRight w:val="0"/>
              <w:marTop w:val="0"/>
              <w:marBottom w:val="0"/>
              <w:divBdr>
                <w:top w:val="none" w:sz="0" w:space="0" w:color="auto"/>
                <w:left w:val="none" w:sz="0" w:space="0" w:color="auto"/>
                <w:bottom w:val="none" w:sz="0" w:space="0" w:color="auto"/>
                <w:right w:val="none" w:sz="0" w:space="0" w:color="auto"/>
              </w:divBdr>
            </w:div>
            <w:div w:id="1592464789">
              <w:marLeft w:val="0"/>
              <w:marRight w:val="0"/>
              <w:marTop w:val="0"/>
              <w:marBottom w:val="0"/>
              <w:divBdr>
                <w:top w:val="none" w:sz="0" w:space="0" w:color="auto"/>
                <w:left w:val="none" w:sz="0" w:space="0" w:color="auto"/>
                <w:bottom w:val="none" w:sz="0" w:space="0" w:color="auto"/>
                <w:right w:val="none" w:sz="0" w:space="0" w:color="auto"/>
              </w:divBdr>
            </w:div>
            <w:div w:id="1592473897">
              <w:marLeft w:val="0"/>
              <w:marRight w:val="0"/>
              <w:marTop w:val="0"/>
              <w:marBottom w:val="0"/>
              <w:divBdr>
                <w:top w:val="none" w:sz="0" w:space="0" w:color="auto"/>
                <w:left w:val="none" w:sz="0" w:space="0" w:color="auto"/>
                <w:bottom w:val="none" w:sz="0" w:space="0" w:color="auto"/>
                <w:right w:val="none" w:sz="0" w:space="0" w:color="auto"/>
              </w:divBdr>
            </w:div>
            <w:div w:id="1603025305">
              <w:marLeft w:val="0"/>
              <w:marRight w:val="0"/>
              <w:marTop w:val="0"/>
              <w:marBottom w:val="0"/>
              <w:divBdr>
                <w:top w:val="none" w:sz="0" w:space="0" w:color="auto"/>
                <w:left w:val="none" w:sz="0" w:space="0" w:color="auto"/>
                <w:bottom w:val="none" w:sz="0" w:space="0" w:color="auto"/>
                <w:right w:val="none" w:sz="0" w:space="0" w:color="auto"/>
              </w:divBdr>
            </w:div>
            <w:div w:id="1605843518">
              <w:marLeft w:val="0"/>
              <w:marRight w:val="0"/>
              <w:marTop w:val="0"/>
              <w:marBottom w:val="0"/>
              <w:divBdr>
                <w:top w:val="none" w:sz="0" w:space="0" w:color="auto"/>
                <w:left w:val="none" w:sz="0" w:space="0" w:color="auto"/>
                <w:bottom w:val="none" w:sz="0" w:space="0" w:color="auto"/>
                <w:right w:val="none" w:sz="0" w:space="0" w:color="auto"/>
              </w:divBdr>
            </w:div>
            <w:div w:id="1630667985">
              <w:marLeft w:val="0"/>
              <w:marRight w:val="0"/>
              <w:marTop w:val="0"/>
              <w:marBottom w:val="0"/>
              <w:divBdr>
                <w:top w:val="none" w:sz="0" w:space="0" w:color="auto"/>
                <w:left w:val="none" w:sz="0" w:space="0" w:color="auto"/>
                <w:bottom w:val="none" w:sz="0" w:space="0" w:color="auto"/>
                <w:right w:val="none" w:sz="0" w:space="0" w:color="auto"/>
              </w:divBdr>
            </w:div>
            <w:div w:id="1648508485">
              <w:marLeft w:val="0"/>
              <w:marRight w:val="0"/>
              <w:marTop w:val="0"/>
              <w:marBottom w:val="0"/>
              <w:divBdr>
                <w:top w:val="none" w:sz="0" w:space="0" w:color="auto"/>
                <w:left w:val="none" w:sz="0" w:space="0" w:color="auto"/>
                <w:bottom w:val="none" w:sz="0" w:space="0" w:color="auto"/>
                <w:right w:val="none" w:sz="0" w:space="0" w:color="auto"/>
              </w:divBdr>
            </w:div>
            <w:div w:id="1656569422">
              <w:marLeft w:val="0"/>
              <w:marRight w:val="0"/>
              <w:marTop w:val="0"/>
              <w:marBottom w:val="0"/>
              <w:divBdr>
                <w:top w:val="none" w:sz="0" w:space="0" w:color="auto"/>
                <w:left w:val="none" w:sz="0" w:space="0" w:color="auto"/>
                <w:bottom w:val="none" w:sz="0" w:space="0" w:color="auto"/>
                <w:right w:val="none" w:sz="0" w:space="0" w:color="auto"/>
              </w:divBdr>
            </w:div>
            <w:div w:id="1672490356">
              <w:marLeft w:val="0"/>
              <w:marRight w:val="0"/>
              <w:marTop w:val="0"/>
              <w:marBottom w:val="0"/>
              <w:divBdr>
                <w:top w:val="none" w:sz="0" w:space="0" w:color="auto"/>
                <w:left w:val="none" w:sz="0" w:space="0" w:color="auto"/>
                <w:bottom w:val="none" w:sz="0" w:space="0" w:color="auto"/>
                <w:right w:val="none" w:sz="0" w:space="0" w:color="auto"/>
              </w:divBdr>
            </w:div>
            <w:div w:id="1703088378">
              <w:marLeft w:val="0"/>
              <w:marRight w:val="0"/>
              <w:marTop w:val="0"/>
              <w:marBottom w:val="0"/>
              <w:divBdr>
                <w:top w:val="none" w:sz="0" w:space="0" w:color="auto"/>
                <w:left w:val="none" w:sz="0" w:space="0" w:color="auto"/>
                <w:bottom w:val="none" w:sz="0" w:space="0" w:color="auto"/>
                <w:right w:val="none" w:sz="0" w:space="0" w:color="auto"/>
              </w:divBdr>
            </w:div>
            <w:div w:id="1719890571">
              <w:marLeft w:val="0"/>
              <w:marRight w:val="0"/>
              <w:marTop w:val="0"/>
              <w:marBottom w:val="0"/>
              <w:divBdr>
                <w:top w:val="none" w:sz="0" w:space="0" w:color="auto"/>
                <w:left w:val="none" w:sz="0" w:space="0" w:color="auto"/>
                <w:bottom w:val="none" w:sz="0" w:space="0" w:color="auto"/>
                <w:right w:val="none" w:sz="0" w:space="0" w:color="auto"/>
              </w:divBdr>
            </w:div>
            <w:div w:id="1734884716">
              <w:marLeft w:val="0"/>
              <w:marRight w:val="0"/>
              <w:marTop w:val="0"/>
              <w:marBottom w:val="0"/>
              <w:divBdr>
                <w:top w:val="none" w:sz="0" w:space="0" w:color="auto"/>
                <w:left w:val="none" w:sz="0" w:space="0" w:color="auto"/>
                <w:bottom w:val="none" w:sz="0" w:space="0" w:color="auto"/>
                <w:right w:val="none" w:sz="0" w:space="0" w:color="auto"/>
              </w:divBdr>
            </w:div>
            <w:div w:id="1740663909">
              <w:marLeft w:val="0"/>
              <w:marRight w:val="0"/>
              <w:marTop w:val="0"/>
              <w:marBottom w:val="0"/>
              <w:divBdr>
                <w:top w:val="none" w:sz="0" w:space="0" w:color="auto"/>
                <w:left w:val="none" w:sz="0" w:space="0" w:color="auto"/>
                <w:bottom w:val="none" w:sz="0" w:space="0" w:color="auto"/>
                <w:right w:val="none" w:sz="0" w:space="0" w:color="auto"/>
              </w:divBdr>
            </w:div>
            <w:div w:id="1746148105">
              <w:marLeft w:val="0"/>
              <w:marRight w:val="0"/>
              <w:marTop w:val="0"/>
              <w:marBottom w:val="0"/>
              <w:divBdr>
                <w:top w:val="none" w:sz="0" w:space="0" w:color="auto"/>
                <w:left w:val="none" w:sz="0" w:space="0" w:color="auto"/>
                <w:bottom w:val="none" w:sz="0" w:space="0" w:color="auto"/>
                <w:right w:val="none" w:sz="0" w:space="0" w:color="auto"/>
              </w:divBdr>
            </w:div>
            <w:div w:id="1748726183">
              <w:marLeft w:val="0"/>
              <w:marRight w:val="0"/>
              <w:marTop w:val="0"/>
              <w:marBottom w:val="0"/>
              <w:divBdr>
                <w:top w:val="none" w:sz="0" w:space="0" w:color="auto"/>
                <w:left w:val="none" w:sz="0" w:space="0" w:color="auto"/>
                <w:bottom w:val="none" w:sz="0" w:space="0" w:color="auto"/>
                <w:right w:val="none" w:sz="0" w:space="0" w:color="auto"/>
              </w:divBdr>
            </w:div>
            <w:div w:id="1756200390">
              <w:marLeft w:val="0"/>
              <w:marRight w:val="0"/>
              <w:marTop w:val="0"/>
              <w:marBottom w:val="0"/>
              <w:divBdr>
                <w:top w:val="none" w:sz="0" w:space="0" w:color="auto"/>
                <w:left w:val="none" w:sz="0" w:space="0" w:color="auto"/>
                <w:bottom w:val="none" w:sz="0" w:space="0" w:color="auto"/>
                <w:right w:val="none" w:sz="0" w:space="0" w:color="auto"/>
              </w:divBdr>
            </w:div>
            <w:div w:id="1781560720">
              <w:marLeft w:val="0"/>
              <w:marRight w:val="0"/>
              <w:marTop w:val="0"/>
              <w:marBottom w:val="0"/>
              <w:divBdr>
                <w:top w:val="none" w:sz="0" w:space="0" w:color="auto"/>
                <w:left w:val="none" w:sz="0" w:space="0" w:color="auto"/>
                <w:bottom w:val="none" w:sz="0" w:space="0" w:color="auto"/>
                <w:right w:val="none" w:sz="0" w:space="0" w:color="auto"/>
              </w:divBdr>
            </w:div>
            <w:div w:id="1787964164">
              <w:marLeft w:val="0"/>
              <w:marRight w:val="0"/>
              <w:marTop w:val="0"/>
              <w:marBottom w:val="0"/>
              <w:divBdr>
                <w:top w:val="none" w:sz="0" w:space="0" w:color="auto"/>
                <w:left w:val="none" w:sz="0" w:space="0" w:color="auto"/>
                <w:bottom w:val="none" w:sz="0" w:space="0" w:color="auto"/>
                <w:right w:val="none" w:sz="0" w:space="0" w:color="auto"/>
              </w:divBdr>
            </w:div>
            <w:div w:id="1795059007">
              <w:marLeft w:val="0"/>
              <w:marRight w:val="0"/>
              <w:marTop w:val="0"/>
              <w:marBottom w:val="0"/>
              <w:divBdr>
                <w:top w:val="none" w:sz="0" w:space="0" w:color="auto"/>
                <w:left w:val="none" w:sz="0" w:space="0" w:color="auto"/>
                <w:bottom w:val="none" w:sz="0" w:space="0" w:color="auto"/>
                <w:right w:val="none" w:sz="0" w:space="0" w:color="auto"/>
              </w:divBdr>
            </w:div>
            <w:div w:id="1804613540">
              <w:marLeft w:val="0"/>
              <w:marRight w:val="0"/>
              <w:marTop w:val="0"/>
              <w:marBottom w:val="0"/>
              <w:divBdr>
                <w:top w:val="none" w:sz="0" w:space="0" w:color="auto"/>
                <w:left w:val="none" w:sz="0" w:space="0" w:color="auto"/>
                <w:bottom w:val="none" w:sz="0" w:space="0" w:color="auto"/>
                <w:right w:val="none" w:sz="0" w:space="0" w:color="auto"/>
              </w:divBdr>
            </w:div>
            <w:div w:id="1820730936">
              <w:marLeft w:val="0"/>
              <w:marRight w:val="0"/>
              <w:marTop w:val="0"/>
              <w:marBottom w:val="0"/>
              <w:divBdr>
                <w:top w:val="none" w:sz="0" w:space="0" w:color="auto"/>
                <w:left w:val="none" w:sz="0" w:space="0" w:color="auto"/>
                <w:bottom w:val="none" w:sz="0" w:space="0" w:color="auto"/>
                <w:right w:val="none" w:sz="0" w:space="0" w:color="auto"/>
              </w:divBdr>
            </w:div>
            <w:div w:id="1834566008">
              <w:marLeft w:val="0"/>
              <w:marRight w:val="0"/>
              <w:marTop w:val="0"/>
              <w:marBottom w:val="0"/>
              <w:divBdr>
                <w:top w:val="none" w:sz="0" w:space="0" w:color="auto"/>
                <w:left w:val="none" w:sz="0" w:space="0" w:color="auto"/>
                <w:bottom w:val="none" w:sz="0" w:space="0" w:color="auto"/>
                <w:right w:val="none" w:sz="0" w:space="0" w:color="auto"/>
              </w:divBdr>
            </w:div>
            <w:div w:id="1871916161">
              <w:marLeft w:val="0"/>
              <w:marRight w:val="0"/>
              <w:marTop w:val="0"/>
              <w:marBottom w:val="0"/>
              <w:divBdr>
                <w:top w:val="none" w:sz="0" w:space="0" w:color="auto"/>
                <w:left w:val="none" w:sz="0" w:space="0" w:color="auto"/>
                <w:bottom w:val="none" w:sz="0" w:space="0" w:color="auto"/>
                <w:right w:val="none" w:sz="0" w:space="0" w:color="auto"/>
              </w:divBdr>
            </w:div>
            <w:div w:id="1881699267">
              <w:marLeft w:val="0"/>
              <w:marRight w:val="0"/>
              <w:marTop w:val="0"/>
              <w:marBottom w:val="0"/>
              <w:divBdr>
                <w:top w:val="none" w:sz="0" w:space="0" w:color="auto"/>
                <w:left w:val="none" w:sz="0" w:space="0" w:color="auto"/>
                <w:bottom w:val="none" w:sz="0" w:space="0" w:color="auto"/>
                <w:right w:val="none" w:sz="0" w:space="0" w:color="auto"/>
              </w:divBdr>
            </w:div>
            <w:div w:id="1885362633">
              <w:marLeft w:val="0"/>
              <w:marRight w:val="0"/>
              <w:marTop w:val="0"/>
              <w:marBottom w:val="0"/>
              <w:divBdr>
                <w:top w:val="none" w:sz="0" w:space="0" w:color="auto"/>
                <w:left w:val="none" w:sz="0" w:space="0" w:color="auto"/>
                <w:bottom w:val="none" w:sz="0" w:space="0" w:color="auto"/>
                <w:right w:val="none" w:sz="0" w:space="0" w:color="auto"/>
              </w:divBdr>
            </w:div>
            <w:div w:id="1891648025">
              <w:marLeft w:val="0"/>
              <w:marRight w:val="0"/>
              <w:marTop w:val="0"/>
              <w:marBottom w:val="0"/>
              <w:divBdr>
                <w:top w:val="none" w:sz="0" w:space="0" w:color="auto"/>
                <w:left w:val="none" w:sz="0" w:space="0" w:color="auto"/>
                <w:bottom w:val="none" w:sz="0" w:space="0" w:color="auto"/>
                <w:right w:val="none" w:sz="0" w:space="0" w:color="auto"/>
              </w:divBdr>
            </w:div>
            <w:div w:id="1923416610">
              <w:marLeft w:val="0"/>
              <w:marRight w:val="0"/>
              <w:marTop w:val="0"/>
              <w:marBottom w:val="0"/>
              <w:divBdr>
                <w:top w:val="none" w:sz="0" w:space="0" w:color="auto"/>
                <w:left w:val="none" w:sz="0" w:space="0" w:color="auto"/>
                <w:bottom w:val="none" w:sz="0" w:space="0" w:color="auto"/>
                <w:right w:val="none" w:sz="0" w:space="0" w:color="auto"/>
              </w:divBdr>
            </w:div>
            <w:div w:id="1923875529">
              <w:marLeft w:val="0"/>
              <w:marRight w:val="0"/>
              <w:marTop w:val="0"/>
              <w:marBottom w:val="0"/>
              <w:divBdr>
                <w:top w:val="none" w:sz="0" w:space="0" w:color="auto"/>
                <w:left w:val="none" w:sz="0" w:space="0" w:color="auto"/>
                <w:bottom w:val="none" w:sz="0" w:space="0" w:color="auto"/>
                <w:right w:val="none" w:sz="0" w:space="0" w:color="auto"/>
              </w:divBdr>
            </w:div>
            <w:div w:id="1925186928">
              <w:marLeft w:val="0"/>
              <w:marRight w:val="0"/>
              <w:marTop w:val="0"/>
              <w:marBottom w:val="0"/>
              <w:divBdr>
                <w:top w:val="none" w:sz="0" w:space="0" w:color="auto"/>
                <w:left w:val="none" w:sz="0" w:space="0" w:color="auto"/>
                <w:bottom w:val="none" w:sz="0" w:space="0" w:color="auto"/>
                <w:right w:val="none" w:sz="0" w:space="0" w:color="auto"/>
              </w:divBdr>
            </w:div>
            <w:div w:id="1973900775">
              <w:marLeft w:val="0"/>
              <w:marRight w:val="0"/>
              <w:marTop w:val="0"/>
              <w:marBottom w:val="0"/>
              <w:divBdr>
                <w:top w:val="none" w:sz="0" w:space="0" w:color="auto"/>
                <w:left w:val="none" w:sz="0" w:space="0" w:color="auto"/>
                <w:bottom w:val="none" w:sz="0" w:space="0" w:color="auto"/>
                <w:right w:val="none" w:sz="0" w:space="0" w:color="auto"/>
              </w:divBdr>
            </w:div>
            <w:div w:id="1983921113">
              <w:marLeft w:val="0"/>
              <w:marRight w:val="0"/>
              <w:marTop w:val="0"/>
              <w:marBottom w:val="0"/>
              <w:divBdr>
                <w:top w:val="none" w:sz="0" w:space="0" w:color="auto"/>
                <w:left w:val="none" w:sz="0" w:space="0" w:color="auto"/>
                <w:bottom w:val="none" w:sz="0" w:space="0" w:color="auto"/>
                <w:right w:val="none" w:sz="0" w:space="0" w:color="auto"/>
              </w:divBdr>
            </w:div>
            <w:div w:id="1984658448">
              <w:marLeft w:val="0"/>
              <w:marRight w:val="0"/>
              <w:marTop w:val="0"/>
              <w:marBottom w:val="0"/>
              <w:divBdr>
                <w:top w:val="none" w:sz="0" w:space="0" w:color="auto"/>
                <w:left w:val="none" w:sz="0" w:space="0" w:color="auto"/>
                <w:bottom w:val="none" w:sz="0" w:space="0" w:color="auto"/>
                <w:right w:val="none" w:sz="0" w:space="0" w:color="auto"/>
              </w:divBdr>
            </w:div>
            <w:div w:id="1992054057">
              <w:marLeft w:val="0"/>
              <w:marRight w:val="0"/>
              <w:marTop w:val="0"/>
              <w:marBottom w:val="0"/>
              <w:divBdr>
                <w:top w:val="none" w:sz="0" w:space="0" w:color="auto"/>
                <w:left w:val="none" w:sz="0" w:space="0" w:color="auto"/>
                <w:bottom w:val="none" w:sz="0" w:space="0" w:color="auto"/>
                <w:right w:val="none" w:sz="0" w:space="0" w:color="auto"/>
              </w:divBdr>
            </w:div>
            <w:div w:id="1994334841">
              <w:marLeft w:val="0"/>
              <w:marRight w:val="0"/>
              <w:marTop w:val="0"/>
              <w:marBottom w:val="0"/>
              <w:divBdr>
                <w:top w:val="none" w:sz="0" w:space="0" w:color="auto"/>
                <w:left w:val="none" w:sz="0" w:space="0" w:color="auto"/>
                <w:bottom w:val="none" w:sz="0" w:space="0" w:color="auto"/>
                <w:right w:val="none" w:sz="0" w:space="0" w:color="auto"/>
              </w:divBdr>
            </w:div>
            <w:div w:id="2021739978">
              <w:marLeft w:val="0"/>
              <w:marRight w:val="0"/>
              <w:marTop w:val="0"/>
              <w:marBottom w:val="0"/>
              <w:divBdr>
                <w:top w:val="none" w:sz="0" w:space="0" w:color="auto"/>
                <w:left w:val="none" w:sz="0" w:space="0" w:color="auto"/>
                <w:bottom w:val="none" w:sz="0" w:space="0" w:color="auto"/>
                <w:right w:val="none" w:sz="0" w:space="0" w:color="auto"/>
              </w:divBdr>
            </w:div>
            <w:div w:id="2028753352">
              <w:marLeft w:val="0"/>
              <w:marRight w:val="0"/>
              <w:marTop w:val="0"/>
              <w:marBottom w:val="0"/>
              <w:divBdr>
                <w:top w:val="none" w:sz="0" w:space="0" w:color="auto"/>
                <w:left w:val="none" w:sz="0" w:space="0" w:color="auto"/>
                <w:bottom w:val="none" w:sz="0" w:space="0" w:color="auto"/>
                <w:right w:val="none" w:sz="0" w:space="0" w:color="auto"/>
              </w:divBdr>
            </w:div>
            <w:div w:id="2030373794">
              <w:marLeft w:val="0"/>
              <w:marRight w:val="0"/>
              <w:marTop w:val="0"/>
              <w:marBottom w:val="0"/>
              <w:divBdr>
                <w:top w:val="none" w:sz="0" w:space="0" w:color="auto"/>
                <w:left w:val="none" w:sz="0" w:space="0" w:color="auto"/>
                <w:bottom w:val="none" w:sz="0" w:space="0" w:color="auto"/>
                <w:right w:val="none" w:sz="0" w:space="0" w:color="auto"/>
              </w:divBdr>
            </w:div>
            <w:div w:id="2049065177">
              <w:marLeft w:val="0"/>
              <w:marRight w:val="0"/>
              <w:marTop w:val="0"/>
              <w:marBottom w:val="0"/>
              <w:divBdr>
                <w:top w:val="none" w:sz="0" w:space="0" w:color="auto"/>
                <w:left w:val="none" w:sz="0" w:space="0" w:color="auto"/>
                <w:bottom w:val="none" w:sz="0" w:space="0" w:color="auto"/>
                <w:right w:val="none" w:sz="0" w:space="0" w:color="auto"/>
              </w:divBdr>
            </w:div>
            <w:div w:id="2051227668">
              <w:marLeft w:val="0"/>
              <w:marRight w:val="0"/>
              <w:marTop w:val="0"/>
              <w:marBottom w:val="0"/>
              <w:divBdr>
                <w:top w:val="none" w:sz="0" w:space="0" w:color="auto"/>
                <w:left w:val="none" w:sz="0" w:space="0" w:color="auto"/>
                <w:bottom w:val="none" w:sz="0" w:space="0" w:color="auto"/>
                <w:right w:val="none" w:sz="0" w:space="0" w:color="auto"/>
              </w:divBdr>
            </w:div>
            <w:div w:id="2061050967">
              <w:marLeft w:val="0"/>
              <w:marRight w:val="0"/>
              <w:marTop w:val="0"/>
              <w:marBottom w:val="0"/>
              <w:divBdr>
                <w:top w:val="none" w:sz="0" w:space="0" w:color="auto"/>
                <w:left w:val="none" w:sz="0" w:space="0" w:color="auto"/>
                <w:bottom w:val="none" w:sz="0" w:space="0" w:color="auto"/>
                <w:right w:val="none" w:sz="0" w:space="0" w:color="auto"/>
              </w:divBdr>
            </w:div>
            <w:div w:id="2064284312">
              <w:marLeft w:val="0"/>
              <w:marRight w:val="0"/>
              <w:marTop w:val="0"/>
              <w:marBottom w:val="0"/>
              <w:divBdr>
                <w:top w:val="none" w:sz="0" w:space="0" w:color="auto"/>
                <w:left w:val="none" w:sz="0" w:space="0" w:color="auto"/>
                <w:bottom w:val="none" w:sz="0" w:space="0" w:color="auto"/>
                <w:right w:val="none" w:sz="0" w:space="0" w:color="auto"/>
              </w:divBdr>
            </w:div>
            <w:div w:id="2065716637">
              <w:marLeft w:val="0"/>
              <w:marRight w:val="0"/>
              <w:marTop w:val="0"/>
              <w:marBottom w:val="0"/>
              <w:divBdr>
                <w:top w:val="none" w:sz="0" w:space="0" w:color="auto"/>
                <w:left w:val="none" w:sz="0" w:space="0" w:color="auto"/>
                <w:bottom w:val="none" w:sz="0" w:space="0" w:color="auto"/>
                <w:right w:val="none" w:sz="0" w:space="0" w:color="auto"/>
              </w:divBdr>
            </w:div>
            <w:div w:id="2085031033">
              <w:marLeft w:val="0"/>
              <w:marRight w:val="0"/>
              <w:marTop w:val="0"/>
              <w:marBottom w:val="0"/>
              <w:divBdr>
                <w:top w:val="none" w:sz="0" w:space="0" w:color="auto"/>
                <w:left w:val="none" w:sz="0" w:space="0" w:color="auto"/>
                <w:bottom w:val="none" w:sz="0" w:space="0" w:color="auto"/>
                <w:right w:val="none" w:sz="0" w:space="0" w:color="auto"/>
              </w:divBdr>
            </w:div>
            <w:div w:id="2095540894">
              <w:marLeft w:val="0"/>
              <w:marRight w:val="0"/>
              <w:marTop w:val="0"/>
              <w:marBottom w:val="0"/>
              <w:divBdr>
                <w:top w:val="none" w:sz="0" w:space="0" w:color="auto"/>
                <w:left w:val="none" w:sz="0" w:space="0" w:color="auto"/>
                <w:bottom w:val="none" w:sz="0" w:space="0" w:color="auto"/>
                <w:right w:val="none" w:sz="0" w:space="0" w:color="auto"/>
              </w:divBdr>
            </w:div>
            <w:div w:id="2096897597">
              <w:marLeft w:val="0"/>
              <w:marRight w:val="0"/>
              <w:marTop w:val="0"/>
              <w:marBottom w:val="0"/>
              <w:divBdr>
                <w:top w:val="none" w:sz="0" w:space="0" w:color="auto"/>
                <w:left w:val="none" w:sz="0" w:space="0" w:color="auto"/>
                <w:bottom w:val="none" w:sz="0" w:space="0" w:color="auto"/>
                <w:right w:val="none" w:sz="0" w:space="0" w:color="auto"/>
              </w:divBdr>
            </w:div>
            <w:div w:id="2118861944">
              <w:marLeft w:val="0"/>
              <w:marRight w:val="0"/>
              <w:marTop w:val="0"/>
              <w:marBottom w:val="0"/>
              <w:divBdr>
                <w:top w:val="none" w:sz="0" w:space="0" w:color="auto"/>
                <w:left w:val="none" w:sz="0" w:space="0" w:color="auto"/>
                <w:bottom w:val="none" w:sz="0" w:space="0" w:color="auto"/>
                <w:right w:val="none" w:sz="0" w:space="0" w:color="auto"/>
              </w:divBdr>
            </w:div>
            <w:div w:id="2127969299">
              <w:marLeft w:val="0"/>
              <w:marRight w:val="0"/>
              <w:marTop w:val="0"/>
              <w:marBottom w:val="0"/>
              <w:divBdr>
                <w:top w:val="none" w:sz="0" w:space="0" w:color="auto"/>
                <w:left w:val="none" w:sz="0" w:space="0" w:color="auto"/>
                <w:bottom w:val="none" w:sz="0" w:space="0" w:color="auto"/>
                <w:right w:val="none" w:sz="0" w:space="0" w:color="auto"/>
              </w:divBdr>
            </w:div>
            <w:div w:id="2134400777">
              <w:marLeft w:val="0"/>
              <w:marRight w:val="0"/>
              <w:marTop w:val="0"/>
              <w:marBottom w:val="0"/>
              <w:divBdr>
                <w:top w:val="none" w:sz="0" w:space="0" w:color="auto"/>
                <w:left w:val="none" w:sz="0" w:space="0" w:color="auto"/>
                <w:bottom w:val="none" w:sz="0" w:space="0" w:color="auto"/>
                <w:right w:val="none" w:sz="0" w:space="0" w:color="auto"/>
              </w:divBdr>
            </w:div>
            <w:div w:id="2140763726">
              <w:marLeft w:val="0"/>
              <w:marRight w:val="0"/>
              <w:marTop w:val="0"/>
              <w:marBottom w:val="0"/>
              <w:divBdr>
                <w:top w:val="none" w:sz="0" w:space="0" w:color="auto"/>
                <w:left w:val="none" w:sz="0" w:space="0" w:color="auto"/>
                <w:bottom w:val="none" w:sz="0" w:space="0" w:color="auto"/>
                <w:right w:val="none" w:sz="0" w:space="0" w:color="auto"/>
              </w:divBdr>
            </w:div>
          </w:divsChild>
        </w:div>
        <w:div w:id="1581984820">
          <w:marLeft w:val="0"/>
          <w:marRight w:val="0"/>
          <w:marTop w:val="0"/>
          <w:marBottom w:val="0"/>
          <w:divBdr>
            <w:top w:val="single" w:sz="12" w:space="0" w:color="D2D2D2"/>
            <w:left w:val="single" w:sz="12" w:space="0" w:color="D2D2D2"/>
            <w:bottom w:val="single" w:sz="12" w:space="0" w:color="D2D2D2"/>
            <w:right w:val="single" w:sz="12" w:space="0" w:color="D2D2D2"/>
          </w:divBdr>
          <w:divsChild>
            <w:div w:id="996956845">
              <w:marLeft w:val="0"/>
              <w:marRight w:val="0"/>
              <w:marTop w:val="0"/>
              <w:marBottom w:val="0"/>
              <w:divBdr>
                <w:top w:val="none" w:sz="0" w:space="0" w:color="auto"/>
                <w:left w:val="none" w:sz="0" w:space="0" w:color="auto"/>
                <w:bottom w:val="none" w:sz="0" w:space="0" w:color="auto"/>
                <w:right w:val="none" w:sz="0" w:space="0" w:color="auto"/>
              </w:divBdr>
            </w:div>
            <w:div w:id="112068696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45410274">
      <w:bodyDiv w:val="1"/>
      <w:marLeft w:val="0"/>
      <w:marRight w:val="0"/>
      <w:marTop w:val="0"/>
      <w:marBottom w:val="0"/>
      <w:divBdr>
        <w:top w:val="none" w:sz="0" w:space="0" w:color="auto"/>
        <w:left w:val="none" w:sz="0" w:space="0" w:color="auto"/>
        <w:bottom w:val="none" w:sz="0" w:space="0" w:color="auto"/>
        <w:right w:val="none" w:sz="0" w:space="0" w:color="auto"/>
      </w:divBdr>
    </w:div>
    <w:div w:id="1643847203">
      <w:bodyDiv w:val="1"/>
      <w:marLeft w:val="0"/>
      <w:marRight w:val="0"/>
      <w:marTop w:val="0"/>
      <w:marBottom w:val="0"/>
      <w:divBdr>
        <w:top w:val="none" w:sz="0" w:space="0" w:color="auto"/>
        <w:left w:val="none" w:sz="0" w:space="0" w:color="auto"/>
        <w:bottom w:val="none" w:sz="0" w:space="0" w:color="auto"/>
        <w:right w:val="none" w:sz="0" w:space="0" w:color="auto"/>
      </w:divBdr>
      <w:divsChild>
        <w:div w:id="145828692">
          <w:marLeft w:val="0"/>
          <w:marRight w:val="0"/>
          <w:marTop w:val="0"/>
          <w:marBottom w:val="0"/>
          <w:divBdr>
            <w:top w:val="none" w:sz="0" w:space="0" w:color="auto"/>
            <w:left w:val="none" w:sz="0" w:space="0" w:color="auto"/>
            <w:bottom w:val="none" w:sz="0" w:space="0" w:color="auto"/>
            <w:right w:val="none" w:sz="0" w:space="0" w:color="auto"/>
          </w:divBdr>
        </w:div>
        <w:div w:id="1458523425">
          <w:marLeft w:val="0"/>
          <w:marRight w:val="0"/>
          <w:marTop w:val="0"/>
          <w:marBottom w:val="0"/>
          <w:divBdr>
            <w:top w:val="none" w:sz="0" w:space="0" w:color="auto"/>
            <w:left w:val="none" w:sz="0" w:space="0" w:color="auto"/>
            <w:bottom w:val="none" w:sz="0" w:space="0" w:color="auto"/>
            <w:right w:val="none" w:sz="0" w:space="0" w:color="auto"/>
          </w:divBdr>
        </w:div>
        <w:div w:id="1517957273">
          <w:marLeft w:val="0"/>
          <w:marRight w:val="0"/>
          <w:marTop w:val="0"/>
          <w:marBottom w:val="0"/>
          <w:divBdr>
            <w:top w:val="none" w:sz="0" w:space="0" w:color="auto"/>
            <w:left w:val="none" w:sz="0" w:space="0" w:color="auto"/>
            <w:bottom w:val="none" w:sz="0" w:space="0" w:color="auto"/>
            <w:right w:val="none" w:sz="0" w:space="0" w:color="auto"/>
          </w:divBdr>
        </w:div>
        <w:div w:id="1645967374">
          <w:marLeft w:val="0"/>
          <w:marRight w:val="0"/>
          <w:marTop w:val="0"/>
          <w:marBottom w:val="0"/>
          <w:divBdr>
            <w:top w:val="none" w:sz="0" w:space="0" w:color="auto"/>
            <w:left w:val="none" w:sz="0" w:space="0" w:color="auto"/>
            <w:bottom w:val="none" w:sz="0" w:space="0" w:color="auto"/>
            <w:right w:val="none" w:sz="0" w:space="0" w:color="auto"/>
          </w:divBdr>
        </w:div>
      </w:divsChild>
    </w:div>
    <w:div w:id="1784231809">
      <w:bodyDiv w:val="1"/>
      <w:marLeft w:val="0"/>
      <w:marRight w:val="0"/>
      <w:marTop w:val="0"/>
      <w:marBottom w:val="0"/>
      <w:divBdr>
        <w:top w:val="none" w:sz="0" w:space="0" w:color="auto"/>
        <w:left w:val="none" w:sz="0" w:space="0" w:color="auto"/>
        <w:bottom w:val="none" w:sz="0" w:space="0" w:color="auto"/>
        <w:right w:val="none" w:sz="0" w:space="0" w:color="auto"/>
      </w:divBdr>
    </w:div>
    <w:div w:id="1852722638">
      <w:bodyDiv w:val="1"/>
      <w:marLeft w:val="0"/>
      <w:marRight w:val="0"/>
      <w:marTop w:val="0"/>
      <w:marBottom w:val="0"/>
      <w:divBdr>
        <w:top w:val="none" w:sz="0" w:space="0" w:color="auto"/>
        <w:left w:val="none" w:sz="0" w:space="0" w:color="auto"/>
        <w:bottom w:val="none" w:sz="0" w:space="0" w:color="auto"/>
        <w:right w:val="none" w:sz="0" w:space="0" w:color="auto"/>
      </w:divBdr>
      <w:divsChild>
        <w:div w:id="1442185712">
          <w:marLeft w:val="0"/>
          <w:marRight w:val="0"/>
          <w:marTop w:val="0"/>
          <w:marBottom w:val="0"/>
          <w:divBdr>
            <w:top w:val="none" w:sz="0" w:space="0" w:color="auto"/>
            <w:left w:val="none" w:sz="0" w:space="0" w:color="auto"/>
            <w:bottom w:val="none" w:sz="0" w:space="0" w:color="auto"/>
            <w:right w:val="none" w:sz="0" w:space="0" w:color="auto"/>
          </w:divBdr>
          <w:divsChild>
            <w:div w:id="377511735">
              <w:marLeft w:val="0"/>
              <w:marRight w:val="0"/>
              <w:marTop w:val="0"/>
              <w:marBottom w:val="0"/>
              <w:divBdr>
                <w:top w:val="none" w:sz="0" w:space="0" w:color="auto"/>
                <w:left w:val="none" w:sz="0" w:space="0" w:color="auto"/>
                <w:bottom w:val="none" w:sz="0" w:space="0" w:color="auto"/>
                <w:right w:val="none" w:sz="0" w:space="0" w:color="auto"/>
              </w:divBdr>
              <w:divsChild>
                <w:div w:id="1525710213">
                  <w:marLeft w:val="0"/>
                  <w:marRight w:val="0"/>
                  <w:marTop w:val="0"/>
                  <w:marBottom w:val="195"/>
                  <w:divBdr>
                    <w:top w:val="none" w:sz="0" w:space="0" w:color="auto"/>
                    <w:left w:val="none" w:sz="0" w:space="0" w:color="auto"/>
                    <w:bottom w:val="none" w:sz="0" w:space="0" w:color="auto"/>
                    <w:right w:val="none" w:sz="0" w:space="0" w:color="auto"/>
                  </w:divBdr>
                  <w:divsChild>
                    <w:div w:id="2483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69556">
      <w:bodyDiv w:val="1"/>
      <w:marLeft w:val="0"/>
      <w:marRight w:val="0"/>
      <w:marTop w:val="0"/>
      <w:marBottom w:val="0"/>
      <w:divBdr>
        <w:top w:val="none" w:sz="0" w:space="0" w:color="auto"/>
        <w:left w:val="none" w:sz="0" w:space="0" w:color="auto"/>
        <w:bottom w:val="none" w:sz="0" w:space="0" w:color="auto"/>
        <w:right w:val="none" w:sz="0" w:space="0" w:color="auto"/>
      </w:divBdr>
    </w:div>
    <w:div w:id="1977179291">
      <w:bodyDiv w:val="1"/>
      <w:marLeft w:val="0"/>
      <w:marRight w:val="0"/>
      <w:marTop w:val="0"/>
      <w:marBottom w:val="0"/>
      <w:divBdr>
        <w:top w:val="none" w:sz="0" w:space="0" w:color="auto"/>
        <w:left w:val="none" w:sz="0" w:space="0" w:color="auto"/>
        <w:bottom w:val="none" w:sz="0" w:space="0" w:color="auto"/>
        <w:right w:val="none" w:sz="0" w:space="0" w:color="auto"/>
      </w:divBdr>
    </w:div>
    <w:div w:id="19875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crosofttranslator.com/bv.aspx?from=de&amp;to=en&amp;a=http%3A%2F%2F131.253.14.98%2Fbvsandbox.aspx%3F%26dl%3Den%26from%3Dde%26to%3Den%23_ftn1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crosofttranslator.com/bv.aspx?from=de&amp;to=en&amp;a=http%3A%2F%2F131.253.14.98%2Fbvsandbox.aspx%3F%26dl%3Den%26from%3Dde%26to%3Den%23_ftn97" TargetMode="External"/><Relationship Id="rId17" Type="http://schemas.openxmlformats.org/officeDocument/2006/relationships/hyperlink" Target="http://www.microsofttranslator.com/bv.aspx?from=de&amp;to=en&amp;a=http%3A%2F%2F131.253.14.98%2Fbvsandbox.aspx%3F%26dl%3Den%26from%3Dde%26to%3Den%23_ftn164" TargetMode="External"/><Relationship Id="rId2" Type="http://schemas.openxmlformats.org/officeDocument/2006/relationships/numbering" Target="numbering.xml"/><Relationship Id="rId16" Type="http://schemas.openxmlformats.org/officeDocument/2006/relationships/hyperlink" Target="http://www.microsofttranslator.com/bv.aspx?from=de&amp;to=en&amp;a=http%3A%2F%2F131.253.14.98%2Fbvsandbox.aspx%3F%26dl%3Den%26from%3Dde%26to%3Den%23_ftn1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translator.com/bv.aspx?from=de&amp;to=en&amp;a=http%3A%2F%2F131.253.14.98%2Fbvsandbox.aspx%3F%26dl%3Den%26from%3Dde%26to%3Den%23_ftn96" TargetMode="External"/><Relationship Id="rId5" Type="http://schemas.openxmlformats.org/officeDocument/2006/relationships/settings" Target="settings.xml"/><Relationship Id="rId15" Type="http://schemas.openxmlformats.org/officeDocument/2006/relationships/hyperlink" Target="http://www.microsofttranslator.com/bv.aspx?from=de&amp;to=en&amp;a=http%3A%2F%2F131.253.14.98%2Fbvsandbox.aspx%3F%26dl%3Den%26from%3Dde%26to%3Den%23_ftn106" TargetMode="External"/><Relationship Id="rId10" Type="http://schemas.openxmlformats.org/officeDocument/2006/relationships/hyperlink" Target="http://www.microsofttranslator.com/bv.aspx?from=de&amp;to=en&amp;a=http%3A%2F%2F131.253.14.98%2Fbvsandbox.aspx%3F%26dl%3Den%26from%3Dde%26to%3Den%23_ftn93"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crosofttranslator.com/bv.aspx?from=de&amp;to=en&amp;a=http%3A%2F%2F131.253.14.98%2Fbvsandbox.aspx%3F%26dl%3Den%26from%3Dde%26to%3Den%23_ftn36" TargetMode="External"/><Relationship Id="rId14" Type="http://schemas.openxmlformats.org/officeDocument/2006/relationships/hyperlink" Target="http://www.microsofttranslator.com/bv.aspx?from=de&amp;to=en&amp;a=http%3A%2F%2F131.253.14.98%2Fbvsandbox.aspx%3F%26dl%3Den%26from%3Dde%26to%3Den%23_ftn10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ditions-dalloz.fr/catalogsearch/result/?q=Gonod" TargetMode="External"/><Relationship Id="rId13" Type="http://schemas.openxmlformats.org/officeDocument/2006/relationships/hyperlink" Target="http://www.google.de/search?hl=de&amp;tbo=p&amp;tbm=bks&amp;q=inauthor:%22Bertrand+Mathieu%22" TargetMode="External"/><Relationship Id="rId18" Type="http://schemas.openxmlformats.org/officeDocument/2006/relationships/hyperlink" Target="http://www.google.de/search?hl=de&amp;tbo=p&amp;tbm=bks&amp;q=inauthor:%22Thierry+Di+Manno%22" TargetMode="External"/><Relationship Id="rId3" Type="http://schemas.openxmlformats.org/officeDocument/2006/relationships/hyperlink" Target="http://www.google.de/search?hl=de&amp;tbo=p&amp;tbm=bks&amp;q=inauthor:%22Maurice-Andr%C3%A9+Flamme%22" TargetMode="External"/><Relationship Id="rId7" Type="http://schemas.openxmlformats.org/officeDocument/2006/relationships/hyperlink" Target="javascript:open_window(%22http://aleph.mpg.de:80/F/RJ56P9CSV3YAKK2BEMX1J4UEFY2RTNU2KCBLR94LEGEQY9C2ME-16808?func=service&amp;doc_number=000840560&amp;line_number=0020&amp;service_type=TAG%22);" TargetMode="External"/><Relationship Id="rId12" Type="http://schemas.openxmlformats.org/officeDocument/2006/relationships/hyperlink" Target="http://www.google.de/search?hl=de&amp;tbo=p&amp;tbm=bks&amp;q=inauthor:%22Franciscus+Tielemans%22" TargetMode="External"/><Relationship Id="rId17" Type="http://schemas.openxmlformats.org/officeDocument/2006/relationships/hyperlink" Target="http://www.google.de/search?hl=de&amp;tbo=p&amp;tbm=bks&amp;q=inauthor:%22Michel+Verpeaux%22" TargetMode="External"/><Relationship Id="rId2" Type="http://schemas.openxmlformats.org/officeDocument/2006/relationships/hyperlink" Target="http://www.e-elgar.com/search_results.lasso?Author_Name_grp=Peter%20L.%20Lindseth" TargetMode="External"/><Relationship Id="rId16" Type="http://schemas.openxmlformats.org/officeDocument/2006/relationships/hyperlink" Target="http://www.google.de/search?hl=de&amp;tbo=p&amp;tbm=bks&amp;q=inauthor:%22Bertrand+Mathieu%22" TargetMode="External"/><Relationship Id="rId1" Type="http://schemas.openxmlformats.org/officeDocument/2006/relationships/hyperlink" Target="http://www.e-elgar.com/search_results.lasso?Author_Name_grp=Susan%20Rose-Ackerman" TargetMode="External"/><Relationship Id="rId6" Type="http://schemas.openxmlformats.org/officeDocument/2006/relationships/hyperlink" Target="http://www.google.de/search?hl=de&amp;tbo=p&amp;tbm=bks&amp;q=inauthor:%22Harry+Street%22" TargetMode="External"/><Relationship Id="rId11" Type="http://schemas.openxmlformats.org/officeDocument/2006/relationships/hyperlink" Target="http://www.google.de/search?hl=de&amp;tbo=p&amp;tbm=bks&amp;q=inauthor:%22Charles+de+Brouckere%22" TargetMode="External"/><Relationship Id="rId5" Type="http://schemas.openxmlformats.org/officeDocument/2006/relationships/hyperlink" Target="http://www.google.de/search?hl=de&amp;tbo=p&amp;tbm=bks&amp;q=inauthor:%22John+Aneurin+Grey+Griffith%22" TargetMode="External"/><Relationship Id="rId15" Type="http://schemas.openxmlformats.org/officeDocument/2006/relationships/hyperlink" Target="http://www.google.de/search?hl=de&amp;tbo=p&amp;tbm=bks&amp;q=inauthor:%22Thierry+Di+Manno%22" TargetMode="External"/><Relationship Id="rId10" Type="http://schemas.openxmlformats.org/officeDocument/2006/relationships/hyperlink" Target="http://www.editions-dalloz.fr/catalogsearch/result/?q=Yolka" TargetMode="External"/><Relationship Id="rId19" Type="http://schemas.openxmlformats.org/officeDocument/2006/relationships/hyperlink" Target="javascript:open_window(%22http://aleph.mpg.de:80/F/NXNUYS7G53PH4F58BNEAB1HSCVQPKIVI49MLHCV2QACGQRUTQN-56975?func=service&amp;doc_number=000065157&amp;line_number=0022&amp;service_type=TAG%22);" TargetMode="External"/><Relationship Id="rId4" Type="http://schemas.openxmlformats.org/officeDocument/2006/relationships/hyperlink" Target="https://www.google.com/search?sa=N&amp;biw=1477&amp;bih=771&amp;tbm=bks&amp;q=inauthor:%22Anthony+Wilfred+Bradley%22&amp;ei=2b0zVP-nOuu8ygPspoC4DQ&amp;ved=0CGwQ9AgwDzgK" TargetMode="External"/><Relationship Id="rId9" Type="http://schemas.openxmlformats.org/officeDocument/2006/relationships/hyperlink" Target="http://www.editions-dalloz.fr/catalogsearch/result/?q=Melleray" TargetMode="External"/><Relationship Id="rId14" Type="http://schemas.openxmlformats.org/officeDocument/2006/relationships/hyperlink" Target="http://www.google.de/search?hl=de&amp;tbo=p&amp;tbm=bks&amp;q=inauthor:%22Michel+Verpeaux%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7731-CB0C-48BB-8772-8B5E059C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23753</Words>
  <Characters>135394</Characters>
  <Application>Microsoft Office Word</Application>
  <DocSecurity>0</DocSecurity>
  <Lines>1128</Lines>
  <Paragraphs>317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158830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Suzanne</dc:creator>
  <cp:lastModifiedBy>Luc HEUSCHLING</cp:lastModifiedBy>
  <cp:revision>2</cp:revision>
  <cp:lastPrinted>2014-10-02T08:30:00Z</cp:lastPrinted>
  <dcterms:created xsi:type="dcterms:W3CDTF">2016-10-27T14:06:00Z</dcterms:created>
  <dcterms:modified xsi:type="dcterms:W3CDTF">2016-10-27T14:06:00Z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536010024</vt:i4>
  </property>
  <property fmtid="{D5CDD505-2E9C-101B-9397-08002B2CF9AE}" pid="4" name="_EmailSubject">
    <vt:lpwstr>Beiträge für OUP mit geändertem Vorwort </vt:lpwstr>
  </property>
  <property fmtid="{D5CDD505-2E9C-101B-9397-08002B2CF9AE}" pid="5" name="_AuthorEmail">
    <vt:lpwstr>mschmidt@mpil.de</vt:lpwstr>
  </property>
  <property fmtid="{D5CDD505-2E9C-101B-9397-08002B2CF9AE}" pid="6" name="_AuthorEmailDisplayName">
    <vt:lpwstr>Schmidt, Matthias</vt:lpwstr>
  </property>
  <property fmtid="{D5CDD505-2E9C-101B-9397-08002B2CF9AE}" pid="7" name="_ReviewingToolsShownOnce">
    <vt:lpwstr/>
  </property>
</Properties>
</file>