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62" w:rsidRPr="00AF4CEF" w:rsidRDefault="00F85162" w:rsidP="0048035D">
      <w:pPr>
        <w:spacing w:line="360" w:lineRule="auto"/>
        <w:jc w:val="center"/>
        <w:rPr>
          <w:rFonts w:ascii="Times New Roman" w:hAnsi="Times New Roman" w:cs="Times New Roman"/>
          <w:sz w:val="24"/>
          <w:szCs w:val="24"/>
        </w:rPr>
      </w:pPr>
      <w:bookmarkStart w:id="0" w:name="_GoBack"/>
      <w:bookmarkEnd w:id="0"/>
      <w:r w:rsidRPr="00AF4CEF">
        <w:rPr>
          <w:rFonts w:ascii="Times New Roman" w:hAnsi="Times New Roman" w:cs="Times New Roman"/>
          <w:sz w:val="24"/>
          <w:szCs w:val="24"/>
        </w:rPr>
        <w:t>Paroles de femmes : quand dire, c’est se construire sexuellement</w:t>
      </w:r>
    </w:p>
    <w:p w:rsidR="0048035D" w:rsidRDefault="00F85162" w:rsidP="0048035D">
      <w:pPr>
        <w:spacing w:after="0" w:line="360" w:lineRule="auto"/>
        <w:ind w:firstLine="709"/>
        <w:jc w:val="both"/>
        <w:rPr>
          <w:rFonts w:ascii="Times New Roman" w:hAnsi="Times New Roman" w:cs="Times New Roman"/>
          <w:sz w:val="24"/>
          <w:szCs w:val="24"/>
        </w:rPr>
      </w:pPr>
      <w:r w:rsidRPr="00AF4CEF">
        <w:rPr>
          <w:rFonts w:ascii="Times New Roman" w:hAnsi="Times New Roman" w:cs="Times New Roman"/>
          <w:sz w:val="24"/>
          <w:szCs w:val="24"/>
        </w:rPr>
        <w:t xml:space="preserve">« Vous ne vous cacherez pas, vous femme singulière, derrière la "Femme" », note Assia Djebar </w:t>
      </w:r>
      <w:r>
        <w:rPr>
          <w:rFonts w:ascii="Times New Roman" w:hAnsi="Times New Roman" w:cs="Times New Roman"/>
          <w:sz w:val="24"/>
          <w:szCs w:val="24"/>
        </w:rPr>
        <w:t>(1</w:t>
      </w:r>
      <w:r w:rsidRPr="00AF4CEF">
        <w:rPr>
          <w:rFonts w:ascii="Times New Roman" w:hAnsi="Times New Roman" w:cs="Times New Roman"/>
          <w:sz w:val="24"/>
          <w:szCs w:val="24"/>
        </w:rPr>
        <w:t>99</w:t>
      </w:r>
      <w:r>
        <w:rPr>
          <w:rFonts w:ascii="Times New Roman" w:hAnsi="Times New Roman" w:cs="Times New Roman"/>
          <w:sz w:val="24"/>
          <w:szCs w:val="24"/>
        </w:rPr>
        <w:t>5</w:t>
      </w:r>
      <w:r w:rsidR="0038103C">
        <w:rPr>
          <w:rFonts w:ascii="Times New Roman" w:hAnsi="Times New Roman" w:cs="Times New Roman"/>
          <w:sz w:val="24"/>
          <w:szCs w:val="24"/>
        </w:rPr>
        <w:t>b</w:t>
      </w:r>
      <w:r>
        <w:rPr>
          <w:rFonts w:ascii="Times New Roman" w:hAnsi="Times New Roman" w:cs="Times New Roman"/>
          <w:sz w:val="24"/>
          <w:szCs w:val="24"/>
        </w:rPr>
        <w:t> : 31)</w:t>
      </w:r>
      <w:r w:rsidR="0048035D">
        <w:rPr>
          <w:rStyle w:val="Marquedenotedefin"/>
          <w:rFonts w:ascii="Times New Roman" w:hAnsi="Times New Roman" w:cs="Times New Roman"/>
          <w:sz w:val="24"/>
          <w:szCs w:val="24"/>
        </w:rPr>
        <w:endnoteReference w:id="1"/>
      </w:r>
      <w:r w:rsidR="0048035D">
        <w:rPr>
          <w:rFonts w:ascii="Times New Roman" w:hAnsi="Times New Roman" w:cs="Times New Roman"/>
          <w:sz w:val="24"/>
          <w:szCs w:val="24"/>
        </w:rPr>
        <w:t>.</w:t>
      </w:r>
      <w:r w:rsidR="0048035D" w:rsidRPr="00AF4CEF">
        <w:rPr>
          <w:rFonts w:ascii="Times New Roman" w:hAnsi="Times New Roman" w:cs="Times New Roman"/>
          <w:sz w:val="24"/>
          <w:szCs w:val="24"/>
        </w:rPr>
        <w:t xml:space="preserve"> Prêter sa voix à </w:t>
      </w:r>
      <w:r w:rsidR="0048035D" w:rsidRPr="00AF4CEF">
        <w:rPr>
          <w:rFonts w:ascii="Times New Roman" w:hAnsi="Times New Roman" w:cs="Times New Roman"/>
          <w:i/>
          <w:sz w:val="24"/>
          <w:szCs w:val="24"/>
        </w:rPr>
        <w:t>des</w:t>
      </w:r>
      <w:r w:rsidR="0048035D" w:rsidRPr="00AF4CEF">
        <w:rPr>
          <w:rFonts w:ascii="Times New Roman" w:hAnsi="Times New Roman" w:cs="Times New Roman"/>
          <w:sz w:val="24"/>
          <w:szCs w:val="24"/>
        </w:rPr>
        <w:t xml:space="preserve"> femmes que la société arabo-musulmane patriarcale condamne au silence, tel est l’objectif poursuivi dans le roman autobiographique</w:t>
      </w:r>
      <w:r w:rsidR="0048035D">
        <w:rPr>
          <w:rFonts w:ascii="Times New Roman" w:hAnsi="Times New Roman" w:cs="Times New Roman"/>
          <w:sz w:val="24"/>
          <w:szCs w:val="24"/>
        </w:rPr>
        <w:t xml:space="preserve"> </w:t>
      </w:r>
      <w:r w:rsidR="0048035D" w:rsidRPr="00AF4CEF">
        <w:rPr>
          <w:rFonts w:ascii="Times New Roman" w:hAnsi="Times New Roman" w:cs="Times New Roman"/>
          <w:i/>
          <w:sz w:val="24"/>
          <w:szCs w:val="24"/>
        </w:rPr>
        <w:t>L’Amour, la fantas</w:t>
      </w:r>
      <w:r w:rsidR="0048035D">
        <w:rPr>
          <w:rFonts w:ascii="Times New Roman" w:hAnsi="Times New Roman" w:cs="Times New Roman"/>
          <w:i/>
          <w:sz w:val="24"/>
          <w:szCs w:val="24"/>
        </w:rPr>
        <w:t>ia</w:t>
      </w:r>
      <w:r w:rsidR="0048035D" w:rsidRPr="00AF4CEF">
        <w:rPr>
          <w:rStyle w:val="Marquedenotedefin"/>
          <w:rFonts w:ascii="Times New Roman" w:hAnsi="Times New Roman" w:cs="Times New Roman"/>
          <w:sz w:val="24"/>
          <w:szCs w:val="24"/>
        </w:rPr>
        <w:endnoteReference w:id="2"/>
      </w:r>
      <w:r w:rsidR="0048035D" w:rsidRPr="00AF4CEF">
        <w:rPr>
          <w:rFonts w:ascii="Times New Roman" w:hAnsi="Times New Roman" w:cs="Times New Roman"/>
          <w:sz w:val="24"/>
          <w:szCs w:val="24"/>
        </w:rPr>
        <w:t xml:space="preserve">. Dans ce cas, à quels types de rapport du discours </w:t>
      </w:r>
      <w:r w:rsidR="0048035D">
        <w:rPr>
          <w:rFonts w:ascii="Times New Roman" w:hAnsi="Times New Roman" w:cs="Times New Roman"/>
          <w:sz w:val="24"/>
          <w:szCs w:val="24"/>
        </w:rPr>
        <w:t xml:space="preserve">de la femme </w:t>
      </w:r>
      <w:r w:rsidR="0048035D" w:rsidRPr="00AF4CEF">
        <w:rPr>
          <w:rFonts w:ascii="Times New Roman" w:hAnsi="Times New Roman" w:cs="Times New Roman"/>
          <w:sz w:val="24"/>
          <w:szCs w:val="24"/>
        </w:rPr>
        <w:t>est-il fait appel </w:t>
      </w:r>
      <w:r w:rsidR="0048035D">
        <w:rPr>
          <w:rFonts w:ascii="Times New Roman" w:hAnsi="Times New Roman" w:cs="Times New Roman"/>
          <w:sz w:val="24"/>
          <w:szCs w:val="24"/>
        </w:rPr>
        <w:t xml:space="preserve">préférentiellement </w:t>
      </w:r>
      <w:r w:rsidR="0048035D" w:rsidRPr="00AF4CEF">
        <w:rPr>
          <w:rFonts w:ascii="Times New Roman" w:hAnsi="Times New Roman" w:cs="Times New Roman"/>
          <w:sz w:val="24"/>
          <w:szCs w:val="24"/>
        </w:rPr>
        <w:t>? Dans quelle mesure sont-ils définitoires d’une citation féminine</w:t>
      </w:r>
      <w:r w:rsidR="0048035D">
        <w:rPr>
          <w:rFonts w:ascii="Times New Roman" w:hAnsi="Times New Roman" w:cs="Times New Roman"/>
          <w:sz w:val="24"/>
          <w:szCs w:val="24"/>
        </w:rPr>
        <w:t xml:space="preserve"> </w:t>
      </w:r>
      <w:r w:rsidR="0048035D" w:rsidRPr="00AF4CEF">
        <w:rPr>
          <w:rFonts w:ascii="Times New Roman" w:hAnsi="Times New Roman" w:cs="Times New Roman"/>
          <w:sz w:val="24"/>
          <w:szCs w:val="24"/>
        </w:rPr>
        <w:t>à distinguer d’une citation masculine ? Tel est le champ de questionnement à la base de cette étude, qui compte interroger la pertinence</w:t>
      </w:r>
      <w:r w:rsidR="0048035D">
        <w:rPr>
          <w:rFonts w:ascii="Times New Roman" w:hAnsi="Times New Roman" w:cs="Times New Roman"/>
          <w:sz w:val="24"/>
          <w:szCs w:val="24"/>
        </w:rPr>
        <w:t>, en matière de discours rapporté,</w:t>
      </w:r>
      <w:r w:rsidR="0048035D" w:rsidRPr="00AF4CEF">
        <w:rPr>
          <w:rFonts w:ascii="Times New Roman" w:hAnsi="Times New Roman" w:cs="Times New Roman"/>
          <w:sz w:val="24"/>
          <w:szCs w:val="24"/>
        </w:rPr>
        <w:t xml:space="preserve"> du paramètre du sexe</w:t>
      </w:r>
      <w:r w:rsidR="0048035D">
        <w:rPr>
          <w:rFonts w:ascii="Times New Roman" w:hAnsi="Times New Roman" w:cs="Times New Roman"/>
          <w:sz w:val="24"/>
          <w:szCs w:val="24"/>
        </w:rPr>
        <w:t xml:space="preserve">.  </w:t>
      </w: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des enjeux de la réflexion pourrait être celui-ci : les types de discours rapporté retenus se mettent-ils au service d’une </w:t>
      </w:r>
      <w:r w:rsidRPr="00AF4CEF">
        <w:rPr>
          <w:rFonts w:ascii="Times New Roman" w:hAnsi="Times New Roman" w:cs="Times New Roman"/>
          <w:sz w:val="24"/>
          <w:szCs w:val="24"/>
        </w:rPr>
        <w:t>« écriture-femme »</w:t>
      </w:r>
      <w:r>
        <w:rPr>
          <w:rFonts w:ascii="Times New Roman" w:hAnsi="Times New Roman" w:cs="Times New Roman"/>
          <w:sz w:val="24"/>
          <w:szCs w:val="24"/>
        </w:rPr>
        <w:t>,</w:t>
      </w:r>
      <w:r w:rsidRPr="00AF4CEF">
        <w:rPr>
          <w:rFonts w:ascii="Times New Roman" w:hAnsi="Times New Roman" w:cs="Times New Roman"/>
          <w:sz w:val="24"/>
          <w:szCs w:val="24"/>
        </w:rPr>
        <w:t> </w:t>
      </w:r>
      <w:r>
        <w:rPr>
          <w:rFonts w:ascii="Times New Roman" w:hAnsi="Times New Roman" w:cs="Times New Roman"/>
          <w:sz w:val="24"/>
          <w:szCs w:val="24"/>
        </w:rPr>
        <w:t xml:space="preserve">au sens où l’entend Béatrice Didier au début des années 1980 </w:t>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En recourant à certains types de discours rapporté plutôt qu’à d’autres, Assia Djebar </w:t>
      </w:r>
      <w:r w:rsidRPr="00AF4CEF">
        <w:rPr>
          <w:rFonts w:ascii="Times New Roman" w:hAnsi="Times New Roman" w:cs="Times New Roman"/>
          <w:sz w:val="24"/>
          <w:szCs w:val="24"/>
        </w:rPr>
        <w:t>« </w:t>
      </w:r>
      <w:r>
        <w:rPr>
          <w:rFonts w:ascii="Times New Roman" w:hAnsi="Times New Roman" w:cs="Times New Roman"/>
          <w:sz w:val="24"/>
          <w:szCs w:val="24"/>
        </w:rPr>
        <w:t>é</w:t>
      </w:r>
      <w:r w:rsidRPr="00AF4CEF">
        <w:rPr>
          <w:rFonts w:ascii="Times New Roman" w:hAnsi="Times New Roman" w:cs="Times New Roman"/>
          <w:sz w:val="24"/>
          <w:szCs w:val="24"/>
        </w:rPr>
        <w:t>crit-elle femme », « écrit-elle de la femme »</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Cixous 1975 : 46) ? </w:t>
      </w:r>
      <w:r>
        <w:rPr>
          <w:rFonts w:ascii="Times New Roman" w:hAnsi="Times New Roman" w:cs="Times New Roman"/>
          <w:sz w:val="24"/>
          <w:szCs w:val="24"/>
        </w:rPr>
        <w:t>Est-ce inventer et promouvoir une « parole de femme » au sens où l’entend Annie Leclerc : « […] il ne me suffit pas de parler de moi pour trouver une parole qui soit mienne. Littérature de femme : littérature féminine, bien féminine, d’une exquise sensibilité féminine. […] Un homme parle au nom des hommes. Une femme, au nom des femmes » (1974 : 11-12)</w:t>
      </w:r>
      <w:r w:rsidR="008334B4">
        <w:rPr>
          <w:rFonts w:ascii="Times New Roman" w:hAnsi="Times New Roman" w:cs="Times New Roman"/>
          <w:sz w:val="24"/>
          <w:szCs w:val="24"/>
        </w:rPr>
        <w:t> ?</w:t>
      </w:r>
      <w:r>
        <w:rPr>
          <w:rFonts w:ascii="Times New Roman" w:hAnsi="Times New Roman" w:cs="Times New Roman"/>
          <w:sz w:val="24"/>
          <w:szCs w:val="24"/>
        </w:rPr>
        <w:t xml:space="preserve"> Évitant les classifications qui peuvent se révéler abusives (Didier 1981), on scrutera, ici, les </w:t>
      </w:r>
      <w:r w:rsidRPr="000D72FE">
        <w:rPr>
          <w:rFonts w:ascii="Times New Roman" w:hAnsi="Times New Roman" w:cs="Times New Roman"/>
          <w:i/>
          <w:sz w:val="24"/>
          <w:szCs w:val="24"/>
        </w:rPr>
        <w:t>modalités</w:t>
      </w:r>
      <w:r>
        <w:rPr>
          <w:rFonts w:ascii="Times New Roman" w:hAnsi="Times New Roman" w:cs="Times New Roman"/>
          <w:sz w:val="24"/>
          <w:szCs w:val="24"/>
        </w:rPr>
        <w:t xml:space="preserve"> et les </w:t>
      </w:r>
      <w:r w:rsidRPr="0015790D">
        <w:rPr>
          <w:rFonts w:ascii="Times New Roman" w:hAnsi="Times New Roman" w:cs="Times New Roman"/>
          <w:i/>
          <w:sz w:val="24"/>
          <w:szCs w:val="24"/>
        </w:rPr>
        <w:t>conséquences</w:t>
      </w:r>
      <w:r>
        <w:rPr>
          <w:rFonts w:ascii="Times New Roman" w:hAnsi="Times New Roman" w:cs="Times New Roman"/>
          <w:sz w:val="24"/>
          <w:szCs w:val="24"/>
        </w:rPr>
        <w:t xml:space="preserve"> de la « féminisation » de certains types de discours rapporté dans </w:t>
      </w:r>
      <w:r w:rsidRPr="00AF4CEF">
        <w:rPr>
          <w:rFonts w:ascii="Times New Roman" w:hAnsi="Times New Roman" w:cs="Times New Roman"/>
          <w:sz w:val="24"/>
          <w:szCs w:val="24"/>
        </w:rPr>
        <w:t>l’ouvrage d’</w:t>
      </w:r>
      <w:r w:rsidRPr="000D72FE">
        <w:rPr>
          <w:rFonts w:ascii="Times New Roman" w:hAnsi="Times New Roman" w:cs="Times New Roman"/>
          <w:i/>
          <w:sz w:val="24"/>
          <w:szCs w:val="24"/>
        </w:rPr>
        <w:t>une</w:t>
      </w:r>
      <w:r w:rsidRPr="00AF4CEF">
        <w:rPr>
          <w:rFonts w:ascii="Times New Roman" w:hAnsi="Times New Roman" w:cs="Times New Roman"/>
          <w:sz w:val="24"/>
          <w:szCs w:val="24"/>
        </w:rPr>
        <w:t xml:space="preserve"> femme</w:t>
      </w:r>
      <w:r>
        <w:rPr>
          <w:rFonts w:ascii="Times New Roman" w:hAnsi="Times New Roman" w:cs="Times New Roman"/>
          <w:sz w:val="24"/>
          <w:szCs w:val="24"/>
        </w:rPr>
        <w:t xml:space="preserve"> faisant parler des femmes. </w:t>
      </w: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la « féminisation » est fonction du </w:t>
      </w:r>
      <w:r w:rsidRPr="00605E53">
        <w:rPr>
          <w:rFonts w:ascii="Times New Roman" w:hAnsi="Times New Roman" w:cs="Times New Roman"/>
          <w:sz w:val="24"/>
          <w:szCs w:val="24"/>
        </w:rPr>
        <w:t>choix o</w:t>
      </w:r>
      <w:r>
        <w:rPr>
          <w:rFonts w:ascii="Times New Roman" w:hAnsi="Times New Roman" w:cs="Times New Roman"/>
          <w:sz w:val="24"/>
          <w:szCs w:val="24"/>
        </w:rPr>
        <w:t>péré par une auteure faisant exister les femmes comme êtres de parole, on élargira la perspective en direction des « scénographies</w:t>
      </w:r>
      <w:r w:rsidR="008334B4">
        <w:rPr>
          <w:rStyle w:val="Marquedenotedefin"/>
          <w:rFonts w:ascii="Times New Roman" w:hAnsi="Times New Roman" w:cs="Times New Roman"/>
          <w:sz w:val="24"/>
          <w:szCs w:val="24"/>
        </w:rPr>
        <w:endnoteReference w:id="3"/>
      </w:r>
      <w:r>
        <w:rPr>
          <w:rFonts w:ascii="Times New Roman" w:hAnsi="Times New Roman" w:cs="Times New Roman"/>
          <w:sz w:val="24"/>
          <w:szCs w:val="24"/>
        </w:rPr>
        <w:t> » et, plus largement, des « scènes génériques » (Maingueneau 2004 : 191-192</w:t>
      </w:r>
      <w:r w:rsidRPr="00AF4CEF">
        <w:rPr>
          <w:rFonts w:ascii="Times New Roman" w:hAnsi="Times New Roman" w:cs="Times New Roman"/>
          <w:sz w:val="24"/>
          <w:szCs w:val="24"/>
        </w:rPr>
        <w:t>)</w:t>
      </w:r>
      <w:r>
        <w:rPr>
          <w:rFonts w:ascii="Times New Roman" w:hAnsi="Times New Roman" w:cs="Times New Roman"/>
          <w:sz w:val="24"/>
          <w:szCs w:val="24"/>
        </w:rPr>
        <w:t xml:space="preserve"> mobilisées. J</w:t>
      </w:r>
      <w:r w:rsidRPr="00AF4CEF">
        <w:rPr>
          <w:rFonts w:ascii="Times New Roman" w:hAnsi="Times New Roman" w:cs="Times New Roman"/>
          <w:sz w:val="24"/>
          <w:szCs w:val="24"/>
        </w:rPr>
        <w:t>ouant sur les différentes acceptions du lexème « genre », on avancera que, dans ce roman, le discours direct (DD), le discours direct libre (DDL) et ce qu’on appellera le « discours emphatique » donnent forme à une citation féminine non seulement à travers les éléments thématiques retenus, mais en convoquant différents genres et modes d’énonciation : le genre autobiographique</w:t>
      </w:r>
      <w:r>
        <w:rPr>
          <w:rStyle w:val="Marquedenotedefin"/>
          <w:rFonts w:ascii="Times New Roman" w:hAnsi="Times New Roman" w:cs="Times New Roman"/>
          <w:sz w:val="24"/>
          <w:szCs w:val="24"/>
        </w:rPr>
        <w:endnoteReference w:id="4"/>
      </w:r>
      <w:r w:rsidRPr="00AF4CEF">
        <w:rPr>
          <w:rFonts w:ascii="Times New Roman" w:hAnsi="Times New Roman" w:cs="Times New Roman"/>
          <w:sz w:val="24"/>
          <w:szCs w:val="24"/>
        </w:rPr>
        <w:t>, traditionnellement qualifié de « féminin</w:t>
      </w:r>
      <w:r>
        <w:rPr>
          <w:rStyle w:val="Marquedenotedefin"/>
          <w:rFonts w:ascii="Times New Roman" w:hAnsi="Times New Roman" w:cs="Times New Roman"/>
          <w:sz w:val="24"/>
          <w:szCs w:val="24"/>
        </w:rPr>
        <w:endnoteReference w:id="5"/>
      </w:r>
      <w:r>
        <w:rPr>
          <w:rFonts w:ascii="Times New Roman" w:hAnsi="Times New Roman" w:cs="Times New Roman"/>
          <w:sz w:val="24"/>
          <w:szCs w:val="24"/>
        </w:rPr>
        <w:t> » ; l</w:t>
      </w:r>
      <w:r w:rsidRPr="00AF4CEF">
        <w:rPr>
          <w:rFonts w:ascii="Times New Roman" w:hAnsi="Times New Roman" w:cs="Times New Roman"/>
          <w:sz w:val="24"/>
          <w:szCs w:val="24"/>
        </w:rPr>
        <w:t>e discours historiographique</w:t>
      </w:r>
      <w:r>
        <w:rPr>
          <w:rFonts w:ascii="Times New Roman" w:hAnsi="Times New Roman" w:cs="Times New Roman"/>
          <w:sz w:val="24"/>
          <w:szCs w:val="24"/>
        </w:rPr>
        <w:t xml:space="preserve"> de l’Algérie qui, s’il est l</w:t>
      </w:r>
      <w:r w:rsidRPr="00AF4CEF">
        <w:rPr>
          <w:rFonts w:ascii="Times New Roman" w:hAnsi="Times New Roman" w:cs="Times New Roman"/>
          <w:sz w:val="24"/>
          <w:szCs w:val="24"/>
        </w:rPr>
        <w:t>argement dominé, selon Djebar, par des chroniqueurs et historiens misogynes tels que Tabari</w:t>
      </w:r>
      <w:r>
        <w:rPr>
          <w:rStyle w:val="Marquedenotedefin"/>
          <w:rFonts w:ascii="Times New Roman" w:hAnsi="Times New Roman" w:cs="Times New Roman"/>
          <w:sz w:val="24"/>
          <w:szCs w:val="24"/>
        </w:rPr>
        <w:endnoteReference w:id="6"/>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est ici renouvelé de l’intérieur ; </w:t>
      </w:r>
      <w:r w:rsidRPr="00AF4CEF">
        <w:rPr>
          <w:rFonts w:ascii="Times New Roman" w:hAnsi="Times New Roman" w:cs="Times New Roman"/>
          <w:sz w:val="24"/>
          <w:szCs w:val="24"/>
        </w:rPr>
        <w:t xml:space="preserve">l’énonciation poétique qui opère un métissage du français, la langue de l’envahisseur de l’Algérie. Il s’agira ainsi de montrer en quoi la </w:t>
      </w:r>
      <w:r>
        <w:rPr>
          <w:rFonts w:ascii="Times New Roman" w:hAnsi="Times New Roman" w:cs="Times New Roman"/>
          <w:sz w:val="24"/>
          <w:szCs w:val="24"/>
        </w:rPr>
        <w:t>« </w:t>
      </w:r>
      <w:r w:rsidRPr="00AF4CEF">
        <w:rPr>
          <w:rFonts w:ascii="Times New Roman" w:hAnsi="Times New Roman" w:cs="Times New Roman"/>
          <w:sz w:val="24"/>
          <w:szCs w:val="24"/>
        </w:rPr>
        <w:t>féminisation</w:t>
      </w:r>
      <w:r>
        <w:rPr>
          <w:rFonts w:ascii="Times New Roman" w:hAnsi="Times New Roman" w:cs="Times New Roman"/>
          <w:sz w:val="24"/>
          <w:szCs w:val="24"/>
        </w:rPr>
        <w:t> »</w:t>
      </w:r>
      <w:r w:rsidRPr="00AF4CEF">
        <w:rPr>
          <w:rFonts w:ascii="Times New Roman" w:hAnsi="Times New Roman" w:cs="Times New Roman"/>
          <w:sz w:val="24"/>
          <w:szCs w:val="24"/>
        </w:rPr>
        <w:t xml:space="preserve"> des types de rapport du discours de l’autre résulte de la thématique choisie – </w:t>
      </w:r>
      <w:r>
        <w:rPr>
          <w:rFonts w:ascii="Times New Roman" w:hAnsi="Times New Roman" w:cs="Times New Roman"/>
          <w:sz w:val="24"/>
          <w:szCs w:val="24"/>
        </w:rPr>
        <w:t>une auteure l</w:t>
      </w:r>
      <w:r w:rsidRPr="00AF4CEF">
        <w:rPr>
          <w:rFonts w:ascii="Times New Roman" w:hAnsi="Times New Roman" w:cs="Times New Roman"/>
          <w:sz w:val="24"/>
          <w:szCs w:val="24"/>
        </w:rPr>
        <w:t xml:space="preserve">ocalise une parole de femme là où peut s’exercer son pouvoir de subversion – ainsi que de la médiation par différentes </w:t>
      </w:r>
      <w:r>
        <w:rPr>
          <w:rFonts w:ascii="Times New Roman" w:hAnsi="Times New Roman" w:cs="Times New Roman"/>
          <w:sz w:val="24"/>
          <w:szCs w:val="24"/>
        </w:rPr>
        <w:t xml:space="preserve">scénographies et </w:t>
      </w:r>
      <w:r w:rsidRPr="00AF4CEF">
        <w:rPr>
          <w:rFonts w:ascii="Times New Roman" w:hAnsi="Times New Roman" w:cs="Times New Roman"/>
          <w:sz w:val="24"/>
          <w:szCs w:val="24"/>
        </w:rPr>
        <w:t xml:space="preserve">scènes génériques </w:t>
      </w:r>
      <w:r w:rsidRPr="00AF4CEF">
        <w:rPr>
          <w:rFonts w:ascii="Times New Roman" w:hAnsi="Times New Roman" w:cs="Times New Roman"/>
          <w:sz w:val="24"/>
          <w:szCs w:val="24"/>
        </w:rPr>
        <w:lastRenderedPageBreak/>
        <w:t>qu’il importe</w:t>
      </w:r>
      <w:r w:rsidR="008334B4">
        <w:rPr>
          <w:rFonts w:ascii="Times New Roman" w:hAnsi="Times New Roman" w:cs="Times New Roman"/>
          <w:sz w:val="24"/>
          <w:szCs w:val="24"/>
        </w:rPr>
        <w:t xml:space="preserve"> </w:t>
      </w:r>
      <w:r w:rsidRPr="00AF4CEF">
        <w:rPr>
          <w:rFonts w:ascii="Times New Roman" w:hAnsi="Times New Roman" w:cs="Times New Roman"/>
          <w:sz w:val="24"/>
          <w:szCs w:val="24"/>
        </w:rPr>
        <w:t>de questionner. C’est ouvrir l’espace où peut se déployer le « féminin » selon Maingueneau, qui « mime » une féminité qu’il « corrode toujours » ; le féminin qui, « troublant » la « logique de l’Homme</w:t>
      </w:r>
      <w:r w:rsidRPr="00AF4CEF">
        <w:rPr>
          <w:rFonts w:ascii="Times New Roman" w:hAnsi="Times New Roman" w:cs="Times New Roman"/>
          <w:i/>
          <w:sz w:val="24"/>
          <w:szCs w:val="24"/>
        </w:rPr>
        <w:t> </w:t>
      </w:r>
      <w:r w:rsidRPr="0048035D">
        <w:rPr>
          <w:rFonts w:ascii="Times New Roman" w:hAnsi="Times New Roman" w:cs="Times New Roman"/>
          <w:sz w:val="24"/>
          <w:szCs w:val="24"/>
        </w:rPr>
        <w:t>»</w:t>
      </w:r>
      <w:r w:rsidRPr="00AF4CEF">
        <w:rPr>
          <w:rFonts w:ascii="Times New Roman" w:hAnsi="Times New Roman" w:cs="Times New Roman"/>
          <w:sz w:val="24"/>
          <w:szCs w:val="24"/>
        </w:rPr>
        <w:t>,</w:t>
      </w:r>
      <w:r w:rsidRPr="00AF4CEF">
        <w:rPr>
          <w:rFonts w:ascii="Times New Roman" w:hAnsi="Times New Roman" w:cs="Times New Roman"/>
          <w:i/>
          <w:sz w:val="24"/>
          <w:szCs w:val="24"/>
        </w:rPr>
        <w:t xml:space="preserve"> </w:t>
      </w:r>
      <w:r w:rsidRPr="00AF4CEF">
        <w:rPr>
          <w:rFonts w:ascii="Times New Roman" w:hAnsi="Times New Roman" w:cs="Times New Roman"/>
          <w:sz w:val="24"/>
          <w:szCs w:val="24"/>
        </w:rPr>
        <w:t>est « la féminité, mais toujours altérée, comme une voix que l’on dit "altérée par l’émotion" […] » (</w:t>
      </w:r>
      <w:r>
        <w:rPr>
          <w:rFonts w:ascii="Times New Roman" w:hAnsi="Times New Roman" w:cs="Times New Roman"/>
          <w:sz w:val="24"/>
          <w:szCs w:val="24"/>
        </w:rPr>
        <w:t>1999</w:t>
      </w:r>
      <w:r w:rsidRPr="00AF4CEF">
        <w:rPr>
          <w:rFonts w:ascii="Times New Roman" w:hAnsi="Times New Roman" w:cs="Times New Roman"/>
          <w:sz w:val="24"/>
          <w:szCs w:val="24"/>
        </w:rPr>
        <w:t> : 84).</w:t>
      </w:r>
      <w:r>
        <w:rPr>
          <w:rFonts w:ascii="Times New Roman" w:hAnsi="Times New Roman" w:cs="Times New Roman"/>
          <w:sz w:val="24"/>
          <w:szCs w:val="24"/>
        </w:rPr>
        <w:t xml:space="preserve"> Le « féminin » dira-t-on, se construit nécessairement dans la rupture et le décalage, en </w:t>
      </w:r>
      <w:r w:rsidRPr="00AA0218">
        <w:rPr>
          <w:rFonts w:ascii="Times New Roman" w:hAnsi="Times New Roman" w:cs="Times New Roman"/>
          <w:sz w:val="24"/>
          <w:szCs w:val="24"/>
        </w:rPr>
        <w:t>renégociant la double appartenance aux champs social et littéraire</w:t>
      </w:r>
      <w:r>
        <w:rPr>
          <w:rFonts w:ascii="Times New Roman" w:hAnsi="Times New Roman" w:cs="Times New Roman"/>
          <w:sz w:val="24"/>
          <w:szCs w:val="24"/>
        </w:rPr>
        <w:t xml:space="preserve">, </w:t>
      </w:r>
      <w:r w:rsidRPr="00AA0218">
        <w:rPr>
          <w:rFonts w:ascii="Times New Roman" w:hAnsi="Times New Roman" w:cs="Times New Roman"/>
          <w:sz w:val="24"/>
          <w:szCs w:val="24"/>
        </w:rPr>
        <w:t>à travers, notamment, le brouillage des habitudes génériques</w:t>
      </w:r>
      <w:r>
        <w:rPr>
          <w:rStyle w:val="Marquedenotedefin"/>
          <w:rFonts w:ascii="Times New Roman" w:hAnsi="Times New Roman" w:cs="Times New Roman"/>
          <w:sz w:val="24"/>
          <w:szCs w:val="24"/>
        </w:rPr>
        <w:endnoteReference w:id="7"/>
      </w:r>
      <w:r>
        <w:rPr>
          <w:rFonts w:ascii="Times New Roman" w:hAnsi="Times New Roman" w:cs="Times New Roman"/>
          <w:sz w:val="24"/>
          <w:szCs w:val="24"/>
        </w:rPr>
        <w:t xml:space="preserve">. </w:t>
      </w:r>
    </w:p>
    <w:p w:rsidR="0048035D" w:rsidRPr="00AF4CEF" w:rsidRDefault="0048035D" w:rsidP="0048035D">
      <w:pPr>
        <w:spacing w:after="0" w:line="360" w:lineRule="auto"/>
        <w:jc w:val="both"/>
        <w:rPr>
          <w:rFonts w:ascii="Times New Roman" w:hAnsi="Times New Roman" w:cs="Times New Roman"/>
          <w:sz w:val="24"/>
          <w:szCs w:val="24"/>
        </w:rPr>
      </w:pPr>
      <w:r w:rsidRPr="00AF4CEF">
        <w:rPr>
          <w:rFonts w:ascii="Times New Roman" w:hAnsi="Times New Roman" w:cs="Times New Roman"/>
          <w:sz w:val="24"/>
          <w:szCs w:val="24"/>
        </w:rPr>
        <w:tab/>
        <w:t>La réflexion se déclinera en trois temps : d’abord, il s’agira de montrer comment,</w:t>
      </w:r>
      <w:r>
        <w:rPr>
          <w:rFonts w:ascii="Times New Roman" w:hAnsi="Times New Roman" w:cs="Times New Roman"/>
          <w:sz w:val="24"/>
          <w:szCs w:val="24"/>
        </w:rPr>
        <w:t xml:space="preserve"> dans la partie plus autobiographique, le DD est largement responsable de la </w:t>
      </w:r>
      <w:r w:rsidRPr="004365A8">
        <w:rPr>
          <w:rFonts w:ascii="Times New Roman" w:hAnsi="Times New Roman" w:cs="Times New Roman"/>
          <w:i/>
          <w:sz w:val="24"/>
          <w:szCs w:val="24"/>
        </w:rPr>
        <w:t>mise en scène</w:t>
      </w:r>
      <w:r>
        <w:rPr>
          <w:rFonts w:ascii="Times New Roman" w:hAnsi="Times New Roman" w:cs="Times New Roman"/>
          <w:sz w:val="24"/>
          <w:szCs w:val="24"/>
        </w:rPr>
        <w:t xml:space="preserve"> de </w:t>
      </w:r>
      <w:r w:rsidRPr="00AF4CEF">
        <w:rPr>
          <w:rFonts w:ascii="Times New Roman" w:hAnsi="Times New Roman" w:cs="Times New Roman"/>
          <w:sz w:val="24"/>
          <w:szCs w:val="24"/>
        </w:rPr>
        <w:t xml:space="preserve"> l’accession de la femme à la parole</w:t>
      </w:r>
      <w:r>
        <w:rPr>
          <w:rFonts w:ascii="Times New Roman" w:hAnsi="Times New Roman" w:cs="Times New Roman"/>
          <w:sz w:val="24"/>
          <w:szCs w:val="24"/>
        </w:rPr>
        <w:t xml:space="preserve"> ; </w:t>
      </w:r>
      <w:r w:rsidRPr="00AF4CEF">
        <w:rPr>
          <w:rFonts w:ascii="Times New Roman" w:hAnsi="Times New Roman" w:cs="Times New Roman"/>
          <w:sz w:val="24"/>
          <w:szCs w:val="24"/>
        </w:rPr>
        <w:t>ensuite, l’accent sera mis sur la contestation d</w:t>
      </w:r>
      <w:r>
        <w:rPr>
          <w:rFonts w:ascii="Times New Roman" w:hAnsi="Times New Roman" w:cs="Times New Roman"/>
          <w:sz w:val="24"/>
          <w:szCs w:val="24"/>
        </w:rPr>
        <w:t xml:space="preserve">’un certain </w:t>
      </w:r>
      <w:r w:rsidRPr="00AF4CEF">
        <w:rPr>
          <w:rFonts w:ascii="Times New Roman" w:hAnsi="Times New Roman" w:cs="Times New Roman"/>
          <w:sz w:val="24"/>
          <w:szCs w:val="24"/>
        </w:rPr>
        <w:t xml:space="preserve">discours historiographique taxé de « masculin » à travers l’emploi massif du </w:t>
      </w:r>
      <w:r>
        <w:rPr>
          <w:rFonts w:ascii="Times New Roman" w:hAnsi="Times New Roman" w:cs="Times New Roman"/>
          <w:sz w:val="24"/>
          <w:szCs w:val="24"/>
        </w:rPr>
        <w:t>témoignage a</w:t>
      </w:r>
      <w:r w:rsidRPr="00AF4CEF">
        <w:rPr>
          <w:rFonts w:ascii="Times New Roman" w:hAnsi="Times New Roman" w:cs="Times New Roman"/>
          <w:sz w:val="24"/>
          <w:szCs w:val="24"/>
        </w:rPr>
        <w:t xml:space="preserve">u DDL ; enfin, </w:t>
      </w:r>
      <w:r>
        <w:rPr>
          <w:rFonts w:ascii="Times New Roman" w:hAnsi="Times New Roman" w:cs="Times New Roman"/>
          <w:sz w:val="24"/>
          <w:szCs w:val="24"/>
        </w:rPr>
        <w:t xml:space="preserve">on se demandera en quoi le </w:t>
      </w:r>
      <w:r w:rsidRPr="00AF4CEF">
        <w:rPr>
          <w:rFonts w:ascii="Times New Roman" w:hAnsi="Times New Roman" w:cs="Times New Roman"/>
          <w:sz w:val="24"/>
          <w:szCs w:val="24"/>
        </w:rPr>
        <w:t xml:space="preserve">« discours empathique » </w:t>
      </w:r>
      <w:r>
        <w:rPr>
          <w:rFonts w:ascii="Times New Roman" w:hAnsi="Times New Roman" w:cs="Times New Roman"/>
          <w:sz w:val="24"/>
          <w:szCs w:val="24"/>
        </w:rPr>
        <w:t>s’inscrit en faux contre l’imaginaire d’ordre, de clarté et de concision attaché à la langue française</w:t>
      </w:r>
      <w:r>
        <w:rPr>
          <w:rStyle w:val="Marquedenotedefin"/>
          <w:rFonts w:ascii="Times New Roman" w:hAnsi="Times New Roman" w:cs="Times New Roman"/>
          <w:sz w:val="24"/>
          <w:szCs w:val="24"/>
        </w:rPr>
        <w:endnoteReference w:id="8"/>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    </w:t>
      </w:r>
    </w:p>
    <w:p w:rsidR="0048035D" w:rsidRPr="00AF4CEF" w:rsidRDefault="0048035D" w:rsidP="0048035D">
      <w:pPr>
        <w:spacing w:after="0" w:line="360" w:lineRule="auto"/>
        <w:ind w:firstLine="708"/>
        <w:jc w:val="both"/>
        <w:rPr>
          <w:rFonts w:ascii="Times New Roman" w:hAnsi="Times New Roman" w:cs="Times New Roman"/>
          <w:sz w:val="24"/>
          <w:szCs w:val="24"/>
        </w:rPr>
      </w:pPr>
      <w:r w:rsidRPr="00AF4CEF">
        <w:rPr>
          <w:rFonts w:ascii="Times New Roman" w:hAnsi="Times New Roman" w:cs="Times New Roman"/>
          <w:sz w:val="24"/>
          <w:szCs w:val="24"/>
        </w:rPr>
        <w:t xml:space="preserve">   </w:t>
      </w:r>
    </w:p>
    <w:p w:rsidR="0048035D" w:rsidRPr="00AF4CEF" w:rsidRDefault="0048035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1. Di</w:t>
      </w:r>
      <w:r w:rsidR="00EB0E38">
        <w:rPr>
          <w:rFonts w:ascii="Times New Roman" w:hAnsi="Times New Roman" w:cs="Times New Roman"/>
          <w:sz w:val="24"/>
          <w:szCs w:val="24"/>
        </w:rPr>
        <w:t xml:space="preserve">scours </w:t>
      </w:r>
      <w:r w:rsidRPr="00AF4CEF">
        <w:rPr>
          <w:rFonts w:ascii="Times New Roman" w:hAnsi="Times New Roman" w:cs="Times New Roman"/>
          <w:sz w:val="24"/>
          <w:szCs w:val="24"/>
        </w:rPr>
        <w:t xml:space="preserve">de femmes : </w:t>
      </w:r>
      <w:r>
        <w:rPr>
          <w:rFonts w:ascii="Times New Roman" w:hAnsi="Times New Roman" w:cs="Times New Roman"/>
          <w:sz w:val="24"/>
          <w:szCs w:val="24"/>
        </w:rPr>
        <w:t xml:space="preserve">le pouvoir du DD </w:t>
      </w:r>
      <w:r w:rsidRPr="00AF4CEF">
        <w:rPr>
          <w:rFonts w:ascii="Times New Roman" w:hAnsi="Times New Roman" w:cs="Times New Roman"/>
          <w:sz w:val="24"/>
          <w:szCs w:val="24"/>
        </w:rPr>
        <w:t xml:space="preserve"> </w:t>
      </w:r>
    </w:p>
    <w:p w:rsidR="0048035D" w:rsidRDefault="0048035D" w:rsidP="0048035D">
      <w:pPr>
        <w:spacing w:after="0" w:line="360" w:lineRule="auto"/>
        <w:jc w:val="both"/>
        <w:rPr>
          <w:rFonts w:ascii="Times New Roman" w:hAnsi="Times New Roman" w:cs="Times New Roman"/>
          <w:sz w:val="24"/>
          <w:szCs w:val="24"/>
        </w:rPr>
      </w:pP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Dans la partie plus autobiographique, en quoi </w:t>
      </w:r>
      <w:r w:rsidRPr="00AF4CEF">
        <w:rPr>
          <w:rFonts w:ascii="Times New Roman" w:hAnsi="Times New Roman" w:cs="Times New Roman"/>
          <w:sz w:val="24"/>
          <w:szCs w:val="24"/>
        </w:rPr>
        <w:t>le recours au DD devient</w:t>
      </w:r>
      <w:r>
        <w:rPr>
          <w:rFonts w:ascii="Times New Roman" w:hAnsi="Times New Roman" w:cs="Times New Roman"/>
          <w:sz w:val="24"/>
          <w:szCs w:val="24"/>
        </w:rPr>
        <w:t>-il</w:t>
      </w:r>
      <w:r w:rsidRPr="00AF4CEF">
        <w:rPr>
          <w:rFonts w:ascii="Times New Roman" w:hAnsi="Times New Roman" w:cs="Times New Roman"/>
          <w:sz w:val="24"/>
          <w:szCs w:val="24"/>
        </w:rPr>
        <w:t xml:space="preserve"> « emblématique » d’une étape clef d’un processus</w:t>
      </w:r>
      <w:r>
        <w:rPr>
          <w:rFonts w:ascii="Times New Roman" w:hAnsi="Times New Roman" w:cs="Times New Roman"/>
          <w:sz w:val="24"/>
          <w:szCs w:val="24"/>
        </w:rPr>
        <w:t xml:space="preserve"> </w:t>
      </w:r>
      <w:r w:rsidRPr="00AF4CEF">
        <w:rPr>
          <w:rFonts w:ascii="Times New Roman" w:hAnsi="Times New Roman" w:cs="Times New Roman"/>
          <w:sz w:val="24"/>
          <w:szCs w:val="24"/>
        </w:rPr>
        <w:t>d’institution par la parole</w:t>
      </w:r>
      <w:r>
        <w:rPr>
          <w:rFonts w:ascii="Times New Roman" w:hAnsi="Times New Roman" w:cs="Times New Roman"/>
          <w:sz w:val="24"/>
          <w:szCs w:val="24"/>
        </w:rPr>
        <w:t xml:space="preserve"> singulière, c’est-à-dire </w:t>
      </w:r>
      <w:r w:rsidRPr="00AF4CEF">
        <w:rPr>
          <w:rFonts w:ascii="Times New Roman" w:hAnsi="Times New Roman" w:cs="Times New Roman"/>
          <w:sz w:val="24"/>
          <w:szCs w:val="24"/>
        </w:rPr>
        <w:t xml:space="preserve">d’inscription de la femme comme être de parole doué d’une identité dans une réalité </w:t>
      </w:r>
      <w:r w:rsidRPr="00AA0218">
        <w:rPr>
          <w:rFonts w:ascii="Times New Roman" w:hAnsi="Times New Roman" w:cs="Times New Roman"/>
          <w:sz w:val="24"/>
          <w:szCs w:val="24"/>
        </w:rPr>
        <w:t xml:space="preserve">socio-historique et culturelle </w:t>
      </w:r>
      <w:r>
        <w:rPr>
          <w:rFonts w:ascii="Times New Roman" w:hAnsi="Times New Roman" w:cs="Times New Roman"/>
          <w:sz w:val="24"/>
          <w:szCs w:val="24"/>
        </w:rPr>
        <w:t>peu f</w:t>
      </w:r>
      <w:r w:rsidRPr="00AA0218">
        <w:rPr>
          <w:rFonts w:ascii="Times New Roman" w:hAnsi="Times New Roman" w:cs="Times New Roman"/>
          <w:sz w:val="24"/>
          <w:szCs w:val="24"/>
        </w:rPr>
        <w:t>avorable à son épanouissement</w:t>
      </w:r>
      <w:r>
        <w:rPr>
          <w:rFonts w:ascii="Times New Roman" w:hAnsi="Times New Roman" w:cs="Times New Roman"/>
          <w:sz w:val="24"/>
          <w:szCs w:val="24"/>
        </w:rPr>
        <w:t xml:space="preserve"> ? Le DD ne se contente pas de refléter une réalité langagière : sous-tendu par une politique du dire, il </w:t>
      </w:r>
      <w:r w:rsidRPr="00102E5F">
        <w:rPr>
          <w:rFonts w:ascii="Times New Roman" w:hAnsi="Times New Roman" w:cs="Times New Roman"/>
          <w:i/>
          <w:sz w:val="24"/>
          <w:szCs w:val="24"/>
        </w:rPr>
        <w:t>fait être</w:t>
      </w:r>
      <w:r>
        <w:rPr>
          <w:rFonts w:ascii="Times New Roman" w:hAnsi="Times New Roman" w:cs="Times New Roman"/>
          <w:sz w:val="24"/>
          <w:szCs w:val="24"/>
        </w:rPr>
        <w:t>, performativement.</w:t>
      </w:r>
    </w:p>
    <w:p w:rsidR="0048035D" w:rsidRPr="00AF4CEF" w:rsidRDefault="0048035D" w:rsidP="0048035D">
      <w:pPr>
        <w:spacing w:after="0" w:line="360" w:lineRule="auto"/>
        <w:ind w:firstLine="709"/>
        <w:jc w:val="both"/>
        <w:rPr>
          <w:rFonts w:ascii="Times New Roman" w:hAnsi="Times New Roman" w:cs="Times New Roman"/>
          <w:sz w:val="24"/>
          <w:szCs w:val="24"/>
        </w:rPr>
      </w:pPr>
      <w:r w:rsidRPr="00102E5F">
        <w:rPr>
          <w:rFonts w:ascii="Times New Roman" w:hAnsi="Times New Roman" w:cs="Times New Roman"/>
          <w:sz w:val="24"/>
          <w:szCs w:val="24"/>
        </w:rPr>
        <w:t>La parole rapportée au DD se conquiert tout d’abord par rapport au cri</w:t>
      </w:r>
      <w:r>
        <w:rPr>
          <w:rStyle w:val="Marquedenotedefin"/>
          <w:rFonts w:ascii="Times New Roman" w:hAnsi="Times New Roman" w:cs="Times New Roman"/>
          <w:sz w:val="24"/>
          <w:szCs w:val="24"/>
        </w:rPr>
        <w:endnoteReference w:id="9"/>
      </w:r>
      <w:r w:rsidRPr="00102E5F">
        <w:rPr>
          <w:rFonts w:ascii="Times New Roman" w:hAnsi="Times New Roman" w:cs="Times New Roman"/>
          <w:sz w:val="24"/>
          <w:szCs w:val="24"/>
        </w:rPr>
        <w:t> : cri de la défloration, cri de l’aïeule qui entre en transe, le corps transgressant les limites tracées par les non-dits et les stéréotypes, cri du « je », qui</w:t>
      </w:r>
      <w:r w:rsidR="00DC5850">
        <w:rPr>
          <w:rFonts w:ascii="Times New Roman" w:hAnsi="Times New Roman" w:cs="Times New Roman"/>
          <w:sz w:val="24"/>
          <w:szCs w:val="24"/>
        </w:rPr>
        <w:t>,</w:t>
      </w:r>
      <w:r w:rsidRPr="00102E5F">
        <w:rPr>
          <w:rFonts w:ascii="Times New Roman" w:hAnsi="Times New Roman" w:cs="Times New Roman"/>
          <w:sz w:val="24"/>
          <w:szCs w:val="24"/>
        </w:rPr>
        <w:t xml:space="preserve"> certes</w:t>
      </w:r>
      <w:r w:rsidR="00DC5850">
        <w:rPr>
          <w:rFonts w:ascii="Times New Roman" w:hAnsi="Times New Roman" w:cs="Times New Roman"/>
          <w:sz w:val="24"/>
          <w:szCs w:val="24"/>
        </w:rPr>
        <w:t>,</w:t>
      </w:r>
      <w:r w:rsidRPr="00102E5F">
        <w:rPr>
          <w:rFonts w:ascii="Times New Roman" w:hAnsi="Times New Roman" w:cs="Times New Roman"/>
          <w:sz w:val="24"/>
          <w:szCs w:val="24"/>
        </w:rPr>
        <w:t xml:space="preserve"> suscite l’émoi du passant, mais se clôt immédiatement sur lui-même et fait avorter toute tentative d’échange (« Laissez-moi seule, s’il vous plaît » (165)</w:t>
      </w:r>
      <w:r w:rsidRPr="00AF4CEF">
        <w:rPr>
          <w:rStyle w:val="Marquedenotedefin"/>
          <w:rFonts w:ascii="Times New Roman" w:hAnsi="Times New Roman" w:cs="Times New Roman"/>
          <w:sz w:val="24"/>
          <w:szCs w:val="24"/>
        </w:rPr>
        <w:endnoteReference w:id="10"/>
      </w:r>
      <w:r w:rsidRPr="00102E5F">
        <w:rPr>
          <w:rFonts w:ascii="Times New Roman" w:hAnsi="Times New Roman" w:cs="Times New Roman"/>
          <w:sz w:val="24"/>
          <w:szCs w:val="24"/>
        </w:rPr>
        <w:t>).</w:t>
      </w:r>
      <w:r>
        <w:rPr>
          <w:rFonts w:ascii="Times New Roman" w:hAnsi="Times New Roman" w:cs="Times New Roman"/>
          <w:sz w:val="24"/>
          <w:szCs w:val="24"/>
        </w:rPr>
        <w:t xml:space="preserve"> </w:t>
      </w:r>
      <w:r w:rsidRPr="00102E5F">
        <w:rPr>
          <w:rFonts w:ascii="Times New Roman" w:hAnsi="Times New Roman" w:cs="Times New Roman"/>
          <w:sz w:val="24"/>
          <w:szCs w:val="24"/>
        </w:rPr>
        <w:t>Elle se détache sur le fond constitué par la parole bâillon</w:t>
      </w:r>
      <w:r w:rsidRPr="00AF4CEF">
        <w:rPr>
          <w:rFonts w:ascii="Times New Roman" w:hAnsi="Times New Roman" w:cs="Times New Roman"/>
          <w:sz w:val="24"/>
          <w:szCs w:val="24"/>
        </w:rPr>
        <w:t xml:space="preserve">née de la femme confinée dans le </w:t>
      </w:r>
      <w:r>
        <w:rPr>
          <w:rFonts w:ascii="Times New Roman" w:hAnsi="Times New Roman" w:cs="Times New Roman"/>
          <w:sz w:val="24"/>
          <w:szCs w:val="24"/>
        </w:rPr>
        <w:t xml:space="preserve">gynécée, par les </w:t>
      </w:r>
      <w:r w:rsidRPr="00AF4CEF">
        <w:rPr>
          <w:rFonts w:ascii="Times New Roman" w:hAnsi="Times New Roman" w:cs="Times New Roman"/>
          <w:sz w:val="24"/>
          <w:szCs w:val="24"/>
        </w:rPr>
        <w:t>psalmodies, murmures, chuchotem</w:t>
      </w:r>
      <w:r>
        <w:rPr>
          <w:rFonts w:ascii="Times New Roman" w:hAnsi="Times New Roman" w:cs="Times New Roman"/>
          <w:sz w:val="24"/>
          <w:szCs w:val="24"/>
        </w:rPr>
        <w:t xml:space="preserve">ents, plaintes et lamentations, par les </w:t>
      </w:r>
      <w:r w:rsidRPr="00AF4CEF">
        <w:rPr>
          <w:rFonts w:ascii="Times New Roman" w:hAnsi="Times New Roman" w:cs="Times New Roman"/>
          <w:sz w:val="24"/>
          <w:szCs w:val="24"/>
        </w:rPr>
        <w:t xml:space="preserve">commérages et </w:t>
      </w:r>
      <w:r>
        <w:rPr>
          <w:rFonts w:ascii="Times New Roman" w:hAnsi="Times New Roman" w:cs="Times New Roman"/>
          <w:sz w:val="24"/>
          <w:szCs w:val="24"/>
        </w:rPr>
        <w:t>f</w:t>
      </w:r>
      <w:r w:rsidRPr="00AF4CEF">
        <w:rPr>
          <w:rFonts w:ascii="Times New Roman" w:hAnsi="Times New Roman" w:cs="Times New Roman"/>
          <w:sz w:val="24"/>
          <w:szCs w:val="24"/>
        </w:rPr>
        <w:t xml:space="preserve">ormules convenues – </w:t>
      </w:r>
      <w:r w:rsidRPr="009169D6">
        <w:rPr>
          <w:rFonts w:ascii="Times New Roman" w:hAnsi="Times New Roman" w:cs="Times New Roman"/>
          <w:sz w:val="24"/>
          <w:szCs w:val="24"/>
        </w:rPr>
        <w:t>« Ne parler que de la conformité, pourrait me tancer ma grand-mère » (223) –, par les litotes et proverbes, bref par les manifestations d’une</w:t>
      </w:r>
      <w:r w:rsidRPr="00AF4CEF">
        <w:rPr>
          <w:rFonts w:ascii="Times New Roman" w:hAnsi="Times New Roman" w:cs="Times New Roman"/>
          <w:sz w:val="24"/>
          <w:szCs w:val="24"/>
        </w:rPr>
        <w:t xml:space="preserve"> parole largement désappropriée, qui sont nommées</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décrites </w:t>
      </w:r>
      <w:r>
        <w:rPr>
          <w:rFonts w:ascii="Times New Roman" w:hAnsi="Times New Roman" w:cs="Times New Roman"/>
          <w:sz w:val="24"/>
          <w:szCs w:val="24"/>
        </w:rPr>
        <w:t xml:space="preserve">et commentées. </w:t>
      </w:r>
    </w:p>
    <w:p w:rsidR="0048035D" w:rsidRDefault="0048035D" w:rsidP="0048035D">
      <w:pPr>
        <w:spacing w:after="0" w:line="360" w:lineRule="auto"/>
        <w:ind w:firstLine="708"/>
        <w:jc w:val="both"/>
        <w:rPr>
          <w:rFonts w:ascii="Times New Roman" w:hAnsi="Times New Roman" w:cs="Times New Roman"/>
          <w:sz w:val="24"/>
          <w:szCs w:val="24"/>
        </w:rPr>
      </w:pPr>
      <w:r w:rsidRPr="00AF4CEF">
        <w:rPr>
          <w:rFonts w:ascii="Times New Roman" w:hAnsi="Times New Roman" w:cs="Times New Roman"/>
          <w:sz w:val="24"/>
          <w:szCs w:val="24"/>
        </w:rPr>
        <w:t>Que le DD ne s’impose pas d’entrée, mais émerge lentement</w:t>
      </w:r>
      <w:r w:rsidRPr="00AF4CEF">
        <w:rPr>
          <w:rFonts w:ascii="Times New Roman" w:hAnsi="Times New Roman" w:cs="Times New Roman"/>
          <w:i/>
          <w:sz w:val="24"/>
          <w:szCs w:val="24"/>
        </w:rPr>
        <w:t xml:space="preserve"> </w:t>
      </w:r>
      <w:r w:rsidRPr="00AF4CEF">
        <w:rPr>
          <w:rFonts w:ascii="Times New Roman" w:hAnsi="Times New Roman" w:cs="Times New Roman"/>
          <w:sz w:val="24"/>
          <w:szCs w:val="24"/>
        </w:rPr>
        <w:t xml:space="preserve">est confirmé par le passage sous (1) qui révèle </w:t>
      </w:r>
      <w:r w:rsidR="00DC5850">
        <w:rPr>
          <w:rFonts w:ascii="Times New Roman" w:hAnsi="Times New Roman" w:cs="Times New Roman"/>
          <w:sz w:val="24"/>
          <w:szCs w:val="24"/>
        </w:rPr>
        <w:t xml:space="preserve">la genèse </w:t>
      </w:r>
      <w:r w:rsidRPr="00AF4CEF">
        <w:rPr>
          <w:rFonts w:ascii="Times New Roman" w:hAnsi="Times New Roman" w:cs="Times New Roman"/>
          <w:sz w:val="24"/>
          <w:szCs w:val="24"/>
        </w:rPr>
        <w:t xml:space="preserve">du dire : au fur et à mesure que les modes de rapport du discours </w:t>
      </w:r>
      <w:r>
        <w:rPr>
          <w:rFonts w:ascii="Times New Roman" w:hAnsi="Times New Roman" w:cs="Times New Roman"/>
          <w:sz w:val="24"/>
          <w:szCs w:val="24"/>
        </w:rPr>
        <w:t>s</w:t>
      </w:r>
      <w:r w:rsidRPr="00AF4CEF">
        <w:rPr>
          <w:rFonts w:ascii="Times New Roman" w:hAnsi="Times New Roman" w:cs="Times New Roman"/>
          <w:sz w:val="24"/>
          <w:szCs w:val="24"/>
        </w:rPr>
        <w:t xml:space="preserve">e relaient, la tension se noue jusqu’à cette phrase au DD par laquelle la mère, qui a </w:t>
      </w:r>
      <w:r w:rsidRPr="00AF4CEF">
        <w:rPr>
          <w:rFonts w:ascii="Times New Roman" w:hAnsi="Times New Roman" w:cs="Times New Roman"/>
          <w:sz w:val="24"/>
          <w:szCs w:val="24"/>
        </w:rPr>
        <w:lastRenderedPageBreak/>
        <w:t>appris le français et qui, de ce fait, est plus « européenne » que ses parentes, assoit son autorité énonciative</w:t>
      </w:r>
      <w:r>
        <w:rPr>
          <w:rFonts w:ascii="Times New Roman" w:hAnsi="Times New Roman" w:cs="Times New Roman"/>
          <w:sz w:val="24"/>
          <w:szCs w:val="24"/>
        </w:rPr>
        <w:t xml:space="preserve">. Significativement, le DD, qui confère à la femme une grande autonomie énonciative, dit réflexivement le moment où la femme triomphe par la parole : </w:t>
      </w:r>
      <w:r w:rsidRPr="00AF4CEF">
        <w:rPr>
          <w:rFonts w:ascii="Times New Roman" w:hAnsi="Times New Roman" w:cs="Times New Roman"/>
          <w:sz w:val="24"/>
          <w:szCs w:val="24"/>
        </w:rPr>
        <w:t xml:space="preserve">  </w:t>
      </w:r>
    </w:p>
    <w:p w:rsidR="0048035D" w:rsidRPr="00AF4CEF" w:rsidRDefault="0048035D" w:rsidP="0048035D">
      <w:pPr>
        <w:spacing w:after="0" w:line="360" w:lineRule="auto"/>
        <w:ind w:firstLine="708"/>
        <w:jc w:val="both"/>
        <w:rPr>
          <w:rFonts w:ascii="Times New Roman" w:hAnsi="Times New Roman" w:cs="Times New Roman"/>
          <w:sz w:val="24"/>
          <w:szCs w:val="24"/>
        </w:rPr>
      </w:pPr>
    </w:p>
    <w:p w:rsidR="0048035D" w:rsidRPr="009169D6" w:rsidRDefault="0048035D" w:rsidP="008334B4">
      <w:pPr>
        <w:spacing w:after="0" w:line="360" w:lineRule="auto"/>
        <w:ind w:left="851"/>
        <w:jc w:val="both"/>
        <w:rPr>
          <w:rFonts w:ascii="Times New Roman" w:hAnsi="Times New Roman" w:cs="Times New Roman"/>
        </w:rPr>
      </w:pPr>
      <w:r w:rsidRPr="009169D6">
        <w:rPr>
          <w:rFonts w:ascii="Times New Roman" w:hAnsi="Times New Roman" w:cs="Times New Roman"/>
        </w:rPr>
        <w:t>(1) Ainsi mon père avait « écrit » à ma mère. Celle-ci, re</w:t>
      </w:r>
      <w:r>
        <w:rPr>
          <w:rFonts w:ascii="Times New Roman" w:hAnsi="Times New Roman" w:cs="Times New Roman"/>
        </w:rPr>
        <w:t>venue dans l</w:t>
      </w:r>
      <w:r w:rsidRPr="009169D6">
        <w:rPr>
          <w:rFonts w:ascii="Times New Roman" w:hAnsi="Times New Roman" w:cs="Times New Roman"/>
        </w:rPr>
        <w:t xml:space="preserve">a tribu, parla de cette carte postale avec un ton et des mots très simples certes. Elle voulait continuer, décrire l’absence du mari dans ce village, pendant quatre ou cinq longues journées, expliquer les problèmes pratiques posés […]. Elle allait poursuivre, regretter qu’une citadine, isolée dans un village avec de trop jeunes enfants, puisse se trouver bloquée… Mais les femmes s’étaient écriées devant la réalité nouvelle, le détail presque incroyable : </w:t>
      </w:r>
    </w:p>
    <w:p w:rsidR="0048035D" w:rsidRPr="009169D6" w:rsidRDefault="0048035D" w:rsidP="0048035D">
      <w:pPr>
        <w:spacing w:after="0" w:line="360" w:lineRule="auto"/>
        <w:ind w:left="851"/>
        <w:jc w:val="both"/>
        <w:rPr>
          <w:rFonts w:ascii="Times New Roman" w:hAnsi="Times New Roman" w:cs="Times New Roman"/>
        </w:rPr>
      </w:pPr>
      <w:r w:rsidRPr="009169D6">
        <w:rPr>
          <w:rFonts w:ascii="Times New Roman" w:hAnsi="Times New Roman" w:cs="Times New Roman"/>
        </w:rPr>
        <w:t>- Il t’a écrit à toi ?</w:t>
      </w:r>
    </w:p>
    <w:p w:rsidR="0048035D" w:rsidRPr="009169D6" w:rsidRDefault="0048035D" w:rsidP="0048035D">
      <w:pPr>
        <w:spacing w:after="0" w:line="360" w:lineRule="auto"/>
        <w:ind w:left="851"/>
        <w:jc w:val="both"/>
        <w:rPr>
          <w:rFonts w:ascii="Times New Roman" w:hAnsi="Times New Roman" w:cs="Times New Roman"/>
        </w:rPr>
      </w:pPr>
      <w:r w:rsidRPr="009169D6">
        <w:rPr>
          <w:rFonts w:ascii="Times New Roman" w:hAnsi="Times New Roman" w:cs="Times New Roman"/>
        </w:rPr>
        <w:t xml:space="preserve">- Il a mis le nom de sa femme et le facteur a dû </w:t>
      </w:r>
      <w:r>
        <w:rPr>
          <w:rFonts w:ascii="Times New Roman" w:hAnsi="Times New Roman" w:cs="Times New Roman"/>
        </w:rPr>
        <w:t xml:space="preserve">ainsi </w:t>
      </w:r>
      <w:r w:rsidRPr="009169D6">
        <w:rPr>
          <w:rFonts w:ascii="Times New Roman" w:hAnsi="Times New Roman" w:cs="Times New Roman"/>
        </w:rPr>
        <w:t>le lire ? Honte !...</w:t>
      </w:r>
    </w:p>
    <w:p w:rsidR="0048035D" w:rsidRPr="009169D6" w:rsidRDefault="0048035D" w:rsidP="0048035D">
      <w:pPr>
        <w:spacing w:after="0" w:line="360" w:lineRule="auto"/>
        <w:ind w:left="851"/>
        <w:jc w:val="both"/>
        <w:rPr>
          <w:rFonts w:ascii="Times New Roman" w:hAnsi="Times New Roman" w:cs="Times New Roman"/>
        </w:rPr>
      </w:pPr>
      <w:r w:rsidRPr="009169D6">
        <w:rPr>
          <w:rFonts w:ascii="Times New Roman" w:hAnsi="Times New Roman" w:cs="Times New Roman"/>
        </w:rPr>
        <w:t>- Il aurait pu adresser tout de même la carte à ton fils, pour le principe, même si ton fils n’a que sept ou huit ans !</w:t>
      </w:r>
    </w:p>
    <w:p w:rsidR="0048035D" w:rsidRPr="009169D6" w:rsidRDefault="0048035D" w:rsidP="0048035D">
      <w:pPr>
        <w:spacing w:after="0" w:line="360" w:lineRule="auto"/>
        <w:ind w:left="851"/>
        <w:jc w:val="both"/>
        <w:rPr>
          <w:rFonts w:ascii="Times New Roman" w:hAnsi="Times New Roman" w:cs="Times New Roman"/>
        </w:rPr>
      </w:pPr>
      <w:r w:rsidRPr="009169D6">
        <w:rPr>
          <w:rFonts w:ascii="Times New Roman" w:hAnsi="Times New Roman" w:cs="Times New Roman"/>
        </w:rPr>
        <w:t xml:space="preserve">Ma mère se tut. Sans doute satisfaite, flattée, mais ne disant rien. Peut-être soudain gênée, ou rosie de confusion ; oui, son mari lui avait écrit à elle en personne !... L’aînée des enfants, la seule qui aurait pu lire la carte, c’était sa fille : alors fille ou épouse, quant au nom du destinataire, où se trouve la différence ? </w:t>
      </w:r>
    </w:p>
    <w:p w:rsidR="0048035D" w:rsidRPr="003F57E0" w:rsidRDefault="0048035D" w:rsidP="0048035D">
      <w:pPr>
        <w:spacing w:after="0" w:line="360" w:lineRule="auto"/>
        <w:ind w:left="851"/>
        <w:jc w:val="both"/>
        <w:rPr>
          <w:rFonts w:ascii="Times New Roman" w:hAnsi="Times New Roman" w:cs="Times New Roman"/>
        </w:rPr>
      </w:pPr>
      <w:r>
        <w:rPr>
          <w:rFonts w:ascii="Times New Roman" w:hAnsi="Times New Roman" w:cs="Times New Roman"/>
        </w:rPr>
        <w:t xml:space="preserve">- </w:t>
      </w:r>
      <w:r w:rsidRPr="003F57E0">
        <w:rPr>
          <w:rFonts w:ascii="Times New Roman" w:hAnsi="Times New Roman" w:cs="Times New Roman"/>
        </w:rPr>
        <w:t xml:space="preserve">Je vous rappelle que j’ai appris à lire le français maintenant ! (57-58) </w:t>
      </w:r>
    </w:p>
    <w:p w:rsidR="0048035D" w:rsidRDefault="0048035D" w:rsidP="0048035D">
      <w:pPr>
        <w:spacing w:after="0" w:line="360" w:lineRule="auto"/>
        <w:jc w:val="both"/>
        <w:rPr>
          <w:rFonts w:ascii="Times New Roman" w:hAnsi="Times New Roman" w:cs="Times New Roman"/>
          <w:sz w:val="24"/>
          <w:szCs w:val="24"/>
        </w:rPr>
      </w:pPr>
    </w:p>
    <w:p w:rsidR="0048035D" w:rsidRDefault="0048035D" w:rsidP="00480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w:t>
      </w:r>
      <w:r w:rsidRPr="00AF4CEF">
        <w:rPr>
          <w:rFonts w:ascii="Times New Roman" w:hAnsi="Times New Roman" w:cs="Times New Roman"/>
          <w:sz w:val="24"/>
          <w:szCs w:val="24"/>
        </w:rPr>
        <w:t>le discours narrativisé, le discours indirect, le discours indirect libre et le discours direct se disput</w:t>
      </w:r>
      <w:r>
        <w:rPr>
          <w:rFonts w:ascii="Times New Roman" w:hAnsi="Times New Roman" w:cs="Times New Roman"/>
          <w:sz w:val="24"/>
          <w:szCs w:val="24"/>
        </w:rPr>
        <w:t>e</w:t>
      </w:r>
      <w:r w:rsidRPr="00AF4CEF">
        <w:rPr>
          <w:rFonts w:ascii="Times New Roman" w:hAnsi="Times New Roman" w:cs="Times New Roman"/>
          <w:sz w:val="24"/>
          <w:szCs w:val="24"/>
        </w:rPr>
        <w:t xml:space="preserve">nt l’espace du rendu des paroles de la mère, sans que les frontières soient toujours très nettes : les points de suspension assurant la (non) clôture du discours indirect peuvent orienter la lecture vers un DIL balbutiant, invitant également à une rétrolecture, qui peut déceler dans le cotexte </w:t>
      </w:r>
      <w:r w:rsidR="008334B4">
        <w:rPr>
          <w:rFonts w:ascii="Times New Roman" w:hAnsi="Times New Roman" w:cs="Times New Roman"/>
          <w:sz w:val="24"/>
          <w:szCs w:val="24"/>
        </w:rPr>
        <w:t xml:space="preserve">de </w:t>
      </w:r>
      <w:r w:rsidRPr="00AF4CEF">
        <w:rPr>
          <w:rFonts w:ascii="Times New Roman" w:hAnsi="Times New Roman" w:cs="Times New Roman"/>
          <w:sz w:val="24"/>
          <w:szCs w:val="24"/>
        </w:rPr>
        <w:t>gauche, à hauteur de l’adverbe « trop »</w:t>
      </w:r>
      <w:r w:rsidR="008334B4">
        <w:rPr>
          <w:rFonts w:ascii="Times New Roman" w:hAnsi="Times New Roman" w:cs="Times New Roman"/>
          <w:sz w:val="24"/>
          <w:szCs w:val="24"/>
        </w:rPr>
        <w:t xml:space="preserve"> (« de trop jeunes enfants »)</w:t>
      </w:r>
      <w:r>
        <w:rPr>
          <w:rFonts w:ascii="Times New Roman" w:hAnsi="Times New Roman" w:cs="Times New Roman"/>
          <w:sz w:val="24"/>
          <w:szCs w:val="24"/>
        </w:rPr>
        <w:t>,</w:t>
      </w:r>
      <w:r w:rsidRPr="00AF4CEF">
        <w:rPr>
          <w:rFonts w:ascii="Times New Roman" w:hAnsi="Times New Roman" w:cs="Times New Roman"/>
          <w:sz w:val="24"/>
          <w:szCs w:val="24"/>
        </w:rPr>
        <w:t xml:space="preserve"> une marque supplémentaire alimentant rétroactivement cette interprétation. Un DIL qui se développe quelques lignes plus loin</w:t>
      </w:r>
      <w:r>
        <w:rPr>
          <w:rFonts w:ascii="Times New Roman" w:hAnsi="Times New Roman" w:cs="Times New Roman"/>
          <w:sz w:val="24"/>
          <w:szCs w:val="24"/>
        </w:rPr>
        <w:t xml:space="preserve">, </w:t>
      </w:r>
      <w:r w:rsidRPr="00AF4CEF">
        <w:rPr>
          <w:rFonts w:ascii="Times New Roman" w:hAnsi="Times New Roman" w:cs="Times New Roman"/>
          <w:sz w:val="24"/>
          <w:szCs w:val="24"/>
        </w:rPr>
        <w:t>comme en témoigne, typiquement, la coprésence de</w:t>
      </w:r>
      <w:r w:rsidR="008334B4">
        <w:rPr>
          <w:rFonts w:ascii="Times New Roman" w:hAnsi="Times New Roman" w:cs="Times New Roman"/>
          <w:sz w:val="24"/>
          <w:szCs w:val="24"/>
        </w:rPr>
        <w:t>s</w:t>
      </w:r>
      <w:r w:rsidRPr="00AF4CEF">
        <w:rPr>
          <w:rFonts w:ascii="Times New Roman" w:hAnsi="Times New Roman" w:cs="Times New Roman"/>
          <w:sz w:val="24"/>
          <w:szCs w:val="24"/>
        </w:rPr>
        <w:t xml:space="preserve"> marques d’oralité (« oui »…), de</w:t>
      </w:r>
      <w:r w:rsidR="008334B4">
        <w:rPr>
          <w:rFonts w:ascii="Times New Roman" w:hAnsi="Times New Roman" w:cs="Times New Roman"/>
          <w:sz w:val="24"/>
          <w:szCs w:val="24"/>
        </w:rPr>
        <w:t>s</w:t>
      </w:r>
      <w:r w:rsidRPr="00AF4CEF">
        <w:rPr>
          <w:rFonts w:ascii="Times New Roman" w:hAnsi="Times New Roman" w:cs="Times New Roman"/>
          <w:sz w:val="24"/>
          <w:szCs w:val="24"/>
        </w:rPr>
        <w:t xml:space="preserve"> subjectivèmes renvoyant au personnage et des temps </w:t>
      </w:r>
      <w:r>
        <w:rPr>
          <w:rFonts w:ascii="Times New Roman" w:hAnsi="Times New Roman" w:cs="Times New Roman"/>
          <w:sz w:val="24"/>
          <w:szCs w:val="24"/>
        </w:rPr>
        <w:t xml:space="preserve">du verbe </w:t>
      </w:r>
      <w:r w:rsidRPr="00AF4CEF">
        <w:rPr>
          <w:rFonts w:ascii="Times New Roman" w:hAnsi="Times New Roman" w:cs="Times New Roman"/>
          <w:sz w:val="24"/>
          <w:szCs w:val="24"/>
        </w:rPr>
        <w:t xml:space="preserve">en –ait. Une montée vers le présent traduit un virage vers le DD ou, pour le moins, l’annonce. Le continuum des types de rapport du discours de la mère est ainsi emblématique d’un affranchissement de la parole, </w:t>
      </w:r>
      <w:r>
        <w:rPr>
          <w:rFonts w:ascii="Times New Roman" w:hAnsi="Times New Roman" w:cs="Times New Roman"/>
          <w:sz w:val="24"/>
          <w:szCs w:val="24"/>
        </w:rPr>
        <w:t>la</w:t>
      </w:r>
      <w:r w:rsidRPr="00AF4CEF">
        <w:rPr>
          <w:rFonts w:ascii="Times New Roman" w:hAnsi="Times New Roman" w:cs="Times New Roman"/>
          <w:sz w:val="24"/>
          <w:szCs w:val="24"/>
        </w:rPr>
        <w:t xml:space="preserve"> mère prenant en charge un dire présenté sur le ton de l’évidence. Dira-t-on que la mère endosse le rôle du surénonciateur</w:t>
      </w:r>
      <w:r>
        <w:rPr>
          <w:rStyle w:val="Marquedenotedefin"/>
          <w:rFonts w:ascii="Times New Roman" w:hAnsi="Times New Roman" w:cs="Times New Roman"/>
          <w:sz w:val="24"/>
          <w:szCs w:val="24"/>
        </w:rPr>
        <w:endnoteReference w:id="11"/>
      </w:r>
      <w:r w:rsidRPr="00AF4CEF">
        <w:rPr>
          <w:rFonts w:ascii="Times New Roman" w:hAnsi="Times New Roman" w:cs="Times New Roman"/>
          <w:sz w:val="24"/>
          <w:szCs w:val="24"/>
        </w:rPr>
        <w:t>, comme peuvent le suggérer la formule « rappelez-vous » et, plus largement, le fait qu’elle impose son propre point de vue (écrire la carte à la mère plutôt qu’au fils), reléguant les femmes au rang de sous-énonciateur</w:t>
      </w:r>
      <w:r>
        <w:rPr>
          <w:rFonts w:ascii="Times New Roman" w:hAnsi="Times New Roman" w:cs="Times New Roman"/>
          <w:sz w:val="24"/>
          <w:szCs w:val="24"/>
        </w:rPr>
        <w:t xml:space="preserve"> (Rabatel 2002, 2005)</w:t>
      </w:r>
      <w:r w:rsidRPr="00AF4CEF">
        <w:rPr>
          <w:rFonts w:ascii="Times New Roman" w:hAnsi="Times New Roman" w:cs="Times New Roman"/>
          <w:sz w:val="24"/>
          <w:szCs w:val="24"/>
        </w:rPr>
        <w:t xml:space="preserve"> ? </w:t>
      </w:r>
      <w:r>
        <w:rPr>
          <w:rFonts w:ascii="Times New Roman" w:hAnsi="Times New Roman" w:cs="Times New Roman"/>
          <w:sz w:val="24"/>
          <w:szCs w:val="24"/>
        </w:rPr>
        <w:t>L</w:t>
      </w:r>
      <w:r w:rsidRPr="00AF4CEF">
        <w:rPr>
          <w:rFonts w:ascii="Times New Roman" w:hAnsi="Times New Roman" w:cs="Times New Roman"/>
          <w:sz w:val="24"/>
          <w:szCs w:val="24"/>
        </w:rPr>
        <w:t>es femmes paraissent accéder à une forme d’autonomie énonciative, même si les interactions ne sont attribuées qu’à un groupe</w:t>
      </w:r>
      <w:r>
        <w:rPr>
          <w:rFonts w:ascii="Times New Roman" w:hAnsi="Times New Roman" w:cs="Times New Roman"/>
          <w:sz w:val="24"/>
          <w:szCs w:val="24"/>
        </w:rPr>
        <w:t xml:space="preserve">, aux contours </w:t>
      </w:r>
      <w:r>
        <w:rPr>
          <w:rFonts w:ascii="Times New Roman" w:hAnsi="Times New Roman" w:cs="Times New Roman"/>
          <w:sz w:val="24"/>
          <w:szCs w:val="24"/>
        </w:rPr>
        <w:lastRenderedPageBreak/>
        <w:t>imprécis. C</w:t>
      </w:r>
      <w:r w:rsidRPr="00AF4CEF">
        <w:rPr>
          <w:rFonts w:ascii="Times New Roman" w:hAnsi="Times New Roman" w:cs="Times New Roman"/>
          <w:sz w:val="24"/>
          <w:szCs w:val="24"/>
        </w:rPr>
        <w:t xml:space="preserve">omme le signale l’adversatif « mais », les femmes ont même le pouvoir de bloquer le développement argumentatif amorcé par la mère, en y mettant un terme précoce et </w:t>
      </w:r>
      <w:r>
        <w:rPr>
          <w:rFonts w:ascii="Times New Roman" w:hAnsi="Times New Roman" w:cs="Times New Roman"/>
          <w:sz w:val="24"/>
          <w:szCs w:val="24"/>
        </w:rPr>
        <w:t xml:space="preserve">en obligeant </w:t>
      </w:r>
      <w:r w:rsidRPr="00AF4CEF">
        <w:rPr>
          <w:rFonts w:ascii="Times New Roman" w:hAnsi="Times New Roman" w:cs="Times New Roman"/>
          <w:sz w:val="24"/>
          <w:szCs w:val="24"/>
        </w:rPr>
        <w:t xml:space="preserve">la mère à se </w:t>
      </w:r>
      <w:r>
        <w:rPr>
          <w:rFonts w:ascii="Times New Roman" w:hAnsi="Times New Roman" w:cs="Times New Roman"/>
          <w:sz w:val="24"/>
          <w:szCs w:val="24"/>
        </w:rPr>
        <w:t xml:space="preserve">positionner </w:t>
      </w:r>
      <w:r w:rsidRPr="00AF4CEF">
        <w:rPr>
          <w:rFonts w:ascii="Times New Roman" w:hAnsi="Times New Roman" w:cs="Times New Roman"/>
          <w:sz w:val="24"/>
          <w:szCs w:val="24"/>
        </w:rPr>
        <w:t>par rapport à leur point de vue</w:t>
      </w:r>
      <w:r>
        <w:rPr>
          <w:rFonts w:ascii="Times New Roman" w:hAnsi="Times New Roman" w:cs="Times New Roman"/>
          <w:sz w:val="24"/>
          <w:szCs w:val="24"/>
        </w:rPr>
        <w:t xml:space="preserve"> : les paroles </w:t>
      </w:r>
      <w:r w:rsidRPr="00FA47AD">
        <w:rPr>
          <w:rFonts w:ascii="Times New Roman" w:hAnsi="Times New Roman" w:cs="Times New Roman"/>
          <w:sz w:val="24"/>
          <w:szCs w:val="24"/>
        </w:rPr>
        <w:t xml:space="preserve">qui fusent rompent avec la progression thématique dont la mère a été la garante, elles réorientent son discours (même si elles entérinent la thématique choisie par elle au départ de son intervention) et l’engagent dans la logique de la réponse. </w:t>
      </w:r>
      <w:r w:rsidRPr="00AF4CEF">
        <w:rPr>
          <w:rFonts w:ascii="Times New Roman" w:hAnsi="Times New Roman" w:cs="Times New Roman"/>
          <w:sz w:val="24"/>
          <w:szCs w:val="24"/>
        </w:rPr>
        <w:t xml:space="preserve">Les femmes développeraient-elles ainsi un contre-discours disputant la prééminence </w:t>
      </w:r>
      <w:r w:rsidR="00EB0E38">
        <w:rPr>
          <w:rFonts w:ascii="Times New Roman" w:hAnsi="Times New Roman" w:cs="Times New Roman"/>
          <w:sz w:val="24"/>
          <w:szCs w:val="24"/>
        </w:rPr>
        <w:t xml:space="preserve">au discours </w:t>
      </w:r>
      <w:r w:rsidRPr="00AF4CEF">
        <w:rPr>
          <w:rFonts w:ascii="Times New Roman" w:hAnsi="Times New Roman" w:cs="Times New Roman"/>
          <w:sz w:val="24"/>
          <w:szCs w:val="24"/>
        </w:rPr>
        <w:t xml:space="preserve">de la mère ? </w:t>
      </w:r>
      <w:r>
        <w:rPr>
          <w:rFonts w:ascii="Times New Roman" w:hAnsi="Times New Roman" w:cs="Times New Roman"/>
          <w:sz w:val="24"/>
          <w:szCs w:val="24"/>
        </w:rPr>
        <w:t>Leurs paroles étant c</w:t>
      </w:r>
      <w:r w:rsidRPr="00AF4CEF">
        <w:rPr>
          <w:rFonts w:ascii="Times New Roman" w:hAnsi="Times New Roman" w:cs="Times New Roman"/>
          <w:sz w:val="24"/>
          <w:szCs w:val="24"/>
        </w:rPr>
        <w:t>onvenues</w:t>
      </w:r>
      <w:r>
        <w:rPr>
          <w:rFonts w:ascii="Times New Roman" w:hAnsi="Times New Roman" w:cs="Times New Roman"/>
          <w:sz w:val="24"/>
          <w:szCs w:val="24"/>
        </w:rPr>
        <w:t xml:space="preserve">, elles </w:t>
      </w:r>
      <w:r w:rsidRPr="00AF4CEF">
        <w:rPr>
          <w:rFonts w:ascii="Times New Roman" w:hAnsi="Times New Roman" w:cs="Times New Roman"/>
          <w:sz w:val="24"/>
          <w:szCs w:val="24"/>
        </w:rPr>
        <w:t xml:space="preserve">finissent par collaborer au titre d’adjuvants au discours de la mère en le portant, en le nourrissant et, en fin de compte, en lui conférant une forme de légitimité. </w:t>
      </w:r>
      <w:r w:rsidRPr="00FA47AD">
        <w:rPr>
          <w:rFonts w:ascii="Times New Roman" w:hAnsi="Times New Roman" w:cs="Times New Roman"/>
          <w:sz w:val="24"/>
          <w:szCs w:val="24"/>
        </w:rPr>
        <w:t xml:space="preserve">On peut en effet considérer que, dans un premier temps, la mère (im)pose son discours solitaire et quelque peu usurpé, les points de suspension indiquant qu’il a du mal à aboutir. La rupture </w:t>
      </w:r>
      <w:r w:rsidRPr="00FA47AD">
        <w:rPr>
          <w:rFonts w:ascii="Times New Roman" w:hAnsi="Times New Roman" w:cs="Times New Roman"/>
          <w:i/>
          <w:sz w:val="24"/>
          <w:szCs w:val="24"/>
        </w:rPr>
        <w:t>a contrario</w:t>
      </w:r>
      <w:r w:rsidRPr="00FA47AD">
        <w:rPr>
          <w:rFonts w:ascii="Times New Roman" w:hAnsi="Times New Roman" w:cs="Times New Roman"/>
          <w:sz w:val="24"/>
          <w:szCs w:val="24"/>
        </w:rPr>
        <w:t xml:space="preserve"> libère la parole des femmes qui apporte une réponse d’ordre affectif et pathémique au développement argumentatif et explicatif initial</w:t>
      </w:r>
      <w:r w:rsidRPr="00AF4CEF">
        <w:rPr>
          <w:rFonts w:ascii="Times New Roman" w:hAnsi="Times New Roman" w:cs="Times New Roman"/>
          <w:i/>
          <w:sz w:val="24"/>
          <w:szCs w:val="24"/>
        </w:rPr>
        <w:t>.</w:t>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Il incombe aux </w:t>
      </w:r>
      <w:r w:rsidRPr="00AF4CEF">
        <w:rPr>
          <w:rFonts w:ascii="Times New Roman" w:hAnsi="Times New Roman" w:cs="Times New Roman"/>
          <w:sz w:val="24"/>
          <w:szCs w:val="24"/>
        </w:rPr>
        <w:t>paroles des femmes d’orchestrer la suite : se taisant, la mère permet à la rumeur d’enfler, avant de prendre le parti, confortant sa position de sujet, de clore la séquence en plaçant implicitement son propre discours sous l’autorité d</w:t>
      </w:r>
      <w:r>
        <w:rPr>
          <w:rFonts w:ascii="Times New Roman" w:hAnsi="Times New Roman" w:cs="Times New Roman"/>
          <w:sz w:val="24"/>
          <w:szCs w:val="24"/>
        </w:rPr>
        <w:t xml:space="preserve">’un « tiers actant » (Coquet 1997) : </w:t>
      </w:r>
      <w:r w:rsidRPr="00AF4CEF">
        <w:rPr>
          <w:rFonts w:ascii="Times New Roman" w:hAnsi="Times New Roman" w:cs="Times New Roman"/>
          <w:sz w:val="24"/>
          <w:szCs w:val="24"/>
        </w:rPr>
        <w:t>l’apprentissage de la langue française habilite l’énonciateur à échanger avec autrui (en l’occurrence avec le mari) et à se dire. La supériorité énonciative de la mère se traduit alors par l’emploi du « je » qui, traditionnellement, est dénié à la femme algérienne</w:t>
      </w:r>
      <w:r>
        <w:rPr>
          <w:rStyle w:val="Marquedenotedefin"/>
          <w:rFonts w:ascii="Times New Roman" w:hAnsi="Times New Roman" w:cs="Times New Roman"/>
          <w:sz w:val="24"/>
          <w:szCs w:val="24"/>
        </w:rPr>
        <w:endnoteReference w:id="12"/>
      </w:r>
      <w:r w:rsidRPr="00AF4CEF">
        <w:rPr>
          <w:rFonts w:ascii="Times New Roman" w:hAnsi="Times New Roman" w:cs="Times New Roman"/>
          <w:sz w:val="24"/>
          <w:szCs w:val="24"/>
        </w:rPr>
        <w:t>.</w:t>
      </w:r>
    </w:p>
    <w:p w:rsidR="0048035D" w:rsidRDefault="0048035D" w:rsidP="0048035D">
      <w:pPr>
        <w:spacing w:after="0" w:line="360" w:lineRule="auto"/>
        <w:jc w:val="both"/>
        <w:rPr>
          <w:rFonts w:ascii="Times New Roman" w:hAnsi="Times New Roman" w:cs="Times New Roman"/>
          <w:sz w:val="24"/>
          <w:szCs w:val="24"/>
        </w:rPr>
      </w:pPr>
    </w:p>
    <w:p w:rsidR="0048035D" w:rsidRPr="00AF4CEF" w:rsidRDefault="0048035D" w:rsidP="0048035D">
      <w:pPr>
        <w:spacing w:after="0" w:line="360" w:lineRule="auto"/>
        <w:jc w:val="both"/>
        <w:rPr>
          <w:rFonts w:ascii="Times New Roman" w:hAnsi="Times New Roman" w:cs="Times New Roman"/>
          <w:sz w:val="24"/>
          <w:szCs w:val="24"/>
        </w:rPr>
      </w:pPr>
      <w:r w:rsidRPr="00AF4CEF">
        <w:rPr>
          <w:rFonts w:ascii="Times New Roman" w:hAnsi="Times New Roman" w:cs="Times New Roman"/>
          <w:sz w:val="24"/>
          <w:szCs w:val="24"/>
        </w:rPr>
        <w:t xml:space="preserve">2. La </w:t>
      </w:r>
      <w:r w:rsidR="008334B4">
        <w:rPr>
          <w:rFonts w:ascii="Times New Roman" w:hAnsi="Times New Roman" w:cs="Times New Roman"/>
          <w:sz w:val="24"/>
          <w:szCs w:val="24"/>
        </w:rPr>
        <w:t>« </w:t>
      </w:r>
      <w:r w:rsidRPr="00AF4CEF">
        <w:rPr>
          <w:rFonts w:ascii="Times New Roman" w:hAnsi="Times New Roman" w:cs="Times New Roman"/>
          <w:sz w:val="24"/>
          <w:szCs w:val="24"/>
        </w:rPr>
        <w:t>féminisation</w:t>
      </w:r>
      <w:r w:rsidR="008334B4">
        <w:rPr>
          <w:rFonts w:ascii="Times New Roman" w:hAnsi="Times New Roman" w:cs="Times New Roman"/>
          <w:sz w:val="24"/>
          <w:szCs w:val="24"/>
        </w:rPr>
        <w:t> »</w:t>
      </w:r>
      <w:r w:rsidRPr="00AF4CEF">
        <w:rPr>
          <w:rFonts w:ascii="Times New Roman" w:hAnsi="Times New Roman" w:cs="Times New Roman"/>
          <w:sz w:val="24"/>
          <w:szCs w:val="24"/>
        </w:rPr>
        <w:t xml:space="preserve"> du discours historiographique </w:t>
      </w:r>
    </w:p>
    <w:p w:rsidR="0048035D" w:rsidRDefault="0048035D" w:rsidP="0048035D">
      <w:pPr>
        <w:spacing w:after="0" w:line="360" w:lineRule="auto"/>
        <w:jc w:val="both"/>
        <w:rPr>
          <w:rFonts w:ascii="Times New Roman" w:hAnsi="Times New Roman" w:cs="Times New Roman"/>
          <w:sz w:val="24"/>
          <w:szCs w:val="24"/>
        </w:rPr>
      </w:pP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quoi les emplois du DIL témoignent-ils d’une « féminisation » de ce type de rapport de la parole d’autrui ? En ce qu’une femme auteure y recourt massivement, mais aussi en ce qu’il prête ses cadres au</w:t>
      </w:r>
      <w:r w:rsidR="00EE15D8">
        <w:rPr>
          <w:rFonts w:ascii="Times New Roman" w:hAnsi="Times New Roman" w:cs="Times New Roman"/>
          <w:sz w:val="24"/>
          <w:szCs w:val="24"/>
        </w:rPr>
        <w:t>x di</w:t>
      </w:r>
      <w:r w:rsidR="00EB0E38">
        <w:rPr>
          <w:rFonts w:ascii="Times New Roman" w:hAnsi="Times New Roman" w:cs="Times New Roman"/>
          <w:sz w:val="24"/>
          <w:szCs w:val="24"/>
        </w:rPr>
        <w:t xml:space="preserve">scours </w:t>
      </w:r>
      <w:r w:rsidR="00EE15D8">
        <w:rPr>
          <w:rFonts w:ascii="Times New Roman" w:hAnsi="Times New Roman" w:cs="Times New Roman"/>
          <w:sz w:val="24"/>
          <w:szCs w:val="24"/>
        </w:rPr>
        <w:t>d</w:t>
      </w:r>
      <w:r>
        <w:rPr>
          <w:rFonts w:ascii="Times New Roman" w:hAnsi="Times New Roman" w:cs="Times New Roman"/>
          <w:sz w:val="24"/>
          <w:szCs w:val="24"/>
        </w:rPr>
        <w:t xml:space="preserve">e femmes résistantes, </w:t>
      </w:r>
      <w:r w:rsidR="00EE15D8">
        <w:rPr>
          <w:rFonts w:ascii="Times New Roman" w:hAnsi="Times New Roman" w:cs="Times New Roman"/>
          <w:sz w:val="24"/>
          <w:szCs w:val="24"/>
        </w:rPr>
        <w:t xml:space="preserve">répondra-t-on </w:t>
      </w:r>
      <w:r>
        <w:rPr>
          <w:rFonts w:ascii="Times New Roman" w:hAnsi="Times New Roman" w:cs="Times New Roman"/>
          <w:sz w:val="24"/>
          <w:szCs w:val="24"/>
        </w:rPr>
        <w:t xml:space="preserve">d’entrée de jeu. L’hypothèse à vérifier est que le rapport au DIL </w:t>
      </w:r>
      <w:r w:rsidR="00EE15D8">
        <w:rPr>
          <w:rFonts w:ascii="Times New Roman" w:hAnsi="Times New Roman" w:cs="Times New Roman"/>
          <w:sz w:val="24"/>
          <w:szCs w:val="24"/>
        </w:rPr>
        <w:t xml:space="preserve">est « féminisé » à travers le témoignage oral dont, en retour, il </w:t>
      </w:r>
      <w:r>
        <w:rPr>
          <w:rFonts w:ascii="Times New Roman" w:hAnsi="Times New Roman" w:cs="Times New Roman"/>
          <w:sz w:val="24"/>
          <w:szCs w:val="24"/>
        </w:rPr>
        <w:t xml:space="preserve">renforce </w:t>
      </w:r>
      <w:r w:rsidR="00EE15D8">
        <w:rPr>
          <w:rFonts w:ascii="Times New Roman" w:hAnsi="Times New Roman" w:cs="Times New Roman"/>
          <w:sz w:val="24"/>
          <w:szCs w:val="24"/>
        </w:rPr>
        <w:t xml:space="preserve">la </w:t>
      </w:r>
      <w:r>
        <w:rPr>
          <w:rFonts w:ascii="Times New Roman" w:hAnsi="Times New Roman" w:cs="Times New Roman"/>
          <w:sz w:val="24"/>
          <w:szCs w:val="24"/>
        </w:rPr>
        <w:t xml:space="preserve">propension à </w:t>
      </w:r>
      <w:r w:rsidRPr="00F51454">
        <w:rPr>
          <w:rFonts w:ascii="Times New Roman" w:hAnsi="Times New Roman" w:cs="Times New Roman"/>
          <w:sz w:val="24"/>
          <w:szCs w:val="24"/>
        </w:rPr>
        <w:t>« féminiser</w:t>
      </w:r>
      <w:r>
        <w:rPr>
          <w:rFonts w:ascii="Times New Roman" w:hAnsi="Times New Roman" w:cs="Times New Roman"/>
          <w:sz w:val="24"/>
          <w:szCs w:val="24"/>
        </w:rPr>
        <w:t xml:space="preserve"> » le discours historiographique. </w:t>
      </w:r>
    </w:p>
    <w:p w:rsidR="0048035D" w:rsidRDefault="0048035D" w:rsidP="0048035D">
      <w:pPr>
        <w:spacing w:after="0" w:line="360" w:lineRule="auto"/>
        <w:ind w:firstLine="708"/>
        <w:jc w:val="both"/>
        <w:rPr>
          <w:rFonts w:ascii="Times New Roman" w:hAnsi="Times New Roman" w:cs="Times New Roman"/>
          <w:sz w:val="24"/>
          <w:szCs w:val="24"/>
        </w:rPr>
      </w:pPr>
    </w:p>
    <w:p w:rsidR="0048035D" w:rsidRDefault="0048035D" w:rsidP="00480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Le témoignage au DIL : entre l’historiographie et le roman ? </w:t>
      </w:r>
    </w:p>
    <w:p w:rsidR="0048035D" w:rsidRDefault="0048035D" w:rsidP="0048035D">
      <w:pPr>
        <w:spacing w:after="0" w:line="360" w:lineRule="auto"/>
        <w:jc w:val="both"/>
        <w:rPr>
          <w:rFonts w:ascii="Times New Roman" w:hAnsi="Times New Roman" w:cs="Times New Roman"/>
          <w:sz w:val="24"/>
          <w:szCs w:val="24"/>
        </w:rPr>
      </w:pP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C’est le statut du témoignage de femme </w:t>
      </w:r>
      <w:r w:rsidR="00EE15D8">
        <w:rPr>
          <w:rFonts w:ascii="Times New Roman" w:hAnsi="Times New Roman" w:cs="Times New Roman"/>
          <w:sz w:val="24"/>
          <w:szCs w:val="24"/>
        </w:rPr>
        <w:t xml:space="preserve">au DIL </w:t>
      </w:r>
      <w:r>
        <w:rPr>
          <w:rFonts w:ascii="Times New Roman" w:hAnsi="Times New Roman" w:cs="Times New Roman"/>
          <w:sz w:val="24"/>
          <w:szCs w:val="24"/>
        </w:rPr>
        <w:t xml:space="preserve">qui demande à être interrogé : dans quelle mesure rompt-il avec un imaginaire de l’historiographie que, dans la perspective d’Assia Djebar, on pourrait taxer de « masculin » ? Un imaginaire en vertu duquel les événements objectivés et vérifiés sont disciplinés par une logique sans faille et sans reste, qui </w:t>
      </w:r>
      <w:r>
        <w:rPr>
          <w:rFonts w:ascii="Times New Roman" w:hAnsi="Times New Roman" w:cs="Times New Roman"/>
          <w:sz w:val="24"/>
          <w:szCs w:val="24"/>
        </w:rPr>
        <w:lastRenderedPageBreak/>
        <w:t xml:space="preserve">assoit la domination du dire. En quoi le témoignage au DIL appelle-t-il à dépasser une vision trop schématique opposant l’explication historique et la démarche scientifique rigoureuse à la prise en considération de la mémoire comme garante d’authenticité ? En quoi le témoignage – </w:t>
      </w:r>
      <w:r w:rsidRPr="00586862">
        <w:rPr>
          <w:rFonts w:ascii="Times New Roman" w:hAnsi="Times New Roman" w:cs="Times New Roman"/>
          <w:sz w:val="24"/>
          <w:szCs w:val="24"/>
        </w:rPr>
        <w:t>« facteur de sûreté dans l’ensemble des rapports cons</w:t>
      </w:r>
      <w:r>
        <w:rPr>
          <w:rFonts w:ascii="Times New Roman" w:hAnsi="Times New Roman" w:cs="Times New Roman"/>
          <w:sz w:val="24"/>
          <w:szCs w:val="24"/>
        </w:rPr>
        <w:t>titutifs</w:t>
      </w:r>
      <w:r w:rsidRPr="00586862">
        <w:rPr>
          <w:rFonts w:ascii="Times New Roman" w:hAnsi="Times New Roman" w:cs="Times New Roman"/>
          <w:sz w:val="24"/>
          <w:szCs w:val="24"/>
        </w:rPr>
        <w:t xml:space="preserve"> d’un lien social »</w:t>
      </w:r>
      <w:r w:rsidR="00EE15D8">
        <w:rPr>
          <w:rFonts w:ascii="Times New Roman" w:hAnsi="Times New Roman" w:cs="Times New Roman"/>
          <w:sz w:val="24"/>
          <w:szCs w:val="24"/>
        </w:rPr>
        <w:t xml:space="preserve"> </w:t>
      </w:r>
      <w:r>
        <w:rPr>
          <w:rFonts w:ascii="Times New Roman" w:hAnsi="Times New Roman" w:cs="Times New Roman"/>
          <w:sz w:val="24"/>
          <w:szCs w:val="24"/>
        </w:rPr>
        <w:t xml:space="preserve">(Ricœur 2000 : 206, 201) – fait-il peser une menace sur un enchaînement de faits passés satisfaisant à </w:t>
      </w:r>
      <w:r w:rsidR="00EE15D8">
        <w:rPr>
          <w:rFonts w:ascii="Times New Roman" w:hAnsi="Times New Roman" w:cs="Times New Roman"/>
          <w:sz w:val="24"/>
          <w:szCs w:val="24"/>
        </w:rPr>
        <w:t>l’exigence d</w:t>
      </w:r>
      <w:r w:rsidR="00AA4B75">
        <w:rPr>
          <w:rFonts w:ascii="Times New Roman" w:hAnsi="Times New Roman" w:cs="Times New Roman"/>
          <w:sz w:val="24"/>
          <w:szCs w:val="24"/>
        </w:rPr>
        <w:t>’</w:t>
      </w:r>
      <w:r>
        <w:rPr>
          <w:rFonts w:ascii="Times New Roman" w:hAnsi="Times New Roman" w:cs="Times New Roman"/>
          <w:sz w:val="24"/>
          <w:szCs w:val="24"/>
        </w:rPr>
        <w:t>objectivité ? En quoi menace-t-il l’armature chronologique et logique dans laquelle se coule une relation des faits débrayée, dont l’effacement énonciatif (Rabatel 2003, Marnette 2004) ou la désénonciation (Ouellet 1992 : 19) – les faits parlent d’eux-mêmes – serai</w:t>
      </w:r>
      <w:r w:rsidR="00AA4B75">
        <w:rPr>
          <w:rFonts w:ascii="Times New Roman" w:hAnsi="Times New Roman" w:cs="Times New Roman"/>
          <w:sz w:val="24"/>
          <w:szCs w:val="24"/>
        </w:rPr>
        <w:t>en</w:t>
      </w:r>
      <w:r>
        <w:rPr>
          <w:rFonts w:ascii="Times New Roman" w:hAnsi="Times New Roman" w:cs="Times New Roman"/>
          <w:sz w:val="24"/>
          <w:szCs w:val="24"/>
        </w:rPr>
        <w:t>t l</w:t>
      </w:r>
      <w:r w:rsidR="00AA4B75">
        <w:rPr>
          <w:rFonts w:ascii="Times New Roman" w:hAnsi="Times New Roman" w:cs="Times New Roman"/>
          <w:sz w:val="24"/>
          <w:szCs w:val="24"/>
        </w:rPr>
        <w:t>es</w:t>
      </w:r>
      <w:r>
        <w:rPr>
          <w:rFonts w:ascii="Times New Roman" w:hAnsi="Times New Roman" w:cs="Times New Roman"/>
          <w:sz w:val="24"/>
          <w:szCs w:val="24"/>
        </w:rPr>
        <w:t xml:space="preserve"> marque</w:t>
      </w:r>
      <w:r w:rsidR="00AA4B75">
        <w:rPr>
          <w:rFonts w:ascii="Times New Roman" w:hAnsi="Times New Roman" w:cs="Times New Roman"/>
          <w:sz w:val="24"/>
          <w:szCs w:val="24"/>
        </w:rPr>
        <w:t>s</w:t>
      </w:r>
      <w:r>
        <w:rPr>
          <w:rFonts w:ascii="Times New Roman" w:hAnsi="Times New Roman" w:cs="Times New Roman"/>
          <w:sz w:val="24"/>
          <w:szCs w:val="24"/>
        </w:rPr>
        <w:t xml:space="preserve"> énonciative</w:t>
      </w:r>
      <w:r w:rsidR="00AA4B75">
        <w:rPr>
          <w:rFonts w:ascii="Times New Roman" w:hAnsi="Times New Roman" w:cs="Times New Roman"/>
          <w:sz w:val="24"/>
          <w:szCs w:val="24"/>
        </w:rPr>
        <w:t>s</w:t>
      </w:r>
      <w:r>
        <w:rPr>
          <w:rFonts w:ascii="Times New Roman" w:hAnsi="Times New Roman" w:cs="Times New Roman"/>
          <w:sz w:val="24"/>
          <w:szCs w:val="24"/>
        </w:rPr>
        <w:t xml:space="preserve"> ? </w:t>
      </w: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D’une part, l’affranchissement de la tutelle énonciative, l’émancipation du modèle du DD surmarqué (Rosier 2008 : 92) – </w:t>
      </w:r>
      <w:r w:rsidR="00EE15D8">
        <w:rPr>
          <w:rFonts w:ascii="Times New Roman" w:hAnsi="Times New Roman" w:cs="Times New Roman"/>
          <w:sz w:val="24"/>
          <w:szCs w:val="24"/>
        </w:rPr>
        <w:t xml:space="preserve">dans </w:t>
      </w:r>
      <w:r w:rsidR="00EE15D8" w:rsidRPr="00EE15D8">
        <w:rPr>
          <w:rFonts w:ascii="Times New Roman" w:hAnsi="Times New Roman" w:cs="Times New Roman"/>
          <w:i/>
          <w:sz w:val="24"/>
          <w:szCs w:val="24"/>
        </w:rPr>
        <w:t>L’Amour, la fantasia</w:t>
      </w:r>
      <w:r w:rsidR="00EE15D8">
        <w:rPr>
          <w:rFonts w:ascii="Times New Roman" w:hAnsi="Times New Roman" w:cs="Times New Roman"/>
          <w:sz w:val="24"/>
          <w:szCs w:val="24"/>
        </w:rPr>
        <w:t xml:space="preserve">, </w:t>
      </w:r>
      <w:r>
        <w:rPr>
          <w:rFonts w:ascii="Times New Roman" w:hAnsi="Times New Roman" w:cs="Times New Roman"/>
          <w:sz w:val="24"/>
          <w:szCs w:val="24"/>
        </w:rPr>
        <w:t>les témoignages au DIL distendent au maximum le tissu conjonctif en prenant la dimension du chapitre – confèrent au di</w:t>
      </w:r>
      <w:r w:rsidR="00EB0E38">
        <w:rPr>
          <w:rFonts w:ascii="Times New Roman" w:hAnsi="Times New Roman" w:cs="Times New Roman"/>
          <w:sz w:val="24"/>
          <w:szCs w:val="24"/>
        </w:rPr>
        <w:t xml:space="preserve">scours </w:t>
      </w:r>
      <w:r>
        <w:rPr>
          <w:rFonts w:ascii="Times New Roman" w:hAnsi="Times New Roman" w:cs="Times New Roman"/>
          <w:sz w:val="24"/>
          <w:szCs w:val="24"/>
        </w:rPr>
        <w:t xml:space="preserve">une large autonomie par rapport à une armature intégrative, un tout saturé et suturé de bout en bout. Ils sont réfractaires à une construction visant à asseoir l’illusion de la maîtrise et de l’unité énonciatives. En effet, il est </w:t>
      </w:r>
      <w:r w:rsidRPr="00AF4CEF">
        <w:rPr>
          <w:rFonts w:ascii="Times New Roman" w:hAnsi="Times New Roman" w:cs="Times New Roman"/>
          <w:sz w:val="24"/>
          <w:szCs w:val="24"/>
        </w:rPr>
        <w:t>possible de capter le moment</w:t>
      </w:r>
      <w:r>
        <w:rPr>
          <w:rFonts w:ascii="Times New Roman" w:hAnsi="Times New Roman" w:cs="Times New Roman"/>
          <w:sz w:val="24"/>
          <w:szCs w:val="24"/>
        </w:rPr>
        <w:t>, provisoire,</w:t>
      </w:r>
      <w:r w:rsidRPr="00AF4CEF">
        <w:rPr>
          <w:rFonts w:ascii="Times New Roman" w:hAnsi="Times New Roman" w:cs="Times New Roman"/>
          <w:sz w:val="24"/>
          <w:szCs w:val="24"/>
        </w:rPr>
        <w:t xml:space="preserve"> où la domination énonciative</w:t>
      </w:r>
      <w:r w:rsidR="00EE15D8">
        <w:rPr>
          <w:rFonts w:ascii="Times New Roman" w:hAnsi="Times New Roman" w:cs="Times New Roman"/>
          <w:sz w:val="24"/>
          <w:szCs w:val="24"/>
        </w:rPr>
        <w:t>, qu’à la suite de Djebar on peut qualifier de « masculine »,</w:t>
      </w:r>
      <w:r w:rsidRPr="00AF4CEF">
        <w:rPr>
          <w:rFonts w:ascii="Times New Roman" w:hAnsi="Times New Roman" w:cs="Times New Roman"/>
          <w:sz w:val="24"/>
          <w:szCs w:val="24"/>
        </w:rPr>
        <w:t xml:space="preserve"> est suspendue, où un en-soi </w:t>
      </w:r>
      <w:r>
        <w:rPr>
          <w:rFonts w:ascii="Times New Roman" w:hAnsi="Times New Roman" w:cs="Times New Roman"/>
          <w:sz w:val="24"/>
          <w:szCs w:val="24"/>
        </w:rPr>
        <w:t xml:space="preserve">au DIL </w:t>
      </w:r>
      <w:r w:rsidRPr="00AF4CEF">
        <w:rPr>
          <w:rFonts w:ascii="Times New Roman" w:hAnsi="Times New Roman" w:cs="Times New Roman"/>
          <w:sz w:val="24"/>
          <w:szCs w:val="24"/>
        </w:rPr>
        <w:t xml:space="preserve">est </w:t>
      </w:r>
      <w:r>
        <w:rPr>
          <w:rFonts w:ascii="Times New Roman" w:hAnsi="Times New Roman" w:cs="Times New Roman"/>
          <w:sz w:val="24"/>
          <w:szCs w:val="24"/>
        </w:rPr>
        <w:t>p</w:t>
      </w:r>
      <w:r w:rsidRPr="00AF4CEF">
        <w:rPr>
          <w:rFonts w:ascii="Times New Roman" w:hAnsi="Times New Roman" w:cs="Times New Roman"/>
          <w:sz w:val="24"/>
          <w:szCs w:val="24"/>
        </w:rPr>
        <w:t xml:space="preserve">résenté comme tel, </w:t>
      </w:r>
      <w:r>
        <w:rPr>
          <w:rFonts w:ascii="Times New Roman" w:hAnsi="Times New Roman" w:cs="Times New Roman"/>
          <w:sz w:val="24"/>
          <w:szCs w:val="24"/>
        </w:rPr>
        <w:t xml:space="preserve">où </w:t>
      </w:r>
      <w:r w:rsidRPr="00AF4CEF">
        <w:rPr>
          <w:rFonts w:ascii="Times New Roman" w:hAnsi="Times New Roman" w:cs="Times New Roman"/>
          <w:sz w:val="24"/>
          <w:szCs w:val="24"/>
        </w:rPr>
        <w:t>la mainmise par le sujet rapportant qui reformule</w:t>
      </w:r>
      <w:r>
        <w:rPr>
          <w:rFonts w:ascii="Times New Roman" w:hAnsi="Times New Roman" w:cs="Times New Roman"/>
          <w:sz w:val="24"/>
          <w:szCs w:val="24"/>
        </w:rPr>
        <w:t xml:space="preserve"> est retardée</w:t>
      </w:r>
      <w:r w:rsidRPr="00AF4CEF">
        <w:rPr>
          <w:rFonts w:ascii="Times New Roman" w:hAnsi="Times New Roman" w:cs="Times New Roman"/>
          <w:sz w:val="24"/>
          <w:szCs w:val="24"/>
        </w:rPr>
        <w:t xml:space="preserve">, </w:t>
      </w:r>
      <w:r>
        <w:rPr>
          <w:rFonts w:ascii="Times New Roman" w:hAnsi="Times New Roman" w:cs="Times New Roman"/>
          <w:sz w:val="24"/>
          <w:szCs w:val="24"/>
        </w:rPr>
        <w:t>avant toute prise en charge,</w:t>
      </w:r>
      <w:r w:rsidRPr="00AF4CEF">
        <w:rPr>
          <w:rFonts w:ascii="Times New Roman" w:hAnsi="Times New Roman" w:cs="Times New Roman"/>
          <w:sz w:val="24"/>
          <w:szCs w:val="24"/>
        </w:rPr>
        <w:t xml:space="preserve"> </w:t>
      </w:r>
      <w:r>
        <w:rPr>
          <w:rFonts w:ascii="Times New Roman" w:hAnsi="Times New Roman" w:cs="Times New Roman"/>
          <w:sz w:val="24"/>
          <w:szCs w:val="24"/>
        </w:rPr>
        <w:t>toute adhésion ou tout refus</w:t>
      </w:r>
      <w:r w:rsidR="00B170F9">
        <w:rPr>
          <w:rStyle w:val="Marquedenotedefin"/>
          <w:rFonts w:ascii="Times New Roman" w:hAnsi="Times New Roman" w:cs="Times New Roman"/>
          <w:sz w:val="24"/>
          <w:szCs w:val="24"/>
        </w:rPr>
        <w:endnoteReference w:id="13"/>
      </w:r>
      <w:r w:rsidRPr="00AF4CEF">
        <w:rPr>
          <w:rFonts w:ascii="Times New Roman" w:hAnsi="Times New Roman" w:cs="Times New Roman"/>
          <w:sz w:val="24"/>
          <w:szCs w:val="24"/>
        </w:rPr>
        <w:t>. La stratégie énonciative est ici liée à l’illusion de la neutralité de l’instance rapportante, qui</w:t>
      </w:r>
      <w:r>
        <w:rPr>
          <w:rFonts w:ascii="Times New Roman" w:hAnsi="Times New Roman" w:cs="Times New Roman"/>
          <w:sz w:val="24"/>
          <w:szCs w:val="24"/>
        </w:rPr>
        <w:t xml:space="preserve">, avant de mettre le </w:t>
      </w:r>
      <w:r w:rsidR="00EB0E38">
        <w:rPr>
          <w:rFonts w:ascii="Times New Roman" w:hAnsi="Times New Roman" w:cs="Times New Roman"/>
          <w:sz w:val="24"/>
          <w:szCs w:val="24"/>
        </w:rPr>
        <w:t xml:space="preserve">discours de l’autre </w:t>
      </w:r>
      <w:r>
        <w:rPr>
          <w:rFonts w:ascii="Times New Roman" w:hAnsi="Times New Roman" w:cs="Times New Roman"/>
          <w:sz w:val="24"/>
          <w:szCs w:val="24"/>
        </w:rPr>
        <w:t>en perspective,</w:t>
      </w:r>
      <w:r w:rsidRPr="00AF4CEF">
        <w:rPr>
          <w:rFonts w:ascii="Times New Roman" w:hAnsi="Times New Roman" w:cs="Times New Roman"/>
          <w:sz w:val="24"/>
          <w:szCs w:val="24"/>
        </w:rPr>
        <w:t xml:space="preserve"> se contente de </w:t>
      </w:r>
      <w:r w:rsidR="00B170F9">
        <w:rPr>
          <w:rFonts w:ascii="Times New Roman" w:hAnsi="Times New Roman" w:cs="Times New Roman"/>
          <w:sz w:val="24"/>
          <w:szCs w:val="24"/>
        </w:rPr>
        <w:t xml:space="preserve">le </w:t>
      </w:r>
      <w:r w:rsidRPr="00B12798">
        <w:rPr>
          <w:rFonts w:ascii="Times New Roman" w:hAnsi="Times New Roman" w:cs="Times New Roman"/>
          <w:i/>
          <w:sz w:val="24"/>
          <w:szCs w:val="24"/>
        </w:rPr>
        <w:t>montrer</w:t>
      </w:r>
      <w:r w:rsidRPr="00A26B2F">
        <w:rPr>
          <w:rStyle w:val="Marquedenotedefin"/>
          <w:rFonts w:ascii="Times New Roman" w:hAnsi="Times New Roman" w:cs="Times New Roman"/>
          <w:sz w:val="24"/>
          <w:szCs w:val="24"/>
        </w:rPr>
        <w:endnoteReference w:id="14"/>
      </w:r>
      <w:r>
        <w:rPr>
          <w:rFonts w:ascii="Times New Roman" w:hAnsi="Times New Roman" w:cs="Times New Roman"/>
          <w:i/>
          <w:sz w:val="24"/>
          <w:szCs w:val="24"/>
        </w:rPr>
        <w:t> </w:t>
      </w:r>
      <w:r>
        <w:rPr>
          <w:rFonts w:ascii="Times New Roman" w:hAnsi="Times New Roman" w:cs="Times New Roman"/>
          <w:sz w:val="24"/>
          <w:szCs w:val="24"/>
        </w:rPr>
        <w:t>: le témoignage est exhibé,</w:t>
      </w:r>
      <w:r w:rsidRPr="00B12798">
        <w:rPr>
          <w:rFonts w:ascii="Times New Roman" w:hAnsi="Times New Roman" w:cs="Times New Roman"/>
          <w:i/>
          <w:sz w:val="24"/>
          <w:szCs w:val="24"/>
        </w:rPr>
        <w:t xml:space="preserve"> </w:t>
      </w:r>
      <w:r w:rsidRPr="00AF4CEF">
        <w:rPr>
          <w:rFonts w:ascii="Times New Roman" w:hAnsi="Times New Roman" w:cs="Times New Roman"/>
          <w:i/>
          <w:sz w:val="24"/>
          <w:szCs w:val="24"/>
        </w:rPr>
        <w:t>en deçà</w:t>
      </w:r>
      <w:r w:rsidRPr="00AF4CEF">
        <w:rPr>
          <w:rFonts w:ascii="Times New Roman" w:hAnsi="Times New Roman" w:cs="Times New Roman"/>
          <w:sz w:val="24"/>
          <w:szCs w:val="24"/>
        </w:rPr>
        <w:t xml:space="preserve"> de la reconstruction assertive et de la synthèse </w:t>
      </w:r>
      <w:r w:rsidRPr="004A6AD3">
        <w:rPr>
          <w:rFonts w:ascii="Times New Roman" w:hAnsi="Times New Roman" w:cs="Times New Roman"/>
          <w:sz w:val="24"/>
          <w:szCs w:val="24"/>
        </w:rPr>
        <w:t>qui pourraient brouiller la visibilité initiale, avant toute recontextualisation et reconstruction</w:t>
      </w:r>
      <w:r w:rsidRPr="00AF4CEF">
        <w:rPr>
          <w:rFonts w:ascii="Times New Roman" w:hAnsi="Times New Roman" w:cs="Times New Roman"/>
          <w:sz w:val="24"/>
          <w:szCs w:val="24"/>
        </w:rPr>
        <w:t xml:space="preserve"> qui pourraient travestir le propos de départ. </w:t>
      </w:r>
      <w:r>
        <w:rPr>
          <w:rFonts w:ascii="Times New Roman" w:hAnsi="Times New Roman" w:cs="Times New Roman"/>
          <w:sz w:val="24"/>
          <w:szCs w:val="24"/>
        </w:rPr>
        <w:t>L</w:t>
      </w:r>
      <w:r w:rsidRPr="00AF4CEF">
        <w:rPr>
          <w:rFonts w:ascii="Times New Roman" w:hAnsi="Times New Roman" w:cs="Times New Roman"/>
          <w:sz w:val="24"/>
          <w:szCs w:val="24"/>
        </w:rPr>
        <w:t>a monstration du discours de l’autre renvoie à un instant fragile, interstitiel, de suspension de la vérification et de la validation. Là affleure moins un savoir qu’un croire, une fiducie ou assomption généralisée.</w:t>
      </w: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D’autre part, le DIL conteste </w:t>
      </w:r>
      <w:r w:rsidRPr="00BC3B3F">
        <w:rPr>
          <w:rFonts w:ascii="Times New Roman" w:hAnsi="Times New Roman" w:cs="Times New Roman"/>
          <w:sz w:val="24"/>
          <w:szCs w:val="24"/>
        </w:rPr>
        <w:t xml:space="preserve">de l’intérieur </w:t>
      </w:r>
      <w:r w:rsidR="00B170F9">
        <w:rPr>
          <w:rFonts w:ascii="Times New Roman" w:hAnsi="Times New Roman" w:cs="Times New Roman"/>
          <w:sz w:val="24"/>
          <w:szCs w:val="24"/>
        </w:rPr>
        <w:t xml:space="preserve">la « narration historique » selon </w:t>
      </w:r>
      <w:r w:rsidRPr="00BC3B3F">
        <w:rPr>
          <w:rFonts w:ascii="Times New Roman" w:hAnsi="Times New Roman" w:cs="Times New Roman"/>
          <w:sz w:val="24"/>
          <w:szCs w:val="24"/>
        </w:rPr>
        <w:t>Paul Veyne</w:t>
      </w:r>
      <w:r>
        <w:rPr>
          <w:rFonts w:ascii="Times New Roman" w:hAnsi="Times New Roman" w:cs="Times New Roman"/>
          <w:sz w:val="24"/>
          <w:szCs w:val="24"/>
        </w:rPr>
        <w:t xml:space="preserve"> (1978 : 15)</w:t>
      </w:r>
      <w:r w:rsidR="00B170F9">
        <w:rPr>
          <w:rFonts w:ascii="Times New Roman" w:hAnsi="Times New Roman" w:cs="Times New Roman"/>
          <w:sz w:val="24"/>
          <w:szCs w:val="24"/>
        </w:rPr>
        <w:t xml:space="preserve"> : celle-ci </w:t>
      </w:r>
      <w:r w:rsidRPr="00BC3B3F">
        <w:rPr>
          <w:rFonts w:ascii="Times New Roman" w:hAnsi="Times New Roman" w:cs="Times New Roman"/>
          <w:sz w:val="24"/>
          <w:szCs w:val="24"/>
        </w:rPr>
        <w:t xml:space="preserve">se place « au-delà de tous les documents, puisqu’aucun d’eux ne peut être l’événement ; elle n’est pas un photomontage documentaire et ne fait pas voir le passé </w:t>
      </w:r>
      <w:r>
        <w:rPr>
          <w:rFonts w:ascii="Times New Roman" w:hAnsi="Times New Roman" w:cs="Times New Roman"/>
          <w:sz w:val="24"/>
          <w:szCs w:val="24"/>
        </w:rPr>
        <w:t>"</w:t>
      </w:r>
      <w:r w:rsidRPr="00BC3B3F">
        <w:rPr>
          <w:rFonts w:ascii="Times New Roman" w:hAnsi="Times New Roman" w:cs="Times New Roman"/>
          <w:sz w:val="24"/>
          <w:szCs w:val="24"/>
        </w:rPr>
        <w:t>en direct, comme si vous y étiez</w:t>
      </w:r>
      <w:r>
        <w:rPr>
          <w:rFonts w:ascii="Times New Roman" w:hAnsi="Times New Roman" w:cs="Times New Roman"/>
          <w:sz w:val="24"/>
          <w:szCs w:val="24"/>
        </w:rPr>
        <w:t>"</w:t>
      </w:r>
      <w:r w:rsidRPr="00BC3B3F">
        <w:rPr>
          <w:rFonts w:ascii="Times New Roman" w:hAnsi="Times New Roman" w:cs="Times New Roman"/>
          <w:sz w:val="24"/>
          <w:szCs w:val="24"/>
        </w:rPr>
        <w:t xml:space="preserve"> ; pour reprendre l’utile distinction de G. Genette, elle est </w:t>
      </w:r>
      <w:r w:rsidRPr="00BC3B3F">
        <w:rPr>
          <w:rFonts w:ascii="Times New Roman" w:hAnsi="Times New Roman" w:cs="Times New Roman"/>
          <w:i/>
          <w:sz w:val="24"/>
          <w:szCs w:val="24"/>
        </w:rPr>
        <w:t>diegesis</w:t>
      </w:r>
      <w:r w:rsidRPr="00BC3B3F">
        <w:rPr>
          <w:rFonts w:ascii="Times New Roman" w:hAnsi="Times New Roman" w:cs="Times New Roman"/>
          <w:sz w:val="24"/>
          <w:szCs w:val="24"/>
        </w:rPr>
        <w:t xml:space="preserve"> et non </w:t>
      </w:r>
      <w:r w:rsidRPr="00BC3B3F">
        <w:rPr>
          <w:rFonts w:ascii="Times New Roman" w:hAnsi="Times New Roman" w:cs="Times New Roman"/>
          <w:i/>
          <w:sz w:val="24"/>
          <w:szCs w:val="24"/>
        </w:rPr>
        <w:t>mimesis</w:t>
      </w:r>
      <w:r w:rsidRPr="00BC3B3F">
        <w:rPr>
          <w:rFonts w:ascii="Times New Roman" w:hAnsi="Times New Roman" w:cs="Times New Roman"/>
          <w:sz w:val="24"/>
          <w:szCs w:val="24"/>
        </w:rPr>
        <w:t xml:space="preserve">. </w:t>
      </w:r>
      <w:r w:rsidR="00B170F9">
        <w:rPr>
          <w:rFonts w:ascii="Times New Roman" w:hAnsi="Times New Roman" w:cs="Times New Roman"/>
          <w:sz w:val="24"/>
          <w:szCs w:val="24"/>
        </w:rPr>
        <w:t>Un dialogue authentique entre Napoléon et Alexandre 1</w:t>
      </w:r>
      <w:r w:rsidR="00B170F9" w:rsidRPr="00B170F9">
        <w:rPr>
          <w:rFonts w:ascii="Times New Roman" w:hAnsi="Times New Roman" w:cs="Times New Roman"/>
          <w:sz w:val="24"/>
          <w:szCs w:val="24"/>
          <w:vertAlign w:val="superscript"/>
        </w:rPr>
        <w:t>er</w:t>
      </w:r>
      <w:r w:rsidR="00B170F9">
        <w:rPr>
          <w:rFonts w:ascii="Times New Roman" w:hAnsi="Times New Roman" w:cs="Times New Roman"/>
          <w:sz w:val="24"/>
          <w:szCs w:val="24"/>
        </w:rPr>
        <w:t>, aurait-il été conservé par la sténographie, ne sera pas "collé" tel quel dans le récit : l</w:t>
      </w:r>
      <w:r w:rsidRPr="00BC3B3F">
        <w:rPr>
          <w:rFonts w:ascii="Times New Roman" w:hAnsi="Times New Roman" w:cs="Times New Roman"/>
          <w:sz w:val="24"/>
          <w:szCs w:val="24"/>
        </w:rPr>
        <w:t xml:space="preserve">’historien préférera le plus souvent parler sur ce dialogue ; s’il le </w:t>
      </w:r>
      <w:r w:rsidRPr="00B170F9">
        <w:rPr>
          <w:rFonts w:ascii="Times New Roman" w:hAnsi="Times New Roman" w:cs="Times New Roman"/>
          <w:sz w:val="24"/>
          <w:szCs w:val="24"/>
        </w:rPr>
        <w:t>cite textuellement</w:t>
      </w:r>
      <w:r w:rsidRPr="00BC3B3F">
        <w:rPr>
          <w:rFonts w:ascii="Times New Roman" w:hAnsi="Times New Roman" w:cs="Times New Roman"/>
          <w:sz w:val="24"/>
          <w:szCs w:val="24"/>
        </w:rPr>
        <w:t>, la citation sera un effet littéraire, destinée à donner à l’intrigue de la vie – disons : de l’</w:t>
      </w:r>
      <w:r w:rsidRPr="00B170F9">
        <w:rPr>
          <w:rFonts w:ascii="Times New Roman" w:hAnsi="Times New Roman" w:cs="Times New Roman"/>
          <w:i/>
          <w:sz w:val="24"/>
          <w:szCs w:val="24"/>
        </w:rPr>
        <w:t>ethos</w:t>
      </w:r>
      <w:r w:rsidRPr="00BC3B3F">
        <w:rPr>
          <w:rFonts w:ascii="Times New Roman" w:hAnsi="Times New Roman" w:cs="Times New Roman"/>
          <w:sz w:val="24"/>
          <w:szCs w:val="24"/>
        </w:rPr>
        <w:t xml:space="preserve"> –, ce qui rapprocherait l’histoire ainsi écrite de l’histoire romancée »</w:t>
      </w:r>
      <w:r>
        <w:rPr>
          <w:rFonts w:ascii="Times New Roman" w:hAnsi="Times New Roman" w:cs="Times New Roman"/>
          <w:sz w:val="24"/>
          <w:szCs w:val="24"/>
        </w:rPr>
        <w:t xml:space="preserve">. Se rappelant que, selon Béatrice Didier (1981), </w:t>
      </w:r>
      <w:r>
        <w:rPr>
          <w:rFonts w:ascii="Times New Roman" w:hAnsi="Times New Roman" w:cs="Times New Roman"/>
          <w:sz w:val="24"/>
          <w:szCs w:val="24"/>
        </w:rPr>
        <w:lastRenderedPageBreak/>
        <w:t xml:space="preserve">le roman figure parmi les genres littéraires les plus représentés dans la littérature féminine, on </w:t>
      </w:r>
      <w:r w:rsidR="00B170F9">
        <w:rPr>
          <w:rFonts w:ascii="Times New Roman" w:hAnsi="Times New Roman" w:cs="Times New Roman"/>
          <w:sz w:val="24"/>
          <w:szCs w:val="24"/>
        </w:rPr>
        <w:t xml:space="preserve">pourra voir </w:t>
      </w:r>
      <w:r>
        <w:rPr>
          <w:rFonts w:ascii="Times New Roman" w:hAnsi="Times New Roman" w:cs="Times New Roman"/>
          <w:sz w:val="24"/>
          <w:szCs w:val="24"/>
        </w:rPr>
        <w:t xml:space="preserve">dans ce rapprochement avec le roman, dont l’affichage générique de </w:t>
      </w:r>
      <w:r w:rsidRPr="00BC3B3F">
        <w:rPr>
          <w:rFonts w:ascii="Times New Roman" w:hAnsi="Times New Roman" w:cs="Times New Roman"/>
          <w:i/>
          <w:sz w:val="24"/>
          <w:szCs w:val="24"/>
        </w:rPr>
        <w:t>L’Amour, la fantasia</w:t>
      </w:r>
      <w:r>
        <w:rPr>
          <w:rFonts w:ascii="Times New Roman" w:hAnsi="Times New Roman" w:cs="Times New Roman"/>
          <w:sz w:val="24"/>
          <w:szCs w:val="24"/>
        </w:rPr>
        <w:t xml:space="preserve"> fait également état, un facteur renforçant la « féminisation » du discours historiographique.  </w:t>
      </w:r>
    </w:p>
    <w:p w:rsidR="0048035D" w:rsidRDefault="00B170F9" w:rsidP="0048035D">
      <w:pPr>
        <w:pStyle w:val="Paragraphedeliste"/>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En tout cas, l</w:t>
      </w:r>
      <w:r w:rsidR="0048035D">
        <w:rPr>
          <w:rFonts w:ascii="Times New Roman" w:hAnsi="Times New Roman" w:cs="Times New Roman"/>
          <w:sz w:val="24"/>
          <w:szCs w:val="24"/>
        </w:rPr>
        <w:t xml:space="preserve">’arrière-fond sur lequel celle-ci se profile peut être fourni par l’intrication du discours historique et du discours mémoriel et, plus largement, par une épistémologie fondamentalement mixte, l’historiographie élisant un lieu fragile </w:t>
      </w:r>
      <w:r w:rsidR="0048035D" w:rsidRPr="00931D70">
        <w:rPr>
          <w:rFonts w:ascii="Times New Roman" w:hAnsi="Times New Roman" w:cs="Times New Roman"/>
          <w:sz w:val="24"/>
          <w:szCs w:val="24"/>
        </w:rPr>
        <w:t>que se disputent, selon Ri</w:t>
      </w:r>
      <w:r w:rsidR="0048035D">
        <w:rPr>
          <w:rFonts w:ascii="Times New Roman" w:hAnsi="Times New Roman" w:cs="Times New Roman"/>
          <w:sz w:val="24"/>
          <w:szCs w:val="24"/>
        </w:rPr>
        <w:t xml:space="preserve">cœur </w:t>
      </w:r>
      <w:r w:rsidR="0048035D" w:rsidRPr="00931D70">
        <w:rPr>
          <w:rFonts w:ascii="Times New Roman" w:hAnsi="Times New Roman" w:cs="Times New Roman"/>
          <w:sz w:val="24"/>
          <w:szCs w:val="24"/>
        </w:rPr>
        <w:t>(2000)</w:t>
      </w:r>
      <w:r w:rsidR="0048035D">
        <w:rPr>
          <w:rFonts w:ascii="Times New Roman" w:hAnsi="Times New Roman" w:cs="Times New Roman"/>
          <w:sz w:val="24"/>
          <w:szCs w:val="24"/>
        </w:rPr>
        <w:t>,</w:t>
      </w:r>
      <w:r w:rsidR="0048035D" w:rsidRPr="00931D70">
        <w:rPr>
          <w:rFonts w:ascii="Times New Roman" w:hAnsi="Times New Roman" w:cs="Times New Roman"/>
          <w:sz w:val="24"/>
          <w:szCs w:val="24"/>
        </w:rPr>
        <w:t xml:space="preserve"> la science, affranchie du récit, et la fiction, qui dénonce le contrat de vérité, sans se réduire ni à l’une ni à l’autre.</w:t>
      </w:r>
      <w:r w:rsidR="0048035D">
        <w:rPr>
          <w:rFonts w:ascii="Times New Roman" w:hAnsi="Times New Roman" w:cs="Times New Roman"/>
          <w:sz w:val="24"/>
          <w:szCs w:val="24"/>
        </w:rPr>
        <w:t xml:space="preserve"> </w:t>
      </w:r>
      <w:r>
        <w:rPr>
          <w:rFonts w:ascii="Times New Roman" w:hAnsi="Times New Roman" w:cs="Times New Roman"/>
          <w:sz w:val="24"/>
          <w:szCs w:val="24"/>
        </w:rPr>
        <w:t>Dans la perspective de Veyne, on avancera que l</w:t>
      </w:r>
      <w:r w:rsidR="0048035D">
        <w:rPr>
          <w:rFonts w:ascii="Times New Roman" w:hAnsi="Times New Roman" w:cs="Times New Roman"/>
          <w:sz w:val="24"/>
          <w:szCs w:val="24"/>
        </w:rPr>
        <w:t xml:space="preserve">es témoignages de femmes invitent à explorer l’espace du « vrai faux fictif » selon Ginsburg (2010), l’entrejeu de l’histoire et de la littérature. Tendant vers le roman sans l’atteindre tout à fait, l’historiographie </w:t>
      </w:r>
      <w:r w:rsidR="00A31F4D">
        <w:rPr>
          <w:rFonts w:ascii="Times New Roman" w:hAnsi="Times New Roman" w:cs="Times New Roman"/>
          <w:sz w:val="24"/>
          <w:szCs w:val="24"/>
        </w:rPr>
        <w:t xml:space="preserve">peut </w:t>
      </w:r>
      <w:r w:rsidR="0048035D">
        <w:rPr>
          <w:rFonts w:ascii="Times New Roman" w:hAnsi="Times New Roman" w:cs="Times New Roman"/>
          <w:sz w:val="24"/>
          <w:szCs w:val="24"/>
        </w:rPr>
        <w:t>privilégie</w:t>
      </w:r>
      <w:r w:rsidR="00A31F4D">
        <w:rPr>
          <w:rFonts w:ascii="Times New Roman" w:hAnsi="Times New Roman" w:cs="Times New Roman"/>
          <w:sz w:val="24"/>
          <w:szCs w:val="24"/>
        </w:rPr>
        <w:t>r</w:t>
      </w:r>
      <w:r w:rsidR="0048035D">
        <w:rPr>
          <w:rFonts w:ascii="Times New Roman" w:hAnsi="Times New Roman" w:cs="Times New Roman"/>
          <w:sz w:val="24"/>
          <w:szCs w:val="24"/>
        </w:rPr>
        <w:t xml:space="preserve"> des techniques trouvant leur aboutissement dans l’écriture – une écriture performative qui fait exister le passé (De Certeau 1975). </w:t>
      </w:r>
    </w:p>
    <w:p w:rsidR="0048035D" w:rsidRDefault="0048035D" w:rsidP="0048035D">
      <w:pPr>
        <w:pStyle w:val="Paragraphedeliste"/>
        <w:spacing w:after="0" w:line="360" w:lineRule="auto"/>
        <w:ind w:left="0"/>
        <w:jc w:val="both"/>
        <w:rPr>
          <w:rFonts w:ascii="Times New Roman" w:hAnsi="Times New Roman" w:cs="Times New Roman"/>
          <w:sz w:val="24"/>
          <w:szCs w:val="24"/>
        </w:rPr>
      </w:pPr>
    </w:p>
    <w:p w:rsidR="0048035D" w:rsidRDefault="0048035D" w:rsidP="0048035D">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2.2 Féminisation et sensibilité</w:t>
      </w:r>
    </w:p>
    <w:p w:rsidR="0048035D" w:rsidRDefault="0048035D" w:rsidP="0048035D">
      <w:pPr>
        <w:pStyle w:val="Paragraphedeliste"/>
        <w:spacing w:after="0" w:line="360" w:lineRule="auto"/>
        <w:ind w:left="0"/>
        <w:jc w:val="both"/>
        <w:rPr>
          <w:rFonts w:ascii="Times New Roman" w:hAnsi="Times New Roman" w:cs="Times New Roman"/>
          <w:sz w:val="24"/>
          <w:szCs w:val="24"/>
        </w:rPr>
      </w:pPr>
    </w:p>
    <w:p w:rsidR="0048035D" w:rsidRDefault="0048035D" w:rsidP="0048035D">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On a avancé que </w:t>
      </w:r>
      <w:r w:rsidR="00A31F4D">
        <w:rPr>
          <w:rFonts w:ascii="Times New Roman" w:hAnsi="Times New Roman" w:cs="Times New Roman"/>
          <w:sz w:val="24"/>
          <w:szCs w:val="24"/>
        </w:rPr>
        <w:t xml:space="preserve">le témoignage de la femme au DIL donne lieu à la « féminisation » d’un certain discours historiographique. </w:t>
      </w:r>
      <w:r>
        <w:rPr>
          <w:rFonts w:ascii="Times New Roman" w:hAnsi="Times New Roman" w:cs="Times New Roman"/>
          <w:sz w:val="24"/>
          <w:szCs w:val="24"/>
        </w:rPr>
        <w:t>Mettra-t-on dans la balance le fait qu</w:t>
      </w:r>
      <w:r w:rsidR="00A31F4D">
        <w:rPr>
          <w:rFonts w:ascii="Times New Roman" w:hAnsi="Times New Roman" w:cs="Times New Roman"/>
          <w:sz w:val="24"/>
          <w:szCs w:val="24"/>
        </w:rPr>
        <w:t xml:space="preserve">’il </w:t>
      </w:r>
      <w:r>
        <w:rPr>
          <w:rFonts w:ascii="Times New Roman" w:hAnsi="Times New Roman" w:cs="Times New Roman"/>
          <w:sz w:val="24"/>
          <w:szCs w:val="24"/>
        </w:rPr>
        <w:t>bat en brèche l’imaginaire d’un discours historiographique « masculin » en se prêtant à l’expression de l’affectif, de l’éprouvé, en favorisant le repli « égotique » caractéristique de la littérature féminine (Didier 1981</w:t>
      </w:r>
      <w:r w:rsidR="00A31F4D">
        <w:rPr>
          <w:rFonts w:ascii="Times New Roman" w:hAnsi="Times New Roman" w:cs="Times New Roman"/>
          <w:sz w:val="24"/>
          <w:szCs w:val="24"/>
        </w:rPr>
        <w:t> : 19</w:t>
      </w:r>
      <w:r>
        <w:rPr>
          <w:rFonts w:ascii="Times New Roman" w:hAnsi="Times New Roman" w:cs="Times New Roman"/>
          <w:sz w:val="24"/>
          <w:szCs w:val="24"/>
        </w:rPr>
        <w:t xml:space="preserve">) ? </w:t>
      </w:r>
      <w:r w:rsidRPr="00036345">
        <w:rPr>
          <w:rFonts w:ascii="Times New Roman" w:hAnsi="Times New Roman" w:cs="Times New Roman"/>
          <w:sz w:val="24"/>
          <w:szCs w:val="24"/>
        </w:rPr>
        <w:t>On ne rencontre nul déferlement des émotions, plutôt une pudeur contenue, qui sait éviter la « crise du témoignage » </w:t>
      </w:r>
      <w:r>
        <w:rPr>
          <w:rFonts w:ascii="Times New Roman" w:hAnsi="Times New Roman" w:cs="Times New Roman"/>
          <w:sz w:val="24"/>
          <w:szCs w:val="24"/>
        </w:rPr>
        <w:t xml:space="preserve">selon Ricœur </w:t>
      </w:r>
      <w:r w:rsidRPr="00036345">
        <w:rPr>
          <w:rFonts w:ascii="Times New Roman" w:hAnsi="Times New Roman" w:cs="Times New Roman"/>
          <w:sz w:val="24"/>
          <w:szCs w:val="24"/>
        </w:rPr>
        <w:t>: « Pour être reçu, un témoignage doit être approprié, c’est-à-dire dépouillé autant que possible de l’étrangeté absolue qu’engendre l’horreur » (2000 : 223)</w:t>
      </w:r>
      <w:r>
        <w:rPr>
          <w:rFonts w:ascii="Times New Roman" w:hAnsi="Times New Roman" w:cs="Times New Roman"/>
          <w:sz w:val="24"/>
          <w:szCs w:val="24"/>
        </w:rPr>
        <w:t xml:space="preserve"> : </w:t>
      </w:r>
    </w:p>
    <w:p w:rsidR="0048035D" w:rsidRDefault="0048035D" w:rsidP="0048035D">
      <w:pPr>
        <w:pStyle w:val="Paragraphedeliste"/>
        <w:spacing w:after="0" w:line="360" w:lineRule="auto"/>
        <w:ind w:left="0"/>
        <w:jc w:val="both"/>
        <w:rPr>
          <w:rFonts w:ascii="Times New Roman" w:hAnsi="Times New Roman" w:cs="Times New Roman"/>
          <w:sz w:val="24"/>
          <w:szCs w:val="24"/>
        </w:rPr>
      </w:pPr>
    </w:p>
    <w:p w:rsidR="0048035D" w:rsidRPr="004547E0" w:rsidRDefault="0048035D" w:rsidP="0048035D">
      <w:pPr>
        <w:pStyle w:val="Paragraphedeliste"/>
        <w:spacing w:after="0" w:line="360" w:lineRule="auto"/>
        <w:ind w:left="851"/>
        <w:jc w:val="both"/>
        <w:rPr>
          <w:rFonts w:ascii="Times New Roman" w:hAnsi="Times New Roman" w:cs="Times New Roman"/>
        </w:rPr>
      </w:pPr>
      <w:r w:rsidRPr="004547E0">
        <w:rPr>
          <w:rFonts w:ascii="Times New Roman" w:hAnsi="Times New Roman" w:cs="Times New Roman"/>
        </w:rPr>
        <w:t>(</w:t>
      </w:r>
      <w:r>
        <w:rPr>
          <w:rFonts w:ascii="Times New Roman" w:hAnsi="Times New Roman" w:cs="Times New Roman"/>
        </w:rPr>
        <w:t>2</w:t>
      </w:r>
      <w:r w:rsidRPr="004547E0">
        <w:rPr>
          <w:rFonts w:ascii="Times New Roman" w:hAnsi="Times New Roman" w:cs="Times New Roman"/>
        </w:rPr>
        <w:t>) Nous nous sommes donc installés là. Nous avons gardé le contact avec les Frères. Tous, nous avons travaillé. De nouveau, la France est montée et a tout brûlé. C’est alors que le fils de Hamoud s’est rendu. (168)</w:t>
      </w:r>
    </w:p>
    <w:p w:rsidR="0048035D" w:rsidRDefault="0048035D" w:rsidP="0048035D">
      <w:pPr>
        <w:pStyle w:val="Paragraphedeliste"/>
        <w:spacing w:after="0" w:line="360" w:lineRule="auto"/>
        <w:ind w:left="0"/>
        <w:jc w:val="both"/>
        <w:rPr>
          <w:rFonts w:ascii="Times New Roman" w:hAnsi="Times New Roman" w:cs="Times New Roman"/>
          <w:sz w:val="24"/>
          <w:szCs w:val="24"/>
        </w:rPr>
      </w:pPr>
    </w:p>
    <w:p w:rsidR="0048035D" w:rsidRDefault="0048035D" w:rsidP="0048035D">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Ces </w:t>
      </w:r>
      <w:r w:rsidRPr="00036345">
        <w:rPr>
          <w:rFonts w:ascii="Times New Roman" w:hAnsi="Times New Roman" w:cs="Times New Roman"/>
          <w:sz w:val="24"/>
          <w:szCs w:val="24"/>
        </w:rPr>
        <w:t>passages oscillent entre</w:t>
      </w:r>
      <w:r w:rsidRPr="00AF4CEF">
        <w:rPr>
          <w:rFonts w:ascii="Times New Roman" w:hAnsi="Times New Roman" w:cs="Times New Roman"/>
          <w:sz w:val="24"/>
          <w:szCs w:val="24"/>
        </w:rPr>
        <w:t xml:space="preserve"> la prise de distance exigée par la relation des événements et l’immédiateté attestée par une syntaxe émotive</w:t>
      </w:r>
      <w:r>
        <w:rPr>
          <w:rFonts w:ascii="Times New Roman" w:hAnsi="Times New Roman" w:cs="Times New Roman"/>
          <w:sz w:val="24"/>
          <w:szCs w:val="24"/>
        </w:rPr>
        <w:t xml:space="preserve"> : </w:t>
      </w:r>
      <w:r w:rsidRPr="00AF4CEF">
        <w:rPr>
          <w:rFonts w:ascii="Times New Roman" w:hAnsi="Times New Roman" w:cs="Times New Roman"/>
          <w:sz w:val="24"/>
          <w:szCs w:val="24"/>
        </w:rPr>
        <w:t xml:space="preserve"> </w:t>
      </w:r>
    </w:p>
    <w:p w:rsidR="0048035D" w:rsidRPr="00AF4CEF" w:rsidRDefault="0048035D" w:rsidP="0048035D">
      <w:pPr>
        <w:pStyle w:val="Paragraphedeliste"/>
        <w:spacing w:after="0" w:line="360" w:lineRule="auto"/>
        <w:ind w:left="0"/>
        <w:jc w:val="both"/>
        <w:rPr>
          <w:rFonts w:ascii="Times New Roman" w:hAnsi="Times New Roman" w:cs="Times New Roman"/>
          <w:sz w:val="24"/>
          <w:szCs w:val="24"/>
        </w:rPr>
      </w:pPr>
    </w:p>
    <w:p w:rsidR="0048035D" w:rsidRDefault="0048035D" w:rsidP="0048035D">
      <w:pPr>
        <w:spacing w:after="0" w:line="360" w:lineRule="auto"/>
        <w:ind w:left="851"/>
        <w:jc w:val="both"/>
        <w:rPr>
          <w:rFonts w:ascii="Times New Roman" w:hAnsi="Times New Roman" w:cs="Times New Roman"/>
        </w:rPr>
      </w:pPr>
      <w:r w:rsidRPr="004547E0">
        <w:rPr>
          <w:rFonts w:ascii="Times New Roman" w:hAnsi="Times New Roman" w:cs="Times New Roman"/>
        </w:rPr>
        <w:t xml:space="preserve"> (</w:t>
      </w:r>
      <w:r>
        <w:rPr>
          <w:rFonts w:ascii="Times New Roman" w:hAnsi="Times New Roman" w:cs="Times New Roman"/>
        </w:rPr>
        <w:t>3</w:t>
      </w:r>
      <w:r w:rsidRPr="004547E0">
        <w:rPr>
          <w:rFonts w:ascii="Times New Roman" w:hAnsi="Times New Roman" w:cs="Times New Roman"/>
        </w:rPr>
        <w:t>) J’ai emporté un couffin de légumes et… Quand Dieu veut t’aider… Un homme cherchait justement à acheter des oignons, Je l’ai rencontré, je lui ai procuré ce qu’il voulait, ainsi, j’ai pu prendre le car ! J’arrivai chez Djennet, sans voile, ni burnous !... (232)</w:t>
      </w:r>
    </w:p>
    <w:p w:rsidR="0048035D" w:rsidRPr="00AF4CEF" w:rsidRDefault="0048035D" w:rsidP="0048035D">
      <w:pPr>
        <w:spacing w:after="0" w:line="360" w:lineRule="auto"/>
        <w:ind w:left="851"/>
        <w:jc w:val="both"/>
        <w:rPr>
          <w:rFonts w:ascii="Times New Roman" w:hAnsi="Times New Roman" w:cs="Times New Roman"/>
          <w:sz w:val="24"/>
          <w:szCs w:val="24"/>
        </w:rPr>
      </w:pPr>
      <w:r w:rsidRPr="00AF4CEF">
        <w:rPr>
          <w:rFonts w:ascii="Times New Roman" w:hAnsi="Times New Roman" w:cs="Times New Roman"/>
          <w:sz w:val="24"/>
          <w:szCs w:val="24"/>
        </w:rPr>
        <w:lastRenderedPageBreak/>
        <w:t xml:space="preserve"> </w:t>
      </w:r>
    </w:p>
    <w:p w:rsidR="0048035D" w:rsidRPr="00141B0D" w:rsidRDefault="0048035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Les points de suspension ménagent des points de fuite, au moment même où ils concentrent une tension maximale.</w:t>
      </w:r>
      <w:r>
        <w:rPr>
          <w:rFonts w:ascii="Times New Roman" w:hAnsi="Times New Roman" w:cs="Times New Roman"/>
          <w:sz w:val="24"/>
          <w:szCs w:val="24"/>
        </w:rPr>
        <w:t xml:space="preserve"> </w:t>
      </w:r>
      <w:r w:rsidRPr="004547E0">
        <w:rPr>
          <w:rFonts w:ascii="Times New Roman" w:hAnsi="Times New Roman" w:cs="Times New Roman"/>
          <w:sz w:val="24"/>
          <w:szCs w:val="24"/>
        </w:rPr>
        <w:t>Paradoxalement, ils signifient une interruption qui</w:t>
      </w:r>
      <w:r>
        <w:rPr>
          <w:rFonts w:ascii="Times New Roman" w:hAnsi="Times New Roman" w:cs="Times New Roman"/>
          <w:sz w:val="24"/>
          <w:szCs w:val="24"/>
        </w:rPr>
        <w:t xml:space="preserve">, présentifiant une absence, </w:t>
      </w:r>
      <w:r w:rsidRPr="004547E0">
        <w:rPr>
          <w:rFonts w:ascii="Times New Roman" w:hAnsi="Times New Roman" w:cs="Times New Roman"/>
          <w:sz w:val="24"/>
          <w:szCs w:val="24"/>
        </w:rPr>
        <w:t>offre prise à la mémoire tout en butant sur de l’indicible</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Les traces d’une émotivité se chargent </w:t>
      </w:r>
      <w:r>
        <w:rPr>
          <w:rFonts w:ascii="Times New Roman" w:hAnsi="Times New Roman" w:cs="Times New Roman"/>
          <w:sz w:val="24"/>
          <w:szCs w:val="24"/>
        </w:rPr>
        <w:t xml:space="preserve">ainsi </w:t>
      </w:r>
      <w:r w:rsidRPr="00AF4CEF">
        <w:rPr>
          <w:rFonts w:ascii="Times New Roman" w:hAnsi="Times New Roman" w:cs="Times New Roman"/>
          <w:sz w:val="24"/>
          <w:szCs w:val="24"/>
        </w:rPr>
        <w:t>d’une valeur indicielle</w:t>
      </w:r>
      <w:r>
        <w:rPr>
          <w:rFonts w:ascii="Times New Roman" w:hAnsi="Times New Roman" w:cs="Times New Roman"/>
          <w:sz w:val="24"/>
          <w:szCs w:val="24"/>
        </w:rPr>
        <w:t xml:space="preserve">, au sens peircien du terme, qui renvoie </w:t>
      </w:r>
      <w:r w:rsidRPr="00AF4CEF">
        <w:rPr>
          <w:rFonts w:ascii="Times New Roman" w:hAnsi="Times New Roman" w:cs="Times New Roman"/>
          <w:sz w:val="24"/>
          <w:szCs w:val="24"/>
        </w:rPr>
        <w:t xml:space="preserve">directement à un locuteur incarné. </w:t>
      </w:r>
      <w:r w:rsidRPr="00C70996">
        <w:rPr>
          <w:rFonts w:ascii="Times New Roman" w:hAnsi="Times New Roman" w:cs="Times New Roman"/>
          <w:sz w:val="24"/>
          <w:szCs w:val="24"/>
        </w:rPr>
        <w:t xml:space="preserve">Faisant affleurer l’affect et l’émotion, </w:t>
      </w:r>
      <w:r>
        <w:rPr>
          <w:rFonts w:ascii="Times New Roman" w:hAnsi="Times New Roman" w:cs="Times New Roman"/>
          <w:sz w:val="24"/>
          <w:szCs w:val="24"/>
        </w:rPr>
        <w:t xml:space="preserve">les </w:t>
      </w:r>
      <w:r w:rsidRPr="00C70996">
        <w:rPr>
          <w:rFonts w:ascii="Times New Roman" w:hAnsi="Times New Roman" w:cs="Times New Roman"/>
          <w:sz w:val="24"/>
          <w:szCs w:val="24"/>
        </w:rPr>
        <w:t>témoignages au DDL conf</w:t>
      </w:r>
      <w:r>
        <w:rPr>
          <w:rFonts w:ascii="Times New Roman" w:hAnsi="Times New Roman" w:cs="Times New Roman"/>
          <w:sz w:val="24"/>
          <w:szCs w:val="24"/>
        </w:rPr>
        <w:t xml:space="preserve">èrent </w:t>
      </w:r>
      <w:r w:rsidRPr="00C70996">
        <w:rPr>
          <w:rFonts w:ascii="Times New Roman" w:hAnsi="Times New Roman" w:cs="Times New Roman"/>
          <w:sz w:val="24"/>
          <w:szCs w:val="24"/>
        </w:rPr>
        <w:t>à la locutrice originelle non seulement une voix, mais une identité corporelle</w:t>
      </w:r>
      <w:r>
        <w:rPr>
          <w:rFonts w:ascii="Times New Roman" w:hAnsi="Times New Roman" w:cs="Times New Roman"/>
          <w:sz w:val="24"/>
          <w:szCs w:val="24"/>
        </w:rPr>
        <w:t xml:space="preserve"> : elle </w:t>
      </w:r>
      <w:r w:rsidRPr="00AF4CEF">
        <w:rPr>
          <w:rFonts w:ascii="Times New Roman" w:hAnsi="Times New Roman" w:cs="Times New Roman"/>
          <w:sz w:val="24"/>
          <w:szCs w:val="24"/>
        </w:rPr>
        <w:t xml:space="preserve">ne se contente pas de </w:t>
      </w:r>
      <w:r w:rsidRPr="00C70996">
        <w:rPr>
          <w:rFonts w:ascii="Times New Roman" w:hAnsi="Times New Roman" w:cs="Times New Roman"/>
          <w:i/>
          <w:sz w:val="24"/>
          <w:szCs w:val="24"/>
        </w:rPr>
        <w:t>dire</w:t>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mais </w:t>
      </w:r>
      <w:r w:rsidRPr="00AF4CEF">
        <w:rPr>
          <w:rFonts w:ascii="Times New Roman" w:hAnsi="Times New Roman" w:cs="Times New Roman"/>
          <w:sz w:val="24"/>
          <w:szCs w:val="24"/>
        </w:rPr>
        <w:t xml:space="preserve">elle </w:t>
      </w:r>
      <w:r w:rsidRPr="00AF4CEF">
        <w:rPr>
          <w:rFonts w:ascii="Times New Roman" w:hAnsi="Times New Roman" w:cs="Times New Roman"/>
          <w:i/>
          <w:sz w:val="24"/>
          <w:szCs w:val="24"/>
        </w:rPr>
        <w:t>se montre</w:t>
      </w:r>
      <w:r>
        <w:rPr>
          <w:rFonts w:ascii="Times New Roman" w:hAnsi="Times New Roman" w:cs="Times New Roman"/>
          <w:sz w:val="24"/>
          <w:szCs w:val="24"/>
        </w:rPr>
        <w:t>. D</w:t>
      </w:r>
      <w:r w:rsidRPr="00AF4CEF">
        <w:rPr>
          <w:rFonts w:ascii="Times New Roman" w:hAnsi="Times New Roman" w:cs="Times New Roman"/>
          <w:sz w:val="24"/>
          <w:szCs w:val="24"/>
        </w:rPr>
        <w:t xml:space="preserve">ans une situation socio-historique donnée, </w:t>
      </w:r>
      <w:r>
        <w:rPr>
          <w:rFonts w:ascii="Times New Roman" w:hAnsi="Times New Roman" w:cs="Times New Roman"/>
          <w:sz w:val="24"/>
          <w:szCs w:val="24"/>
        </w:rPr>
        <w:t xml:space="preserve">l’écriture émotive </w:t>
      </w:r>
      <w:r w:rsidRPr="00AF4CEF">
        <w:rPr>
          <w:rFonts w:ascii="Times New Roman" w:hAnsi="Times New Roman" w:cs="Times New Roman"/>
          <w:sz w:val="24"/>
          <w:szCs w:val="24"/>
        </w:rPr>
        <w:t>met en perspective et en corrélation</w:t>
      </w:r>
      <w:r>
        <w:rPr>
          <w:rFonts w:ascii="Times New Roman" w:hAnsi="Times New Roman" w:cs="Times New Roman"/>
          <w:sz w:val="24"/>
          <w:szCs w:val="24"/>
        </w:rPr>
        <w:t>, par le biais du corps,</w:t>
      </w:r>
      <w:r w:rsidRPr="00AF4CEF">
        <w:rPr>
          <w:rFonts w:ascii="Times New Roman" w:hAnsi="Times New Roman" w:cs="Times New Roman"/>
          <w:sz w:val="24"/>
          <w:szCs w:val="24"/>
        </w:rPr>
        <w:t xml:space="preserve"> l’extéroceptif des « états de choses » et l’intéroceptif des « états mentaux », l’acte perceptivo-sensoriel et les représentations « internes ».</w:t>
      </w: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Il est alors significatif que le témoignage au DIL sache éviter le rabattement de l’opposition de sexe sur les dichotomies esprit (masculin)/corps (féminin), rationalisation/émotion contre lesquelles Judith Butler met en garde</w:t>
      </w:r>
      <w:r>
        <w:rPr>
          <w:rStyle w:val="Marquedenotedefin"/>
          <w:rFonts w:ascii="Times New Roman" w:hAnsi="Times New Roman" w:cs="Times New Roman"/>
          <w:sz w:val="24"/>
          <w:szCs w:val="24"/>
        </w:rPr>
        <w:endnoteReference w:id="15"/>
      </w:r>
      <w:r>
        <w:rPr>
          <w:rFonts w:ascii="Times New Roman" w:hAnsi="Times New Roman" w:cs="Times New Roman"/>
          <w:sz w:val="24"/>
          <w:szCs w:val="24"/>
        </w:rPr>
        <w:t xml:space="preserve">. La femme à laquelle il offre une scène de parole est instaurée en sujet </w:t>
      </w:r>
      <w:r w:rsidRPr="00763A03">
        <w:rPr>
          <w:rFonts w:ascii="Times New Roman" w:hAnsi="Times New Roman" w:cs="Times New Roman"/>
          <w:sz w:val="24"/>
          <w:szCs w:val="24"/>
        </w:rPr>
        <w:t>sensible</w:t>
      </w:r>
      <w:r>
        <w:rPr>
          <w:rFonts w:ascii="Times New Roman" w:hAnsi="Times New Roman" w:cs="Times New Roman"/>
          <w:sz w:val="24"/>
          <w:szCs w:val="24"/>
        </w:rPr>
        <w:t>,</w:t>
      </w:r>
      <w:r w:rsidRPr="00763A03">
        <w:rPr>
          <w:rFonts w:ascii="Times New Roman" w:hAnsi="Times New Roman" w:cs="Times New Roman"/>
          <w:sz w:val="24"/>
          <w:szCs w:val="24"/>
        </w:rPr>
        <w:t xml:space="preserve"> mais aussi cognitif et judicatif</w:t>
      </w:r>
      <w:r>
        <w:rPr>
          <w:rFonts w:ascii="Times New Roman" w:hAnsi="Times New Roman" w:cs="Times New Roman"/>
          <w:sz w:val="24"/>
          <w:szCs w:val="24"/>
        </w:rPr>
        <w:t xml:space="preserve">. C’est la tâche qui est confiée au DD que le témoignage au DIL enserre :  </w:t>
      </w:r>
    </w:p>
    <w:p w:rsidR="0048035D" w:rsidRDefault="0048035D" w:rsidP="0048035D">
      <w:pPr>
        <w:spacing w:after="0" w:line="360" w:lineRule="auto"/>
        <w:ind w:left="851"/>
        <w:jc w:val="both"/>
        <w:rPr>
          <w:rFonts w:ascii="Times New Roman" w:hAnsi="Times New Roman" w:cs="Times New Roman"/>
          <w:sz w:val="24"/>
          <w:szCs w:val="24"/>
        </w:rPr>
      </w:pPr>
    </w:p>
    <w:p w:rsidR="0048035D" w:rsidRPr="006C766A" w:rsidRDefault="0048035D" w:rsidP="0048035D">
      <w:pPr>
        <w:spacing w:after="0" w:line="360" w:lineRule="auto"/>
        <w:ind w:left="851"/>
        <w:jc w:val="both"/>
        <w:rPr>
          <w:rFonts w:ascii="Times New Roman" w:hAnsi="Times New Roman" w:cs="Times New Roman"/>
        </w:rPr>
      </w:pPr>
      <w:r w:rsidRPr="006C766A">
        <w:rPr>
          <w:rFonts w:ascii="Times New Roman" w:hAnsi="Times New Roman" w:cs="Times New Roman"/>
        </w:rPr>
        <w:t xml:space="preserve">(4) Furieux, il dirigea son fusil sur moi. Il me menaça : </w:t>
      </w:r>
    </w:p>
    <w:p w:rsidR="0048035D" w:rsidRPr="006C766A" w:rsidRDefault="0048035D" w:rsidP="0048035D">
      <w:pPr>
        <w:spacing w:after="0" w:line="360" w:lineRule="auto"/>
        <w:ind w:left="851"/>
        <w:jc w:val="both"/>
        <w:rPr>
          <w:rFonts w:ascii="Times New Roman" w:hAnsi="Times New Roman" w:cs="Times New Roman"/>
        </w:rPr>
      </w:pPr>
      <w:r w:rsidRPr="006C766A">
        <w:rPr>
          <w:rFonts w:ascii="Times New Roman" w:hAnsi="Times New Roman" w:cs="Times New Roman"/>
        </w:rPr>
        <w:t>- Je vais te tuer !</w:t>
      </w:r>
    </w:p>
    <w:p w:rsidR="0048035D" w:rsidRPr="006C766A" w:rsidRDefault="0048035D" w:rsidP="0048035D">
      <w:pPr>
        <w:spacing w:after="0" w:line="360" w:lineRule="auto"/>
        <w:ind w:left="851"/>
        <w:jc w:val="both"/>
        <w:rPr>
          <w:rFonts w:ascii="Times New Roman" w:hAnsi="Times New Roman" w:cs="Times New Roman"/>
        </w:rPr>
      </w:pPr>
      <w:r w:rsidRPr="006C766A">
        <w:rPr>
          <w:rFonts w:ascii="Times New Roman" w:hAnsi="Times New Roman" w:cs="Times New Roman"/>
        </w:rPr>
        <w:t>- Tue-moi, lui dis-je, si tu es un homme ! Mais tu n’es pas un homme, tu es un goumier ! Moi qui ne suis qu’une fille, vas-y, tue-moi ! Je ne suis pas une femme complète, mais c’est tout comme ! Tue-moi, car tu aimes tuer ! (190)</w:t>
      </w:r>
    </w:p>
    <w:p w:rsidR="0048035D" w:rsidRDefault="0048035D" w:rsidP="0048035D">
      <w:pPr>
        <w:spacing w:after="0" w:line="360" w:lineRule="auto"/>
        <w:ind w:firstLine="708"/>
        <w:jc w:val="both"/>
        <w:rPr>
          <w:rFonts w:ascii="Times New Roman" w:hAnsi="Times New Roman" w:cs="Times New Roman"/>
          <w:sz w:val="24"/>
          <w:szCs w:val="24"/>
        </w:rPr>
      </w:pPr>
    </w:p>
    <w:p w:rsidR="0048035D" w:rsidRDefault="0048035D" w:rsidP="00480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femme assortit une triple injonction « Tue-moi » d’une argumentation qui vise à déconstruire la double logique de l’interrogatoire de guerre et du discours de la domination masculine en contestant non point les règles, implicitement admises, mais le</w:t>
      </w:r>
      <w:r w:rsidR="003C4A24">
        <w:rPr>
          <w:rFonts w:ascii="Times New Roman" w:hAnsi="Times New Roman" w:cs="Times New Roman"/>
          <w:sz w:val="24"/>
          <w:szCs w:val="24"/>
        </w:rPr>
        <w:t xml:space="preserve"> </w:t>
      </w:r>
      <w:r>
        <w:rPr>
          <w:rFonts w:ascii="Times New Roman" w:hAnsi="Times New Roman" w:cs="Times New Roman"/>
          <w:sz w:val="24"/>
          <w:szCs w:val="24"/>
        </w:rPr>
        <w:t>bien-fondé </w:t>
      </w:r>
      <w:r w:rsidR="003C4A24">
        <w:rPr>
          <w:rFonts w:ascii="Times New Roman" w:hAnsi="Times New Roman" w:cs="Times New Roman"/>
          <w:sz w:val="24"/>
          <w:szCs w:val="24"/>
        </w:rPr>
        <w:t>des discours </w:t>
      </w:r>
      <w:r>
        <w:rPr>
          <w:rFonts w:ascii="Times New Roman" w:hAnsi="Times New Roman" w:cs="Times New Roman"/>
          <w:sz w:val="24"/>
          <w:szCs w:val="24"/>
        </w:rPr>
        <w:t xml:space="preserve">: le goumier n’étant pas un homme, les discours, qui se font l’écho de pulsions meurtrières, sont discrédités. La femme est ce </w:t>
      </w:r>
      <w:r w:rsidRPr="00AF4CEF">
        <w:rPr>
          <w:rFonts w:ascii="Times New Roman" w:hAnsi="Times New Roman" w:cs="Times New Roman"/>
          <w:sz w:val="24"/>
          <w:szCs w:val="24"/>
        </w:rPr>
        <w:t>corps qui n’est pas entravé par la peur, l’absolu du corps résistant</w:t>
      </w:r>
      <w:r>
        <w:rPr>
          <w:rFonts w:ascii="Times New Roman" w:hAnsi="Times New Roman" w:cs="Times New Roman"/>
          <w:sz w:val="24"/>
          <w:szCs w:val="24"/>
        </w:rPr>
        <w:t xml:space="preserve">. En </w:t>
      </w:r>
      <w:r w:rsidRPr="00AF4CEF">
        <w:rPr>
          <w:rFonts w:ascii="Times New Roman" w:hAnsi="Times New Roman" w:cs="Times New Roman"/>
          <w:sz w:val="24"/>
          <w:szCs w:val="24"/>
        </w:rPr>
        <w:t xml:space="preserve">même temps </w:t>
      </w:r>
      <w:r>
        <w:rPr>
          <w:rFonts w:ascii="Times New Roman" w:hAnsi="Times New Roman" w:cs="Times New Roman"/>
          <w:sz w:val="24"/>
          <w:szCs w:val="24"/>
        </w:rPr>
        <w:t xml:space="preserve">le témoignage </w:t>
      </w:r>
      <w:r w:rsidRPr="00AF4CEF">
        <w:rPr>
          <w:rFonts w:ascii="Times New Roman" w:hAnsi="Times New Roman" w:cs="Times New Roman"/>
          <w:sz w:val="24"/>
          <w:szCs w:val="24"/>
        </w:rPr>
        <w:t>fait mentir le cliché qui réserve la raison à l’homme et cantonne la femme au niveau des affects</w:t>
      </w:r>
      <w:r>
        <w:rPr>
          <w:rFonts w:ascii="Times New Roman" w:hAnsi="Times New Roman" w:cs="Times New Roman"/>
          <w:sz w:val="24"/>
          <w:szCs w:val="24"/>
        </w:rPr>
        <w:t xml:space="preserve"> : un </w:t>
      </w:r>
      <w:r w:rsidRPr="00AF4CEF">
        <w:rPr>
          <w:rFonts w:ascii="Times New Roman" w:hAnsi="Times New Roman" w:cs="Times New Roman"/>
          <w:sz w:val="24"/>
          <w:szCs w:val="24"/>
        </w:rPr>
        <w:t>« sujet-passion » (</w:t>
      </w:r>
      <w:r>
        <w:rPr>
          <w:rFonts w:ascii="Times New Roman" w:hAnsi="Times New Roman" w:cs="Times New Roman"/>
          <w:sz w:val="24"/>
          <w:szCs w:val="24"/>
        </w:rPr>
        <w:t>Coquet 1997 : 1</w:t>
      </w:r>
      <w:r w:rsidRPr="00AF4CEF">
        <w:rPr>
          <w:rFonts w:ascii="Times New Roman" w:hAnsi="Times New Roman" w:cs="Times New Roman"/>
          <w:sz w:val="24"/>
          <w:szCs w:val="24"/>
        </w:rPr>
        <w:t>5)</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alterne avec le sujet du jugement. </w:t>
      </w:r>
      <w:r>
        <w:rPr>
          <w:rFonts w:ascii="Times New Roman" w:hAnsi="Times New Roman" w:cs="Times New Roman"/>
          <w:sz w:val="24"/>
          <w:szCs w:val="24"/>
        </w:rPr>
        <w:t>L</w:t>
      </w:r>
      <w:r w:rsidRPr="00AF4CEF">
        <w:rPr>
          <w:rFonts w:ascii="Times New Roman" w:hAnsi="Times New Roman" w:cs="Times New Roman"/>
          <w:sz w:val="24"/>
          <w:szCs w:val="24"/>
        </w:rPr>
        <w:t>a force – parlera-t-on d</w:t>
      </w:r>
      <w:r>
        <w:rPr>
          <w:rFonts w:ascii="Times New Roman" w:hAnsi="Times New Roman" w:cs="Times New Roman"/>
          <w:sz w:val="24"/>
          <w:szCs w:val="24"/>
        </w:rPr>
        <w:t>e l’</w:t>
      </w:r>
      <w:r w:rsidRPr="00AF4CEF">
        <w:rPr>
          <w:rFonts w:ascii="Times New Roman" w:hAnsi="Times New Roman" w:cs="Times New Roman"/>
          <w:sz w:val="24"/>
          <w:szCs w:val="24"/>
        </w:rPr>
        <w:t xml:space="preserve">amour pour le pays qui nourrit la révolte ? – agit non pas </w:t>
      </w:r>
      <w:r w:rsidRPr="00AF4CEF">
        <w:rPr>
          <w:rFonts w:ascii="Times New Roman" w:hAnsi="Times New Roman" w:cs="Times New Roman"/>
          <w:i/>
          <w:sz w:val="24"/>
          <w:szCs w:val="24"/>
        </w:rPr>
        <w:t>sur</w:t>
      </w:r>
      <w:r w:rsidRPr="00AF4CEF">
        <w:rPr>
          <w:rFonts w:ascii="Times New Roman" w:hAnsi="Times New Roman" w:cs="Times New Roman"/>
          <w:sz w:val="24"/>
          <w:szCs w:val="24"/>
        </w:rPr>
        <w:t xml:space="preserve"> la femme</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mais </w:t>
      </w:r>
      <w:r w:rsidRPr="00AF4CEF">
        <w:rPr>
          <w:rFonts w:ascii="Times New Roman" w:hAnsi="Times New Roman" w:cs="Times New Roman"/>
          <w:i/>
          <w:sz w:val="24"/>
          <w:szCs w:val="24"/>
        </w:rPr>
        <w:t>en</w:t>
      </w:r>
      <w:r w:rsidRPr="00AF4CEF">
        <w:rPr>
          <w:rFonts w:ascii="Times New Roman" w:hAnsi="Times New Roman" w:cs="Times New Roman"/>
          <w:sz w:val="24"/>
          <w:szCs w:val="24"/>
        </w:rPr>
        <w:t xml:space="preserve"> elle, et, ici, la fait agir </w:t>
      </w:r>
      <w:r w:rsidRPr="004A6AD3">
        <w:rPr>
          <w:rFonts w:ascii="Times New Roman" w:hAnsi="Times New Roman" w:cs="Times New Roman"/>
          <w:i/>
          <w:sz w:val="24"/>
          <w:szCs w:val="24"/>
        </w:rPr>
        <w:t>sur</w:t>
      </w:r>
      <w:r w:rsidRPr="00AF4CEF">
        <w:rPr>
          <w:rFonts w:ascii="Times New Roman" w:hAnsi="Times New Roman" w:cs="Times New Roman"/>
          <w:sz w:val="24"/>
          <w:szCs w:val="24"/>
        </w:rPr>
        <w:t xml:space="preserve"> le monde</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Selon les termes de Coquet convoquant Merleau-Ponty, le « “je peux” du corps » est alors indissociable du </w:t>
      </w:r>
      <w:r w:rsidR="003C4A24">
        <w:rPr>
          <w:rFonts w:ascii="Times New Roman" w:hAnsi="Times New Roman" w:cs="Times New Roman"/>
          <w:sz w:val="24"/>
          <w:szCs w:val="24"/>
        </w:rPr>
        <w:t>« </w:t>
      </w:r>
      <w:r w:rsidRPr="00AF4CEF">
        <w:rPr>
          <w:rFonts w:ascii="Times New Roman" w:hAnsi="Times New Roman" w:cs="Times New Roman"/>
          <w:sz w:val="24"/>
          <w:szCs w:val="24"/>
        </w:rPr>
        <w:t>“je pense” de la personne</w:t>
      </w:r>
      <w:r>
        <w:rPr>
          <w:rFonts w:ascii="Times New Roman" w:hAnsi="Times New Roman" w:cs="Times New Roman"/>
          <w:sz w:val="24"/>
          <w:szCs w:val="24"/>
        </w:rPr>
        <w:t> »</w:t>
      </w:r>
      <w:r w:rsidRPr="00AF4CEF">
        <w:rPr>
          <w:rFonts w:ascii="Times New Roman" w:hAnsi="Times New Roman" w:cs="Times New Roman"/>
          <w:sz w:val="24"/>
          <w:szCs w:val="24"/>
        </w:rPr>
        <w:t> (</w:t>
      </w:r>
      <w:r w:rsidRPr="00396E81">
        <w:rPr>
          <w:rFonts w:ascii="Times New Roman" w:hAnsi="Times New Roman" w:cs="Times New Roman"/>
          <w:i/>
          <w:sz w:val="24"/>
          <w:szCs w:val="24"/>
        </w:rPr>
        <w:t>ibid.</w:t>
      </w:r>
      <w:r>
        <w:rPr>
          <w:rFonts w:ascii="Times New Roman" w:hAnsi="Times New Roman" w:cs="Times New Roman"/>
          <w:sz w:val="24"/>
          <w:szCs w:val="24"/>
        </w:rPr>
        <w:t> : 8</w:t>
      </w:r>
      <w:r w:rsidRPr="00AF4CEF">
        <w:rPr>
          <w:rFonts w:ascii="Times New Roman" w:hAnsi="Times New Roman" w:cs="Times New Roman"/>
          <w:sz w:val="24"/>
          <w:szCs w:val="24"/>
        </w:rPr>
        <w:t xml:space="preserve">) ; le non sujet qui ne fait que </w:t>
      </w:r>
      <w:r w:rsidRPr="00AF4CEF">
        <w:rPr>
          <w:rFonts w:ascii="Times New Roman" w:hAnsi="Times New Roman" w:cs="Times New Roman"/>
          <w:sz w:val="24"/>
          <w:szCs w:val="24"/>
        </w:rPr>
        <w:lastRenderedPageBreak/>
        <w:t>prédiquer est ici rejoint par le sujet qui asserte, le « je peux » est suivi d’un « je sais » (</w:t>
      </w:r>
      <w:r w:rsidRPr="00396E81">
        <w:rPr>
          <w:rFonts w:ascii="Times New Roman" w:hAnsi="Times New Roman" w:cs="Times New Roman"/>
          <w:i/>
          <w:sz w:val="24"/>
          <w:szCs w:val="24"/>
        </w:rPr>
        <w:t>ibid</w:t>
      </w:r>
      <w:r>
        <w:rPr>
          <w:rFonts w:ascii="Times New Roman" w:hAnsi="Times New Roman" w:cs="Times New Roman"/>
          <w:sz w:val="24"/>
          <w:szCs w:val="24"/>
        </w:rPr>
        <w:t>. : 9)</w:t>
      </w:r>
      <w:r w:rsidRPr="00AF4CEF">
        <w:rPr>
          <w:rFonts w:ascii="Times New Roman" w:hAnsi="Times New Roman" w:cs="Times New Roman"/>
          <w:sz w:val="24"/>
          <w:szCs w:val="24"/>
        </w:rPr>
        <w:t>.</w:t>
      </w:r>
    </w:p>
    <w:p w:rsidR="0048035D" w:rsidRDefault="0048035D" w:rsidP="0048035D">
      <w:pPr>
        <w:spacing w:after="0" w:line="360" w:lineRule="auto"/>
        <w:ind w:firstLine="708"/>
        <w:jc w:val="both"/>
        <w:rPr>
          <w:rFonts w:ascii="Times New Roman" w:hAnsi="Times New Roman" w:cs="Times New Roman"/>
          <w:sz w:val="24"/>
          <w:szCs w:val="24"/>
        </w:rPr>
      </w:pPr>
    </w:p>
    <w:p w:rsidR="0048035D" w:rsidRDefault="0048035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 xml:space="preserve">3. Le « discours empathique » </w:t>
      </w:r>
    </w:p>
    <w:p w:rsidR="0048035D" w:rsidRPr="00AF4CEF" w:rsidRDefault="0048035D" w:rsidP="0048035D">
      <w:pPr>
        <w:pStyle w:val="Paragraphedeliste"/>
        <w:spacing w:after="0" w:line="360" w:lineRule="auto"/>
        <w:ind w:left="0"/>
        <w:jc w:val="both"/>
        <w:rPr>
          <w:rFonts w:ascii="Times New Roman" w:hAnsi="Times New Roman" w:cs="Times New Roman"/>
          <w:sz w:val="24"/>
          <w:szCs w:val="24"/>
        </w:rPr>
      </w:pPr>
    </w:p>
    <w:p w:rsidR="0048035D" w:rsidRPr="00AF4CEF" w:rsidRDefault="0048035D" w:rsidP="0048035D">
      <w:pPr>
        <w:pStyle w:val="Paragraphedeliste"/>
        <w:spacing w:after="0" w:line="360" w:lineRule="auto"/>
        <w:ind w:left="0" w:firstLine="708"/>
        <w:jc w:val="both"/>
        <w:rPr>
          <w:rFonts w:ascii="Times New Roman" w:hAnsi="Times New Roman" w:cs="Times New Roman"/>
          <w:sz w:val="24"/>
          <w:szCs w:val="24"/>
        </w:rPr>
      </w:pPr>
      <w:r w:rsidRPr="00AF4CEF">
        <w:rPr>
          <w:rFonts w:ascii="Times New Roman" w:hAnsi="Times New Roman" w:cs="Times New Roman"/>
          <w:sz w:val="24"/>
          <w:szCs w:val="24"/>
        </w:rPr>
        <w:t xml:space="preserve">Le rapport </w:t>
      </w:r>
      <w:r>
        <w:rPr>
          <w:rFonts w:ascii="Times New Roman" w:hAnsi="Times New Roman" w:cs="Times New Roman"/>
          <w:sz w:val="24"/>
          <w:szCs w:val="24"/>
        </w:rPr>
        <w:t xml:space="preserve">de la narratrice </w:t>
      </w:r>
      <w:r w:rsidRPr="00AF4CEF">
        <w:rPr>
          <w:rFonts w:ascii="Times New Roman" w:hAnsi="Times New Roman" w:cs="Times New Roman"/>
          <w:sz w:val="24"/>
          <w:szCs w:val="24"/>
        </w:rPr>
        <w:t xml:space="preserve">à la langue française est ambigu : </w:t>
      </w:r>
      <w:r>
        <w:rPr>
          <w:rFonts w:ascii="Times New Roman" w:hAnsi="Times New Roman" w:cs="Times New Roman"/>
          <w:sz w:val="24"/>
          <w:szCs w:val="24"/>
        </w:rPr>
        <w:t xml:space="preserve">langue étrangère, cette dernière </w:t>
      </w:r>
      <w:r w:rsidRPr="00AF4CEF">
        <w:rPr>
          <w:rFonts w:ascii="Times New Roman" w:hAnsi="Times New Roman" w:cs="Times New Roman"/>
          <w:sz w:val="24"/>
          <w:szCs w:val="24"/>
        </w:rPr>
        <w:t>recueille la parole de la femme</w:t>
      </w:r>
      <w:r>
        <w:rPr>
          <w:rStyle w:val="Marquedenotedefin"/>
          <w:rFonts w:ascii="Times New Roman" w:hAnsi="Times New Roman" w:cs="Times New Roman"/>
          <w:sz w:val="24"/>
          <w:szCs w:val="24"/>
        </w:rPr>
        <w:endnoteReference w:id="16"/>
      </w:r>
      <w:r>
        <w:rPr>
          <w:rFonts w:ascii="Times New Roman" w:hAnsi="Times New Roman" w:cs="Times New Roman"/>
          <w:sz w:val="24"/>
          <w:szCs w:val="24"/>
        </w:rPr>
        <w:t xml:space="preserve">, </w:t>
      </w:r>
      <w:r w:rsidRPr="00AF4CEF">
        <w:rPr>
          <w:rFonts w:ascii="Times New Roman" w:hAnsi="Times New Roman" w:cs="Times New Roman"/>
          <w:sz w:val="24"/>
          <w:szCs w:val="24"/>
        </w:rPr>
        <w:t>elle est libération</w:t>
      </w:r>
      <w:r>
        <w:rPr>
          <w:rStyle w:val="Marquedenotedefin"/>
          <w:rFonts w:ascii="Times New Roman" w:hAnsi="Times New Roman" w:cs="Times New Roman"/>
          <w:sz w:val="24"/>
          <w:szCs w:val="24"/>
        </w:rPr>
        <w:endnoteReference w:id="17"/>
      </w:r>
      <w:r>
        <w:rPr>
          <w:rFonts w:ascii="Times New Roman" w:hAnsi="Times New Roman" w:cs="Times New Roman"/>
          <w:sz w:val="24"/>
          <w:szCs w:val="24"/>
        </w:rPr>
        <w:t>, e</w:t>
      </w:r>
      <w:r w:rsidRPr="00AF4CEF">
        <w:rPr>
          <w:rFonts w:ascii="Times New Roman" w:hAnsi="Times New Roman" w:cs="Times New Roman"/>
          <w:sz w:val="24"/>
          <w:szCs w:val="24"/>
        </w:rPr>
        <w:t>lle permet au corps de se mouvoir dans un espace de subversion</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En même temps, la vérité énoncée est « ébréchée » ; écrire dans la langue du conquérant, </w:t>
      </w:r>
      <w:r>
        <w:rPr>
          <w:rFonts w:ascii="Times New Roman" w:hAnsi="Times New Roman" w:cs="Times New Roman"/>
          <w:sz w:val="24"/>
          <w:szCs w:val="24"/>
        </w:rPr>
        <w:t xml:space="preserve">se confronter au « tiers actant » qui soumet l’écriture à l’idéologie définie au croisement du symbolique et du politique, </w:t>
      </w:r>
      <w:r w:rsidRPr="00AF4CEF">
        <w:rPr>
          <w:rFonts w:ascii="Times New Roman" w:hAnsi="Times New Roman" w:cs="Times New Roman"/>
          <w:sz w:val="24"/>
          <w:szCs w:val="24"/>
        </w:rPr>
        <w:t xml:space="preserve">c’est s’exiler définitivement, c’est dépouiller les mots de </w:t>
      </w:r>
      <w:r>
        <w:rPr>
          <w:rFonts w:ascii="Times New Roman" w:hAnsi="Times New Roman" w:cs="Times New Roman"/>
          <w:sz w:val="24"/>
          <w:szCs w:val="24"/>
        </w:rPr>
        <w:t xml:space="preserve">leur </w:t>
      </w:r>
      <w:r w:rsidRPr="00AF4CEF">
        <w:rPr>
          <w:rFonts w:ascii="Times New Roman" w:hAnsi="Times New Roman" w:cs="Times New Roman"/>
          <w:sz w:val="24"/>
          <w:szCs w:val="24"/>
        </w:rPr>
        <w:t>réalité charnelle</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 </w:t>
      </w:r>
    </w:p>
    <w:p w:rsidR="0048035D" w:rsidRDefault="0048035D" w:rsidP="0048035D">
      <w:pPr>
        <w:pStyle w:val="Paragraphedeliste"/>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Une autre voie s’offre alors, conciliant l’oralité des langues de la région natale avec la langue de l’envahisseur : celle de la langue française métissée, arabisée, qui affleure dans des passages en italique dédiés à ce que, au-delà même des catégories traditionnelles du discours rapporté, on appellera le « discours empathique ». I</w:t>
      </w:r>
      <w:r w:rsidRPr="00AF4CEF">
        <w:rPr>
          <w:rFonts w:ascii="Times New Roman" w:hAnsi="Times New Roman" w:cs="Times New Roman"/>
          <w:sz w:val="24"/>
          <w:szCs w:val="24"/>
        </w:rPr>
        <w:t xml:space="preserve">l est </w:t>
      </w:r>
      <w:r>
        <w:rPr>
          <w:rFonts w:ascii="Times New Roman" w:hAnsi="Times New Roman" w:cs="Times New Roman"/>
          <w:sz w:val="24"/>
          <w:szCs w:val="24"/>
        </w:rPr>
        <w:t xml:space="preserve">alors </w:t>
      </w:r>
      <w:r w:rsidRPr="00AF4CEF">
        <w:rPr>
          <w:rFonts w:ascii="Times New Roman" w:hAnsi="Times New Roman" w:cs="Times New Roman"/>
          <w:sz w:val="24"/>
          <w:szCs w:val="24"/>
        </w:rPr>
        <w:t>possible d’être du côté de la langue française</w:t>
      </w:r>
      <w:r>
        <w:rPr>
          <w:rFonts w:ascii="Times New Roman" w:hAnsi="Times New Roman" w:cs="Times New Roman"/>
          <w:sz w:val="24"/>
          <w:szCs w:val="24"/>
        </w:rPr>
        <w:t>,</w:t>
      </w:r>
      <w:r w:rsidRPr="00AF4CEF">
        <w:rPr>
          <w:rFonts w:ascii="Times New Roman" w:hAnsi="Times New Roman" w:cs="Times New Roman"/>
          <w:sz w:val="24"/>
          <w:szCs w:val="24"/>
        </w:rPr>
        <w:t xml:space="preserve"> que l’imaginaire réduit </w:t>
      </w:r>
      <w:r>
        <w:rPr>
          <w:rFonts w:ascii="Times New Roman" w:hAnsi="Times New Roman" w:cs="Times New Roman"/>
          <w:sz w:val="24"/>
          <w:szCs w:val="24"/>
        </w:rPr>
        <w:t xml:space="preserve">ici </w:t>
      </w:r>
      <w:r w:rsidRPr="00AF4CEF">
        <w:rPr>
          <w:rFonts w:ascii="Times New Roman" w:hAnsi="Times New Roman" w:cs="Times New Roman"/>
          <w:sz w:val="24"/>
          <w:szCs w:val="24"/>
        </w:rPr>
        <w:t xml:space="preserve">à l’expression de la Raison – </w:t>
      </w:r>
      <w:r w:rsidR="0032729C">
        <w:rPr>
          <w:rFonts w:ascii="Times New Roman" w:hAnsi="Times New Roman" w:cs="Times New Roman"/>
          <w:sz w:val="24"/>
          <w:szCs w:val="24"/>
        </w:rPr>
        <w:t xml:space="preserve">une </w:t>
      </w:r>
      <w:r w:rsidRPr="00AF4CEF">
        <w:rPr>
          <w:rFonts w:ascii="Times New Roman" w:hAnsi="Times New Roman" w:cs="Times New Roman"/>
          <w:sz w:val="24"/>
          <w:szCs w:val="24"/>
        </w:rPr>
        <w:t>autre figure du tiers actant –, à l’ordre du discours, à la concision et à la clarté, au carcan de la phrase canonique</w:t>
      </w:r>
      <w:r w:rsidR="003C4A24">
        <w:rPr>
          <w:rFonts w:ascii="Times New Roman" w:hAnsi="Times New Roman" w:cs="Times New Roman"/>
          <w:sz w:val="24"/>
          <w:szCs w:val="24"/>
        </w:rPr>
        <w:t>,</w:t>
      </w:r>
      <w:r w:rsidRPr="00AF4CEF">
        <w:rPr>
          <w:rFonts w:ascii="Times New Roman" w:hAnsi="Times New Roman" w:cs="Times New Roman"/>
          <w:sz w:val="24"/>
          <w:szCs w:val="24"/>
        </w:rPr>
        <w:t xml:space="preserve"> qui non seulement devient l’espace où se déploie le dire assertif, mais produit un effet de complétude, d’Un, d’Achevé, de Fini</w:t>
      </w:r>
      <w:r w:rsidR="003C4A24">
        <w:rPr>
          <w:rFonts w:ascii="Times New Roman" w:hAnsi="Times New Roman" w:cs="Times New Roman"/>
          <w:sz w:val="24"/>
          <w:szCs w:val="24"/>
        </w:rPr>
        <w:t xml:space="preserve">. En même temps, il est possible d’être </w:t>
      </w:r>
      <w:r>
        <w:rPr>
          <w:rFonts w:ascii="Times New Roman" w:hAnsi="Times New Roman" w:cs="Times New Roman"/>
          <w:sz w:val="24"/>
          <w:szCs w:val="24"/>
        </w:rPr>
        <w:t>du côté</w:t>
      </w:r>
      <w:r w:rsidRPr="00AF4CEF">
        <w:rPr>
          <w:rFonts w:ascii="Times New Roman" w:hAnsi="Times New Roman" w:cs="Times New Roman"/>
          <w:sz w:val="24"/>
          <w:szCs w:val="24"/>
        </w:rPr>
        <w:t xml:space="preserve"> des « litotes, des allusions de tons et d’accents, des courbures et des chuintements de la prononciation » (184)</w:t>
      </w:r>
      <w:r>
        <w:rPr>
          <w:rFonts w:ascii="Times New Roman" w:hAnsi="Times New Roman" w:cs="Times New Roman"/>
          <w:sz w:val="24"/>
          <w:szCs w:val="24"/>
        </w:rPr>
        <w:t xml:space="preserve"> ou </w:t>
      </w:r>
      <w:r w:rsidRPr="00AF4CEF">
        <w:rPr>
          <w:rFonts w:ascii="Times New Roman" w:hAnsi="Times New Roman" w:cs="Times New Roman"/>
          <w:sz w:val="24"/>
          <w:szCs w:val="24"/>
        </w:rPr>
        <w:t>des « lacis murmurants » (156)</w:t>
      </w:r>
      <w:r>
        <w:rPr>
          <w:rFonts w:ascii="Times New Roman" w:hAnsi="Times New Roman" w:cs="Times New Roman"/>
          <w:sz w:val="24"/>
          <w:szCs w:val="24"/>
        </w:rPr>
        <w:t xml:space="preserve">. </w:t>
      </w:r>
    </w:p>
    <w:p w:rsidR="0048035D" w:rsidRPr="00AF4CEF" w:rsidRDefault="0048035D" w:rsidP="0048035D">
      <w:pPr>
        <w:pStyle w:val="Paragraphedeliste"/>
        <w:spacing w:after="0" w:line="360" w:lineRule="auto"/>
        <w:ind w:left="0" w:firstLine="709"/>
        <w:jc w:val="both"/>
        <w:rPr>
          <w:rFonts w:ascii="Times New Roman" w:hAnsi="Times New Roman" w:cs="Times New Roman"/>
          <w:sz w:val="24"/>
          <w:szCs w:val="24"/>
        </w:rPr>
      </w:pPr>
    </w:p>
    <w:p w:rsidR="0048035D" w:rsidRPr="00A26B2F" w:rsidRDefault="0048035D" w:rsidP="0048035D">
      <w:pPr>
        <w:pStyle w:val="Paragraphedeliste"/>
        <w:spacing w:after="0" w:line="360" w:lineRule="auto"/>
        <w:ind w:left="0" w:firstLine="708"/>
        <w:jc w:val="both"/>
        <w:rPr>
          <w:rFonts w:ascii="Times New Roman" w:hAnsi="Times New Roman" w:cs="Times New Roman"/>
          <w:sz w:val="24"/>
          <w:szCs w:val="24"/>
        </w:rPr>
      </w:pPr>
      <w:r w:rsidRPr="00A26B2F">
        <w:rPr>
          <w:rFonts w:ascii="Times New Roman" w:hAnsi="Times New Roman" w:cs="Times New Roman"/>
          <w:sz w:val="24"/>
          <w:szCs w:val="24"/>
        </w:rPr>
        <w:t>Soit l’exemple (</w:t>
      </w:r>
      <w:r w:rsidR="003C4A24">
        <w:rPr>
          <w:rFonts w:ascii="Times New Roman" w:hAnsi="Times New Roman" w:cs="Times New Roman"/>
          <w:sz w:val="24"/>
          <w:szCs w:val="24"/>
        </w:rPr>
        <w:t>5</w:t>
      </w:r>
      <w:r w:rsidRPr="00A26B2F">
        <w:rPr>
          <w:rFonts w:ascii="Times New Roman" w:hAnsi="Times New Roman" w:cs="Times New Roman"/>
          <w:sz w:val="24"/>
          <w:szCs w:val="24"/>
        </w:rPr>
        <w:t xml:space="preserve">) :         </w:t>
      </w:r>
    </w:p>
    <w:p w:rsidR="0048035D" w:rsidRPr="00A26B2F" w:rsidRDefault="0048035D" w:rsidP="0048035D">
      <w:pPr>
        <w:pStyle w:val="Paragraphedeliste"/>
        <w:spacing w:after="0" w:line="360" w:lineRule="auto"/>
        <w:ind w:left="0"/>
        <w:jc w:val="both"/>
        <w:rPr>
          <w:rFonts w:ascii="Times New Roman" w:hAnsi="Times New Roman" w:cs="Times New Roman"/>
          <w:sz w:val="24"/>
          <w:szCs w:val="24"/>
        </w:rPr>
      </w:pPr>
    </w:p>
    <w:p w:rsidR="0048035D" w:rsidRPr="00A26B2F" w:rsidRDefault="0048035D" w:rsidP="0048035D">
      <w:pPr>
        <w:pStyle w:val="Paragraphedeliste"/>
        <w:spacing w:after="0" w:line="360" w:lineRule="auto"/>
        <w:ind w:left="851"/>
        <w:jc w:val="both"/>
        <w:rPr>
          <w:rFonts w:ascii="Times New Roman" w:hAnsi="Times New Roman" w:cs="Times New Roman"/>
        </w:rPr>
      </w:pPr>
      <w:r w:rsidRPr="00A26B2F">
        <w:rPr>
          <w:rFonts w:ascii="Times New Roman" w:hAnsi="Times New Roman" w:cs="Times New Roman"/>
        </w:rPr>
        <w:t>(</w:t>
      </w:r>
      <w:r w:rsidR="003C4A24">
        <w:rPr>
          <w:rFonts w:ascii="Times New Roman" w:hAnsi="Times New Roman" w:cs="Times New Roman"/>
        </w:rPr>
        <w:t>5</w:t>
      </w:r>
      <w:r w:rsidRPr="00A26B2F">
        <w:rPr>
          <w:rFonts w:ascii="Times New Roman" w:hAnsi="Times New Roman" w:cs="Times New Roman"/>
        </w:rPr>
        <w:t xml:space="preserve">) Long silence, nuits chevauchées, spirales dans la gorge. Râles, ruisseaux de sons précipices, sources d’échos entrecroisés, cataractes de murmures, chuchotements en taillis tressés, surgeons susurrant sous la langue, chuintements, et souque la voix courbe qui, dans la soute de sa mémoire, retrouve souffles souillés de soûlerie ancienne. (156)  </w:t>
      </w:r>
    </w:p>
    <w:p w:rsidR="0048035D" w:rsidRDefault="0048035D" w:rsidP="0048035D">
      <w:pPr>
        <w:pStyle w:val="Paragraphedeliste"/>
        <w:spacing w:after="0" w:line="360" w:lineRule="auto"/>
        <w:ind w:left="0"/>
        <w:jc w:val="both"/>
        <w:rPr>
          <w:rFonts w:ascii="Times New Roman" w:hAnsi="Times New Roman" w:cs="Times New Roman"/>
          <w:sz w:val="24"/>
          <w:szCs w:val="24"/>
        </w:rPr>
      </w:pPr>
    </w:p>
    <w:p w:rsidR="0048035D" w:rsidRDefault="0048035D" w:rsidP="0048035D">
      <w:pPr>
        <w:pStyle w:val="Paragraphedeliste"/>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I</w:t>
      </w:r>
      <w:r w:rsidRPr="00AF4CEF">
        <w:rPr>
          <w:rFonts w:ascii="Times New Roman" w:hAnsi="Times New Roman" w:cs="Times New Roman"/>
          <w:sz w:val="24"/>
          <w:szCs w:val="24"/>
        </w:rPr>
        <w:t xml:space="preserve">l ne s’agit plus </w:t>
      </w:r>
      <w:r>
        <w:rPr>
          <w:rFonts w:ascii="Times New Roman" w:hAnsi="Times New Roman" w:cs="Times New Roman"/>
          <w:sz w:val="24"/>
          <w:szCs w:val="24"/>
        </w:rPr>
        <w:t xml:space="preserve">seulement </w:t>
      </w:r>
      <w:r w:rsidRPr="00AF4CEF">
        <w:rPr>
          <w:rFonts w:ascii="Times New Roman" w:hAnsi="Times New Roman" w:cs="Times New Roman"/>
          <w:sz w:val="24"/>
          <w:szCs w:val="24"/>
        </w:rPr>
        <w:t xml:space="preserve">de parler </w:t>
      </w:r>
      <w:r w:rsidRPr="00AF4CEF">
        <w:rPr>
          <w:rFonts w:ascii="Times New Roman" w:hAnsi="Times New Roman" w:cs="Times New Roman"/>
          <w:i/>
          <w:sz w:val="24"/>
          <w:szCs w:val="24"/>
        </w:rPr>
        <w:t xml:space="preserve">du </w:t>
      </w:r>
      <w:r w:rsidRPr="00AF4CEF">
        <w:rPr>
          <w:rFonts w:ascii="Times New Roman" w:hAnsi="Times New Roman" w:cs="Times New Roman"/>
          <w:sz w:val="24"/>
          <w:szCs w:val="24"/>
        </w:rPr>
        <w:t>di</w:t>
      </w:r>
      <w:r w:rsidR="003C4A24">
        <w:rPr>
          <w:rFonts w:ascii="Times New Roman" w:hAnsi="Times New Roman" w:cs="Times New Roman"/>
          <w:sz w:val="24"/>
          <w:szCs w:val="24"/>
        </w:rPr>
        <w:t xml:space="preserve">scours </w:t>
      </w:r>
      <w:r w:rsidRPr="00AF4CEF">
        <w:rPr>
          <w:rFonts w:ascii="Times New Roman" w:hAnsi="Times New Roman" w:cs="Times New Roman"/>
          <w:sz w:val="24"/>
          <w:szCs w:val="24"/>
        </w:rPr>
        <w:t>autre</w:t>
      </w:r>
      <w:r w:rsidR="003C4A24">
        <w:rPr>
          <w:rFonts w:ascii="Times New Roman" w:hAnsi="Times New Roman" w:cs="Times New Roman"/>
          <w:sz w:val="24"/>
          <w:szCs w:val="24"/>
        </w:rPr>
        <w:t xml:space="preserve">, </w:t>
      </w:r>
      <w:r w:rsidRPr="00AF4CEF">
        <w:rPr>
          <w:rFonts w:ascii="Times New Roman" w:hAnsi="Times New Roman" w:cs="Times New Roman"/>
          <w:sz w:val="24"/>
          <w:szCs w:val="24"/>
        </w:rPr>
        <w:t xml:space="preserve">de </w:t>
      </w:r>
      <w:r w:rsidR="003C4A24">
        <w:rPr>
          <w:rFonts w:ascii="Times New Roman" w:hAnsi="Times New Roman" w:cs="Times New Roman"/>
          <w:sz w:val="24"/>
          <w:szCs w:val="24"/>
        </w:rPr>
        <w:t xml:space="preserve">faire une prédication concernant le </w:t>
      </w:r>
      <w:r w:rsidRPr="00AF4CEF">
        <w:rPr>
          <w:rFonts w:ascii="Times New Roman" w:hAnsi="Times New Roman" w:cs="Times New Roman"/>
          <w:sz w:val="24"/>
          <w:szCs w:val="24"/>
        </w:rPr>
        <w:t>di</w:t>
      </w:r>
      <w:r w:rsidR="003C4A24">
        <w:rPr>
          <w:rFonts w:ascii="Times New Roman" w:hAnsi="Times New Roman" w:cs="Times New Roman"/>
          <w:sz w:val="24"/>
          <w:szCs w:val="24"/>
        </w:rPr>
        <w:t xml:space="preserve">scours </w:t>
      </w:r>
      <w:r w:rsidRPr="00AF4CEF">
        <w:rPr>
          <w:rFonts w:ascii="Times New Roman" w:hAnsi="Times New Roman" w:cs="Times New Roman"/>
          <w:sz w:val="24"/>
          <w:szCs w:val="24"/>
        </w:rPr>
        <w:t xml:space="preserve">autre, selon </w:t>
      </w:r>
      <w:r w:rsidR="0032729C">
        <w:rPr>
          <w:rFonts w:ascii="Times New Roman" w:hAnsi="Times New Roman" w:cs="Times New Roman"/>
          <w:sz w:val="24"/>
          <w:szCs w:val="24"/>
        </w:rPr>
        <w:t>A</w:t>
      </w:r>
      <w:r w:rsidRPr="00AF4CEF">
        <w:rPr>
          <w:rFonts w:ascii="Times New Roman" w:hAnsi="Times New Roman" w:cs="Times New Roman"/>
          <w:sz w:val="24"/>
          <w:szCs w:val="24"/>
        </w:rPr>
        <w:t>uthier</w:t>
      </w:r>
      <w:r>
        <w:rPr>
          <w:rFonts w:ascii="Times New Roman" w:hAnsi="Times New Roman" w:cs="Times New Roman"/>
          <w:sz w:val="24"/>
          <w:szCs w:val="24"/>
        </w:rPr>
        <w:t>-</w:t>
      </w:r>
      <w:r w:rsidRPr="00AF4CEF">
        <w:rPr>
          <w:rFonts w:ascii="Times New Roman" w:hAnsi="Times New Roman" w:cs="Times New Roman"/>
          <w:sz w:val="24"/>
          <w:szCs w:val="24"/>
        </w:rPr>
        <w:t xml:space="preserve">Revuz </w:t>
      </w:r>
      <w:r>
        <w:rPr>
          <w:rFonts w:ascii="Times New Roman" w:hAnsi="Times New Roman" w:cs="Times New Roman"/>
          <w:sz w:val="24"/>
          <w:szCs w:val="24"/>
        </w:rPr>
        <w:t>(2004)</w:t>
      </w:r>
      <w:r w:rsidR="003C4A24">
        <w:rPr>
          <w:rFonts w:ascii="Times New Roman" w:hAnsi="Times New Roman" w:cs="Times New Roman"/>
          <w:sz w:val="24"/>
          <w:szCs w:val="24"/>
        </w:rPr>
        <w:t xml:space="preserve">, </w:t>
      </w:r>
      <w:r w:rsidRPr="00AF4CEF">
        <w:rPr>
          <w:rFonts w:ascii="Times New Roman" w:hAnsi="Times New Roman" w:cs="Times New Roman"/>
          <w:sz w:val="24"/>
          <w:szCs w:val="24"/>
        </w:rPr>
        <w:t xml:space="preserve">en le </w:t>
      </w:r>
      <w:r w:rsidRPr="003C4A24">
        <w:rPr>
          <w:rFonts w:ascii="Times New Roman" w:hAnsi="Times New Roman" w:cs="Times New Roman"/>
          <w:i/>
          <w:sz w:val="24"/>
          <w:szCs w:val="24"/>
        </w:rPr>
        <w:t>montrant</w:t>
      </w:r>
      <w:r w:rsidRPr="00AF4CEF">
        <w:rPr>
          <w:rFonts w:ascii="Times New Roman" w:hAnsi="Times New Roman" w:cs="Times New Roman"/>
          <w:sz w:val="24"/>
          <w:szCs w:val="24"/>
        </w:rPr>
        <w:t xml:space="preserve"> sous forme de DD et de D</w:t>
      </w:r>
      <w:r>
        <w:rPr>
          <w:rFonts w:ascii="Times New Roman" w:hAnsi="Times New Roman" w:cs="Times New Roman"/>
          <w:sz w:val="24"/>
          <w:szCs w:val="24"/>
        </w:rPr>
        <w:t xml:space="preserve">DL ou en </w:t>
      </w:r>
      <w:r w:rsidRPr="00AF4CEF">
        <w:rPr>
          <w:rFonts w:ascii="Times New Roman" w:hAnsi="Times New Roman" w:cs="Times New Roman"/>
          <w:sz w:val="24"/>
          <w:szCs w:val="24"/>
        </w:rPr>
        <w:t>le désignant</w:t>
      </w:r>
      <w:r>
        <w:rPr>
          <w:rFonts w:ascii="Times New Roman" w:hAnsi="Times New Roman" w:cs="Times New Roman"/>
          <w:sz w:val="24"/>
          <w:szCs w:val="24"/>
        </w:rPr>
        <w:t xml:space="preserve"> et </w:t>
      </w:r>
      <w:r w:rsidRPr="00AF4CEF">
        <w:rPr>
          <w:rFonts w:ascii="Times New Roman" w:hAnsi="Times New Roman" w:cs="Times New Roman"/>
          <w:sz w:val="24"/>
          <w:szCs w:val="24"/>
        </w:rPr>
        <w:t>en le décrivant</w:t>
      </w:r>
      <w:r>
        <w:rPr>
          <w:rFonts w:ascii="Times New Roman" w:hAnsi="Times New Roman" w:cs="Times New Roman"/>
          <w:sz w:val="24"/>
          <w:szCs w:val="24"/>
        </w:rPr>
        <w:t xml:space="preserve">. </w:t>
      </w:r>
      <w:r w:rsidRPr="00AF4CEF">
        <w:rPr>
          <w:rFonts w:ascii="Times New Roman" w:hAnsi="Times New Roman" w:cs="Times New Roman"/>
          <w:sz w:val="24"/>
          <w:szCs w:val="24"/>
        </w:rPr>
        <w:t xml:space="preserve">Il s’agit de parler </w:t>
      </w:r>
      <w:r w:rsidRPr="00AF4CEF">
        <w:rPr>
          <w:rFonts w:ascii="Times New Roman" w:hAnsi="Times New Roman" w:cs="Times New Roman"/>
          <w:i/>
          <w:sz w:val="24"/>
          <w:szCs w:val="24"/>
        </w:rPr>
        <w:t xml:space="preserve">le </w:t>
      </w:r>
      <w:r w:rsidRPr="00AF4CEF">
        <w:rPr>
          <w:rFonts w:ascii="Times New Roman" w:hAnsi="Times New Roman" w:cs="Times New Roman"/>
          <w:sz w:val="24"/>
          <w:szCs w:val="24"/>
        </w:rPr>
        <w:t>di</w:t>
      </w:r>
      <w:r w:rsidR="003C4A24">
        <w:rPr>
          <w:rFonts w:ascii="Times New Roman" w:hAnsi="Times New Roman" w:cs="Times New Roman"/>
          <w:sz w:val="24"/>
          <w:szCs w:val="24"/>
        </w:rPr>
        <w:t xml:space="preserve">scours </w:t>
      </w:r>
      <w:r w:rsidRPr="00AF4CEF">
        <w:rPr>
          <w:rFonts w:ascii="Times New Roman" w:hAnsi="Times New Roman" w:cs="Times New Roman"/>
          <w:sz w:val="24"/>
          <w:szCs w:val="24"/>
        </w:rPr>
        <w:t>autre</w:t>
      </w:r>
      <w:r>
        <w:rPr>
          <w:rStyle w:val="Marquedenotedefin"/>
          <w:rFonts w:ascii="Times New Roman" w:hAnsi="Times New Roman" w:cs="Times New Roman"/>
          <w:sz w:val="24"/>
          <w:szCs w:val="24"/>
        </w:rPr>
        <w:endnoteReference w:id="18"/>
      </w:r>
      <w:r w:rsidRPr="00AF4CEF">
        <w:rPr>
          <w:rFonts w:ascii="Times New Roman" w:hAnsi="Times New Roman" w:cs="Times New Roman"/>
          <w:sz w:val="24"/>
          <w:szCs w:val="24"/>
        </w:rPr>
        <w:t xml:space="preserve">, en s’en imprégnant, pour le reproduire pour ainsi dire mimétiquement, à travers une coalescence des voix qui conduit l’énonciatrice rapportante à abdiquer sa fonction de contrôle. </w:t>
      </w:r>
      <w:r>
        <w:rPr>
          <w:rFonts w:ascii="Times New Roman" w:hAnsi="Times New Roman" w:cs="Times New Roman"/>
          <w:sz w:val="24"/>
          <w:szCs w:val="24"/>
        </w:rPr>
        <w:t xml:space="preserve">La féminisation du </w:t>
      </w:r>
      <w:r w:rsidR="0091286B">
        <w:rPr>
          <w:rFonts w:ascii="Times New Roman" w:hAnsi="Times New Roman" w:cs="Times New Roman"/>
          <w:sz w:val="24"/>
          <w:szCs w:val="24"/>
        </w:rPr>
        <w:t>« </w:t>
      </w:r>
      <w:r>
        <w:rPr>
          <w:rFonts w:ascii="Times New Roman" w:hAnsi="Times New Roman" w:cs="Times New Roman"/>
          <w:sz w:val="24"/>
          <w:szCs w:val="24"/>
        </w:rPr>
        <w:t>discours empathique</w:t>
      </w:r>
      <w:r w:rsidR="0091286B">
        <w:rPr>
          <w:rFonts w:ascii="Times New Roman" w:hAnsi="Times New Roman" w:cs="Times New Roman"/>
          <w:sz w:val="24"/>
          <w:szCs w:val="24"/>
        </w:rPr>
        <w:t> »</w:t>
      </w:r>
      <w:r>
        <w:rPr>
          <w:rFonts w:ascii="Times New Roman" w:hAnsi="Times New Roman" w:cs="Times New Roman"/>
          <w:sz w:val="24"/>
          <w:szCs w:val="24"/>
        </w:rPr>
        <w:t xml:space="preserve"> est tributaire de c</w:t>
      </w:r>
      <w:r w:rsidRPr="00AF4CEF">
        <w:rPr>
          <w:rFonts w:ascii="Times New Roman" w:hAnsi="Times New Roman" w:cs="Times New Roman"/>
          <w:sz w:val="24"/>
          <w:szCs w:val="24"/>
        </w:rPr>
        <w:t xml:space="preserve">ette incorporation </w:t>
      </w:r>
      <w:r>
        <w:rPr>
          <w:rFonts w:ascii="Times New Roman" w:hAnsi="Times New Roman" w:cs="Times New Roman"/>
          <w:sz w:val="24"/>
          <w:szCs w:val="24"/>
        </w:rPr>
        <w:t xml:space="preserve">ou </w:t>
      </w:r>
      <w:r w:rsidRPr="00AF4CEF">
        <w:rPr>
          <w:rFonts w:ascii="Times New Roman" w:hAnsi="Times New Roman" w:cs="Times New Roman"/>
          <w:sz w:val="24"/>
          <w:szCs w:val="24"/>
        </w:rPr>
        <w:t xml:space="preserve">intégration au corps de la </w:t>
      </w:r>
      <w:r w:rsidRPr="00AF4CEF">
        <w:rPr>
          <w:rFonts w:ascii="Times New Roman" w:hAnsi="Times New Roman" w:cs="Times New Roman"/>
          <w:sz w:val="24"/>
          <w:szCs w:val="24"/>
        </w:rPr>
        <w:lastRenderedPageBreak/>
        <w:t>langue</w:t>
      </w:r>
      <w:r>
        <w:rPr>
          <w:rFonts w:ascii="Times New Roman" w:hAnsi="Times New Roman" w:cs="Times New Roman"/>
          <w:sz w:val="24"/>
          <w:szCs w:val="24"/>
        </w:rPr>
        <w:t xml:space="preserve"> : contestant la domination « masculine », elle </w:t>
      </w:r>
      <w:r w:rsidRPr="00AF4CEF">
        <w:rPr>
          <w:rFonts w:ascii="Times New Roman" w:hAnsi="Times New Roman" w:cs="Times New Roman"/>
          <w:sz w:val="24"/>
          <w:szCs w:val="24"/>
        </w:rPr>
        <w:t>vise à supprimer la distance au di</w:t>
      </w:r>
      <w:r w:rsidR="00EB0E38">
        <w:rPr>
          <w:rFonts w:ascii="Times New Roman" w:hAnsi="Times New Roman" w:cs="Times New Roman"/>
          <w:sz w:val="24"/>
          <w:szCs w:val="24"/>
        </w:rPr>
        <w:t xml:space="preserve">scours </w:t>
      </w:r>
      <w:r w:rsidRPr="00AF4CEF">
        <w:rPr>
          <w:rFonts w:ascii="Times New Roman" w:hAnsi="Times New Roman" w:cs="Times New Roman"/>
          <w:sz w:val="24"/>
          <w:szCs w:val="24"/>
        </w:rPr>
        <w:t xml:space="preserve"> </w:t>
      </w:r>
      <w:r w:rsidR="00EB0E38">
        <w:rPr>
          <w:rFonts w:ascii="Times New Roman" w:hAnsi="Times New Roman" w:cs="Times New Roman"/>
          <w:sz w:val="24"/>
          <w:szCs w:val="24"/>
        </w:rPr>
        <w:t>de l’</w:t>
      </w:r>
      <w:r w:rsidRPr="00AF4CEF">
        <w:rPr>
          <w:rFonts w:ascii="Times New Roman" w:hAnsi="Times New Roman" w:cs="Times New Roman"/>
          <w:sz w:val="24"/>
          <w:szCs w:val="24"/>
        </w:rPr>
        <w:t xml:space="preserve">autre, </w:t>
      </w:r>
      <w:r>
        <w:rPr>
          <w:rFonts w:ascii="Times New Roman" w:hAnsi="Times New Roman" w:cs="Times New Roman"/>
          <w:sz w:val="24"/>
          <w:szCs w:val="24"/>
        </w:rPr>
        <w:t xml:space="preserve">à ouvrir sur l’immédiateté de l’éprouver investissant une « pré-parole », encore enfouie – parole de femmes confinées dans le gynécée – et déjà naissante, en quête d’une voix. </w:t>
      </w:r>
    </w:p>
    <w:p w:rsidR="00F85162" w:rsidRDefault="0048035D" w:rsidP="0048035D">
      <w:pPr>
        <w:pStyle w:val="Paragraphedeliste"/>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On mettra au compte de la prose poétique l</w:t>
      </w:r>
      <w:r w:rsidRPr="00AF4CEF">
        <w:rPr>
          <w:rFonts w:ascii="Times New Roman" w:hAnsi="Times New Roman" w:cs="Times New Roman"/>
          <w:sz w:val="24"/>
          <w:szCs w:val="24"/>
        </w:rPr>
        <w:t>es litotes</w:t>
      </w:r>
      <w:r>
        <w:rPr>
          <w:rFonts w:ascii="Times New Roman" w:hAnsi="Times New Roman" w:cs="Times New Roman"/>
          <w:sz w:val="24"/>
          <w:szCs w:val="24"/>
        </w:rPr>
        <w:t>,</w:t>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les </w:t>
      </w:r>
      <w:r w:rsidRPr="00AF4CEF">
        <w:rPr>
          <w:rFonts w:ascii="Times New Roman" w:hAnsi="Times New Roman" w:cs="Times New Roman"/>
          <w:sz w:val="24"/>
          <w:szCs w:val="24"/>
        </w:rPr>
        <w:t>métaphores et périphrases</w:t>
      </w:r>
      <w:r>
        <w:rPr>
          <w:rFonts w:ascii="Times New Roman" w:hAnsi="Times New Roman" w:cs="Times New Roman"/>
          <w:sz w:val="24"/>
          <w:szCs w:val="24"/>
        </w:rPr>
        <w:t xml:space="preserve">, </w:t>
      </w:r>
      <w:r w:rsidRPr="00AF4CEF">
        <w:rPr>
          <w:rFonts w:ascii="Times New Roman" w:hAnsi="Times New Roman" w:cs="Times New Roman"/>
          <w:sz w:val="24"/>
          <w:szCs w:val="24"/>
        </w:rPr>
        <w:t>les points de suspension</w:t>
      </w:r>
      <w:r>
        <w:rPr>
          <w:rFonts w:ascii="Times New Roman" w:hAnsi="Times New Roman" w:cs="Times New Roman"/>
          <w:sz w:val="24"/>
          <w:szCs w:val="24"/>
        </w:rPr>
        <w:t>,</w:t>
      </w:r>
      <w:r w:rsidRPr="00AF4CEF">
        <w:rPr>
          <w:rFonts w:ascii="Times New Roman" w:hAnsi="Times New Roman" w:cs="Times New Roman"/>
          <w:sz w:val="24"/>
          <w:szCs w:val="24"/>
        </w:rPr>
        <w:t xml:space="preserve"> </w:t>
      </w:r>
      <w:r>
        <w:rPr>
          <w:rFonts w:ascii="Times New Roman" w:hAnsi="Times New Roman" w:cs="Times New Roman"/>
          <w:sz w:val="24"/>
          <w:szCs w:val="24"/>
        </w:rPr>
        <w:t>l</w:t>
      </w:r>
      <w:r w:rsidRPr="00AF4CEF">
        <w:rPr>
          <w:rFonts w:ascii="Times New Roman" w:hAnsi="Times New Roman" w:cs="Times New Roman"/>
          <w:sz w:val="24"/>
          <w:szCs w:val="24"/>
        </w:rPr>
        <w:t>es groupes nominaux privés d’un prédéterminant, les infinitifs d’auto-injonction</w:t>
      </w:r>
      <w:r>
        <w:rPr>
          <w:rFonts w:ascii="Times New Roman" w:hAnsi="Times New Roman" w:cs="Times New Roman"/>
          <w:sz w:val="24"/>
          <w:szCs w:val="24"/>
        </w:rPr>
        <w:t xml:space="preserve"> ou </w:t>
      </w:r>
      <w:r w:rsidRPr="00AF4CEF">
        <w:rPr>
          <w:rFonts w:ascii="Times New Roman" w:hAnsi="Times New Roman" w:cs="Times New Roman"/>
          <w:sz w:val="24"/>
          <w:szCs w:val="24"/>
        </w:rPr>
        <w:t>la cascade des constructions asyndétiques</w:t>
      </w:r>
      <w:r>
        <w:rPr>
          <w:rFonts w:ascii="Times New Roman" w:hAnsi="Times New Roman" w:cs="Times New Roman"/>
          <w:sz w:val="24"/>
          <w:szCs w:val="24"/>
        </w:rPr>
        <w:t xml:space="preserve"> qui d</w:t>
      </w:r>
      <w:r w:rsidRPr="00AF4CEF">
        <w:rPr>
          <w:rFonts w:ascii="Times New Roman" w:hAnsi="Times New Roman" w:cs="Times New Roman"/>
          <w:sz w:val="24"/>
          <w:szCs w:val="24"/>
        </w:rPr>
        <w:t>onnent accès aux formes de l’expérience cognitive, mais aussi perceptivo-sensorielle, sensible et affective</w:t>
      </w:r>
      <w:r>
        <w:rPr>
          <w:rFonts w:ascii="Times New Roman" w:hAnsi="Times New Roman" w:cs="Times New Roman"/>
          <w:sz w:val="24"/>
          <w:szCs w:val="24"/>
        </w:rPr>
        <w:t>. L</w:t>
      </w:r>
      <w:r w:rsidRPr="00AF4CEF">
        <w:rPr>
          <w:rFonts w:ascii="Times New Roman" w:hAnsi="Times New Roman" w:cs="Times New Roman"/>
          <w:sz w:val="24"/>
          <w:szCs w:val="24"/>
        </w:rPr>
        <w:t>es phrases averbales existentielles sont act</w:t>
      </w:r>
      <w:r>
        <w:rPr>
          <w:rFonts w:ascii="Times New Roman" w:hAnsi="Times New Roman" w:cs="Times New Roman"/>
          <w:sz w:val="24"/>
          <w:szCs w:val="24"/>
        </w:rPr>
        <w:t>ualisantes</w:t>
      </w:r>
      <w:r w:rsidRPr="00AF4CEF">
        <w:rPr>
          <w:rFonts w:ascii="Times New Roman" w:hAnsi="Times New Roman" w:cs="Times New Roman"/>
          <w:sz w:val="24"/>
          <w:szCs w:val="24"/>
        </w:rPr>
        <w:t xml:space="preserve"> : ne présupposant pas un sujet avec lequel elles entretiendraient une relation prédicative, n</w:t>
      </w:r>
      <w:r>
        <w:rPr>
          <w:rFonts w:ascii="Times New Roman" w:hAnsi="Times New Roman" w:cs="Times New Roman"/>
          <w:sz w:val="24"/>
          <w:szCs w:val="24"/>
        </w:rPr>
        <w:t>’</w:t>
      </w:r>
      <w:r w:rsidRPr="00AF4CEF">
        <w:rPr>
          <w:rFonts w:ascii="Times New Roman" w:hAnsi="Times New Roman" w:cs="Times New Roman"/>
          <w:sz w:val="24"/>
          <w:szCs w:val="24"/>
        </w:rPr>
        <w:t xml:space="preserve">affirmant pas, elles se contentent de </w:t>
      </w:r>
      <w:r>
        <w:rPr>
          <w:rFonts w:ascii="Times New Roman" w:hAnsi="Times New Roman" w:cs="Times New Roman"/>
          <w:sz w:val="24"/>
          <w:szCs w:val="24"/>
        </w:rPr>
        <w:t>(pro)</w:t>
      </w:r>
      <w:r w:rsidRPr="00AF4CEF">
        <w:rPr>
          <w:rFonts w:ascii="Times New Roman" w:hAnsi="Times New Roman" w:cs="Times New Roman"/>
          <w:sz w:val="24"/>
          <w:szCs w:val="24"/>
        </w:rPr>
        <w:t xml:space="preserve">poser </w:t>
      </w:r>
      <w:r w:rsidR="0091286B">
        <w:rPr>
          <w:rFonts w:ascii="Times New Roman" w:hAnsi="Times New Roman" w:cs="Times New Roman"/>
          <w:sz w:val="24"/>
          <w:szCs w:val="24"/>
        </w:rPr>
        <w:t xml:space="preserve">–   de </w:t>
      </w:r>
      <w:r w:rsidR="0091286B" w:rsidRPr="0091286B">
        <w:rPr>
          <w:rFonts w:ascii="Times New Roman" w:hAnsi="Times New Roman" w:cs="Times New Roman"/>
          <w:i/>
          <w:sz w:val="24"/>
          <w:szCs w:val="24"/>
        </w:rPr>
        <w:t>montrer</w:t>
      </w:r>
      <w:r w:rsidR="0091286B">
        <w:rPr>
          <w:rFonts w:ascii="Times New Roman" w:hAnsi="Times New Roman" w:cs="Times New Roman"/>
          <w:sz w:val="24"/>
          <w:szCs w:val="24"/>
        </w:rPr>
        <w:t xml:space="preserve"> – </w:t>
      </w:r>
      <w:r w:rsidRPr="00AF4CEF">
        <w:rPr>
          <w:rFonts w:ascii="Times New Roman" w:hAnsi="Times New Roman" w:cs="Times New Roman"/>
          <w:sz w:val="24"/>
          <w:szCs w:val="24"/>
        </w:rPr>
        <w:t>des bribes qui se pressent à la conscience</w:t>
      </w:r>
      <w:r>
        <w:rPr>
          <w:rStyle w:val="Marquedenotedefin"/>
          <w:rFonts w:ascii="Times New Roman" w:hAnsi="Times New Roman" w:cs="Times New Roman"/>
          <w:sz w:val="24"/>
          <w:szCs w:val="24"/>
        </w:rPr>
        <w:endnoteReference w:id="19"/>
      </w:r>
      <w:r>
        <w:rPr>
          <w:rFonts w:ascii="Times New Roman" w:hAnsi="Times New Roman" w:cs="Times New Roman"/>
          <w:sz w:val="24"/>
          <w:szCs w:val="24"/>
        </w:rPr>
        <w:t>.</w:t>
      </w:r>
      <w:r w:rsidR="00F85162">
        <w:rPr>
          <w:rFonts w:ascii="Times New Roman" w:hAnsi="Times New Roman" w:cs="Times New Roman"/>
          <w:sz w:val="24"/>
          <w:szCs w:val="24"/>
        </w:rPr>
        <w:t xml:space="preserve"> Une parole </w:t>
      </w:r>
      <w:r w:rsidR="00F85162" w:rsidRPr="00AF4CEF">
        <w:rPr>
          <w:rFonts w:ascii="Times New Roman" w:hAnsi="Times New Roman" w:cs="Times New Roman"/>
          <w:sz w:val="24"/>
          <w:szCs w:val="24"/>
        </w:rPr>
        <w:t>incarnée, comme en témoignent les schémas rythmiques qui traduisent une participation pour ainsi dire proprioceptive</w:t>
      </w:r>
      <w:r w:rsidR="00F85162" w:rsidRPr="00AF4CEF">
        <w:rPr>
          <w:rFonts w:ascii="Times New Roman" w:hAnsi="Times New Roman" w:cs="Times New Roman"/>
          <w:i/>
          <w:sz w:val="24"/>
          <w:szCs w:val="24"/>
        </w:rPr>
        <w:t>.</w:t>
      </w:r>
      <w:r w:rsidR="00F85162">
        <w:rPr>
          <w:rFonts w:ascii="Times New Roman" w:hAnsi="Times New Roman" w:cs="Times New Roman"/>
          <w:i/>
          <w:sz w:val="24"/>
          <w:szCs w:val="24"/>
        </w:rPr>
        <w:t xml:space="preserve"> </w:t>
      </w:r>
      <w:r w:rsidR="00F85162">
        <w:rPr>
          <w:rFonts w:ascii="Times New Roman" w:hAnsi="Times New Roman" w:cs="Times New Roman"/>
          <w:sz w:val="24"/>
          <w:szCs w:val="24"/>
        </w:rPr>
        <w:t>En même temps, l’</w:t>
      </w:r>
      <w:r w:rsidR="00F85162" w:rsidRPr="00AF4CEF">
        <w:rPr>
          <w:rFonts w:ascii="Times New Roman" w:hAnsi="Times New Roman" w:cs="Times New Roman"/>
          <w:sz w:val="24"/>
          <w:szCs w:val="24"/>
        </w:rPr>
        <w:t>indétermination frappant la personne, le temps et l’espace</w:t>
      </w:r>
      <w:r w:rsidR="00F85162">
        <w:rPr>
          <w:rFonts w:ascii="Times New Roman" w:hAnsi="Times New Roman" w:cs="Times New Roman"/>
          <w:sz w:val="24"/>
          <w:szCs w:val="24"/>
        </w:rPr>
        <w:t xml:space="preserve"> reproduit c</w:t>
      </w:r>
      <w:r w:rsidR="00F85162" w:rsidRPr="00AF4CEF">
        <w:rPr>
          <w:rFonts w:ascii="Times New Roman" w:hAnsi="Times New Roman" w:cs="Times New Roman"/>
          <w:sz w:val="24"/>
          <w:szCs w:val="24"/>
        </w:rPr>
        <w:t>es di</w:t>
      </w:r>
      <w:r w:rsidR="00EB0E38">
        <w:rPr>
          <w:rFonts w:ascii="Times New Roman" w:hAnsi="Times New Roman" w:cs="Times New Roman"/>
          <w:sz w:val="24"/>
          <w:szCs w:val="24"/>
        </w:rPr>
        <w:t xml:space="preserve">scours </w:t>
      </w:r>
      <w:r w:rsidR="00F85162" w:rsidRPr="00AF4CEF">
        <w:rPr>
          <w:rFonts w:ascii="Times New Roman" w:hAnsi="Times New Roman" w:cs="Times New Roman"/>
          <w:sz w:val="24"/>
          <w:szCs w:val="24"/>
        </w:rPr>
        <w:t xml:space="preserve">emmêlés, déliés de toute énonciation assignable. La parole se déploie telle une force plus ou moins anonyme, encore largement en amont de la constitution d’un </w:t>
      </w:r>
      <w:r w:rsidR="00F85162" w:rsidRPr="00AF4CEF">
        <w:rPr>
          <w:rFonts w:ascii="Times New Roman" w:hAnsi="Times New Roman" w:cs="Times New Roman"/>
          <w:i/>
          <w:sz w:val="24"/>
          <w:szCs w:val="24"/>
        </w:rPr>
        <w:t>sujet</w:t>
      </w:r>
      <w:r w:rsidR="00F85162" w:rsidRPr="00AF4CEF">
        <w:rPr>
          <w:rFonts w:ascii="Times New Roman" w:hAnsi="Times New Roman" w:cs="Times New Roman"/>
          <w:sz w:val="24"/>
          <w:szCs w:val="24"/>
        </w:rPr>
        <w:t xml:space="preserve"> maîtrisant son </w:t>
      </w:r>
      <w:r w:rsidR="00EB0E38">
        <w:rPr>
          <w:rFonts w:ascii="Times New Roman" w:hAnsi="Times New Roman" w:cs="Times New Roman"/>
          <w:sz w:val="24"/>
          <w:szCs w:val="24"/>
        </w:rPr>
        <w:t>discours</w:t>
      </w:r>
      <w:r w:rsidR="00F85162" w:rsidRPr="00AF4CEF">
        <w:rPr>
          <w:rFonts w:ascii="Times New Roman" w:hAnsi="Times New Roman" w:cs="Times New Roman"/>
          <w:sz w:val="24"/>
          <w:szCs w:val="24"/>
        </w:rPr>
        <w:t xml:space="preserve">. </w:t>
      </w:r>
    </w:p>
    <w:p w:rsidR="0045640B" w:rsidRDefault="0045640B" w:rsidP="0048035D">
      <w:pPr>
        <w:pStyle w:val="Paragraphedeliste"/>
        <w:spacing w:after="0" w:line="360" w:lineRule="auto"/>
        <w:ind w:left="0"/>
        <w:jc w:val="both"/>
        <w:rPr>
          <w:rFonts w:ascii="Times New Roman" w:hAnsi="Times New Roman" w:cs="Times New Roman"/>
          <w:sz w:val="24"/>
          <w:szCs w:val="24"/>
        </w:rPr>
      </w:pPr>
    </w:p>
    <w:p w:rsidR="00F85162" w:rsidRDefault="00F85162" w:rsidP="0048035D">
      <w:pPr>
        <w:pStyle w:val="Paragraphedeliste"/>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On a scruté, au cours de cette étude, les conditions d’une féminisation du DD, du DDL et du « discours empathique ». Il ne suffisait pas d</w:t>
      </w:r>
      <w:r w:rsidR="00EB0E38">
        <w:rPr>
          <w:rFonts w:ascii="Times New Roman" w:hAnsi="Times New Roman" w:cs="Times New Roman"/>
          <w:sz w:val="24"/>
          <w:szCs w:val="24"/>
        </w:rPr>
        <w:t>’avancer</w:t>
      </w:r>
      <w:r>
        <w:rPr>
          <w:rFonts w:ascii="Times New Roman" w:hAnsi="Times New Roman" w:cs="Times New Roman"/>
          <w:sz w:val="24"/>
          <w:szCs w:val="24"/>
        </w:rPr>
        <w:t xml:space="preserve"> que l’énonciatrice offre son dire aux dires plus ou moins distincts de celles qu’elle a côtoyées ou qu’elle a cherché à ressusciter, mais d’en étudier précisément les modalités. On a pu constater ainsi que, grâce au DD, au DDL et au « discours empathique », l’énonciatrice vise </w:t>
      </w:r>
      <w:r w:rsidRPr="00AF4CEF">
        <w:rPr>
          <w:rFonts w:ascii="Times New Roman" w:hAnsi="Times New Roman" w:cs="Times New Roman"/>
          <w:sz w:val="24"/>
          <w:szCs w:val="24"/>
        </w:rPr>
        <w:t xml:space="preserve">continûment à </w:t>
      </w:r>
      <w:r w:rsidRPr="00AF4CEF">
        <w:rPr>
          <w:rFonts w:ascii="Times New Roman" w:hAnsi="Times New Roman" w:cs="Times New Roman"/>
          <w:i/>
          <w:sz w:val="24"/>
          <w:szCs w:val="24"/>
        </w:rPr>
        <w:t xml:space="preserve">montrer </w:t>
      </w:r>
      <w:r w:rsidRPr="00AF4CEF">
        <w:rPr>
          <w:rFonts w:ascii="Times New Roman" w:hAnsi="Times New Roman" w:cs="Times New Roman"/>
          <w:sz w:val="24"/>
          <w:szCs w:val="24"/>
        </w:rPr>
        <w:t>des di</w:t>
      </w:r>
      <w:r w:rsidR="008F20D5">
        <w:rPr>
          <w:rFonts w:ascii="Times New Roman" w:hAnsi="Times New Roman" w:cs="Times New Roman"/>
          <w:sz w:val="24"/>
          <w:szCs w:val="24"/>
        </w:rPr>
        <w:t xml:space="preserve">scours, </w:t>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c’est-à-dire à les révéler et à les </w:t>
      </w:r>
      <w:r w:rsidR="0045640B">
        <w:rPr>
          <w:rFonts w:ascii="Times New Roman" w:hAnsi="Times New Roman" w:cs="Times New Roman"/>
          <w:sz w:val="24"/>
          <w:szCs w:val="24"/>
        </w:rPr>
        <w:t>(</w:t>
      </w:r>
      <w:r>
        <w:rPr>
          <w:rFonts w:ascii="Times New Roman" w:hAnsi="Times New Roman" w:cs="Times New Roman"/>
          <w:sz w:val="24"/>
          <w:szCs w:val="24"/>
        </w:rPr>
        <w:t>pro</w:t>
      </w:r>
      <w:r w:rsidR="0045640B">
        <w:rPr>
          <w:rFonts w:ascii="Times New Roman" w:hAnsi="Times New Roman" w:cs="Times New Roman"/>
          <w:sz w:val="24"/>
          <w:szCs w:val="24"/>
        </w:rPr>
        <w:t>)</w:t>
      </w:r>
      <w:r>
        <w:rPr>
          <w:rFonts w:ascii="Times New Roman" w:hAnsi="Times New Roman" w:cs="Times New Roman"/>
          <w:sz w:val="24"/>
          <w:szCs w:val="24"/>
        </w:rPr>
        <w:t>poser, p</w:t>
      </w:r>
      <w:r w:rsidRPr="00AF4CEF">
        <w:rPr>
          <w:rFonts w:ascii="Times New Roman" w:hAnsi="Times New Roman" w:cs="Times New Roman"/>
          <w:sz w:val="24"/>
          <w:szCs w:val="24"/>
        </w:rPr>
        <w:t>lutôt qu</w:t>
      </w:r>
      <w:r>
        <w:rPr>
          <w:rFonts w:ascii="Times New Roman" w:hAnsi="Times New Roman" w:cs="Times New Roman"/>
          <w:sz w:val="24"/>
          <w:szCs w:val="24"/>
        </w:rPr>
        <w:t xml:space="preserve">e de </w:t>
      </w:r>
      <w:r w:rsidRPr="00AF4CEF">
        <w:rPr>
          <w:rFonts w:ascii="Times New Roman" w:hAnsi="Times New Roman" w:cs="Times New Roman"/>
          <w:sz w:val="24"/>
          <w:szCs w:val="24"/>
        </w:rPr>
        <w:t>prendre position et</w:t>
      </w:r>
      <w:r w:rsidR="00A94C2C">
        <w:rPr>
          <w:rFonts w:ascii="Times New Roman" w:hAnsi="Times New Roman" w:cs="Times New Roman"/>
          <w:sz w:val="24"/>
          <w:szCs w:val="24"/>
        </w:rPr>
        <w:t>,</w:t>
      </w:r>
      <w:r w:rsidRPr="00AF4CEF">
        <w:rPr>
          <w:rFonts w:ascii="Times New Roman" w:hAnsi="Times New Roman" w:cs="Times New Roman"/>
          <w:sz w:val="24"/>
          <w:szCs w:val="24"/>
        </w:rPr>
        <w:t xml:space="preserve"> </w:t>
      </w:r>
      <w:r w:rsidRPr="00AF4CEF">
        <w:rPr>
          <w:rFonts w:ascii="Times New Roman" w:hAnsi="Times New Roman" w:cs="Times New Roman"/>
          <w:i/>
          <w:sz w:val="24"/>
          <w:szCs w:val="24"/>
        </w:rPr>
        <w:t>a fortiori</w:t>
      </w:r>
      <w:r w:rsidR="00A94C2C">
        <w:rPr>
          <w:rFonts w:ascii="Times New Roman" w:hAnsi="Times New Roman" w:cs="Times New Roman"/>
          <w:sz w:val="24"/>
          <w:szCs w:val="24"/>
        </w:rPr>
        <w:t>,</w:t>
      </w:r>
      <w:r w:rsidRPr="00AF4CEF">
        <w:rPr>
          <w:rFonts w:ascii="Times New Roman" w:hAnsi="Times New Roman" w:cs="Times New Roman"/>
          <w:sz w:val="24"/>
          <w:szCs w:val="24"/>
        </w:rPr>
        <w:t xml:space="preserve"> </w:t>
      </w:r>
      <w:r>
        <w:rPr>
          <w:rFonts w:ascii="Times New Roman" w:hAnsi="Times New Roman" w:cs="Times New Roman"/>
          <w:sz w:val="24"/>
          <w:szCs w:val="24"/>
        </w:rPr>
        <w:t>de</w:t>
      </w:r>
      <w:r w:rsidRPr="00AF4CEF">
        <w:rPr>
          <w:rFonts w:ascii="Times New Roman" w:hAnsi="Times New Roman" w:cs="Times New Roman"/>
          <w:sz w:val="24"/>
          <w:szCs w:val="24"/>
        </w:rPr>
        <w:t xml:space="preserve"> les prendre en charge pour les enfermer </w:t>
      </w:r>
      <w:r>
        <w:rPr>
          <w:rFonts w:ascii="Times New Roman" w:hAnsi="Times New Roman" w:cs="Times New Roman"/>
          <w:sz w:val="24"/>
          <w:szCs w:val="24"/>
        </w:rPr>
        <w:t xml:space="preserve">d’emblée </w:t>
      </w:r>
      <w:r w:rsidRPr="00AF4CEF">
        <w:rPr>
          <w:rFonts w:ascii="Times New Roman" w:hAnsi="Times New Roman" w:cs="Times New Roman"/>
          <w:sz w:val="24"/>
          <w:szCs w:val="24"/>
        </w:rPr>
        <w:t>dans un di</w:t>
      </w:r>
      <w:r w:rsidR="008F20D5">
        <w:rPr>
          <w:rFonts w:ascii="Times New Roman" w:hAnsi="Times New Roman" w:cs="Times New Roman"/>
          <w:sz w:val="24"/>
          <w:szCs w:val="24"/>
        </w:rPr>
        <w:t xml:space="preserve">scours </w:t>
      </w:r>
      <w:r w:rsidRPr="00AF4CEF">
        <w:rPr>
          <w:rFonts w:ascii="Times New Roman" w:hAnsi="Times New Roman" w:cs="Times New Roman"/>
          <w:sz w:val="24"/>
          <w:szCs w:val="24"/>
        </w:rPr>
        <w:t>dominant</w:t>
      </w:r>
      <w:r w:rsidR="00B43F03">
        <w:rPr>
          <w:rFonts w:ascii="Times New Roman" w:hAnsi="Times New Roman" w:cs="Times New Roman"/>
          <w:sz w:val="24"/>
          <w:szCs w:val="24"/>
        </w:rPr>
        <w:t xml:space="preserve"> (masculin)</w:t>
      </w:r>
      <w:r w:rsidRPr="00AF4CEF">
        <w:rPr>
          <w:rFonts w:ascii="Times New Roman" w:hAnsi="Times New Roman" w:cs="Times New Roman"/>
          <w:sz w:val="24"/>
          <w:szCs w:val="24"/>
        </w:rPr>
        <w:t xml:space="preserve">. </w:t>
      </w:r>
      <w:r>
        <w:rPr>
          <w:rFonts w:ascii="Times New Roman" w:hAnsi="Times New Roman" w:cs="Times New Roman"/>
          <w:sz w:val="24"/>
          <w:szCs w:val="24"/>
        </w:rPr>
        <w:t xml:space="preserve">Se renforçant d’une double scène générique, autobiographique et </w:t>
      </w:r>
      <w:r w:rsidR="0091286B">
        <w:rPr>
          <w:rFonts w:ascii="Times New Roman" w:hAnsi="Times New Roman" w:cs="Times New Roman"/>
          <w:sz w:val="24"/>
          <w:szCs w:val="24"/>
        </w:rPr>
        <w:t>testimoniale</w:t>
      </w:r>
      <w:r>
        <w:rPr>
          <w:rFonts w:ascii="Times New Roman" w:hAnsi="Times New Roman" w:cs="Times New Roman"/>
          <w:sz w:val="24"/>
          <w:szCs w:val="24"/>
        </w:rPr>
        <w:t xml:space="preserve">, ainsi que des cadres d’une prose poétique expressive, la citation féminine </w:t>
      </w:r>
      <w:r w:rsidRPr="00AF4CEF">
        <w:rPr>
          <w:rFonts w:ascii="Times New Roman" w:hAnsi="Times New Roman" w:cs="Times New Roman"/>
          <w:sz w:val="24"/>
          <w:szCs w:val="24"/>
        </w:rPr>
        <w:t>paraît</w:t>
      </w:r>
      <w:r>
        <w:rPr>
          <w:rFonts w:ascii="Times New Roman" w:hAnsi="Times New Roman" w:cs="Times New Roman"/>
          <w:sz w:val="24"/>
          <w:szCs w:val="24"/>
        </w:rPr>
        <w:t xml:space="preserve"> ainsi</w:t>
      </w:r>
      <w:r w:rsidRPr="00AF4CEF">
        <w:rPr>
          <w:rFonts w:ascii="Times New Roman" w:hAnsi="Times New Roman" w:cs="Times New Roman"/>
          <w:sz w:val="24"/>
          <w:szCs w:val="24"/>
        </w:rPr>
        <w:t xml:space="preserve"> emblématique du projet d’ensemble : l’affranchissement des di</w:t>
      </w:r>
      <w:r w:rsidR="008F20D5">
        <w:rPr>
          <w:rFonts w:ascii="Times New Roman" w:hAnsi="Times New Roman" w:cs="Times New Roman"/>
          <w:sz w:val="24"/>
          <w:szCs w:val="24"/>
        </w:rPr>
        <w:t xml:space="preserve">scours </w:t>
      </w:r>
      <w:r w:rsidRPr="00AF4CEF">
        <w:rPr>
          <w:rFonts w:ascii="Times New Roman" w:hAnsi="Times New Roman" w:cs="Times New Roman"/>
          <w:sz w:val="24"/>
          <w:szCs w:val="24"/>
        </w:rPr>
        <w:t>de la tutelle énonciative mime le processus de la libération de la femme</w:t>
      </w:r>
      <w:r w:rsidR="0045640B">
        <w:rPr>
          <w:rFonts w:ascii="Times New Roman" w:hAnsi="Times New Roman" w:cs="Times New Roman"/>
          <w:sz w:val="24"/>
          <w:szCs w:val="24"/>
        </w:rPr>
        <w:t xml:space="preserve"> algérienne</w:t>
      </w:r>
      <w:r w:rsidRPr="00AF4CEF">
        <w:rPr>
          <w:rFonts w:ascii="Times New Roman" w:hAnsi="Times New Roman" w:cs="Times New Roman"/>
          <w:sz w:val="24"/>
          <w:szCs w:val="24"/>
        </w:rPr>
        <w:t>, l’acte de subversion toujours renouvelé</w:t>
      </w:r>
      <w:r>
        <w:rPr>
          <w:rFonts w:ascii="Times New Roman" w:hAnsi="Times New Roman" w:cs="Times New Roman"/>
          <w:sz w:val="24"/>
          <w:szCs w:val="24"/>
        </w:rPr>
        <w:t>.</w:t>
      </w:r>
      <w:r w:rsidRPr="00AF4CEF">
        <w:rPr>
          <w:rFonts w:ascii="Times New Roman" w:hAnsi="Times New Roman" w:cs="Times New Roman"/>
          <w:sz w:val="24"/>
          <w:szCs w:val="24"/>
        </w:rPr>
        <w:t xml:space="preserve"> </w:t>
      </w:r>
    </w:p>
    <w:p w:rsidR="00F85162" w:rsidRDefault="00F85162" w:rsidP="0048035D">
      <w:pPr>
        <w:pStyle w:val="Paragraphedeliste"/>
        <w:spacing w:after="0" w:line="360" w:lineRule="auto"/>
        <w:ind w:left="0"/>
        <w:jc w:val="both"/>
        <w:rPr>
          <w:rFonts w:ascii="Times New Roman" w:hAnsi="Times New Roman" w:cs="Times New Roman"/>
          <w:sz w:val="24"/>
          <w:szCs w:val="24"/>
        </w:rPr>
      </w:pPr>
    </w:p>
    <w:p w:rsidR="00F85162" w:rsidRDefault="00F85162"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 xml:space="preserve">Bibliographie </w:t>
      </w:r>
    </w:p>
    <w:p w:rsidR="0045640B" w:rsidRPr="00AF4CEF" w:rsidRDefault="0045640B" w:rsidP="0048035D">
      <w:pPr>
        <w:pStyle w:val="Paragraphedeliste"/>
        <w:spacing w:after="0" w:line="360" w:lineRule="auto"/>
        <w:ind w:left="0"/>
        <w:jc w:val="both"/>
        <w:rPr>
          <w:rFonts w:ascii="Times New Roman" w:hAnsi="Times New Roman" w:cs="Times New Roman"/>
          <w:sz w:val="24"/>
          <w:szCs w:val="24"/>
        </w:rPr>
      </w:pPr>
    </w:p>
    <w:p w:rsidR="00F85162" w:rsidRPr="00AF4CEF" w:rsidRDefault="00F85162"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lastRenderedPageBreak/>
        <w:t>Authier-Revuz, J</w:t>
      </w:r>
      <w:r w:rsidR="00C02B96">
        <w:rPr>
          <w:rFonts w:ascii="Times New Roman" w:hAnsi="Times New Roman" w:cs="Times New Roman"/>
          <w:sz w:val="24"/>
          <w:szCs w:val="24"/>
        </w:rPr>
        <w:t>. (</w:t>
      </w:r>
      <w:r w:rsidRPr="00AF4CEF">
        <w:rPr>
          <w:rFonts w:ascii="Times New Roman" w:hAnsi="Times New Roman" w:cs="Times New Roman"/>
          <w:sz w:val="24"/>
          <w:szCs w:val="24"/>
        </w:rPr>
        <w:t>2004</w:t>
      </w:r>
      <w:r w:rsidR="00C02B96">
        <w:rPr>
          <w:rFonts w:ascii="Times New Roman" w:hAnsi="Times New Roman" w:cs="Times New Roman"/>
          <w:sz w:val="24"/>
          <w:szCs w:val="24"/>
        </w:rPr>
        <w:t xml:space="preserve">) : </w:t>
      </w:r>
      <w:r w:rsidRPr="00AF4CEF">
        <w:rPr>
          <w:rFonts w:ascii="Times New Roman" w:hAnsi="Times New Roman" w:cs="Times New Roman"/>
          <w:sz w:val="24"/>
          <w:szCs w:val="24"/>
        </w:rPr>
        <w:t>« La représentation du discours autre : un champ multiplement hétérogène », in J. M. López Muñoz, S. Marnette</w:t>
      </w:r>
      <w:r w:rsidR="00ED0E3D">
        <w:rPr>
          <w:rFonts w:ascii="Times New Roman" w:hAnsi="Times New Roman" w:cs="Times New Roman"/>
          <w:sz w:val="24"/>
          <w:szCs w:val="24"/>
        </w:rPr>
        <w:t xml:space="preserve"> &amp;</w:t>
      </w:r>
      <w:r w:rsidRPr="00AF4CEF">
        <w:rPr>
          <w:rFonts w:ascii="Times New Roman" w:hAnsi="Times New Roman" w:cs="Times New Roman"/>
          <w:sz w:val="24"/>
          <w:szCs w:val="24"/>
        </w:rPr>
        <w:t xml:space="preserve"> L. Rosier (dir</w:t>
      </w:r>
      <w:r w:rsidR="00C02B96">
        <w:rPr>
          <w:rFonts w:ascii="Times New Roman" w:hAnsi="Times New Roman" w:cs="Times New Roman"/>
          <w:sz w:val="24"/>
          <w:szCs w:val="24"/>
        </w:rPr>
        <w:t>s</w:t>
      </w:r>
      <w:r w:rsidRPr="00AF4CEF">
        <w:rPr>
          <w:rFonts w:ascii="Times New Roman" w:hAnsi="Times New Roman" w:cs="Times New Roman"/>
          <w:sz w:val="24"/>
          <w:szCs w:val="24"/>
        </w:rPr>
        <w:t xml:space="preserve">), </w:t>
      </w:r>
      <w:r w:rsidRPr="00C02B96">
        <w:rPr>
          <w:rFonts w:ascii="Times New Roman" w:hAnsi="Times New Roman" w:cs="Times New Roman"/>
          <w:sz w:val="24"/>
          <w:szCs w:val="24"/>
        </w:rPr>
        <w:t>Le discours rapporté dans tous ses états,</w:t>
      </w:r>
      <w:r w:rsidRPr="00AF4CEF">
        <w:rPr>
          <w:rFonts w:ascii="Times New Roman" w:hAnsi="Times New Roman" w:cs="Times New Roman"/>
          <w:sz w:val="24"/>
          <w:szCs w:val="24"/>
        </w:rPr>
        <w:t xml:space="preserve"> Paris, L’Harmattan</w:t>
      </w:r>
      <w:r w:rsidR="00C02B96">
        <w:rPr>
          <w:rFonts w:ascii="Times New Roman" w:hAnsi="Times New Roman" w:cs="Times New Roman"/>
          <w:sz w:val="24"/>
          <w:szCs w:val="24"/>
        </w:rPr>
        <w:t xml:space="preserve"> : </w:t>
      </w:r>
      <w:r w:rsidRPr="00AF4CEF">
        <w:rPr>
          <w:rFonts w:ascii="Times New Roman" w:hAnsi="Times New Roman" w:cs="Times New Roman"/>
          <w:sz w:val="24"/>
          <w:szCs w:val="24"/>
        </w:rPr>
        <w:t xml:space="preserve">35-53.   </w:t>
      </w:r>
    </w:p>
    <w:p w:rsidR="00F85162" w:rsidRPr="00AF4CEF" w:rsidRDefault="00F85162"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Butler, J</w:t>
      </w:r>
      <w:r w:rsidR="00C02B96">
        <w:rPr>
          <w:rFonts w:ascii="Times New Roman" w:hAnsi="Times New Roman" w:cs="Times New Roman"/>
          <w:sz w:val="24"/>
          <w:szCs w:val="24"/>
        </w:rPr>
        <w:t>. (</w:t>
      </w:r>
      <w:r w:rsidRPr="00AF4CEF">
        <w:rPr>
          <w:rFonts w:ascii="Times New Roman" w:hAnsi="Times New Roman" w:cs="Times New Roman"/>
          <w:sz w:val="24"/>
          <w:szCs w:val="24"/>
        </w:rPr>
        <w:t>2005</w:t>
      </w:r>
      <w:r w:rsidR="00C02B96">
        <w:rPr>
          <w:rFonts w:ascii="Times New Roman" w:hAnsi="Times New Roman" w:cs="Times New Roman"/>
          <w:sz w:val="24"/>
          <w:szCs w:val="24"/>
        </w:rPr>
        <w:t xml:space="preserve">) : </w:t>
      </w:r>
      <w:r w:rsidRPr="00C02B96">
        <w:rPr>
          <w:rFonts w:ascii="Times New Roman" w:hAnsi="Times New Roman" w:cs="Times New Roman"/>
          <w:sz w:val="24"/>
          <w:szCs w:val="24"/>
        </w:rPr>
        <w:t>Trouble dans le genre. Pour un féminisme de la subversion</w:t>
      </w:r>
      <w:r w:rsidRPr="00AF4CEF">
        <w:rPr>
          <w:rFonts w:ascii="Times New Roman" w:hAnsi="Times New Roman" w:cs="Times New Roman"/>
          <w:sz w:val="24"/>
          <w:szCs w:val="24"/>
        </w:rPr>
        <w:t>, trad. fr. C. Kraus, Paris, Éditions de la Découverte.</w:t>
      </w:r>
    </w:p>
    <w:p w:rsidR="00F85162" w:rsidRPr="00AF4CEF" w:rsidRDefault="00F85162"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Certeau, M</w:t>
      </w:r>
      <w:r w:rsidR="00C02B96">
        <w:rPr>
          <w:rFonts w:ascii="Times New Roman" w:hAnsi="Times New Roman" w:cs="Times New Roman"/>
          <w:sz w:val="24"/>
          <w:szCs w:val="24"/>
        </w:rPr>
        <w:t xml:space="preserve">. </w:t>
      </w:r>
      <w:r w:rsidRPr="00AF4CEF">
        <w:rPr>
          <w:rFonts w:ascii="Times New Roman" w:hAnsi="Times New Roman" w:cs="Times New Roman"/>
          <w:sz w:val="24"/>
          <w:szCs w:val="24"/>
        </w:rPr>
        <w:t>de</w:t>
      </w:r>
      <w:r w:rsidR="00C02B96">
        <w:rPr>
          <w:rFonts w:ascii="Times New Roman" w:hAnsi="Times New Roman" w:cs="Times New Roman"/>
          <w:sz w:val="24"/>
          <w:szCs w:val="24"/>
        </w:rPr>
        <w:t xml:space="preserve"> (</w:t>
      </w:r>
      <w:r w:rsidRPr="00AF4CEF">
        <w:rPr>
          <w:rFonts w:ascii="Times New Roman" w:hAnsi="Times New Roman" w:cs="Times New Roman"/>
          <w:sz w:val="24"/>
          <w:szCs w:val="24"/>
        </w:rPr>
        <w:t>1975</w:t>
      </w:r>
      <w:r w:rsidR="00C02B96">
        <w:rPr>
          <w:rFonts w:ascii="Times New Roman" w:hAnsi="Times New Roman" w:cs="Times New Roman"/>
          <w:sz w:val="24"/>
          <w:szCs w:val="24"/>
        </w:rPr>
        <w:t xml:space="preserve">) : </w:t>
      </w:r>
      <w:r w:rsidRPr="00C02B96">
        <w:rPr>
          <w:rFonts w:ascii="Times New Roman" w:hAnsi="Times New Roman" w:cs="Times New Roman"/>
          <w:sz w:val="24"/>
          <w:szCs w:val="24"/>
        </w:rPr>
        <w:t>L’écriture de l’histoire</w:t>
      </w:r>
      <w:r w:rsidRPr="00AF4CEF">
        <w:rPr>
          <w:rFonts w:ascii="Times New Roman" w:hAnsi="Times New Roman" w:cs="Times New Roman"/>
          <w:sz w:val="24"/>
          <w:szCs w:val="24"/>
        </w:rPr>
        <w:t xml:space="preserve">, Paris, Gallimard.  </w:t>
      </w:r>
    </w:p>
    <w:p w:rsidR="00F85162" w:rsidRPr="00AF4CEF" w:rsidRDefault="00F85162"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Cixous, H</w:t>
      </w:r>
      <w:r w:rsidR="00C02B96">
        <w:rPr>
          <w:rFonts w:ascii="Times New Roman" w:hAnsi="Times New Roman" w:cs="Times New Roman"/>
          <w:sz w:val="24"/>
          <w:szCs w:val="24"/>
        </w:rPr>
        <w:t>. (</w:t>
      </w:r>
      <w:r w:rsidRPr="00AF4CEF">
        <w:rPr>
          <w:rFonts w:ascii="Times New Roman" w:hAnsi="Times New Roman" w:cs="Times New Roman"/>
          <w:sz w:val="24"/>
          <w:szCs w:val="24"/>
        </w:rPr>
        <w:t>2010</w:t>
      </w:r>
      <w:r w:rsidR="00C02B96">
        <w:rPr>
          <w:rFonts w:ascii="Times New Roman" w:hAnsi="Times New Roman" w:cs="Times New Roman"/>
          <w:sz w:val="24"/>
          <w:szCs w:val="24"/>
        </w:rPr>
        <w:t>) [</w:t>
      </w:r>
      <w:r w:rsidR="00C02B96" w:rsidRPr="00AF4CEF">
        <w:rPr>
          <w:rFonts w:ascii="Times New Roman" w:hAnsi="Times New Roman" w:cs="Times New Roman"/>
          <w:sz w:val="24"/>
          <w:szCs w:val="24"/>
        </w:rPr>
        <w:t>1975]</w:t>
      </w:r>
      <w:r w:rsidR="00C02B96">
        <w:rPr>
          <w:rFonts w:ascii="Times New Roman" w:hAnsi="Times New Roman" w:cs="Times New Roman"/>
          <w:sz w:val="24"/>
          <w:szCs w:val="24"/>
        </w:rPr>
        <w:t xml:space="preserve"> : </w:t>
      </w:r>
      <w:r w:rsidRPr="00C02B96">
        <w:rPr>
          <w:rFonts w:ascii="Times New Roman" w:hAnsi="Times New Roman" w:cs="Times New Roman"/>
          <w:sz w:val="24"/>
          <w:szCs w:val="24"/>
        </w:rPr>
        <w:t>Le rire de la méduse et autres ironies</w:t>
      </w:r>
      <w:r w:rsidRPr="00AF4CEF">
        <w:rPr>
          <w:rFonts w:ascii="Times New Roman" w:hAnsi="Times New Roman" w:cs="Times New Roman"/>
          <w:i/>
          <w:sz w:val="24"/>
          <w:szCs w:val="24"/>
        </w:rPr>
        <w:t>,</w:t>
      </w:r>
      <w:r w:rsidRPr="00AF4CEF">
        <w:rPr>
          <w:rFonts w:ascii="Times New Roman" w:hAnsi="Times New Roman" w:cs="Times New Roman"/>
          <w:sz w:val="24"/>
          <w:szCs w:val="24"/>
        </w:rPr>
        <w:t xml:space="preserve"> Paris, Galilée.</w:t>
      </w:r>
    </w:p>
    <w:p w:rsidR="00F85162" w:rsidRPr="00AF4CEF" w:rsidRDefault="00F85162" w:rsidP="0048035D">
      <w:pPr>
        <w:pStyle w:val="Paragraphedeliste"/>
        <w:spacing w:after="0" w:line="360" w:lineRule="auto"/>
        <w:ind w:left="0"/>
        <w:jc w:val="both"/>
        <w:rPr>
          <w:rFonts w:ascii="Times New Roman" w:hAnsi="Times New Roman" w:cs="Times New Roman"/>
          <w:sz w:val="24"/>
          <w:szCs w:val="24"/>
        </w:rPr>
      </w:pPr>
      <w:proofErr w:type="spellStart"/>
      <w:r w:rsidRPr="00C02B96">
        <w:rPr>
          <w:rFonts w:ascii="Times New Roman" w:hAnsi="Times New Roman" w:cs="Times New Roman"/>
          <w:sz w:val="24"/>
          <w:szCs w:val="24"/>
          <w:lang w:val="en-US"/>
        </w:rPr>
        <w:t>Clerc</w:t>
      </w:r>
      <w:proofErr w:type="spellEnd"/>
      <w:r w:rsidRPr="00C02B96">
        <w:rPr>
          <w:rFonts w:ascii="Times New Roman" w:hAnsi="Times New Roman" w:cs="Times New Roman"/>
          <w:sz w:val="24"/>
          <w:szCs w:val="24"/>
          <w:lang w:val="en-US"/>
        </w:rPr>
        <w:t>, J</w:t>
      </w:r>
      <w:r w:rsidR="00C02B96" w:rsidRPr="00C02B96">
        <w:rPr>
          <w:rFonts w:ascii="Times New Roman" w:hAnsi="Times New Roman" w:cs="Times New Roman"/>
          <w:sz w:val="24"/>
          <w:szCs w:val="24"/>
          <w:lang w:val="en-US"/>
        </w:rPr>
        <w:t>. M. (1</w:t>
      </w:r>
      <w:r w:rsidRPr="00C02B96">
        <w:rPr>
          <w:rFonts w:ascii="Times New Roman" w:hAnsi="Times New Roman" w:cs="Times New Roman"/>
          <w:sz w:val="24"/>
          <w:szCs w:val="24"/>
          <w:lang w:val="en-US"/>
        </w:rPr>
        <w:t>997</w:t>
      </w:r>
      <w:proofErr w:type="gramStart"/>
      <w:r w:rsidR="00C02B96" w:rsidRPr="00C02B96">
        <w:rPr>
          <w:rFonts w:ascii="Times New Roman" w:hAnsi="Times New Roman" w:cs="Times New Roman"/>
          <w:sz w:val="24"/>
          <w:szCs w:val="24"/>
          <w:lang w:val="en-US"/>
        </w:rPr>
        <w:t>)</w:t>
      </w:r>
      <w:r w:rsidR="00C02B96">
        <w:rPr>
          <w:rFonts w:ascii="Times New Roman" w:hAnsi="Times New Roman" w:cs="Times New Roman"/>
          <w:sz w:val="24"/>
          <w:szCs w:val="24"/>
          <w:lang w:val="en-US"/>
        </w:rPr>
        <w:t> :</w:t>
      </w:r>
      <w:proofErr w:type="gramEnd"/>
      <w:r w:rsidR="00C02B96">
        <w:rPr>
          <w:rFonts w:ascii="Times New Roman" w:hAnsi="Times New Roman" w:cs="Times New Roman"/>
          <w:sz w:val="24"/>
          <w:szCs w:val="24"/>
          <w:lang w:val="en-US"/>
        </w:rPr>
        <w:t xml:space="preserve"> </w:t>
      </w:r>
      <w:proofErr w:type="spellStart"/>
      <w:r w:rsidRPr="00C02B96">
        <w:rPr>
          <w:rFonts w:ascii="Times New Roman" w:hAnsi="Times New Roman" w:cs="Times New Roman"/>
          <w:sz w:val="24"/>
          <w:szCs w:val="24"/>
          <w:lang w:val="en-US"/>
        </w:rPr>
        <w:t>Assia</w:t>
      </w:r>
      <w:proofErr w:type="spellEnd"/>
      <w:r w:rsidRPr="00C02B96">
        <w:rPr>
          <w:rFonts w:ascii="Times New Roman" w:hAnsi="Times New Roman" w:cs="Times New Roman"/>
          <w:sz w:val="24"/>
          <w:szCs w:val="24"/>
          <w:lang w:val="en-US"/>
        </w:rPr>
        <w:t xml:space="preserve"> </w:t>
      </w:r>
      <w:proofErr w:type="spellStart"/>
      <w:r w:rsidRPr="00C02B96">
        <w:rPr>
          <w:rFonts w:ascii="Times New Roman" w:hAnsi="Times New Roman" w:cs="Times New Roman"/>
          <w:sz w:val="24"/>
          <w:szCs w:val="24"/>
          <w:lang w:val="en-US"/>
        </w:rPr>
        <w:t>Djebar</w:t>
      </w:r>
      <w:proofErr w:type="spellEnd"/>
      <w:r w:rsidRPr="00C02B96">
        <w:rPr>
          <w:rFonts w:ascii="Times New Roman" w:hAnsi="Times New Roman" w:cs="Times New Roman"/>
          <w:sz w:val="24"/>
          <w:szCs w:val="24"/>
          <w:lang w:val="en-US"/>
        </w:rPr>
        <w:t xml:space="preserve">. </w:t>
      </w:r>
      <w:r w:rsidRPr="00C02B96">
        <w:rPr>
          <w:rFonts w:ascii="Times New Roman" w:hAnsi="Times New Roman" w:cs="Times New Roman"/>
          <w:sz w:val="24"/>
          <w:szCs w:val="24"/>
        </w:rPr>
        <w:t>Écrire, Transgresser, Résister,</w:t>
      </w:r>
      <w:r w:rsidRPr="00AF4CEF">
        <w:rPr>
          <w:rFonts w:ascii="Times New Roman" w:hAnsi="Times New Roman" w:cs="Times New Roman"/>
          <w:sz w:val="24"/>
          <w:szCs w:val="24"/>
        </w:rPr>
        <w:t xml:space="preserve"> Paris, L’Harmattan.</w:t>
      </w:r>
    </w:p>
    <w:p w:rsidR="00F85162" w:rsidRPr="00C02B96" w:rsidRDefault="00F85162"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Colas-Blaise, M</w:t>
      </w:r>
      <w:r w:rsidR="00C02B96">
        <w:rPr>
          <w:rFonts w:ascii="Times New Roman" w:hAnsi="Times New Roman" w:cs="Times New Roman"/>
          <w:sz w:val="24"/>
          <w:szCs w:val="24"/>
        </w:rPr>
        <w:t>. (</w:t>
      </w:r>
      <w:r w:rsidRPr="00AF4CEF">
        <w:rPr>
          <w:rFonts w:ascii="Times New Roman" w:hAnsi="Times New Roman" w:cs="Times New Roman"/>
          <w:sz w:val="24"/>
          <w:szCs w:val="24"/>
        </w:rPr>
        <w:t>2004</w:t>
      </w:r>
      <w:r w:rsidR="00C02B96">
        <w:rPr>
          <w:rFonts w:ascii="Times New Roman" w:hAnsi="Times New Roman" w:cs="Times New Roman"/>
          <w:sz w:val="24"/>
          <w:szCs w:val="24"/>
        </w:rPr>
        <w:t xml:space="preserve">) : </w:t>
      </w:r>
      <w:r w:rsidRPr="00AF4CEF">
        <w:rPr>
          <w:rFonts w:ascii="Times New Roman" w:hAnsi="Times New Roman" w:cs="Times New Roman"/>
          <w:sz w:val="24"/>
          <w:szCs w:val="24"/>
        </w:rPr>
        <w:t>« Le discours rapporté du point de vue de la sémiotique : Dynamique discursive et avatars de la dénomination propre chez Patrick Modiano », in J.M. López Muñoz, S. Marnette</w:t>
      </w:r>
      <w:r w:rsidR="00ED0E3D">
        <w:rPr>
          <w:rFonts w:ascii="Times New Roman" w:hAnsi="Times New Roman" w:cs="Times New Roman"/>
          <w:sz w:val="24"/>
          <w:szCs w:val="24"/>
        </w:rPr>
        <w:t xml:space="preserve"> &amp;</w:t>
      </w:r>
      <w:r w:rsidRPr="00AF4CEF">
        <w:rPr>
          <w:rFonts w:ascii="Times New Roman" w:hAnsi="Times New Roman" w:cs="Times New Roman"/>
          <w:sz w:val="24"/>
          <w:szCs w:val="24"/>
        </w:rPr>
        <w:t xml:space="preserve"> L. Rosier (dir</w:t>
      </w:r>
      <w:r w:rsidR="00C02B96">
        <w:rPr>
          <w:rFonts w:ascii="Times New Roman" w:hAnsi="Times New Roman" w:cs="Times New Roman"/>
          <w:sz w:val="24"/>
          <w:szCs w:val="24"/>
        </w:rPr>
        <w:t>s</w:t>
      </w:r>
      <w:r w:rsidRPr="00AF4CEF">
        <w:rPr>
          <w:rFonts w:ascii="Times New Roman" w:hAnsi="Times New Roman" w:cs="Times New Roman"/>
          <w:sz w:val="24"/>
          <w:szCs w:val="24"/>
        </w:rPr>
        <w:t xml:space="preserve">), </w:t>
      </w:r>
      <w:r w:rsidRPr="00C02B96">
        <w:rPr>
          <w:rFonts w:ascii="Times New Roman" w:hAnsi="Times New Roman" w:cs="Times New Roman"/>
          <w:sz w:val="24"/>
          <w:szCs w:val="24"/>
        </w:rPr>
        <w:t>Le discours rapporté dans tous ses états, Paris, L’Harmattan</w:t>
      </w:r>
      <w:r w:rsidR="00C02B96">
        <w:rPr>
          <w:rFonts w:ascii="Times New Roman" w:hAnsi="Times New Roman" w:cs="Times New Roman"/>
          <w:sz w:val="24"/>
          <w:szCs w:val="24"/>
        </w:rPr>
        <w:t> : 1</w:t>
      </w:r>
      <w:r w:rsidRPr="00C02B96">
        <w:rPr>
          <w:rFonts w:ascii="Times New Roman" w:hAnsi="Times New Roman" w:cs="Times New Roman"/>
          <w:sz w:val="24"/>
          <w:szCs w:val="24"/>
        </w:rPr>
        <w:t xml:space="preserve">63-172.    </w:t>
      </w:r>
    </w:p>
    <w:p w:rsidR="00F85162" w:rsidRPr="00AF4CEF" w:rsidRDefault="00ED0E3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w:t>
      </w:r>
      <w:r w:rsidR="00C02B96">
        <w:rPr>
          <w:rFonts w:ascii="Times New Roman" w:hAnsi="Times New Roman" w:cs="Times New Roman"/>
          <w:sz w:val="24"/>
          <w:szCs w:val="24"/>
        </w:rPr>
        <w:t xml:space="preserve"> (</w:t>
      </w:r>
      <w:r w:rsidR="00F85162" w:rsidRPr="00AF4CEF">
        <w:rPr>
          <w:rFonts w:ascii="Times New Roman" w:hAnsi="Times New Roman" w:cs="Times New Roman"/>
          <w:sz w:val="24"/>
          <w:szCs w:val="24"/>
        </w:rPr>
        <w:t>2011</w:t>
      </w:r>
      <w:r w:rsidR="00C02B96">
        <w:rPr>
          <w:rFonts w:ascii="Times New Roman" w:hAnsi="Times New Roman" w:cs="Times New Roman"/>
          <w:sz w:val="24"/>
          <w:szCs w:val="24"/>
        </w:rPr>
        <w:t xml:space="preserve">) : </w:t>
      </w:r>
      <w:r w:rsidR="00F85162" w:rsidRPr="00AF4CEF">
        <w:rPr>
          <w:rFonts w:ascii="Times New Roman" w:hAnsi="Times New Roman" w:cs="Times New Roman"/>
          <w:sz w:val="24"/>
          <w:szCs w:val="24"/>
        </w:rPr>
        <w:t>« De la citation visuelle à la translation intermédiatique : éléments pour une approche sémiotique », in A. Jaubert, J.M. López Muñoz, S. Marnette, L. Rosier &amp; C. Stolz (dir</w:t>
      </w:r>
      <w:r w:rsidR="00C02B96">
        <w:rPr>
          <w:rFonts w:ascii="Times New Roman" w:hAnsi="Times New Roman" w:cs="Times New Roman"/>
          <w:sz w:val="24"/>
          <w:szCs w:val="24"/>
        </w:rPr>
        <w:t>s</w:t>
      </w:r>
      <w:r w:rsidR="00F85162" w:rsidRPr="00AF4CEF">
        <w:rPr>
          <w:rFonts w:ascii="Times New Roman" w:hAnsi="Times New Roman" w:cs="Times New Roman"/>
          <w:sz w:val="24"/>
          <w:szCs w:val="24"/>
        </w:rPr>
        <w:t xml:space="preserve">), </w:t>
      </w:r>
      <w:r w:rsidR="00F85162" w:rsidRPr="00C02B96">
        <w:rPr>
          <w:rFonts w:ascii="Times New Roman" w:hAnsi="Times New Roman" w:cs="Times New Roman"/>
          <w:sz w:val="24"/>
          <w:szCs w:val="24"/>
        </w:rPr>
        <w:t>Citations I. Citer à travers les formes. Intersémiotique de la citation</w:t>
      </w:r>
      <w:r w:rsidR="00F85162" w:rsidRPr="00AF4CEF">
        <w:rPr>
          <w:rFonts w:ascii="Times New Roman" w:hAnsi="Times New Roman" w:cs="Times New Roman"/>
          <w:sz w:val="24"/>
          <w:szCs w:val="24"/>
        </w:rPr>
        <w:t>, Louvain-la-Neuve, Harmattan-Academia</w:t>
      </w:r>
      <w:r w:rsidR="00C02B96">
        <w:rPr>
          <w:rFonts w:ascii="Times New Roman" w:hAnsi="Times New Roman" w:cs="Times New Roman"/>
          <w:sz w:val="24"/>
          <w:szCs w:val="24"/>
        </w:rPr>
        <w:t> : 1</w:t>
      </w:r>
      <w:r w:rsidR="00F85162" w:rsidRPr="00AF4CEF">
        <w:rPr>
          <w:rFonts w:ascii="Times New Roman" w:hAnsi="Times New Roman" w:cs="Times New Roman"/>
          <w:sz w:val="24"/>
          <w:szCs w:val="24"/>
        </w:rPr>
        <w:t xml:space="preserve">95-210. </w:t>
      </w:r>
    </w:p>
    <w:p w:rsidR="00E537B4" w:rsidRDefault="00E537B4" w:rsidP="0048035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Combe, </w:t>
      </w:r>
      <w:r w:rsidR="00C02B96">
        <w:rPr>
          <w:rFonts w:ascii="Times New Roman" w:eastAsia="Calibri" w:hAnsi="Times New Roman" w:cs="Times New Roman"/>
          <w:sz w:val="24"/>
          <w:szCs w:val="24"/>
        </w:rPr>
        <w:t xml:space="preserve">D. (1991) : La pensée et le style, Paris, Éditions universitaires. </w:t>
      </w:r>
    </w:p>
    <w:p w:rsidR="00F85162" w:rsidRPr="00C02B96" w:rsidRDefault="00F85162" w:rsidP="0048035D">
      <w:pPr>
        <w:spacing w:after="0" w:line="360" w:lineRule="auto"/>
        <w:jc w:val="both"/>
        <w:rPr>
          <w:rFonts w:ascii="Times New Roman" w:eastAsia="Calibri" w:hAnsi="Times New Roman" w:cs="Times New Roman"/>
          <w:sz w:val="24"/>
          <w:szCs w:val="24"/>
        </w:rPr>
      </w:pPr>
      <w:r w:rsidRPr="00AF4CEF">
        <w:rPr>
          <w:rFonts w:ascii="Times New Roman" w:eastAsia="Calibri" w:hAnsi="Times New Roman" w:cs="Times New Roman"/>
          <w:sz w:val="24"/>
          <w:szCs w:val="24"/>
        </w:rPr>
        <w:t>Coquet, J</w:t>
      </w:r>
      <w:r w:rsidR="00C02B96">
        <w:rPr>
          <w:rFonts w:ascii="Times New Roman" w:eastAsia="Calibri" w:hAnsi="Times New Roman" w:cs="Times New Roman"/>
          <w:sz w:val="24"/>
          <w:szCs w:val="24"/>
        </w:rPr>
        <w:t>.-C. (</w:t>
      </w:r>
      <w:r w:rsidRPr="00AF4CEF">
        <w:rPr>
          <w:rFonts w:ascii="Times New Roman" w:eastAsia="Calibri" w:hAnsi="Times New Roman" w:cs="Times New Roman"/>
          <w:sz w:val="24"/>
          <w:szCs w:val="24"/>
        </w:rPr>
        <w:t>1997</w:t>
      </w:r>
      <w:r w:rsidR="00C02B96">
        <w:rPr>
          <w:rFonts w:ascii="Times New Roman" w:eastAsia="Calibri" w:hAnsi="Times New Roman" w:cs="Times New Roman"/>
          <w:sz w:val="24"/>
          <w:szCs w:val="24"/>
        </w:rPr>
        <w:t xml:space="preserve">) : </w:t>
      </w:r>
      <w:r w:rsidRPr="00C02B96">
        <w:rPr>
          <w:rFonts w:ascii="Times New Roman" w:eastAsia="Calibri" w:hAnsi="Times New Roman" w:cs="Times New Roman"/>
          <w:sz w:val="24"/>
          <w:szCs w:val="24"/>
        </w:rPr>
        <w:t xml:space="preserve">La quête du sens, Paris, PUF. </w:t>
      </w:r>
    </w:p>
    <w:p w:rsidR="00F85162" w:rsidRPr="00C02B96" w:rsidRDefault="00F85162" w:rsidP="0048035D">
      <w:pPr>
        <w:pStyle w:val="Paragraphedeliste"/>
        <w:spacing w:after="0" w:line="360" w:lineRule="auto"/>
        <w:ind w:left="0"/>
        <w:jc w:val="both"/>
        <w:rPr>
          <w:rFonts w:ascii="Times New Roman" w:hAnsi="Times New Roman" w:cs="Times New Roman"/>
          <w:sz w:val="24"/>
          <w:szCs w:val="24"/>
        </w:rPr>
      </w:pPr>
      <w:r w:rsidRPr="00C02B96">
        <w:rPr>
          <w:rFonts w:ascii="Times New Roman" w:hAnsi="Times New Roman" w:cs="Times New Roman"/>
          <w:sz w:val="24"/>
          <w:szCs w:val="24"/>
        </w:rPr>
        <w:t>Didier, B</w:t>
      </w:r>
      <w:r w:rsidR="00C02B96">
        <w:rPr>
          <w:rFonts w:ascii="Times New Roman" w:hAnsi="Times New Roman" w:cs="Times New Roman"/>
          <w:sz w:val="24"/>
          <w:szCs w:val="24"/>
        </w:rPr>
        <w:t>. (</w:t>
      </w:r>
      <w:r w:rsidRPr="00C02B96">
        <w:rPr>
          <w:rFonts w:ascii="Times New Roman" w:hAnsi="Times New Roman" w:cs="Times New Roman"/>
          <w:sz w:val="24"/>
          <w:szCs w:val="24"/>
        </w:rPr>
        <w:t>1981</w:t>
      </w:r>
      <w:r w:rsidR="00C02B96">
        <w:rPr>
          <w:rFonts w:ascii="Times New Roman" w:hAnsi="Times New Roman" w:cs="Times New Roman"/>
          <w:sz w:val="24"/>
          <w:szCs w:val="24"/>
        </w:rPr>
        <w:t xml:space="preserve">) : </w:t>
      </w:r>
      <w:r w:rsidRPr="00C02B96">
        <w:rPr>
          <w:rFonts w:ascii="Times New Roman" w:hAnsi="Times New Roman" w:cs="Times New Roman"/>
          <w:sz w:val="24"/>
          <w:szCs w:val="24"/>
        </w:rPr>
        <w:t xml:space="preserve">L’écriture-femme, Paris, PUF. </w:t>
      </w:r>
    </w:p>
    <w:p w:rsidR="0038103C" w:rsidRDefault="0038103C" w:rsidP="0048035D">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Djebar, A. (1991) : Loin de Médine, Paris, Éditions Albin Michel (Le Livre de poche). </w:t>
      </w:r>
    </w:p>
    <w:p w:rsidR="00F85162" w:rsidRPr="00C02B96" w:rsidRDefault="00ED0E3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w:t>
      </w:r>
      <w:r w:rsidR="00C02B96">
        <w:rPr>
          <w:rFonts w:ascii="Times New Roman" w:hAnsi="Times New Roman" w:cs="Times New Roman"/>
          <w:sz w:val="24"/>
          <w:szCs w:val="24"/>
        </w:rPr>
        <w:t xml:space="preserve"> (1995</w:t>
      </w:r>
      <w:r w:rsidR="0038103C">
        <w:rPr>
          <w:rFonts w:ascii="Times New Roman" w:hAnsi="Times New Roman" w:cs="Times New Roman"/>
          <w:sz w:val="24"/>
          <w:szCs w:val="24"/>
        </w:rPr>
        <w:t>a</w:t>
      </w:r>
      <w:r w:rsidR="00C02B96">
        <w:rPr>
          <w:rFonts w:ascii="Times New Roman" w:hAnsi="Times New Roman" w:cs="Times New Roman"/>
          <w:sz w:val="24"/>
          <w:szCs w:val="24"/>
        </w:rPr>
        <w:t xml:space="preserve">) </w:t>
      </w:r>
      <w:r w:rsidR="00F85162" w:rsidRPr="00C02B96">
        <w:rPr>
          <w:rFonts w:ascii="Times New Roman" w:hAnsi="Times New Roman" w:cs="Times New Roman"/>
          <w:sz w:val="24"/>
          <w:szCs w:val="24"/>
        </w:rPr>
        <w:t>[1985]</w:t>
      </w:r>
      <w:r w:rsidR="00C02B96">
        <w:rPr>
          <w:rFonts w:ascii="Times New Roman" w:hAnsi="Times New Roman" w:cs="Times New Roman"/>
          <w:sz w:val="24"/>
          <w:szCs w:val="24"/>
        </w:rPr>
        <w:t xml:space="preserve"> : </w:t>
      </w:r>
      <w:r w:rsidR="00F85162" w:rsidRPr="00C02B96">
        <w:rPr>
          <w:rFonts w:ascii="Times New Roman" w:hAnsi="Times New Roman" w:cs="Times New Roman"/>
          <w:sz w:val="24"/>
          <w:szCs w:val="24"/>
        </w:rPr>
        <w:t>L’Amour, la fantasia, Paris, Éditions Albin Michel (Le Livre de poche).</w:t>
      </w:r>
    </w:p>
    <w:p w:rsidR="00F85162" w:rsidRPr="00AF4CEF" w:rsidRDefault="00ED0E3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w:t>
      </w:r>
      <w:r>
        <w:rPr>
          <w:rFonts w:ascii="Times New Roman" w:hAnsi="Times New Roman" w:cs="Times New Roman"/>
          <w:sz w:val="24"/>
          <w:szCs w:val="24"/>
        </w:rPr>
        <w:t xml:space="preserve"> </w:t>
      </w:r>
      <w:r w:rsidR="00C02B96">
        <w:rPr>
          <w:rFonts w:ascii="Times New Roman" w:hAnsi="Times New Roman" w:cs="Times New Roman"/>
          <w:sz w:val="24"/>
          <w:szCs w:val="24"/>
        </w:rPr>
        <w:t>(</w:t>
      </w:r>
      <w:r w:rsidR="00F85162">
        <w:rPr>
          <w:rFonts w:ascii="Times New Roman" w:hAnsi="Times New Roman" w:cs="Times New Roman"/>
          <w:sz w:val="24"/>
          <w:szCs w:val="24"/>
        </w:rPr>
        <w:t>1995</w:t>
      </w:r>
      <w:r w:rsidR="0038103C">
        <w:rPr>
          <w:rFonts w:ascii="Times New Roman" w:hAnsi="Times New Roman" w:cs="Times New Roman"/>
          <w:sz w:val="24"/>
          <w:szCs w:val="24"/>
        </w:rPr>
        <w:t>b</w:t>
      </w:r>
      <w:r w:rsidR="00C02B96">
        <w:rPr>
          <w:rFonts w:ascii="Times New Roman" w:hAnsi="Times New Roman" w:cs="Times New Roman"/>
          <w:sz w:val="24"/>
          <w:szCs w:val="24"/>
        </w:rPr>
        <w:t xml:space="preserve">) : </w:t>
      </w:r>
      <w:r w:rsidR="00F85162">
        <w:rPr>
          <w:rFonts w:ascii="Times New Roman" w:hAnsi="Times New Roman" w:cs="Times New Roman"/>
          <w:sz w:val="24"/>
          <w:szCs w:val="24"/>
        </w:rPr>
        <w:t xml:space="preserve">« Écrire sans nul héritage », in J. Frölich (éd.), </w:t>
      </w:r>
      <w:r w:rsidR="00F85162" w:rsidRPr="0011649B">
        <w:rPr>
          <w:rFonts w:ascii="Times New Roman" w:hAnsi="Times New Roman" w:cs="Times New Roman"/>
          <w:i/>
          <w:sz w:val="24"/>
          <w:szCs w:val="24"/>
        </w:rPr>
        <w:t>Point de rencontre : le roman</w:t>
      </w:r>
      <w:r w:rsidR="00F85162">
        <w:rPr>
          <w:rFonts w:ascii="Times New Roman" w:hAnsi="Times New Roman" w:cs="Times New Roman"/>
          <w:sz w:val="24"/>
          <w:szCs w:val="24"/>
        </w:rPr>
        <w:t>, Oslo, The research Council of Norway, t. 1.</w:t>
      </w:r>
      <w:r w:rsidR="00F85162" w:rsidRPr="00AF4CEF">
        <w:rPr>
          <w:rFonts w:ascii="Times New Roman" w:hAnsi="Times New Roman" w:cs="Times New Roman"/>
          <w:sz w:val="24"/>
          <w:szCs w:val="24"/>
        </w:rPr>
        <w:t xml:space="preserve">  </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Ginzburg, C</w:t>
      </w:r>
      <w:r w:rsidR="0038103C">
        <w:rPr>
          <w:rFonts w:ascii="Times New Roman" w:hAnsi="Times New Roman" w:cs="Times New Roman"/>
          <w:sz w:val="24"/>
          <w:szCs w:val="24"/>
        </w:rPr>
        <w:t>. (</w:t>
      </w:r>
      <w:r>
        <w:rPr>
          <w:rFonts w:ascii="Times New Roman" w:hAnsi="Times New Roman" w:cs="Times New Roman"/>
          <w:sz w:val="24"/>
          <w:szCs w:val="24"/>
        </w:rPr>
        <w:t>2010</w:t>
      </w:r>
      <w:r w:rsidR="0038103C">
        <w:rPr>
          <w:rFonts w:ascii="Times New Roman" w:hAnsi="Times New Roman" w:cs="Times New Roman"/>
          <w:sz w:val="24"/>
          <w:szCs w:val="24"/>
        </w:rPr>
        <w:t xml:space="preserve">) : </w:t>
      </w:r>
      <w:r w:rsidRPr="0038103C">
        <w:rPr>
          <w:rFonts w:ascii="Times New Roman" w:hAnsi="Times New Roman" w:cs="Times New Roman"/>
          <w:sz w:val="24"/>
          <w:szCs w:val="24"/>
        </w:rPr>
        <w:t>Le fil et les traces. Vrai faux fictif, trad. M. Rueff, Paris, Verdier.</w:t>
      </w:r>
    </w:p>
    <w:p w:rsidR="00F85162"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Heinich, N</w:t>
      </w:r>
      <w:r w:rsidR="0038103C">
        <w:rPr>
          <w:rFonts w:ascii="Times New Roman" w:hAnsi="Times New Roman" w:cs="Times New Roman"/>
          <w:sz w:val="24"/>
          <w:szCs w:val="24"/>
        </w:rPr>
        <w:t>. (</w:t>
      </w:r>
      <w:r w:rsidRPr="0038103C">
        <w:rPr>
          <w:rFonts w:ascii="Times New Roman" w:hAnsi="Times New Roman" w:cs="Times New Roman"/>
          <w:sz w:val="24"/>
          <w:szCs w:val="24"/>
        </w:rPr>
        <w:t>1996</w:t>
      </w:r>
      <w:r w:rsidR="0038103C">
        <w:rPr>
          <w:rFonts w:ascii="Times New Roman" w:hAnsi="Times New Roman" w:cs="Times New Roman"/>
          <w:sz w:val="24"/>
          <w:szCs w:val="24"/>
        </w:rPr>
        <w:t xml:space="preserve">) : </w:t>
      </w:r>
      <w:r w:rsidRPr="0038103C">
        <w:rPr>
          <w:rFonts w:ascii="Times New Roman" w:hAnsi="Times New Roman" w:cs="Times New Roman"/>
          <w:sz w:val="24"/>
          <w:szCs w:val="24"/>
        </w:rPr>
        <w:t xml:space="preserve">États de femme. L’identité féminine dans la fiction occidentale, Paris, Gallimard. </w:t>
      </w:r>
    </w:p>
    <w:p w:rsidR="00DD4930" w:rsidRPr="0038103C" w:rsidRDefault="00DD4930" w:rsidP="0048035D">
      <w:pPr>
        <w:pStyle w:val="Paragraphedeliste"/>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Leclerc, A. (1974) : Parole de femme, Paris, Bernard Grasset. </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Maingueneau, D</w:t>
      </w:r>
      <w:r w:rsidR="0038103C">
        <w:rPr>
          <w:rFonts w:ascii="Times New Roman" w:hAnsi="Times New Roman" w:cs="Times New Roman"/>
          <w:sz w:val="24"/>
          <w:szCs w:val="24"/>
        </w:rPr>
        <w:t>. (</w:t>
      </w:r>
      <w:r w:rsidRPr="0038103C">
        <w:rPr>
          <w:rFonts w:ascii="Times New Roman" w:hAnsi="Times New Roman" w:cs="Times New Roman"/>
          <w:sz w:val="24"/>
          <w:szCs w:val="24"/>
        </w:rPr>
        <w:t>1999</w:t>
      </w:r>
      <w:r w:rsidR="0038103C">
        <w:rPr>
          <w:rFonts w:ascii="Times New Roman" w:hAnsi="Times New Roman" w:cs="Times New Roman"/>
          <w:sz w:val="24"/>
          <w:szCs w:val="24"/>
        </w:rPr>
        <w:t xml:space="preserve">) : </w:t>
      </w:r>
      <w:r w:rsidRPr="0038103C">
        <w:rPr>
          <w:rFonts w:ascii="Times New Roman" w:hAnsi="Times New Roman" w:cs="Times New Roman"/>
          <w:sz w:val="24"/>
          <w:szCs w:val="24"/>
        </w:rPr>
        <w:t>Féminin fatal, Paris, Descartes &amp; Cie.</w:t>
      </w:r>
    </w:p>
    <w:p w:rsidR="003A3E0A" w:rsidRDefault="00ED0E3D" w:rsidP="0048035D">
      <w:pPr>
        <w:spacing w:after="0" w:line="360" w:lineRule="auto"/>
        <w:jc w:val="both"/>
        <w:rPr>
          <w:rFonts w:ascii="Times New Roman" w:hAnsi="Times New Roman" w:cs="Times New Roman"/>
          <w:sz w:val="24"/>
          <w:szCs w:val="24"/>
        </w:rPr>
      </w:pPr>
      <w:r w:rsidRPr="00AF4CEF">
        <w:rPr>
          <w:rFonts w:ascii="Times New Roman" w:hAnsi="Times New Roman" w:cs="Times New Roman"/>
          <w:sz w:val="24"/>
          <w:szCs w:val="24"/>
        </w:rPr>
        <w:t>–</w:t>
      </w:r>
      <w:r w:rsidR="003A3E0A">
        <w:rPr>
          <w:rFonts w:ascii="Times New Roman" w:hAnsi="Times New Roman" w:cs="Times New Roman"/>
          <w:sz w:val="24"/>
          <w:szCs w:val="24"/>
        </w:rPr>
        <w:t xml:space="preserve"> (2004) : Le discours littéraire. Paratopie et scène d’énonciation, Paris, Armand Colin.   </w:t>
      </w:r>
    </w:p>
    <w:p w:rsidR="00F85162" w:rsidRPr="0038103C" w:rsidRDefault="00F85162" w:rsidP="0048035D">
      <w:pPr>
        <w:spacing w:after="0" w:line="360" w:lineRule="auto"/>
        <w:jc w:val="both"/>
        <w:rPr>
          <w:rFonts w:ascii="Times New Roman" w:hAnsi="Times New Roman" w:cs="Times New Roman"/>
          <w:sz w:val="24"/>
          <w:szCs w:val="24"/>
        </w:rPr>
      </w:pPr>
      <w:r w:rsidRPr="0038103C">
        <w:rPr>
          <w:rFonts w:ascii="Times New Roman" w:hAnsi="Times New Roman" w:cs="Times New Roman"/>
          <w:sz w:val="24"/>
          <w:szCs w:val="24"/>
        </w:rPr>
        <w:t>Marnette, S</w:t>
      </w:r>
      <w:r w:rsidR="00383442">
        <w:rPr>
          <w:rFonts w:ascii="Times New Roman" w:hAnsi="Times New Roman" w:cs="Times New Roman"/>
          <w:sz w:val="24"/>
          <w:szCs w:val="24"/>
        </w:rPr>
        <w:t>. (</w:t>
      </w:r>
      <w:r w:rsidRPr="0038103C">
        <w:rPr>
          <w:rFonts w:ascii="Times New Roman" w:hAnsi="Times New Roman" w:cs="Times New Roman"/>
          <w:sz w:val="24"/>
          <w:szCs w:val="24"/>
        </w:rPr>
        <w:t>2004</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 L’effacement énonciatif dans la presse contemporaine », Langages</w:t>
      </w:r>
      <w:r w:rsidRPr="0038103C">
        <w:rPr>
          <w:rFonts w:ascii="Times New Roman" w:hAnsi="Times New Roman" w:cs="Times New Roman"/>
          <w:sz w:val="24"/>
          <w:szCs w:val="24"/>
          <w:vertAlign w:val="superscript"/>
        </w:rPr>
        <w:t xml:space="preserve"> </w:t>
      </w:r>
      <w:r w:rsidRPr="0038103C">
        <w:rPr>
          <w:rFonts w:ascii="Times New Roman" w:hAnsi="Times New Roman" w:cs="Times New Roman"/>
          <w:sz w:val="24"/>
          <w:szCs w:val="24"/>
        </w:rPr>
        <w:t>156</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51-64.</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Naudier, D</w:t>
      </w:r>
      <w:r w:rsidR="00383442">
        <w:rPr>
          <w:rFonts w:ascii="Times New Roman" w:hAnsi="Times New Roman" w:cs="Times New Roman"/>
          <w:sz w:val="24"/>
          <w:szCs w:val="24"/>
        </w:rPr>
        <w:t>. (</w:t>
      </w:r>
      <w:r w:rsidRPr="0038103C">
        <w:rPr>
          <w:rFonts w:ascii="Times New Roman" w:hAnsi="Times New Roman" w:cs="Times New Roman"/>
          <w:sz w:val="24"/>
          <w:szCs w:val="24"/>
        </w:rPr>
        <w:t>2001</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 L’écriture-femme, une innovation esthétique emblématique », Sociétés contemporaines 4, 44</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 xml:space="preserve">57-73. </w:t>
      </w:r>
    </w:p>
    <w:p w:rsidR="002927E5" w:rsidRPr="0038103C" w:rsidRDefault="002927E5"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lastRenderedPageBreak/>
        <w:t>Orlandi, E</w:t>
      </w:r>
      <w:r w:rsidR="00383442">
        <w:rPr>
          <w:rFonts w:ascii="Times New Roman" w:hAnsi="Times New Roman" w:cs="Times New Roman"/>
          <w:sz w:val="24"/>
          <w:szCs w:val="24"/>
        </w:rPr>
        <w:t>. (</w:t>
      </w:r>
      <w:r w:rsidRPr="0038103C">
        <w:rPr>
          <w:rFonts w:ascii="Times New Roman" w:hAnsi="Times New Roman" w:cs="Times New Roman"/>
          <w:sz w:val="24"/>
          <w:szCs w:val="24"/>
        </w:rPr>
        <w:t>2002</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 Un point c’est tout. Interdiscours, incomplétude, textualisation », in J. Authier-Revuz et M.-C. Lala (éds), Figures d’ajout. Phrase, texte, écriture, Paris, Presses Sorbonne Nouvelle</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65-77.</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Ouellet, P</w:t>
      </w:r>
      <w:r w:rsidR="00383442">
        <w:rPr>
          <w:rFonts w:ascii="Times New Roman" w:hAnsi="Times New Roman" w:cs="Times New Roman"/>
          <w:sz w:val="24"/>
          <w:szCs w:val="24"/>
        </w:rPr>
        <w:t>. (</w:t>
      </w:r>
      <w:r w:rsidRPr="0038103C">
        <w:rPr>
          <w:rFonts w:ascii="Times New Roman" w:hAnsi="Times New Roman" w:cs="Times New Roman"/>
          <w:sz w:val="24"/>
          <w:szCs w:val="24"/>
        </w:rPr>
        <w:t>1992</w:t>
      </w:r>
      <w:r w:rsidR="00383442">
        <w:rPr>
          <w:rFonts w:ascii="Times New Roman" w:hAnsi="Times New Roman" w:cs="Times New Roman"/>
          <w:sz w:val="24"/>
          <w:szCs w:val="24"/>
        </w:rPr>
        <w:t xml:space="preserve">) : </w:t>
      </w:r>
      <w:r w:rsidRPr="0038103C">
        <w:rPr>
          <w:rFonts w:ascii="Times New Roman" w:hAnsi="Times New Roman" w:cs="Times New Roman"/>
          <w:sz w:val="24"/>
          <w:szCs w:val="24"/>
        </w:rPr>
        <w:t xml:space="preserve">Voir et savoir, La perception des univers du discours, Candiac (Québec), Les Éditions Balzac. </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Rabatel, A</w:t>
      </w:r>
      <w:r w:rsidR="00DD4930">
        <w:rPr>
          <w:rFonts w:ascii="Times New Roman" w:hAnsi="Times New Roman" w:cs="Times New Roman"/>
          <w:sz w:val="24"/>
          <w:szCs w:val="24"/>
        </w:rPr>
        <w:t>. (</w:t>
      </w:r>
      <w:r w:rsidRPr="0038103C">
        <w:rPr>
          <w:rFonts w:ascii="Times New Roman" w:hAnsi="Times New Roman" w:cs="Times New Roman"/>
          <w:sz w:val="24"/>
          <w:szCs w:val="24"/>
        </w:rPr>
        <w:t>2002</w:t>
      </w:r>
      <w:r w:rsidR="00DD4930">
        <w:rPr>
          <w:rFonts w:ascii="Times New Roman" w:hAnsi="Times New Roman" w:cs="Times New Roman"/>
          <w:sz w:val="24"/>
          <w:szCs w:val="24"/>
        </w:rPr>
        <w:t xml:space="preserve">) : </w:t>
      </w:r>
      <w:r w:rsidRPr="0038103C">
        <w:rPr>
          <w:rFonts w:ascii="Times New Roman" w:hAnsi="Times New Roman" w:cs="Times New Roman"/>
          <w:sz w:val="24"/>
          <w:szCs w:val="24"/>
        </w:rPr>
        <w:t>« Le sous-énonciateur dans les montages citationnels », Enjeux</w:t>
      </w:r>
      <w:r w:rsidRPr="0038103C">
        <w:rPr>
          <w:rFonts w:ascii="Times New Roman" w:hAnsi="Times New Roman" w:cs="Times New Roman"/>
          <w:sz w:val="24"/>
          <w:szCs w:val="24"/>
          <w:vertAlign w:val="superscript"/>
        </w:rPr>
        <w:t xml:space="preserve"> </w:t>
      </w:r>
      <w:r w:rsidRPr="0038103C">
        <w:rPr>
          <w:rFonts w:ascii="Times New Roman" w:hAnsi="Times New Roman" w:cs="Times New Roman"/>
          <w:sz w:val="24"/>
          <w:szCs w:val="24"/>
        </w:rPr>
        <w:t>54</w:t>
      </w:r>
      <w:r w:rsidR="00DD4930">
        <w:rPr>
          <w:rFonts w:ascii="Times New Roman" w:hAnsi="Times New Roman" w:cs="Times New Roman"/>
          <w:sz w:val="24"/>
          <w:szCs w:val="24"/>
        </w:rPr>
        <w:t xml:space="preserve"> : </w:t>
      </w:r>
      <w:r w:rsidRPr="0038103C">
        <w:rPr>
          <w:rFonts w:ascii="Times New Roman" w:hAnsi="Times New Roman" w:cs="Times New Roman"/>
          <w:sz w:val="24"/>
          <w:szCs w:val="24"/>
        </w:rPr>
        <w:t xml:space="preserve">52-66.  </w:t>
      </w:r>
    </w:p>
    <w:p w:rsidR="00F85162" w:rsidRPr="0038103C" w:rsidRDefault="00ED0E3D" w:rsidP="0048035D">
      <w:pPr>
        <w:spacing w:after="0" w:line="360" w:lineRule="auto"/>
        <w:jc w:val="both"/>
        <w:rPr>
          <w:rFonts w:ascii="Times New Roman" w:hAnsi="Times New Roman" w:cs="Times New Roman"/>
          <w:sz w:val="24"/>
          <w:szCs w:val="24"/>
        </w:rPr>
      </w:pPr>
      <w:r w:rsidRPr="00AF4CEF">
        <w:rPr>
          <w:rFonts w:ascii="Times New Roman" w:hAnsi="Times New Roman" w:cs="Times New Roman"/>
          <w:sz w:val="24"/>
          <w:szCs w:val="24"/>
        </w:rPr>
        <w:t>–</w:t>
      </w:r>
      <w:r w:rsidR="00DD4930">
        <w:rPr>
          <w:rFonts w:ascii="Times New Roman" w:hAnsi="Times New Roman" w:cs="Times New Roman"/>
          <w:sz w:val="24"/>
          <w:szCs w:val="24"/>
        </w:rPr>
        <w:t xml:space="preserve"> (</w:t>
      </w:r>
      <w:r w:rsidR="00F85162" w:rsidRPr="0038103C">
        <w:rPr>
          <w:rFonts w:ascii="Times New Roman" w:hAnsi="Times New Roman" w:cs="Times New Roman"/>
          <w:sz w:val="24"/>
          <w:szCs w:val="24"/>
        </w:rPr>
        <w:t>2003</w:t>
      </w:r>
      <w:r w:rsidR="00DD4930">
        <w:rPr>
          <w:rFonts w:ascii="Times New Roman" w:hAnsi="Times New Roman" w:cs="Times New Roman"/>
          <w:sz w:val="24"/>
          <w:szCs w:val="24"/>
        </w:rPr>
        <w:t>) : « </w:t>
      </w:r>
      <w:r w:rsidR="00F85162" w:rsidRPr="0038103C">
        <w:rPr>
          <w:rFonts w:ascii="Times New Roman" w:hAnsi="Times New Roman" w:cs="Times New Roman"/>
          <w:sz w:val="24"/>
          <w:szCs w:val="24"/>
        </w:rPr>
        <w:t> L’effacement énonciatif dans les discours représentés et ses effets pragmatiques de sous- et de sur-énonciation », Estudios de Lengua y Literatura francesas</w:t>
      </w:r>
      <w:r w:rsidR="00DD4930">
        <w:rPr>
          <w:rFonts w:ascii="Times New Roman" w:hAnsi="Times New Roman" w:cs="Times New Roman"/>
          <w:sz w:val="24"/>
          <w:szCs w:val="24"/>
        </w:rPr>
        <w:t xml:space="preserve"> </w:t>
      </w:r>
      <w:r w:rsidR="00F85162" w:rsidRPr="0038103C">
        <w:rPr>
          <w:rFonts w:ascii="Times New Roman" w:hAnsi="Times New Roman" w:cs="Times New Roman"/>
          <w:sz w:val="24"/>
          <w:szCs w:val="24"/>
        </w:rPr>
        <w:t xml:space="preserve"> 14</w:t>
      </w:r>
      <w:r w:rsidR="00DD4930">
        <w:rPr>
          <w:rFonts w:ascii="Times New Roman" w:hAnsi="Times New Roman" w:cs="Times New Roman"/>
          <w:sz w:val="24"/>
          <w:szCs w:val="24"/>
        </w:rPr>
        <w:t xml:space="preserve"> : </w:t>
      </w:r>
      <w:r w:rsidR="00F85162" w:rsidRPr="0038103C">
        <w:rPr>
          <w:rFonts w:ascii="Times New Roman" w:hAnsi="Times New Roman" w:cs="Times New Roman"/>
          <w:sz w:val="24"/>
          <w:szCs w:val="24"/>
        </w:rPr>
        <w:t>33-61.</w:t>
      </w:r>
    </w:p>
    <w:p w:rsidR="00F85162" w:rsidRPr="0038103C" w:rsidRDefault="00ED0E3D" w:rsidP="0048035D">
      <w:pPr>
        <w:pStyle w:val="Paragraphedeliste"/>
        <w:spacing w:after="0" w:line="360" w:lineRule="auto"/>
        <w:ind w:left="0"/>
        <w:jc w:val="both"/>
        <w:rPr>
          <w:rFonts w:ascii="Times New Roman" w:hAnsi="Times New Roman" w:cs="Times New Roman"/>
          <w:sz w:val="24"/>
          <w:szCs w:val="24"/>
        </w:rPr>
      </w:pPr>
      <w:r w:rsidRPr="00AF4CEF">
        <w:rPr>
          <w:rFonts w:ascii="Times New Roman" w:hAnsi="Times New Roman" w:cs="Times New Roman"/>
          <w:sz w:val="24"/>
          <w:szCs w:val="24"/>
        </w:rPr>
        <w:t>–</w:t>
      </w:r>
      <w:r>
        <w:rPr>
          <w:rFonts w:ascii="Times New Roman" w:hAnsi="Times New Roman" w:cs="Times New Roman"/>
          <w:sz w:val="24"/>
          <w:szCs w:val="24"/>
        </w:rPr>
        <w:t xml:space="preserve"> </w:t>
      </w:r>
      <w:r w:rsidR="00DD4930">
        <w:rPr>
          <w:rFonts w:ascii="Times New Roman" w:hAnsi="Times New Roman" w:cs="Times New Roman"/>
          <w:sz w:val="24"/>
          <w:szCs w:val="24"/>
        </w:rPr>
        <w:t>(</w:t>
      </w:r>
      <w:r w:rsidR="00F85162" w:rsidRPr="0038103C">
        <w:rPr>
          <w:rFonts w:ascii="Times New Roman" w:hAnsi="Times New Roman" w:cs="Times New Roman"/>
          <w:sz w:val="24"/>
          <w:szCs w:val="24"/>
        </w:rPr>
        <w:t>2005</w:t>
      </w:r>
      <w:r w:rsidR="00DD4930">
        <w:rPr>
          <w:rFonts w:ascii="Times New Roman" w:hAnsi="Times New Roman" w:cs="Times New Roman"/>
          <w:sz w:val="24"/>
          <w:szCs w:val="24"/>
        </w:rPr>
        <w:t xml:space="preserve">) : </w:t>
      </w:r>
      <w:r w:rsidR="00F85162" w:rsidRPr="0038103C">
        <w:rPr>
          <w:rFonts w:ascii="Times New Roman" w:hAnsi="Times New Roman" w:cs="Times New Roman"/>
          <w:sz w:val="24"/>
          <w:szCs w:val="24"/>
        </w:rPr>
        <w:t>« Les postures énonciatives dans la co-construction dialogique des points de vue : coénonciation, surénonciation, sousénonciation », in J. Bres, P.P. Haillet, S. Mellet, H. Nølke</w:t>
      </w:r>
      <w:r>
        <w:rPr>
          <w:rFonts w:ascii="Times New Roman" w:hAnsi="Times New Roman" w:cs="Times New Roman"/>
          <w:sz w:val="24"/>
          <w:szCs w:val="24"/>
        </w:rPr>
        <w:t xml:space="preserve"> &amp;</w:t>
      </w:r>
      <w:r w:rsidR="00F85162" w:rsidRPr="0038103C">
        <w:rPr>
          <w:rFonts w:ascii="Times New Roman" w:hAnsi="Times New Roman" w:cs="Times New Roman"/>
          <w:sz w:val="24"/>
          <w:szCs w:val="24"/>
        </w:rPr>
        <w:t xml:space="preserve"> L. Rosier (éds), Dialogisme et polyphonie. Approches linguistiques,  Bruxelles</w:t>
      </w:r>
      <w:r w:rsidR="008F20D5">
        <w:rPr>
          <w:rFonts w:ascii="Times New Roman" w:hAnsi="Times New Roman" w:cs="Times New Roman"/>
          <w:sz w:val="24"/>
          <w:szCs w:val="24"/>
        </w:rPr>
        <w:t>,</w:t>
      </w:r>
      <w:r w:rsidR="00F85162" w:rsidRPr="0038103C">
        <w:rPr>
          <w:rFonts w:ascii="Times New Roman" w:hAnsi="Times New Roman" w:cs="Times New Roman"/>
          <w:sz w:val="24"/>
          <w:szCs w:val="24"/>
        </w:rPr>
        <w:t xml:space="preserve"> De Boeck &amp; Larcier, Éditions Duculot</w:t>
      </w:r>
      <w:r w:rsidR="00DD4930">
        <w:rPr>
          <w:rFonts w:ascii="Times New Roman" w:hAnsi="Times New Roman" w:cs="Times New Roman"/>
          <w:sz w:val="24"/>
          <w:szCs w:val="24"/>
        </w:rPr>
        <w:t xml:space="preserve"> : </w:t>
      </w:r>
      <w:r w:rsidR="00F85162" w:rsidRPr="0038103C">
        <w:rPr>
          <w:rFonts w:ascii="Times New Roman" w:hAnsi="Times New Roman" w:cs="Times New Roman"/>
          <w:sz w:val="24"/>
          <w:szCs w:val="24"/>
        </w:rPr>
        <w:t xml:space="preserve">95-110. </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Ricœur, P</w:t>
      </w:r>
      <w:r w:rsidR="00F96B07">
        <w:rPr>
          <w:rFonts w:ascii="Times New Roman" w:hAnsi="Times New Roman" w:cs="Times New Roman"/>
          <w:sz w:val="24"/>
          <w:szCs w:val="24"/>
        </w:rPr>
        <w:t>. (</w:t>
      </w:r>
      <w:r w:rsidRPr="0038103C">
        <w:rPr>
          <w:rFonts w:ascii="Times New Roman" w:hAnsi="Times New Roman" w:cs="Times New Roman"/>
          <w:sz w:val="24"/>
          <w:szCs w:val="24"/>
        </w:rPr>
        <w:t>2000</w:t>
      </w:r>
      <w:r w:rsidR="00F96B07">
        <w:rPr>
          <w:rFonts w:ascii="Times New Roman" w:hAnsi="Times New Roman" w:cs="Times New Roman"/>
          <w:sz w:val="24"/>
          <w:szCs w:val="24"/>
        </w:rPr>
        <w:t xml:space="preserve">) : </w:t>
      </w:r>
      <w:r w:rsidRPr="0038103C">
        <w:rPr>
          <w:rFonts w:ascii="Times New Roman" w:hAnsi="Times New Roman" w:cs="Times New Roman"/>
          <w:sz w:val="24"/>
          <w:szCs w:val="24"/>
        </w:rPr>
        <w:t xml:space="preserve">La Mémoire, l’Histoire, l’Oubli, Paris, Seuil. </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Rosier, L</w:t>
      </w:r>
      <w:r w:rsidR="00F96B07">
        <w:rPr>
          <w:rFonts w:ascii="Times New Roman" w:hAnsi="Times New Roman" w:cs="Times New Roman"/>
          <w:sz w:val="24"/>
          <w:szCs w:val="24"/>
        </w:rPr>
        <w:t>. (</w:t>
      </w:r>
      <w:r w:rsidRPr="0038103C">
        <w:rPr>
          <w:rFonts w:ascii="Times New Roman" w:hAnsi="Times New Roman" w:cs="Times New Roman"/>
          <w:sz w:val="24"/>
          <w:szCs w:val="24"/>
        </w:rPr>
        <w:t>2008</w:t>
      </w:r>
      <w:r w:rsidR="00F96B07">
        <w:rPr>
          <w:rFonts w:ascii="Times New Roman" w:hAnsi="Times New Roman" w:cs="Times New Roman"/>
          <w:sz w:val="24"/>
          <w:szCs w:val="24"/>
        </w:rPr>
        <w:t xml:space="preserve">) : </w:t>
      </w:r>
      <w:r w:rsidRPr="0038103C">
        <w:rPr>
          <w:rFonts w:ascii="Times New Roman" w:hAnsi="Times New Roman" w:cs="Times New Roman"/>
          <w:sz w:val="24"/>
          <w:szCs w:val="24"/>
        </w:rPr>
        <w:t>Le discours rapporté en français, Paris, Ophrys.</w:t>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Veyne, P</w:t>
      </w:r>
      <w:r w:rsidR="00F96B07">
        <w:rPr>
          <w:rFonts w:ascii="Times New Roman" w:hAnsi="Times New Roman" w:cs="Times New Roman"/>
          <w:sz w:val="24"/>
          <w:szCs w:val="24"/>
        </w:rPr>
        <w:t xml:space="preserve">. </w:t>
      </w:r>
      <w:r w:rsidRPr="0038103C">
        <w:rPr>
          <w:rFonts w:ascii="Times New Roman" w:hAnsi="Times New Roman" w:cs="Times New Roman"/>
          <w:sz w:val="24"/>
          <w:szCs w:val="24"/>
        </w:rPr>
        <w:t>1978</w:t>
      </w:r>
      <w:r w:rsidR="00F96B07">
        <w:rPr>
          <w:rFonts w:ascii="Times New Roman" w:hAnsi="Times New Roman" w:cs="Times New Roman"/>
          <w:sz w:val="24"/>
          <w:szCs w:val="24"/>
        </w:rPr>
        <w:t xml:space="preserve"> [1971] : </w:t>
      </w:r>
      <w:r w:rsidRPr="0038103C">
        <w:rPr>
          <w:rFonts w:ascii="Times New Roman" w:hAnsi="Times New Roman" w:cs="Times New Roman"/>
          <w:sz w:val="24"/>
          <w:szCs w:val="24"/>
        </w:rPr>
        <w:t xml:space="preserve">Comment on écrit l’histoire suivi de Foucault révolutionne l’histoire, Paris, Seuil.   </w:t>
      </w:r>
    </w:p>
    <w:p w:rsidR="00F85162" w:rsidRPr="0038103C" w:rsidRDefault="00F85162" w:rsidP="0048035D">
      <w:pPr>
        <w:pStyle w:val="Paragraphedeliste"/>
        <w:tabs>
          <w:tab w:val="left" w:pos="5706"/>
        </w:tabs>
        <w:spacing w:after="0" w:line="360" w:lineRule="auto"/>
        <w:ind w:left="0"/>
        <w:jc w:val="both"/>
        <w:rPr>
          <w:rFonts w:ascii="Times New Roman" w:hAnsi="Times New Roman" w:cs="Times New Roman"/>
          <w:sz w:val="24"/>
          <w:szCs w:val="24"/>
        </w:rPr>
      </w:pPr>
      <w:r w:rsidRPr="0038103C">
        <w:rPr>
          <w:rFonts w:ascii="Times New Roman" w:hAnsi="Times New Roman" w:cs="Times New Roman"/>
          <w:sz w:val="24"/>
          <w:szCs w:val="24"/>
        </w:rPr>
        <w:tab/>
      </w: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p>
    <w:p w:rsidR="00F85162" w:rsidRPr="0038103C" w:rsidRDefault="00F85162" w:rsidP="0048035D">
      <w:pPr>
        <w:pStyle w:val="Paragraphedeliste"/>
        <w:spacing w:after="0" w:line="360" w:lineRule="auto"/>
        <w:ind w:left="0"/>
        <w:jc w:val="both"/>
        <w:rPr>
          <w:rFonts w:ascii="Times New Roman" w:hAnsi="Times New Roman" w:cs="Times New Roman"/>
          <w:sz w:val="24"/>
          <w:szCs w:val="24"/>
        </w:rPr>
      </w:pPr>
    </w:p>
    <w:p w:rsidR="0097781A" w:rsidRPr="0038103C" w:rsidRDefault="000D4F28" w:rsidP="0048035D">
      <w:pPr>
        <w:spacing w:line="360" w:lineRule="auto"/>
      </w:pPr>
    </w:p>
    <w:sectPr w:rsidR="0097781A" w:rsidRPr="0038103C" w:rsidSect="00555E43">
      <w:footnotePr>
        <w:pos w:val="beneathText"/>
      </w:footnotePr>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09" w:rsidRDefault="006F3709" w:rsidP="00F85162">
      <w:pPr>
        <w:spacing w:after="0" w:line="240" w:lineRule="auto"/>
      </w:pPr>
      <w:r>
        <w:separator/>
      </w:r>
    </w:p>
  </w:endnote>
  <w:endnote w:type="continuationSeparator" w:id="0">
    <w:p w:rsidR="006F3709" w:rsidRDefault="006F3709" w:rsidP="00F85162">
      <w:pPr>
        <w:spacing w:after="0" w:line="240" w:lineRule="auto"/>
      </w:pPr>
      <w:r>
        <w:continuationSeparator/>
      </w:r>
    </w:p>
  </w:endnote>
  <w:endnote w:id="1">
    <w:p w:rsidR="0048035D" w:rsidRPr="00E537B4" w:rsidRDefault="0048035D">
      <w:pPr>
        <w:pStyle w:val="Notedefin"/>
        <w:rPr>
          <w:rFonts w:ascii="Times New Roman" w:hAnsi="Times New Roman" w:cs="Times New Roman"/>
        </w:rPr>
      </w:pPr>
      <w:r w:rsidRPr="00E537B4">
        <w:rPr>
          <w:rStyle w:val="Marquedenotedefin"/>
          <w:rFonts w:ascii="Times New Roman" w:hAnsi="Times New Roman" w:cs="Times New Roman"/>
        </w:rPr>
        <w:endnoteRef/>
      </w:r>
      <w:r w:rsidRPr="00E537B4">
        <w:rPr>
          <w:rFonts w:ascii="Times New Roman" w:hAnsi="Times New Roman" w:cs="Times New Roman"/>
        </w:rPr>
        <w:t xml:space="preserve"> Cf</w:t>
      </w:r>
      <w:r>
        <w:rPr>
          <w:rFonts w:ascii="Times New Roman" w:hAnsi="Times New Roman" w:cs="Times New Roman"/>
        </w:rPr>
        <w:t>r</w:t>
      </w:r>
      <w:r w:rsidRPr="00E537B4">
        <w:rPr>
          <w:rFonts w:ascii="Times New Roman" w:hAnsi="Times New Roman" w:cs="Times New Roman"/>
        </w:rPr>
        <w:t xml:space="preserve">. aussi Clerc (1997). </w:t>
      </w:r>
    </w:p>
  </w:endnote>
  <w:endnote w:id="2">
    <w:p w:rsidR="0048035D" w:rsidRPr="003F57E0" w:rsidRDefault="0048035D" w:rsidP="00EA56A0">
      <w:pPr>
        <w:pStyle w:val="Notedefin"/>
        <w:jc w:val="both"/>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 </w:t>
      </w:r>
      <w:r w:rsidRPr="003F57E0">
        <w:rPr>
          <w:rFonts w:ascii="Times New Roman" w:hAnsi="Times New Roman" w:cs="Times New Roman"/>
        </w:rPr>
        <w:t xml:space="preserve">Pour sortir du harem, il faut entrer dans le roman », écrit Heinich (1996 : 296).    </w:t>
      </w:r>
    </w:p>
  </w:endnote>
  <w:endnote w:id="3">
    <w:p w:rsidR="008334B4" w:rsidRPr="003F57E0" w:rsidRDefault="008334B4" w:rsidP="008334B4">
      <w:pPr>
        <w:pStyle w:val="Notedefin"/>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 xml:space="preserve">La scénographie est la « scène de parole que le discours présuppose pour pouvoir être énoncé et qu’en retour il doit valider à travers son énonciation même » (Maingueneau 2004 : 192). </w:t>
      </w:r>
    </w:p>
  </w:endnote>
  <w:endnote w:id="4">
    <w:p w:rsidR="0048035D" w:rsidRPr="003F57E0" w:rsidRDefault="0048035D" w:rsidP="0070341E">
      <w:pPr>
        <w:pStyle w:val="Notedefin"/>
        <w:jc w:val="both"/>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008334B4">
        <w:rPr>
          <w:rFonts w:ascii="Times New Roman" w:hAnsi="Times New Roman" w:cs="Times New Roman"/>
        </w:rPr>
        <w:t>En l’occurrence, il s’agit d’un roman autobiographique, dont l</w:t>
      </w:r>
      <w:r w:rsidRPr="003F57E0">
        <w:rPr>
          <w:rFonts w:ascii="Times New Roman" w:hAnsi="Times New Roman" w:cs="Times New Roman"/>
        </w:rPr>
        <w:t>a stratégie consiste « à émettre des prescriptions de lecture contradictoires » (Gasparini 2004 : 14)</w:t>
      </w:r>
      <w:r w:rsidR="008334B4">
        <w:rPr>
          <w:rFonts w:ascii="Times New Roman" w:hAnsi="Times New Roman" w:cs="Times New Roman"/>
        </w:rPr>
        <w:t xml:space="preserve">. Ici, </w:t>
      </w:r>
      <w:r w:rsidRPr="003F57E0">
        <w:rPr>
          <w:rFonts w:ascii="Times New Roman" w:hAnsi="Times New Roman" w:cs="Times New Roman"/>
        </w:rPr>
        <w:t xml:space="preserve">l’accent sera mis sur le volet autobiographique.   </w:t>
      </w:r>
    </w:p>
  </w:endnote>
  <w:endnote w:id="5">
    <w:p w:rsidR="0048035D" w:rsidRPr="003F57E0" w:rsidRDefault="0048035D" w:rsidP="00616736">
      <w:pPr>
        <w:pStyle w:val="Notedefin"/>
        <w:jc w:val="both"/>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Cf</w:t>
      </w:r>
      <w:r>
        <w:rPr>
          <w:rFonts w:ascii="Times New Roman" w:hAnsi="Times New Roman" w:cs="Times New Roman"/>
        </w:rPr>
        <w:t>r</w:t>
      </w:r>
      <w:r w:rsidRPr="003F57E0">
        <w:rPr>
          <w:rFonts w:ascii="Times New Roman" w:hAnsi="Times New Roman" w:cs="Times New Roman"/>
        </w:rPr>
        <w:t xml:space="preserve">. Didier (1981 : 19) au sujet de la littérature féminine : « Jusqu’à une époque récente, les genres littéraires qui ont été le plus représentés dans la littérature féminine sont incontestablement ceux du "je" : poésie, lettre, journal intime, roman. La poésie féminine a été plus lyrique qu’épique ; le roman féminin est souvent chargé de flux autobiographique. […] De cet "égotisme" de la littérature féminine, il est bien difficile de savoir s’il faut rendre responsable la société ou le prétendu caractère féminin ». </w:t>
      </w:r>
    </w:p>
  </w:endnote>
  <w:endnote w:id="6">
    <w:p w:rsidR="0048035D" w:rsidRPr="003F57E0" w:rsidRDefault="0048035D" w:rsidP="00F85162">
      <w:pPr>
        <w:spacing w:after="0" w:line="240" w:lineRule="auto"/>
        <w:jc w:val="both"/>
        <w:rPr>
          <w:rFonts w:ascii="Times New Roman" w:hAnsi="Times New Roman" w:cs="Times New Roman"/>
        </w:rPr>
      </w:pPr>
      <w:r w:rsidRPr="003F57E0">
        <w:rPr>
          <w:rStyle w:val="Marquedenotedefin"/>
          <w:rFonts w:ascii="Times New Roman" w:hAnsi="Times New Roman" w:cs="Times New Roman"/>
          <w:sz w:val="20"/>
          <w:szCs w:val="20"/>
        </w:rPr>
        <w:endnoteRef/>
      </w:r>
      <w:r w:rsidRPr="003F57E0">
        <w:rPr>
          <w:rFonts w:ascii="Times New Roman" w:hAnsi="Times New Roman" w:cs="Times New Roman"/>
          <w:sz w:val="20"/>
          <w:szCs w:val="20"/>
        </w:rPr>
        <w:t xml:space="preserve"> </w:t>
      </w:r>
      <w:r w:rsidRPr="003F57E0">
        <w:rPr>
          <w:rFonts w:ascii="Times New Roman" w:hAnsi="Times New Roman" w:cs="Times New Roman"/>
          <w:sz w:val="20"/>
          <w:szCs w:val="20"/>
        </w:rPr>
        <w:t xml:space="preserve">C’est en prenant ses distances par rapport au récit de l’historien Tabari qu’Assia Djebar met en scène, dans </w:t>
      </w:r>
      <w:r w:rsidRPr="003F57E0">
        <w:rPr>
          <w:rFonts w:ascii="Times New Roman" w:hAnsi="Times New Roman" w:cs="Times New Roman"/>
          <w:i/>
          <w:sz w:val="20"/>
          <w:szCs w:val="20"/>
        </w:rPr>
        <w:t>Loin de Médine</w:t>
      </w:r>
      <w:r w:rsidRPr="003F57E0">
        <w:rPr>
          <w:rFonts w:ascii="Times New Roman" w:hAnsi="Times New Roman" w:cs="Times New Roman"/>
          <w:sz w:val="20"/>
          <w:szCs w:val="20"/>
        </w:rPr>
        <w:t xml:space="preserve">, les femmes qui, pendant les derniers jours du Prophète, ont influé sur les batailles visant à consolider son pouvoir. </w:t>
      </w:r>
    </w:p>
  </w:endnote>
  <w:endnote w:id="7">
    <w:p w:rsidR="0048035D" w:rsidRPr="00B43F03" w:rsidRDefault="0048035D">
      <w:pPr>
        <w:pStyle w:val="Notedefin"/>
        <w:rPr>
          <w:rFonts w:ascii="Times New Roman" w:hAnsi="Times New Roman" w:cs="Times New Roman"/>
        </w:rPr>
      </w:pPr>
      <w:r w:rsidRPr="00B43F03">
        <w:rPr>
          <w:rStyle w:val="Marquedenotedefin"/>
          <w:rFonts w:ascii="Times New Roman" w:hAnsi="Times New Roman" w:cs="Times New Roman"/>
        </w:rPr>
        <w:endnoteRef/>
      </w:r>
      <w:r w:rsidRPr="00B43F03">
        <w:rPr>
          <w:rFonts w:ascii="Times New Roman" w:hAnsi="Times New Roman" w:cs="Times New Roman"/>
        </w:rPr>
        <w:t xml:space="preserve"> </w:t>
      </w:r>
      <w:r w:rsidRPr="00B43F03">
        <w:rPr>
          <w:rFonts w:ascii="Times New Roman" w:hAnsi="Times New Roman" w:cs="Times New Roman"/>
        </w:rPr>
        <w:t xml:space="preserve">Au sujet du féminin redéfini comme subversif, voir aussi Naudier (2001). </w:t>
      </w:r>
    </w:p>
  </w:endnote>
  <w:endnote w:id="8">
    <w:p w:rsidR="0048035D" w:rsidRPr="003F57E0" w:rsidRDefault="0048035D" w:rsidP="00F85162">
      <w:pPr>
        <w:pStyle w:val="Notedefin"/>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Au sujet de cet imaginaire, cf</w:t>
      </w:r>
      <w:r>
        <w:rPr>
          <w:rFonts w:ascii="Times New Roman" w:hAnsi="Times New Roman" w:cs="Times New Roman"/>
        </w:rPr>
        <w:t>r</w:t>
      </w:r>
      <w:r w:rsidRPr="003F57E0">
        <w:rPr>
          <w:rFonts w:ascii="Times New Roman" w:hAnsi="Times New Roman" w:cs="Times New Roman"/>
        </w:rPr>
        <w:t xml:space="preserve">. Orlandi (2002). </w:t>
      </w:r>
    </w:p>
  </w:endnote>
  <w:endnote w:id="9">
    <w:p w:rsidR="0048035D" w:rsidRPr="003F57E0" w:rsidRDefault="0048035D" w:rsidP="00F85162">
      <w:pPr>
        <w:pStyle w:val="Notedefin"/>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 xml:space="preserve">Significativement, le cri se voit refuser l’expression directe à travers une onomatopée ou une interjection.  </w:t>
      </w:r>
    </w:p>
  </w:endnote>
  <w:endnote w:id="10">
    <w:p w:rsidR="0048035D" w:rsidRPr="003F57E0" w:rsidRDefault="0048035D" w:rsidP="00866BB6">
      <w:pPr>
        <w:pStyle w:val="Notedefin"/>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On renvoie à l’édition de poche (</w:t>
      </w:r>
      <w:r w:rsidRPr="003F57E0">
        <w:rPr>
          <w:rFonts w:ascii="Times New Roman" w:hAnsi="Times New Roman" w:cs="Times New Roman"/>
          <w:i/>
        </w:rPr>
        <w:t>L’Amour, la fantasia</w:t>
      </w:r>
      <w:r w:rsidRPr="003F57E0">
        <w:rPr>
          <w:rFonts w:ascii="Times New Roman" w:hAnsi="Times New Roman" w:cs="Times New Roman"/>
        </w:rPr>
        <w:t xml:space="preserve">, Paris, Éditions Albin Michel) de 1995.  </w:t>
      </w:r>
    </w:p>
  </w:endnote>
  <w:endnote w:id="11">
    <w:p w:rsidR="0048035D" w:rsidRPr="003F57E0" w:rsidRDefault="0048035D" w:rsidP="003F57E0">
      <w:pPr>
        <w:pStyle w:val="Notedefin"/>
        <w:jc w:val="both"/>
        <w:rPr>
          <w:rFonts w:ascii="Times New Roman" w:hAnsi="Times New Roman" w:cs="Times New Roman"/>
        </w:rPr>
      </w:pPr>
      <w:r w:rsidRPr="003F57E0">
        <w:rPr>
          <w:rStyle w:val="Marquedenotedefin"/>
          <w:rFonts w:ascii="Times New Roman" w:hAnsi="Times New Roman" w:cs="Times New Roman"/>
        </w:rPr>
        <w:endnoteRef/>
      </w:r>
      <w:r w:rsidRPr="003F57E0">
        <w:rPr>
          <w:rFonts w:ascii="Times New Roman" w:hAnsi="Times New Roman" w:cs="Times New Roman"/>
        </w:rPr>
        <w:t xml:space="preserve"> </w:t>
      </w:r>
      <w:r w:rsidRPr="003F57E0">
        <w:rPr>
          <w:rFonts w:ascii="Times New Roman" w:hAnsi="Times New Roman" w:cs="Times New Roman"/>
        </w:rPr>
        <w:t>Cf</w:t>
      </w:r>
      <w:r>
        <w:rPr>
          <w:rFonts w:ascii="Times New Roman" w:hAnsi="Times New Roman" w:cs="Times New Roman"/>
        </w:rPr>
        <w:t>r</w:t>
      </w:r>
      <w:r w:rsidRPr="003F57E0">
        <w:rPr>
          <w:rFonts w:ascii="Times New Roman" w:hAnsi="Times New Roman" w:cs="Times New Roman"/>
        </w:rPr>
        <w:t>. Rabatel : le surénonciateur « propose un PDV [point de vue] qui est constamment maintenu au centre de l’interaction » (2005 : 196).</w:t>
      </w:r>
    </w:p>
  </w:endnote>
  <w:endnote w:id="12">
    <w:p w:rsidR="0048035D" w:rsidRPr="003F57E0" w:rsidRDefault="0048035D" w:rsidP="00F85162">
      <w:pPr>
        <w:spacing w:after="0" w:line="240" w:lineRule="auto"/>
        <w:jc w:val="both"/>
        <w:rPr>
          <w:rFonts w:ascii="Times New Roman" w:hAnsi="Times New Roman" w:cs="Times New Roman"/>
          <w:sz w:val="20"/>
          <w:szCs w:val="20"/>
        </w:rPr>
      </w:pPr>
      <w:r w:rsidRPr="003F57E0">
        <w:rPr>
          <w:rStyle w:val="Marquedenotedefin"/>
          <w:rFonts w:ascii="Times New Roman" w:hAnsi="Times New Roman" w:cs="Times New Roman"/>
          <w:sz w:val="20"/>
          <w:szCs w:val="20"/>
        </w:rPr>
        <w:endnoteRef/>
      </w:r>
      <w:r w:rsidRPr="003F57E0">
        <w:rPr>
          <w:rFonts w:ascii="Times New Roman" w:hAnsi="Times New Roman" w:cs="Times New Roman"/>
          <w:sz w:val="20"/>
          <w:szCs w:val="20"/>
        </w:rPr>
        <w:t xml:space="preserve"> </w:t>
      </w:r>
      <w:r w:rsidRPr="003F57E0">
        <w:rPr>
          <w:rFonts w:ascii="Times New Roman" w:hAnsi="Times New Roman" w:cs="Times New Roman"/>
          <w:sz w:val="20"/>
          <w:szCs w:val="20"/>
        </w:rPr>
        <w:t>« </w:t>
      </w:r>
      <w:r w:rsidRPr="003F57E0">
        <w:rPr>
          <w:rFonts w:ascii="Times New Roman" w:hAnsi="Times New Roman" w:cs="Times New Roman"/>
          <w:sz w:val="20"/>
          <w:szCs w:val="20"/>
        </w:rPr>
        <w:t xml:space="preserve">Jamais le  </w:t>
      </w:r>
      <w:r>
        <w:rPr>
          <w:rFonts w:ascii="Times New Roman" w:hAnsi="Times New Roman" w:cs="Times New Roman"/>
          <w:sz w:val="20"/>
          <w:szCs w:val="20"/>
        </w:rPr>
        <w:t>"</w:t>
      </w:r>
      <w:r w:rsidRPr="003F57E0">
        <w:rPr>
          <w:rFonts w:ascii="Times New Roman" w:hAnsi="Times New Roman" w:cs="Times New Roman"/>
          <w:sz w:val="20"/>
          <w:szCs w:val="20"/>
        </w:rPr>
        <w:t>je</w:t>
      </w:r>
      <w:r>
        <w:rPr>
          <w:rFonts w:ascii="Times New Roman" w:hAnsi="Times New Roman" w:cs="Times New Roman"/>
          <w:sz w:val="20"/>
          <w:szCs w:val="20"/>
        </w:rPr>
        <w:t>"</w:t>
      </w:r>
      <w:r w:rsidRPr="003F57E0">
        <w:rPr>
          <w:rFonts w:ascii="Times New Roman" w:hAnsi="Times New Roman" w:cs="Times New Roman"/>
          <w:sz w:val="20"/>
          <w:szCs w:val="20"/>
        </w:rPr>
        <w:t xml:space="preserve"> de la première personne ne sera utilisé : la voix a déposé, en formules stéréotypées, sa charge de rancune et de râles échardant la gorge. Chaque femme, écorchée au-dedans, s’est apaisée dans l’écoute collective » (221)</w:t>
      </w:r>
      <w:r>
        <w:rPr>
          <w:rFonts w:ascii="Times New Roman" w:hAnsi="Times New Roman" w:cs="Times New Roman"/>
          <w:sz w:val="20"/>
          <w:szCs w:val="20"/>
        </w:rPr>
        <w:t xml:space="preserve"> ; </w:t>
      </w:r>
      <w:r w:rsidRPr="003F57E0">
        <w:rPr>
          <w:rFonts w:ascii="Times New Roman" w:hAnsi="Times New Roman" w:cs="Times New Roman"/>
          <w:sz w:val="20"/>
          <w:szCs w:val="20"/>
        </w:rPr>
        <w:t xml:space="preserve">« Comment dire </w:t>
      </w:r>
      <w:r>
        <w:rPr>
          <w:rFonts w:ascii="Times New Roman" w:hAnsi="Times New Roman" w:cs="Times New Roman"/>
          <w:sz w:val="20"/>
          <w:szCs w:val="20"/>
        </w:rPr>
        <w:t>"</w:t>
      </w:r>
      <w:r w:rsidRPr="003F57E0">
        <w:rPr>
          <w:rFonts w:ascii="Times New Roman" w:hAnsi="Times New Roman" w:cs="Times New Roman"/>
          <w:sz w:val="20"/>
          <w:szCs w:val="20"/>
        </w:rPr>
        <w:t>je</w:t>
      </w:r>
      <w:r>
        <w:rPr>
          <w:rFonts w:ascii="Times New Roman" w:hAnsi="Times New Roman" w:cs="Times New Roman"/>
          <w:sz w:val="20"/>
          <w:szCs w:val="20"/>
        </w:rPr>
        <w:t>"</w:t>
      </w:r>
      <w:r w:rsidRPr="003F57E0">
        <w:rPr>
          <w:rFonts w:ascii="Times New Roman" w:hAnsi="Times New Roman" w:cs="Times New Roman"/>
          <w:sz w:val="20"/>
          <w:szCs w:val="20"/>
        </w:rPr>
        <w:t>, puisque ce serait dédaigner les formules-couvertures qui maintiennent le trajet individuel dans la résignation collective</w:t>
      </w:r>
      <w:r w:rsidRPr="003F57E0">
        <w:rPr>
          <w:rFonts w:ascii="Times New Roman" w:hAnsi="Times New Roman" w:cs="Times New Roman"/>
          <w:i/>
          <w:sz w:val="20"/>
          <w:szCs w:val="20"/>
        </w:rPr>
        <w:t> </w:t>
      </w:r>
      <w:r w:rsidRPr="003F57E0">
        <w:rPr>
          <w:rFonts w:ascii="Times New Roman" w:hAnsi="Times New Roman" w:cs="Times New Roman"/>
          <w:sz w:val="20"/>
          <w:szCs w:val="20"/>
        </w:rPr>
        <w:t>?</w:t>
      </w:r>
      <w:r>
        <w:rPr>
          <w:rFonts w:ascii="Times New Roman" w:hAnsi="Times New Roman" w:cs="Times New Roman"/>
          <w:sz w:val="20"/>
          <w:szCs w:val="20"/>
        </w:rPr>
        <w:t xml:space="preserve">... </w:t>
      </w:r>
      <w:r w:rsidRPr="003F57E0">
        <w:rPr>
          <w:rFonts w:ascii="Times New Roman" w:hAnsi="Times New Roman" w:cs="Times New Roman"/>
          <w:sz w:val="20"/>
          <w:szCs w:val="20"/>
        </w:rPr>
        <w:t> » (223).</w:t>
      </w:r>
    </w:p>
  </w:endnote>
  <w:endnote w:id="13">
    <w:p w:rsidR="00B170F9" w:rsidRPr="00A26B2F" w:rsidRDefault="00B170F9" w:rsidP="00B170F9">
      <w:pPr>
        <w:pStyle w:val="Notedefin"/>
        <w:rPr>
          <w:rFonts w:ascii="Times New Roman" w:hAnsi="Times New Roman" w:cs="Times New Roman"/>
        </w:rPr>
      </w:pPr>
      <w:r w:rsidRPr="00A26B2F">
        <w:rPr>
          <w:rStyle w:val="Marquedenotedefin"/>
          <w:rFonts w:ascii="Times New Roman" w:hAnsi="Times New Roman" w:cs="Times New Roman"/>
        </w:rPr>
        <w:endnoteRef/>
      </w:r>
      <w:r w:rsidRPr="00A26B2F">
        <w:rPr>
          <w:rFonts w:ascii="Times New Roman" w:hAnsi="Times New Roman" w:cs="Times New Roman"/>
        </w:rPr>
        <w:t xml:space="preserve"> </w:t>
      </w:r>
      <w:r w:rsidRPr="00A26B2F">
        <w:rPr>
          <w:rFonts w:ascii="Times New Roman" w:hAnsi="Times New Roman" w:cs="Times New Roman"/>
        </w:rPr>
        <w:t xml:space="preserve">À ce sujet, </w:t>
      </w:r>
      <w:r w:rsidR="0091286B">
        <w:rPr>
          <w:rFonts w:ascii="Times New Roman" w:hAnsi="Times New Roman" w:cs="Times New Roman"/>
        </w:rPr>
        <w:t xml:space="preserve">cfr. aussi </w:t>
      </w:r>
      <w:r w:rsidRPr="00A26B2F">
        <w:rPr>
          <w:rFonts w:ascii="Times New Roman" w:hAnsi="Times New Roman" w:cs="Times New Roman"/>
        </w:rPr>
        <w:t>Colas-Blaise</w:t>
      </w:r>
      <w:r>
        <w:rPr>
          <w:rFonts w:ascii="Times New Roman" w:hAnsi="Times New Roman" w:cs="Times New Roman"/>
        </w:rPr>
        <w:t xml:space="preserve"> (2004). </w:t>
      </w:r>
      <w:r w:rsidRPr="00A26B2F">
        <w:rPr>
          <w:rFonts w:ascii="Times New Roman" w:hAnsi="Times New Roman" w:cs="Times New Roman"/>
        </w:rPr>
        <w:t xml:space="preserve">  </w:t>
      </w:r>
    </w:p>
  </w:endnote>
  <w:endnote w:id="14">
    <w:p w:rsidR="0048035D" w:rsidRPr="00A26B2F" w:rsidRDefault="0048035D">
      <w:pPr>
        <w:pStyle w:val="Notedefin"/>
        <w:rPr>
          <w:rFonts w:ascii="Times New Roman" w:hAnsi="Times New Roman" w:cs="Times New Roman"/>
        </w:rPr>
      </w:pPr>
      <w:r w:rsidRPr="00A26B2F">
        <w:rPr>
          <w:rStyle w:val="Marquedenotedefin"/>
          <w:rFonts w:ascii="Times New Roman" w:hAnsi="Times New Roman" w:cs="Times New Roman"/>
        </w:rPr>
        <w:endnoteRef/>
      </w:r>
      <w:r w:rsidRPr="00A26B2F">
        <w:rPr>
          <w:rFonts w:ascii="Times New Roman" w:hAnsi="Times New Roman" w:cs="Times New Roman"/>
        </w:rPr>
        <w:t xml:space="preserve"> </w:t>
      </w:r>
      <w:r>
        <w:rPr>
          <w:rFonts w:ascii="Times New Roman" w:hAnsi="Times New Roman" w:cs="Times New Roman"/>
        </w:rPr>
        <w:t xml:space="preserve">À propos de la monstration, cf. également </w:t>
      </w:r>
      <w:r w:rsidRPr="00A26B2F">
        <w:rPr>
          <w:rFonts w:ascii="Times New Roman" w:hAnsi="Times New Roman" w:cs="Times New Roman"/>
        </w:rPr>
        <w:t xml:space="preserve">Authier-Revuz, </w:t>
      </w:r>
      <w:r>
        <w:rPr>
          <w:rFonts w:ascii="Times New Roman" w:hAnsi="Times New Roman" w:cs="Times New Roman"/>
        </w:rPr>
        <w:t xml:space="preserve">notamment (2004). </w:t>
      </w:r>
    </w:p>
  </w:endnote>
  <w:endnote w:id="15">
    <w:p w:rsidR="0048035D" w:rsidRPr="001562FE" w:rsidRDefault="0048035D" w:rsidP="00F85162">
      <w:pPr>
        <w:pStyle w:val="Notedefin"/>
        <w:jc w:val="both"/>
        <w:rPr>
          <w:rFonts w:ascii="Times New Roman" w:hAnsi="Times New Roman" w:cs="Times New Roman"/>
        </w:rPr>
      </w:pPr>
      <w:r w:rsidRPr="001562FE">
        <w:rPr>
          <w:rStyle w:val="Marquedenotedefin"/>
          <w:rFonts w:ascii="Times New Roman" w:hAnsi="Times New Roman" w:cs="Times New Roman"/>
        </w:rPr>
        <w:endnoteRef/>
      </w:r>
      <w:r w:rsidRPr="001562FE">
        <w:rPr>
          <w:rFonts w:ascii="Times New Roman" w:hAnsi="Times New Roman" w:cs="Times New Roman"/>
        </w:rPr>
        <w:t xml:space="preserve"> </w:t>
      </w:r>
      <w:r w:rsidRPr="001562FE">
        <w:rPr>
          <w:rFonts w:ascii="Times New Roman" w:hAnsi="Times New Roman" w:cs="Times New Roman"/>
        </w:rPr>
        <w:t>Cf</w:t>
      </w:r>
      <w:r>
        <w:rPr>
          <w:rFonts w:ascii="Times New Roman" w:hAnsi="Times New Roman" w:cs="Times New Roman"/>
        </w:rPr>
        <w:t>r</w:t>
      </w:r>
      <w:r w:rsidRPr="001562FE">
        <w:rPr>
          <w:rFonts w:ascii="Times New Roman" w:hAnsi="Times New Roman" w:cs="Times New Roman"/>
        </w:rPr>
        <w:t xml:space="preserve">. Butler (1999 : 77) : « Chaque fois que la distinction entre l’esprit et le corps est reproduite sans esprit critique, n’oublions jamais la hiérarchie de genre que cette distinction a traditionnellement servi à produire, à maintenir et à rationaliser ». </w:t>
      </w:r>
    </w:p>
  </w:endnote>
  <w:endnote w:id="16">
    <w:p w:rsidR="0048035D" w:rsidRPr="001562FE" w:rsidRDefault="0048035D" w:rsidP="003C2371">
      <w:pPr>
        <w:pStyle w:val="Notedefin"/>
        <w:jc w:val="both"/>
        <w:rPr>
          <w:rFonts w:ascii="Times New Roman" w:hAnsi="Times New Roman" w:cs="Times New Roman"/>
        </w:rPr>
      </w:pPr>
      <w:r w:rsidRPr="001562FE">
        <w:rPr>
          <w:rStyle w:val="Marquedenotedefin"/>
          <w:rFonts w:ascii="Times New Roman" w:hAnsi="Times New Roman" w:cs="Times New Roman"/>
        </w:rPr>
        <w:endnoteRef/>
      </w:r>
      <w:r w:rsidRPr="001562FE">
        <w:rPr>
          <w:rFonts w:ascii="Times New Roman" w:hAnsi="Times New Roman" w:cs="Times New Roman"/>
        </w:rPr>
        <w:t xml:space="preserve"> </w:t>
      </w:r>
      <w:r w:rsidRPr="001562FE">
        <w:rPr>
          <w:rFonts w:ascii="Times New Roman" w:hAnsi="Times New Roman" w:cs="Times New Roman"/>
        </w:rPr>
        <w:t>« </w:t>
      </w:r>
      <w:r w:rsidRPr="001562FE">
        <w:rPr>
          <w:rFonts w:ascii="Times New Roman" w:hAnsi="Times New Roman" w:cs="Times New Roman"/>
        </w:rPr>
        <w:t>Écrire ne tue pas la voix, mais la réveille, surtout pour ressusciter tant de sœurs disparues » (285).</w:t>
      </w:r>
    </w:p>
  </w:endnote>
  <w:endnote w:id="17">
    <w:p w:rsidR="0048035D" w:rsidRPr="001562FE" w:rsidRDefault="0048035D" w:rsidP="003C2371">
      <w:pPr>
        <w:pStyle w:val="Notedefin"/>
        <w:jc w:val="both"/>
        <w:rPr>
          <w:rFonts w:ascii="Times New Roman" w:hAnsi="Times New Roman" w:cs="Times New Roman"/>
        </w:rPr>
      </w:pPr>
      <w:r w:rsidRPr="001562FE">
        <w:rPr>
          <w:rStyle w:val="Marquedenotedefin"/>
          <w:rFonts w:ascii="Times New Roman" w:hAnsi="Times New Roman" w:cs="Times New Roman"/>
        </w:rPr>
        <w:endnoteRef/>
      </w:r>
      <w:r w:rsidRPr="001562FE">
        <w:rPr>
          <w:rFonts w:ascii="Times New Roman" w:hAnsi="Times New Roman" w:cs="Times New Roman"/>
        </w:rPr>
        <w:t xml:space="preserve"> </w:t>
      </w:r>
      <w:r w:rsidRPr="001562FE">
        <w:rPr>
          <w:rFonts w:ascii="Times New Roman" w:hAnsi="Times New Roman" w:cs="Times New Roman"/>
        </w:rPr>
        <w:t xml:space="preserve">«  </w:t>
      </w:r>
      <w:r w:rsidRPr="001562FE">
        <w:rPr>
          <w:rFonts w:ascii="Times New Roman" w:hAnsi="Times New Roman" w:cs="Times New Roman"/>
        </w:rPr>
        <w:t>Comme si soudain la langue française avait des yeux, et qu’elle me les ait donnés pour voir dans la liberté » (256).</w:t>
      </w:r>
    </w:p>
  </w:endnote>
  <w:endnote w:id="18">
    <w:p w:rsidR="0048035D" w:rsidRPr="002768BE" w:rsidRDefault="0048035D" w:rsidP="00F85162">
      <w:pPr>
        <w:pStyle w:val="Notedefin"/>
        <w:rPr>
          <w:rFonts w:ascii="Times New Roman" w:hAnsi="Times New Roman" w:cs="Times New Roman"/>
        </w:rPr>
      </w:pPr>
      <w:r w:rsidRPr="002768BE">
        <w:rPr>
          <w:rStyle w:val="Marquedenotedefin"/>
          <w:rFonts w:ascii="Times New Roman" w:hAnsi="Times New Roman" w:cs="Times New Roman"/>
        </w:rPr>
        <w:endnoteRef/>
      </w:r>
      <w:r w:rsidRPr="002768BE">
        <w:rPr>
          <w:rFonts w:ascii="Times New Roman" w:hAnsi="Times New Roman" w:cs="Times New Roman"/>
        </w:rPr>
        <w:t xml:space="preserve"> </w:t>
      </w:r>
      <w:r w:rsidR="003C4A24">
        <w:rPr>
          <w:rFonts w:ascii="Times New Roman" w:hAnsi="Times New Roman" w:cs="Times New Roman"/>
        </w:rPr>
        <w:t xml:space="preserve">Cfr. aussi </w:t>
      </w:r>
      <w:r w:rsidRPr="002768BE">
        <w:rPr>
          <w:rFonts w:ascii="Times New Roman" w:hAnsi="Times New Roman" w:cs="Times New Roman"/>
        </w:rPr>
        <w:t xml:space="preserve">Colas-Blaise (2011). </w:t>
      </w:r>
    </w:p>
  </w:endnote>
  <w:endnote w:id="19">
    <w:p w:rsidR="0048035D" w:rsidRPr="002768BE" w:rsidRDefault="0048035D" w:rsidP="00A94C2C">
      <w:pPr>
        <w:pStyle w:val="Notedefin"/>
        <w:rPr>
          <w:rFonts w:ascii="Times New Roman" w:hAnsi="Times New Roman" w:cs="Times New Roman"/>
        </w:rPr>
      </w:pPr>
      <w:r w:rsidRPr="002768BE">
        <w:rPr>
          <w:rStyle w:val="Marquedenotedefin"/>
          <w:rFonts w:ascii="Times New Roman" w:hAnsi="Times New Roman" w:cs="Times New Roman"/>
        </w:rPr>
        <w:endnoteRef/>
      </w:r>
      <w:r w:rsidRPr="002768BE">
        <w:rPr>
          <w:rFonts w:ascii="Times New Roman" w:hAnsi="Times New Roman" w:cs="Times New Roman"/>
        </w:rPr>
        <w:t xml:space="preserve"> </w:t>
      </w:r>
      <w:r w:rsidRPr="002768BE">
        <w:rPr>
          <w:rFonts w:ascii="Times New Roman" w:hAnsi="Times New Roman" w:cs="Times New Roman"/>
        </w:rPr>
        <w:t>Cf</w:t>
      </w:r>
      <w:r>
        <w:rPr>
          <w:rFonts w:ascii="Times New Roman" w:hAnsi="Times New Roman" w:cs="Times New Roman"/>
        </w:rPr>
        <w:t>r</w:t>
      </w:r>
      <w:r w:rsidRPr="002768BE">
        <w:rPr>
          <w:rFonts w:ascii="Times New Roman" w:hAnsi="Times New Roman" w:cs="Times New Roman"/>
        </w:rPr>
        <w:t xml:space="preserve">. aussi </w:t>
      </w:r>
      <w:r>
        <w:rPr>
          <w:rFonts w:ascii="Times New Roman" w:hAnsi="Times New Roman" w:cs="Times New Roman"/>
        </w:rPr>
        <w:t xml:space="preserve">Combe (1991 : 149) au sujet de </w:t>
      </w:r>
      <w:r w:rsidRPr="002768BE">
        <w:rPr>
          <w:rFonts w:ascii="Times New Roman" w:hAnsi="Times New Roman" w:cs="Times New Roman"/>
        </w:rPr>
        <w:t xml:space="preserve">la poétique </w:t>
      </w:r>
      <w:r>
        <w:rPr>
          <w:rFonts w:ascii="Times New Roman" w:hAnsi="Times New Roman" w:cs="Times New Roman"/>
        </w:rPr>
        <w:t xml:space="preserve">lyrique </w:t>
      </w:r>
      <w:r w:rsidRPr="002768BE">
        <w:rPr>
          <w:rFonts w:ascii="Times New Roman" w:hAnsi="Times New Roman" w:cs="Times New Roman"/>
        </w:rPr>
        <w:t xml:space="preserve">« présentative » </w:t>
      </w:r>
      <w:r>
        <w:rPr>
          <w:rFonts w:ascii="Times New Roman" w:hAnsi="Times New Roman" w:cs="Times New Roman"/>
        </w:rPr>
        <w:t xml:space="preserve">qui rompt avec les « poétiques de la représentation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09" w:rsidRDefault="006F3709" w:rsidP="00F85162">
      <w:pPr>
        <w:spacing w:after="0" w:line="240" w:lineRule="auto"/>
      </w:pPr>
      <w:r>
        <w:separator/>
      </w:r>
    </w:p>
  </w:footnote>
  <w:footnote w:type="continuationSeparator" w:id="0">
    <w:p w:rsidR="006F3709" w:rsidRDefault="006F3709" w:rsidP="00F8516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163"/>
    <w:multiLevelType w:val="hybridMultilevel"/>
    <w:tmpl w:val="7C044B72"/>
    <w:lvl w:ilvl="0" w:tplc="6A4ECB66">
      <w:start w:val="1"/>
      <w:numFmt w:val="bullet"/>
      <w:lvlText w:val="-"/>
      <w:lvlJc w:val="left"/>
      <w:pPr>
        <w:ind w:left="1211" w:hanging="360"/>
      </w:pPr>
      <w:rPr>
        <w:rFonts w:ascii="Times New Roman" w:eastAsiaTheme="minorHAnsi" w:hAnsi="Times New Roman" w:cs="Times New Roman" w:hint="default"/>
      </w:rPr>
    </w:lvl>
    <w:lvl w:ilvl="1" w:tplc="100C0003" w:tentative="1">
      <w:start w:val="1"/>
      <w:numFmt w:val="bullet"/>
      <w:lvlText w:val="o"/>
      <w:lvlJc w:val="left"/>
      <w:pPr>
        <w:ind w:left="1931" w:hanging="360"/>
      </w:pPr>
      <w:rPr>
        <w:rFonts w:ascii="Courier New" w:hAnsi="Courier New" w:cs="Courier New" w:hint="default"/>
      </w:rPr>
    </w:lvl>
    <w:lvl w:ilvl="2" w:tplc="100C0005" w:tentative="1">
      <w:start w:val="1"/>
      <w:numFmt w:val="bullet"/>
      <w:lvlText w:val=""/>
      <w:lvlJc w:val="left"/>
      <w:pPr>
        <w:ind w:left="2651" w:hanging="360"/>
      </w:pPr>
      <w:rPr>
        <w:rFonts w:ascii="Wingdings" w:hAnsi="Wingdings" w:hint="default"/>
      </w:rPr>
    </w:lvl>
    <w:lvl w:ilvl="3" w:tplc="100C0001" w:tentative="1">
      <w:start w:val="1"/>
      <w:numFmt w:val="bullet"/>
      <w:lvlText w:val=""/>
      <w:lvlJc w:val="left"/>
      <w:pPr>
        <w:ind w:left="3371" w:hanging="360"/>
      </w:pPr>
      <w:rPr>
        <w:rFonts w:ascii="Symbol" w:hAnsi="Symbol" w:hint="default"/>
      </w:rPr>
    </w:lvl>
    <w:lvl w:ilvl="4" w:tplc="100C0003" w:tentative="1">
      <w:start w:val="1"/>
      <w:numFmt w:val="bullet"/>
      <w:lvlText w:val="o"/>
      <w:lvlJc w:val="left"/>
      <w:pPr>
        <w:ind w:left="4091" w:hanging="360"/>
      </w:pPr>
      <w:rPr>
        <w:rFonts w:ascii="Courier New" w:hAnsi="Courier New" w:cs="Courier New" w:hint="default"/>
      </w:rPr>
    </w:lvl>
    <w:lvl w:ilvl="5" w:tplc="100C0005" w:tentative="1">
      <w:start w:val="1"/>
      <w:numFmt w:val="bullet"/>
      <w:lvlText w:val=""/>
      <w:lvlJc w:val="left"/>
      <w:pPr>
        <w:ind w:left="4811" w:hanging="360"/>
      </w:pPr>
      <w:rPr>
        <w:rFonts w:ascii="Wingdings" w:hAnsi="Wingdings" w:hint="default"/>
      </w:rPr>
    </w:lvl>
    <w:lvl w:ilvl="6" w:tplc="100C0001" w:tentative="1">
      <w:start w:val="1"/>
      <w:numFmt w:val="bullet"/>
      <w:lvlText w:val=""/>
      <w:lvlJc w:val="left"/>
      <w:pPr>
        <w:ind w:left="5531" w:hanging="360"/>
      </w:pPr>
      <w:rPr>
        <w:rFonts w:ascii="Symbol" w:hAnsi="Symbol" w:hint="default"/>
      </w:rPr>
    </w:lvl>
    <w:lvl w:ilvl="7" w:tplc="100C0003" w:tentative="1">
      <w:start w:val="1"/>
      <w:numFmt w:val="bullet"/>
      <w:lvlText w:val="o"/>
      <w:lvlJc w:val="left"/>
      <w:pPr>
        <w:ind w:left="6251" w:hanging="360"/>
      </w:pPr>
      <w:rPr>
        <w:rFonts w:ascii="Courier New" w:hAnsi="Courier New" w:cs="Courier New" w:hint="default"/>
      </w:rPr>
    </w:lvl>
    <w:lvl w:ilvl="8" w:tplc="100C0005" w:tentative="1">
      <w:start w:val="1"/>
      <w:numFmt w:val="bullet"/>
      <w:lvlText w:val=""/>
      <w:lvlJc w:val="left"/>
      <w:pPr>
        <w:ind w:left="6971" w:hanging="360"/>
      </w:pPr>
      <w:rPr>
        <w:rFonts w:ascii="Wingdings" w:hAnsi="Wingdings" w:hint="default"/>
      </w:rPr>
    </w:lvl>
  </w:abstractNum>
  <w:abstractNum w:abstractNumId="1">
    <w:nsid w:val="26640F93"/>
    <w:multiLevelType w:val="hybridMultilevel"/>
    <w:tmpl w:val="62E41A18"/>
    <w:lvl w:ilvl="0" w:tplc="026A0314">
      <w:start w:val="11"/>
      <w:numFmt w:val="bullet"/>
      <w:lvlText w:val="-"/>
      <w:lvlJc w:val="left"/>
      <w:pPr>
        <w:ind w:left="360" w:hanging="360"/>
      </w:pPr>
      <w:rPr>
        <w:rFonts w:ascii="Times New Roman" w:eastAsiaTheme="minorHAnsi"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6"/>
  <w:proofState w:spelling="clean" w:grammar="clean"/>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62"/>
    <w:rsid w:val="00081045"/>
    <w:rsid w:val="000D4F28"/>
    <w:rsid w:val="00144325"/>
    <w:rsid w:val="001528BA"/>
    <w:rsid w:val="001562FE"/>
    <w:rsid w:val="00260EBF"/>
    <w:rsid w:val="002768BE"/>
    <w:rsid w:val="002927E5"/>
    <w:rsid w:val="002C1705"/>
    <w:rsid w:val="003214E6"/>
    <w:rsid w:val="0032729C"/>
    <w:rsid w:val="0038103C"/>
    <w:rsid w:val="00383442"/>
    <w:rsid w:val="003A3E0A"/>
    <w:rsid w:val="003C2371"/>
    <w:rsid w:val="003C4A24"/>
    <w:rsid w:val="003E188E"/>
    <w:rsid w:val="003F57E0"/>
    <w:rsid w:val="0045640B"/>
    <w:rsid w:val="00461859"/>
    <w:rsid w:val="0048035D"/>
    <w:rsid w:val="00481176"/>
    <w:rsid w:val="00492F0E"/>
    <w:rsid w:val="00525274"/>
    <w:rsid w:val="00555E43"/>
    <w:rsid w:val="005A0039"/>
    <w:rsid w:val="005C755C"/>
    <w:rsid w:val="00603677"/>
    <w:rsid w:val="00604BD6"/>
    <w:rsid w:val="00605E53"/>
    <w:rsid w:val="00616736"/>
    <w:rsid w:val="006A6DA0"/>
    <w:rsid w:val="006C766A"/>
    <w:rsid w:val="006D112F"/>
    <w:rsid w:val="006F3709"/>
    <w:rsid w:val="0070341E"/>
    <w:rsid w:val="00757782"/>
    <w:rsid w:val="00772D44"/>
    <w:rsid w:val="007D1E8A"/>
    <w:rsid w:val="007D5D7F"/>
    <w:rsid w:val="007E0303"/>
    <w:rsid w:val="007E233F"/>
    <w:rsid w:val="007F3E69"/>
    <w:rsid w:val="0081065A"/>
    <w:rsid w:val="00820855"/>
    <w:rsid w:val="008334B4"/>
    <w:rsid w:val="008338FF"/>
    <w:rsid w:val="00866BB6"/>
    <w:rsid w:val="008B439D"/>
    <w:rsid w:val="008F20D5"/>
    <w:rsid w:val="0091286B"/>
    <w:rsid w:val="00977135"/>
    <w:rsid w:val="009831CD"/>
    <w:rsid w:val="009A3227"/>
    <w:rsid w:val="009E2703"/>
    <w:rsid w:val="009F5E07"/>
    <w:rsid w:val="00A0600D"/>
    <w:rsid w:val="00A23CF6"/>
    <w:rsid w:val="00A26B2F"/>
    <w:rsid w:val="00A31F4D"/>
    <w:rsid w:val="00A56989"/>
    <w:rsid w:val="00A94C2C"/>
    <w:rsid w:val="00AA4B75"/>
    <w:rsid w:val="00B170F9"/>
    <w:rsid w:val="00B43F03"/>
    <w:rsid w:val="00B61BB9"/>
    <w:rsid w:val="00BE7870"/>
    <w:rsid w:val="00C02B96"/>
    <w:rsid w:val="00C13492"/>
    <w:rsid w:val="00C72F62"/>
    <w:rsid w:val="00DC5850"/>
    <w:rsid w:val="00DD4930"/>
    <w:rsid w:val="00E537B4"/>
    <w:rsid w:val="00EA332B"/>
    <w:rsid w:val="00EA56A0"/>
    <w:rsid w:val="00EB0E38"/>
    <w:rsid w:val="00EC51E7"/>
    <w:rsid w:val="00ED0E3D"/>
    <w:rsid w:val="00EE15D8"/>
    <w:rsid w:val="00F3637E"/>
    <w:rsid w:val="00F85162"/>
    <w:rsid w:val="00F96B07"/>
    <w:rsid w:val="00FE7EB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6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162"/>
    <w:pPr>
      <w:ind w:left="720"/>
      <w:contextualSpacing/>
    </w:pPr>
  </w:style>
  <w:style w:type="paragraph" w:styleId="Notedebasdepage">
    <w:name w:val="footnote text"/>
    <w:basedOn w:val="Normal"/>
    <w:link w:val="NotedebasdepageCar"/>
    <w:uiPriority w:val="99"/>
    <w:unhideWhenUsed/>
    <w:rsid w:val="00F85162"/>
    <w:pPr>
      <w:spacing w:after="0" w:line="240" w:lineRule="auto"/>
    </w:pPr>
    <w:rPr>
      <w:sz w:val="20"/>
      <w:szCs w:val="20"/>
    </w:rPr>
  </w:style>
  <w:style w:type="character" w:customStyle="1" w:styleId="NotedebasdepageCar">
    <w:name w:val="Note de bas de page Car"/>
    <w:basedOn w:val="Policepardfaut"/>
    <w:link w:val="Notedebasdepage"/>
    <w:uiPriority w:val="99"/>
    <w:rsid w:val="00F85162"/>
    <w:rPr>
      <w:sz w:val="20"/>
      <w:szCs w:val="20"/>
    </w:rPr>
  </w:style>
  <w:style w:type="character" w:styleId="Marquenotebasdepage">
    <w:name w:val="footnote reference"/>
    <w:basedOn w:val="Policepardfaut"/>
    <w:uiPriority w:val="99"/>
    <w:semiHidden/>
    <w:unhideWhenUsed/>
    <w:rsid w:val="00F85162"/>
    <w:rPr>
      <w:vertAlign w:val="superscript"/>
    </w:rPr>
  </w:style>
  <w:style w:type="paragraph" w:styleId="Notedefin">
    <w:name w:val="endnote text"/>
    <w:basedOn w:val="Normal"/>
    <w:link w:val="NotedefinCar"/>
    <w:uiPriority w:val="99"/>
    <w:unhideWhenUsed/>
    <w:rsid w:val="0048035D"/>
    <w:pPr>
      <w:spacing w:after="0" w:line="240" w:lineRule="auto"/>
    </w:pPr>
    <w:rPr>
      <w:sz w:val="20"/>
      <w:szCs w:val="20"/>
    </w:rPr>
  </w:style>
  <w:style w:type="character" w:customStyle="1" w:styleId="NotedefinCar">
    <w:name w:val="Note de fin Car"/>
    <w:basedOn w:val="Policepardfaut"/>
    <w:link w:val="Notedefin"/>
    <w:uiPriority w:val="99"/>
    <w:rsid w:val="0048035D"/>
    <w:rPr>
      <w:sz w:val="20"/>
      <w:szCs w:val="20"/>
    </w:rPr>
  </w:style>
  <w:style w:type="character" w:styleId="Marquedenotedefin">
    <w:name w:val="endnote reference"/>
    <w:basedOn w:val="Policepardfaut"/>
    <w:uiPriority w:val="99"/>
    <w:semiHidden/>
    <w:unhideWhenUsed/>
    <w:rsid w:val="0048035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6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162"/>
    <w:pPr>
      <w:ind w:left="720"/>
      <w:contextualSpacing/>
    </w:pPr>
  </w:style>
  <w:style w:type="paragraph" w:styleId="Notedebasdepage">
    <w:name w:val="footnote text"/>
    <w:basedOn w:val="Normal"/>
    <w:link w:val="NotedebasdepageCar"/>
    <w:uiPriority w:val="99"/>
    <w:unhideWhenUsed/>
    <w:rsid w:val="00F85162"/>
    <w:pPr>
      <w:spacing w:after="0" w:line="240" w:lineRule="auto"/>
    </w:pPr>
    <w:rPr>
      <w:sz w:val="20"/>
      <w:szCs w:val="20"/>
    </w:rPr>
  </w:style>
  <w:style w:type="character" w:customStyle="1" w:styleId="NotedebasdepageCar">
    <w:name w:val="Note de bas de page Car"/>
    <w:basedOn w:val="Policepardfaut"/>
    <w:link w:val="Notedebasdepage"/>
    <w:uiPriority w:val="99"/>
    <w:rsid w:val="00F85162"/>
    <w:rPr>
      <w:sz w:val="20"/>
      <w:szCs w:val="20"/>
    </w:rPr>
  </w:style>
  <w:style w:type="character" w:styleId="Marquenotebasdepage">
    <w:name w:val="footnote reference"/>
    <w:basedOn w:val="Policepardfaut"/>
    <w:uiPriority w:val="99"/>
    <w:semiHidden/>
    <w:unhideWhenUsed/>
    <w:rsid w:val="00F85162"/>
    <w:rPr>
      <w:vertAlign w:val="superscript"/>
    </w:rPr>
  </w:style>
  <w:style w:type="paragraph" w:styleId="Notedefin">
    <w:name w:val="endnote text"/>
    <w:basedOn w:val="Normal"/>
    <w:link w:val="NotedefinCar"/>
    <w:uiPriority w:val="99"/>
    <w:unhideWhenUsed/>
    <w:rsid w:val="0048035D"/>
    <w:pPr>
      <w:spacing w:after="0" w:line="240" w:lineRule="auto"/>
    </w:pPr>
    <w:rPr>
      <w:sz w:val="20"/>
      <w:szCs w:val="20"/>
    </w:rPr>
  </w:style>
  <w:style w:type="character" w:customStyle="1" w:styleId="NotedefinCar">
    <w:name w:val="Note de fin Car"/>
    <w:basedOn w:val="Policepardfaut"/>
    <w:link w:val="Notedefin"/>
    <w:uiPriority w:val="99"/>
    <w:rsid w:val="0048035D"/>
    <w:rPr>
      <w:sz w:val="20"/>
      <w:szCs w:val="20"/>
    </w:rPr>
  </w:style>
  <w:style w:type="character" w:styleId="Marquedenotedefin">
    <w:name w:val="endnote reference"/>
    <w:basedOn w:val="Policepardfaut"/>
    <w:uiPriority w:val="99"/>
    <w:semiHidden/>
    <w:unhideWhenUsed/>
    <w:rsid w:val="00480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2FAFF-12A4-5447-9A49-E447E1DF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4266</Words>
  <Characters>23465</Characters>
  <Application>Microsoft Macintosh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27676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relecture</dc:creator>
  <cp:keywords/>
  <dc:description/>
  <cp:lastModifiedBy>Marion Colas</cp:lastModifiedBy>
  <cp:revision>2</cp:revision>
  <cp:lastPrinted>2012-11-29T14:51:00Z</cp:lastPrinted>
  <dcterms:created xsi:type="dcterms:W3CDTF">2014-04-30T10:02:00Z</dcterms:created>
  <dcterms:modified xsi:type="dcterms:W3CDTF">2014-04-30T10:02:00Z</dcterms:modified>
</cp:coreProperties>
</file>